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Pr>
      <w:tblGrid>
        <w:gridCol w:w="8819"/>
      </w:tblGrid>
      <w:tr w:rsidR="00BB01C9" w:rsidTr="00342DBF">
        <w:trPr>
          <w:trHeight w:hRule="exact" w:val="5897"/>
        </w:trPr>
        <w:tc>
          <w:tcPr>
            <w:tcW w:w="8819" w:type="dxa"/>
            <w:vAlign w:val="bottom"/>
          </w:tcPr>
          <w:p w:rsidR="00A36309" w:rsidRDefault="00BB01C9" w:rsidP="00BB01C9">
            <w:pPr>
              <w:pStyle w:val="Title"/>
            </w:pPr>
            <w:r>
              <w:t>Consultation</w:t>
            </w:r>
            <w:r w:rsidR="00A36309">
              <w:t>:</w:t>
            </w:r>
          </w:p>
          <w:p w:rsidR="00A36309" w:rsidRDefault="00A36309" w:rsidP="00BB01C9">
            <w:pPr>
              <w:pStyle w:val="Title"/>
            </w:pPr>
            <w:r>
              <w:t xml:space="preserve"> </w:t>
            </w:r>
            <w:r w:rsidR="00BB01C9">
              <w:t>Proposed changes to gambli</w:t>
            </w:r>
            <w:bookmarkStart w:id="0" w:name="_GoBack"/>
            <w:bookmarkEnd w:id="0"/>
            <w:r w:rsidR="00BB01C9">
              <w:t>ng fees</w:t>
            </w:r>
          </w:p>
          <w:p w:rsidR="00773F2E" w:rsidRPr="0013424E" w:rsidRDefault="00BB01C9" w:rsidP="00773F2E">
            <w:pPr>
              <w:pStyle w:val="Title2"/>
            </w:pPr>
            <w:r>
              <w:t>Department of Internal Affairs</w:t>
            </w:r>
            <w:r w:rsidR="00143173">
              <w:t xml:space="preserve"> </w:t>
            </w:r>
          </w:p>
          <w:p w:rsidR="006B0386" w:rsidRDefault="00B13744" w:rsidP="00051BCA">
            <w:pPr>
              <w:pStyle w:val="Title2"/>
            </w:pPr>
            <w:r>
              <w:t>March</w:t>
            </w:r>
            <w:r w:rsidR="00BB01C9">
              <w:t xml:space="preserve"> 2015</w:t>
            </w:r>
          </w:p>
        </w:tc>
      </w:tr>
      <w:tr w:rsidR="00BB01C9" w:rsidTr="007D3469">
        <w:trPr>
          <w:trHeight w:val="7258"/>
        </w:trPr>
        <w:tc>
          <w:tcPr>
            <w:tcW w:w="8819" w:type="dxa"/>
            <w:vAlign w:val="bottom"/>
          </w:tcPr>
          <w:p w:rsidR="00A36309" w:rsidRDefault="00051BCA" w:rsidP="00B4270E">
            <w:pPr>
              <w:pStyle w:val="Coverimage"/>
            </w:pPr>
            <w:r>
              <w:rPr>
                <w:noProof/>
                <w:lang w:eastAsia="en-NZ"/>
              </w:rPr>
              <w:drawing>
                <wp:inline distT="0" distB="0" distL="0" distR="0" wp14:anchorId="3626A0BD" wp14:editId="02F13FC4">
                  <wp:extent cx="2232660" cy="3597910"/>
                  <wp:effectExtent l="0" t="0" r="0" b="2540"/>
                  <wp:docPr id="7" name="Picture 7" descr="\\officetemplates.dia.govt.nz\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templates.dia.govt.nz\diatemplates$\Templates\Images\Cover-f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3597910"/>
                          </a:xfrm>
                          <a:prstGeom prst="rect">
                            <a:avLst/>
                          </a:prstGeom>
                          <a:noFill/>
                          <a:ln>
                            <a:noFill/>
                          </a:ln>
                        </pic:spPr>
                      </pic:pic>
                    </a:graphicData>
                  </a:graphic>
                </wp:inline>
              </w:drawing>
            </w:r>
          </w:p>
        </w:tc>
      </w:tr>
    </w:tbl>
    <w:p w:rsidR="00B62134" w:rsidRPr="00B62134" w:rsidRDefault="00B62134" w:rsidP="00B62134"/>
    <w:p w:rsidR="00B62134" w:rsidRDefault="00B62134" w:rsidP="00B62134">
      <w:pPr>
        <w:sectPr w:rsidR="00B62134" w:rsidSect="00951A16">
          <w:headerReference w:type="default" r:id="rId10"/>
          <w:footerReference w:type="default" r:id="rId11"/>
          <w:footerReference w:type="first" r:id="rId12"/>
          <w:pgSz w:w="11907" w:h="16840" w:code="9"/>
          <w:pgMar w:top="1134" w:right="1418" w:bottom="992" w:left="1418" w:header="425" w:footer="397" w:gutter="0"/>
          <w:cols w:space="708"/>
          <w:docGrid w:linePitch="360"/>
        </w:sectPr>
      </w:pPr>
    </w:p>
    <w:p w:rsidR="000B76A4" w:rsidRPr="000B76A4" w:rsidRDefault="000E09DC" w:rsidP="003A0A54">
      <w:pPr>
        <w:pStyle w:val="Heading1"/>
      </w:pPr>
      <w:bookmarkStart w:id="1" w:name="_Toc410217713"/>
      <w:r>
        <w:lastRenderedPageBreak/>
        <w:t>Contents</w:t>
      </w:r>
      <w:bookmarkEnd w:id="1"/>
    </w:p>
    <w:p w:rsidR="007D3469" w:rsidRPr="007D3469" w:rsidRDefault="007D3469" w:rsidP="007D3469"/>
    <w:p w:rsidR="00961CCD"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10217713" w:history="1">
        <w:r w:rsidR="00961CCD" w:rsidRPr="008373D4">
          <w:rPr>
            <w:rStyle w:val="Hyperlink"/>
            <w:noProof/>
          </w:rPr>
          <w:t>Contents</w:t>
        </w:r>
        <w:r w:rsidR="00961CCD">
          <w:rPr>
            <w:noProof/>
            <w:webHidden/>
          </w:rPr>
          <w:tab/>
        </w:r>
        <w:r w:rsidR="00961CCD">
          <w:rPr>
            <w:noProof/>
            <w:webHidden/>
          </w:rPr>
          <w:fldChar w:fldCharType="begin"/>
        </w:r>
        <w:r w:rsidR="00961CCD">
          <w:rPr>
            <w:noProof/>
            <w:webHidden/>
          </w:rPr>
          <w:instrText xml:space="preserve"> PAGEREF _Toc410217713 \h </w:instrText>
        </w:r>
        <w:r w:rsidR="00961CCD">
          <w:rPr>
            <w:noProof/>
            <w:webHidden/>
          </w:rPr>
        </w:r>
        <w:r w:rsidR="00961CCD">
          <w:rPr>
            <w:noProof/>
            <w:webHidden/>
          </w:rPr>
          <w:fldChar w:fldCharType="separate"/>
        </w:r>
        <w:r w:rsidR="00094461">
          <w:rPr>
            <w:noProof/>
            <w:webHidden/>
          </w:rPr>
          <w:t>1</w:t>
        </w:r>
        <w:r w:rsidR="00961CCD">
          <w:rPr>
            <w:noProof/>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14" w:history="1">
        <w:r w:rsidR="00961CCD" w:rsidRPr="008373D4">
          <w:rPr>
            <w:rStyle w:val="Hyperlink"/>
            <w:noProof/>
          </w:rPr>
          <w:t>What is this consultation document about?</w:t>
        </w:r>
        <w:r w:rsidR="00961CCD">
          <w:rPr>
            <w:noProof/>
            <w:webHidden/>
          </w:rPr>
          <w:tab/>
        </w:r>
        <w:r w:rsidR="00961CCD">
          <w:rPr>
            <w:noProof/>
            <w:webHidden/>
          </w:rPr>
          <w:fldChar w:fldCharType="begin"/>
        </w:r>
        <w:r w:rsidR="00961CCD">
          <w:rPr>
            <w:noProof/>
            <w:webHidden/>
          </w:rPr>
          <w:instrText xml:space="preserve"> PAGEREF _Toc410217714 \h </w:instrText>
        </w:r>
        <w:r w:rsidR="00961CCD">
          <w:rPr>
            <w:noProof/>
            <w:webHidden/>
          </w:rPr>
        </w:r>
        <w:r w:rsidR="00961CCD">
          <w:rPr>
            <w:noProof/>
            <w:webHidden/>
          </w:rPr>
          <w:fldChar w:fldCharType="separate"/>
        </w:r>
        <w:r w:rsidR="00094461">
          <w:rPr>
            <w:noProof/>
            <w:webHidden/>
          </w:rPr>
          <w:t>1</w:t>
        </w:r>
        <w:r w:rsidR="00961CCD">
          <w:rPr>
            <w:noProof/>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15" w:history="1">
        <w:r w:rsidR="00961CCD" w:rsidRPr="008373D4">
          <w:rPr>
            <w:rStyle w:val="Hyperlink"/>
          </w:rPr>
          <w:t>Consultation requirements</w:t>
        </w:r>
        <w:r w:rsidR="00961CCD">
          <w:rPr>
            <w:webHidden/>
          </w:rPr>
          <w:tab/>
        </w:r>
        <w:r w:rsidR="00961CCD">
          <w:rPr>
            <w:webHidden/>
          </w:rPr>
          <w:fldChar w:fldCharType="begin"/>
        </w:r>
        <w:r w:rsidR="00961CCD">
          <w:rPr>
            <w:webHidden/>
          </w:rPr>
          <w:instrText xml:space="preserve"> PAGEREF _Toc410217715 \h </w:instrText>
        </w:r>
        <w:r w:rsidR="00961CCD">
          <w:rPr>
            <w:webHidden/>
          </w:rPr>
        </w:r>
        <w:r w:rsidR="00961CCD">
          <w:rPr>
            <w:webHidden/>
          </w:rPr>
          <w:fldChar w:fldCharType="separate"/>
        </w:r>
        <w:r w:rsidR="00094461">
          <w:rPr>
            <w:webHidden/>
          </w:rPr>
          <w:t>1</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16" w:history="1">
        <w:r w:rsidR="00961CCD" w:rsidRPr="008373D4">
          <w:rPr>
            <w:rStyle w:val="Hyperlink"/>
          </w:rPr>
          <w:t>Sending us your submission</w:t>
        </w:r>
        <w:r w:rsidR="00961CCD">
          <w:rPr>
            <w:webHidden/>
          </w:rPr>
          <w:tab/>
        </w:r>
        <w:r w:rsidR="00961CCD">
          <w:rPr>
            <w:webHidden/>
          </w:rPr>
          <w:fldChar w:fldCharType="begin"/>
        </w:r>
        <w:r w:rsidR="00961CCD">
          <w:rPr>
            <w:webHidden/>
          </w:rPr>
          <w:instrText xml:space="preserve"> PAGEREF _Toc410217716 \h </w:instrText>
        </w:r>
        <w:r w:rsidR="00961CCD">
          <w:rPr>
            <w:webHidden/>
          </w:rPr>
        </w:r>
        <w:r w:rsidR="00961CCD">
          <w:rPr>
            <w:webHidden/>
          </w:rPr>
          <w:fldChar w:fldCharType="separate"/>
        </w:r>
        <w:r w:rsidR="00094461">
          <w:rPr>
            <w:webHidden/>
          </w:rPr>
          <w:t>1</w:t>
        </w:r>
        <w:r w:rsidR="00961CCD">
          <w:rPr>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17" w:history="1">
        <w:r w:rsidR="00961CCD" w:rsidRPr="008373D4">
          <w:rPr>
            <w:rStyle w:val="Hyperlink"/>
            <w:noProof/>
          </w:rPr>
          <w:t>Executive summary</w:t>
        </w:r>
        <w:r w:rsidR="00961CCD">
          <w:rPr>
            <w:noProof/>
            <w:webHidden/>
          </w:rPr>
          <w:tab/>
        </w:r>
        <w:r w:rsidR="00961CCD">
          <w:rPr>
            <w:noProof/>
            <w:webHidden/>
          </w:rPr>
          <w:fldChar w:fldCharType="begin"/>
        </w:r>
        <w:r w:rsidR="00961CCD">
          <w:rPr>
            <w:noProof/>
            <w:webHidden/>
          </w:rPr>
          <w:instrText xml:space="preserve"> PAGEREF _Toc410217717 \h </w:instrText>
        </w:r>
        <w:r w:rsidR="00961CCD">
          <w:rPr>
            <w:noProof/>
            <w:webHidden/>
          </w:rPr>
        </w:r>
        <w:r w:rsidR="00961CCD">
          <w:rPr>
            <w:noProof/>
            <w:webHidden/>
          </w:rPr>
          <w:fldChar w:fldCharType="separate"/>
        </w:r>
        <w:r w:rsidR="00094461">
          <w:rPr>
            <w:noProof/>
            <w:webHidden/>
          </w:rPr>
          <w:t>2</w:t>
        </w:r>
        <w:r w:rsidR="00961CCD">
          <w:rPr>
            <w:noProof/>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18" w:history="1">
        <w:r w:rsidR="00961CCD" w:rsidRPr="008373D4">
          <w:rPr>
            <w:rStyle w:val="Hyperlink"/>
            <w:noProof/>
          </w:rPr>
          <w:t>Introduction</w:t>
        </w:r>
        <w:r w:rsidR="00961CCD">
          <w:rPr>
            <w:noProof/>
            <w:webHidden/>
          </w:rPr>
          <w:tab/>
        </w:r>
        <w:r w:rsidR="00961CCD">
          <w:rPr>
            <w:noProof/>
            <w:webHidden/>
          </w:rPr>
          <w:fldChar w:fldCharType="begin"/>
        </w:r>
        <w:r w:rsidR="00961CCD">
          <w:rPr>
            <w:noProof/>
            <w:webHidden/>
          </w:rPr>
          <w:instrText xml:space="preserve"> PAGEREF _Toc410217718 \h </w:instrText>
        </w:r>
        <w:r w:rsidR="00961CCD">
          <w:rPr>
            <w:noProof/>
            <w:webHidden/>
          </w:rPr>
        </w:r>
        <w:r w:rsidR="00961CCD">
          <w:rPr>
            <w:noProof/>
            <w:webHidden/>
          </w:rPr>
          <w:fldChar w:fldCharType="separate"/>
        </w:r>
        <w:r w:rsidR="00094461">
          <w:rPr>
            <w:noProof/>
            <w:webHidden/>
          </w:rPr>
          <w:t>4</w:t>
        </w:r>
        <w:r w:rsidR="00961CCD">
          <w:rPr>
            <w:noProof/>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19" w:history="1">
        <w:r w:rsidR="00961CCD" w:rsidRPr="008373D4">
          <w:rPr>
            <w:rStyle w:val="Hyperlink"/>
          </w:rPr>
          <w:t>Types of fees paid by gambling operators</w:t>
        </w:r>
        <w:r w:rsidR="00961CCD">
          <w:rPr>
            <w:webHidden/>
          </w:rPr>
          <w:tab/>
        </w:r>
        <w:r w:rsidR="00961CCD">
          <w:rPr>
            <w:webHidden/>
          </w:rPr>
          <w:fldChar w:fldCharType="begin"/>
        </w:r>
        <w:r w:rsidR="00961CCD">
          <w:rPr>
            <w:webHidden/>
          </w:rPr>
          <w:instrText xml:space="preserve"> PAGEREF _Toc410217719 \h </w:instrText>
        </w:r>
        <w:r w:rsidR="00961CCD">
          <w:rPr>
            <w:webHidden/>
          </w:rPr>
        </w:r>
        <w:r w:rsidR="00961CCD">
          <w:rPr>
            <w:webHidden/>
          </w:rPr>
          <w:fldChar w:fldCharType="separate"/>
        </w:r>
        <w:r w:rsidR="00094461">
          <w:rPr>
            <w:webHidden/>
          </w:rPr>
          <w:t>5</w:t>
        </w:r>
        <w:r w:rsidR="00961CCD">
          <w:rPr>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20" w:history="1">
        <w:r w:rsidR="00961CCD" w:rsidRPr="008373D4">
          <w:rPr>
            <w:rStyle w:val="Hyperlink"/>
            <w:noProof/>
          </w:rPr>
          <w:t>What is the problem with the current fees?</w:t>
        </w:r>
        <w:r w:rsidR="00961CCD">
          <w:rPr>
            <w:noProof/>
            <w:webHidden/>
          </w:rPr>
          <w:tab/>
        </w:r>
        <w:r w:rsidR="00961CCD">
          <w:rPr>
            <w:noProof/>
            <w:webHidden/>
          </w:rPr>
          <w:fldChar w:fldCharType="begin"/>
        </w:r>
        <w:r w:rsidR="00961CCD">
          <w:rPr>
            <w:noProof/>
            <w:webHidden/>
          </w:rPr>
          <w:instrText xml:space="preserve"> PAGEREF _Toc410217720 \h </w:instrText>
        </w:r>
        <w:r w:rsidR="00961CCD">
          <w:rPr>
            <w:noProof/>
            <w:webHidden/>
          </w:rPr>
        </w:r>
        <w:r w:rsidR="00961CCD">
          <w:rPr>
            <w:noProof/>
            <w:webHidden/>
          </w:rPr>
          <w:fldChar w:fldCharType="separate"/>
        </w:r>
        <w:r w:rsidR="00094461">
          <w:rPr>
            <w:noProof/>
            <w:webHidden/>
          </w:rPr>
          <w:t>6</w:t>
        </w:r>
        <w:r w:rsidR="00961CCD">
          <w:rPr>
            <w:noProof/>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1" w:history="1">
        <w:r w:rsidR="00961CCD" w:rsidRPr="008373D4">
          <w:rPr>
            <w:rStyle w:val="Hyperlink"/>
          </w:rPr>
          <w:t>Declining revenue leading to under-recovery of costs</w:t>
        </w:r>
        <w:r w:rsidR="00961CCD">
          <w:rPr>
            <w:webHidden/>
          </w:rPr>
          <w:tab/>
        </w:r>
        <w:r w:rsidR="00961CCD">
          <w:rPr>
            <w:webHidden/>
          </w:rPr>
          <w:fldChar w:fldCharType="begin"/>
        </w:r>
        <w:r w:rsidR="00961CCD">
          <w:rPr>
            <w:webHidden/>
          </w:rPr>
          <w:instrText xml:space="preserve"> PAGEREF _Toc410217721 \h </w:instrText>
        </w:r>
        <w:r w:rsidR="00961CCD">
          <w:rPr>
            <w:webHidden/>
          </w:rPr>
        </w:r>
        <w:r w:rsidR="00961CCD">
          <w:rPr>
            <w:webHidden/>
          </w:rPr>
          <w:fldChar w:fldCharType="separate"/>
        </w:r>
        <w:r w:rsidR="00094461">
          <w:rPr>
            <w:webHidden/>
          </w:rPr>
          <w:t>6</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2" w:history="1">
        <w:r w:rsidR="00961CCD" w:rsidRPr="008373D4">
          <w:rPr>
            <w:rStyle w:val="Hyperlink"/>
          </w:rPr>
          <w:t>Increasing cost pressures on the Department</w:t>
        </w:r>
        <w:r w:rsidR="00961CCD">
          <w:rPr>
            <w:webHidden/>
          </w:rPr>
          <w:tab/>
        </w:r>
        <w:r w:rsidR="00961CCD">
          <w:rPr>
            <w:webHidden/>
          </w:rPr>
          <w:fldChar w:fldCharType="begin"/>
        </w:r>
        <w:r w:rsidR="00961CCD">
          <w:rPr>
            <w:webHidden/>
          </w:rPr>
          <w:instrText xml:space="preserve"> PAGEREF _Toc410217722 \h </w:instrText>
        </w:r>
        <w:r w:rsidR="00961CCD">
          <w:rPr>
            <w:webHidden/>
          </w:rPr>
        </w:r>
        <w:r w:rsidR="00961CCD">
          <w:rPr>
            <w:webHidden/>
          </w:rPr>
          <w:fldChar w:fldCharType="separate"/>
        </w:r>
        <w:r w:rsidR="00094461">
          <w:rPr>
            <w:webHidden/>
          </w:rPr>
          <w:t>7</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3" w:history="1">
        <w:r w:rsidR="00961CCD" w:rsidRPr="008373D4">
          <w:rPr>
            <w:rStyle w:val="Hyperlink"/>
          </w:rPr>
          <w:t>Department’s memorandum account deficit</w:t>
        </w:r>
        <w:r w:rsidR="00961CCD">
          <w:rPr>
            <w:webHidden/>
          </w:rPr>
          <w:tab/>
        </w:r>
        <w:r w:rsidR="00961CCD">
          <w:rPr>
            <w:webHidden/>
          </w:rPr>
          <w:fldChar w:fldCharType="begin"/>
        </w:r>
        <w:r w:rsidR="00961CCD">
          <w:rPr>
            <w:webHidden/>
          </w:rPr>
          <w:instrText xml:space="preserve"> PAGEREF _Toc410217723 \h </w:instrText>
        </w:r>
        <w:r w:rsidR="00961CCD">
          <w:rPr>
            <w:webHidden/>
          </w:rPr>
        </w:r>
        <w:r w:rsidR="00961CCD">
          <w:rPr>
            <w:webHidden/>
          </w:rPr>
          <w:fldChar w:fldCharType="separate"/>
        </w:r>
        <w:r w:rsidR="00094461">
          <w:rPr>
            <w:webHidden/>
          </w:rPr>
          <w:t>8</w:t>
        </w:r>
        <w:r w:rsidR="00961CCD">
          <w:rPr>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24" w:history="1">
        <w:r w:rsidR="00961CCD" w:rsidRPr="008373D4">
          <w:rPr>
            <w:rStyle w:val="Hyperlink"/>
            <w:noProof/>
          </w:rPr>
          <w:t>Managing cost pressures to date</w:t>
        </w:r>
        <w:r w:rsidR="00961CCD">
          <w:rPr>
            <w:noProof/>
            <w:webHidden/>
          </w:rPr>
          <w:tab/>
        </w:r>
        <w:r w:rsidR="00961CCD">
          <w:rPr>
            <w:noProof/>
            <w:webHidden/>
          </w:rPr>
          <w:fldChar w:fldCharType="begin"/>
        </w:r>
        <w:r w:rsidR="00961CCD">
          <w:rPr>
            <w:noProof/>
            <w:webHidden/>
          </w:rPr>
          <w:instrText xml:space="preserve"> PAGEREF _Toc410217724 \h </w:instrText>
        </w:r>
        <w:r w:rsidR="00961CCD">
          <w:rPr>
            <w:noProof/>
            <w:webHidden/>
          </w:rPr>
        </w:r>
        <w:r w:rsidR="00961CCD">
          <w:rPr>
            <w:noProof/>
            <w:webHidden/>
          </w:rPr>
          <w:fldChar w:fldCharType="separate"/>
        </w:r>
        <w:r w:rsidR="00094461">
          <w:rPr>
            <w:noProof/>
            <w:webHidden/>
          </w:rPr>
          <w:t>10</w:t>
        </w:r>
        <w:r w:rsidR="00961CCD">
          <w:rPr>
            <w:noProof/>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25" w:history="1">
        <w:r w:rsidR="00961CCD" w:rsidRPr="008373D4">
          <w:rPr>
            <w:rStyle w:val="Hyperlink"/>
            <w:noProof/>
          </w:rPr>
          <w:t>Principles for assessing fee options</w:t>
        </w:r>
        <w:r w:rsidR="00961CCD">
          <w:rPr>
            <w:noProof/>
            <w:webHidden/>
          </w:rPr>
          <w:tab/>
        </w:r>
        <w:r w:rsidR="00961CCD">
          <w:rPr>
            <w:noProof/>
            <w:webHidden/>
          </w:rPr>
          <w:fldChar w:fldCharType="begin"/>
        </w:r>
        <w:r w:rsidR="00961CCD">
          <w:rPr>
            <w:noProof/>
            <w:webHidden/>
          </w:rPr>
          <w:instrText xml:space="preserve"> PAGEREF _Toc410217725 \h </w:instrText>
        </w:r>
        <w:r w:rsidR="00961CCD">
          <w:rPr>
            <w:noProof/>
            <w:webHidden/>
          </w:rPr>
        </w:r>
        <w:r w:rsidR="00961CCD">
          <w:rPr>
            <w:noProof/>
            <w:webHidden/>
          </w:rPr>
          <w:fldChar w:fldCharType="separate"/>
        </w:r>
        <w:r w:rsidR="00094461">
          <w:rPr>
            <w:noProof/>
            <w:webHidden/>
          </w:rPr>
          <w:t>12</w:t>
        </w:r>
        <w:r w:rsidR="00961CCD">
          <w:rPr>
            <w:noProof/>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26" w:history="1">
        <w:r w:rsidR="00961CCD" w:rsidRPr="008373D4">
          <w:rPr>
            <w:rStyle w:val="Hyperlink"/>
            <w:noProof/>
          </w:rPr>
          <w:t>What are the options?</w:t>
        </w:r>
        <w:r w:rsidR="00961CCD">
          <w:rPr>
            <w:noProof/>
            <w:webHidden/>
          </w:rPr>
          <w:tab/>
        </w:r>
        <w:r w:rsidR="00961CCD">
          <w:rPr>
            <w:noProof/>
            <w:webHidden/>
          </w:rPr>
          <w:fldChar w:fldCharType="begin"/>
        </w:r>
        <w:r w:rsidR="00961CCD">
          <w:rPr>
            <w:noProof/>
            <w:webHidden/>
          </w:rPr>
          <w:instrText xml:space="preserve"> PAGEREF _Toc410217726 \h </w:instrText>
        </w:r>
        <w:r w:rsidR="00961CCD">
          <w:rPr>
            <w:noProof/>
            <w:webHidden/>
          </w:rPr>
        </w:r>
        <w:r w:rsidR="00961CCD">
          <w:rPr>
            <w:noProof/>
            <w:webHidden/>
          </w:rPr>
          <w:fldChar w:fldCharType="separate"/>
        </w:r>
        <w:r w:rsidR="00094461">
          <w:rPr>
            <w:noProof/>
            <w:webHidden/>
          </w:rPr>
          <w:t>13</w:t>
        </w:r>
        <w:r w:rsidR="00961CCD">
          <w:rPr>
            <w:noProof/>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7" w:history="1">
        <w:r w:rsidR="00961CCD" w:rsidRPr="008373D4">
          <w:rPr>
            <w:rStyle w:val="Hyperlink"/>
          </w:rPr>
          <w:t>Option one: increase fees to cover costs and reduce the memorandum account deficit over time (preferred option)</w:t>
        </w:r>
        <w:r w:rsidR="00961CCD">
          <w:rPr>
            <w:webHidden/>
          </w:rPr>
          <w:tab/>
        </w:r>
        <w:r w:rsidR="00961CCD">
          <w:rPr>
            <w:webHidden/>
          </w:rPr>
          <w:fldChar w:fldCharType="begin"/>
        </w:r>
        <w:r w:rsidR="00961CCD">
          <w:rPr>
            <w:webHidden/>
          </w:rPr>
          <w:instrText xml:space="preserve"> PAGEREF _Toc410217727 \h </w:instrText>
        </w:r>
        <w:r w:rsidR="00961CCD">
          <w:rPr>
            <w:webHidden/>
          </w:rPr>
        </w:r>
        <w:r w:rsidR="00961CCD">
          <w:rPr>
            <w:webHidden/>
          </w:rPr>
          <w:fldChar w:fldCharType="separate"/>
        </w:r>
        <w:r w:rsidR="00094461">
          <w:rPr>
            <w:webHidden/>
          </w:rPr>
          <w:t>13</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8" w:history="1">
        <w:r w:rsidR="00961CCD" w:rsidRPr="008373D4">
          <w:rPr>
            <w:rStyle w:val="Hyperlink"/>
          </w:rPr>
          <w:t>Option two: status quo</w:t>
        </w:r>
        <w:r w:rsidR="00961CCD">
          <w:rPr>
            <w:webHidden/>
          </w:rPr>
          <w:tab/>
        </w:r>
        <w:r w:rsidR="00961CCD">
          <w:rPr>
            <w:webHidden/>
          </w:rPr>
          <w:fldChar w:fldCharType="begin"/>
        </w:r>
        <w:r w:rsidR="00961CCD">
          <w:rPr>
            <w:webHidden/>
          </w:rPr>
          <w:instrText xml:space="preserve"> PAGEREF _Toc410217728 \h </w:instrText>
        </w:r>
        <w:r w:rsidR="00961CCD">
          <w:rPr>
            <w:webHidden/>
          </w:rPr>
        </w:r>
        <w:r w:rsidR="00961CCD">
          <w:rPr>
            <w:webHidden/>
          </w:rPr>
          <w:fldChar w:fldCharType="separate"/>
        </w:r>
        <w:r w:rsidR="00094461">
          <w:rPr>
            <w:webHidden/>
          </w:rPr>
          <w:t>17</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29" w:history="1">
        <w:r w:rsidR="00961CCD" w:rsidRPr="008373D4">
          <w:rPr>
            <w:rStyle w:val="Hyperlink"/>
          </w:rPr>
          <w:t>Other options considered</w:t>
        </w:r>
        <w:r w:rsidR="00961CCD">
          <w:rPr>
            <w:webHidden/>
          </w:rPr>
          <w:tab/>
        </w:r>
        <w:r w:rsidR="00961CCD">
          <w:rPr>
            <w:webHidden/>
          </w:rPr>
          <w:fldChar w:fldCharType="begin"/>
        </w:r>
        <w:r w:rsidR="00961CCD">
          <w:rPr>
            <w:webHidden/>
          </w:rPr>
          <w:instrText xml:space="preserve"> PAGEREF _Toc410217729 \h </w:instrText>
        </w:r>
        <w:r w:rsidR="00961CCD">
          <w:rPr>
            <w:webHidden/>
          </w:rPr>
        </w:r>
        <w:r w:rsidR="00961CCD">
          <w:rPr>
            <w:webHidden/>
          </w:rPr>
          <w:fldChar w:fldCharType="separate"/>
        </w:r>
        <w:r w:rsidR="00094461">
          <w:rPr>
            <w:webHidden/>
          </w:rPr>
          <w:t>17</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30" w:history="1">
        <w:r w:rsidR="00961CCD" w:rsidRPr="008373D4">
          <w:rPr>
            <w:rStyle w:val="Hyperlink"/>
          </w:rPr>
          <w:t>Implementation</w:t>
        </w:r>
        <w:r w:rsidR="00961CCD">
          <w:rPr>
            <w:webHidden/>
          </w:rPr>
          <w:tab/>
        </w:r>
        <w:r w:rsidR="00961CCD">
          <w:rPr>
            <w:webHidden/>
          </w:rPr>
          <w:fldChar w:fldCharType="begin"/>
        </w:r>
        <w:r w:rsidR="00961CCD">
          <w:rPr>
            <w:webHidden/>
          </w:rPr>
          <w:instrText xml:space="preserve"> PAGEREF _Toc410217730 \h </w:instrText>
        </w:r>
        <w:r w:rsidR="00961CCD">
          <w:rPr>
            <w:webHidden/>
          </w:rPr>
        </w:r>
        <w:r w:rsidR="00961CCD">
          <w:rPr>
            <w:webHidden/>
          </w:rPr>
          <w:fldChar w:fldCharType="separate"/>
        </w:r>
        <w:r w:rsidR="00094461">
          <w:rPr>
            <w:webHidden/>
          </w:rPr>
          <w:t>18</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31" w:history="1">
        <w:r w:rsidR="00961CCD" w:rsidRPr="008373D4">
          <w:rPr>
            <w:rStyle w:val="Hyperlink"/>
          </w:rPr>
          <w:t>Monitoring, evaluation and review</w:t>
        </w:r>
        <w:r w:rsidR="00961CCD">
          <w:rPr>
            <w:webHidden/>
          </w:rPr>
          <w:tab/>
        </w:r>
        <w:r w:rsidR="00961CCD">
          <w:rPr>
            <w:webHidden/>
          </w:rPr>
          <w:fldChar w:fldCharType="begin"/>
        </w:r>
        <w:r w:rsidR="00961CCD">
          <w:rPr>
            <w:webHidden/>
          </w:rPr>
          <w:instrText xml:space="preserve"> PAGEREF _Toc410217731 \h </w:instrText>
        </w:r>
        <w:r w:rsidR="00961CCD">
          <w:rPr>
            <w:webHidden/>
          </w:rPr>
        </w:r>
        <w:r w:rsidR="00961CCD">
          <w:rPr>
            <w:webHidden/>
          </w:rPr>
          <w:fldChar w:fldCharType="separate"/>
        </w:r>
        <w:r w:rsidR="00094461">
          <w:rPr>
            <w:webHidden/>
          </w:rPr>
          <w:t>19</w:t>
        </w:r>
        <w:r w:rsidR="00961CCD">
          <w:rPr>
            <w:webHidden/>
          </w:rPr>
          <w:fldChar w:fldCharType="end"/>
        </w:r>
      </w:hyperlink>
    </w:p>
    <w:p w:rsidR="00961CCD" w:rsidRDefault="00087B80">
      <w:pPr>
        <w:pStyle w:val="TOC2"/>
        <w:rPr>
          <w:rFonts w:asciiTheme="minorHAnsi" w:eastAsiaTheme="minorEastAsia" w:hAnsiTheme="minorHAnsi" w:cstheme="minorBidi"/>
          <w:sz w:val="22"/>
          <w:szCs w:val="22"/>
          <w:lang w:eastAsia="en-NZ"/>
        </w:rPr>
      </w:pPr>
      <w:hyperlink w:anchor="_Toc410217732" w:history="1">
        <w:r w:rsidR="00961CCD" w:rsidRPr="008373D4">
          <w:rPr>
            <w:rStyle w:val="Hyperlink"/>
          </w:rPr>
          <w:t>Questions for you</w:t>
        </w:r>
        <w:r w:rsidR="00961CCD">
          <w:rPr>
            <w:webHidden/>
          </w:rPr>
          <w:tab/>
        </w:r>
        <w:r w:rsidR="00961CCD">
          <w:rPr>
            <w:webHidden/>
          </w:rPr>
          <w:fldChar w:fldCharType="begin"/>
        </w:r>
        <w:r w:rsidR="00961CCD">
          <w:rPr>
            <w:webHidden/>
          </w:rPr>
          <w:instrText xml:space="preserve"> PAGEREF _Toc410217732 \h </w:instrText>
        </w:r>
        <w:r w:rsidR="00961CCD">
          <w:rPr>
            <w:webHidden/>
          </w:rPr>
        </w:r>
        <w:r w:rsidR="00961CCD">
          <w:rPr>
            <w:webHidden/>
          </w:rPr>
          <w:fldChar w:fldCharType="separate"/>
        </w:r>
        <w:r w:rsidR="00094461">
          <w:rPr>
            <w:webHidden/>
          </w:rPr>
          <w:t>19</w:t>
        </w:r>
        <w:r w:rsidR="00961CCD">
          <w:rPr>
            <w:webHidden/>
          </w:rPr>
          <w:fldChar w:fldCharType="end"/>
        </w:r>
      </w:hyperlink>
    </w:p>
    <w:p w:rsidR="00961CCD" w:rsidRDefault="00087B80">
      <w:pPr>
        <w:pStyle w:val="TOC1"/>
        <w:rPr>
          <w:rFonts w:asciiTheme="minorHAnsi" w:eastAsiaTheme="minorEastAsia" w:hAnsiTheme="minorHAnsi" w:cstheme="minorBidi"/>
          <w:b w:val="0"/>
          <w:noProof/>
          <w:color w:val="auto"/>
          <w:sz w:val="22"/>
          <w:szCs w:val="22"/>
          <w:lang w:eastAsia="en-NZ"/>
        </w:rPr>
      </w:pPr>
      <w:hyperlink w:anchor="_Toc410217733" w:history="1">
        <w:r w:rsidR="00961CCD" w:rsidRPr="008373D4">
          <w:rPr>
            <w:rStyle w:val="Hyperlink"/>
            <w:noProof/>
          </w:rPr>
          <w:t>Appendix A: Schedule of proposed fees</w:t>
        </w:r>
        <w:r w:rsidR="00961CCD">
          <w:rPr>
            <w:noProof/>
            <w:webHidden/>
          </w:rPr>
          <w:tab/>
        </w:r>
        <w:r w:rsidR="00961CCD">
          <w:rPr>
            <w:noProof/>
            <w:webHidden/>
          </w:rPr>
          <w:fldChar w:fldCharType="begin"/>
        </w:r>
        <w:r w:rsidR="00961CCD">
          <w:rPr>
            <w:noProof/>
            <w:webHidden/>
          </w:rPr>
          <w:instrText xml:space="preserve"> PAGEREF _Toc410217733 \h </w:instrText>
        </w:r>
        <w:r w:rsidR="00961CCD">
          <w:rPr>
            <w:noProof/>
            <w:webHidden/>
          </w:rPr>
        </w:r>
        <w:r w:rsidR="00961CCD">
          <w:rPr>
            <w:noProof/>
            <w:webHidden/>
          </w:rPr>
          <w:fldChar w:fldCharType="separate"/>
        </w:r>
        <w:r w:rsidR="00094461">
          <w:rPr>
            <w:noProof/>
            <w:webHidden/>
          </w:rPr>
          <w:t>20</w:t>
        </w:r>
        <w:r w:rsidR="00961CCD">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p w:rsidR="0013424E" w:rsidRDefault="0013424E" w:rsidP="001420E8"/>
    <w:p w:rsidR="006871D3" w:rsidRDefault="006871D3" w:rsidP="001420E8">
      <w:pPr>
        <w:sectPr w:rsidR="006871D3" w:rsidSect="00951A16">
          <w:headerReference w:type="default" r:id="rId13"/>
          <w:footerReference w:type="default" r:id="rId14"/>
          <w:pgSz w:w="11907" w:h="16840" w:code="9"/>
          <w:pgMar w:top="1418" w:right="1418" w:bottom="992" w:left="1418" w:header="425" w:footer="641" w:gutter="0"/>
          <w:pgNumType w:start="1"/>
          <w:cols w:space="708"/>
          <w:docGrid w:linePitch="360"/>
        </w:sectPr>
      </w:pPr>
    </w:p>
    <w:p w:rsidR="00782A06" w:rsidRDefault="00782A06" w:rsidP="003A0A54">
      <w:pPr>
        <w:pStyle w:val="Heading1"/>
      </w:pPr>
      <w:bookmarkStart w:id="2" w:name="_Toc410217714"/>
      <w:r>
        <w:lastRenderedPageBreak/>
        <w:t>What is this consultation document about</w:t>
      </w:r>
      <w:r w:rsidR="008D4809">
        <w:t>?</w:t>
      </w:r>
      <w:bookmarkEnd w:id="2"/>
    </w:p>
    <w:p w:rsidR="00782A06" w:rsidRPr="00BA50B0" w:rsidRDefault="00782A06" w:rsidP="00782A06">
      <w:pPr>
        <w:pStyle w:val="BodyText"/>
      </w:pPr>
      <w:r w:rsidRPr="00BA50B0">
        <w:t xml:space="preserve">This document invites your comments about proposed changes to gambling fees under the Gambling </w:t>
      </w:r>
      <w:r>
        <w:t>Act 2003.</w:t>
      </w:r>
      <w:r w:rsidRPr="00BA50B0">
        <w:t xml:space="preserve">  </w:t>
      </w:r>
    </w:p>
    <w:p w:rsidR="00782A06" w:rsidRDefault="00782A06" w:rsidP="00782A06">
      <w:pPr>
        <w:pStyle w:val="Heading2"/>
      </w:pPr>
      <w:bookmarkStart w:id="3" w:name="_Toc410217715"/>
      <w:r>
        <w:t>Consultation requirements</w:t>
      </w:r>
      <w:bookmarkEnd w:id="3"/>
    </w:p>
    <w:p w:rsidR="00782A06" w:rsidRPr="00BA50B0" w:rsidRDefault="00782A06" w:rsidP="00782A06">
      <w:pPr>
        <w:pStyle w:val="BodyText"/>
      </w:pPr>
      <w:r w:rsidRPr="00BA50B0">
        <w:t>Section 372 of the Gambling Act 2003 requires that, before regulations are made, persons and organisations that are likely to be substantially affected by the regulations must be consulted and given a reasonable opportunity to respond.</w:t>
      </w:r>
      <w:r>
        <w:t xml:space="preserve"> Submissions will be given adequate and appropriate consideration.</w:t>
      </w:r>
    </w:p>
    <w:p w:rsidR="00782A06" w:rsidRPr="00B02A64" w:rsidRDefault="00782A06" w:rsidP="00782A06">
      <w:pPr>
        <w:pStyle w:val="Heading2"/>
      </w:pPr>
      <w:bookmarkStart w:id="4" w:name="_Toc410217716"/>
      <w:r>
        <w:t>Sending us your submission</w:t>
      </w:r>
      <w:bookmarkEnd w:id="4"/>
    </w:p>
    <w:p w:rsidR="00782A06" w:rsidRPr="00BA50B0" w:rsidRDefault="00782A06" w:rsidP="00782A06">
      <w:pPr>
        <w:pStyle w:val="BodyText"/>
      </w:pPr>
      <w:r w:rsidRPr="00BA50B0">
        <w:t xml:space="preserve">Please send your submission to the Department of Internal Affairs by </w:t>
      </w:r>
      <w:r w:rsidR="001D33E7">
        <w:t>13</w:t>
      </w:r>
      <w:r w:rsidR="00B37E8F">
        <w:t xml:space="preserve"> </w:t>
      </w:r>
      <w:r w:rsidR="001D33E7">
        <w:t>April</w:t>
      </w:r>
      <w:r w:rsidRPr="00B9455A">
        <w:t xml:space="preserve"> 2015.</w:t>
      </w:r>
    </w:p>
    <w:p w:rsidR="00782A06" w:rsidRPr="00BA50B0" w:rsidRDefault="00782A06" w:rsidP="00782A06">
      <w:pPr>
        <w:pStyle w:val="BodyText"/>
      </w:pPr>
      <w:r w:rsidRPr="00BA50B0">
        <w:t>Please note that all submissions may be made publicly available.  Even if you request confidentiality, we may have to release your submission at a later date if a request is made under the Official Information Act 1982.  In your submission please highlight the information you would prefer was withheld should a request be made.</w:t>
      </w:r>
      <w:r w:rsidRPr="00BA50B0">
        <w:rPr>
          <w:rStyle w:val="FootnoteReference"/>
        </w:rPr>
        <w:footnoteReference w:id="1"/>
      </w:r>
      <w:r w:rsidRPr="00BA50B0">
        <w:t xml:space="preserve">  </w:t>
      </w:r>
    </w:p>
    <w:p w:rsidR="00782A06" w:rsidRPr="00BA50B0" w:rsidRDefault="00782A06" w:rsidP="00782A06">
      <w:pPr>
        <w:pStyle w:val="BodyText"/>
      </w:pPr>
      <w:r w:rsidRPr="00BA50B0">
        <w:t>Your submission can be sent in the following ways:</w:t>
      </w:r>
    </w:p>
    <w:p w:rsidR="00782A06" w:rsidRPr="00BA50B0" w:rsidRDefault="00782A06" w:rsidP="00782A06">
      <w:pPr>
        <w:pStyle w:val="BodyText"/>
      </w:pPr>
      <w:r w:rsidRPr="00BA50B0">
        <w:t xml:space="preserve">Email: </w:t>
      </w:r>
      <w:hyperlink r:id="rId15" w:history="1">
        <w:r w:rsidRPr="00BA50B0">
          <w:rPr>
            <w:rStyle w:val="Hyperlink"/>
          </w:rPr>
          <w:t>gamblingfees@dia.govt.nz</w:t>
        </w:r>
      </w:hyperlink>
      <w:r w:rsidRPr="00BA50B0">
        <w:t xml:space="preserve"> </w:t>
      </w:r>
    </w:p>
    <w:p w:rsidR="00782A06" w:rsidRPr="00BA50B0" w:rsidRDefault="00782A06" w:rsidP="00782A06">
      <w:pPr>
        <w:pStyle w:val="BodyText"/>
        <w:spacing w:after="0"/>
      </w:pPr>
      <w:r w:rsidRPr="00BA50B0">
        <w:t>Post: Community Well-being Policy Team</w:t>
      </w:r>
    </w:p>
    <w:p w:rsidR="00782A06" w:rsidRPr="00BA50B0" w:rsidRDefault="00782A06" w:rsidP="00782A06">
      <w:pPr>
        <w:pStyle w:val="BodyText"/>
        <w:spacing w:after="0"/>
        <w:ind w:firstLine="567"/>
      </w:pPr>
      <w:r w:rsidRPr="00BA50B0">
        <w:t>Policy Group</w:t>
      </w:r>
    </w:p>
    <w:p w:rsidR="00782A06" w:rsidRPr="00BA50B0" w:rsidRDefault="00782A06" w:rsidP="00782A06">
      <w:pPr>
        <w:pStyle w:val="BodyText"/>
        <w:spacing w:after="0"/>
      </w:pPr>
      <w:r w:rsidRPr="00BA50B0">
        <w:tab/>
        <w:t>Department of Internal Affairs</w:t>
      </w:r>
    </w:p>
    <w:p w:rsidR="00782A06" w:rsidRPr="00BA50B0" w:rsidRDefault="00782A06" w:rsidP="00782A06">
      <w:pPr>
        <w:pStyle w:val="BodyText"/>
        <w:spacing w:after="0"/>
      </w:pPr>
      <w:r w:rsidRPr="00BA50B0">
        <w:tab/>
        <w:t>PO Box 805</w:t>
      </w:r>
    </w:p>
    <w:p w:rsidR="00782A06" w:rsidRPr="00BA50B0" w:rsidRDefault="00782A06" w:rsidP="00782A06">
      <w:pPr>
        <w:pStyle w:val="BodyText"/>
        <w:spacing w:after="0"/>
      </w:pPr>
      <w:r w:rsidRPr="00BA50B0">
        <w:tab/>
        <w:t>Wellington 6140</w:t>
      </w:r>
    </w:p>
    <w:p w:rsidR="00782A06" w:rsidRPr="00BA50B0" w:rsidRDefault="00782A06" w:rsidP="00782A06">
      <w:pPr>
        <w:pStyle w:val="BodyText"/>
        <w:spacing w:after="0"/>
      </w:pPr>
    </w:p>
    <w:p w:rsidR="00782A06" w:rsidRPr="00BA50B0" w:rsidRDefault="00782A06" w:rsidP="00782A06">
      <w:pPr>
        <w:pStyle w:val="BodyText"/>
        <w:spacing w:after="0"/>
      </w:pPr>
    </w:p>
    <w:p w:rsidR="00782A06" w:rsidRPr="00BA50B0" w:rsidRDefault="00782A06" w:rsidP="00782A06">
      <w:pPr>
        <w:pStyle w:val="BodyText"/>
        <w:spacing w:after="0"/>
      </w:pPr>
    </w:p>
    <w:p w:rsidR="003A2CCE" w:rsidRPr="00BA50B0" w:rsidRDefault="003A2CCE" w:rsidP="003A2CCE">
      <w:pPr>
        <w:jc w:val="both"/>
        <w:rPr>
          <w:sz w:val="20"/>
          <w:szCs w:val="20"/>
        </w:rPr>
      </w:pPr>
      <w:r w:rsidRPr="00BA50B0">
        <w:rPr>
          <w:sz w:val="20"/>
          <w:szCs w:val="20"/>
        </w:rPr>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information.</w:t>
      </w:r>
    </w:p>
    <w:p w:rsidR="00EC48B0" w:rsidRDefault="00EC48B0" w:rsidP="00782A06">
      <w:pPr>
        <w:jc w:val="both"/>
        <w:rPr>
          <w:sz w:val="20"/>
          <w:szCs w:val="20"/>
        </w:rPr>
      </w:pPr>
    </w:p>
    <w:p w:rsidR="00EC48B0" w:rsidRDefault="00EC48B0" w:rsidP="00782A06">
      <w:pPr>
        <w:jc w:val="both"/>
        <w:rPr>
          <w:sz w:val="20"/>
          <w:szCs w:val="20"/>
        </w:rPr>
      </w:pPr>
    </w:p>
    <w:p w:rsidR="00EC48B0" w:rsidRDefault="00EC48B0" w:rsidP="00782A06">
      <w:pPr>
        <w:jc w:val="both"/>
        <w:rPr>
          <w:sz w:val="20"/>
          <w:szCs w:val="20"/>
        </w:rPr>
      </w:pPr>
    </w:p>
    <w:p w:rsidR="00860B2B" w:rsidRDefault="00860B2B" w:rsidP="00860B2B">
      <w:pPr>
        <w:pStyle w:val="Heading1"/>
      </w:pPr>
      <w:bookmarkStart w:id="5" w:name="_Toc410217717"/>
      <w:r>
        <w:lastRenderedPageBreak/>
        <w:t>Executive summary</w:t>
      </w:r>
      <w:bookmarkEnd w:id="5"/>
    </w:p>
    <w:p w:rsidR="004339A6" w:rsidRDefault="004339A6" w:rsidP="005A3016">
      <w:pPr>
        <w:pStyle w:val="NumbersLevel1"/>
        <w:numPr>
          <w:ilvl w:val="0"/>
          <w:numId w:val="20"/>
        </w:numPr>
        <w:tabs>
          <w:tab w:val="num" w:pos="709"/>
        </w:tabs>
        <w:ind w:left="709" w:hanging="709"/>
        <w:rPr>
          <w:rFonts w:ascii="Calibri" w:eastAsia="Calibri" w:hAnsi="Calibri"/>
          <w:sz w:val="24"/>
          <w:lang w:val="en-AU"/>
        </w:rPr>
      </w:pPr>
      <w:r w:rsidRPr="00C773DE">
        <w:rPr>
          <w:rFonts w:ascii="Calibri" w:eastAsia="Calibri" w:hAnsi="Calibri"/>
          <w:sz w:val="24"/>
          <w:lang w:val="en-AU"/>
        </w:rPr>
        <w:t>The Department of Internal Affairs (the Department) undertakes gambling licensing, compliance, and enforcement functions</w:t>
      </w:r>
      <w:r>
        <w:rPr>
          <w:rFonts w:ascii="Calibri" w:eastAsia="Calibri" w:hAnsi="Calibri"/>
          <w:sz w:val="24"/>
          <w:lang w:val="en-AU"/>
        </w:rPr>
        <w:t xml:space="preserve"> under the Gambling Act 2003</w:t>
      </w:r>
      <w:r w:rsidR="003226AA">
        <w:rPr>
          <w:rFonts w:ascii="Calibri" w:eastAsia="Calibri" w:hAnsi="Calibri"/>
          <w:sz w:val="24"/>
          <w:lang w:val="en-AU"/>
        </w:rPr>
        <w:t xml:space="preserve"> (the Act)</w:t>
      </w:r>
      <w:r>
        <w:rPr>
          <w:rFonts w:ascii="Calibri" w:eastAsia="Calibri" w:hAnsi="Calibri"/>
          <w:sz w:val="24"/>
          <w:lang w:val="en-AU"/>
        </w:rPr>
        <w:t>.</w:t>
      </w:r>
      <w:r w:rsidRPr="00C773DE">
        <w:rPr>
          <w:rFonts w:ascii="Calibri" w:eastAsia="Calibri" w:hAnsi="Calibri"/>
          <w:sz w:val="24"/>
          <w:lang w:val="en-AU"/>
        </w:rPr>
        <w:t xml:space="preserve"> These functions (and those of the Gambling Commission) are funded through fees paid by </w:t>
      </w:r>
      <w:r w:rsidR="003226AA">
        <w:rPr>
          <w:rFonts w:ascii="Calibri" w:eastAsia="Calibri" w:hAnsi="Calibri"/>
          <w:sz w:val="24"/>
          <w:lang w:val="en-AU"/>
        </w:rPr>
        <w:t xml:space="preserve">the </w:t>
      </w:r>
      <w:r w:rsidRPr="00C773DE">
        <w:rPr>
          <w:rFonts w:ascii="Calibri" w:eastAsia="Calibri" w:hAnsi="Calibri"/>
          <w:sz w:val="24"/>
          <w:lang w:val="en-AU"/>
        </w:rPr>
        <w:t>gambling operators</w:t>
      </w:r>
      <w:r>
        <w:rPr>
          <w:rFonts w:ascii="Calibri" w:eastAsia="Calibri" w:hAnsi="Calibri"/>
          <w:sz w:val="24"/>
          <w:lang w:val="en-AU"/>
        </w:rPr>
        <w:t xml:space="preserve"> that give rise to </w:t>
      </w:r>
      <w:r w:rsidR="003226AA">
        <w:rPr>
          <w:rFonts w:ascii="Calibri" w:eastAsia="Calibri" w:hAnsi="Calibri"/>
          <w:sz w:val="24"/>
          <w:lang w:val="en-AU"/>
        </w:rPr>
        <w:t xml:space="preserve">the Department’s </w:t>
      </w:r>
      <w:r>
        <w:rPr>
          <w:rFonts w:ascii="Calibri" w:eastAsia="Calibri" w:hAnsi="Calibri"/>
          <w:sz w:val="24"/>
          <w:lang w:val="en-AU"/>
        </w:rPr>
        <w:t>regulatory activities</w:t>
      </w:r>
      <w:r w:rsidR="003226AA">
        <w:rPr>
          <w:rFonts w:ascii="Calibri" w:eastAsia="Calibri" w:hAnsi="Calibri"/>
          <w:sz w:val="24"/>
          <w:lang w:val="en-AU"/>
        </w:rPr>
        <w:t>.</w:t>
      </w:r>
      <w:r>
        <w:rPr>
          <w:rFonts w:ascii="Calibri" w:eastAsia="Calibri" w:hAnsi="Calibri"/>
          <w:sz w:val="24"/>
          <w:lang w:val="en-AU"/>
        </w:rPr>
        <w:t xml:space="preserve"> The operators</w:t>
      </w:r>
      <w:r w:rsidRPr="00BA50B0">
        <w:rPr>
          <w:rFonts w:ascii="Calibri" w:hAnsi="Calibri"/>
          <w:sz w:val="24"/>
        </w:rPr>
        <w:t xml:space="preserve"> </w:t>
      </w:r>
      <w:r>
        <w:rPr>
          <w:rFonts w:ascii="Calibri" w:hAnsi="Calibri"/>
          <w:sz w:val="24"/>
        </w:rPr>
        <w:t>are</w:t>
      </w:r>
      <w:r w:rsidRPr="00BA50B0">
        <w:rPr>
          <w:rFonts w:ascii="Calibri" w:hAnsi="Calibri"/>
          <w:sz w:val="24"/>
        </w:rPr>
        <w:t xml:space="preserve"> Class 4 gambling </w:t>
      </w:r>
      <w:r w:rsidR="003226AA">
        <w:rPr>
          <w:rFonts w:ascii="Calibri" w:hAnsi="Calibri"/>
          <w:sz w:val="24"/>
        </w:rPr>
        <w:t>societies</w:t>
      </w:r>
      <w:r w:rsidRPr="00BA50B0">
        <w:rPr>
          <w:rFonts w:ascii="Calibri" w:hAnsi="Calibri"/>
          <w:sz w:val="24"/>
        </w:rPr>
        <w:t xml:space="preserve"> (those that operate electronic gaming machines in pubs and clubs), casino</w:t>
      </w:r>
      <w:r w:rsidR="003226AA">
        <w:rPr>
          <w:rFonts w:ascii="Calibri" w:hAnsi="Calibri"/>
          <w:sz w:val="24"/>
        </w:rPr>
        <w:t>s</w:t>
      </w:r>
      <w:r>
        <w:rPr>
          <w:rFonts w:ascii="Calibri" w:hAnsi="Calibri"/>
          <w:sz w:val="24"/>
        </w:rPr>
        <w:t>,</w:t>
      </w:r>
      <w:r w:rsidRPr="00BA50B0">
        <w:rPr>
          <w:rFonts w:ascii="Calibri" w:hAnsi="Calibri"/>
          <w:sz w:val="24"/>
        </w:rPr>
        <w:t xml:space="preserve"> and organisations that conduct Class 3 gambling </w:t>
      </w:r>
      <w:r>
        <w:rPr>
          <w:rFonts w:ascii="Calibri" w:hAnsi="Calibri"/>
          <w:sz w:val="24"/>
        </w:rPr>
        <w:t>(where prizes exceed $5000).</w:t>
      </w:r>
    </w:p>
    <w:p w:rsidR="004339A6" w:rsidRPr="00C475B7" w:rsidRDefault="004339A6" w:rsidP="005A3016">
      <w:pPr>
        <w:pStyle w:val="NumbersLevel1"/>
        <w:numPr>
          <w:ilvl w:val="0"/>
          <w:numId w:val="20"/>
        </w:numPr>
        <w:tabs>
          <w:tab w:val="num" w:pos="709"/>
        </w:tabs>
        <w:ind w:left="709" w:hanging="709"/>
        <w:rPr>
          <w:rFonts w:ascii="Calibri" w:eastAsia="Calibri" w:hAnsi="Calibri"/>
          <w:sz w:val="24"/>
          <w:lang w:val="en-AU"/>
        </w:rPr>
      </w:pPr>
      <w:r w:rsidRPr="00C475B7">
        <w:rPr>
          <w:rFonts w:ascii="Calibri" w:eastAsia="Calibri" w:hAnsi="Calibri"/>
          <w:sz w:val="24"/>
          <w:lang w:val="en-AU"/>
        </w:rPr>
        <w:t xml:space="preserve">Currently the costs of regulation are in excess of the revenue received and are not sufficient to support the proper, effective regulation of the gambling sector. </w:t>
      </w:r>
      <w:r w:rsidR="00CE5E94" w:rsidRPr="00C475B7">
        <w:rPr>
          <w:rFonts w:ascii="Calibri" w:eastAsia="Calibri" w:hAnsi="Calibri"/>
          <w:sz w:val="24"/>
          <w:lang w:val="en-AU"/>
        </w:rPr>
        <w:t xml:space="preserve">Moreover, effective regulation of the gambling sector </w:t>
      </w:r>
      <w:r w:rsidR="00C60C42">
        <w:rPr>
          <w:rFonts w:ascii="Calibri" w:eastAsia="Calibri" w:hAnsi="Calibri"/>
          <w:sz w:val="24"/>
          <w:lang w:val="en-AU"/>
        </w:rPr>
        <w:t xml:space="preserve">will </w:t>
      </w:r>
      <w:r w:rsidR="00CE5E94" w:rsidRPr="00C475B7">
        <w:rPr>
          <w:rFonts w:ascii="Calibri" w:eastAsia="Calibri" w:hAnsi="Calibri"/>
          <w:sz w:val="24"/>
          <w:lang w:val="en-AU"/>
        </w:rPr>
        <w:t>cost more in future than is currently recovered from the sector</w:t>
      </w:r>
      <w:r w:rsidR="00C60C42">
        <w:rPr>
          <w:rFonts w:ascii="Calibri" w:eastAsia="Calibri" w:hAnsi="Calibri"/>
          <w:sz w:val="24"/>
          <w:lang w:val="en-AU"/>
        </w:rPr>
        <w:t xml:space="preserve">. </w:t>
      </w:r>
      <w:r w:rsidRPr="00C475B7">
        <w:rPr>
          <w:rFonts w:ascii="Calibri" w:eastAsia="Calibri" w:hAnsi="Calibri"/>
          <w:sz w:val="24"/>
          <w:lang w:val="en-AU"/>
        </w:rPr>
        <w:t xml:space="preserve">The forecast deficit is not sustainable and </w:t>
      </w:r>
      <w:r w:rsidR="003A0A54">
        <w:rPr>
          <w:rFonts w:ascii="Calibri" w:eastAsia="Calibri" w:hAnsi="Calibri"/>
          <w:sz w:val="24"/>
          <w:lang w:val="en-AU"/>
        </w:rPr>
        <w:t>mean</w:t>
      </w:r>
      <w:r w:rsidR="003226AA">
        <w:rPr>
          <w:rFonts w:ascii="Calibri" w:eastAsia="Calibri" w:hAnsi="Calibri"/>
          <w:sz w:val="24"/>
          <w:lang w:val="en-AU"/>
        </w:rPr>
        <w:t>s</w:t>
      </w:r>
      <w:r w:rsidR="003A0A54">
        <w:rPr>
          <w:rFonts w:ascii="Calibri" w:eastAsia="Calibri" w:hAnsi="Calibri"/>
          <w:sz w:val="24"/>
          <w:lang w:val="en-AU"/>
        </w:rPr>
        <w:t xml:space="preserve"> </w:t>
      </w:r>
      <w:r w:rsidRPr="00C475B7">
        <w:rPr>
          <w:rFonts w:ascii="Calibri" w:eastAsia="Calibri" w:hAnsi="Calibri"/>
          <w:sz w:val="24"/>
          <w:lang w:val="en-AU"/>
        </w:rPr>
        <w:t xml:space="preserve">that the taxpayer, rather than the </w:t>
      </w:r>
      <w:r w:rsidR="003A0A54">
        <w:rPr>
          <w:rFonts w:ascii="Calibri" w:eastAsia="Calibri" w:hAnsi="Calibri"/>
          <w:sz w:val="24"/>
          <w:lang w:val="en-AU"/>
        </w:rPr>
        <w:t>industry</w:t>
      </w:r>
      <w:r w:rsidRPr="00C475B7">
        <w:rPr>
          <w:rFonts w:ascii="Calibri" w:eastAsia="Calibri" w:hAnsi="Calibri"/>
          <w:sz w:val="24"/>
          <w:lang w:val="en-AU"/>
        </w:rPr>
        <w:t>, is funding a significant</w:t>
      </w:r>
      <w:r w:rsidR="007A1D15">
        <w:rPr>
          <w:rFonts w:ascii="Calibri" w:eastAsia="Calibri" w:hAnsi="Calibri"/>
          <w:sz w:val="24"/>
          <w:lang w:val="en-AU"/>
        </w:rPr>
        <w:t xml:space="preserve"> amount of gambling regulation, which is contrary to the intent of the Act.</w:t>
      </w:r>
    </w:p>
    <w:p w:rsidR="008F1ECE" w:rsidRPr="008F1ECE" w:rsidRDefault="004339A6" w:rsidP="007B3E79">
      <w:pPr>
        <w:pStyle w:val="NumbersLevel1"/>
        <w:numPr>
          <w:ilvl w:val="0"/>
          <w:numId w:val="20"/>
        </w:numPr>
        <w:tabs>
          <w:tab w:val="num" w:pos="709"/>
        </w:tabs>
        <w:ind w:left="709" w:hanging="709"/>
        <w:rPr>
          <w:rFonts w:ascii="Calibri" w:eastAsia="Calibri" w:hAnsi="Calibri"/>
          <w:sz w:val="24"/>
          <w:lang w:val="en-AU"/>
        </w:rPr>
      </w:pPr>
      <w:r w:rsidRPr="000A2964">
        <w:rPr>
          <w:rFonts w:ascii="Calibri" w:eastAsia="Calibri" w:hAnsi="Calibri"/>
          <w:sz w:val="24"/>
          <w:lang w:val="en-AU"/>
        </w:rPr>
        <w:t>Fees have not changed since 2008. The effects of no fee adjustments since then are particularly stark for the Class 4 sector. Revenue from fees has fallen due to a greater than anticipated decline in the number of gaming machines in pubs and clubs to which t</w:t>
      </w:r>
      <w:r w:rsidRPr="000A2964">
        <w:rPr>
          <w:rFonts w:ascii="Calibri" w:eastAsia="Calibri" w:hAnsi="Calibri"/>
          <w:sz w:val="24"/>
        </w:rPr>
        <w:t xml:space="preserve">he majority of fees revenue is linked. </w:t>
      </w:r>
    </w:p>
    <w:p w:rsidR="000A2964" w:rsidRPr="008F1ECE" w:rsidRDefault="00EC4547" w:rsidP="008F1ECE">
      <w:pPr>
        <w:pStyle w:val="NumbersLevel1"/>
        <w:numPr>
          <w:ilvl w:val="0"/>
          <w:numId w:val="20"/>
        </w:numPr>
        <w:tabs>
          <w:tab w:val="num" w:pos="709"/>
        </w:tabs>
        <w:ind w:left="709" w:hanging="709"/>
        <w:rPr>
          <w:rFonts w:ascii="Calibri" w:eastAsia="Calibri" w:hAnsi="Calibri"/>
          <w:sz w:val="24"/>
          <w:lang w:val="en-AU"/>
        </w:rPr>
      </w:pPr>
      <w:r>
        <w:rPr>
          <w:rFonts w:ascii="Calibri" w:eastAsia="Calibri" w:hAnsi="Calibri"/>
          <w:sz w:val="24"/>
        </w:rPr>
        <w:t>D</w:t>
      </w:r>
      <w:r w:rsidR="004339A6" w:rsidRPr="007B3E79">
        <w:rPr>
          <w:rFonts w:ascii="Calibri" w:eastAsia="Calibri" w:hAnsi="Calibri"/>
          <w:sz w:val="24"/>
        </w:rPr>
        <w:t xml:space="preserve">eclining machine numbers have not corresponded with a decline in the demand for regulatory activity. </w:t>
      </w:r>
      <w:r w:rsidR="000A2964" w:rsidRPr="007B3E79">
        <w:rPr>
          <w:rFonts w:ascii="Calibri" w:eastAsia="Calibri" w:hAnsi="Calibri"/>
          <w:sz w:val="24"/>
        </w:rPr>
        <w:t>There is a considerable amount of work undertaken in the Class 4 sector that does not directly relate to the number of gaming machines (for example, there has been an increase in complex investigations into fraud and illegal activity</w:t>
      </w:r>
      <w:r w:rsidR="007C05A8">
        <w:rPr>
          <w:rFonts w:ascii="Calibri" w:eastAsia="Calibri" w:hAnsi="Calibri"/>
          <w:sz w:val="24"/>
        </w:rPr>
        <w:t xml:space="preserve"> with associated costs</w:t>
      </w:r>
      <w:r w:rsidR="000A2964" w:rsidRPr="007B3E79">
        <w:rPr>
          <w:rFonts w:ascii="Calibri" w:eastAsia="Calibri" w:hAnsi="Calibri"/>
          <w:sz w:val="24"/>
        </w:rPr>
        <w:t xml:space="preserve">). </w:t>
      </w:r>
      <w:r w:rsidR="003226AA">
        <w:rPr>
          <w:rFonts w:ascii="Calibri" w:eastAsia="Calibri" w:hAnsi="Calibri"/>
          <w:sz w:val="24"/>
        </w:rPr>
        <w:t>Current and f</w:t>
      </w:r>
      <w:r w:rsidR="00594975" w:rsidRPr="008F1ECE">
        <w:rPr>
          <w:rFonts w:ascii="Calibri" w:eastAsia="Calibri" w:hAnsi="Calibri"/>
          <w:sz w:val="24"/>
        </w:rPr>
        <w:t>orecast cost</w:t>
      </w:r>
      <w:r w:rsidR="003226AA">
        <w:rPr>
          <w:rFonts w:ascii="Calibri" w:eastAsia="Calibri" w:hAnsi="Calibri"/>
          <w:sz w:val="24"/>
        </w:rPr>
        <w:t xml:space="preserve"> pressures</w:t>
      </w:r>
      <w:r w:rsidR="00594975" w:rsidRPr="008F1ECE">
        <w:rPr>
          <w:rFonts w:ascii="Calibri" w:eastAsia="Calibri" w:hAnsi="Calibri"/>
          <w:sz w:val="24"/>
        </w:rPr>
        <w:t xml:space="preserve"> are driven by the </w:t>
      </w:r>
      <w:r w:rsidR="007B3E79" w:rsidRPr="008F1ECE">
        <w:rPr>
          <w:rFonts w:ascii="Calibri" w:eastAsia="Calibri" w:hAnsi="Calibri"/>
          <w:sz w:val="24"/>
        </w:rPr>
        <w:t xml:space="preserve">need to maintain </w:t>
      </w:r>
      <w:r w:rsidR="00D37AE6" w:rsidRPr="008F1ECE">
        <w:rPr>
          <w:rFonts w:ascii="Calibri" w:hAnsi="Calibri"/>
          <w:sz w:val="24"/>
        </w:rPr>
        <w:t>the Department’s levels of regulatory activity and technical capability</w:t>
      </w:r>
      <w:r w:rsidR="003226AA">
        <w:rPr>
          <w:rFonts w:ascii="Calibri" w:hAnsi="Calibri"/>
          <w:sz w:val="24"/>
        </w:rPr>
        <w:t>,</w:t>
      </w:r>
      <w:r w:rsidR="00C475B7" w:rsidRPr="008F1ECE">
        <w:rPr>
          <w:rFonts w:ascii="Calibri" w:hAnsi="Calibri"/>
          <w:sz w:val="24"/>
        </w:rPr>
        <w:t xml:space="preserve"> while continuing to cover </w:t>
      </w:r>
      <w:r w:rsidR="00D37AE6" w:rsidRPr="008F1ECE">
        <w:rPr>
          <w:rFonts w:ascii="Calibri" w:hAnsi="Calibri"/>
          <w:sz w:val="24"/>
        </w:rPr>
        <w:t xml:space="preserve">general cost pressures, corporate overheads </w:t>
      </w:r>
      <w:r w:rsidR="00EB69B3" w:rsidRPr="008F1ECE">
        <w:rPr>
          <w:rFonts w:ascii="Calibri" w:hAnsi="Calibri"/>
          <w:sz w:val="24"/>
        </w:rPr>
        <w:t>and capital charge</w:t>
      </w:r>
      <w:r w:rsidR="00BE40E0" w:rsidRPr="008F1ECE">
        <w:rPr>
          <w:rFonts w:ascii="Calibri" w:hAnsi="Calibri"/>
          <w:sz w:val="24"/>
        </w:rPr>
        <w:t>s</w:t>
      </w:r>
      <w:r w:rsidR="00EB69B3" w:rsidRPr="008F1ECE">
        <w:rPr>
          <w:rFonts w:ascii="Calibri" w:hAnsi="Calibri"/>
          <w:sz w:val="24"/>
        </w:rPr>
        <w:t>.</w:t>
      </w:r>
    </w:p>
    <w:p w:rsidR="003226AA" w:rsidRPr="00A7222B" w:rsidRDefault="003226AA" w:rsidP="003226AA">
      <w:pPr>
        <w:pStyle w:val="NumbersLevel1"/>
        <w:numPr>
          <w:ilvl w:val="0"/>
          <w:numId w:val="20"/>
        </w:numPr>
        <w:tabs>
          <w:tab w:val="num" w:pos="709"/>
        </w:tabs>
        <w:ind w:left="709" w:hanging="709"/>
        <w:rPr>
          <w:rFonts w:ascii="Calibri" w:hAnsi="Calibri"/>
          <w:sz w:val="24"/>
        </w:rPr>
      </w:pPr>
      <w:r w:rsidRPr="004E60C2">
        <w:rPr>
          <w:rFonts w:ascii="Calibri" w:eastAsia="Calibri" w:hAnsi="Calibri"/>
          <w:sz w:val="24"/>
        </w:rPr>
        <w:t xml:space="preserve">The Department’s current and projected under-recovery of costs is reflected in the growing deficit in the balance of the Department’s memorandum account that manages gambling fees. At 30 June 2014 the deficit was $9.173 million. </w:t>
      </w:r>
      <w:r w:rsidRPr="00A7222B">
        <w:rPr>
          <w:rFonts w:ascii="Calibri" w:eastAsia="Calibri" w:hAnsi="Calibri"/>
          <w:sz w:val="24"/>
        </w:rPr>
        <w:t>Without a change in fees, the</w:t>
      </w:r>
      <w:r>
        <w:rPr>
          <w:rFonts w:ascii="Calibri" w:eastAsia="Calibri" w:hAnsi="Calibri"/>
          <w:sz w:val="24"/>
        </w:rPr>
        <w:t xml:space="preserve"> gambling </w:t>
      </w:r>
      <w:r w:rsidRPr="00A7222B">
        <w:rPr>
          <w:rFonts w:ascii="Calibri" w:eastAsia="Calibri" w:hAnsi="Calibri"/>
          <w:sz w:val="24"/>
        </w:rPr>
        <w:t>memorandum account deficit is forecast to increase significantly</w:t>
      </w:r>
      <w:r>
        <w:rPr>
          <w:rFonts w:ascii="Calibri" w:eastAsia="Calibri" w:hAnsi="Calibri"/>
          <w:sz w:val="24"/>
        </w:rPr>
        <w:t>.</w:t>
      </w:r>
      <w:r w:rsidRPr="00A7222B">
        <w:rPr>
          <w:rFonts w:ascii="Calibri" w:eastAsia="Calibri" w:hAnsi="Calibri"/>
          <w:sz w:val="24"/>
        </w:rPr>
        <w:t xml:space="preserve"> </w:t>
      </w:r>
      <w:r>
        <w:rPr>
          <w:rFonts w:ascii="Calibri" w:eastAsia="Calibri" w:hAnsi="Calibri"/>
          <w:sz w:val="24"/>
        </w:rPr>
        <w:t xml:space="preserve">Forecasts indicate a deficit of $27.942 million by 2016/17. </w:t>
      </w:r>
    </w:p>
    <w:p w:rsidR="00BC78DE" w:rsidRPr="000332FF" w:rsidRDefault="00BC78DE" w:rsidP="00BC78DE">
      <w:pPr>
        <w:pStyle w:val="NumbersLevel1"/>
        <w:numPr>
          <w:ilvl w:val="0"/>
          <w:numId w:val="20"/>
        </w:numPr>
        <w:tabs>
          <w:tab w:val="num" w:pos="709"/>
        </w:tabs>
        <w:ind w:left="709" w:hanging="709"/>
        <w:rPr>
          <w:rFonts w:ascii="Calibri" w:hAnsi="Calibri"/>
          <w:sz w:val="24"/>
        </w:rPr>
      </w:pPr>
      <w:r w:rsidRPr="0074371D">
        <w:rPr>
          <w:rFonts w:ascii="Calibri" w:hAnsi="Calibri"/>
          <w:sz w:val="24"/>
        </w:rPr>
        <w:t>The Department has cont</w:t>
      </w:r>
      <w:r>
        <w:rPr>
          <w:rFonts w:ascii="Calibri" w:hAnsi="Calibri"/>
          <w:sz w:val="24"/>
        </w:rPr>
        <w:t xml:space="preserve">ained costs as far as possible. </w:t>
      </w:r>
      <w:r w:rsidRPr="0074371D">
        <w:rPr>
          <w:rFonts w:ascii="Calibri" w:hAnsi="Calibri"/>
          <w:sz w:val="24"/>
        </w:rPr>
        <w:t xml:space="preserve">Two structural reviews have been undertaken </w:t>
      </w:r>
      <w:r w:rsidR="00635241">
        <w:rPr>
          <w:rFonts w:ascii="Calibri" w:hAnsi="Calibri"/>
          <w:sz w:val="24"/>
        </w:rPr>
        <w:t>since the last review of fees</w:t>
      </w:r>
      <w:r w:rsidRPr="0074371D">
        <w:rPr>
          <w:rFonts w:ascii="Calibri" w:hAnsi="Calibri"/>
          <w:sz w:val="24"/>
        </w:rPr>
        <w:t xml:space="preserve"> to ensure regulatory activity is being undertaken in the most efficient and cost effective manner. The </w:t>
      </w:r>
      <w:r>
        <w:rPr>
          <w:rFonts w:ascii="Calibri" w:hAnsi="Calibri"/>
          <w:sz w:val="24"/>
        </w:rPr>
        <w:t xml:space="preserve">first </w:t>
      </w:r>
      <w:r w:rsidRPr="0074371D">
        <w:rPr>
          <w:rFonts w:ascii="Calibri" w:hAnsi="Calibri"/>
          <w:sz w:val="24"/>
        </w:rPr>
        <w:t xml:space="preserve">review resulted in a reduction of 20 full-time equivalent </w:t>
      </w:r>
      <w:r>
        <w:rPr>
          <w:rFonts w:ascii="Calibri" w:hAnsi="Calibri"/>
          <w:sz w:val="24"/>
        </w:rPr>
        <w:t xml:space="preserve">(FTE) </w:t>
      </w:r>
      <w:r w:rsidRPr="0074371D">
        <w:rPr>
          <w:rFonts w:ascii="Calibri" w:hAnsi="Calibri"/>
          <w:sz w:val="24"/>
        </w:rPr>
        <w:t>staff.</w:t>
      </w:r>
      <w:r>
        <w:rPr>
          <w:rFonts w:ascii="Calibri" w:hAnsi="Calibri"/>
          <w:sz w:val="24"/>
        </w:rPr>
        <w:t xml:space="preserve"> The Department is unable to make meaningful savings through further staff reductions without compromising the compliance and enforcement activities required by the Act.</w:t>
      </w:r>
    </w:p>
    <w:p w:rsidR="004339A6" w:rsidRPr="009F1AA7" w:rsidRDefault="004339A6" w:rsidP="005A3016">
      <w:pPr>
        <w:pStyle w:val="NumbersLevel1"/>
        <w:numPr>
          <w:ilvl w:val="0"/>
          <w:numId w:val="20"/>
        </w:numPr>
        <w:tabs>
          <w:tab w:val="num" w:pos="709"/>
        </w:tabs>
        <w:ind w:left="709" w:hanging="709"/>
        <w:rPr>
          <w:rFonts w:ascii="Calibri" w:hAnsi="Calibri"/>
          <w:sz w:val="24"/>
        </w:rPr>
      </w:pPr>
      <w:r w:rsidRPr="009F1AA7">
        <w:rPr>
          <w:rFonts w:ascii="Calibri" w:eastAsia="Calibri" w:hAnsi="Calibri"/>
          <w:sz w:val="24"/>
        </w:rPr>
        <w:t>The Department is proposing to set new fees to: address the gap between fee r</w:t>
      </w:r>
      <w:r w:rsidR="003226AA">
        <w:rPr>
          <w:rFonts w:ascii="Calibri" w:eastAsia="Calibri" w:hAnsi="Calibri"/>
          <w:sz w:val="24"/>
        </w:rPr>
        <w:t xml:space="preserve">evenue and regulatory costs; </w:t>
      </w:r>
      <w:r w:rsidR="00A50761">
        <w:rPr>
          <w:rFonts w:ascii="Calibri" w:eastAsia="Calibri" w:hAnsi="Calibri"/>
          <w:sz w:val="24"/>
        </w:rPr>
        <w:t>reduce</w:t>
      </w:r>
      <w:r w:rsidR="00A526FC" w:rsidRPr="009F1AA7">
        <w:rPr>
          <w:rFonts w:ascii="Calibri" w:eastAsia="Calibri" w:hAnsi="Calibri"/>
          <w:sz w:val="24"/>
        </w:rPr>
        <w:t xml:space="preserve"> the</w:t>
      </w:r>
      <w:r w:rsidRPr="009F1AA7">
        <w:rPr>
          <w:rFonts w:ascii="Calibri" w:eastAsia="Calibri" w:hAnsi="Calibri"/>
          <w:sz w:val="24"/>
        </w:rPr>
        <w:t xml:space="preserve"> memorandum account </w:t>
      </w:r>
      <w:r w:rsidR="00A50761">
        <w:rPr>
          <w:rFonts w:ascii="Calibri" w:eastAsia="Calibri" w:hAnsi="Calibri"/>
          <w:sz w:val="24"/>
        </w:rPr>
        <w:t>deficit</w:t>
      </w:r>
      <w:r w:rsidR="0032129C">
        <w:rPr>
          <w:rFonts w:ascii="Calibri" w:eastAsia="Calibri" w:hAnsi="Calibri"/>
          <w:sz w:val="24"/>
        </w:rPr>
        <w:t xml:space="preserve">; and </w:t>
      </w:r>
      <w:r w:rsidRPr="009F1AA7">
        <w:rPr>
          <w:rFonts w:ascii="Calibri" w:eastAsia="Calibri" w:hAnsi="Calibri"/>
          <w:sz w:val="24"/>
        </w:rPr>
        <w:t xml:space="preserve">place the burden of costs on those that give rise to them. While some fees would increase, others would decrease or stay the same. The </w:t>
      </w:r>
      <w:r w:rsidR="009F1AA7">
        <w:rPr>
          <w:rFonts w:ascii="Calibri" w:eastAsia="Calibri" w:hAnsi="Calibri"/>
          <w:sz w:val="24"/>
        </w:rPr>
        <w:t xml:space="preserve">proposed </w:t>
      </w:r>
      <w:r w:rsidRPr="009F1AA7">
        <w:rPr>
          <w:rFonts w:ascii="Calibri" w:eastAsia="Calibri" w:hAnsi="Calibri"/>
          <w:sz w:val="24"/>
        </w:rPr>
        <w:t>new schedule of fees represents the minimum</w:t>
      </w:r>
      <w:r w:rsidR="007B75F3">
        <w:rPr>
          <w:rFonts w:ascii="Calibri" w:eastAsia="Calibri" w:hAnsi="Calibri"/>
          <w:sz w:val="24"/>
        </w:rPr>
        <w:t xml:space="preserve"> revenue increase required to </w:t>
      </w:r>
      <w:r w:rsidRPr="009F1AA7">
        <w:rPr>
          <w:rFonts w:ascii="Calibri" w:eastAsia="Calibri" w:hAnsi="Calibri"/>
          <w:sz w:val="24"/>
        </w:rPr>
        <w:t xml:space="preserve">cover the increased costs of regulation from the gambling sector (particularly the Class 4 sector) and </w:t>
      </w:r>
      <w:r w:rsidR="00A50761">
        <w:rPr>
          <w:rFonts w:ascii="Calibri" w:eastAsia="Calibri" w:hAnsi="Calibri"/>
          <w:sz w:val="24"/>
        </w:rPr>
        <w:t xml:space="preserve">reduce </w:t>
      </w:r>
      <w:r w:rsidR="0012369A" w:rsidRPr="009F1AA7">
        <w:rPr>
          <w:rFonts w:ascii="Calibri" w:eastAsia="Calibri" w:hAnsi="Calibri"/>
          <w:sz w:val="24"/>
        </w:rPr>
        <w:t xml:space="preserve">the memorandum account </w:t>
      </w:r>
      <w:r w:rsidR="00A50761">
        <w:rPr>
          <w:rFonts w:ascii="Calibri" w:eastAsia="Calibri" w:hAnsi="Calibri"/>
          <w:sz w:val="24"/>
        </w:rPr>
        <w:t xml:space="preserve">deficit </w:t>
      </w:r>
      <w:r w:rsidR="007B75F3">
        <w:rPr>
          <w:rFonts w:ascii="Calibri" w:eastAsia="Calibri" w:hAnsi="Calibri"/>
          <w:sz w:val="24"/>
        </w:rPr>
        <w:t xml:space="preserve">significantly </w:t>
      </w:r>
      <w:r w:rsidR="0012369A" w:rsidRPr="009F1AA7">
        <w:rPr>
          <w:rFonts w:ascii="Calibri" w:eastAsia="Calibri" w:hAnsi="Calibri"/>
          <w:sz w:val="24"/>
        </w:rPr>
        <w:t>over time</w:t>
      </w:r>
      <w:r w:rsidRPr="009F1AA7">
        <w:rPr>
          <w:rFonts w:ascii="Calibri" w:eastAsia="Calibri" w:hAnsi="Calibri"/>
          <w:sz w:val="24"/>
        </w:rPr>
        <w:t xml:space="preserve">.  </w:t>
      </w:r>
    </w:p>
    <w:p w:rsidR="004339A6" w:rsidRPr="002766CB" w:rsidRDefault="004339A6" w:rsidP="005A3016">
      <w:pPr>
        <w:pStyle w:val="NumbersLevel1"/>
        <w:numPr>
          <w:ilvl w:val="0"/>
          <w:numId w:val="20"/>
        </w:numPr>
        <w:tabs>
          <w:tab w:val="num" w:pos="709"/>
        </w:tabs>
        <w:ind w:left="709" w:hanging="709"/>
        <w:rPr>
          <w:rFonts w:ascii="Calibri" w:eastAsia="Calibri" w:hAnsi="Calibri"/>
          <w:sz w:val="24"/>
        </w:rPr>
      </w:pPr>
      <w:r w:rsidRPr="00E11D83">
        <w:rPr>
          <w:rFonts w:ascii="Calibri" w:eastAsia="Calibri" w:hAnsi="Calibri"/>
          <w:sz w:val="24"/>
        </w:rPr>
        <w:lastRenderedPageBreak/>
        <w:t>The proposed new fees mainly impact on the Class 4 sector</w:t>
      </w:r>
      <w:r>
        <w:rPr>
          <w:rFonts w:ascii="Calibri" w:eastAsia="Calibri" w:hAnsi="Calibri"/>
          <w:sz w:val="24"/>
        </w:rPr>
        <w:t xml:space="preserve"> where fees are proposed to increase overall by 53.62 per cent. </w:t>
      </w:r>
      <w:r w:rsidRPr="00E11D83">
        <w:rPr>
          <w:rFonts w:ascii="Calibri" w:eastAsia="Calibri" w:hAnsi="Calibri"/>
          <w:sz w:val="24"/>
        </w:rPr>
        <w:t xml:space="preserve">Lower </w:t>
      </w:r>
      <w:r>
        <w:rPr>
          <w:rFonts w:ascii="Calibri" w:eastAsia="Calibri" w:hAnsi="Calibri"/>
          <w:sz w:val="24"/>
        </w:rPr>
        <w:t xml:space="preserve">annual compliance </w:t>
      </w:r>
      <w:r w:rsidRPr="00E11D83">
        <w:rPr>
          <w:rFonts w:ascii="Calibri" w:eastAsia="Calibri" w:hAnsi="Calibri"/>
          <w:sz w:val="24"/>
        </w:rPr>
        <w:t>fees are proposed for small club societies</w:t>
      </w:r>
      <w:r>
        <w:rPr>
          <w:rFonts w:ascii="Calibri" w:eastAsia="Calibri" w:hAnsi="Calibri"/>
          <w:sz w:val="24"/>
        </w:rPr>
        <w:t xml:space="preserve"> </w:t>
      </w:r>
      <w:r w:rsidRPr="00E11D83">
        <w:rPr>
          <w:rFonts w:ascii="Calibri" w:eastAsia="Calibri" w:hAnsi="Calibri"/>
          <w:sz w:val="24"/>
        </w:rPr>
        <w:t xml:space="preserve">to reflect their lower compliance costs to the Department. </w:t>
      </w:r>
      <w:r w:rsidRPr="002766CB">
        <w:rPr>
          <w:rFonts w:ascii="Calibri" w:eastAsia="Calibri" w:hAnsi="Calibri"/>
          <w:sz w:val="24"/>
        </w:rPr>
        <w:t>Class 4 fees currently account for approximately 2.06 per cent of societies’ GST-exclusive gross gaming machine proceeds. With the proposed fees this is forecast to increase to 3.16 per cent of societies’ GST-exclusive gross proceeds in 2015/16.</w:t>
      </w:r>
      <w:r w:rsidR="006A33F9">
        <w:rPr>
          <w:rFonts w:ascii="Calibri" w:eastAsia="Calibri" w:hAnsi="Calibri"/>
          <w:sz w:val="24"/>
        </w:rPr>
        <w:t xml:space="preserve"> </w:t>
      </w:r>
    </w:p>
    <w:p w:rsidR="004339A6" w:rsidRPr="002766CB" w:rsidRDefault="004339A6" w:rsidP="005A3016">
      <w:pPr>
        <w:pStyle w:val="NumbersLevel1"/>
        <w:numPr>
          <w:ilvl w:val="0"/>
          <w:numId w:val="20"/>
        </w:numPr>
        <w:tabs>
          <w:tab w:val="num" w:pos="709"/>
        </w:tabs>
        <w:ind w:left="709" w:hanging="709"/>
        <w:rPr>
          <w:rFonts w:ascii="Calibri" w:eastAsia="Calibri" w:hAnsi="Calibri"/>
          <w:sz w:val="24"/>
        </w:rPr>
      </w:pPr>
      <w:r w:rsidRPr="002766CB">
        <w:rPr>
          <w:rFonts w:ascii="Calibri" w:eastAsia="Calibri" w:hAnsi="Calibri"/>
          <w:sz w:val="24"/>
        </w:rPr>
        <w:t xml:space="preserve">The Department considers that the proposed fee increases fairly cover Class 4 regulatory costs and strike a reasonable balance in </w:t>
      </w:r>
      <w:r w:rsidR="00216C8E">
        <w:rPr>
          <w:rFonts w:ascii="Calibri" w:eastAsia="Calibri" w:hAnsi="Calibri"/>
          <w:sz w:val="24"/>
        </w:rPr>
        <w:t xml:space="preserve">reducing </w:t>
      </w:r>
      <w:r w:rsidRPr="002766CB">
        <w:rPr>
          <w:rFonts w:ascii="Calibri" w:eastAsia="Calibri" w:hAnsi="Calibri"/>
          <w:sz w:val="24"/>
        </w:rPr>
        <w:t>t</w:t>
      </w:r>
      <w:r w:rsidR="00216C8E">
        <w:rPr>
          <w:rFonts w:ascii="Calibri" w:eastAsia="Calibri" w:hAnsi="Calibri"/>
          <w:sz w:val="24"/>
        </w:rPr>
        <w:t>he</w:t>
      </w:r>
      <w:r w:rsidRPr="002766CB">
        <w:rPr>
          <w:rFonts w:ascii="Calibri" w:eastAsia="Calibri" w:hAnsi="Calibri"/>
          <w:sz w:val="24"/>
        </w:rPr>
        <w:t xml:space="preserve"> memorandum account deficit.</w:t>
      </w:r>
      <w:r w:rsidRPr="005F21FA">
        <w:rPr>
          <w:rFonts w:ascii="Calibri" w:eastAsia="Calibri" w:hAnsi="Calibri"/>
          <w:sz w:val="24"/>
        </w:rPr>
        <w:t xml:space="preserve"> </w:t>
      </w:r>
      <w:r w:rsidRPr="002766CB">
        <w:rPr>
          <w:rFonts w:ascii="Calibri" w:eastAsia="Calibri" w:hAnsi="Calibri"/>
          <w:sz w:val="24"/>
        </w:rPr>
        <w:t>Fee</w:t>
      </w:r>
      <w:r>
        <w:rPr>
          <w:rFonts w:ascii="Calibri" w:eastAsia="Calibri" w:hAnsi="Calibri"/>
          <w:sz w:val="24"/>
        </w:rPr>
        <w:t xml:space="preserve"> levels</w:t>
      </w:r>
      <w:r w:rsidRPr="002766CB">
        <w:rPr>
          <w:rFonts w:ascii="Calibri" w:eastAsia="Calibri" w:hAnsi="Calibri"/>
          <w:sz w:val="24"/>
        </w:rPr>
        <w:t xml:space="preserve"> have not changed since 2008 and the Class 4 sector has been effectively experiencing a reduction in fees </w:t>
      </w:r>
      <w:r>
        <w:rPr>
          <w:rFonts w:ascii="Calibri" w:eastAsia="Calibri" w:hAnsi="Calibri"/>
          <w:sz w:val="24"/>
        </w:rPr>
        <w:t xml:space="preserve">payments </w:t>
      </w:r>
      <w:r w:rsidR="00216C8E">
        <w:rPr>
          <w:rFonts w:ascii="Calibri" w:eastAsia="Calibri" w:hAnsi="Calibri"/>
          <w:sz w:val="24"/>
        </w:rPr>
        <w:t>since then</w:t>
      </w:r>
      <w:r w:rsidRPr="002766CB">
        <w:rPr>
          <w:rFonts w:ascii="Calibri" w:eastAsia="Calibri" w:hAnsi="Calibri"/>
          <w:sz w:val="24"/>
        </w:rPr>
        <w:t xml:space="preserve"> as the number of gaming machines ha</w:t>
      </w:r>
      <w:r w:rsidR="00F072ED">
        <w:rPr>
          <w:rFonts w:ascii="Calibri" w:eastAsia="Calibri" w:hAnsi="Calibri"/>
          <w:sz w:val="24"/>
        </w:rPr>
        <w:t>s</w:t>
      </w:r>
      <w:r w:rsidRPr="002766CB">
        <w:rPr>
          <w:rFonts w:ascii="Calibri" w:eastAsia="Calibri" w:hAnsi="Calibri"/>
          <w:sz w:val="24"/>
        </w:rPr>
        <w:t xml:space="preserve"> declined. </w:t>
      </w:r>
    </w:p>
    <w:p w:rsidR="004339A6" w:rsidRPr="009974EE" w:rsidRDefault="000276BB" w:rsidP="005A3016">
      <w:pPr>
        <w:pStyle w:val="NumbersLevel1"/>
        <w:numPr>
          <w:ilvl w:val="0"/>
          <w:numId w:val="20"/>
        </w:numPr>
        <w:tabs>
          <w:tab w:val="num" w:pos="709"/>
        </w:tabs>
        <w:ind w:left="709" w:hanging="709"/>
        <w:rPr>
          <w:rFonts w:ascii="Calibri" w:hAnsi="Calibri"/>
          <w:sz w:val="24"/>
        </w:rPr>
      </w:pPr>
      <w:r>
        <w:rPr>
          <w:rFonts w:ascii="Calibri" w:eastAsia="Calibri" w:hAnsi="Calibri"/>
          <w:sz w:val="24"/>
        </w:rPr>
        <w:t>Overall revenue from c</w:t>
      </w:r>
      <w:r w:rsidR="004339A6" w:rsidRPr="00E11D83">
        <w:rPr>
          <w:rFonts w:ascii="Calibri" w:eastAsia="Calibri" w:hAnsi="Calibri"/>
          <w:sz w:val="24"/>
        </w:rPr>
        <w:t xml:space="preserve">asino </w:t>
      </w:r>
      <w:r w:rsidR="0029040A">
        <w:rPr>
          <w:rFonts w:ascii="Calibri" w:eastAsia="Calibri" w:hAnsi="Calibri"/>
          <w:sz w:val="24"/>
        </w:rPr>
        <w:t xml:space="preserve">licence </w:t>
      </w:r>
      <w:r w:rsidR="004339A6" w:rsidRPr="00E11D83">
        <w:rPr>
          <w:rFonts w:ascii="Calibri" w:eastAsia="Calibri" w:hAnsi="Calibri"/>
          <w:sz w:val="24"/>
        </w:rPr>
        <w:t xml:space="preserve">fees </w:t>
      </w:r>
      <w:r>
        <w:rPr>
          <w:rFonts w:ascii="Calibri" w:eastAsia="Calibri" w:hAnsi="Calibri"/>
          <w:sz w:val="24"/>
        </w:rPr>
        <w:t>is</w:t>
      </w:r>
      <w:r w:rsidR="004339A6" w:rsidRPr="00E11D83">
        <w:rPr>
          <w:rFonts w:ascii="Calibri" w:eastAsia="Calibri" w:hAnsi="Calibri"/>
          <w:sz w:val="24"/>
        </w:rPr>
        <w:t xml:space="preserve"> not proposed to change</w:t>
      </w:r>
      <w:r>
        <w:rPr>
          <w:rFonts w:ascii="Calibri" w:eastAsia="Calibri" w:hAnsi="Calibri"/>
          <w:sz w:val="24"/>
        </w:rPr>
        <w:t>,</w:t>
      </w:r>
      <w:r w:rsidR="004339A6" w:rsidRPr="00E11D83">
        <w:rPr>
          <w:rFonts w:ascii="Calibri" w:eastAsia="Calibri" w:hAnsi="Calibri"/>
          <w:sz w:val="24"/>
        </w:rPr>
        <w:t xml:space="preserve"> but </w:t>
      </w:r>
      <w:r w:rsidR="004339A6">
        <w:rPr>
          <w:rFonts w:ascii="Calibri" w:eastAsia="Calibri" w:hAnsi="Calibri"/>
          <w:sz w:val="24"/>
        </w:rPr>
        <w:t xml:space="preserve">it is proposed that some casinos </w:t>
      </w:r>
      <w:r w:rsidR="004339A6" w:rsidRPr="00E11D83">
        <w:rPr>
          <w:rFonts w:ascii="Calibri" w:eastAsia="Calibri" w:hAnsi="Calibri"/>
          <w:sz w:val="24"/>
        </w:rPr>
        <w:t>pay more or less than they currently pay</w:t>
      </w:r>
      <w:r w:rsidR="00B6518D">
        <w:rPr>
          <w:rFonts w:ascii="Calibri" w:eastAsia="Calibri" w:hAnsi="Calibri"/>
          <w:sz w:val="24"/>
        </w:rPr>
        <w:t>,</w:t>
      </w:r>
      <w:r w:rsidR="004339A6" w:rsidRPr="00E11D83">
        <w:rPr>
          <w:rFonts w:ascii="Calibri" w:eastAsia="Calibri" w:hAnsi="Calibri"/>
          <w:sz w:val="24"/>
        </w:rPr>
        <w:t xml:space="preserve"> based on their relative size and the estimated costs incurred by the Department in regulating each casino. </w:t>
      </w:r>
    </w:p>
    <w:p w:rsidR="004339A6" w:rsidRDefault="004339A6" w:rsidP="005A3016">
      <w:pPr>
        <w:pStyle w:val="NumbersLevel1"/>
        <w:numPr>
          <w:ilvl w:val="0"/>
          <w:numId w:val="20"/>
        </w:numPr>
        <w:tabs>
          <w:tab w:val="num" w:pos="709"/>
        </w:tabs>
        <w:ind w:left="709" w:hanging="709"/>
        <w:rPr>
          <w:rFonts w:ascii="Calibri" w:hAnsi="Calibri"/>
          <w:sz w:val="24"/>
        </w:rPr>
      </w:pPr>
      <w:r w:rsidRPr="001362FC">
        <w:rPr>
          <w:rFonts w:ascii="Calibri" w:hAnsi="Calibri"/>
          <w:sz w:val="24"/>
        </w:rPr>
        <w:t xml:space="preserve">Amendments to Class 3 licences will no longer be charged due to low volumes and the potential for licence amendment fees to create a barrier to compliance.    </w:t>
      </w:r>
    </w:p>
    <w:p w:rsidR="002C6AB2" w:rsidRPr="002C6AB2" w:rsidRDefault="004339A6" w:rsidP="005A3016">
      <w:pPr>
        <w:pStyle w:val="NumbersLevel1"/>
        <w:numPr>
          <w:ilvl w:val="0"/>
          <w:numId w:val="20"/>
        </w:numPr>
        <w:tabs>
          <w:tab w:val="num" w:pos="709"/>
        </w:tabs>
        <w:ind w:left="709" w:hanging="709"/>
      </w:pPr>
      <w:r w:rsidRPr="002C6AB2">
        <w:rPr>
          <w:rFonts w:ascii="Calibri" w:eastAsia="Calibri" w:hAnsi="Calibri"/>
          <w:sz w:val="24"/>
          <w:lang w:val="en-AU"/>
        </w:rPr>
        <w:t>The main benefit of the proposed changes to fees is that they will ensure the continued operation of the compliance and enforcement activities that the Department undertakes. These activities are important for the general public</w:t>
      </w:r>
      <w:r w:rsidR="00AD5185" w:rsidRPr="002C6AB2">
        <w:rPr>
          <w:rFonts w:ascii="Calibri" w:eastAsia="Calibri" w:hAnsi="Calibri"/>
          <w:sz w:val="24"/>
          <w:lang w:val="en-AU"/>
        </w:rPr>
        <w:t xml:space="preserve">, so it can be assured that current levels of regulatory oversight are maintained. </w:t>
      </w:r>
    </w:p>
    <w:p w:rsidR="006871D3" w:rsidRDefault="004339A6" w:rsidP="005A3016">
      <w:pPr>
        <w:pStyle w:val="NumbersLevel1"/>
        <w:numPr>
          <w:ilvl w:val="0"/>
          <w:numId w:val="20"/>
        </w:numPr>
        <w:tabs>
          <w:tab w:val="num" w:pos="709"/>
        </w:tabs>
        <w:ind w:left="709" w:hanging="709"/>
      </w:pPr>
      <w:r w:rsidRPr="002C6AB2">
        <w:rPr>
          <w:rFonts w:ascii="Calibri" w:eastAsia="Calibri" w:hAnsi="Calibri"/>
          <w:sz w:val="24"/>
          <w:lang w:val="en-AU"/>
        </w:rPr>
        <w:t xml:space="preserve">Your views on the proposed changes to fees and alternative options are sought by </w:t>
      </w:r>
      <w:r w:rsidR="003A2183" w:rsidRPr="002C6AB2">
        <w:rPr>
          <w:rFonts w:ascii="Calibri" w:eastAsia="Calibri" w:hAnsi="Calibri"/>
          <w:sz w:val="24"/>
          <w:lang w:val="en-AU"/>
        </w:rPr>
        <w:br/>
      </w:r>
      <w:r w:rsidR="00B222E6">
        <w:rPr>
          <w:rFonts w:ascii="Calibri" w:eastAsia="Calibri" w:hAnsi="Calibri"/>
          <w:sz w:val="24"/>
          <w:lang w:val="en-AU"/>
        </w:rPr>
        <w:t>13</w:t>
      </w:r>
      <w:r w:rsidR="00CE0B70">
        <w:rPr>
          <w:rFonts w:ascii="Calibri" w:eastAsia="Calibri" w:hAnsi="Calibri"/>
          <w:sz w:val="24"/>
          <w:lang w:val="en-AU"/>
        </w:rPr>
        <w:t xml:space="preserve"> </w:t>
      </w:r>
      <w:r w:rsidR="00B222E6">
        <w:rPr>
          <w:rFonts w:ascii="Calibri" w:eastAsia="Calibri" w:hAnsi="Calibri"/>
          <w:sz w:val="24"/>
          <w:lang w:val="en-AU"/>
        </w:rPr>
        <w:t>April</w:t>
      </w:r>
      <w:r w:rsidR="002E40A7" w:rsidRPr="002C6AB2">
        <w:rPr>
          <w:rFonts w:ascii="Calibri" w:eastAsia="Calibri" w:hAnsi="Calibri"/>
          <w:sz w:val="24"/>
          <w:lang w:val="en-AU"/>
        </w:rPr>
        <w:t xml:space="preserve"> 2015.</w:t>
      </w:r>
      <w:r w:rsidRPr="002C6AB2">
        <w:rPr>
          <w:rFonts w:eastAsia="Calibri"/>
        </w:rPr>
        <w:br w:type="page"/>
      </w:r>
    </w:p>
    <w:p w:rsidR="005D3404" w:rsidRDefault="004339A6" w:rsidP="005D3404">
      <w:pPr>
        <w:pStyle w:val="Heading1"/>
      </w:pPr>
      <w:bookmarkStart w:id="6" w:name="_Toc410217718"/>
      <w:r>
        <w:lastRenderedPageBreak/>
        <w:t>I</w:t>
      </w:r>
      <w:r w:rsidR="005D3404">
        <w:t>ntroduction</w:t>
      </w:r>
      <w:bookmarkEnd w:id="6"/>
    </w:p>
    <w:p w:rsidR="004339A6" w:rsidRPr="00BA50B0" w:rsidRDefault="004339A6"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The Department of Internal Affairs (the Department) is seeking your views on </w:t>
      </w:r>
      <w:r>
        <w:rPr>
          <w:rFonts w:ascii="Calibri" w:hAnsi="Calibri"/>
          <w:sz w:val="24"/>
        </w:rPr>
        <w:t>proposed changes to gambling fees under the Gambling Act 2003 (the Act).</w:t>
      </w:r>
    </w:p>
    <w:p w:rsidR="004339A6" w:rsidRPr="00BA50B0" w:rsidRDefault="004339A6"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The purpose of the Act is to:</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control the growth of gambling;</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prevent and minimise the harm caused by gambling, including problem gambling;</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authorise some gambling and prohibit the rest;</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facilitate responsible gambling;</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ensure the integrity and fairness of games;</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limit opportunities for crime or dishonesty associated with gambling;</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ensure that money from gambling benefits the community; and</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facilitate community involvement in decisions about the provision of gambling.</w:t>
      </w:r>
    </w:p>
    <w:p w:rsidR="004339A6" w:rsidRPr="00426F43" w:rsidRDefault="004339A6" w:rsidP="00426F43">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In order to achieve these purposes, the Department undertakes gambling licensing, compliance and enforcement functions. These </w:t>
      </w:r>
      <w:r w:rsidR="00426F43">
        <w:rPr>
          <w:rFonts w:ascii="Calibri" w:hAnsi="Calibri"/>
          <w:sz w:val="24"/>
        </w:rPr>
        <w:t xml:space="preserve">functions </w:t>
      </w:r>
      <w:r w:rsidRPr="00BA50B0">
        <w:rPr>
          <w:rFonts w:ascii="Calibri" w:hAnsi="Calibri"/>
          <w:sz w:val="24"/>
        </w:rPr>
        <w:t>are funded through fees paid by gambling operators.</w:t>
      </w:r>
      <w:r w:rsidR="00426F43" w:rsidRPr="00426F43">
        <w:rPr>
          <w:rFonts w:ascii="Calibri" w:hAnsi="Calibri"/>
          <w:sz w:val="24"/>
        </w:rPr>
        <w:t xml:space="preserve"> </w:t>
      </w:r>
      <w:r w:rsidR="00426F43" w:rsidRPr="00BA50B0">
        <w:rPr>
          <w:rFonts w:ascii="Calibri" w:hAnsi="Calibri"/>
          <w:sz w:val="24"/>
        </w:rPr>
        <w:t>The</w:t>
      </w:r>
      <w:r w:rsidR="00426F43">
        <w:rPr>
          <w:rFonts w:ascii="Calibri" w:hAnsi="Calibri"/>
          <w:sz w:val="24"/>
        </w:rPr>
        <w:t xml:space="preserve"> operators</w:t>
      </w:r>
      <w:r w:rsidR="00426F43" w:rsidRPr="00BA50B0">
        <w:rPr>
          <w:rFonts w:ascii="Calibri" w:hAnsi="Calibri"/>
          <w:sz w:val="24"/>
        </w:rPr>
        <w:t xml:space="preserve"> include Class 4 gambling </w:t>
      </w:r>
      <w:r w:rsidR="00426F43">
        <w:rPr>
          <w:rFonts w:ascii="Calibri" w:hAnsi="Calibri"/>
          <w:sz w:val="24"/>
        </w:rPr>
        <w:t>societies</w:t>
      </w:r>
      <w:r w:rsidR="00426F43" w:rsidRPr="00BA50B0">
        <w:rPr>
          <w:rFonts w:ascii="Calibri" w:hAnsi="Calibri"/>
          <w:sz w:val="24"/>
        </w:rPr>
        <w:t xml:space="preserve"> (those that operate electronic gaming machines in pubs and clubs), casino</w:t>
      </w:r>
      <w:r w:rsidR="00426F43">
        <w:rPr>
          <w:rFonts w:ascii="Calibri" w:hAnsi="Calibri"/>
          <w:sz w:val="24"/>
        </w:rPr>
        <w:t>s,</w:t>
      </w:r>
      <w:r w:rsidR="00426F43" w:rsidRPr="00BA50B0">
        <w:rPr>
          <w:rFonts w:ascii="Calibri" w:hAnsi="Calibri"/>
          <w:sz w:val="24"/>
        </w:rPr>
        <w:t xml:space="preserve"> and organisations that conduct Class 3 gambling</w:t>
      </w:r>
      <w:r w:rsidR="00426F43">
        <w:rPr>
          <w:rFonts w:ascii="Calibri" w:hAnsi="Calibri"/>
          <w:sz w:val="24"/>
        </w:rPr>
        <w:t>.</w:t>
      </w:r>
      <w:r w:rsidR="00426F43" w:rsidRPr="00BA50B0">
        <w:rPr>
          <w:rStyle w:val="FootnoteReference"/>
        </w:rPr>
        <w:footnoteReference w:id="2"/>
      </w:r>
      <w:r w:rsidR="00426F43" w:rsidRPr="00BA50B0">
        <w:rPr>
          <w:rFonts w:ascii="Calibri" w:hAnsi="Calibri"/>
          <w:sz w:val="24"/>
        </w:rPr>
        <w:t xml:space="preserve"> </w:t>
      </w:r>
    </w:p>
    <w:p w:rsidR="004339A6" w:rsidRPr="00BA50B0" w:rsidRDefault="004339A6"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Section 370 of the Act provides that regulations may be made prescribing fees or charges payable to enable the recovery of the direct or indirect costs of the Department, the Gambling Commission or the Police in:</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publicising and informing people about the Act;</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administering the Act;</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 xml:space="preserve">enforcing and monitoring compliance with the Act; and </w:t>
      </w:r>
    </w:p>
    <w:p w:rsidR="004339A6" w:rsidRPr="00BA50B0" w:rsidRDefault="004339A6"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 xml:space="preserve">doing anything else authorised or required by the Act. </w:t>
      </w:r>
    </w:p>
    <w:p w:rsidR="00C50DCD" w:rsidRDefault="004339A6" w:rsidP="008008D9">
      <w:pPr>
        <w:pStyle w:val="NumbersLevel1"/>
        <w:numPr>
          <w:ilvl w:val="0"/>
          <w:numId w:val="20"/>
        </w:numPr>
        <w:tabs>
          <w:tab w:val="num" w:pos="709"/>
        </w:tabs>
        <w:ind w:left="709" w:hanging="709"/>
        <w:rPr>
          <w:rFonts w:ascii="Calibri" w:hAnsi="Calibri"/>
          <w:sz w:val="24"/>
        </w:rPr>
      </w:pPr>
      <w:r w:rsidRPr="00CA4309">
        <w:rPr>
          <w:rFonts w:ascii="Calibri" w:hAnsi="Calibri"/>
          <w:sz w:val="24"/>
        </w:rPr>
        <w:t>The current fees under the Gambling (Fees) Regulations 2007 ha</w:t>
      </w:r>
      <w:r w:rsidR="0054048E" w:rsidRPr="00CA4309">
        <w:rPr>
          <w:rFonts w:ascii="Calibri" w:hAnsi="Calibri"/>
          <w:sz w:val="24"/>
        </w:rPr>
        <w:t xml:space="preserve">ve not changed since </w:t>
      </w:r>
      <w:r w:rsidR="000332FF">
        <w:rPr>
          <w:rFonts w:ascii="Calibri" w:hAnsi="Calibri"/>
          <w:sz w:val="24"/>
        </w:rPr>
        <w:t xml:space="preserve">February </w:t>
      </w:r>
      <w:r w:rsidR="0054048E" w:rsidRPr="00CA4309">
        <w:rPr>
          <w:rFonts w:ascii="Calibri" w:hAnsi="Calibri"/>
          <w:sz w:val="24"/>
        </w:rPr>
        <w:t>2008</w:t>
      </w:r>
      <w:r w:rsidR="000332FF">
        <w:rPr>
          <w:rFonts w:ascii="Calibri" w:hAnsi="Calibri"/>
          <w:sz w:val="24"/>
        </w:rPr>
        <w:t>.</w:t>
      </w:r>
      <w:r w:rsidR="0054048E" w:rsidRPr="00CA4309">
        <w:rPr>
          <w:rFonts w:ascii="Calibri" w:hAnsi="Calibri"/>
          <w:sz w:val="24"/>
        </w:rPr>
        <w:t xml:space="preserve"> </w:t>
      </w:r>
      <w:r w:rsidR="00CA4309" w:rsidRPr="00CA4309">
        <w:rPr>
          <w:rFonts w:ascii="Calibri" w:hAnsi="Calibri"/>
          <w:sz w:val="24"/>
        </w:rPr>
        <w:t>The Departmen</w:t>
      </w:r>
      <w:r w:rsidR="006C6350">
        <w:rPr>
          <w:rFonts w:ascii="Calibri" w:hAnsi="Calibri"/>
          <w:sz w:val="24"/>
        </w:rPr>
        <w:t xml:space="preserve">t has reviewed the current fees </w:t>
      </w:r>
      <w:r w:rsidR="00CA4309" w:rsidRPr="00CA4309">
        <w:rPr>
          <w:rFonts w:ascii="Calibri" w:hAnsi="Calibri"/>
          <w:sz w:val="24"/>
        </w:rPr>
        <w:t xml:space="preserve">and concluded that the revenue derived from them is not sufficient to cover the current and forecast costs of regulating the gambling sector. </w:t>
      </w:r>
    </w:p>
    <w:p w:rsidR="00CD2364" w:rsidRPr="008008D9" w:rsidRDefault="000B5843" w:rsidP="008008D9">
      <w:pPr>
        <w:pStyle w:val="NumbersLevel1"/>
        <w:numPr>
          <w:ilvl w:val="0"/>
          <w:numId w:val="20"/>
        </w:numPr>
        <w:tabs>
          <w:tab w:val="num" w:pos="709"/>
        </w:tabs>
        <w:ind w:left="709" w:hanging="709"/>
        <w:rPr>
          <w:rFonts w:ascii="Calibri" w:hAnsi="Calibri"/>
          <w:sz w:val="24"/>
        </w:rPr>
      </w:pPr>
      <w:r w:rsidRPr="008008D9">
        <w:rPr>
          <w:rFonts w:ascii="Calibri" w:hAnsi="Calibri"/>
          <w:sz w:val="24"/>
        </w:rPr>
        <w:t>The Department proposes to increase some fees</w:t>
      </w:r>
      <w:r w:rsidR="00C454A0" w:rsidRPr="008008D9">
        <w:rPr>
          <w:rFonts w:ascii="Calibri" w:hAnsi="Calibri"/>
          <w:sz w:val="24"/>
        </w:rPr>
        <w:t xml:space="preserve"> </w:t>
      </w:r>
      <w:r w:rsidRPr="008008D9">
        <w:rPr>
          <w:rFonts w:ascii="Calibri" w:hAnsi="Calibri"/>
          <w:sz w:val="24"/>
        </w:rPr>
        <w:t>to address</w:t>
      </w:r>
      <w:r w:rsidR="00C454A0" w:rsidRPr="008008D9">
        <w:rPr>
          <w:rFonts w:ascii="Calibri" w:hAnsi="Calibri"/>
          <w:sz w:val="24"/>
        </w:rPr>
        <w:t xml:space="preserve"> the funding issues identified</w:t>
      </w:r>
      <w:r w:rsidR="00C50DCD">
        <w:rPr>
          <w:rFonts w:ascii="Calibri" w:hAnsi="Calibri"/>
          <w:sz w:val="24"/>
        </w:rPr>
        <w:t xml:space="preserve"> and</w:t>
      </w:r>
      <w:r w:rsidR="004339A6" w:rsidRPr="008008D9">
        <w:rPr>
          <w:rFonts w:ascii="Calibri" w:hAnsi="Calibri"/>
          <w:sz w:val="24"/>
        </w:rPr>
        <w:t xml:space="preserve"> intends to review the fees again in 2017/18.</w:t>
      </w:r>
    </w:p>
    <w:p w:rsidR="00CD2364" w:rsidRDefault="00CD2364" w:rsidP="00CD2364">
      <w:pPr>
        <w:pStyle w:val="Heading2"/>
      </w:pPr>
      <w:bookmarkStart w:id="7" w:name="_Toc410217719"/>
      <w:r>
        <w:lastRenderedPageBreak/>
        <w:t>Types of fees paid by gambling operators</w:t>
      </w:r>
      <w:bookmarkEnd w:id="7"/>
    </w:p>
    <w:p w:rsidR="00CD2364" w:rsidRPr="00BA50B0" w:rsidRDefault="00CD2364"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There are currently four broad types of fees </w:t>
      </w:r>
      <w:r w:rsidR="00DA6EEF">
        <w:rPr>
          <w:rFonts w:ascii="Calibri" w:hAnsi="Calibri"/>
          <w:sz w:val="24"/>
        </w:rPr>
        <w:t>in</w:t>
      </w:r>
      <w:r w:rsidR="003D3DDD">
        <w:rPr>
          <w:rFonts w:ascii="Calibri" w:hAnsi="Calibri"/>
          <w:sz w:val="24"/>
        </w:rPr>
        <w:t xml:space="preserve"> the Regulations. </w:t>
      </w:r>
      <w:r w:rsidRPr="00BA50B0">
        <w:rPr>
          <w:rFonts w:ascii="Calibri" w:hAnsi="Calibri"/>
          <w:sz w:val="24"/>
        </w:rPr>
        <w:t xml:space="preserve">Table 1 shows the </w:t>
      </w:r>
      <w:r>
        <w:rPr>
          <w:rFonts w:ascii="Calibri" w:hAnsi="Calibri"/>
          <w:sz w:val="24"/>
        </w:rPr>
        <w:t xml:space="preserve">types of </w:t>
      </w:r>
      <w:r w:rsidRPr="00BA50B0">
        <w:rPr>
          <w:rFonts w:ascii="Calibri" w:hAnsi="Calibri"/>
          <w:sz w:val="24"/>
        </w:rPr>
        <w:t>fees, revenue generated for 2013/14 and the relative proportion of total revenue that each fee comprises (</w:t>
      </w:r>
      <w:r w:rsidRPr="00BA50B0">
        <w:rPr>
          <w:rFonts w:ascii="Calibri" w:hAnsi="Calibri"/>
          <w:i/>
          <w:sz w:val="24"/>
        </w:rPr>
        <w:t>all figures are GST exclusive</w:t>
      </w:r>
      <w:r w:rsidRPr="00BA50B0">
        <w:rPr>
          <w:rFonts w:ascii="Calibri" w:hAnsi="Calibri"/>
          <w:sz w:val="24"/>
        </w:rPr>
        <w:t>).</w:t>
      </w:r>
      <w:r w:rsidRPr="00BA50B0">
        <w:rPr>
          <w:rStyle w:val="FootnoteReference"/>
        </w:rPr>
        <w:footnoteReference w:id="3"/>
      </w:r>
      <w:r w:rsidRPr="00BA50B0">
        <w:rPr>
          <w:rFonts w:ascii="Calibri" w:hAnsi="Calibri"/>
          <w:sz w:val="24"/>
        </w:rPr>
        <w:t xml:space="preserve"> </w:t>
      </w:r>
      <w:r>
        <w:rPr>
          <w:rFonts w:ascii="Calibri" w:hAnsi="Calibri"/>
          <w:sz w:val="24"/>
        </w:rPr>
        <w:t xml:space="preserve"> </w:t>
      </w:r>
    </w:p>
    <w:p w:rsidR="00CD2364" w:rsidRPr="00BA50B0" w:rsidRDefault="00CD2364" w:rsidP="005572CB">
      <w:pPr>
        <w:pStyle w:val="HeadingTable"/>
        <w:ind w:firstLine="567"/>
        <w:rPr>
          <w:rFonts w:ascii="Calibri" w:hAnsi="Calibri"/>
          <w:sz w:val="24"/>
        </w:rPr>
      </w:pPr>
      <w:r w:rsidRPr="003B527A">
        <w:rPr>
          <w:rFonts w:ascii="Calibri" w:hAnsi="Calibri"/>
          <w:sz w:val="24"/>
        </w:rPr>
        <w:t xml:space="preserve">Table 1: Fee types and associated proportion of </w:t>
      </w:r>
      <w:r>
        <w:rPr>
          <w:rFonts w:ascii="Calibri" w:hAnsi="Calibri"/>
          <w:sz w:val="24"/>
        </w:rPr>
        <w:t xml:space="preserve">gambling </w:t>
      </w:r>
      <w:r w:rsidRPr="003B527A">
        <w:rPr>
          <w:rFonts w:ascii="Calibri" w:hAnsi="Calibri"/>
          <w:sz w:val="24"/>
        </w:rPr>
        <w:t>revenue</w:t>
      </w:r>
      <w:r w:rsidR="005A7718">
        <w:rPr>
          <w:rFonts w:ascii="Calibri" w:hAnsi="Calibri"/>
          <w:sz w:val="24"/>
        </w:rPr>
        <w:t xml:space="preserve"> in 2013/14</w:t>
      </w:r>
      <w:r w:rsidRPr="003B527A">
        <w:rPr>
          <w:rStyle w:val="FootnoteReference"/>
        </w:rPr>
        <w:footnoteReference w:id="4"/>
      </w:r>
    </w:p>
    <w:p w:rsidR="00CD2364" w:rsidRPr="00BA50B0" w:rsidRDefault="00CD2364" w:rsidP="00CD2364">
      <w:pPr>
        <w:pStyle w:val="HeadingTable"/>
        <w:rPr>
          <w:rFonts w:ascii="Calibri" w:hAnsi="Calibri"/>
          <w:sz w:val="24"/>
        </w:rPr>
      </w:pPr>
    </w:p>
    <w:tbl>
      <w:tblPr>
        <w:tblStyle w:val="DIATable"/>
        <w:tblW w:w="8931" w:type="dxa"/>
        <w:jc w:val="center"/>
        <w:tblInd w:w="0" w:type="dxa"/>
        <w:tblLook w:val="04A0" w:firstRow="1" w:lastRow="0" w:firstColumn="1" w:lastColumn="0" w:noHBand="0" w:noVBand="1"/>
      </w:tblPr>
      <w:tblGrid>
        <w:gridCol w:w="1595"/>
        <w:gridCol w:w="1773"/>
        <w:gridCol w:w="2292"/>
        <w:gridCol w:w="3271"/>
      </w:tblGrid>
      <w:tr w:rsidR="00CD2364" w:rsidRPr="00BA50B0" w:rsidTr="00B278C8">
        <w:trPr>
          <w:cnfStyle w:val="100000000000" w:firstRow="1" w:lastRow="0" w:firstColumn="0" w:lastColumn="0" w:oddVBand="0" w:evenVBand="0" w:oddHBand="0" w:evenHBand="0" w:firstRowFirstColumn="0" w:firstRowLastColumn="0" w:lastRowFirstColumn="0" w:lastRowLastColumn="0"/>
          <w:jc w:val="center"/>
        </w:trPr>
        <w:tc>
          <w:tcPr>
            <w:tcW w:w="1595" w:type="dxa"/>
          </w:tcPr>
          <w:p w:rsidR="00CD2364" w:rsidRPr="00B23998" w:rsidRDefault="00CD2364" w:rsidP="00CE0C4C">
            <w:pPr>
              <w:pStyle w:val="HeadingTable"/>
              <w:rPr>
                <w:rFonts w:ascii="Calibri" w:hAnsi="Calibri"/>
                <w:sz w:val="24"/>
              </w:rPr>
            </w:pPr>
            <w:r w:rsidRPr="00B23998">
              <w:rPr>
                <w:rFonts w:ascii="Calibri" w:hAnsi="Calibri"/>
                <w:sz w:val="24"/>
              </w:rPr>
              <w:t>Type of fee</w:t>
            </w:r>
          </w:p>
        </w:tc>
        <w:tc>
          <w:tcPr>
            <w:tcW w:w="1773" w:type="dxa"/>
          </w:tcPr>
          <w:p w:rsidR="00CD2364" w:rsidRPr="00B23998" w:rsidRDefault="00CD2364" w:rsidP="00CE0C4C">
            <w:pPr>
              <w:pStyle w:val="HeadingTable"/>
              <w:rPr>
                <w:rFonts w:ascii="Calibri" w:hAnsi="Calibri"/>
                <w:sz w:val="24"/>
              </w:rPr>
            </w:pPr>
            <w:r w:rsidRPr="00B23998">
              <w:rPr>
                <w:rFonts w:ascii="Calibri" w:hAnsi="Calibri"/>
                <w:sz w:val="24"/>
              </w:rPr>
              <w:t>Fees recovered (2013/14) $million</w:t>
            </w:r>
          </w:p>
        </w:tc>
        <w:tc>
          <w:tcPr>
            <w:tcW w:w="2292" w:type="dxa"/>
          </w:tcPr>
          <w:p w:rsidR="00CD2364" w:rsidRPr="00B23998" w:rsidRDefault="00CD2364" w:rsidP="00CE0C4C">
            <w:pPr>
              <w:pStyle w:val="HeadingTable"/>
              <w:rPr>
                <w:rFonts w:ascii="Calibri" w:hAnsi="Calibri"/>
                <w:sz w:val="24"/>
              </w:rPr>
            </w:pPr>
            <w:r w:rsidRPr="00B23998">
              <w:rPr>
                <w:rFonts w:ascii="Calibri" w:hAnsi="Calibri"/>
                <w:sz w:val="24"/>
              </w:rPr>
              <w:t>Percentage of total gambling revenue</w:t>
            </w:r>
          </w:p>
        </w:tc>
        <w:tc>
          <w:tcPr>
            <w:tcW w:w="3271" w:type="dxa"/>
          </w:tcPr>
          <w:p w:rsidR="00CD2364" w:rsidRPr="00B23998" w:rsidRDefault="00CD2364" w:rsidP="00CE0C4C">
            <w:pPr>
              <w:pStyle w:val="HeadingTable"/>
              <w:rPr>
                <w:rFonts w:ascii="Calibri" w:hAnsi="Calibri"/>
                <w:sz w:val="24"/>
              </w:rPr>
            </w:pPr>
            <w:r w:rsidRPr="00B23998">
              <w:rPr>
                <w:rFonts w:ascii="Calibri" w:hAnsi="Calibri"/>
                <w:sz w:val="24"/>
              </w:rPr>
              <w:t>Comment</w:t>
            </w:r>
          </w:p>
        </w:tc>
      </w:tr>
      <w:tr w:rsidR="00CD2364" w:rsidRPr="00BA50B0" w:rsidTr="00B278C8">
        <w:trPr>
          <w:jc w:val="center"/>
        </w:trPr>
        <w:tc>
          <w:tcPr>
            <w:tcW w:w="1595" w:type="dxa"/>
          </w:tcPr>
          <w:p w:rsidR="00CD2364" w:rsidRPr="00BA50B0" w:rsidRDefault="00CD2364" w:rsidP="00CE0C4C">
            <w:pPr>
              <w:pStyle w:val="HeadingTable"/>
              <w:rPr>
                <w:rFonts w:ascii="Calibri" w:hAnsi="Calibri"/>
                <w:b w:val="0"/>
                <w:sz w:val="24"/>
              </w:rPr>
            </w:pPr>
            <w:r w:rsidRPr="00BA50B0">
              <w:rPr>
                <w:rFonts w:ascii="Calibri" w:hAnsi="Calibri"/>
                <w:b w:val="0"/>
                <w:sz w:val="24"/>
              </w:rPr>
              <w:t>Class 4 machine monitoring fees</w:t>
            </w:r>
          </w:p>
        </w:tc>
        <w:tc>
          <w:tcPr>
            <w:tcW w:w="1773" w:type="dxa"/>
          </w:tcPr>
          <w:p w:rsidR="00CD2364" w:rsidRPr="00BA50B0" w:rsidRDefault="00CD2364" w:rsidP="004E11F0">
            <w:pPr>
              <w:pStyle w:val="HeadingTable"/>
              <w:jc w:val="center"/>
              <w:rPr>
                <w:rFonts w:ascii="Calibri" w:hAnsi="Calibri"/>
                <w:b w:val="0"/>
                <w:sz w:val="24"/>
              </w:rPr>
            </w:pPr>
            <w:r w:rsidRPr="00BA50B0">
              <w:rPr>
                <w:rFonts w:ascii="Calibri" w:hAnsi="Calibri"/>
                <w:b w:val="0"/>
                <w:sz w:val="24"/>
              </w:rPr>
              <w:t>$7.04</w:t>
            </w:r>
          </w:p>
        </w:tc>
        <w:tc>
          <w:tcPr>
            <w:tcW w:w="2292" w:type="dxa"/>
          </w:tcPr>
          <w:p w:rsidR="00CD2364" w:rsidRPr="00BA50B0" w:rsidRDefault="00CD2364" w:rsidP="004E11F0">
            <w:pPr>
              <w:pStyle w:val="HeadingTable"/>
              <w:jc w:val="center"/>
              <w:rPr>
                <w:rFonts w:ascii="Calibri" w:hAnsi="Calibri"/>
                <w:b w:val="0"/>
                <w:sz w:val="24"/>
              </w:rPr>
            </w:pPr>
            <w:r w:rsidRPr="00BA50B0">
              <w:rPr>
                <w:rFonts w:ascii="Calibri" w:hAnsi="Calibri"/>
                <w:b w:val="0"/>
                <w:sz w:val="24"/>
              </w:rPr>
              <w:t>35</w:t>
            </w:r>
            <w:r>
              <w:rPr>
                <w:rFonts w:ascii="Calibri" w:hAnsi="Calibri"/>
                <w:b w:val="0"/>
                <w:sz w:val="24"/>
              </w:rPr>
              <w:t>.18</w:t>
            </w:r>
            <w:r w:rsidRPr="00BA50B0">
              <w:rPr>
                <w:rFonts w:ascii="Calibri" w:hAnsi="Calibri"/>
                <w:b w:val="0"/>
                <w:sz w:val="24"/>
              </w:rPr>
              <w:t>%</w:t>
            </w:r>
          </w:p>
        </w:tc>
        <w:tc>
          <w:tcPr>
            <w:tcW w:w="3271" w:type="dxa"/>
          </w:tcPr>
          <w:p w:rsidR="00CD2364" w:rsidRPr="00BA50B0" w:rsidRDefault="00CD2364" w:rsidP="00CE0C4C">
            <w:pPr>
              <w:pStyle w:val="HeadingTable"/>
              <w:rPr>
                <w:rFonts w:ascii="Calibri" w:hAnsi="Calibri"/>
                <w:b w:val="0"/>
                <w:sz w:val="24"/>
              </w:rPr>
            </w:pPr>
            <w:r w:rsidRPr="00BA50B0">
              <w:rPr>
                <w:rFonts w:ascii="Calibri" w:hAnsi="Calibri"/>
                <w:b w:val="0"/>
                <w:sz w:val="24"/>
              </w:rPr>
              <w:t xml:space="preserve">Fees of $1.20/day charged for use of gaming machines that fund the Electronic </w:t>
            </w:r>
            <w:r>
              <w:rPr>
                <w:rFonts w:ascii="Calibri" w:hAnsi="Calibri"/>
                <w:b w:val="0"/>
                <w:sz w:val="24"/>
              </w:rPr>
              <w:t>Monitoring System and the Integrated Gambling Platform</w:t>
            </w:r>
          </w:p>
        </w:tc>
      </w:tr>
      <w:tr w:rsidR="00CD2364" w:rsidRPr="00BA50B0" w:rsidTr="00B278C8">
        <w:trPr>
          <w:jc w:val="center"/>
        </w:trPr>
        <w:tc>
          <w:tcPr>
            <w:tcW w:w="1595" w:type="dxa"/>
          </w:tcPr>
          <w:p w:rsidR="00CD2364" w:rsidRPr="00BA50B0" w:rsidRDefault="00CD2364" w:rsidP="00CE0C4C">
            <w:pPr>
              <w:pStyle w:val="HeadingTable"/>
              <w:rPr>
                <w:rFonts w:ascii="Calibri" w:hAnsi="Calibri"/>
                <w:b w:val="0"/>
                <w:sz w:val="24"/>
              </w:rPr>
            </w:pPr>
            <w:r w:rsidRPr="00BA50B0">
              <w:rPr>
                <w:rFonts w:ascii="Calibri" w:hAnsi="Calibri"/>
                <w:b w:val="0"/>
                <w:sz w:val="24"/>
              </w:rPr>
              <w:t>Class 4 compliance fees</w:t>
            </w:r>
          </w:p>
        </w:tc>
        <w:tc>
          <w:tcPr>
            <w:tcW w:w="1773" w:type="dxa"/>
          </w:tcPr>
          <w:p w:rsidR="00CD2364" w:rsidRPr="00BA50B0" w:rsidRDefault="00CD2364" w:rsidP="004E11F0">
            <w:pPr>
              <w:pStyle w:val="HeadingTable"/>
              <w:jc w:val="center"/>
              <w:rPr>
                <w:rFonts w:ascii="Calibri" w:hAnsi="Calibri"/>
                <w:b w:val="0"/>
                <w:sz w:val="24"/>
              </w:rPr>
            </w:pPr>
            <w:r w:rsidRPr="00BA50B0">
              <w:rPr>
                <w:rFonts w:ascii="Calibri" w:hAnsi="Calibri"/>
                <w:b w:val="0"/>
                <w:sz w:val="24"/>
              </w:rPr>
              <w:t>$6.46</w:t>
            </w:r>
          </w:p>
        </w:tc>
        <w:tc>
          <w:tcPr>
            <w:tcW w:w="2292" w:type="dxa"/>
          </w:tcPr>
          <w:p w:rsidR="00CD2364" w:rsidRPr="00BA50B0" w:rsidRDefault="00CD2364" w:rsidP="004E11F0">
            <w:pPr>
              <w:pStyle w:val="HeadingTable"/>
              <w:jc w:val="center"/>
              <w:rPr>
                <w:rFonts w:ascii="Calibri" w:hAnsi="Calibri"/>
                <w:b w:val="0"/>
                <w:sz w:val="24"/>
              </w:rPr>
            </w:pPr>
            <w:r>
              <w:rPr>
                <w:rFonts w:ascii="Calibri" w:hAnsi="Calibri"/>
                <w:b w:val="0"/>
                <w:sz w:val="24"/>
              </w:rPr>
              <w:t>32.28</w:t>
            </w:r>
            <w:r w:rsidRPr="00BA50B0">
              <w:rPr>
                <w:rFonts w:ascii="Calibri" w:hAnsi="Calibri"/>
                <w:b w:val="0"/>
                <w:sz w:val="24"/>
              </w:rPr>
              <w:t>%</w:t>
            </w:r>
          </w:p>
        </w:tc>
        <w:tc>
          <w:tcPr>
            <w:tcW w:w="3271" w:type="dxa"/>
          </w:tcPr>
          <w:p w:rsidR="00CD2364" w:rsidRPr="00BA50B0" w:rsidRDefault="00CD2364" w:rsidP="00CE0C4C">
            <w:pPr>
              <w:pStyle w:val="HeadingTable"/>
              <w:rPr>
                <w:rFonts w:ascii="Calibri" w:hAnsi="Calibri"/>
                <w:b w:val="0"/>
                <w:sz w:val="24"/>
              </w:rPr>
            </w:pPr>
            <w:r w:rsidRPr="00BA50B0">
              <w:rPr>
                <w:rFonts w:ascii="Calibri" w:hAnsi="Calibri"/>
                <w:b w:val="0"/>
                <w:sz w:val="24"/>
              </w:rPr>
              <w:t>Annual fee of $378 per gaming machine charged to all Class 4 operators that covers compliance activity</w:t>
            </w:r>
          </w:p>
        </w:tc>
      </w:tr>
      <w:tr w:rsidR="00CD2364" w:rsidRPr="00BA50B0" w:rsidTr="00B278C8">
        <w:trPr>
          <w:jc w:val="center"/>
        </w:trPr>
        <w:tc>
          <w:tcPr>
            <w:tcW w:w="1595" w:type="dxa"/>
          </w:tcPr>
          <w:p w:rsidR="00CD2364" w:rsidRPr="00BA50B0" w:rsidRDefault="00CD2364" w:rsidP="00CE0C4C">
            <w:pPr>
              <w:pStyle w:val="HeadingTable"/>
              <w:rPr>
                <w:rFonts w:ascii="Calibri" w:hAnsi="Calibri"/>
                <w:b w:val="0"/>
                <w:sz w:val="24"/>
              </w:rPr>
            </w:pPr>
            <w:r w:rsidRPr="00BA50B0">
              <w:rPr>
                <w:rFonts w:ascii="Calibri" w:hAnsi="Calibri"/>
                <w:b w:val="0"/>
                <w:sz w:val="24"/>
              </w:rPr>
              <w:t>Casino fees</w:t>
            </w:r>
          </w:p>
        </w:tc>
        <w:tc>
          <w:tcPr>
            <w:tcW w:w="1773" w:type="dxa"/>
          </w:tcPr>
          <w:p w:rsidR="00CD2364" w:rsidRPr="00BA50B0" w:rsidRDefault="003A2CCE" w:rsidP="004E11F0">
            <w:pPr>
              <w:pStyle w:val="HeadingTable"/>
              <w:jc w:val="center"/>
              <w:rPr>
                <w:rFonts w:ascii="Calibri" w:hAnsi="Calibri"/>
                <w:b w:val="0"/>
                <w:sz w:val="24"/>
              </w:rPr>
            </w:pPr>
            <w:r>
              <w:rPr>
                <w:rFonts w:ascii="Calibri" w:hAnsi="Calibri"/>
                <w:b w:val="0"/>
                <w:sz w:val="24"/>
              </w:rPr>
              <w:t>$5.24</w:t>
            </w:r>
          </w:p>
        </w:tc>
        <w:tc>
          <w:tcPr>
            <w:tcW w:w="2292" w:type="dxa"/>
          </w:tcPr>
          <w:p w:rsidR="00CD2364" w:rsidRPr="00BA50B0" w:rsidRDefault="00CD2364" w:rsidP="004E11F0">
            <w:pPr>
              <w:pStyle w:val="HeadingTable"/>
              <w:jc w:val="center"/>
              <w:rPr>
                <w:rFonts w:ascii="Calibri" w:hAnsi="Calibri"/>
                <w:b w:val="0"/>
                <w:sz w:val="24"/>
              </w:rPr>
            </w:pPr>
            <w:r w:rsidRPr="00BA50B0">
              <w:rPr>
                <w:rFonts w:ascii="Calibri" w:hAnsi="Calibri"/>
                <w:b w:val="0"/>
                <w:sz w:val="24"/>
              </w:rPr>
              <w:t>2</w:t>
            </w:r>
            <w:r>
              <w:rPr>
                <w:rFonts w:ascii="Calibri" w:hAnsi="Calibri"/>
                <w:b w:val="0"/>
                <w:sz w:val="24"/>
              </w:rPr>
              <w:t>6.89</w:t>
            </w:r>
            <w:r w:rsidRPr="00BA50B0">
              <w:rPr>
                <w:rFonts w:ascii="Calibri" w:hAnsi="Calibri"/>
                <w:b w:val="0"/>
                <w:sz w:val="24"/>
              </w:rPr>
              <w:t>%</w:t>
            </w:r>
          </w:p>
        </w:tc>
        <w:tc>
          <w:tcPr>
            <w:tcW w:w="3271" w:type="dxa"/>
          </w:tcPr>
          <w:p w:rsidR="00CD2364" w:rsidRPr="00BA50B0" w:rsidRDefault="00CD2364" w:rsidP="00CE0C4C">
            <w:pPr>
              <w:pStyle w:val="HeadingTable"/>
              <w:rPr>
                <w:rFonts w:ascii="Calibri" w:hAnsi="Calibri"/>
                <w:b w:val="0"/>
                <w:sz w:val="24"/>
              </w:rPr>
            </w:pPr>
            <w:r w:rsidRPr="00BA50B0">
              <w:rPr>
                <w:rFonts w:ascii="Calibri" w:hAnsi="Calibri"/>
                <w:b w:val="0"/>
                <w:sz w:val="24"/>
              </w:rPr>
              <w:t>Fixed annual fees charged to each of the six casinos</w:t>
            </w:r>
          </w:p>
        </w:tc>
      </w:tr>
      <w:tr w:rsidR="00CD2364" w:rsidRPr="00BA50B0" w:rsidTr="00B278C8">
        <w:trPr>
          <w:jc w:val="center"/>
        </w:trPr>
        <w:tc>
          <w:tcPr>
            <w:tcW w:w="1595" w:type="dxa"/>
          </w:tcPr>
          <w:p w:rsidR="00CD2364" w:rsidRPr="00BA50B0" w:rsidRDefault="00CD2364" w:rsidP="00CE0C4C">
            <w:pPr>
              <w:pStyle w:val="HeadingTable"/>
              <w:rPr>
                <w:rFonts w:ascii="Calibri" w:hAnsi="Calibri"/>
                <w:b w:val="0"/>
                <w:sz w:val="24"/>
              </w:rPr>
            </w:pPr>
            <w:r w:rsidRPr="00BA50B0">
              <w:rPr>
                <w:rFonts w:ascii="Calibri" w:hAnsi="Calibri"/>
                <w:b w:val="0"/>
                <w:sz w:val="24"/>
              </w:rPr>
              <w:t>Licensing and miscellaneous fees</w:t>
            </w:r>
          </w:p>
        </w:tc>
        <w:tc>
          <w:tcPr>
            <w:tcW w:w="1773" w:type="dxa"/>
          </w:tcPr>
          <w:p w:rsidR="00CD2364" w:rsidRPr="00BA50B0" w:rsidRDefault="00CD2364" w:rsidP="004E11F0">
            <w:pPr>
              <w:pStyle w:val="HeadingTable"/>
              <w:jc w:val="center"/>
              <w:rPr>
                <w:rFonts w:ascii="Calibri" w:hAnsi="Calibri"/>
                <w:b w:val="0"/>
                <w:sz w:val="24"/>
              </w:rPr>
            </w:pPr>
            <w:r w:rsidRPr="00BA50B0">
              <w:rPr>
                <w:rFonts w:ascii="Calibri" w:hAnsi="Calibri"/>
                <w:b w:val="0"/>
                <w:sz w:val="24"/>
              </w:rPr>
              <w:t>$1.13</w:t>
            </w:r>
          </w:p>
        </w:tc>
        <w:tc>
          <w:tcPr>
            <w:tcW w:w="2292" w:type="dxa"/>
          </w:tcPr>
          <w:p w:rsidR="00CD2364" w:rsidRDefault="00CD2364" w:rsidP="004E11F0">
            <w:pPr>
              <w:pStyle w:val="HeadingTable"/>
              <w:jc w:val="center"/>
              <w:rPr>
                <w:rFonts w:ascii="Calibri" w:hAnsi="Calibri"/>
                <w:b w:val="0"/>
                <w:sz w:val="24"/>
              </w:rPr>
            </w:pPr>
            <w:r>
              <w:rPr>
                <w:rFonts w:ascii="Calibri" w:hAnsi="Calibri"/>
                <w:b w:val="0"/>
                <w:sz w:val="24"/>
              </w:rPr>
              <w:t>5.65</w:t>
            </w:r>
            <w:r w:rsidRPr="00BA50B0">
              <w:rPr>
                <w:rFonts w:ascii="Calibri" w:hAnsi="Calibri"/>
                <w:b w:val="0"/>
                <w:sz w:val="24"/>
              </w:rPr>
              <w:t>%</w:t>
            </w:r>
          </w:p>
        </w:tc>
        <w:tc>
          <w:tcPr>
            <w:tcW w:w="3271" w:type="dxa"/>
          </w:tcPr>
          <w:p w:rsidR="00CD2364" w:rsidRPr="00BA50B0" w:rsidRDefault="00CD2364" w:rsidP="00CE0C4C">
            <w:pPr>
              <w:pStyle w:val="HeadingTable"/>
              <w:rPr>
                <w:rFonts w:ascii="Calibri" w:hAnsi="Calibri"/>
                <w:b w:val="0"/>
                <w:sz w:val="24"/>
              </w:rPr>
            </w:pPr>
            <w:r w:rsidRPr="00BA50B0">
              <w:rPr>
                <w:rFonts w:ascii="Calibri" w:hAnsi="Calibri"/>
                <w:b w:val="0"/>
                <w:sz w:val="24"/>
              </w:rPr>
              <w:t>A range of fees primarily for issue of new or renewed licences for Classes 3 and 4 gambling</w:t>
            </w:r>
          </w:p>
        </w:tc>
      </w:tr>
      <w:tr w:rsidR="00CD2364" w:rsidRPr="00BA50B0" w:rsidTr="00B278C8">
        <w:trPr>
          <w:jc w:val="center"/>
        </w:trPr>
        <w:tc>
          <w:tcPr>
            <w:tcW w:w="1595" w:type="dxa"/>
          </w:tcPr>
          <w:p w:rsidR="00CD2364" w:rsidRPr="00BA50B0" w:rsidRDefault="00CD2364" w:rsidP="00CE0C4C">
            <w:pPr>
              <w:pStyle w:val="HeadingTable"/>
              <w:rPr>
                <w:rFonts w:ascii="Calibri" w:hAnsi="Calibri"/>
                <w:sz w:val="24"/>
              </w:rPr>
            </w:pPr>
            <w:r w:rsidRPr="00BA50B0">
              <w:rPr>
                <w:rFonts w:ascii="Calibri" w:hAnsi="Calibri"/>
                <w:sz w:val="24"/>
              </w:rPr>
              <w:t>Total</w:t>
            </w:r>
          </w:p>
        </w:tc>
        <w:tc>
          <w:tcPr>
            <w:tcW w:w="1773" w:type="dxa"/>
          </w:tcPr>
          <w:p w:rsidR="00CD2364" w:rsidRPr="00BA50B0" w:rsidRDefault="00CD2364" w:rsidP="004E11F0">
            <w:pPr>
              <w:pStyle w:val="HeadingTable"/>
              <w:jc w:val="center"/>
              <w:rPr>
                <w:rFonts w:ascii="Calibri" w:hAnsi="Calibri"/>
                <w:sz w:val="24"/>
              </w:rPr>
            </w:pPr>
            <w:r>
              <w:rPr>
                <w:rFonts w:ascii="Calibri" w:hAnsi="Calibri"/>
                <w:sz w:val="24"/>
              </w:rPr>
              <w:t>$</w:t>
            </w:r>
            <w:r w:rsidR="0007290C">
              <w:rPr>
                <w:rFonts w:ascii="Calibri" w:hAnsi="Calibri"/>
                <w:sz w:val="24"/>
              </w:rPr>
              <w:t>19.</w:t>
            </w:r>
            <w:r w:rsidR="008916E1">
              <w:rPr>
                <w:rFonts w:ascii="Calibri" w:hAnsi="Calibri"/>
                <w:sz w:val="24"/>
              </w:rPr>
              <w:t>87</w:t>
            </w:r>
          </w:p>
        </w:tc>
        <w:tc>
          <w:tcPr>
            <w:tcW w:w="2292" w:type="dxa"/>
          </w:tcPr>
          <w:p w:rsidR="00CD2364" w:rsidRPr="00BA50B0" w:rsidRDefault="00CD2364" w:rsidP="004E11F0">
            <w:pPr>
              <w:pStyle w:val="HeadingTable"/>
              <w:jc w:val="center"/>
              <w:rPr>
                <w:rFonts w:ascii="Calibri" w:hAnsi="Calibri"/>
                <w:sz w:val="24"/>
              </w:rPr>
            </w:pPr>
            <w:r w:rsidRPr="00BA50B0">
              <w:rPr>
                <w:rFonts w:ascii="Calibri" w:hAnsi="Calibri"/>
                <w:sz w:val="24"/>
              </w:rPr>
              <w:t>100%</w:t>
            </w:r>
          </w:p>
        </w:tc>
        <w:tc>
          <w:tcPr>
            <w:tcW w:w="3271" w:type="dxa"/>
          </w:tcPr>
          <w:p w:rsidR="00CD2364" w:rsidRPr="00BA50B0" w:rsidRDefault="00CD2364" w:rsidP="00CE0C4C">
            <w:pPr>
              <w:pStyle w:val="HeadingTable"/>
              <w:rPr>
                <w:rFonts w:ascii="Calibri" w:hAnsi="Calibri"/>
                <w:sz w:val="24"/>
              </w:rPr>
            </w:pPr>
          </w:p>
        </w:tc>
      </w:tr>
    </w:tbl>
    <w:p w:rsidR="00CD2364" w:rsidRPr="00BA50B0" w:rsidRDefault="00CD2364" w:rsidP="00CD2364">
      <w:pPr>
        <w:pStyle w:val="NumbersLevel1"/>
        <w:tabs>
          <w:tab w:val="clear" w:pos="709"/>
        </w:tabs>
        <w:rPr>
          <w:rFonts w:ascii="Calibri" w:hAnsi="Calibri"/>
          <w:sz w:val="24"/>
        </w:rPr>
      </w:pPr>
    </w:p>
    <w:p w:rsidR="00E41F42" w:rsidRPr="00237DBE" w:rsidRDefault="00CD2364" w:rsidP="00E41F42">
      <w:pPr>
        <w:pStyle w:val="NumbersLevel1"/>
        <w:numPr>
          <w:ilvl w:val="0"/>
          <w:numId w:val="20"/>
        </w:numPr>
        <w:tabs>
          <w:tab w:val="num" w:pos="709"/>
        </w:tabs>
        <w:ind w:left="709" w:hanging="709"/>
        <w:rPr>
          <w:rFonts w:ascii="Calibri" w:hAnsi="Calibri"/>
          <w:sz w:val="24"/>
        </w:rPr>
      </w:pPr>
      <w:r w:rsidRPr="00F2499D">
        <w:rPr>
          <w:rFonts w:ascii="Calibri" w:hAnsi="Calibri"/>
          <w:sz w:val="24"/>
        </w:rPr>
        <w:t>Gambling fees cover a variety of costs driven by a multitude of activities undertaken in gambli</w:t>
      </w:r>
      <w:r w:rsidR="002A4581" w:rsidRPr="00F2499D">
        <w:rPr>
          <w:rFonts w:ascii="Calibri" w:hAnsi="Calibri"/>
          <w:sz w:val="24"/>
        </w:rPr>
        <w:t xml:space="preserve">ng compliance and enforcement. </w:t>
      </w:r>
      <w:r w:rsidRPr="00F2499D">
        <w:rPr>
          <w:rFonts w:ascii="Calibri" w:hAnsi="Calibri"/>
          <w:sz w:val="24"/>
        </w:rPr>
        <w:t>Many of these acti</w:t>
      </w:r>
      <w:r w:rsidR="00E41F42">
        <w:rPr>
          <w:rFonts w:ascii="Calibri" w:hAnsi="Calibri"/>
          <w:sz w:val="24"/>
        </w:rPr>
        <w:t xml:space="preserve">vities are required by the Act including: responding to </w:t>
      </w:r>
      <w:r w:rsidR="00E41F42" w:rsidRPr="007F11E6">
        <w:rPr>
          <w:rFonts w:ascii="Calibri" w:hAnsi="Calibri"/>
          <w:sz w:val="24"/>
        </w:rPr>
        <w:t>enquiries</w:t>
      </w:r>
      <w:r w:rsidR="00E41F42">
        <w:rPr>
          <w:rFonts w:ascii="Calibri" w:hAnsi="Calibri"/>
          <w:sz w:val="24"/>
        </w:rPr>
        <w:t xml:space="preserve"> and</w:t>
      </w:r>
      <w:r w:rsidR="00E41F42" w:rsidRPr="007F11E6">
        <w:rPr>
          <w:rFonts w:ascii="Calibri" w:hAnsi="Calibri"/>
          <w:sz w:val="24"/>
        </w:rPr>
        <w:t xml:space="preserve"> complaints; </w:t>
      </w:r>
      <w:r w:rsidR="00E41F42">
        <w:rPr>
          <w:rFonts w:ascii="Calibri" w:hAnsi="Calibri"/>
          <w:sz w:val="24"/>
        </w:rPr>
        <w:t xml:space="preserve">conducting investigations; </w:t>
      </w:r>
      <w:r w:rsidR="00E41F42" w:rsidRPr="007F11E6">
        <w:rPr>
          <w:rFonts w:ascii="Calibri" w:hAnsi="Calibri"/>
          <w:sz w:val="24"/>
        </w:rPr>
        <w:t xml:space="preserve">standards setting for gambling equipment; monitoring and auditing; and </w:t>
      </w:r>
      <w:r w:rsidR="00E41F42">
        <w:rPr>
          <w:rFonts w:ascii="Calibri" w:hAnsi="Calibri"/>
          <w:sz w:val="24"/>
        </w:rPr>
        <w:t xml:space="preserve">processing </w:t>
      </w:r>
      <w:r w:rsidR="00E41F42" w:rsidRPr="007F11E6">
        <w:rPr>
          <w:rFonts w:ascii="Calibri" w:hAnsi="Calibri"/>
          <w:sz w:val="24"/>
        </w:rPr>
        <w:t xml:space="preserve">societies’ licence applications and amendments. </w:t>
      </w:r>
    </w:p>
    <w:p w:rsidR="001C1782" w:rsidRPr="00F2499D" w:rsidRDefault="002D3CF6" w:rsidP="005A3016">
      <w:pPr>
        <w:pStyle w:val="NumbersLevel1"/>
        <w:numPr>
          <w:ilvl w:val="0"/>
          <w:numId w:val="20"/>
        </w:numPr>
        <w:tabs>
          <w:tab w:val="num" w:pos="709"/>
        </w:tabs>
        <w:ind w:left="709" w:hanging="709"/>
        <w:rPr>
          <w:rFonts w:ascii="Calibri" w:hAnsi="Calibri"/>
          <w:sz w:val="24"/>
        </w:rPr>
      </w:pPr>
      <w:r w:rsidRPr="00F2499D">
        <w:rPr>
          <w:rFonts w:ascii="Calibri" w:hAnsi="Calibri"/>
          <w:sz w:val="24"/>
        </w:rPr>
        <w:t xml:space="preserve">The Gambling Commission is also funded through the fees.  Approximately 60 per cent of the Commission’s work is driven by casino applications and 40 per cent from Class 4 appeals. </w:t>
      </w:r>
    </w:p>
    <w:p w:rsidR="001C1782" w:rsidRDefault="001C1782" w:rsidP="001C1782">
      <w:pPr>
        <w:pStyle w:val="Caption"/>
      </w:pPr>
    </w:p>
    <w:p w:rsidR="001C1782" w:rsidRDefault="001C1782" w:rsidP="001C1782">
      <w:pPr>
        <w:pStyle w:val="NumbersLevel1"/>
        <w:tabs>
          <w:tab w:val="clear" w:pos="709"/>
        </w:tabs>
        <w:ind w:firstLine="0"/>
        <w:jc w:val="center"/>
        <w:rPr>
          <w:rFonts w:ascii="Calibri" w:hAnsi="Calibri"/>
          <w:sz w:val="24"/>
        </w:rPr>
      </w:pPr>
    </w:p>
    <w:p w:rsidR="00431BF1" w:rsidRPr="00BA50B0" w:rsidRDefault="00431BF1" w:rsidP="00431BF1">
      <w:pPr>
        <w:pStyle w:val="NumbersLevel1"/>
        <w:tabs>
          <w:tab w:val="clear" w:pos="709"/>
        </w:tabs>
        <w:ind w:firstLine="0"/>
        <w:jc w:val="left"/>
        <w:rPr>
          <w:rFonts w:ascii="Calibri" w:hAnsi="Calibri"/>
          <w:sz w:val="24"/>
        </w:rPr>
      </w:pPr>
    </w:p>
    <w:p w:rsidR="00CD2364" w:rsidRPr="00BA50B0" w:rsidRDefault="00CD2364" w:rsidP="00CD2364">
      <w:pPr>
        <w:pStyle w:val="Heading1"/>
      </w:pPr>
      <w:bookmarkStart w:id="8" w:name="_Toc410217720"/>
      <w:r>
        <w:lastRenderedPageBreak/>
        <w:t>What is the problem with the current fees</w:t>
      </w:r>
      <w:r w:rsidR="000269AD">
        <w:t>?</w:t>
      </w:r>
      <w:bookmarkEnd w:id="8"/>
    </w:p>
    <w:p w:rsidR="003148FC" w:rsidRDefault="005E22EF" w:rsidP="00CD2364">
      <w:pPr>
        <w:pStyle w:val="Heading2"/>
      </w:pPr>
      <w:bookmarkStart w:id="9" w:name="_Toc410217721"/>
      <w:r>
        <w:t>Declining r</w:t>
      </w:r>
      <w:r w:rsidR="00CD2364">
        <w:t xml:space="preserve">evenue </w:t>
      </w:r>
      <w:r>
        <w:t>leading to under-recovery of costs</w:t>
      </w:r>
      <w:bookmarkEnd w:id="9"/>
      <w:r w:rsidR="00CE7490">
        <w:t xml:space="preserve"> </w:t>
      </w:r>
    </w:p>
    <w:p w:rsidR="00CD2364" w:rsidRDefault="00CD2364" w:rsidP="00E80EC7">
      <w:pPr>
        <w:pStyle w:val="NumbersLevel1"/>
        <w:numPr>
          <w:ilvl w:val="0"/>
          <w:numId w:val="20"/>
        </w:numPr>
        <w:tabs>
          <w:tab w:val="num" w:pos="709"/>
        </w:tabs>
        <w:ind w:left="709" w:hanging="709"/>
        <w:rPr>
          <w:rFonts w:ascii="Calibri" w:eastAsia="Calibri" w:hAnsi="Calibri"/>
          <w:sz w:val="24"/>
          <w:lang w:val="en-AU"/>
        </w:rPr>
      </w:pPr>
      <w:r w:rsidRPr="00E80EC7">
        <w:rPr>
          <w:rFonts w:ascii="Calibri" w:eastAsia="Calibri" w:hAnsi="Calibri"/>
          <w:sz w:val="24"/>
          <w:lang w:val="en-AU"/>
        </w:rPr>
        <w:t xml:space="preserve">The </w:t>
      </w:r>
      <w:r w:rsidR="00CE7490" w:rsidRPr="00E80EC7">
        <w:rPr>
          <w:rFonts w:ascii="Calibri" w:eastAsia="Calibri" w:hAnsi="Calibri"/>
          <w:sz w:val="24"/>
          <w:lang w:val="en-AU"/>
        </w:rPr>
        <w:t>number of gaming machines</w:t>
      </w:r>
      <w:r w:rsidR="00133642" w:rsidRPr="00E80EC7">
        <w:rPr>
          <w:rFonts w:ascii="Calibri" w:eastAsia="Calibri" w:hAnsi="Calibri"/>
          <w:sz w:val="24"/>
          <w:lang w:val="en-AU"/>
        </w:rPr>
        <w:t xml:space="preserve"> in the Class 4 sector</w:t>
      </w:r>
      <w:r w:rsidR="00CE7490" w:rsidRPr="00E80EC7">
        <w:rPr>
          <w:rFonts w:ascii="Calibri" w:eastAsia="Calibri" w:hAnsi="Calibri"/>
          <w:sz w:val="24"/>
          <w:lang w:val="en-AU"/>
        </w:rPr>
        <w:t xml:space="preserve"> ha</w:t>
      </w:r>
      <w:r w:rsidR="00DB2B73" w:rsidRPr="00E80EC7">
        <w:rPr>
          <w:rFonts w:ascii="Calibri" w:eastAsia="Calibri" w:hAnsi="Calibri"/>
          <w:sz w:val="24"/>
          <w:lang w:val="en-AU"/>
        </w:rPr>
        <w:t>s</w:t>
      </w:r>
      <w:r w:rsidR="00CE7490" w:rsidRPr="00E80EC7">
        <w:rPr>
          <w:rFonts w:ascii="Calibri" w:eastAsia="Calibri" w:hAnsi="Calibri"/>
          <w:sz w:val="24"/>
          <w:lang w:val="en-AU"/>
        </w:rPr>
        <w:t xml:space="preserve"> declined to a le</w:t>
      </w:r>
      <w:r w:rsidR="00DB2B73" w:rsidRPr="00E80EC7">
        <w:rPr>
          <w:rFonts w:ascii="Calibri" w:eastAsia="Calibri" w:hAnsi="Calibri"/>
          <w:sz w:val="24"/>
          <w:lang w:val="en-AU"/>
        </w:rPr>
        <w:t>vel that is less than forecast.</w:t>
      </w:r>
      <w:r w:rsidR="00DB2B73">
        <w:rPr>
          <w:rFonts w:ascii="Calibri" w:eastAsia="Calibri" w:hAnsi="Calibri"/>
          <w:sz w:val="24"/>
          <w:lang w:val="en-AU"/>
        </w:rPr>
        <w:t xml:space="preserve"> </w:t>
      </w:r>
      <w:r w:rsidR="00CE7490" w:rsidRPr="00E80EC7">
        <w:rPr>
          <w:rFonts w:ascii="Calibri" w:eastAsia="Calibri" w:hAnsi="Calibri"/>
          <w:sz w:val="24"/>
          <w:lang w:val="en-AU"/>
        </w:rPr>
        <w:t>The fees review in 2007 assumed that machine numbers</w:t>
      </w:r>
      <w:r w:rsidR="00026609" w:rsidRPr="00E80EC7">
        <w:rPr>
          <w:rFonts w:ascii="Calibri" w:eastAsia="Calibri" w:hAnsi="Calibri"/>
          <w:sz w:val="24"/>
          <w:lang w:val="en-AU"/>
        </w:rPr>
        <w:t xml:space="preserve"> would stabilise at </w:t>
      </w:r>
      <w:r w:rsidR="00CE7490" w:rsidRPr="00E80EC7">
        <w:rPr>
          <w:rFonts w:ascii="Calibri" w:eastAsia="Calibri" w:hAnsi="Calibri"/>
          <w:sz w:val="24"/>
          <w:lang w:val="en-AU"/>
        </w:rPr>
        <w:t>approxim</w:t>
      </w:r>
      <w:r w:rsidR="00711B59" w:rsidRPr="00E80EC7">
        <w:rPr>
          <w:rFonts w:ascii="Calibri" w:eastAsia="Calibri" w:hAnsi="Calibri"/>
          <w:sz w:val="24"/>
          <w:lang w:val="en-AU"/>
        </w:rPr>
        <w:t xml:space="preserve">ately 20,000 machines. However, </w:t>
      </w:r>
      <w:r w:rsidR="00026609" w:rsidRPr="00E80EC7">
        <w:rPr>
          <w:rFonts w:ascii="Calibri" w:eastAsia="Calibri" w:hAnsi="Calibri"/>
          <w:sz w:val="24"/>
          <w:lang w:val="en-AU"/>
        </w:rPr>
        <w:t xml:space="preserve">machine numbers have continued to decline </w:t>
      </w:r>
      <w:r w:rsidR="00362E2F">
        <w:rPr>
          <w:rFonts w:ascii="Calibri" w:eastAsia="Calibri" w:hAnsi="Calibri"/>
          <w:sz w:val="24"/>
          <w:lang w:val="en-AU"/>
        </w:rPr>
        <w:t xml:space="preserve">at a steady rate </w:t>
      </w:r>
      <w:r w:rsidR="00026609" w:rsidRPr="00E80EC7">
        <w:rPr>
          <w:rFonts w:ascii="Calibri" w:eastAsia="Calibri" w:hAnsi="Calibri"/>
          <w:sz w:val="24"/>
          <w:lang w:val="en-AU"/>
        </w:rPr>
        <w:t xml:space="preserve">and </w:t>
      </w:r>
      <w:r w:rsidR="00CE7490" w:rsidRPr="00E80EC7">
        <w:rPr>
          <w:rFonts w:ascii="Calibri" w:eastAsia="Calibri" w:hAnsi="Calibri"/>
          <w:sz w:val="24"/>
          <w:lang w:val="en-AU"/>
        </w:rPr>
        <w:t>at 30 June 2014 there were 17,130 licensed machines</w:t>
      </w:r>
      <w:r w:rsidR="00C213F3" w:rsidRPr="00E80EC7">
        <w:rPr>
          <w:rFonts w:ascii="Calibri" w:eastAsia="Calibri" w:hAnsi="Calibri"/>
          <w:sz w:val="24"/>
          <w:lang w:val="en-AU"/>
        </w:rPr>
        <w:t xml:space="preserve">. </w:t>
      </w:r>
      <w:r w:rsidR="00553AB5" w:rsidRPr="00E80EC7">
        <w:rPr>
          <w:rFonts w:ascii="Calibri" w:eastAsia="Calibri" w:hAnsi="Calibri"/>
          <w:sz w:val="24"/>
          <w:lang w:val="en-AU"/>
        </w:rPr>
        <w:t>As most of the Department’s revenue is derived from fees linked to the number of Class 4 gaming machines, the decline</w:t>
      </w:r>
      <w:r w:rsidR="00203316" w:rsidRPr="00E80EC7">
        <w:rPr>
          <w:rFonts w:ascii="Calibri" w:eastAsia="Calibri" w:hAnsi="Calibri"/>
          <w:sz w:val="24"/>
          <w:lang w:val="en-AU"/>
        </w:rPr>
        <w:t xml:space="preserve"> </w:t>
      </w:r>
      <w:r w:rsidR="00026609" w:rsidRPr="00E80EC7">
        <w:rPr>
          <w:rFonts w:ascii="Calibri" w:eastAsia="Calibri" w:hAnsi="Calibri"/>
          <w:sz w:val="24"/>
          <w:lang w:val="en-AU"/>
        </w:rPr>
        <w:t xml:space="preserve">in </w:t>
      </w:r>
      <w:r w:rsidR="00203316" w:rsidRPr="00E80EC7">
        <w:rPr>
          <w:rFonts w:ascii="Calibri" w:eastAsia="Calibri" w:hAnsi="Calibri"/>
          <w:sz w:val="24"/>
          <w:lang w:val="en-AU"/>
        </w:rPr>
        <w:t>numbers</w:t>
      </w:r>
      <w:r w:rsidR="00553AB5" w:rsidRPr="00E80EC7">
        <w:rPr>
          <w:rFonts w:ascii="Calibri" w:eastAsia="Calibri" w:hAnsi="Calibri"/>
          <w:sz w:val="24"/>
          <w:lang w:val="en-AU"/>
        </w:rPr>
        <w:t xml:space="preserve"> has </w:t>
      </w:r>
      <w:r w:rsidR="005572CB">
        <w:rPr>
          <w:rFonts w:ascii="Calibri" w:eastAsia="Calibri" w:hAnsi="Calibri"/>
          <w:sz w:val="24"/>
          <w:lang w:val="en-AU"/>
        </w:rPr>
        <w:t xml:space="preserve">had a significant impact on the </w:t>
      </w:r>
      <w:r w:rsidR="00A436AE">
        <w:rPr>
          <w:rFonts w:ascii="Calibri" w:eastAsia="Calibri" w:hAnsi="Calibri"/>
          <w:sz w:val="24"/>
          <w:lang w:val="en-AU"/>
        </w:rPr>
        <w:t xml:space="preserve">Department’s </w:t>
      </w:r>
      <w:r w:rsidR="005572CB">
        <w:rPr>
          <w:rFonts w:ascii="Calibri" w:eastAsia="Calibri" w:hAnsi="Calibri"/>
          <w:sz w:val="24"/>
          <w:lang w:val="en-AU"/>
        </w:rPr>
        <w:t>financial position</w:t>
      </w:r>
      <w:r w:rsidR="00553AB5" w:rsidRPr="00E80EC7">
        <w:rPr>
          <w:rFonts w:ascii="Calibri" w:eastAsia="Calibri" w:hAnsi="Calibri"/>
          <w:sz w:val="24"/>
          <w:lang w:val="en-AU"/>
        </w:rPr>
        <w:t>.</w:t>
      </w:r>
      <w:r w:rsidR="006244E8" w:rsidRPr="00E80EC7">
        <w:rPr>
          <w:rFonts w:ascii="Calibri" w:eastAsia="Calibri" w:hAnsi="Calibri"/>
          <w:sz w:val="24"/>
          <w:lang w:val="en-AU"/>
        </w:rPr>
        <w:t xml:space="preserve">  </w:t>
      </w:r>
    </w:p>
    <w:p w:rsidR="006A7237" w:rsidRPr="00CA4309" w:rsidRDefault="005E22EF" w:rsidP="006A7237">
      <w:pPr>
        <w:pStyle w:val="NumbersLevel1"/>
        <w:numPr>
          <w:ilvl w:val="0"/>
          <w:numId w:val="20"/>
        </w:numPr>
        <w:tabs>
          <w:tab w:val="num" w:pos="709"/>
        </w:tabs>
        <w:ind w:left="709" w:hanging="709"/>
        <w:rPr>
          <w:rFonts w:ascii="Calibri" w:hAnsi="Calibri"/>
          <w:sz w:val="24"/>
        </w:rPr>
      </w:pPr>
      <w:r w:rsidRPr="006A7237">
        <w:rPr>
          <w:rFonts w:ascii="Calibri" w:eastAsia="Calibri" w:hAnsi="Calibri"/>
          <w:sz w:val="24"/>
          <w:lang w:val="en-AU"/>
        </w:rPr>
        <w:t xml:space="preserve">Declining machine numbers have not corresponded with a decline in the need for regulatory activity, particularly in the Class 4 sector. This means that the Department is under-recovering its gambling regulatory costs. </w:t>
      </w:r>
      <w:r w:rsidR="006A7237" w:rsidRPr="00CA4309">
        <w:rPr>
          <w:rFonts w:ascii="Calibri" w:hAnsi="Calibri"/>
          <w:sz w:val="24"/>
        </w:rPr>
        <w:t xml:space="preserve">The </w:t>
      </w:r>
      <w:r w:rsidR="006A7237">
        <w:rPr>
          <w:rFonts w:ascii="Calibri" w:hAnsi="Calibri"/>
          <w:sz w:val="24"/>
        </w:rPr>
        <w:t xml:space="preserve">Department’s operating deficit for 2014/15 is </w:t>
      </w:r>
      <w:r w:rsidR="006A7237" w:rsidRPr="00CA4309">
        <w:rPr>
          <w:rFonts w:ascii="Calibri" w:hAnsi="Calibri"/>
          <w:sz w:val="24"/>
        </w:rPr>
        <w:t>forecast to be $</w:t>
      </w:r>
      <w:r w:rsidR="006A7237">
        <w:rPr>
          <w:rFonts w:ascii="Calibri" w:hAnsi="Calibri"/>
          <w:sz w:val="24"/>
        </w:rPr>
        <w:t>3.841</w:t>
      </w:r>
      <w:r w:rsidR="006A7237" w:rsidRPr="00CA4309">
        <w:rPr>
          <w:rFonts w:ascii="Calibri" w:hAnsi="Calibri"/>
          <w:sz w:val="24"/>
        </w:rPr>
        <w:t xml:space="preserve"> million.</w:t>
      </w:r>
    </w:p>
    <w:p w:rsidR="005E22EF" w:rsidRPr="006A7237" w:rsidRDefault="005E22EF" w:rsidP="005E22EF">
      <w:pPr>
        <w:pStyle w:val="NumbersLevel1"/>
        <w:numPr>
          <w:ilvl w:val="0"/>
          <w:numId w:val="20"/>
        </w:numPr>
        <w:tabs>
          <w:tab w:val="num" w:pos="709"/>
        </w:tabs>
        <w:ind w:left="709" w:hanging="709"/>
        <w:rPr>
          <w:rFonts w:ascii="Calibri" w:eastAsia="Calibri" w:hAnsi="Calibri"/>
          <w:sz w:val="24"/>
          <w:lang w:val="en-AU"/>
        </w:rPr>
      </w:pPr>
      <w:r w:rsidRPr="006A7237">
        <w:rPr>
          <w:rFonts w:ascii="Calibri" w:hAnsi="Calibri"/>
          <w:sz w:val="24"/>
        </w:rPr>
        <w:t xml:space="preserve">The figure below provides a breakdown of the Department’s gambling regulatory costs by activity for 2013/14. </w:t>
      </w:r>
      <w:r w:rsidRPr="006A7237">
        <w:rPr>
          <w:rFonts w:ascii="Calibri" w:eastAsia="Calibri" w:hAnsi="Calibri"/>
          <w:sz w:val="24"/>
          <w:lang w:val="en-AU"/>
        </w:rPr>
        <w:t xml:space="preserve">The costs are spread across the various gambling sectors, with nearly 80 per cent being driven by work associated with the Class 4 sector. </w:t>
      </w:r>
      <w:r w:rsidRPr="006A7237">
        <w:rPr>
          <w:rFonts w:ascii="Calibri" w:hAnsi="Calibri"/>
          <w:sz w:val="24"/>
        </w:rPr>
        <w:t>The operation and maintenance of the Electronic Monitoring System (EMS)</w:t>
      </w:r>
      <w:r w:rsidR="0033393E" w:rsidRPr="006A7237">
        <w:rPr>
          <w:rFonts w:ascii="Calibri" w:hAnsi="Calibri"/>
          <w:sz w:val="24"/>
        </w:rPr>
        <w:t>, which moni</w:t>
      </w:r>
      <w:r w:rsidR="00AE0E5E" w:rsidRPr="006A7237">
        <w:rPr>
          <w:rFonts w:ascii="Calibri" w:hAnsi="Calibri"/>
          <w:sz w:val="24"/>
        </w:rPr>
        <w:t>tors all Class 4 gaming machine-</w:t>
      </w:r>
      <w:r w:rsidR="0033393E" w:rsidRPr="006A7237">
        <w:rPr>
          <w:rFonts w:ascii="Calibri" w:hAnsi="Calibri"/>
          <w:sz w:val="24"/>
        </w:rPr>
        <w:t xml:space="preserve">related activity, represents the largest </w:t>
      </w:r>
      <w:r w:rsidRPr="006A7237">
        <w:rPr>
          <w:rFonts w:ascii="Calibri" w:hAnsi="Calibri"/>
          <w:sz w:val="24"/>
        </w:rPr>
        <w:t xml:space="preserve">cost. The remaining costs are driven by the casino sector and </w:t>
      </w:r>
      <w:r w:rsidR="00806450" w:rsidRPr="006A7237">
        <w:rPr>
          <w:rFonts w:ascii="Calibri" w:hAnsi="Calibri"/>
          <w:sz w:val="24"/>
        </w:rPr>
        <w:t>Class</w:t>
      </w:r>
      <w:r w:rsidRPr="006A7237">
        <w:rPr>
          <w:rFonts w:ascii="Calibri" w:hAnsi="Calibri"/>
          <w:sz w:val="24"/>
        </w:rPr>
        <w:t xml:space="preserve"> 3 gambling. </w:t>
      </w:r>
      <w:r w:rsidRPr="006A7237">
        <w:rPr>
          <w:rFonts w:ascii="Calibri" w:eastAsia="Calibri" w:hAnsi="Calibri"/>
          <w:sz w:val="24"/>
          <w:lang w:val="en-AU"/>
        </w:rPr>
        <w:t xml:space="preserve"> </w:t>
      </w:r>
    </w:p>
    <w:p w:rsidR="005E22EF" w:rsidRDefault="005E22EF" w:rsidP="005572CB">
      <w:pPr>
        <w:pStyle w:val="Caption"/>
        <w:jc w:val="left"/>
      </w:pPr>
      <w:r>
        <w:t xml:space="preserve">Figure </w:t>
      </w:r>
      <w:r w:rsidR="00087B80">
        <w:fldChar w:fldCharType="begin"/>
      </w:r>
      <w:r w:rsidR="00087B80">
        <w:instrText xml:space="preserve"> SEQ Figure \* ARABIC </w:instrText>
      </w:r>
      <w:r w:rsidR="00087B80">
        <w:fldChar w:fldCharType="separate"/>
      </w:r>
      <w:r w:rsidR="00094461">
        <w:rPr>
          <w:noProof/>
        </w:rPr>
        <w:t>1</w:t>
      </w:r>
      <w:r w:rsidR="00087B80">
        <w:rPr>
          <w:noProof/>
        </w:rPr>
        <w:fldChar w:fldCharType="end"/>
      </w:r>
      <w:r>
        <w:t>: Breakdown of regulatory costs by activity for 2013/14</w:t>
      </w:r>
    </w:p>
    <w:p w:rsidR="005E22EF" w:rsidRDefault="005E22EF" w:rsidP="005E22EF">
      <w:pPr>
        <w:pStyle w:val="NumbersLevel1"/>
        <w:tabs>
          <w:tab w:val="clear" w:pos="709"/>
        </w:tabs>
        <w:ind w:firstLine="0"/>
        <w:jc w:val="center"/>
        <w:rPr>
          <w:rFonts w:ascii="Calibri" w:hAnsi="Calibri"/>
          <w:sz w:val="24"/>
        </w:rPr>
      </w:pPr>
      <w:r>
        <w:rPr>
          <w:noProof/>
          <w:lang w:eastAsia="en-NZ"/>
        </w:rPr>
        <w:drawing>
          <wp:inline distT="0" distB="0" distL="0" distR="0" wp14:anchorId="52B30D58" wp14:editId="3A13B8FE">
            <wp:extent cx="5100555" cy="2817198"/>
            <wp:effectExtent l="0" t="0" r="2413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22EF" w:rsidRDefault="005E22EF" w:rsidP="00663A04">
      <w:pPr>
        <w:pStyle w:val="NumbersLevel1"/>
        <w:tabs>
          <w:tab w:val="clear" w:pos="709"/>
        </w:tabs>
        <w:ind w:firstLine="0"/>
        <w:rPr>
          <w:rFonts w:ascii="Calibri" w:eastAsia="Calibri" w:hAnsi="Calibri"/>
          <w:sz w:val="24"/>
          <w:lang w:val="en-AU"/>
        </w:rPr>
      </w:pPr>
    </w:p>
    <w:p w:rsidR="00663A04" w:rsidRDefault="00663A04" w:rsidP="00663A04">
      <w:pPr>
        <w:pStyle w:val="NumbersLevel1"/>
        <w:tabs>
          <w:tab w:val="clear" w:pos="709"/>
        </w:tabs>
        <w:ind w:firstLine="0"/>
        <w:rPr>
          <w:rFonts w:ascii="Calibri" w:eastAsia="Calibri" w:hAnsi="Calibri"/>
          <w:sz w:val="24"/>
          <w:lang w:val="en-AU"/>
        </w:rPr>
      </w:pPr>
    </w:p>
    <w:p w:rsidR="00663A04" w:rsidRPr="00B03A98" w:rsidRDefault="00663A04" w:rsidP="00663A04">
      <w:pPr>
        <w:pStyle w:val="NumbersLevel1"/>
        <w:tabs>
          <w:tab w:val="clear" w:pos="709"/>
        </w:tabs>
        <w:ind w:firstLine="0"/>
        <w:rPr>
          <w:rFonts w:ascii="Calibri" w:eastAsia="Calibri" w:hAnsi="Calibri"/>
          <w:sz w:val="24"/>
          <w:lang w:val="en-AU"/>
        </w:rPr>
      </w:pPr>
    </w:p>
    <w:p w:rsidR="00CD2364" w:rsidRDefault="000269AD" w:rsidP="000269AD">
      <w:pPr>
        <w:pStyle w:val="Heading2"/>
      </w:pPr>
      <w:bookmarkStart w:id="10" w:name="_Toc410217722"/>
      <w:r w:rsidRPr="00D40A97">
        <w:lastRenderedPageBreak/>
        <w:t>Increasing cost pressures on the Department</w:t>
      </w:r>
      <w:bookmarkEnd w:id="10"/>
    </w:p>
    <w:p w:rsidR="00AE2A7F" w:rsidRDefault="000E1F91" w:rsidP="000332FF">
      <w:pPr>
        <w:pStyle w:val="NumbersLevel1"/>
        <w:numPr>
          <w:ilvl w:val="0"/>
          <w:numId w:val="20"/>
        </w:numPr>
        <w:tabs>
          <w:tab w:val="num" w:pos="709"/>
        </w:tabs>
        <w:ind w:left="709" w:hanging="709"/>
        <w:rPr>
          <w:rFonts w:ascii="Calibri" w:eastAsia="Calibri" w:hAnsi="Calibri"/>
          <w:sz w:val="24"/>
          <w:lang w:val="en-AU"/>
        </w:rPr>
      </w:pPr>
      <w:r>
        <w:rPr>
          <w:rFonts w:ascii="Calibri" w:eastAsia="Calibri" w:hAnsi="Calibri"/>
          <w:sz w:val="24"/>
          <w:lang w:val="en-AU"/>
        </w:rPr>
        <w:t xml:space="preserve">Forecasts </w:t>
      </w:r>
      <w:r w:rsidR="004142B2">
        <w:rPr>
          <w:rFonts w:ascii="Calibri" w:eastAsia="Calibri" w:hAnsi="Calibri"/>
          <w:sz w:val="24"/>
          <w:lang w:val="en-AU"/>
        </w:rPr>
        <w:t xml:space="preserve">indicate reduced revenue </w:t>
      </w:r>
      <w:r>
        <w:rPr>
          <w:rFonts w:ascii="Calibri" w:eastAsia="Calibri" w:hAnsi="Calibri"/>
          <w:sz w:val="24"/>
          <w:lang w:val="en-AU"/>
        </w:rPr>
        <w:t>over the next ten year</w:t>
      </w:r>
      <w:r w:rsidR="007230FC">
        <w:rPr>
          <w:rFonts w:ascii="Calibri" w:eastAsia="Calibri" w:hAnsi="Calibri"/>
          <w:sz w:val="24"/>
          <w:lang w:val="en-AU"/>
        </w:rPr>
        <w:t>s</w:t>
      </w:r>
      <w:r>
        <w:rPr>
          <w:rFonts w:ascii="Calibri" w:eastAsia="Calibri" w:hAnsi="Calibri"/>
          <w:sz w:val="24"/>
          <w:lang w:val="en-AU"/>
        </w:rPr>
        <w:t xml:space="preserve"> to 202</w:t>
      </w:r>
      <w:r w:rsidR="00177F2F">
        <w:rPr>
          <w:rFonts w:ascii="Calibri" w:eastAsia="Calibri" w:hAnsi="Calibri"/>
          <w:sz w:val="24"/>
          <w:lang w:val="en-AU"/>
        </w:rPr>
        <w:t>3</w:t>
      </w:r>
      <w:r>
        <w:rPr>
          <w:rFonts w:ascii="Calibri" w:eastAsia="Calibri" w:hAnsi="Calibri"/>
          <w:sz w:val="24"/>
          <w:lang w:val="en-AU"/>
        </w:rPr>
        <w:t>/2</w:t>
      </w:r>
      <w:r w:rsidR="00177F2F">
        <w:rPr>
          <w:rFonts w:ascii="Calibri" w:eastAsia="Calibri" w:hAnsi="Calibri"/>
          <w:sz w:val="24"/>
          <w:lang w:val="en-AU"/>
        </w:rPr>
        <w:t>4</w:t>
      </w:r>
      <w:r>
        <w:rPr>
          <w:rFonts w:ascii="Calibri" w:eastAsia="Calibri" w:hAnsi="Calibri"/>
          <w:sz w:val="24"/>
          <w:lang w:val="en-AU"/>
        </w:rPr>
        <w:t xml:space="preserve"> (based on the current </w:t>
      </w:r>
      <w:r w:rsidR="00C02D0F">
        <w:rPr>
          <w:rFonts w:ascii="Calibri" w:eastAsia="Calibri" w:hAnsi="Calibri"/>
          <w:sz w:val="24"/>
          <w:lang w:val="en-AU"/>
        </w:rPr>
        <w:t xml:space="preserve">rate of </w:t>
      </w:r>
      <w:r>
        <w:rPr>
          <w:rFonts w:ascii="Calibri" w:eastAsia="Calibri" w:hAnsi="Calibri"/>
          <w:sz w:val="24"/>
          <w:lang w:val="en-AU"/>
        </w:rPr>
        <w:t xml:space="preserve">decline in </w:t>
      </w:r>
      <w:r w:rsidR="00C02D0F">
        <w:rPr>
          <w:rFonts w:ascii="Calibri" w:eastAsia="Calibri" w:hAnsi="Calibri"/>
          <w:sz w:val="24"/>
          <w:lang w:val="en-AU"/>
        </w:rPr>
        <w:t xml:space="preserve">machine numbers) </w:t>
      </w:r>
      <w:r w:rsidR="00C419A2">
        <w:rPr>
          <w:rFonts w:ascii="Calibri" w:eastAsia="Calibri" w:hAnsi="Calibri"/>
          <w:sz w:val="24"/>
          <w:lang w:val="en-AU"/>
        </w:rPr>
        <w:t xml:space="preserve">and </w:t>
      </w:r>
      <w:r>
        <w:rPr>
          <w:rFonts w:ascii="Calibri" w:eastAsia="Calibri" w:hAnsi="Calibri"/>
          <w:sz w:val="24"/>
          <w:lang w:val="en-AU"/>
        </w:rPr>
        <w:t>increase</w:t>
      </w:r>
      <w:r w:rsidR="00C419A2">
        <w:rPr>
          <w:rFonts w:ascii="Calibri" w:eastAsia="Calibri" w:hAnsi="Calibri"/>
          <w:sz w:val="24"/>
          <w:lang w:val="en-AU"/>
        </w:rPr>
        <w:t>d</w:t>
      </w:r>
      <w:r>
        <w:rPr>
          <w:rFonts w:ascii="Calibri" w:eastAsia="Calibri" w:hAnsi="Calibri"/>
          <w:sz w:val="24"/>
          <w:lang w:val="en-AU"/>
        </w:rPr>
        <w:t xml:space="preserve"> costs.</w:t>
      </w:r>
      <w:r w:rsidR="006C724C">
        <w:rPr>
          <w:rFonts w:ascii="Calibri" w:eastAsia="Calibri" w:hAnsi="Calibri"/>
          <w:sz w:val="24"/>
          <w:lang w:val="en-AU"/>
        </w:rPr>
        <w:t xml:space="preserve"> </w:t>
      </w:r>
      <w:r w:rsidR="00183559" w:rsidRPr="000332FF">
        <w:rPr>
          <w:rFonts w:ascii="Calibri" w:hAnsi="Calibri"/>
          <w:sz w:val="24"/>
        </w:rPr>
        <w:t xml:space="preserve">The forecast </w:t>
      </w:r>
      <w:r w:rsidR="00D0515C">
        <w:rPr>
          <w:rFonts w:ascii="Calibri" w:hAnsi="Calibri"/>
          <w:sz w:val="24"/>
        </w:rPr>
        <w:t xml:space="preserve">operating </w:t>
      </w:r>
      <w:r w:rsidR="00183559" w:rsidRPr="000332FF">
        <w:rPr>
          <w:rFonts w:ascii="Calibri" w:hAnsi="Calibri"/>
          <w:sz w:val="24"/>
        </w:rPr>
        <w:t>deficit is not sustainable and results in the taxpayer rather than the industry funding gambling regulation, which is contrary to the intent of the Act</w:t>
      </w:r>
      <w:r w:rsidR="004142B2">
        <w:rPr>
          <w:rFonts w:ascii="Calibri" w:hAnsi="Calibri"/>
          <w:sz w:val="24"/>
        </w:rPr>
        <w:t xml:space="preserve"> (refer to table </w:t>
      </w:r>
      <w:r w:rsidR="000A223B">
        <w:rPr>
          <w:rFonts w:ascii="Calibri" w:hAnsi="Calibri"/>
          <w:sz w:val="24"/>
        </w:rPr>
        <w:t>2</w:t>
      </w:r>
      <w:r w:rsidR="004142B2">
        <w:rPr>
          <w:rFonts w:ascii="Calibri" w:hAnsi="Calibri"/>
          <w:sz w:val="24"/>
        </w:rPr>
        <w:t xml:space="preserve"> below)</w:t>
      </w:r>
      <w:r w:rsidR="00183559" w:rsidRPr="000332FF">
        <w:rPr>
          <w:rFonts w:ascii="Calibri" w:hAnsi="Calibri"/>
          <w:sz w:val="24"/>
        </w:rPr>
        <w:t>.</w:t>
      </w:r>
      <w:r w:rsidR="00183559" w:rsidRPr="000332FF">
        <w:rPr>
          <w:rFonts w:ascii="Calibri" w:eastAsia="Calibri" w:hAnsi="Calibri"/>
          <w:sz w:val="24"/>
          <w:lang w:val="en-AU"/>
        </w:rPr>
        <w:t xml:space="preserve">  </w:t>
      </w:r>
    </w:p>
    <w:p w:rsidR="004142B2" w:rsidRDefault="004142B2" w:rsidP="00B278C8">
      <w:pPr>
        <w:pStyle w:val="Caption"/>
        <w:jc w:val="left"/>
      </w:pPr>
      <w:r>
        <w:t xml:space="preserve">Table </w:t>
      </w:r>
      <w:r w:rsidR="000A223B">
        <w:t>2</w:t>
      </w:r>
      <w:r w:rsidR="00384933">
        <w:t xml:space="preserve">: </w:t>
      </w:r>
      <w:r w:rsidR="00D0515C">
        <w:t>F</w:t>
      </w:r>
      <w:r w:rsidR="00384933">
        <w:t>orecast changes in revenue and costs</w:t>
      </w:r>
      <w:r w:rsidR="00E46A7A">
        <w:t xml:space="preserve"> to 202</w:t>
      </w:r>
      <w:r w:rsidR="00177F2F">
        <w:t>3</w:t>
      </w:r>
      <w:r w:rsidR="00E46A7A">
        <w:t>/2</w:t>
      </w:r>
      <w:r w:rsidR="00177F2F">
        <w:t>4</w:t>
      </w:r>
      <w:r w:rsidR="00B278C8">
        <w:t xml:space="preserve"> ($million)</w:t>
      </w:r>
    </w:p>
    <w:tbl>
      <w:tblPr>
        <w:tblStyle w:val="DIATable"/>
        <w:tblW w:w="9446" w:type="dxa"/>
        <w:tblLayout w:type="fixed"/>
        <w:tblLook w:val="04A0" w:firstRow="1" w:lastRow="0" w:firstColumn="1" w:lastColumn="0" w:noHBand="0" w:noVBand="1"/>
      </w:tblPr>
      <w:tblGrid>
        <w:gridCol w:w="2693"/>
        <w:gridCol w:w="1082"/>
        <w:gridCol w:w="1082"/>
        <w:gridCol w:w="1082"/>
        <w:gridCol w:w="1082"/>
        <w:gridCol w:w="1082"/>
        <w:gridCol w:w="261"/>
        <w:gridCol w:w="1082"/>
      </w:tblGrid>
      <w:tr w:rsidR="00640DA4" w:rsidTr="00B278C8">
        <w:trPr>
          <w:cnfStyle w:val="100000000000" w:firstRow="1" w:lastRow="0" w:firstColumn="0" w:lastColumn="0" w:oddVBand="0" w:evenVBand="0" w:oddHBand="0" w:evenHBand="0" w:firstRowFirstColumn="0" w:firstRowLastColumn="0" w:lastRowFirstColumn="0" w:lastRowLastColumn="0"/>
        </w:trPr>
        <w:tc>
          <w:tcPr>
            <w:tcW w:w="2693" w:type="dxa"/>
          </w:tcPr>
          <w:p w:rsidR="00640DA4" w:rsidRPr="00A75078" w:rsidRDefault="00640DA4" w:rsidP="00DC616E">
            <w:pPr>
              <w:pStyle w:val="FinancialtableLHC"/>
              <w:keepNext/>
            </w:pPr>
          </w:p>
        </w:tc>
        <w:tc>
          <w:tcPr>
            <w:tcW w:w="1082" w:type="dxa"/>
          </w:tcPr>
          <w:p w:rsidR="00D40A97" w:rsidRDefault="00640DA4" w:rsidP="00D40A97">
            <w:pPr>
              <w:pStyle w:val="Financialtableyears"/>
              <w:keepNext/>
            </w:pPr>
            <w:r>
              <w:t>2014/15</w:t>
            </w:r>
          </w:p>
        </w:tc>
        <w:tc>
          <w:tcPr>
            <w:tcW w:w="1082" w:type="dxa"/>
          </w:tcPr>
          <w:p w:rsidR="00640DA4" w:rsidRPr="00A75078" w:rsidRDefault="00640DA4" w:rsidP="00DC616E">
            <w:pPr>
              <w:pStyle w:val="Financialtableyears"/>
              <w:keepNext/>
            </w:pPr>
            <w:r>
              <w:t>2015</w:t>
            </w:r>
            <w:r w:rsidRPr="00A75078">
              <w:t>/1</w:t>
            </w:r>
            <w:r>
              <w:t>6</w:t>
            </w:r>
          </w:p>
        </w:tc>
        <w:tc>
          <w:tcPr>
            <w:tcW w:w="1082" w:type="dxa"/>
          </w:tcPr>
          <w:p w:rsidR="00640DA4" w:rsidRPr="00A75078" w:rsidRDefault="00640DA4" w:rsidP="00DC616E">
            <w:pPr>
              <w:pStyle w:val="Financialtableyears"/>
              <w:keepNext/>
            </w:pPr>
            <w:r>
              <w:t>2016</w:t>
            </w:r>
            <w:r w:rsidRPr="00A75078">
              <w:t>/1</w:t>
            </w:r>
            <w:r>
              <w:t>7</w:t>
            </w:r>
          </w:p>
        </w:tc>
        <w:tc>
          <w:tcPr>
            <w:tcW w:w="1082" w:type="dxa"/>
          </w:tcPr>
          <w:p w:rsidR="00640DA4" w:rsidRPr="00A75078" w:rsidRDefault="00640DA4" w:rsidP="00DC616E">
            <w:pPr>
              <w:pStyle w:val="Financialtableyears"/>
              <w:keepNext/>
            </w:pPr>
            <w:r>
              <w:t>2017</w:t>
            </w:r>
            <w:r w:rsidRPr="00A75078">
              <w:t>/1</w:t>
            </w:r>
            <w:r>
              <w:t>8</w:t>
            </w:r>
          </w:p>
        </w:tc>
        <w:tc>
          <w:tcPr>
            <w:tcW w:w="1082" w:type="dxa"/>
          </w:tcPr>
          <w:p w:rsidR="00640DA4" w:rsidRPr="00A75078" w:rsidRDefault="00640DA4" w:rsidP="00DC616E">
            <w:pPr>
              <w:pStyle w:val="Financialtableyears"/>
              <w:keepNext/>
            </w:pPr>
            <w:r>
              <w:t>2018/19</w:t>
            </w:r>
          </w:p>
        </w:tc>
        <w:tc>
          <w:tcPr>
            <w:tcW w:w="261" w:type="dxa"/>
          </w:tcPr>
          <w:p w:rsidR="00640DA4" w:rsidRDefault="00640DA4" w:rsidP="00DC616E">
            <w:pPr>
              <w:pStyle w:val="Financialtableyears"/>
              <w:keepNext/>
            </w:pPr>
          </w:p>
        </w:tc>
        <w:tc>
          <w:tcPr>
            <w:tcW w:w="1082" w:type="dxa"/>
          </w:tcPr>
          <w:p w:rsidR="00640DA4" w:rsidRPr="00A75078" w:rsidRDefault="00640DA4" w:rsidP="00177F2F">
            <w:pPr>
              <w:pStyle w:val="Financialtableyears"/>
              <w:keepNext/>
            </w:pPr>
            <w:r>
              <w:t>202</w:t>
            </w:r>
            <w:r w:rsidR="00177F2F">
              <w:t>3</w:t>
            </w:r>
            <w:r>
              <w:t>/2</w:t>
            </w:r>
            <w:r w:rsidR="00177F2F">
              <w:t>4</w:t>
            </w:r>
          </w:p>
        </w:tc>
      </w:tr>
      <w:tr w:rsidR="00640DA4" w:rsidTr="00B278C8">
        <w:tc>
          <w:tcPr>
            <w:tcW w:w="2693" w:type="dxa"/>
          </w:tcPr>
          <w:p w:rsidR="00640DA4" w:rsidRPr="004A25A3" w:rsidRDefault="00640DA4" w:rsidP="00DC616E">
            <w:pPr>
              <w:pStyle w:val="FinancialtableLHC"/>
              <w:keepNext/>
            </w:pPr>
            <w:r w:rsidRPr="004A25A3">
              <w:t>Revenue</w:t>
            </w:r>
          </w:p>
        </w:tc>
        <w:tc>
          <w:tcPr>
            <w:tcW w:w="1082" w:type="dxa"/>
          </w:tcPr>
          <w:p w:rsidR="00640DA4" w:rsidRPr="00BB122F" w:rsidRDefault="00640DA4" w:rsidP="00DC616E">
            <w:pPr>
              <w:pStyle w:val="Financialtablefigures"/>
              <w:keepNext/>
            </w:pPr>
            <w:r>
              <w:t>18.994</w:t>
            </w:r>
          </w:p>
        </w:tc>
        <w:tc>
          <w:tcPr>
            <w:tcW w:w="1082" w:type="dxa"/>
          </w:tcPr>
          <w:p w:rsidR="00640DA4" w:rsidRPr="00BB122F" w:rsidRDefault="00640DA4" w:rsidP="00DC616E">
            <w:pPr>
              <w:pStyle w:val="Financialtablefigures"/>
              <w:keepNext/>
            </w:pPr>
            <w:r>
              <w:t>18.619</w:t>
            </w:r>
          </w:p>
        </w:tc>
        <w:tc>
          <w:tcPr>
            <w:tcW w:w="1082" w:type="dxa"/>
          </w:tcPr>
          <w:p w:rsidR="00640DA4" w:rsidRPr="00BB122F" w:rsidRDefault="00640DA4" w:rsidP="00DC616E">
            <w:pPr>
              <w:pStyle w:val="Financialtablefigures"/>
              <w:keepNext/>
            </w:pPr>
            <w:r>
              <w:t>18.244</w:t>
            </w:r>
          </w:p>
        </w:tc>
        <w:tc>
          <w:tcPr>
            <w:tcW w:w="1082" w:type="dxa"/>
          </w:tcPr>
          <w:p w:rsidR="00640DA4" w:rsidRPr="00BB122F" w:rsidRDefault="00640DA4" w:rsidP="00DC616E">
            <w:pPr>
              <w:pStyle w:val="Financialtablefigures"/>
              <w:keepNext/>
            </w:pPr>
            <w:r>
              <w:t>17.869</w:t>
            </w:r>
          </w:p>
        </w:tc>
        <w:tc>
          <w:tcPr>
            <w:tcW w:w="1082" w:type="dxa"/>
          </w:tcPr>
          <w:p w:rsidR="00640DA4" w:rsidRPr="00BB122F" w:rsidRDefault="00640DA4" w:rsidP="00DC616E">
            <w:pPr>
              <w:pStyle w:val="Financialtablefigures"/>
              <w:keepNext/>
            </w:pPr>
            <w:r>
              <w:t>17.494</w:t>
            </w:r>
          </w:p>
        </w:tc>
        <w:tc>
          <w:tcPr>
            <w:tcW w:w="261" w:type="dxa"/>
          </w:tcPr>
          <w:p w:rsidR="00640DA4" w:rsidRPr="00D70D57" w:rsidRDefault="00640DA4" w:rsidP="00DC616E">
            <w:pPr>
              <w:pStyle w:val="Financialtablefigures"/>
              <w:keepNext/>
            </w:pPr>
          </w:p>
        </w:tc>
        <w:tc>
          <w:tcPr>
            <w:tcW w:w="1082" w:type="dxa"/>
          </w:tcPr>
          <w:p w:rsidR="00640DA4" w:rsidRPr="00D70D57" w:rsidRDefault="00640DA4" w:rsidP="00DC616E">
            <w:pPr>
              <w:pStyle w:val="Financialtablefigures"/>
              <w:keepNext/>
            </w:pPr>
            <w:r>
              <w:t>15.994</w:t>
            </w:r>
          </w:p>
        </w:tc>
      </w:tr>
      <w:tr w:rsidR="00640DA4" w:rsidTr="00B278C8">
        <w:tc>
          <w:tcPr>
            <w:tcW w:w="2693" w:type="dxa"/>
          </w:tcPr>
          <w:p w:rsidR="00640DA4" w:rsidRPr="004A25A3" w:rsidRDefault="00640DA4" w:rsidP="00DC616E">
            <w:pPr>
              <w:pStyle w:val="FinancialtableLHC"/>
              <w:keepNext/>
            </w:pPr>
            <w:r w:rsidRPr="004A25A3">
              <w:t>Expenditure</w:t>
            </w:r>
          </w:p>
        </w:tc>
        <w:tc>
          <w:tcPr>
            <w:tcW w:w="1082" w:type="dxa"/>
          </w:tcPr>
          <w:p w:rsidR="00640DA4" w:rsidRPr="00BB122F" w:rsidRDefault="00640DA4" w:rsidP="00DC616E">
            <w:pPr>
              <w:pStyle w:val="Financialtablefigures"/>
              <w:keepNext/>
            </w:pPr>
            <w:r>
              <w:t>22.835</w:t>
            </w:r>
          </w:p>
        </w:tc>
        <w:tc>
          <w:tcPr>
            <w:tcW w:w="1082" w:type="dxa"/>
          </w:tcPr>
          <w:p w:rsidR="00640DA4" w:rsidRPr="00BB122F" w:rsidRDefault="00640DA4" w:rsidP="00DC616E">
            <w:pPr>
              <w:pStyle w:val="Financialtablefigures"/>
              <w:keepNext/>
            </w:pPr>
            <w:r>
              <w:t>23.620</w:t>
            </w:r>
          </w:p>
        </w:tc>
        <w:tc>
          <w:tcPr>
            <w:tcW w:w="1082" w:type="dxa"/>
          </w:tcPr>
          <w:p w:rsidR="00640DA4" w:rsidRPr="00BB122F" w:rsidRDefault="00640DA4" w:rsidP="00DC616E">
            <w:pPr>
              <w:pStyle w:val="Financialtablefigures"/>
              <w:keepNext/>
            </w:pPr>
            <w:r>
              <w:t>24.120</w:t>
            </w:r>
          </w:p>
        </w:tc>
        <w:tc>
          <w:tcPr>
            <w:tcW w:w="1082" w:type="dxa"/>
          </w:tcPr>
          <w:p w:rsidR="00640DA4" w:rsidRPr="00BB122F" w:rsidRDefault="00640DA4" w:rsidP="00DC616E">
            <w:pPr>
              <w:pStyle w:val="Financialtablefigures"/>
              <w:keepNext/>
            </w:pPr>
            <w:r>
              <w:t>24.620</w:t>
            </w:r>
          </w:p>
        </w:tc>
        <w:tc>
          <w:tcPr>
            <w:tcW w:w="1082" w:type="dxa"/>
          </w:tcPr>
          <w:p w:rsidR="00640DA4" w:rsidRPr="00BB122F" w:rsidRDefault="00640DA4" w:rsidP="00DC616E">
            <w:pPr>
              <w:pStyle w:val="Financialtablefigures"/>
              <w:keepNext/>
            </w:pPr>
            <w:r>
              <w:t>25.120</w:t>
            </w:r>
          </w:p>
        </w:tc>
        <w:tc>
          <w:tcPr>
            <w:tcW w:w="261" w:type="dxa"/>
          </w:tcPr>
          <w:p w:rsidR="00640DA4" w:rsidRDefault="00640DA4" w:rsidP="00DC616E">
            <w:pPr>
              <w:pStyle w:val="Financialtablefigures"/>
              <w:keepNext/>
            </w:pPr>
          </w:p>
        </w:tc>
        <w:tc>
          <w:tcPr>
            <w:tcW w:w="1082" w:type="dxa"/>
          </w:tcPr>
          <w:p w:rsidR="00640DA4" w:rsidRPr="00D70D57" w:rsidRDefault="00640DA4" w:rsidP="00DC616E">
            <w:pPr>
              <w:pStyle w:val="Financialtablefigures"/>
              <w:keepNext/>
            </w:pPr>
            <w:r>
              <w:t>2</w:t>
            </w:r>
            <w:r w:rsidR="00D008A5">
              <w:t>6.</w:t>
            </w:r>
            <w:r w:rsidR="00177F2F">
              <w:t>480</w:t>
            </w:r>
          </w:p>
        </w:tc>
      </w:tr>
      <w:tr w:rsidR="00640DA4" w:rsidTr="00B278C8">
        <w:tc>
          <w:tcPr>
            <w:tcW w:w="2693" w:type="dxa"/>
          </w:tcPr>
          <w:p w:rsidR="00640DA4" w:rsidRPr="00B26156" w:rsidRDefault="00640DA4" w:rsidP="00A436AE">
            <w:pPr>
              <w:pStyle w:val="FinancialtableLHC"/>
              <w:keepNext/>
              <w:rPr>
                <w:b/>
              </w:rPr>
            </w:pPr>
            <w:r w:rsidRPr="00B26156">
              <w:rPr>
                <w:b/>
              </w:rPr>
              <w:t>Deficit</w:t>
            </w:r>
          </w:p>
        </w:tc>
        <w:tc>
          <w:tcPr>
            <w:tcW w:w="1082" w:type="dxa"/>
          </w:tcPr>
          <w:p w:rsidR="00640DA4" w:rsidRPr="00BB122F" w:rsidRDefault="00827039" w:rsidP="00827039">
            <w:pPr>
              <w:pStyle w:val="Financialtablefigures"/>
              <w:keepNext/>
            </w:pPr>
            <w:r>
              <w:t>-</w:t>
            </w:r>
            <w:r w:rsidR="00640DA4">
              <w:t>3.841</w:t>
            </w:r>
          </w:p>
        </w:tc>
        <w:tc>
          <w:tcPr>
            <w:tcW w:w="1082" w:type="dxa"/>
          </w:tcPr>
          <w:p w:rsidR="00640DA4" w:rsidRPr="00BB122F" w:rsidRDefault="00806849" w:rsidP="00DC616E">
            <w:pPr>
              <w:pStyle w:val="Financialtablefigures"/>
              <w:keepNext/>
            </w:pPr>
            <w:r>
              <w:t>-5.001</w:t>
            </w:r>
          </w:p>
        </w:tc>
        <w:tc>
          <w:tcPr>
            <w:tcW w:w="1082" w:type="dxa"/>
          </w:tcPr>
          <w:p w:rsidR="00640DA4" w:rsidRPr="00BB122F" w:rsidRDefault="00806849" w:rsidP="00DC616E">
            <w:pPr>
              <w:pStyle w:val="Financialtablefigures"/>
              <w:keepNext/>
            </w:pPr>
            <w:r>
              <w:t>-5.876</w:t>
            </w:r>
          </w:p>
        </w:tc>
        <w:tc>
          <w:tcPr>
            <w:tcW w:w="1082" w:type="dxa"/>
          </w:tcPr>
          <w:p w:rsidR="00640DA4" w:rsidRPr="00BB122F" w:rsidRDefault="00806849" w:rsidP="00DC616E">
            <w:pPr>
              <w:pStyle w:val="Financialtablefigures"/>
              <w:keepNext/>
            </w:pPr>
            <w:r>
              <w:t>-6.751</w:t>
            </w:r>
          </w:p>
        </w:tc>
        <w:tc>
          <w:tcPr>
            <w:tcW w:w="1082" w:type="dxa"/>
          </w:tcPr>
          <w:p w:rsidR="00640DA4" w:rsidRPr="00BB122F" w:rsidRDefault="00806849" w:rsidP="00DC616E">
            <w:pPr>
              <w:pStyle w:val="Financialtablefigures"/>
              <w:keepNext/>
            </w:pPr>
            <w:r>
              <w:t>-7.626</w:t>
            </w:r>
          </w:p>
        </w:tc>
        <w:tc>
          <w:tcPr>
            <w:tcW w:w="261" w:type="dxa"/>
          </w:tcPr>
          <w:p w:rsidR="00640DA4" w:rsidRDefault="00640DA4" w:rsidP="00DC616E">
            <w:pPr>
              <w:pStyle w:val="Financialtablefigures"/>
              <w:keepNext/>
            </w:pPr>
          </w:p>
        </w:tc>
        <w:tc>
          <w:tcPr>
            <w:tcW w:w="1082" w:type="dxa"/>
          </w:tcPr>
          <w:p w:rsidR="00640DA4" w:rsidRPr="00D70D57" w:rsidRDefault="00806849" w:rsidP="00177F2F">
            <w:pPr>
              <w:pStyle w:val="Financialtablefigures"/>
              <w:keepNext/>
            </w:pPr>
            <w:r>
              <w:t>-10.</w:t>
            </w:r>
            <w:r w:rsidR="00177F2F">
              <w:t>4</w:t>
            </w:r>
            <w:r>
              <w:t>86</w:t>
            </w:r>
          </w:p>
        </w:tc>
      </w:tr>
    </w:tbl>
    <w:p w:rsidR="00CE6F2D" w:rsidRDefault="00CE6F2D" w:rsidP="000926A1">
      <w:pPr>
        <w:pStyle w:val="NumbersLevel1"/>
        <w:tabs>
          <w:tab w:val="clear" w:pos="709"/>
        </w:tabs>
        <w:ind w:left="0" w:firstLine="0"/>
        <w:rPr>
          <w:rFonts w:ascii="Calibri" w:hAnsi="Calibri"/>
          <w:sz w:val="24"/>
        </w:rPr>
      </w:pPr>
    </w:p>
    <w:p w:rsidR="007F11E6" w:rsidRPr="00AE2A7F" w:rsidRDefault="00EB7B0A" w:rsidP="00AE2A7F">
      <w:pPr>
        <w:pStyle w:val="NumbersLevel1"/>
        <w:numPr>
          <w:ilvl w:val="0"/>
          <w:numId w:val="20"/>
        </w:numPr>
        <w:tabs>
          <w:tab w:val="num" w:pos="709"/>
        </w:tabs>
        <w:ind w:left="709" w:hanging="709"/>
        <w:rPr>
          <w:rFonts w:ascii="Calibri" w:eastAsia="Calibri" w:hAnsi="Calibri"/>
          <w:sz w:val="24"/>
          <w:lang w:val="en-AU"/>
        </w:rPr>
      </w:pPr>
      <w:r>
        <w:rPr>
          <w:rFonts w:ascii="Calibri" w:eastAsia="Calibri" w:hAnsi="Calibri"/>
          <w:sz w:val="24"/>
          <w:lang w:val="en-AU"/>
        </w:rPr>
        <w:t>Current and</w:t>
      </w:r>
      <w:r w:rsidR="00E41F42">
        <w:rPr>
          <w:rFonts w:ascii="Calibri" w:eastAsia="Calibri" w:hAnsi="Calibri"/>
          <w:sz w:val="24"/>
          <w:lang w:val="en-AU"/>
        </w:rPr>
        <w:t xml:space="preserve"> forecast cost pressures</w:t>
      </w:r>
      <w:r w:rsidR="006C724C">
        <w:rPr>
          <w:rFonts w:ascii="Calibri" w:eastAsia="Calibri" w:hAnsi="Calibri"/>
          <w:sz w:val="24"/>
          <w:lang w:val="en-AU"/>
        </w:rPr>
        <w:t xml:space="preserve"> are driven by the need to</w:t>
      </w:r>
      <w:r w:rsidR="000031C5">
        <w:rPr>
          <w:rFonts w:ascii="Calibri" w:eastAsia="Calibri" w:hAnsi="Calibri"/>
          <w:sz w:val="24"/>
          <w:lang w:val="en-AU"/>
        </w:rPr>
        <w:t xml:space="preserve"> </w:t>
      </w:r>
      <w:r w:rsidR="00920D05" w:rsidRPr="00AE2A7F">
        <w:rPr>
          <w:rFonts w:ascii="Calibri" w:hAnsi="Calibri"/>
          <w:sz w:val="24"/>
        </w:rPr>
        <w:t xml:space="preserve">maintain </w:t>
      </w:r>
      <w:r w:rsidR="00B24E3C">
        <w:rPr>
          <w:rFonts w:ascii="Calibri" w:hAnsi="Calibri"/>
          <w:sz w:val="24"/>
        </w:rPr>
        <w:t xml:space="preserve">the Department’s </w:t>
      </w:r>
      <w:r w:rsidR="00920D05" w:rsidRPr="00AE2A7F">
        <w:rPr>
          <w:rFonts w:ascii="Calibri" w:hAnsi="Calibri"/>
          <w:sz w:val="24"/>
        </w:rPr>
        <w:t xml:space="preserve">levels of </w:t>
      </w:r>
      <w:r w:rsidR="00732937" w:rsidRPr="00AE2A7F">
        <w:rPr>
          <w:rFonts w:ascii="Calibri" w:hAnsi="Calibri"/>
          <w:sz w:val="24"/>
        </w:rPr>
        <w:t>regulatory activity</w:t>
      </w:r>
      <w:r w:rsidR="00B24E3C">
        <w:rPr>
          <w:rFonts w:ascii="Calibri" w:hAnsi="Calibri"/>
          <w:sz w:val="24"/>
        </w:rPr>
        <w:t xml:space="preserve"> and technical capability,</w:t>
      </w:r>
      <w:r w:rsidR="008D07BA">
        <w:rPr>
          <w:rFonts w:ascii="Calibri" w:hAnsi="Calibri"/>
          <w:sz w:val="24"/>
        </w:rPr>
        <w:t xml:space="preserve"> </w:t>
      </w:r>
      <w:r w:rsidR="00CE6F2D">
        <w:rPr>
          <w:rFonts w:ascii="Calibri" w:hAnsi="Calibri"/>
          <w:sz w:val="24"/>
        </w:rPr>
        <w:t xml:space="preserve">while continuing to manage </w:t>
      </w:r>
      <w:r w:rsidR="00656365">
        <w:rPr>
          <w:rFonts w:ascii="Calibri" w:hAnsi="Calibri"/>
          <w:sz w:val="24"/>
        </w:rPr>
        <w:t>general cost pressures</w:t>
      </w:r>
      <w:r w:rsidR="009631B9">
        <w:rPr>
          <w:rFonts w:ascii="Calibri" w:hAnsi="Calibri"/>
          <w:sz w:val="24"/>
        </w:rPr>
        <w:t xml:space="preserve">, </w:t>
      </w:r>
      <w:r w:rsidR="00732937" w:rsidRPr="00AE2A7F">
        <w:rPr>
          <w:rFonts w:ascii="Calibri" w:hAnsi="Calibri"/>
          <w:sz w:val="24"/>
        </w:rPr>
        <w:t>corporate overheads</w:t>
      </w:r>
      <w:r w:rsidR="00C63FB4">
        <w:rPr>
          <w:rFonts w:ascii="Calibri" w:hAnsi="Calibri"/>
          <w:sz w:val="24"/>
        </w:rPr>
        <w:t xml:space="preserve"> </w:t>
      </w:r>
      <w:r w:rsidR="009631B9">
        <w:rPr>
          <w:rFonts w:ascii="Calibri" w:hAnsi="Calibri"/>
          <w:sz w:val="24"/>
        </w:rPr>
        <w:t>and capital charge</w:t>
      </w:r>
      <w:r w:rsidR="00ED696E">
        <w:rPr>
          <w:rFonts w:ascii="Calibri" w:hAnsi="Calibri"/>
          <w:sz w:val="24"/>
        </w:rPr>
        <w:t>s</w:t>
      </w:r>
      <w:r w:rsidR="000031C5">
        <w:rPr>
          <w:rFonts w:ascii="Calibri" w:hAnsi="Calibri"/>
          <w:sz w:val="24"/>
        </w:rPr>
        <w:t>.</w:t>
      </w:r>
      <w:r w:rsidR="00281BEB">
        <w:rPr>
          <w:rFonts w:ascii="Calibri" w:hAnsi="Calibri"/>
          <w:sz w:val="24"/>
        </w:rPr>
        <w:t xml:space="preserve"> </w:t>
      </w:r>
    </w:p>
    <w:p w:rsidR="007F11E6" w:rsidRPr="007F11E6" w:rsidRDefault="00B23C01" w:rsidP="007F11E6">
      <w:pPr>
        <w:pStyle w:val="Heading3"/>
      </w:pPr>
      <w:r w:rsidRPr="00A113F4">
        <w:t>Constant levels of regulatory activity</w:t>
      </w:r>
    </w:p>
    <w:p w:rsidR="008F1FA7" w:rsidRDefault="00FA2244" w:rsidP="00957AF6">
      <w:pPr>
        <w:pStyle w:val="NumbersLevel1"/>
        <w:numPr>
          <w:ilvl w:val="0"/>
          <w:numId w:val="20"/>
        </w:numPr>
        <w:tabs>
          <w:tab w:val="num" w:pos="709"/>
        </w:tabs>
        <w:ind w:left="709" w:hanging="709"/>
        <w:rPr>
          <w:rFonts w:ascii="Calibri" w:hAnsi="Calibri"/>
          <w:sz w:val="24"/>
        </w:rPr>
      </w:pPr>
      <w:r w:rsidRPr="008F1FA7">
        <w:rPr>
          <w:rFonts w:ascii="Calibri" w:hAnsi="Calibri"/>
          <w:sz w:val="24"/>
        </w:rPr>
        <w:t>R</w:t>
      </w:r>
      <w:r w:rsidR="007F11E6" w:rsidRPr="008F1FA7">
        <w:rPr>
          <w:rFonts w:ascii="Calibri" w:hAnsi="Calibri"/>
          <w:sz w:val="24"/>
        </w:rPr>
        <w:t xml:space="preserve">egulatory activity </w:t>
      </w:r>
      <w:r w:rsidR="00547998" w:rsidRPr="008F1FA7">
        <w:rPr>
          <w:rFonts w:ascii="Calibri" w:hAnsi="Calibri"/>
          <w:sz w:val="24"/>
        </w:rPr>
        <w:t>has remained constant</w:t>
      </w:r>
      <w:r w:rsidR="00E73CE4" w:rsidRPr="008F1FA7">
        <w:rPr>
          <w:rFonts w:ascii="Calibri" w:hAnsi="Calibri"/>
          <w:sz w:val="24"/>
        </w:rPr>
        <w:t xml:space="preserve"> </w:t>
      </w:r>
      <w:r w:rsidR="00547998" w:rsidRPr="008F1FA7">
        <w:rPr>
          <w:rFonts w:ascii="Calibri" w:hAnsi="Calibri"/>
          <w:sz w:val="24"/>
        </w:rPr>
        <w:t xml:space="preserve">despite the decrease in </w:t>
      </w:r>
      <w:r w:rsidR="002A4581" w:rsidRPr="008F1FA7">
        <w:rPr>
          <w:rFonts w:ascii="Calibri" w:hAnsi="Calibri"/>
          <w:sz w:val="24"/>
        </w:rPr>
        <w:t xml:space="preserve">the </w:t>
      </w:r>
      <w:r w:rsidR="00547998" w:rsidRPr="008F1FA7">
        <w:rPr>
          <w:rFonts w:ascii="Calibri" w:hAnsi="Calibri"/>
          <w:sz w:val="24"/>
        </w:rPr>
        <w:t xml:space="preserve">number of gaming machines. </w:t>
      </w:r>
      <w:r w:rsidR="00F07A4D" w:rsidRPr="008F1FA7">
        <w:rPr>
          <w:rFonts w:ascii="Calibri" w:hAnsi="Calibri"/>
          <w:sz w:val="24"/>
        </w:rPr>
        <w:t xml:space="preserve">Actual gambling activity and spend has stayed at similar levels (New Zealanders are gambling roughly the same amount, just on fewer machines). </w:t>
      </w:r>
    </w:p>
    <w:p w:rsidR="00021E20" w:rsidRPr="008F1FA7" w:rsidRDefault="0035248F" w:rsidP="00957AF6">
      <w:pPr>
        <w:pStyle w:val="NumbersLevel1"/>
        <w:numPr>
          <w:ilvl w:val="0"/>
          <w:numId w:val="20"/>
        </w:numPr>
        <w:tabs>
          <w:tab w:val="num" w:pos="709"/>
        </w:tabs>
        <w:ind w:left="709" w:hanging="709"/>
        <w:rPr>
          <w:rFonts w:ascii="Calibri" w:hAnsi="Calibri"/>
          <w:sz w:val="24"/>
        </w:rPr>
      </w:pPr>
      <w:r w:rsidRPr="008F1FA7">
        <w:rPr>
          <w:rFonts w:ascii="Calibri" w:hAnsi="Calibri"/>
          <w:sz w:val="24"/>
        </w:rPr>
        <w:t>The Class 4 sector is continuing to evolve</w:t>
      </w:r>
      <w:r w:rsidR="005A2F84" w:rsidRPr="008F1FA7">
        <w:rPr>
          <w:rFonts w:ascii="Calibri" w:hAnsi="Calibri"/>
          <w:sz w:val="24"/>
        </w:rPr>
        <w:t>,</w:t>
      </w:r>
      <w:r w:rsidRPr="008F1FA7">
        <w:rPr>
          <w:rFonts w:ascii="Calibri" w:hAnsi="Calibri"/>
          <w:sz w:val="24"/>
        </w:rPr>
        <w:t xml:space="preserve"> with </w:t>
      </w:r>
      <w:r w:rsidR="005A2F84" w:rsidRPr="008F1FA7">
        <w:rPr>
          <w:rFonts w:ascii="Calibri" w:hAnsi="Calibri"/>
          <w:sz w:val="24"/>
        </w:rPr>
        <w:t>levels of non-compliance becoming increasingly systemic.</w:t>
      </w:r>
      <w:r w:rsidRPr="008F1FA7">
        <w:rPr>
          <w:rFonts w:ascii="Calibri" w:hAnsi="Calibri"/>
          <w:sz w:val="24"/>
        </w:rPr>
        <w:t xml:space="preserve"> </w:t>
      </w:r>
      <w:r w:rsidR="0095468B" w:rsidRPr="008F1FA7">
        <w:rPr>
          <w:rFonts w:ascii="Calibri" w:hAnsi="Calibri"/>
          <w:sz w:val="24"/>
        </w:rPr>
        <w:t xml:space="preserve">The Department’s investigations, audits and venue inspections of Class 4 activity identify breaches or non-compliance approximately 50 per cent of the time with varying degrees of severity. </w:t>
      </w:r>
      <w:r w:rsidR="002A4581" w:rsidRPr="008F1FA7">
        <w:rPr>
          <w:rFonts w:ascii="Calibri" w:hAnsi="Calibri"/>
          <w:sz w:val="24"/>
        </w:rPr>
        <w:t xml:space="preserve">Increasingly, non-compliance in the Class 4 sector involves </w:t>
      </w:r>
      <w:r w:rsidR="00D11237" w:rsidRPr="008F1FA7">
        <w:rPr>
          <w:rFonts w:ascii="Calibri" w:hAnsi="Calibri"/>
          <w:sz w:val="24"/>
        </w:rPr>
        <w:t xml:space="preserve">complex, </w:t>
      </w:r>
      <w:r w:rsidR="002A4581" w:rsidRPr="008F1FA7">
        <w:rPr>
          <w:rFonts w:ascii="Calibri" w:hAnsi="Calibri"/>
          <w:sz w:val="24"/>
        </w:rPr>
        <w:t>large scale fraud and criminal activity</w:t>
      </w:r>
      <w:r w:rsidR="00BE0280" w:rsidRPr="008F1FA7">
        <w:rPr>
          <w:rFonts w:ascii="Calibri" w:hAnsi="Calibri"/>
          <w:sz w:val="24"/>
        </w:rPr>
        <w:t xml:space="preserve"> that increases cost pressure on the Department. </w:t>
      </w:r>
      <w:r w:rsidR="005017DC" w:rsidRPr="008F1FA7">
        <w:rPr>
          <w:rFonts w:ascii="Calibri" w:hAnsi="Calibri"/>
          <w:sz w:val="24"/>
        </w:rPr>
        <w:t>Investigative and legal work</w:t>
      </w:r>
      <w:r w:rsidR="002A4581" w:rsidRPr="008F1FA7">
        <w:rPr>
          <w:rFonts w:ascii="Calibri" w:hAnsi="Calibri"/>
          <w:sz w:val="24"/>
        </w:rPr>
        <w:t xml:space="preserve"> </w:t>
      </w:r>
      <w:r w:rsidR="005017DC" w:rsidRPr="008F1FA7">
        <w:rPr>
          <w:rFonts w:ascii="Calibri" w:hAnsi="Calibri"/>
          <w:sz w:val="24"/>
        </w:rPr>
        <w:t>in response to th</w:t>
      </w:r>
      <w:r w:rsidR="00FA6A8A" w:rsidRPr="008F1FA7">
        <w:rPr>
          <w:rFonts w:ascii="Calibri" w:hAnsi="Calibri"/>
          <w:sz w:val="24"/>
        </w:rPr>
        <w:t>ese activities</w:t>
      </w:r>
      <w:r w:rsidR="005017DC" w:rsidRPr="008F1FA7">
        <w:rPr>
          <w:rFonts w:ascii="Calibri" w:hAnsi="Calibri"/>
          <w:sz w:val="24"/>
        </w:rPr>
        <w:t xml:space="preserve"> is contributing to the Department’s under-recovery of costs. </w:t>
      </w:r>
    </w:p>
    <w:p w:rsidR="002A4581" w:rsidRPr="009B293D" w:rsidRDefault="00005352" w:rsidP="00957AF6">
      <w:pPr>
        <w:pStyle w:val="NumbersLevel1"/>
        <w:numPr>
          <w:ilvl w:val="0"/>
          <w:numId w:val="20"/>
        </w:numPr>
        <w:tabs>
          <w:tab w:val="num" w:pos="709"/>
        </w:tabs>
        <w:ind w:left="709" w:hanging="709"/>
        <w:rPr>
          <w:rFonts w:ascii="Calibri" w:hAnsi="Calibri"/>
          <w:sz w:val="24"/>
        </w:rPr>
      </w:pPr>
      <w:r>
        <w:rPr>
          <w:rFonts w:ascii="Calibri" w:hAnsi="Calibri"/>
          <w:sz w:val="24"/>
        </w:rPr>
        <w:t xml:space="preserve">The Department works closely with the Police and other law enforcement agencies, sharing information and co-operating on enforcement actions. </w:t>
      </w:r>
      <w:r w:rsidR="002A4581" w:rsidRPr="00875D55">
        <w:rPr>
          <w:rFonts w:ascii="Calibri" w:hAnsi="Calibri"/>
          <w:sz w:val="24"/>
        </w:rPr>
        <w:t xml:space="preserve">A large scale investigation in collaboration with the Serious Fraud Office is nearing completion. </w:t>
      </w:r>
      <w:r w:rsidR="002A4581" w:rsidRPr="00957AF6">
        <w:rPr>
          <w:rFonts w:ascii="Calibri" w:hAnsi="Calibri"/>
          <w:sz w:val="24"/>
        </w:rPr>
        <w:t>The investigation suggests that a number of societies have significant grant integrity issues and that grant capt</w:t>
      </w:r>
      <w:r w:rsidR="009B293D">
        <w:rPr>
          <w:rFonts w:ascii="Calibri" w:hAnsi="Calibri"/>
          <w:sz w:val="24"/>
        </w:rPr>
        <w:t xml:space="preserve">ure is of growing concern. </w:t>
      </w:r>
      <w:r w:rsidR="00177909">
        <w:rPr>
          <w:rFonts w:ascii="Calibri" w:hAnsi="Calibri"/>
          <w:sz w:val="24"/>
        </w:rPr>
        <w:t>A</w:t>
      </w:r>
      <w:r w:rsidR="009B293D">
        <w:rPr>
          <w:rFonts w:ascii="Calibri" w:hAnsi="Calibri"/>
          <w:sz w:val="24"/>
        </w:rPr>
        <w:t xml:space="preserve">dditional budget of </w:t>
      </w:r>
      <w:r w:rsidR="002A4581" w:rsidRPr="009B293D">
        <w:rPr>
          <w:rFonts w:ascii="Calibri" w:hAnsi="Calibri"/>
          <w:sz w:val="24"/>
        </w:rPr>
        <w:t xml:space="preserve">$0.67 million in 2013/14 and </w:t>
      </w:r>
      <w:r w:rsidR="009B293D">
        <w:rPr>
          <w:rFonts w:ascii="Calibri" w:hAnsi="Calibri"/>
          <w:sz w:val="24"/>
        </w:rPr>
        <w:t xml:space="preserve">$0.62 million in 2014/15 </w:t>
      </w:r>
      <w:r w:rsidR="00177909">
        <w:rPr>
          <w:rFonts w:ascii="Calibri" w:hAnsi="Calibri"/>
          <w:sz w:val="24"/>
        </w:rPr>
        <w:t xml:space="preserve">had to be sought </w:t>
      </w:r>
      <w:r w:rsidR="009B293D">
        <w:rPr>
          <w:rFonts w:ascii="Calibri" w:hAnsi="Calibri"/>
          <w:sz w:val="24"/>
        </w:rPr>
        <w:t>t</w:t>
      </w:r>
      <w:r w:rsidR="00FB6526">
        <w:rPr>
          <w:rFonts w:ascii="Calibri" w:hAnsi="Calibri"/>
          <w:sz w:val="24"/>
        </w:rPr>
        <w:t xml:space="preserve">o fund the investigation. The investigation is </w:t>
      </w:r>
      <w:r w:rsidR="009B293D">
        <w:rPr>
          <w:rFonts w:ascii="Calibri" w:hAnsi="Calibri"/>
          <w:sz w:val="24"/>
        </w:rPr>
        <w:t xml:space="preserve">one of several </w:t>
      </w:r>
      <w:r w:rsidR="00FB6526">
        <w:rPr>
          <w:rFonts w:ascii="Calibri" w:hAnsi="Calibri"/>
          <w:sz w:val="24"/>
        </w:rPr>
        <w:t>that</w:t>
      </w:r>
      <w:r w:rsidR="009B293D">
        <w:rPr>
          <w:rFonts w:ascii="Calibri" w:hAnsi="Calibri"/>
          <w:sz w:val="24"/>
        </w:rPr>
        <w:t xml:space="preserve"> the Department</w:t>
      </w:r>
      <w:r w:rsidR="00FB6526">
        <w:rPr>
          <w:rFonts w:ascii="Calibri" w:hAnsi="Calibri"/>
          <w:sz w:val="24"/>
        </w:rPr>
        <w:t xml:space="preserve"> is currently undertaking.</w:t>
      </w:r>
      <w:r w:rsidR="009B293D">
        <w:rPr>
          <w:rFonts w:ascii="Calibri" w:hAnsi="Calibri"/>
          <w:sz w:val="24"/>
        </w:rPr>
        <w:t xml:space="preserve"> </w:t>
      </w:r>
    </w:p>
    <w:p w:rsidR="00CD240D" w:rsidRPr="008F1FA7" w:rsidRDefault="00CD240D" w:rsidP="005A3016">
      <w:pPr>
        <w:pStyle w:val="NumbersLevel1"/>
        <w:numPr>
          <w:ilvl w:val="0"/>
          <w:numId w:val="20"/>
        </w:numPr>
        <w:tabs>
          <w:tab w:val="num" w:pos="709"/>
        </w:tabs>
        <w:ind w:left="709" w:hanging="709"/>
        <w:rPr>
          <w:rFonts w:ascii="Calibri" w:hAnsi="Calibri"/>
          <w:sz w:val="24"/>
        </w:rPr>
      </w:pPr>
      <w:r w:rsidRPr="008F1FA7">
        <w:rPr>
          <w:rFonts w:ascii="Calibri" w:hAnsi="Calibri"/>
          <w:sz w:val="24"/>
        </w:rPr>
        <w:t xml:space="preserve">Parts of the Class 4 gambling sector </w:t>
      </w:r>
      <w:r w:rsidR="008F1FA7">
        <w:rPr>
          <w:rFonts w:ascii="Calibri" w:hAnsi="Calibri"/>
          <w:sz w:val="24"/>
        </w:rPr>
        <w:t xml:space="preserve">tend to be highly litigious, which </w:t>
      </w:r>
      <w:r w:rsidRPr="008F1FA7">
        <w:rPr>
          <w:rFonts w:ascii="Calibri" w:hAnsi="Calibri"/>
          <w:sz w:val="24"/>
        </w:rPr>
        <w:t>creat</w:t>
      </w:r>
      <w:r w:rsidR="008F1FA7">
        <w:rPr>
          <w:rFonts w:ascii="Calibri" w:hAnsi="Calibri"/>
          <w:sz w:val="24"/>
        </w:rPr>
        <w:t xml:space="preserve">es </w:t>
      </w:r>
      <w:r w:rsidRPr="008F1FA7">
        <w:rPr>
          <w:rFonts w:ascii="Calibri" w:hAnsi="Calibri"/>
          <w:sz w:val="24"/>
        </w:rPr>
        <w:t xml:space="preserve">a steady flow of </w:t>
      </w:r>
      <w:r w:rsidR="008F1FA7">
        <w:rPr>
          <w:rFonts w:ascii="Calibri" w:hAnsi="Calibri"/>
          <w:sz w:val="24"/>
        </w:rPr>
        <w:t>legal work and associated costs</w:t>
      </w:r>
      <w:r w:rsidR="00177909" w:rsidRPr="008F1FA7">
        <w:rPr>
          <w:rFonts w:ascii="Calibri" w:hAnsi="Calibri"/>
          <w:sz w:val="24"/>
        </w:rPr>
        <w:t xml:space="preserve"> for the Department</w:t>
      </w:r>
      <w:r w:rsidR="008F1FA7">
        <w:rPr>
          <w:rFonts w:ascii="Calibri" w:hAnsi="Calibri"/>
          <w:sz w:val="24"/>
        </w:rPr>
        <w:t>.</w:t>
      </w:r>
      <w:r w:rsidR="008F1FA7" w:rsidRPr="008F1FA7">
        <w:rPr>
          <w:rFonts w:ascii="Calibri" w:hAnsi="Calibri"/>
          <w:sz w:val="24"/>
        </w:rPr>
        <w:t xml:space="preserve"> </w:t>
      </w:r>
      <w:r w:rsidR="009D7A13" w:rsidRPr="008F1FA7">
        <w:rPr>
          <w:rFonts w:ascii="Calibri" w:hAnsi="Calibri"/>
          <w:sz w:val="24"/>
        </w:rPr>
        <w:t>Legal contestation of the Department’s decisions is increasing</w:t>
      </w:r>
      <w:r w:rsidR="00D72CEA" w:rsidRPr="008F1FA7">
        <w:rPr>
          <w:rFonts w:ascii="Calibri" w:hAnsi="Calibri"/>
          <w:sz w:val="24"/>
        </w:rPr>
        <w:t xml:space="preserve">. Typically between five and ten cases are before the courts or the Commission </w:t>
      </w:r>
      <w:r w:rsidR="00C665CB" w:rsidRPr="008F1FA7">
        <w:rPr>
          <w:rFonts w:ascii="Calibri" w:hAnsi="Calibri"/>
          <w:sz w:val="24"/>
        </w:rPr>
        <w:t>at any point in time</w:t>
      </w:r>
      <w:r w:rsidR="008F1FA7">
        <w:rPr>
          <w:rFonts w:ascii="Calibri" w:hAnsi="Calibri"/>
          <w:sz w:val="24"/>
        </w:rPr>
        <w:t xml:space="preserve">. </w:t>
      </w:r>
      <w:r w:rsidR="00542CE7" w:rsidRPr="008F1FA7">
        <w:rPr>
          <w:rFonts w:ascii="Calibri" w:hAnsi="Calibri"/>
          <w:sz w:val="24"/>
        </w:rPr>
        <w:t xml:space="preserve">The costs of a single judicial review can amount to approximately $70,000 – 80,000 in legal fees. </w:t>
      </w:r>
    </w:p>
    <w:p w:rsidR="00B02529" w:rsidRPr="00D675BF" w:rsidRDefault="00C57F21" w:rsidP="00B02529">
      <w:pPr>
        <w:pStyle w:val="Heading3"/>
      </w:pPr>
      <w:r w:rsidRPr="00D675BF">
        <w:lastRenderedPageBreak/>
        <w:t>Technical capability</w:t>
      </w:r>
    </w:p>
    <w:p w:rsidR="00F934F9" w:rsidRPr="00367AC8" w:rsidRDefault="004A576B" w:rsidP="00367AC8">
      <w:pPr>
        <w:pStyle w:val="NumbersLevel1"/>
        <w:numPr>
          <w:ilvl w:val="0"/>
          <w:numId w:val="20"/>
        </w:numPr>
        <w:tabs>
          <w:tab w:val="num" w:pos="709"/>
        </w:tabs>
        <w:ind w:left="709" w:hanging="709"/>
        <w:rPr>
          <w:rFonts w:ascii="Calibri" w:hAnsi="Calibri"/>
          <w:sz w:val="24"/>
        </w:rPr>
      </w:pPr>
      <w:r w:rsidRPr="00D675BF">
        <w:rPr>
          <w:rFonts w:ascii="Calibri" w:hAnsi="Calibri"/>
          <w:sz w:val="24"/>
        </w:rPr>
        <w:t>T</w:t>
      </w:r>
      <w:r w:rsidR="00A436AE" w:rsidRPr="00D675BF">
        <w:rPr>
          <w:rFonts w:ascii="Calibri" w:hAnsi="Calibri"/>
          <w:sz w:val="24"/>
        </w:rPr>
        <w:t>he Department continue</w:t>
      </w:r>
      <w:r w:rsidRPr="00D675BF">
        <w:rPr>
          <w:rFonts w:ascii="Calibri" w:hAnsi="Calibri"/>
          <w:sz w:val="24"/>
        </w:rPr>
        <w:t>s</w:t>
      </w:r>
      <w:r w:rsidR="00A436AE" w:rsidRPr="00D675BF">
        <w:rPr>
          <w:rFonts w:ascii="Calibri" w:hAnsi="Calibri"/>
          <w:sz w:val="24"/>
        </w:rPr>
        <w:t xml:space="preserve"> to invest in maintaining its technical capability</w:t>
      </w:r>
      <w:r w:rsidR="00445954" w:rsidRPr="00D675BF">
        <w:rPr>
          <w:rFonts w:ascii="Calibri" w:hAnsi="Calibri"/>
          <w:sz w:val="24"/>
        </w:rPr>
        <w:t xml:space="preserve"> </w:t>
      </w:r>
      <w:r w:rsidR="00A436AE" w:rsidRPr="00D675BF">
        <w:rPr>
          <w:rFonts w:ascii="Calibri" w:hAnsi="Calibri"/>
          <w:sz w:val="24"/>
        </w:rPr>
        <w:t>from which the gambling regulatory function receives considerable benefit</w:t>
      </w:r>
      <w:r w:rsidR="00397DA3" w:rsidRPr="00D675BF">
        <w:rPr>
          <w:rFonts w:ascii="Calibri" w:hAnsi="Calibri"/>
          <w:sz w:val="24"/>
        </w:rPr>
        <w:t xml:space="preserve">. </w:t>
      </w:r>
      <w:r w:rsidR="00D675BF" w:rsidRPr="00367AC8">
        <w:rPr>
          <w:rFonts w:ascii="Calibri" w:hAnsi="Calibri"/>
          <w:sz w:val="24"/>
        </w:rPr>
        <w:t>As required by the Act, the Department monitors all Class 4 gaming machine</w:t>
      </w:r>
      <w:r w:rsidR="005456D0">
        <w:rPr>
          <w:rFonts w:ascii="Calibri" w:hAnsi="Calibri"/>
          <w:sz w:val="24"/>
        </w:rPr>
        <w:t>s</w:t>
      </w:r>
      <w:r w:rsidR="00D675BF" w:rsidRPr="00367AC8">
        <w:rPr>
          <w:rFonts w:ascii="Calibri" w:hAnsi="Calibri"/>
          <w:sz w:val="24"/>
        </w:rPr>
        <w:t xml:space="preserve"> through the EMS</w:t>
      </w:r>
      <w:r w:rsidR="005456D0">
        <w:rPr>
          <w:rFonts w:ascii="Calibri" w:hAnsi="Calibri"/>
          <w:sz w:val="24"/>
        </w:rPr>
        <w:t xml:space="preserve">. This monitoring is fundamental to regulating the sector. </w:t>
      </w:r>
      <w:r w:rsidR="00ED6803" w:rsidRPr="00367AC8">
        <w:rPr>
          <w:rFonts w:ascii="Calibri" w:hAnsi="Calibri"/>
          <w:sz w:val="24"/>
        </w:rPr>
        <w:t xml:space="preserve">The EMS connects every gaming machine in every pub and club in New Zealand to a central server. It </w:t>
      </w:r>
      <w:r w:rsidR="007C0A2F" w:rsidRPr="00367AC8">
        <w:rPr>
          <w:rFonts w:ascii="Calibri" w:hAnsi="Calibri"/>
          <w:sz w:val="24"/>
        </w:rPr>
        <w:t>records information such as the amount of money gambled, the amount required to be banked, whether the machine is in use and</w:t>
      </w:r>
      <w:r w:rsidR="00C63FB4" w:rsidRPr="00367AC8">
        <w:rPr>
          <w:rFonts w:ascii="Calibri" w:hAnsi="Calibri"/>
          <w:sz w:val="24"/>
        </w:rPr>
        <w:t xml:space="preserve"> if it has been tampered with. </w:t>
      </w:r>
      <w:r w:rsidR="00F934F9" w:rsidRPr="00367AC8">
        <w:rPr>
          <w:rFonts w:ascii="Calibri" w:hAnsi="Calibri"/>
          <w:sz w:val="24"/>
        </w:rPr>
        <w:t>Initially the costs of EMS were related to its design, development and implementation and the on-going costs associated with the contract provider, Intralot NZ</w:t>
      </w:r>
      <w:r w:rsidR="00C63FB4" w:rsidRPr="00367AC8">
        <w:rPr>
          <w:rFonts w:ascii="Calibri" w:hAnsi="Calibri"/>
          <w:sz w:val="24"/>
        </w:rPr>
        <w:t xml:space="preserve">. </w:t>
      </w:r>
      <w:r w:rsidR="00F934F9" w:rsidRPr="00367AC8">
        <w:rPr>
          <w:rFonts w:ascii="Calibri" w:hAnsi="Calibri"/>
          <w:sz w:val="24"/>
        </w:rPr>
        <w:t>Now that the system has matured, the remaining co</w:t>
      </w:r>
      <w:r w:rsidR="007C0A2F" w:rsidRPr="00367AC8">
        <w:rPr>
          <w:rFonts w:ascii="Calibri" w:hAnsi="Calibri"/>
          <w:sz w:val="24"/>
        </w:rPr>
        <w:t xml:space="preserve">sts relate to the Department’s </w:t>
      </w:r>
      <w:r w:rsidR="000031C5" w:rsidRPr="00367AC8">
        <w:rPr>
          <w:rFonts w:ascii="Calibri" w:hAnsi="Calibri"/>
          <w:sz w:val="24"/>
        </w:rPr>
        <w:t>continued</w:t>
      </w:r>
      <w:r w:rsidR="00D675BF" w:rsidRPr="00367AC8">
        <w:rPr>
          <w:rFonts w:ascii="Calibri" w:hAnsi="Calibri"/>
          <w:sz w:val="24"/>
        </w:rPr>
        <w:t xml:space="preserve"> management and support of EMS</w:t>
      </w:r>
      <w:r w:rsidR="006A33F9">
        <w:rPr>
          <w:rFonts w:ascii="Calibri" w:hAnsi="Calibri"/>
          <w:sz w:val="24"/>
        </w:rPr>
        <w:t>.</w:t>
      </w:r>
    </w:p>
    <w:p w:rsidR="00DE0AE8" w:rsidRDefault="00F31B7A" w:rsidP="00DE0AE8">
      <w:pPr>
        <w:pStyle w:val="NumbersLevel1"/>
        <w:numPr>
          <w:ilvl w:val="0"/>
          <w:numId w:val="20"/>
        </w:numPr>
        <w:tabs>
          <w:tab w:val="num" w:pos="709"/>
        </w:tabs>
        <w:ind w:left="709" w:hanging="709"/>
        <w:rPr>
          <w:rFonts w:ascii="Calibri" w:hAnsi="Calibri"/>
          <w:sz w:val="24"/>
        </w:rPr>
      </w:pPr>
      <w:r w:rsidRPr="00DE0AE8">
        <w:rPr>
          <w:rFonts w:ascii="Calibri" w:hAnsi="Calibri"/>
          <w:sz w:val="24"/>
        </w:rPr>
        <w:t xml:space="preserve">There are also </w:t>
      </w:r>
      <w:r w:rsidR="00D74202">
        <w:rPr>
          <w:rFonts w:ascii="Calibri" w:hAnsi="Calibri"/>
          <w:sz w:val="24"/>
        </w:rPr>
        <w:t xml:space="preserve">additional </w:t>
      </w:r>
      <w:r w:rsidRPr="00DE0AE8">
        <w:rPr>
          <w:rFonts w:ascii="Calibri" w:hAnsi="Calibri"/>
          <w:sz w:val="24"/>
        </w:rPr>
        <w:t>development and depreciation costs associated with implementing the Integrated Gambling Platform (IGP)</w:t>
      </w:r>
      <w:r w:rsidR="00D74202">
        <w:rPr>
          <w:rFonts w:ascii="Calibri" w:hAnsi="Calibri"/>
          <w:sz w:val="24"/>
        </w:rPr>
        <w:t xml:space="preserve">. </w:t>
      </w:r>
      <w:r w:rsidR="00E440D3">
        <w:rPr>
          <w:rFonts w:ascii="Calibri" w:hAnsi="Calibri"/>
          <w:sz w:val="24"/>
        </w:rPr>
        <w:t>The additional costs range from $0.200 – $1.340</w:t>
      </w:r>
      <w:r w:rsidR="003D6992">
        <w:rPr>
          <w:rFonts w:ascii="Calibri" w:hAnsi="Calibri"/>
          <w:sz w:val="24"/>
        </w:rPr>
        <w:t xml:space="preserve"> </w:t>
      </w:r>
      <w:r w:rsidR="00E440D3">
        <w:rPr>
          <w:rFonts w:ascii="Calibri" w:hAnsi="Calibri"/>
          <w:sz w:val="24"/>
        </w:rPr>
        <w:t>million</w:t>
      </w:r>
      <w:r w:rsidR="003D6992">
        <w:rPr>
          <w:rFonts w:ascii="Calibri" w:hAnsi="Calibri"/>
          <w:sz w:val="24"/>
        </w:rPr>
        <w:t xml:space="preserve"> per </w:t>
      </w:r>
      <w:r w:rsidR="00E440D3">
        <w:rPr>
          <w:rFonts w:ascii="Calibri" w:hAnsi="Calibri"/>
          <w:sz w:val="24"/>
        </w:rPr>
        <w:t xml:space="preserve">year over the forecast period. </w:t>
      </w:r>
      <w:r w:rsidRPr="00DE0AE8">
        <w:rPr>
          <w:rFonts w:ascii="Calibri" w:hAnsi="Calibri"/>
          <w:sz w:val="24"/>
        </w:rPr>
        <w:t xml:space="preserve">The IGP is an </w:t>
      </w:r>
      <w:r w:rsidR="00343CB3">
        <w:rPr>
          <w:rFonts w:ascii="Calibri" w:hAnsi="Calibri"/>
          <w:sz w:val="24"/>
        </w:rPr>
        <w:t xml:space="preserve">upgraded </w:t>
      </w:r>
      <w:r w:rsidR="00613A25">
        <w:rPr>
          <w:rFonts w:ascii="Calibri" w:hAnsi="Calibri"/>
          <w:sz w:val="24"/>
        </w:rPr>
        <w:t xml:space="preserve">licensing </w:t>
      </w:r>
      <w:r w:rsidR="00343CB3">
        <w:rPr>
          <w:rFonts w:ascii="Calibri" w:hAnsi="Calibri"/>
          <w:sz w:val="24"/>
        </w:rPr>
        <w:t xml:space="preserve">management system, </w:t>
      </w:r>
      <w:r w:rsidR="00650D16" w:rsidRPr="00650D16">
        <w:rPr>
          <w:rFonts w:ascii="Calibri" w:hAnsi="Calibri"/>
          <w:sz w:val="24"/>
        </w:rPr>
        <w:t>which the Department uses to manage licensing applications and (in the future) compliance activities.</w:t>
      </w:r>
      <w:r w:rsidR="00650D16">
        <w:rPr>
          <w:rFonts w:ascii="Calibri" w:hAnsi="Calibri"/>
          <w:sz w:val="24"/>
        </w:rPr>
        <w:t xml:space="preserve"> </w:t>
      </w:r>
      <w:r w:rsidR="00F934F9" w:rsidRPr="00DE0AE8">
        <w:rPr>
          <w:rFonts w:ascii="Calibri" w:hAnsi="Calibri"/>
          <w:sz w:val="24"/>
        </w:rPr>
        <w:t>The IGP replaces and improves</w:t>
      </w:r>
      <w:r w:rsidR="00C63FB4" w:rsidRPr="00DE0AE8">
        <w:rPr>
          <w:rFonts w:ascii="Calibri" w:hAnsi="Calibri"/>
          <w:sz w:val="24"/>
        </w:rPr>
        <w:t xml:space="preserve"> on a legacy licensing system</w:t>
      </w:r>
      <w:r w:rsidR="00E440D3">
        <w:rPr>
          <w:rFonts w:ascii="Calibri" w:hAnsi="Calibri"/>
          <w:sz w:val="24"/>
        </w:rPr>
        <w:t xml:space="preserve"> that is now over ten years old</w:t>
      </w:r>
      <w:r w:rsidR="00C63FB4" w:rsidRPr="00DE0AE8">
        <w:rPr>
          <w:rFonts w:ascii="Calibri" w:hAnsi="Calibri"/>
          <w:sz w:val="24"/>
        </w:rPr>
        <w:t xml:space="preserve">. </w:t>
      </w:r>
      <w:r w:rsidR="00F934F9" w:rsidRPr="00DE0AE8">
        <w:rPr>
          <w:rFonts w:ascii="Calibri" w:hAnsi="Calibri"/>
          <w:sz w:val="24"/>
        </w:rPr>
        <w:t>It will reduce the amount of paperwork associated with licence applications, provide mor</w:t>
      </w:r>
      <w:r w:rsidR="0047066D" w:rsidRPr="00DE0AE8">
        <w:rPr>
          <w:rFonts w:ascii="Calibri" w:hAnsi="Calibri"/>
          <w:sz w:val="24"/>
        </w:rPr>
        <w:t xml:space="preserve">e robust business processes and </w:t>
      </w:r>
      <w:r w:rsidR="00F934F9" w:rsidRPr="00DE0AE8">
        <w:rPr>
          <w:rFonts w:ascii="Calibri" w:hAnsi="Calibri"/>
          <w:sz w:val="24"/>
        </w:rPr>
        <w:t>link licensing and compliance related information.</w:t>
      </w:r>
      <w:r w:rsidR="00C63FB4" w:rsidRPr="00DE0AE8">
        <w:rPr>
          <w:rFonts w:ascii="Calibri" w:hAnsi="Calibri"/>
          <w:sz w:val="24"/>
        </w:rPr>
        <w:t xml:space="preserve"> </w:t>
      </w:r>
    </w:p>
    <w:p w:rsidR="00DF23DD" w:rsidRPr="00DE0AE8" w:rsidRDefault="00D675BF" w:rsidP="00DE0AE8">
      <w:pPr>
        <w:pStyle w:val="Heading3"/>
        <w:rPr>
          <w:sz w:val="24"/>
        </w:rPr>
      </w:pPr>
      <w:r w:rsidRPr="00DE0AE8">
        <w:rPr>
          <w:sz w:val="24"/>
        </w:rPr>
        <w:t xml:space="preserve"> </w:t>
      </w:r>
      <w:r w:rsidR="006244E8" w:rsidRPr="00DE0AE8">
        <w:t>General cost pressures</w:t>
      </w:r>
    </w:p>
    <w:p w:rsidR="00DF23DD" w:rsidRPr="008D56F4" w:rsidRDefault="00002928" w:rsidP="005A3016">
      <w:pPr>
        <w:pStyle w:val="NumbersLevel1"/>
        <w:numPr>
          <w:ilvl w:val="0"/>
          <w:numId w:val="20"/>
        </w:numPr>
        <w:tabs>
          <w:tab w:val="num" w:pos="709"/>
        </w:tabs>
        <w:ind w:left="709" w:hanging="709"/>
        <w:rPr>
          <w:rFonts w:ascii="Calibri" w:hAnsi="Calibri"/>
          <w:sz w:val="24"/>
        </w:rPr>
      </w:pPr>
      <w:r w:rsidRPr="008D56F4">
        <w:rPr>
          <w:rFonts w:ascii="Calibri" w:hAnsi="Calibri"/>
          <w:sz w:val="24"/>
        </w:rPr>
        <w:t>General cost pressure</w:t>
      </w:r>
      <w:r w:rsidR="000406E9" w:rsidRPr="008D56F4">
        <w:rPr>
          <w:rFonts w:ascii="Calibri" w:hAnsi="Calibri"/>
          <w:sz w:val="24"/>
        </w:rPr>
        <w:t>s</w:t>
      </w:r>
      <w:r w:rsidRPr="008D56F4">
        <w:rPr>
          <w:rFonts w:ascii="Calibri" w:hAnsi="Calibri"/>
          <w:sz w:val="24"/>
        </w:rPr>
        <w:t xml:space="preserve"> </w:t>
      </w:r>
      <w:r w:rsidR="0041076B">
        <w:rPr>
          <w:rFonts w:ascii="Calibri" w:hAnsi="Calibri"/>
          <w:sz w:val="24"/>
        </w:rPr>
        <w:t xml:space="preserve">amount to $0.500 million per year </w:t>
      </w:r>
      <w:r w:rsidR="00E440D3">
        <w:rPr>
          <w:rFonts w:ascii="Calibri" w:hAnsi="Calibri"/>
          <w:sz w:val="24"/>
        </w:rPr>
        <w:t xml:space="preserve">cumulatively </w:t>
      </w:r>
      <w:r w:rsidR="0041076B">
        <w:rPr>
          <w:rFonts w:ascii="Calibri" w:hAnsi="Calibri"/>
          <w:sz w:val="24"/>
        </w:rPr>
        <w:t xml:space="preserve">and </w:t>
      </w:r>
      <w:r w:rsidRPr="008D56F4">
        <w:rPr>
          <w:rFonts w:ascii="Calibri" w:hAnsi="Calibri"/>
          <w:sz w:val="24"/>
        </w:rPr>
        <w:t>include</w:t>
      </w:r>
      <w:r w:rsidR="000406E9" w:rsidRPr="008D56F4">
        <w:rPr>
          <w:rFonts w:ascii="Calibri" w:hAnsi="Calibri"/>
          <w:sz w:val="24"/>
        </w:rPr>
        <w:t>s</w:t>
      </w:r>
      <w:r w:rsidRPr="008D56F4">
        <w:rPr>
          <w:rFonts w:ascii="Calibri" w:hAnsi="Calibri"/>
          <w:sz w:val="24"/>
        </w:rPr>
        <w:t xml:space="preserve"> all consumer price </w:t>
      </w:r>
      <w:r w:rsidR="000406E9" w:rsidRPr="008D56F4">
        <w:rPr>
          <w:rFonts w:ascii="Calibri" w:hAnsi="Calibri"/>
          <w:sz w:val="24"/>
        </w:rPr>
        <w:t xml:space="preserve">index </w:t>
      </w:r>
      <w:r w:rsidRPr="008D56F4">
        <w:rPr>
          <w:rFonts w:ascii="Calibri" w:hAnsi="Calibri"/>
          <w:sz w:val="24"/>
        </w:rPr>
        <w:t xml:space="preserve">adjustments </w:t>
      </w:r>
      <w:r w:rsidR="0041076B">
        <w:rPr>
          <w:rFonts w:ascii="Calibri" w:hAnsi="Calibri"/>
          <w:sz w:val="24"/>
        </w:rPr>
        <w:t xml:space="preserve">and </w:t>
      </w:r>
      <w:r w:rsidR="00CC4F3B">
        <w:rPr>
          <w:rFonts w:ascii="Calibri" w:hAnsi="Calibri"/>
          <w:sz w:val="24"/>
        </w:rPr>
        <w:t xml:space="preserve">increases in </w:t>
      </w:r>
      <w:r w:rsidR="000406E9" w:rsidRPr="008D56F4">
        <w:rPr>
          <w:rFonts w:ascii="Calibri" w:hAnsi="Calibri"/>
          <w:sz w:val="24"/>
        </w:rPr>
        <w:t>salary costs</w:t>
      </w:r>
      <w:r w:rsidR="006B464D">
        <w:rPr>
          <w:rFonts w:ascii="Calibri" w:hAnsi="Calibri"/>
          <w:sz w:val="24"/>
        </w:rPr>
        <w:t xml:space="preserve"> for the forecast period to 202</w:t>
      </w:r>
      <w:r w:rsidR="0041076B">
        <w:rPr>
          <w:rFonts w:ascii="Calibri" w:hAnsi="Calibri"/>
          <w:sz w:val="24"/>
        </w:rPr>
        <w:t>3</w:t>
      </w:r>
      <w:r w:rsidR="006B464D">
        <w:rPr>
          <w:rFonts w:ascii="Calibri" w:hAnsi="Calibri"/>
          <w:sz w:val="24"/>
        </w:rPr>
        <w:t>/2</w:t>
      </w:r>
      <w:r w:rsidR="0041076B">
        <w:rPr>
          <w:rFonts w:ascii="Calibri" w:hAnsi="Calibri"/>
          <w:sz w:val="24"/>
        </w:rPr>
        <w:t>4</w:t>
      </w:r>
      <w:r w:rsidR="00A24CDD">
        <w:rPr>
          <w:rFonts w:ascii="Calibri" w:hAnsi="Calibri"/>
          <w:sz w:val="24"/>
        </w:rPr>
        <w:t xml:space="preserve">. </w:t>
      </w:r>
    </w:p>
    <w:p w:rsidR="00737742" w:rsidRPr="004C529A" w:rsidRDefault="00850484" w:rsidP="004C529A">
      <w:pPr>
        <w:pStyle w:val="Heading3"/>
      </w:pPr>
      <w:r w:rsidRPr="00E440D3">
        <w:t>Co</w:t>
      </w:r>
      <w:r w:rsidR="00B65545" w:rsidRPr="00E440D3">
        <w:t>rporate overheads</w:t>
      </w:r>
    </w:p>
    <w:p w:rsidR="009A7F27" w:rsidRDefault="00B65545"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Increased </w:t>
      </w:r>
      <w:r w:rsidR="00603C2D">
        <w:rPr>
          <w:rFonts w:ascii="Calibri" w:hAnsi="Calibri"/>
          <w:sz w:val="24"/>
        </w:rPr>
        <w:t xml:space="preserve">corporate </w:t>
      </w:r>
      <w:r>
        <w:rPr>
          <w:rFonts w:ascii="Calibri" w:hAnsi="Calibri"/>
          <w:sz w:val="24"/>
        </w:rPr>
        <w:t>overhead</w:t>
      </w:r>
      <w:r w:rsidR="00C6529F">
        <w:rPr>
          <w:rFonts w:ascii="Calibri" w:hAnsi="Calibri"/>
          <w:sz w:val="24"/>
        </w:rPr>
        <w:t xml:space="preserve"> costs</w:t>
      </w:r>
      <w:r>
        <w:rPr>
          <w:rFonts w:ascii="Calibri" w:hAnsi="Calibri"/>
          <w:sz w:val="24"/>
        </w:rPr>
        <w:t xml:space="preserve"> amount to $0.5</w:t>
      </w:r>
      <w:r w:rsidR="00B55C94">
        <w:rPr>
          <w:rFonts w:ascii="Calibri" w:hAnsi="Calibri"/>
          <w:sz w:val="24"/>
        </w:rPr>
        <w:t>00</w:t>
      </w:r>
      <w:r>
        <w:rPr>
          <w:rFonts w:ascii="Calibri" w:hAnsi="Calibri"/>
          <w:sz w:val="24"/>
        </w:rPr>
        <w:t xml:space="preserve"> million per year </w:t>
      </w:r>
      <w:r w:rsidR="00A24CDD">
        <w:rPr>
          <w:rFonts w:ascii="Calibri" w:hAnsi="Calibri"/>
          <w:sz w:val="24"/>
        </w:rPr>
        <w:t xml:space="preserve">over the forecast period </w:t>
      </w:r>
      <w:r>
        <w:rPr>
          <w:rFonts w:ascii="Calibri" w:hAnsi="Calibri"/>
          <w:sz w:val="24"/>
        </w:rPr>
        <w:t xml:space="preserve">and </w:t>
      </w:r>
      <w:r w:rsidR="00EA0A61">
        <w:rPr>
          <w:rFonts w:ascii="Calibri" w:hAnsi="Calibri"/>
          <w:sz w:val="24"/>
        </w:rPr>
        <w:t xml:space="preserve">includes the </w:t>
      </w:r>
      <w:r>
        <w:rPr>
          <w:rFonts w:ascii="Calibri" w:hAnsi="Calibri"/>
          <w:sz w:val="24"/>
        </w:rPr>
        <w:t>cost</w:t>
      </w:r>
      <w:r w:rsidR="0071685D">
        <w:rPr>
          <w:rFonts w:ascii="Calibri" w:hAnsi="Calibri"/>
          <w:sz w:val="24"/>
        </w:rPr>
        <w:t>s</w:t>
      </w:r>
      <w:r>
        <w:rPr>
          <w:rFonts w:ascii="Calibri" w:hAnsi="Calibri"/>
          <w:sz w:val="24"/>
        </w:rPr>
        <w:t xml:space="preserve"> of </w:t>
      </w:r>
      <w:r w:rsidR="00C6529F">
        <w:rPr>
          <w:rFonts w:ascii="Calibri" w:hAnsi="Calibri"/>
          <w:sz w:val="24"/>
        </w:rPr>
        <w:t>upgrading</w:t>
      </w:r>
      <w:r w:rsidR="009A7F27" w:rsidRPr="00DA5C27">
        <w:rPr>
          <w:rFonts w:ascii="Calibri" w:hAnsi="Calibri"/>
          <w:sz w:val="24"/>
        </w:rPr>
        <w:t xml:space="preserve"> aging s</w:t>
      </w:r>
      <w:r w:rsidR="009A7F27">
        <w:rPr>
          <w:rFonts w:ascii="Calibri" w:hAnsi="Calibri"/>
          <w:sz w:val="24"/>
        </w:rPr>
        <w:t>oftware</w:t>
      </w:r>
      <w:r w:rsidR="009A7F27" w:rsidRPr="00DA5C27">
        <w:rPr>
          <w:rFonts w:ascii="Calibri" w:hAnsi="Calibri"/>
          <w:sz w:val="24"/>
        </w:rPr>
        <w:t>, and modernising processes and technology.</w:t>
      </w:r>
    </w:p>
    <w:p w:rsidR="00497FBE" w:rsidRDefault="00497FBE" w:rsidP="00497FBE">
      <w:pPr>
        <w:pStyle w:val="Heading2"/>
      </w:pPr>
      <w:bookmarkStart w:id="11" w:name="_Toc410217723"/>
      <w:r w:rsidRPr="00497FBE">
        <w:t>Department’s memorandum account deficit</w:t>
      </w:r>
      <w:bookmarkEnd w:id="11"/>
    </w:p>
    <w:p w:rsidR="00497FBE" w:rsidRPr="00121E0F" w:rsidRDefault="00497FBE" w:rsidP="00497FBE">
      <w:pPr>
        <w:pStyle w:val="NumbersLevel1"/>
        <w:numPr>
          <w:ilvl w:val="0"/>
          <w:numId w:val="20"/>
        </w:numPr>
        <w:tabs>
          <w:tab w:val="num" w:pos="709"/>
        </w:tabs>
        <w:ind w:left="709" w:hanging="709"/>
        <w:rPr>
          <w:rFonts w:ascii="Calibri" w:hAnsi="Calibri"/>
          <w:sz w:val="24"/>
        </w:rPr>
      </w:pPr>
      <w:r>
        <w:rPr>
          <w:rFonts w:ascii="Calibri" w:hAnsi="Calibri"/>
          <w:sz w:val="24"/>
        </w:rPr>
        <w:t>Treasury instructions require that where departments provide services on a full cost recovery basis, the department is required to operate a memorandum account. The memorandum account records the accumulated surplus or deficit arising from the provision of the service. The balance of the memorandum account deficit is expected to trend to zero over a reasonable period of time.</w:t>
      </w:r>
      <w:r>
        <w:rPr>
          <w:rStyle w:val="FootnoteReference"/>
        </w:rPr>
        <w:footnoteReference w:id="5"/>
      </w:r>
    </w:p>
    <w:p w:rsidR="00057E9E" w:rsidRDefault="00497FBE" w:rsidP="00497FBE">
      <w:pPr>
        <w:pStyle w:val="NumbersLevel1"/>
        <w:numPr>
          <w:ilvl w:val="0"/>
          <w:numId w:val="20"/>
        </w:numPr>
        <w:tabs>
          <w:tab w:val="num" w:pos="709"/>
        </w:tabs>
        <w:ind w:left="709" w:hanging="709"/>
        <w:rPr>
          <w:rFonts w:ascii="Calibri" w:hAnsi="Calibri"/>
          <w:sz w:val="24"/>
        </w:rPr>
      </w:pPr>
      <w:r w:rsidRPr="0068312F">
        <w:rPr>
          <w:rFonts w:ascii="Calibri" w:hAnsi="Calibri"/>
          <w:sz w:val="24"/>
        </w:rPr>
        <w:t xml:space="preserve">The Department’s under-recovery of costs to regulate the gambling sector is reflected by an increase in the deficit in the Department’s memorandum account that administers gambling fees. At 30 June 2014 the deficit was $9.173 million. </w:t>
      </w:r>
    </w:p>
    <w:p w:rsidR="00497FBE" w:rsidRDefault="00057E9E" w:rsidP="00497FBE">
      <w:pPr>
        <w:pStyle w:val="NumbersLevel1"/>
        <w:numPr>
          <w:ilvl w:val="0"/>
          <w:numId w:val="20"/>
        </w:numPr>
        <w:tabs>
          <w:tab w:val="num" w:pos="709"/>
        </w:tabs>
        <w:ind w:left="709" w:hanging="709"/>
        <w:rPr>
          <w:rFonts w:ascii="Calibri" w:hAnsi="Calibri"/>
          <w:sz w:val="24"/>
        </w:rPr>
      </w:pPr>
      <w:r>
        <w:rPr>
          <w:rFonts w:ascii="Calibri" w:hAnsi="Calibri"/>
          <w:sz w:val="24"/>
        </w:rPr>
        <w:t>T</w:t>
      </w:r>
      <w:r w:rsidR="00497FBE" w:rsidRPr="0068312F">
        <w:rPr>
          <w:rFonts w:ascii="Calibri" w:hAnsi="Calibri"/>
          <w:sz w:val="24"/>
        </w:rPr>
        <w:t>he deficit is forecast to increase significantly if revenue declines and costs increase at forecast levels.</w:t>
      </w:r>
      <w:r w:rsidR="00497FBE">
        <w:rPr>
          <w:rFonts w:ascii="Calibri" w:hAnsi="Calibri"/>
          <w:sz w:val="24"/>
        </w:rPr>
        <w:t xml:space="preserve"> The forecast deficit includes capital charges that can be applied to </w:t>
      </w:r>
      <w:r w:rsidR="00497FBE">
        <w:rPr>
          <w:rFonts w:ascii="Calibri" w:hAnsi="Calibri"/>
          <w:sz w:val="24"/>
        </w:rPr>
        <w:lastRenderedPageBreak/>
        <w:t>Department memorandum accounts that run a net deficit.</w:t>
      </w:r>
      <w:r w:rsidR="00497FBE">
        <w:rPr>
          <w:rStyle w:val="FootnoteReference"/>
        </w:rPr>
        <w:footnoteReference w:id="6"/>
      </w:r>
      <w:r w:rsidR="00497FBE">
        <w:rPr>
          <w:rFonts w:ascii="Calibri" w:hAnsi="Calibri"/>
          <w:sz w:val="24"/>
        </w:rPr>
        <w:t xml:space="preserve"> As the deficit increases capital charges accrue</w:t>
      </w:r>
      <w:r w:rsidR="00074B07">
        <w:rPr>
          <w:rFonts w:ascii="Calibri" w:hAnsi="Calibri"/>
          <w:sz w:val="24"/>
        </w:rPr>
        <w:t>,</w:t>
      </w:r>
      <w:r w:rsidR="00497FBE">
        <w:rPr>
          <w:rFonts w:ascii="Calibri" w:hAnsi="Calibri"/>
          <w:sz w:val="24"/>
        </w:rPr>
        <w:t xml:space="preserve"> which further exacerbate the deficit (refer to table </w:t>
      </w:r>
      <w:r w:rsidR="00E26B33">
        <w:rPr>
          <w:rFonts w:ascii="Calibri" w:hAnsi="Calibri"/>
          <w:sz w:val="24"/>
        </w:rPr>
        <w:t>3</w:t>
      </w:r>
      <w:r w:rsidR="00497FBE">
        <w:rPr>
          <w:rFonts w:ascii="Calibri" w:hAnsi="Calibri"/>
          <w:sz w:val="24"/>
        </w:rPr>
        <w:t xml:space="preserve"> below).</w:t>
      </w:r>
      <w:r w:rsidR="00E43B3F">
        <w:rPr>
          <w:rFonts w:ascii="Calibri" w:hAnsi="Calibri"/>
          <w:sz w:val="24"/>
        </w:rPr>
        <w:t xml:space="preserve"> </w:t>
      </w:r>
      <w:r w:rsidR="00327668">
        <w:rPr>
          <w:rFonts w:ascii="Calibri" w:hAnsi="Calibri"/>
          <w:sz w:val="24"/>
        </w:rPr>
        <w:t xml:space="preserve">Capital charges </w:t>
      </w:r>
      <w:r w:rsidR="00BC00AE">
        <w:rPr>
          <w:rFonts w:ascii="Calibri" w:hAnsi="Calibri"/>
          <w:sz w:val="24"/>
        </w:rPr>
        <w:t xml:space="preserve">amount to $4.879 million </w:t>
      </w:r>
      <w:r w:rsidR="00327668">
        <w:rPr>
          <w:rFonts w:ascii="Calibri" w:hAnsi="Calibri"/>
          <w:sz w:val="24"/>
        </w:rPr>
        <w:t xml:space="preserve">over the forecast period </w:t>
      </w:r>
      <w:r w:rsidR="00BC00AE">
        <w:rPr>
          <w:rFonts w:ascii="Calibri" w:hAnsi="Calibri"/>
          <w:sz w:val="24"/>
        </w:rPr>
        <w:t>to 2023/24.</w:t>
      </w:r>
    </w:p>
    <w:p w:rsidR="00057E9E" w:rsidRDefault="00057E9E" w:rsidP="00B278C8">
      <w:pPr>
        <w:pStyle w:val="Caption"/>
        <w:jc w:val="left"/>
      </w:pPr>
      <w:r>
        <w:t xml:space="preserve">Table </w:t>
      </w:r>
      <w:r w:rsidR="00521B78">
        <w:t>3</w:t>
      </w:r>
      <w:r>
        <w:t xml:space="preserve">: Forecast memorandum account deficit </w:t>
      </w:r>
      <w:r w:rsidR="001033DE">
        <w:t>($million)</w:t>
      </w:r>
    </w:p>
    <w:tbl>
      <w:tblPr>
        <w:tblStyle w:val="DIATable"/>
        <w:tblW w:w="0" w:type="auto"/>
        <w:jc w:val="center"/>
        <w:tblInd w:w="237" w:type="dxa"/>
        <w:tblLook w:val="04A0" w:firstRow="1" w:lastRow="0" w:firstColumn="1" w:lastColumn="0" w:noHBand="0" w:noVBand="1"/>
      </w:tblPr>
      <w:tblGrid>
        <w:gridCol w:w="2332"/>
        <w:gridCol w:w="902"/>
        <w:gridCol w:w="902"/>
        <w:gridCol w:w="902"/>
        <w:gridCol w:w="902"/>
        <w:gridCol w:w="902"/>
        <w:gridCol w:w="902"/>
        <w:gridCol w:w="902"/>
      </w:tblGrid>
      <w:tr w:rsidR="007C7CE7" w:rsidTr="001033DE">
        <w:trPr>
          <w:cnfStyle w:val="100000000000" w:firstRow="1" w:lastRow="0" w:firstColumn="0" w:lastColumn="0" w:oddVBand="0" w:evenVBand="0" w:oddHBand="0" w:evenHBand="0" w:firstRowFirstColumn="0" w:firstRowLastColumn="0" w:lastRowFirstColumn="0" w:lastRowLastColumn="0"/>
          <w:jc w:val="center"/>
        </w:trPr>
        <w:tc>
          <w:tcPr>
            <w:tcW w:w="0" w:type="auto"/>
          </w:tcPr>
          <w:p w:rsidR="007C7CE7" w:rsidRPr="00A75078" w:rsidRDefault="007C7CE7" w:rsidP="003226AA">
            <w:pPr>
              <w:pStyle w:val="FinancialtableLHC"/>
              <w:keepNext/>
            </w:pPr>
          </w:p>
        </w:tc>
        <w:tc>
          <w:tcPr>
            <w:tcW w:w="0" w:type="auto"/>
          </w:tcPr>
          <w:p w:rsidR="007C7CE7" w:rsidRDefault="007C7CE7" w:rsidP="003226AA">
            <w:pPr>
              <w:pStyle w:val="Financialtableyears"/>
              <w:keepNext/>
            </w:pPr>
            <w:r>
              <w:t>2014/15</w:t>
            </w:r>
          </w:p>
        </w:tc>
        <w:tc>
          <w:tcPr>
            <w:tcW w:w="0" w:type="auto"/>
          </w:tcPr>
          <w:p w:rsidR="007C7CE7" w:rsidRPr="00A75078" w:rsidRDefault="007C7CE7" w:rsidP="003226AA">
            <w:pPr>
              <w:pStyle w:val="Financialtableyears"/>
              <w:keepNext/>
            </w:pPr>
            <w:r>
              <w:t>2015</w:t>
            </w:r>
            <w:r w:rsidRPr="00A75078">
              <w:t>/1</w:t>
            </w:r>
            <w:r>
              <w:t>6</w:t>
            </w:r>
          </w:p>
        </w:tc>
        <w:tc>
          <w:tcPr>
            <w:tcW w:w="0" w:type="auto"/>
          </w:tcPr>
          <w:p w:rsidR="007C7CE7" w:rsidRPr="00A75078" w:rsidRDefault="007C7CE7" w:rsidP="003226AA">
            <w:pPr>
              <w:pStyle w:val="Financialtableyears"/>
              <w:keepNext/>
            </w:pPr>
            <w:r>
              <w:t>2016</w:t>
            </w:r>
            <w:r w:rsidRPr="00A75078">
              <w:t>/1</w:t>
            </w:r>
            <w:r>
              <w:t>7</w:t>
            </w:r>
          </w:p>
        </w:tc>
        <w:tc>
          <w:tcPr>
            <w:tcW w:w="0" w:type="auto"/>
          </w:tcPr>
          <w:p w:rsidR="007C7CE7" w:rsidRPr="00A75078" w:rsidRDefault="007C7CE7" w:rsidP="003226AA">
            <w:pPr>
              <w:pStyle w:val="Financialtableyears"/>
              <w:keepNext/>
            </w:pPr>
            <w:r>
              <w:t>2017</w:t>
            </w:r>
            <w:r w:rsidRPr="00A75078">
              <w:t>/1</w:t>
            </w:r>
            <w:r>
              <w:t>8</w:t>
            </w:r>
          </w:p>
        </w:tc>
        <w:tc>
          <w:tcPr>
            <w:tcW w:w="0" w:type="auto"/>
          </w:tcPr>
          <w:p w:rsidR="007C7CE7" w:rsidRPr="00A75078" w:rsidRDefault="007C7CE7" w:rsidP="003226AA">
            <w:pPr>
              <w:pStyle w:val="Financialtableyears"/>
              <w:keepNext/>
            </w:pPr>
            <w:r>
              <w:t>2018/19</w:t>
            </w:r>
          </w:p>
        </w:tc>
        <w:tc>
          <w:tcPr>
            <w:tcW w:w="0" w:type="auto"/>
          </w:tcPr>
          <w:p w:rsidR="007C7CE7" w:rsidRDefault="007C7CE7" w:rsidP="003226AA">
            <w:pPr>
              <w:pStyle w:val="Financialtableyears"/>
              <w:keepNext/>
            </w:pPr>
            <w:r>
              <w:t>2019/20</w:t>
            </w:r>
          </w:p>
        </w:tc>
        <w:tc>
          <w:tcPr>
            <w:tcW w:w="0" w:type="auto"/>
          </w:tcPr>
          <w:p w:rsidR="007C7CE7" w:rsidRDefault="007C7CE7" w:rsidP="003226AA">
            <w:pPr>
              <w:pStyle w:val="Financialtableyears"/>
              <w:keepNext/>
            </w:pPr>
            <w:r>
              <w:t>2020/21</w:t>
            </w:r>
          </w:p>
        </w:tc>
      </w:tr>
      <w:tr w:rsidR="007C7CE7" w:rsidTr="001033DE">
        <w:trPr>
          <w:jc w:val="center"/>
        </w:trPr>
        <w:tc>
          <w:tcPr>
            <w:tcW w:w="0" w:type="auto"/>
          </w:tcPr>
          <w:p w:rsidR="007C7CE7" w:rsidRPr="004A25A3" w:rsidRDefault="007C7CE7" w:rsidP="003226AA">
            <w:pPr>
              <w:pStyle w:val="FinancialtableLHC"/>
              <w:keepNext/>
            </w:pPr>
            <w:r>
              <w:t>Memo a/c opening</w:t>
            </w:r>
          </w:p>
        </w:tc>
        <w:tc>
          <w:tcPr>
            <w:tcW w:w="0" w:type="auto"/>
          </w:tcPr>
          <w:p w:rsidR="007C7CE7" w:rsidRPr="00BB122F" w:rsidRDefault="007C7CE7" w:rsidP="003226AA">
            <w:pPr>
              <w:pStyle w:val="Financialtablefigures"/>
              <w:keepNext/>
            </w:pPr>
            <w:r>
              <w:t>-9.173</w:t>
            </w:r>
          </w:p>
        </w:tc>
        <w:tc>
          <w:tcPr>
            <w:tcW w:w="0" w:type="auto"/>
          </w:tcPr>
          <w:p w:rsidR="007C7CE7" w:rsidRPr="00BB122F" w:rsidRDefault="007C7CE7" w:rsidP="003226AA">
            <w:pPr>
              <w:pStyle w:val="Financialtablefigures"/>
              <w:keepNext/>
            </w:pPr>
            <w:r>
              <w:t>-13.901</w:t>
            </w:r>
          </w:p>
        </w:tc>
        <w:tc>
          <w:tcPr>
            <w:tcW w:w="0" w:type="auto"/>
          </w:tcPr>
          <w:p w:rsidR="007C7CE7" w:rsidRPr="00BB122F" w:rsidRDefault="007C7CE7" w:rsidP="003226AA">
            <w:pPr>
              <w:pStyle w:val="Financialtablefigures"/>
              <w:keepNext/>
            </w:pPr>
            <w:r>
              <w:t>-20.214</w:t>
            </w:r>
          </w:p>
        </w:tc>
        <w:tc>
          <w:tcPr>
            <w:tcW w:w="0" w:type="auto"/>
          </w:tcPr>
          <w:p w:rsidR="007C7CE7" w:rsidRPr="00BB122F" w:rsidRDefault="007C7CE7" w:rsidP="003226AA">
            <w:pPr>
              <w:pStyle w:val="Financialtablefigures"/>
              <w:keepNext/>
            </w:pPr>
            <w:r>
              <w:t>-27.942</w:t>
            </w:r>
          </w:p>
        </w:tc>
        <w:tc>
          <w:tcPr>
            <w:tcW w:w="0" w:type="auto"/>
          </w:tcPr>
          <w:p w:rsidR="007C7CE7" w:rsidRPr="00BB122F" w:rsidRDefault="007C7CE7" w:rsidP="003226AA">
            <w:pPr>
              <w:pStyle w:val="Financialtablefigures"/>
              <w:keepNext/>
            </w:pPr>
            <w:r>
              <w:t>-37.198</w:t>
            </w:r>
          </w:p>
        </w:tc>
        <w:tc>
          <w:tcPr>
            <w:tcW w:w="0" w:type="auto"/>
          </w:tcPr>
          <w:p w:rsidR="007C7CE7" w:rsidRDefault="007C7CE7" w:rsidP="003226AA">
            <w:pPr>
              <w:pStyle w:val="Financialtablefigures"/>
              <w:keepNext/>
            </w:pPr>
            <w:r>
              <w:t>-48.104</w:t>
            </w:r>
          </w:p>
        </w:tc>
        <w:tc>
          <w:tcPr>
            <w:tcW w:w="0" w:type="auto"/>
          </w:tcPr>
          <w:p w:rsidR="007C7CE7" w:rsidRDefault="007C7CE7" w:rsidP="003226AA">
            <w:pPr>
              <w:pStyle w:val="Financialtablefigures"/>
              <w:keepNext/>
            </w:pPr>
            <w:r>
              <w:t>-60.544</w:t>
            </w:r>
          </w:p>
        </w:tc>
      </w:tr>
      <w:tr w:rsidR="007C7CE7" w:rsidTr="001033DE">
        <w:trPr>
          <w:jc w:val="center"/>
        </w:trPr>
        <w:tc>
          <w:tcPr>
            <w:tcW w:w="0" w:type="auto"/>
          </w:tcPr>
          <w:p w:rsidR="007C7CE7" w:rsidRPr="004A25A3" w:rsidRDefault="007C7CE7" w:rsidP="003226AA">
            <w:pPr>
              <w:pStyle w:val="FinancialtableLHC"/>
              <w:keepNext/>
            </w:pPr>
            <w:r>
              <w:t>Memo a/c closing</w:t>
            </w:r>
          </w:p>
        </w:tc>
        <w:tc>
          <w:tcPr>
            <w:tcW w:w="0" w:type="auto"/>
          </w:tcPr>
          <w:p w:rsidR="007C7CE7" w:rsidRPr="00BB122F" w:rsidRDefault="007C7CE7" w:rsidP="003226AA">
            <w:pPr>
              <w:pStyle w:val="Financialtablefigures"/>
              <w:keepNext/>
            </w:pPr>
            <w:r>
              <w:t>-13.014</w:t>
            </w:r>
          </w:p>
        </w:tc>
        <w:tc>
          <w:tcPr>
            <w:tcW w:w="0" w:type="auto"/>
          </w:tcPr>
          <w:p w:rsidR="007C7CE7" w:rsidRPr="00BB122F" w:rsidRDefault="007C7CE7" w:rsidP="003226AA">
            <w:pPr>
              <w:pStyle w:val="Financialtablefigures"/>
              <w:keepNext/>
            </w:pPr>
            <w:r>
              <w:t>-18.902</w:t>
            </w:r>
          </w:p>
        </w:tc>
        <w:tc>
          <w:tcPr>
            <w:tcW w:w="0" w:type="auto"/>
          </w:tcPr>
          <w:p w:rsidR="007C7CE7" w:rsidRPr="00BB122F" w:rsidRDefault="007C7CE7" w:rsidP="003226AA">
            <w:pPr>
              <w:pStyle w:val="Financialtablefigures"/>
              <w:keepNext/>
            </w:pPr>
            <w:r>
              <w:t>-26.090</w:t>
            </w:r>
          </w:p>
        </w:tc>
        <w:tc>
          <w:tcPr>
            <w:tcW w:w="0" w:type="auto"/>
          </w:tcPr>
          <w:p w:rsidR="007C7CE7" w:rsidRPr="00BB122F" w:rsidRDefault="007C7CE7" w:rsidP="003226AA">
            <w:pPr>
              <w:pStyle w:val="Financialtablefigures"/>
              <w:keepNext/>
            </w:pPr>
            <w:r>
              <w:t>-34.693</w:t>
            </w:r>
          </w:p>
        </w:tc>
        <w:tc>
          <w:tcPr>
            <w:tcW w:w="0" w:type="auto"/>
          </w:tcPr>
          <w:p w:rsidR="007C7CE7" w:rsidRPr="00BB122F" w:rsidRDefault="007C7CE7" w:rsidP="003226AA">
            <w:pPr>
              <w:pStyle w:val="Financialtablefigures"/>
              <w:keepNext/>
            </w:pPr>
            <w:r>
              <w:t>-44.824</w:t>
            </w:r>
          </w:p>
        </w:tc>
        <w:tc>
          <w:tcPr>
            <w:tcW w:w="0" w:type="auto"/>
          </w:tcPr>
          <w:p w:rsidR="007C7CE7" w:rsidRDefault="007C7CE7" w:rsidP="003226AA">
            <w:pPr>
              <w:pStyle w:val="Financialtablefigures"/>
              <w:keepNext/>
            </w:pPr>
            <w:r>
              <w:t>-56.365</w:t>
            </w:r>
          </w:p>
        </w:tc>
        <w:tc>
          <w:tcPr>
            <w:tcW w:w="0" w:type="auto"/>
          </w:tcPr>
          <w:p w:rsidR="007C7CE7" w:rsidRDefault="007C7CE7" w:rsidP="003226AA">
            <w:pPr>
              <w:pStyle w:val="Financialtablefigures"/>
              <w:keepNext/>
            </w:pPr>
            <w:r>
              <w:t>-68.780</w:t>
            </w:r>
          </w:p>
        </w:tc>
      </w:tr>
      <w:tr w:rsidR="007C7CE7" w:rsidTr="001033DE">
        <w:trPr>
          <w:jc w:val="center"/>
        </w:trPr>
        <w:tc>
          <w:tcPr>
            <w:tcW w:w="0" w:type="auto"/>
          </w:tcPr>
          <w:p w:rsidR="007C7CE7" w:rsidRPr="004A25A3" w:rsidRDefault="007C7CE7" w:rsidP="003226AA">
            <w:pPr>
              <w:pStyle w:val="FinancialtableLHC"/>
              <w:keepNext/>
            </w:pPr>
            <w:r>
              <w:t>Capital charge</w:t>
            </w:r>
          </w:p>
        </w:tc>
        <w:tc>
          <w:tcPr>
            <w:tcW w:w="0" w:type="auto"/>
          </w:tcPr>
          <w:p w:rsidR="007C7CE7" w:rsidRPr="00BB122F" w:rsidRDefault="007C7CE7" w:rsidP="003226AA">
            <w:pPr>
              <w:pStyle w:val="Financialtablefigures"/>
              <w:keepNext/>
            </w:pPr>
            <w:r>
              <w:t>-0.887</w:t>
            </w:r>
          </w:p>
        </w:tc>
        <w:tc>
          <w:tcPr>
            <w:tcW w:w="0" w:type="auto"/>
          </w:tcPr>
          <w:p w:rsidR="007C7CE7" w:rsidRPr="00BB122F" w:rsidRDefault="007C7CE7" w:rsidP="003226AA">
            <w:pPr>
              <w:pStyle w:val="Financialtablefigures"/>
              <w:keepNext/>
            </w:pPr>
            <w:r>
              <w:t>-1.312</w:t>
            </w:r>
          </w:p>
        </w:tc>
        <w:tc>
          <w:tcPr>
            <w:tcW w:w="0" w:type="auto"/>
          </w:tcPr>
          <w:p w:rsidR="007C7CE7" w:rsidRPr="00BB122F" w:rsidRDefault="007C7CE7" w:rsidP="003226AA">
            <w:pPr>
              <w:pStyle w:val="Financialtablefigures"/>
              <w:keepNext/>
            </w:pPr>
            <w:r>
              <w:t>-1.852</w:t>
            </w:r>
          </w:p>
        </w:tc>
        <w:tc>
          <w:tcPr>
            <w:tcW w:w="0" w:type="auto"/>
          </w:tcPr>
          <w:p w:rsidR="007C7CE7" w:rsidRPr="00BB122F" w:rsidRDefault="007C7CE7" w:rsidP="003226AA">
            <w:pPr>
              <w:pStyle w:val="Financialtablefigures"/>
              <w:keepNext/>
            </w:pPr>
            <w:r>
              <w:t>-2.505</w:t>
            </w:r>
          </w:p>
        </w:tc>
        <w:tc>
          <w:tcPr>
            <w:tcW w:w="0" w:type="auto"/>
          </w:tcPr>
          <w:p w:rsidR="007C7CE7" w:rsidRPr="00BB122F" w:rsidRDefault="007C7CE7" w:rsidP="003226AA">
            <w:pPr>
              <w:pStyle w:val="Financialtablefigures"/>
              <w:keepNext/>
            </w:pPr>
            <w:r>
              <w:t>-3.281</w:t>
            </w:r>
          </w:p>
        </w:tc>
        <w:tc>
          <w:tcPr>
            <w:tcW w:w="0" w:type="auto"/>
          </w:tcPr>
          <w:p w:rsidR="007C7CE7" w:rsidRDefault="007C7CE7" w:rsidP="003226AA">
            <w:pPr>
              <w:pStyle w:val="Financialtablefigures"/>
              <w:keepNext/>
            </w:pPr>
            <w:r>
              <w:t>-4.179</w:t>
            </w:r>
          </w:p>
        </w:tc>
        <w:tc>
          <w:tcPr>
            <w:tcW w:w="0" w:type="auto"/>
          </w:tcPr>
          <w:p w:rsidR="007C7CE7" w:rsidRDefault="007C7CE7" w:rsidP="003226AA">
            <w:pPr>
              <w:pStyle w:val="Financialtablefigures"/>
              <w:keepNext/>
            </w:pPr>
            <w:r>
              <w:t>-5.173</w:t>
            </w:r>
          </w:p>
        </w:tc>
      </w:tr>
      <w:tr w:rsidR="007C7CE7" w:rsidTr="001033DE">
        <w:trPr>
          <w:jc w:val="center"/>
        </w:trPr>
        <w:tc>
          <w:tcPr>
            <w:tcW w:w="0" w:type="auto"/>
          </w:tcPr>
          <w:p w:rsidR="007C7CE7" w:rsidRPr="00B26156" w:rsidRDefault="007C7CE7" w:rsidP="003226AA">
            <w:pPr>
              <w:pStyle w:val="FinancialtableLHC"/>
              <w:keepNext/>
              <w:rPr>
                <w:b/>
              </w:rPr>
            </w:pPr>
            <w:r w:rsidRPr="00B26156">
              <w:rPr>
                <w:b/>
              </w:rPr>
              <w:t>Memo a/c closing (net)</w:t>
            </w:r>
          </w:p>
        </w:tc>
        <w:tc>
          <w:tcPr>
            <w:tcW w:w="0" w:type="auto"/>
          </w:tcPr>
          <w:p w:rsidR="007C7CE7" w:rsidRDefault="007C7CE7" w:rsidP="003226AA">
            <w:pPr>
              <w:pStyle w:val="Financialtablefigures"/>
              <w:keepNext/>
            </w:pPr>
            <w:r>
              <w:t>-13.901</w:t>
            </w:r>
          </w:p>
        </w:tc>
        <w:tc>
          <w:tcPr>
            <w:tcW w:w="0" w:type="auto"/>
          </w:tcPr>
          <w:p w:rsidR="007C7CE7" w:rsidRDefault="007C7CE7" w:rsidP="003226AA">
            <w:pPr>
              <w:pStyle w:val="Financialtablefigures"/>
              <w:keepNext/>
            </w:pPr>
            <w:r>
              <w:t>-20.214</w:t>
            </w:r>
          </w:p>
        </w:tc>
        <w:tc>
          <w:tcPr>
            <w:tcW w:w="0" w:type="auto"/>
          </w:tcPr>
          <w:p w:rsidR="007C7CE7" w:rsidRDefault="007C7CE7" w:rsidP="003226AA">
            <w:pPr>
              <w:pStyle w:val="Financialtablefigures"/>
              <w:keepNext/>
            </w:pPr>
            <w:r>
              <w:t>-27.942</w:t>
            </w:r>
          </w:p>
        </w:tc>
        <w:tc>
          <w:tcPr>
            <w:tcW w:w="0" w:type="auto"/>
          </w:tcPr>
          <w:p w:rsidR="007C7CE7" w:rsidRDefault="007C7CE7" w:rsidP="003226AA">
            <w:pPr>
              <w:pStyle w:val="Financialtablefigures"/>
              <w:keepNext/>
            </w:pPr>
            <w:r>
              <w:t>-37.198</w:t>
            </w:r>
          </w:p>
        </w:tc>
        <w:tc>
          <w:tcPr>
            <w:tcW w:w="0" w:type="auto"/>
          </w:tcPr>
          <w:p w:rsidR="007C7CE7" w:rsidRDefault="007C7CE7" w:rsidP="003226AA">
            <w:pPr>
              <w:pStyle w:val="Financialtablefigures"/>
              <w:keepNext/>
            </w:pPr>
            <w:r>
              <w:t>-48.104</w:t>
            </w:r>
          </w:p>
        </w:tc>
        <w:tc>
          <w:tcPr>
            <w:tcW w:w="0" w:type="auto"/>
          </w:tcPr>
          <w:p w:rsidR="007C7CE7" w:rsidRDefault="007C7CE7" w:rsidP="003226AA">
            <w:pPr>
              <w:pStyle w:val="Financialtablefigures"/>
              <w:keepNext/>
            </w:pPr>
            <w:r>
              <w:t>-60.544</w:t>
            </w:r>
          </w:p>
        </w:tc>
        <w:tc>
          <w:tcPr>
            <w:tcW w:w="0" w:type="auto"/>
          </w:tcPr>
          <w:p w:rsidR="007C7CE7" w:rsidRDefault="007C7CE7" w:rsidP="003226AA">
            <w:pPr>
              <w:pStyle w:val="Financialtablefigures"/>
              <w:keepNext/>
            </w:pPr>
            <w:r>
              <w:t>-73.953</w:t>
            </w:r>
          </w:p>
        </w:tc>
      </w:tr>
    </w:tbl>
    <w:p w:rsidR="00497FBE" w:rsidRDefault="00497FBE" w:rsidP="00057E9E">
      <w:pPr>
        <w:pStyle w:val="NumbersLevel1"/>
        <w:tabs>
          <w:tab w:val="clear" w:pos="709"/>
        </w:tabs>
        <w:ind w:left="0" w:firstLine="0"/>
        <w:rPr>
          <w:rFonts w:ascii="Calibri" w:hAnsi="Calibri"/>
          <w:sz w:val="24"/>
        </w:rPr>
      </w:pPr>
    </w:p>
    <w:p w:rsidR="00057E9E" w:rsidRPr="00FC0CFD" w:rsidRDefault="00057E9E" w:rsidP="00057E9E">
      <w:pPr>
        <w:pStyle w:val="NumbersLevel1"/>
        <w:numPr>
          <w:ilvl w:val="0"/>
          <w:numId w:val="20"/>
        </w:numPr>
        <w:tabs>
          <w:tab w:val="num" w:pos="709"/>
        </w:tabs>
        <w:ind w:left="709" w:hanging="709"/>
        <w:rPr>
          <w:rFonts w:ascii="Calibri" w:eastAsia="Calibri" w:hAnsi="Calibri"/>
          <w:sz w:val="24"/>
        </w:rPr>
      </w:pPr>
      <w:r w:rsidRPr="00FC0CFD">
        <w:rPr>
          <w:rFonts w:ascii="Calibri" w:eastAsia="Calibri" w:hAnsi="Calibri"/>
          <w:sz w:val="24"/>
        </w:rPr>
        <w:t xml:space="preserve">A review of the gambling fees is </w:t>
      </w:r>
      <w:r>
        <w:rPr>
          <w:rFonts w:ascii="Calibri" w:eastAsia="Calibri" w:hAnsi="Calibri"/>
          <w:sz w:val="24"/>
        </w:rPr>
        <w:t>urgent</w:t>
      </w:r>
      <w:r w:rsidRPr="00FC0CFD">
        <w:rPr>
          <w:rFonts w:ascii="Calibri" w:eastAsia="Calibri" w:hAnsi="Calibri"/>
          <w:sz w:val="24"/>
        </w:rPr>
        <w:t xml:space="preserve"> in order to rectify these financial pressures.  Delaying an adjustment to fees would require a more significant increase in fee levels in future years to recover the deficit. It is also not appropriate for the burden of regulatory costs to fall on the taxpayer. The Treasury </w:t>
      </w:r>
      <w:r w:rsidRPr="009E416B">
        <w:rPr>
          <w:rFonts w:ascii="Calibri" w:eastAsia="Calibri" w:hAnsi="Calibri"/>
          <w:i/>
          <w:sz w:val="24"/>
        </w:rPr>
        <w:t>Guidelines for Setting Charges</w:t>
      </w:r>
      <w:r w:rsidRPr="00FC0CFD">
        <w:rPr>
          <w:rFonts w:ascii="Calibri" w:eastAsia="Calibri" w:hAnsi="Calibri"/>
          <w:sz w:val="24"/>
        </w:rPr>
        <w:t xml:space="preserve"> </w:t>
      </w:r>
      <w:r w:rsidRPr="009E416B">
        <w:rPr>
          <w:rFonts w:ascii="Calibri" w:eastAsia="Calibri" w:hAnsi="Calibri"/>
          <w:i/>
          <w:sz w:val="24"/>
        </w:rPr>
        <w:t>in the Public Sector</w:t>
      </w:r>
      <w:r>
        <w:rPr>
          <w:rFonts w:ascii="Calibri" w:eastAsia="Calibri" w:hAnsi="Calibri"/>
          <w:sz w:val="24"/>
        </w:rPr>
        <w:t xml:space="preserve"> </w:t>
      </w:r>
      <w:r w:rsidRPr="00FC0CFD">
        <w:rPr>
          <w:rFonts w:ascii="Calibri" w:eastAsia="Calibri" w:hAnsi="Calibri"/>
          <w:sz w:val="24"/>
        </w:rPr>
        <w:t xml:space="preserve">note that those that give rise to costs should be responsible for covering them and that a key aim of fees is to reduce the reliance on funding from tax.  </w:t>
      </w:r>
    </w:p>
    <w:p w:rsidR="001721F0" w:rsidRDefault="001721F0">
      <w:pPr>
        <w:keepLines w:val="0"/>
        <w:rPr>
          <w:rFonts w:eastAsia="Times New Roman"/>
        </w:rPr>
      </w:pPr>
    </w:p>
    <w:p w:rsidR="00854436" w:rsidRPr="00854436" w:rsidRDefault="005C73A7" w:rsidP="001721F0">
      <w:pPr>
        <w:pStyle w:val="Heading1"/>
      </w:pPr>
      <w:bookmarkStart w:id="12" w:name="_Toc410217724"/>
      <w:r>
        <w:lastRenderedPageBreak/>
        <w:t>Managing cost</w:t>
      </w:r>
      <w:r w:rsidR="00234584">
        <w:t xml:space="preserve"> </w:t>
      </w:r>
      <w:r>
        <w:t>pressures to date</w:t>
      </w:r>
      <w:bookmarkEnd w:id="12"/>
    </w:p>
    <w:p w:rsidR="00CC51EC" w:rsidRPr="00934A84" w:rsidRDefault="00234584" w:rsidP="00934A84">
      <w:pPr>
        <w:pStyle w:val="NumbersLevel1"/>
        <w:numPr>
          <w:ilvl w:val="0"/>
          <w:numId w:val="20"/>
        </w:numPr>
        <w:tabs>
          <w:tab w:val="num" w:pos="709"/>
        </w:tabs>
        <w:ind w:left="709" w:hanging="709"/>
        <w:rPr>
          <w:rFonts w:ascii="Calibri" w:hAnsi="Calibri"/>
          <w:sz w:val="24"/>
        </w:rPr>
      </w:pPr>
      <w:r w:rsidRPr="00CC51EC">
        <w:rPr>
          <w:rFonts w:ascii="Calibri" w:hAnsi="Calibri"/>
          <w:sz w:val="24"/>
          <w:lang w:val="en-GB"/>
        </w:rPr>
        <w:t>The Department has contained costs as far as possible.</w:t>
      </w:r>
      <w:r w:rsidR="005D221D" w:rsidRPr="00CC51EC">
        <w:rPr>
          <w:rFonts w:ascii="Calibri" w:hAnsi="Calibri"/>
          <w:sz w:val="24"/>
          <w:lang w:val="en-GB"/>
        </w:rPr>
        <w:t xml:space="preserve"> </w:t>
      </w:r>
      <w:r w:rsidR="00635241" w:rsidRPr="00497FBE">
        <w:rPr>
          <w:rFonts w:ascii="Calibri" w:hAnsi="Calibri"/>
          <w:sz w:val="24"/>
        </w:rPr>
        <w:t xml:space="preserve">Two structural reviews have been undertaken </w:t>
      </w:r>
      <w:r w:rsidR="00635241">
        <w:rPr>
          <w:rFonts w:ascii="Calibri" w:hAnsi="Calibri"/>
          <w:sz w:val="24"/>
        </w:rPr>
        <w:t>since the last review of fees</w:t>
      </w:r>
      <w:r w:rsidR="00635241" w:rsidRPr="00497FBE">
        <w:rPr>
          <w:rFonts w:ascii="Calibri" w:hAnsi="Calibri"/>
          <w:sz w:val="24"/>
        </w:rPr>
        <w:t xml:space="preserve"> to ensure regulatory activity is being undertaken in the most efficient and cost effective manner. The first review resulted in a reduction of 20 full-time equivalent (FTE) staff.</w:t>
      </w:r>
      <w:r w:rsidR="00635241">
        <w:rPr>
          <w:rStyle w:val="FootnoteReference"/>
        </w:rPr>
        <w:footnoteReference w:id="7"/>
      </w:r>
      <w:r w:rsidR="00635241" w:rsidRPr="00497FBE">
        <w:rPr>
          <w:rFonts w:ascii="Calibri" w:hAnsi="Calibri"/>
          <w:sz w:val="24"/>
        </w:rPr>
        <w:t xml:space="preserve"> </w:t>
      </w:r>
      <w:r w:rsidR="00497FBE" w:rsidRPr="00934A84">
        <w:rPr>
          <w:rFonts w:ascii="Calibri" w:hAnsi="Calibri"/>
          <w:sz w:val="24"/>
        </w:rPr>
        <w:t xml:space="preserve">The Department is operating at the lowest number of </w:t>
      </w:r>
      <w:r w:rsidR="0009156A">
        <w:rPr>
          <w:rFonts w:ascii="Calibri" w:hAnsi="Calibri"/>
          <w:sz w:val="24"/>
        </w:rPr>
        <w:t>staff</w:t>
      </w:r>
      <w:r w:rsidR="00497FBE" w:rsidRPr="00934A84">
        <w:rPr>
          <w:rFonts w:ascii="Calibri" w:hAnsi="Calibri"/>
          <w:sz w:val="24"/>
        </w:rPr>
        <w:t xml:space="preserve"> </w:t>
      </w:r>
      <w:r w:rsidR="0009156A">
        <w:rPr>
          <w:rFonts w:ascii="Calibri" w:hAnsi="Calibri"/>
          <w:sz w:val="24"/>
        </w:rPr>
        <w:t xml:space="preserve">positions </w:t>
      </w:r>
      <w:r w:rsidR="00497FBE" w:rsidRPr="00934A84">
        <w:rPr>
          <w:rFonts w:ascii="Calibri" w:hAnsi="Calibri"/>
          <w:sz w:val="24"/>
        </w:rPr>
        <w:t>committed to gambling compliance and enforcement work since 2004</w:t>
      </w:r>
      <w:r w:rsidR="005C4380" w:rsidRPr="00934A84">
        <w:rPr>
          <w:rFonts w:ascii="Calibri" w:hAnsi="Calibri"/>
          <w:sz w:val="24"/>
        </w:rPr>
        <w:t xml:space="preserve"> (refer to table </w:t>
      </w:r>
      <w:r w:rsidR="0009156A">
        <w:rPr>
          <w:rFonts w:ascii="Calibri" w:hAnsi="Calibri"/>
          <w:sz w:val="24"/>
        </w:rPr>
        <w:t>4</w:t>
      </w:r>
      <w:r w:rsidR="005C4380" w:rsidRPr="00934A84">
        <w:rPr>
          <w:rFonts w:ascii="Calibri" w:hAnsi="Calibri"/>
          <w:sz w:val="24"/>
        </w:rPr>
        <w:t xml:space="preserve"> below)</w:t>
      </w:r>
      <w:r w:rsidR="00497FBE" w:rsidRPr="00934A84">
        <w:rPr>
          <w:rFonts w:ascii="Calibri" w:hAnsi="Calibri"/>
          <w:sz w:val="24"/>
        </w:rPr>
        <w:t xml:space="preserve">. </w:t>
      </w:r>
      <w:r w:rsidR="00934A84" w:rsidRPr="00497FBE">
        <w:rPr>
          <w:rFonts w:ascii="Calibri" w:hAnsi="Calibri"/>
          <w:sz w:val="24"/>
        </w:rPr>
        <w:t xml:space="preserve">Ten positions proposed in a 2012 </w:t>
      </w:r>
      <w:r w:rsidR="00934A84">
        <w:rPr>
          <w:rFonts w:ascii="Calibri" w:hAnsi="Calibri"/>
          <w:sz w:val="24"/>
        </w:rPr>
        <w:t>r</w:t>
      </w:r>
      <w:r w:rsidR="00934A84" w:rsidRPr="00497FBE">
        <w:rPr>
          <w:rFonts w:ascii="Calibri" w:hAnsi="Calibri"/>
          <w:sz w:val="24"/>
        </w:rPr>
        <w:t xml:space="preserve">eview were not filled for budgetary reasons.   </w:t>
      </w:r>
    </w:p>
    <w:p w:rsidR="009A7F27" w:rsidRDefault="009A7F27" w:rsidP="00B278C8">
      <w:pPr>
        <w:pStyle w:val="Caption"/>
        <w:jc w:val="left"/>
      </w:pPr>
      <w:r>
        <w:t xml:space="preserve">Table </w:t>
      </w:r>
      <w:r w:rsidR="00934A84">
        <w:t>4</w:t>
      </w:r>
      <w:r>
        <w:t xml:space="preserve">: Changes in total </w:t>
      </w:r>
      <w:r w:rsidR="00E65CE7">
        <w:t xml:space="preserve">established </w:t>
      </w:r>
      <w:r w:rsidR="00F5037F">
        <w:t xml:space="preserve">staff </w:t>
      </w:r>
      <w:r w:rsidR="00E65CE7">
        <w:t>positions</w:t>
      </w:r>
      <w:r>
        <w:t xml:space="preserve"> since 2003/04</w:t>
      </w:r>
    </w:p>
    <w:tbl>
      <w:tblPr>
        <w:tblStyle w:val="DIATable"/>
        <w:tblW w:w="0" w:type="auto"/>
        <w:tblLook w:val="04A0" w:firstRow="1" w:lastRow="0" w:firstColumn="1" w:lastColumn="0" w:noHBand="0" w:noVBand="1"/>
      </w:tblPr>
      <w:tblGrid>
        <w:gridCol w:w="1832"/>
        <w:gridCol w:w="1838"/>
        <w:gridCol w:w="1831"/>
        <w:gridCol w:w="1839"/>
        <w:gridCol w:w="1839"/>
      </w:tblGrid>
      <w:tr w:rsidR="009A7F27" w:rsidTr="00B278C8">
        <w:trPr>
          <w:cnfStyle w:val="100000000000" w:firstRow="1" w:lastRow="0" w:firstColumn="0" w:lastColumn="0" w:oddVBand="0" w:evenVBand="0" w:oddHBand="0" w:evenHBand="0" w:firstRowFirstColumn="0" w:firstRowLastColumn="0" w:lastRowFirstColumn="0" w:lastRowLastColumn="0"/>
        </w:trPr>
        <w:tc>
          <w:tcPr>
            <w:tcW w:w="1832" w:type="dxa"/>
          </w:tcPr>
          <w:p w:rsidR="009A7F27" w:rsidRDefault="009A7F27" w:rsidP="002A4581"/>
        </w:tc>
        <w:tc>
          <w:tcPr>
            <w:tcW w:w="1838" w:type="dxa"/>
          </w:tcPr>
          <w:p w:rsidR="009A7F27" w:rsidRDefault="009A7F27" w:rsidP="002A4581">
            <w:r>
              <w:t>2003/04</w:t>
            </w:r>
          </w:p>
        </w:tc>
        <w:tc>
          <w:tcPr>
            <w:tcW w:w="1831" w:type="dxa"/>
          </w:tcPr>
          <w:p w:rsidR="009A7F27" w:rsidRDefault="009A7F27" w:rsidP="002A4581">
            <w:r>
              <w:t xml:space="preserve"> May 2007</w:t>
            </w:r>
          </w:p>
        </w:tc>
        <w:tc>
          <w:tcPr>
            <w:tcW w:w="1839" w:type="dxa"/>
          </w:tcPr>
          <w:p w:rsidR="009A7F27" w:rsidRDefault="009A7F27" w:rsidP="002A4581">
            <w:r>
              <w:t>2007/08</w:t>
            </w:r>
          </w:p>
        </w:tc>
        <w:tc>
          <w:tcPr>
            <w:tcW w:w="1839" w:type="dxa"/>
          </w:tcPr>
          <w:p w:rsidR="009A7F27" w:rsidRDefault="009A7F27" w:rsidP="002A4581">
            <w:r>
              <w:t>2013/14</w:t>
            </w:r>
          </w:p>
        </w:tc>
      </w:tr>
      <w:tr w:rsidR="009A7F27" w:rsidTr="00B278C8">
        <w:tc>
          <w:tcPr>
            <w:tcW w:w="1832" w:type="dxa"/>
          </w:tcPr>
          <w:p w:rsidR="009A7F27" w:rsidRDefault="009A7F27" w:rsidP="002A4581">
            <w:r>
              <w:t>FTE Staff</w:t>
            </w:r>
          </w:p>
        </w:tc>
        <w:tc>
          <w:tcPr>
            <w:tcW w:w="1838" w:type="dxa"/>
          </w:tcPr>
          <w:p w:rsidR="009A7F27" w:rsidRDefault="009A7F27" w:rsidP="002A4581">
            <w:r>
              <w:t>104</w:t>
            </w:r>
          </w:p>
        </w:tc>
        <w:tc>
          <w:tcPr>
            <w:tcW w:w="1831" w:type="dxa"/>
          </w:tcPr>
          <w:p w:rsidR="009A7F27" w:rsidRDefault="009A7F27" w:rsidP="002A4581">
            <w:r>
              <w:t>117</w:t>
            </w:r>
          </w:p>
        </w:tc>
        <w:tc>
          <w:tcPr>
            <w:tcW w:w="1839" w:type="dxa"/>
          </w:tcPr>
          <w:p w:rsidR="009A7F27" w:rsidRDefault="009A7F27" w:rsidP="002A4581">
            <w:r>
              <w:t>105</w:t>
            </w:r>
            <w:r>
              <w:rPr>
                <w:rStyle w:val="FootnoteReference"/>
              </w:rPr>
              <w:footnoteReference w:id="8"/>
            </w:r>
          </w:p>
        </w:tc>
        <w:tc>
          <w:tcPr>
            <w:tcW w:w="1839" w:type="dxa"/>
          </w:tcPr>
          <w:p w:rsidR="009A7F27" w:rsidRDefault="009A7F27" w:rsidP="002A4581">
            <w:r>
              <w:t>85</w:t>
            </w:r>
          </w:p>
        </w:tc>
      </w:tr>
    </w:tbl>
    <w:p w:rsidR="009A7F27" w:rsidRPr="00922DE2" w:rsidRDefault="009A7F27" w:rsidP="009A7F27">
      <w:pPr>
        <w:pStyle w:val="NumbersLevel1"/>
        <w:tabs>
          <w:tab w:val="clear" w:pos="709"/>
        </w:tabs>
        <w:ind w:firstLine="0"/>
        <w:rPr>
          <w:rFonts w:ascii="Calibri" w:hAnsi="Calibri"/>
          <w:sz w:val="24"/>
        </w:rPr>
      </w:pPr>
    </w:p>
    <w:p w:rsidR="009A7F27" w:rsidRPr="00922DE2" w:rsidRDefault="009A7F27"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The level </w:t>
      </w:r>
      <w:r w:rsidRPr="00922DE2">
        <w:rPr>
          <w:rFonts w:ascii="Calibri" w:hAnsi="Calibri"/>
          <w:sz w:val="24"/>
        </w:rPr>
        <w:t xml:space="preserve">of savings achieved in each year </w:t>
      </w:r>
      <w:r>
        <w:rPr>
          <w:rFonts w:ascii="Calibri" w:hAnsi="Calibri"/>
          <w:sz w:val="24"/>
        </w:rPr>
        <w:t xml:space="preserve">from the reduction in </w:t>
      </w:r>
      <w:r w:rsidR="00662EE7">
        <w:rPr>
          <w:rFonts w:ascii="Calibri" w:hAnsi="Calibri"/>
          <w:sz w:val="24"/>
        </w:rPr>
        <w:t xml:space="preserve">established </w:t>
      </w:r>
      <w:r w:rsidR="00F5037F">
        <w:rPr>
          <w:rFonts w:ascii="Calibri" w:hAnsi="Calibri"/>
          <w:sz w:val="24"/>
        </w:rPr>
        <w:t xml:space="preserve">staff </w:t>
      </w:r>
      <w:r w:rsidR="00E65CE7">
        <w:rPr>
          <w:rFonts w:ascii="Calibri" w:hAnsi="Calibri"/>
          <w:sz w:val="24"/>
        </w:rPr>
        <w:t>position</w:t>
      </w:r>
      <w:r>
        <w:rPr>
          <w:rFonts w:ascii="Calibri" w:hAnsi="Calibri"/>
          <w:sz w:val="24"/>
        </w:rPr>
        <w:t xml:space="preserve">s is provided in </w:t>
      </w:r>
      <w:r w:rsidRPr="00922DE2">
        <w:rPr>
          <w:rFonts w:ascii="Calibri" w:hAnsi="Calibri"/>
          <w:sz w:val="24"/>
        </w:rPr>
        <w:t>table</w:t>
      </w:r>
      <w:r w:rsidR="008F4E51">
        <w:rPr>
          <w:rFonts w:ascii="Calibri" w:hAnsi="Calibri"/>
          <w:sz w:val="24"/>
        </w:rPr>
        <w:t xml:space="preserve"> 5</w:t>
      </w:r>
      <w:r>
        <w:rPr>
          <w:rFonts w:ascii="Calibri" w:hAnsi="Calibri"/>
          <w:sz w:val="24"/>
        </w:rPr>
        <w:t xml:space="preserve"> </w:t>
      </w:r>
      <w:r w:rsidRPr="00922DE2">
        <w:rPr>
          <w:rFonts w:ascii="Calibri" w:hAnsi="Calibri"/>
          <w:sz w:val="24"/>
        </w:rPr>
        <w:t>below.</w:t>
      </w:r>
      <w:r>
        <w:rPr>
          <w:rStyle w:val="FootnoteReference"/>
        </w:rPr>
        <w:footnoteReference w:id="9"/>
      </w:r>
      <w:r w:rsidR="00E65CE7">
        <w:rPr>
          <w:rFonts w:ascii="Calibri" w:hAnsi="Calibri"/>
          <w:sz w:val="24"/>
        </w:rPr>
        <w:t xml:space="preserve"> </w:t>
      </w:r>
      <w:r w:rsidR="00497FBE">
        <w:rPr>
          <w:rFonts w:ascii="Calibri" w:hAnsi="Calibri"/>
          <w:sz w:val="24"/>
        </w:rPr>
        <w:t xml:space="preserve">Approximately $14.000 </w:t>
      </w:r>
      <w:r>
        <w:rPr>
          <w:rFonts w:ascii="Calibri" w:hAnsi="Calibri"/>
          <w:sz w:val="24"/>
        </w:rPr>
        <w:t>million has been saved to date as a result of the reduction</w:t>
      </w:r>
      <w:r w:rsidR="00215304">
        <w:rPr>
          <w:rFonts w:ascii="Calibri" w:hAnsi="Calibri"/>
          <w:sz w:val="24"/>
        </w:rPr>
        <w:t xml:space="preserve"> to 85 FTE</w:t>
      </w:r>
      <w:r w:rsidR="00F71B96">
        <w:rPr>
          <w:rFonts w:ascii="Calibri" w:hAnsi="Calibri"/>
          <w:sz w:val="24"/>
        </w:rPr>
        <w:t xml:space="preserve"> staff</w:t>
      </w:r>
      <w:r w:rsidR="0009156A">
        <w:rPr>
          <w:rFonts w:ascii="Calibri" w:hAnsi="Calibri"/>
          <w:sz w:val="24"/>
        </w:rPr>
        <w:t xml:space="preserve">. </w:t>
      </w:r>
      <w:r>
        <w:rPr>
          <w:rFonts w:ascii="Calibri" w:hAnsi="Calibri"/>
          <w:sz w:val="24"/>
        </w:rPr>
        <w:t>The savings g</w:t>
      </w:r>
      <w:r w:rsidRPr="005044C6">
        <w:rPr>
          <w:rFonts w:ascii="Calibri" w:hAnsi="Calibri"/>
          <w:sz w:val="24"/>
        </w:rPr>
        <w:t xml:space="preserve">enerated </w:t>
      </w:r>
      <w:r>
        <w:rPr>
          <w:rFonts w:ascii="Calibri" w:hAnsi="Calibri"/>
          <w:sz w:val="24"/>
        </w:rPr>
        <w:t>ha</w:t>
      </w:r>
      <w:r w:rsidR="00234584">
        <w:rPr>
          <w:rFonts w:ascii="Calibri" w:hAnsi="Calibri"/>
          <w:sz w:val="24"/>
        </w:rPr>
        <w:t>ve</w:t>
      </w:r>
      <w:r>
        <w:rPr>
          <w:rFonts w:ascii="Calibri" w:hAnsi="Calibri"/>
          <w:sz w:val="24"/>
        </w:rPr>
        <w:t xml:space="preserve"> been used to cover cost increases.</w:t>
      </w:r>
    </w:p>
    <w:p w:rsidR="009A7F27" w:rsidRDefault="009A7F27" w:rsidP="00B278C8">
      <w:pPr>
        <w:pStyle w:val="Caption"/>
        <w:jc w:val="left"/>
      </w:pPr>
      <w:r>
        <w:t xml:space="preserve">Table </w:t>
      </w:r>
      <w:r w:rsidR="0009156A">
        <w:t>5</w:t>
      </w:r>
      <w:r>
        <w:t>: Level of savings achieved from staff reductions since 2007/08</w:t>
      </w:r>
      <w:r w:rsidR="00CA0F97">
        <w:t xml:space="preserve"> ($million)</w:t>
      </w:r>
    </w:p>
    <w:tbl>
      <w:tblPr>
        <w:tblStyle w:val="DIATable"/>
        <w:tblW w:w="0" w:type="auto"/>
        <w:tblLook w:val="04A0" w:firstRow="1" w:lastRow="0" w:firstColumn="1" w:lastColumn="0" w:noHBand="0" w:noVBand="1"/>
      </w:tblPr>
      <w:tblGrid>
        <w:gridCol w:w="2291"/>
        <w:gridCol w:w="2296"/>
        <w:gridCol w:w="2296"/>
        <w:gridCol w:w="2296"/>
      </w:tblGrid>
      <w:tr w:rsidR="009A7F27" w:rsidTr="00B278C8">
        <w:trPr>
          <w:cnfStyle w:val="100000000000" w:firstRow="1" w:lastRow="0" w:firstColumn="0" w:lastColumn="0" w:oddVBand="0" w:evenVBand="0" w:oddHBand="0" w:evenHBand="0" w:firstRowFirstColumn="0" w:firstRowLastColumn="0" w:lastRowFirstColumn="0" w:lastRowLastColumn="0"/>
        </w:trPr>
        <w:tc>
          <w:tcPr>
            <w:tcW w:w="2291" w:type="dxa"/>
          </w:tcPr>
          <w:p w:rsidR="009A7F27" w:rsidRDefault="009A7F27" w:rsidP="002A4581">
            <w:r>
              <w:t>Year</w:t>
            </w:r>
          </w:p>
        </w:tc>
        <w:tc>
          <w:tcPr>
            <w:tcW w:w="2296" w:type="dxa"/>
          </w:tcPr>
          <w:p w:rsidR="009A7F27" w:rsidRDefault="009A7F27" w:rsidP="002A4581">
            <w:r>
              <w:t xml:space="preserve">Personnel cost savings </w:t>
            </w:r>
          </w:p>
        </w:tc>
        <w:tc>
          <w:tcPr>
            <w:tcW w:w="2296" w:type="dxa"/>
          </w:tcPr>
          <w:p w:rsidR="009A7F27" w:rsidRDefault="009A7F27" w:rsidP="002A4581">
            <w:r>
              <w:t>Overhead cost saving</w:t>
            </w:r>
            <w:r w:rsidR="00F71B96">
              <w:t>s</w:t>
            </w:r>
          </w:p>
        </w:tc>
        <w:tc>
          <w:tcPr>
            <w:tcW w:w="2296" w:type="dxa"/>
          </w:tcPr>
          <w:p w:rsidR="009A7F27" w:rsidRDefault="009A7F27" w:rsidP="002A4581">
            <w:r>
              <w:t>Total saving</w:t>
            </w:r>
            <w:r w:rsidR="00CA0F97">
              <w:t>s</w:t>
            </w:r>
          </w:p>
        </w:tc>
      </w:tr>
      <w:tr w:rsidR="009A7F27" w:rsidTr="00B278C8">
        <w:tc>
          <w:tcPr>
            <w:tcW w:w="2291" w:type="dxa"/>
          </w:tcPr>
          <w:p w:rsidR="009A7F27" w:rsidRDefault="009A7F27" w:rsidP="002A4581">
            <w:r>
              <w:t>2008/09</w:t>
            </w:r>
          </w:p>
        </w:tc>
        <w:tc>
          <w:tcPr>
            <w:tcW w:w="2296" w:type="dxa"/>
          </w:tcPr>
          <w:p w:rsidR="009A7F27" w:rsidRPr="0032668B" w:rsidRDefault="009A7F27" w:rsidP="002A4581">
            <w:r w:rsidRPr="0032668B">
              <w:t>$1.60</w:t>
            </w:r>
          </w:p>
        </w:tc>
        <w:tc>
          <w:tcPr>
            <w:tcW w:w="2296" w:type="dxa"/>
          </w:tcPr>
          <w:p w:rsidR="009A7F27" w:rsidRDefault="009A7F27" w:rsidP="002A4581">
            <w:r>
              <w:t>$0.70</w:t>
            </w:r>
          </w:p>
        </w:tc>
        <w:tc>
          <w:tcPr>
            <w:tcW w:w="2296" w:type="dxa"/>
          </w:tcPr>
          <w:p w:rsidR="009A7F27" w:rsidRDefault="009A7F27" w:rsidP="002A4581">
            <w:r>
              <w:t>$2.30</w:t>
            </w:r>
          </w:p>
        </w:tc>
      </w:tr>
      <w:tr w:rsidR="009A7F27" w:rsidTr="00B278C8">
        <w:tc>
          <w:tcPr>
            <w:tcW w:w="2291" w:type="dxa"/>
          </w:tcPr>
          <w:p w:rsidR="009A7F27" w:rsidRDefault="009A7F27" w:rsidP="002A4581">
            <w:r>
              <w:t>2009/10</w:t>
            </w:r>
          </w:p>
        </w:tc>
        <w:tc>
          <w:tcPr>
            <w:tcW w:w="2296" w:type="dxa"/>
          </w:tcPr>
          <w:p w:rsidR="009A7F27" w:rsidRPr="0032668B" w:rsidRDefault="009A7F27" w:rsidP="002A4581">
            <w:r w:rsidRPr="0032668B">
              <w:t>$1.64</w:t>
            </w:r>
          </w:p>
        </w:tc>
        <w:tc>
          <w:tcPr>
            <w:tcW w:w="2296" w:type="dxa"/>
          </w:tcPr>
          <w:p w:rsidR="009A7F27" w:rsidRDefault="009A7F27" w:rsidP="002A4581">
            <w:r w:rsidRPr="00295550">
              <w:t>$0.70</w:t>
            </w:r>
          </w:p>
        </w:tc>
        <w:tc>
          <w:tcPr>
            <w:tcW w:w="2296" w:type="dxa"/>
          </w:tcPr>
          <w:p w:rsidR="009A7F27" w:rsidRDefault="009A7F27" w:rsidP="002A4581">
            <w:r>
              <w:t>$2.34</w:t>
            </w:r>
          </w:p>
        </w:tc>
      </w:tr>
      <w:tr w:rsidR="009A7F27" w:rsidTr="00B278C8">
        <w:tc>
          <w:tcPr>
            <w:tcW w:w="2291" w:type="dxa"/>
          </w:tcPr>
          <w:p w:rsidR="009A7F27" w:rsidRDefault="009A7F27" w:rsidP="002A4581">
            <w:r>
              <w:t>2010/11</w:t>
            </w:r>
          </w:p>
        </w:tc>
        <w:tc>
          <w:tcPr>
            <w:tcW w:w="2296" w:type="dxa"/>
          </w:tcPr>
          <w:p w:rsidR="009A7F27" w:rsidRPr="0032668B" w:rsidRDefault="009A7F27" w:rsidP="002A4581">
            <w:r w:rsidRPr="0032668B">
              <w:t>$1.68</w:t>
            </w:r>
          </w:p>
        </w:tc>
        <w:tc>
          <w:tcPr>
            <w:tcW w:w="2296" w:type="dxa"/>
          </w:tcPr>
          <w:p w:rsidR="009A7F27" w:rsidRDefault="009A7F27" w:rsidP="002A4581">
            <w:r w:rsidRPr="00295550">
              <w:t>$0.70</w:t>
            </w:r>
          </w:p>
        </w:tc>
        <w:tc>
          <w:tcPr>
            <w:tcW w:w="2296" w:type="dxa"/>
          </w:tcPr>
          <w:p w:rsidR="009A7F27" w:rsidRDefault="009A7F27" w:rsidP="002A4581">
            <w:r>
              <w:t>$2.38</w:t>
            </w:r>
          </w:p>
        </w:tc>
      </w:tr>
      <w:tr w:rsidR="009A7F27" w:rsidTr="00B278C8">
        <w:tc>
          <w:tcPr>
            <w:tcW w:w="2291" w:type="dxa"/>
          </w:tcPr>
          <w:p w:rsidR="009A7F27" w:rsidRDefault="009A7F27" w:rsidP="002A4581">
            <w:r>
              <w:t>2011/12</w:t>
            </w:r>
          </w:p>
        </w:tc>
        <w:tc>
          <w:tcPr>
            <w:tcW w:w="2296" w:type="dxa"/>
          </w:tcPr>
          <w:p w:rsidR="009A7F27" w:rsidRPr="0032668B" w:rsidRDefault="009A7F27" w:rsidP="002A4581">
            <w:r w:rsidRPr="0032668B">
              <w:t>$1.72</w:t>
            </w:r>
          </w:p>
        </w:tc>
        <w:tc>
          <w:tcPr>
            <w:tcW w:w="2296" w:type="dxa"/>
          </w:tcPr>
          <w:p w:rsidR="009A7F27" w:rsidRDefault="009A7F27" w:rsidP="002A4581">
            <w:r w:rsidRPr="00295550">
              <w:t>$0.70</w:t>
            </w:r>
          </w:p>
        </w:tc>
        <w:tc>
          <w:tcPr>
            <w:tcW w:w="2296" w:type="dxa"/>
          </w:tcPr>
          <w:p w:rsidR="009A7F27" w:rsidRDefault="009A7F27" w:rsidP="002A4581">
            <w:r>
              <w:t>$2.42</w:t>
            </w:r>
          </w:p>
        </w:tc>
      </w:tr>
      <w:tr w:rsidR="009A7F27" w:rsidTr="00B278C8">
        <w:tc>
          <w:tcPr>
            <w:tcW w:w="2291" w:type="dxa"/>
          </w:tcPr>
          <w:p w:rsidR="009A7F27" w:rsidRDefault="009A7F27" w:rsidP="002A4581">
            <w:r>
              <w:t>2012/13</w:t>
            </w:r>
          </w:p>
        </w:tc>
        <w:tc>
          <w:tcPr>
            <w:tcW w:w="2296" w:type="dxa"/>
          </w:tcPr>
          <w:p w:rsidR="009A7F27" w:rsidRPr="0032668B" w:rsidRDefault="009A7F27" w:rsidP="002A4581">
            <w:r w:rsidRPr="0032668B">
              <w:t>$1.77</w:t>
            </w:r>
          </w:p>
        </w:tc>
        <w:tc>
          <w:tcPr>
            <w:tcW w:w="2296" w:type="dxa"/>
          </w:tcPr>
          <w:p w:rsidR="009A7F27" w:rsidRDefault="009A7F27" w:rsidP="002A4581">
            <w:r w:rsidRPr="00295550">
              <w:t>$0.70</w:t>
            </w:r>
          </w:p>
        </w:tc>
        <w:tc>
          <w:tcPr>
            <w:tcW w:w="2296" w:type="dxa"/>
          </w:tcPr>
          <w:p w:rsidR="009A7F27" w:rsidRDefault="009A7F27" w:rsidP="002A4581">
            <w:r>
              <w:t>$2.47</w:t>
            </w:r>
          </w:p>
        </w:tc>
      </w:tr>
      <w:tr w:rsidR="009A7F27" w:rsidTr="00B278C8">
        <w:tc>
          <w:tcPr>
            <w:tcW w:w="2291" w:type="dxa"/>
          </w:tcPr>
          <w:p w:rsidR="009A7F27" w:rsidRDefault="009A7F27" w:rsidP="002A4581">
            <w:r>
              <w:t>2013/14</w:t>
            </w:r>
          </w:p>
        </w:tc>
        <w:tc>
          <w:tcPr>
            <w:tcW w:w="2296" w:type="dxa"/>
          </w:tcPr>
          <w:p w:rsidR="009A7F27" w:rsidRDefault="009A7F27" w:rsidP="002A4581">
            <w:r w:rsidRPr="0032668B">
              <w:t>$1.81</w:t>
            </w:r>
          </w:p>
        </w:tc>
        <w:tc>
          <w:tcPr>
            <w:tcW w:w="2296" w:type="dxa"/>
          </w:tcPr>
          <w:p w:rsidR="009A7F27" w:rsidRDefault="009A7F27" w:rsidP="002A4581">
            <w:r w:rsidRPr="00295550">
              <w:t>$0.70</w:t>
            </w:r>
          </w:p>
        </w:tc>
        <w:tc>
          <w:tcPr>
            <w:tcW w:w="2296" w:type="dxa"/>
          </w:tcPr>
          <w:p w:rsidR="009A7F27" w:rsidRDefault="009A7F27" w:rsidP="002A4581">
            <w:r>
              <w:t>$2.51</w:t>
            </w:r>
          </w:p>
        </w:tc>
      </w:tr>
      <w:tr w:rsidR="00F97C3E" w:rsidTr="00B278C8">
        <w:tc>
          <w:tcPr>
            <w:tcW w:w="6883" w:type="dxa"/>
            <w:gridSpan w:val="3"/>
          </w:tcPr>
          <w:p w:rsidR="00F97C3E" w:rsidRPr="00295550" w:rsidRDefault="00F97C3E" w:rsidP="00BB0E3D">
            <w:pPr>
              <w:jc w:val="center"/>
            </w:pPr>
            <w:r>
              <w:t>Total</w:t>
            </w:r>
          </w:p>
        </w:tc>
        <w:tc>
          <w:tcPr>
            <w:tcW w:w="2296" w:type="dxa"/>
          </w:tcPr>
          <w:p w:rsidR="00F97C3E" w:rsidRDefault="00F97C3E" w:rsidP="002A4581">
            <w:r>
              <w:t>$14.42</w:t>
            </w:r>
          </w:p>
        </w:tc>
      </w:tr>
    </w:tbl>
    <w:p w:rsidR="009A7F27" w:rsidRPr="00583346" w:rsidRDefault="009A7F27" w:rsidP="00F5037F">
      <w:pPr>
        <w:pStyle w:val="NumbersLevel1"/>
        <w:ind w:left="0" w:firstLine="0"/>
      </w:pPr>
    </w:p>
    <w:p w:rsidR="00583346" w:rsidRDefault="00583346"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The Department continues to make changes to business processes with a view to enhancing operational efficiency and making best use of its available resources. These </w:t>
      </w:r>
      <w:r w:rsidR="006B236C">
        <w:rPr>
          <w:rFonts w:ascii="Calibri" w:hAnsi="Calibri"/>
          <w:sz w:val="24"/>
        </w:rPr>
        <w:t xml:space="preserve">changes </w:t>
      </w:r>
      <w:r>
        <w:rPr>
          <w:rFonts w:ascii="Calibri" w:hAnsi="Calibri"/>
          <w:sz w:val="24"/>
        </w:rPr>
        <w:t>include:</w:t>
      </w:r>
    </w:p>
    <w:p w:rsidR="00583346" w:rsidRPr="00584813" w:rsidRDefault="00583346" w:rsidP="00584813">
      <w:pPr>
        <w:pStyle w:val="BulletLevel1"/>
        <w:numPr>
          <w:ilvl w:val="0"/>
          <w:numId w:val="5"/>
        </w:numPr>
        <w:ind w:left="1134" w:hanging="425"/>
        <w:rPr>
          <w:rFonts w:ascii="Calibri" w:hAnsi="Calibri"/>
          <w:sz w:val="24"/>
        </w:rPr>
      </w:pPr>
      <w:r w:rsidRPr="00584813">
        <w:rPr>
          <w:rFonts w:ascii="Calibri" w:hAnsi="Calibri"/>
          <w:sz w:val="24"/>
        </w:rPr>
        <w:t>a greater focus on risk-based checks before licences are issued or renewed;</w:t>
      </w:r>
    </w:p>
    <w:p w:rsidR="00583346" w:rsidRPr="00584813" w:rsidRDefault="00583346" w:rsidP="00584813">
      <w:pPr>
        <w:pStyle w:val="BulletLevel1"/>
        <w:numPr>
          <w:ilvl w:val="0"/>
          <w:numId w:val="5"/>
        </w:numPr>
        <w:ind w:left="1134" w:hanging="425"/>
        <w:rPr>
          <w:rFonts w:ascii="Calibri" w:hAnsi="Calibri"/>
          <w:sz w:val="24"/>
        </w:rPr>
      </w:pPr>
      <w:r w:rsidRPr="00584813">
        <w:rPr>
          <w:rFonts w:ascii="Calibri" w:hAnsi="Calibri"/>
          <w:sz w:val="24"/>
        </w:rPr>
        <w:t xml:space="preserve">a greater emphasis on management </w:t>
      </w:r>
      <w:r w:rsidR="00F5037F" w:rsidRPr="00584813">
        <w:rPr>
          <w:rFonts w:ascii="Calibri" w:hAnsi="Calibri"/>
          <w:sz w:val="24"/>
        </w:rPr>
        <w:t>of audits and investigation</w:t>
      </w:r>
      <w:r w:rsidR="00F71B96">
        <w:rPr>
          <w:rFonts w:ascii="Calibri" w:hAnsi="Calibri"/>
          <w:sz w:val="24"/>
        </w:rPr>
        <w:t>s</w:t>
      </w:r>
      <w:r w:rsidR="00F5037F" w:rsidRPr="00584813">
        <w:rPr>
          <w:rFonts w:ascii="Calibri" w:hAnsi="Calibri"/>
          <w:sz w:val="24"/>
        </w:rPr>
        <w:t xml:space="preserve">; </w:t>
      </w:r>
    </w:p>
    <w:p w:rsidR="00F0168E" w:rsidRPr="00F0168E" w:rsidRDefault="00583346" w:rsidP="00F0168E">
      <w:pPr>
        <w:pStyle w:val="BulletLevel1"/>
        <w:numPr>
          <w:ilvl w:val="0"/>
          <w:numId w:val="5"/>
        </w:numPr>
        <w:ind w:left="1134" w:hanging="425"/>
        <w:rPr>
          <w:rFonts w:ascii="Calibri" w:hAnsi="Calibri"/>
          <w:sz w:val="24"/>
        </w:rPr>
      </w:pPr>
      <w:r w:rsidRPr="00584813">
        <w:rPr>
          <w:rFonts w:ascii="Calibri" w:hAnsi="Calibri"/>
          <w:sz w:val="24"/>
        </w:rPr>
        <w:lastRenderedPageBreak/>
        <w:t>improved intelligence services that allow for more accurate risk-based positioning of regul</w:t>
      </w:r>
      <w:r w:rsidR="00F5037F" w:rsidRPr="00584813">
        <w:rPr>
          <w:rFonts w:ascii="Calibri" w:hAnsi="Calibri"/>
          <w:sz w:val="24"/>
        </w:rPr>
        <w:t xml:space="preserve">atory effort; </w:t>
      </w:r>
      <w:r w:rsidR="006B236C">
        <w:rPr>
          <w:rFonts w:ascii="Calibri" w:hAnsi="Calibri"/>
          <w:sz w:val="24"/>
        </w:rPr>
        <w:t>and</w:t>
      </w:r>
    </w:p>
    <w:p w:rsidR="00234584" w:rsidRPr="003252F4" w:rsidRDefault="00F5037F" w:rsidP="003252F4">
      <w:pPr>
        <w:pStyle w:val="BulletLevel1"/>
        <w:numPr>
          <w:ilvl w:val="0"/>
          <w:numId w:val="5"/>
        </w:numPr>
        <w:ind w:left="1134" w:hanging="425"/>
        <w:rPr>
          <w:rFonts w:ascii="Calibri" w:hAnsi="Calibri"/>
          <w:sz w:val="24"/>
        </w:rPr>
      </w:pPr>
      <w:r w:rsidRPr="00584813">
        <w:rPr>
          <w:rFonts w:ascii="Calibri" w:hAnsi="Calibri"/>
          <w:sz w:val="24"/>
        </w:rPr>
        <w:t xml:space="preserve">a greater emphasis on working with Class 4 societies to avoid sanctions that could result in litigation. </w:t>
      </w:r>
      <w:r w:rsidR="00584813">
        <w:rPr>
          <w:rFonts w:ascii="Calibri" w:hAnsi="Calibri"/>
          <w:sz w:val="24"/>
        </w:rPr>
        <w:t>(</w:t>
      </w:r>
      <w:r w:rsidRPr="00584813">
        <w:rPr>
          <w:rFonts w:ascii="Calibri" w:hAnsi="Calibri"/>
          <w:sz w:val="24"/>
        </w:rPr>
        <w:t>This is specifically where societies have indicated their willingness to improve their performance and cease non-compliant behaviour consistent with the requirements of the Act</w:t>
      </w:r>
      <w:r w:rsidR="00584813">
        <w:rPr>
          <w:rFonts w:ascii="Calibri" w:hAnsi="Calibri"/>
          <w:sz w:val="24"/>
        </w:rPr>
        <w:t>)</w:t>
      </w:r>
      <w:r w:rsidRPr="00584813">
        <w:rPr>
          <w:rFonts w:ascii="Calibri" w:hAnsi="Calibri"/>
          <w:sz w:val="24"/>
        </w:rPr>
        <w:t>.</w:t>
      </w:r>
    </w:p>
    <w:p w:rsidR="009619B2" w:rsidRDefault="009619B2">
      <w:pPr>
        <w:keepLines w:val="0"/>
        <w:rPr>
          <w:rFonts w:eastAsia="Times New Roman"/>
        </w:rPr>
      </w:pPr>
      <w:r>
        <w:br w:type="page"/>
      </w:r>
    </w:p>
    <w:p w:rsidR="000269AD" w:rsidRDefault="001474FD" w:rsidP="009619B2">
      <w:pPr>
        <w:pStyle w:val="Heading1"/>
      </w:pPr>
      <w:bookmarkStart w:id="13" w:name="_Toc410217725"/>
      <w:r>
        <w:lastRenderedPageBreak/>
        <w:t>Principles for assessing fee options</w:t>
      </w:r>
      <w:bookmarkEnd w:id="13"/>
    </w:p>
    <w:p w:rsidR="001528B1" w:rsidRPr="00BA50B0" w:rsidRDefault="001528B1"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The Department undertook the review of fees with the objectives of:</w:t>
      </w:r>
    </w:p>
    <w:p w:rsidR="001528B1" w:rsidRPr="00BA50B0" w:rsidRDefault="001528B1"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creating a more sustainable third party revenue framework that adequately recovers the Department’s costs based on the regulatory work required; and</w:t>
      </w:r>
    </w:p>
    <w:p w:rsidR="001528B1" w:rsidRPr="00BA50B0" w:rsidRDefault="001528B1" w:rsidP="005A3016">
      <w:pPr>
        <w:pStyle w:val="NumbersLevel3"/>
        <w:numPr>
          <w:ilvl w:val="2"/>
          <w:numId w:val="20"/>
        </w:numPr>
        <w:tabs>
          <w:tab w:val="num" w:pos="1276"/>
        </w:tabs>
        <w:ind w:left="1276" w:hanging="567"/>
        <w:rPr>
          <w:rFonts w:ascii="Calibri" w:hAnsi="Calibri"/>
          <w:sz w:val="24"/>
        </w:rPr>
      </w:pPr>
      <w:r w:rsidRPr="00BA50B0">
        <w:rPr>
          <w:rFonts w:ascii="Calibri" w:hAnsi="Calibri"/>
          <w:sz w:val="24"/>
        </w:rPr>
        <w:t>maintaining current levels of regulatory oversight</w:t>
      </w:r>
      <w:r w:rsidR="009B3FB2">
        <w:rPr>
          <w:rFonts w:ascii="Calibri" w:hAnsi="Calibri"/>
          <w:sz w:val="24"/>
        </w:rPr>
        <w:t>,</w:t>
      </w:r>
      <w:r w:rsidRPr="00BA50B0">
        <w:rPr>
          <w:rFonts w:ascii="Calibri" w:hAnsi="Calibri"/>
          <w:sz w:val="24"/>
        </w:rPr>
        <w:t xml:space="preserve"> which are the minimum necessary to meet the Department’s statutory obligations.</w:t>
      </w:r>
    </w:p>
    <w:p w:rsidR="001528B1" w:rsidRPr="00B278C8" w:rsidRDefault="001528B1" w:rsidP="00B278C8">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The Treasury and the Office of the Auditor-General (OAG) list a number of principles that should be considered </w:t>
      </w:r>
      <w:r w:rsidR="001437E6">
        <w:rPr>
          <w:rFonts w:ascii="Calibri" w:hAnsi="Calibri"/>
          <w:sz w:val="24"/>
        </w:rPr>
        <w:t xml:space="preserve">when setting fees and charges. </w:t>
      </w:r>
      <w:r w:rsidR="00B278C8" w:rsidRPr="00BA50B0">
        <w:rPr>
          <w:rFonts w:ascii="Calibri" w:hAnsi="Calibri"/>
          <w:sz w:val="24"/>
        </w:rPr>
        <w:t xml:space="preserve">This review has been undertaken with these </w:t>
      </w:r>
      <w:r w:rsidR="00B278C8">
        <w:rPr>
          <w:rFonts w:ascii="Calibri" w:hAnsi="Calibri"/>
          <w:sz w:val="24"/>
        </w:rPr>
        <w:t xml:space="preserve">principles </w:t>
      </w:r>
      <w:r w:rsidR="00B278C8" w:rsidRPr="00BA50B0">
        <w:rPr>
          <w:rFonts w:ascii="Calibri" w:hAnsi="Calibri"/>
          <w:sz w:val="24"/>
        </w:rPr>
        <w:t>in mind.</w:t>
      </w:r>
      <w:r w:rsidR="00B278C8">
        <w:rPr>
          <w:rStyle w:val="FootnoteReference"/>
        </w:rPr>
        <w:footnoteReference w:id="10"/>
      </w:r>
      <w:r w:rsidR="00B278C8">
        <w:rPr>
          <w:rFonts w:ascii="Calibri" w:hAnsi="Calibri"/>
          <w:sz w:val="24"/>
        </w:rPr>
        <w:t xml:space="preserve"> </w:t>
      </w:r>
      <w:r w:rsidRPr="00B278C8">
        <w:rPr>
          <w:rFonts w:ascii="Calibri" w:hAnsi="Calibri"/>
          <w:sz w:val="24"/>
        </w:rPr>
        <w:t>The OAG notes that authority, efficiency and accountability are the principles to be incorporated in fee-setting decisions</w:t>
      </w:r>
      <w:r w:rsidR="001437E6" w:rsidRPr="00B278C8">
        <w:rPr>
          <w:rFonts w:ascii="Calibri" w:hAnsi="Calibri"/>
          <w:sz w:val="24"/>
        </w:rPr>
        <w:t xml:space="preserve">. </w:t>
      </w:r>
      <w:r w:rsidRPr="00B278C8">
        <w:rPr>
          <w:rFonts w:ascii="Calibri" w:hAnsi="Calibri"/>
          <w:sz w:val="24"/>
        </w:rPr>
        <w:t>The Treasury guidelines focus on efficient resource allocation, minimising transaction costs, equity among those that give rise to costs, and reduc</w:t>
      </w:r>
      <w:r w:rsidR="001437E6" w:rsidRPr="00B278C8">
        <w:rPr>
          <w:rFonts w:ascii="Calibri" w:hAnsi="Calibri"/>
          <w:sz w:val="24"/>
        </w:rPr>
        <w:t xml:space="preserve">ing costs and taxpayer burden. </w:t>
      </w:r>
    </w:p>
    <w:p w:rsidR="009619B2" w:rsidRDefault="009619B2" w:rsidP="009619B2">
      <w:pPr>
        <w:pStyle w:val="NumbersLevel1"/>
        <w:numPr>
          <w:ilvl w:val="0"/>
          <w:numId w:val="20"/>
        </w:numPr>
        <w:tabs>
          <w:tab w:val="num" w:pos="709"/>
        </w:tabs>
        <w:ind w:left="709" w:hanging="709"/>
        <w:rPr>
          <w:rFonts w:ascii="Calibri" w:hAnsi="Calibri"/>
          <w:sz w:val="24"/>
        </w:rPr>
      </w:pPr>
      <w:r w:rsidRPr="00BA50B0">
        <w:rPr>
          <w:rFonts w:ascii="Calibri" w:hAnsi="Calibri"/>
          <w:sz w:val="24"/>
        </w:rPr>
        <w:t>Because of the declin</w:t>
      </w:r>
      <w:r>
        <w:rPr>
          <w:rFonts w:ascii="Calibri" w:hAnsi="Calibri"/>
          <w:sz w:val="24"/>
        </w:rPr>
        <w:t xml:space="preserve">e in the number of </w:t>
      </w:r>
      <w:r w:rsidRPr="00BA50B0">
        <w:rPr>
          <w:rFonts w:ascii="Calibri" w:hAnsi="Calibri"/>
          <w:sz w:val="24"/>
        </w:rPr>
        <w:t>gaming machine</w:t>
      </w:r>
      <w:r>
        <w:rPr>
          <w:rFonts w:ascii="Calibri" w:hAnsi="Calibri"/>
          <w:sz w:val="24"/>
        </w:rPr>
        <w:t>s</w:t>
      </w:r>
      <w:r w:rsidRPr="00BA50B0">
        <w:rPr>
          <w:rFonts w:ascii="Calibri" w:hAnsi="Calibri"/>
          <w:sz w:val="24"/>
        </w:rPr>
        <w:t xml:space="preserve">, </w:t>
      </w:r>
      <w:r>
        <w:rPr>
          <w:rFonts w:ascii="Calibri" w:hAnsi="Calibri"/>
          <w:sz w:val="24"/>
        </w:rPr>
        <w:t xml:space="preserve">the Department examined </w:t>
      </w:r>
      <w:r w:rsidRPr="00BA50B0">
        <w:rPr>
          <w:rFonts w:ascii="Calibri" w:hAnsi="Calibri"/>
          <w:sz w:val="24"/>
        </w:rPr>
        <w:t>other measures through which Class 4 gambling fees could be charged</w:t>
      </w:r>
      <w:r>
        <w:rPr>
          <w:rFonts w:ascii="Calibri" w:hAnsi="Calibri"/>
          <w:sz w:val="24"/>
        </w:rPr>
        <w:t>,</w:t>
      </w:r>
      <w:r w:rsidRPr="00BA50B0">
        <w:rPr>
          <w:rFonts w:ascii="Calibri" w:hAnsi="Calibri"/>
          <w:sz w:val="24"/>
        </w:rPr>
        <w:t xml:space="preserve"> including coupling fees to gaming machine proceeds or to the number of</w:t>
      </w:r>
      <w:r>
        <w:rPr>
          <w:rFonts w:ascii="Calibri" w:hAnsi="Calibri"/>
          <w:sz w:val="24"/>
        </w:rPr>
        <w:t xml:space="preserve"> venues operated by a society. </w:t>
      </w:r>
      <w:r w:rsidRPr="00DC29B3">
        <w:rPr>
          <w:rFonts w:ascii="Calibri" w:hAnsi="Calibri"/>
          <w:sz w:val="24"/>
        </w:rPr>
        <w:t xml:space="preserve">Analysis showed that similar revenue could be gained by tying fees to machine numbers, gaming machine proceeds or to the number of Class 4 venues. </w:t>
      </w:r>
    </w:p>
    <w:p w:rsidR="009619B2" w:rsidRPr="00DC29B3" w:rsidRDefault="009619B2" w:rsidP="009619B2">
      <w:pPr>
        <w:pStyle w:val="NumbersLevel1"/>
        <w:numPr>
          <w:ilvl w:val="0"/>
          <w:numId w:val="20"/>
        </w:numPr>
        <w:tabs>
          <w:tab w:val="num" w:pos="709"/>
        </w:tabs>
        <w:ind w:left="709" w:hanging="709"/>
        <w:rPr>
          <w:rFonts w:ascii="Calibri" w:hAnsi="Calibri"/>
          <w:sz w:val="24"/>
        </w:rPr>
      </w:pPr>
      <w:r w:rsidRPr="00DC29B3">
        <w:rPr>
          <w:rFonts w:ascii="Calibri" w:hAnsi="Calibri"/>
          <w:sz w:val="24"/>
        </w:rPr>
        <w:t xml:space="preserve">The Department </w:t>
      </w:r>
      <w:r>
        <w:rPr>
          <w:rFonts w:ascii="Calibri" w:hAnsi="Calibri"/>
          <w:sz w:val="24"/>
        </w:rPr>
        <w:t>proposes</w:t>
      </w:r>
      <w:r w:rsidRPr="00DC29B3">
        <w:rPr>
          <w:rFonts w:ascii="Calibri" w:hAnsi="Calibri"/>
          <w:sz w:val="24"/>
        </w:rPr>
        <w:t xml:space="preserve"> to continue using gaming machine numbers </w:t>
      </w:r>
      <w:r>
        <w:rPr>
          <w:rFonts w:ascii="Calibri" w:hAnsi="Calibri"/>
          <w:sz w:val="24"/>
        </w:rPr>
        <w:t xml:space="preserve">in fee setting </w:t>
      </w:r>
      <w:r w:rsidRPr="00DC29B3">
        <w:rPr>
          <w:rFonts w:ascii="Calibri" w:hAnsi="Calibri"/>
          <w:sz w:val="24"/>
        </w:rPr>
        <w:t>because:</w:t>
      </w:r>
    </w:p>
    <w:p w:rsidR="009619B2" w:rsidRPr="00BA50B0" w:rsidRDefault="009619B2" w:rsidP="009619B2">
      <w:pPr>
        <w:pStyle w:val="BulletLevel1"/>
        <w:numPr>
          <w:ilvl w:val="0"/>
          <w:numId w:val="5"/>
        </w:numPr>
        <w:ind w:left="1134" w:hanging="425"/>
        <w:rPr>
          <w:rFonts w:ascii="Calibri" w:hAnsi="Calibri"/>
          <w:sz w:val="24"/>
        </w:rPr>
      </w:pPr>
      <w:r w:rsidRPr="00BA50B0">
        <w:rPr>
          <w:rFonts w:ascii="Calibri" w:hAnsi="Calibri"/>
          <w:sz w:val="24"/>
        </w:rPr>
        <w:t xml:space="preserve">it provides more certainty for gambling operators as it is easier to budget for fee costs based on the number of </w:t>
      </w:r>
      <w:r w:rsidRPr="00DC29B3">
        <w:rPr>
          <w:rFonts w:ascii="Calibri" w:hAnsi="Calibri"/>
          <w:sz w:val="24"/>
        </w:rPr>
        <w:t>machines</w:t>
      </w:r>
      <w:r w:rsidRPr="00BA50B0">
        <w:rPr>
          <w:rFonts w:ascii="Calibri" w:hAnsi="Calibri"/>
          <w:sz w:val="24"/>
        </w:rPr>
        <w:t xml:space="preserve"> (rather than gaming machine proceeds, for example); </w:t>
      </w:r>
    </w:p>
    <w:p w:rsidR="009619B2" w:rsidRPr="00BA50B0" w:rsidRDefault="009619B2" w:rsidP="009619B2">
      <w:pPr>
        <w:pStyle w:val="BulletLevel1"/>
        <w:numPr>
          <w:ilvl w:val="0"/>
          <w:numId w:val="5"/>
        </w:numPr>
        <w:ind w:left="1134" w:hanging="425"/>
        <w:rPr>
          <w:rFonts w:ascii="Calibri" w:hAnsi="Calibri"/>
          <w:sz w:val="24"/>
        </w:rPr>
      </w:pPr>
      <w:r w:rsidRPr="00BA50B0">
        <w:rPr>
          <w:rFonts w:ascii="Calibri" w:hAnsi="Calibri"/>
          <w:sz w:val="24"/>
        </w:rPr>
        <w:t>it provides more certainty to the Department for financial projections</w:t>
      </w:r>
      <w:r>
        <w:rPr>
          <w:rFonts w:ascii="Calibri" w:hAnsi="Calibri"/>
          <w:sz w:val="24"/>
        </w:rPr>
        <w:t>,</w:t>
      </w:r>
      <w:r w:rsidRPr="00BA50B0">
        <w:rPr>
          <w:rFonts w:ascii="Calibri" w:hAnsi="Calibri"/>
          <w:sz w:val="24"/>
        </w:rPr>
        <w:t xml:space="preserve"> as the decline in machine</w:t>
      </w:r>
      <w:r w:rsidR="009B3FB2">
        <w:rPr>
          <w:rFonts w:ascii="Calibri" w:hAnsi="Calibri"/>
          <w:sz w:val="24"/>
        </w:rPr>
        <w:t xml:space="preserve"> numbers</w:t>
      </w:r>
      <w:r w:rsidRPr="00BA50B0">
        <w:rPr>
          <w:rFonts w:ascii="Calibri" w:hAnsi="Calibri"/>
          <w:sz w:val="24"/>
        </w:rPr>
        <w:t xml:space="preserve"> is more predictable than gaming machine proceeds or venue numbers; and</w:t>
      </w:r>
    </w:p>
    <w:p w:rsidR="009619B2" w:rsidRPr="009619B2" w:rsidRDefault="009619B2" w:rsidP="009619B2">
      <w:pPr>
        <w:pStyle w:val="BulletLevel1"/>
        <w:numPr>
          <w:ilvl w:val="0"/>
          <w:numId w:val="5"/>
        </w:numPr>
        <w:ind w:left="1134" w:hanging="425"/>
        <w:rPr>
          <w:rFonts w:ascii="Calibri" w:hAnsi="Calibri"/>
          <w:sz w:val="24"/>
        </w:rPr>
      </w:pPr>
      <w:r w:rsidRPr="00BA50B0">
        <w:rPr>
          <w:rFonts w:ascii="Calibri" w:hAnsi="Calibri"/>
          <w:sz w:val="24"/>
        </w:rPr>
        <w:t>is transparent to all parties, easier to administer and is already familiar to the sector.</w:t>
      </w:r>
    </w:p>
    <w:p w:rsidR="0094016E" w:rsidRDefault="0094016E">
      <w:pPr>
        <w:keepLines w:val="0"/>
        <w:rPr>
          <w:rFonts w:eastAsia="Times New Roman"/>
        </w:rPr>
      </w:pPr>
      <w:r>
        <w:br w:type="page"/>
      </w:r>
    </w:p>
    <w:p w:rsidR="001474FD" w:rsidRDefault="005E6D7A" w:rsidP="001528B1">
      <w:pPr>
        <w:pStyle w:val="Heading1"/>
      </w:pPr>
      <w:bookmarkStart w:id="14" w:name="_Toc410217726"/>
      <w:r>
        <w:lastRenderedPageBreak/>
        <w:t xml:space="preserve">What </w:t>
      </w:r>
      <w:r w:rsidR="00333B1D">
        <w:t>are the options</w:t>
      </w:r>
      <w:r>
        <w:t>?</w:t>
      </w:r>
      <w:bookmarkEnd w:id="14"/>
    </w:p>
    <w:p w:rsidR="001528B1" w:rsidRPr="00BA50B0" w:rsidRDefault="009619B2" w:rsidP="001528B1">
      <w:pPr>
        <w:pStyle w:val="Heading2"/>
      </w:pPr>
      <w:bookmarkStart w:id="15" w:name="_Toc402871091"/>
      <w:bookmarkStart w:id="16" w:name="_Toc410217727"/>
      <w:r>
        <w:t xml:space="preserve">Option </w:t>
      </w:r>
      <w:r w:rsidR="006165D2">
        <w:t>one</w:t>
      </w:r>
      <w:r>
        <w:t xml:space="preserve">: </w:t>
      </w:r>
      <w:r w:rsidR="00353EB6">
        <w:t>increase</w:t>
      </w:r>
      <w:r w:rsidR="001347A6">
        <w:t xml:space="preserve"> fees to </w:t>
      </w:r>
      <w:r w:rsidR="001528B1" w:rsidRPr="00BA50B0">
        <w:t xml:space="preserve">cover costs and </w:t>
      </w:r>
      <w:r w:rsidR="003D3002">
        <w:t>reduce</w:t>
      </w:r>
      <w:r w:rsidR="001528B1" w:rsidRPr="00BA50B0">
        <w:t xml:space="preserve"> the memorandum account deficit over time</w:t>
      </w:r>
      <w:bookmarkEnd w:id="15"/>
      <w:r>
        <w:t xml:space="preserve"> (preferred option)</w:t>
      </w:r>
      <w:bookmarkEnd w:id="16"/>
    </w:p>
    <w:p w:rsidR="00BF6DF7" w:rsidRPr="00395C71" w:rsidRDefault="00353EB6" w:rsidP="00B278C8">
      <w:pPr>
        <w:pStyle w:val="NumbersLevel1"/>
        <w:numPr>
          <w:ilvl w:val="0"/>
          <w:numId w:val="20"/>
        </w:numPr>
        <w:tabs>
          <w:tab w:val="num" w:pos="709"/>
        </w:tabs>
        <w:ind w:left="709" w:hanging="709"/>
        <w:rPr>
          <w:rFonts w:ascii="Calibri" w:hAnsi="Calibri"/>
          <w:sz w:val="24"/>
        </w:rPr>
      </w:pPr>
      <w:r w:rsidRPr="009619B2">
        <w:rPr>
          <w:rFonts w:ascii="Calibri" w:hAnsi="Calibri"/>
          <w:sz w:val="24"/>
        </w:rPr>
        <w:t xml:space="preserve">This option </w:t>
      </w:r>
      <w:r w:rsidR="009619B2">
        <w:rPr>
          <w:rFonts w:ascii="Calibri" w:hAnsi="Calibri"/>
          <w:sz w:val="24"/>
        </w:rPr>
        <w:t xml:space="preserve">would involve fee increases that are </w:t>
      </w:r>
      <w:r w:rsidRPr="009619B2">
        <w:rPr>
          <w:rFonts w:ascii="Calibri" w:hAnsi="Calibri"/>
          <w:sz w:val="24"/>
        </w:rPr>
        <w:t xml:space="preserve">the minimum possible </w:t>
      </w:r>
      <w:r w:rsidR="009619B2">
        <w:rPr>
          <w:rFonts w:ascii="Calibri" w:hAnsi="Calibri"/>
          <w:sz w:val="24"/>
        </w:rPr>
        <w:t>to cover costs</w:t>
      </w:r>
      <w:r w:rsidR="00DF277B" w:rsidRPr="009619B2">
        <w:rPr>
          <w:rFonts w:ascii="Calibri" w:hAnsi="Calibri"/>
          <w:sz w:val="24"/>
        </w:rPr>
        <w:t xml:space="preserve"> and</w:t>
      </w:r>
      <w:r w:rsidRPr="009619B2">
        <w:rPr>
          <w:rFonts w:ascii="Calibri" w:hAnsi="Calibri"/>
          <w:sz w:val="24"/>
        </w:rPr>
        <w:t xml:space="preserve"> </w:t>
      </w:r>
      <w:r w:rsidR="000147D1" w:rsidRPr="009619B2">
        <w:rPr>
          <w:rFonts w:ascii="Calibri" w:hAnsi="Calibri"/>
          <w:sz w:val="24"/>
        </w:rPr>
        <w:t>re</w:t>
      </w:r>
      <w:r w:rsidR="00BC1355">
        <w:rPr>
          <w:rFonts w:ascii="Calibri" w:hAnsi="Calibri"/>
          <w:sz w:val="24"/>
        </w:rPr>
        <w:t xml:space="preserve">duce the </w:t>
      </w:r>
      <w:r w:rsidR="000147D1" w:rsidRPr="009619B2">
        <w:rPr>
          <w:rFonts w:ascii="Calibri" w:hAnsi="Calibri"/>
          <w:sz w:val="24"/>
        </w:rPr>
        <w:t xml:space="preserve">Department’s </w:t>
      </w:r>
      <w:r w:rsidRPr="009619B2">
        <w:rPr>
          <w:rFonts w:ascii="Calibri" w:hAnsi="Calibri"/>
          <w:sz w:val="24"/>
        </w:rPr>
        <w:t>memorandum account</w:t>
      </w:r>
      <w:r w:rsidR="00BC1355">
        <w:rPr>
          <w:rFonts w:ascii="Calibri" w:hAnsi="Calibri"/>
          <w:sz w:val="24"/>
        </w:rPr>
        <w:t xml:space="preserve"> deficit</w:t>
      </w:r>
      <w:r w:rsidR="002916AD" w:rsidRPr="009619B2">
        <w:rPr>
          <w:rFonts w:ascii="Calibri" w:hAnsi="Calibri"/>
          <w:sz w:val="24"/>
        </w:rPr>
        <w:t>,</w:t>
      </w:r>
      <w:r w:rsidR="000147D1" w:rsidRPr="009619B2">
        <w:rPr>
          <w:rFonts w:ascii="Calibri" w:hAnsi="Calibri"/>
          <w:sz w:val="24"/>
        </w:rPr>
        <w:t xml:space="preserve"> as shown in </w:t>
      </w:r>
      <w:r w:rsidR="005740CD" w:rsidRPr="009619B2">
        <w:rPr>
          <w:rFonts w:ascii="Calibri" w:hAnsi="Calibri"/>
          <w:sz w:val="24"/>
        </w:rPr>
        <w:t>table</w:t>
      </w:r>
      <w:r w:rsidR="008F4E51">
        <w:rPr>
          <w:rFonts w:ascii="Calibri" w:hAnsi="Calibri"/>
          <w:sz w:val="24"/>
        </w:rPr>
        <w:t xml:space="preserve"> 6</w:t>
      </w:r>
      <w:r w:rsidR="005740CD" w:rsidRPr="009619B2">
        <w:rPr>
          <w:rFonts w:ascii="Calibri" w:hAnsi="Calibri"/>
          <w:sz w:val="24"/>
        </w:rPr>
        <w:t xml:space="preserve"> below.</w:t>
      </w:r>
      <w:r w:rsidR="00DF277B">
        <w:rPr>
          <w:rFonts w:ascii="Calibri" w:hAnsi="Calibri"/>
          <w:sz w:val="24"/>
        </w:rPr>
        <w:t xml:space="preserve"> </w:t>
      </w:r>
      <w:r w:rsidR="002154C6">
        <w:rPr>
          <w:rFonts w:ascii="Calibri" w:hAnsi="Calibri"/>
          <w:sz w:val="24"/>
        </w:rPr>
        <w:t>F</w:t>
      </w:r>
      <w:r w:rsidR="00BF6DF7" w:rsidRPr="00BA50B0">
        <w:rPr>
          <w:rFonts w:ascii="Calibri" w:hAnsi="Calibri"/>
          <w:sz w:val="24"/>
        </w:rPr>
        <w:t xml:space="preserve">or a full list of the </w:t>
      </w:r>
      <w:r w:rsidR="00BF6DF7">
        <w:rPr>
          <w:rFonts w:ascii="Calibri" w:hAnsi="Calibri"/>
          <w:sz w:val="24"/>
        </w:rPr>
        <w:t xml:space="preserve">proposed </w:t>
      </w:r>
      <w:r w:rsidR="00BF6DF7" w:rsidRPr="00BA50B0">
        <w:rPr>
          <w:rFonts w:ascii="Calibri" w:hAnsi="Calibri"/>
          <w:sz w:val="24"/>
        </w:rPr>
        <w:t>fee</w:t>
      </w:r>
      <w:r w:rsidR="00BF6DF7">
        <w:rPr>
          <w:rFonts w:ascii="Calibri" w:hAnsi="Calibri"/>
          <w:sz w:val="24"/>
        </w:rPr>
        <w:t xml:space="preserve">s </w:t>
      </w:r>
      <w:r w:rsidR="00BF6DF7" w:rsidRPr="00BA50B0">
        <w:rPr>
          <w:rFonts w:ascii="Calibri" w:hAnsi="Calibri"/>
          <w:sz w:val="24"/>
        </w:rPr>
        <w:t>under this option, refer to the Appendix.</w:t>
      </w:r>
      <w:r w:rsidR="00BF6DF7">
        <w:rPr>
          <w:rFonts w:ascii="Calibri" w:hAnsi="Calibri"/>
          <w:sz w:val="24"/>
        </w:rPr>
        <w:t xml:space="preserve"> </w:t>
      </w:r>
      <w:r w:rsidR="00DF277B" w:rsidRPr="00353EB6">
        <w:rPr>
          <w:rFonts w:ascii="Calibri" w:hAnsi="Calibri"/>
          <w:sz w:val="24"/>
        </w:rPr>
        <w:t xml:space="preserve">If the proposed </w:t>
      </w:r>
      <w:r w:rsidR="00BF6DF7">
        <w:rPr>
          <w:rFonts w:ascii="Calibri" w:hAnsi="Calibri"/>
          <w:sz w:val="24"/>
        </w:rPr>
        <w:t xml:space="preserve">new </w:t>
      </w:r>
      <w:r w:rsidR="00DF277B" w:rsidRPr="00353EB6">
        <w:rPr>
          <w:rFonts w:ascii="Calibri" w:hAnsi="Calibri"/>
          <w:sz w:val="24"/>
        </w:rPr>
        <w:t>fees</w:t>
      </w:r>
      <w:r w:rsidR="00BF6DF7">
        <w:rPr>
          <w:rFonts w:ascii="Calibri" w:hAnsi="Calibri"/>
          <w:sz w:val="24"/>
        </w:rPr>
        <w:t xml:space="preserve"> described in this option</w:t>
      </w:r>
      <w:r w:rsidR="00DF277B" w:rsidRPr="00353EB6">
        <w:rPr>
          <w:rFonts w:ascii="Calibri" w:hAnsi="Calibri"/>
          <w:sz w:val="24"/>
        </w:rPr>
        <w:t xml:space="preserve"> are set, the average annual contribution to reducing the </w:t>
      </w:r>
      <w:r w:rsidR="00091D70">
        <w:rPr>
          <w:rFonts w:ascii="Calibri" w:hAnsi="Calibri"/>
          <w:sz w:val="24"/>
        </w:rPr>
        <w:t xml:space="preserve">memorandum account </w:t>
      </w:r>
      <w:r w:rsidR="00DF277B" w:rsidRPr="00353EB6">
        <w:rPr>
          <w:rFonts w:ascii="Calibri" w:hAnsi="Calibri"/>
          <w:sz w:val="24"/>
        </w:rPr>
        <w:t>deficit would be $1.</w:t>
      </w:r>
      <w:r w:rsidR="00323940">
        <w:rPr>
          <w:rFonts w:ascii="Calibri" w:hAnsi="Calibri"/>
          <w:sz w:val="24"/>
        </w:rPr>
        <w:t>766</w:t>
      </w:r>
      <w:r w:rsidR="00DF277B" w:rsidRPr="00353EB6">
        <w:rPr>
          <w:rFonts w:ascii="Calibri" w:hAnsi="Calibri"/>
          <w:sz w:val="24"/>
        </w:rPr>
        <w:t xml:space="preserve"> million.</w:t>
      </w:r>
      <w:r w:rsidR="003D6992">
        <w:rPr>
          <w:rFonts w:ascii="Calibri" w:hAnsi="Calibri"/>
          <w:sz w:val="24"/>
        </w:rPr>
        <w:t xml:space="preserve"> </w:t>
      </w:r>
      <w:r w:rsidR="00395C71">
        <w:rPr>
          <w:rFonts w:ascii="Calibri" w:hAnsi="Calibri"/>
          <w:sz w:val="24"/>
        </w:rPr>
        <w:t>The Department’s analysis indicates that a smaller percentage increase in fees</w:t>
      </w:r>
      <w:r w:rsidR="006D28C2">
        <w:rPr>
          <w:rFonts w:ascii="Calibri" w:hAnsi="Calibri"/>
          <w:sz w:val="24"/>
        </w:rPr>
        <w:t xml:space="preserve"> </w:t>
      </w:r>
      <w:r w:rsidR="00395C71">
        <w:rPr>
          <w:rFonts w:ascii="Calibri" w:hAnsi="Calibri"/>
          <w:sz w:val="24"/>
        </w:rPr>
        <w:t xml:space="preserve">would </w:t>
      </w:r>
      <w:r w:rsidR="0056526D" w:rsidRPr="0056526D">
        <w:rPr>
          <w:rFonts w:ascii="Calibri" w:hAnsi="Calibri"/>
          <w:sz w:val="24"/>
        </w:rPr>
        <w:t xml:space="preserve">not </w:t>
      </w:r>
      <w:r w:rsidR="00C45975">
        <w:rPr>
          <w:rFonts w:ascii="Calibri" w:hAnsi="Calibri"/>
          <w:sz w:val="24"/>
        </w:rPr>
        <w:t>re</w:t>
      </w:r>
      <w:r w:rsidR="0056526D" w:rsidRPr="0056526D">
        <w:rPr>
          <w:rFonts w:ascii="Calibri" w:hAnsi="Calibri"/>
          <w:sz w:val="24"/>
        </w:rPr>
        <w:t xml:space="preserve">cover </w:t>
      </w:r>
      <w:r w:rsidR="00C45975">
        <w:rPr>
          <w:rFonts w:ascii="Calibri" w:hAnsi="Calibri"/>
          <w:sz w:val="24"/>
        </w:rPr>
        <w:t>costs</w:t>
      </w:r>
      <w:r w:rsidR="0056526D" w:rsidRPr="0056526D">
        <w:rPr>
          <w:rFonts w:ascii="Calibri" w:hAnsi="Calibri"/>
          <w:sz w:val="24"/>
        </w:rPr>
        <w:t xml:space="preserve"> </w:t>
      </w:r>
      <w:r w:rsidR="0056526D">
        <w:rPr>
          <w:rFonts w:ascii="Calibri" w:hAnsi="Calibri"/>
          <w:sz w:val="24"/>
        </w:rPr>
        <w:t xml:space="preserve">and </w:t>
      </w:r>
      <w:r w:rsidR="0056526D" w:rsidRPr="0056526D">
        <w:rPr>
          <w:rFonts w:ascii="Calibri" w:hAnsi="Calibri"/>
          <w:sz w:val="24"/>
        </w:rPr>
        <w:t>facilitate a decrease in the memo</w:t>
      </w:r>
      <w:r w:rsidR="00AD2164">
        <w:rPr>
          <w:rFonts w:ascii="Calibri" w:hAnsi="Calibri"/>
          <w:sz w:val="24"/>
        </w:rPr>
        <w:t>randum account deficit</w:t>
      </w:r>
      <w:r w:rsidR="00395C71">
        <w:rPr>
          <w:rFonts w:ascii="Calibri" w:hAnsi="Calibri"/>
          <w:sz w:val="24"/>
        </w:rPr>
        <w:t>.</w:t>
      </w:r>
    </w:p>
    <w:p w:rsidR="0037115F" w:rsidRDefault="0037115F" w:rsidP="0037115F">
      <w:pPr>
        <w:pStyle w:val="Caption"/>
      </w:pPr>
      <w:r>
        <w:t xml:space="preserve">Table </w:t>
      </w:r>
      <w:r w:rsidR="005A41D3">
        <w:t>6</w:t>
      </w:r>
      <w:r>
        <w:t xml:space="preserve">: Projected impact </w:t>
      </w:r>
      <w:r w:rsidR="00974CA5">
        <w:t xml:space="preserve">of the proposed new fees </w:t>
      </w:r>
      <w:r>
        <w:t xml:space="preserve">on the memorandum account deficit </w:t>
      </w:r>
      <w:r w:rsidR="00B278C8">
        <w:t>($million)</w:t>
      </w:r>
    </w:p>
    <w:tbl>
      <w:tblPr>
        <w:tblStyle w:val="DIATable"/>
        <w:tblW w:w="8627" w:type="dxa"/>
        <w:jc w:val="center"/>
        <w:tblLayout w:type="fixed"/>
        <w:tblLook w:val="04A0" w:firstRow="1" w:lastRow="0" w:firstColumn="1" w:lastColumn="0" w:noHBand="0" w:noVBand="1"/>
      </w:tblPr>
      <w:tblGrid>
        <w:gridCol w:w="2374"/>
        <w:gridCol w:w="973"/>
        <w:gridCol w:w="972"/>
        <w:gridCol w:w="972"/>
        <w:gridCol w:w="972"/>
        <w:gridCol w:w="1108"/>
        <w:gridCol w:w="284"/>
        <w:gridCol w:w="972"/>
      </w:tblGrid>
      <w:tr w:rsidR="000C779D" w:rsidTr="000C779D">
        <w:trPr>
          <w:cnfStyle w:val="100000000000" w:firstRow="1" w:lastRow="0" w:firstColumn="0" w:lastColumn="0" w:oddVBand="0" w:evenVBand="0" w:oddHBand="0" w:evenHBand="0" w:firstRowFirstColumn="0" w:firstRowLastColumn="0" w:lastRowFirstColumn="0" w:lastRowLastColumn="0"/>
          <w:jc w:val="center"/>
        </w:trPr>
        <w:tc>
          <w:tcPr>
            <w:tcW w:w="2374" w:type="dxa"/>
          </w:tcPr>
          <w:p w:rsidR="000C779D" w:rsidRPr="00A75078" w:rsidRDefault="000C779D" w:rsidP="00DC616E">
            <w:pPr>
              <w:pStyle w:val="FinancialtableLHC"/>
              <w:keepNext/>
            </w:pPr>
          </w:p>
        </w:tc>
        <w:tc>
          <w:tcPr>
            <w:tcW w:w="973" w:type="dxa"/>
          </w:tcPr>
          <w:p w:rsidR="000C779D" w:rsidRPr="00A75078" w:rsidRDefault="000C779D" w:rsidP="00DC616E">
            <w:pPr>
              <w:pStyle w:val="Financialtableyears"/>
              <w:keepNext/>
            </w:pPr>
            <w:r>
              <w:t>2015</w:t>
            </w:r>
            <w:r w:rsidRPr="00A75078">
              <w:t>/1</w:t>
            </w:r>
            <w:r>
              <w:t>6</w:t>
            </w:r>
          </w:p>
        </w:tc>
        <w:tc>
          <w:tcPr>
            <w:tcW w:w="972" w:type="dxa"/>
          </w:tcPr>
          <w:p w:rsidR="000C779D" w:rsidRPr="00A75078" w:rsidRDefault="000C779D" w:rsidP="00DC616E">
            <w:pPr>
              <w:pStyle w:val="Financialtableyears"/>
              <w:keepNext/>
            </w:pPr>
            <w:r>
              <w:t>2016</w:t>
            </w:r>
            <w:r w:rsidRPr="00A75078">
              <w:t>/1</w:t>
            </w:r>
            <w:r>
              <w:t>7</w:t>
            </w:r>
          </w:p>
        </w:tc>
        <w:tc>
          <w:tcPr>
            <w:tcW w:w="972" w:type="dxa"/>
          </w:tcPr>
          <w:p w:rsidR="000C779D" w:rsidRPr="00A75078" w:rsidRDefault="000C779D" w:rsidP="00DC616E">
            <w:pPr>
              <w:pStyle w:val="Financialtableyears"/>
              <w:keepNext/>
            </w:pPr>
            <w:r>
              <w:t>2017</w:t>
            </w:r>
            <w:r w:rsidRPr="00A75078">
              <w:t>/1</w:t>
            </w:r>
            <w:r>
              <w:t>8</w:t>
            </w:r>
          </w:p>
        </w:tc>
        <w:tc>
          <w:tcPr>
            <w:tcW w:w="972" w:type="dxa"/>
          </w:tcPr>
          <w:p w:rsidR="000C779D" w:rsidRPr="00A75078" w:rsidRDefault="000C779D" w:rsidP="00DC616E">
            <w:pPr>
              <w:pStyle w:val="Financialtableyears"/>
              <w:keepNext/>
            </w:pPr>
            <w:r>
              <w:t>2018/19</w:t>
            </w:r>
          </w:p>
        </w:tc>
        <w:tc>
          <w:tcPr>
            <w:tcW w:w="1108" w:type="dxa"/>
          </w:tcPr>
          <w:p w:rsidR="000C779D" w:rsidRDefault="000C779D" w:rsidP="00DC616E">
            <w:pPr>
              <w:pStyle w:val="Financialtableyears"/>
              <w:keepNext/>
            </w:pPr>
            <w:r>
              <w:t>2019/20</w:t>
            </w:r>
          </w:p>
        </w:tc>
        <w:tc>
          <w:tcPr>
            <w:tcW w:w="284" w:type="dxa"/>
          </w:tcPr>
          <w:p w:rsidR="000C779D" w:rsidRDefault="000C779D" w:rsidP="00DC616E">
            <w:pPr>
              <w:pStyle w:val="Financialtableyears"/>
              <w:keepNext/>
            </w:pPr>
          </w:p>
        </w:tc>
        <w:tc>
          <w:tcPr>
            <w:tcW w:w="972" w:type="dxa"/>
          </w:tcPr>
          <w:p w:rsidR="000C779D" w:rsidRPr="00A75078" w:rsidRDefault="000C779D" w:rsidP="00C9168D">
            <w:pPr>
              <w:pStyle w:val="Financialtableyears"/>
              <w:keepNext/>
            </w:pPr>
            <w:r>
              <w:t>202</w:t>
            </w:r>
            <w:r w:rsidR="00C9168D">
              <w:t>2</w:t>
            </w:r>
            <w:r>
              <w:t>/2</w:t>
            </w:r>
            <w:r w:rsidR="00C9168D">
              <w:t>3</w:t>
            </w:r>
          </w:p>
        </w:tc>
      </w:tr>
      <w:tr w:rsidR="000C779D" w:rsidTr="000C779D">
        <w:trPr>
          <w:jc w:val="center"/>
        </w:trPr>
        <w:tc>
          <w:tcPr>
            <w:tcW w:w="2374" w:type="dxa"/>
          </w:tcPr>
          <w:p w:rsidR="000C779D" w:rsidRPr="004A25A3" w:rsidRDefault="000C779D" w:rsidP="00DC616E">
            <w:pPr>
              <w:pStyle w:val="FinancialtableLHC"/>
              <w:keepNext/>
            </w:pPr>
            <w:r w:rsidRPr="004A25A3">
              <w:t>Revenue</w:t>
            </w:r>
          </w:p>
        </w:tc>
        <w:tc>
          <w:tcPr>
            <w:tcW w:w="973" w:type="dxa"/>
          </w:tcPr>
          <w:p w:rsidR="000C779D" w:rsidRPr="00BB122F" w:rsidRDefault="000C779D" w:rsidP="00DC616E">
            <w:pPr>
              <w:pStyle w:val="Financialtablefigures"/>
              <w:keepNext/>
            </w:pPr>
            <w:r>
              <w:t>26.267</w:t>
            </w:r>
          </w:p>
        </w:tc>
        <w:tc>
          <w:tcPr>
            <w:tcW w:w="972" w:type="dxa"/>
          </w:tcPr>
          <w:p w:rsidR="000C779D" w:rsidRPr="00BB122F" w:rsidRDefault="000C779D" w:rsidP="00DC616E">
            <w:pPr>
              <w:pStyle w:val="Financialtablefigures"/>
              <w:keepNext/>
            </w:pPr>
            <w:r>
              <w:t>27.325</w:t>
            </w:r>
          </w:p>
        </w:tc>
        <w:tc>
          <w:tcPr>
            <w:tcW w:w="972" w:type="dxa"/>
          </w:tcPr>
          <w:p w:rsidR="000C779D" w:rsidRPr="00BB122F" w:rsidRDefault="000C779D" w:rsidP="00DC616E">
            <w:pPr>
              <w:pStyle w:val="Financialtablefigures"/>
              <w:keepNext/>
            </w:pPr>
            <w:r>
              <w:t>27.211</w:t>
            </w:r>
          </w:p>
        </w:tc>
        <w:tc>
          <w:tcPr>
            <w:tcW w:w="972" w:type="dxa"/>
          </w:tcPr>
          <w:p w:rsidR="000C779D" w:rsidRPr="00BB122F" w:rsidRDefault="000C779D" w:rsidP="00DC616E">
            <w:pPr>
              <w:pStyle w:val="Financialtablefigures"/>
              <w:keepNext/>
            </w:pPr>
            <w:r>
              <w:t>27.100</w:t>
            </w:r>
          </w:p>
        </w:tc>
        <w:tc>
          <w:tcPr>
            <w:tcW w:w="1108" w:type="dxa"/>
          </w:tcPr>
          <w:p w:rsidR="000C779D" w:rsidRDefault="000C779D" w:rsidP="00DC616E">
            <w:pPr>
              <w:pStyle w:val="Financialtablefigures"/>
              <w:keepNext/>
            </w:pPr>
            <w:r>
              <w:t>26.994</w:t>
            </w:r>
          </w:p>
        </w:tc>
        <w:tc>
          <w:tcPr>
            <w:tcW w:w="284" w:type="dxa"/>
          </w:tcPr>
          <w:p w:rsidR="000C779D" w:rsidRDefault="000C779D" w:rsidP="00DC616E">
            <w:pPr>
              <w:pStyle w:val="Financialtablefigures"/>
              <w:keepNext/>
            </w:pPr>
          </w:p>
        </w:tc>
        <w:tc>
          <w:tcPr>
            <w:tcW w:w="972" w:type="dxa"/>
          </w:tcPr>
          <w:p w:rsidR="000C779D" w:rsidRPr="00D70D57" w:rsidRDefault="000C779D" w:rsidP="00DC616E">
            <w:pPr>
              <w:pStyle w:val="Financialtablefigures"/>
              <w:keepNext/>
            </w:pPr>
            <w:r>
              <w:t>26.700</w:t>
            </w:r>
          </w:p>
        </w:tc>
      </w:tr>
      <w:tr w:rsidR="000C779D" w:rsidTr="000C779D">
        <w:trPr>
          <w:jc w:val="center"/>
        </w:trPr>
        <w:tc>
          <w:tcPr>
            <w:tcW w:w="2374" w:type="dxa"/>
          </w:tcPr>
          <w:p w:rsidR="000C779D" w:rsidRPr="004A25A3" w:rsidRDefault="000C779D" w:rsidP="00DC616E">
            <w:pPr>
              <w:pStyle w:val="FinancialtableLHC"/>
              <w:keepNext/>
            </w:pPr>
            <w:r w:rsidRPr="004A25A3">
              <w:t>Expenditure</w:t>
            </w:r>
          </w:p>
        </w:tc>
        <w:tc>
          <w:tcPr>
            <w:tcW w:w="973" w:type="dxa"/>
          </w:tcPr>
          <w:p w:rsidR="000C779D" w:rsidRPr="00BB122F" w:rsidRDefault="000C779D" w:rsidP="00DC616E">
            <w:pPr>
              <w:pStyle w:val="Financialtablefigures"/>
              <w:keepNext/>
            </w:pPr>
            <w:r>
              <w:t>23.620</w:t>
            </w:r>
          </w:p>
        </w:tc>
        <w:tc>
          <w:tcPr>
            <w:tcW w:w="972" w:type="dxa"/>
          </w:tcPr>
          <w:p w:rsidR="000C779D" w:rsidRPr="00BB122F" w:rsidRDefault="000C779D" w:rsidP="00DC616E">
            <w:pPr>
              <w:pStyle w:val="Financialtablefigures"/>
              <w:keepNext/>
            </w:pPr>
            <w:r>
              <w:t>24.120</w:t>
            </w:r>
          </w:p>
        </w:tc>
        <w:tc>
          <w:tcPr>
            <w:tcW w:w="972" w:type="dxa"/>
          </w:tcPr>
          <w:p w:rsidR="000C779D" w:rsidRPr="00BB122F" w:rsidRDefault="000C779D" w:rsidP="00DC616E">
            <w:pPr>
              <w:pStyle w:val="Financialtablefigures"/>
              <w:keepNext/>
            </w:pPr>
            <w:r>
              <w:t>24.620</w:t>
            </w:r>
          </w:p>
        </w:tc>
        <w:tc>
          <w:tcPr>
            <w:tcW w:w="972" w:type="dxa"/>
          </w:tcPr>
          <w:p w:rsidR="000C779D" w:rsidRPr="00BB122F" w:rsidRDefault="000C779D" w:rsidP="00DC616E">
            <w:pPr>
              <w:pStyle w:val="Financialtablefigures"/>
              <w:keepNext/>
            </w:pPr>
            <w:r>
              <w:t>25.120</w:t>
            </w:r>
          </w:p>
        </w:tc>
        <w:tc>
          <w:tcPr>
            <w:tcW w:w="1108" w:type="dxa"/>
          </w:tcPr>
          <w:p w:rsidR="000C779D" w:rsidRDefault="000C779D" w:rsidP="00DC616E">
            <w:pPr>
              <w:pStyle w:val="Financialtablefigures"/>
              <w:keepNext/>
            </w:pPr>
            <w:r>
              <w:t>25.380</w:t>
            </w:r>
          </w:p>
        </w:tc>
        <w:tc>
          <w:tcPr>
            <w:tcW w:w="284" w:type="dxa"/>
          </w:tcPr>
          <w:p w:rsidR="000C779D" w:rsidRDefault="000C779D" w:rsidP="00DC616E">
            <w:pPr>
              <w:pStyle w:val="Financialtablefigures"/>
              <w:keepNext/>
            </w:pPr>
          </w:p>
        </w:tc>
        <w:tc>
          <w:tcPr>
            <w:tcW w:w="972" w:type="dxa"/>
          </w:tcPr>
          <w:p w:rsidR="000C779D" w:rsidRPr="00D70D57" w:rsidRDefault="000C779D" w:rsidP="00DC616E">
            <w:pPr>
              <w:pStyle w:val="Financialtablefigures"/>
              <w:keepNext/>
            </w:pPr>
            <w:r>
              <w:t>25.980</w:t>
            </w:r>
          </w:p>
        </w:tc>
      </w:tr>
      <w:tr w:rsidR="000C779D" w:rsidTr="000C779D">
        <w:trPr>
          <w:jc w:val="center"/>
        </w:trPr>
        <w:tc>
          <w:tcPr>
            <w:tcW w:w="2374" w:type="dxa"/>
          </w:tcPr>
          <w:p w:rsidR="000C779D" w:rsidRPr="00B26156" w:rsidRDefault="000C779D" w:rsidP="00DC616E">
            <w:pPr>
              <w:pStyle w:val="FinancialtableLHC"/>
              <w:keepNext/>
              <w:rPr>
                <w:b/>
              </w:rPr>
            </w:pPr>
            <w:r w:rsidRPr="00B26156">
              <w:rPr>
                <w:b/>
              </w:rPr>
              <w:t>Surplus/Deficit</w:t>
            </w:r>
          </w:p>
        </w:tc>
        <w:tc>
          <w:tcPr>
            <w:tcW w:w="973" w:type="dxa"/>
          </w:tcPr>
          <w:p w:rsidR="000C779D" w:rsidRPr="00BB122F" w:rsidRDefault="000C779D" w:rsidP="00DC616E">
            <w:pPr>
              <w:pStyle w:val="Financialtablefigures"/>
              <w:keepNext/>
            </w:pPr>
            <w:r>
              <w:t>2.647</w:t>
            </w:r>
          </w:p>
        </w:tc>
        <w:tc>
          <w:tcPr>
            <w:tcW w:w="972" w:type="dxa"/>
          </w:tcPr>
          <w:p w:rsidR="000C779D" w:rsidRPr="00BB122F" w:rsidRDefault="000C779D" w:rsidP="00DC616E">
            <w:pPr>
              <w:pStyle w:val="Financialtablefigures"/>
              <w:keepNext/>
            </w:pPr>
            <w:r>
              <w:t>3.205</w:t>
            </w:r>
          </w:p>
        </w:tc>
        <w:tc>
          <w:tcPr>
            <w:tcW w:w="972" w:type="dxa"/>
          </w:tcPr>
          <w:p w:rsidR="000C779D" w:rsidRPr="00BB122F" w:rsidRDefault="000C779D" w:rsidP="00DC616E">
            <w:pPr>
              <w:pStyle w:val="Financialtablefigures"/>
              <w:keepNext/>
            </w:pPr>
            <w:r>
              <w:t>2.591</w:t>
            </w:r>
          </w:p>
        </w:tc>
        <w:tc>
          <w:tcPr>
            <w:tcW w:w="972" w:type="dxa"/>
          </w:tcPr>
          <w:p w:rsidR="000C779D" w:rsidRPr="00BB122F" w:rsidRDefault="000C779D" w:rsidP="00DC616E">
            <w:pPr>
              <w:pStyle w:val="Financialtablefigures"/>
              <w:keepNext/>
            </w:pPr>
            <w:r>
              <w:t>1.981</w:t>
            </w:r>
          </w:p>
        </w:tc>
        <w:tc>
          <w:tcPr>
            <w:tcW w:w="1108" w:type="dxa"/>
          </w:tcPr>
          <w:p w:rsidR="000C779D" w:rsidRDefault="000C779D" w:rsidP="00DC616E">
            <w:pPr>
              <w:pStyle w:val="Financialtablefigures"/>
              <w:keepNext/>
            </w:pPr>
            <w:r>
              <w:t>1.615</w:t>
            </w:r>
          </w:p>
        </w:tc>
        <w:tc>
          <w:tcPr>
            <w:tcW w:w="284" w:type="dxa"/>
          </w:tcPr>
          <w:p w:rsidR="000C779D" w:rsidRDefault="000C779D" w:rsidP="00DC616E">
            <w:pPr>
              <w:pStyle w:val="Financialtablefigures"/>
              <w:keepNext/>
            </w:pPr>
          </w:p>
        </w:tc>
        <w:tc>
          <w:tcPr>
            <w:tcW w:w="972" w:type="dxa"/>
          </w:tcPr>
          <w:p w:rsidR="000C779D" w:rsidRPr="00D70D57" w:rsidRDefault="000C779D" w:rsidP="00DC616E">
            <w:pPr>
              <w:pStyle w:val="Financialtablefigures"/>
              <w:keepNext/>
            </w:pPr>
            <w:r>
              <w:t>0.720</w:t>
            </w:r>
          </w:p>
        </w:tc>
      </w:tr>
      <w:tr w:rsidR="000C779D" w:rsidTr="000C779D">
        <w:trPr>
          <w:jc w:val="center"/>
        </w:trPr>
        <w:tc>
          <w:tcPr>
            <w:tcW w:w="2374" w:type="dxa"/>
          </w:tcPr>
          <w:p w:rsidR="000C779D" w:rsidRPr="004A25A3" w:rsidRDefault="000C779D" w:rsidP="00DC616E">
            <w:pPr>
              <w:pStyle w:val="FinancialtableLHC"/>
              <w:keepNext/>
            </w:pPr>
            <w:r>
              <w:t>Memo account o</w:t>
            </w:r>
            <w:r w:rsidRPr="004A25A3">
              <w:t>pening</w:t>
            </w:r>
          </w:p>
        </w:tc>
        <w:tc>
          <w:tcPr>
            <w:tcW w:w="973" w:type="dxa"/>
          </w:tcPr>
          <w:p w:rsidR="000C779D" w:rsidRPr="00BB122F" w:rsidRDefault="000C779D" w:rsidP="009619B2">
            <w:pPr>
              <w:pStyle w:val="Financialtablefigures"/>
              <w:keepNext/>
            </w:pPr>
            <w:r>
              <w:t>-13.901</w:t>
            </w:r>
          </w:p>
        </w:tc>
        <w:tc>
          <w:tcPr>
            <w:tcW w:w="972" w:type="dxa"/>
          </w:tcPr>
          <w:p w:rsidR="000C779D" w:rsidRPr="00BB122F" w:rsidRDefault="000C779D" w:rsidP="009619B2">
            <w:pPr>
              <w:pStyle w:val="Financialtablefigures"/>
              <w:keepNext/>
            </w:pPr>
            <w:r>
              <w:t>-12.189</w:t>
            </w:r>
          </w:p>
        </w:tc>
        <w:tc>
          <w:tcPr>
            <w:tcW w:w="972" w:type="dxa"/>
          </w:tcPr>
          <w:p w:rsidR="000C779D" w:rsidRPr="00BB122F" w:rsidRDefault="000C779D" w:rsidP="009619B2">
            <w:pPr>
              <w:pStyle w:val="Financialtablefigures"/>
              <w:keepNext/>
            </w:pPr>
            <w:r>
              <w:t>-9.757</w:t>
            </w:r>
          </w:p>
        </w:tc>
        <w:tc>
          <w:tcPr>
            <w:tcW w:w="972" w:type="dxa"/>
          </w:tcPr>
          <w:p w:rsidR="000C779D" w:rsidRPr="00BB122F" w:rsidRDefault="000C779D" w:rsidP="009619B2">
            <w:pPr>
              <w:pStyle w:val="Financialtablefigures"/>
              <w:keepNext/>
            </w:pPr>
            <w:r>
              <w:t>-7.781</w:t>
            </w:r>
          </w:p>
        </w:tc>
        <w:tc>
          <w:tcPr>
            <w:tcW w:w="1108" w:type="dxa"/>
          </w:tcPr>
          <w:p w:rsidR="000C779D" w:rsidRDefault="000C779D" w:rsidP="009619B2">
            <w:pPr>
              <w:pStyle w:val="Financialtablefigures"/>
              <w:keepNext/>
            </w:pPr>
            <w:r>
              <w:t>-6.294</w:t>
            </w:r>
          </w:p>
        </w:tc>
        <w:tc>
          <w:tcPr>
            <w:tcW w:w="284" w:type="dxa"/>
          </w:tcPr>
          <w:p w:rsidR="000C779D" w:rsidRDefault="000C779D" w:rsidP="009619B2">
            <w:pPr>
              <w:pStyle w:val="Financialtablefigures"/>
              <w:keepNext/>
            </w:pPr>
          </w:p>
        </w:tc>
        <w:tc>
          <w:tcPr>
            <w:tcW w:w="972" w:type="dxa"/>
          </w:tcPr>
          <w:p w:rsidR="000C779D" w:rsidRPr="00D70D57" w:rsidRDefault="000C779D" w:rsidP="009619B2">
            <w:pPr>
              <w:pStyle w:val="Financialtablefigures"/>
              <w:keepNext/>
            </w:pPr>
            <w:r>
              <w:t>-2.351</w:t>
            </w:r>
          </w:p>
        </w:tc>
      </w:tr>
      <w:tr w:rsidR="000C779D" w:rsidTr="000C779D">
        <w:trPr>
          <w:jc w:val="center"/>
        </w:trPr>
        <w:tc>
          <w:tcPr>
            <w:tcW w:w="2374" w:type="dxa"/>
          </w:tcPr>
          <w:p w:rsidR="000C779D" w:rsidRDefault="000C779D" w:rsidP="00DC616E">
            <w:pPr>
              <w:pStyle w:val="FinancialtableLHC"/>
              <w:keepNext/>
            </w:pPr>
            <w:r>
              <w:t>Capital charge</w:t>
            </w:r>
          </w:p>
        </w:tc>
        <w:tc>
          <w:tcPr>
            <w:tcW w:w="973" w:type="dxa"/>
          </w:tcPr>
          <w:p w:rsidR="000C779D" w:rsidRDefault="000C779D" w:rsidP="009619B2">
            <w:pPr>
              <w:pStyle w:val="Financialtablefigures"/>
              <w:keepNext/>
            </w:pPr>
            <w:r>
              <w:t>-0.935</w:t>
            </w:r>
          </w:p>
        </w:tc>
        <w:tc>
          <w:tcPr>
            <w:tcW w:w="972" w:type="dxa"/>
          </w:tcPr>
          <w:p w:rsidR="000C779D" w:rsidRDefault="000C779D" w:rsidP="009619B2">
            <w:pPr>
              <w:pStyle w:val="Financialtablefigures"/>
              <w:keepNext/>
            </w:pPr>
            <w:r>
              <w:t>-0.772</w:t>
            </w:r>
          </w:p>
        </w:tc>
        <w:tc>
          <w:tcPr>
            <w:tcW w:w="972" w:type="dxa"/>
          </w:tcPr>
          <w:p w:rsidR="000C779D" w:rsidRDefault="000C779D" w:rsidP="009619B2">
            <w:pPr>
              <w:pStyle w:val="Financialtablefigures"/>
              <w:keepNext/>
            </w:pPr>
            <w:r>
              <w:t>-0.615</w:t>
            </w:r>
          </w:p>
        </w:tc>
        <w:tc>
          <w:tcPr>
            <w:tcW w:w="972" w:type="dxa"/>
          </w:tcPr>
          <w:p w:rsidR="000C779D" w:rsidRDefault="000C779D" w:rsidP="009619B2">
            <w:pPr>
              <w:pStyle w:val="Financialtablefigures"/>
              <w:keepNext/>
            </w:pPr>
            <w:r>
              <w:t>-0.494</w:t>
            </w:r>
          </w:p>
        </w:tc>
        <w:tc>
          <w:tcPr>
            <w:tcW w:w="1108" w:type="dxa"/>
          </w:tcPr>
          <w:p w:rsidR="000C779D" w:rsidRDefault="000C779D" w:rsidP="009619B2">
            <w:pPr>
              <w:pStyle w:val="Financialtablefigures"/>
              <w:keepNext/>
            </w:pPr>
            <w:r>
              <w:t>-0.399</w:t>
            </w:r>
          </w:p>
        </w:tc>
        <w:tc>
          <w:tcPr>
            <w:tcW w:w="284" w:type="dxa"/>
          </w:tcPr>
          <w:p w:rsidR="000C779D" w:rsidRDefault="000C779D" w:rsidP="009619B2">
            <w:pPr>
              <w:pStyle w:val="Financialtablefigures"/>
              <w:keepNext/>
            </w:pPr>
          </w:p>
        </w:tc>
        <w:tc>
          <w:tcPr>
            <w:tcW w:w="972" w:type="dxa"/>
          </w:tcPr>
          <w:p w:rsidR="000C779D" w:rsidRDefault="000C779D" w:rsidP="009619B2">
            <w:pPr>
              <w:pStyle w:val="Financialtablefigures"/>
              <w:keepNext/>
            </w:pPr>
            <w:r>
              <w:t>-0.143</w:t>
            </w:r>
          </w:p>
        </w:tc>
      </w:tr>
      <w:tr w:rsidR="000C779D" w:rsidTr="000C779D">
        <w:trPr>
          <w:jc w:val="center"/>
        </w:trPr>
        <w:tc>
          <w:tcPr>
            <w:tcW w:w="2374" w:type="dxa"/>
          </w:tcPr>
          <w:p w:rsidR="000C779D" w:rsidRDefault="000C779D" w:rsidP="00DC616E">
            <w:pPr>
              <w:pStyle w:val="FinancialtableLHC"/>
              <w:keepNext/>
            </w:pPr>
            <w:r>
              <w:t>Net movement</w:t>
            </w:r>
          </w:p>
        </w:tc>
        <w:tc>
          <w:tcPr>
            <w:tcW w:w="973" w:type="dxa"/>
          </w:tcPr>
          <w:p w:rsidR="000C779D" w:rsidRPr="00BB122F" w:rsidRDefault="000C779D" w:rsidP="009619B2">
            <w:pPr>
              <w:pStyle w:val="Financialtablefigures"/>
              <w:keepNext/>
            </w:pPr>
            <w:r>
              <w:t>1.712</w:t>
            </w:r>
          </w:p>
        </w:tc>
        <w:tc>
          <w:tcPr>
            <w:tcW w:w="972" w:type="dxa"/>
          </w:tcPr>
          <w:p w:rsidR="000C779D" w:rsidRPr="00BB122F" w:rsidRDefault="000C779D" w:rsidP="009619B2">
            <w:pPr>
              <w:pStyle w:val="Financialtablefigures"/>
              <w:keepNext/>
            </w:pPr>
            <w:r>
              <w:t>2.433</w:t>
            </w:r>
          </w:p>
        </w:tc>
        <w:tc>
          <w:tcPr>
            <w:tcW w:w="972" w:type="dxa"/>
          </w:tcPr>
          <w:p w:rsidR="000C779D" w:rsidRPr="00BB122F" w:rsidRDefault="000C779D" w:rsidP="009619B2">
            <w:pPr>
              <w:pStyle w:val="Financialtablefigures"/>
              <w:keepNext/>
            </w:pPr>
            <w:r>
              <w:t>1.976</w:t>
            </w:r>
          </w:p>
        </w:tc>
        <w:tc>
          <w:tcPr>
            <w:tcW w:w="972" w:type="dxa"/>
          </w:tcPr>
          <w:p w:rsidR="000C779D" w:rsidRPr="00BB122F" w:rsidRDefault="000C779D" w:rsidP="009619B2">
            <w:pPr>
              <w:pStyle w:val="Financialtablefigures"/>
              <w:keepNext/>
            </w:pPr>
            <w:r>
              <w:t>1.487</w:t>
            </w:r>
          </w:p>
        </w:tc>
        <w:tc>
          <w:tcPr>
            <w:tcW w:w="1108" w:type="dxa"/>
          </w:tcPr>
          <w:p w:rsidR="000C779D" w:rsidRDefault="000C779D" w:rsidP="009619B2">
            <w:pPr>
              <w:pStyle w:val="Financialtablefigures"/>
              <w:keepNext/>
            </w:pPr>
            <w:r>
              <w:t>1.215</w:t>
            </w:r>
          </w:p>
        </w:tc>
        <w:tc>
          <w:tcPr>
            <w:tcW w:w="284" w:type="dxa"/>
          </w:tcPr>
          <w:p w:rsidR="000C779D" w:rsidRDefault="000C779D" w:rsidP="009619B2">
            <w:pPr>
              <w:pStyle w:val="Financialtablefigures"/>
              <w:keepNext/>
            </w:pPr>
          </w:p>
        </w:tc>
        <w:tc>
          <w:tcPr>
            <w:tcW w:w="972" w:type="dxa"/>
          </w:tcPr>
          <w:p w:rsidR="000C779D" w:rsidRPr="00D70D57" w:rsidRDefault="000C779D" w:rsidP="009619B2">
            <w:pPr>
              <w:pStyle w:val="Financialtablefigures"/>
              <w:keepNext/>
            </w:pPr>
            <w:r>
              <w:t>0.577</w:t>
            </w:r>
          </w:p>
        </w:tc>
      </w:tr>
      <w:tr w:rsidR="000C779D" w:rsidTr="000C779D">
        <w:trPr>
          <w:jc w:val="center"/>
        </w:trPr>
        <w:tc>
          <w:tcPr>
            <w:tcW w:w="2374" w:type="dxa"/>
          </w:tcPr>
          <w:p w:rsidR="000C779D" w:rsidRPr="00B26156" w:rsidRDefault="000C779D" w:rsidP="004E6EDB">
            <w:pPr>
              <w:pStyle w:val="FinancialtableLHC"/>
              <w:rPr>
                <w:b/>
              </w:rPr>
            </w:pPr>
            <w:r w:rsidRPr="00B26156">
              <w:rPr>
                <w:b/>
              </w:rPr>
              <w:t>Memo account closing</w:t>
            </w:r>
          </w:p>
        </w:tc>
        <w:tc>
          <w:tcPr>
            <w:tcW w:w="973" w:type="dxa"/>
          </w:tcPr>
          <w:p w:rsidR="000C779D" w:rsidRPr="00E72E0B" w:rsidRDefault="000C779D" w:rsidP="009619B2">
            <w:pPr>
              <w:pStyle w:val="Financialtablefigures"/>
            </w:pPr>
            <w:r>
              <w:t>-12.189</w:t>
            </w:r>
          </w:p>
        </w:tc>
        <w:tc>
          <w:tcPr>
            <w:tcW w:w="972" w:type="dxa"/>
          </w:tcPr>
          <w:p w:rsidR="000C779D" w:rsidRPr="00E72E0B" w:rsidRDefault="000C779D" w:rsidP="009619B2">
            <w:pPr>
              <w:pStyle w:val="Financialtablefigures"/>
            </w:pPr>
            <w:r>
              <w:t>-9.757</w:t>
            </w:r>
          </w:p>
        </w:tc>
        <w:tc>
          <w:tcPr>
            <w:tcW w:w="972" w:type="dxa"/>
          </w:tcPr>
          <w:p w:rsidR="000C779D" w:rsidRPr="007635B5" w:rsidRDefault="000C779D" w:rsidP="009619B2">
            <w:pPr>
              <w:pStyle w:val="Financialtablefigures"/>
            </w:pPr>
            <w:r>
              <w:t>-7.781</w:t>
            </w:r>
          </w:p>
        </w:tc>
        <w:tc>
          <w:tcPr>
            <w:tcW w:w="972" w:type="dxa"/>
          </w:tcPr>
          <w:p w:rsidR="000C779D" w:rsidRPr="00E72E0B" w:rsidRDefault="000C779D" w:rsidP="00DC616E">
            <w:pPr>
              <w:pStyle w:val="Financialtablefigures"/>
            </w:pPr>
            <w:r>
              <w:t>-6.294</w:t>
            </w:r>
          </w:p>
        </w:tc>
        <w:tc>
          <w:tcPr>
            <w:tcW w:w="1108" w:type="dxa"/>
          </w:tcPr>
          <w:p w:rsidR="000C779D" w:rsidRDefault="000C779D" w:rsidP="00DC616E">
            <w:pPr>
              <w:pStyle w:val="Financialtablefigures"/>
            </w:pPr>
            <w:r>
              <w:t>-5.079</w:t>
            </w:r>
          </w:p>
        </w:tc>
        <w:tc>
          <w:tcPr>
            <w:tcW w:w="284" w:type="dxa"/>
          </w:tcPr>
          <w:p w:rsidR="000C779D" w:rsidRDefault="000C779D" w:rsidP="00DC616E">
            <w:pPr>
              <w:pStyle w:val="Financialtablefigures"/>
            </w:pPr>
          </w:p>
        </w:tc>
        <w:tc>
          <w:tcPr>
            <w:tcW w:w="972" w:type="dxa"/>
          </w:tcPr>
          <w:p w:rsidR="000C779D" w:rsidRPr="00D70D57" w:rsidRDefault="000C779D" w:rsidP="00DC616E">
            <w:pPr>
              <w:pStyle w:val="Financialtablefigures"/>
            </w:pPr>
            <w:r>
              <w:t>-1.775</w:t>
            </w:r>
          </w:p>
        </w:tc>
      </w:tr>
    </w:tbl>
    <w:p w:rsidR="005E6D7A" w:rsidRDefault="005E6D7A" w:rsidP="005E6D7A">
      <w:pPr>
        <w:pStyle w:val="NumbersLevel1"/>
        <w:tabs>
          <w:tab w:val="clear" w:pos="709"/>
        </w:tabs>
        <w:ind w:left="0" w:firstLine="0"/>
        <w:rPr>
          <w:rFonts w:ascii="Calibri" w:hAnsi="Calibri"/>
          <w:sz w:val="24"/>
        </w:rPr>
      </w:pPr>
    </w:p>
    <w:p w:rsidR="003D6992" w:rsidRDefault="007008F1" w:rsidP="003D6992">
      <w:pPr>
        <w:pStyle w:val="NumbersLevel1"/>
        <w:numPr>
          <w:ilvl w:val="0"/>
          <w:numId w:val="20"/>
        </w:numPr>
        <w:tabs>
          <w:tab w:val="num" w:pos="709"/>
        </w:tabs>
        <w:ind w:left="709" w:hanging="709"/>
        <w:rPr>
          <w:rFonts w:ascii="Calibri" w:hAnsi="Calibri"/>
          <w:sz w:val="24"/>
        </w:rPr>
      </w:pPr>
      <w:r>
        <w:rPr>
          <w:rFonts w:ascii="Calibri" w:hAnsi="Calibri"/>
          <w:sz w:val="24"/>
        </w:rPr>
        <w:t>The impact of this option on individual fees is described below.</w:t>
      </w:r>
      <w:r w:rsidR="00BF6DF7" w:rsidRPr="00BF6DF7">
        <w:rPr>
          <w:rFonts w:ascii="Calibri" w:hAnsi="Calibri"/>
          <w:sz w:val="24"/>
        </w:rPr>
        <w:t xml:space="preserve"> </w:t>
      </w:r>
      <w:r w:rsidR="00BF6DF7">
        <w:rPr>
          <w:rFonts w:ascii="Calibri" w:hAnsi="Calibri"/>
          <w:sz w:val="24"/>
        </w:rPr>
        <w:t>While some fees would increase, others would decrease or stay the same.</w:t>
      </w:r>
    </w:p>
    <w:p w:rsidR="001528B1" w:rsidRPr="001528B1" w:rsidRDefault="0094016E" w:rsidP="0094016E">
      <w:pPr>
        <w:pStyle w:val="Heading3"/>
      </w:pPr>
      <w:r>
        <w:t>Class 4 annual compliance fee</w:t>
      </w:r>
    </w:p>
    <w:p w:rsidR="0094016E" w:rsidRPr="006F3B6E" w:rsidRDefault="0094016E" w:rsidP="005A3016">
      <w:pPr>
        <w:pStyle w:val="NumbersLevel1"/>
        <w:numPr>
          <w:ilvl w:val="0"/>
          <w:numId w:val="20"/>
        </w:numPr>
        <w:tabs>
          <w:tab w:val="num" w:pos="709"/>
        </w:tabs>
        <w:ind w:left="709" w:hanging="709"/>
        <w:rPr>
          <w:rFonts w:ascii="Calibri" w:hAnsi="Calibri"/>
          <w:sz w:val="24"/>
        </w:rPr>
      </w:pPr>
      <w:r w:rsidRPr="006F3B6E">
        <w:rPr>
          <w:rFonts w:ascii="Calibri" w:hAnsi="Calibri"/>
          <w:sz w:val="24"/>
        </w:rPr>
        <w:t xml:space="preserve">Annual compliance fees are charged for every gaming machine operated by a Class 4 operator. This fee covers all gambling regulation activities not covered by other fees, notably information and education activities, sector monitoring, audits, and investigations and prosecutions.  </w:t>
      </w:r>
    </w:p>
    <w:p w:rsidR="0094016E" w:rsidRPr="00713E77" w:rsidRDefault="00FA5559"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Under this option, </w:t>
      </w:r>
      <w:r w:rsidR="0094016E">
        <w:rPr>
          <w:rFonts w:ascii="Calibri" w:hAnsi="Calibri"/>
          <w:sz w:val="24"/>
        </w:rPr>
        <w:t xml:space="preserve">the </w:t>
      </w:r>
      <w:r w:rsidR="0094016E" w:rsidRPr="006F3B6E">
        <w:rPr>
          <w:rFonts w:ascii="Calibri" w:hAnsi="Calibri"/>
          <w:sz w:val="24"/>
        </w:rPr>
        <w:t>annual compliance fee for non-club societies and large club societies (those with eight machines or more)</w:t>
      </w:r>
      <w:r>
        <w:rPr>
          <w:rFonts w:ascii="Calibri" w:hAnsi="Calibri"/>
          <w:sz w:val="24"/>
        </w:rPr>
        <w:t xml:space="preserve"> w</w:t>
      </w:r>
      <w:r w:rsidR="00A20A74">
        <w:rPr>
          <w:rFonts w:ascii="Calibri" w:hAnsi="Calibri"/>
          <w:sz w:val="24"/>
        </w:rPr>
        <w:t>ould</w:t>
      </w:r>
      <w:r>
        <w:rPr>
          <w:rFonts w:ascii="Calibri" w:hAnsi="Calibri"/>
          <w:sz w:val="24"/>
        </w:rPr>
        <w:t xml:space="preserve"> increase </w:t>
      </w:r>
      <w:r w:rsidR="0070381A">
        <w:rPr>
          <w:rFonts w:ascii="Calibri" w:hAnsi="Calibri"/>
          <w:sz w:val="24"/>
        </w:rPr>
        <w:t xml:space="preserve">from </w:t>
      </w:r>
      <w:r>
        <w:rPr>
          <w:rFonts w:ascii="Calibri" w:hAnsi="Calibri"/>
          <w:sz w:val="24"/>
        </w:rPr>
        <w:t xml:space="preserve">$378.00 to $595.77 in the first year </w:t>
      </w:r>
      <w:r w:rsidR="0094016E" w:rsidRPr="006F3B6E">
        <w:rPr>
          <w:rFonts w:ascii="Calibri" w:hAnsi="Calibri"/>
          <w:sz w:val="24"/>
        </w:rPr>
        <w:t>and in a stepped manner in subsequent years</w:t>
      </w:r>
      <w:r w:rsidR="0094016E">
        <w:rPr>
          <w:rFonts w:ascii="Calibri" w:hAnsi="Calibri"/>
          <w:sz w:val="24"/>
        </w:rPr>
        <w:t>. This is</w:t>
      </w:r>
      <w:r w:rsidR="0094016E" w:rsidRPr="006F3B6E">
        <w:rPr>
          <w:rFonts w:ascii="Calibri" w:hAnsi="Calibri"/>
          <w:sz w:val="24"/>
        </w:rPr>
        <w:t xml:space="preserve"> to </w:t>
      </w:r>
      <w:r w:rsidR="0094016E" w:rsidRPr="005845DB">
        <w:rPr>
          <w:rFonts w:ascii="Calibri" w:hAnsi="Calibri"/>
          <w:sz w:val="24"/>
        </w:rPr>
        <w:t>reflect forecast revenue decline and increasing costs and to re</w:t>
      </w:r>
      <w:r w:rsidR="00CF370D">
        <w:rPr>
          <w:rFonts w:ascii="Calibri" w:hAnsi="Calibri"/>
          <w:sz w:val="24"/>
        </w:rPr>
        <w:t>duce</w:t>
      </w:r>
      <w:r w:rsidR="0094016E" w:rsidRPr="005845DB">
        <w:rPr>
          <w:rFonts w:ascii="Calibri" w:hAnsi="Calibri"/>
          <w:sz w:val="24"/>
        </w:rPr>
        <w:t xml:space="preserve"> the deficit in the memorandum account</w:t>
      </w:r>
      <w:r w:rsidR="0094016E">
        <w:rPr>
          <w:rFonts w:ascii="Calibri" w:hAnsi="Calibri"/>
          <w:sz w:val="24"/>
        </w:rPr>
        <w:t xml:space="preserve">. </w:t>
      </w:r>
      <w:r>
        <w:rPr>
          <w:rFonts w:ascii="Calibri" w:hAnsi="Calibri"/>
          <w:sz w:val="24"/>
        </w:rPr>
        <w:t>T</w:t>
      </w:r>
      <w:r w:rsidR="0094016E" w:rsidRPr="00713E77">
        <w:rPr>
          <w:rFonts w:ascii="Calibri" w:hAnsi="Calibri"/>
          <w:sz w:val="24"/>
        </w:rPr>
        <w:t xml:space="preserve">he annual compliance fee for small club societies (those with seven machines or less) </w:t>
      </w:r>
      <w:r w:rsidR="00A20A74">
        <w:rPr>
          <w:rFonts w:ascii="Calibri" w:hAnsi="Calibri"/>
          <w:sz w:val="24"/>
        </w:rPr>
        <w:t>would</w:t>
      </w:r>
      <w:r>
        <w:rPr>
          <w:rFonts w:ascii="Calibri" w:hAnsi="Calibri"/>
          <w:sz w:val="24"/>
        </w:rPr>
        <w:t xml:space="preserve"> </w:t>
      </w:r>
      <w:r w:rsidR="000930F6">
        <w:rPr>
          <w:rFonts w:ascii="Calibri" w:hAnsi="Calibri"/>
          <w:sz w:val="24"/>
        </w:rPr>
        <w:t xml:space="preserve">be lowered. </w:t>
      </w:r>
      <w:r w:rsidR="0094016E" w:rsidRPr="00713E77">
        <w:rPr>
          <w:rFonts w:ascii="Calibri" w:hAnsi="Calibri"/>
          <w:sz w:val="24"/>
        </w:rPr>
        <w:t xml:space="preserve">The </w:t>
      </w:r>
      <w:r w:rsidR="000930F6">
        <w:rPr>
          <w:rFonts w:ascii="Calibri" w:hAnsi="Calibri"/>
          <w:sz w:val="24"/>
        </w:rPr>
        <w:t>lower fee</w:t>
      </w:r>
      <w:r w:rsidR="0094016E" w:rsidRPr="00713E77">
        <w:rPr>
          <w:rFonts w:ascii="Calibri" w:hAnsi="Calibri"/>
          <w:sz w:val="24"/>
        </w:rPr>
        <w:t xml:space="preserve"> reflects the lower compliance costs that small club societies present to the Department. </w:t>
      </w:r>
    </w:p>
    <w:p w:rsidR="004734F8" w:rsidRPr="004734F8" w:rsidRDefault="0094016E" w:rsidP="0094016E">
      <w:pPr>
        <w:pStyle w:val="Heading3"/>
      </w:pPr>
      <w:r>
        <w:t>Class 4 licensing fees</w:t>
      </w:r>
    </w:p>
    <w:p w:rsidR="00B773E4" w:rsidRPr="007B01D5" w:rsidRDefault="00FA5559" w:rsidP="005A3016">
      <w:pPr>
        <w:pStyle w:val="NumbersLevel1"/>
        <w:numPr>
          <w:ilvl w:val="0"/>
          <w:numId w:val="20"/>
        </w:numPr>
        <w:tabs>
          <w:tab w:val="num" w:pos="709"/>
        </w:tabs>
        <w:ind w:left="709" w:hanging="709"/>
        <w:rPr>
          <w:rFonts w:ascii="Calibri" w:hAnsi="Calibri"/>
          <w:sz w:val="24"/>
        </w:rPr>
      </w:pPr>
      <w:r>
        <w:rPr>
          <w:rFonts w:ascii="Calibri" w:hAnsi="Calibri"/>
          <w:sz w:val="24"/>
        </w:rPr>
        <w:t>Under this option</w:t>
      </w:r>
      <w:r w:rsidR="00A20A74">
        <w:rPr>
          <w:rFonts w:ascii="Calibri" w:hAnsi="Calibri"/>
          <w:sz w:val="24"/>
        </w:rPr>
        <w:t>,</w:t>
      </w:r>
      <w:r w:rsidR="00B773E4" w:rsidRPr="00BA50B0">
        <w:rPr>
          <w:rFonts w:ascii="Calibri" w:hAnsi="Calibri"/>
          <w:sz w:val="24"/>
        </w:rPr>
        <w:t xml:space="preserve"> fees for </w:t>
      </w:r>
      <w:r w:rsidR="00B773E4">
        <w:rPr>
          <w:rFonts w:ascii="Calibri" w:hAnsi="Calibri"/>
          <w:sz w:val="24"/>
        </w:rPr>
        <w:t xml:space="preserve">new entrants to the sector and </w:t>
      </w:r>
      <w:r w:rsidR="00B773E4" w:rsidRPr="00BA50B0">
        <w:rPr>
          <w:rFonts w:ascii="Calibri" w:hAnsi="Calibri"/>
          <w:sz w:val="24"/>
        </w:rPr>
        <w:t>for the renewals of some licences</w:t>
      </w:r>
      <w:r w:rsidR="00B773E4" w:rsidRPr="007B01D5">
        <w:rPr>
          <w:rFonts w:ascii="Calibri" w:hAnsi="Calibri"/>
          <w:sz w:val="24"/>
        </w:rPr>
        <w:t xml:space="preserve"> </w:t>
      </w:r>
      <w:r>
        <w:rPr>
          <w:rFonts w:ascii="Calibri" w:hAnsi="Calibri"/>
          <w:sz w:val="24"/>
        </w:rPr>
        <w:t>w</w:t>
      </w:r>
      <w:r w:rsidR="00A20A74">
        <w:rPr>
          <w:rFonts w:ascii="Calibri" w:hAnsi="Calibri"/>
          <w:sz w:val="24"/>
        </w:rPr>
        <w:t>ould</w:t>
      </w:r>
      <w:r>
        <w:rPr>
          <w:rFonts w:ascii="Calibri" w:hAnsi="Calibri"/>
          <w:sz w:val="24"/>
        </w:rPr>
        <w:t xml:space="preserve"> increase </w:t>
      </w:r>
      <w:r w:rsidR="00B773E4" w:rsidRPr="00BA50B0">
        <w:rPr>
          <w:rFonts w:ascii="Calibri" w:hAnsi="Calibri"/>
          <w:sz w:val="24"/>
        </w:rPr>
        <w:t>to more accurately reflect the costs incurred by the Department in pr</w:t>
      </w:r>
      <w:r w:rsidR="00B773E4">
        <w:rPr>
          <w:rFonts w:ascii="Calibri" w:hAnsi="Calibri"/>
          <w:sz w:val="24"/>
        </w:rPr>
        <w:t xml:space="preserve">ocessing these applications. </w:t>
      </w:r>
    </w:p>
    <w:p w:rsidR="00B773E4" w:rsidRDefault="00B773E4" w:rsidP="005A3016">
      <w:pPr>
        <w:pStyle w:val="NumbersLevel1"/>
        <w:numPr>
          <w:ilvl w:val="0"/>
          <w:numId w:val="20"/>
        </w:numPr>
        <w:tabs>
          <w:tab w:val="num" w:pos="709"/>
        </w:tabs>
        <w:ind w:left="709" w:hanging="709"/>
        <w:rPr>
          <w:rFonts w:ascii="Calibri" w:hAnsi="Calibri"/>
          <w:sz w:val="24"/>
        </w:rPr>
      </w:pPr>
      <w:r w:rsidRPr="005B4A43">
        <w:rPr>
          <w:rFonts w:ascii="Calibri" w:hAnsi="Calibri"/>
          <w:sz w:val="24"/>
        </w:rPr>
        <w:lastRenderedPageBreak/>
        <w:t>The Department undertakes significant due diligence to assess the suitability of gambling operators and venue operators, which is not reflected in the current fee</w:t>
      </w:r>
      <w:r w:rsidR="00FA5559">
        <w:rPr>
          <w:rFonts w:ascii="Calibri" w:hAnsi="Calibri"/>
          <w:sz w:val="24"/>
        </w:rPr>
        <w:t>s</w:t>
      </w:r>
      <w:r w:rsidRPr="005B4A43">
        <w:rPr>
          <w:rFonts w:ascii="Calibri" w:hAnsi="Calibri"/>
          <w:sz w:val="24"/>
        </w:rPr>
        <w:t xml:space="preserve">.  Therefore, </w:t>
      </w:r>
      <w:r w:rsidR="00A20A74">
        <w:rPr>
          <w:rFonts w:ascii="Calibri" w:hAnsi="Calibri"/>
          <w:sz w:val="24"/>
        </w:rPr>
        <w:t xml:space="preserve">under this option, </w:t>
      </w:r>
      <w:r w:rsidRPr="005B4A43">
        <w:rPr>
          <w:rFonts w:ascii="Calibri" w:hAnsi="Calibri"/>
          <w:sz w:val="24"/>
        </w:rPr>
        <w:t xml:space="preserve">an application to be approved as a </w:t>
      </w:r>
      <w:r w:rsidRPr="005B4A43">
        <w:rPr>
          <w:rFonts w:ascii="Calibri" w:hAnsi="Calibri"/>
          <w:i/>
          <w:sz w:val="24"/>
        </w:rPr>
        <w:t xml:space="preserve">new </w:t>
      </w:r>
      <w:r w:rsidRPr="005B4A43">
        <w:rPr>
          <w:rFonts w:ascii="Calibri" w:hAnsi="Calibri"/>
          <w:sz w:val="24"/>
        </w:rPr>
        <w:t>Class 4 non-club society w</w:t>
      </w:r>
      <w:r w:rsidR="00A20A74">
        <w:rPr>
          <w:rFonts w:ascii="Calibri" w:hAnsi="Calibri"/>
          <w:sz w:val="24"/>
        </w:rPr>
        <w:t>ould</w:t>
      </w:r>
      <w:r w:rsidRPr="005B4A43">
        <w:rPr>
          <w:rFonts w:ascii="Calibri" w:hAnsi="Calibri"/>
          <w:sz w:val="24"/>
        </w:rPr>
        <w:t xml:space="preserve"> increase from $3,616 to $15,795. The fee for </w:t>
      </w:r>
      <w:r w:rsidRPr="005B4A43">
        <w:rPr>
          <w:rFonts w:ascii="Calibri" w:hAnsi="Calibri"/>
          <w:i/>
          <w:sz w:val="24"/>
        </w:rPr>
        <w:t>new</w:t>
      </w:r>
      <w:r w:rsidRPr="005B4A43">
        <w:rPr>
          <w:rFonts w:ascii="Calibri" w:hAnsi="Calibri"/>
          <w:sz w:val="24"/>
        </w:rPr>
        <w:t xml:space="preserve"> venue licences </w:t>
      </w:r>
      <w:r w:rsidR="00A20A74">
        <w:rPr>
          <w:rFonts w:ascii="Calibri" w:hAnsi="Calibri"/>
          <w:sz w:val="24"/>
        </w:rPr>
        <w:t>would also</w:t>
      </w:r>
      <w:r w:rsidR="00FA5559">
        <w:rPr>
          <w:rFonts w:ascii="Calibri" w:hAnsi="Calibri"/>
          <w:sz w:val="24"/>
        </w:rPr>
        <w:t xml:space="preserve"> </w:t>
      </w:r>
      <w:r w:rsidRPr="005B4A43">
        <w:rPr>
          <w:rFonts w:ascii="Calibri" w:hAnsi="Calibri"/>
          <w:sz w:val="24"/>
        </w:rPr>
        <w:t xml:space="preserve">increase for both club and non-club societies. Renewals of non-club society licences </w:t>
      </w:r>
      <w:r w:rsidR="00A20A74">
        <w:rPr>
          <w:rFonts w:ascii="Calibri" w:hAnsi="Calibri"/>
          <w:sz w:val="24"/>
        </w:rPr>
        <w:t xml:space="preserve">would </w:t>
      </w:r>
      <w:r w:rsidRPr="005B4A43">
        <w:rPr>
          <w:rFonts w:ascii="Calibri" w:hAnsi="Calibri"/>
          <w:sz w:val="24"/>
        </w:rPr>
        <w:t>increase from $2,261 to $10,246</w:t>
      </w:r>
      <w:r w:rsidR="00FA5559">
        <w:rPr>
          <w:rFonts w:ascii="Calibri" w:hAnsi="Calibri"/>
          <w:sz w:val="24"/>
        </w:rPr>
        <w:t>.</w:t>
      </w:r>
      <w:r w:rsidRPr="005B4A43">
        <w:rPr>
          <w:rFonts w:ascii="Calibri" w:hAnsi="Calibri"/>
          <w:sz w:val="24"/>
        </w:rPr>
        <w:t xml:space="preserve">  </w:t>
      </w:r>
    </w:p>
    <w:p w:rsidR="00B773E4" w:rsidRDefault="00B773E4" w:rsidP="005A3016">
      <w:pPr>
        <w:pStyle w:val="NumbersLevel1"/>
        <w:numPr>
          <w:ilvl w:val="0"/>
          <w:numId w:val="20"/>
        </w:numPr>
        <w:tabs>
          <w:tab w:val="num" w:pos="709"/>
        </w:tabs>
        <w:ind w:left="709" w:hanging="709"/>
        <w:rPr>
          <w:rFonts w:ascii="Calibri" w:hAnsi="Calibri"/>
          <w:sz w:val="24"/>
        </w:rPr>
      </w:pPr>
      <w:r w:rsidRPr="007B01D5">
        <w:rPr>
          <w:rFonts w:ascii="Calibri" w:hAnsi="Calibri"/>
          <w:sz w:val="24"/>
        </w:rPr>
        <w:t>Some licensing application fees would</w:t>
      </w:r>
      <w:r>
        <w:rPr>
          <w:rFonts w:ascii="Calibri" w:hAnsi="Calibri"/>
          <w:sz w:val="24"/>
        </w:rPr>
        <w:t xml:space="preserve"> remain unchanged. The application fee to be approved as a new club operator and </w:t>
      </w:r>
      <w:r w:rsidRPr="005B4A43">
        <w:rPr>
          <w:rFonts w:ascii="Calibri" w:hAnsi="Calibri"/>
          <w:sz w:val="24"/>
        </w:rPr>
        <w:t>fee</w:t>
      </w:r>
      <w:r>
        <w:rPr>
          <w:rFonts w:ascii="Calibri" w:hAnsi="Calibri"/>
          <w:sz w:val="24"/>
        </w:rPr>
        <w:t>s</w:t>
      </w:r>
      <w:r w:rsidRPr="005B4A43">
        <w:rPr>
          <w:rFonts w:ascii="Calibri" w:hAnsi="Calibri"/>
          <w:sz w:val="24"/>
        </w:rPr>
        <w:t xml:space="preserve"> for venue licence</w:t>
      </w:r>
      <w:r>
        <w:rPr>
          <w:rFonts w:ascii="Calibri" w:hAnsi="Calibri"/>
          <w:sz w:val="24"/>
        </w:rPr>
        <w:t xml:space="preserve"> renewals</w:t>
      </w:r>
      <w:r w:rsidRPr="005B4A43">
        <w:rPr>
          <w:rFonts w:ascii="Calibri" w:hAnsi="Calibri"/>
          <w:sz w:val="24"/>
        </w:rPr>
        <w:t xml:space="preserve"> for both club and non-club societies </w:t>
      </w:r>
      <w:r>
        <w:rPr>
          <w:rFonts w:ascii="Calibri" w:hAnsi="Calibri"/>
          <w:sz w:val="24"/>
        </w:rPr>
        <w:t>w</w:t>
      </w:r>
      <w:r w:rsidR="00A20A74">
        <w:rPr>
          <w:rFonts w:ascii="Calibri" w:hAnsi="Calibri"/>
          <w:sz w:val="24"/>
        </w:rPr>
        <w:t>ould</w:t>
      </w:r>
      <w:r>
        <w:rPr>
          <w:rFonts w:ascii="Calibri" w:hAnsi="Calibri"/>
          <w:sz w:val="24"/>
        </w:rPr>
        <w:t xml:space="preserve"> not change as the current fees still cover the Department’s costs.</w:t>
      </w:r>
    </w:p>
    <w:p w:rsidR="009E4272" w:rsidRPr="00FA5559" w:rsidRDefault="00B773E4" w:rsidP="00B773E4">
      <w:pPr>
        <w:pStyle w:val="Heading3"/>
      </w:pPr>
      <w:r w:rsidRPr="00FA5559">
        <w:t>Class 4 monitoring fee</w:t>
      </w:r>
    </w:p>
    <w:p w:rsidR="00B7074F" w:rsidRPr="00FA5559" w:rsidRDefault="002065E5" w:rsidP="00FA5559">
      <w:pPr>
        <w:pStyle w:val="NumbersLevel1"/>
        <w:numPr>
          <w:ilvl w:val="0"/>
          <w:numId w:val="20"/>
        </w:numPr>
        <w:tabs>
          <w:tab w:val="num" w:pos="709"/>
        </w:tabs>
        <w:ind w:left="709" w:hanging="709"/>
        <w:rPr>
          <w:rFonts w:ascii="Calibri" w:hAnsi="Calibri"/>
          <w:sz w:val="24"/>
        </w:rPr>
      </w:pPr>
      <w:r w:rsidRPr="00FA5559">
        <w:rPr>
          <w:rFonts w:ascii="Calibri" w:hAnsi="Calibri"/>
          <w:sz w:val="24"/>
        </w:rPr>
        <w:t>This fee has been charged since the implementation of the EMS in 2008. From 2012, a portion of the EMS fee has been used towards the IGP</w:t>
      </w:r>
      <w:r w:rsidR="00FA5559">
        <w:rPr>
          <w:rFonts w:ascii="Calibri" w:hAnsi="Calibri"/>
          <w:sz w:val="24"/>
        </w:rPr>
        <w:t xml:space="preserve">. </w:t>
      </w:r>
      <w:r w:rsidR="00B7074F" w:rsidRPr="00FA5559">
        <w:rPr>
          <w:rFonts w:ascii="Calibri" w:hAnsi="Calibri"/>
          <w:sz w:val="24"/>
        </w:rPr>
        <w:t xml:space="preserve">The current EMS fee was based on an </w:t>
      </w:r>
      <w:r w:rsidR="00091D70" w:rsidRPr="00FA5559">
        <w:rPr>
          <w:rFonts w:ascii="Calibri" w:hAnsi="Calibri"/>
          <w:sz w:val="24"/>
        </w:rPr>
        <w:t xml:space="preserve">assumption that </w:t>
      </w:r>
      <w:r w:rsidR="00B7074F" w:rsidRPr="00FA5559">
        <w:rPr>
          <w:rFonts w:ascii="Calibri" w:hAnsi="Calibri"/>
          <w:sz w:val="24"/>
        </w:rPr>
        <w:t>gaming machine</w:t>
      </w:r>
      <w:r w:rsidR="00091D70" w:rsidRPr="00FA5559">
        <w:rPr>
          <w:rFonts w:ascii="Calibri" w:hAnsi="Calibri"/>
          <w:sz w:val="24"/>
        </w:rPr>
        <w:t xml:space="preserve"> numbers would stabilise </w:t>
      </w:r>
      <w:r w:rsidR="00B7074F" w:rsidRPr="00FA5559">
        <w:rPr>
          <w:rFonts w:ascii="Calibri" w:hAnsi="Calibri"/>
          <w:sz w:val="24"/>
        </w:rPr>
        <w:t xml:space="preserve">at approximately 20,000. Due to the </w:t>
      </w:r>
      <w:r w:rsidR="00091D70" w:rsidRPr="00FA5559">
        <w:rPr>
          <w:rFonts w:ascii="Calibri" w:hAnsi="Calibri"/>
          <w:sz w:val="24"/>
        </w:rPr>
        <w:t xml:space="preserve">continued </w:t>
      </w:r>
      <w:r w:rsidR="00B7074F" w:rsidRPr="00FA5559">
        <w:rPr>
          <w:rFonts w:ascii="Calibri" w:hAnsi="Calibri"/>
          <w:sz w:val="24"/>
        </w:rPr>
        <w:t>decline in the number of gaming machines</w:t>
      </w:r>
      <w:r w:rsidR="00091D70" w:rsidRPr="00FA5559">
        <w:rPr>
          <w:rFonts w:ascii="Calibri" w:hAnsi="Calibri"/>
          <w:sz w:val="24"/>
        </w:rPr>
        <w:t>,</w:t>
      </w:r>
      <w:r w:rsidR="00B7074F" w:rsidRPr="00FA5559">
        <w:rPr>
          <w:rFonts w:ascii="Calibri" w:hAnsi="Calibri"/>
          <w:sz w:val="24"/>
        </w:rPr>
        <w:t xml:space="preserve"> the cost of the daily monitoring and operation work required </w:t>
      </w:r>
      <w:r w:rsidR="004F5575" w:rsidRPr="00FA5559">
        <w:rPr>
          <w:rFonts w:ascii="Calibri" w:hAnsi="Calibri"/>
          <w:sz w:val="24"/>
        </w:rPr>
        <w:t xml:space="preserve">and the cost of the IGP </w:t>
      </w:r>
      <w:r w:rsidR="00B7074F" w:rsidRPr="00FA5559">
        <w:rPr>
          <w:rFonts w:ascii="Calibri" w:hAnsi="Calibri"/>
          <w:sz w:val="24"/>
        </w:rPr>
        <w:t xml:space="preserve">must now be recovered from a smaller number of machines. </w:t>
      </w:r>
    </w:p>
    <w:p w:rsidR="002065E5" w:rsidRPr="00FA5559" w:rsidRDefault="00E619C7"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Under this option, the </w:t>
      </w:r>
      <w:r w:rsidR="002065E5" w:rsidRPr="00FA5559">
        <w:rPr>
          <w:rFonts w:ascii="Calibri" w:hAnsi="Calibri"/>
          <w:sz w:val="24"/>
        </w:rPr>
        <w:t xml:space="preserve">monitoring fee </w:t>
      </w:r>
      <w:r>
        <w:rPr>
          <w:rFonts w:ascii="Calibri" w:hAnsi="Calibri"/>
          <w:sz w:val="24"/>
        </w:rPr>
        <w:t>would</w:t>
      </w:r>
      <w:r w:rsidR="002065E5" w:rsidRPr="00FA5559">
        <w:rPr>
          <w:rFonts w:ascii="Calibri" w:hAnsi="Calibri"/>
          <w:sz w:val="24"/>
        </w:rPr>
        <w:t xml:space="preserve"> increase from $1.20 to $1.90 per machine per day (or part day) that the machine is switched on.</w:t>
      </w:r>
      <w:r w:rsidR="00155715">
        <w:rPr>
          <w:rStyle w:val="FootnoteReference"/>
        </w:rPr>
        <w:footnoteReference w:id="11"/>
      </w:r>
      <w:r w:rsidR="002065E5" w:rsidRPr="00FA5559">
        <w:rPr>
          <w:rFonts w:ascii="Calibri" w:hAnsi="Calibri"/>
          <w:sz w:val="24"/>
        </w:rPr>
        <w:t xml:space="preserve"> </w:t>
      </w:r>
    </w:p>
    <w:p w:rsidR="00B773E4" w:rsidRDefault="002065E5" w:rsidP="002065E5">
      <w:pPr>
        <w:pStyle w:val="Heading3"/>
      </w:pPr>
      <w:r>
        <w:t>Casino fees</w:t>
      </w:r>
    </w:p>
    <w:p w:rsidR="002065E5" w:rsidRPr="00CB56E8" w:rsidRDefault="002065E5" w:rsidP="005A3016">
      <w:pPr>
        <w:pStyle w:val="NumbersLevel1"/>
        <w:numPr>
          <w:ilvl w:val="0"/>
          <w:numId w:val="20"/>
        </w:numPr>
        <w:tabs>
          <w:tab w:val="num" w:pos="709"/>
        </w:tabs>
        <w:ind w:left="709" w:hanging="709"/>
        <w:rPr>
          <w:rFonts w:ascii="Calibri" w:hAnsi="Calibri"/>
          <w:sz w:val="24"/>
        </w:rPr>
      </w:pPr>
      <w:r w:rsidRPr="00CB56E8">
        <w:rPr>
          <w:rFonts w:ascii="Calibri" w:hAnsi="Calibri"/>
          <w:sz w:val="24"/>
        </w:rPr>
        <w:t xml:space="preserve">Casinos pay an annual licence fee that is designed to cover the costs of the work involved in regulating them. </w:t>
      </w:r>
      <w:r w:rsidR="00155715">
        <w:rPr>
          <w:rFonts w:ascii="Calibri" w:hAnsi="Calibri"/>
          <w:sz w:val="24"/>
        </w:rPr>
        <w:t>Under this option, t</w:t>
      </w:r>
      <w:r w:rsidR="00EB661F">
        <w:rPr>
          <w:rFonts w:ascii="Calibri" w:hAnsi="Calibri"/>
          <w:sz w:val="24"/>
        </w:rPr>
        <w:t xml:space="preserve">otal </w:t>
      </w:r>
      <w:r w:rsidRPr="00CB56E8">
        <w:rPr>
          <w:rFonts w:ascii="Calibri" w:hAnsi="Calibri"/>
          <w:sz w:val="24"/>
        </w:rPr>
        <w:t>revenue</w:t>
      </w:r>
      <w:r>
        <w:rPr>
          <w:rFonts w:ascii="Calibri" w:hAnsi="Calibri"/>
          <w:sz w:val="24"/>
        </w:rPr>
        <w:t xml:space="preserve"> </w:t>
      </w:r>
      <w:r w:rsidR="00EB661F">
        <w:rPr>
          <w:rFonts w:ascii="Calibri" w:hAnsi="Calibri"/>
          <w:sz w:val="24"/>
        </w:rPr>
        <w:t xml:space="preserve">from casino licence fees </w:t>
      </w:r>
      <w:r w:rsidR="00155715">
        <w:rPr>
          <w:rFonts w:ascii="Calibri" w:hAnsi="Calibri"/>
          <w:sz w:val="24"/>
        </w:rPr>
        <w:t xml:space="preserve">would </w:t>
      </w:r>
      <w:r>
        <w:rPr>
          <w:rFonts w:ascii="Calibri" w:hAnsi="Calibri"/>
          <w:sz w:val="24"/>
        </w:rPr>
        <w:t>not</w:t>
      </w:r>
      <w:r w:rsidR="00155715">
        <w:rPr>
          <w:rFonts w:ascii="Calibri" w:hAnsi="Calibri"/>
          <w:sz w:val="24"/>
        </w:rPr>
        <w:t xml:space="preserve"> </w:t>
      </w:r>
      <w:r>
        <w:rPr>
          <w:rFonts w:ascii="Calibri" w:hAnsi="Calibri"/>
          <w:sz w:val="24"/>
        </w:rPr>
        <w:t>change</w:t>
      </w:r>
      <w:r w:rsidRPr="00CB56E8">
        <w:rPr>
          <w:rFonts w:ascii="Calibri" w:hAnsi="Calibri"/>
          <w:sz w:val="24"/>
        </w:rPr>
        <w:t xml:space="preserve">. However, some casino annual licence fees </w:t>
      </w:r>
      <w:r w:rsidR="00155715">
        <w:rPr>
          <w:rFonts w:ascii="Calibri" w:hAnsi="Calibri"/>
          <w:sz w:val="24"/>
        </w:rPr>
        <w:t xml:space="preserve">would </w:t>
      </w:r>
      <w:r>
        <w:rPr>
          <w:rFonts w:ascii="Calibri" w:hAnsi="Calibri"/>
          <w:sz w:val="24"/>
        </w:rPr>
        <w:t xml:space="preserve">change </w:t>
      </w:r>
      <w:r w:rsidRPr="00CB56E8">
        <w:rPr>
          <w:rFonts w:ascii="Calibri" w:hAnsi="Calibri"/>
          <w:sz w:val="24"/>
        </w:rPr>
        <w:t>with the re</w:t>
      </w:r>
      <w:r w:rsidR="00155715">
        <w:rPr>
          <w:rFonts w:ascii="Calibri" w:hAnsi="Calibri"/>
          <w:sz w:val="24"/>
        </w:rPr>
        <w:t>sult that Sky</w:t>
      </w:r>
      <w:r w:rsidR="002341D5">
        <w:rPr>
          <w:rFonts w:ascii="Calibri" w:hAnsi="Calibri"/>
          <w:sz w:val="24"/>
        </w:rPr>
        <w:t>C</w:t>
      </w:r>
      <w:r w:rsidR="00155715">
        <w:rPr>
          <w:rFonts w:ascii="Calibri" w:hAnsi="Calibri"/>
          <w:sz w:val="24"/>
        </w:rPr>
        <w:t xml:space="preserve">ity </w:t>
      </w:r>
      <w:r>
        <w:rPr>
          <w:rFonts w:ascii="Calibri" w:hAnsi="Calibri"/>
          <w:sz w:val="24"/>
        </w:rPr>
        <w:t>Auckland, Queenstown S</w:t>
      </w:r>
      <w:r w:rsidR="002341D5">
        <w:rPr>
          <w:rFonts w:ascii="Calibri" w:hAnsi="Calibri"/>
          <w:sz w:val="24"/>
        </w:rPr>
        <w:t>kyC</w:t>
      </w:r>
      <w:r w:rsidRPr="00CB56E8">
        <w:rPr>
          <w:rFonts w:ascii="Calibri" w:hAnsi="Calibri"/>
          <w:sz w:val="24"/>
        </w:rPr>
        <w:t xml:space="preserve">ity, </w:t>
      </w:r>
      <w:r w:rsidR="00155715">
        <w:rPr>
          <w:rFonts w:ascii="Calibri" w:hAnsi="Calibri"/>
          <w:sz w:val="24"/>
        </w:rPr>
        <w:t xml:space="preserve">and </w:t>
      </w:r>
      <w:r w:rsidRPr="00CB56E8">
        <w:rPr>
          <w:rFonts w:ascii="Calibri" w:hAnsi="Calibri"/>
          <w:sz w:val="24"/>
        </w:rPr>
        <w:t>Queenstown Wharf</w:t>
      </w:r>
      <w:r w:rsidR="00155715">
        <w:rPr>
          <w:rFonts w:ascii="Calibri" w:hAnsi="Calibri"/>
          <w:sz w:val="24"/>
        </w:rPr>
        <w:t xml:space="preserve"> would pay more</w:t>
      </w:r>
      <w:r w:rsidRPr="00CB56E8">
        <w:rPr>
          <w:rFonts w:ascii="Calibri" w:hAnsi="Calibri"/>
          <w:sz w:val="24"/>
        </w:rPr>
        <w:t xml:space="preserve"> and Hamilton, Christchurch, </w:t>
      </w:r>
      <w:r w:rsidR="00155715">
        <w:rPr>
          <w:rFonts w:ascii="Calibri" w:hAnsi="Calibri"/>
          <w:sz w:val="24"/>
        </w:rPr>
        <w:t xml:space="preserve">and </w:t>
      </w:r>
      <w:r w:rsidRPr="00CB56E8">
        <w:rPr>
          <w:rFonts w:ascii="Calibri" w:hAnsi="Calibri"/>
          <w:sz w:val="24"/>
        </w:rPr>
        <w:t>Dunedin</w:t>
      </w:r>
      <w:r w:rsidR="00155715">
        <w:rPr>
          <w:rFonts w:ascii="Calibri" w:hAnsi="Calibri"/>
          <w:sz w:val="24"/>
        </w:rPr>
        <w:t xml:space="preserve"> would pay less</w:t>
      </w:r>
      <w:r w:rsidRPr="00CB56E8">
        <w:rPr>
          <w:rFonts w:ascii="Calibri" w:hAnsi="Calibri"/>
          <w:sz w:val="24"/>
        </w:rPr>
        <w:t xml:space="preserve"> based on their relative size and the estimated costs incurred by the Department in regulating each casino. The impact of the New Zealand International Convention Centre Project and Licensing Agreement has been factored into the figures for Sky</w:t>
      </w:r>
      <w:r w:rsidR="002341D5">
        <w:rPr>
          <w:rFonts w:ascii="Calibri" w:hAnsi="Calibri"/>
          <w:sz w:val="24"/>
        </w:rPr>
        <w:t>C</w:t>
      </w:r>
      <w:r w:rsidRPr="00CB56E8">
        <w:rPr>
          <w:rFonts w:ascii="Calibri" w:hAnsi="Calibri"/>
          <w:sz w:val="24"/>
        </w:rPr>
        <w:t>ity Auckland.</w:t>
      </w:r>
    </w:p>
    <w:p w:rsidR="002065E5" w:rsidRPr="00CB56E8" w:rsidRDefault="002065E5" w:rsidP="005A3016">
      <w:pPr>
        <w:pStyle w:val="NumbersLevel1"/>
        <w:numPr>
          <w:ilvl w:val="0"/>
          <w:numId w:val="20"/>
        </w:numPr>
        <w:tabs>
          <w:tab w:val="num" w:pos="709"/>
        </w:tabs>
        <w:ind w:left="709" w:hanging="709"/>
        <w:rPr>
          <w:rFonts w:ascii="Calibri" w:hAnsi="Calibri"/>
          <w:sz w:val="24"/>
        </w:rPr>
      </w:pPr>
      <w:r w:rsidRPr="00CB56E8">
        <w:rPr>
          <w:rFonts w:ascii="Calibri" w:hAnsi="Calibri"/>
          <w:sz w:val="24"/>
        </w:rPr>
        <w:t>Casino fees currently partly subsidise</w:t>
      </w:r>
      <w:r>
        <w:rPr>
          <w:rFonts w:ascii="Calibri" w:hAnsi="Calibri"/>
          <w:sz w:val="24"/>
        </w:rPr>
        <w:t xml:space="preserve"> the Department’s costs relating to </w:t>
      </w:r>
      <w:r w:rsidRPr="00CB56E8">
        <w:rPr>
          <w:rFonts w:ascii="Calibri" w:hAnsi="Calibri"/>
          <w:sz w:val="24"/>
        </w:rPr>
        <w:t xml:space="preserve">Class 4 regulatory activity (by approximately $1.4 million per annum). The proposed Class 4 fee changes would reduce the subsidy to approximately $0.4 million per annum.  </w:t>
      </w:r>
    </w:p>
    <w:p w:rsidR="002065E5" w:rsidRDefault="002065E5" w:rsidP="005A3016">
      <w:pPr>
        <w:pStyle w:val="NumbersLevel1"/>
        <w:numPr>
          <w:ilvl w:val="0"/>
          <w:numId w:val="20"/>
        </w:numPr>
        <w:tabs>
          <w:tab w:val="num" w:pos="709"/>
        </w:tabs>
        <w:ind w:left="709" w:hanging="709"/>
        <w:rPr>
          <w:rFonts w:ascii="Calibri" w:hAnsi="Calibri"/>
          <w:sz w:val="24"/>
        </w:rPr>
      </w:pPr>
      <w:r w:rsidRPr="00CB56E8">
        <w:rPr>
          <w:rFonts w:ascii="Calibri" w:hAnsi="Calibri"/>
          <w:sz w:val="24"/>
        </w:rPr>
        <w:t>The existence of cross subsidies reflects the fact that levels of work undertaken by the Department between Class 4 gambling and casino gambling sub-sectors tend to fluctuate. To accommodate this, some gambling inspectors work across both areas and the potential exists for the costs of each sub-sector to vary each year, depending on what issues arise.  The Department w</w:t>
      </w:r>
      <w:r w:rsidR="00F73700">
        <w:rPr>
          <w:rFonts w:ascii="Calibri" w:hAnsi="Calibri"/>
          <w:sz w:val="24"/>
        </w:rPr>
        <w:t>ould</w:t>
      </w:r>
      <w:r w:rsidRPr="00CB56E8">
        <w:rPr>
          <w:rFonts w:ascii="Calibri" w:hAnsi="Calibri"/>
          <w:sz w:val="24"/>
        </w:rPr>
        <w:t xml:space="preserve"> monitor workloads and costs closely to determine if the respective costs are being allocated appropriately. </w:t>
      </w:r>
    </w:p>
    <w:p w:rsidR="00EF545D" w:rsidRDefault="00EF545D" w:rsidP="00EF545D">
      <w:pPr>
        <w:pStyle w:val="Heading3"/>
      </w:pPr>
      <w:r>
        <w:lastRenderedPageBreak/>
        <w:t>Miscellaneous fees</w:t>
      </w:r>
    </w:p>
    <w:p w:rsidR="00EF545D" w:rsidRPr="00BA50B0" w:rsidRDefault="00EF545D"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These fees include appeals to the Gambling Commission, associated person approvals (casinos), </w:t>
      </w:r>
      <w:r>
        <w:rPr>
          <w:rFonts w:ascii="Calibri" w:hAnsi="Calibri"/>
          <w:sz w:val="24"/>
        </w:rPr>
        <w:t xml:space="preserve">and </w:t>
      </w:r>
      <w:r w:rsidRPr="00BA50B0">
        <w:rPr>
          <w:rFonts w:ascii="Calibri" w:hAnsi="Calibri"/>
          <w:sz w:val="24"/>
        </w:rPr>
        <w:t>certificates of approval (casino employees)</w:t>
      </w:r>
      <w:r>
        <w:rPr>
          <w:rFonts w:ascii="Calibri" w:hAnsi="Calibri"/>
          <w:sz w:val="24"/>
        </w:rPr>
        <w:t xml:space="preserve">. </w:t>
      </w:r>
      <w:r w:rsidRPr="00BA50B0">
        <w:rPr>
          <w:rFonts w:ascii="Calibri" w:hAnsi="Calibri"/>
          <w:sz w:val="24"/>
        </w:rPr>
        <w:t>The two fees for casino pers</w:t>
      </w:r>
      <w:r w:rsidR="00C64C98">
        <w:rPr>
          <w:rFonts w:ascii="Calibri" w:hAnsi="Calibri"/>
          <w:sz w:val="24"/>
        </w:rPr>
        <w:t xml:space="preserve">on approvals </w:t>
      </w:r>
      <w:r w:rsidR="00F73700">
        <w:rPr>
          <w:rFonts w:ascii="Calibri" w:hAnsi="Calibri"/>
          <w:sz w:val="24"/>
        </w:rPr>
        <w:t>would</w:t>
      </w:r>
      <w:r w:rsidR="00C64C98">
        <w:rPr>
          <w:rFonts w:ascii="Calibri" w:hAnsi="Calibri"/>
          <w:sz w:val="24"/>
        </w:rPr>
        <w:t xml:space="preserve"> </w:t>
      </w:r>
      <w:r w:rsidRPr="00BA50B0">
        <w:rPr>
          <w:rFonts w:ascii="Calibri" w:hAnsi="Calibri"/>
          <w:sz w:val="24"/>
        </w:rPr>
        <w:t>increase to better reflect the costs of processes such as police background checks that must be c</w:t>
      </w:r>
      <w:r w:rsidR="0013730F">
        <w:rPr>
          <w:rFonts w:ascii="Calibri" w:hAnsi="Calibri"/>
          <w:sz w:val="24"/>
        </w:rPr>
        <w:t xml:space="preserve">ompleted for the applications. </w:t>
      </w:r>
      <w:r w:rsidRPr="00BA50B0">
        <w:rPr>
          <w:rFonts w:ascii="Calibri" w:hAnsi="Calibri"/>
          <w:sz w:val="24"/>
        </w:rPr>
        <w:t xml:space="preserve">The certificate of approval </w:t>
      </w:r>
      <w:r>
        <w:rPr>
          <w:rFonts w:ascii="Calibri" w:hAnsi="Calibri"/>
          <w:sz w:val="24"/>
        </w:rPr>
        <w:t xml:space="preserve">application fee </w:t>
      </w:r>
      <w:r w:rsidR="00F73700">
        <w:rPr>
          <w:rFonts w:ascii="Calibri" w:hAnsi="Calibri"/>
          <w:sz w:val="24"/>
        </w:rPr>
        <w:t xml:space="preserve">would also </w:t>
      </w:r>
      <w:r w:rsidR="0013730F">
        <w:rPr>
          <w:rFonts w:ascii="Calibri" w:hAnsi="Calibri"/>
          <w:sz w:val="24"/>
        </w:rPr>
        <w:t xml:space="preserve">increase from $292 to $836. </w:t>
      </w:r>
      <w:r w:rsidRPr="00BA50B0">
        <w:rPr>
          <w:rFonts w:ascii="Calibri" w:hAnsi="Calibri"/>
          <w:sz w:val="24"/>
        </w:rPr>
        <w:t xml:space="preserve">Other amendment or notification fees for Class 4 operators </w:t>
      </w:r>
      <w:r w:rsidR="00F73700">
        <w:rPr>
          <w:rFonts w:ascii="Calibri" w:hAnsi="Calibri"/>
          <w:sz w:val="24"/>
        </w:rPr>
        <w:t>would</w:t>
      </w:r>
      <w:r w:rsidRPr="00BA50B0">
        <w:rPr>
          <w:rFonts w:ascii="Calibri" w:hAnsi="Calibri"/>
          <w:sz w:val="24"/>
        </w:rPr>
        <w:t xml:space="preserve"> decrease in line with </w:t>
      </w:r>
      <w:r>
        <w:rPr>
          <w:rFonts w:ascii="Calibri" w:hAnsi="Calibri"/>
          <w:sz w:val="24"/>
        </w:rPr>
        <w:t>actual costs to</w:t>
      </w:r>
      <w:r w:rsidRPr="00BA50B0">
        <w:rPr>
          <w:rFonts w:ascii="Calibri" w:hAnsi="Calibri"/>
          <w:sz w:val="24"/>
        </w:rPr>
        <w:t xml:space="preserve"> the Department</w:t>
      </w:r>
      <w:r>
        <w:rPr>
          <w:rFonts w:ascii="Calibri" w:hAnsi="Calibri"/>
          <w:sz w:val="24"/>
        </w:rPr>
        <w:t>.</w:t>
      </w:r>
      <w:r w:rsidRPr="00BA50B0">
        <w:rPr>
          <w:rFonts w:ascii="Calibri" w:hAnsi="Calibri"/>
          <w:sz w:val="24"/>
        </w:rPr>
        <w:t xml:space="preserve"> The other miscellaneous fees w</w:t>
      </w:r>
      <w:r w:rsidR="00A20A74">
        <w:rPr>
          <w:rFonts w:ascii="Calibri" w:hAnsi="Calibri"/>
          <w:sz w:val="24"/>
        </w:rPr>
        <w:t>ould</w:t>
      </w:r>
      <w:r w:rsidRPr="00BA50B0">
        <w:rPr>
          <w:rFonts w:ascii="Calibri" w:hAnsi="Calibri"/>
          <w:sz w:val="24"/>
        </w:rPr>
        <w:t xml:space="preserve"> remain unchanged due to infrequency of use or little changes </w:t>
      </w:r>
      <w:r>
        <w:rPr>
          <w:rFonts w:ascii="Calibri" w:hAnsi="Calibri"/>
          <w:sz w:val="24"/>
        </w:rPr>
        <w:t>in</w:t>
      </w:r>
      <w:r w:rsidRPr="00BA50B0">
        <w:rPr>
          <w:rFonts w:ascii="Calibri" w:hAnsi="Calibri"/>
          <w:sz w:val="24"/>
        </w:rPr>
        <w:t xml:space="preserve"> costs.</w:t>
      </w:r>
    </w:p>
    <w:p w:rsidR="00EF545D" w:rsidRPr="001362FC" w:rsidRDefault="00EF545D"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Other fees </w:t>
      </w:r>
      <w:r w:rsidR="00DA6EEF">
        <w:rPr>
          <w:rFonts w:ascii="Calibri" w:hAnsi="Calibri"/>
          <w:sz w:val="24"/>
        </w:rPr>
        <w:t>i</w:t>
      </w:r>
      <w:r w:rsidRPr="00BA50B0">
        <w:rPr>
          <w:rFonts w:ascii="Calibri" w:hAnsi="Calibri"/>
          <w:sz w:val="24"/>
        </w:rPr>
        <w:t>n this category include those for Class 3 licences. Licences are required when conducting Class 3 gambling</w:t>
      </w:r>
      <w:r>
        <w:rPr>
          <w:rFonts w:ascii="Calibri" w:hAnsi="Calibri"/>
          <w:sz w:val="24"/>
        </w:rPr>
        <w:t>. T</w:t>
      </w:r>
      <w:r w:rsidRPr="00BA50B0">
        <w:rPr>
          <w:rFonts w:ascii="Calibri" w:hAnsi="Calibri"/>
          <w:sz w:val="24"/>
        </w:rPr>
        <w:t xml:space="preserve">wo fee levels </w:t>
      </w:r>
      <w:r>
        <w:rPr>
          <w:rFonts w:ascii="Calibri" w:hAnsi="Calibri"/>
          <w:sz w:val="24"/>
        </w:rPr>
        <w:t xml:space="preserve">apply </w:t>
      </w:r>
      <w:r w:rsidRPr="00BA50B0">
        <w:rPr>
          <w:rFonts w:ascii="Calibri" w:hAnsi="Calibri"/>
          <w:sz w:val="24"/>
        </w:rPr>
        <w:t xml:space="preserve">depending on the value of prizes. These fees </w:t>
      </w:r>
      <w:r w:rsidR="00F73700">
        <w:rPr>
          <w:rFonts w:ascii="Calibri" w:hAnsi="Calibri"/>
          <w:sz w:val="24"/>
        </w:rPr>
        <w:t xml:space="preserve">would </w:t>
      </w:r>
      <w:r w:rsidRPr="00BA50B0">
        <w:rPr>
          <w:rFonts w:ascii="Calibri" w:hAnsi="Calibri"/>
          <w:sz w:val="24"/>
        </w:rPr>
        <w:t>not change due to low volumes and because the current fee stil</w:t>
      </w:r>
      <w:r w:rsidR="00C64C98">
        <w:rPr>
          <w:rFonts w:ascii="Calibri" w:hAnsi="Calibri"/>
          <w:sz w:val="24"/>
        </w:rPr>
        <w:t xml:space="preserve">l reflects the work required to </w:t>
      </w:r>
      <w:r w:rsidR="00F73700">
        <w:rPr>
          <w:rFonts w:ascii="Calibri" w:hAnsi="Calibri"/>
          <w:sz w:val="24"/>
        </w:rPr>
        <w:t>issue the licences. A</w:t>
      </w:r>
      <w:r w:rsidRPr="001362FC">
        <w:rPr>
          <w:rFonts w:ascii="Calibri" w:hAnsi="Calibri"/>
          <w:sz w:val="24"/>
        </w:rPr>
        <w:t>mendments to Class 3 licences w</w:t>
      </w:r>
      <w:r w:rsidR="00C64C98">
        <w:rPr>
          <w:rFonts w:ascii="Calibri" w:hAnsi="Calibri"/>
          <w:sz w:val="24"/>
        </w:rPr>
        <w:t>ould</w:t>
      </w:r>
      <w:r w:rsidRPr="001362FC">
        <w:rPr>
          <w:rFonts w:ascii="Calibri" w:hAnsi="Calibri"/>
          <w:sz w:val="24"/>
        </w:rPr>
        <w:t xml:space="preserve"> no longer be charged due to low volumes and the potential for licence amendment fees to create a barrier to compliance.    </w:t>
      </w:r>
    </w:p>
    <w:p w:rsidR="00EF545D" w:rsidRDefault="00EF545D" w:rsidP="00EF545D">
      <w:pPr>
        <w:pStyle w:val="Heading3"/>
      </w:pPr>
      <w:r>
        <w:t>Risks, costs and benefits</w:t>
      </w:r>
    </w:p>
    <w:p w:rsidR="00EF545D" w:rsidRPr="00B96AC7" w:rsidRDefault="00764923"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For modelling the level of fee increases </w:t>
      </w:r>
      <w:r w:rsidR="006165D2">
        <w:rPr>
          <w:rFonts w:ascii="Calibri" w:hAnsi="Calibri"/>
          <w:sz w:val="24"/>
        </w:rPr>
        <w:t>under this option</w:t>
      </w:r>
      <w:r>
        <w:rPr>
          <w:rFonts w:ascii="Calibri" w:hAnsi="Calibri"/>
          <w:sz w:val="24"/>
        </w:rPr>
        <w:t xml:space="preserve">, </w:t>
      </w:r>
      <w:r w:rsidR="00EF545D">
        <w:rPr>
          <w:rFonts w:ascii="Calibri" w:hAnsi="Calibri"/>
          <w:sz w:val="24"/>
        </w:rPr>
        <w:t>the</w:t>
      </w:r>
      <w:r w:rsidR="00EF545D" w:rsidRPr="00B96AC7">
        <w:rPr>
          <w:rFonts w:ascii="Calibri" w:hAnsi="Calibri"/>
          <w:sz w:val="24"/>
        </w:rPr>
        <w:t xml:space="preserve"> Department has conservatively assumed</w:t>
      </w:r>
      <w:r>
        <w:rPr>
          <w:rFonts w:ascii="Calibri" w:hAnsi="Calibri"/>
          <w:sz w:val="24"/>
        </w:rPr>
        <w:t xml:space="preserve"> that:</w:t>
      </w:r>
    </w:p>
    <w:p w:rsidR="00EF545D" w:rsidRPr="00B96AC7" w:rsidRDefault="00EF545D" w:rsidP="005A3016">
      <w:pPr>
        <w:pStyle w:val="NumbersLevel1"/>
        <w:numPr>
          <w:ilvl w:val="0"/>
          <w:numId w:val="29"/>
        </w:numPr>
        <w:tabs>
          <w:tab w:val="clear" w:pos="709"/>
          <w:tab w:val="num" w:pos="1134"/>
        </w:tabs>
        <w:ind w:left="1134" w:hanging="425"/>
        <w:rPr>
          <w:rFonts w:ascii="Calibri" w:hAnsi="Calibri"/>
          <w:sz w:val="24"/>
        </w:rPr>
      </w:pPr>
      <w:r w:rsidRPr="00B96AC7">
        <w:rPr>
          <w:rFonts w:ascii="Calibri" w:hAnsi="Calibri"/>
          <w:sz w:val="24"/>
        </w:rPr>
        <w:t>the number of Class 4 gaming machines w</w:t>
      </w:r>
      <w:r w:rsidR="00764923">
        <w:rPr>
          <w:rFonts w:ascii="Calibri" w:hAnsi="Calibri"/>
          <w:sz w:val="24"/>
        </w:rPr>
        <w:t>ould</w:t>
      </w:r>
      <w:r w:rsidRPr="00B96AC7">
        <w:rPr>
          <w:rFonts w:ascii="Calibri" w:hAnsi="Calibri"/>
          <w:sz w:val="24"/>
        </w:rPr>
        <w:t xml:space="preserve"> continue to decline at the rate they h</w:t>
      </w:r>
      <w:r w:rsidR="000E1F91">
        <w:rPr>
          <w:rFonts w:ascii="Calibri" w:hAnsi="Calibri"/>
          <w:sz w:val="24"/>
        </w:rPr>
        <w:t xml:space="preserve">ave been </w:t>
      </w:r>
      <w:r w:rsidRPr="00B96AC7">
        <w:rPr>
          <w:rFonts w:ascii="Calibri" w:hAnsi="Calibri"/>
          <w:sz w:val="24"/>
        </w:rPr>
        <w:t>(approximately 500 per year) thus reducing revenue;</w:t>
      </w:r>
      <w:r>
        <w:rPr>
          <w:rFonts w:ascii="Calibri" w:hAnsi="Calibri"/>
          <w:sz w:val="24"/>
        </w:rPr>
        <w:t xml:space="preserve"> and</w:t>
      </w:r>
    </w:p>
    <w:p w:rsidR="00EF545D" w:rsidRPr="00B96AC7" w:rsidRDefault="00EF545D" w:rsidP="005A3016">
      <w:pPr>
        <w:pStyle w:val="NumbersLevel1"/>
        <w:numPr>
          <w:ilvl w:val="0"/>
          <w:numId w:val="29"/>
        </w:numPr>
        <w:tabs>
          <w:tab w:val="clear" w:pos="709"/>
          <w:tab w:val="num" w:pos="1134"/>
        </w:tabs>
        <w:ind w:left="1134" w:hanging="425"/>
        <w:rPr>
          <w:rFonts w:ascii="Calibri" w:hAnsi="Calibri"/>
          <w:sz w:val="24"/>
        </w:rPr>
      </w:pPr>
      <w:r w:rsidRPr="00B96AC7">
        <w:rPr>
          <w:rFonts w:ascii="Calibri" w:hAnsi="Calibri"/>
          <w:sz w:val="24"/>
        </w:rPr>
        <w:t>annual volumes of licensing activity w</w:t>
      </w:r>
      <w:r w:rsidR="00764923">
        <w:rPr>
          <w:rFonts w:ascii="Calibri" w:hAnsi="Calibri"/>
          <w:sz w:val="24"/>
        </w:rPr>
        <w:t>ould</w:t>
      </w:r>
      <w:r w:rsidRPr="00B96AC7">
        <w:rPr>
          <w:rFonts w:ascii="Calibri" w:hAnsi="Calibri"/>
          <w:sz w:val="24"/>
        </w:rPr>
        <w:t xml:space="preserve"> decrease because of the combined impact on non-club societies of the </w:t>
      </w:r>
      <w:r w:rsidR="00764923">
        <w:rPr>
          <w:rFonts w:ascii="Calibri" w:hAnsi="Calibri"/>
          <w:sz w:val="24"/>
        </w:rPr>
        <w:t xml:space="preserve">proposed </w:t>
      </w:r>
      <w:r w:rsidRPr="00B96AC7">
        <w:rPr>
          <w:rFonts w:ascii="Calibri" w:hAnsi="Calibri"/>
          <w:sz w:val="24"/>
        </w:rPr>
        <w:t>fee increases and recent regulator</w:t>
      </w:r>
      <w:r>
        <w:rPr>
          <w:rFonts w:ascii="Calibri" w:hAnsi="Calibri"/>
          <w:sz w:val="24"/>
        </w:rPr>
        <w:t>y change in the Class 4 sector.</w:t>
      </w:r>
    </w:p>
    <w:p w:rsidR="00EF545D" w:rsidRPr="00B96AC7" w:rsidRDefault="00EF545D" w:rsidP="005A3016">
      <w:pPr>
        <w:pStyle w:val="NumbersLevel1"/>
        <w:numPr>
          <w:ilvl w:val="0"/>
          <w:numId w:val="20"/>
        </w:numPr>
        <w:tabs>
          <w:tab w:val="num" w:pos="709"/>
        </w:tabs>
        <w:ind w:left="709" w:hanging="709"/>
        <w:rPr>
          <w:rFonts w:ascii="Calibri" w:hAnsi="Calibri"/>
          <w:sz w:val="24"/>
        </w:rPr>
      </w:pPr>
      <w:r w:rsidRPr="00B96AC7">
        <w:rPr>
          <w:rFonts w:ascii="Calibri" w:hAnsi="Calibri"/>
          <w:sz w:val="24"/>
        </w:rPr>
        <w:t xml:space="preserve">It is possible that the rate of decline in gaming machine numbers will slow, as the sector continues to rationalise, and reach an “optimum” number earlier than assumed (that is within three years). It is also possible that volumes of licensing activity will be greater than assumed. The effect of </w:t>
      </w:r>
      <w:r>
        <w:rPr>
          <w:rFonts w:ascii="Calibri" w:hAnsi="Calibri"/>
          <w:sz w:val="24"/>
        </w:rPr>
        <w:t>these s</w:t>
      </w:r>
      <w:r w:rsidRPr="00B96AC7">
        <w:rPr>
          <w:rFonts w:ascii="Calibri" w:hAnsi="Calibri"/>
          <w:sz w:val="24"/>
        </w:rPr>
        <w:t>cenarios is that the memorandum account</w:t>
      </w:r>
      <w:r w:rsidR="00407290">
        <w:rPr>
          <w:rFonts w:ascii="Calibri" w:hAnsi="Calibri"/>
          <w:sz w:val="24"/>
        </w:rPr>
        <w:t xml:space="preserve"> reduces </w:t>
      </w:r>
      <w:r w:rsidRPr="00B96AC7">
        <w:rPr>
          <w:rFonts w:ascii="Calibri" w:hAnsi="Calibri"/>
          <w:sz w:val="24"/>
        </w:rPr>
        <w:t xml:space="preserve">more quickly due to over-recovery of revenue. </w:t>
      </w:r>
    </w:p>
    <w:p w:rsidR="00A330FF" w:rsidRDefault="00EF545D"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Conversely </w:t>
      </w:r>
      <w:r w:rsidRPr="00B96AC7">
        <w:rPr>
          <w:rFonts w:ascii="Calibri" w:hAnsi="Calibri"/>
          <w:sz w:val="24"/>
        </w:rPr>
        <w:t>there is also potential for under-recovery of revenue. As part of recent regulatory change in the Class 4 sector, new regulations requiring non-club societies to progressively increase the minimum amount they return to communities from gaming mach</w:t>
      </w:r>
      <w:r>
        <w:rPr>
          <w:rFonts w:ascii="Calibri" w:hAnsi="Calibri"/>
          <w:sz w:val="24"/>
        </w:rPr>
        <w:t xml:space="preserve">ine proceeds came into effect. </w:t>
      </w:r>
      <w:r w:rsidRPr="00B96AC7">
        <w:rPr>
          <w:rFonts w:ascii="Calibri" w:hAnsi="Calibri"/>
          <w:sz w:val="24"/>
        </w:rPr>
        <w:t xml:space="preserve">The first increase on 4 September 2014 raised the minimum rate of return to 40 per cent of gross </w:t>
      </w:r>
      <w:r>
        <w:rPr>
          <w:rFonts w:ascii="Calibri" w:hAnsi="Calibri"/>
          <w:sz w:val="24"/>
        </w:rPr>
        <w:t xml:space="preserve">gaming machine </w:t>
      </w:r>
      <w:r w:rsidRPr="00B96AC7">
        <w:rPr>
          <w:rFonts w:ascii="Calibri" w:hAnsi="Calibri"/>
          <w:sz w:val="24"/>
        </w:rPr>
        <w:t xml:space="preserve">proceeds. The minimum rate will increase to 41 per cent in 2016 and 42 per cent in 2018.  Further changes are proposed to the Act and regulations, some of which are intended to reduce compliance costs for </w:t>
      </w:r>
      <w:r>
        <w:rPr>
          <w:rFonts w:ascii="Calibri" w:hAnsi="Calibri"/>
          <w:sz w:val="24"/>
        </w:rPr>
        <w:t xml:space="preserve">the Department and societies.  </w:t>
      </w:r>
    </w:p>
    <w:p w:rsidR="00EF545D" w:rsidRPr="00EE49B3" w:rsidRDefault="00A330FF" w:rsidP="005A3016">
      <w:pPr>
        <w:pStyle w:val="NumbersLevel1"/>
        <w:numPr>
          <w:ilvl w:val="0"/>
          <w:numId w:val="20"/>
        </w:numPr>
        <w:tabs>
          <w:tab w:val="num" w:pos="709"/>
        </w:tabs>
        <w:ind w:left="709" w:hanging="709"/>
        <w:rPr>
          <w:rFonts w:ascii="Calibri" w:hAnsi="Calibri"/>
          <w:sz w:val="24"/>
        </w:rPr>
      </w:pPr>
      <w:r>
        <w:rPr>
          <w:rFonts w:ascii="Calibri" w:hAnsi="Calibri"/>
          <w:sz w:val="24"/>
        </w:rPr>
        <w:t>The Department’s a</w:t>
      </w:r>
      <w:r w:rsidR="00EF545D" w:rsidRPr="00EE49B3">
        <w:rPr>
          <w:rFonts w:ascii="Calibri" w:hAnsi="Calibri"/>
          <w:sz w:val="24"/>
        </w:rPr>
        <w:t xml:space="preserve">nalysis indicates that most non-club societies should comfortably afford an increase in fees and an increased rate of return to 40 per cent. </w:t>
      </w:r>
      <w:r>
        <w:rPr>
          <w:rFonts w:ascii="Calibri" w:hAnsi="Calibri"/>
          <w:sz w:val="24"/>
        </w:rPr>
        <w:t xml:space="preserve">However </w:t>
      </w:r>
      <w:r w:rsidR="006165D2">
        <w:rPr>
          <w:rFonts w:ascii="Calibri" w:hAnsi="Calibri"/>
          <w:sz w:val="24"/>
        </w:rPr>
        <w:t xml:space="preserve">the </w:t>
      </w:r>
      <w:r w:rsidR="00EF545D" w:rsidRPr="00EE49B3">
        <w:rPr>
          <w:rFonts w:ascii="Calibri" w:hAnsi="Calibri"/>
          <w:sz w:val="24"/>
        </w:rPr>
        <w:t xml:space="preserve">longer term increase to 42 per cent in 2018 </w:t>
      </w:r>
      <w:r w:rsidR="0066708A">
        <w:rPr>
          <w:rFonts w:ascii="Calibri" w:hAnsi="Calibri"/>
          <w:sz w:val="24"/>
        </w:rPr>
        <w:t>is likely to</w:t>
      </w:r>
      <w:r w:rsidR="00EF545D" w:rsidRPr="00EE49B3">
        <w:rPr>
          <w:rFonts w:ascii="Calibri" w:hAnsi="Calibri"/>
          <w:sz w:val="24"/>
        </w:rPr>
        <w:t xml:space="preserve"> require more of an adjustment to the operations of non-club societies. </w:t>
      </w:r>
    </w:p>
    <w:p w:rsidR="00EF545D" w:rsidRPr="007648E1" w:rsidRDefault="00EF545D"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Th</w:t>
      </w:r>
      <w:r w:rsidR="006165D2">
        <w:rPr>
          <w:rFonts w:ascii="Calibri" w:hAnsi="Calibri"/>
          <w:sz w:val="24"/>
        </w:rPr>
        <w:t xml:space="preserve">is option would </w:t>
      </w:r>
      <w:r w:rsidRPr="00BA50B0">
        <w:rPr>
          <w:rFonts w:ascii="Calibri" w:hAnsi="Calibri"/>
          <w:sz w:val="24"/>
        </w:rPr>
        <w:t xml:space="preserve">increase costs for the </w:t>
      </w:r>
      <w:r>
        <w:rPr>
          <w:rFonts w:ascii="Calibri" w:hAnsi="Calibri"/>
          <w:sz w:val="24"/>
        </w:rPr>
        <w:t xml:space="preserve">Class 4 </w:t>
      </w:r>
      <w:r w:rsidRPr="00BA50B0">
        <w:rPr>
          <w:rFonts w:ascii="Calibri" w:hAnsi="Calibri"/>
          <w:sz w:val="24"/>
        </w:rPr>
        <w:t>sector.  Class 4 fees are paid from the gross proceeds earned through the operation of gaming machines</w:t>
      </w:r>
      <w:r w:rsidR="00D10B6B">
        <w:rPr>
          <w:rFonts w:ascii="Calibri" w:hAnsi="Calibri"/>
          <w:sz w:val="24"/>
        </w:rPr>
        <w:t xml:space="preserve">. </w:t>
      </w:r>
      <w:r>
        <w:rPr>
          <w:rFonts w:ascii="Calibri" w:hAnsi="Calibri"/>
          <w:sz w:val="24"/>
        </w:rPr>
        <w:t xml:space="preserve">As such they form </w:t>
      </w:r>
      <w:r>
        <w:rPr>
          <w:rFonts w:ascii="Calibri" w:hAnsi="Calibri"/>
          <w:sz w:val="24"/>
        </w:rPr>
        <w:lastRenderedPageBreak/>
        <w:t>a part of a society’s o</w:t>
      </w:r>
      <w:r w:rsidRPr="00BA50B0">
        <w:rPr>
          <w:rFonts w:ascii="Calibri" w:hAnsi="Calibri"/>
          <w:sz w:val="24"/>
        </w:rPr>
        <w:t>verall budget and affect the amount of money available to be return</w:t>
      </w:r>
      <w:r w:rsidR="00CF370D">
        <w:rPr>
          <w:rFonts w:ascii="Calibri" w:hAnsi="Calibri"/>
          <w:sz w:val="24"/>
        </w:rPr>
        <w:t xml:space="preserve">ed to the community as grants. </w:t>
      </w:r>
      <w:r w:rsidRPr="00BA50B0">
        <w:rPr>
          <w:rFonts w:ascii="Calibri" w:hAnsi="Calibri"/>
          <w:sz w:val="24"/>
        </w:rPr>
        <w:t>If the fees are set too high, there is a risk that less money is returned to the community or that the society will exit the sector altogether.</w:t>
      </w:r>
      <w:r>
        <w:rPr>
          <w:rFonts w:ascii="Calibri" w:hAnsi="Calibri"/>
          <w:sz w:val="24"/>
        </w:rPr>
        <w:t xml:space="preserve"> </w:t>
      </w:r>
      <w:r w:rsidRPr="007648E1">
        <w:rPr>
          <w:rFonts w:ascii="Calibri" w:hAnsi="Calibri"/>
          <w:sz w:val="24"/>
        </w:rPr>
        <w:t>The Department w</w:t>
      </w:r>
      <w:r w:rsidR="006165D2">
        <w:rPr>
          <w:rFonts w:ascii="Calibri" w:hAnsi="Calibri"/>
          <w:sz w:val="24"/>
        </w:rPr>
        <w:t>ould</w:t>
      </w:r>
      <w:r w:rsidRPr="007648E1">
        <w:rPr>
          <w:rFonts w:ascii="Calibri" w:hAnsi="Calibri"/>
          <w:sz w:val="24"/>
        </w:rPr>
        <w:t xml:space="preserve"> carefully monitor the financial si</w:t>
      </w:r>
      <w:r w:rsidR="002341D5">
        <w:rPr>
          <w:rFonts w:ascii="Calibri" w:hAnsi="Calibri"/>
          <w:sz w:val="24"/>
        </w:rPr>
        <w:t xml:space="preserve">tuation and, if necessary, </w:t>
      </w:r>
      <w:r w:rsidRPr="007648E1">
        <w:rPr>
          <w:rFonts w:ascii="Calibri" w:hAnsi="Calibri"/>
          <w:sz w:val="24"/>
        </w:rPr>
        <w:t xml:space="preserve">bring forward its planned 2017/18 review of fees to consider whether the fee levels need to be adjusted.  </w:t>
      </w:r>
    </w:p>
    <w:p w:rsidR="00EF545D" w:rsidRDefault="00EF545D" w:rsidP="0066708A">
      <w:pPr>
        <w:pStyle w:val="NumbersLevel1"/>
        <w:numPr>
          <w:ilvl w:val="0"/>
          <w:numId w:val="20"/>
        </w:numPr>
        <w:tabs>
          <w:tab w:val="num" w:pos="709"/>
        </w:tabs>
        <w:ind w:left="709" w:hanging="709"/>
        <w:rPr>
          <w:rFonts w:ascii="Calibri" w:hAnsi="Calibri"/>
          <w:sz w:val="24"/>
        </w:rPr>
      </w:pPr>
      <w:r w:rsidRPr="0066708A">
        <w:rPr>
          <w:rFonts w:ascii="Calibri" w:hAnsi="Calibri"/>
          <w:sz w:val="24"/>
        </w:rPr>
        <w:t xml:space="preserve">The Department </w:t>
      </w:r>
      <w:r w:rsidR="006165D2" w:rsidRPr="0066708A">
        <w:rPr>
          <w:rFonts w:ascii="Calibri" w:hAnsi="Calibri"/>
          <w:sz w:val="24"/>
        </w:rPr>
        <w:t>considers that the fee increases proposed under this option</w:t>
      </w:r>
      <w:r w:rsidRPr="0066708A">
        <w:rPr>
          <w:rFonts w:ascii="Calibri" w:hAnsi="Calibri"/>
          <w:sz w:val="24"/>
        </w:rPr>
        <w:t xml:space="preserve"> fairly cover costs and strike a reasonable balance in </w:t>
      </w:r>
      <w:r w:rsidR="002341D5">
        <w:rPr>
          <w:rFonts w:ascii="Calibri" w:hAnsi="Calibri"/>
          <w:sz w:val="24"/>
        </w:rPr>
        <w:t>reducing</w:t>
      </w:r>
      <w:r w:rsidRPr="0066708A">
        <w:rPr>
          <w:rFonts w:ascii="Calibri" w:hAnsi="Calibri"/>
          <w:sz w:val="24"/>
        </w:rPr>
        <w:t xml:space="preserve"> the memorandum account deficit.</w:t>
      </w:r>
      <w:r w:rsidR="006165D2" w:rsidRPr="0066708A">
        <w:rPr>
          <w:rFonts w:ascii="Calibri" w:hAnsi="Calibri"/>
          <w:sz w:val="24"/>
        </w:rPr>
        <w:t xml:space="preserve"> </w:t>
      </w:r>
      <w:r w:rsidRPr="0066708A">
        <w:rPr>
          <w:rFonts w:ascii="Calibri" w:hAnsi="Calibri"/>
          <w:sz w:val="24"/>
        </w:rPr>
        <w:t xml:space="preserve">Fees have not changed since 2008 and the sector has been effectively experiencing a reduction in fees </w:t>
      </w:r>
      <w:r w:rsidR="00D10B6B">
        <w:rPr>
          <w:rFonts w:ascii="Calibri" w:hAnsi="Calibri"/>
          <w:sz w:val="24"/>
        </w:rPr>
        <w:t xml:space="preserve">payments </w:t>
      </w:r>
      <w:r w:rsidRPr="0066708A">
        <w:rPr>
          <w:rFonts w:ascii="Calibri" w:hAnsi="Calibri"/>
          <w:sz w:val="24"/>
        </w:rPr>
        <w:t xml:space="preserve">over time as the number of machines have declined. Class 4 fees currently account for approximately 2.06 per cent of societies’ GST-exclusive gross gaming machine proceeds. With the proposed fees this is forecast to increase to 3.16 per cent of societies’ GST-exclusive gross proceeds in 2015/16 (refer to </w:t>
      </w:r>
      <w:r w:rsidR="00314408">
        <w:rPr>
          <w:rFonts w:ascii="Calibri" w:hAnsi="Calibri"/>
          <w:sz w:val="24"/>
        </w:rPr>
        <w:t>t</w:t>
      </w:r>
      <w:r w:rsidRPr="0066708A">
        <w:rPr>
          <w:rFonts w:ascii="Calibri" w:hAnsi="Calibri"/>
          <w:sz w:val="24"/>
        </w:rPr>
        <w:t xml:space="preserve">able </w:t>
      </w:r>
      <w:r w:rsidR="00314408">
        <w:rPr>
          <w:rFonts w:ascii="Calibri" w:hAnsi="Calibri"/>
          <w:sz w:val="24"/>
        </w:rPr>
        <w:t xml:space="preserve">7 </w:t>
      </w:r>
      <w:r w:rsidRPr="0066708A">
        <w:rPr>
          <w:rFonts w:ascii="Calibri" w:hAnsi="Calibri"/>
          <w:sz w:val="24"/>
        </w:rPr>
        <w:t>below).</w:t>
      </w:r>
      <w:r w:rsidR="004D6B59" w:rsidRPr="0066708A">
        <w:rPr>
          <w:rFonts w:ascii="Calibri" w:hAnsi="Calibri"/>
          <w:sz w:val="24"/>
        </w:rPr>
        <w:t xml:space="preserve"> </w:t>
      </w:r>
    </w:p>
    <w:p w:rsidR="0066708A" w:rsidRPr="006F36B3" w:rsidRDefault="00263E51" w:rsidP="006F36B3">
      <w:pPr>
        <w:pStyle w:val="NumbersLevel1"/>
        <w:numPr>
          <w:ilvl w:val="0"/>
          <w:numId w:val="20"/>
        </w:numPr>
        <w:tabs>
          <w:tab w:val="num" w:pos="709"/>
        </w:tabs>
        <w:ind w:left="709" w:hanging="709"/>
        <w:rPr>
          <w:rFonts w:ascii="Calibri" w:eastAsia="Calibri" w:hAnsi="Calibri"/>
          <w:sz w:val="24"/>
          <w:lang w:val="en-AU"/>
        </w:rPr>
      </w:pPr>
      <w:r w:rsidRPr="005A41D3">
        <w:rPr>
          <w:rFonts w:ascii="Calibri" w:eastAsia="Calibri" w:hAnsi="Calibri"/>
          <w:sz w:val="24"/>
          <w:lang w:val="en-AU"/>
        </w:rPr>
        <w:t xml:space="preserve">The main benefit of this option is that it will ensure the continued operation of the compliance and enforcement activities that the Department undertakes. These activities are important for the general public, so it can be assured that </w:t>
      </w:r>
      <w:r w:rsidR="005A41D3" w:rsidRPr="005A41D3">
        <w:rPr>
          <w:rFonts w:ascii="Calibri" w:eastAsia="Calibri" w:hAnsi="Calibri"/>
          <w:sz w:val="24"/>
          <w:lang w:val="en-AU"/>
        </w:rPr>
        <w:t>cu</w:t>
      </w:r>
      <w:r w:rsidR="00CF370D" w:rsidRPr="005A41D3">
        <w:rPr>
          <w:rFonts w:ascii="Calibri" w:eastAsia="Calibri" w:hAnsi="Calibri"/>
          <w:sz w:val="24"/>
          <w:lang w:val="en-AU"/>
        </w:rPr>
        <w:t xml:space="preserve">rrent levels of regulatory oversight are maintained. </w:t>
      </w:r>
    </w:p>
    <w:p w:rsidR="005A41D3" w:rsidRDefault="005A41D3" w:rsidP="005A41D3">
      <w:pPr>
        <w:pStyle w:val="Caption"/>
      </w:pPr>
      <w:r>
        <w:t xml:space="preserve">Table </w:t>
      </w:r>
      <w:r w:rsidR="00314408">
        <w:t>7</w:t>
      </w:r>
      <w:r>
        <w:t>:</w:t>
      </w:r>
      <w:r w:rsidR="00314408">
        <w:t xml:space="preserve"> Total impact on Class 4 societies from the bulk of the proposed new fees</w:t>
      </w:r>
      <w:r w:rsidR="004D4AE9">
        <w:t xml:space="preserve"> (GST exclusive)</w:t>
      </w:r>
      <w:r w:rsidR="00314408">
        <w:rPr>
          <w:rStyle w:val="FootnoteReference"/>
        </w:rPr>
        <w:footnoteReference w:id="12"/>
      </w:r>
    </w:p>
    <w:tbl>
      <w:tblPr>
        <w:tblStyle w:val="DIATable"/>
        <w:tblW w:w="8854" w:type="dxa"/>
        <w:jc w:val="center"/>
        <w:tblLook w:val="04A0" w:firstRow="1" w:lastRow="0" w:firstColumn="1" w:lastColumn="0" w:noHBand="0" w:noVBand="1"/>
      </w:tblPr>
      <w:tblGrid>
        <w:gridCol w:w="1560"/>
        <w:gridCol w:w="1435"/>
        <w:gridCol w:w="1460"/>
        <w:gridCol w:w="1357"/>
        <w:gridCol w:w="1653"/>
        <w:gridCol w:w="1389"/>
      </w:tblGrid>
      <w:tr w:rsidR="00EF545D" w:rsidRPr="00617231" w:rsidTr="004D4AE9">
        <w:trPr>
          <w:cnfStyle w:val="100000000000" w:firstRow="1" w:lastRow="0" w:firstColumn="0" w:lastColumn="0" w:oddVBand="0" w:evenVBand="0" w:oddHBand="0" w:evenHBand="0" w:firstRowFirstColumn="0" w:firstRowLastColumn="0" w:lastRowFirstColumn="0" w:lastRowLastColumn="0"/>
          <w:jc w:val="center"/>
        </w:trPr>
        <w:tc>
          <w:tcPr>
            <w:tcW w:w="1560" w:type="dxa"/>
          </w:tcPr>
          <w:p w:rsidR="00EF545D" w:rsidRPr="002C1E1B" w:rsidRDefault="00EF545D" w:rsidP="00CE0C4C">
            <w:pPr>
              <w:keepNext/>
              <w:spacing w:after="120"/>
              <w:jc w:val="center"/>
              <w:rPr>
                <w:rFonts w:eastAsia="Calibri"/>
                <w:b w:val="0"/>
                <w:szCs w:val="22"/>
              </w:rPr>
            </w:pPr>
            <w:r w:rsidRPr="002C1E1B">
              <w:rPr>
                <w:rFonts w:eastAsia="Calibri"/>
                <w:b w:val="0"/>
                <w:szCs w:val="22"/>
              </w:rPr>
              <w:t>Class 4 operator type</w:t>
            </w:r>
          </w:p>
        </w:tc>
        <w:tc>
          <w:tcPr>
            <w:tcW w:w="1435" w:type="dxa"/>
          </w:tcPr>
          <w:p w:rsidR="00EF545D" w:rsidRPr="002C1E1B" w:rsidRDefault="00EF545D" w:rsidP="004D4AE9">
            <w:pPr>
              <w:keepNext/>
              <w:spacing w:after="120"/>
              <w:jc w:val="center"/>
              <w:rPr>
                <w:rFonts w:eastAsia="Calibri"/>
                <w:b w:val="0"/>
                <w:szCs w:val="22"/>
              </w:rPr>
            </w:pPr>
            <w:r w:rsidRPr="002C1E1B">
              <w:rPr>
                <w:rFonts w:eastAsia="Calibri"/>
                <w:b w:val="0"/>
                <w:szCs w:val="22"/>
              </w:rPr>
              <w:t>Total annual current fees</w:t>
            </w:r>
          </w:p>
        </w:tc>
        <w:tc>
          <w:tcPr>
            <w:tcW w:w="1460" w:type="dxa"/>
          </w:tcPr>
          <w:p w:rsidR="00EF545D" w:rsidRPr="002C1E1B" w:rsidRDefault="00EF545D" w:rsidP="004D4AE9">
            <w:pPr>
              <w:keepNext/>
              <w:spacing w:after="120"/>
              <w:jc w:val="center"/>
              <w:rPr>
                <w:rFonts w:eastAsia="Calibri"/>
                <w:b w:val="0"/>
                <w:szCs w:val="22"/>
              </w:rPr>
            </w:pPr>
            <w:r w:rsidRPr="002C1E1B">
              <w:rPr>
                <w:rFonts w:eastAsia="Calibri"/>
                <w:b w:val="0"/>
                <w:szCs w:val="22"/>
              </w:rPr>
              <w:t>Total proposed fees 2015/16</w:t>
            </w:r>
          </w:p>
        </w:tc>
        <w:tc>
          <w:tcPr>
            <w:tcW w:w="0" w:type="auto"/>
          </w:tcPr>
          <w:p w:rsidR="00EF545D" w:rsidRPr="002C1E1B" w:rsidRDefault="00EF545D" w:rsidP="00CE0C4C">
            <w:pPr>
              <w:keepNext/>
              <w:spacing w:after="120"/>
              <w:jc w:val="center"/>
              <w:rPr>
                <w:rFonts w:eastAsia="Calibri"/>
                <w:b w:val="0"/>
                <w:szCs w:val="22"/>
              </w:rPr>
            </w:pPr>
            <w:r w:rsidRPr="002C1E1B">
              <w:rPr>
                <w:rFonts w:eastAsia="Calibri"/>
                <w:b w:val="0"/>
                <w:szCs w:val="22"/>
              </w:rPr>
              <w:t>Total percentage increase</w:t>
            </w:r>
          </w:p>
        </w:tc>
        <w:tc>
          <w:tcPr>
            <w:tcW w:w="0" w:type="auto"/>
          </w:tcPr>
          <w:p w:rsidR="00EF545D" w:rsidRPr="002C1E1B" w:rsidRDefault="00EF545D" w:rsidP="004D4AE9">
            <w:pPr>
              <w:keepNext/>
              <w:spacing w:after="120"/>
              <w:jc w:val="center"/>
              <w:rPr>
                <w:rFonts w:eastAsia="Calibri"/>
                <w:b w:val="0"/>
                <w:szCs w:val="22"/>
              </w:rPr>
            </w:pPr>
            <w:r w:rsidRPr="002C1E1B">
              <w:rPr>
                <w:rFonts w:eastAsia="Calibri"/>
                <w:b w:val="0"/>
                <w:szCs w:val="22"/>
              </w:rPr>
              <w:t>Gaming machine proceeds (2013/1</w:t>
            </w:r>
            <w:r w:rsidR="004D4AE9">
              <w:rPr>
                <w:rFonts w:eastAsia="Calibri"/>
                <w:b w:val="0"/>
                <w:szCs w:val="22"/>
              </w:rPr>
              <w:t>4)</w:t>
            </w:r>
          </w:p>
        </w:tc>
        <w:tc>
          <w:tcPr>
            <w:tcW w:w="0" w:type="auto"/>
          </w:tcPr>
          <w:p w:rsidR="00EF545D" w:rsidRPr="002C1E1B" w:rsidRDefault="00EF545D" w:rsidP="00CE0C4C">
            <w:pPr>
              <w:keepNext/>
              <w:spacing w:after="120"/>
              <w:jc w:val="center"/>
              <w:rPr>
                <w:rFonts w:eastAsia="Calibri"/>
                <w:b w:val="0"/>
                <w:szCs w:val="22"/>
              </w:rPr>
            </w:pPr>
            <w:r w:rsidRPr="002C1E1B">
              <w:rPr>
                <w:rFonts w:eastAsia="Calibri"/>
                <w:b w:val="0"/>
                <w:szCs w:val="22"/>
              </w:rPr>
              <w:t>Fee increase as a % of gaming machine proceeds</w:t>
            </w:r>
          </w:p>
        </w:tc>
      </w:tr>
      <w:tr w:rsidR="00EF545D" w:rsidRPr="00903BB3" w:rsidTr="004D4AE9">
        <w:trPr>
          <w:jc w:val="center"/>
        </w:trPr>
        <w:tc>
          <w:tcPr>
            <w:tcW w:w="1560" w:type="dxa"/>
          </w:tcPr>
          <w:p w:rsidR="00EF545D" w:rsidRPr="00903BB3" w:rsidRDefault="00EF545D" w:rsidP="00124209">
            <w:pPr>
              <w:keepNext/>
              <w:spacing w:after="120"/>
              <w:jc w:val="center"/>
              <w:rPr>
                <w:rFonts w:eastAsia="Calibri"/>
                <w:szCs w:val="22"/>
              </w:rPr>
            </w:pPr>
            <w:r w:rsidRPr="00903BB3">
              <w:rPr>
                <w:rFonts w:eastAsia="Calibri"/>
                <w:szCs w:val="22"/>
              </w:rPr>
              <w:t>Small club societies</w:t>
            </w:r>
          </w:p>
          <w:p w:rsidR="00EF545D" w:rsidRPr="00903BB3" w:rsidRDefault="00EF545D" w:rsidP="00124209">
            <w:pPr>
              <w:keepNext/>
              <w:spacing w:after="120"/>
              <w:jc w:val="center"/>
              <w:rPr>
                <w:rFonts w:eastAsia="Calibri"/>
                <w:szCs w:val="22"/>
              </w:rPr>
            </w:pPr>
            <w:r w:rsidRPr="00903BB3">
              <w:rPr>
                <w:rFonts w:eastAsia="Calibri"/>
                <w:szCs w:val="22"/>
              </w:rPr>
              <w:t xml:space="preserve">(1-7 </w:t>
            </w:r>
            <w:r w:rsidR="007D37CF">
              <w:rPr>
                <w:rFonts w:eastAsia="Calibri"/>
                <w:szCs w:val="22"/>
              </w:rPr>
              <w:t>machines</w:t>
            </w:r>
            <w:r w:rsidRPr="00903BB3">
              <w:rPr>
                <w:rFonts w:eastAsia="Calibri"/>
                <w:szCs w:val="22"/>
              </w:rPr>
              <w:t>)</w:t>
            </w:r>
          </w:p>
        </w:tc>
        <w:tc>
          <w:tcPr>
            <w:tcW w:w="1435" w:type="dxa"/>
          </w:tcPr>
          <w:p w:rsidR="00EF545D" w:rsidRPr="00903BB3" w:rsidRDefault="00EF545D" w:rsidP="00CE0C4C">
            <w:pPr>
              <w:keepNext/>
              <w:spacing w:after="120"/>
              <w:jc w:val="center"/>
              <w:rPr>
                <w:rFonts w:eastAsia="Calibri"/>
                <w:szCs w:val="22"/>
              </w:rPr>
            </w:pPr>
            <w:r w:rsidRPr="00903BB3">
              <w:rPr>
                <w:rFonts w:eastAsia="Calibri"/>
                <w:szCs w:val="22"/>
              </w:rPr>
              <w:t>$377,432</w:t>
            </w:r>
          </w:p>
        </w:tc>
        <w:tc>
          <w:tcPr>
            <w:tcW w:w="1460" w:type="dxa"/>
          </w:tcPr>
          <w:p w:rsidR="00EF545D" w:rsidRPr="00903BB3" w:rsidRDefault="00EF545D" w:rsidP="00CE0C4C">
            <w:pPr>
              <w:keepNext/>
              <w:spacing w:after="120"/>
              <w:jc w:val="center"/>
              <w:rPr>
                <w:rFonts w:eastAsia="Calibri"/>
                <w:szCs w:val="22"/>
              </w:rPr>
            </w:pPr>
            <w:r w:rsidRPr="00903BB3">
              <w:rPr>
                <w:rFonts w:eastAsia="Calibri"/>
                <w:szCs w:val="22"/>
              </w:rPr>
              <w:t>$429,380</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13.76%</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$3,540,980</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1.47%</w:t>
            </w:r>
          </w:p>
        </w:tc>
      </w:tr>
      <w:tr w:rsidR="00EF545D" w:rsidRPr="00903BB3" w:rsidTr="004D4AE9">
        <w:trPr>
          <w:jc w:val="center"/>
        </w:trPr>
        <w:tc>
          <w:tcPr>
            <w:tcW w:w="1560" w:type="dxa"/>
          </w:tcPr>
          <w:p w:rsidR="00EF545D" w:rsidRPr="00903BB3" w:rsidRDefault="007D37CF" w:rsidP="00124209">
            <w:pPr>
              <w:keepNext/>
              <w:spacing w:after="120"/>
              <w:jc w:val="center"/>
              <w:rPr>
                <w:rFonts w:eastAsia="Calibri"/>
                <w:szCs w:val="22"/>
              </w:rPr>
            </w:pPr>
            <w:r>
              <w:rPr>
                <w:rFonts w:eastAsia="Calibri"/>
                <w:szCs w:val="22"/>
              </w:rPr>
              <w:t>Large club societies (8+ machines</w:t>
            </w:r>
            <w:r w:rsidR="00EF545D" w:rsidRPr="00903BB3">
              <w:rPr>
                <w:rFonts w:eastAsia="Calibri"/>
                <w:szCs w:val="22"/>
              </w:rPr>
              <w:t>)</w:t>
            </w:r>
          </w:p>
        </w:tc>
        <w:tc>
          <w:tcPr>
            <w:tcW w:w="1435" w:type="dxa"/>
          </w:tcPr>
          <w:p w:rsidR="00EF545D" w:rsidRPr="00903BB3" w:rsidRDefault="00EF545D" w:rsidP="00CE0C4C">
            <w:pPr>
              <w:keepNext/>
              <w:spacing w:after="120"/>
              <w:jc w:val="center"/>
              <w:rPr>
                <w:rFonts w:eastAsia="Calibri"/>
                <w:szCs w:val="22"/>
              </w:rPr>
            </w:pPr>
            <w:r w:rsidRPr="00903BB3">
              <w:rPr>
                <w:rFonts w:eastAsia="Calibri"/>
                <w:szCs w:val="22"/>
              </w:rPr>
              <w:t>$2,656,633</w:t>
            </w:r>
          </w:p>
        </w:tc>
        <w:tc>
          <w:tcPr>
            <w:tcW w:w="1460" w:type="dxa"/>
          </w:tcPr>
          <w:p w:rsidR="00EF545D" w:rsidRPr="00903BB3" w:rsidRDefault="00EF545D" w:rsidP="00CE0C4C">
            <w:pPr>
              <w:keepNext/>
              <w:spacing w:after="120"/>
              <w:jc w:val="center"/>
              <w:rPr>
                <w:rFonts w:eastAsia="Calibri"/>
                <w:szCs w:val="22"/>
              </w:rPr>
            </w:pPr>
            <w:r w:rsidRPr="00903BB3">
              <w:rPr>
                <w:rFonts w:eastAsia="Calibri"/>
                <w:szCs w:val="22"/>
              </w:rPr>
              <w:t>$4,042,345</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52.16%</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$88,113,413</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1.57%</w:t>
            </w:r>
          </w:p>
        </w:tc>
      </w:tr>
      <w:tr w:rsidR="00EF545D" w:rsidRPr="00903BB3" w:rsidTr="004D4AE9">
        <w:trPr>
          <w:jc w:val="center"/>
        </w:trPr>
        <w:tc>
          <w:tcPr>
            <w:tcW w:w="1560" w:type="dxa"/>
          </w:tcPr>
          <w:p w:rsidR="00EF545D" w:rsidRPr="00903BB3" w:rsidRDefault="00EF545D" w:rsidP="00124209">
            <w:pPr>
              <w:keepNext/>
              <w:spacing w:after="120"/>
              <w:jc w:val="center"/>
              <w:rPr>
                <w:rFonts w:eastAsia="Calibri"/>
                <w:szCs w:val="22"/>
              </w:rPr>
            </w:pPr>
            <w:r w:rsidRPr="00903BB3">
              <w:rPr>
                <w:rFonts w:eastAsia="Calibri"/>
                <w:szCs w:val="22"/>
              </w:rPr>
              <w:t>Small non-club societies</w:t>
            </w:r>
          </w:p>
          <w:p w:rsidR="00EF545D" w:rsidRPr="00903BB3" w:rsidRDefault="00EF545D" w:rsidP="00124209">
            <w:pPr>
              <w:keepNext/>
              <w:spacing w:after="120"/>
              <w:jc w:val="center"/>
              <w:rPr>
                <w:rFonts w:eastAsia="Calibri"/>
                <w:szCs w:val="22"/>
              </w:rPr>
            </w:pPr>
            <w:r w:rsidRPr="00903BB3">
              <w:rPr>
                <w:rFonts w:eastAsia="Calibri"/>
                <w:szCs w:val="22"/>
              </w:rPr>
              <w:t>( 1-9 venues)</w:t>
            </w:r>
          </w:p>
        </w:tc>
        <w:tc>
          <w:tcPr>
            <w:tcW w:w="1435" w:type="dxa"/>
          </w:tcPr>
          <w:p w:rsidR="00EF545D" w:rsidRPr="00903BB3" w:rsidRDefault="00EF545D" w:rsidP="00CE0C4C">
            <w:pPr>
              <w:keepNext/>
              <w:spacing w:after="120"/>
              <w:jc w:val="center"/>
              <w:rPr>
                <w:rFonts w:eastAsia="Calibri"/>
                <w:szCs w:val="22"/>
              </w:rPr>
            </w:pPr>
            <w:r w:rsidRPr="00903BB3">
              <w:rPr>
                <w:rFonts w:eastAsia="Calibri"/>
                <w:szCs w:val="22"/>
              </w:rPr>
              <w:t>$1,074,783</w:t>
            </w:r>
          </w:p>
        </w:tc>
        <w:tc>
          <w:tcPr>
            <w:tcW w:w="1460" w:type="dxa"/>
          </w:tcPr>
          <w:p w:rsidR="00EF545D" w:rsidRPr="00903BB3" w:rsidRDefault="00EF545D" w:rsidP="00CE0C4C">
            <w:pPr>
              <w:keepNext/>
              <w:spacing w:after="120"/>
              <w:jc w:val="center"/>
              <w:rPr>
                <w:rFonts w:eastAsia="Calibri"/>
                <w:szCs w:val="22"/>
              </w:rPr>
            </w:pPr>
            <w:r w:rsidRPr="00903BB3">
              <w:rPr>
                <w:rFonts w:eastAsia="Calibri"/>
                <w:szCs w:val="22"/>
              </w:rPr>
              <w:t>$1,690,389</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57.28%</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$60,855,988</w:t>
            </w:r>
          </w:p>
        </w:tc>
        <w:tc>
          <w:tcPr>
            <w:tcW w:w="0" w:type="auto"/>
          </w:tcPr>
          <w:p w:rsidR="00EF545D" w:rsidRPr="00903BB3" w:rsidRDefault="00EF545D" w:rsidP="00CE0C4C">
            <w:pPr>
              <w:keepNext/>
              <w:spacing w:after="120"/>
              <w:jc w:val="center"/>
              <w:rPr>
                <w:rFonts w:eastAsia="Calibri"/>
                <w:szCs w:val="22"/>
              </w:rPr>
            </w:pPr>
            <w:r w:rsidRPr="00903BB3">
              <w:rPr>
                <w:rFonts w:eastAsia="Calibri"/>
                <w:szCs w:val="22"/>
              </w:rPr>
              <w:t>1.01%</w:t>
            </w:r>
          </w:p>
        </w:tc>
      </w:tr>
      <w:tr w:rsidR="00EF545D" w:rsidRPr="00903BB3" w:rsidTr="004D4AE9">
        <w:trPr>
          <w:jc w:val="center"/>
        </w:trPr>
        <w:tc>
          <w:tcPr>
            <w:tcW w:w="1560" w:type="dxa"/>
          </w:tcPr>
          <w:p w:rsidR="00EF545D" w:rsidRPr="00903BB3" w:rsidRDefault="00EF545D" w:rsidP="00124209">
            <w:pPr>
              <w:spacing w:after="120"/>
              <w:jc w:val="center"/>
              <w:rPr>
                <w:rFonts w:eastAsia="Calibri"/>
                <w:szCs w:val="22"/>
              </w:rPr>
            </w:pPr>
            <w:r w:rsidRPr="00903BB3">
              <w:rPr>
                <w:rFonts w:eastAsia="Calibri"/>
                <w:szCs w:val="22"/>
              </w:rPr>
              <w:t>Large non-club societies (10+ venues)</w:t>
            </w:r>
          </w:p>
        </w:tc>
        <w:tc>
          <w:tcPr>
            <w:tcW w:w="1435" w:type="dxa"/>
          </w:tcPr>
          <w:p w:rsidR="00EF545D" w:rsidRPr="00903BB3" w:rsidRDefault="00EF545D" w:rsidP="00CE0C4C">
            <w:pPr>
              <w:spacing w:after="120"/>
              <w:jc w:val="center"/>
              <w:rPr>
                <w:rFonts w:eastAsia="Calibri"/>
                <w:szCs w:val="22"/>
              </w:rPr>
            </w:pPr>
            <w:r w:rsidRPr="00903BB3">
              <w:rPr>
                <w:rFonts w:eastAsia="Calibri"/>
                <w:szCs w:val="22"/>
              </w:rPr>
              <w:t>$10,002,990</w:t>
            </w:r>
          </w:p>
        </w:tc>
        <w:tc>
          <w:tcPr>
            <w:tcW w:w="1460" w:type="dxa"/>
          </w:tcPr>
          <w:p w:rsidR="00EF545D" w:rsidRPr="00903BB3" w:rsidRDefault="00EF545D" w:rsidP="00CE0C4C">
            <w:pPr>
              <w:spacing w:after="120"/>
              <w:jc w:val="center"/>
              <w:rPr>
                <w:rFonts w:eastAsia="Calibri"/>
                <w:szCs w:val="22"/>
              </w:rPr>
            </w:pPr>
            <w:r w:rsidRPr="00903BB3">
              <w:rPr>
                <w:rFonts w:eastAsia="Calibri"/>
                <w:szCs w:val="22"/>
              </w:rPr>
              <w:t>$15,517,194</w:t>
            </w:r>
          </w:p>
        </w:tc>
        <w:tc>
          <w:tcPr>
            <w:tcW w:w="0" w:type="auto"/>
          </w:tcPr>
          <w:p w:rsidR="00EF545D" w:rsidRPr="00903BB3" w:rsidRDefault="00EF545D" w:rsidP="00CE0C4C">
            <w:pPr>
              <w:spacing w:after="120"/>
              <w:jc w:val="center"/>
              <w:rPr>
                <w:rFonts w:eastAsia="Calibri"/>
                <w:szCs w:val="22"/>
              </w:rPr>
            </w:pPr>
            <w:r w:rsidRPr="00903BB3">
              <w:rPr>
                <w:rFonts w:eastAsia="Calibri"/>
                <w:szCs w:val="22"/>
              </w:rPr>
              <w:t>55.13%</w:t>
            </w:r>
          </w:p>
        </w:tc>
        <w:tc>
          <w:tcPr>
            <w:tcW w:w="0" w:type="auto"/>
          </w:tcPr>
          <w:p w:rsidR="00EF545D" w:rsidRPr="00903BB3" w:rsidRDefault="00EF545D" w:rsidP="00CE0C4C">
            <w:pPr>
              <w:spacing w:after="120"/>
              <w:jc w:val="center"/>
              <w:rPr>
                <w:rFonts w:eastAsia="Calibri"/>
                <w:szCs w:val="22"/>
              </w:rPr>
            </w:pPr>
            <w:r w:rsidRPr="00903BB3">
              <w:rPr>
                <w:rFonts w:eastAsia="Calibri"/>
                <w:szCs w:val="22"/>
              </w:rPr>
              <w:t>$534,122,343</w:t>
            </w:r>
          </w:p>
        </w:tc>
        <w:tc>
          <w:tcPr>
            <w:tcW w:w="0" w:type="auto"/>
          </w:tcPr>
          <w:p w:rsidR="00EF545D" w:rsidRPr="00903BB3" w:rsidRDefault="00EF545D" w:rsidP="00CE0C4C">
            <w:pPr>
              <w:spacing w:after="120"/>
              <w:jc w:val="center"/>
              <w:rPr>
                <w:rFonts w:eastAsia="Calibri"/>
                <w:szCs w:val="22"/>
              </w:rPr>
            </w:pPr>
            <w:r w:rsidRPr="00903BB3">
              <w:rPr>
                <w:rFonts w:eastAsia="Calibri"/>
                <w:szCs w:val="22"/>
              </w:rPr>
              <w:t>1.03%</w:t>
            </w:r>
          </w:p>
        </w:tc>
      </w:tr>
      <w:tr w:rsidR="00EF545D" w:rsidRPr="00903BB3" w:rsidTr="004D4AE9">
        <w:trPr>
          <w:jc w:val="center"/>
        </w:trPr>
        <w:tc>
          <w:tcPr>
            <w:tcW w:w="1560" w:type="dxa"/>
          </w:tcPr>
          <w:p w:rsidR="00EF545D" w:rsidRPr="00903BB3" w:rsidRDefault="00EF545D" w:rsidP="00CE0C4C">
            <w:pPr>
              <w:spacing w:after="120"/>
              <w:jc w:val="center"/>
              <w:rPr>
                <w:rFonts w:eastAsia="Calibri"/>
                <w:b/>
                <w:szCs w:val="22"/>
              </w:rPr>
            </w:pPr>
            <w:r w:rsidRPr="00903BB3">
              <w:rPr>
                <w:rFonts w:eastAsia="Calibri"/>
                <w:b/>
                <w:szCs w:val="22"/>
              </w:rPr>
              <w:t>Total</w:t>
            </w:r>
          </w:p>
        </w:tc>
        <w:tc>
          <w:tcPr>
            <w:tcW w:w="1435" w:type="dxa"/>
          </w:tcPr>
          <w:p w:rsidR="00EF545D" w:rsidRPr="00903BB3" w:rsidRDefault="00EF545D" w:rsidP="00CE0C4C">
            <w:pPr>
              <w:spacing w:after="120"/>
              <w:jc w:val="center"/>
              <w:rPr>
                <w:rFonts w:eastAsia="Calibri"/>
                <w:b/>
                <w:szCs w:val="22"/>
              </w:rPr>
            </w:pPr>
            <w:r w:rsidRPr="00903BB3">
              <w:rPr>
                <w:rFonts w:eastAsia="Calibri"/>
                <w:b/>
                <w:szCs w:val="22"/>
              </w:rPr>
              <w:t>$14,111,838</w:t>
            </w:r>
          </w:p>
        </w:tc>
        <w:tc>
          <w:tcPr>
            <w:tcW w:w="1460" w:type="dxa"/>
          </w:tcPr>
          <w:p w:rsidR="00EF545D" w:rsidRPr="00903BB3" w:rsidRDefault="00EF545D" w:rsidP="00CE0C4C">
            <w:pPr>
              <w:spacing w:after="120"/>
              <w:jc w:val="center"/>
              <w:rPr>
                <w:rFonts w:eastAsia="Calibri"/>
                <w:b/>
                <w:szCs w:val="22"/>
              </w:rPr>
            </w:pPr>
            <w:r w:rsidRPr="00903BB3">
              <w:rPr>
                <w:rFonts w:eastAsia="Calibri"/>
                <w:b/>
                <w:szCs w:val="22"/>
              </w:rPr>
              <w:t>$21,679,308</w:t>
            </w:r>
          </w:p>
        </w:tc>
        <w:tc>
          <w:tcPr>
            <w:tcW w:w="0" w:type="auto"/>
          </w:tcPr>
          <w:p w:rsidR="00EF545D" w:rsidRPr="00903BB3" w:rsidRDefault="00EF545D" w:rsidP="00CE0C4C">
            <w:pPr>
              <w:spacing w:after="120"/>
              <w:jc w:val="center"/>
              <w:rPr>
                <w:rFonts w:eastAsia="Calibri"/>
                <w:b/>
                <w:szCs w:val="22"/>
              </w:rPr>
            </w:pPr>
            <w:r w:rsidRPr="00903BB3">
              <w:rPr>
                <w:rFonts w:eastAsia="Calibri"/>
                <w:b/>
                <w:szCs w:val="22"/>
              </w:rPr>
              <w:t>53.62%</w:t>
            </w:r>
          </w:p>
        </w:tc>
        <w:tc>
          <w:tcPr>
            <w:tcW w:w="0" w:type="auto"/>
          </w:tcPr>
          <w:p w:rsidR="00EF545D" w:rsidRPr="00903BB3" w:rsidRDefault="00EF545D" w:rsidP="00CE0C4C">
            <w:pPr>
              <w:spacing w:after="120"/>
              <w:jc w:val="center"/>
              <w:rPr>
                <w:rFonts w:eastAsia="Calibri"/>
                <w:b/>
                <w:szCs w:val="22"/>
              </w:rPr>
            </w:pPr>
            <w:r w:rsidRPr="00903BB3">
              <w:rPr>
                <w:rFonts w:eastAsia="Calibri"/>
                <w:b/>
                <w:szCs w:val="22"/>
              </w:rPr>
              <w:t>$686,632,724</w:t>
            </w:r>
          </w:p>
        </w:tc>
        <w:tc>
          <w:tcPr>
            <w:tcW w:w="0" w:type="auto"/>
          </w:tcPr>
          <w:p w:rsidR="00EF545D" w:rsidRPr="00903BB3" w:rsidRDefault="00EF545D" w:rsidP="00CE0C4C">
            <w:pPr>
              <w:spacing w:after="120"/>
              <w:jc w:val="center"/>
              <w:rPr>
                <w:rFonts w:eastAsia="Calibri"/>
                <w:b/>
                <w:szCs w:val="22"/>
              </w:rPr>
            </w:pPr>
            <w:r w:rsidRPr="00903BB3">
              <w:rPr>
                <w:rFonts w:eastAsia="Calibri"/>
                <w:b/>
                <w:szCs w:val="22"/>
              </w:rPr>
              <w:t>1.10%</w:t>
            </w:r>
          </w:p>
        </w:tc>
      </w:tr>
    </w:tbl>
    <w:p w:rsidR="00EF545D" w:rsidRDefault="00EF545D" w:rsidP="00EF545D">
      <w:pPr>
        <w:pStyle w:val="NumbersLevel1"/>
        <w:tabs>
          <w:tab w:val="clear" w:pos="709"/>
        </w:tabs>
        <w:ind w:firstLine="0"/>
        <w:rPr>
          <w:rFonts w:ascii="Calibri" w:eastAsia="Calibri" w:hAnsi="Calibri"/>
          <w:sz w:val="24"/>
          <w:lang w:val="en-AU"/>
        </w:rPr>
      </w:pPr>
    </w:p>
    <w:p w:rsidR="00EF545D" w:rsidRDefault="00E32DB4" w:rsidP="00E32DB4">
      <w:pPr>
        <w:pStyle w:val="Heading2"/>
      </w:pPr>
      <w:bookmarkStart w:id="17" w:name="_Toc410217728"/>
      <w:r>
        <w:lastRenderedPageBreak/>
        <w:t xml:space="preserve">Option </w:t>
      </w:r>
      <w:r w:rsidR="00894650">
        <w:t>two</w:t>
      </w:r>
      <w:r>
        <w:t>: status quo</w:t>
      </w:r>
      <w:bookmarkEnd w:id="17"/>
    </w:p>
    <w:p w:rsidR="005975C9" w:rsidRDefault="00F50CF6"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Under this option </w:t>
      </w:r>
      <w:r w:rsidR="009532AF">
        <w:rPr>
          <w:rFonts w:ascii="Calibri" w:hAnsi="Calibri"/>
          <w:sz w:val="24"/>
        </w:rPr>
        <w:t xml:space="preserve">there would be no change to </w:t>
      </w:r>
      <w:r>
        <w:rPr>
          <w:rFonts w:ascii="Calibri" w:hAnsi="Calibri"/>
          <w:sz w:val="24"/>
        </w:rPr>
        <w:t>fee levels</w:t>
      </w:r>
      <w:r w:rsidR="009532AF">
        <w:rPr>
          <w:rFonts w:ascii="Calibri" w:hAnsi="Calibri"/>
          <w:sz w:val="24"/>
        </w:rPr>
        <w:t>.</w:t>
      </w:r>
      <w:r>
        <w:rPr>
          <w:rFonts w:ascii="Calibri" w:hAnsi="Calibri"/>
          <w:sz w:val="24"/>
        </w:rPr>
        <w:t xml:space="preserve"> </w:t>
      </w:r>
      <w:r w:rsidR="009532AF">
        <w:rPr>
          <w:rFonts w:ascii="Calibri" w:hAnsi="Calibri"/>
          <w:sz w:val="24"/>
        </w:rPr>
        <w:t xml:space="preserve">The risk of this option is that </w:t>
      </w:r>
      <w:r w:rsidR="00347218">
        <w:rPr>
          <w:rFonts w:ascii="Calibri" w:hAnsi="Calibri"/>
          <w:sz w:val="24"/>
        </w:rPr>
        <w:t xml:space="preserve">it </w:t>
      </w:r>
      <w:r w:rsidR="00C31C82">
        <w:rPr>
          <w:rFonts w:ascii="Calibri" w:hAnsi="Calibri"/>
          <w:sz w:val="24"/>
        </w:rPr>
        <w:t>would</w:t>
      </w:r>
      <w:r w:rsidR="00C31C82" w:rsidRPr="00BA50B0">
        <w:rPr>
          <w:rFonts w:ascii="Calibri" w:hAnsi="Calibri"/>
          <w:sz w:val="24"/>
        </w:rPr>
        <w:t xml:space="preserve"> lead to a significant increase in the memorandum account deficit </w:t>
      </w:r>
      <w:r w:rsidR="004D4AE9">
        <w:rPr>
          <w:rFonts w:ascii="Calibri" w:hAnsi="Calibri"/>
          <w:sz w:val="24"/>
        </w:rPr>
        <w:t xml:space="preserve">(refer to table 3 above) </w:t>
      </w:r>
      <w:r w:rsidR="00C31C82" w:rsidRPr="00BA50B0">
        <w:rPr>
          <w:rFonts w:ascii="Calibri" w:hAnsi="Calibri"/>
          <w:sz w:val="24"/>
        </w:rPr>
        <w:t>and a reduction in resources to</w:t>
      </w:r>
      <w:r w:rsidR="00C31C82">
        <w:rPr>
          <w:rFonts w:ascii="Calibri" w:hAnsi="Calibri"/>
          <w:sz w:val="24"/>
        </w:rPr>
        <w:t xml:space="preserve"> regulate the gambling sector. </w:t>
      </w:r>
    </w:p>
    <w:p w:rsidR="008D3337" w:rsidRPr="000406F5" w:rsidRDefault="00C31C82" w:rsidP="005A3016">
      <w:pPr>
        <w:pStyle w:val="NumbersLevel1"/>
        <w:numPr>
          <w:ilvl w:val="0"/>
          <w:numId w:val="20"/>
        </w:numPr>
        <w:tabs>
          <w:tab w:val="num" w:pos="709"/>
        </w:tabs>
        <w:ind w:left="709" w:hanging="709"/>
        <w:rPr>
          <w:rFonts w:ascii="Calibri" w:hAnsi="Calibri"/>
          <w:sz w:val="24"/>
        </w:rPr>
      </w:pPr>
      <w:r w:rsidRPr="000406F5">
        <w:rPr>
          <w:rFonts w:ascii="Calibri" w:hAnsi="Calibri"/>
          <w:sz w:val="24"/>
        </w:rPr>
        <w:t>F</w:t>
      </w:r>
      <w:r w:rsidR="00E32DB4" w:rsidRPr="000406F5">
        <w:rPr>
          <w:rFonts w:ascii="Calibri" w:hAnsi="Calibri"/>
          <w:sz w:val="24"/>
        </w:rPr>
        <w:t>orecast expenditure levels for 2014/15 and beyond are in excess of current revenue. Currently the costs of regulating the gambling sector are being p</w:t>
      </w:r>
      <w:r w:rsidR="009532AF" w:rsidRPr="000406F5">
        <w:rPr>
          <w:rFonts w:ascii="Calibri" w:hAnsi="Calibri"/>
          <w:sz w:val="24"/>
        </w:rPr>
        <w:t>artially met by</w:t>
      </w:r>
      <w:r w:rsidR="000406F5" w:rsidRPr="000406F5">
        <w:rPr>
          <w:rFonts w:ascii="Calibri" w:hAnsi="Calibri"/>
          <w:sz w:val="24"/>
        </w:rPr>
        <w:t xml:space="preserve"> the taxpayer </w:t>
      </w:r>
      <w:r w:rsidR="009532AF" w:rsidRPr="000406F5">
        <w:rPr>
          <w:rFonts w:ascii="Calibri" w:hAnsi="Calibri"/>
          <w:sz w:val="24"/>
        </w:rPr>
        <w:t xml:space="preserve">rather than the industry. </w:t>
      </w:r>
      <w:r w:rsidR="00E32DB4" w:rsidRPr="000406F5">
        <w:rPr>
          <w:rFonts w:ascii="Calibri" w:hAnsi="Calibri"/>
          <w:sz w:val="24"/>
        </w:rPr>
        <w:t xml:space="preserve">Retaining the status quo is not a viable option in the medium </w:t>
      </w:r>
      <w:r w:rsidR="0081685C" w:rsidRPr="000406F5">
        <w:rPr>
          <w:rFonts w:ascii="Calibri" w:hAnsi="Calibri"/>
          <w:sz w:val="24"/>
        </w:rPr>
        <w:t xml:space="preserve">to </w:t>
      </w:r>
      <w:r w:rsidR="00E32DB4" w:rsidRPr="000406F5">
        <w:rPr>
          <w:rFonts w:ascii="Calibri" w:hAnsi="Calibri"/>
          <w:sz w:val="24"/>
        </w:rPr>
        <w:t>long term as the gap between revenue and costs will continue to grow</w:t>
      </w:r>
      <w:r w:rsidR="0081685C" w:rsidRPr="000406F5">
        <w:rPr>
          <w:rFonts w:ascii="Calibri" w:hAnsi="Calibri"/>
          <w:sz w:val="24"/>
        </w:rPr>
        <w:t xml:space="preserve"> (refer to f</w:t>
      </w:r>
      <w:r w:rsidR="00E32DB4" w:rsidRPr="000406F5">
        <w:rPr>
          <w:rFonts w:ascii="Calibri" w:hAnsi="Calibri"/>
          <w:sz w:val="24"/>
        </w:rPr>
        <w:t xml:space="preserve">igure </w:t>
      </w:r>
      <w:r w:rsidR="000406F5" w:rsidRPr="000406F5">
        <w:rPr>
          <w:rFonts w:ascii="Calibri" w:hAnsi="Calibri"/>
          <w:sz w:val="24"/>
        </w:rPr>
        <w:t xml:space="preserve">2 </w:t>
      </w:r>
      <w:r w:rsidR="00E32DB4" w:rsidRPr="000406F5">
        <w:rPr>
          <w:rFonts w:ascii="Calibri" w:hAnsi="Calibri"/>
          <w:sz w:val="24"/>
        </w:rPr>
        <w:t>below</w:t>
      </w:r>
      <w:r w:rsidR="0081685C" w:rsidRPr="000406F5">
        <w:rPr>
          <w:rFonts w:ascii="Calibri" w:hAnsi="Calibri"/>
          <w:sz w:val="24"/>
        </w:rPr>
        <w:t xml:space="preserve">). </w:t>
      </w:r>
      <w:r w:rsidR="008D3337" w:rsidRPr="000406F5">
        <w:rPr>
          <w:rFonts w:ascii="Calibri" w:hAnsi="Calibri"/>
          <w:sz w:val="24"/>
        </w:rPr>
        <w:t>Allowing the deficit in the memorandum account to continue to increase means that the taxpayer will continue to cover the costs of gambling compliance and enforcement, rather than the operators that give rise to these activities.</w:t>
      </w:r>
    </w:p>
    <w:p w:rsidR="00E32DB4" w:rsidRDefault="00E32DB4" w:rsidP="00B02A64">
      <w:pPr>
        <w:pStyle w:val="Caption"/>
        <w:ind w:left="567"/>
        <w:jc w:val="left"/>
      </w:pPr>
      <w:r>
        <w:t xml:space="preserve">Figure </w:t>
      </w:r>
      <w:r w:rsidR="00215059">
        <w:t>2</w:t>
      </w:r>
      <w:r>
        <w:t>: The Department’s actual and projected revenue and expenditure on gambling regulation from 2008/09 to 2016/17 if status quo retained ($million</w:t>
      </w:r>
      <w:r w:rsidR="00D92ABA">
        <w:t>, GST exclusive</w:t>
      </w:r>
      <w:r>
        <w:t>)</w:t>
      </w:r>
      <w:r w:rsidR="000406F5">
        <w:rPr>
          <w:rStyle w:val="FootnoteReference"/>
        </w:rPr>
        <w:footnoteReference w:id="13"/>
      </w:r>
    </w:p>
    <w:p w:rsidR="00E32DB4" w:rsidRPr="00E32DB4" w:rsidRDefault="00E32DB4" w:rsidP="00B02A64">
      <w:pPr>
        <w:pStyle w:val="Numberedpara11headingwithnumber"/>
        <w:numPr>
          <w:ilvl w:val="0"/>
          <w:numId w:val="0"/>
        </w:numPr>
        <w:jc w:val="center"/>
      </w:pPr>
      <w:r>
        <w:rPr>
          <w:noProof/>
          <w:lang w:eastAsia="en-NZ"/>
        </w:rPr>
        <w:drawing>
          <wp:inline distT="0" distB="0" distL="0" distR="0" wp14:anchorId="21ACC1D1" wp14:editId="7B9424B9">
            <wp:extent cx="4580255" cy="2780665"/>
            <wp:effectExtent l="0" t="0" r="10795" b="1968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7023" w:rsidRDefault="00071ED8" w:rsidP="00CF7023">
      <w:pPr>
        <w:pStyle w:val="Heading2"/>
      </w:pPr>
      <w:bookmarkStart w:id="18" w:name="_Toc410217729"/>
      <w:r>
        <w:t>Other options considered</w:t>
      </w:r>
      <w:bookmarkEnd w:id="18"/>
    </w:p>
    <w:p w:rsidR="002E3264" w:rsidRPr="00CF7023" w:rsidRDefault="002E3264" w:rsidP="002E3264">
      <w:pPr>
        <w:pStyle w:val="Heading3"/>
      </w:pPr>
      <w:r>
        <w:t>Larger fee increases to enable more proactive compliance work</w:t>
      </w:r>
    </w:p>
    <w:p w:rsidR="002E3264" w:rsidRDefault="002E3264" w:rsidP="002E3264">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During the Department’s fees review, an alternative </w:t>
      </w:r>
      <w:r w:rsidR="00B67BAE">
        <w:rPr>
          <w:rFonts w:ascii="Calibri" w:hAnsi="Calibri"/>
          <w:sz w:val="24"/>
        </w:rPr>
        <w:t>pro</w:t>
      </w:r>
      <w:r w:rsidR="00EF7BE8">
        <w:rPr>
          <w:rFonts w:ascii="Calibri" w:hAnsi="Calibri"/>
          <w:sz w:val="24"/>
        </w:rPr>
        <w:t xml:space="preserve">posal was considered. </w:t>
      </w:r>
      <w:r w:rsidRPr="00BA50B0">
        <w:rPr>
          <w:rFonts w:ascii="Calibri" w:hAnsi="Calibri"/>
          <w:sz w:val="24"/>
        </w:rPr>
        <w:t>Th</w:t>
      </w:r>
      <w:r w:rsidR="00216A49">
        <w:rPr>
          <w:rFonts w:ascii="Calibri" w:hAnsi="Calibri"/>
          <w:sz w:val="24"/>
        </w:rPr>
        <w:t>e</w:t>
      </w:r>
      <w:r w:rsidR="00CF22ED">
        <w:rPr>
          <w:rFonts w:ascii="Calibri" w:hAnsi="Calibri"/>
          <w:sz w:val="24"/>
        </w:rPr>
        <w:t xml:space="preserve"> </w:t>
      </w:r>
      <w:r w:rsidR="00216A49">
        <w:rPr>
          <w:rFonts w:ascii="Calibri" w:hAnsi="Calibri"/>
          <w:sz w:val="24"/>
        </w:rPr>
        <w:t xml:space="preserve">proposal </w:t>
      </w:r>
      <w:r w:rsidRPr="00BA50B0">
        <w:rPr>
          <w:rFonts w:ascii="Calibri" w:hAnsi="Calibri"/>
          <w:sz w:val="24"/>
        </w:rPr>
        <w:t xml:space="preserve">involved </w:t>
      </w:r>
      <w:r w:rsidR="00BF08F2">
        <w:rPr>
          <w:rFonts w:ascii="Calibri" w:hAnsi="Calibri"/>
          <w:sz w:val="24"/>
        </w:rPr>
        <w:t xml:space="preserve">fees that would </w:t>
      </w:r>
      <w:r w:rsidR="0065143D">
        <w:rPr>
          <w:rFonts w:ascii="Calibri" w:hAnsi="Calibri"/>
          <w:sz w:val="24"/>
        </w:rPr>
        <w:t xml:space="preserve">fund </w:t>
      </w:r>
      <w:r w:rsidRPr="00BA50B0">
        <w:rPr>
          <w:rFonts w:ascii="Calibri" w:hAnsi="Calibri"/>
          <w:sz w:val="24"/>
        </w:rPr>
        <w:t>more proactive compliance work and initiatives aimed at reducing the need for enforcement action in the sector. This option was rejected on the grounds that its cost impact on the gambling sector would be too high</w:t>
      </w:r>
      <w:r>
        <w:rPr>
          <w:rFonts w:ascii="Calibri" w:hAnsi="Calibri"/>
          <w:sz w:val="24"/>
        </w:rPr>
        <w:t>. Option one (t</w:t>
      </w:r>
      <w:r w:rsidRPr="00BD27DD">
        <w:rPr>
          <w:rFonts w:ascii="Calibri" w:hAnsi="Calibri"/>
          <w:sz w:val="24"/>
        </w:rPr>
        <w:t>he preferred option</w:t>
      </w:r>
      <w:r>
        <w:rPr>
          <w:rFonts w:ascii="Calibri" w:hAnsi="Calibri"/>
          <w:sz w:val="24"/>
        </w:rPr>
        <w:t>)</w:t>
      </w:r>
      <w:r w:rsidRPr="00BD27DD">
        <w:rPr>
          <w:rFonts w:ascii="Calibri" w:hAnsi="Calibri"/>
          <w:sz w:val="24"/>
        </w:rPr>
        <w:t xml:space="preserve"> is the absolute minimum</w:t>
      </w:r>
      <w:r>
        <w:rPr>
          <w:rFonts w:ascii="Calibri" w:hAnsi="Calibri"/>
          <w:sz w:val="24"/>
        </w:rPr>
        <w:t xml:space="preserve"> revenue increase required to </w:t>
      </w:r>
      <w:r w:rsidRPr="00BD27DD">
        <w:rPr>
          <w:rFonts w:ascii="Calibri" w:hAnsi="Calibri"/>
          <w:sz w:val="24"/>
        </w:rPr>
        <w:t xml:space="preserve">cover costs and </w:t>
      </w:r>
      <w:r>
        <w:rPr>
          <w:rFonts w:ascii="Calibri" w:hAnsi="Calibri"/>
          <w:sz w:val="24"/>
        </w:rPr>
        <w:t xml:space="preserve">reduce the </w:t>
      </w:r>
      <w:r w:rsidRPr="00BD27DD">
        <w:rPr>
          <w:rFonts w:ascii="Calibri" w:hAnsi="Calibri"/>
          <w:sz w:val="24"/>
        </w:rPr>
        <w:t>memorandum account deficit</w:t>
      </w:r>
      <w:r>
        <w:rPr>
          <w:rFonts w:ascii="Calibri" w:hAnsi="Calibri"/>
          <w:sz w:val="24"/>
        </w:rPr>
        <w:t xml:space="preserve"> over time</w:t>
      </w:r>
      <w:r w:rsidRPr="00BD27DD">
        <w:rPr>
          <w:rFonts w:ascii="Calibri" w:hAnsi="Calibri"/>
          <w:sz w:val="24"/>
        </w:rPr>
        <w:t xml:space="preserve">. </w:t>
      </w:r>
      <w:r w:rsidRPr="00FA3AD5">
        <w:rPr>
          <w:rFonts w:ascii="Calibri" w:hAnsi="Calibri"/>
          <w:sz w:val="24"/>
        </w:rPr>
        <w:t>It does not include any new activities or staffing.</w:t>
      </w:r>
    </w:p>
    <w:p w:rsidR="00B67BAE" w:rsidRDefault="00B67BAE" w:rsidP="00B67BAE">
      <w:pPr>
        <w:pStyle w:val="NumbersLevel1"/>
        <w:tabs>
          <w:tab w:val="clear" w:pos="709"/>
        </w:tabs>
        <w:ind w:firstLine="0"/>
        <w:rPr>
          <w:rFonts w:ascii="Calibri" w:hAnsi="Calibri"/>
          <w:sz w:val="24"/>
        </w:rPr>
      </w:pPr>
    </w:p>
    <w:p w:rsidR="00B67BAE" w:rsidRDefault="00B67BAE" w:rsidP="00B67BAE">
      <w:pPr>
        <w:pStyle w:val="Heading3"/>
      </w:pPr>
      <w:r>
        <w:lastRenderedPageBreak/>
        <w:t>Reduce costs further</w:t>
      </w:r>
    </w:p>
    <w:p w:rsidR="00B67BAE" w:rsidRPr="00B67BAE" w:rsidRDefault="00310C71" w:rsidP="00B67BAE">
      <w:pPr>
        <w:pStyle w:val="NumbersLevel1"/>
        <w:numPr>
          <w:ilvl w:val="0"/>
          <w:numId w:val="20"/>
        </w:numPr>
        <w:tabs>
          <w:tab w:val="num" w:pos="709"/>
        </w:tabs>
        <w:ind w:left="709" w:hanging="709"/>
        <w:rPr>
          <w:rFonts w:ascii="Calibri" w:hAnsi="Calibri"/>
          <w:sz w:val="24"/>
        </w:rPr>
      </w:pPr>
      <w:r>
        <w:rPr>
          <w:rFonts w:ascii="Calibri" w:hAnsi="Calibri"/>
          <w:sz w:val="24"/>
        </w:rPr>
        <w:t>The Department also considered the option of reducing costs</w:t>
      </w:r>
      <w:r w:rsidR="004560AF">
        <w:rPr>
          <w:rFonts w:ascii="Calibri" w:hAnsi="Calibri"/>
          <w:sz w:val="24"/>
        </w:rPr>
        <w:t xml:space="preserve"> further</w:t>
      </w:r>
      <w:r>
        <w:rPr>
          <w:rFonts w:ascii="Calibri" w:hAnsi="Calibri"/>
          <w:sz w:val="24"/>
        </w:rPr>
        <w:t xml:space="preserve">. </w:t>
      </w:r>
      <w:r w:rsidR="00B67BAE">
        <w:rPr>
          <w:rFonts w:ascii="Calibri" w:hAnsi="Calibri"/>
          <w:sz w:val="24"/>
        </w:rPr>
        <w:t xml:space="preserve">The Department considers that meaningful cost savings (i.e. savings that would significantly reduce the proposed level of fee increases) could only be achieved by further reducing the number of staff employed in gambling regulation. The risk of this option is that further reducing staff numbers to levels that create meaningful savings would severely affect the Department’s ability to meet its statutory obligations, and lead to poorer regulatory outcomes. </w:t>
      </w:r>
    </w:p>
    <w:p w:rsidR="00B67BAE" w:rsidRPr="00630B99" w:rsidRDefault="00B67BAE" w:rsidP="00B67BAE">
      <w:pPr>
        <w:pStyle w:val="NumbersLevel1"/>
        <w:numPr>
          <w:ilvl w:val="0"/>
          <w:numId w:val="20"/>
        </w:numPr>
        <w:tabs>
          <w:tab w:val="num" w:pos="709"/>
        </w:tabs>
        <w:ind w:left="709" w:hanging="709"/>
        <w:rPr>
          <w:rFonts w:ascii="Calibri" w:hAnsi="Calibri"/>
          <w:sz w:val="24"/>
        </w:rPr>
      </w:pPr>
      <w:r>
        <w:rPr>
          <w:rFonts w:ascii="Calibri" w:hAnsi="Calibri"/>
          <w:sz w:val="24"/>
        </w:rPr>
        <w:t>As noted above, the Department is already operating at the lowest number of staff committed to gambling</w:t>
      </w:r>
      <w:r w:rsidRPr="00BA50B0">
        <w:rPr>
          <w:rFonts w:ascii="Calibri" w:hAnsi="Calibri"/>
          <w:sz w:val="24"/>
        </w:rPr>
        <w:t xml:space="preserve"> </w:t>
      </w:r>
      <w:r>
        <w:rPr>
          <w:rFonts w:ascii="Calibri" w:hAnsi="Calibri"/>
          <w:sz w:val="24"/>
        </w:rPr>
        <w:t xml:space="preserve">compliance and enforcement work since 2004 [refer paragraphs 40 to 42 above]. This is despite the fact that the gambling sector continues to pose significant and complex regulatory challenges. </w:t>
      </w:r>
      <w:r w:rsidRPr="00630B99">
        <w:rPr>
          <w:rFonts w:ascii="Calibri" w:hAnsi="Calibri"/>
          <w:sz w:val="24"/>
        </w:rPr>
        <w:t xml:space="preserve">As </w:t>
      </w:r>
      <w:r>
        <w:rPr>
          <w:rFonts w:ascii="Calibri" w:hAnsi="Calibri"/>
          <w:sz w:val="24"/>
        </w:rPr>
        <w:t xml:space="preserve">discussed, </w:t>
      </w:r>
      <w:r w:rsidRPr="00630B99">
        <w:rPr>
          <w:rFonts w:ascii="Calibri" w:hAnsi="Calibri"/>
          <w:sz w:val="24"/>
        </w:rPr>
        <w:t xml:space="preserve">non-compliance in the Class 4 sector </w:t>
      </w:r>
      <w:r>
        <w:rPr>
          <w:rFonts w:ascii="Calibri" w:hAnsi="Calibri"/>
          <w:sz w:val="24"/>
        </w:rPr>
        <w:t xml:space="preserve">increasingly </w:t>
      </w:r>
      <w:r w:rsidRPr="00630B99">
        <w:rPr>
          <w:rFonts w:ascii="Calibri" w:hAnsi="Calibri"/>
          <w:sz w:val="24"/>
        </w:rPr>
        <w:t xml:space="preserve">involves </w:t>
      </w:r>
      <w:r>
        <w:rPr>
          <w:rFonts w:ascii="Calibri" w:hAnsi="Calibri"/>
          <w:sz w:val="24"/>
        </w:rPr>
        <w:t xml:space="preserve">complex, </w:t>
      </w:r>
      <w:r w:rsidRPr="00630B99">
        <w:rPr>
          <w:rFonts w:ascii="Calibri" w:hAnsi="Calibri"/>
          <w:sz w:val="24"/>
        </w:rPr>
        <w:t>large scale fraud and criminal activity</w:t>
      </w:r>
      <w:r>
        <w:rPr>
          <w:rFonts w:ascii="Calibri" w:hAnsi="Calibri"/>
          <w:sz w:val="24"/>
        </w:rPr>
        <w:t xml:space="preserve"> [refer paragraphs 28 to 31 above]. </w:t>
      </w:r>
      <w:r w:rsidRPr="00630B99">
        <w:rPr>
          <w:rFonts w:ascii="Calibri" w:hAnsi="Calibri"/>
          <w:sz w:val="24"/>
        </w:rPr>
        <w:t>This means that more resource intensive background and financial analysis is required, for example when assessing the suitability of a new Class 4 operator or issuing a new venue licence.</w:t>
      </w:r>
    </w:p>
    <w:p w:rsidR="00B67BAE" w:rsidRDefault="00B67BAE" w:rsidP="00B67BAE">
      <w:pPr>
        <w:pStyle w:val="NumbersLevel1"/>
        <w:numPr>
          <w:ilvl w:val="0"/>
          <w:numId w:val="20"/>
        </w:numPr>
        <w:tabs>
          <w:tab w:val="num" w:pos="709"/>
        </w:tabs>
        <w:ind w:left="709" w:hanging="709"/>
        <w:rPr>
          <w:rFonts w:ascii="Calibri" w:hAnsi="Calibri"/>
          <w:sz w:val="24"/>
        </w:rPr>
      </w:pPr>
      <w:r>
        <w:rPr>
          <w:rFonts w:ascii="Calibri" w:hAnsi="Calibri"/>
          <w:sz w:val="24"/>
        </w:rPr>
        <w:t xml:space="preserve">The purposes of the Act include an emphasis on the prevention and minimisation of gambling-related harm and the limiting of opportunities for crime and dishonesty associated with gambling. </w:t>
      </w:r>
      <w:r w:rsidRPr="00304855">
        <w:rPr>
          <w:rFonts w:ascii="Calibri" w:hAnsi="Calibri"/>
          <w:sz w:val="24"/>
        </w:rPr>
        <w:t xml:space="preserve">A </w:t>
      </w:r>
      <w:r>
        <w:rPr>
          <w:rFonts w:ascii="Calibri" w:hAnsi="Calibri"/>
          <w:sz w:val="24"/>
        </w:rPr>
        <w:t xml:space="preserve">further </w:t>
      </w:r>
      <w:r w:rsidRPr="00304855">
        <w:rPr>
          <w:rFonts w:ascii="Calibri" w:hAnsi="Calibri"/>
          <w:sz w:val="24"/>
        </w:rPr>
        <w:t xml:space="preserve">reduction in staff </w:t>
      </w:r>
      <w:r>
        <w:rPr>
          <w:rFonts w:ascii="Calibri" w:hAnsi="Calibri"/>
          <w:sz w:val="24"/>
        </w:rPr>
        <w:t xml:space="preserve">numbers </w:t>
      </w:r>
      <w:r w:rsidRPr="00304855">
        <w:rPr>
          <w:rFonts w:ascii="Calibri" w:hAnsi="Calibri"/>
          <w:sz w:val="24"/>
        </w:rPr>
        <w:t xml:space="preserve">is likely to result in a reduction in the level of regulation. Organised crime, </w:t>
      </w:r>
      <w:r>
        <w:rPr>
          <w:rFonts w:ascii="Calibri" w:hAnsi="Calibri"/>
          <w:sz w:val="24"/>
        </w:rPr>
        <w:t xml:space="preserve">increased grant fraud, </w:t>
      </w:r>
      <w:r w:rsidRPr="00304855">
        <w:rPr>
          <w:rFonts w:ascii="Calibri" w:hAnsi="Calibri"/>
          <w:sz w:val="24"/>
        </w:rPr>
        <w:t>problem gambling and the proliferation of crime to meet gambling debts are all potential results from unregulated gambling operations.</w:t>
      </w:r>
    </w:p>
    <w:p w:rsidR="00B67BAE" w:rsidRDefault="00B67BAE" w:rsidP="00B67BAE">
      <w:pPr>
        <w:pStyle w:val="NumbersLevel1"/>
        <w:numPr>
          <w:ilvl w:val="0"/>
          <w:numId w:val="20"/>
        </w:numPr>
        <w:tabs>
          <w:tab w:val="num" w:pos="709"/>
        </w:tabs>
        <w:ind w:left="709" w:hanging="709"/>
        <w:rPr>
          <w:rFonts w:ascii="Calibri" w:hAnsi="Calibri"/>
          <w:sz w:val="24"/>
        </w:rPr>
      </w:pPr>
      <w:r>
        <w:rPr>
          <w:rFonts w:ascii="Calibri" w:hAnsi="Calibri"/>
          <w:sz w:val="24"/>
        </w:rPr>
        <w:t xml:space="preserve">The Department’s view is that further reductions in staff numbers </w:t>
      </w:r>
      <w:r w:rsidRPr="00304855">
        <w:rPr>
          <w:rFonts w:ascii="Calibri" w:hAnsi="Calibri"/>
          <w:sz w:val="24"/>
        </w:rPr>
        <w:t>would be unworkable</w:t>
      </w:r>
      <w:r>
        <w:rPr>
          <w:rFonts w:ascii="Calibri" w:hAnsi="Calibri"/>
          <w:sz w:val="24"/>
        </w:rPr>
        <w:t>, g</w:t>
      </w:r>
      <w:r w:rsidRPr="00304855">
        <w:rPr>
          <w:rFonts w:ascii="Calibri" w:hAnsi="Calibri"/>
          <w:sz w:val="24"/>
        </w:rPr>
        <w:t xml:space="preserve">iven the objectives and requirements of the Act and the public interest in a </w:t>
      </w:r>
      <w:r>
        <w:rPr>
          <w:rFonts w:ascii="Calibri" w:hAnsi="Calibri"/>
          <w:sz w:val="24"/>
        </w:rPr>
        <w:t>well-run</w:t>
      </w:r>
      <w:r w:rsidRPr="00304855">
        <w:rPr>
          <w:rFonts w:ascii="Calibri" w:hAnsi="Calibri"/>
          <w:sz w:val="24"/>
        </w:rPr>
        <w:t xml:space="preserve"> gambling sector</w:t>
      </w:r>
      <w:r>
        <w:rPr>
          <w:rFonts w:ascii="Calibri" w:hAnsi="Calibri"/>
          <w:sz w:val="24"/>
        </w:rPr>
        <w:t xml:space="preserve">. </w:t>
      </w:r>
      <w:r w:rsidRPr="00304855">
        <w:rPr>
          <w:rFonts w:ascii="Calibri" w:hAnsi="Calibri"/>
          <w:sz w:val="24"/>
        </w:rPr>
        <w:t xml:space="preserve">The large amount of money spent by gamblers on </w:t>
      </w:r>
      <w:r>
        <w:rPr>
          <w:rFonts w:ascii="Calibri" w:hAnsi="Calibri"/>
          <w:sz w:val="24"/>
        </w:rPr>
        <w:t xml:space="preserve">Class 4 gambling </w:t>
      </w:r>
      <w:r w:rsidRPr="00304855">
        <w:rPr>
          <w:rFonts w:ascii="Calibri" w:hAnsi="Calibri"/>
          <w:sz w:val="24"/>
        </w:rPr>
        <w:t>($</w:t>
      </w:r>
      <w:r>
        <w:rPr>
          <w:rFonts w:ascii="Calibri" w:hAnsi="Calibri"/>
          <w:sz w:val="24"/>
        </w:rPr>
        <w:t>808</w:t>
      </w:r>
      <w:r w:rsidRPr="00304855">
        <w:rPr>
          <w:rFonts w:ascii="Calibri" w:hAnsi="Calibri"/>
          <w:sz w:val="24"/>
        </w:rPr>
        <w:t xml:space="preserve"> million in </w:t>
      </w:r>
      <w:r>
        <w:rPr>
          <w:rFonts w:ascii="Calibri" w:hAnsi="Calibri"/>
          <w:sz w:val="24"/>
        </w:rPr>
        <w:t>2013/</w:t>
      </w:r>
      <w:r w:rsidRPr="00304855">
        <w:rPr>
          <w:rFonts w:ascii="Calibri" w:hAnsi="Calibri"/>
          <w:sz w:val="24"/>
        </w:rPr>
        <w:t>1</w:t>
      </w:r>
      <w:r>
        <w:rPr>
          <w:rFonts w:ascii="Calibri" w:hAnsi="Calibri"/>
          <w:sz w:val="24"/>
        </w:rPr>
        <w:t>4</w:t>
      </w:r>
      <w:r w:rsidRPr="00304855">
        <w:rPr>
          <w:rFonts w:ascii="Calibri" w:hAnsi="Calibri"/>
          <w:sz w:val="24"/>
        </w:rPr>
        <w:t>) and subsequent proportion returned to the community through grants ($</w:t>
      </w:r>
      <w:r>
        <w:rPr>
          <w:rFonts w:ascii="Calibri" w:hAnsi="Calibri"/>
          <w:sz w:val="24"/>
        </w:rPr>
        <w:t>242</w:t>
      </w:r>
      <w:r w:rsidRPr="00304855">
        <w:rPr>
          <w:rFonts w:ascii="Calibri" w:hAnsi="Calibri"/>
          <w:sz w:val="24"/>
        </w:rPr>
        <w:t xml:space="preserve"> million in </w:t>
      </w:r>
      <w:r>
        <w:rPr>
          <w:rFonts w:ascii="Calibri" w:hAnsi="Calibri"/>
          <w:sz w:val="24"/>
        </w:rPr>
        <w:t>2013/</w:t>
      </w:r>
      <w:r w:rsidRPr="00304855">
        <w:rPr>
          <w:rFonts w:ascii="Calibri" w:hAnsi="Calibri"/>
          <w:sz w:val="24"/>
        </w:rPr>
        <w:t>1</w:t>
      </w:r>
      <w:r>
        <w:rPr>
          <w:rFonts w:ascii="Calibri" w:hAnsi="Calibri"/>
          <w:sz w:val="24"/>
        </w:rPr>
        <w:t>4</w:t>
      </w:r>
      <w:r w:rsidRPr="00304855">
        <w:rPr>
          <w:rFonts w:ascii="Calibri" w:hAnsi="Calibri"/>
          <w:sz w:val="24"/>
        </w:rPr>
        <w:t>) underlie the importance of ensuring that the regulatory system is effective and has integrity.</w:t>
      </w:r>
    </w:p>
    <w:p w:rsidR="00B67BAE" w:rsidRPr="000C2CDB" w:rsidRDefault="00B67BAE" w:rsidP="00B67BAE">
      <w:pPr>
        <w:pStyle w:val="NumbersLevel1"/>
        <w:numPr>
          <w:ilvl w:val="0"/>
          <w:numId w:val="20"/>
        </w:numPr>
        <w:tabs>
          <w:tab w:val="num" w:pos="709"/>
        </w:tabs>
        <w:ind w:left="709" w:hanging="709"/>
        <w:rPr>
          <w:rFonts w:ascii="Calibri" w:hAnsi="Calibri"/>
          <w:sz w:val="24"/>
        </w:rPr>
      </w:pPr>
      <w:r>
        <w:rPr>
          <w:rFonts w:ascii="Calibri" w:hAnsi="Calibri"/>
          <w:sz w:val="24"/>
        </w:rPr>
        <w:t xml:space="preserve">Other cost savings have been considered and discounted. </w:t>
      </w:r>
      <w:r w:rsidRPr="00AB0E34">
        <w:rPr>
          <w:rFonts w:ascii="Calibri" w:hAnsi="Calibri"/>
          <w:sz w:val="24"/>
        </w:rPr>
        <w:t xml:space="preserve">The </w:t>
      </w:r>
      <w:r>
        <w:rPr>
          <w:rFonts w:ascii="Calibri" w:hAnsi="Calibri"/>
          <w:sz w:val="24"/>
        </w:rPr>
        <w:t xml:space="preserve">maintenance of the </w:t>
      </w:r>
      <w:r w:rsidRPr="00AB0E34">
        <w:rPr>
          <w:rFonts w:ascii="Calibri" w:hAnsi="Calibri"/>
          <w:sz w:val="24"/>
        </w:rPr>
        <w:t>EMS and the</w:t>
      </w:r>
      <w:r>
        <w:rPr>
          <w:rFonts w:ascii="Calibri" w:hAnsi="Calibri"/>
          <w:sz w:val="24"/>
        </w:rPr>
        <w:t xml:space="preserve"> implementation of the IGP, coupled with the modernisation of processes and technology, are critical to undertaking regulatory activity. These investments and ongoing maintenance requirements represent fixed costs that are difficult to reduce. </w:t>
      </w:r>
      <w:r w:rsidRPr="000C2CDB">
        <w:rPr>
          <w:rFonts w:ascii="Calibri" w:hAnsi="Calibri"/>
          <w:sz w:val="24"/>
        </w:rPr>
        <w:t>Similarly the Department’s response to non-compliance and legal contestation are mandated by the Act. As the primary regulator of the gambling sector, the Department must investigate non-compliance and defend</w:t>
      </w:r>
      <w:r>
        <w:rPr>
          <w:rFonts w:ascii="Calibri" w:hAnsi="Calibri"/>
          <w:sz w:val="24"/>
        </w:rPr>
        <w:t xml:space="preserve"> the</w:t>
      </w:r>
      <w:r w:rsidRPr="000C2CDB">
        <w:rPr>
          <w:rFonts w:ascii="Calibri" w:hAnsi="Calibri"/>
          <w:sz w:val="24"/>
        </w:rPr>
        <w:t xml:space="preserve"> decisions of the Secretary of Inter</w:t>
      </w:r>
      <w:r>
        <w:rPr>
          <w:rFonts w:ascii="Calibri" w:hAnsi="Calibri"/>
          <w:sz w:val="24"/>
        </w:rPr>
        <w:t xml:space="preserve">nal Affairs and/or the </w:t>
      </w:r>
      <w:r w:rsidRPr="000C2CDB">
        <w:rPr>
          <w:rFonts w:ascii="Calibri" w:hAnsi="Calibri"/>
          <w:sz w:val="24"/>
        </w:rPr>
        <w:t xml:space="preserve">Commission.   </w:t>
      </w:r>
    </w:p>
    <w:p w:rsidR="00071ED8" w:rsidRPr="00071ED8" w:rsidRDefault="00071ED8" w:rsidP="00071ED8">
      <w:pPr>
        <w:pStyle w:val="Heading2"/>
      </w:pPr>
      <w:bookmarkStart w:id="19" w:name="_Toc410217730"/>
      <w:r>
        <w:t>Implementation</w:t>
      </w:r>
      <w:bookmarkEnd w:id="19"/>
    </w:p>
    <w:p w:rsidR="00071ED8" w:rsidRDefault="001A6CD3" w:rsidP="005A3016">
      <w:pPr>
        <w:pStyle w:val="NumbersLevel1"/>
        <w:numPr>
          <w:ilvl w:val="0"/>
          <w:numId w:val="20"/>
        </w:numPr>
        <w:tabs>
          <w:tab w:val="num" w:pos="709"/>
        </w:tabs>
        <w:ind w:left="709" w:hanging="709"/>
        <w:rPr>
          <w:rFonts w:ascii="Calibri" w:hAnsi="Calibri"/>
          <w:sz w:val="24"/>
        </w:rPr>
      </w:pPr>
      <w:r>
        <w:rPr>
          <w:rFonts w:ascii="Calibri" w:hAnsi="Calibri"/>
          <w:sz w:val="24"/>
        </w:rPr>
        <w:t xml:space="preserve">If new fees are approved, it is proposed that they </w:t>
      </w:r>
      <w:r w:rsidR="001C0937">
        <w:rPr>
          <w:rFonts w:ascii="Calibri" w:hAnsi="Calibri"/>
          <w:sz w:val="24"/>
        </w:rPr>
        <w:t xml:space="preserve">will </w:t>
      </w:r>
      <w:r>
        <w:rPr>
          <w:rFonts w:ascii="Calibri" w:hAnsi="Calibri"/>
          <w:sz w:val="24"/>
        </w:rPr>
        <w:t>c</w:t>
      </w:r>
      <w:r w:rsidR="00071ED8" w:rsidRPr="00BA50B0">
        <w:rPr>
          <w:rFonts w:ascii="Calibri" w:hAnsi="Calibri"/>
          <w:sz w:val="24"/>
        </w:rPr>
        <w:t xml:space="preserve">ome into effect </w:t>
      </w:r>
      <w:r>
        <w:rPr>
          <w:rFonts w:ascii="Calibri" w:hAnsi="Calibri"/>
          <w:sz w:val="24"/>
        </w:rPr>
        <w:t xml:space="preserve">from </w:t>
      </w:r>
      <w:r>
        <w:rPr>
          <w:rFonts w:ascii="Calibri" w:hAnsi="Calibri"/>
          <w:sz w:val="24"/>
        </w:rPr>
        <w:br/>
      </w:r>
      <w:r w:rsidR="00A67FF6">
        <w:rPr>
          <w:rFonts w:ascii="Calibri" w:hAnsi="Calibri"/>
          <w:sz w:val="24"/>
        </w:rPr>
        <w:t>1 October</w:t>
      </w:r>
      <w:r>
        <w:rPr>
          <w:rFonts w:ascii="Calibri" w:hAnsi="Calibri"/>
          <w:sz w:val="24"/>
        </w:rPr>
        <w:t xml:space="preserve"> 2015. </w:t>
      </w:r>
      <w:r w:rsidR="00071ED8" w:rsidRPr="00BA50B0">
        <w:rPr>
          <w:rFonts w:ascii="Calibri" w:hAnsi="Calibri"/>
          <w:sz w:val="24"/>
        </w:rPr>
        <w:t>Information will be provided to those affected t</w:t>
      </w:r>
      <w:r w:rsidR="000859BD">
        <w:rPr>
          <w:rFonts w:ascii="Calibri" w:hAnsi="Calibri"/>
          <w:sz w:val="24"/>
        </w:rPr>
        <w:t xml:space="preserve">o inform them of </w:t>
      </w:r>
      <w:r w:rsidR="00C54039">
        <w:rPr>
          <w:rFonts w:ascii="Calibri" w:hAnsi="Calibri"/>
          <w:sz w:val="24"/>
        </w:rPr>
        <w:t xml:space="preserve">the </w:t>
      </w:r>
      <w:r w:rsidR="000859BD">
        <w:rPr>
          <w:rFonts w:ascii="Calibri" w:hAnsi="Calibri"/>
          <w:sz w:val="24"/>
        </w:rPr>
        <w:t xml:space="preserve">new fees. </w:t>
      </w:r>
      <w:r w:rsidR="00071ED8" w:rsidRPr="00BA50B0">
        <w:rPr>
          <w:rFonts w:ascii="Calibri" w:hAnsi="Calibri"/>
          <w:sz w:val="24"/>
        </w:rPr>
        <w:t xml:space="preserve">There are no proposed changes to methods of payment at this time. </w:t>
      </w:r>
    </w:p>
    <w:p w:rsidR="00CB3585" w:rsidRPr="00BA50B0" w:rsidRDefault="00CB3585" w:rsidP="00CB3585">
      <w:pPr>
        <w:pStyle w:val="NumbersLevel1"/>
        <w:tabs>
          <w:tab w:val="clear" w:pos="709"/>
        </w:tabs>
        <w:ind w:firstLine="0"/>
        <w:rPr>
          <w:rFonts w:ascii="Calibri" w:hAnsi="Calibri"/>
          <w:sz w:val="24"/>
        </w:rPr>
      </w:pPr>
    </w:p>
    <w:p w:rsidR="00E32DB4" w:rsidRDefault="00071ED8" w:rsidP="00071ED8">
      <w:pPr>
        <w:pStyle w:val="Heading2"/>
      </w:pPr>
      <w:bookmarkStart w:id="20" w:name="_Toc410217731"/>
      <w:r>
        <w:lastRenderedPageBreak/>
        <w:t>Monitoring, evaluation and review</w:t>
      </w:r>
      <w:bookmarkEnd w:id="20"/>
    </w:p>
    <w:p w:rsidR="00A91F6A" w:rsidRDefault="00A91F6A" w:rsidP="005A3016">
      <w:pPr>
        <w:pStyle w:val="NumbersLevel1"/>
        <w:numPr>
          <w:ilvl w:val="0"/>
          <w:numId w:val="20"/>
        </w:numPr>
        <w:tabs>
          <w:tab w:val="num" w:pos="709"/>
        </w:tabs>
        <w:ind w:left="709" w:hanging="709"/>
        <w:rPr>
          <w:rFonts w:ascii="Calibri" w:hAnsi="Calibri"/>
          <w:sz w:val="24"/>
        </w:rPr>
      </w:pPr>
      <w:r w:rsidRPr="00BA50B0">
        <w:rPr>
          <w:rFonts w:ascii="Calibri" w:hAnsi="Calibri"/>
          <w:sz w:val="24"/>
        </w:rPr>
        <w:t xml:space="preserve">The Department will be monitoring the effect of </w:t>
      </w:r>
      <w:r w:rsidR="006546D2">
        <w:rPr>
          <w:rFonts w:ascii="Calibri" w:hAnsi="Calibri"/>
          <w:sz w:val="24"/>
        </w:rPr>
        <w:t xml:space="preserve">any proposed </w:t>
      </w:r>
      <w:r w:rsidRPr="00BA50B0">
        <w:rPr>
          <w:rFonts w:ascii="Calibri" w:hAnsi="Calibri"/>
          <w:sz w:val="24"/>
        </w:rPr>
        <w:t>new fees on the sector</w:t>
      </w:r>
      <w:r w:rsidR="006546D2">
        <w:rPr>
          <w:rFonts w:ascii="Calibri" w:hAnsi="Calibri"/>
          <w:sz w:val="24"/>
        </w:rPr>
        <w:t>,</w:t>
      </w:r>
      <w:r w:rsidRPr="00BA50B0">
        <w:rPr>
          <w:rFonts w:ascii="Calibri" w:hAnsi="Calibri"/>
          <w:sz w:val="24"/>
        </w:rPr>
        <w:t xml:space="preserve"> particularly as the increases in the minimum rate of return take effect. A key factor w</w:t>
      </w:r>
      <w:r w:rsidR="006546D2">
        <w:rPr>
          <w:rFonts w:ascii="Calibri" w:hAnsi="Calibri"/>
          <w:sz w:val="24"/>
        </w:rPr>
        <w:t>ould</w:t>
      </w:r>
      <w:r w:rsidRPr="00BA50B0">
        <w:rPr>
          <w:rFonts w:ascii="Calibri" w:hAnsi="Calibri"/>
          <w:sz w:val="24"/>
        </w:rPr>
        <w:t xml:space="preserve"> be whether the fees are recovering the required amounts and not under-</w:t>
      </w:r>
      <w:r w:rsidR="000859BD">
        <w:rPr>
          <w:rFonts w:ascii="Calibri" w:hAnsi="Calibri"/>
          <w:sz w:val="24"/>
        </w:rPr>
        <w:t xml:space="preserve">recovering or over-recovering. </w:t>
      </w:r>
      <w:r w:rsidRPr="00BA50B0">
        <w:rPr>
          <w:rFonts w:ascii="Calibri" w:hAnsi="Calibri"/>
          <w:sz w:val="24"/>
        </w:rPr>
        <w:t xml:space="preserve">The number of venues changing hands or societies </w:t>
      </w:r>
      <w:r>
        <w:rPr>
          <w:rFonts w:ascii="Calibri" w:hAnsi="Calibri"/>
          <w:sz w:val="24"/>
        </w:rPr>
        <w:t>struggling to meet their maximum returns to the community</w:t>
      </w:r>
      <w:r w:rsidRPr="00BA50B0">
        <w:rPr>
          <w:rFonts w:ascii="Calibri" w:hAnsi="Calibri"/>
          <w:sz w:val="24"/>
        </w:rPr>
        <w:t xml:space="preserve"> w</w:t>
      </w:r>
      <w:r w:rsidR="006546D2">
        <w:rPr>
          <w:rFonts w:ascii="Calibri" w:hAnsi="Calibri"/>
          <w:sz w:val="24"/>
        </w:rPr>
        <w:t>ould</w:t>
      </w:r>
      <w:r w:rsidRPr="00BA50B0">
        <w:rPr>
          <w:rFonts w:ascii="Calibri" w:hAnsi="Calibri"/>
          <w:sz w:val="24"/>
        </w:rPr>
        <w:t xml:space="preserve"> also be monitored to assess the impacts. As noted earlier, the Department’s intention is to review the fee</w:t>
      </w:r>
      <w:r w:rsidR="000859BD">
        <w:rPr>
          <w:rFonts w:ascii="Calibri" w:hAnsi="Calibri"/>
          <w:sz w:val="24"/>
        </w:rPr>
        <w:t>s</w:t>
      </w:r>
      <w:r w:rsidRPr="00BA50B0">
        <w:rPr>
          <w:rFonts w:ascii="Calibri" w:hAnsi="Calibri"/>
          <w:sz w:val="24"/>
        </w:rPr>
        <w:t xml:space="preserve"> regime </w:t>
      </w:r>
      <w:r w:rsidR="004C29DA">
        <w:rPr>
          <w:rFonts w:ascii="Calibri" w:hAnsi="Calibri"/>
          <w:sz w:val="24"/>
        </w:rPr>
        <w:t>again in 2017/18</w:t>
      </w:r>
      <w:r w:rsidR="00600839">
        <w:rPr>
          <w:rFonts w:ascii="Calibri" w:hAnsi="Calibri"/>
          <w:sz w:val="24"/>
        </w:rPr>
        <w:t>,</w:t>
      </w:r>
      <w:r w:rsidRPr="00BA50B0">
        <w:rPr>
          <w:rFonts w:ascii="Calibri" w:hAnsi="Calibri"/>
          <w:sz w:val="24"/>
        </w:rPr>
        <w:t xml:space="preserve"> </w:t>
      </w:r>
      <w:r w:rsidR="004C29DA">
        <w:rPr>
          <w:rFonts w:ascii="Calibri" w:hAnsi="Calibri"/>
          <w:sz w:val="24"/>
        </w:rPr>
        <w:t xml:space="preserve">or </w:t>
      </w:r>
      <w:r w:rsidRPr="00BA50B0">
        <w:rPr>
          <w:rFonts w:ascii="Calibri" w:hAnsi="Calibri"/>
          <w:sz w:val="24"/>
        </w:rPr>
        <w:t xml:space="preserve">earlier if necessary. </w:t>
      </w:r>
    </w:p>
    <w:p w:rsidR="00A91F6A" w:rsidRPr="00BA50B0" w:rsidRDefault="00A91F6A" w:rsidP="0091000C">
      <w:pPr>
        <w:pStyle w:val="Heading2"/>
        <w:pBdr>
          <w:top w:val="single" w:sz="4" w:space="1" w:color="auto"/>
          <w:left w:val="single" w:sz="4" w:space="4" w:color="auto"/>
          <w:bottom w:val="single" w:sz="4" w:space="1" w:color="auto"/>
          <w:right w:val="single" w:sz="4" w:space="4" w:color="auto"/>
        </w:pBdr>
        <w:jc w:val="center"/>
      </w:pPr>
      <w:bookmarkStart w:id="21" w:name="_Toc410217732"/>
      <w:r>
        <w:t>Questions for you</w:t>
      </w:r>
      <w:bookmarkEnd w:id="21"/>
    </w:p>
    <w:p w:rsidR="00A91F6A" w:rsidRDefault="00A91F6A" w:rsidP="00B3029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 xml:space="preserve">How will these proposals affect you? </w:t>
      </w:r>
    </w:p>
    <w:p w:rsidR="00D52312" w:rsidRDefault="00A91F6A" w:rsidP="00B3029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Are there other options for funding that</w:t>
      </w:r>
      <w:r w:rsidR="001C2B3A">
        <w:rPr>
          <w:rFonts w:ascii="Calibri" w:hAnsi="Calibri"/>
          <w:sz w:val="24"/>
        </w:rPr>
        <w:t xml:space="preserve"> we have not considered?  </w:t>
      </w:r>
      <w:r w:rsidR="00A73CA0">
        <w:rPr>
          <w:rFonts w:ascii="Calibri" w:hAnsi="Calibri"/>
          <w:sz w:val="24"/>
        </w:rPr>
        <w:t xml:space="preserve">If so, </w:t>
      </w:r>
      <w:r w:rsidR="00D52312">
        <w:rPr>
          <w:rFonts w:ascii="Calibri" w:hAnsi="Calibri"/>
          <w:sz w:val="24"/>
        </w:rPr>
        <w:t>what?</w:t>
      </w:r>
    </w:p>
    <w:p w:rsidR="00A91F6A" w:rsidRDefault="00A91F6A" w:rsidP="00B3029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Pr>
          <w:rFonts w:ascii="Calibri" w:hAnsi="Calibri"/>
          <w:sz w:val="24"/>
        </w:rPr>
        <w:t>Under the preferred option, h</w:t>
      </w:r>
      <w:r w:rsidRPr="00BA50B0">
        <w:rPr>
          <w:rFonts w:ascii="Calibri" w:hAnsi="Calibri"/>
          <w:sz w:val="24"/>
        </w:rPr>
        <w:t xml:space="preserve">ave the costs </w:t>
      </w:r>
      <w:r>
        <w:rPr>
          <w:rFonts w:ascii="Calibri" w:hAnsi="Calibri"/>
          <w:sz w:val="24"/>
        </w:rPr>
        <w:t xml:space="preserve">to the sector </w:t>
      </w:r>
      <w:r w:rsidRPr="00BA50B0">
        <w:rPr>
          <w:rFonts w:ascii="Calibri" w:hAnsi="Calibri"/>
          <w:sz w:val="24"/>
        </w:rPr>
        <w:t xml:space="preserve">and </w:t>
      </w:r>
      <w:r>
        <w:rPr>
          <w:rFonts w:ascii="Calibri" w:hAnsi="Calibri"/>
          <w:sz w:val="24"/>
        </w:rPr>
        <w:t xml:space="preserve">the </w:t>
      </w:r>
      <w:r w:rsidRPr="00BA50B0">
        <w:rPr>
          <w:rFonts w:ascii="Calibri" w:hAnsi="Calibri"/>
          <w:sz w:val="24"/>
        </w:rPr>
        <w:t xml:space="preserve">benefits </w:t>
      </w:r>
      <w:r>
        <w:rPr>
          <w:rFonts w:ascii="Calibri" w:hAnsi="Calibri"/>
          <w:sz w:val="24"/>
        </w:rPr>
        <w:t xml:space="preserve">of effective regulation </w:t>
      </w:r>
      <w:r w:rsidRPr="00BA50B0">
        <w:rPr>
          <w:rFonts w:ascii="Calibri" w:hAnsi="Calibri"/>
          <w:sz w:val="24"/>
        </w:rPr>
        <w:t>been correctly identified?</w:t>
      </w:r>
    </w:p>
    <w:p w:rsidR="00A91F6A" w:rsidRPr="00BA50B0" w:rsidRDefault="00A91F6A" w:rsidP="00B3029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Is the basis for the Class 4 compliance fee the right one?  Should somethi</w:t>
      </w:r>
      <w:r>
        <w:rPr>
          <w:rFonts w:ascii="Calibri" w:hAnsi="Calibri"/>
          <w:sz w:val="24"/>
        </w:rPr>
        <w:t>ng other than machine numbers, gaming machine proceeds</w:t>
      </w:r>
      <w:r w:rsidRPr="00BA50B0">
        <w:rPr>
          <w:rFonts w:ascii="Calibri" w:hAnsi="Calibri"/>
          <w:sz w:val="24"/>
        </w:rPr>
        <w:t xml:space="preserve"> or venue numbers be considered as the basis for this fee?</w:t>
      </w:r>
    </w:p>
    <w:p w:rsidR="00A91F6A" w:rsidRPr="00BA50B0" w:rsidRDefault="00A91F6A" w:rsidP="00B3029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Should smaller clubs (with less than seven machines) pay a lower compliance fee than other clubs and non-club operators?</w:t>
      </w:r>
    </w:p>
    <w:p w:rsidR="00071ED8" w:rsidRPr="00071ED8" w:rsidRDefault="00071ED8" w:rsidP="00B30294">
      <w:pPr>
        <w:pBdr>
          <w:top w:val="single" w:sz="4" w:space="1" w:color="auto"/>
          <w:left w:val="single" w:sz="4" w:space="4" w:color="auto"/>
          <w:bottom w:val="single" w:sz="4" w:space="1" w:color="auto"/>
          <w:right w:val="single" w:sz="4" w:space="4" w:color="auto"/>
        </w:pBdr>
      </w:pPr>
    </w:p>
    <w:p w:rsidR="00E32DB4" w:rsidRPr="00E32DB4" w:rsidRDefault="00E32DB4" w:rsidP="00E32DB4"/>
    <w:p w:rsidR="007D3469" w:rsidRPr="00C970A6" w:rsidRDefault="00B30294" w:rsidP="000B76A4">
      <w:pPr>
        <w:pStyle w:val="Headingappendix"/>
      </w:pPr>
      <w:bookmarkStart w:id="22" w:name="_Toc410217733"/>
      <w:r>
        <w:lastRenderedPageBreak/>
        <w:t>Schedule of proposed fees</w:t>
      </w:r>
      <w:bookmarkEnd w:id="22"/>
      <w:r w:rsidR="00C34594">
        <w:t xml:space="preserve"> (GST exclusive)</w:t>
      </w:r>
    </w:p>
    <w:tbl>
      <w:tblPr>
        <w:tblStyle w:val="DIATable"/>
        <w:tblW w:w="10021" w:type="dxa"/>
        <w:tblLook w:val="04A0" w:firstRow="1" w:lastRow="0" w:firstColumn="1" w:lastColumn="0" w:noHBand="0" w:noVBand="1"/>
      </w:tblPr>
      <w:tblGrid>
        <w:gridCol w:w="2127"/>
        <w:gridCol w:w="1302"/>
        <w:gridCol w:w="1313"/>
        <w:gridCol w:w="1313"/>
        <w:gridCol w:w="1313"/>
        <w:gridCol w:w="1313"/>
        <w:gridCol w:w="1340"/>
      </w:tblGrid>
      <w:tr w:rsidR="002C1E1B" w:rsidTr="000A3D4F">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6" w:space="0" w:color="1F546B" w:themeColor="text2"/>
            </w:tcBorders>
          </w:tcPr>
          <w:p w:rsidR="00CE0C4C" w:rsidRPr="002C1E1B" w:rsidRDefault="00CE0C4C" w:rsidP="004734F8">
            <w:pPr>
              <w:rPr>
                <w:sz w:val="16"/>
                <w:szCs w:val="16"/>
              </w:rPr>
            </w:pPr>
            <w:r w:rsidRPr="002C1E1B">
              <w:rPr>
                <w:sz w:val="16"/>
                <w:szCs w:val="16"/>
              </w:rPr>
              <w:t>Fee type</w:t>
            </w:r>
          </w:p>
        </w:tc>
        <w:tc>
          <w:tcPr>
            <w:tcW w:w="1302" w:type="dxa"/>
            <w:tcBorders>
              <w:bottom w:val="single" w:sz="6" w:space="0" w:color="1F546B" w:themeColor="text2"/>
            </w:tcBorders>
          </w:tcPr>
          <w:p w:rsidR="00CE0C4C" w:rsidRPr="002C1E1B" w:rsidRDefault="00CE0C4C" w:rsidP="004734F8">
            <w:pPr>
              <w:rPr>
                <w:sz w:val="16"/>
                <w:szCs w:val="16"/>
              </w:rPr>
            </w:pPr>
            <w:r w:rsidRPr="002C1E1B">
              <w:rPr>
                <w:sz w:val="16"/>
                <w:szCs w:val="16"/>
              </w:rPr>
              <w:t>Current fee ($)</w:t>
            </w:r>
          </w:p>
        </w:tc>
        <w:tc>
          <w:tcPr>
            <w:tcW w:w="1313" w:type="dxa"/>
            <w:tcBorders>
              <w:bottom w:val="single" w:sz="6" w:space="0" w:color="1F546B" w:themeColor="text2"/>
            </w:tcBorders>
          </w:tcPr>
          <w:p w:rsidR="00CE0C4C" w:rsidRPr="002C1E1B" w:rsidRDefault="00CE0C4C" w:rsidP="004734F8">
            <w:pPr>
              <w:rPr>
                <w:sz w:val="16"/>
                <w:szCs w:val="16"/>
              </w:rPr>
            </w:pPr>
            <w:r w:rsidRPr="002C1E1B">
              <w:rPr>
                <w:sz w:val="16"/>
                <w:szCs w:val="16"/>
              </w:rPr>
              <w:t>Proposed fee 2015/16 ($)</w:t>
            </w:r>
          </w:p>
        </w:tc>
        <w:tc>
          <w:tcPr>
            <w:tcW w:w="1313" w:type="dxa"/>
            <w:tcBorders>
              <w:bottom w:val="single" w:sz="6" w:space="0" w:color="1F546B" w:themeColor="text2"/>
            </w:tcBorders>
          </w:tcPr>
          <w:p w:rsidR="00CE0C4C" w:rsidRPr="002C1E1B" w:rsidRDefault="00CE0C4C" w:rsidP="004734F8">
            <w:pPr>
              <w:rPr>
                <w:sz w:val="16"/>
                <w:szCs w:val="16"/>
              </w:rPr>
            </w:pPr>
            <w:r w:rsidRPr="002C1E1B">
              <w:rPr>
                <w:sz w:val="16"/>
                <w:szCs w:val="16"/>
              </w:rPr>
              <w:t>Proposed fee 2016/17 ($)</w:t>
            </w:r>
          </w:p>
        </w:tc>
        <w:tc>
          <w:tcPr>
            <w:tcW w:w="1313" w:type="dxa"/>
            <w:tcBorders>
              <w:bottom w:val="single" w:sz="6" w:space="0" w:color="1F546B" w:themeColor="text2"/>
            </w:tcBorders>
          </w:tcPr>
          <w:p w:rsidR="00CE0C4C" w:rsidRPr="002C1E1B" w:rsidRDefault="00CE0C4C" w:rsidP="004734F8">
            <w:pPr>
              <w:rPr>
                <w:sz w:val="16"/>
                <w:szCs w:val="16"/>
              </w:rPr>
            </w:pPr>
            <w:r w:rsidRPr="002C1E1B">
              <w:rPr>
                <w:sz w:val="16"/>
                <w:szCs w:val="16"/>
              </w:rPr>
              <w:t>Proposed fee</w:t>
            </w:r>
            <w:r w:rsidR="002C1E1B" w:rsidRPr="002C1E1B">
              <w:rPr>
                <w:sz w:val="16"/>
                <w:szCs w:val="16"/>
              </w:rPr>
              <w:t xml:space="preserve"> 2017/18 ($)</w:t>
            </w:r>
          </w:p>
        </w:tc>
        <w:tc>
          <w:tcPr>
            <w:tcW w:w="1313" w:type="dxa"/>
            <w:tcBorders>
              <w:bottom w:val="single" w:sz="6" w:space="0" w:color="1F546B" w:themeColor="text2"/>
            </w:tcBorders>
          </w:tcPr>
          <w:p w:rsidR="00CE0C4C" w:rsidRPr="002C1E1B" w:rsidRDefault="002C1E1B" w:rsidP="004734F8">
            <w:pPr>
              <w:rPr>
                <w:sz w:val="16"/>
                <w:szCs w:val="16"/>
              </w:rPr>
            </w:pPr>
            <w:r w:rsidRPr="002C1E1B">
              <w:rPr>
                <w:sz w:val="16"/>
                <w:szCs w:val="16"/>
              </w:rPr>
              <w:t>Proposed fee Out</w:t>
            </w:r>
            <w:r w:rsidR="00327091">
              <w:rPr>
                <w:sz w:val="16"/>
                <w:szCs w:val="16"/>
              </w:rPr>
              <w:t xml:space="preserve"> </w:t>
            </w:r>
            <w:r w:rsidRPr="002C1E1B">
              <w:rPr>
                <w:sz w:val="16"/>
                <w:szCs w:val="16"/>
              </w:rPr>
              <w:t>years</w:t>
            </w:r>
          </w:p>
          <w:p w:rsidR="002C1E1B" w:rsidRPr="002C1E1B" w:rsidRDefault="002C1E1B" w:rsidP="004734F8">
            <w:pPr>
              <w:rPr>
                <w:sz w:val="16"/>
                <w:szCs w:val="16"/>
              </w:rPr>
            </w:pPr>
            <w:r w:rsidRPr="002C1E1B">
              <w:rPr>
                <w:sz w:val="16"/>
                <w:szCs w:val="16"/>
              </w:rPr>
              <w:t>2023/24 ($)</w:t>
            </w:r>
          </w:p>
        </w:tc>
        <w:tc>
          <w:tcPr>
            <w:tcW w:w="1340" w:type="dxa"/>
            <w:tcBorders>
              <w:bottom w:val="single" w:sz="6" w:space="0" w:color="1F546B" w:themeColor="text2"/>
            </w:tcBorders>
          </w:tcPr>
          <w:p w:rsidR="00CE0C4C" w:rsidRPr="002C1E1B" w:rsidRDefault="002C1E1B" w:rsidP="004734F8">
            <w:pPr>
              <w:rPr>
                <w:sz w:val="16"/>
                <w:szCs w:val="16"/>
              </w:rPr>
            </w:pPr>
            <w:r w:rsidRPr="002C1E1B">
              <w:rPr>
                <w:sz w:val="16"/>
                <w:szCs w:val="16"/>
              </w:rPr>
              <w:t>Estimated volume of transactions</w:t>
            </w:r>
            <w:r w:rsidR="00327091">
              <w:rPr>
                <w:sz w:val="16"/>
                <w:szCs w:val="16"/>
              </w:rPr>
              <w:t xml:space="preserve"> (2015/16)</w:t>
            </w:r>
          </w:p>
        </w:tc>
      </w:tr>
      <w:tr w:rsidR="002C1E1B" w:rsidTr="000A3D4F">
        <w:tc>
          <w:tcPr>
            <w:tcW w:w="2127" w:type="dxa"/>
            <w:tcBorders>
              <w:top w:val="single" w:sz="6" w:space="0" w:color="1F546B" w:themeColor="text2"/>
            </w:tcBorders>
          </w:tcPr>
          <w:p w:rsidR="002C1E1B" w:rsidRPr="00CD0FCC" w:rsidRDefault="002C1E1B" w:rsidP="00E302D2">
            <w:pPr>
              <w:pStyle w:val="BodyText"/>
              <w:spacing w:after="0"/>
              <w:rPr>
                <w:b/>
                <w:sz w:val="16"/>
                <w:szCs w:val="16"/>
              </w:rPr>
            </w:pPr>
            <w:r w:rsidRPr="00CD0FCC">
              <w:rPr>
                <w:b/>
                <w:sz w:val="16"/>
                <w:szCs w:val="16"/>
              </w:rPr>
              <w:t>Class 3 Operator Licence</w:t>
            </w:r>
          </w:p>
          <w:p w:rsidR="002C1E1B" w:rsidRDefault="002C1E1B" w:rsidP="00E302D2">
            <w:pPr>
              <w:pStyle w:val="BodyText"/>
              <w:spacing w:after="0"/>
              <w:rPr>
                <w:sz w:val="16"/>
                <w:szCs w:val="16"/>
              </w:rPr>
            </w:pPr>
            <w:r w:rsidRPr="00BA189B">
              <w:rPr>
                <w:sz w:val="16"/>
                <w:szCs w:val="16"/>
              </w:rPr>
              <w:t xml:space="preserve">New or renewal (prizes </w:t>
            </w:r>
            <w:r w:rsidR="00CE3624">
              <w:rPr>
                <w:sz w:val="16"/>
                <w:szCs w:val="16"/>
              </w:rPr>
              <w:t xml:space="preserve">not exceeding </w:t>
            </w:r>
            <w:r w:rsidRPr="00BA189B">
              <w:rPr>
                <w:sz w:val="16"/>
                <w:szCs w:val="16"/>
              </w:rPr>
              <w:t>$50,000)</w:t>
            </w:r>
          </w:p>
          <w:p w:rsidR="002C1E1B" w:rsidRPr="00BA189B" w:rsidRDefault="002C1E1B" w:rsidP="00E302D2">
            <w:pPr>
              <w:pStyle w:val="BodyText"/>
              <w:spacing w:after="0"/>
              <w:rPr>
                <w:sz w:val="16"/>
                <w:szCs w:val="16"/>
              </w:rPr>
            </w:pPr>
          </w:p>
          <w:p w:rsidR="002C1E1B" w:rsidRDefault="002C1E1B" w:rsidP="00E302D2">
            <w:pPr>
              <w:pStyle w:val="BodyText"/>
              <w:spacing w:after="0"/>
              <w:rPr>
                <w:sz w:val="16"/>
                <w:szCs w:val="16"/>
              </w:rPr>
            </w:pPr>
            <w:r w:rsidRPr="00BA189B">
              <w:rPr>
                <w:sz w:val="16"/>
                <w:szCs w:val="16"/>
              </w:rPr>
              <w:t>New or renewal (</w:t>
            </w:r>
            <w:r w:rsidR="00E752C5">
              <w:rPr>
                <w:sz w:val="16"/>
                <w:szCs w:val="16"/>
              </w:rPr>
              <w:t xml:space="preserve">for </w:t>
            </w:r>
            <w:r w:rsidRPr="00BA189B">
              <w:rPr>
                <w:sz w:val="16"/>
                <w:szCs w:val="16"/>
              </w:rPr>
              <w:t xml:space="preserve">prizes </w:t>
            </w:r>
            <w:r w:rsidR="00E752C5">
              <w:rPr>
                <w:sz w:val="16"/>
                <w:szCs w:val="16"/>
              </w:rPr>
              <w:t>of</w:t>
            </w:r>
            <w:r w:rsidRPr="00BA189B">
              <w:rPr>
                <w:sz w:val="16"/>
                <w:szCs w:val="16"/>
              </w:rPr>
              <w:t xml:space="preserve"> $50,000</w:t>
            </w:r>
            <w:r w:rsidR="00E752C5">
              <w:rPr>
                <w:sz w:val="16"/>
                <w:szCs w:val="16"/>
              </w:rPr>
              <w:t xml:space="preserve"> or more</w:t>
            </w:r>
            <w:r w:rsidRPr="00BA189B">
              <w:rPr>
                <w:sz w:val="16"/>
                <w:szCs w:val="16"/>
              </w:rPr>
              <w:t>)</w:t>
            </w:r>
          </w:p>
          <w:p w:rsidR="002C1E1B" w:rsidRPr="00BA189B" w:rsidRDefault="00C77821" w:rsidP="00E302D2">
            <w:pPr>
              <w:pStyle w:val="BodyText"/>
              <w:spacing w:after="0"/>
              <w:rPr>
                <w:sz w:val="16"/>
                <w:szCs w:val="16"/>
              </w:rPr>
            </w:pPr>
            <w:r>
              <w:rPr>
                <w:sz w:val="16"/>
                <w:szCs w:val="16"/>
              </w:rPr>
              <w:br/>
            </w:r>
            <w:r w:rsidR="002C1E1B" w:rsidRPr="001362FC">
              <w:rPr>
                <w:sz w:val="16"/>
                <w:szCs w:val="16"/>
              </w:rPr>
              <w:t>Amendment</w:t>
            </w:r>
            <w:r w:rsidR="00A70195">
              <w:rPr>
                <w:sz w:val="16"/>
                <w:szCs w:val="16"/>
              </w:rPr>
              <w:t xml:space="preserve"> to licence</w:t>
            </w:r>
          </w:p>
        </w:tc>
        <w:tc>
          <w:tcPr>
            <w:tcW w:w="1302" w:type="dxa"/>
            <w:tcBorders>
              <w:top w:val="single" w:sz="6" w:space="0" w:color="1F546B" w:themeColor="text2"/>
            </w:tcBorders>
          </w:tcPr>
          <w:p w:rsidR="002C1E1B" w:rsidRPr="00BA189B" w:rsidRDefault="002C1E1B" w:rsidP="002C1E1B">
            <w:pPr>
              <w:pStyle w:val="BodyText"/>
              <w:spacing w:after="0"/>
              <w:jc w:val="right"/>
              <w:rPr>
                <w:sz w:val="16"/>
                <w:szCs w:val="16"/>
              </w:rPr>
            </w:pPr>
          </w:p>
          <w:p w:rsidR="002C1E1B" w:rsidRPr="00BA189B" w:rsidRDefault="00C34594" w:rsidP="002C1E1B">
            <w:pPr>
              <w:pStyle w:val="BodyText"/>
              <w:spacing w:after="0"/>
              <w:jc w:val="right"/>
              <w:rPr>
                <w:sz w:val="16"/>
                <w:szCs w:val="16"/>
              </w:rPr>
            </w:pPr>
            <w:r>
              <w:rPr>
                <w:sz w:val="16"/>
                <w:szCs w:val="16"/>
              </w:rPr>
              <w:t>88.89</w:t>
            </w:r>
          </w:p>
          <w:p w:rsidR="002C1E1B" w:rsidRPr="00BA189B"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189B" w:rsidRDefault="002C1E1B" w:rsidP="002C1E1B">
            <w:pPr>
              <w:pStyle w:val="BodyText"/>
              <w:spacing w:after="0"/>
              <w:jc w:val="right"/>
              <w:rPr>
                <w:sz w:val="16"/>
                <w:szCs w:val="16"/>
              </w:rPr>
            </w:pPr>
            <w:r w:rsidRPr="00BA189B">
              <w:rPr>
                <w:sz w:val="16"/>
                <w:szCs w:val="16"/>
              </w:rPr>
              <w:t>628</w:t>
            </w:r>
            <w:r w:rsidR="00003E38">
              <w:rPr>
                <w:sz w:val="16"/>
                <w:szCs w:val="16"/>
              </w:rPr>
              <w:t>.44</w:t>
            </w:r>
          </w:p>
          <w:p w:rsidR="002C1E1B" w:rsidRPr="00BA189B" w:rsidRDefault="002C1E1B" w:rsidP="002C1E1B">
            <w:pPr>
              <w:pStyle w:val="BodyText"/>
              <w:spacing w:after="0"/>
              <w:jc w:val="right"/>
              <w:rPr>
                <w:sz w:val="16"/>
                <w:szCs w:val="16"/>
              </w:rPr>
            </w:pPr>
          </w:p>
          <w:p w:rsidR="002C1E1B" w:rsidRPr="00BA189B" w:rsidRDefault="002C1E1B" w:rsidP="002C1E1B">
            <w:pPr>
              <w:pStyle w:val="BodyText"/>
              <w:spacing w:after="0"/>
              <w:jc w:val="right"/>
              <w:rPr>
                <w:sz w:val="16"/>
                <w:szCs w:val="16"/>
              </w:rPr>
            </w:pPr>
            <w:r w:rsidRPr="00BA189B">
              <w:rPr>
                <w:sz w:val="16"/>
                <w:szCs w:val="16"/>
              </w:rPr>
              <w:t>30</w:t>
            </w:r>
            <w:r w:rsidR="008564C5">
              <w:rPr>
                <w:sz w:val="16"/>
                <w:szCs w:val="16"/>
              </w:rPr>
              <w:t>5.78</w:t>
            </w:r>
          </w:p>
        </w:tc>
        <w:tc>
          <w:tcPr>
            <w:tcW w:w="1313" w:type="dxa"/>
            <w:tcBorders>
              <w:top w:val="single" w:sz="6" w:space="0" w:color="1F546B" w:themeColor="text2"/>
            </w:tcBorders>
          </w:tcPr>
          <w:p w:rsidR="002C1E1B" w:rsidRPr="00BA189B" w:rsidRDefault="002C1E1B" w:rsidP="002C1E1B">
            <w:pPr>
              <w:pStyle w:val="BodyText"/>
              <w:spacing w:after="0"/>
              <w:jc w:val="right"/>
              <w:rPr>
                <w:sz w:val="16"/>
                <w:szCs w:val="16"/>
              </w:rPr>
            </w:pPr>
          </w:p>
          <w:p w:rsidR="002C1E1B" w:rsidRPr="00BA189B" w:rsidRDefault="00115211" w:rsidP="002C1E1B">
            <w:pPr>
              <w:pStyle w:val="BodyText"/>
              <w:spacing w:after="0"/>
              <w:jc w:val="right"/>
              <w:rPr>
                <w:sz w:val="16"/>
                <w:szCs w:val="16"/>
              </w:rPr>
            </w:pPr>
            <w:r>
              <w:rPr>
                <w:sz w:val="16"/>
                <w:szCs w:val="16"/>
              </w:rPr>
              <w:t>88.89</w:t>
            </w:r>
          </w:p>
          <w:p w:rsidR="002C1E1B" w:rsidRPr="00BA189B"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189B" w:rsidRDefault="002C1E1B" w:rsidP="002C1E1B">
            <w:pPr>
              <w:pStyle w:val="BodyText"/>
              <w:spacing w:after="0"/>
              <w:jc w:val="right"/>
              <w:rPr>
                <w:sz w:val="16"/>
                <w:szCs w:val="16"/>
              </w:rPr>
            </w:pPr>
            <w:r w:rsidRPr="00BA189B">
              <w:rPr>
                <w:sz w:val="16"/>
                <w:szCs w:val="16"/>
              </w:rPr>
              <w:t>628</w:t>
            </w:r>
            <w:r w:rsidR="00003E38">
              <w:rPr>
                <w:sz w:val="16"/>
                <w:szCs w:val="16"/>
              </w:rPr>
              <w:t>.44</w:t>
            </w:r>
          </w:p>
          <w:p w:rsidR="002C1E1B" w:rsidRPr="00BA189B" w:rsidRDefault="002C1E1B" w:rsidP="002C1E1B">
            <w:pPr>
              <w:pStyle w:val="BodyText"/>
              <w:spacing w:after="0"/>
              <w:jc w:val="right"/>
              <w:rPr>
                <w:sz w:val="16"/>
                <w:szCs w:val="16"/>
              </w:rPr>
            </w:pPr>
          </w:p>
          <w:p w:rsidR="002C1E1B" w:rsidRPr="00BA189B" w:rsidRDefault="00955A9E" w:rsidP="002C1E1B">
            <w:pPr>
              <w:pStyle w:val="BodyText"/>
              <w:spacing w:after="0"/>
              <w:jc w:val="right"/>
              <w:rPr>
                <w:sz w:val="16"/>
                <w:szCs w:val="16"/>
              </w:rPr>
            </w:pPr>
            <w:r>
              <w:rPr>
                <w:sz w:val="16"/>
                <w:szCs w:val="16"/>
              </w:rPr>
              <w:t>0</w:t>
            </w:r>
          </w:p>
        </w:tc>
        <w:tc>
          <w:tcPr>
            <w:tcW w:w="1313" w:type="dxa"/>
            <w:tcBorders>
              <w:top w:val="single" w:sz="6" w:space="0" w:color="1F546B" w:themeColor="text2"/>
            </w:tcBorders>
          </w:tcPr>
          <w:p w:rsidR="002C1E1B" w:rsidRPr="00BA50B0" w:rsidRDefault="002C1E1B" w:rsidP="002C1E1B">
            <w:pPr>
              <w:pStyle w:val="BodyText"/>
              <w:spacing w:after="0"/>
              <w:jc w:val="right"/>
              <w:rPr>
                <w:sz w:val="16"/>
                <w:szCs w:val="16"/>
              </w:rPr>
            </w:pPr>
          </w:p>
          <w:p w:rsidR="002C1E1B" w:rsidRPr="00BA50B0" w:rsidRDefault="00115211" w:rsidP="002C1E1B">
            <w:pPr>
              <w:pStyle w:val="BodyText"/>
              <w:spacing w:after="0"/>
              <w:jc w:val="right"/>
              <w:rPr>
                <w:sz w:val="16"/>
                <w:szCs w:val="16"/>
              </w:rPr>
            </w:pPr>
            <w:r>
              <w:rPr>
                <w:sz w:val="16"/>
                <w:szCs w:val="16"/>
              </w:rPr>
              <w:t>88.89</w:t>
            </w:r>
          </w:p>
          <w:p w:rsidR="002C1E1B" w:rsidRPr="00BA50B0"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628</w:t>
            </w:r>
            <w:r w:rsidR="00003E38">
              <w:rPr>
                <w:sz w:val="16"/>
                <w:szCs w:val="16"/>
              </w:rPr>
              <w:t>.44</w:t>
            </w:r>
          </w:p>
          <w:p w:rsidR="002C1E1B" w:rsidRPr="00BA50B0" w:rsidRDefault="002C1E1B" w:rsidP="002C1E1B">
            <w:pPr>
              <w:pStyle w:val="BodyText"/>
              <w:spacing w:after="0"/>
              <w:jc w:val="right"/>
              <w:rPr>
                <w:sz w:val="16"/>
                <w:szCs w:val="16"/>
              </w:rPr>
            </w:pPr>
          </w:p>
          <w:p w:rsidR="002C1E1B" w:rsidRPr="00BA50B0" w:rsidRDefault="00955A9E" w:rsidP="002C1E1B">
            <w:pPr>
              <w:pStyle w:val="BodyText"/>
              <w:spacing w:after="0"/>
              <w:jc w:val="right"/>
              <w:rPr>
                <w:sz w:val="16"/>
                <w:szCs w:val="16"/>
              </w:rPr>
            </w:pPr>
            <w:r>
              <w:rPr>
                <w:sz w:val="16"/>
                <w:szCs w:val="16"/>
              </w:rPr>
              <w:t>0</w:t>
            </w:r>
          </w:p>
        </w:tc>
        <w:tc>
          <w:tcPr>
            <w:tcW w:w="1313" w:type="dxa"/>
            <w:tcBorders>
              <w:top w:val="single" w:sz="6" w:space="0" w:color="1F546B" w:themeColor="text2"/>
            </w:tcBorders>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8</w:t>
            </w:r>
            <w:r w:rsidR="00115211">
              <w:rPr>
                <w:sz w:val="16"/>
                <w:szCs w:val="16"/>
              </w:rPr>
              <w:t>8.89</w:t>
            </w:r>
          </w:p>
          <w:p w:rsidR="002C1E1B" w:rsidRPr="00BA50B0"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628</w:t>
            </w:r>
            <w:r w:rsidR="00003E38">
              <w:rPr>
                <w:sz w:val="16"/>
                <w:szCs w:val="16"/>
              </w:rPr>
              <w:t>.44</w:t>
            </w:r>
          </w:p>
          <w:p w:rsidR="002C1E1B" w:rsidRPr="00BA50B0" w:rsidRDefault="002C1E1B" w:rsidP="002C1E1B">
            <w:pPr>
              <w:pStyle w:val="BodyText"/>
              <w:spacing w:after="0"/>
              <w:jc w:val="right"/>
              <w:rPr>
                <w:sz w:val="16"/>
                <w:szCs w:val="16"/>
              </w:rPr>
            </w:pPr>
          </w:p>
          <w:p w:rsidR="002C1E1B" w:rsidRPr="00BA50B0" w:rsidRDefault="00955A9E" w:rsidP="002C1E1B">
            <w:pPr>
              <w:pStyle w:val="BodyText"/>
              <w:spacing w:after="0"/>
              <w:jc w:val="right"/>
              <w:rPr>
                <w:sz w:val="16"/>
                <w:szCs w:val="16"/>
              </w:rPr>
            </w:pPr>
            <w:r>
              <w:rPr>
                <w:sz w:val="16"/>
                <w:szCs w:val="16"/>
              </w:rPr>
              <w:t>0</w:t>
            </w:r>
          </w:p>
        </w:tc>
        <w:tc>
          <w:tcPr>
            <w:tcW w:w="1313" w:type="dxa"/>
            <w:tcBorders>
              <w:top w:val="single" w:sz="6" w:space="0" w:color="1F546B" w:themeColor="text2"/>
            </w:tcBorders>
          </w:tcPr>
          <w:p w:rsidR="002C1E1B" w:rsidRPr="00BA50B0" w:rsidRDefault="002C1E1B" w:rsidP="002C1E1B">
            <w:pPr>
              <w:pStyle w:val="BodyText"/>
              <w:spacing w:after="0"/>
              <w:jc w:val="right"/>
              <w:rPr>
                <w:sz w:val="16"/>
                <w:szCs w:val="16"/>
              </w:rPr>
            </w:pPr>
          </w:p>
          <w:p w:rsidR="002C1E1B" w:rsidRPr="00BA50B0" w:rsidRDefault="00115211" w:rsidP="002C1E1B">
            <w:pPr>
              <w:pStyle w:val="BodyText"/>
              <w:spacing w:after="0"/>
              <w:jc w:val="right"/>
              <w:rPr>
                <w:sz w:val="16"/>
                <w:szCs w:val="16"/>
              </w:rPr>
            </w:pPr>
            <w:r>
              <w:rPr>
                <w:sz w:val="16"/>
                <w:szCs w:val="16"/>
              </w:rPr>
              <w:t>88.89</w:t>
            </w:r>
          </w:p>
          <w:p w:rsidR="002C1E1B" w:rsidRPr="00BA50B0"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628</w:t>
            </w:r>
            <w:r w:rsidR="00003E38">
              <w:rPr>
                <w:sz w:val="16"/>
                <w:szCs w:val="16"/>
              </w:rPr>
              <w:t>.44</w:t>
            </w:r>
          </w:p>
          <w:p w:rsidR="002C1E1B" w:rsidRPr="00BA50B0" w:rsidRDefault="002C1E1B" w:rsidP="002C1E1B">
            <w:pPr>
              <w:pStyle w:val="BodyText"/>
              <w:spacing w:after="0"/>
              <w:jc w:val="right"/>
              <w:rPr>
                <w:sz w:val="16"/>
                <w:szCs w:val="16"/>
              </w:rPr>
            </w:pPr>
          </w:p>
          <w:p w:rsidR="002C1E1B" w:rsidRPr="00BA50B0" w:rsidRDefault="00955A9E" w:rsidP="002C1E1B">
            <w:pPr>
              <w:pStyle w:val="BodyText"/>
              <w:spacing w:after="0"/>
              <w:jc w:val="right"/>
              <w:rPr>
                <w:sz w:val="16"/>
                <w:szCs w:val="16"/>
              </w:rPr>
            </w:pPr>
            <w:r>
              <w:rPr>
                <w:sz w:val="16"/>
                <w:szCs w:val="16"/>
              </w:rPr>
              <w:t>0</w:t>
            </w:r>
          </w:p>
        </w:tc>
        <w:tc>
          <w:tcPr>
            <w:tcW w:w="1340" w:type="dxa"/>
            <w:tcBorders>
              <w:top w:val="single" w:sz="6" w:space="0" w:color="1F546B" w:themeColor="text2"/>
            </w:tcBorders>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56</w:t>
            </w:r>
          </w:p>
          <w:p w:rsidR="002C1E1B" w:rsidRPr="00BA50B0" w:rsidRDefault="002C1E1B" w:rsidP="002C1E1B">
            <w:pPr>
              <w:pStyle w:val="BodyText"/>
              <w:spacing w:after="0"/>
              <w:jc w:val="right"/>
              <w:rPr>
                <w:sz w:val="16"/>
                <w:szCs w:val="16"/>
              </w:rPr>
            </w:pPr>
          </w:p>
          <w:p w:rsidR="002C1E1B"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20</w:t>
            </w:r>
          </w:p>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7</w:t>
            </w:r>
          </w:p>
        </w:tc>
      </w:tr>
      <w:tr w:rsidR="002C1E1B" w:rsidTr="000A3D4F">
        <w:tc>
          <w:tcPr>
            <w:tcW w:w="2127" w:type="dxa"/>
          </w:tcPr>
          <w:p w:rsidR="002C1E1B" w:rsidRPr="00BA50B0" w:rsidRDefault="002C1E1B" w:rsidP="00E302D2">
            <w:pPr>
              <w:pStyle w:val="BodyText"/>
              <w:spacing w:after="0"/>
              <w:rPr>
                <w:b/>
                <w:sz w:val="16"/>
                <w:szCs w:val="16"/>
              </w:rPr>
            </w:pPr>
            <w:r w:rsidRPr="00BA50B0">
              <w:rPr>
                <w:b/>
                <w:sz w:val="16"/>
                <w:szCs w:val="16"/>
              </w:rPr>
              <w:t>Class 4 Operator Licences</w:t>
            </w:r>
          </w:p>
          <w:p w:rsidR="002C1E1B" w:rsidRDefault="002C1E1B" w:rsidP="00E302D2">
            <w:pPr>
              <w:pStyle w:val="BodyText"/>
              <w:spacing w:after="0"/>
              <w:rPr>
                <w:sz w:val="16"/>
                <w:szCs w:val="16"/>
              </w:rPr>
            </w:pPr>
            <w:r w:rsidRPr="00BA50B0">
              <w:rPr>
                <w:sz w:val="16"/>
                <w:szCs w:val="16"/>
              </w:rPr>
              <w:t>New (club societies)</w:t>
            </w:r>
          </w:p>
          <w:p w:rsidR="005655DB" w:rsidRPr="00BA50B0"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BA50B0">
              <w:rPr>
                <w:sz w:val="16"/>
                <w:szCs w:val="16"/>
              </w:rPr>
              <w:t>New (non-club societies)</w:t>
            </w:r>
          </w:p>
          <w:p w:rsidR="005655DB"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BA50B0">
              <w:rPr>
                <w:sz w:val="16"/>
                <w:szCs w:val="16"/>
              </w:rPr>
              <w:t>Amendment or notification (key person)</w:t>
            </w:r>
          </w:p>
          <w:p w:rsidR="005655DB"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BA50B0">
              <w:rPr>
                <w:sz w:val="16"/>
                <w:szCs w:val="16"/>
              </w:rPr>
              <w:t>Amendment or notification (other)</w:t>
            </w:r>
          </w:p>
          <w:p w:rsidR="005655DB"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BA50B0">
              <w:rPr>
                <w:sz w:val="16"/>
                <w:szCs w:val="16"/>
              </w:rPr>
              <w:t>Renewal (club societies)</w:t>
            </w:r>
          </w:p>
          <w:p w:rsidR="005655DB"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BA50B0">
              <w:rPr>
                <w:sz w:val="16"/>
                <w:szCs w:val="16"/>
              </w:rPr>
              <w:t>Renewal (non-club societies)</w:t>
            </w:r>
          </w:p>
          <w:p w:rsidR="005655DB" w:rsidRDefault="005655DB" w:rsidP="00E302D2">
            <w:pPr>
              <w:pStyle w:val="BodyText"/>
              <w:spacing w:after="0"/>
              <w:rPr>
                <w:sz w:val="16"/>
                <w:szCs w:val="16"/>
              </w:rPr>
            </w:pPr>
          </w:p>
          <w:p w:rsidR="002C1E1B" w:rsidRPr="00BA50B0" w:rsidRDefault="002C1E1B" w:rsidP="00E302D2">
            <w:pPr>
              <w:pStyle w:val="BodyText"/>
              <w:spacing w:after="0"/>
              <w:rPr>
                <w:sz w:val="16"/>
                <w:szCs w:val="16"/>
              </w:rPr>
            </w:pPr>
            <w:r w:rsidRPr="00103788">
              <w:rPr>
                <w:sz w:val="16"/>
                <w:szCs w:val="16"/>
              </w:rPr>
              <w:t>O</w:t>
            </w:r>
            <w:r>
              <w:rPr>
                <w:sz w:val="16"/>
                <w:szCs w:val="16"/>
              </w:rPr>
              <w:t>perator’s annual fee (non-clubs)</w:t>
            </w:r>
          </w:p>
        </w:tc>
        <w:tc>
          <w:tcPr>
            <w:tcW w:w="1302"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w:t>
            </w:r>
            <w:r>
              <w:rPr>
                <w:sz w:val="16"/>
                <w:szCs w:val="16"/>
              </w:rPr>
              <w:t>,</w:t>
            </w:r>
            <w:r w:rsidRPr="00BA50B0">
              <w:rPr>
                <w:sz w:val="16"/>
                <w:szCs w:val="16"/>
              </w:rPr>
              <w:t>616</w:t>
            </w:r>
          </w:p>
          <w:p w:rsidR="005655DB" w:rsidRDefault="002C1E1B" w:rsidP="002C1E1B">
            <w:pPr>
              <w:pStyle w:val="BodyText"/>
              <w:spacing w:after="0"/>
              <w:jc w:val="right"/>
              <w:rPr>
                <w:sz w:val="16"/>
                <w:szCs w:val="16"/>
              </w:rPr>
            </w:pPr>
            <w:r>
              <w:rPr>
                <w:sz w:val="16"/>
                <w:szCs w:val="16"/>
              </w:rPr>
              <w:t xml:space="preserve">          </w:t>
            </w:r>
          </w:p>
          <w:p w:rsidR="002C1E1B" w:rsidRPr="00BA50B0" w:rsidRDefault="002C1E1B" w:rsidP="002C1E1B">
            <w:pPr>
              <w:pStyle w:val="BodyText"/>
              <w:spacing w:after="0"/>
              <w:jc w:val="right"/>
              <w:rPr>
                <w:sz w:val="16"/>
                <w:szCs w:val="16"/>
              </w:rPr>
            </w:pPr>
            <w:r>
              <w:rPr>
                <w:sz w:val="16"/>
                <w:szCs w:val="16"/>
              </w:rPr>
              <w:t xml:space="preserve"> </w:t>
            </w:r>
            <w:r w:rsidRPr="00BA50B0">
              <w:rPr>
                <w:sz w:val="16"/>
                <w:szCs w:val="16"/>
              </w:rPr>
              <w:t>565</w:t>
            </w:r>
            <w:r w:rsidR="00D83835">
              <w:rPr>
                <w:sz w:val="16"/>
                <w:szCs w:val="16"/>
              </w:rPr>
              <w:t>.33</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22</w:t>
            </w:r>
            <w:r w:rsidR="00B86C7E">
              <w:rPr>
                <w:sz w:val="16"/>
                <w:szCs w:val="16"/>
              </w:rPr>
              <w:t>5.78</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Default="002C1E1B" w:rsidP="002C1E1B">
            <w:pPr>
              <w:pStyle w:val="BodyText"/>
              <w:spacing w:after="0"/>
              <w:jc w:val="right"/>
              <w:rPr>
                <w:sz w:val="16"/>
                <w:szCs w:val="16"/>
              </w:rPr>
            </w:pPr>
            <w:r w:rsidRPr="00BA50B0">
              <w:rPr>
                <w:sz w:val="16"/>
                <w:szCs w:val="16"/>
              </w:rPr>
              <w:t>1,</w:t>
            </w:r>
            <w:r w:rsidR="00F51F43">
              <w:rPr>
                <w:sz w:val="16"/>
                <w:szCs w:val="16"/>
              </w:rPr>
              <w:t>129.78</w:t>
            </w:r>
          </w:p>
          <w:p w:rsidR="005655DB" w:rsidRDefault="005655DB" w:rsidP="002C1E1B">
            <w:pPr>
              <w:pStyle w:val="BodyText"/>
              <w:spacing w:after="0"/>
              <w:jc w:val="right"/>
              <w:rPr>
                <w:sz w:val="16"/>
                <w:szCs w:val="16"/>
              </w:rPr>
            </w:pPr>
          </w:p>
          <w:p w:rsidR="002C1E1B" w:rsidRDefault="002C1E1B" w:rsidP="002C1E1B">
            <w:pPr>
              <w:pStyle w:val="BodyText"/>
              <w:spacing w:after="0"/>
              <w:jc w:val="right"/>
              <w:rPr>
                <w:sz w:val="16"/>
                <w:szCs w:val="16"/>
              </w:rPr>
            </w:pPr>
            <w:r w:rsidRPr="00BA50B0">
              <w:rPr>
                <w:sz w:val="16"/>
                <w:szCs w:val="16"/>
              </w:rPr>
              <w:t>2,26</w:t>
            </w:r>
            <w:r w:rsidR="00404592">
              <w:rPr>
                <w:sz w:val="16"/>
                <w:szCs w:val="16"/>
              </w:rPr>
              <w:t>0.44</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w:t>
            </w:r>
            <w:r w:rsidR="005A6B7A">
              <w:rPr>
                <w:sz w:val="16"/>
                <w:szCs w:val="16"/>
              </w:rPr>
              <w:t>11.56</w:t>
            </w:r>
          </w:p>
        </w:tc>
        <w:tc>
          <w:tcPr>
            <w:tcW w:w="1313"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15,795</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565</w:t>
            </w:r>
            <w:r w:rsidR="00D83835">
              <w:rPr>
                <w:sz w:val="16"/>
                <w:szCs w:val="16"/>
              </w:rPr>
              <w:t>.33</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169</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F51F43" w:rsidP="002C1E1B">
            <w:pPr>
              <w:pStyle w:val="BodyText"/>
              <w:spacing w:after="0"/>
              <w:jc w:val="right"/>
              <w:rPr>
                <w:sz w:val="16"/>
                <w:szCs w:val="16"/>
              </w:rPr>
            </w:pPr>
            <w:r>
              <w:rPr>
                <w:sz w:val="16"/>
                <w:szCs w:val="16"/>
              </w:rPr>
              <w:t>1,129.78</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10,246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w:t>
            </w:r>
            <w:r w:rsidR="005A6B7A">
              <w:rPr>
                <w:sz w:val="16"/>
                <w:szCs w:val="16"/>
              </w:rPr>
              <w:t>11.56</w:t>
            </w:r>
          </w:p>
        </w:tc>
        <w:tc>
          <w:tcPr>
            <w:tcW w:w="1313"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15,795</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565</w:t>
            </w:r>
            <w:r w:rsidR="00D83835">
              <w:rPr>
                <w:sz w:val="16"/>
                <w:szCs w:val="16"/>
              </w:rPr>
              <w:t>.33</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169</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F51F43" w:rsidP="002C1E1B">
            <w:pPr>
              <w:pStyle w:val="BodyText"/>
              <w:spacing w:after="0"/>
              <w:jc w:val="right"/>
              <w:rPr>
                <w:sz w:val="16"/>
                <w:szCs w:val="16"/>
              </w:rPr>
            </w:pPr>
            <w:r>
              <w:rPr>
                <w:sz w:val="16"/>
                <w:szCs w:val="16"/>
              </w:rPr>
              <w:t>1,129.78</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10,246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w:t>
            </w:r>
            <w:r w:rsidR="005A6B7A">
              <w:rPr>
                <w:sz w:val="16"/>
                <w:szCs w:val="16"/>
              </w:rPr>
              <w:t>1.56</w:t>
            </w:r>
          </w:p>
        </w:tc>
        <w:tc>
          <w:tcPr>
            <w:tcW w:w="1313"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15,795</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565</w:t>
            </w:r>
            <w:r w:rsidR="00D83835">
              <w:rPr>
                <w:sz w:val="16"/>
                <w:szCs w:val="16"/>
              </w:rPr>
              <w:t>.33</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169</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F51F43" w:rsidP="002C1E1B">
            <w:pPr>
              <w:pStyle w:val="BodyText"/>
              <w:spacing w:after="0"/>
              <w:jc w:val="right"/>
              <w:rPr>
                <w:sz w:val="16"/>
                <w:szCs w:val="16"/>
              </w:rPr>
            </w:pPr>
            <w:r>
              <w:rPr>
                <w:sz w:val="16"/>
                <w:szCs w:val="16"/>
              </w:rPr>
              <w:t>1,129.78</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10,246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w:t>
            </w:r>
            <w:r w:rsidR="005A6B7A">
              <w:rPr>
                <w:sz w:val="16"/>
                <w:szCs w:val="16"/>
              </w:rPr>
              <w:t>1.56</w:t>
            </w:r>
          </w:p>
        </w:tc>
        <w:tc>
          <w:tcPr>
            <w:tcW w:w="1313"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15,795</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565</w:t>
            </w:r>
            <w:r w:rsidR="00D83835">
              <w:rPr>
                <w:sz w:val="16"/>
                <w:szCs w:val="16"/>
              </w:rPr>
              <w:t>.33</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169</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F51F43" w:rsidP="002C1E1B">
            <w:pPr>
              <w:pStyle w:val="BodyText"/>
              <w:spacing w:after="0"/>
              <w:jc w:val="right"/>
              <w:rPr>
                <w:sz w:val="16"/>
                <w:szCs w:val="16"/>
              </w:rPr>
            </w:pPr>
            <w:r>
              <w:rPr>
                <w:sz w:val="16"/>
                <w:szCs w:val="16"/>
              </w:rPr>
              <w:t>1,129.78</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10,246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3,61</w:t>
            </w:r>
            <w:r w:rsidR="005A6B7A">
              <w:rPr>
                <w:sz w:val="16"/>
                <w:szCs w:val="16"/>
              </w:rPr>
              <w:t>1.56</w:t>
            </w:r>
          </w:p>
        </w:tc>
        <w:tc>
          <w:tcPr>
            <w:tcW w:w="1340" w:type="dxa"/>
          </w:tcPr>
          <w:p w:rsidR="002C1E1B" w:rsidRPr="00BA50B0" w:rsidRDefault="002C1E1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6</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2</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446</w:t>
            </w:r>
          </w:p>
          <w:p w:rsidR="002C1E1B" w:rsidRPr="00BA50B0"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2,932</w:t>
            </w:r>
          </w:p>
          <w:p w:rsidR="002C1E1B" w:rsidRDefault="002C1E1B" w:rsidP="002C1E1B">
            <w:pPr>
              <w:pStyle w:val="BodyText"/>
              <w:spacing w:after="0"/>
              <w:jc w:val="right"/>
              <w:rPr>
                <w:sz w:val="16"/>
                <w:szCs w:val="16"/>
              </w:rPr>
            </w:pP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Pr>
                <w:sz w:val="16"/>
                <w:szCs w:val="16"/>
              </w:rPr>
              <w:t>200</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35</w:t>
            </w:r>
          </w:p>
          <w:p w:rsidR="005655DB" w:rsidRDefault="005655DB" w:rsidP="002C1E1B">
            <w:pPr>
              <w:pStyle w:val="BodyText"/>
              <w:spacing w:after="0"/>
              <w:jc w:val="right"/>
              <w:rPr>
                <w:sz w:val="16"/>
                <w:szCs w:val="16"/>
              </w:rPr>
            </w:pPr>
          </w:p>
          <w:p w:rsidR="002C1E1B" w:rsidRPr="00BA50B0" w:rsidRDefault="002C1E1B" w:rsidP="002C1E1B">
            <w:pPr>
              <w:pStyle w:val="BodyText"/>
              <w:spacing w:after="0"/>
              <w:jc w:val="right"/>
              <w:rPr>
                <w:sz w:val="16"/>
                <w:szCs w:val="16"/>
              </w:rPr>
            </w:pPr>
            <w:r w:rsidRPr="00BA50B0">
              <w:rPr>
                <w:sz w:val="16"/>
                <w:szCs w:val="16"/>
              </w:rPr>
              <w:t>35</w:t>
            </w:r>
          </w:p>
        </w:tc>
      </w:tr>
      <w:tr w:rsidR="008168B9" w:rsidTr="000A3D4F">
        <w:tc>
          <w:tcPr>
            <w:tcW w:w="2127" w:type="dxa"/>
          </w:tcPr>
          <w:p w:rsidR="008168B9" w:rsidRPr="00BA50B0" w:rsidRDefault="008168B9" w:rsidP="00E302D2">
            <w:pPr>
              <w:pStyle w:val="BodyText"/>
              <w:spacing w:after="0"/>
              <w:rPr>
                <w:b/>
                <w:sz w:val="16"/>
                <w:szCs w:val="16"/>
              </w:rPr>
            </w:pPr>
            <w:r w:rsidRPr="00BA50B0">
              <w:rPr>
                <w:b/>
                <w:sz w:val="16"/>
                <w:szCs w:val="16"/>
              </w:rPr>
              <w:t>Annual compliance fee (per gaming machine) – non-clubs and larger clubs</w:t>
            </w:r>
          </w:p>
        </w:tc>
        <w:tc>
          <w:tcPr>
            <w:tcW w:w="1302" w:type="dxa"/>
          </w:tcPr>
          <w:p w:rsidR="008168B9" w:rsidRPr="00BA50B0" w:rsidRDefault="008168B9" w:rsidP="00056177">
            <w:pPr>
              <w:pStyle w:val="BodyText"/>
              <w:jc w:val="right"/>
              <w:rPr>
                <w:sz w:val="16"/>
                <w:szCs w:val="16"/>
              </w:rPr>
            </w:pPr>
            <w:r w:rsidRPr="00BA50B0">
              <w:rPr>
                <w:sz w:val="16"/>
                <w:szCs w:val="16"/>
              </w:rPr>
              <w:t>37</w:t>
            </w:r>
            <w:r w:rsidR="00056177">
              <w:rPr>
                <w:sz w:val="16"/>
                <w:szCs w:val="16"/>
              </w:rPr>
              <w:t>7.78</w:t>
            </w:r>
          </w:p>
        </w:tc>
        <w:tc>
          <w:tcPr>
            <w:tcW w:w="1313" w:type="dxa"/>
          </w:tcPr>
          <w:p w:rsidR="008168B9" w:rsidRPr="00BA50B0" w:rsidRDefault="008168B9" w:rsidP="00E302D2">
            <w:pPr>
              <w:pStyle w:val="BodyText"/>
              <w:jc w:val="right"/>
              <w:rPr>
                <w:sz w:val="16"/>
                <w:szCs w:val="16"/>
              </w:rPr>
            </w:pPr>
            <w:r>
              <w:rPr>
                <w:sz w:val="16"/>
                <w:szCs w:val="16"/>
              </w:rPr>
              <w:t>595.77</w:t>
            </w:r>
          </w:p>
        </w:tc>
        <w:tc>
          <w:tcPr>
            <w:tcW w:w="1313" w:type="dxa"/>
          </w:tcPr>
          <w:p w:rsidR="008168B9" w:rsidRPr="00BA50B0" w:rsidRDefault="008168B9" w:rsidP="00E302D2">
            <w:pPr>
              <w:pStyle w:val="BodyText"/>
              <w:jc w:val="right"/>
              <w:rPr>
                <w:sz w:val="16"/>
                <w:szCs w:val="16"/>
              </w:rPr>
            </w:pPr>
            <w:r>
              <w:rPr>
                <w:sz w:val="16"/>
                <w:szCs w:val="16"/>
              </w:rPr>
              <w:t>627.27</w:t>
            </w:r>
          </w:p>
        </w:tc>
        <w:tc>
          <w:tcPr>
            <w:tcW w:w="1313" w:type="dxa"/>
          </w:tcPr>
          <w:p w:rsidR="008168B9" w:rsidRPr="00BA50B0" w:rsidRDefault="008168B9" w:rsidP="00E302D2">
            <w:pPr>
              <w:pStyle w:val="BodyText"/>
              <w:jc w:val="right"/>
              <w:rPr>
                <w:sz w:val="16"/>
                <w:szCs w:val="16"/>
              </w:rPr>
            </w:pPr>
            <w:r>
              <w:rPr>
                <w:sz w:val="16"/>
                <w:szCs w:val="16"/>
              </w:rPr>
              <w:t>661.13</w:t>
            </w:r>
          </w:p>
        </w:tc>
        <w:tc>
          <w:tcPr>
            <w:tcW w:w="1313" w:type="dxa"/>
          </w:tcPr>
          <w:p w:rsidR="008168B9" w:rsidRPr="00BA50B0" w:rsidRDefault="008168B9" w:rsidP="00E302D2">
            <w:pPr>
              <w:pStyle w:val="BodyText"/>
              <w:jc w:val="right"/>
              <w:rPr>
                <w:sz w:val="16"/>
                <w:szCs w:val="16"/>
              </w:rPr>
            </w:pPr>
            <w:r>
              <w:rPr>
                <w:sz w:val="16"/>
                <w:szCs w:val="16"/>
              </w:rPr>
              <w:t>930.35</w:t>
            </w:r>
          </w:p>
        </w:tc>
        <w:tc>
          <w:tcPr>
            <w:tcW w:w="1340" w:type="dxa"/>
          </w:tcPr>
          <w:p w:rsidR="008168B9" w:rsidRPr="00BA50B0" w:rsidRDefault="008168B9" w:rsidP="00E302D2">
            <w:pPr>
              <w:pStyle w:val="BodyText"/>
              <w:jc w:val="right"/>
              <w:rPr>
                <w:sz w:val="16"/>
                <w:szCs w:val="16"/>
              </w:rPr>
            </w:pPr>
            <w:r w:rsidRPr="00BA50B0">
              <w:rPr>
                <w:sz w:val="16"/>
                <w:szCs w:val="16"/>
              </w:rPr>
              <w:t>13,810</w:t>
            </w:r>
          </w:p>
        </w:tc>
      </w:tr>
      <w:tr w:rsidR="008168B9" w:rsidTr="000A3D4F">
        <w:tc>
          <w:tcPr>
            <w:tcW w:w="2127" w:type="dxa"/>
          </w:tcPr>
          <w:p w:rsidR="008168B9" w:rsidRPr="00BA50B0" w:rsidRDefault="008168B9" w:rsidP="00E302D2">
            <w:pPr>
              <w:pStyle w:val="BodyText"/>
              <w:spacing w:after="0"/>
              <w:rPr>
                <w:b/>
                <w:sz w:val="16"/>
                <w:szCs w:val="16"/>
              </w:rPr>
            </w:pPr>
            <w:r w:rsidRPr="00BA50B0">
              <w:rPr>
                <w:b/>
                <w:sz w:val="16"/>
                <w:szCs w:val="16"/>
              </w:rPr>
              <w:t xml:space="preserve">Annual compliance fee (per </w:t>
            </w:r>
            <w:r>
              <w:rPr>
                <w:b/>
                <w:sz w:val="16"/>
                <w:szCs w:val="16"/>
              </w:rPr>
              <w:t>gaming machine)</w:t>
            </w:r>
            <w:r w:rsidRPr="00BA50B0">
              <w:rPr>
                <w:b/>
                <w:sz w:val="16"/>
                <w:szCs w:val="16"/>
              </w:rPr>
              <w:t xml:space="preserve"> – small clubs</w:t>
            </w:r>
          </w:p>
        </w:tc>
        <w:tc>
          <w:tcPr>
            <w:tcW w:w="1302" w:type="dxa"/>
          </w:tcPr>
          <w:p w:rsidR="008168B9" w:rsidRPr="00BA50B0" w:rsidRDefault="008168B9" w:rsidP="00E302D2">
            <w:pPr>
              <w:pStyle w:val="BodyText"/>
              <w:jc w:val="right"/>
              <w:rPr>
                <w:sz w:val="16"/>
                <w:szCs w:val="16"/>
              </w:rPr>
            </w:pPr>
            <w:r w:rsidRPr="00BA50B0">
              <w:rPr>
                <w:sz w:val="16"/>
                <w:szCs w:val="16"/>
              </w:rPr>
              <w:t>37</w:t>
            </w:r>
            <w:r w:rsidR="00453C54">
              <w:rPr>
                <w:sz w:val="16"/>
                <w:szCs w:val="16"/>
              </w:rPr>
              <w:t>7.78</w:t>
            </w:r>
          </w:p>
        </w:tc>
        <w:tc>
          <w:tcPr>
            <w:tcW w:w="1313" w:type="dxa"/>
          </w:tcPr>
          <w:p w:rsidR="008168B9" w:rsidRPr="00BA50B0" w:rsidRDefault="008168B9" w:rsidP="00E302D2">
            <w:pPr>
              <w:pStyle w:val="BodyText"/>
              <w:jc w:val="right"/>
              <w:rPr>
                <w:sz w:val="16"/>
                <w:szCs w:val="16"/>
              </w:rPr>
            </w:pPr>
            <w:r>
              <w:rPr>
                <w:sz w:val="16"/>
                <w:szCs w:val="16"/>
              </w:rPr>
              <w:t>295.50</w:t>
            </w:r>
          </w:p>
        </w:tc>
        <w:tc>
          <w:tcPr>
            <w:tcW w:w="1313" w:type="dxa"/>
          </w:tcPr>
          <w:p w:rsidR="008168B9" w:rsidRPr="00BA50B0" w:rsidRDefault="008168B9" w:rsidP="00E302D2">
            <w:pPr>
              <w:pStyle w:val="BodyText"/>
              <w:jc w:val="right"/>
              <w:rPr>
                <w:sz w:val="16"/>
                <w:szCs w:val="16"/>
              </w:rPr>
            </w:pPr>
            <w:r w:rsidRPr="00BA50B0">
              <w:rPr>
                <w:sz w:val="16"/>
                <w:szCs w:val="16"/>
              </w:rPr>
              <w:t>3</w:t>
            </w:r>
            <w:r>
              <w:rPr>
                <w:sz w:val="16"/>
                <w:szCs w:val="16"/>
              </w:rPr>
              <w:t>04.50</w:t>
            </w:r>
          </w:p>
        </w:tc>
        <w:tc>
          <w:tcPr>
            <w:tcW w:w="1313" w:type="dxa"/>
          </w:tcPr>
          <w:p w:rsidR="008168B9" w:rsidRPr="00BA50B0" w:rsidRDefault="008168B9" w:rsidP="00E302D2">
            <w:pPr>
              <w:pStyle w:val="BodyText"/>
              <w:jc w:val="right"/>
              <w:rPr>
                <w:sz w:val="16"/>
                <w:szCs w:val="16"/>
              </w:rPr>
            </w:pPr>
            <w:r w:rsidRPr="00BA50B0">
              <w:rPr>
                <w:sz w:val="16"/>
                <w:szCs w:val="16"/>
              </w:rPr>
              <w:t>3</w:t>
            </w:r>
            <w:r>
              <w:rPr>
                <w:sz w:val="16"/>
                <w:szCs w:val="16"/>
              </w:rPr>
              <w:t>13.50</w:t>
            </w:r>
          </w:p>
        </w:tc>
        <w:tc>
          <w:tcPr>
            <w:tcW w:w="1313" w:type="dxa"/>
          </w:tcPr>
          <w:p w:rsidR="008168B9" w:rsidRPr="00BA50B0" w:rsidRDefault="008168B9" w:rsidP="00E302D2">
            <w:pPr>
              <w:pStyle w:val="BodyText"/>
              <w:jc w:val="right"/>
              <w:rPr>
                <w:sz w:val="16"/>
                <w:szCs w:val="16"/>
              </w:rPr>
            </w:pPr>
            <w:r>
              <w:rPr>
                <w:sz w:val="16"/>
                <w:szCs w:val="16"/>
              </w:rPr>
              <w:t>368.30</w:t>
            </w:r>
          </w:p>
        </w:tc>
        <w:tc>
          <w:tcPr>
            <w:tcW w:w="1340" w:type="dxa"/>
          </w:tcPr>
          <w:p w:rsidR="008168B9" w:rsidRPr="00BA50B0" w:rsidRDefault="008168B9" w:rsidP="00E302D2">
            <w:pPr>
              <w:pStyle w:val="BodyText"/>
              <w:jc w:val="right"/>
              <w:rPr>
                <w:sz w:val="16"/>
                <w:szCs w:val="16"/>
              </w:rPr>
            </w:pPr>
            <w:r w:rsidRPr="00BA50B0">
              <w:rPr>
                <w:sz w:val="16"/>
                <w:szCs w:val="16"/>
              </w:rPr>
              <w:t>320</w:t>
            </w:r>
          </w:p>
        </w:tc>
      </w:tr>
      <w:tr w:rsidR="00B52AD5" w:rsidTr="000A3D4F">
        <w:tc>
          <w:tcPr>
            <w:tcW w:w="2127" w:type="dxa"/>
          </w:tcPr>
          <w:p w:rsidR="00B52AD5" w:rsidRPr="00BA50B0" w:rsidRDefault="00B52AD5" w:rsidP="00E302D2">
            <w:pPr>
              <w:pStyle w:val="BodyText"/>
              <w:spacing w:after="0"/>
              <w:rPr>
                <w:b/>
                <w:sz w:val="16"/>
                <w:szCs w:val="16"/>
              </w:rPr>
            </w:pPr>
            <w:r w:rsidRPr="00BA50B0">
              <w:rPr>
                <w:b/>
                <w:sz w:val="16"/>
                <w:szCs w:val="16"/>
              </w:rPr>
              <w:t>Class 4 venue licences</w:t>
            </w:r>
          </w:p>
          <w:p w:rsidR="00B52AD5" w:rsidRPr="00BA50B0" w:rsidRDefault="00B52AD5" w:rsidP="00E302D2">
            <w:pPr>
              <w:pStyle w:val="BodyText"/>
              <w:spacing w:after="0"/>
              <w:rPr>
                <w:sz w:val="16"/>
                <w:szCs w:val="16"/>
              </w:rPr>
            </w:pPr>
            <w:r w:rsidRPr="00BA50B0">
              <w:rPr>
                <w:sz w:val="16"/>
                <w:szCs w:val="16"/>
              </w:rPr>
              <w:t>New venue licence (club)</w:t>
            </w:r>
          </w:p>
          <w:p w:rsidR="00B52AD5" w:rsidRDefault="00B52AD5" w:rsidP="00E302D2">
            <w:pPr>
              <w:pStyle w:val="BodyText"/>
              <w:spacing w:after="0"/>
              <w:rPr>
                <w:sz w:val="16"/>
                <w:szCs w:val="16"/>
              </w:rPr>
            </w:pPr>
          </w:p>
          <w:p w:rsidR="00B52AD5" w:rsidRPr="00BA50B0" w:rsidRDefault="00B52AD5" w:rsidP="00E302D2">
            <w:pPr>
              <w:pStyle w:val="BodyText"/>
              <w:spacing w:after="0"/>
              <w:rPr>
                <w:sz w:val="16"/>
                <w:szCs w:val="16"/>
              </w:rPr>
            </w:pPr>
            <w:r w:rsidRPr="00BA50B0">
              <w:rPr>
                <w:sz w:val="16"/>
                <w:szCs w:val="16"/>
              </w:rPr>
              <w:t>New venue licence (non-club)</w:t>
            </w:r>
          </w:p>
          <w:p w:rsidR="00B52AD5" w:rsidRDefault="00B52AD5" w:rsidP="00E302D2">
            <w:pPr>
              <w:pStyle w:val="BodyText"/>
              <w:spacing w:after="0"/>
              <w:rPr>
                <w:sz w:val="16"/>
                <w:szCs w:val="16"/>
              </w:rPr>
            </w:pPr>
          </w:p>
          <w:p w:rsidR="00B52AD5" w:rsidRPr="00BA50B0" w:rsidRDefault="00B52AD5" w:rsidP="00E302D2">
            <w:pPr>
              <w:pStyle w:val="BodyText"/>
              <w:spacing w:after="0"/>
              <w:rPr>
                <w:sz w:val="16"/>
                <w:szCs w:val="16"/>
              </w:rPr>
            </w:pPr>
            <w:r w:rsidRPr="00BA50B0">
              <w:rPr>
                <w:sz w:val="16"/>
                <w:szCs w:val="16"/>
              </w:rPr>
              <w:t>Renewed venue licence (club)</w:t>
            </w:r>
          </w:p>
          <w:p w:rsidR="00B52AD5" w:rsidRDefault="00B52AD5" w:rsidP="00E302D2">
            <w:pPr>
              <w:pStyle w:val="BodyText"/>
              <w:spacing w:after="0"/>
              <w:rPr>
                <w:sz w:val="16"/>
                <w:szCs w:val="16"/>
              </w:rPr>
            </w:pPr>
          </w:p>
          <w:p w:rsidR="00B52AD5" w:rsidRPr="00BA50B0" w:rsidRDefault="00B52AD5" w:rsidP="00E302D2">
            <w:pPr>
              <w:pStyle w:val="BodyText"/>
              <w:spacing w:after="0"/>
              <w:rPr>
                <w:sz w:val="16"/>
                <w:szCs w:val="16"/>
              </w:rPr>
            </w:pPr>
            <w:r w:rsidRPr="00BA50B0">
              <w:rPr>
                <w:sz w:val="16"/>
                <w:szCs w:val="16"/>
              </w:rPr>
              <w:t>Renewed venue licence (non-club)</w:t>
            </w:r>
          </w:p>
          <w:p w:rsidR="00B52AD5" w:rsidRPr="00BA50B0" w:rsidRDefault="00B52AD5" w:rsidP="00E302D2">
            <w:pPr>
              <w:pStyle w:val="BodyText"/>
              <w:spacing w:after="0"/>
              <w:rPr>
                <w:sz w:val="16"/>
                <w:szCs w:val="16"/>
              </w:rPr>
            </w:pPr>
          </w:p>
        </w:tc>
        <w:tc>
          <w:tcPr>
            <w:tcW w:w="1302"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678</w:t>
            </w:r>
            <w:r w:rsidR="005D037B">
              <w:rPr>
                <w:sz w:val="16"/>
                <w:szCs w:val="16"/>
              </w:rPr>
              <w:t>.22</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904</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B52AD5" w:rsidRPr="00BA50B0" w:rsidRDefault="006A7765" w:rsidP="00B36001">
            <w:pPr>
              <w:pStyle w:val="BodyText"/>
              <w:spacing w:after="0"/>
              <w:jc w:val="right"/>
              <w:rPr>
                <w:sz w:val="16"/>
                <w:szCs w:val="16"/>
              </w:rPr>
            </w:pPr>
            <w:r>
              <w:rPr>
                <w:sz w:val="16"/>
                <w:szCs w:val="16"/>
              </w:rPr>
              <w:t>112.</w:t>
            </w:r>
            <w:r w:rsidR="005D037B">
              <w:rPr>
                <w:sz w:val="16"/>
                <w:szCs w:val="16"/>
              </w:rPr>
              <w:t>89</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B52AD5" w:rsidRPr="00BA50B0" w:rsidRDefault="006A7765" w:rsidP="005D037B">
            <w:pPr>
              <w:pStyle w:val="BodyText"/>
              <w:spacing w:after="0"/>
              <w:jc w:val="right"/>
              <w:rPr>
                <w:sz w:val="16"/>
                <w:szCs w:val="16"/>
              </w:rPr>
            </w:pPr>
            <w:r>
              <w:rPr>
                <w:sz w:val="16"/>
                <w:szCs w:val="16"/>
              </w:rPr>
              <w:t>169.</w:t>
            </w:r>
            <w:r w:rsidR="005D037B">
              <w:rPr>
                <w:sz w:val="16"/>
                <w:szCs w:val="16"/>
              </w:rPr>
              <w:t>78</w:t>
            </w:r>
          </w:p>
        </w:tc>
        <w:tc>
          <w:tcPr>
            <w:tcW w:w="1313"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2,054</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2,567</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6A7765" w:rsidRPr="00BA50B0" w:rsidRDefault="006A7765" w:rsidP="006A7765">
            <w:pPr>
              <w:pStyle w:val="BodyText"/>
              <w:spacing w:after="0"/>
              <w:jc w:val="right"/>
              <w:rPr>
                <w:sz w:val="16"/>
                <w:szCs w:val="16"/>
              </w:rPr>
            </w:pPr>
            <w:r>
              <w:rPr>
                <w:sz w:val="16"/>
                <w:szCs w:val="16"/>
              </w:rPr>
              <w:t>112.</w:t>
            </w:r>
            <w:r w:rsidR="000B4AEF">
              <w:rPr>
                <w:sz w:val="16"/>
                <w:szCs w:val="16"/>
              </w:rPr>
              <w:t>89</w:t>
            </w:r>
          </w:p>
          <w:p w:rsidR="00B52AD5" w:rsidRPr="00BA50B0" w:rsidRDefault="00B52AD5" w:rsidP="00B36001">
            <w:pPr>
              <w:pStyle w:val="BodyText"/>
              <w:spacing w:after="0"/>
              <w:jc w:val="right"/>
              <w:rPr>
                <w:sz w:val="16"/>
                <w:szCs w:val="16"/>
              </w:rPr>
            </w:pPr>
          </w:p>
          <w:p w:rsidR="00B36001" w:rsidRDefault="00B36001" w:rsidP="00B36001">
            <w:pPr>
              <w:pStyle w:val="BodyText"/>
              <w:spacing w:after="0"/>
              <w:jc w:val="right"/>
              <w:rPr>
                <w:sz w:val="16"/>
                <w:szCs w:val="16"/>
              </w:rPr>
            </w:pPr>
          </w:p>
          <w:p w:rsidR="00B36001" w:rsidRDefault="003056E2" w:rsidP="00B36001">
            <w:pPr>
              <w:pStyle w:val="BodyText"/>
              <w:spacing w:after="0"/>
              <w:jc w:val="right"/>
              <w:rPr>
                <w:sz w:val="16"/>
                <w:szCs w:val="16"/>
              </w:rPr>
            </w:pPr>
            <w:r>
              <w:rPr>
                <w:sz w:val="16"/>
                <w:szCs w:val="16"/>
              </w:rPr>
              <w:t>169.</w:t>
            </w:r>
            <w:r w:rsidR="00925853">
              <w:rPr>
                <w:sz w:val="16"/>
                <w:szCs w:val="16"/>
              </w:rPr>
              <w:t>78</w:t>
            </w:r>
          </w:p>
          <w:p w:rsidR="00B52AD5" w:rsidRPr="00BA50B0" w:rsidRDefault="00B52AD5" w:rsidP="00B36001">
            <w:pPr>
              <w:pStyle w:val="BodyText"/>
              <w:spacing w:after="0"/>
              <w:jc w:val="right"/>
              <w:rPr>
                <w:sz w:val="16"/>
                <w:szCs w:val="16"/>
              </w:rPr>
            </w:pPr>
          </w:p>
        </w:tc>
        <w:tc>
          <w:tcPr>
            <w:tcW w:w="1313"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2,054</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2,567</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6A7765" w:rsidRPr="00BA50B0" w:rsidRDefault="006A7765" w:rsidP="006A7765">
            <w:pPr>
              <w:pStyle w:val="BodyText"/>
              <w:spacing w:after="0"/>
              <w:jc w:val="right"/>
              <w:rPr>
                <w:sz w:val="16"/>
                <w:szCs w:val="16"/>
              </w:rPr>
            </w:pPr>
            <w:r>
              <w:rPr>
                <w:sz w:val="16"/>
                <w:szCs w:val="16"/>
              </w:rPr>
              <w:t>112.</w:t>
            </w:r>
            <w:r w:rsidR="000B4AEF">
              <w:rPr>
                <w:sz w:val="16"/>
                <w:szCs w:val="16"/>
              </w:rPr>
              <w:t>89</w:t>
            </w:r>
          </w:p>
          <w:p w:rsidR="00B52AD5" w:rsidRPr="00BA50B0" w:rsidRDefault="00B52AD5" w:rsidP="00B36001">
            <w:pPr>
              <w:pStyle w:val="BodyText"/>
              <w:spacing w:after="0"/>
              <w:jc w:val="right"/>
              <w:rPr>
                <w:sz w:val="16"/>
                <w:szCs w:val="16"/>
              </w:rPr>
            </w:pPr>
          </w:p>
          <w:p w:rsidR="00B36001" w:rsidRDefault="00B36001" w:rsidP="00B36001">
            <w:pPr>
              <w:pStyle w:val="BodyText"/>
              <w:spacing w:after="0"/>
              <w:jc w:val="right"/>
              <w:rPr>
                <w:sz w:val="16"/>
                <w:szCs w:val="16"/>
              </w:rPr>
            </w:pPr>
          </w:p>
          <w:p w:rsidR="00B36001" w:rsidRDefault="003056E2" w:rsidP="00B36001">
            <w:pPr>
              <w:pStyle w:val="BodyText"/>
              <w:spacing w:after="0"/>
              <w:jc w:val="right"/>
              <w:rPr>
                <w:sz w:val="16"/>
                <w:szCs w:val="16"/>
              </w:rPr>
            </w:pPr>
            <w:r>
              <w:rPr>
                <w:sz w:val="16"/>
                <w:szCs w:val="16"/>
              </w:rPr>
              <w:t>169.</w:t>
            </w:r>
            <w:r w:rsidR="00925853">
              <w:rPr>
                <w:sz w:val="16"/>
                <w:szCs w:val="16"/>
              </w:rPr>
              <w:t>78</w:t>
            </w:r>
          </w:p>
          <w:p w:rsidR="00B52AD5" w:rsidRPr="00BA50B0" w:rsidRDefault="00B52AD5" w:rsidP="00B36001">
            <w:pPr>
              <w:pStyle w:val="BodyText"/>
              <w:spacing w:after="0"/>
              <w:jc w:val="right"/>
              <w:rPr>
                <w:sz w:val="16"/>
                <w:szCs w:val="16"/>
              </w:rPr>
            </w:pPr>
          </w:p>
        </w:tc>
        <w:tc>
          <w:tcPr>
            <w:tcW w:w="1313"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2,054</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2,567</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6A7765" w:rsidRPr="00BA50B0" w:rsidRDefault="006A7765" w:rsidP="006A7765">
            <w:pPr>
              <w:pStyle w:val="BodyText"/>
              <w:spacing w:after="0"/>
              <w:jc w:val="right"/>
              <w:rPr>
                <w:sz w:val="16"/>
                <w:szCs w:val="16"/>
              </w:rPr>
            </w:pPr>
            <w:r>
              <w:rPr>
                <w:sz w:val="16"/>
                <w:szCs w:val="16"/>
              </w:rPr>
              <w:t>112.</w:t>
            </w:r>
            <w:r w:rsidR="000B4AEF">
              <w:rPr>
                <w:sz w:val="16"/>
                <w:szCs w:val="16"/>
              </w:rPr>
              <w:t>89</w:t>
            </w:r>
          </w:p>
          <w:p w:rsidR="00B52AD5" w:rsidRPr="00BA50B0" w:rsidRDefault="00B52AD5" w:rsidP="00B36001">
            <w:pPr>
              <w:pStyle w:val="BodyText"/>
              <w:spacing w:after="0"/>
              <w:jc w:val="right"/>
              <w:rPr>
                <w:sz w:val="16"/>
                <w:szCs w:val="16"/>
              </w:rPr>
            </w:pPr>
          </w:p>
          <w:p w:rsidR="00B36001" w:rsidRDefault="00B36001" w:rsidP="00B36001">
            <w:pPr>
              <w:pStyle w:val="BodyText"/>
              <w:spacing w:after="0"/>
              <w:jc w:val="right"/>
              <w:rPr>
                <w:sz w:val="16"/>
                <w:szCs w:val="16"/>
              </w:rPr>
            </w:pPr>
          </w:p>
          <w:p w:rsidR="00B36001" w:rsidRDefault="003056E2" w:rsidP="00B36001">
            <w:pPr>
              <w:pStyle w:val="BodyText"/>
              <w:spacing w:after="0"/>
              <w:jc w:val="right"/>
              <w:rPr>
                <w:sz w:val="16"/>
                <w:szCs w:val="16"/>
              </w:rPr>
            </w:pPr>
            <w:r>
              <w:rPr>
                <w:sz w:val="16"/>
                <w:szCs w:val="16"/>
              </w:rPr>
              <w:t>169.</w:t>
            </w:r>
            <w:r w:rsidR="00925853">
              <w:rPr>
                <w:sz w:val="16"/>
                <w:szCs w:val="16"/>
              </w:rPr>
              <w:t>78</w:t>
            </w:r>
          </w:p>
          <w:p w:rsidR="00B52AD5" w:rsidRPr="00BA50B0" w:rsidRDefault="00B52AD5" w:rsidP="00B36001">
            <w:pPr>
              <w:pStyle w:val="BodyText"/>
              <w:spacing w:after="0"/>
              <w:jc w:val="right"/>
              <w:rPr>
                <w:sz w:val="16"/>
                <w:szCs w:val="16"/>
              </w:rPr>
            </w:pPr>
          </w:p>
        </w:tc>
        <w:tc>
          <w:tcPr>
            <w:tcW w:w="1313"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2,054</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2,567</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6A7765" w:rsidRPr="00BA50B0" w:rsidRDefault="006A7765" w:rsidP="006A7765">
            <w:pPr>
              <w:pStyle w:val="BodyText"/>
              <w:spacing w:after="0"/>
              <w:jc w:val="right"/>
              <w:rPr>
                <w:sz w:val="16"/>
                <w:szCs w:val="16"/>
              </w:rPr>
            </w:pPr>
            <w:r>
              <w:rPr>
                <w:sz w:val="16"/>
                <w:szCs w:val="16"/>
              </w:rPr>
              <w:t>112.</w:t>
            </w:r>
            <w:r w:rsidR="000B4AEF">
              <w:rPr>
                <w:sz w:val="16"/>
                <w:szCs w:val="16"/>
              </w:rPr>
              <w:t>89</w:t>
            </w:r>
          </w:p>
          <w:p w:rsidR="00B52AD5" w:rsidRPr="00BA50B0" w:rsidRDefault="00B52AD5" w:rsidP="00B36001">
            <w:pPr>
              <w:pStyle w:val="BodyText"/>
              <w:spacing w:after="0"/>
              <w:jc w:val="right"/>
              <w:rPr>
                <w:sz w:val="16"/>
                <w:szCs w:val="16"/>
              </w:rPr>
            </w:pPr>
          </w:p>
          <w:p w:rsidR="00B36001" w:rsidRDefault="00B36001" w:rsidP="00B36001">
            <w:pPr>
              <w:pStyle w:val="BodyText"/>
              <w:spacing w:after="0"/>
              <w:jc w:val="right"/>
              <w:rPr>
                <w:sz w:val="16"/>
                <w:szCs w:val="16"/>
              </w:rPr>
            </w:pPr>
          </w:p>
          <w:p w:rsidR="00B36001" w:rsidRDefault="003056E2" w:rsidP="00B36001">
            <w:pPr>
              <w:pStyle w:val="BodyText"/>
              <w:spacing w:after="0"/>
              <w:jc w:val="right"/>
              <w:rPr>
                <w:sz w:val="16"/>
                <w:szCs w:val="16"/>
              </w:rPr>
            </w:pPr>
            <w:r>
              <w:rPr>
                <w:sz w:val="16"/>
                <w:szCs w:val="16"/>
              </w:rPr>
              <w:t>169.</w:t>
            </w:r>
            <w:r w:rsidR="00925853">
              <w:rPr>
                <w:sz w:val="16"/>
                <w:szCs w:val="16"/>
              </w:rPr>
              <w:t>78</w:t>
            </w:r>
          </w:p>
          <w:p w:rsidR="00B52AD5" w:rsidRPr="00BA50B0" w:rsidRDefault="00B52AD5" w:rsidP="00B36001">
            <w:pPr>
              <w:pStyle w:val="BodyText"/>
              <w:spacing w:after="0"/>
              <w:jc w:val="right"/>
              <w:rPr>
                <w:sz w:val="16"/>
                <w:szCs w:val="16"/>
              </w:rPr>
            </w:pPr>
          </w:p>
        </w:tc>
        <w:tc>
          <w:tcPr>
            <w:tcW w:w="1340" w:type="dxa"/>
          </w:tcPr>
          <w:p w:rsidR="00B52AD5" w:rsidRPr="00BA50B0"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6</w:t>
            </w: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133</w:t>
            </w:r>
          </w:p>
          <w:p w:rsidR="00B52AD5" w:rsidRDefault="00B52AD5" w:rsidP="00B36001">
            <w:pPr>
              <w:pStyle w:val="BodyText"/>
              <w:spacing w:after="0"/>
              <w:jc w:val="right"/>
              <w:rPr>
                <w:sz w:val="16"/>
                <w:szCs w:val="16"/>
              </w:rPr>
            </w:pPr>
          </w:p>
          <w:p w:rsidR="00B52AD5" w:rsidRDefault="00B52AD5"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200</w:t>
            </w:r>
          </w:p>
          <w:p w:rsidR="00B36001" w:rsidRDefault="00B36001" w:rsidP="00B36001">
            <w:pPr>
              <w:pStyle w:val="BodyText"/>
              <w:spacing w:after="0"/>
              <w:jc w:val="right"/>
              <w:rPr>
                <w:sz w:val="16"/>
                <w:szCs w:val="16"/>
              </w:rPr>
            </w:pPr>
          </w:p>
          <w:p w:rsidR="00B36001" w:rsidRDefault="00B36001" w:rsidP="00B36001">
            <w:pPr>
              <w:pStyle w:val="BodyText"/>
              <w:spacing w:after="0"/>
              <w:jc w:val="right"/>
              <w:rPr>
                <w:sz w:val="16"/>
                <w:szCs w:val="16"/>
              </w:rPr>
            </w:pPr>
          </w:p>
          <w:p w:rsidR="00B52AD5" w:rsidRPr="00BA50B0" w:rsidRDefault="00B52AD5" w:rsidP="00B36001">
            <w:pPr>
              <w:pStyle w:val="BodyText"/>
              <w:spacing w:after="0"/>
              <w:jc w:val="right"/>
              <w:rPr>
                <w:sz w:val="16"/>
                <w:szCs w:val="16"/>
              </w:rPr>
            </w:pPr>
            <w:r w:rsidRPr="00BA50B0">
              <w:rPr>
                <w:sz w:val="16"/>
                <w:szCs w:val="16"/>
              </w:rPr>
              <w:t>765</w:t>
            </w:r>
          </w:p>
        </w:tc>
      </w:tr>
      <w:tr w:rsidR="00B36001" w:rsidTr="000A3D4F">
        <w:tc>
          <w:tcPr>
            <w:tcW w:w="2127" w:type="dxa"/>
          </w:tcPr>
          <w:p w:rsidR="00B36001" w:rsidRPr="00BA50B0" w:rsidRDefault="00B36001" w:rsidP="00E302D2">
            <w:pPr>
              <w:pStyle w:val="BodyText"/>
              <w:rPr>
                <w:b/>
                <w:sz w:val="16"/>
                <w:szCs w:val="16"/>
              </w:rPr>
            </w:pPr>
            <w:r w:rsidRPr="00BA50B0">
              <w:rPr>
                <w:b/>
                <w:sz w:val="16"/>
                <w:szCs w:val="16"/>
              </w:rPr>
              <w:t>Daily monitoring fee</w:t>
            </w:r>
          </w:p>
        </w:tc>
        <w:tc>
          <w:tcPr>
            <w:tcW w:w="1302" w:type="dxa"/>
          </w:tcPr>
          <w:p w:rsidR="00B36001" w:rsidRPr="00BA50B0" w:rsidRDefault="00B36001" w:rsidP="00E302D2">
            <w:pPr>
              <w:pStyle w:val="BodyText"/>
              <w:jc w:val="right"/>
              <w:rPr>
                <w:sz w:val="16"/>
                <w:szCs w:val="16"/>
              </w:rPr>
            </w:pPr>
            <w:r w:rsidRPr="00BA50B0">
              <w:rPr>
                <w:sz w:val="16"/>
                <w:szCs w:val="16"/>
              </w:rPr>
              <w:t>1.20</w:t>
            </w:r>
          </w:p>
        </w:tc>
        <w:tc>
          <w:tcPr>
            <w:tcW w:w="1313" w:type="dxa"/>
          </w:tcPr>
          <w:p w:rsidR="00B36001" w:rsidRPr="00BA50B0" w:rsidRDefault="00B36001" w:rsidP="00E302D2">
            <w:pPr>
              <w:pStyle w:val="BodyText"/>
              <w:jc w:val="right"/>
              <w:rPr>
                <w:sz w:val="16"/>
                <w:szCs w:val="16"/>
              </w:rPr>
            </w:pPr>
            <w:r w:rsidRPr="00BA50B0">
              <w:rPr>
                <w:sz w:val="16"/>
                <w:szCs w:val="16"/>
              </w:rPr>
              <w:t>1.90</w:t>
            </w:r>
          </w:p>
        </w:tc>
        <w:tc>
          <w:tcPr>
            <w:tcW w:w="1313" w:type="dxa"/>
          </w:tcPr>
          <w:p w:rsidR="00B36001" w:rsidRPr="00BA50B0" w:rsidRDefault="00B36001" w:rsidP="00E302D2">
            <w:pPr>
              <w:pStyle w:val="BodyText"/>
              <w:jc w:val="right"/>
              <w:rPr>
                <w:sz w:val="16"/>
                <w:szCs w:val="16"/>
              </w:rPr>
            </w:pPr>
            <w:r w:rsidRPr="00BA50B0">
              <w:rPr>
                <w:sz w:val="16"/>
                <w:szCs w:val="16"/>
              </w:rPr>
              <w:t>1.90</w:t>
            </w:r>
          </w:p>
        </w:tc>
        <w:tc>
          <w:tcPr>
            <w:tcW w:w="1313" w:type="dxa"/>
          </w:tcPr>
          <w:p w:rsidR="00B36001" w:rsidRPr="00BA50B0" w:rsidRDefault="00B36001" w:rsidP="00E302D2">
            <w:pPr>
              <w:pStyle w:val="BodyText"/>
              <w:jc w:val="right"/>
              <w:rPr>
                <w:sz w:val="16"/>
                <w:szCs w:val="16"/>
              </w:rPr>
            </w:pPr>
            <w:r w:rsidRPr="00BA50B0">
              <w:rPr>
                <w:sz w:val="16"/>
                <w:szCs w:val="16"/>
              </w:rPr>
              <w:t>1.90</w:t>
            </w:r>
          </w:p>
        </w:tc>
        <w:tc>
          <w:tcPr>
            <w:tcW w:w="1313" w:type="dxa"/>
          </w:tcPr>
          <w:p w:rsidR="00B36001" w:rsidRPr="00BA50B0" w:rsidRDefault="00B36001" w:rsidP="00E302D2">
            <w:pPr>
              <w:pStyle w:val="BodyText"/>
              <w:jc w:val="right"/>
              <w:rPr>
                <w:sz w:val="16"/>
                <w:szCs w:val="16"/>
                <w:highlight w:val="yellow"/>
              </w:rPr>
            </w:pPr>
            <w:r w:rsidRPr="00BA50B0">
              <w:rPr>
                <w:sz w:val="16"/>
                <w:szCs w:val="16"/>
              </w:rPr>
              <w:t>1.90</w:t>
            </w:r>
          </w:p>
        </w:tc>
        <w:tc>
          <w:tcPr>
            <w:tcW w:w="1340" w:type="dxa"/>
          </w:tcPr>
          <w:p w:rsidR="00B36001" w:rsidRPr="00BA50B0" w:rsidRDefault="00B36001" w:rsidP="00E302D2">
            <w:pPr>
              <w:pStyle w:val="BodyText"/>
              <w:jc w:val="right"/>
              <w:rPr>
                <w:sz w:val="16"/>
                <w:szCs w:val="16"/>
              </w:rPr>
            </w:pPr>
            <w:r>
              <w:rPr>
                <w:sz w:val="16"/>
                <w:szCs w:val="16"/>
              </w:rPr>
              <w:t>360 days x no. of E</w:t>
            </w:r>
            <w:r w:rsidRPr="00BA50B0">
              <w:rPr>
                <w:sz w:val="16"/>
                <w:szCs w:val="16"/>
              </w:rPr>
              <w:t>G</w:t>
            </w:r>
            <w:r>
              <w:rPr>
                <w:sz w:val="16"/>
                <w:szCs w:val="16"/>
              </w:rPr>
              <w:t>M</w:t>
            </w:r>
            <w:r w:rsidRPr="00BA50B0">
              <w:rPr>
                <w:sz w:val="16"/>
                <w:szCs w:val="16"/>
              </w:rPr>
              <w:t>s x 90%</w:t>
            </w:r>
          </w:p>
        </w:tc>
      </w:tr>
      <w:tr w:rsidR="00B36001" w:rsidTr="000A3D4F">
        <w:tc>
          <w:tcPr>
            <w:tcW w:w="2127" w:type="dxa"/>
          </w:tcPr>
          <w:p w:rsidR="00B36001" w:rsidRPr="00BA50B0" w:rsidRDefault="00B36001" w:rsidP="00E302D2">
            <w:pPr>
              <w:pStyle w:val="BodyText"/>
              <w:rPr>
                <w:b/>
                <w:sz w:val="16"/>
                <w:szCs w:val="16"/>
              </w:rPr>
            </w:pPr>
            <w:r w:rsidRPr="00BA50B0">
              <w:rPr>
                <w:b/>
                <w:sz w:val="16"/>
                <w:szCs w:val="16"/>
              </w:rPr>
              <w:t>Certificate of Approval (casino staff)</w:t>
            </w:r>
          </w:p>
        </w:tc>
        <w:tc>
          <w:tcPr>
            <w:tcW w:w="1302" w:type="dxa"/>
          </w:tcPr>
          <w:p w:rsidR="00B36001" w:rsidRPr="00BA50B0" w:rsidRDefault="00B36001" w:rsidP="00E302D2">
            <w:pPr>
              <w:pStyle w:val="BodyText"/>
              <w:jc w:val="right"/>
              <w:rPr>
                <w:sz w:val="16"/>
                <w:szCs w:val="16"/>
              </w:rPr>
            </w:pPr>
            <w:r w:rsidRPr="00BA50B0">
              <w:rPr>
                <w:sz w:val="16"/>
                <w:szCs w:val="16"/>
              </w:rPr>
              <w:t>29</w:t>
            </w:r>
            <w:r w:rsidR="005F094E">
              <w:rPr>
                <w:sz w:val="16"/>
                <w:szCs w:val="16"/>
              </w:rPr>
              <w:t>1.56</w:t>
            </w:r>
          </w:p>
        </w:tc>
        <w:tc>
          <w:tcPr>
            <w:tcW w:w="1313" w:type="dxa"/>
          </w:tcPr>
          <w:p w:rsidR="00B36001" w:rsidRPr="00BA50B0" w:rsidRDefault="00B36001" w:rsidP="00E302D2">
            <w:pPr>
              <w:pStyle w:val="BodyText"/>
              <w:jc w:val="right"/>
              <w:rPr>
                <w:sz w:val="16"/>
                <w:szCs w:val="16"/>
              </w:rPr>
            </w:pPr>
            <w:r w:rsidRPr="00BA50B0">
              <w:rPr>
                <w:sz w:val="16"/>
                <w:szCs w:val="16"/>
              </w:rPr>
              <w:t>836</w:t>
            </w:r>
          </w:p>
        </w:tc>
        <w:tc>
          <w:tcPr>
            <w:tcW w:w="1313" w:type="dxa"/>
          </w:tcPr>
          <w:p w:rsidR="00B36001" w:rsidRPr="00BA50B0" w:rsidRDefault="00B36001" w:rsidP="00E302D2">
            <w:pPr>
              <w:pStyle w:val="BodyText"/>
              <w:jc w:val="right"/>
              <w:rPr>
                <w:sz w:val="16"/>
                <w:szCs w:val="16"/>
              </w:rPr>
            </w:pPr>
            <w:r w:rsidRPr="00BA50B0">
              <w:rPr>
                <w:sz w:val="16"/>
                <w:szCs w:val="16"/>
              </w:rPr>
              <w:t>836</w:t>
            </w:r>
          </w:p>
        </w:tc>
        <w:tc>
          <w:tcPr>
            <w:tcW w:w="1313" w:type="dxa"/>
          </w:tcPr>
          <w:p w:rsidR="00B36001" w:rsidRPr="00BA50B0" w:rsidRDefault="00B36001" w:rsidP="00E302D2">
            <w:pPr>
              <w:pStyle w:val="BodyText"/>
              <w:jc w:val="right"/>
              <w:rPr>
                <w:sz w:val="16"/>
                <w:szCs w:val="16"/>
              </w:rPr>
            </w:pPr>
            <w:r w:rsidRPr="00BA50B0">
              <w:rPr>
                <w:sz w:val="16"/>
                <w:szCs w:val="16"/>
              </w:rPr>
              <w:t>836</w:t>
            </w:r>
          </w:p>
        </w:tc>
        <w:tc>
          <w:tcPr>
            <w:tcW w:w="1313" w:type="dxa"/>
          </w:tcPr>
          <w:p w:rsidR="00B36001" w:rsidRPr="00BA50B0" w:rsidRDefault="00B36001" w:rsidP="00E302D2">
            <w:pPr>
              <w:pStyle w:val="BodyText"/>
              <w:jc w:val="right"/>
              <w:rPr>
                <w:sz w:val="16"/>
                <w:szCs w:val="16"/>
              </w:rPr>
            </w:pPr>
            <w:r w:rsidRPr="00BA50B0">
              <w:rPr>
                <w:sz w:val="16"/>
                <w:szCs w:val="16"/>
              </w:rPr>
              <w:t>836</w:t>
            </w:r>
          </w:p>
        </w:tc>
        <w:tc>
          <w:tcPr>
            <w:tcW w:w="1340" w:type="dxa"/>
          </w:tcPr>
          <w:p w:rsidR="00B36001" w:rsidRPr="00BA50B0" w:rsidRDefault="00B36001" w:rsidP="00E302D2">
            <w:pPr>
              <w:pStyle w:val="BodyText"/>
              <w:jc w:val="right"/>
              <w:rPr>
                <w:sz w:val="16"/>
                <w:szCs w:val="16"/>
              </w:rPr>
            </w:pPr>
            <w:r w:rsidRPr="00BA50B0">
              <w:rPr>
                <w:sz w:val="16"/>
                <w:szCs w:val="16"/>
              </w:rPr>
              <w:t>400</w:t>
            </w:r>
          </w:p>
        </w:tc>
      </w:tr>
      <w:tr w:rsidR="001B761D" w:rsidTr="000A3D4F">
        <w:tc>
          <w:tcPr>
            <w:tcW w:w="2127" w:type="dxa"/>
          </w:tcPr>
          <w:p w:rsidR="001B761D" w:rsidRPr="00BA50B0" w:rsidRDefault="001B761D" w:rsidP="00E302D2">
            <w:pPr>
              <w:pStyle w:val="BodyText"/>
              <w:rPr>
                <w:b/>
                <w:sz w:val="16"/>
                <w:szCs w:val="16"/>
              </w:rPr>
            </w:pPr>
            <w:r w:rsidRPr="00BA50B0">
              <w:rPr>
                <w:b/>
                <w:sz w:val="16"/>
                <w:szCs w:val="16"/>
              </w:rPr>
              <w:t>Associated person approval</w:t>
            </w:r>
          </w:p>
        </w:tc>
        <w:tc>
          <w:tcPr>
            <w:tcW w:w="1302" w:type="dxa"/>
          </w:tcPr>
          <w:p w:rsidR="001B761D" w:rsidRPr="00BA50B0" w:rsidRDefault="001B761D" w:rsidP="00E302D2">
            <w:pPr>
              <w:pStyle w:val="BodyText"/>
              <w:jc w:val="right"/>
              <w:rPr>
                <w:sz w:val="16"/>
                <w:szCs w:val="16"/>
              </w:rPr>
            </w:pPr>
            <w:r w:rsidRPr="00BA50B0">
              <w:rPr>
                <w:sz w:val="16"/>
                <w:szCs w:val="16"/>
              </w:rPr>
              <w:t>293</w:t>
            </w:r>
            <w:r w:rsidR="00BF5255">
              <w:rPr>
                <w:sz w:val="16"/>
                <w:szCs w:val="16"/>
              </w:rPr>
              <w:t>.33</w:t>
            </w:r>
          </w:p>
        </w:tc>
        <w:tc>
          <w:tcPr>
            <w:tcW w:w="1313" w:type="dxa"/>
          </w:tcPr>
          <w:p w:rsidR="001B761D" w:rsidRPr="00BA50B0" w:rsidRDefault="001B761D" w:rsidP="00E302D2">
            <w:pPr>
              <w:pStyle w:val="BodyText"/>
              <w:jc w:val="right"/>
              <w:rPr>
                <w:sz w:val="16"/>
                <w:szCs w:val="16"/>
              </w:rPr>
            </w:pPr>
            <w:r w:rsidRPr="00BA50B0">
              <w:rPr>
                <w:sz w:val="16"/>
                <w:szCs w:val="16"/>
              </w:rPr>
              <w:t>836</w:t>
            </w:r>
          </w:p>
        </w:tc>
        <w:tc>
          <w:tcPr>
            <w:tcW w:w="1313" w:type="dxa"/>
          </w:tcPr>
          <w:p w:rsidR="001B761D" w:rsidRPr="00BA50B0" w:rsidRDefault="001B761D" w:rsidP="00E302D2">
            <w:pPr>
              <w:pStyle w:val="BodyText"/>
              <w:jc w:val="right"/>
              <w:rPr>
                <w:sz w:val="16"/>
                <w:szCs w:val="16"/>
              </w:rPr>
            </w:pPr>
            <w:r w:rsidRPr="00BA50B0">
              <w:rPr>
                <w:sz w:val="16"/>
                <w:szCs w:val="16"/>
              </w:rPr>
              <w:t>836</w:t>
            </w:r>
          </w:p>
        </w:tc>
        <w:tc>
          <w:tcPr>
            <w:tcW w:w="1313" w:type="dxa"/>
          </w:tcPr>
          <w:p w:rsidR="001B761D" w:rsidRPr="00BA50B0" w:rsidRDefault="001B761D" w:rsidP="00E302D2">
            <w:pPr>
              <w:pStyle w:val="BodyText"/>
              <w:jc w:val="right"/>
              <w:rPr>
                <w:sz w:val="16"/>
                <w:szCs w:val="16"/>
              </w:rPr>
            </w:pPr>
            <w:r w:rsidRPr="00BA50B0">
              <w:rPr>
                <w:sz w:val="16"/>
                <w:szCs w:val="16"/>
              </w:rPr>
              <w:t>836</w:t>
            </w:r>
          </w:p>
        </w:tc>
        <w:tc>
          <w:tcPr>
            <w:tcW w:w="1313" w:type="dxa"/>
          </w:tcPr>
          <w:p w:rsidR="001B761D" w:rsidRPr="00BA50B0" w:rsidRDefault="001B761D" w:rsidP="00E302D2">
            <w:pPr>
              <w:pStyle w:val="BodyText"/>
              <w:jc w:val="right"/>
              <w:rPr>
                <w:sz w:val="16"/>
                <w:szCs w:val="16"/>
              </w:rPr>
            </w:pPr>
            <w:r w:rsidRPr="00BA50B0">
              <w:rPr>
                <w:sz w:val="16"/>
                <w:szCs w:val="16"/>
              </w:rPr>
              <w:t>836</w:t>
            </w:r>
          </w:p>
        </w:tc>
        <w:tc>
          <w:tcPr>
            <w:tcW w:w="1340" w:type="dxa"/>
          </w:tcPr>
          <w:p w:rsidR="001B761D" w:rsidRPr="00BA50B0" w:rsidRDefault="001B761D" w:rsidP="00E302D2">
            <w:pPr>
              <w:pStyle w:val="BodyText"/>
              <w:jc w:val="right"/>
              <w:rPr>
                <w:sz w:val="16"/>
                <w:szCs w:val="16"/>
              </w:rPr>
            </w:pPr>
            <w:r w:rsidRPr="00BA50B0">
              <w:rPr>
                <w:sz w:val="16"/>
                <w:szCs w:val="16"/>
              </w:rPr>
              <w:t>2</w:t>
            </w:r>
          </w:p>
        </w:tc>
      </w:tr>
      <w:tr w:rsidR="001B761D" w:rsidTr="000A3D4F">
        <w:tc>
          <w:tcPr>
            <w:tcW w:w="2127" w:type="dxa"/>
          </w:tcPr>
          <w:p w:rsidR="001B761D" w:rsidRPr="00BA50B0" w:rsidRDefault="001B761D" w:rsidP="00E302D2">
            <w:pPr>
              <w:pStyle w:val="BodyText"/>
              <w:rPr>
                <w:b/>
                <w:sz w:val="16"/>
                <w:szCs w:val="16"/>
              </w:rPr>
            </w:pPr>
            <w:r w:rsidRPr="00BA50B0">
              <w:rPr>
                <w:b/>
                <w:sz w:val="16"/>
                <w:szCs w:val="16"/>
              </w:rPr>
              <w:lastRenderedPageBreak/>
              <w:t xml:space="preserve">New casino operator’s licence </w:t>
            </w:r>
          </w:p>
        </w:tc>
        <w:tc>
          <w:tcPr>
            <w:tcW w:w="1302" w:type="dxa"/>
          </w:tcPr>
          <w:p w:rsidR="001B761D" w:rsidRPr="00BA50B0" w:rsidRDefault="001C1D6D" w:rsidP="00094461">
            <w:pPr>
              <w:pStyle w:val="BodyText"/>
              <w:jc w:val="right"/>
              <w:rPr>
                <w:sz w:val="16"/>
                <w:szCs w:val="16"/>
              </w:rPr>
            </w:pPr>
            <w:r>
              <w:rPr>
                <w:sz w:val="16"/>
                <w:szCs w:val="16"/>
              </w:rPr>
              <w:t>302,222.</w:t>
            </w:r>
            <w:r w:rsidR="00094461">
              <w:rPr>
                <w:sz w:val="16"/>
                <w:szCs w:val="16"/>
              </w:rPr>
              <w:t>22</w:t>
            </w:r>
          </w:p>
        </w:tc>
        <w:tc>
          <w:tcPr>
            <w:tcW w:w="1313" w:type="dxa"/>
          </w:tcPr>
          <w:p w:rsidR="001B761D" w:rsidRPr="00BA50B0" w:rsidRDefault="001C1D6D" w:rsidP="00094461">
            <w:pPr>
              <w:pStyle w:val="BodyText"/>
              <w:jc w:val="right"/>
              <w:rPr>
                <w:sz w:val="16"/>
                <w:szCs w:val="16"/>
              </w:rPr>
            </w:pPr>
            <w:r>
              <w:rPr>
                <w:sz w:val="16"/>
                <w:szCs w:val="16"/>
              </w:rPr>
              <w:t>302,222.</w:t>
            </w:r>
            <w:r w:rsidR="00094461">
              <w:rPr>
                <w:sz w:val="16"/>
                <w:szCs w:val="16"/>
              </w:rPr>
              <w:t>22</w:t>
            </w:r>
          </w:p>
        </w:tc>
        <w:tc>
          <w:tcPr>
            <w:tcW w:w="1313" w:type="dxa"/>
          </w:tcPr>
          <w:p w:rsidR="001B761D" w:rsidRPr="00BA50B0" w:rsidRDefault="001C1D6D" w:rsidP="00094461">
            <w:pPr>
              <w:pStyle w:val="BodyText"/>
              <w:jc w:val="right"/>
              <w:rPr>
                <w:sz w:val="16"/>
                <w:szCs w:val="16"/>
              </w:rPr>
            </w:pPr>
            <w:r>
              <w:rPr>
                <w:sz w:val="16"/>
                <w:szCs w:val="16"/>
              </w:rPr>
              <w:t>302,222.</w:t>
            </w:r>
            <w:r w:rsidR="00094461">
              <w:rPr>
                <w:sz w:val="16"/>
                <w:szCs w:val="16"/>
              </w:rPr>
              <w:t>22</w:t>
            </w:r>
          </w:p>
        </w:tc>
        <w:tc>
          <w:tcPr>
            <w:tcW w:w="1313" w:type="dxa"/>
          </w:tcPr>
          <w:p w:rsidR="001B761D" w:rsidRPr="00BA50B0" w:rsidRDefault="001C1D6D" w:rsidP="00094461">
            <w:pPr>
              <w:pStyle w:val="BodyText"/>
              <w:jc w:val="right"/>
              <w:rPr>
                <w:sz w:val="16"/>
                <w:szCs w:val="16"/>
              </w:rPr>
            </w:pPr>
            <w:r>
              <w:rPr>
                <w:sz w:val="16"/>
                <w:szCs w:val="16"/>
              </w:rPr>
              <w:t>302,222.</w:t>
            </w:r>
            <w:r w:rsidR="00094461">
              <w:rPr>
                <w:sz w:val="16"/>
                <w:szCs w:val="16"/>
              </w:rPr>
              <w:t>22</w:t>
            </w:r>
          </w:p>
        </w:tc>
        <w:tc>
          <w:tcPr>
            <w:tcW w:w="1313" w:type="dxa"/>
          </w:tcPr>
          <w:p w:rsidR="001B761D" w:rsidRPr="00BA50B0" w:rsidRDefault="001C1D6D" w:rsidP="00094461">
            <w:pPr>
              <w:pStyle w:val="BodyText"/>
              <w:jc w:val="right"/>
              <w:rPr>
                <w:sz w:val="16"/>
                <w:szCs w:val="16"/>
              </w:rPr>
            </w:pPr>
            <w:r>
              <w:rPr>
                <w:sz w:val="16"/>
                <w:szCs w:val="16"/>
              </w:rPr>
              <w:t>302,222.</w:t>
            </w:r>
            <w:r w:rsidR="00094461">
              <w:rPr>
                <w:sz w:val="16"/>
                <w:szCs w:val="16"/>
              </w:rPr>
              <w:t>22</w:t>
            </w:r>
          </w:p>
        </w:tc>
        <w:tc>
          <w:tcPr>
            <w:tcW w:w="1340" w:type="dxa"/>
          </w:tcPr>
          <w:p w:rsidR="001B761D" w:rsidRPr="00BA50B0" w:rsidRDefault="001B761D" w:rsidP="00E302D2">
            <w:pPr>
              <w:pStyle w:val="BodyText"/>
              <w:jc w:val="right"/>
              <w:rPr>
                <w:sz w:val="16"/>
                <w:szCs w:val="16"/>
              </w:rPr>
            </w:pPr>
            <w:r w:rsidRPr="00BA50B0">
              <w:rPr>
                <w:sz w:val="16"/>
                <w:szCs w:val="16"/>
              </w:rPr>
              <w:t>0</w:t>
            </w:r>
          </w:p>
        </w:tc>
      </w:tr>
      <w:tr w:rsidR="001B761D" w:rsidTr="000A3D4F">
        <w:tc>
          <w:tcPr>
            <w:tcW w:w="2127" w:type="dxa"/>
          </w:tcPr>
          <w:p w:rsidR="001B761D" w:rsidRPr="00BA50B0" w:rsidRDefault="001B761D" w:rsidP="00E302D2">
            <w:pPr>
              <w:pStyle w:val="BodyText"/>
              <w:rPr>
                <w:b/>
                <w:sz w:val="16"/>
                <w:szCs w:val="16"/>
              </w:rPr>
            </w:pPr>
            <w:r w:rsidRPr="00BA50B0">
              <w:rPr>
                <w:b/>
                <w:sz w:val="16"/>
                <w:szCs w:val="16"/>
              </w:rPr>
              <w:t>New casino venue agreement</w:t>
            </w:r>
          </w:p>
        </w:tc>
        <w:tc>
          <w:tcPr>
            <w:tcW w:w="1302" w:type="dxa"/>
          </w:tcPr>
          <w:p w:rsidR="001B761D" w:rsidRPr="00BA50B0" w:rsidRDefault="001A094E" w:rsidP="00E302D2">
            <w:pPr>
              <w:pStyle w:val="BodyText"/>
              <w:jc w:val="right"/>
              <w:rPr>
                <w:sz w:val="16"/>
                <w:szCs w:val="16"/>
              </w:rPr>
            </w:pPr>
            <w:r>
              <w:rPr>
                <w:sz w:val="16"/>
                <w:szCs w:val="16"/>
              </w:rPr>
              <w:t>20,444.44</w:t>
            </w:r>
          </w:p>
        </w:tc>
        <w:tc>
          <w:tcPr>
            <w:tcW w:w="1313" w:type="dxa"/>
          </w:tcPr>
          <w:p w:rsidR="001B761D" w:rsidRPr="00BA50B0" w:rsidRDefault="001A094E" w:rsidP="00E302D2">
            <w:pPr>
              <w:pStyle w:val="BodyText"/>
              <w:jc w:val="right"/>
              <w:rPr>
                <w:sz w:val="16"/>
                <w:szCs w:val="16"/>
              </w:rPr>
            </w:pPr>
            <w:r>
              <w:rPr>
                <w:sz w:val="16"/>
                <w:szCs w:val="16"/>
              </w:rPr>
              <w:t>20,444.44</w:t>
            </w:r>
          </w:p>
        </w:tc>
        <w:tc>
          <w:tcPr>
            <w:tcW w:w="1313" w:type="dxa"/>
          </w:tcPr>
          <w:p w:rsidR="001B761D" w:rsidRPr="00BA50B0" w:rsidRDefault="001A094E" w:rsidP="00E302D2">
            <w:pPr>
              <w:pStyle w:val="BodyText"/>
              <w:jc w:val="right"/>
              <w:rPr>
                <w:sz w:val="16"/>
                <w:szCs w:val="16"/>
              </w:rPr>
            </w:pPr>
            <w:r>
              <w:rPr>
                <w:sz w:val="16"/>
                <w:szCs w:val="16"/>
              </w:rPr>
              <w:t>20,444.44</w:t>
            </w:r>
          </w:p>
        </w:tc>
        <w:tc>
          <w:tcPr>
            <w:tcW w:w="1313" w:type="dxa"/>
          </w:tcPr>
          <w:p w:rsidR="001B761D" w:rsidRPr="00BA50B0" w:rsidRDefault="001A094E" w:rsidP="00E302D2">
            <w:pPr>
              <w:pStyle w:val="BodyText"/>
              <w:jc w:val="right"/>
              <w:rPr>
                <w:sz w:val="16"/>
                <w:szCs w:val="16"/>
              </w:rPr>
            </w:pPr>
            <w:r>
              <w:rPr>
                <w:sz w:val="16"/>
                <w:szCs w:val="16"/>
              </w:rPr>
              <w:t>20,444.44</w:t>
            </w:r>
          </w:p>
        </w:tc>
        <w:tc>
          <w:tcPr>
            <w:tcW w:w="1313" w:type="dxa"/>
          </w:tcPr>
          <w:p w:rsidR="001B761D" w:rsidRPr="00BA50B0" w:rsidRDefault="001A094E" w:rsidP="00E302D2">
            <w:pPr>
              <w:pStyle w:val="BodyText"/>
              <w:jc w:val="right"/>
              <w:rPr>
                <w:sz w:val="16"/>
                <w:szCs w:val="16"/>
              </w:rPr>
            </w:pPr>
            <w:r>
              <w:rPr>
                <w:sz w:val="16"/>
                <w:szCs w:val="16"/>
              </w:rPr>
              <w:t>20,444.44</w:t>
            </w:r>
          </w:p>
        </w:tc>
        <w:tc>
          <w:tcPr>
            <w:tcW w:w="1340" w:type="dxa"/>
          </w:tcPr>
          <w:p w:rsidR="001B761D" w:rsidRPr="00BA50B0" w:rsidRDefault="001B761D" w:rsidP="00E302D2">
            <w:pPr>
              <w:pStyle w:val="BodyText"/>
              <w:jc w:val="right"/>
              <w:rPr>
                <w:sz w:val="16"/>
                <w:szCs w:val="16"/>
              </w:rPr>
            </w:pPr>
            <w:r w:rsidRPr="00BA50B0">
              <w:rPr>
                <w:sz w:val="16"/>
                <w:szCs w:val="16"/>
              </w:rPr>
              <w:t>0</w:t>
            </w:r>
          </w:p>
        </w:tc>
      </w:tr>
      <w:tr w:rsidR="00D4571B" w:rsidTr="000A3D4F">
        <w:tc>
          <w:tcPr>
            <w:tcW w:w="2127" w:type="dxa"/>
          </w:tcPr>
          <w:p w:rsidR="00D4571B" w:rsidRPr="00BA50B0" w:rsidRDefault="00D4571B" w:rsidP="00E302D2">
            <w:pPr>
              <w:pStyle w:val="BodyText"/>
              <w:rPr>
                <w:b/>
                <w:sz w:val="16"/>
                <w:szCs w:val="16"/>
              </w:rPr>
            </w:pPr>
            <w:r w:rsidRPr="00BA50B0">
              <w:rPr>
                <w:b/>
                <w:sz w:val="16"/>
                <w:szCs w:val="16"/>
              </w:rPr>
              <w:t>Amendment to casino operator’s licence, venue agreement and venue licence</w:t>
            </w:r>
          </w:p>
        </w:tc>
        <w:tc>
          <w:tcPr>
            <w:tcW w:w="1302" w:type="dxa"/>
          </w:tcPr>
          <w:p w:rsidR="00D4571B" w:rsidRPr="00BA50B0" w:rsidRDefault="00D4571B" w:rsidP="00E302D2">
            <w:pPr>
              <w:pStyle w:val="BodyText"/>
              <w:jc w:val="right"/>
              <w:rPr>
                <w:sz w:val="16"/>
                <w:szCs w:val="16"/>
              </w:rPr>
            </w:pPr>
            <w:r w:rsidRPr="00BA50B0">
              <w:rPr>
                <w:sz w:val="16"/>
                <w:szCs w:val="16"/>
              </w:rPr>
              <w:t>888</w:t>
            </w:r>
            <w:r w:rsidR="002403B9">
              <w:rPr>
                <w:sz w:val="16"/>
                <w:szCs w:val="16"/>
              </w:rPr>
              <w:t>.89</w:t>
            </w:r>
          </w:p>
        </w:tc>
        <w:tc>
          <w:tcPr>
            <w:tcW w:w="1313" w:type="dxa"/>
          </w:tcPr>
          <w:p w:rsidR="00D4571B" w:rsidRPr="00BA50B0" w:rsidRDefault="002403B9" w:rsidP="00E302D2">
            <w:pPr>
              <w:pStyle w:val="BodyText"/>
              <w:jc w:val="right"/>
              <w:rPr>
                <w:sz w:val="16"/>
                <w:szCs w:val="16"/>
              </w:rPr>
            </w:pPr>
            <w:r w:rsidRPr="00BA50B0">
              <w:rPr>
                <w:sz w:val="16"/>
                <w:szCs w:val="16"/>
              </w:rPr>
              <w:t>888</w:t>
            </w:r>
            <w:r>
              <w:rPr>
                <w:sz w:val="16"/>
                <w:szCs w:val="16"/>
              </w:rPr>
              <w:t>.89</w:t>
            </w:r>
          </w:p>
        </w:tc>
        <w:tc>
          <w:tcPr>
            <w:tcW w:w="1313" w:type="dxa"/>
          </w:tcPr>
          <w:p w:rsidR="00D4571B" w:rsidRPr="00BA50B0" w:rsidRDefault="002403B9" w:rsidP="00E302D2">
            <w:pPr>
              <w:pStyle w:val="BodyText"/>
              <w:jc w:val="right"/>
              <w:rPr>
                <w:sz w:val="16"/>
                <w:szCs w:val="16"/>
              </w:rPr>
            </w:pPr>
            <w:r w:rsidRPr="00BA50B0">
              <w:rPr>
                <w:sz w:val="16"/>
                <w:szCs w:val="16"/>
              </w:rPr>
              <w:t>888</w:t>
            </w:r>
            <w:r>
              <w:rPr>
                <w:sz w:val="16"/>
                <w:szCs w:val="16"/>
              </w:rPr>
              <w:t>.89</w:t>
            </w:r>
          </w:p>
        </w:tc>
        <w:tc>
          <w:tcPr>
            <w:tcW w:w="1313" w:type="dxa"/>
          </w:tcPr>
          <w:p w:rsidR="00D4571B" w:rsidRPr="00BA50B0" w:rsidRDefault="002403B9" w:rsidP="00E302D2">
            <w:pPr>
              <w:pStyle w:val="BodyText"/>
              <w:jc w:val="right"/>
              <w:rPr>
                <w:sz w:val="16"/>
                <w:szCs w:val="16"/>
              </w:rPr>
            </w:pPr>
            <w:r w:rsidRPr="00BA50B0">
              <w:rPr>
                <w:sz w:val="16"/>
                <w:szCs w:val="16"/>
              </w:rPr>
              <w:t>888</w:t>
            </w:r>
            <w:r>
              <w:rPr>
                <w:sz w:val="16"/>
                <w:szCs w:val="16"/>
              </w:rPr>
              <w:t>.89</w:t>
            </w:r>
          </w:p>
        </w:tc>
        <w:tc>
          <w:tcPr>
            <w:tcW w:w="1313" w:type="dxa"/>
          </w:tcPr>
          <w:p w:rsidR="00D4571B" w:rsidRPr="00BA50B0" w:rsidRDefault="002403B9" w:rsidP="00E302D2">
            <w:pPr>
              <w:pStyle w:val="BodyText"/>
              <w:jc w:val="right"/>
              <w:rPr>
                <w:sz w:val="16"/>
                <w:szCs w:val="16"/>
              </w:rPr>
            </w:pPr>
            <w:r w:rsidRPr="00BA50B0">
              <w:rPr>
                <w:sz w:val="16"/>
                <w:szCs w:val="16"/>
              </w:rPr>
              <w:t>888</w:t>
            </w:r>
            <w:r>
              <w:rPr>
                <w:sz w:val="16"/>
                <w:szCs w:val="16"/>
              </w:rPr>
              <w:t>.89</w:t>
            </w:r>
          </w:p>
        </w:tc>
        <w:tc>
          <w:tcPr>
            <w:tcW w:w="1340" w:type="dxa"/>
          </w:tcPr>
          <w:p w:rsidR="00D4571B" w:rsidRPr="00BA50B0" w:rsidRDefault="00D4571B" w:rsidP="00E302D2">
            <w:pPr>
              <w:pStyle w:val="BodyText"/>
              <w:jc w:val="right"/>
              <w:rPr>
                <w:sz w:val="16"/>
                <w:szCs w:val="16"/>
              </w:rPr>
            </w:pPr>
            <w:r w:rsidRPr="00BA50B0">
              <w:rPr>
                <w:sz w:val="16"/>
                <w:szCs w:val="16"/>
              </w:rPr>
              <w:t>0</w:t>
            </w:r>
          </w:p>
        </w:tc>
      </w:tr>
      <w:tr w:rsidR="00D4571B" w:rsidTr="000A3D4F">
        <w:tc>
          <w:tcPr>
            <w:tcW w:w="2127" w:type="dxa"/>
          </w:tcPr>
          <w:p w:rsidR="00D4571B" w:rsidRPr="00BA50B0" w:rsidRDefault="00D4571B" w:rsidP="00E302D2">
            <w:pPr>
              <w:pStyle w:val="BodyText"/>
              <w:spacing w:after="0"/>
              <w:rPr>
                <w:b/>
                <w:sz w:val="16"/>
                <w:szCs w:val="16"/>
              </w:rPr>
            </w:pPr>
            <w:r w:rsidRPr="00BA50B0">
              <w:rPr>
                <w:b/>
                <w:sz w:val="16"/>
                <w:szCs w:val="16"/>
              </w:rPr>
              <w:t>New or renewed promoters’ licence</w:t>
            </w:r>
          </w:p>
          <w:p w:rsidR="00D4571B" w:rsidRPr="00BA50B0" w:rsidRDefault="00D4571B" w:rsidP="00E302D2">
            <w:pPr>
              <w:pStyle w:val="BodyText"/>
              <w:rPr>
                <w:b/>
                <w:sz w:val="16"/>
                <w:szCs w:val="16"/>
              </w:rPr>
            </w:pPr>
            <w:r w:rsidRPr="00BA50B0">
              <w:rPr>
                <w:b/>
                <w:sz w:val="16"/>
                <w:szCs w:val="16"/>
              </w:rPr>
              <w:t>Temp licensed promoter authority</w:t>
            </w:r>
          </w:p>
        </w:tc>
        <w:tc>
          <w:tcPr>
            <w:tcW w:w="1302" w:type="dxa"/>
          </w:tcPr>
          <w:p w:rsidR="00D4571B" w:rsidRPr="00BA50B0" w:rsidRDefault="00D4571B" w:rsidP="00E302D2">
            <w:pPr>
              <w:pStyle w:val="BodyText"/>
              <w:spacing w:after="0"/>
              <w:jc w:val="right"/>
              <w:rPr>
                <w:sz w:val="16"/>
                <w:szCs w:val="16"/>
              </w:rPr>
            </w:pPr>
            <w:r w:rsidRPr="00BA50B0">
              <w:rPr>
                <w:sz w:val="16"/>
                <w:szCs w:val="16"/>
              </w:rPr>
              <w:t>1,</w:t>
            </w:r>
            <w:r w:rsidR="00CE7374">
              <w:rPr>
                <w:sz w:val="16"/>
                <w:szCs w:val="16"/>
              </w:rPr>
              <w:t>222.22</w:t>
            </w:r>
          </w:p>
          <w:p w:rsidR="00D4571B" w:rsidRDefault="00D4571B" w:rsidP="00E302D2">
            <w:pPr>
              <w:pStyle w:val="BodyText"/>
              <w:spacing w:after="0"/>
              <w:jc w:val="right"/>
              <w:rPr>
                <w:sz w:val="16"/>
                <w:szCs w:val="16"/>
              </w:rPr>
            </w:pPr>
          </w:p>
          <w:p w:rsidR="00D4571B" w:rsidRPr="00BA50B0" w:rsidRDefault="00CE7374" w:rsidP="00E302D2">
            <w:pPr>
              <w:pStyle w:val="BodyText"/>
              <w:spacing w:after="0"/>
              <w:jc w:val="right"/>
              <w:rPr>
                <w:sz w:val="16"/>
                <w:szCs w:val="16"/>
              </w:rPr>
            </w:pPr>
            <w:r>
              <w:rPr>
                <w:sz w:val="16"/>
                <w:szCs w:val="16"/>
              </w:rPr>
              <w:t>88.89</w:t>
            </w:r>
          </w:p>
        </w:tc>
        <w:tc>
          <w:tcPr>
            <w:tcW w:w="1313" w:type="dxa"/>
          </w:tcPr>
          <w:p w:rsidR="00D4571B" w:rsidRPr="00BA50B0" w:rsidRDefault="00D4571B" w:rsidP="00E302D2">
            <w:pPr>
              <w:pStyle w:val="BodyText"/>
              <w:spacing w:after="0"/>
              <w:jc w:val="right"/>
              <w:rPr>
                <w:sz w:val="16"/>
                <w:szCs w:val="16"/>
              </w:rPr>
            </w:pPr>
            <w:r w:rsidRPr="00BA50B0">
              <w:rPr>
                <w:sz w:val="16"/>
                <w:szCs w:val="16"/>
              </w:rPr>
              <w:t>2,567</w:t>
            </w:r>
          </w:p>
          <w:p w:rsidR="00D4571B" w:rsidRDefault="00D4571B" w:rsidP="00E302D2">
            <w:pPr>
              <w:pStyle w:val="BodyText"/>
              <w:spacing w:after="0"/>
              <w:jc w:val="right"/>
              <w:rPr>
                <w:sz w:val="16"/>
                <w:szCs w:val="16"/>
              </w:rPr>
            </w:pPr>
          </w:p>
          <w:p w:rsidR="00D4571B" w:rsidRPr="00BA50B0" w:rsidRDefault="00CE7374" w:rsidP="00E302D2">
            <w:pPr>
              <w:pStyle w:val="BodyText"/>
              <w:spacing w:after="0"/>
              <w:jc w:val="right"/>
              <w:rPr>
                <w:sz w:val="16"/>
                <w:szCs w:val="16"/>
              </w:rPr>
            </w:pPr>
            <w:r>
              <w:rPr>
                <w:sz w:val="16"/>
                <w:szCs w:val="16"/>
              </w:rPr>
              <w:t>88.89</w:t>
            </w:r>
          </w:p>
        </w:tc>
        <w:tc>
          <w:tcPr>
            <w:tcW w:w="1313" w:type="dxa"/>
          </w:tcPr>
          <w:p w:rsidR="00D4571B" w:rsidRPr="00BA50B0" w:rsidRDefault="00D4571B" w:rsidP="00E302D2">
            <w:pPr>
              <w:pStyle w:val="BodyText"/>
              <w:spacing w:after="0"/>
              <w:jc w:val="right"/>
              <w:rPr>
                <w:sz w:val="16"/>
                <w:szCs w:val="16"/>
              </w:rPr>
            </w:pPr>
            <w:r w:rsidRPr="00BA50B0">
              <w:rPr>
                <w:sz w:val="16"/>
                <w:szCs w:val="16"/>
              </w:rPr>
              <w:t>2,567</w:t>
            </w:r>
          </w:p>
          <w:p w:rsidR="00D4571B" w:rsidRDefault="00D4571B" w:rsidP="00E302D2">
            <w:pPr>
              <w:pStyle w:val="BodyText"/>
              <w:spacing w:after="0"/>
              <w:jc w:val="right"/>
              <w:rPr>
                <w:sz w:val="16"/>
                <w:szCs w:val="16"/>
              </w:rPr>
            </w:pPr>
          </w:p>
          <w:p w:rsidR="00D4571B" w:rsidRPr="00BA50B0" w:rsidRDefault="00CE7374" w:rsidP="00E302D2">
            <w:pPr>
              <w:pStyle w:val="BodyText"/>
              <w:spacing w:after="0"/>
              <w:jc w:val="right"/>
              <w:rPr>
                <w:sz w:val="16"/>
                <w:szCs w:val="16"/>
              </w:rPr>
            </w:pPr>
            <w:r>
              <w:rPr>
                <w:sz w:val="16"/>
                <w:szCs w:val="16"/>
              </w:rPr>
              <w:t>88.89</w:t>
            </w:r>
          </w:p>
        </w:tc>
        <w:tc>
          <w:tcPr>
            <w:tcW w:w="1313" w:type="dxa"/>
          </w:tcPr>
          <w:p w:rsidR="00D4571B" w:rsidRPr="00BA50B0" w:rsidRDefault="00D4571B" w:rsidP="00E302D2">
            <w:pPr>
              <w:pStyle w:val="BodyText"/>
              <w:spacing w:after="0"/>
              <w:jc w:val="right"/>
              <w:rPr>
                <w:sz w:val="16"/>
                <w:szCs w:val="16"/>
              </w:rPr>
            </w:pPr>
            <w:r w:rsidRPr="00BA50B0">
              <w:rPr>
                <w:sz w:val="16"/>
                <w:szCs w:val="16"/>
              </w:rPr>
              <w:t>2,567</w:t>
            </w:r>
          </w:p>
          <w:p w:rsidR="00D4571B" w:rsidRDefault="00D4571B" w:rsidP="00E302D2">
            <w:pPr>
              <w:pStyle w:val="BodyText"/>
              <w:spacing w:after="0"/>
              <w:jc w:val="right"/>
              <w:rPr>
                <w:sz w:val="16"/>
                <w:szCs w:val="16"/>
              </w:rPr>
            </w:pPr>
          </w:p>
          <w:p w:rsidR="00D4571B" w:rsidRPr="00BA50B0" w:rsidRDefault="00CE7374" w:rsidP="00E302D2">
            <w:pPr>
              <w:pStyle w:val="BodyText"/>
              <w:spacing w:after="0"/>
              <w:jc w:val="right"/>
              <w:rPr>
                <w:sz w:val="16"/>
                <w:szCs w:val="16"/>
              </w:rPr>
            </w:pPr>
            <w:r>
              <w:rPr>
                <w:sz w:val="16"/>
                <w:szCs w:val="16"/>
              </w:rPr>
              <w:t>88.89</w:t>
            </w:r>
          </w:p>
        </w:tc>
        <w:tc>
          <w:tcPr>
            <w:tcW w:w="1313" w:type="dxa"/>
          </w:tcPr>
          <w:p w:rsidR="00D4571B" w:rsidRPr="00BA50B0" w:rsidRDefault="00D4571B" w:rsidP="00E302D2">
            <w:pPr>
              <w:pStyle w:val="BodyText"/>
              <w:spacing w:after="0"/>
              <w:jc w:val="right"/>
              <w:rPr>
                <w:sz w:val="16"/>
                <w:szCs w:val="16"/>
              </w:rPr>
            </w:pPr>
            <w:r w:rsidRPr="00BA50B0">
              <w:rPr>
                <w:sz w:val="16"/>
                <w:szCs w:val="16"/>
              </w:rPr>
              <w:t>2,567</w:t>
            </w:r>
          </w:p>
          <w:p w:rsidR="00D4571B" w:rsidRDefault="00D4571B" w:rsidP="00E302D2">
            <w:pPr>
              <w:pStyle w:val="BodyText"/>
              <w:spacing w:after="0"/>
              <w:jc w:val="right"/>
              <w:rPr>
                <w:sz w:val="16"/>
                <w:szCs w:val="16"/>
              </w:rPr>
            </w:pPr>
          </w:p>
          <w:p w:rsidR="00D4571B" w:rsidRPr="00BA50B0" w:rsidRDefault="00CE7374" w:rsidP="00E302D2">
            <w:pPr>
              <w:pStyle w:val="BodyText"/>
              <w:spacing w:after="0"/>
              <w:jc w:val="right"/>
              <w:rPr>
                <w:sz w:val="16"/>
                <w:szCs w:val="16"/>
              </w:rPr>
            </w:pPr>
            <w:r>
              <w:rPr>
                <w:sz w:val="16"/>
                <w:szCs w:val="16"/>
              </w:rPr>
              <w:t>88.89</w:t>
            </w:r>
          </w:p>
        </w:tc>
        <w:tc>
          <w:tcPr>
            <w:tcW w:w="1340" w:type="dxa"/>
          </w:tcPr>
          <w:p w:rsidR="00D4571B" w:rsidRPr="00BA50B0" w:rsidRDefault="00D4571B" w:rsidP="00E302D2">
            <w:pPr>
              <w:pStyle w:val="BodyText"/>
              <w:spacing w:after="0"/>
              <w:jc w:val="right"/>
              <w:rPr>
                <w:sz w:val="16"/>
                <w:szCs w:val="16"/>
              </w:rPr>
            </w:pPr>
            <w:r w:rsidRPr="00BA50B0">
              <w:rPr>
                <w:sz w:val="16"/>
                <w:szCs w:val="16"/>
              </w:rPr>
              <w:t>0</w:t>
            </w:r>
          </w:p>
          <w:p w:rsidR="00D4571B" w:rsidRDefault="00D4571B" w:rsidP="00E302D2">
            <w:pPr>
              <w:pStyle w:val="BodyText"/>
              <w:spacing w:after="0"/>
              <w:jc w:val="right"/>
              <w:rPr>
                <w:sz w:val="16"/>
                <w:szCs w:val="16"/>
              </w:rPr>
            </w:pPr>
          </w:p>
          <w:p w:rsidR="00D4571B" w:rsidRPr="00BA50B0" w:rsidRDefault="00D4571B" w:rsidP="00E302D2">
            <w:pPr>
              <w:pStyle w:val="BodyText"/>
              <w:spacing w:after="0"/>
              <w:jc w:val="right"/>
              <w:rPr>
                <w:sz w:val="16"/>
                <w:szCs w:val="16"/>
              </w:rPr>
            </w:pPr>
            <w:r w:rsidRPr="00BA50B0">
              <w:rPr>
                <w:sz w:val="16"/>
                <w:szCs w:val="16"/>
              </w:rPr>
              <w:t>0</w:t>
            </w:r>
          </w:p>
        </w:tc>
      </w:tr>
      <w:tr w:rsidR="000A3D4F" w:rsidRPr="00BA50B0" w:rsidTr="000A3D4F">
        <w:tc>
          <w:tcPr>
            <w:tcW w:w="2127" w:type="dxa"/>
          </w:tcPr>
          <w:p w:rsidR="000A3D4F" w:rsidRPr="00BA50B0" w:rsidRDefault="000A3D4F" w:rsidP="00E302D2">
            <w:pPr>
              <w:pStyle w:val="BodyText"/>
              <w:rPr>
                <w:b/>
                <w:sz w:val="16"/>
                <w:szCs w:val="16"/>
              </w:rPr>
            </w:pPr>
            <w:r w:rsidRPr="00BA50B0">
              <w:rPr>
                <w:b/>
                <w:sz w:val="16"/>
                <w:szCs w:val="16"/>
              </w:rPr>
              <w:t>Filing appeal with Gambling Commission</w:t>
            </w:r>
          </w:p>
        </w:tc>
        <w:tc>
          <w:tcPr>
            <w:tcW w:w="1302" w:type="dxa"/>
          </w:tcPr>
          <w:p w:rsidR="000A3D4F" w:rsidRPr="00BA50B0" w:rsidRDefault="00AD47D3" w:rsidP="00E302D2">
            <w:pPr>
              <w:pStyle w:val="BodyText"/>
              <w:jc w:val="right"/>
              <w:rPr>
                <w:sz w:val="16"/>
                <w:szCs w:val="16"/>
              </w:rPr>
            </w:pPr>
            <w:r>
              <w:rPr>
                <w:sz w:val="16"/>
                <w:szCs w:val="16"/>
              </w:rPr>
              <w:t>222.22</w:t>
            </w:r>
          </w:p>
        </w:tc>
        <w:tc>
          <w:tcPr>
            <w:tcW w:w="1313" w:type="dxa"/>
          </w:tcPr>
          <w:p w:rsidR="000A3D4F" w:rsidRPr="00BA50B0" w:rsidRDefault="00AD47D3" w:rsidP="00E302D2">
            <w:pPr>
              <w:pStyle w:val="BodyText"/>
              <w:jc w:val="right"/>
              <w:rPr>
                <w:sz w:val="16"/>
                <w:szCs w:val="16"/>
              </w:rPr>
            </w:pPr>
            <w:r>
              <w:rPr>
                <w:sz w:val="16"/>
                <w:szCs w:val="16"/>
              </w:rPr>
              <w:t>222.22</w:t>
            </w:r>
          </w:p>
        </w:tc>
        <w:tc>
          <w:tcPr>
            <w:tcW w:w="1313" w:type="dxa"/>
          </w:tcPr>
          <w:p w:rsidR="000A3D4F" w:rsidRPr="00BA50B0" w:rsidRDefault="00AD47D3" w:rsidP="00E302D2">
            <w:pPr>
              <w:pStyle w:val="BodyText"/>
              <w:jc w:val="right"/>
              <w:rPr>
                <w:sz w:val="16"/>
                <w:szCs w:val="16"/>
              </w:rPr>
            </w:pPr>
            <w:r>
              <w:rPr>
                <w:sz w:val="16"/>
                <w:szCs w:val="16"/>
              </w:rPr>
              <w:t>222.22</w:t>
            </w:r>
          </w:p>
        </w:tc>
        <w:tc>
          <w:tcPr>
            <w:tcW w:w="1313" w:type="dxa"/>
          </w:tcPr>
          <w:p w:rsidR="000A3D4F" w:rsidRPr="00BA50B0" w:rsidRDefault="00AD47D3" w:rsidP="00E302D2">
            <w:pPr>
              <w:pStyle w:val="BodyText"/>
              <w:jc w:val="right"/>
              <w:rPr>
                <w:sz w:val="16"/>
                <w:szCs w:val="16"/>
              </w:rPr>
            </w:pPr>
            <w:r>
              <w:rPr>
                <w:sz w:val="16"/>
                <w:szCs w:val="16"/>
              </w:rPr>
              <w:t>222.22</w:t>
            </w:r>
          </w:p>
        </w:tc>
        <w:tc>
          <w:tcPr>
            <w:tcW w:w="1313" w:type="dxa"/>
          </w:tcPr>
          <w:p w:rsidR="000A3D4F" w:rsidRPr="00BA50B0" w:rsidRDefault="00AD47D3" w:rsidP="00E302D2">
            <w:pPr>
              <w:pStyle w:val="BodyText"/>
              <w:jc w:val="right"/>
              <w:rPr>
                <w:sz w:val="16"/>
                <w:szCs w:val="16"/>
              </w:rPr>
            </w:pPr>
            <w:r>
              <w:rPr>
                <w:sz w:val="16"/>
                <w:szCs w:val="16"/>
              </w:rPr>
              <w:t>222.22</w:t>
            </w:r>
          </w:p>
        </w:tc>
        <w:tc>
          <w:tcPr>
            <w:tcW w:w="1340" w:type="dxa"/>
          </w:tcPr>
          <w:p w:rsidR="000A3D4F" w:rsidRPr="00BA50B0" w:rsidRDefault="000A3D4F" w:rsidP="00E302D2">
            <w:pPr>
              <w:pStyle w:val="BodyText"/>
              <w:jc w:val="right"/>
              <w:rPr>
                <w:sz w:val="16"/>
                <w:szCs w:val="16"/>
              </w:rPr>
            </w:pPr>
            <w:r w:rsidRPr="00BA50B0">
              <w:rPr>
                <w:sz w:val="16"/>
                <w:szCs w:val="16"/>
              </w:rPr>
              <w:t>5</w:t>
            </w:r>
          </w:p>
        </w:tc>
      </w:tr>
      <w:tr w:rsidR="000A3D4F" w:rsidRPr="00BA50B0" w:rsidTr="000A3D4F">
        <w:tc>
          <w:tcPr>
            <w:tcW w:w="2127" w:type="dxa"/>
          </w:tcPr>
          <w:p w:rsidR="000A3D4F" w:rsidRPr="00BA50B0" w:rsidRDefault="000A3D4F" w:rsidP="00E302D2">
            <w:pPr>
              <w:pStyle w:val="BodyText"/>
              <w:rPr>
                <w:b/>
                <w:sz w:val="16"/>
                <w:szCs w:val="16"/>
              </w:rPr>
            </w:pPr>
            <w:r w:rsidRPr="00BA50B0">
              <w:rPr>
                <w:b/>
                <w:sz w:val="16"/>
                <w:szCs w:val="16"/>
              </w:rPr>
              <w:t>1-day, half day and part half day hearing</w:t>
            </w:r>
          </w:p>
        </w:tc>
        <w:tc>
          <w:tcPr>
            <w:tcW w:w="1302" w:type="dxa"/>
          </w:tcPr>
          <w:p w:rsidR="000A3D4F" w:rsidRPr="00BA50B0" w:rsidRDefault="001A5D71" w:rsidP="00E302D2">
            <w:pPr>
              <w:pStyle w:val="BodyText"/>
              <w:jc w:val="right"/>
              <w:rPr>
                <w:sz w:val="16"/>
                <w:szCs w:val="16"/>
              </w:rPr>
            </w:pPr>
            <w:r>
              <w:rPr>
                <w:sz w:val="16"/>
                <w:szCs w:val="16"/>
              </w:rPr>
              <w:t>400</w:t>
            </w:r>
          </w:p>
        </w:tc>
        <w:tc>
          <w:tcPr>
            <w:tcW w:w="1313" w:type="dxa"/>
          </w:tcPr>
          <w:p w:rsidR="000A3D4F" w:rsidRPr="00BA50B0" w:rsidRDefault="001A5D71" w:rsidP="00E302D2">
            <w:pPr>
              <w:pStyle w:val="BodyText"/>
              <w:jc w:val="right"/>
              <w:rPr>
                <w:sz w:val="16"/>
                <w:szCs w:val="16"/>
              </w:rPr>
            </w:pPr>
            <w:r>
              <w:rPr>
                <w:sz w:val="16"/>
                <w:szCs w:val="16"/>
              </w:rPr>
              <w:t>40</w:t>
            </w:r>
            <w:r w:rsidR="000A3D4F" w:rsidRPr="00BA50B0">
              <w:rPr>
                <w:sz w:val="16"/>
                <w:szCs w:val="16"/>
              </w:rPr>
              <w:t>0</w:t>
            </w:r>
          </w:p>
        </w:tc>
        <w:tc>
          <w:tcPr>
            <w:tcW w:w="1313" w:type="dxa"/>
          </w:tcPr>
          <w:p w:rsidR="000A3D4F" w:rsidRPr="00BA50B0" w:rsidRDefault="001A5D71" w:rsidP="00E302D2">
            <w:pPr>
              <w:pStyle w:val="BodyText"/>
              <w:jc w:val="right"/>
              <w:rPr>
                <w:sz w:val="16"/>
                <w:szCs w:val="16"/>
              </w:rPr>
            </w:pPr>
            <w:r>
              <w:rPr>
                <w:sz w:val="16"/>
                <w:szCs w:val="16"/>
              </w:rPr>
              <w:t>40</w:t>
            </w:r>
            <w:r w:rsidR="000A3D4F" w:rsidRPr="00BA50B0">
              <w:rPr>
                <w:sz w:val="16"/>
                <w:szCs w:val="16"/>
              </w:rPr>
              <w:t>0</w:t>
            </w:r>
          </w:p>
        </w:tc>
        <w:tc>
          <w:tcPr>
            <w:tcW w:w="1313" w:type="dxa"/>
          </w:tcPr>
          <w:p w:rsidR="000A3D4F" w:rsidRPr="00BA50B0" w:rsidRDefault="001A5D71" w:rsidP="00E302D2">
            <w:pPr>
              <w:pStyle w:val="BodyText"/>
              <w:jc w:val="right"/>
              <w:rPr>
                <w:sz w:val="16"/>
                <w:szCs w:val="16"/>
              </w:rPr>
            </w:pPr>
            <w:r>
              <w:rPr>
                <w:sz w:val="16"/>
                <w:szCs w:val="16"/>
              </w:rPr>
              <w:t>400</w:t>
            </w:r>
          </w:p>
        </w:tc>
        <w:tc>
          <w:tcPr>
            <w:tcW w:w="1313" w:type="dxa"/>
          </w:tcPr>
          <w:p w:rsidR="000A3D4F" w:rsidRPr="00BA50B0" w:rsidRDefault="001A5D71" w:rsidP="00E302D2">
            <w:pPr>
              <w:pStyle w:val="BodyText"/>
              <w:jc w:val="right"/>
              <w:rPr>
                <w:sz w:val="16"/>
                <w:szCs w:val="16"/>
              </w:rPr>
            </w:pPr>
            <w:r>
              <w:rPr>
                <w:sz w:val="16"/>
                <w:szCs w:val="16"/>
              </w:rPr>
              <w:t>400</w:t>
            </w:r>
          </w:p>
        </w:tc>
        <w:tc>
          <w:tcPr>
            <w:tcW w:w="1340" w:type="dxa"/>
          </w:tcPr>
          <w:p w:rsidR="000A3D4F" w:rsidRPr="00BA50B0" w:rsidRDefault="000A3D4F" w:rsidP="00E302D2">
            <w:pPr>
              <w:pStyle w:val="BodyText"/>
              <w:jc w:val="right"/>
              <w:rPr>
                <w:sz w:val="16"/>
                <w:szCs w:val="16"/>
              </w:rPr>
            </w:pPr>
            <w:r w:rsidRPr="00BA50B0">
              <w:rPr>
                <w:sz w:val="16"/>
                <w:szCs w:val="16"/>
              </w:rPr>
              <w:t>0</w:t>
            </w:r>
          </w:p>
        </w:tc>
      </w:tr>
    </w:tbl>
    <w:p w:rsidR="00D4571B" w:rsidRDefault="00D4571B" w:rsidP="004734F8"/>
    <w:tbl>
      <w:tblPr>
        <w:tblStyle w:val="DIATable"/>
        <w:tblW w:w="0" w:type="auto"/>
        <w:tblLook w:val="04A0" w:firstRow="1" w:lastRow="0" w:firstColumn="1" w:lastColumn="0" w:noHBand="0" w:noVBand="1"/>
      </w:tblPr>
      <w:tblGrid>
        <w:gridCol w:w="1842"/>
        <w:gridCol w:w="1833"/>
        <w:gridCol w:w="1834"/>
        <w:gridCol w:w="1835"/>
        <w:gridCol w:w="1835"/>
      </w:tblGrid>
      <w:tr w:rsidR="002C2CD1" w:rsidTr="002C1E1B">
        <w:trPr>
          <w:cnfStyle w:val="100000000000" w:firstRow="1" w:lastRow="0" w:firstColumn="0" w:lastColumn="0" w:oddVBand="0" w:evenVBand="0" w:oddHBand="0" w:evenHBand="0" w:firstRowFirstColumn="0" w:firstRowLastColumn="0" w:lastRowFirstColumn="0" w:lastRowLastColumn="0"/>
        </w:trPr>
        <w:tc>
          <w:tcPr>
            <w:tcW w:w="1842" w:type="dxa"/>
            <w:tcBorders>
              <w:bottom w:val="single" w:sz="6" w:space="0" w:color="1F546B" w:themeColor="text2"/>
            </w:tcBorders>
          </w:tcPr>
          <w:p w:rsidR="00C42C72" w:rsidRDefault="00C42C72" w:rsidP="00C42C72">
            <w:pPr>
              <w:jc w:val="center"/>
            </w:pPr>
            <w:r>
              <w:t>Casino fees</w:t>
            </w:r>
          </w:p>
        </w:tc>
        <w:tc>
          <w:tcPr>
            <w:tcW w:w="1833" w:type="dxa"/>
            <w:tcBorders>
              <w:bottom w:val="single" w:sz="6" w:space="0" w:color="1F546B" w:themeColor="text2"/>
            </w:tcBorders>
          </w:tcPr>
          <w:p w:rsidR="00C42C72" w:rsidRDefault="00C42C72" w:rsidP="00C42C72">
            <w:pPr>
              <w:jc w:val="center"/>
            </w:pPr>
            <w:r>
              <w:t>Current fee ($million)</w:t>
            </w:r>
          </w:p>
        </w:tc>
        <w:tc>
          <w:tcPr>
            <w:tcW w:w="1834" w:type="dxa"/>
            <w:tcBorders>
              <w:bottom w:val="single" w:sz="6" w:space="0" w:color="1F546B" w:themeColor="text2"/>
            </w:tcBorders>
          </w:tcPr>
          <w:p w:rsidR="00C42C72" w:rsidRDefault="00C42C72" w:rsidP="00C42C72">
            <w:pPr>
              <w:jc w:val="center"/>
            </w:pPr>
            <w:r>
              <w:t>Proposed fee 2015/16 ($million)</w:t>
            </w:r>
          </w:p>
        </w:tc>
        <w:tc>
          <w:tcPr>
            <w:tcW w:w="1835" w:type="dxa"/>
            <w:tcBorders>
              <w:bottom w:val="single" w:sz="6" w:space="0" w:color="1F546B" w:themeColor="text2"/>
            </w:tcBorders>
          </w:tcPr>
          <w:p w:rsidR="00C42C72" w:rsidRDefault="00C42C72" w:rsidP="00C42C72">
            <w:pPr>
              <w:jc w:val="center"/>
            </w:pPr>
            <w:r>
              <w:t>Proposed fee 2016/17 ($million)</w:t>
            </w:r>
          </w:p>
        </w:tc>
        <w:tc>
          <w:tcPr>
            <w:tcW w:w="1835" w:type="dxa"/>
            <w:tcBorders>
              <w:bottom w:val="single" w:sz="6" w:space="0" w:color="1F546B" w:themeColor="text2"/>
            </w:tcBorders>
          </w:tcPr>
          <w:p w:rsidR="00C42C72" w:rsidRDefault="00C42C72" w:rsidP="00C42C72">
            <w:pPr>
              <w:jc w:val="center"/>
            </w:pPr>
            <w:r>
              <w:t>Proposed fee 2017/18 ($million)</w:t>
            </w:r>
          </w:p>
        </w:tc>
      </w:tr>
      <w:tr w:rsidR="002C2CD1" w:rsidTr="002C2CD1">
        <w:tc>
          <w:tcPr>
            <w:tcW w:w="1842" w:type="dxa"/>
            <w:tcBorders>
              <w:top w:val="single" w:sz="6" w:space="0" w:color="1F546B" w:themeColor="text2"/>
            </w:tcBorders>
          </w:tcPr>
          <w:p w:rsidR="002C2CD1" w:rsidRPr="00C42C72" w:rsidRDefault="002C2CD1" w:rsidP="004734F8">
            <w:pPr>
              <w:rPr>
                <w:b/>
              </w:rPr>
            </w:pPr>
            <w:r w:rsidRPr="00C42C72">
              <w:rPr>
                <w:b/>
              </w:rPr>
              <w:t>Auckland</w:t>
            </w:r>
          </w:p>
        </w:tc>
        <w:tc>
          <w:tcPr>
            <w:tcW w:w="1833" w:type="dxa"/>
            <w:tcBorders>
              <w:top w:val="single" w:sz="6" w:space="0" w:color="1F546B" w:themeColor="text2"/>
            </w:tcBorders>
          </w:tcPr>
          <w:p w:rsidR="002C2CD1" w:rsidRPr="00BA50B0" w:rsidRDefault="002C2CD1" w:rsidP="00CE0C4C">
            <w:pPr>
              <w:pStyle w:val="BodyText"/>
            </w:pPr>
            <w:r w:rsidRPr="00BA50B0">
              <w:t>2.573</w:t>
            </w:r>
          </w:p>
        </w:tc>
        <w:tc>
          <w:tcPr>
            <w:tcW w:w="1834" w:type="dxa"/>
            <w:tcBorders>
              <w:top w:val="single" w:sz="6" w:space="0" w:color="1F546B" w:themeColor="text2"/>
            </w:tcBorders>
          </w:tcPr>
          <w:p w:rsidR="002C2CD1" w:rsidRPr="00BA50B0" w:rsidRDefault="002C2CD1" w:rsidP="00CE0C4C">
            <w:pPr>
              <w:pStyle w:val="BodyText"/>
            </w:pPr>
            <w:r w:rsidRPr="00BA50B0">
              <w:t>2.852</w:t>
            </w:r>
          </w:p>
        </w:tc>
        <w:tc>
          <w:tcPr>
            <w:tcW w:w="1835" w:type="dxa"/>
            <w:tcBorders>
              <w:top w:val="single" w:sz="6" w:space="0" w:color="1F546B" w:themeColor="text2"/>
            </w:tcBorders>
          </w:tcPr>
          <w:p w:rsidR="002C2CD1" w:rsidRPr="00BA50B0" w:rsidRDefault="002C2CD1" w:rsidP="00CE0C4C">
            <w:pPr>
              <w:pStyle w:val="BodyText"/>
            </w:pPr>
            <w:r w:rsidRPr="00BA50B0">
              <w:t>2.852</w:t>
            </w:r>
          </w:p>
        </w:tc>
        <w:tc>
          <w:tcPr>
            <w:tcW w:w="1835" w:type="dxa"/>
            <w:tcBorders>
              <w:top w:val="single" w:sz="6" w:space="0" w:color="1F546B" w:themeColor="text2"/>
            </w:tcBorders>
          </w:tcPr>
          <w:p w:rsidR="002C2CD1" w:rsidRPr="00BA50B0" w:rsidRDefault="002C2CD1" w:rsidP="00CE0C4C">
            <w:pPr>
              <w:pStyle w:val="BodyText"/>
            </w:pPr>
            <w:r w:rsidRPr="00BA50B0">
              <w:t>2.852</w:t>
            </w:r>
          </w:p>
        </w:tc>
      </w:tr>
      <w:tr w:rsidR="002C2CD1" w:rsidTr="002C2CD1">
        <w:tc>
          <w:tcPr>
            <w:tcW w:w="1842" w:type="dxa"/>
          </w:tcPr>
          <w:p w:rsidR="002C2CD1" w:rsidRPr="00C42C72" w:rsidRDefault="002C2CD1" w:rsidP="004734F8">
            <w:pPr>
              <w:rPr>
                <w:b/>
              </w:rPr>
            </w:pPr>
            <w:r w:rsidRPr="00C42C72">
              <w:rPr>
                <w:b/>
              </w:rPr>
              <w:t>Hamilton</w:t>
            </w:r>
          </w:p>
        </w:tc>
        <w:tc>
          <w:tcPr>
            <w:tcW w:w="1833" w:type="dxa"/>
          </w:tcPr>
          <w:p w:rsidR="002C2CD1" w:rsidRPr="00BA50B0" w:rsidRDefault="002C2CD1" w:rsidP="00CE0C4C">
            <w:pPr>
              <w:pStyle w:val="BodyText"/>
            </w:pPr>
            <w:r w:rsidRPr="00BA50B0">
              <w:t>0.652</w:t>
            </w:r>
          </w:p>
        </w:tc>
        <w:tc>
          <w:tcPr>
            <w:tcW w:w="1834" w:type="dxa"/>
          </w:tcPr>
          <w:p w:rsidR="002C2CD1" w:rsidRPr="00BA50B0" w:rsidRDefault="002C2CD1" w:rsidP="00CE0C4C">
            <w:pPr>
              <w:pStyle w:val="BodyText"/>
            </w:pPr>
            <w:r w:rsidRPr="00BA50B0">
              <w:t>0.550</w:t>
            </w:r>
          </w:p>
        </w:tc>
        <w:tc>
          <w:tcPr>
            <w:tcW w:w="1835" w:type="dxa"/>
          </w:tcPr>
          <w:p w:rsidR="002C2CD1" w:rsidRPr="00BA50B0" w:rsidRDefault="002C2CD1" w:rsidP="00CE0C4C">
            <w:pPr>
              <w:pStyle w:val="BodyText"/>
            </w:pPr>
            <w:r w:rsidRPr="00BA50B0">
              <w:t>0.550</w:t>
            </w:r>
          </w:p>
        </w:tc>
        <w:tc>
          <w:tcPr>
            <w:tcW w:w="1835" w:type="dxa"/>
          </w:tcPr>
          <w:p w:rsidR="002C2CD1" w:rsidRPr="00BA50B0" w:rsidRDefault="002C2CD1" w:rsidP="00CE0C4C">
            <w:pPr>
              <w:pStyle w:val="BodyText"/>
            </w:pPr>
            <w:r w:rsidRPr="00BA50B0">
              <w:t>0.550</w:t>
            </w:r>
          </w:p>
        </w:tc>
      </w:tr>
      <w:tr w:rsidR="002C2CD1" w:rsidTr="002C2CD1">
        <w:tc>
          <w:tcPr>
            <w:tcW w:w="1842" w:type="dxa"/>
          </w:tcPr>
          <w:p w:rsidR="002C2CD1" w:rsidRPr="00C42C72" w:rsidRDefault="002C2CD1" w:rsidP="004734F8">
            <w:pPr>
              <w:rPr>
                <w:b/>
              </w:rPr>
            </w:pPr>
            <w:r w:rsidRPr="00C42C72">
              <w:rPr>
                <w:b/>
              </w:rPr>
              <w:t>Christchurch</w:t>
            </w:r>
          </w:p>
        </w:tc>
        <w:tc>
          <w:tcPr>
            <w:tcW w:w="1833" w:type="dxa"/>
          </w:tcPr>
          <w:p w:rsidR="002C2CD1" w:rsidRPr="00BA50B0" w:rsidRDefault="002C2CD1" w:rsidP="00CE0C4C">
            <w:pPr>
              <w:pStyle w:val="BodyText"/>
            </w:pPr>
            <w:r w:rsidRPr="00BA50B0">
              <w:t>1.114</w:t>
            </w:r>
          </w:p>
        </w:tc>
        <w:tc>
          <w:tcPr>
            <w:tcW w:w="1834" w:type="dxa"/>
          </w:tcPr>
          <w:p w:rsidR="002C2CD1" w:rsidRPr="00BA50B0" w:rsidRDefault="002C2CD1" w:rsidP="00CE0C4C">
            <w:pPr>
              <w:pStyle w:val="BodyText"/>
            </w:pPr>
            <w:r w:rsidRPr="00BA50B0">
              <w:t>0.813</w:t>
            </w:r>
          </w:p>
        </w:tc>
        <w:tc>
          <w:tcPr>
            <w:tcW w:w="1835" w:type="dxa"/>
          </w:tcPr>
          <w:p w:rsidR="002C2CD1" w:rsidRPr="00BA50B0" w:rsidRDefault="002C2CD1" w:rsidP="00CE0C4C">
            <w:pPr>
              <w:pStyle w:val="BodyText"/>
            </w:pPr>
            <w:r w:rsidRPr="00BA50B0">
              <w:t>0.813</w:t>
            </w:r>
          </w:p>
        </w:tc>
        <w:tc>
          <w:tcPr>
            <w:tcW w:w="1835" w:type="dxa"/>
          </w:tcPr>
          <w:p w:rsidR="002C2CD1" w:rsidRPr="00BA50B0" w:rsidRDefault="002C2CD1" w:rsidP="00CE0C4C">
            <w:pPr>
              <w:pStyle w:val="BodyText"/>
            </w:pPr>
            <w:r w:rsidRPr="00BA50B0">
              <w:t>0.813</w:t>
            </w:r>
          </w:p>
        </w:tc>
      </w:tr>
      <w:tr w:rsidR="002C2CD1" w:rsidTr="002C2CD1">
        <w:tc>
          <w:tcPr>
            <w:tcW w:w="1842" w:type="dxa"/>
          </w:tcPr>
          <w:p w:rsidR="002C2CD1" w:rsidRPr="00C42C72" w:rsidRDefault="002C2CD1" w:rsidP="004734F8">
            <w:pPr>
              <w:rPr>
                <w:b/>
              </w:rPr>
            </w:pPr>
            <w:r w:rsidRPr="00C42C72">
              <w:rPr>
                <w:b/>
              </w:rPr>
              <w:t>Dunedin</w:t>
            </w:r>
          </w:p>
        </w:tc>
        <w:tc>
          <w:tcPr>
            <w:tcW w:w="1833" w:type="dxa"/>
          </w:tcPr>
          <w:p w:rsidR="002C2CD1" w:rsidRPr="00BA50B0" w:rsidRDefault="002C2CD1" w:rsidP="00CE0C4C">
            <w:pPr>
              <w:pStyle w:val="BodyText"/>
            </w:pPr>
            <w:r w:rsidRPr="00BA50B0">
              <w:t>0.495</w:t>
            </w:r>
          </w:p>
        </w:tc>
        <w:tc>
          <w:tcPr>
            <w:tcW w:w="1834" w:type="dxa"/>
          </w:tcPr>
          <w:p w:rsidR="002C2CD1" w:rsidRPr="00BA50B0" w:rsidRDefault="002C2CD1" w:rsidP="00CE0C4C">
            <w:pPr>
              <w:pStyle w:val="BodyText"/>
            </w:pPr>
            <w:r w:rsidRPr="00BA50B0">
              <w:t>0.446</w:t>
            </w:r>
          </w:p>
        </w:tc>
        <w:tc>
          <w:tcPr>
            <w:tcW w:w="1835" w:type="dxa"/>
          </w:tcPr>
          <w:p w:rsidR="002C2CD1" w:rsidRPr="00BA50B0" w:rsidRDefault="002C2CD1" w:rsidP="00CE0C4C">
            <w:pPr>
              <w:pStyle w:val="BodyText"/>
            </w:pPr>
            <w:r w:rsidRPr="00BA50B0">
              <w:t>0.446</w:t>
            </w:r>
          </w:p>
        </w:tc>
        <w:tc>
          <w:tcPr>
            <w:tcW w:w="1835" w:type="dxa"/>
          </w:tcPr>
          <w:p w:rsidR="002C2CD1" w:rsidRPr="00BA50B0" w:rsidRDefault="002C2CD1" w:rsidP="00CE0C4C">
            <w:pPr>
              <w:pStyle w:val="BodyText"/>
            </w:pPr>
            <w:r w:rsidRPr="00BA50B0">
              <w:t>0.446</w:t>
            </w:r>
          </w:p>
        </w:tc>
      </w:tr>
      <w:tr w:rsidR="002C2CD1" w:rsidTr="002C2CD1">
        <w:tc>
          <w:tcPr>
            <w:tcW w:w="1842" w:type="dxa"/>
          </w:tcPr>
          <w:p w:rsidR="002C2CD1" w:rsidRPr="00C42C72" w:rsidRDefault="002C2CD1" w:rsidP="004734F8">
            <w:pPr>
              <w:rPr>
                <w:b/>
              </w:rPr>
            </w:pPr>
            <w:r w:rsidRPr="00C42C72">
              <w:rPr>
                <w:b/>
              </w:rPr>
              <w:t>Queenstown Sky City</w:t>
            </w:r>
          </w:p>
        </w:tc>
        <w:tc>
          <w:tcPr>
            <w:tcW w:w="1833" w:type="dxa"/>
          </w:tcPr>
          <w:p w:rsidR="002C2CD1" w:rsidRPr="00BA50B0" w:rsidRDefault="002C2CD1" w:rsidP="00CE0C4C">
            <w:pPr>
              <w:pStyle w:val="BodyText"/>
            </w:pPr>
            <w:r w:rsidRPr="00BA50B0">
              <w:t>0.211</w:t>
            </w:r>
          </w:p>
        </w:tc>
        <w:tc>
          <w:tcPr>
            <w:tcW w:w="1834" w:type="dxa"/>
          </w:tcPr>
          <w:p w:rsidR="002C2CD1" w:rsidRPr="00BA50B0" w:rsidRDefault="002C2CD1" w:rsidP="00CE0C4C">
            <w:pPr>
              <w:pStyle w:val="BodyText"/>
            </w:pPr>
            <w:r w:rsidRPr="00BA50B0">
              <w:t>0.304</w:t>
            </w:r>
          </w:p>
        </w:tc>
        <w:tc>
          <w:tcPr>
            <w:tcW w:w="1835" w:type="dxa"/>
          </w:tcPr>
          <w:p w:rsidR="002C2CD1" w:rsidRPr="00BA50B0" w:rsidRDefault="002C2CD1" w:rsidP="00CE0C4C">
            <w:pPr>
              <w:pStyle w:val="BodyText"/>
            </w:pPr>
            <w:r w:rsidRPr="00BA50B0">
              <w:t>0.304</w:t>
            </w:r>
          </w:p>
        </w:tc>
        <w:tc>
          <w:tcPr>
            <w:tcW w:w="1835" w:type="dxa"/>
          </w:tcPr>
          <w:p w:rsidR="002C2CD1" w:rsidRPr="00BA50B0" w:rsidRDefault="002C2CD1" w:rsidP="00CE0C4C">
            <w:pPr>
              <w:pStyle w:val="BodyText"/>
            </w:pPr>
            <w:r w:rsidRPr="00BA50B0">
              <w:t>0.304</w:t>
            </w:r>
          </w:p>
        </w:tc>
      </w:tr>
      <w:tr w:rsidR="002C2CD1" w:rsidTr="002C2CD1">
        <w:tc>
          <w:tcPr>
            <w:tcW w:w="1842" w:type="dxa"/>
          </w:tcPr>
          <w:p w:rsidR="002C2CD1" w:rsidRPr="00C42C72" w:rsidRDefault="002C2CD1" w:rsidP="004734F8">
            <w:pPr>
              <w:rPr>
                <w:b/>
              </w:rPr>
            </w:pPr>
            <w:r w:rsidRPr="00C42C72">
              <w:rPr>
                <w:b/>
              </w:rPr>
              <w:t>Queenstown wharf</w:t>
            </w:r>
          </w:p>
        </w:tc>
        <w:tc>
          <w:tcPr>
            <w:tcW w:w="1833" w:type="dxa"/>
          </w:tcPr>
          <w:p w:rsidR="002C2CD1" w:rsidRPr="00BA50B0" w:rsidRDefault="002C2CD1" w:rsidP="00CE0C4C">
            <w:pPr>
              <w:pStyle w:val="BodyText"/>
            </w:pPr>
            <w:r w:rsidRPr="00BA50B0">
              <w:t>0.197</w:t>
            </w:r>
          </w:p>
        </w:tc>
        <w:tc>
          <w:tcPr>
            <w:tcW w:w="1834" w:type="dxa"/>
          </w:tcPr>
          <w:p w:rsidR="002C2CD1" w:rsidRPr="00BA50B0" w:rsidRDefault="002C2CD1" w:rsidP="00CE0C4C">
            <w:pPr>
              <w:pStyle w:val="BodyText"/>
            </w:pPr>
            <w:r w:rsidRPr="00BA50B0">
              <w:t>0.278</w:t>
            </w:r>
          </w:p>
        </w:tc>
        <w:tc>
          <w:tcPr>
            <w:tcW w:w="1835" w:type="dxa"/>
          </w:tcPr>
          <w:p w:rsidR="002C2CD1" w:rsidRPr="00BA50B0" w:rsidRDefault="002C2CD1" w:rsidP="00CE0C4C">
            <w:pPr>
              <w:pStyle w:val="BodyText"/>
            </w:pPr>
            <w:r w:rsidRPr="00BA50B0">
              <w:t>0.278</w:t>
            </w:r>
          </w:p>
        </w:tc>
        <w:tc>
          <w:tcPr>
            <w:tcW w:w="1835" w:type="dxa"/>
          </w:tcPr>
          <w:p w:rsidR="002C2CD1" w:rsidRPr="00BA50B0" w:rsidRDefault="002C2CD1" w:rsidP="00CE0C4C">
            <w:pPr>
              <w:pStyle w:val="BodyText"/>
            </w:pPr>
            <w:r w:rsidRPr="00BA50B0">
              <w:t>0.278</w:t>
            </w:r>
          </w:p>
        </w:tc>
      </w:tr>
      <w:tr w:rsidR="002C2CD1" w:rsidTr="002C2CD1">
        <w:tc>
          <w:tcPr>
            <w:tcW w:w="1842" w:type="dxa"/>
          </w:tcPr>
          <w:p w:rsidR="002C2CD1" w:rsidRPr="00C42C72" w:rsidRDefault="002C2CD1" w:rsidP="004734F8">
            <w:pPr>
              <w:rPr>
                <w:b/>
              </w:rPr>
            </w:pPr>
            <w:r w:rsidRPr="00C42C72">
              <w:rPr>
                <w:b/>
              </w:rPr>
              <w:t>Total</w:t>
            </w:r>
          </w:p>
        </w:tc>
        <w:tc>
          <w:tcPr>
            <w:tcW w:w="1833" w:type="dxa"/>
          </w:tcPr>
          <w:p w:rsidR="002C2CD1" w:rsidRPr="00BA50B0" w:rsidRDefault="002C2CD1" w:rsidP="00CE0C4C">
            <w:pPr>
              <w:pStyle w:val="BodyText"/>
            </w:pPr>
            <w:r w:rsidRPr="00BA50B0">
              <w:t>5.242</w:t>
            </w:r>
          </w:p>
        </w:tc>
        <w:tc>
          <w:tcPr>
            <w:tcW w:w="1834" w:type="dxa"/>
          </w:tcPr>
          <w:p w:rsidR="002C2CD1" w:rsidRPr="00BA50B0" w:rsidRDefault="002C2CD1" w:rsidP="00CE0C4C">
            <w:pPr>
              <w:pStyle w:val="BodyText"/>
            </w:pPr>
            <w:r w:rsidRPr="00BA50B0">
              <w:t>5.242</w:t>
            </w:r>
          </w:p>
        </w:tc>
        <w:tc>
          <w:tcPr>
            <w:tcW w:w="1835" w:type="dxa"/>
          </w:tcPr>
          <w:p w:rsidR="002C2CD1" w:rsidRPr="00BA50B0" w:rsidRDefault="002C2CD1" w:rsidP="00CE0C4C">
            <w:pPr>
              <w:pStyle w:val="BodyText"/>
            </w:pPr>
            <w:r w:rsidRPr="00BA50B0">
              <w:t>5.242</w:t>
            </w:r>
          </w:p>
        </w:tc>
        <w:tc>
          <w:tcPr>
            <w:tcW w:w="1835" w:type="dxa"/>
          </w:tcPr>
          <w:p w:rsidR="002C2CD1" w:rsidRPr="00BA50B0" w:rsidRDefault="002C2CD1" w:rsidP="00CE0C4C">
            <w:pPr>
              <w:pStyle w:val="BodyText"/>
            </w:pPr>
            <w:r w:rsidRPr="00BA50B0">
              <w:t>5.242</w:t>
            </w:r>
          </w:p>
        </w:tc>
      </w:tr>
    </w:tbl>
    <w:p w:rsidR="004550CF" w:rsidRDefault="004550CF">
      <w:pPr>
        <w:keepLines w:val="0"/>
      </w:pPr>
      <w:r>
        <w:br w:type="page"/>
      </w:r>
    </w:p>
    <w:sectPr w:rsidR="004550CF" w:rsidSect="00951A16">
      <w:footerReference w:type="default" r:id="rId18"/>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3E" w:rsidRDefault="00FF0B3E">
      <w:r>
        <w:separator/>
      </w:r>
    </w:p>
  </w:endnote>
  <w:endnote w:type="continuationSeparator" w:id="0">
    <w:p w:rsidR="00FF0B3E" w:rsidRDefault="00FF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Pr="00F60476" w:rsidRDefault="008D2AA7" w:rsidP="00F60476">
    <w:pPr>
      <w:pStyle w:val="Footer"/>
    </w:pPr>
    <w:r>
      <w:rPr>
        <w:noProof/>
        <w:lang w:eastAsia="en-NZ"/>
      </w:rPr>
      <w:drawing>
        <wp:anchor distT="0" distB="0" distL="114300" distR="114300" simplePos="0" relativeHeight="251667456" behindDoc="0" locked="0" layoutInCell="1" allowOverlap="1" wp14:anchorId="4FA21FBC" wp14:editId="19A83E80">
          <wp:simplePos x="0" y="0"/>
          <wp:positionH relativeFrom="column">
            <wp:posOffset>3204845</wp:posOffset>
          </wp:positionH>
          <wp:positionV relativeFrom="page">
            <wp:posOffset>9999345</wp:posOffset>
          </wp:positionV>
          <wp:extent cx="2555875" cy="262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6432" behindDoc="1" locked="0" layoutInCell="1" allowOverlap="1" wp14:anchorId="667267C0" wp14:editId="4E0313E1">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Default="008D2AA7" w:rsidP="00BB01C9">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087B80">
      <w:fldChar w:fldCharType="begin"/>
    </w:r>
    <w:r w:rsidR="00087B80">
      <w:instrText xml:space="preserve"> NUMPAGES   \* MERGEFORMAT </w:instrText>
    </w:r>
    <w:r w:rsidR="00087B80">
      <w:fldChar w:fldCharType="separate"/>
    </w:r>
    <w:r w:rsidR="00094461">
      <w:rPr>
        <w:noProof/>
      </w:rPr>
      <w:t>24</w:t>
    </w:r>
    <w:r w:rsidR="00087B80">
      <w:rPr>
        <w:noProof/>
      </w:rPr>
      <w:fldChar w:fldCharType="end"/>
    </w:r>
  </w:p>
  <w:p w:rsidR="008D2AA7" w:rsidRDefault="008D2AA7"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Pr="00391C7C" w:rsidRDefault="008D2AA7" w:rsidP="004518B7">
    <w:pPr>
      <w:pStyle w:val="Footer"/>
      <w:tabs>
        <w:tab w:val="center" w:pos="4678"/>
        <w:tab w:val="right" w:pos="9071"/>
      </w:tabs>
      <w:ind w:right="-1"/>
    </w:pPr>
    <w:r>
      <w:tab/>
    </w:r>
    <w:r>
      <w:rPr>
        <w:rStyle w:val="Footersecurityclassification"/>
      </w:rPr>
      <w:t>in confidence</w:t>
    </w:r>
    <w:r>
      <w:tab/>
    </w:r>
    <w:r>
      <w:fldChar w:fldCharType="begin"/>
    </w:r>
    <w:r>
      <w:instrText xml:space="preserve"> PAGE  \* roman  \* MERGEFORMAT </w:instrText>
    </w:r>
    <w:r>
      <w:fldChar w:fldCharType="separate"/>
    </w:r>
    <w:r w:rsidR="00087B80">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Pr="00391C7C" w:rsidRDefault="008D2AA7" w:rsidP="004518B7">
    <w:pPr>
      <w:pStyle w:val="Footer"/>
      <w:tabs>
        <w:tab w:val="center" w:pos="4678"/>
        <w:tab w:val="right" w:pos="9071"/>
      </w:tabs>
      <w:ind w:right="-1"/>
    </w:pPr>
    <w:r>
      <w:tab/>
    </w:r>
    <w:r>
      <w:rPr>
        <w:rStyle w:val="Footersecurityclassification"/>
      </w:rPr>
      <w:t>in confidence</w:t>
    </w:r>
    <w:r>
      <w:tab/>
      <w:t xml:space="preserve">Page </w:t>
    </w:r>
    <w:r>
      <w:fldChar w:fldCharType="begin"/>
    </w:r>
    <w:r>
      <w:instrText xml:space="preserve"> PAGE  \* Arabic  \* MERGEFORMAT </w:instrText>
    </w:r>
    <w:r>
      <w:fldChar w:fldCharType="separate"/>
    </w:r>
    <w:r w:rsidR="00087B8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3E" w:rsidRDefault="00FF0B3E" w:rsidP="006E29CC">
      <w:pPr>
        <w:pStyle w:val="Spacer"/>
      </w:pPr>
      <w:r>
        <w:separator/>
      </w:r>
    </w:p>
  </w:footnote>
  <w:footnote w:type="continuationSeparator" w:id="0">
    <w:p w:rsidR="00FF0B3E" w:rsidRDefault="00FF0B3E">
      <w:r>
        <w:continuationSeparator/>
      </w:r>
    </w:p>
  </w:footnote>
  <w:footnote w:id="1">
    <w:p w:rsidR="008D2AA7" w:rsidRPr="00BA50B0" w:rsidRDefault="008D2AA7" w:rsidP="00782A06">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footnote>
  <w:footnote w:id="2">
    <w:p w:rsidR="008D2AA7" w:rsidRDefault="008D2AA7" w:rsidP="00426F43">
      <w:pPr>
        <w:pStyle w:val="FootnoteText"/>
        <w:ind w:left="142" w:hanging="142"/>
      </w:pPr>
      <w:r>
        <w:rPr>
          <w:rStyle w:val="FootnoteReference"/>
        </w:rPr>
        <w:footnoteRef/>
      </w:r>
      <w:r>
        <w:t xml:space="preserve"> </w:t>
      </w:r>
      <w:r w:rsidRPr="00B5174A">
        <w:rPr>
          <w:sz w:val="16"/>
          <w:szCs w:val="16"/>
        </w:rPr>
        <w:t>Class 3 gambling is gambling where prizes exceed $5000 (i</w:t>
      </w:r>
      <w:r>
        <w:rPr>
          <w:sz w:val="16"/>
          <w:szCs w:val="16"/>
        </w:rPr>
        <w:t xml:space="preserve">ncluding housie, large raffles and </w:t>
      </w:r>
      <w:r w:rsidRPr="00B5174A">
        <w:rPr>
          <w:sz w:val="16"/>
          <w:szCs w:val="16"/>
        </w:rPr>
        <w:t>some instant games) and requires a licence from the Department.</w:t>
      </w:r>
    </w:p>
  </w:footnote>
  <w:footnote w:id="3">
    <w:p w:rsidR="008D2AA7" w:rsidRPr="0075247D" w:rsidRDefault="008D2AA7" w:rsidP="00CD2364">
      <w:pPr>
        <w:pStyle w:val="FootnoteText"/>
        <w:ind w:left="142" w:hanging="142"/>
        <w:rPr>
          <w:sz w:val="16"/>
          <w:szCs w:val="16"/>
        </w:rPr>
      </w:pPr>
      <w:r>
        <w:rPr>
          <w:rStyle w:val="FootnoteReference"/>
        </w:rPr>
        <w:footnoteRef/>
      </w:r>
      <w:r>
        <w:t xml:space="preserve"> </w:t>
      </w:r>
      <w:r w:rsidRPr="0075247D">
        <w:rPr>
          <w:sz w:val="16"/>
          <w:szCs w:val="16"/>
        </w:rPr>
        <w:t xml:space="preserve">The current published Regulations include GST at the previous rate of 12.5 per cent.  To avoid confusion all figures will exclude GST unless otherwise stated.  It is proposed that any new regulations be made exclusive of GST so that any future tax changes will not affect figures used in the </w:t>
      </w:r>
      <w:r>
        <w:rPr>
          <w:sz w:val="16"/>
          <w:szCs w:val="16"/>
        </w:rPr>
        <w:t>R</w:t>
      </w:r>
      <w:r w:rsidRPr="0075247D">
        <w:rPr>
          <w:sz w:val="16"/>
          <w:szCs w:val="16"/>
        </w:rPr>
        <w:t>egulations.</w:t>
      </w:r>
    </w:p>
  </w:footnote>
  <w:footnote w:id="4">
    <w:p w:rsidR="008D2AA7" w:rsidRPr="0075247D" w:rsidRDefault="008D2AA7" w:rsidP="00CD2364">
      <w:pPr>
        <w:pStyle w:val="FootnoteText"/>
        <w:rPr>
          <w:sz w:val="16"/>
          <w:szCs w:val="16"/>
        </w:rPr>
      </w:pPr>
      <w:r w:rsidRPr="0075247D">
        <w:rPr>
          <w:rStyle w:val="FootnoteReference"/>
          <w:sz w:val="16"/>
          <w:szCs w:val="16"/>
        </w:rPr>
        <w:footnoteRef/>
      </w:r>
      <w:r w:rsidRPr="0075247D">
        <w:rPr>
          <w:sz w:val="16"/>
          <w:szCs w:val="16"/>
        </w:rPr>
        <w:t xml:space="preserve"> A full list of current fees can be found in the Appendix.</w:t>
      </w:r>
    </w:p>
  </w:footnote>
  <w:footnote w:id="5">
    <w:p w:rsidR="008D2AA7" w:rsidRPr="00420771" w:rsidRDefault="008D2AA7" w:rsidP="00497FBE">
      <w:pPr>
        <w:pStyle w:val="FootnoteText"/>
        <w:rPr>
          <w:sz w:val="16"/>
          <w:szCs w:val="16"/>
        </w:rPr>
      </w:pPr>
      <w:r w:rsidRPr="00420771">
        <w:rPr>
          <w:rStyle w:val="FootnoteReference"/>
          <w:sz w:val="16"/>
          <w:szCs w:val="16"/>
        </w:rPr>
        <w:footnoteRef/>
      </w:r>
      <w:r w:rsidRPr="00420771">
        <w:rPr>
          <w:sz w:val="16"/>
          <w:szCs w:val="16"/>
        </w:rPr>
        <w:t xml:space="preserve"> Treasury circular 2011/10 </w:t>
      </w:r>
      <w:r w:rsidRPr="00F936E4">
        <w:rPr>
          <w:i/>
          <w:sz w:val="16"/>
          <w:szCs w:val="16"/>
        </w:rPr>
        <w:t>Guidance for the operation of departmental memorandum accounts</w:t>
      </w:r>
      <w:r w:rsidRPr="00420771">
        <w:rPr>
          <w:sz w:val="16"/>
          <w:szCs w:val="16"/>
        </w:rPr>
        <w:t>.</w:t>
      </w:r>
    </w:p>
  </w:footnote>
  <w:footnote w:id="6">
    <w:p w:rsidR="008D2AA7" w:rsidRDefault="008D2AA7" w:rsidP="00497FBE">
      <w:pPr>
        <w:pStyle w:val="FootnoteText"/>
      </w:pPr>
      <w:r>
        <w:rPr>
          <w:rStyle w:val="FootnoteReference"/>
        </w:rPr>
        <w:footnoteRef/>
      </w:r>
      <w:r>
        <w:t xml:space="preserve"> </w:t>
      </w:r>
      <w:r w:rsidRPr="0047066D">
        <w:rPr>
          <w:sz w:val="16"/>
          <w:szCs w:val="16"/>
        </w:rPr>
        <w:t>For more information please refer to</w:t>
      </w:r>
      <w:r>
        <w:rPr>
          <w:sz w:val="16"/>
          <w:szCs w:val="16"/>
        </w:rPr>
        <w:t xml:space="preserve"> </w:t>
      </w:r>
      <w:hyperlink r:id="rId1" w:history="1">
        <w:r w:rsidRPr="0098519C">
          <w:rPr>
            <w:rStyle w:val="Hyperlink"/>
            <w:sz w:val="16"/>
            <w:szCs w:val="16"/>
          </w:rPr>
          <w:t>http://www.treasury.govt.nz/publications/guidance/instructions/2014/22.html</w:t>
        </w:r>
      </w:hyperlink>
    </w:p>
  </w:footnote>
  <w:footnote w:id="7">
    <w:p w:rsidR="008D2AA7" w:rsidRDefault="008D2AA7" w:rsidP="00635241">
      <w:pPr>
        <w:pStyle w:val="FootnoteText"/>
        <w:ind w:left="142" w:hanging="142"/>
      </w:pPr>
      <w:r>
        <w:rPr>
          <w:rStyle w:val="FootnoteReference"/>
        </w:rPr>
        <w:footnoteRef/>
      </w:r>
      <w:r>
        <w:t xml:space="preserve"> </w:t>
      </w:r>
      <w:r w:rsidRPr="00420771">
        <w:rPr>
          <w:sz w:val="16"/>
          <w:szCs w:val="16"/>
        </w:rPr>
        <w:t>At December 2013 there wer</w:t>
      </w:r>
      <w:r w:rsidR="00F71B96">
        <w:rPr>
          <w:sz w:val="16"/>
          <w:szCs w:val="16"/>
        </w:rPr>
        <w:t>e 85 FTE</w:t>
      </w:r>
      <w:r w:rsidR="009B3FB2">
        <w:rPr>
          <w:sz w:val="16"/>
          <w:szCs w:val="16"/>
        </w:rPr>
        <w:t xml:space="preserve"> staff </w:t>
      </w:r>
      <w:r w:rsidRPr="00420771">
        <w:rPr>
          <w:sz w:val="16"/>
          <w:szCs w:val="16"/>
        </w:rPr>
        <w:t>committed to gambling compliance and enforcement work compared with 105 in 2007.</w:t>
      </w:r>
    </w:p>
  </w:footnote>
  <w:footnote w:id="8">
    <w:p w:rsidR="008D2AA7" w:rsidRPr="00E65CE7" w:rsidRDefault="008D2AA7" w:rsidP="009A7F27">
      <w:pPr>
        <w:pStyle w:val="FootnoteText"/>
        <w:rPr>
          <w:sz w:val="16"/>
          <w:szCs w:val="16"/>
        </w:rPr>
      </w:pPr>
      <w:r>
        <w:rPr>
          <w:rStyle w:val="FootnoteReference"/>
        </w:rPr>
        <w:footnoteRef/>
      </w:r>
      <w:r>
        <w:t xml:space="preserve"> </w:t>
      </w:r>
      <w:r w:rsidRPr="00E65CE7">
        <w:rPr>
          <w:sz w:val="16"/>
          <w:szCs w:val="16"/>
        </w:rPr>
        <w:t>In 2007, it was projected that 111 FTE staff would be involved in implementing the regulatory regime for gambling.  The actual number from 2007/08 was 105 FTE</w:t>
      </w:r>
      <w:r w:rsidR="009B3FB2">
        <w:rPr>
          <w:sz w:val="16"/>
          <w:szCs w:val="16"/>
        </w:rPr>
        <w:t xml:space="preserve"> staff.</w:t>
      </w:r>
    </w:p>
  </w:footnote>
  <w:footnote w:id="9">
    <w:p w:rsidR="008D2AA7" w:rsidRPr="000147D1" w:rsidRDefault="008D2AA7" w:rsidP="009A7F27">
      <w:pPr>
        <w:rPr>
          <w:sz w:val="16"/>
          <w:szCs w:val="16"/>
        </w:rPr>
      </w:pPr>
      <w:r>
        <w:rPr>
          <w:rStyle w:val="FootnoteReference"/>
        </w:rPr>
        <w:footnoteRef/>
      </w:r>
      <w:r>
        <w:t xml:space="preserve"> </w:t>
      </w:r>
      <w:r w:rsidRPr="000147D1">
        <w:rPr>
          <w:sz w:val="16"/>
          <w:szCs w:val="16"/>
        </w:rPr>
        <w:t>The table assumes $80,000 per annum for the average FTE and $35,000 for overheads.  A 2.5% annual increase in salary costs is included.</w:t>
      </w:r>
    </w:p>
    <w:p w:rsidR="008D2AA7" w:rsidRDefault="008D2AA7" w:rsidP="009A7F27"/>
    <w:p w:rsidR="008D2AA7" w:rsidRDefault="008D2AA7" w:rsidP="009A7F27">
      <w:pPr>
        <w:pStyle w:val="FootnoteText"/>
      </w:pPr>
    </w:p>
  </w:footnote>
  <w:footnote w:id="10">
    <w:p w:rsidR="008D2AA7" w:rsidRDefault="008D2AA7" w:rsidP="00B278C8">
      <w:pPr>
        <w:pStyle w:val="FootnoteText"/>
        <w:ind w:left="142" w:hanging="142"/>
      </w:pPr>
      <w:r>
        <w:rPr>
          <w:rStyle w:val="FootnoteReference"/>
        </w:rPr>
        <w:footnoteRef/>
      </w:r>
      <w:r>
        <w:t xml:space="preserve"> </w:t>
      </w:r>
      <w:r w:rsidRPr="00971DCE">
        <w:rPr>
          <w:sz w:val="16"/>
          <w:szCs w:val="16"/>
        </w:rPr>
        <w:t xml:space="preserve">For more information about the Treasury guidelines see </w:t>
      </w:r>
      <w:hyperlink r:id="rId2" w:history="1">
        <w:r w:rsidRPr="00971DCE">
          <w:rPr>
            <w:rStyle w:val="Hyperlink"/>
            <w:sz w:val="16"/>
            <w:szCs w:val="16"/>
          </w:rPr>
          <w:t>http://www.treasury.govt.nz/publications/guidance/planning/charges</w:t>
        </w:r>
      </w:hyperlink>
      <w:r w:rsidRPr="00971DCE">
        <w:rPr>
          <w:sz w:val="16"/>
          <w:szCs w:val="16"/>
        </w:rPr>
        <w:t xml:space="preserve">  and for more information about the OAG principles see </w:t>
      </w:r>
      <w:hyperlink r:id="rId3" w:history="1">
        <w:r w:rsidRPr="00971DCE">
          <w:rPr>
            <w:rStyle w:val="Hyperlink"/>
            <w:sz w:val="16"/>
            <w:szCs w:val="16"/>
          </w:rPr>
          <w:t>http://www.oag.govt.nz/2008/charging-fees</w:t>
        </w:r>
      </w:hyperlink>
      <w:r>
        <w:rPr>
          <w:sz w:val="16"/>
          <w:szCs w:val="16"/>
        </w:rPr>
        <w:t>.</w:t>
      </w:r>
    </w:p>
  </w:footnote>
  <w:footnote w:id="11">
    <w:p w:rsidR="008D2AA7" w:rsidRPr="00314408" w:rsidRDefault="008D2AA7">
      <w:pPr>
        <w:pStyle w:val="FootnoteText"/>
        <w:rPr>
          <w:sz w:val="16"/>
          <w:szCs w:val="16"/>
        </w:rPr>
      </w:pPr>
      <w:r w:rsidRPr="00314408">
        <w:rPr>
          <w:rStyle w:val="FootnoteReference"/>
          <w:sz w:val="16"/>
          <w:szCs w:val="16"/>
        </w:rPr>
        <w:footnoteRef/>
      </w:r>
      <w:r w:rsidRPr="00314408">
        <w:rPr>
          <w:sz w:val="16"/>
          <w:szCs w:val="16"/>
        </w:rPr>
        <w:t xml:space="preserve"> The Department has assumed that 90 per cent of licensed gaming machines will be operated over 360 days per year.</w:t>
      </w:r>
    </w:p>
  </w:footnote>
  <w:footnote w:id="12">
    <w:p w:rsidR="008D2AA7" w:rsidRPr="00314408" w:rsidRDefault="008D2AA7">
      <w:pPr>
        <w:pStyle w:val="FootnoteText"/>
        <w:rPr>
          <w:sz w:val="16"/>
          <w:szCs w:val="16"/>
        </w:rPr>
      </w:pPr>
      <w:r>
        <w:rPr>
          <w:rStyle w:val="FootnoteReference"/>
        </w:rPr>
        <w:footnoteRef/>
      </w:r>
      <w:r>
        <w:t xml:space="preserve"> </w:t>
      </w:r>
      <w:r>
        <w:rPr>
          <w:sz w:val="16"/>
          <w:szCs w:val="16"/>
        </w:rPr>
        <w:t>Based on societies and venues operating as at 30 June 2014 and includes licensing, monitoring and compliance fees but does not include other amendment or notification fees which are proposed to decrease.</w:t>
      </w:r>
    </w:p>
  </w:footnote>
  <w:footnote w:id="13">
    <w:p w:rsidR="008D2AA7" w:rsidRDefault="008D2AA7" w:rsidP="000406F5">
      <w:pPr>
        <w:pStyle w:val="NumbersLevel1"/>
        <w:tabs>
          <w:tab w:val="clear" w:pos="709"/>
        </w:tabs>
      </w:pPr>
      <w:r>
        <w:rPr>
          <w:rStyle w:val="FootnoteReference"/>
        </w:rPr>
        <w:footnoteRef/>
      </w:r>
      <w:r>
        <w:t xml:space="preserve"> </w:t>
      </w:r>
      <w:r w:rsidRPr="000406F5">
        <w:rPr>
          <w:rFonts w:ascii="Calibri" w:hAnsi="Calibri"/>
          <w:sz w:val="16"/>
          <w:szCs w:val="16"/>
        </w:rPr>
        <w:t>Note that fee revenue was higher in 2012/13 due to an accounting change that saw some revenue not treated correctly in earlier years</w:t>
      </w:r>
      <w:r>
        <w:rPr>
          <w:rFonts w:ascii="Calibri" w:hAnsi="Calibri"/>
          <w:sz w:val="16"/>
          <w:szCs w:val="16"/>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Pr="00143173" w:rsidRDefault="008D2AA7" w:rsidP="00143173">
    <w:pPr>
      <w:pStyle w:val="Securityclassificiation"/>
      <w:rPr>
        <w:bCs/>
      </w:rPr>
    </w:pPr>
    <w:r w:rsidRPr="00143173">
      <w:rPr>
        <w:bCs/>
        <w:noProof/>
        <w:lang w:eastAsia="en-NZ"/>
      </w:rPr>
      <w:drawing>
        <wp:anchor distT="0" distB="0" distL="114300" distR="114300" simplePos="0" relativeHeight="251661312" behindDoc="0" locked="0" layoutInCell="1" allowOverlap="1" wp14:anchorId="40F368FD" wp14:editId="550F865A">
          <wp:simplePos x="0" y="0"/>
          <wp:positionH relativeFrom="column">
            <wp:align>left</wp:align>
          </wp:positionH>
          <wp:positionV relativeFrom="page">
            <wp:posOffset>504190</wp:posOffset>
          </wp:positionV>
          <wp:extent cx="108000" cy="3240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t>In confidence</w:t>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A7" w:rsidRPr="00D73042" w:rsidRDefault="008D2AA7" w:rsidP="00D73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D0A1016"/>
    <w:multiLevelType w:val="multilevel"/>
    <w:tmpl w:val="B1767F78"/>
    <w:lvl w:ilvl="0">
      <w:start w:val="1"/>
      <w:numFmt w:val="bullet"/>
      <w:lvlText w:val=""/>
      <w:lvlJc w:val="left"/>
      <w:pPr>
        <w:tabs>
          <w:tab w:val="num" w:pos="709"/>
        </w:tabs>
        <w:ind w:left="709" w:hanging="709"/>
      </w:pPr>
      <w:rPr>
        <w:rFonts w:ascii="Symbol" w:hAnsi="Symbol" w:hint="default"/>
        <w:i w:val="0"/>
      </w:rPr>
    </w:lvl>
    <w:lvl w:ilvl="1">
      <w:start w:val="1"/>
      <w:numFmt w:val="decimal"/>
      <w:lvlText w:val="%1.%2"/>
      <w:lvlJc w:val="left"/>
      <w:pPr>
        <w:tabs>
          <w:tab w:val="num" w:pos="709"/>
        </w:tabs>
        <w:ind w:left="709" w:hanging="709"/>
      </w:pPr>
      <w:rPr>
        <w:rFonts w:cs="Tunga" w:hint="default"/>
      </w:rPr>
    </w:lvl>
    <w:lvl w:ilvl="2">
      <w:start w:val="1"/>
      <w:numFmt w:val="lowerLetter"/>
      <w:lvlText w:val="(%3)"/>
      <w:lvlJc w:val="left"/>
      <w:pPr>
        <w:tabs>
          <w:tab w:val="num" w:pos="1276"/>
        </w:tabs>
        <w:ind w:left="1276" w:hanging="567"/>
      </w:pPr>
      <w:rPr>
        <w:rFonts w:cs="Tunga" w:hint="default"/>
      </w:rPr>
    </w:lvl>
    <w:lvl w:ilvl="3">
      <w:start w:val="1"/>
      <w:numFmt w:val="lowerRoman"/>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5">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1"/>
  </w:num>
  <w:num w:numId="2">
    <w:abstractNumId w:val="20"/>
  </w:num>
  <w:num w:numId="3">
    <w:abstractNumId w:val="17"/>
  </w:num>
  <w:num w:numId="4">
    <w:abstractNumId w:val="26"/>
  </w:num>
  <w:num w:numId="5">
    <w:abstractNumId w:val="22"/>
  </w:num>
  <w:num w:numId="6">
    <w:abstractNumId w:val="24"/>
  </w:num>
  <w:num w:numId="7">
    <w:abstractNumId w:val="15"/>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27"/>
  </w:num>
  <w:num w:numId="22">
    <w:abstractNumId w:val="25"/>
  </w:num>
  <w:num w:numId="23">
    <w:abstractNumId w:val="23"/>
  </w:num>
  <w:num w:numId="24">
    <w:abstractNumId w:val="18"/>
  </w:num>
  <w:num w:numId="25">
    <w:abstractNumId w:val="16"/>
  </w:num>
  <w:num w:numId="26">
    <w:abstractNumId w:val="12"/>
  </w:num>
  <w:num w:numId="27">
    <w:abstractNumId w:val="10"/>
  </w:num>
  <w:num w:numId="28">
    <w:abstractNumId w:val="19"/>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42"/>
    <w:rsid w:val="00000591"/>
    <w:rsid w:val="00002928"/>
    <w:rsid w:val="000031C5"/>
    <w:rsid w:val="00003360"/>
    <w:rsid w:val="00003E38"/>
    <w:rsid w:val="00005352"/>
    <w:rsid w:val="000113CA"/>
    <w:rsid w:val="00012508"/>
    <w:rsid w:val="000147D1"/>
    <w:rsid w:val="00020010"/>
    <w:rsid w:val="00021E20"/>
    <w:rsid w:val="00023609"/>
    <w:rsid w:val="00026609"/>
    <w:rsid w:val="000269AD"/>
    <w:rsid w:val="00027088"/>
    <w:rsid w:val="000276BB"/>
    <w:rsid w:val="000332FF"/>
    <w:rsid w:val="00034673"/>
    <w:rsid w:val="00036073"/>
    <w:rsid w:val="000406E9"/>
    <w:rsid w:val="000406F5"/>
    <w:rsid w:val="000409E2"/>
    <w:rsid w:val="00044EA1"/>
    <w:rsid w:val="0005040A"/>
    <w:rsid w:val="00050BB5"/>
    <w:rsid w:val="00051BCA"/>
    <w:rsid w:val="00052C46"/>
    <w:rsid w:val="00056177"/>
    <w:rsid w:val="00057759"/>
    <w:rsid w:val="00057E9E"/>
    <w:rsid w:val="000625DF"/>
    <w:rsid w:val="00063BB2"/>
    <w:rsid w:val="00071ED8"/>
    <w:rsid w:val="0007290C"/>
    <w:rsid w:val="00073326"/>
    <w:rsid w:val="00074B07"/>
    <w:rsid w:val="00074BA8"/>
    <w:rsid w:val="00076035"/>
    <w:rsid w:val="00077013"/>
    <w:rsid w:val="00077FC4"/>
    <w:rsid w:val="000859BD"/>
    <w:rsid w:val="00087B80"/>
    <w:rsid w:val="0009156A"/>
    <w:rsid w:val="00091C3A"/>
    <w:rsid w:val="00091D70"/>
    <w:rsid w:val="00092587"/>
    <w:rsid w:val="000926A1"/>
    <w:rsid w:val="000930F6"/>
    <w:rsid w:val="000931FF"/>
    <w:rsid w:val="00094461"/>
    <w:rsid w:val="0009510C"/>
    <w:rsid w:val="000953BD"/>
    <w:rsid w:val="00096325"/>
    <w:rsid w:val="000A02A1"/>
    <w:rsid w:val="000A223B"/>
    <w:rsid w:val="000A2964"/>
    <w:rsid w:val="000A3D4F"/>
    <w:rsid w:val="000A70DF"/>
    <w:rsid w:val="000B4AEF"/>
    <w:rsid w:val="000B5843"/>
    <w:rsid w:val="000B6978"/>
    <w:rsid w:val="000B76A4"/>
    <w:rsid w:val="000C1101"/>
    <w:rsid w:val="000C2CDB"/>
    <w:rsid w:val="000C3016"/>
    <w:rsid w:val="000C677A"/>
    <w:rsid w:val="000C779D"/>
    <w:rsid w:val="000D13B7"/>
    <w:rsid w:val="000D71C2"/>
    <w:rsid w:val="000D7EDD"/>
    <w:rsid w:val="000E09DC"/>
    <w:rsid w:val="000E1F91"/>
    <w:rsid w:val="000E27F3"/>
    <w:rsid w:val="000E5C1C"/>
    <w:rsid w:val="000E677B"/>
    <w:rsid w:val="000E6E10"/>
    <w:rsid w:val="000E7960"/>
    <w:rsid w:val="000F17D9"/>
    <w:rsid w:val="000F3353"/>
    <w:rsid w:val="000F33F9"/>
    <w:rsid w:val="000F4ADF"/>
    <w:rsid w:val="000F61AF"/>
    <w:rsid w:val="00100AAB"/>
    <w:rsid w:val="0010171C"/>
    <w:rsid w:val="00102FAD"/>
    <w:rsid w:val="001033DE"/>
    <w:rsid w:val="00103667"/>
    <w:rsid w:val="00105D4C"/>
    <w:rsid w:val="00112E1A"/>
    <w:rsid w:val="00115211"/>
    <w:rsid w:val="001208FF"/>
    <w:rsid w:val="00121870"/>
    <w:rsid w:val="001219D5"/>
    <w:rsid w:val="0012369A"/>
    <w:rsid w:val="00124209"/>
    <w:rsid w:val="0012438E"/>
    <w:rsid w:val="0012463F"/>
    <w:rsid w:val="00125172"/>
    <w:rsid w:val="00127D91"/>
    <w:rsid w:val="0013137A"/>
    <w:rsid w:val="001326E6"/>
    <w:rsid w:val="00133642"/>
    <w:rsid w:val="0013424E"/>
    <w:rsid w:val="001347A6"/>
    <w:rsid w:val="00136B83"/>
    <w:rsid w:val="0013730F"/>
    <w:rsid w:val="001420E8"/>
    <w:rsid w:val="00143173"/>
    <w:rsid w:val="001437E6"/>
    <w:rsid w:val="001470C0"/>
    <w:rsid w:val="001474FD"/>
    <w:rsid w:val="001528B1"/>
    <w:rsid w:val="0015404E"/>
    <w:rsid w:val="00155715"/>
    <w:rsid w:val="0016433D"/>
    <w:rsid w:val="00166328"/>
    <w:rsid w:val="00166ABC"/>
    <w:rsid w:val="001721F0"/>
    <w:rsid w:val="001737FC"/>
    <w:rsid w:val="00173AC0"/>
    <w:rsid w:val="001761CE"/>
    <w:rsid w:val="00176AFE"/>
    <w:rsid w:val="00177909"/>
    <w:rsid w:val="00177F2F"/>
    <w:rsid w:val="001810A9"/>
    <w:rsid w:val="00182F87"/>
    <w:rsid w:val="00183559"/>
    <w:rsid w:val="00184BD7"/>
    <w:rsid w:val="00186880"/>
    <w:rsid w:val="00195C79"/>
    <w:rsid w:val="00197BE9"/>
    <w:rsid w:val="001A094E"/>
    <w:rsid w:val="001A4587"/>
    <w:rsid w:val="001A5D71"/>
    <w:rsid w:val="001A5F55"/>
    <w:rsid w:val="001A6CD3"/>
    <w:rsid w:val="001B5FCC"/>
    <w:rsid w:val="001B646D"/>
    <w:rsid w:val="001B761D"/>
    <w:rsid w:val="001C0031"/>
    <w:rsid w:val="001C0937"/>
    <w:rsid w:val="001C09E0"/>
    <w:rsid w:val="001C1782"/>
    <w:rsid w:val="001C1D6D"/>
    <w:rsid w:val="001C2B3A"/>
    <w:rsid w:val="001C436C"/>
    <w:rsid w:val="001C7779"/>
    <w:rsid w:val="001D0111"/>
    <w:rsid w:val="001D33E7"/>
    <w:rsid w:val="001D7F0D"/>
    <w:rsid w:val="001E27AB"/>
    <w:rsid w:val="001E6C92"/>
    <w:rsid w:val="00200142"/>
    <w:rsid w:val="002001B9"/>
    <w:rsid w:val="00200A13"/>
    <w:rsid w:val="00200C8F"/>
    <w:rsid w:val="00203316"/>
    <w:rsid w:val="00205FE8"/>
    <w:rsid w:val="002065E5"/>
    <w:rsid w:val="00206AB4"/>
    <w:rsid w:val="00206BA3"/>
    <w:rsid w:val="0021110F"/>
    <w:rsid w:val="00215059"/>
    <w:rsid w:val="00215160"/>
    <w:rsid w:val="00215304"/>
    <w:rsid w:val="002154C6"/>
    <w:rsid w:val="00216A49"/>
    <w:rsid w:val="00216C8E"/>
    <w:rsid w:val="002224B4"/>
    <w:rsid w:val="00226D5E"/>
    <w:rsid w:val="002302D2"/>
    <w:rsid w:val="00234052"/>
    <w:rsid w:val="002341D5"/>
    <w:rsid w:val="00234584"/>
    <w:rsid w:val="002368FF"/>
    <w:rsid w:val="00237A3D"/>
    <w:rsid w:val="00237DBE"/>
    <w:rsid w:val="002403B9"/>
    <w:rsid w:val="00240E83"/>
    <w:rsid w:val="002502D1"/>
    <w:rsid w:val="002549BC"/>
    <w:rsid w:val="00255E7B"/>
    <w:rsid w:val="00256BBC"/>
    <w:rsid w:val="00263E51"/>
    <w:rsid w:val="00265308"/>
    <w:rsid w:val="00270EEC"/>
    <w:rsid w:val="00272EDE"/>
    <w:rsid w:val="0027524D"/>
    <w:rsid w:val="002806A2"/>
    <w:rsid w:val="00280787"/>
    <w:rsid w:val="00281021"/>
    <w:rsid w:val="00281BEB"/>
    <w:rsid w:val="0029040A"/>
    <w:rsid w:val="002916AD"/>
    <w:rsid w:val="002919EA"/>
    <w:rsid w:val="00293623"/>
    <w:rsid w:val="00293D17"/>
    <w:rsid w:val="00297CC7"/>
    <w:rsid w:val="002A194F"/>
    <w:rsid w:val="002A4581"/>
    <w:rsid w:val="002A4BD9"/>
    <w:rsid w:val="002A4FE7"/>
    <w:rsid w:val="002A6E4F"/>
    <w:rsid w:val="002B1CEB"/>
    <w:rsid w:val="002B20C0"/>
    <w:rsid w:val="002C1E1B"/>
    <w:rsid w:val="002C2CD1"/>
    <w:rsid w:val="002C6AB2"/>
    <w:rsid w:val="002D3CF6"/>
    <w:rsid w:val="002E3264"/>
    <w:rsid w:val="002E349A"/>
    <w:rsid w:val="002E40A7"/>
    <w:rsid w:val="002E4A91"/>
    <w:rsid w:val="002F3611"/>
    <w:rsid w:val="003004C1"/>
    <w:rsid w:val="0030084C"/>
    <w:rsid w:val="00304855"/>
    <w:rsid w:val="003056E2"/>
    <w:rsid w:val="00310C71"/>
    <w:rsid w:val="00310D41"/>
    <w:rsid w:val="003129BA"/>
    <w:rsid w:val="00314408"/>
    <w:rsid w:val="003148FC"/>
    <w:rsid w:val="00314BBF"/>
    <w:rsid w:val="003156DC"/>
    <w:rsid w:val="0031753F"/>
    <w:rsid w:val="00317650"/>
    <w:rsid w:val="0032129C"/>
    <w:rsid w:val="003226AA"/>
    <w:rsid w:val="00323940"/>
    <w:rsid w:val="003242B4"/>
    <w:rsid w:val="003252F4"/>
    <w:rsid w:val="00327091"/>
    <w:rsid w:val="00327668"/>
    <w:rsid w:val="00330820"/>
    <w:rsid w:val="00332C3F"/>
    <w:rsid w:val="0033393E"/>
    <w:rsid w:val="00333B1D"/>
    <w:rsid w:val="00342DBF"/>
    <w:rsid w:val="00343CB3"/>
    <w:rsid w:val="00347218"/>
    <w:rsid w:val="00350D67"/>
    <w:rsid w:val="0035248F"/>
    <w:rsid w:val="00353EB6"/>
    <w:rsid w:val="00357345"/>
    <w:rsid w:val="00361B59"/>
    <w:rsid w:val="00361B5A"/>
    <w:rsid w:val="00362E2F"/>
    <w:rsid w:val="00367AC8"/>
    <w:rsid w:val="00370FC0"/>
    <w:rsid w:val="0037115F"/>
    <w:rsid w:val="00372B22"/>
    <w:rsid w:val="00373206"/>
    <w:rsid w:val="003835AC"/>
    <w:rsid w:val="00384933"/>
    <w:rsid w:val="003912D4"/>
    <w:rsid w:val="00391C7C"/>
    <w:rsid w:val="003931EC"/>
    <w:rsid w:val="00394CEB"/>
    <w:rsid w:val="00395C71"/>
    <w:rsid w:val="00397DA3"/>
    <w:rsid w:val="003A0A54"/>
    <w:rsid w:val="003A10DA"/>
    <w:rsid w:val="003A12C8"/>
    <w:rsid w:val="003A2183"/>
    <w:rsid w:val="003A2CCE"/>
    <w:rsid w:val="003A593C"/>
    <w:rsid w:val="003A6FFE"/>
    <w:rsid w:val="003B112C"/>
    <w:rsid w:val="003B2B58"/>
    <w:rsid w:val="003B3A23"/>
    <w:rsid w:val="003C1009"/>
    <w:rsid w:val="003C315D"/>
    <w:rsid w:val="003C358E"/>
    <w:rsid w:val="003C503B"/>
    <w:rsid w:val="003C691A"/>
    <w:rsid w:val="003D3002"/>
    <w:rsid w:val="003D353C"/>
    <w:rsid w:val="003D3DDD"/>
    <w:rsid w:val="003D62BA"/>
    <w:rsid w:val="003D6992"/>
    <w:rsid w:val="003E1200"/>
    <w:rsid w:val="003E4339"/>
    <w:rsid w:val="003F13F3"/>
    <w:rsid w:val="003F15DF"/>
    <w:rsid w:val="003F3AA3"/>
    <w:rsid w:val="003F5886"/>
    <w:rsid w:val="003F5A44"/>
    <w:rsid w:val="0040020C"/>
    <w:rsid w:val="00404592"/>
    <w:rsid w:val="00405069"/>
    <w:rsid w:val="00405342"/>
    <w:rsid w:val="004055DA"/>
    <w:rsid w:val="0040700B"/>
    <w:rsid w:val="00407290"/>
    <w:rsid w:val="00407F54"/>
    <w:rsid w:val="0041076B"/>
    <w:rsid w:val="00411341"/>
    <w:rsid w:val="00413966"/>
    <w:rsid w:val="004142B2"/>
    <w:rsid w:val="00414DD9"/>
    <w:rsid w:val="00415CDB"/>
    <w:rsid w:val="00421F5A"/>
    <w:rsid w:val="00424863"/>
    <w:rsid w:val="0042551E"/>
    <w:rsid w:val="00426491"/>
    <w:rsid w:val="00426F43"/>
    <w:rsid w:val="00427A3E"/>
    <w:rsid w:val="0043015D"/>
    <w:rsid w:val="00431BF1"/>
    <w:rsid w:val="004339A6"/>
    <w:rsid w:val="00433AD8"/>
    <w:rsid w:val="00435F0B"/>
    <w:rsid w:val="0044328C"/>
    <w:rsid w:val="00445954"/>
    <w:rsid w:val="0045142E"/>
    <w:rsid w:val="004518B7"/>
    <w:rsid w:val="00453C54"/>
    <w:rsid w:val="0045497D"/>
    <w:rsid w:val="004550CF"/>
    <w:rsid w:val="004552A0"/>
    <w:rsid w:val="004560AF"/>
    <w:rsid w:val="00456E25"/>
    <w:rsid w:val="00457A02"/>
    <w:rsid w:val="00460A83"/>
    <w:rsid w:val="0046438A"/>
    <w:rsid w:val="0046577B"/>
    <w:rsid w:val="0047066D"/>
    <w:rsid w:val="0047232D"/>
    <w:rsid w:val="004734F8"/>
    <w:rsid w:val="0047531A"/>
    <w:rsid w:val="00477619"/>
    <w:rsid w:val="0048167F"/>
    <w:rsid w:val="004824F7"/>
    <w:rsid w:val="00486E6E"/>
    <w:rsid w:val="00490747"/>
    <w:rsid w:val="004958D4"/>
    <w:rsid w:val="00496284"/>
    <w:rsid w:val="00497FBE"/>
    <w:rsid w:val="004A2609"/>
    <w:rsid w:val="004A56E1"/>
    <w:rsid w:val="004A5760"/>
    <w:rsid w:val="004A576B"/>
    <w:rsid w:val="004A5823"/>
    <w:rsid w:val="004B0AAF"/>
    <w:rsid w:val="004B2FE8"/>
    <w:rsid w:val="004B3924"/>
    <w:rsid w:val="004B4A3C"/>
    <w:rsid w:val="004C283E"/>
    <w:rsid w:val="004C29DA"/>
    <w:rsid w:val="004C4DDD"/>
    <w:rsid w:val="004C515F"/>
    <w:rsid w:val="004C529A"/>
    <w:rsid w:val="004C7201"/>
    <w:rsid w:val="004C7BD8"/>
    <w:rsid w:val="004D06BB"/>
    <w:rsid w:val="004D1706"/>
    <w:rsid w:val="004D243F"/>
    <w:rsid w:val="004D390A"/>
    <w:rsid w:val="004D4AE9"/>
    <w:rsid w:val="004D6B59"/>
    <w:rsid w:val="004D7473"/>
    <w:rsid w:val="004E03FC"/>
    <w:rsid w:val="004E11F0"/>
    <w:rsid w:val="004E58A1"/>
    <w:rsid w:val="004E68D4"/>
    <w:rsid w:val="004E6EDB"/>
    <w:rsid w:val="004F2433"/>
    <w:rsid w:val="004F5575"/>
    <w:rsid w:val="005017DC"/>
    <w:rsid w:val="005044C6"/>
    <w:rsid w:val="00505315"/>
    <w:rsid w:val="0051048E"/>
    <w:rsid w:val="0051119C"/>
    <w:rsid w:val="00512A67"/>
    <w:rsid w:val="00512ACB"/>
    <w:rsid w:val="00512F06"/>
    <w:rsid w:val="00513BFE"/>
    <w:rsid w:val="005157F4"/>
    <w:rsid w:val="005176EF"/>
    <w:rsid w:val="00520A4E"/>
    <w:rsid w:val="00521791"/>
    <w:rsid w:val="00521B78"/>
    <w:rsid w:val="0052216D"/>
    <w:rsid w:val="00522A57"/>
    <w:rsid w:val="00524FFA"/>
    <w:rsid w:val="00526115"/>
    <w:rsid w:val="00530C17"/>
    <w:rsid w:val="00533EEB"/>
    <w:rsid w:val="00533FAF"/>
    <w:rsid w:val="005366B6"/>
    <w:rsid w:val="00537C69"/>
    <w:rsid w:val="0054048E"/>
    <w:rsid w:val="00542CE7"/>
    <w:rsid w:val="005434BF"/>
    <w:rsid w:val="00544D1A"/>
    <w:rsid w:val="005456D0"/>
    <w:rsid w:val="00547998"/>
    <w:rsid w:val="00547EA6"/>
    <w:rsid w:val="00553AB5"/>
    <w:rsid w:val="00554F4E"/>
    <w:rsid w:val="00555832"/>
    <w:rsid w:val="00555E50"/>
    <w:rsid w:val="00556A93"/>
    <w:rsid w:val="005572CB"/>
    <w:rsid w:val="005577FF"/>
    <w:rsid w:val="00557F87"/>
    <w:rsid w:val="00561A97"/>
    <w:rsid w:val="00563DAC"/>
    <w:rsid w:val="00564694"/>
    <w:rsid w:val="0056526D"/>
    <w:rsid w:val="005655DB"/>
    <w:rsid w:val="00565926"/>
    <w:rsid w:val="005675E0"/>
    <w:rsid w:val="00570C00"/>
    <w:rsid w:val="005740CD"/>
    <w:rsid w:val="0058189F"/>
    <w:rsid w:val="0058206B"/>
    <w:rsid w:val="00582C1D"/>
    <w:rsid w:val="00583346"/>
    <w:rsid w:val="00584813"/>
    <w:rsid w:val="00585690"/>
    <w:rsid w:val="00587722"/>
    <w:rsid w:val="00593B07"/>
    <w:rsid w:val="00594975"/>
    <w:rsid w:val="00595514"/>
    <w:rsid w:val="0059575A"/>
    <w:rsid w:val="00595B33"/>
    <w:rsid w:val="0059662F"/>
    <w:rsid w:val="005975C9"/>
    <w:rsid w:val="005A2F84"/>
    <w:rsid w:val="005A3016"/>
    <w:rsid w:val="005A41D3"/>
    <w:rsid w:val="005A6B7A"/>
    <w:rsid w:val="005A7718"/>
    <w:rsid w:val="005B318E"/>
    <w:rsid w:val="005B6935"/>
    <w:rsid w:val="005B77ED"/>
    <w:rsid w:val="005C4380"/>
    <w:rsid w:val="005C73A7"/>
    <w:rsid w:val="005C75AC"/>
    <w:rsid w:val="005D037B"/>
    <w:rsid w:val="005D221D"/>
    <w:rsid w:val="005D3066"/>
    <w:rsid w:val="005D3404"/>
    <w:rsid w:val="005D43FA"/>
    <w:rsid w:val="005D6D5B"/>
    <w:rsid w:val="005D79B0"/>
    <w:rsid w:val="005E171B"/>
    <w:rsid w:val="005E1818"/>
    <w:rsid w:val="005E22EF"/>
    <w:rsid w:val="005E2ED6"/>
    <w:rsid w:val="005E39F5"/>
    <w:rsid w:val="005E4B13"/>
    <w:rsid w:val="005E4C02"/>
    <w:rsid w:val="005E5832"/>
    <w:rsid w:val="005E5E4E"/>
    <w:rsid w:val="005E6A78"/>
    <w:rsid w:val="005E6D7A"/>
    <w:rsid w:val="005F01DF"/>
    <w:rsid w:val="005F094E"/>
    <w:rsid w:val="005F2703"/>
    <w:rsid w:val="005F4A23"/>
    <w:rsid w:val="005F76CC"/>
    <w:rsid w:val="005F7FF8"/>
    <w:rsid w:val="0060019D"/>
    <w:rsid w:val="00600839"/>
    <w:rsid w:val="00600CA4"/>
    <w:rsid w:val="00602416"/>
    <w:rsid w:val="00603801"/>
    <w:rsid w:val="00603C2D"/>
    <w:rsid w:val="006041F2"/>
    <w:rsid w:val="0061175D"/>
    <w:rsid w:val="00613A25"/>
    <w:rsid w:val="006165D2"/>
    <w:rsid w:val="00621481"/>
    <w:rsid w:val="006225CA"/>
    <w:rsid w:val="006244E8"/>
    <w:rsid w:val="00625E10"/>
    <w:rsid w:val="00626964"/>
    <w:rsid w:val="006309D9"/>
    <w:rsid w:val="00630B99"/>
    <w:rsid w:val="006326C6"/>
    <w:rsid w:val="00633364"/>
    <w:rsid w:val="00635241"/>
    <w:rsid w:val="006359EE"/>
    <w:rsid w:val="00636A9F"/>
    <w:rsid w:val="006376DC"/>
    <w:rsid w:val="00640DA4"/>
    <w:rsid w:val="0064329E"/>
    <w:rsid w:val="00650D16"/>
    <w:rsid w:val="0065143D"/>
    <w:rsid w:val="0065379B"/>
    <w:rsid w:val="006546D2"/>
    <w:rsid w:val="00654BDD"/>
    <w:rsid w:val="00655BE7"/>
    <w:rsid w:val="00656365"/>
    <w:rsid w:val="00660B9F"/>
    <w:rsid w:val="00662716"/>
    <w:rsid w:val="00662EE7"/>
    <w:rsid w:val="00663A04"/>
    <w:rsid w:val="0066708A"/>
    <w:rsid w:val="00667187"/>
    <w:rsid w:val="00673E44"/>
    <w:rsid w:val="00676166"/>
    <w:rsid w:val="00677B13"/>
    <w:rsid w:val="00677F4E"/>
    <w:rsid w:val="006810F0"/>
    <w:rsid w:val="00681A08"/>
    <w:rsid w:val="0068312F"/>
    <w:rsid w:val="00685846"/>
    <w:rsid w:val="00685ECF"/>
    <w:rsid w:val="006871D3"/>
    <w:rsid w:val="006875B8"/>
    <w:rsid w:val="00687CEA"/>
    <w:rsid w:val="006937C6"/>
    <w:rsid w:val="00693AEB"/>
    <w:rsid w:val="00695B75"/>
    <w:rsid w:val="006964F8"/>
    <w:rsid w:val="006A09AB"/>
    <w:rsid w:val="006A19C6"/>
    <w:rsid w:val="006A1A95"/>
    <w:rsid w:val="006A33F9"/>
    <w:rsid w:val="006A38B7"/>
    <w:rsid w:val="006A6455"/>
    <w:rsid w:val="006A7237"/>
    <w:rsid w:val="006A7765"/>
    <w:rsid w:val="006B0386"/>
    <w:rsid w:val="006B1CB2"/>
    <w:rsid w:val="006B1DD1"/>
    <w:rsid w:val="006B236C"/>
    <w:rsid w:val="006B3396"/>
    <w:rsid w:val="006B464D"/>
    <w:rsid w:val="006C0701"/>
    <w:rsid w:val="006C1765"/>
    <w:rsid w:val="006C6350"/>
    <w:rsid w:val="006C724C"/>
    <w:rsid w:val="006D2671"/>
    <w:rsid w:val="006D28C2"/>
    <w:rsid w:val="006D638F"/>
    <w:rsid w:val="006E29CC"/>
    <w:rsid w:val="006E77C8"/>
    <w:rsid w:val="006E7BF7"/>
    <w:rsid w:val="006F36B3"/>
    <w:rsid w:val="006F533A"/>
    <w:rsid w:val="007008F1"/>
    <w:rsid w:val="0070381A"/>
    <w:rsid w:val="00705318"/>
    <w:rsid w:val="007068C8"/>
    <w:rsid w:val="00711B59"/>
    <w:rsid w:val="00713644"/>
    <w:rsid w:val="0071445A"/>
    <w:rsid w:val="00715930"/>
    <w:rsid w:val="00715B8F"/>
    <w:rsid w:val="0071685D"/>
    <w:rsid w:val="007202D5"/>
    <w:rsid w:val="007208E5"/>
    <w:rsid w:val="007230FC"/>
    <w:rsid w:val="007261B7"/>
    <w:rsid w:val="0073106E"/>
    <w:rsid w:val="00731FD2"/>
    <w:rsid w:val="00732937"/>
    <w:rsid w:val="00737742"/>
    <w:rsid w:val="0074179F"/>
    <w:rsid w:val="0074371D"/>
    <w:rsid w:val="00744B4B"/>
    <w:rsid w:val="00745959"/>
    <w:rsid w:val="0075144D"/>
    <w:rsid w:val="00756BB7"/>
    <w:rsid w:val="0075764B"/>
    <w:rsid w:val="00760C01"/>
    <w:rsid w:val="00761293"/>
    <w:rsid w:val="00761439"/>
    <w:rsid w:val="007635B1"/>
    <w:rsid w:val="00764923"/>
    <w:rsid w:val="00765D98"/>
    <w:rsid w:val="00766531"/>
    <w:rsid w:val="00767B42"/>
    <w:rsid w:val="00767C04"/>
    <w:rsid w:val="007701CF"/>
    <w:rsid w:val="0077269E"/>
    <w:rsid w:val="007736A2"/>
    <w:rsid w:val="00773F2E"/>
    <w:rsid w:val="00776CDA"/>
    <w:rsid w:val="00781F7C"/>
    <w:rsid w:val="00782219"/>
    <w:rsid w:val="00782A06"/>
    <w:rsid w:val="007832CE"/>
    <w:rsid w:val="0078556B"/>
    <w:rsid w:val="007916FF"/>
    <w:rsid w:val="00791E25"/>
    <w:rsid w:val="007953EF"/>
    <w:rsid w:val="007968F8"/>
    <w:rsid w:val="007A1D15"/>
    <w:rsid w:val="007A6226"/>
    <w:rsid w:val="007A6F77"/>
    <w:rsid w:val="007A776F"/>
    <w:rsid w:val="007B3C61"/>
    <w:rsid w:val="007B3E79"/>
    <w:rsid w:val="007B75F3"/>
    <w:rsid w:val="007C05A8"/>
    <w:rsid w:val="007C0A2F"/>
    <w:rsid w:val="007C0DAC"/>
    <w:rsid w:val="007C3D00"/>
    <w:rsid w:val="007C42FA"/>
    <w:rsid w:val="007C6375"/>
    <w:rsid w:val="007C7CE7"/>
    <w:rsid w:val="007D1918"/>
    <w:rsid w:val="007D1F99"/>
    <w:rsid w:val="007D3469"/>
    <w:rsid w:val="007D37CF"/>
    <w:rsid w:val="007D3BAF"/>
    <w:rsid w:val="007E4CC2"/>
    <w:rsid w:val="007F11E6"/>
    <w:rsid w:val="007F5E00"/>
    <w:rsid w:val="007F7979"/>
    <w:rsid w:val="008008D9"/>
    <w:rsid w:val="00801ACB"/>
    <w:rsid w:val="00802360"/>
    <w:rsid w:val="00802AA4"/>
    <w:rsid w:val="00806450"/>
    <w:rsid w:val="00806849"/>
    <w:rsid w:val="0081685C"/>
    <w:rsid w:val="008168B9"/>
    <w:rsid w:val="0082264B"/>
    <w:rsid w:val="00824861"/>
    <w:rsid w:val="008260F8"/>
    <w:rsid w:val="00827039"/>
    <w:rsid w:val="0082765B"/>
    <w:rsid w:val="00833DE9"/>
    <w:rsid w:val="00835BD7"/>
    <w:rsid w:val="00835C76"/>
    <w:rsid w:val="0084178C"/>
    <w:rsid w:val="00843D71"/>
    <w:rsid w:val="0084485A"/>
    <w:rsid w:val="0084745A"/>
    <w:rsid w:val="00850484"/>
    <w:rsid w:val="00853EDB"/>
    <w:rsid w:val="00854436"/>
    <w:rsid w:val="0085591D"/>
    <w:rsid w:val="008564C5"/>
    <w:rsid w:val="00860B2B"/>
    <w:rsid w:val="00862634"/>
    <w:rsid w:val="00870045"/>
    <w:rsid w:val="00875D55"/>
    <w:rsid w:val="008769C9"/>
    <w:rsid w:val="00876E5F"/>
    <w:rsid w:val="00880F40"/>
    <w:rsid w:val="0088576B"/>
    <w:rsid w:val="0089009E"/>
    <w:rsid w:val="00890CE4"/>
    <w:rsid w:val="008916E1"/>
    <w:rsid w:val="00893C13"/>
    <w:rsid w:val="00894650"/>
    <w:rsid w:val="00894C90"/>
    <w:rsid w:val="0089515D"/>
    <w:rsid w:val="00897813"/>
    <w:rsid w:val="008A5B7A"/>
    <w:rsid w:val="008A6300"/>
    <w:rsid w:val="008B0F73"/>
    <w:rsid w:val="008B78C4"/>
    <w:rsid w:val="008C023B"/>
    <w:rsid w:val="008C3187"/>
    <w:rsid w:val="008C5E4F"/>
    <w:rsid w:val="008C7087"/>
    <w:rsid w:val="008C7C36"/>
    <w:rsid w:val="008D07BA"/>
    <w:rsid w:val="008D0C68"/>
    <w:rsid w:val="008D29AD"/>
    <w:rsid w:val="008D2AA7"/>
    <w:rsid w:val="008D3337"/>
    <w:rsid w:val="008D4809"/>
    <w:rsid w:val="008D56F4"/>
    <w:rsid w:val="008D63B7"/>
    <w:rsid w:val="008D6A03"/>
    <w:rsid w:val="008E3A91"/>
    <w:rsid w:val="008E7AA4"/>
    <w:rsid w:val="008E7D5E"/>
    <w:rsid w:val="008E7FEE"/>
    <w:rsid w:val="008F1ECE"/>
    <w:rsid w:val="008F1FA7"/>
    <w:rsid w:val="008F4E51"/>
    <w:rsid w:val="008F5F9C"/>
    <w:rsid w:val="008F67F5"/>
    <w:rsid w:val="008F6BCE"/>
    <w:rsid w:val="00900D4B"/>
    <w:rsid w:val="00901DA6"/>
    <w:rsid w:val="00907486"/>
    <w:rsid w:val="00907A41"/>
    <w:rsid w:val="0091000C"/>
    <w:rsid w:val="0091012F"/>
    <w:rsid w:val="00914AC0"/>
    <w:rsid w:val="009170B9"/>
    <w:rsid w:val="00920516"/>
    <w:rsid w:val="00920D05"/>
    <w:rsid w:val="00922DE2"/>
    <w:rsid w:val="0092556F"/>
    <w:rsid w:val="009257F9"/>
    <w:rsid w:val="00925853"/>
    <w:rsid w:val="00927482"/>
    <w:rsid w:val="00930F81"/>
    <w:rsid w:val="00934A84"/>
    <w:rsid w:val="00936375"/>
    <w:rsid w:val="0094016E"/>
    <w:rsid w:val="0094271B"/>
    <w:rsid w:val="009433A2"/>
    <w:rsid w:val="0095112B"/>
    <w:rsid w:val="00951A16"/>
    <w:rsid w:val="009529AA"/>
    <w:rsid w:val="009532AF"/>
    <w:rsid w:val="00953D76"/>
    <w:rsid w:val="0095468B"/>
    <w:rsid w:val="00955A9E"/>
    <w:rsid w:val="00957AF6"/>
    <w:rsid w:val="009619B2"/>
    <w:rsid w:val="00961CCD"/>
    <w:rsid w:val="009631B9"/>
    <w:rsid w:val="0096424B"/>
    <w:rsid w:val="009669CF"/>
    <w:rsid w:val="009734AB"/>
    <w:rsid w:val="00973A6D"/>
    <w:rsid w:val="00974CA5"/>
    <w:rsid w:val="00975D33"/>
    <w:rsid w:val="00982EB3"/>
    <w:rsid w:val="00985100"/>
    <w:rsid w:val="009865AA"/>
    <w:rsid w:val="00987018"/>
    <w:rsid w:val="00987080"/>
    <w:rsid w:val="0098765A"/>
    <w:rsid w:val="00992E0B"/>
    <w:rsid w:val="00993586"/>
    <w:rsid w:val="009945B0"/>
    <w:rsid w:val="00995601"/>
    <w:rsid w:val="009968B0"/>
    <w:rsid w:val="009A2111"/>
    <w:rsid w:val="009A5B77"/>
    <w:rsid w:val="009A6CB2"/>
    <w:rsid w:val="009A7F27"/>
    <w:rsid w:val="009A7F69"/>
    <w:rsid w:val="009B0982"/>
    <w:rsid w:val="009B293D"/>
    <w:rsid w:val="009B3FB2"/>
    <w:rsid w:val="009B4C99"/>
    <w:rsid w:val="009C0206"/>
    <w:rsid w:val="009C08DD"/>
    <w:rsid w:val="009C17BD"/>
    <w:rsid w:val="009D28CF"/>
    <w:rsid w:val="009D7A13"/>
    <w:rsid w:val="009E4272"/>
    <w:rsid w:val="009E5D36"/>
    <w:rsid w:val="009E7CA0"/>
    <w:rsid w:val="009F0232"/>
    <w:rsid w:val="009F1866"/>
    <w:rsid w:val="009F1AA7"/>
    <w:rsid w:val="00A037FE"/>
    <w:rsid w:val="00A04392"/>
    <w:rsid w:val="00A05B6E"/>
    <w:rsid w:val="00A113F4"/>
    <w:rsid w:val="00A11CE5"/>
    <w:rsid w:val="00A16003"/>
    <w:rsid w:val="00A167D7"/>
    <w:rsid w:val="00A20A74"/>
    <w:rsid w:val="00A24CDD"/>
    <w:rsid w:val="00A24FBB"/>
    <w:rsid w:val="00A25CE4"/>
    <w:rsid w:val="00A308A8"/>
    <w:rsid w:val="00A313C6"/>
    <w:rsid w:val="00A330FF"/>
    <w:rsid w:val="00A36309"/>
    <w:rsid w:val="00A37614"/>
    <w:rsid w:val="00A37B35"/>
    <w:rsid w:val="00A42ED2"/>
    <w:rsid w:val="00A436AE"/>
    <w:rsid w:val="00A44B33"/>
    <w:rsid w:val="00A45BBD"/>
    <w:rsid w:val="00A46CCC"/>
    <w:rsid w:val="00A50761"/>
    <w:rsid w:val="00A50E00"/>
    <w:rsid w:val="00A51421"/>
    <w:rsid w:val="00A51CF1"/>
    <w:rsid w:val="00A52529"/>
    <w:rsid w:val="00A526FC"/>
    <w:rsid w:val="00A53624"/>
    <w:rsid w:val="00A55C34"/>
    <w:rsid w:val="00A56BEE"/>
    <w:rsid w:val="00A5766B"/>
    <w:rsid w:val="00A67FF6"/>
    <w:rsid w:val="00A70195"/>
    <w:rsid w:val="00A73CA0"/>
    <w:rsid w:val="00A73F8E"/>
    <w:rsid w:val="00A77236"/>
    <w:rsid w:val="00A80E53"/>
    <w:rsid w:val="00A8212D"/>
    <w:rsid w:val="00A863E3"/>
    <w:rsid w:val="00A91F6A"/>
    <w:rsid w:val="00A93548"/>
    <w:rsid w:val="00AA4D6A"/>
    <w:rsid w:val="00AA4DDE"/>
    <w:rsid w:val="00AB0E34"/>
    <w:rsid w:val="00AB10B7"/>
    <w:rsid w:val="00AB3A92"/>
    <w:rsid w:val="00AB478B"/>
    <w:rsid w:val="00AB4AD9"/>
    <w:rsid w:val="00AB532B"/>
    <w:rsid w:val="00AB6B45"/>
    <w:rsid w:val="00AC016A"/>
    <w:rsid w:val="00AC48DF"/>
    <w:rsid w:val="00AC7051"/>
    <w:rsid w:val="00AC7971"/>
    <w:rsid w:val="00AD2164"/>
    <w:rsid w:val="00AD47D3"/>
    <w:rsid w:val="00AD5185"/>
    <w:rsid w:val="00AD5A39"/>
    <w:rsid w:val="00AD6060"/>
    <w:rsid w:val="00AD6E77"/>
    <w:rsid w:val="00AD7A25"/>
    <w:rsid w:val="00AE0E5E"/>
    <w:rsid w:val="00AE1D93"/>
    <w:rsid w:val="00AE266D"/>
    <w:rsid w:val="00AE2A7F"/>
    <w:rsid w:val="00AE4F33"/>
    <w:rsid w:val="00AE6B07"/>
    <w:rsid w:val="00AF3685"/>
    <w:rsid w:val="00AF3A5A"/>
    <w:rsid w:val="00AF5218"/>
    <w:rsid w:val="00AF5D9E"/>
    <w:rsid w:val="00B01BF5"/>
    <w:rsid w:val="00B02529"/>
    <w:rsid w:val="00B02A64"/>
    <w:rsid w:val="00B03A98"/>
    <w:rsid w:val="00B0480E"/>
    <w:rsid w:val="00B1026A"/>
    <w:rsid w:val="00B1111A"/>
    <w:rsid w:val="00B13744"/>
    <w:rsid w:val="00B21166"/>
    <w:rsid w:val="00B222E6"/>
    <w:rsid w:val="00B22503"/>
    <w:rsid w:val="00B23998"/>
    <w:rsid w:val="00B23C01"/>
    <w:rsid w:val="00B24563"/>
    <w:rsid w:val="00B24E3C"/>
    <w:rsid w:val="00B26156"/>
    <w:rsid w:val="00B263AE"/>
    <w:rsid w:val="00B278C8"/>
    <w:rsid w:val="00B30294"/>
    <w:rsid w:val="00B30969"/>
    <w:rsid w:val="00B36001"/>
    <w:rsid w:val="00B37E8F"/>
    <w:rsid w:val="00B4270E"/>
    <w:rsid w:val="00B43DCC"/>
    <w:rsid w:val="00B456E6"/>
    <w:rsid w:val="00B47091"/>
    <w:rsid w:val="00B50AAD"/>
    <w:rsid w:val="00B515A1"/>
    <w:rsid w:val="00B52AD5"/>
    <w:rsid w:val="00B55282"/>
    <w:rsid w:val="00B55C94"/>
    <w:rsid w:val="00B62134"/>
    <w:rsid w:val="00B62C3E"/>
    <w:rsid w:val="00B645DE"/>
    <w:rsid w:val="00B6518D"/>
    <w:rsid w:val="00B65545"/>
    <w:rsid w:val="00B65857"/>
    <w:rsid w:val="00B66698"/>
    <w:rsid w:val="00B67BAE"/>
    <w:rsid w:val="00B7074F"/>
    <w:rsid w:val="00B745DC"/>
    <w:rsid w:val="00B767CD"/>
    <w:rsid w:val="00B773E4"/>
    <w:rsid w:val="00B77A98"/>
    <w:rsid w:val="00B77D9F"/>
    <w:rsid w:val="00B80C75"/>
    <w:rsid w:val="00B81C74"/>
    <w:rsid w:val="00B81C96"/>
    <w:rsid w:val="00B84350"/>
    <w:rsid w:val="00B855A6"/>
    <w:rsid w:val="00B86C7E"/>
    <w:rsid w:val="00B90297"/>
    <w:rsid w:val="00B91098"/>
    <w:rsid w:val="00B91904"/>
    <w:rsid w:val="00B92735"/>
    <w:rsid w:val="00B969ED"/>
    <w:rsid w:val="00B97F82"/>
    <w:rsid w:val="00BA1875"/>
    <w:rsid w:val="00BA1B5A"/>
    <w:rsid w:val="00BB01C9"/>
    <w:rsid w:val="00BB0D90"/>
    <w:rsid w:val="00BB0E3D"/>
    <w:rsid w:val="00BB4BB1"/>
    <w:rsid w:val="00BB60C6"/>
    <w:rsid w:val="00BB7984"/>
    <w:rsid w:val="00BC00AE"/>
    <w:rsid w:val="00BC0D71"/>
    <w:rsid w:val="00BC1355"/>
    <w:rsid w:val="00BC6A06"/>
    <w:rsid w:val="00BC78DE"/>
    <w:rsid w:val="00BD137C"/>
    <w:rsid w:val="00BD2025"/>
    <w:rsid w:val="00BD2839"/>
    <w:rsid w:val="00BE0280"/>
    <w:rsid w:val="00BE2FA3"/>
    <w:rsid w:val="00BE40E0"/>
    <w:rsid w:val="00BF07DD"/>
    <w:rsid w:val="00BF08F2"/>
    <w:rsid w:val="00BF5255"/>
    <w:rsid w:val="00BF6DF7"/>
    <w:rsid w:val="00C02D0E"/>
    <w:rsid w:val="00C02D0F"/>
    <w:rsid w:val="00C03596"/>
    <w:rsid w:val="00C037A0"/>
    <w:rsid w:val="00C0402E"/>
    <w:rsid w:val="00C108AD"/>
    <w:rsid w:val="00C10FED"/>
    <w:rsid w:val="00C1224B"/>
    <w:rsid w:val="00C12346"/>
    <w:rsid w:val="00C15A13"/>
    <w:rsid w:val="00C213F3"/>
    <w:rsid w:val="00C238D9"/>
    <w:rsid w:val="00C24A9D"/>
    <w:rsid w:val="00C2677E"/>
    <w:rsid w:val="00C31542"/>
    <w:rsid w:val="00C31C82"/>
    <w:rsid w:val="00C333E6"/>
    <w:rsid w:val="00C3420F"/>
    <w:rsid w:val="00C34594"/>
    <w:rsid w:val="00C3584C"/>
    <w:rsid w:val="00C37AAA"/>
    <w:rsid w:val="00C419A2"/>
    <w:rsid w:val="00C42C72"/>
    <w:rsid w:val="00C454A0"/>
    <w:rsid w:val="00C45975"/>
    <w:rsid w:val="00C475B7"/>
    <w:rsid w:val="00C50971"/>
    <w:rsid w:val="00C50C2A"/>
    <w:rsid w:val="00C50DCD"/>
    <w:rsid w:val="00C5217F"/>
    <w:rsid w:val="00C539F5"/>
    <w:rsid w:val="00C54039"/>
    <w:rsid w:val="00C5540C"/>
    <w:rsid w:val="00C57F21"/>
    <w:rsid w:val="00C6078D"/>
    <w:rsid w:val="00C60C42"/>
    <w:rsid w:val="00C63FB4"/>
    <w:rsid w:val="00C64C98"/>
    <w:rsid w:val="00C64DC3"/>
    <w:rsid w:val="00C6529F"/>
    <w:rsid w:val="00C65344"/>
    <w:rsid w:val="00C657CF"/>
    <w:rsid w:val="00C665CB"/>
    <w:rsid w:val="00C66725"/>
    <w:rsid w:val="00C70C5D"/>
    <w:rsid w:val="00C7660F"/>
    <w:rsid w:val="00C77821"/>
    <w:rsid w:val="00C80D62"/>
    <w:rsid w:val="00C82521"/>
    <w:rsid w:val="00C8429A"/>
    <w:rsid w:val="00C874C2"/>
    <w:rsid w:val="00C90EFC"/>
    <w:rsid w:val="00C9168D"/>
    <w:rsid w:val="00C925E8"/>
    <w:rsid w:val="00C96BFD"/>
    <w:rsid w:val="00CA0F97"/>
    <w:rsid w:val="00CA114F"/>
    <w:rsid w:val="00CA4309"/>
    <w:rsid w:val="00CA5358"/>
    <w:rsid w:val="00CA5E7F"/>
    <w:rsid w:val="00CB3585"/>
    <w:rsid w:val="00CB52BF"/>
    <w:rsid w:val="00CB6340"/>
    <w:rsid w:val="00CB76D4"/>
    <w:rsid w:val="00CC0220"/>
    <w:rsid w:val="00CC2B17"/>
    <w:rsid w:val="00CC4BD0"/>
    <w:rsid w:val="00CC4F3B"/>
    <w:rsid w:val="00CC51EC"/>
    <w:rsid w:val="00CD2364"/>
    <w:rsid w:val="00CD240D"/>
    <w:rsid w:val="00CD3CAA"/>
    <w:rsid w:val="00CD502A"/>
    <w:rsid w:val="00CE0B70"/>
    <w:rsid w:val="00CE0C4C"/>
    <w:rsid w:val="00CE2840"/>
    <w:rsid w:val="00CE2B83"/>
    <w:rsid w:val="00CE3624"/>
    <w:rsid w:val="00CE54B3"/>
    <w:rsid w:val="00CE5E94"/>
    <w:rsid w:val="00CE6134"/>
    <w:rsid w:val="00CE6F2D"/>
    <w:rsid w:val="00CE7374"/>
    <w:rsid w:val="00CE7490"/>
    <w:rsid w:val="00CF12CF"/>
    <w:rsid w:val="00CF22ED"/>
    <w:rsid w:val="00CF370D"/>
    <w:rsid w:val="00CF64A3"/>
    <w:rsid w:val="00CF7023"/>
    <w:rsid w:val="00D008A5"/>
    <w:rsid w:val="00D01557"/>
    <w:rsid w:val="00D033EF"/>
    <w:rsid w:val="00D0515C"/>
    <w:rsid w:val="00D060D2"/>
    <w:rsid w:val="00D10B6B"/>
    <w:rsid w:val="00D111D2"/>
    <w:rsid w:val="00D11237"/>
    <w:rsid w:val="00D1168D"/>
    <w:rsid w:val="00D14394"/>
    <w:rsid w:val="00D150E7"/>
    <w:rsid w:val="00D242CD"/>
    <w:rsid w:val="00D25775"/>
    <w:rsid w:val="00D25DC8"/>
    <w:rsid w:val="00D30D73"/>
    <w:rsid w:val="00D323FE"/>
    <w:rsid w:val="00D341C3"/>
    <w:rsid w:val="00D342E3"/>
    <w:rsid w:val="00D34DC7"/>
    <w:rsid w:val="00D36AED"/>
    <w:rsid w:val="00D37AE6"/>
    <w:rsid w:val="00D40A97"/>
    <w:rsid w:val="00D40EAE"/>
    <w:rsid w:val="00D42843"/>
    <w:rsid w:val="00D4571B"/>
    <w:rsid w:val="00D45DDE"/>
    <w:rsid w:val="00D46924"/>
    <w:rsid w:val="00D5152A"/>
    <w:rsid w:val="00D52312"/>
    <w:rsid w:val="00D52371"/>
    <w:rsid w:val="00D5548D"/>
    <w:rsid w:val="00D65145"/>
    <w:rsid w:val="00D675BF"/>
    <w:rsid w:val="00D7231C"/>
    <w:rsid w:val="00D72CEA"/>
    <w:rsid w:val="00D73042"/>
    <w:rsid w:val="00D74202"/>
    <w:rsid w:val="00D74314"/>
    <w:rsid w:val="00D762DB"/>
    <w:rsid w:val="00D8057F"/>
    <w:rsid w:val="00D83835"/>
    <w:rsid w:val="00D8549C"/>
    <w:rsid w:val="00D92505"/>
    <w:rsid w:val="00D92ABA"/>
    <w:rsid w:val="00D93AB2"/>
    <w:rsid w:val="00D94E00"/>
    <w:rsid w:val="00D969CF"/>
    <w:rsid w:val="00DA267C"/>
    <w:rsid w:val="00DA5101"/>
    <w:rsid w:val="00DA6EEF"/>
    <w:rsid w:val="00DA79EF"/>
    <w:rsid w:val="00DB0C0B"/>
    <w:rsid w:val="00DB2B73"/>
    <w:rsid w:val="00DB3B74"/>
    <w:rsid w:val="00DC0592"/>
    <w:rsid w:val="00DC0AEE"/>
    <w:rsid w:val="00DC276B"/>
    <w:rsid w:val="00DC5870"/>
    <w:rsid w:val="00DC616E"/>
    <w:rsid w:val="00DD0384"/>
    <w:rsid w:val="00DD0901"/>
    <w:rsid w:val="00DD14E8"/>
    <w:rsid w:val="00DD390B"/>
    <w:rsid w:val="00DD3AC8"/>
    <w:rsid w:val="00DD3B2C"/>
    <w:rsid w:val="00DD3BD0"/>
    <w:rsid w:val="00DD3DD8"/>
    <w:rsid w:val="00DE0AE8"/>
    <w:rsid w:val="00DE16B6"/>
    <w:rsid w:val="00DE36CA"/>
    <w:rsid w:val="00DE4E1D"/>
    <w:rsid w:val="00DE7774"/>
    <w:rsid w:val="00DE7E63"/>
    <w:rsid w:val="00DE7F92"/>
    <w:rsid w:val="00DF0DA7"/>
    <w:rsid w:val="00DF23DD"/>
    <w:rsid w:val="00DF277B"/>
    <w:rsid w:val="00DF2911"/>
    <w:rsid w:val="00E13E89"/>
    <w:rsid w:val="00E173E0"/>
    <w:rsid w:val="00E17BF1"/>
    <w:rsid w:val="00E17BFB"/>
    <w:rsid w:val="00E224AB"/>
    <w:rsid w:val="00E24E52"/>
    <w:rsid w:val="00E26B33"/>
    <w:rsid w:val="00E26D66"/>
    <w:rsid w:val="00E302D2"/>
    <w:rsid w:val="00E324F9"/>
    <w:rsid w:val="00E32DB4"/>
    <w:rsid w:val="00E33226"/>
    <w:rsid w:val="00E33E90"/>
    <w:rsid w:val="00E342E6"/>
    <w:rsid w:val="00E35C9C"/>
    <w:rsid w:val="00E367C5"/>
    <w:rsid w:val="00E36CBA"/>
    <w:rsid w:val="00E37800"/>
    <w:rsid w:val="00E37E71"/>
    <w:rsid w:val="00E4006F"/>
    <w:rsid w:val="00E400A9"/>
    <w:rsid w:val="00E41F42"/>
    <w:rsid w:val="00E42847"/>
    <w:rsid w:val="00E43B3F"/>
    <w:rsid w:val="00E440D3"/>
    <w:rsid w:val="00E45CB7"/>
    <w:rsid w:val="00E45F25"/>
    <w:rsid w:val="00E46064"/>
    <w:rsid w:val="00E46A7A"/>
    <w:rsid w:val="00E57F71"/>
    <w:rsid w:val="00E604A1"/>
    <w:rsid w:val="00E60A73"/>
    <w:rsid w:val="00E619C7"/>
    <w:rsid w:val="00E6568D"/>
    <w:rsid w:val="00E65CE7"/>
    <w:rsid w:val="00E708CF"/>
    <w:rsid w:val="00E72309"/>
    <w:rsid w:val="00E73AA8"/>
    <w:rsid w:val="00E73CE4"/>
    <w:rsid w:val="00E752C5"/>
    <w:rsid w:val="00E80228"/>
    <w:rsid w:val="00E80EC7"/>
    <w:rsid w:val="00E80F2E"/>
    <w:rsid w:val="00E84928"/>
    <w:rsid w:val="00E84D4A"/>
    <w:rsid w:val="00E84E05"/>
    <w:rsid w:val="00E85ED7"/>
    <w:rsid w:val="00E86678"/>
    <w:rsid w:val="00E91679"/>
    <w:rsid w:val="00E95475"/>
    <w:rsid w:val="00EA0A61"/>
    <w:rsid w:val="00EA2ED4"/>
    <w:rsid w:val="00EA4423"/>
    <w:rsid w:val="00EA491A"/>
    <w:rsid w:val="00EB1583"/>
    <w:rsid w:val="00EB661F"/>
    <w:rsid w:val="00EB69B3"/>
    <w:rsid w:val="00EB7B0A"/>
    <w:rsid w:val="00EC23FB"/>
    <w:rsid w:val="00EC26F5"/>
    <w:rsid w:val="00EC31F3"/>
    <w:rsid w:val="00EC4547"/>
    <w:rsid w:val="00EC48B0"/>
    <w:rsid w:val="00EC674E"/>
    <w:rsid w:val="00EC763E"/>
    <w:rsid w:val="00ED22DF"/>
    <w:rsid w:val="00ED5D10"/>
    <w:rsid w:val="00ED6803"/>
    <w:rsid w:val="00ED696E"/>
    <w:rsid w:val="00ED7681"/>
    <w:rsid w:val="00EE41C2"/>
    <w:rsid w:val="00EE4F00"/>
    <w:rsid w:val="00EF0450"/>
    <w:rsid w:val="00EF5034"/>
    <w:rsid w:val="00EF545D"/>
    <w:rsid w:val="00EF63C6"/>
    <w:rsid w:val="00EF7BE8"/>
    <w:rsid w:val="00F0168E"/>
    <w:rsid w:val="00F034FB"/>
    <w:rsid w:val="00F036E0"/>
    <w:rsid w:val="00F036E3"/>
    <w:rsid w:val="00F05606"/>
    <w:rsid w:val="00F072ED"/>
    <w:rsid w:val="00F07A4D"/>
    <w:rsid w:val="00F105F5"/>
    <w:rsid w:val="00F106EF"/>
    <w:rsid w:val="00F1075A"/>
    <w:rsid w:val="00F119B0"/>
    <w:rsid w:val="00F11FB3"/>
    <w:rsid w:val="00F153C8"/>
    <w:rsid w:val="00F20523"/>
    <w:rsid w:val="00F22E82"/>
    <w:rsid w:val="00F2499D"/>
    <w:rsid w:val="00F272DE"/>
    <w:rsid w:val="00F31B7A"/>
    <w:rsid w:val="00F3277D"/>
    <w:rsid w:val="00F3342B"/>
    <w:rsid w:val="00F337BF"/>
    <w:rsid w:val="00F33BC6"/>
    <w:rsid w:val="00F33D14"/>
    <w:rsid w:val="00F41C0C"/>
    <w:rsid w:val="00F41C29"/>
    <w:rsid w:val="00F4279B"/>
    <w:rsid w:val="00F473B6"/>
    <w:rsid w:val="00F5037F"/>
    <w:rsid w:val="00F50CF6"/>
    <w:rsid w:val="00F50FCE"/>
    <w:rsid w:val="00F51F43"/>
    <w:rsid w:val="00F52E49"/>
    <w:rsid w:val="00F52E57"/>
    <w:rsid w:val="00F53E06"/>
    <w:rsid w:val="00F54188"/>
    <w:rsid w:val="00F54CC0"/>
    <w:rsid w:val="00F56DCB"/>
    <w:rsid w:val="00F60476"/>
    <w:rsid w:val="00F60B86"/>
    <w:rsid w:val="00F6445D"/>
    <w:rsid w:val="00F652C7"/>
    <w:rsid w:val="00F70883"/>
    <w:rsid w:val="00F71B96"/>
    <w:rsid w:val="00F727A5"/>
    <w:rsid w:val="00F729A0"/>
    <w:rsid w:val="00F72ABE"/>
    <w:rsid w:val="00F73700"/>
    <w:rsid w:val="00F7710F"/>
    <w:rsid w:val="00F837AD"/>
    <w:rsid w:val="00F847A9"/>
    <w:rsid w:val="00F85C23"/>
    <w:rsid w:val="00F934F9"/>
    <w:rsid w:val="00F97C3E"/>
    <w:rsid w:val="00FA1405"/>
    <w:rsid w:val="00FA2244"/>
    <w:rsid w:val="00FA4FC5"/>
    <w:rsid w:val="00FA5559"/>
    <w:rsid w:val="00FA5CC1"/>
    <w:rsid w:val="00FA5FE9"/>
    <w:rsid w:val="00FA67D2"/>
    <w:rsid w:val="00FA6A8A"/>
    <w:rsid w:val="00FB160C"/>
    <w:rsid w:val="00FB302F"/>
    <w:rsid w:val="00FB5A92"/>
    <w:rsid w:val="00FB6526"/>
    <w:rsid w:val="00FB657D"/>
    <w:rsid w:val="00FB6EAA"/>
    <w:rsid w:val="00FC1373"/>
    <w:rsid w:val="00FC1C69"/>
    <w:rsid w:val="00FC3739"/>
    <w:rsid w:val="00FC6736"/>
    <w:rsid w:val="00FD0461"/>
    <w:rsid w:val="00FD4EEC"/>
    <w:rsid w:val="00FD7371"/>
    <w:rsid w:val="00FE5AD9"/>
    <w:rsid w:val="00FE7A33"/>
    <w:rsid w:val="00FE7E8A"/>
    <w:rsid w:val="00FF0B3E"/>
    <w:rsid w:val="00FF1E3D"/>
    <w:rsid w:val="00FF5CD2"/>
    <w:rsid w:val="00FF6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B2FE8"/>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EE41C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1"/>
      </w:numPr>
      <w:spacing w:before="80" w:after="80"/>
    </w:pPr>
  </w:style>
  <w:style w:type="paragraph" w:customStyle="1" w:styleId="List123level2">
    <w:name w:val="List 1 2 3 level 2"/>
    <w:basedOn w:val="Normal"/>
    <w:uiPriority w:val="1"/>
    <w:semiHidden/>
    <w:qFormat/>
    <w:rsid w:val="007D3469"/>
    <w:pPr>
      <w:numPr>
        <w:ilvl w:val="1"/>
        <w:numId w:val="22"/>
      </w:numPr>
      <w:spacing w:before="80" w:after="80"/>
    </w:pPr>
  </w:style>
  <w:style w:type="paragraph" w:customStyle="1" w:styleId="List123level3">
    <w:name w:val="List 1 2 3 level 3"/>
    <w:basedOn w:val="Normal"/>
    <w:uiPriority w:val="1"/>
    <w:semiHidden/>
    <w:qFormat/>
    <w:rsid w:val="007D3469"/>
    <w:pPr>
      <w:numPr>
        <w:ilvl w:val="2"/>
        <w:numId w:val="22"/>
      </w:numPr>
      <w:spacing w:before="80" w:after="80"/>
    </w:pPr>
  </w:style>
  <w:style w:type="paragraph" w:customStyle="1" w:styleId="Legislationsection">
    <w:name w:val="Legislation section"/>
    <w:basedOn w:val="Normal"/>
    <w:semiHidden/>
    <w:qFormat/>
    <w:rsid w:val="007D3469"/>
    <w:pPr>
      <w:keepNext/>
      <w:numPr>
        <w:numId w:val="24"/>
      </w:numPr>
      <w:tabs>
        <w:tab w:val="left" w:pos="567"/>
      </w:tabs>
      <w:spacing w:after="60"/>
    </w:pPr>
    <w:rPr>
      <w:b/>
      <w:sz w:val="22"/>
    </w:rPr>
  </w:style>
  <w:style w:type="paragraph" w:customStyle="1" w:styleId="Legislationnumber">
    <w:name w:val="Legislation number"/>
    <w:basedOn w:val="Normal"/>
    <w:semiHidden/>
    <w:qFormat/>
    <w:rsid w:val="007D3469"/>
    <w:pPr>
      <w:numPr>
        <w:numId w:val="23"/>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4"/>
      </w:numPr>
      <w:spacing w:before="60" w:after="60"/>
    </w:pPr>
    <w:rPr>
      <w:sz w:val="22"/>
    </w:rPr>
  </w:style>
  <w:style w:type="paragraph" w:customStyle="1" w:styleId="Legislationi">
    <w:name w:val="Legislation (i)"/>
    <w:basedOn w:val="Normal"/>
    <w:semiHidden/>
    <w:qFormat/>
    <w:rsid w:val="007D3469"/>
    <w:pPr>
      <w:numPr>
        <w:ilvl w:val="3"/>
        <w:numId w:val="2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5"/>
      </w:numPr>
      <w:spacing w:after="120"/>
    </w:pPr>
  </w:style>
  <w:style w:type="paragraph" w:customStyle="1" w:styleId="Numberedpara2level2a">
    <w:name w:val="Numbered para (2) level 2 (a)"/>
    <w:basedOn w:val="Normal"/>
    <w:semiHidden/>
    <w:qFormat/>
    <w:rsid w:val="007D3469"/>
    <w:pPr>
      <w:numPr>
        <w:ilvl w:val="1"/>
        <w:numId w:val="25"/>
      </w:numPr>
      <w:spacing w:after="120"/>
    </w:pPr>
  </w:style>
  <w:style w:type="paragraph" w:customStyle="1" w:styleId="Numberedpara2level3i">
    <w:name w:val="Numbered para (2) level 3 (i)"/>
    <w:basedOn w:val="Normal"/>
    <w:semiHidden/>
    <w:qFormat/>
    <w:rsid w:val="007D3469"/>
    <w:pPr>
      <w:numPr>
        <w:ilvl w:val="2"/>
        <w:numId w:val="25"/>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6"/>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7"/>
      </w:numPr>
      <w:spacing w:after="120"/>
    </w:pPr>
  </w:style>
  <w:style w:type="paragraph" w:customStyle="1" w:styleId="Numberedpara3level211">
    <w:name w:val="Numbered para (3) level 2 (1.1)"/>
    <w:basedOn w:val="Normal"/>
    <w:qFormat/>
    <w:rsid w:val="007D3469"/>
    <w:pPr>
      <w:numPr>
        <w:ilvl w:val="1"/>
        <w:numId w:val="27"/>
      </w:numPr>
      <w:spacing w:after="120"/>
    </w:pPr>
  </w:style>
  <w:style w:type="paragraph" w:customStyle="1" w:styleId="Numberedpara3level3111">
    <w:name w:val="Numbered para (3) level 3 (1.1.1)"/>
    <w:basedOn w:val="Normal"/>
    <w:qFormat/>
    <w:rsid w:val="007D3469"/>
    <w:pPr>
      <w:numPr>
        <w:ilvl w:val="2"/>
        <w:numId w:val="27"/>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FootnoteTextChar">
    <w:name w:val="Footnote Text Char"/>
    <w:link w:val="FootnoteText"/>
    <w:rsid w:val="00AE266D"/>
    <w:rPr>
      <w:rFonts w:eastAsiaTheme="minorHAnsi"/>
      <w:sz w:val="20"/>
      <w:szCs w:val="20"/>
      <w:lang w:eastAsia="en-US"/>
    </w:rPr>
  </w:style>
  <w:style w:type="paragraph" w:customStyle="1" w:styleId="NumbersLevel1">
    <w:name w:val="Numbers Level 1"/>
    <w:basedOn w:val="BodyText"/>
    <w:rsid w:val="004339A6"/>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4339A6"/>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4339A6"/>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4339A6"/>
    <w:pPr>
      <w:keepLines w:val="0"/>
      <w:tabs>
        <w:tab w:val="num" w:pos="1843"/>
      </w:tabs>
      <w:spacing w:before="0" w:line="280" w:lineRule="atLeast"/>
      <w:ind w:left="1843" w:hanging="567"/>
    </w:pPr>
    <w:rPr>
      <w:rFonts w:ascii="Arial" w:eastAsia="Times New Roman" w:hAnsi="Arial"/>
      <w:sz w:val="22"/>
    </w:rPr>
  </w:style>
  <w:style w:type="paragraph" w:customStyle="1" w:styleId="HeadingTable">
    <w:name w:val="Heading Table"/>
    <w:basedOn w:val="Normal"/>
    <w:rsid w:val="00CD2364"/>
    <w:pPr>
      <w:keepLines w:val="0"/>
      <w:spacing w:before="0" w:after="0" w:line="260" w:lineRule="atLeast"/>
    </w:pPr>
    <w:rPr>
      <w:rFonts w:ascii="Arial" w:eastAsia="Times New Roman" w:hAnsi="Arial"/>
      <w:b/>
      <w:sz w:val="20"/>
    </w:rPr>
  </w:style>
  <w:style w:type="paragraph" w:customStyle="1" w:styleId="HeadingNumberLevel1">
    <w:name w:val="Heading Number Level 1"/>
    <w:basedOn w:val="Heading1"/>
    <w:next w:val="BodyTextIndentLevel1"/>
    <w:rsid w:val="001528B1"/>
    <w:pPr>
      <w:keepLines w:val="0"/>
      <w:pageBreakBefore w:val="0"/>
      <w:tabs>
        <w:tab w:val="num" w:pos="709"/>
      </w:tabs>
      <w:spacing w:before="240" w:after="60" w:line="280" w:lineRule="atLeast"/>
      <w:ind w:left="709" w:hanging="709"/>
      <w:contextualSpacing w:val="0"/>
      <w:outlineLvl w:val="5"/>
    </w:pPr>
    <w:rPr>
      <w:rFonts w:ascii="Arial" w:eastAsia="Times New Roman" w:hAnsi="Arial"/>
      <w:color w:val="008EC0"/>
      <w:sz w:val="32"/>
    </w:rPr>
  </w:style>
  <w:style w:type="paragraph" w:customStyle="1" w:styleId="HeadingNumberLevel2">
    <w:name w:val="Heading Number Level 2"/>
    <w:basedOn w:val="Heading2"/>
    <w:next w:val="BodyTextIndentLevel1"/>
    <w:rsid w:val="001528B1"/>
    <w:pPr>
      <w:keepLines w:val="0"/>
      <w:tabs>
        <w:tab w:val="num" w:pos="709"/>
      </w:tabs>
      <w:spacing w:before="240" w:after="60" w:line="280" w:lineRule="atLeast"/>
      <w:ind w:left="709" w:hanging="709"/>
      <w:contextualSpacing w:val="0"/>
      <w:outlineLvl w:val="6"/>
    </w:pPr>
    <w:rPr>
      <w:rFonts w:ascii="Arial" w:eastAsia="Times New Roman" w:hAnsi="Arial"/>
      <w:color w:val="008EC0"/>
      <w:sz w:val="28"/>
    </w:rPr>
  </w:style>
  <w:style w:type="paragraph" w:customStyle="1" w:styleId="HeadingNumberLevel3">
    <w:name w:val="Heading Number Level 3"/>
    <w:basedOn w:val="BodyText"/>
    <w:rsid w:val="001528B1"/>
    <w:pPr>
      <w:keepLines w:val="0"/>
      <w:tabs>
        <w:tab w:val="num" w:pos="1276"/>
      </w:tabs>
      <w:spacing w:before="0" w:line="280" w:lineRule="atLeast"/>
      <w:ind w:left="1276" w:hanging="567"/>
    </w:pPr>
    <w:rPr>
      <w:rFonts w:ascii="Arial" w:eastAsia="Times New Roman" w:hAnsi="Arial"/>
      <w:sz w:val="22"/>
    </w:rPr>
  </w:style>
  <w:style w:type="paragraph" w:customStyle="1" w:styleId="HeadingNumberLevel4">
    <w:name w:val="Heading Number Level 4"/>
    <w:basedOn w:val="BodyText"/>
    <w:rsid w:val="001528B1"/>
    <w:pPr>
      <w:keepLines w:val="0"/>
      <w:tabs>
        <w:tab w:val="num" w:pos="1843"/>
      </w:tabs>
      <w:spacing w:before="0" w:line="280" w:lineRule="atLeast"/>
      <w:ind w:left="1843" w:hanging="567"/>
    </w:pPr>
    <w:rPr>
      <w:rFonts w:ascii="Arial" w:eastAsia="Times New Roman" w:hAnsi="Arial"/>
      <w:sz w:val="22"/>
    </w:rPr>
  </w:style>
  <w:style w:type="paragraph" w:customStyle="1" w:styleId="ListAlpha">
    <w:name w:val="List Alpha"/>
    <w:basedOn w:val="BodyText"/>
    <w:rsid w:val="001528B1"/>
    <w:pPr>
      <w:keepLines w:val="0"/>
      <w:numPr>
        <w:numId w:val="28"/>
      </w:numPr>
      <w:spacing w:before="0" w:line="280" w:lineRule="atLeast"/>
    </w:pPr>
    <w:rPr>
      <w:rFonts w:ascii="Arial" w:eastAsia="Times New Roman" w:hAnsi="Arial"/>
      <w:sz w:val="22"/>
    </w:rPr>
  </w:style>
  <w:style w:type="paragraph" w:customStyle="1" w:styleId="BulletLevel1">
    <w:name w:val="Bullet Level 1"/>
    <w:basedOn w:val="BodyText"/>
    <w:rsid w:val="0094016E"/>
    <w:pPr>
      <w:keepLines w:val="0"/>
      <w:tabs>
        <w:tab w:val="num" w:pos="567"/>
      </w:tabs>
      <w:spacing w:before="0" w:line="280" w:lineRule="atLeast"/>
      <w:ind w:left="567" w:hanging="567"/>
    </w:pPr>
    <w:rPr>
      <w:rFonts w:ascii="Arial" w:eastAsia="Times New Roman" w:hAnsi="Arial"/>
      <w:sz w:val="22"/>
    </w:rPr>
  </w:style>
  <w:style w:type="paragraph" w:customStyle="1" w:styleId="BulletLevel20">
    <w:name w:val="Bullet Level 2"/>
    <w:basedOn w:val="BodyText"/>
    <w:rsid w:val="0094016E"/>
    <w:pPr>
      <w:keepLines w:val="0"/>
      <w:tabs>
        <w:tab w:val="num" w:pos="1134"/>
      </w:tabs>
      <w:spacing w:before="0" w:line="280" w:lineRule="atLeast"/>
      <w:ind w:left="1134" w:hanging="567"/>
    </w:pPr>
    <w:rPr>
      <w:rFonts w:ascii="Arial" w:eastAsia="Times New Roman" w:hAnsi="Arial"/>
      <w:sz w:val="22"/>
    </w:rPr>
  </w:style>
  <w:style w:type="paragraph" w:customStyle="1" w:styleId="BulletLevel30">
    <w:name w:val="Bullet Level 3"/>
    <w:basedOn w:val="BodyText"/>
    <w:rsid w:val="0094016E"/>
    <w:pPr>
      <w:keepLines w:val="0"/>
      <w:tabs>
        <w:tab w:val="num" w:pos="1701"/>
      </w:tabs>
      <w:spacing w:before="0" w:line="280" w:lineRule="atLeast"/>
      <w:ind w:left="1701" w:hanging="567"/>
    </w:pPr>
    <w:rPr>
      <w:rFonts w:ascii="Arial" w:eastAsia="Times New Roman" w:hAnsi="Arial"/>
      <w:sz w:val="22"/>
    </w:rPr>
  </w:style>
  <w:style w:type="table" w:styleId="LightList-Accent3">
    <w:name w:val="Light List Accent 3"/>
    <w:basedOn w:val="TableNormal"/>
    <w:uiPriority w:val="61"/>
    <w:rsid w:val="00660B9F"/>
    <w:pPr>
      <w:spacing w:before="0" w:after="0"/>
    </w:pPr>
    <w:rPr>
      <w:rFonts w:asciiTheme="minorHAnsi" w:eastAsiaTheme="minorEastAsia" w:hAnsiTheme="minorHAnsi" w:cstheme="minorBidi"/>
      <w:sz w:val="22"/>
      <w:szCs w:val="22"/>
      <w:lang w:val="en-US" w:eastAsia="ja-JP"/>
    </w:rPr>
    <w:tblPr>
      <w:tblStyleRowBandSize w:val="1"/>
      <w:tblStyleColBandSize w:val="1"/>
      <w:tblBorders>
        <w:top w:val="single" w:sz="8" w:space="0" w:color="DD8E00" w:themeColor="accent3"/>
        <w:left w:val="single" w:sz="8" w:space="0" w:color="DD8E00" w:themeColor="accent3"/>
        <w:bottom w:val="single" w:sz="8" w:space="0" w:color="DD8E00" w:themeColor="accent3"/>
        <w:right w:val="single" w:sz="8" w:space="0" w:color="DD8E00" w:themeColor="accent3"/>
      </w:tblBorders>
    </w:tblPr>
    <w:tblStylePr w:type="firstRow">
      <w:pPr>
        <w:spacing w:before="0" w:after="0" w:line="240" w:lineRule="auto"/>
      </w:pPr>
      <w:rPr>
        <w:b/>
        <w:bCs/>
        <w:color w:val="FFFFFF" w:themeColor="background1"/>
      </w:rPr>
      <w:tblPr/>
      <w:tcPr>
        <w:shd w:val="clear" w:color="auto" w:fill="DD8E00" w:themeFill="accent3"/>
      </w:tcPr>
    </w:tblStylePr>
    <w:tblStylePr w:type="lastRow">
      <w:pPr>
        <w:spacing w:before="0" w:after="0" w:line="240" w:lineRule="auto"/>
      </w:pPr>
      <w:rPr>
        <w:b/>
        <w:bCs/>
      </w:rPr>
      <w:tblPr/>
      <w:tcPr>
        <w:tcBorders>
          <w:top w:val="double" w:sz="6" w:space="0" w:color="DD8E00" w:themeColor="accent3"/>
          <w:left w:val="single" w:sz="8" w:space="0" w:color="DD8E00" w:themeColor="accent3"/>
          <w:bottom w:val="single" w:sz="8" w:space="0" w:color="DD8E00" w:themeColor="accent3"/>
          <w:right w:val="single" w:sz="8" w:space="0" w:color="DD8E00" w:themeColor="accent3"/>
        </w:tcBorders>
      </w:tcPr>
    </w:tblStylePr>
    <w:tblStylePr w:type="firstCol">
      <w:rPr>
        <w:b/>
        <w:bCs/>
      </w:rPr>
    </w:tblStylePr>
    <w:tblStylePr w:type="lastCol">
      <w:rPr>
        <w:b/>
        <w:bCs/>
      </w:rPr>
    </w:tblStylePr>
    <w:tblStylePr w:type="band1Vert">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tblStylePr w:type="band1Horz">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style>
  <w:style w:type="table" w:styleId="MediumShading1-Accent1">
    <w:name w:val="Medium Shading 1 Accent 1"/>
    <w:basedOn w:val="TableNormal"/>
    <w:uiPriority w:val="63"/>
    <w:rsid w:val="00660B9F"/>
    <w:pPr>
      <w:spacing w:before="0" w:after="0"/>
    </w:pPr>
    <w:tblPr>
      <w:tblStyleRowBandSize w:val="1"/>
      <w:tblStyleColBandSize w:val="1"/>
      <w:tblBorders>
        <w:top w:val="single" w:sz="8"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single" w:sz="8" w:space="0" w:color="9CD4DA" w:themeColor="accent1" w:themeTint="BF"/>
      </w:tblBorders>
    </w:tblPr>
    <w:tblStylePr w:type="firstRow">
      <w:pPr>
        <w:spacing w:before="0" w:after="0" w:line="240" w:lineRule="auto"/>
      </w:pPr>
      <w:rPr>
        <w:b/>
        <w:bCs/>
        <w:color w:val="FFFFFF" w:themeColor="background1"/>
      </w:rPr>
      <w:tblPr/>
      <w:tcPr>
        <w:tcBorders>
          <w:top w:val="single" w:sz="8"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nil"/>
          <w:insideV w:val="nil"/>
        </w:tcBorders>
        <w:shd w:val="clear" w:color="auto" w:fill="7BC7CE" w:themeFill="accent1"/>
      </w:tcPr>
    </w:tblStylePr>
    <w:tblStylePr w:type="lastRow">
      <w:pPr>
        <w:spacing w:before="0" w:after="0" w:line="240" w:lineRule="auto"/>
      </w:pPr>
      <w:rPr>
        <w:b/>
        <w:bCs/>
      </w:rPr>
      <w:tblPr/>
      <w:tcPr>
        <w:tcBorders>
          <w:top w:val="double" w:sz="6"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1F2" w:themeFill="accent1" w:themeFillTint="3F"/>
      </w:tcPr>
    </w:tblStylePr>
    <w:tblStylePr w:type="band1Horz">
      <w:tblPr/>
      <w:tcPr>
        <w:tcBorders>
          <w:insideH w:val="nil"/>
          <w:insideV w:val="nil"/>
        </w:tcBorders>
        <w:shd w:val="clear" w:color="auto" w:fill="DEF1F2" w:themeFill="accent1" w:themeFillTint="3F"/>
      </w:tcPr>
    </w:tblStylePr>
    <w:tblStylePr w:type="band2Horz">
      <w:tblPr/>
      <w:tcPr>
        <w:tcBorders>
          <w:insideH w:val="nil"/>
          <w:insideV w:val="nil"/>
        </w:tcBorders>
      </w:tcPr>
    </w:tblStylePr>
  </w:style>
  <w:style w:type="paragraph" w:customStyle="1" w:styleId="FinancialtableLHC">
    <w:name w:val="Financial table LHC"/>
    <w:basedOn w:val="Normal"/>
    <w:qFormat/>
    <w:rsid w:val="00077FC4"/>
    <w:pPr>
      <w:spacing w:before="0" w:after="0"/>
      <w:contextualSpacing/>
    </w:pPr>
    <w:rPr>
      <w:sz w:val="22"/>
    </w:rPr>
  </w:style>
  <w:style w:type="paragraph" w:customStyle="1" w:styleId="Financialtablefigures">
    <w:name w:val="Financial table figures"/>
    <w:basedOn w:val="FinancialtableLHC"/>
    <w:qFormat/>
    <w:rsid w:val="00077FC4"/>
    <w:pPr>
      <w:jc w:val="right"/>
    </w:pPr>
  </w:style>
  <w:style w:type="paragraph" w:customStyle="1" w:styleId="Financialtableyears">
    <w:name w:val="Financial table years"/>
    <w:basedOn w:val="Financialtablefigures"/>
    <w:qFormat/>
    <w:rsid w:val="00077FC4"/>
    <w:pPr>
      <w:jc w:val="center"/>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B2FE8"/>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EE41C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1"/>
      </w:numPr>
      <w:spacing w:before="80" w:after="80"/>
    </w:pPr>
  </w:style>
  <w:style w:type="paragraph" w:customStyle="1" w:styleId="List123level2">
    <w:name w:val="List 1 2 3 level 2"/>
    <w:basedOn w:val="Normal"/>
    <w:uiPriority w:val="1"/>
    <w:semiHidden/>
    <w:qFormat/>
    <w:rsid w:val="007D3469"/>
    <w:pPr>
      <w:numPr>
        <w:ilvl w:val="1"/>
        <w:numId w:val="22"/>
      </w:numPr>
      <w:spacing w:before="80" w:after="80"/>
    </w:pPr>
  </w:style>
  <w:style w:type="paragraph" w:customStyle="1" w:styleId="List123level3">
    <w:name w:val="List 1 2 3 level 3"/>
    <w:basedOn w:val="Normal"/>
    <w:uiPriority w:val="1"/>
    <w:semiHidden/>
    <w:qFormat/>
    <w:rsid w:val="007D3469"/>
    <w:pPr>
      <w:numPr>
        <w:ilvl w:val="2"/>
        <w:numId w:val="22"/>
      </w:numPr>
      <w:spacing w:before="80" w:after="80"/>
    </w:pPr>
  </w:style>
  <w:style w:type="paragraph" w:customStyle="1" w:styleId="Legislationsection">
    <w:name w:val="Legislation section"/>
    <w:basedOn w:val="Normal"/>
    <w:semiHidden/>
    <w:qFormat/>
    <w:rsid w:val="007D3469"/>
    <w:pPr>
      <w:keepNext/>
      <w:numPr>
        <w:numId w:val="24"/>
      </w:numPr>
      <w:tabs>
        <w:tab w:val="left" w:pos="567"/>
      </w:tabs>
      <w:spacing w:after="60"/>
    </w:pPr>
    <w:rPr>
      <w:b/>
      <w:sz w:val="22"/>
    </w:rPr>
  </w:style>
  <w:style w:type="paragraph" w:customStyle="1" w:styleId="Legislationnumber">
    <w:name w:val="Legislation number"/>
    <w:basedOn w:val="Normal"/>
    <w:semiHidden/>
    <w:qFormat/>
    <w:rsid w:val="007D3469"/>
    <w:pPr>
      <w:numPr>
        <w:numId w:val="23"/>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4"/>
      </w:numPr>
      <w:spacing w:before="60" w:after="60"/>
    </w:pPr>
    <w:rPr>
      <w:sz w:val="22"/>
    </w:rPr>
  </w:style>
  <w:style w:type="paragraph" w:customStyle="1" w:styleId="Legislationi">
    <w:name w:val="Legislation (i)"/>
    <w:basedOn w:val="Normal"/>
    <w:semiHidden/>
    <w:qFormat/>
    <w:rsid w:val="007D3469"/>
    <w:pPr>
      <w:numPr>
        <w:ilvl w:val="3"/>
        <w:numId w:val="2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5"/>
      </w:numPr>
      <w:spacing w:after="120"/>
    </w:pPr>
  </w:style>
  <w:style w:type="paragraph" w:customStyle="1" w:styleId="Numberedpara2level2a">
    <w:name w:val="Numbered para (2) level 2 (a)"/>
    <w:basedOn w:val="Normal"/>
    <w:semiHidden/>
    <w:qFormat/>
    <w:rsid w:val="007D3469"/>
    <w:pPr>
      <w:numPr>
        <w:ilvl w:val="1"/>
        <w:numId w:val="25"/>
      </w:numPr>
      <w:spacing w:after="120"/>
    </w:pPr>
  </w:style>
  <w:style w:type="paragraph" w:customStyle="1" w:styleId="Numberedpara2level3i">
    <w:name w:val="Numbered para (2) level 3 (i)"/>
    <w:basedOn w:val="Normal"/>
    <w:semiHidden/>
    <w:qFormat/>
    <w:rsid w:val="007D3469"/>
    <w:pPr>
      <w:numPr>
        <w:ilvl w:val="2"/>
        <w:numId w:val="25"/>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6"/>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7"/>
      </w:numPr>
      <w:spacing w:after="120"/>
    </w:pPr>
  </w:style>
  <w:style w:type="paragraph" w:customStyle="1" w:styleId="Numberedpara3level211">
    <w:name w:val="Numbered para (3) level 2 (1.1)"/>
    <w:basedOn w:val="Normal"/>
    <w:qFormat/>
    <w:rsid w:val="007D3469"/>
    <w:pPr>
      <w:numPr>
        <w:ilvl w:val="1"/>
        <w:numId w:val="27"/>
      </w:numPr>
      <w:spacing w:after="120"/>
    </w:pPr>
  </w:style>
  <w:style w:type="paragraph" w:customStyle="1" w:styleId="Numberedpara3level3111">
    <w:name w:val="Numbered para (3) level 3 (1.1.1)"/>
    <w:basedOn w:val="Normal"/>
    <w:qFormat/>
    <w:rsid w:val="007D3469"/>
    <w:pPr>
      <w:numPr>
        <w:ilvl w:val="2"/>
        <w:numId w:val="27"/>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FootnoteTextChar">
    <w:name w:val="Footnote Text Char"/>
    <w:link w:val="FootnoteText"/>
    <w:rsid w:val="00AE266D"/>
    <w:rPr>
      <w:rFonts w:eastAsiaTheme="minorHAnsi"/>
      <w:sz w:val="20"/>
      <w:szCs w:val="20"/>
      <w:lang w:eastAsia="en-US"/>
    </w:rPr>
  </w:style>
  <w:style w:type="paragraph" w:customStyle="1" w:styleId="NumbersLevel1">
    <w:name w:val="Numbers Level 1"/>
    <w:basedOn w:val="BodyText"/>
    <w:rsid w:val="004339A6"/>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4339A6"/>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4339A6"/>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4339A6"/>
    <w:pPr>
      <w:keepLines w:val="0"/>
      <w:tabs>
        <w:tab w:val="num" w:pos="1843"/>
      </w:tabs>
      <w:spacing w:before="0" w:line="280" w:lineRule="atLeast"/>
      <w:ind w:left="1843" w:hanging="567"/>
    </w:pPr>
    <w:rPr>
      <w:rFonts w:ascii="Arial" w:eastAsia="Times New Roman" w:hAnsi="Arial"/>
      <w:sz w:val="22"/>
    </w:rPr>
  </w:style>
  <w:style w:type="paragraph" w:customStyle="1" w:styleId="HeadingTable">
    <w:name w:val="Heading Table"/>
    <w:basedOn w:val="Normal"/>
    <w:rsid w:val="00CD2364"/>
    <w:pPr>
      <w:keepLines w:val="0"/>
      <w:spacing w:before="0" w:after="0" w:line="260" w:lineRule="atLeast"/>
    </w:pPr>
    <w:rPr>
      <w:rFonts w:ascii="Arial" w:eastAsia="Times New Roman" w:hAnsi="Arial"/>
      <w:b/>
      <w:sz w:val="20"/>
    </w:rPr>
  </w:style>
  <w:style w:type="paragraph" w:customStyle="1" w:styleId="HeadingNumberLevel1">
    <w:name w:val="Heading Number Level 1"/>
    <w:basedOn w:val="Heading1"/>
    <w:next w:val="BodyTextIndentLevel1"/>
    <w:rsid w:val="001528B1"/>
    <w:pPr>
      <w:keepLines w:val="0"/>
      <w:pageBreakBefore w:val="0"/>
      <w:tabs>
        <w:tab w:val="num" w:pos="709"/>
      </w:tabs>
      <w:spacing w:before="240" w:after="60" w:line="280" w:lineRule="atLeast"/>
      <w:ind w:left="709" w:hanging="709"/>
      <w:contextualSpacing w:val="0"/>
      <w:outlineLvl w:val="5"/>
    </w:pPr>
    <w:rPr>
      <w:rFonts w:ascii="Arial" w:eastAsia="Times New Roman" w:hAnsi="Arial"/>
      <w:color w:val="008EC0"/>
      <w:sz w:val="32"/>
    </w:rPr>
  </w:style>
  <w:style w:type="paragraph" w:customStyle="1" w:styleId="HeadingNumberLevel2">
    <w:name w:val="Heading Number Level 2"/>
    <w:basedOn w:val="Heading2"/>
    <w:next w:val="BodyTextIndentLevel1"/>
    <w:rsid w:val="001528B1"/>
    <w:pPr>
      <w:keepLines w:val="0"/>
      <w:tabs>
        <w:tab w:val="num" w:pos="709"/>
      </w:tabs>
      <w:spacing w:before="240" w:after="60" w:line="280" w:lineRule="atLeast"/>
      <w:ind w:left="709" w:hanging="709"/>
      <w:contextualSpacing w:val="0"/>
      <w:outlineLvl w:val="6"/>
    </w:pPr>
    <w:rPr>
      <w:rFonts w:ascii="Arial" w:eastAsia="Times New Roman" w:hAnsi="Arial"/>
      <w:color w:val="008EC0"/>
      <w:sz w:val="28"/>
    </w:rPr>
  </w:style>
  <w:style w:type="paragraph" w:customStyle="1" w:styleId="HeadingNumberLevel3">
    <w:name w:val="Heading Number Level 3"/>
    <w:basedOn w:val="BodyText"/>
    <w:rsid w:val="001528B1"/>
    <w:pPr>
      <w:keepLines w:val="0"/>
      <w:tabs>
        <w:tab w:val="num" w:pos="1276"/>
      </w:tabs>
      <w:spacing w:before="0" w:line="280" w:lineRule="atLeast"/>
      <w:ind w:left="1276" w:hanging="567"/>
    </w:pPr>
    <w:rPr>
      <w:rFonts w:ascii="Arial" w:eastAsia="Times New Roman" w:hAnsi="Arial"/>
      <w:sz w:val="22"/>
    </w:rPr>
  </w:style>
  <w:style w:type="paragraph" w:customStyle="1" w:styleId="HeadingNumberLevel4">
    <w:name w:val="Heading Number Level 4"/>
    <w:basedOn w:val="BodyText"/>
    <w:rsid w:val="001528B1"/>
    <w:pPr>
      <w:keepLines w:val="0"/>
      <w:tabs>
        <w:tab w:val="num" w:pos="1843"/>
      </w:tabs>
      <w:spacing w:before="0" w:line="280" w:lineRule="atLeast"/>
      <w:ind w:left="1843" w:hanging="567"/>
    </w:pPr>
    <w:rPr>
      <w:rFonts w:ascii="Arial" w:eastAsia="Times New Roman" w:hAnsi="Arial"/>
      <w:sz w:val="22"/>
    </w:rPr>
  </w:style>
  <w:style w:type="paragraph" w:customStyle="1" w:styleId="ListAlpha">
    <w:name w:val="List Alpha"/>
    <w:basedOn w:val="BodyText"/>
    <w:rsid w:val="001528B1"/>
    <w:pPr>
      <w:keepLines w:val="0"/>
      <w:numPr>
        <w:numId w:val="28"/>
      </w:numPr>
      <w:spacing w:before="0" w:line="280" w:lineRule="atLeast"/>
    </w:pPr>
    <w:rPr>
      <w:rFonts w:ascii="Arial" w:eastAsia="Times New Roman" w:hAnsi="Arial"/>
      <w:sz w:val="22"/>
    </w:rPr>
  </w:style>
  <w:style w:type="paragraph" w:customStyle="1" w:styleId="BulletLevel1">
    <w:name w:val="Bullet Level 1"/>
    <w:basedOn w:val="BodyText"/>
    <w:rsid w:val="0094016E"/>
    <w:pPr>
      <w:keepLines w:val="0"/>
      <w:tabs>
        <w:tab w:val="num" w:pos="567"/>
      </w:tabs>
      <w:spacing w:before="0" w:line="280" w:lineRule="atLeast"/>
      <w:ind w:left="567" w:hanging="567"/>
    </w:pPr>
    <w:rPr>
      <w:rFonts w:ascii="Arial" w:eastAsia="Times New Roman" w:hAnsi="Arial"/>
      <w:sz w:val="22"/>
    </w:rPr>
  </w:style>
  <w:style w:type="paragraph" w:customStyle="1" w:styleId="BulletLevel20">
    <w:name w:val="Bullet Level 2"/>
    <w:basedOn w:val="BodyText"/>
    <w:rsid w:val="0094016E"/>
    <w:pPr>
      <w:keepLines w:val="0"/>
      <w:tabs>
        <w:tab w:val="num" w:pos="1134"/>
      </w:tabs>
      <w:spacing w:before="0" w:line="280" w:lineRule="atLeast"/>
      <w:ind w:left="1134" w:hanging="567"/>
    </w:pPr>
    <w:rPr>
      <w:rFonts w:ascii="Arial" w:eastAsia="Times New Roman" w:hAnsi="Arial"/>
      <w:sz w:val="22"/>
    </w:rPr>
  </w:style>
  <w:style w:type="paragraph" w:customStyle="1" w:styleId="BulletLevel30">
    <w:name w:val="Bullet Level 3"/>
    <w:basedOn w:val="BodyText"/>
    <w:rsid w:val="0094016E"/>
    <w:pPr>
      <w:keepLines w:val="0"/>
      <w:tabs>
        <w:tab w:val="num" w:pos="1701"/>
      </w:tabs>
      <w:spacing w:before="0" w:line="280" w:lineRule="atLeast"/>
      <w:ind w:left="1701" w:hanging="567"/>
    </w:pPr>
    <w:rPr>
      <w:rFonts w:ascii="Arial" w:eastAsia="Times New Roman" w:hAnsi="Arial"/>
      <w:sz w:val="22"/>
    </w:rPr>
  </w:style>
  <w:style w:type="table" w:styleId="LightList-Accent3">
    <w:name w:val="Light List Accent 3"/>
    <w:basedOn w:val="TableNormal"/>
    <w:uiPriority w:val="61"/>
    <w:rsid w:val="00660B9F"/>
    <w:pPr>
      <w:spacing w:before="0" w:after="0"/>
    </w:pPr>
    <w:rPr>
      <w:rFonts w:asciiTheme="minorHAnsi" w:eastAsiaTheme="minorEastAsia" w:hAnsiTheme="minorHAnsi" w:cstheme="minorBidi"/>
      <w:sz w:val="22"/>
      <w:szCs w:val="22"/>
      <w:lang w:val="en-US" w:eastAsia="ja-JP"/>
    </w:rPr>
    <w:tblPr>
      <w:tblStyleRowBandSize w:val="1"/>
      <w:tblStyleColBandSize w:val="1"/>
      <w:tblBorders>
        <w:top w:val="single" w:sz="8" w:space="0" w:color="DD8E00" w:themeColor="accent3"/>
        <w:left w:val="single" w:sz="8" w:space="0" w:color="DD8E00" w:themeColor="accent3"/>
        <w:bottom w:val="single" w:sz="8" w:space="0" w:color="DD8E00" w:themeColor="accent3"/>
        <w:right w:val="single" w:sz="8" w:space="0" w:color="DD8E00" w:themeColor="accent3"/>
      </w:tblBorders>
    </w:tblPr>
    <w:tblStylePr w:type="firstRow">
      <w:pPr>
        <w:spacing w:before="0" w:after="0" w:line="240" w:lineRule="auto"/>
      </w:pPr>
      <w:rPr>
        <w:b/>
        <w:bCs/>
        <w:color w:val="FFFFFF" w:themeColor="background1"/>
      </w:rPr>
      <w:tblPr/>
      <w:tcPr>
        <w:shd w:val="clear" w:color="auto" w:fill="DD8E00" w:themeFill="accent3"/>
      </w:tcPr>
    </w:tblStylePr>
    <w:tblStylePr w:type="lastRow">
      <w:pPr>
        <w:spacing w:before="0" w:after="0" w:line="240" w:lineRule="auto"/>
      </w:pPr>
      <w:rPr>
        <w:b/>
        <w:bCs/>
      </w:rPr>
      <w:tblPr/>
      <w:tcPr>
        <w:tcBorders>
          <w:top w:val="double" w:sz="6" w:space="0" w:color="DD8E00" w:themeColor="accent3"/>
          <w:left w:val="single" w:sz="8" w:space="0" w:color="DD8E00" w:themeColor="accent3"/>
          <w:bottom w:val="single" w:sz="8" w:space="0" w:color="DD8E00" w:themeColor="accent3"/>
          <w:right w:val="single" w:sz="8" w:space="0" w:color="DD8E00" w:themeColor="accent3"/>
        </w:tcBorders>
      </w:tcPr>
    </w:tblStylePr>
    <w:tblStylePr w:type="firstCol">
      <w:rPr>
        <w:b/>
        <w:bCs/>
      </w:rPr>
    </w:tblStylePr>
    <w:tblStylePr w:type="lastCol">
      <w:rPr>
        <w:b/>
        <w:bCs/>
      </w:rPr>
    </w:tblStylePr>
    <w:tblStylePr w:type="band1Vert">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tblStylePr w:type="band1Horz">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style>
  <w:style w:type="table" w:styleId="MediumShading1-Accent1">
    <w:name w:val="Medium Shading 1 Accent 1"/>
    <w:basedOn w:val="TableNormal"/>
    <w:uiPriority w:val="63"/>
    <w:rsid w:val="00660B9F"/>
    <w:pPr>
      <w:spacing w:before="0" w:after="0"/>
    </w:pPr>
    <w:tblPr>
      <w:tblStyleRowBandSize w:val="1"/>
      <w:tblStyleColBandSize w:val="1"/>
      <w:tblBorders>
        <w:top w:val="single" w:sz="8"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single" w:sz="8" w:space="0" w:color="9CD4DA" w:themeColor="accent1" w:themeTint="BF"/>
      </w:tblBorders>
    </w:tblPr>
    <w:tblStylePr w:type="firstRow">
      <w:pPr>
        <w:spacing w:before="0" w:after="0" w:line="240" w:lineRule="auto"/>
      </w:pPr>
      <w:rPr>
        <w:b/>
        <w:bCs/>
        <w:color w:val="FFFFFF" w:themeColor="background1"/>
      </w:rPr>
      <w:tblPr/>
      <w:tcPr>
        <w:tcBorders>
          <w:top w:val="single" w:sz="8"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nil"/>
          <w:insideV w:val="nil"/>
        </w:tcBorders>
        <w:shd w:val="clear" w:color="auto" w:fill="7BC7CE" w:themeFill="accent1"/>
      </w:tcPr>
    </w:tblStylePr>
    <w:tblStylePr w:type="lastRow">
      <w:pPr>
        <w:spacing w:before="0" w:after="0" w:line="240" w:lineRule="auto"/>
      </w:pPr>
      <w:rPr>
        <w:b/>
        <w:bCs/>
      </w:rPr>
      <w:tblPr/>
      <w:tcPr>
        <w:tcBorders>
          <w:top w:val="double" w:sz="6" w:space="0" w:color="9CD4DA" w:themeColor="accent1" w:themeTint="BF"/>
          <w:left w:val="single" w:sz="8" w:space="0" w:color="9CD4DA" w:themeColor="accent1" w:themeTint="BF"/>
          <w:bottom w:val="single" w:sz="8" w:space="0" w:color="9CD4DA" w:themeColor="accent1" w:themeTint="BF"/>
          <w:right w:val="single" w:sz="8" w:space="0" w:color="9CD4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1F2" w:themeFill="accent1" w:themeFillTint="3F"/>
      </w:tcPr>
    </w:tblStylePr>
    <w:tblStylePr w:type="band1Horz">
      <w:tblPr/>
      <w:tcPr>
        <w:tcBorders>
          <w:insideH w:val="nil"/>
          <w:insideV w:val="nil"/>
        </w:tcBorders>
        <w:shd w:val="clear" w:color="auto" w:fill="DEF1F2" w:themeFill="accent1" w:themeFillTint="3F"/>
      </w:tcPr>
    </w:tblStylePr>
    <w:tblStylePr w:type="band2Horz">
      <w:tblPr/>
      <w:tcPr>
        <w:tcBorders>
          <w:insideH w:val="nil"/>
          <w:insideV w:val="nil"/>
        </w:tcBorders>
      </w:tcPr>
    </w:tblStylePr>
  </w:style>
  <w:style w:type="paragraph" w:customStyle="1" w:styleId="FinancialtableLHC">
    <w:name w:val="Financial table LHC"/>
    <w:basedOn w:val="Normal"/>
    <w:qFormat/>
    <w:rsid w:val="00077FC4"/>
    <w:pPr>
      <w:spacing w:before="0" w:after="0"/>
      <w:contextualSpacing/>
    </w:pPr>
    <w:rPr>
      <w:sz w:val="22"/>
    </w:rPr>
  </w:style>
  <w:style w:type="paragraph" w:customStyle="1" w:styleId="Financialtablefigures">
    <w:name w:val="Financial table figures"/>
    <w:basedOn w:val="FinancialtableLHC"/>
    <w:qFormat/>
    <w:rsid w:val="00077FC4"/>
    <w:pPr>
      <w:jc w:val="right"/>
    </w:pPr>
  </w:style>
  <w:style w:type="paragraph" w:customStyle="1" w:styleId="Financialtableyears">
    <w:name w:val="Financial table years"/>
    <w:basedOn w:val="Financialtablefigures"/>
    <w:qFormat/>
    <w:rsid w:val="00077FC4"/>
    <w:pPr>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231">
      <w:bodyDiv w:val="1"/>
      <w:marLeft w:val="0"/>
      <w:marRight w:val="0"/>
      <w:marTop w:val="0"/>
      <w:marBottom w:val="0"/>
      <w:divBdr>
        <w:top w:val="none" w:sz="0" w:space="0" w:color="auto"/>
        <w:left w:val="none" w:sz="0" w:space="0" w:color="auto"/>
        <w:bottom w:val="none" w:sz="0" w:space="0" w:color="auto"/>
        <w:right w:val="none" w:sz="0" w:space="0" w:color="auto"/>
      </w:divBdr>
    </w:div>
    <w:div w:id="837765610">
      <w:bodyDiv w:val="1"/>
      <w:marLeft w:val="0"/>
      <w:marRight w:val="0"/>
      <w:marTop w:val="0"/>
      <w:marBottom w:val="0"/>
      <w:divBdr>
        <w:top w:val="none" w:sz="0" w:space="0" w:color="auto"/>
        <w:left w:val="none" w:sz="0" w:space="0" w:color="auto"/>
        <w:bottom w:val="none" w:sz="0" w:space="0" w:color="auto"/>
        <w:right w:val="none" w:sz="0" w:space="0" w:color="auto"/>
      </w:divBdr>
    </w:div>
    <w:div w:id="882520327">
      <w:bodyDiv w:val="1"/>
      <w:marLeft w:val="0"/>
      <w:marRight w:val="0"/>
      <w:marTop w:val="0"/>
      <w:marBottom w:val="0"/>
      <w:divBdr>
        <w:top w:val="none" w:sz="0" w:space="0" w:color="auto"/>
        <w:left w:val="none" w:sz="0" w:space="0" w:color="auto"/>
        <w:bottom w:val="none" w:sz="0" w:space="0" w:color="auto"/>
        <w:right w:val="none" w:sz="0" w:space="0" w:color="auto"/>
      </w:divBdr>
    </w:div>
    <w:div w:id="1707438450">
      <w:bodyDiv w:val="1"/>
      <w:marLeft w:val="0"/>
      <w:marRight w:val="0"/>
      <w:marTop w:val="0"/>
      <w:marBottom w:val="0"/>
      <w:divBdr>
        <w:top w:val="none" w:sz="0" w:space="0" w:color="auto"/>
        <w:left w:val="none" w:sz="0" w:space="0" w:color="auto"/>
        <w:bottom w:val="none" w:sz="0" w:space="0" w:color="auto"/>
        <w:right w:val="none" w:sz="0" w:space="0" w:color="auto"/>
      </w:divBdr>
      <w:divsChild>
        <w:div w:id="1394540927">
          <w:marLeft w:val="0"/>
          <w:marRight w:val="0"/>
          <w:marTop w:val="0"/>
          <w:marBottom w:val="0"/>
          <w:divBdr>
            <w:top w:val="none" w:sz="0" w:space="0" w:color="auto"/>
            <w:left w:val="none" w:sz="0" w:space="0" w:color="auto"/>
            <w:bottom w:val="none" w:sz="0" w:space="0" w:color="auto"/>
            <w:right w:val="none" w:sz="0" w:space="0" w:color="auto"/>
          </w:divBdr>
          <w:divsChild>
            <w:div w:id="560947979">
              <w:marLeft w:val="0"/>
              <w:marRight w:val="0"/>
              <w:marTop w:val="0"/>
              <w:marBottom w:val="0"/>
              <w:divBdr>
                <w:top w:val="none" w:sz="0" w:space="0" w:color="auto"/>
                <w:left w:val="none" w:sz="0" w:space="0" w:color="auto"/>
                <w:bottom w:val="none" w:sz="0" w:space="0" w:color="auto"/>
                <w:right w:val="none" w:sz="0" w:space="0" w:color="auto"/>
              </w:divBdr>
              <w:divsChild>
                <w:div w:id="1888100111">
                  <w:marLeft w:val="0"/>
                  <w:marRight w:val="0"/>
                  <w:marTop w:val="0"/>
                  <w:marBottom w:val="0"/>
                  <w:divBdr>
                    <w:top w:val="none" w:sz="0" w:space="0" w:color="auto"/>
                    <w:left w:val="none" w:sz="0" w:space="0" w:color="auto"/>
                    <w:bottom w:val="none" w:sz="0" w:space="0" w:color="auto"/>
                    <w:right w:val="none" w:sz="0" w:space="0" w:color="auto"/>
                  </w:divBdr>
                  <w:divsChild>
                    <w:div w:id="1801727399">
                      <w:marLeft w:val="0"/>
                      <w:marRight w:val="0"/>
                      <w:marTop w:val="0"/>
                      <w:marBottom w:val="0"/>
                      <w:divBdr>
                        <w:top w:val="none" w:sz="0" w:space="0" w:color="auto"/>
                        <w:left w:val="none" w:sz="0" w:space="0" w:color="auto"/>
                        <w:bottom w:val="none" w:sz="0" w:space="0" w:color="auto"/>
                        <w:right w:val="none" w:sz="0" w:space="0" w:color="auto"/>
                      </w:divBdr>
                      <w:divsChild>
                        <w:div w:id="1101682743">
                          <w:marLeft w:val="0"/>
                          <w:marRight w:val="0"/>
                          <w:marTop w:val="0"/>
                          <w:marBottom w:val="0"/>
                          <w:divBdr>
                            <w:top w:val="none" w:sz="0" w:space="0" w:color="auto"/>
                            <w:left w:val="none" w:sz="0" w:space="0" w:color="auto"/>
                            <w:bottom w:val="none" w:sz="0" w:space="0" w:color="auto"/>
                            <w:right w:val="none" w:sz="0" w:space="0" w:color="auto"/>
                          </w:divBdr>
                          <w:divsChild>
                            <w:div w:id="366178410">
                              <w:marLeft w:val="0"/>
                              <w:marRight w:val="0"/>
                              <w:marTop w:val="0"/>
                              <w:marBottom w:val="0"/>
                              <w:divBdr>
                                <w:top w:val="none" w:sz="0" w:space="0" w:color="auto"/>
                                <w:left w:val="none" w:sz="0" w:space="0" w:color="auto"/>
                                <w:bottom w:val="none" w:sz="0" w:space="0" w:color="auto"/>
                                <w:right w:val="none" w:sz="0" w:space="0" w:color="auto"/>
                              </w:divBdr>
                              <w:divsChild>
                                <w:div w:id="1976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mblingfees@dia.govt.nz"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oag.govt.nz/2008/charging-fees" TargetMode="External"/><Relationship Id="rId2" Type="http://schemas.openxmlformats.org/officeDocument/2006/relationships/hyperlink" Target="http://www.treasury.govt.nz/publications/guidance/planning/charges" TargetMode="External"/><Relationship Id="rId1" Type="http://schemas.openxmlformats.org/officeDocument/2006/relationships/hyperlink" Target="http://www.treasury.govt.nz/publications/guidance/instructions/2014/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wlgprdfapn02\home$\wellington\naganaan\Gambling%20Fees\Copy%20of%2019-11%2011-27-56%203819664DA%20-%203817075DA%20-%20A3%20Gambling%20Fees%20Review%202013%20-%2014%20Nov%202013%20(post%20Ministe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wlgprdfapn02\home$\wellington\naganaan\Copy%20of%20Casino%20and%20non-casino%20gambling%20revenue%20and%20costs%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'Graphs and tables'!$C$102</c:f>
              <c:strCache>
                <c:ptCount val="1"/>
                <c:pt idx="0">
                  <c:v>Cost breakdown</c:v>
                </c:pt>
              </c:strCache>
            </c:strRef>
          </c:tx>
          <c:dLbls>
            <c:dLbl>
              <c:idx val="0"/>
              <c:layout>
                <c:manualLayout>
                  <c:x val="6.9841395770113123E-4"/>
                  <c:y val="2.3473783334335115E-3"/>
                </c:manualLayout>
              </c:layout>
              <c:showLegendKey val="0"/>
              <c:showVal val="0"/>
              <c:showCatName val="1"/>
              <c:showSerName val="0"/>
              <c:showPercent val="0"/>
              <c:showBubbleSize val="0"/>
            </c:dLbl>
            <c:dLbl>
              <c:idx val="2"/>
              <c:layout>
                <c:manualLayout>
                  <c:x val="-8.8969420991050815E-3"/>
                  <c:y val="1.0710664983670935E-2"/>
                </c:manualLayout>
              </c:layout>
              <c:showLegendKey val="0"/>
              <c:showVal val="0"/>
              <c:showCatName val="1"/>
              <c:showSerName val="0"/>
              <c:showPercent val="0"/>
              <c:showBubbleSize val="0"/>
            </c:dLbl>
            <c:dLbl>
              <c:idx val="3"/>
              <c:layout>
                <c:manualLayout>
                  <c:x val="-8.3969262878284875E-3"/>
                  <c:y val="-5.0110396505780287E-2"/>
                </c:manualLayout>
              </c:layout>
              <c:showLegendKey val="0"/>
              <c:showVal val="0"/>
              <c:showCatName val="1"/>
              <c:showSerName val="0"/>
              <c:showPercent val="0"/>
              <c:showBubbleSize val="0"/>
            </c:dLbl>
            <c:dLbl>
              <c:idx val="6"/>
              <c:layout>
                <c:manualLayout>
                  <c:x val="4.5166692358179682E-2"/>
                  <c:y val="1.6305423654104305E-2"/>
                </c:manualLayout>
              </c:layout>
              <c:tx>
                <c:rich>
                  <a:bodyPr/>
                  <a:lstStyle/>
                  <a:p>
                    <a:r>
                      <a:rPr lang="en-US"/>
                      <a:t>Electronic monitoring of </a:t>
                    </a:r>
                    <a:r>
                      <a:rPr lang="en-US" sz="1000" b="0" i="0" u="none" strike="noStrike" baseline="0">
                        <a:effectLst/>
                      </a:rPr>
                      <a:t>Class 4 Venues </a:t>
                    </a:r>
                    <a:endParaRPr lang="en-US"/>
                  </a:p>
                </c:rich>
              </c:tx>
              <c:showLegendKey val="0"/>
              <c:showVal val="0"/>
              <c:showCatName val="1"/>
              <c:showSerName val="0"/>
              <c:showPercent val="0"/>
              <c:showBubbleSize val="0"/>
            </c:dLbl>
            <c:dLbl>
              <c:idx val="7"/>
              <c:layout>
                <c:manualLayout>
                  <c:x val="-6.1273197273514616E-4"/>
                  <c:y val="-2.5256957384143775E-3"/>
                </c:manualLayout>
              </c:layout>
              <c:showLegendKey val="0"/>
              <c:showVal val="0"/>
              <c:showCatName val="1"/>
              <c:showSerName val="0"/>
              <c:showPercent val="0"/>
              <c:showBubbleSize val="0"/>
            </c:dLbl>
            <c:showLegendKey val="0"/>
            <c:showVal val="0"/>
            <c:showCatName val="1"/>
            <c:showSerName val="0"/>
            <c:showPercent val="0"/>
            <c:showBubbleSize val="0"/>
            <c:showLeaderLines val="0"/>
          </c:dLbls>
          <c:cat>
            <c:strRef>
              <c:f>'Graphs and tables'!$B$103:$B$110</c:f>
              <c:strCache>
                <c:ptCount val="8"/>
                <c:pt idx="0">
                  <c:v>Info, advice and education</c:v>
                </c:pt>
                <c:pt idx="1">
                  <c:v>Maintaining framework</c:v>
                </c:pt>
                <c:pt idx="2">
                  <c:v>Licensing</c:v>
                </c:pt>
                <c:pt idx="3">
                  <c:v>Audits and investigations</c:v>
                </c:pt>
                <c:pt idx="4">
                  <c:v>Sanctions &amp; prosecutions</c:v>
                </c:pt>
                <c:pt idx="5">
                  <c:v>Gambling Commission</c:v>
                </c:pt>
                <c:pt idx="6">
                  <c:v>Electronic monitoring</c:v>
                </c:pt>
                <c:pt idx="7">
                  <c:v>Other</c:v>
                </c:pt>
              </c:strCache>
            </c:strRef>
          </c:cat>
          <c:val>
            <c:numRef>
              <c:f>'Graphs and tables'!$C$103:$C$110</c:f>
              <c:numCache>
                <c:formatCode>General</c:formatCode>
                <c:ptCount val="8"/>
                <c:pt idx="0">
                  <c:v>1.6199999999999999</c:v>
                </c:pt>
                <c:pt idx="1">
                  <c:v>2.17</c:v>
                </c:pt>
                <c:pt idx="2">
                  <c:v>2.57</c:v>
                </c:pt>
                <c:pt idx="3">
                  <c:v>4.7500000000000009</c:v>
                </c:pt>
                <c:pt idx="4">
                  <c:v>0.96000000000000008</c:v>
                </c:pt>
                <c:pt idx="5">
                  <c:v>1.54</c:v>
                </c:pt>
                <c:pt idx="6">
                  <c:v>7.59</c:v>
                </c:pt>
                <c:pt idx="7">
                  <c:v>0.43000000000000005</c:v>
                </c:pt>
              </c:numCache>
            </c:numRef>
          </c:val>
        </c:ser>
        <c:dLbls>
          <c:showLegendKey val="0"/>
          <c:showVal val="0"/>
          <c:showCatName val="1"/>
          <c:showSerName val="0"/>
          <c:showPercent val="0"/>
          <c:showBubbleSize val="0"/>
          <c:showLeaderLines val="0"/>
        </c:dLbls>
        <c:firstSliceAng val="98"/>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Sheet1!$C$4</c:f>
              <c:strCache>
                <c:ptCount val="1"/>
                <c:pt idx="0">
                  <c:v>Revenue</c:v>
                </c:pt>
              </c:strCache>
            </c:strRef>
          </c:tx>
          <c:marker>
            <c:symbol val="none"/>
          </c:marker>
          <c:cat>
            <c:strRef>
              <c:f>Sheet1!$D$3:$L$3</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Sheet1!$D$4:$L$4</c:f>
              <c:numCache>
                <c:formatCode>#,##0.000</c:formatCode>
                <c:ptCount val="9"/>
                <c:pt idx="0">
                  <c:v>22.821999999999999</c:v>
                </c:pt>
                <c:pt idx="1">
                  <c:v>22.704999999999998</c:v>
                </c:pt>
                <c:pt idx="2">
                  <c:v>21.783999999999999</c:v>
                </c:pt>
                <c:pt idx="3">
                  <c:v>20.376000000000001</c:v>
                </c:pt>
                <c:pt idx="4">
                  <c:v>22.879000000000001</c:v>
                </c:pt>
                <c:pt idx="5">
                  <c:v>19.905000000000001</c:v>
                </c:pt>
                <c:pt idx="6">
                  <c:v>18.994</c:v>
                </c:pt>
                <c:pt idx="7">
                  <c:v>18.619</c:v>
                </c:pt>
                <c:pt idx="8">
                  <c:v>18.244</c:v>
                </c:pt>
              </c:numCache>
            </c:numRef>
          </c:val>
          <c:smooth val="0"/>
        </c:ser>
        <c:ser>
          <c:idx val="1"/>
          <c:order val="1"/>
          <c:tx>
            <c:strRef>
              <c:f>Sheet1!$C$5</c:f>
              <c:strCache>
                <c:ptCount val="1"/>
                <c:pt idx="0">
                  <c:v>Costs</c:v>
                </c:pt>
              </c:strCache>
            </c:strRef>
          </c:tx>
          <c:marker>
            <c:symbol val="none"/>
          </c:marker>
          <c:cat>
            <c:strRef>
              <c:f>Sheet1!$D$3:$L$3</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Sheet1!$D$5:$L$5</c:f>
              <c:numCache>
                <c:formatCode>#,##0.000</c:formatCode>
                <c:ptCount val="9"/>
                <c:pt idx="0">
                  <c:v>21.263000000000002</c:v>
                </c:pt>
                <c:pt idx="1">
                  <c:v>22</c:v>
                </c:pt>
                <c:pt idx="2">
                  <c:v>21.026</c:v>
                </c:pt>
                <c:pt idx="3">
                  <c:v>21.776</c:v>
                </c:pt>
                <c:pt idx="4">
                  <c:v>22.64</c:v>
                </c:pt>
                <c:pt idx="5">
                  <c:v>22.359000000000002</c:v>
                </c:pt>
                <c:pt idx="6">
                  <c:v>22.835000000000001</c:v>
                </c:pt>
                <c:pt idx="7">
                  <c:v>23.62</c:v>
                </c:pt>
                <c:pt idx="8">
                  <c:v>24.12</c:v>
                </c:pt>
              </c:numCache>
            </c:numRef>
          </c:val>
          <c:smooth val="0"/>
        </c:ser>
        <c:dLbls>
          <c:showLegendKey val="0"/>
          <c:showVal val="0"/>
          <c:showCatName val="0"/>
          <c:showSerName val="0"/>
          <c:showPercent val="0"/>
          <c:showBubbleSize val="0"/>
        </c:dLbls>
        <c:marker val="1"/>
        <c:smooth val="0"/>
        <c:axId val="74359936"/>
        <c:axId val="74361472"/>
      </c:lineChart>
      <c:catAx>
        <c:axId val="74359936"/>
        <c:scaling>
          <c:orientation val="minMax"/>
        </c:scaling>
        <c:delete val="0"/>
        <c:axPos val="b"/>
        <c:majorTickMark val="out"/>
        <c:minorTickMark val="none"/>
        <c:tickLblPos val="nextTo"/>
        <c:crossAx val="74361472"/>
        <c:crosses val="autoZero"/>
        <c:auto val="1"/>
        <c:lblAlgn val="ctr"/>
        <c:lblOffset val="100"/>
        <c:tickLblSkip val="2"/>
        <c:tickMarkSkip val="1"/>
        <c:noMultiLvlLbl val="0"/>
      </c:catAx>
      <c:valAx>
        <c:axId val="74361472"/>
        <c:scaling>
          <c:orientation val="minMax"/>
          <c:min val="0"/>
        </c:scaling>
        <c:delete val="0"/>
        <c:axPos val="l"/>
        <c:majorGridlines/>
        <c:numFmt formatCode="#,##0.000" sourceLinked="1"/>
        <c:majorTickMark val="out"/>
        <c:minorTickMark val="none"/>
        <c:tickLblPos val="nextTo"/>
        <c:crossAx val="7435993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F577-AA50-4A2D-A870-22DD443C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B691947F</Template>
  <TotalTime>1</TotalTime>
  <Pages>24</Pages>
  <Words>6505</Words>
  <Characters>36629</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Naganathan</dc:creator>
  <dc:description>Released 1 February 2011</dc:description>
  <cp:lastModifiedBy>Nicola Taylor</cp:lastModifiedBy>
  <cp:revision>2</cp:revision>
  <cp:lastPrinted>2015-03-04T21:27:00Z</cp:lastPrinted>
  <dcterms:created xsi:type="dcterms:W3CDTF">2015-03-04T22:22:00Z</dcterms:created>
  <dcterms:modified xsi:type="dcterms:W3CDTF">2015-03-04T22:22:00Z</dcterms:modified>
</cp:coreProperties>
</file>