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9DE2FB" w14:textId="77777777" w:rsidR="00A36309" w:rsidRDefault="00A36309" w:rsidP="00A36309">
      <w:bookmarkStart w:id="0" w:name="_GoBack"/>
      <w:bookmarkEnd w:id="0"/>
    </w:p>
    <w:tbl>
      <w:tblPr>
        <w:tblStyle w:val="Blanktable"/>
        <w:tblW w:w="0" w:type="auto"/>
        <w:tblLook w:val="04A0" w:firstRow="1" w:lastRow="0" w:firstColumn="1" w:lastColumn="0" w:noHBand="0" w:noVBand="1"/>
        <w:tblDescription w:val="This table is for layout only."/>
      </w:tblPr>
      <w:tblGrid>
        <w:gridCol w:w="8819"/>
      </w:tblGrid>
      <w:tr w:rsidR="00353D72" w14:paraId="7F9DE2FF" w14:textId="77777777" w:rsidTr="00C4059A">
        <w:trPr>
          <w:trHeight w:hRule="exact" w:val="5897"/>
        </w:trPr>
        <w:tc>
          <w:tcPr>
            <w:tcW w:w="8819" w:type="dxa"/>
            <w:vAlign w:val="bottom"/>
          </w:tcPr>
          <w:p w14:paraId="365D9155" w14:textId="5A85AAB6" w:rsidR="003A1585" w:rsidRDefault="00BB74BA" w:rsidP="00711BCA">
            <w:pPr>
              <w:pStyle w:val="Title"/>
              <w:jc w:val="left"/>
            </w:pPr>
            <w:r>
              <w:t>201</w:t>
            </w:r>
            <w:r w:rsidR="002F56B1">
              <w:t>7</w:t>
            </w:r>
            <w:r>
              <w:t xml:space="preserve"> </w:t>
            </w:r>
            <w:r w:rsidR="00711BCA">
              <w:t xml:space="preserve">Gambling Sector </w:t>
            </w:r>
          </w:p>
          <w:p w14:paraId="7F9DE2FC" w14:textId="30029520" w:rsidR="00A36309" w:rsidRDefault="003A1585" w:rsidP="00711BCA">
            <w:pPr>
              <w:pStyle w:val="Title"/>
              <w:jc w:val="left"/>
            </w:pPr>
            <w:r>
              <w:t>Survey</w:t>
            </w:r>
            <w:r w:rsidR="00BB74BA">
              <w:t xml:space="preserve"> </w:t>
            </w:r>
          </w:p>
          <w:p w14:paraId="7F9DE2FD" w14:textId="77777777" w:rsidR="00773F2E" w:rsidRPr="0013424E" w:rsidRDefault="00CE4465" w:rsidP="00773F2E">
            <w:pPr>
              <w:pStyle w:val="Title2"/>
            </w:pPr>
            <w:r>
              <w:t>Summary of findings</w:t>
            </w:r>
            <w:r w:rsidR="00143173">
              <w:t xml:space="preserve"> </w:t>
            </w:r>
          </w:p>
          <w:p w14:paraId="7F9DE2FE" w14:textId="77777777" w:rsidR="006B0386" w:rsidRDefault="006B0386" w:rsidP="006B0386">
            <w:pPr>
              <w:pStyle w:val="Title2"/>
            </w:pPr>
          </w:p>
        </w:tc>
      </w:tr>
      <w:tr w:rsidR="00353D72" w14:paraId="7F9DE301" w14:textId="77777777" w:rsidTr="00C4059A">
        <w:trPr>
          <w:trHeight w:val="7258"/>
        </w:trPr>
        <w:tc>
          <w:tcPr>
            <w:tcW w:w="8819" w:type="dxa"/>
            <w:vAlign w:val="bottom"/>
          </w:tcPr>
          <w:p w14:paraId="7F9DE300" w14:textId="2967818A" w:rsidR="00A36309" w:rsidRDefault="009031B2" w:rsidP="009031B2">
            <w:pPr>
              <w:pStyle w:val="Coverimage"/>
            </w:pPr>
            <w:r>
              <w:rPr>
                <w:noProof/>
                <w:lang w:eastAsia="en-NZ"/>
              </w:rPr>
              <w:drawing>
                <wp:inline distT="0" distB="0" distL="0" distR="0" wp14:anchorId="7F9DE538" wp14:editId="02E14F9F">
                  <wp:extent cx="2019623" cy="3398807"/>
                  <wp:effectExtent l="0" t="0" r="0" b="0"/>
                  <wp:docPr id="23" name="Picture 23" descr="\\wlgprdfile02.dia.govt.nz\shared$\diatemplates\Templates\Images\Cover image - DIA purpos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lgprdfile02.dia.govt.nz\shared$\diatemplates\Templates\Images\Cover image - DIA purpose.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19966" cy="3399385"/>
                          </a:xfrm>
                          <a:prstGeom prst="rect">
                            <a:avLst/>
                          </a:prstGeom>
                          <a:noFill/>
                          <a:ln>
                            <a:noFill/>
                          </a:ln>
                        </pic:spPr>
                      </pic:pic>
                    </a:graphicData>
                  </a:graphic>
                </wp:inline>
              </w:drawing>
            </w:r>
          </w:p>
        </w:tc>
      </w:tr>
    </w:tbl>
    <w:p w14:paraId="7F9DE302" w14:textId="77777777" w:rsidR="00B62134" w:rsidRPr="00B62134" w:rsidRDefault="00B62134" w:rsidP="00B62134"/>
    <w:p w14:paraId="7F9DE303" w14:textId="77777777" w:rsidR="00B62134" w:rsidRDefault="00B62134" w:rsidP="00B62134">
      <w:pPr>
        <w:sectPr w:rsidR="00B62134" w:rsidSect="00B456E6">
          <w:headerReference w:type="default" r:id="rId14"/>
          <w:footerReference w:type="default" r:id="rId15"/>
          <w:footerReference w:type="first" r:id="rId16"/>
          <w:pgSz w:w="11907" w:h="16840" w:code="9"/>
          <w:pgMar w:top="1134" w:right="1418" w:bottom="992" w:left="1418" w:header="425" w:footer="397" w:gutter="0"/>
          <w:cols w:space="708"/>
          <w:docGrid w:linePitch="360"/>
        </w:sectPr>
      </w:pPr>
    </w:p>
    <w:p w14:paraId="1489B7D7" w14:textId="7B2A2364" w:rsidR="002C1968" w:rsidRDefault="00A163EE" w:rsidP="007A317E">
      <w:pPr>
        <w:pStyle w:val="NotforContentsheading1"/>
      </w:pPr>
      <w:r w:rsidRPr="007679CB">
        <w:lastRenderedPageBreak/>
        <w:t>Foreword</w:t>
      </w:r>
      <w:r w:rsidR="002C1968" w:rsidRPr="002C1968">
        <w:rPr>
          <w:highlight w:val="yellow"/>
        </w:rPr>
        <w:t xml:space="preserve"> </w:t>
      </w:r>
    </w:p>
    <w:p w14:paraId="7395C215" w14:textId="3F24B208" w:rsidR="00376A5B" w:rsidRPr="007679CB" w:rsidRDefault="00EE27FC" w:rsidP="00376A5B">
      <w:pPr>
        <w:pStyle w:val="BodyA"/>
        <w:jc w:val="both"/>
      </w:pPr>
      <w:r>
        <w:t>The</w:t>
      </w:r>
      <w:r w:rsidR="00376A5B" w:rsidRPr="007679CB">
        <w:t xml:space="preserve"> annual survey of stakeholders in the </w:t>
      </w:r>
      <w:r w:rsidR="009B5CD5">
        <w:t>c</w:t>
      </w:r>
      <w:r w:rsidR="009B5CD5" w:rsidRPr="007679CB">
        <w:t>las</w:t>
      </w:r>
      <w:r w:rsidR="009B5CD5">
        <w:t xml:space="preserve">s </w:t>
      </w:r>
      <w:r w:rsidR="00376A5B">
        <w:t>4 sector is a valuable tool for the Department to</w:t>
      </w:r>
      <w:r w:rsidR="00376A5B" w:rsidRPr="007679CB">
        <w:t xml:space="preserve"> measure how our strategic direction and work as the gambling regulator is perceived.</w:t>
      </w:r>
    </w:p>
    <w:p w14:paraId="54E4AED1" w14:textId="3B595598" w:rsidR="00F71A87" w:rsidRDefault="00EE27FC" w:rsidP="00376A5B">
      <w:r>
        <w:t>This year’s survey results are similar to the</w:t>
      </w:r>
      <w:r w:rsidR="00E12513">
        <w:t xml:space="preserve"> 2016 stakeholder survey in many</w:t>
      </w:r>
      <w:r>
        <w:t xml:space="preserve"> </w:t>
      </w:r>
      <w:r w:rsidR="00E12513">
        <w:t>areas, which demonstrates that improvements that the Department has made in our approach as the regulator of the gambling sector</w:t>
      </w:r>
      <w:r>
        <w:t xml:space="preserve"> continue to be maintained.</w:t>
      </w:r>
    </w:p>
    <w:p w14:paraId="0ACE23B2" w14:textId="1A393638" w:rsidR="001D7D92" w:rsidRPr="001D7D92" w:rsidRDefault="00FC340C" w:rsidP="00376A5B">
      <w:r>
        <w:t xml:space="preserve">These maintained improvements are especially important as we continue </w:t>
      </w:r>
      <w:r w:rsidR="00830E9A">
        <w:t xml:space="preserve">to </w:t>
      </w:r>
      <w:r w:rsidR="003C552E">
        <w:t>focus on</w:t>
      </w:r>
      <w:r w:rsidRPr="001D7D92">
        <w:t xml:space="preserve"> how we collaborate with stakeholders</w:t>
      </w:r>
      <w:r w:rsidR="006549CB">
        <w:t xml:space="preserve"> to ensure we develop an understanding of their needs and challenges as we work towards mutual objectives.</w:t>
      </w:r>
    </w:p>
    <w:p w14:paraId="1A525FA1" w14:textId="0A76C785" w:rsidR="00FC340C" w:rsidRPr="001D7D92" w:rsidRDefault="001D7D92" w:rsidP="00376A5B">
      <w:r w:rsidRPr="001D7D92">
        <w:t xml:space="preserve">These changes include initiatives such as </w:t>
      </w:r>
      <w:r w:rsidR="00697953">
        <w:t>three year</w:t>
      </w:r>
      <w:r w:rsidR="00FC340C" w:rsidRPr="001D7D92">
        <w:t xml:space="preserve"> licensing, </w:t>
      </w:r>
      <w:r w:rsidRPr="001D7D92">
        <w:t xml:space="preserve">the </w:t>
      </w:r>
      <w:r w:rsidR="00FC340C" w:rsidRPr="001D7D92">
        <w:t>n</w:t>
      </w:r>
      <w:r w:rsidRPr="001D7D92">
        <w:t>ew venue assessment framework,</w:t>
      </w:r>
      <w:r w:rsidR="00FC340C" w:rsidRPr="001D7D92">
        <w:t xml:space="preserve"> </w:t>
      </w:r>
      <w:r w:rsidRPr="001D7D92">
        <w:t xml:space="preserve">introduction of </w:t>
      </w:r>
      <w:r w:rsidR="00FC340C" w:rsidRPr="001D7D92">
        <w:t>online form</w:t>
      </w:r>
      <w:r w:rsidRPr="001D7D92">
        <w:t>s</w:t>
      </w:r>
      <w:r w:rsidR="00FC340C" w:rsidRPr="001D7D92">
        <w:t xml:space="preserve"> and payment</w:t>
      </w:r>
      <w:r w:rsidRPr="001D7D92">
        <w:t>s</w:t>
      </w:r>
      <w:r w:rsidR="00FC340C" w:rsidRPr="001D7D92">
        <w:t>,</w:t>
      </w:r>
      <w:r w:rsidRPr="001D7D92">
        <w:t xml:space="preserve"> and the G</w:t>
      </w:r>
      <w:r w:rsidR="00FC340C" w:rsidRPr="001D7D92">
        <w:t xml:space="preserve">amble </w:t>
      </w:r>
      <w:r w:rsidRPr="001D7D92">
        <w:t>H</w:t>
      </w:r>
      <w:r w:rsidR="00FC340C" w:rsidRPr="001D7D92">
        <w:t>ost</w:t>
      </w:r>
      <w:r w:rsidRPr="001D7D92">
        <w:t xml:space="preserve"> initiative.</w:t>
      </w:r>
    </w:p>
    <w:p w14:paraId="324277E4" w14:textId="68F3DBF3" w:rsidR="00FC340C" w:rsidRPr="00FC340C" w:rsidRDefault="00FC340C" w:rsidP="00FC340C">
      <w:pPr>
        <w:pStyle w:val="Heading3"/>
      </w:pPr>
      <w:bookmarkStart w:id="1" w:name="_Toc505862300"/>
      <w:bookmarkStart w:id="2" w:name="_Toc505862344"/>
      <w:bookmarkStart w:id="3" w:name="_Toc505862412"/>
      <w:r>
        <w:t>Communication of information</w:t>
      </w:r>
      <w:bookmarkEnd w:id="1"/>
      <w:bookmarkEnd w:id="2"/>
      <w:bookmarkEnd w:id="3"/>
    </w:p>
    <w:p w14:paraId="66919DDA" w14:textId="25D41FEA" w:rsidR="00830E9A" w:rsidRDefault="00FC340C" w:rsidP="00FC340C">
      <w:r>
        <w:t xml:space="preserve">In </w:t>
      </w:r>
      <w:r w:rsidR="004054B9">
        <w:t>the 2017 survey</w:t>
      </w:r>
      <w:r>
        <w:t xml:space="preserve"> we introduced a new set of questions relating to information on the Department’s website</w:t>
      </w:r>
      <w:r w:rsidR="001D7D92">
        <w:t>,</w:t>
      </w:r>
      <w:r w:rsidR="004054B9">
        <w:t xml:space="preserve"> to assist with refreshing the website</w:t>
      </w:r>
      <w:r w:rsidR="00830E9A">
        <w:t xml:space="preserve"> in the future</w:t>
      </w:r>
      <w:r>
        <w:t>.</w:t>
      </w:r>
    </w:p>
    <w:p w14:paraId="464ABB63" w14:textId="1C2A8E29" w:rsidR="00FC340C" w:rsidRDefault="00830E9A" w:rsidP="00FC340C">
      <w:r w:rsidRPr="00376A5B">
        <w:t>Overall the website is well used</w:t>
      </w:r>
      <w:r>
        <w:t xml:space="preserve"> by the sector</w:t>
      </w:r>
      <w:r w:rsidR="001D7D92">
        <w:t xml:space="preserve"> and we received a lot of positive feedback</w:t>
      </w:r>
      <w:r>
        <w:t>. However, we recognise that there are improvements that we can make in terms of</w:t>
      </w:r>
      <w:r w:rsidR="001D7D92">
        <w:t xml:space="preserve"> the website layout and</w:t>
      </w:r>
      <w:r>
        <w:t xml:space="preserve"> how information is presented</w:t>
      </w:r>
      <w:r w:rsidR="00335543">
        <w:t xml:space="preserve"> and look forward to working more with our stakeholders to understand how our website can better meet their needs.</w:t>
      </w:r>
    </w:p>
    <w:p w14:paraId="4127BF0D" w14:textId="3803EC47" w:rsidR="00196EFB" w:rsidRDefault="00830E9A" w:rsidP="00830E9A">
      <w:r>
        <w:t xml:space="preserve">There was </w:t>
      </w:r>
      <w:r w:rsidR="001D7D92">
        <w:t xml:space="preserve">also </w:t>
      </w:r>
      <w:r>
        <w:t>an increase in positive responses about the Department’s communication of information – stakeholders generally</w:t>
      </w:r>
      <w:r w:rsidR="00196EFB" w:rsidRPr="00376A5B">
        <w:t xml:space="preserve"> find it easy to obtain information from us, and believe that the information they receive is of good quality and provided in a timely manner. </w:t>
      </w:r>
    </w:p>
    <w:p w14:paraId="72523D94" w14:textId="0E710E39" w:rsidR="00830E9A" w:rsidRDefault="00335543" w:rsidP="00196EFB">
      <w:r>
        <w:t>The results from this survey did show a decrease in the number of stakeholders who perceived our sector forums as useful. This may be that this is due to the longer length of time since we last held these forums</w:t>
      </w:r>
      <w:r w:rsidR="00F41B0B">
        <w:t>, given that we have</w:t>
      </w:r>
      <w:r w:rsidR="00AB10E5">
        <w:t xml:space="preserve"> </w:t>
      </w:r>
      <w:r w:rsidR="00F41B0B">
        <w:t>undertaken increased sector collaboration on sector initiatives, such as Mystery Shopper</w:t>
      </w:r>
      <w:r>
        <w:t xml:space="preserve">. </w:t>
      </w:r>
      <w:r w:rsidR="00F41B0B">
        <w:t>We had a recent round of forums in March</w:t>
      </w:r>
      <w:r w:rsidR="006C459C">
        <w:t xml:space="preserve"> 2018</w:t>
      </w:r>
      <w:r w:rsidR="00F41B0B">
        <w:t xml:space="preserve"> and also held a successful series of regional workshops</w:t>
      </w:r>
      <w:r w:rsidR="0006192C">
        <w:t>. We</w:t>
      </w:r>
      <w:r w:rsidR="00F41B0B">
        <w:t xml:space="preserve"> are </w:t>
      </w:r>
      <w:r>
        <w:t xml:space="preserve">keen to </w:t>
      </w:r>
      <w:r w:rsidR="00141FC2">
        <w:t xml:space="preserve">continuing to </w:t>
      </w:r>
      <w:r>
        <w:t xml:space="preserve">work with our stakeholders to better understand how we can improve </w:t>
      </w:r>
      <w:r w:rsidR="00F41B0B">
        <w:t>the value of these types of engagements</w:t>
      </w:r>
      <w:r>
        <w:t>.</w:t>
      </w:r>
    </w:p>
    <w:p w14:paraId="3EECFFF6" w14:textId="3AFE3BD9" w:rsidR="00EE27FC" w:rsidRDefault="00EE27FC" w:rsidP="00EE27FC">
      <w:pPr>
        <w:pStyle w:val="Heading3"/>
      </w:pPr>
      <w:bookmarkStart w:id="4" w:name="_Toc505862301"/>
      <w:bookmarkStart w:id="5" w:name="_Toc505862345"/>
      <w:bookmarkStart w:id="6" w:name="_Toc505862413"/>
      <w:r>
        <w:lastRenderedPageBreak/>
        <w:t>Class 4 vision and objectives</w:t>
      </w:r>
      <w:bookmarkEnd w:id="4"/>
      <w:bookmarkEnd w:id="5"/>
      <w:bookmarkEnd w:id="6"/>
    </w:p>
    <w:p w14:paraId="3F98AF5C" w14:textId="14353250" w:rsidR="00EE27FC" w:rsidRPr="00EE27FC" w:rsidRDefault="00EE27FC" w:rsidP="00EE27FC">
      <w:r w:rsidRPr="00F23407">
        <w:rPr>
          <w:noProof/>
          <w:lang w:eastAsia="en-NZ"/>
        </w:rPr>
        <w:drawing>
          <wp:inline distT="0" distB="0" distL="0" distR="0" wp14:anchorId="10B41B6D" wp14:editId="40A76654">
            <wp:extent cx="2381124" cy="2990850"/>
            <wp:effectExtent l="0" t="0" r="63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sion poster.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389275" cy="3001089"/>
                    </a:xfrm>
                    <a:prstGeom prst="rect">
                      <a:avLst/>
                    </a:prstGeom>
                  </pic:spPr>
                </pic:pic>
              </a:graphicData>
            </a:graphic>
          </wp:inline>
        </w:drawing>
      </w:r>
      <w:r w:rsidRPr="00EE27FC">
        <w:rPr>
          <w:noProof/>
        </w:rPr>
        <w:t xml:space="preserve"> </w:t>
      </w:r>
      <w:r>
        <w:rPr>
          <w:noProof/>
        </w:rPr>
        <w:tab/>
      </w:r>
      <w:r>
        <w:rPr>
          <w:noProof/>
          <w:lang w:eastAsia="en-NZ"/>
        </w:rPr>
        <w:drawing>
          <wp:inline distT="0" distB="0" distL="0" distR="0" wp14:anchorId="54ABC910" wp14:editId="6AF20FDE">
            <wp:extent cx="2390775" cy="2988468"/>
            <wp:effectExtent l="0" t="0" r="0"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2407521" cy="3009400"/>
                    </a:xfrm>
                    <a:prstGeom prst="rect">
                      <a:avLst/>
                    </a:prstGeom>
                  </pic:spPr>
                </pic:pic>
              </a:graphicData>
            </a:graphic>
          </wp:inline>
        </w:drawing>
      </w:r>
    </w:p>
    <w:p w14:paraId="05CF7478" w14:textId="29A3DCB5" w:rsidR="00EE27FC" w:rsidRDefault="00EE27FC" w:rsidP="00EE27FC">
      <w:pPr>
        <w:pStyle w:val="BodyA"/>
        <w:jc w:val="both"/>
      </w:pPr>
      <w:r>
        <w:t xml:space="preserve">In 2017 we </w:t>
      </w:r>
      <w:r w:rsidR="00FC340C">
        <w:t>again assessed how s</w:t>
      </w:r>
      <w:r w:rsidRPr="007679CB">
        <w:t>takeholders view our approach to regulation using the</w:t>
      </w:r>
      <w:r>
        <w:t xml:space="preserve"> </w:t>
      </w:r>
      <w:r w:rsidR="007A4A1A">
        <w:t>c</w:t>
      </w:r>
      <w:r>
        <w:t>lass 4</w:t>
      </w:r>
      <w:r w:rsidRPr="007679CB">
        <w:t xml:space="preserve"> vision and objectives</w:t>
      </w:r>
      <w:r>
        <w:t>.</w:t>
      </w:r>
      <w:r w:rsidR="00FC340C">
        <w:t xml:space="preserve"> To do this we used questions that were introduced to the survey in 2016, allowing us to test our progress.</w:t>
      </w:r>
    </w:p>
    <w:p w14:paraId="3F894196" w14:textId="33FFB47F" w:rsidR="00EE27FC" w:rsidRDefault="00FC340C" w:rsidP="00FC340C">
      <w:pPr>
        <w:pStyle w:val="BodyA"/>
        <w:jc w:val="both"/>
      </w:pPr>
      <w:r>
        <w:t>In response to survey questions around our vision, there were</w:t>
      </w:r>
      <w:r w:rsidR="00EE27FC" w:rsidRPr="00376A5B">
        <w:t xml:space="preserve"> increased levels of agreement</w:t>
      </w:r>
      <w:r>
        <w:t xml:space="preserve"> from the sector from 2016</w:t>
      </w:r>
      <w:r w:rsidR="00EE27FC" w:rsidRPr="00FC340C">
        <w:t>, with the most positive responses relating to the sector working constructivel</w:t>
      </w:r>
      <w:r w:rsidRPr="00FC340C">
        <w:t>y with us to achieve compliance</w:t>
      </w:r>
      <w:r>
        <w:t xml:space="preserve">. This reflects the progress we have made to change our approach to engaging with stakeholders so </w:t>
      </w:r>
      <w:r w:rsidR="00665919">
        <w:t>that we</w:t>
      </w:r>
      <w:r>
        <w:t xml:space="preserve"> collaborate effectively in order to make smarter decisions. </w:t>
      </w:r>
    </w:p>
    <w:p w14:paraId="33BC0BA6" w14:textId="18304B76" w:rsidR="00376A5B" w:rsidRDefault="00EE27FC" w:rsidP="002C1968">
      <w:r w:rsidRPr="00376A5B">
        <w:t xml:space="preserve">The objective with the highest proportion of </w:t>
      </w:r>
      <w:r w:rsidR="00F9706F">
        <w:t>“</w:t>
      </w:r>
      <w:r w:rsidRPr="00376A5B">
        <w:t>disagree</w:t>
      </w:r>
      <w:r w:rsidR="00F9706F">
        <w:t>”</w:t>
      </w:r>
      <w:r w:rsidRPr="00376A5B">
        <w:t xml:space="preserve"> or </w:t>
      </w:r>
      <w:r w:rsidR="00F9706F">
        <w:t>“</w:t>
      </w:r>
      <w:r w:rsidRPr="00376A5B">
        <w:t>strongly disagree</w:t>
      </w:r>
      <w:r w:rsidR="00F9706F">
        <w:t>”</w:t>
      </w:r>
      <w:r w:rsidRPr="00376A5B">
        <w:t xml:space="preserve"> responses was about striking the right balance between minimising gambling harm, ensuring sustainable funding for communities and sector sustainability. </w:t>
      </w:r>
      <w:r w:rsidR="006B0786">
        <w:t>T</w:t>
      </w:r>
      <w:r w:rsidR="006B0786" w:rsidRPr="00376A5B">
        <w:t xml:space="preserve">here was a positive increase in those that agreed or strongly agreed to this statement compared to last year. </w:t>
      </w:r>
      <w:r w:rsidR="006B0786">
        <w:t>However, w</w:t>
      </w:r>
      <w:r w:rsidR="00665919">
        <w:t xml:space="preserve">e acknowledge that striking the right balance in this area is a complex issue and we are keen to </w:t>
      </w:r>
      <w:r w:rsidR="00F41B0B">
        <w:t>continue to work to support improvements</w:t>
      </w:r>
      <w:r w:rsidR="00665919">
        <w:t xml:space="preserve"> in this area.</w:t>
      </w:r>
      <w:r w:rsidRPr="00376A5B">
        <w:t xml:space="preserve"> </w:t>
      </w:r>
    </w:p>
    <w:p w14:paraId="57601A53" w14:textId="04FEA3FA" w:rsidR="006B0786" w:rsidRDefault="00665919" w:rsidP="00665919">
      <w:r>
        <w:t xml:space="preserve">Our focus on </w:t>
      </w:r>
      <w:r w:rsidR="006C459C">
        <w:t xml:space="preserve">improvement </w:t>
      </w:r>
      <w:r>
        <w:t>continue</w:t>
      </w:r>
      <w:r w:rsidR="006C459C">
        <w:t>s</w:t>
      </w:r>
      <w:r>
        <w:t xml:space="preserve"> in 2018.</w:t>
      </w:r>
      <w:r w:rsidR="006C459C">
        <w:t xml:space="preserve"> We have used the feedback received in this year’s survey to prioritise projects that develop</w:t>
      </w:r>
      <w:r w:rsidR="006C459C" w:rsidRPr="39A6BD96">
        <w:t xml:space="preserve"> </w:t>
      </w:r>
      <w:r w:rsidR="006C459C">
        <w:t xml:space="preserve">engagement and collaboration with the stakeholders across the gambling system. These projects include holding a number of regional roadshows to build a culture of care in class 4 venues; thinking about external website improvements to ensure that new and existing information that we provide is easy to understand and find; using co-design </w:t>
      </w:r>
      <w:r w:rsidR="00FB2A0D">
        <w:t xml:space="preserve">approach </w:t>
      </w:r>
      <w:r w:rsidR="006C459C">
        <w:t>with venues, clubs, societies and gambling harm service providers in the beginning stages of projects such as the Mystery Shopper scenario development.</w:t>
      </w:r>
    </w:p>
    <w:p w14:paraId="30353BFE" w14:textId="75994FC9" w:rsidR="00665919" w:rsidRPr="007679CB" w:rsidRDefault="00376A5B" w:rsidP="00665919">
      <w:r>
        <w:t>I would</w:t>
      </w:r>
      <w:r w:rsidRPr="007679CB">
        <w:t xml:space="preserve"> like to thank all of you who con</w:t>
      </w:r>
      <w:r w:rsidR="00697953">
        <w:t xml:space="preserve">tinue to participate in </w:t>
      </w:r>
      <w:r w:rsidR="006A3B6C">
        <w:t xml:space="preserve">the </w:t>
      </w:r>
      <w:r w:rsidR="09683A1E">
        <w:t>ga</w:t>
      </w:r>
      <w:r w:rsidR="39A6BD96">
        <w:t>mbling system</w:t>
      </w:r>
      <w:r>
        <w:t xml:space="preserve">, with the shared objective of </w:t>
      </w:r>
      <w:r w:rsidR="39A6BD96">
        <w:t xml:space="preserve">achieving community wellbeing through </w:t>
      </w:r>
      <w:r w:rsidR="67767EA5">
        <w:t>preventing and minimising</w:t>
      </w:r>
      <w:r w:rsidR="0BB311EA">
        <w:t xml:space="preserve"> harm and facilitating community benefit</w:t>
      </w:r>
      <w:r w:rsidRPr="0C96C7FB">
        <w:t xml:space="preserve">. </w:t>
      </w:r>
      <w:r w:rsidRPr="007679CB">
        <w:t>I look forward to continuing to work with you to ensure that communit</w:t>
      </w:r>
      <w:r w:rsidR="0C96C7FB" w:rsidRPr="007679CB">
        <w:t>y is</w:t>
      </w:r>
      <w:r w:rsidRPr="007679CB">
        <w:t xml:space="preserve"> at the forefront of what we do. </w:t>
      </w:r>
    </w:p>
    <w:p w14:paraId="606F2611" w14:textId="77777777" w:rsidR="004054B9" w:rsidRDefault="004054B9" w:rsidP="002C1968"/>
    <w:p w14:paraId="209464E3" w14:textId="77777777" w:rsidR="002C1968" w:rsidRPr="001F1967" w:rsidRDefault="002C1968" w:rsidP="002C1968">
      <w:r w:rsidRPr="001F1967">
        <w:t xml:space="preserve">Gareth </w:t>
      </w:r>
    </w:p>
    <w:p w14:paraId="77EF1B86" w14:textId="77777777" w:rsidR="002C1968" w:rsidRPr="001F1967" w:rsidRDefault="002C1968" w:rsidP="002C1968">
      <w:r w:rsidRPr="001F1967">
        <w:t xml:space="preserve"> </w:t>
      </w:r>
    </w:p>
    <w:p w14:paraId="53DC7174" w14:textId="3447BB81" w:rsidR="00CE2931" w:rsidRPr="005D5A31" w:rsidRDefault="002C1968" w:rsidP="00A163EE">
      <w:r w:rsidRPr="001F1967">
        <w:t xml:space="preserve">Gareth Bostock </w:t>
      </w:r>
      <w:r w:rsidR="00665919">
        <w:br/>
      </w:r>
      <w:r w:rsidRPr="001F1967">
        <w:t>Director Gambling Compliance Group</w:t>
      </w:r>
    </w:p>
    <w:bookmarkStart w:id="7" w:name="_Toc505862414" w:displacedByCustomXml="next"/>
    <w:bookmarkStart w:id="8" w:name="_Toc505862346" w:displacedByCustomXml="next"/>
    <w:bookmarkStart w:id="9" w:name="_Toc505862302" w:displacedByCustomXml="next"/>
    <w:sdt>
      <w:sdtPr>
        <w:rPr>
          <w:rFonts w:cs="Times New Roman"/>
          <w:bCs w:val="0"/>
          <w:color w:val="1F546B"/>
          <w:kern w:val="0"/>
          <w:sz w:val="24"/>
          <w:szCs w:val="24"/>
        </w:rPr>
        <w:id w:val="-1704090733"/>
        <w:docPartObj>
          <w:docPartGallery w:val="Table of Contents"/>
          <w:docPartUnique/>
        </w:docPartObj>
      </w:sdtPr>
      <w:sdtEndPr>
        <w:rPr>
          <w:b w:val="0"/>
          <w:noProof/>
        </w:rPr>
      </w:sdtEndPr>
      <w:sdtContent>
        <w:p w14:paraId="7A2E4F13" w14:textId="77777777" w:rsidR="006A724C" w:rsidRDefault="00CE2931" w:rsidP="00CE2931">
          <w:pPr>
            <w:pStyle w:val="Heading1"/>
            <w:rPr>
              <w:noProof/>
            </w:rPr>
          </w:pPr>
          <w:r>
            <w:t>Contents</w:t>
          </w:r>
          <w:bookmarkEnd w:id="9"/>
          <w:bookmarkEnd w:id="8"/>
          <w:bookmarkEnd w:id="7"/>
          <w:r>
            <w:fldChar w:fldCharType="begin"/>
          </w:r>
          <w:r>
            <w:instrText xml:space="preserve"> TOC \o "1-3" \h \z \u </w:instrText>
          </w:r>
          <w:r>
            <w:fldChar w:fldCharType="separate"/>
          </w:r>
        </w:p>
        <w:p w14:paraId="33009BF9" w14:textId="77777777" w:rsidR="006A724C" w:rsidRDefault="00452207">
          <w:pPr>
            <w:pStyle w:val="TOC1"/>
            <w:rPr>
              <w:rFonts w:asciiTheme="minorHAnsi" w:eastAsiaTheme="minorEastAsia" w:hAnsiTheme="minorHAnsi" w:cstheme="minorBidi"/>
              <w:b w:val="0"/>
              <w:noProof/>
              <w:color w:val="auto"/>
              <w:sz w:val="22"/>
              <w:szCs w:val="22"/>
              <w:lang w:eastAsia="en-NZ"/>
            </w:rPr>
          </w:pPr>
          <w:hyperlink w:anchor="_Toc505862415" w:history="1">
            <w:r w:rsidR="006A724C" w:rsidRPr="00E22988">
              <w:rPr>
                <w:rStyle w:val="Hyperlink"/>
                <w:noProof/>
              </w:rPr>
              <w:t>Executive summary</w:t>
            </w:r>
            <w:r w:rsidR="006A724C">
              <w:rPr>
                <w:noProof/>
                <w:webHidden/>
              </w:rPr>
              <w:tab/>
            </w:r>
            <w:r w:rsidR="006A724C">
              <w:rPr>
                <w:noProof/>
                <w:webHidden/>
              </w:rPr>
              <w:fldChar w:fldCharType="begin"/>
            </w:r>
            <w:r w:rsidR="006A724C">
              <w:rPr>
                <w:noProof/>
                <w:webHidden/>
              </w:rPr>
              <w:instrText xml:space="preserve"> PAGEREF _Toc505862415 \h </w:instrText>
            </w:r>
            <w:r w:rsidR="006A724C">
              <w:rPr>
                <w:noProof/>
                <w:webHidden/>
              </w:rPr>
            </w:r>
            <w:r w:rsidR="006A724C">
              <w:rPr>
                <w:noProof/>
                <w:webHidden/>
              </w:rPr>
              <w:fldChar w:fldCharType="separate"/>
            </w:r>
            <w:r w:rsidR="00D006AC">
              <w:rPr>
                <w:noProof/>
                <w:webHidden/>
              </w:rPr>
              <w:t>1</w:t>
            </w:r>
            <w:r w:rsidR="006A724C">
              <w:rPr>
                <w:noProof/>
                <w:webHidden/>
              </w:rPr>
              <w:fldChar w:fldCharType="end"/>
            </w:r>
          </w:hyperlink>
        </w:p>
        <w:p w14:paraId="0A1DA845" w14:textId="77777777" w:rsidR="006A724C" w:rsidRDefault="00452207">
          <w:pPr>
            <w:pStyle w:val="TOC1"/>
            <w:rPr>
              <w:rFonts w:asciiTheme="minorHAnsi" w:eastAsiaTheme="minorEastAsia" w:hAnsiTheme="minorHAnsi" w:cstheme="minorBidi"/>
              <w:b w:val="0"/>
              <w:noProof/>
              <w:color w:val="auto"/>
              <w:sz w:val="22"/>
              <w:szCs w:val="22"/>
              <w:lang w:eastAsia="en-NZ"/>
            </w:rPr>
          </w:pPr>
          <w:hyperlink w:anchor="_Toc505862420" w:history="1">
            <w:r w:rsidR="006A724C" w:rsidRPr="00E22988">
              <w:rPr>
                <w:rStyle w:val="Hyperlink"/>
                <w:noProof/>
              </w:rPr>
              <w:t>Our survey approach</w:t>
            </w:r>
            <w:r w:rsidR="006A724C">
              <w:rPr>
                <w:noProof/>
                <w:webHidden/>
              </w:rPr>
              <w:tab/>
            </w:r>
            <w:r w:rsidR="006A724C">
              <w:rPr>
                <w:noProof/>
                <w:webHidden/>
              </w:rPr>
              <w:fldChar w:fldCharType="begin"/>
            </w:r>
            <w:r w:rsidR="006A724C">
              <w:rPr>
                <w:noProof/>
                <w:webHidden/>
              </w:rPr>
              <w:instrText xml:space="preserve"> PAGEREF _Toc505862420 \h </w:instrText>
            </w:r>
            <w:r w:rsidR="006A724C">
              <w:rPr>
                <w:noProof/>
                <w:webHidden/>
              </w:rPr>
            </w:r>
            <w:r w:rsidR="006A724C">
              <w:rPr>
                <w:noProof/>
                <w:webHidden/>
              </w:rPr>
              <w:fldChar w:fldCharType="separate"/>
            </w:r>
            <w:r w:rsidR="00D006AC">
              <w:rPr>
                <w:noProof/>
                <w:webHidden/>
              </w:rPr>
              <w:t>3</w:t>
            </w:r>
            <w:r w:rsidR="006A724C">
              <w:rPr>
                <w:noProof/>
                <w:webHidden/>
              </w:rPr>
              <w:fldChar w:fldCharType="end"/>
            </w:r>
          </w:hyperlink>
        </w:p>
        <w:p w14:paraId="6CFE81B4" w14:textId="77777777" w:rsidR="006A724C" w:rsidRDefault="00452207">
          <w:pPr>
            <w:pStyle w:val="TOC1"/>
            <w:rPr>
              <w:rFonts w:asciiTheme="minorHAnsi" w:eastAsiaTheme="minorEastAsia" w:hAnsiTheme="minorHAnsi" w:cstheme="minorBidi"/>
              <w:b w:val="0"/>
              <w:noProof/>
              <w:color w:val="auto"/>
              <w:sz w:val="22"/>
              <w:szCs w:val="22"/>
              <w:lang w:eastAsia="en-NZ"/>
            </w:rPr>
          </w:pPr>
          <w:hyperlink w:anchor="_Toc505862428" w:history="1">
            <w:r w:rsidR="006A724C" w:rsidRPr="00E22988">
              <w:rPr>
                <w:rStyle w:val="Hyperlink"/>
                <w:noProof/>
              </w:rPr>
              <w:t>Survey results summary</w:t>
            </w:r>
            <w:r w:rsidR="006A724C">
              <w:rPr>
                <w:noProof/>
                <w:webHidden/>
              </w:rPr>
              <w:tab/>
            </w:r>
            <w:r w:rsidR="006A724C">
              <w:rPr>
                <w:noProof/>
                <w:webHidden/>
              </w:rPr>
              <w:fldChar w:fldCharType="begin"/>
            </w:r>
            <w:r w:rsidR="006A724C">
              <w:rPr>
                <w:noProof/>
                <w:webHidden/>
              </w:rPr>
              <w:instrText xml:space="preserve"> PAGEREF _Toc505862428 \h </w:instrText>
            </w:r>
            <w:r w:rsidR="006A724C">
              <w:rPr>
                <w:noProof/>
                <w:webHidden/>
              </w:rPr>
            </w:r>
            <w:r w:rsidR="006A724C">
              <w:rPr>
                <w:noProof/>
                <w:webHidden/>
              </w:rPr>
              <w:fldChar w:fldCharType="separate"/>
            </w:r>
            <w:r w:rsidR="00D006AC">
              <w:rPr>
                <w:noProof/>
                <w:webHidden/>
              </w:rPr>
              <w:t>6</w:t>
            </w:r>
            <w:r w:rsidR="006A724C">
              <w:rPr>
                <w:noProof/>
                <w:webHidden/>
              </w:rPr>
              <w:fldChar w:fldCharType="end"/>
            </w:r>
          </w:hyperlink>
        </w:p>
        <w:p w14:paraId="7AC2BBFD" w14:textId="77777777" w:rsidR="006A724C" w:rsidRDefault="00452207">
          <w:pPr>
            <w:pStyle w:val="TOC2"/>
            <w:rPr>
              <w:rFonts w:asciiTheme="minorHAnsi" w:eastAsiaTheme="minorEastAsia" w:hAnsiTheme="minorHAnsi" w:cstheme="minorBidi"/>
              <w:sz w:val="22"/>
              <w:szCs w:val="22"/>
              <w:lang w:eastAsia="en-NZ"/>
            </w:rPr>
          </w:pPr>
          <w:hyperlink w:anchor="_Toc505862429" w:history="1">
            <w:r w:rsidR="006A724C" w:rsidRPr="00E22988">
              <w:rPr>
                <w:rStyle w:val="Hyperlink"/>
              </w:rPr>
              <w:t>Types of organisations</w:t>
            </w:r>
            <w:r w:rsidR="006A724C">
              <w:rPr>
                <w:webHidden/>
              </w:rPr>
              <w:tab/>
            </w:r>
            <w:r w:rsidR="006A724C">
              <w:rPr>
                <w:webHidden/>
              </w:rPr>
              <w:fldChar w:fldCharType="begin"/>
            </w:r>
            <w:r w:rsidR="006A724C">
              <w:rPr>
                <w:webHidden/>
              </w:rPr>
              <w:instrText xml:space="preserve"> PAGEREF _Toc505862429 \h </w:instrText>
            </w:r>
            <w:r w:rsidR="006A724C">
              <w:rPr>
                <w:webHidden/>
              </w:rPr>
            </w:r>
            <w:r w:rsidR="006A724C">
              <w:rPr>
                <w:webHidden/>
              </w:rPr>
              <w:fldChar w:fldCharType="separate"/>
            </w:r>
            <w:r w:rsidR="00D006AC">
              <w:rPr>
                <w:webHidden/>
              </w:rPr>
              <w:t>6</w:t>
            </w:r>
            <w:r w:rsidR="006A724C">
              <w:rPr>
                <w:webHidden/>
              </w:rPr>
              <w:fldChar w:fldCharType="end"/>
            </w:r>
          </w:hyperlink>
        </w:p>
        <w:p w14:paraId="1BB2E4CE" w14:textId="77777777" w:rsidR="006A724C" w:rsidRDefault="00452207">
          <w:pPr>
            <w:pStyle w:val="TOC2"/>
            <w:rPr>
              <w:rFonts w:asciiTheme="minorHAnsi" w:eastAsiaTheme="minorEastAsia" w:hAnsiTheme="minorHAnsi" w:cstheme="minorBidi"/>
              <w:sz w:val="22"/>
              <w:szCs w:val="22"/>
              <w:lang w:eastAsia="en-NZ"/>
            </w:rPr>
          </w:pPr>
          <w:hyperlink w:anchor="_Toc505862430" w:history="1">
            <w:r w:rsidR="006A724C" w:rsidRPr="00E22988">
              <w:rPr>
                <w:rStyle w:val="Hyperlink"/>
              </w:rPr>
              <w:t>Contacting the Department</w:t>
            </w:r>
            <w:r w:rsidR="006A724C">
              <w:rPr>
                <w:webHidden/>
              </w:rPr>
              <w:tab/>
            </w:r>
            <w:r w:rsidR="006A724C">
              <w:rPr>
                <w:webHidden/>
              </w:rPr>
              <w:fldChar w:fldCharType="begin"/>
            </w:r>
            <w:r w:rsidR="006A724C">
              <w:rPr>
                <w:webHidden/>
              </w:rPr>
              <w:instrText xml:space="preserve"> PAGEREF _Toc505862430 \h </w:instrText>
            </w:r>
            <w:r w:rsidR="006A724C">
              <w:rPr>
                <w:webHidden/>
              </w:rPr>
            </w:r>
            <w:r w:rsidR="006A724C">
              <w:rPr>
                <w:webHidden/>
              </w:rPr>
              <w:fldChar w:fldCharType="separate"/>
            </w:r>
            <w:r w:rsidR="00D006AC">
              <w:rPr>
                <w:webHidden/>
              </w:rPr>
              <w:t>7</w:t>
            </w:r>
            <w:r w:rsidR="006A724C">
              <w:rPr>
                <w:webHidden/>
              </w:rPr>
              <w:fldChar w:fldCharType="end"/>
            </w:r>
          </w:hyperlink>
        </w:p>
        <w:p w14:paraId="39006B1C" w14:textId="77777777" w:rsidR="006A724C" w:rsidRDefault="00452207">
          <w:pPr>
            <w:pStyle w:val="TOC2"/>
            <w:rPr>
              <w:rFonts w:asciiTheme="minorHAnsi" w:eastAsiaTheme="minorEastAsia" w:hAnsiTheme="minorHAnsi" w:cstheme="minorBidi"/>
              <w:sz w:val="22"/>
              <w:szCs w:val="22"/>
              <w:lang w:eastAsia="en-NZ"/>
            </w:rPr>
          </w:pPr>
          <w:hyperlink w:anchor="_Toc505862431" w:history="1">
            <w:r w:rsidR="006A724C" w:rsidRPr="00E22988">
              <w:rPr>
                <w:rStyle w:val="Hyperlink"/>
              </w:rPr>
              <w:t>Professional performance</w:t>
            </w:r>
            <w:r w:rsidR="006A724C">
              <w:rPr>
                <w:webHidden/>
              </w:rPr>
              <w:tab/>
            </w:r>
            <w:r w:rsidR="006A724C">
              <w:rPr>
                <w:webHidden/>
              </w:rPr>
              <w:fldChar w:fldCharType="begin"/>
            </w:r>
            <w:r w:rsidR="006A724C">
              <w:rPr>
                <w:webHidden/>
              </w:rPr>
              <w:instrText xml:space="preserve"> PAGEREF _Toc505862431 \h </w:instrText>
            </w:r>
            <w:r w:rsidR="006A724C">
              <w:rPr>
                <w:webHidden/>
              </w:rPr>
            </w:r>
            <w:r w:rsidR="006A724C">
              <w:rPr>
                <w:webHidden/>
              </w:rPr>
              <w:fldChar w:fldCharType="separate"/>
            </w:r>
            <w:r w:rsidR="00D006AC">
              <w:rPr>
                <w:webHidden/>
              </w:rPr>
              <w:t>9</w:t>
            </w:r>
            <w:r w:rsidR="006A724C">
              <w:rPr>
                <w:webHidden/>
              </w:rPr>
              <w:fldChar w:fldCharType="end"/>
            </w:r>
          </w:hyperlink>
        </w:p>
        <w:p w14:paraId="6019D475" w14:textId="77777777" w:rsidR="006A724C" w:rsidRDefault="00452207">
          <w:pPr>
            <w:pStyle w:val="TOC2"/>
            <w:rPr>
              <w:rFonts w:asciiTheme="minorHAnsi" w:eastAsiaTheme="minorEastAsia" w:hAnsiTheme="minorHAnsi" w:cstheme="minorBidi"/>
              <w:sz w:val="22"/>
              <w:szCs w:val="22"/>
              <w:lang w:eastAsia="en-NZ"/>
            </w:rPr>
          </w:pPr>
          <w:hyperlink w:anchor="_Toc505862432" w:history="1">
            <w:r w:rsidR="006A724C" w:rsidRPr="00E22988">
              <w:rPr>
                <w:rStyle w:val="Hyperlink"/>
              </w:rPr>
              <w:t>Providing information to the sector</w:t>
            </w:r>
            <w:r w:rsidR="006A724C">
              <w:rPr>
                <w:webHidden/>
              </w:rPr>
              <w:tab/>
            </w:r>
            <w:r w:rsidR="006A724C">
              <w:rPr>
                <w:webHidden/>
              </w:rPr>
              <w:fldChar w:fldCharType="begin"/>
            </w:r>
            <w:r w:rsidR="006A724C">
              <w:rPr>
                <w:webHidden/>
              </w:rPr>
              <w:instrText xml:space="preserve"> PAGEREF _Toc505862432 \h </w:instrText>
            </w:r>
            <w:r w:rsidR="006A724C">
              <w:rPr>
                <w:webHidden/>
              </w:rPr>
            </w:r>
            <w:r w:rsidR="006A724C">
              <w:rPr>
                <w:webHidden/>
              </w:rPr>
              <w:fldChar w:fldCharType="separate"/>
            </w:r>
            <w:r w:rsidR="00D006AC">
              <w:rPr>
                <w:webHidden/>
              </w:rPr>
              <w:t>11</w:t>
            </w:r>
            <w:r w:rsidR="006A724C">
              <w:rPr>
                <w:webHidden/>
              </w:rPr>
              <w:fldChar w:fldCharType="end"/>
            </w:r>
          </w:hyperlink>
        </w:p>
        <w:p w14:paraId="61CE2714" w14:textId="77777777" w:rsidR="006A724C" w:rsidRDefault="00452207">
          <w:pPr>
            <w:pStyle w:val="TOC2"/>
            <w:rPr>
              <w:rFonts w:asciiTheme="minorHAnsi" w:eastAsiaTheme="minorEastAsia" w:hAnsiTheme="minorHAnsi" w:cstheme="minorBidi"/>
              <w:sz w:val="22"/>
              <w:szCs w:val="22"/>
              <w:lang w:eastAsia="en-NZ"/>
            </w:rPr>
          </w:pPr>
          <w:hyperlink w:anchor="_Toc505862436" w:history="1">
            <w:r w:rsidR="006A724C" w:rsidRPr="00E22988">
              <w:rPr>
                <w:rStyle w:val="Hyperlink"/>
              </w:rPr>
              <w:t>Approach to regulation</w:t>
            </w:r>
            <w:r w:rsidR="006A724C">
              <w:rPr>
                <w:webHidden/>
              </w:rPr>
              <w:tab/>
            </w:r>
            <w:r w:rsidR="006A724C">
              <w:rPr>
                <w:webHidden/>
              </w:rPr>
              <w:fldChar w:fldCharType="begin"/>
            </w:r>
            <w:r w:rsidR="006A724C">
              <w:rPr>
                <w:webHidden/>
              </w:rPr>
              <w:instrText xml:space="preserve"> PAGEREF _Toc505862436 \h </w:instrText>
            </w:r>
            <w:r w:rsidR="006A724C">
              <w:rPr>
                <w:webHidden/>
              </w:rPr>
            </w:r>
            <w:r w:rsidR="006A724C">
              <w:rPr>
                <w:webHidden/>
              </w:rPr>
              <w:fldChar w:fldCharType="separate"/>
            </w:r>
            <w:r w:rsidR="00D006AC">
              <w:rPr>
                <w:webHidden/>
              </w:rPr>
              <w:t>16</w:t>
            </w:r>
            <w:r w:rsidR="006A724C">
              <w:rPr>
                <w:webHidden/>
              </w:rPr>
              <w:fldChar w:fldCharType="end"/>
            </w:r>
          </w:hyperlink>
        </w:p>
        <w:p w14:paraId="3CBE0FF2" w14:textId="77777777" w:rsidR="006A724C" w:rsidRDefault="00452207">
          <w:pPr>
            <w:pStyle w:val="TOC2"/>
            <w:rPr>
              <w:rFonts w:asciiTheme="minorHAnsi" w:eastAsiaTheme="minorEastAsia" w:hAnsiTheme="minorHAnsi" w:cstheme="minorBidi"/>
              <w:sz w:val="22"/>
              <w:szCs w:val="22"/>
              <w:lang w:eastAsia="en-NZ"/>
            </w:rPr>
          </w:pPr>
          <w:hyperlink w:anchor="_Toc505862437" w:history="1">
            <w:r w:rsidR="006A724C" w:rsidRPr="00E22988">
              <w:rPr>
                <w:rStyle w:val="Hyperlink"/>
              </w:rPr>
              <w:t>Areas of interest or concern</w:t>
            </w:r>
            <w:r w:rsidR="006A724C">
              <w:rPr>
                <w:webHidden/>
              </w:rPr>
              <w:tab/>
            </w:r>
            <w:r w:rsidR="006A724C">
              <w:rPr>
                <w:webHidden/>
              </w:rPr>
              <w:fldChar w:fldCharType="begin"/>
            </w:r>
            <w:r w:rsidR="006A724C">
              <w:rPr>
                <w:webHidden/>
              </w:rPr>
              <w:instrText xml:space="preserve"> PAGEREF _Toc505862437 \h </w:instrText>
            </w:r>
            <w:r w:rsidR="006A724C">
              <w:rPr>
                <w:webHidden/>
              </w:rPr>
            </w:r>
            <w:r w:rsidR="006A724C">
              <w:rPr>
                <w:webHidden/>
              </w:rPr>
              <w:fldChar w:fldCharType="separate"/>
            </w:r>
            <w:r w:rsidR="00D006AC">
              <w:rPr>
                <w:webHidden/>
              </w:rPr>
              <w:t>22</w:t>
            </w:r>
            <w:r w:rsidR="006A724C">
              <w:rPr>
                <w:webHidden/>
              </w:rPr>
              <w:fldChar w:fldCharType="end"/>
            </w:r>
          </w:hyperlink>
        </w:p>
        <w:p w14:paraId="586EB6FC" w14:textId="13EAFB4F" w:rsidR="00CE2931" w:rsidRPr="006A724C" w:rsidRDefault="00452207" w:rsidP="006A724C">
          <w:pPr>
            <w:pStyle w:val="TOC1"/>
            <w:rPr>
              <w:rFonts w:asciiTheme="minorHAnsi" w:eastAsiaTheme="minorEastAsia" w:hAnsiTheme="minorHAnsi" w:cstheme="minorBidi"/>
              <w:b w:val="0"/>
              <w:noProof/>
              <w:color w:val="auto"/>
              <w:sz w:val="22"/>
              <w:szCs w:val="22"/>
              <w:lang w:eastAsia="en-NZ"/>
            </w:rPr>
          </w:pPr>
          <w:hyperlink w:anchor="_Toc505862438" w:history="1">
            <w:r w:rsidR="006A724C" w:rsidRPr="00E22988">
              <w:rPr>
                <w:rStyle w:val="Hyperlink"/>
                <w:noProof/>
              </w:rPr>
              <w:t>Conclusion</w:t>
            </w:r>
            <w:r w:rsidR="006A724C">
              <w:rPr>
                <w:noProof/>
                <w:webHidden/>
              </w:rPr>
              <w:tab/>
            </w:r>
            <w:r w:rsidR="006A724C">
              <w:rPr>
                <w:noProof/>
                <w:webHidden/>
              </w:rPr>
              <w:fldChar w:fldCharType="begin"/>
            </w:r>
            <w:r w:rsidR="006A724C">
              <w:rPr>
                <w:noProof/>
                <w:webHidden/>
              </w:rPr>
              <w:instrText xml:space="preserve"> PAGEREF _Toc505862438 \h </w:instrText>
            </w:r>
            <w:r w:rsidR="006A724C">
              <w:rPr>
                <w:noProof/>
                <w:webHidden/>
              </w:rPr>
            </w:r>
            <w:r w:rsidR="006A724C">
              <w:rPr>
                <w:noProof/>
                <w:webHidden/>
              </w:rPr>
              <w:fldChar w:fldCharType="separate"/>
            </w:r>
            <w:r w:rsidR="00D006AC">
              <w:rPr>
                <w:noProof/>
                <w:webHidden/>
              </w:rPr>
              <w:t>24</w:t>
            </w:r>
            <w:r w:rsidR="006A724C">
              <w:rPr>
                <w:noProof/>
                <w:webHidden/>
              </w:rPr>
              <w:fldChar w:fldCharType="end"/>
            </w:r>
          </w:hyperlink>
          <w:r w:rsidR="00CE2931">
            <w:rPr>
              <w:bCs/>
              <w:noProof/>
            </w:rPr>
            <w:fldChar w:fldCharType="end"/>
          </w:r>
        </w:p>
      </w:sdtContent>
    </w:sdt>
    <w:p w14:paraId="720D0A93" w14:textId="123D4713" w:rsidR="00CE2931" w:rsidRPr="005D5A31" w:rsidRDefault="00CE2931" w:rsidP="00A163EE">
      <w:pPr>
        <w:sectPr w:rsidR="00CE2931" w:rsidRPr="005D5A31" w:rsidSect="00FB1E7C">
          <w:headerReference w:type="default" r:id="rId19"/>
          <w:footerReference w:type="default" r:id="rId20"/>
          <w:pgSz w:w="11907" w:h="16840" w:code="9"/>
          <w:pgMar w:top="1418" w:right="1418" w:bottom="992" w:left="1418" w:header="425" w:footer="641" w:gutter="0"/>
          <w:pgNumType w:fmt="lowerRoman" w:start="1"/>
          <w:cols w:space="708"/>
          <w:docGrid w:linePitch="360"/>
        </w:sectPr>
      </w:pPr>
    </w:p>
    <w:p w14:paraId="7F9DE31A" w14:textId="77777777" w:rsidR="00860B2B" w:rsidRPr="00211450" w:rsidRDefault="00860B2B" w:rsidP="00CE2931">
      <w:pPr>
        <w:pStyle w:val="Heading1"/>
      </w:pPr>
      <w:bookmarkStart w:id="10" w:name="_Toc471392458"/>
      <w:bookmarkStart w:id="11" w:name="_Toc505862415"/>
      <w:r w:rsidRPr="00211450">
        <w:lastRenderedPageBreak/>
        <w:t>Executive summary</w:t>
      </w:r>
      <w:bookmarkEnd w:id="10"/>
      <w:bookmarkEnd w:id="11"/>
    </w:p>
    <w:p w14:paraId="7F9DE31B" w14:textId="76AF3B90" w:rsidR="004A33AE" w:rsidRPr="009E7E1D" w:rsidRDefault="005A5D66" w:rsidP="00681B61">
      <w:pPr>
        <w:pStyle w:val="BodyA"/>
      </w:pPr>
      <w:r w:rsidRPr="009E7E1D">
        <w:t xml:space="preserve">The Department of Internal Affairs’ (the Department) </w:t>
      </w:r>
      <w:r w:rsidR="006F5FE8" w:rsidRPr="009E7E1D">
        <w:t xml:space="preserve">annual survey of </w:t>
      </w:r>
      <w:r w:rsidR="00810054" w:rsidRPr="009E7E1D">
        <w:t xml:space="preserve">its </w:t>
      </w:r>
      <w:r w:rsidR="003C552E">
        <w:t>c</w:t>
      </w:r>
      <w:r w:rsidR="00810054" w:rsidRPr="009E7E1D">
        <w:t xml:space="preserve">lass 4 gambling </w:t>
      </w:r>
      <w:r w:rsidR="006F5FE8" w:rsidRPr="009E7E1D">
        <w:t>stake</w:t>
      </w:r>
      <w:r w:rsidR="001E629C" w:rsidRPr="009E7E1D">
        <w:t xml:space="preserve">holders was carried out in </w:t>
      </w:r>
      <w:r w:rsidR="00D7197F" w:rsidRPr="009E7E1D">
        <w:t>September</w:t>
      </w:r>
      <w:r w:rsidR="009E7E1D" w:rsidRPr="009E7E1D">
        <w:t xml:space="preserve"> to October</w:t>
      </w:r>
      <w:r w:rsidR="00D7197F" w:rsidRPr="009E7E1D">
        <w:t xml:space="preserve"> </w:t>
      </w:r>
      <w:r w:rsidR="002F56B1" w:rsidRPr="009E7E1D">
        <w:t>2017</w:t>
      </w:r>
      <w:r w:rsidR="00937B4D" w:rsidRPr="009E7E1D">
        <w:t xml:space="preserve">. This aimed to build on our previous surveys of stakeholders, as well as introduce some new questions to help understand </w:t>
      </w:r>
      <w:r w:rsidR="009E7E1D" w:rsidRPr="009E7E1D">
        <w:t xml:space="preserve">how information on the Department’s website is </w:t>
      </w:r>
      <w:r w:rsidR="00697953">
        <w:t>perceived</w:t>
      </w:r>
      <w:r w:rsidR="00697953" w:rsidRPr="009E7E1D">
        <w:t xml:space="preserve"> </w:t>
      </w:r>
      <w:r w:rsidR="009E7E1D" w:rsidRPr="009E7E1D">
        <w:t>by stakeholders.</w:t>
      </w:r>
    </w:p>
    <w:p w14:paraId="45E05E2E" w14:textId="5FC5809A" w:rsidR="00DD2A90" w:rsidRPr="005F0687" w:rsidRDefault="00DD2A90" w:rsidP="00DD2A90">
      <w:pPr>
        <w:pStyle w:val="BodyA"/>
      </w:pPr>
      <w:r w:rsidRPr="005F0687">
        <w:t>The responses to this year’s survey reveal that improvements</w:t>
      </w:r>
      <w:r w:rsidR="005F0687" w:rsidRPr="005F0687">
        <w:t xml:space="preserve"> continue to be made in collaboration, partnership and engagement between</w:t>
      </w:r>
      <w:r w:rsidRPr="005F0687">
        <w:t xml:space="preserve"> the Department and the sector.</w:t>
      </w:r>
    </w:p>
    <w:p w14:paraId="4B89F14A" w14:textId="5B959F8F" w:rsidR="00DD2A90" w:rsidRPr="005F0687" w:rsidRDefault="00DD2A90" w:rsidP="00DD2A90">
      <w:pPr>
        <w:pStyle w:val="BodyA"/>
      </w:pPr>
      <w:r w:rsidRPr="005F0687">
        <w:t>The survey also shows areas where we could place greater focus to ensure that we are being effective regulators and are responding to the needs of our stakeholders.</w:t>
      </w:r>
      <w:r w:rsidR="005F0687" w:rsidRPr="005F0687">
        <w:t xml:space="preserve"> These include </w:t>
      </w:r>
      <w:r w:rsidR="0099148D">
        <w:t>select</w:t>
      </w:r>
      <w:r w:rsidR="0099148D" w:rsidRPr="005F0687">
        <w:t xml:space="preserve"> </w:t>
      </w:r>
      <w:r w:rsidR="005F0687" w:rsidRPr="005F0687">
        <w:t xml:space="preserve">communication channels and </w:t>
      </w:r>
      <w:r w:rsidR="0061508A">
        <w:t xml:space="preserve">working with </w:t>
      </w:r>
      <w:r w:rsidR="005F0687" w:rsidRPr="005F0687">
        <w:t xml:space="preserve">the sector to achieve the balance between harm </w:t>
      </w:r>
      <w:proofErr w:type="spellStart"/>
      <w:r w:rsidR="005F0687" w:rsidRPr="005F0687">
        <w:t>minimisation</w:t>
      </w:r>
      <w:proofErr w:type="spellEnd"/>
      <w:r w:rsidR="005F0687" w:rsidRPr="005F0687">
        <w:t>, community benefit, and sector sustainability.</w:t>
      </w:r>
      <w:r w:rsidRPr="005F0687">
        <w:t xml:space="preserve"> </w:t>
      </w:r>
    </w:p>
    <w:p w14:paraId="05FA70EA" w14:textId="77777777" w:rsidR="00DD2A90" w:rsidRPr="00311C62" w:rsidRDefault="00DD2A90" w:rsidP="00DD2A90">
      <w:pPr>
        <w:pStyle w:val="Heading3"/>
      </w:pPr>
      <w:bookmarkStart w:id="12" w:name="_Toc505862304"/>
      <w:bookmarkStart w:id="13" w:name="_Toc505862348"/>
      <w:bookmarkStart w:id="14" w:name="_Toc505862416"/>
      <w:r w:rsidRPr="00311C62">
        <w:t>Contacting the Department</w:t>
      </w:r>
      <w:bookmarkEnd w:id="12"/>
      <w:bookmarkEnd w:id="13"/>
      <w:bookmarkEnd w:id="14"/>
    </w:p>
    <w:p w14:paraId="73CA69FE" w14:textId="77777777" w:rsidR="00DD2A90" w:rsidRPr="00311C62" w:rsidRDefault="00DD2A90" w:rsidP="00DD2A90">
      <w:pPr>
        <w:pStyle w:val="BodyA"/>
      </w:pPr>
      <w:r w:rsidRPr="00311C62">
        <w:t xml:space="preserve">Of those who responded to the survey, 76 per cent had made contact with the Department in the previous 12 months. As in the 2015 and 2016 surveys, email was the preferred way to contact us and the most common reason for contact was licensing applications. </w:t>
      </w:r>
    </w:p>
    <w:p w14:paraId="37511CD3" w14:textId="24FBA153" w:rsidR="00DD2A90" w:rsidRPr="00311C62" w:rsidRDefault="00DD2A90" w:rsidP="00DD2A90">
      <w:pPr>
        <w:pStyle w:val="Heading3"/>
      </w:pPr>
      <w:bookmarkStart w:id="15" w:name="_Toc505862305"/>
      <w:bookmarkStart w:id="16" w:name="_Toc505862349"/>
      <w:bookmarkStart w:id="17" w:name="_Toc505862417"/>
      <w:r w:rsidRPr="00311C62">
        <w:t xml:space="preserve">Professional </w:t>
      </w:r>
      <w:r w:rsidR="00FD13FD">
        <w:t>p</w:t>
      </w:r>
      <w:r w:rsidRPr="00311C62">
        <w:t>erformance</w:t>
      </w:r>
      <w:bookmarkEnd w:id="15"/>
      <w:bookmarkEnd w:id="16"/>
      <w:bookmarkEnd w:id="17"/>
    </w:p>
    <w:p w14:paraId="3DCBA58A" w14:textId="77777777" w:rsidR="00DD2A90" w:rsidRPr="002F56B1" w:rsidRDefault="00DD2A90" w:rsidP="00DD2A90">
      <w:pPr>
        <w:pStyle w:val="BodyA"/>
        <w:jc w:val="both"/>
        <w:rPr>
          <w:highlight w:val="yellow"/>
        </w:rPr>
      </w:pPr>
      <w:r w:rsidRPr="00311C62">
        <w:t xml:space="preserve">Overall we received a positive response about the professionalism of our performance. Stakeholders generally find it easy to obtain information from us, and believe that the information they receive is of good quality and provided in a timely manner. There was an increase in positive ratings for all of these questions compared to last year’s survey. </w:t>
      </w:r>
    </w:p>
    <w:p w14:paraId="489A85A2" w14:textId="09FB9FFC" w:rsidR="00DD2A90" w:rsidRPr="00311C62" w:rsidRDefault="00DD2A90" w:rsidP="00DD2A90">
      <w:pPr>
        <w:pStyle w:val="BodyA"/>
        <w:jc w:val="both"/>
      </w:pPr>
      <w:r w:rsidRPr="00311C62">
        <w:t xml:space="preserve">Eight per cent of respondents </w:t>
      </w:r>
      <w:r w:rsidR="005A0AD1">
        <w:t>rated</w:t>
      </w:r>
      <w:r w:rsidRPr="00311C62">
        <w:t xml:space="preserve"> the speed of response as quite slow or slow, which is a decrease from 10 per cent in 2016. It is also noted that there was an increase in stakeholders from the ‘Other’ category who found it easier to obtain information from the Department in 2017. </w:t>
      </w:r>
    </w:p>
    <w:p w14:paraId="6B058445" w14:textId="2050EAD9" w:rsidR="00DD2A90" w:rsidRPr="00311C62" w:rsidRDefault="00DD2A90" w:rsidP="00DD2A90">
      <w:pPr>
        <w:pStyle w:val="Heading3"/>
      </w:pPr>
      <w:bookmarkStart w:id="18" w:name="_Toc505862306"/>
      <w:bookmarkStart w:id="19" w:name="_Toc505862350"/>
      <w:bookmarkStart w:id="20" w:name="_Toc505862418"/>
      <w:r w:rsidRPr="00311C62">
        <w:t xml:space="preserve">Providing </w:t>
      </w:r>
      <w:r w:rsidR="00FD13FD">
        <w:t>i</w:t>
      </w:r>
      <w:r w:rsidRPr="00311C62">
        <w:t xml:space="preserve">nformation to the </w:t>
      </w:r>
      <w:r w:rsidR="00FD13FD">
        <w:t>s</w:t>
      </w:r>
      <w:r w:rsidRPr="00311C62">
        <w:t>ector</w:t>
      </w:r>
      <w:bookmarkEnd w:id="18"/>
      <w:bookmarkEnd w:id="19"/>
      <w:bookmarkEnd w:id="20"/>
    </w:p>
    <w:p w14:paraId="4DB044E6" w14:textId="77777777" w:rsidR="00DD2A90" w:rsidRPr="00311C62" w:rsidRDefault="00DD2A90" w:rsidP="00DD2A90">
      <w:pPr>
        <w:pStyle w:val="BodyA"/>
      </w:pPr>
      <w:r w:rsidRPr="00311C62">
        <w:t xml:space="preserve">Responses about the Gambits newsletter were very positive. This included ratings about its usefulness, the respondent’s satisfaction with its frequency, the relevancy of the information, and how simple it is to understand. </w:t>
      </w:r>
    </w:p>
    <w:p w14:paraId="7E5012BA" w14:textId="77777777" w:rsidR="00DD2A90" w:rsidRPr="00311C62" w:rsidRDefault="00DD2A90" w:rsidP="00DD2A90">
      <w:pPr>
        <w:pStyle w:val="BodyA"/>
      </w:pPr>
      <w:r w:rsidRPr="00311C62">
        <w:t>Questions about the Department’s external website were included in this year’s survey. Most respondents had used the website, and found it easy to access and understand information. A number of comments suggested that there are improvements to be made to the structure of the website and the search function.</w:t>
      </w:r>
    </w:p>
    <w:p w14:paraId="60EB6E57" w14:textId="37873D72" w:rsidR="00DD2A90" w:rsidRPr="00B926F2" w:rsidRDefault="00DD2A90" w:rsidP="00DD2A90">
      <w:pPr>
        <w:pStyle w:val="BodyA"/>
      </w:pPr>
      <w:r w:rsidRPr="00B926F2">
        <w:t xml:space="preserve">There was a sharp decrease in the </w:t>
      </w:r>
      <w:r w:rsidR="00E82F4B">
        <w:t>proportion</w:t>
      </w:r>
      <w:r w:rsidR="00E82F4B" w:rsidRPr="00B926F2">
        <w:t xml:space="preserve"> </w:t>
      </w:r>
      <w:r w:rsidRPr="00B926F2">
        <w:t xml:space="preserve">of respondents who found sector forums useful (34 per cent) in 2017 compared to 2016 (61 per cent). </w:t>
      </w:r>
      <w:r w:rsidR="00B926F2" w:rsidRPr="00B926F2">
        <w:t>This may be due to the length of time since the last forum (November 2016) or the targeting of the forums</w:t>
      </w:r>
      <w:r w:rsidR="0061508A">
        <w:t xml:space="preserve">. We recently ran a series of regional workshops for venue and club staff and will continue to look at ways we can </w:t>
      </w:r>
      <w:r w:rsidR="004F3015">
        <w:t xml:space="preserve">improve our engagement with stakeholders through forums and workshops. </w:t>
      </w:r>
    </w:p>
    <w:p w14:paraId="42F4FAB6" w14:textId="300C599D" w:rsidR="00DD2A90" w:rsidRPr="00311C62" w:rsidRDefault="00DD2A90" w:rsidP="00DD2A90">
      <w:pPr>
        <w:pStyle w:val="Heading3"/>
      </w:pPr>
      <w:bookmarkStart w:id="21" w:name="_Toc505862307"/>
      <w:bookmarkStart w:id="22" w:name="_Toc505862351"/>
      <w:bookmarkStart w:id="23" w:name="_Toc505862419"/>
      <w:r w:rsidRPr="00311C62">
        <w:lastRenderedPageBreak/>
        <w:t xml:space="preserve">Approach to </w:t>
      </w:r>
      <w:r w:rsidR="00FD13FD">
        <w:t>r</w:t>
      </w:r>
      <w:r w:rsidRPr="00311C62">
        <w:t>egulation</w:t>
      </w:r>
      <w:bookmarkEnd w:id="21"/>
      <w:bookmarkEnd w:id="22"/>
      <w:bookmarkEnd w:id="23"/>
      <w:r w:rsidRPr="00311C62">
        <w:t xml:space="preserve"> </w:t>
      </w:r>
    </w:p>
    <w:p w14:paraId="4B4302AA" w14:textId="7CAB9039" w:rsidR="00DD2A90" w:rsidRPr="00311C62" w:rsidRDefault="00DD2A90" w:rsidP="00DD2A90">
      <w:pPr>
        <w:pStyle w:val="BodyA"/>
      </w:pPr>
      <w:r w:rsidRPr="00311C62">
        <w:t xml:space="preserve">We asked questions relating to our vision and objectives for the </w:t>
      </w:r>
      <w:r w:rsidR="004F3015">
        <w:t>c</w:t>
      </w:r>
      <w:r w:rsidRPr="00311C62">
        <w:t xml:space="preserve">lass 4 gambling sector. </w:t>
      </w:r>
    </w:p>
    <w:p w14:paraId="64CA18D6" w14:textId="64D6B6EC" w:rsidR="00DD2A90" w:rsidRPr="005F0687" w:rsidRDefault="00DD2A90" w:rsidP="00DD2A90">
      <w:pPr>
        <w:pStyle w:val="BodyA"/>
      </w:pPr>
      <w:r w:rsidRPr="005F0687">
        <w:t xml:space="preserve">Responses to the three questions relating to our vision received increased levels of agreement compared to last year, with the most positive responses relating to the sector working constructively with us to achieve compliance. The comments in this section show that there is still a large amount of concern in the sector about how gambling returns are </w:t>
      </w:r>
      <w:proofErr w:type="spellStart"/>
      <w:r w:rsidRPr="005F0687">
        <w:t>maximi</w:t>
      </w:r>
      <w:r w:rsidR="00E82F4B">
        <w:t>s</w:t>
      </w:r>
      <w:r w:rsidRPr="005F0687">
        <w:t>ed</w:t>
      </w:r>
      <w:proofErr w:type="spellEnd"/>
      <w:r w:rsidRPr="005F0687">
        <w:t xml:space="preserve"> for community benefit.</w:t>
      </w:r>
    </w:p>
    <w:p w14:paraId="3827A4DB" w14:textId="600F7653" w:rsidR="00DD2A90" w:rsidRPr="00C4059A" w:rsidRDefault="00DD2A90" w:rsidP="00C4059A">
      <w:pPr>
        <w:pStyle w:val="Bullet"/>
        <w:numPr>
          <w:ilvl w:val="0"/>
          <w:numId w:val="0"/>
        </w:numPr>
        <w:spacing w:before="120" w:after="240"/>
        <w:rPr>
          <w:rFonts w:eastAsia="Calibri" w:cs="Calibri"/>
          <w:color w:val="000000"/>
          <w:highlight w:val="yellow"/>
          <w:bdr w:val="nil"/>
          <w:lang w:val="en-US" w:eastAsia="en-NZ"/>
        </w:rPr>
      </w:pPr>
      <w:r w:rsidRPr="00311C62">
        <w:t>Questions about our objectives were introduced in last year’s survey.</w:t>
      </w:r>
      <w:r w:rsidRPr="00C4059A">
        <w:rPr>
          <w:rFonts w:eastAsia="Calibri" w:cs="Calibri"/>
          <w:color w:val="000000"/>
          <w:bdr w:val="nil"/>
          <w:lang w:val="en-US" w:eastAsia="en-NZ"/>
        </w:rPr>
        <w:t xml:space="preserve"> Clubs and </w:t>
      </w:r>
      <w:r w:rsidR="00107815" w:rsidRPr="00C4059A">
        <w:rPr>
          <w:rFonts w:eastAsia="Calibri" w:cs="Calibri"/>
          <w:color w:val="000000"/>
          <w:bdr w:val="nil"/>
          <w:lang w:val="en-US" w:eastAsia="en-NZ"/>
        </w:rPr>
        <w:t>c</w:t>
      </w:r>
      <w:r w:rsidRPr="00C4059A">
        <w:rPr>
          <w:rFonts w:eastAsia="Calibri" w:cs="Calibri"/>
          <w:color w:val="000000"/>
          <w:bdr w:val="nil"/>
          <w:lang w:val="en-US" w:eastAsia="en-NZ"/>
        </w:rPr>
        <w:t xml:space="preserve">lass 4 non-club societies were more likely to agree that the Department is meeting their objectives than other stakeholder groups. </w:t>
      </w:r>
    </w:p>
    <w:p w14:paraId="63EC3A9A" w14:textId="00F55176" w:rsidR="00DD2A90" w:rsidRPr="00C4059A" w:rsidRDefault="00DD2A90" w:rsidP="00C4059A">
      <w:pPr>
        <w:pStyle w:val="Bullet"/>
        <w:numPr>
          <w:ilvl w:val="0"/>
          <w:numId w:val="0"/>
        </w:numPr>
        <w:spacing w:before="120" w:after="240"/>
        <w:rPr>
          <w:rFonts w:eastAsia="Calibri" w:cs="Calibri"/>
          <w:color w:val="000000"/>
          <w:bdr w:val="nil"/>
          <w:lang w:val="en-US" w:eastAsia="en-NZ"/>
        </w:rPr>
      </w:pPr>
      <w:r w:rsidRPr="00C4059A">
        <w:rPr>
          <w:rFonts w:eastAsia="Calibri" w:cs="Calibri"/>
          <w:color w:val="000000"/>
          <w:bdr w:val="nil"/>
          <w:lang w:val="en-US" w:eastAsia="en-NZ"/>
        </w:rPr>
        <w:t>The objectives with the highest proportion of respondents who strongly agreed with the statement were related to grant</w:t>
      </w:r>
      <w:r w:rsidR="00270CF4">
        <w:rPr>
          <w:rFonts w:eastAsia="Calibri" w:cs="Calibri"/>
          <w:color w:val="000000"/>
          <w:bdr w:val="nil"/>
          <w:lang w:val="en-US" w:eastAsia="en-NZ"/>
        </w:rPr>
        <w:t>-</w:t>
      </w:r>
      <w:r w:rsidRPr="00C4059A">
        <w:rPr>
          <w:rFonts w:eastAsia="Calibri" w:cs="Calibri"/>
          <w:color w:val="000000"/>
          <w:bdr w:val="nil"/>
          <w:lang w:val="en-US" w:eastAsia="en-NZ"/>
        </w:rPr>
        <w:t>making th</w:t>
      </w:r>
      <w:r w:rsidR="00E82F4B" w:rsidRPr="00C4059A">
        <w:rPr>
          <w:rFonts w:eastAsia="Calibri" w:cs="Calibri"/>
          <w:color w:val="000000"/>
          <w:bdr w:val="nil"/>
          <w:lang w:val="en-US" w:eastAsia="en-NZ"/>
        </w:rPr>
        <w:t>at</w:t>
      </w:r>
      <w:r w:rsidRPr="00C4059A">
        <w:rPr>
          <w:rFonts w:eastAsia="Calibri" w:cs="Calibri"/>
          <w:color w:val="000000"/>
          <w:bdr w:val="nil"/>
          <w:lang w:val="en-US" w:eastAsia="en-NZ"/>
        </w:rPr>
        <w:t xml:space="preserve"> meets community needs and collaboration and partnership with and across the sector. </w:t>
      </w:r>
    </w:p>
    <w:p w14:paraId="78910600" w14:textId="717A8350" w:rsidR="00DD2A90" w:rsidRPr="00C4059A" w:rsidRDefault="005F0687" w:rsidP="00C4059A">
      <w:pPr>
        <w:pStyle w:val="Bullet"/>
        <w:numPr>
          <w:ilvl w:val="0"/>
          <w:numId w:val="0"/>
        </w:numPr>
        <w:spacing w:before="120" w:after="240"/>
        <w:rPr>
          <w:rFonts w:eastAsia="Calibri" w:cs="Calibri"/>
          <w:color w:val="000000"/>
          <w:bdr w:val="nil"/>
          <w:lang w:val="en-US" w:eastAsia="en-NZ"/>
        </w:rPr>
      </w:pPr>
      <w:r w:rsidRPr="00C4059A">
        <w:rPr>
          <w:rFonts w:eastAsia="Calibri" w:cs="Calibri"/>
          <w:color w:val="000000"/>
          <w:bdr w:val="nil"/>
          <w:lang w:val="en-US" w:eastAsia="en-NZ"/>
        </w:rPr>
        <w:t>The objective</w:t>
      </w:r>
      <w:r w:rsidR="00DD2A90" w:rsidRPr="00C4059A">
        <w:rPr>
          <w:rFonts w:eastAsia="Calibri" w:cs="Calibri"/>
          <w:color w:val="000000"/>
          <w:bdr w:val="nil"/>
          <w:lang w:val="en-US" w:eastAsia="en-NZ"/>
        </w:rPr>
        <w:t xml:space="preserve"> with the highest proportion of </w:t>
      </w:r>
      <w:r w:rsidR="00F9706F" w:rsidRPr="00C4059A">
        <w:rPr>
          <w:rFonts w:eastAsia="Calibri" w:cs="Calibri"/>
          <w:color w:val="000000"/>
          <w:bdr w:val="nil"/>
          <w:lang w:val="en-US" w:eastAsia="en-NZ"/>
        </w:rPr>
        <w:t>“</w:t>
      </w:r>
      <w:r w:rsidR="00DD2A90" w:rsidRPr="00C4059A">
        <w:rPr>
          <w:rFonts w:eastAsia="Calibri" w:cs="Calibri"/>
          <w:color w:val="000000"/>
          <w:bdr w:val="nil"/>
          <w:lang w:val="en-US" w:eastAsia="en-NZ"/>
        </w:rPr>
        <w:t>disagree</w:t>
      </w:r>
      <w:r w:rsidR="00F9706F" w:rsidRPr="00C4059A">
        <w:rPr>
          <w:rFonts w:eastAsia="Calibri" w:cs="Calibri"/>
          <w:color w:val="000000"/>
          <w:bdr w:val="nil"/>
          <w:lang w:val="en-US" w:eastAsia="en-NZ"/>
        </w:rPr>
        <w:t>”</w:t>
      </w:r>
      <w:r w:rsidR="00DD2A90" w:rsidRPr="00C4059A">
        <w:rPr>
          <w:rFonts w:eastAsia="Calibri" w:cs="Calibri"/>
          <w:color w:val="000000"/>
          <w:bdr w:val="nil"/>
          <w:lang w:val="en-US" w:eastAsia="en-NZ"/>
        </w:rPr>
        <w:t xml:space="preserve"> or </w:t>
      </w:r>
      <w:r w:rsidR="00F9706F" w:rsidRPr="00C4059A">
        <w:rPr>
          <w:rFonts w:eastAsia="Calibri" w:cs="Calibri"/>
          <w:color w:val="000000"/>
          <w:bdr w:val="nil"/>
          <w:lang w:val="en-US" w:eastAsia="en-NZ"/>
        </w:rPr>
        <w:t>“</w:t>
      </w:r>
      <w:r w:rsidRPr="00C4059A">
        <w:rPr>
          <w:rFonts w:eastAsia="Calibri" w:cs="Calibri"/>
          <w:color w:val="000000"/>
          <w:bdr w:val="nil"/>
          <w:lang w:val="en-US" w:eastAsia="en-NZ"/>
        </w:rPr>
        <w:t>strongly disagree</w:t>
      </w:r>
      <w:r w:rsidR="00F9706F" w:rsidRPr="00C4059A">
        <w:rPr>
          <w:rFonts w:eastAsia="Calibri" w:cs="Calibri"/>
          <w:color w:val="000000"/>
          <w:bdr w:val="nil"/>
          <w:lang w:val="en-US" w:eastAsia="en-NZ"/>
        </w:rPr>
        <w:t>”</w:t>
      </w:r>
      <w:r w:rsidRPr="00C4059A">
        <w:rPr>
          <w:rFonts w:eastAsia="Calibri" w:cs="Calibri"/>
          <w:color w:val="000000"/>
          <w:bdr w:val="nil"/>
          <w:lang w:val="en-US" w:eastAsia="en-NZ"/>
        </w:rPr>
        <w:t xml:space="preserve"> responses was</w:t>
      </w:r>
      <w:r w:rsidR="00DD2A90" w:rsidRPr="00C4059A">
        <w:rPr>
          <w:rFonts w:eastAsia="Calibri" w:cs="Calibri"/>
          <w:color w:val="000000"/>
          <w:bdr w:val="nil"/>
          <w:lang w:val="en-US" w:eastAsia="en-NZ"/>
        </w:rPr>
        <w:t xml:space="preserve"> about striking the right balance between </w:t>
      </w:r>
      <w:proofErr w:type="spellStart"/>
      <w:r w:rsidR="00DD2A90" w:rsidRPr="00C4059A">
        <w:rPr>
          <w:rFonts w:eastAsia="Calibri" w:cs="Calibri"/>
          <w:color w:val="000000"/>
          <w:bdr w:val="nil"/>
          <w:lang w:val="en-US" w:eastAsia="en-NZ"/>
        </w:rPr>
        <w:t>minimising</w:t>
      </w:r>
      <w:proofErr w:type="spellEnd"/>
      <w:r w:rsidR="00DD2A90" w:rsidRPr="00C4059A">
        <w:rPr>
          <w:rFonts w:eastAsia="Calibri" w:cs="Calibri"/>
          <w:color w:val="000000"/>
          <w:bdr w:val="nil"/>
          <w:lang w:val="en-US" w:eastAsia="en-NZ"/>
        </w:rPr>
        <w:t xml:space="preserve"> gambling harm, ensuring sustainable funding for communities and sector sustainability. </w:t>
      </w:r>
      <w:r w:rsidR="00DD2A90" w:rsidRPr="00311C62">
        <w:t>The comments relating to this question acknowledged the difficulties involved with finding this balance across the sector.</w:t>
      </w:r>
    </w:p>
    <w:p w14:paraId="02C672C3" w14:textId="77777777" w:rsidR="00937B4D" w:rsidRPr="008D6CA6" w:rsidRDefault="00937B4D" w:rsidP="00860B2B">
      <w:pPr>
        <w:rPr>
          <w:highlight w:val="yellow"/>
        </w:rPr>
        <w:sectPr w:rsidR="00937B4D" w:rsidRPr="008D6CA6" w:rsidSect="00FB1E7C">
          <w:headerReference w:type="default" r:id="rId21"/>
          <w:footerReference w:type="default" r:id="rId22"/>
          <w:pgSz w:w="11907" w:h="16840" w:code="9"/>
          <w:pgMar w:top="1418" w:right="1418" w:bottom="992" w:left="1418" w:header="425" w:footer="641" w:gutter="0"/>
          <w:pgNumType w:start="1"/>
          <w:cols w:space="708"/>
          <w:docGrid w:linePitch="360"/>
        </w:sectPr>
      </w:pPr>
    </w:p>
    <w:p w14:paraId="7F9DE332" w14:textId="77777777" w:rsidR="006E29CC" w:rsidRPr="009E7E1D" w:rsidRDefault="00C77E88" w:rsidP="00CE2931">
      <w:pPr>
        <w:pStyle w:val="Heading1"/>
      </w:pPr>
      <w:bookmarkStart w:id="24" w:name="_Toc471392459"/>
      <w:bookmarkStart w:id="25" w:name="_Toc505862420"/>
      <w:r w:rsidRPr="009E7E1D">
        <w:lastRenderedPageBreak/>
        <w:t>Our survey approach</w:t>
      </w:r>
      <w:bookmarkEnd w:id="24"/>
      <w:bookmarkEnd w:id="25"/>
    </w:p>
    <w:p w14:paraId="7F9DE333" w14:textId="7669CA41" w:rsidR="005D5A31" w:rsidRPr="009E7E1D" w:rsidRDefault="0005347D" w:rsidP="00681B61">
      <w:pPr>
        <w:pStyle w:val="BodyA"/>
      </w:pPr>
      <w:r w:rsidRPr="009E7E1D">
        <w:t xml:space="preserve">The sections below </w:t>
      </w:r>
      <w:r w:rsidR="00364CD5" w:rsidRPr="009E7E1D">
        <w:t>explain</w:t>
      </w:r>
      <w:r w:rsidRPr="009E7E1D">
        <w:t xml:space="preserve"> our </w:t>
      </w:r>
      <w:r w:rsidR="00364CD5" w:rsidRPr="009E7E1D">
        <w:t xml:space="preserve">approach to </w:t>
      </w:r>
      <w:r w:rsidR="005D5A31" w:rsidRPr="009E7E1D">
        <w:t>the 201</w:t>
      </w:r>
      <w:r w:rsidR="002F56B1" w:rsidRPr="009E7E1D">
        <w:t>7</w:t>
      </w:r>
      <w:r w:rsidR="005D5A31" w:rsidRPr="009E7E1D">
        <w:t xml:space="preserve"> </w:t>
      </w:r>
      <w:r w:rsidRPr="009E7E1D">
        <w:t xml:space="preserve">Gambling Sector </w:t>
      </w:r>
      <w:r w:rsidR="005D5A31" w:rsidRPr="009E7E1D">
        <w:t>Survey (the survey).</w:t>
      </w:r>
    </w:p>
    <w:p w14:paraId="7F9DE334" w14:textId="20A98438" w:rsidR="005D5A31" w:rsidRPr="009E7E1D" w:rsidRDefault="005D5A31" w:rsidP="005D5A31">
      <w:pPr>
        <w:pStyle w:val="Heading3"/>
      </w:pPr>
      <w:bookmarkStart w:id="26" w:name="_Toc505862308"/>
      <w:bookmarkStart w:id="27" w:name="_Toc505862353"/>
      <w:bookmarkStart w:id="28" w:name="_Toc505862421"/>
      <w:r w:rsidRPr="009E7E1D">
        <w:t xml:space="preserve">Survey </w:t>
      </w:r>
      <w:r w:rsidR="00FD13FD">
        <w:t>p</w:t>
      </w:r>
      <w:r w:rsidRPr="009E7E1D">
        <w:t>urpose</w:t>
      </w:r>
      <w:bookmarkEnd w:id="26"/>
      <w:bookmarkEnd w:id="27"/>
      <w:bookmarkEnd w:id="28"/>
    </w:p>
    <w:p w14:paraId="7F9DE335" w14:textId="0F6F5F00" w:rsidR="005D5A31" w:rsidRPr="009E7E1D" w:rsidRDefault="003A1585" w:rsidP="00681B61">
      <w:pPr>
        <w:pStyle w:val="BodyA"/>
      </w:pPr>
      <w:r w:rsidRPr="009E7E1D">
        <w:t>The Department</w:t>
      </w:r>
      <w:r w:rsidR="005D5A31" w:rsidRPr="009E7E1D">
        <w:t xml:space="preserve"> is responsible for the regulation of gambling in New Zealand so that it is safe, fair, legal and honest</w:t>
      </w:r>
      <w:r w:rsidR="009E7E1D" w:rsidRPr="009E7E1D">
        <w:t>.</w:t>
      </w:r>
      <w:r w:rsidR="005D5A31" w:rsidRPr="009E7E1D">
        <w:rPr>
          <w:vertAlign w:val="superscript"/>
        </w:rPr>
        <w:footnoteReference w:id="2"/>
      </w:r>
      <w:r w:rsidR="005D5A31" w:rsidRPr="009E7E1D">
        <w:rPr>
          <w:vertAlign w:val="superscript"/>
        </w:rPr>
        <w:t xml:space="preserve"> </w:t>
      </w:r>
      <w:r w:rsidR="005D5A31" w:rsidRPr="009E7E1D">
        <w:t xml:space="preserve">Stakeholders in </w:t>
      </w:r>
      <w:r w:rsidR="00D563A4" w:rsidRPr="009E7E1D">
        <w:t xml:space="preserve">the </w:t>
      </w:r>
      <w:r w:rsidR="000D4F0E">
        <w:t>c</w:t>
      </w:r>
      <w:r w:rsidR="0005347D" w:rsidRPr="009E7E1D">
        <w:t xml:space="preserve">lass 4 </w:t>
      </w:r>
      <w:r w:rsidR="005D5A31" w:rsidRPr="009E7E1D">
        <w:t xml:space="preserve">gambling </w:t>
      </w:r>
      <w:r w:rsidR="0005347D" w:rsidRPr="009E7E1D">
        <w:t>sector</w:t>
      </w:r>
      <w:r w:rsidR="005D5A31" w:rsidRPr="009E7E1D">
        <w:t xml:space="preserve"> comprise a diverse range of </w:t>
      </w:r>
      <w:proofErr w:type="spellStart"/>
      <w:r w:rsidR="005D5A31" w:rsidRPr="009E7E1D">
        <w:t>organisations</w:t>
      </w:r>
      <w:proofErr w:type="spellEnd"/>
      <w:r w:rsidR="005D5A31" w:rsidRPr="009E7E1D">
        <w:t xml:space="preserve"> and individuals. As a responsible regulator, </w:t>
      </w:r>
      <w:r w:rsidRPr="009E7E1D">
        <w:t>the Department</w:t>
      </w:r>
      <w:r w:rsidR="005D5A31" w:rsidRPr="009E7E1D">
        <w:t xml:space="preserve"> is interested in understanding stakeholder views on their experience engaging and communicating with </w:t>
      </w:r>
      <w:r w:rsidR="0005347D" w:rsidRPr="009E7E1D">
        <w:t>us.</w:t>
      </w:r>
    </w:p>
    <w:p w14:paraId="7F9DE337" w14:textId="282DB6E2" w:rsidR="005D5A31" w:rsidRPr="009E7E1D" w:rsidRDefault="005D5A31" w:rsidP="00681B61">
      <w:pPr>
        <w:pStyle w:val="BodyA"/>
      </w:pPr>
      <w:r w:rsidRPr="009E7E1D">
        <w:t xml:space="preserve">An annual gambling stakeholder survey has been conducted by </w:t>
      </w:r>
      <w:r w:rsidR="003A1585" w:rsidRPr="009E7E1D">
        <w:t xml:space="preserve">the </w:t>
      </w:r>
      <w:r w:rsidR="00F5583D" w:rsidRPr="009E7E1D">
        <w:t>D</w:t>
      </w:r>
      <w:r w:rsidR="003A1585" w:rsidRPr="009E7E1D">
        <w:t>epartment</w:t>
      </w:r>
      <w:r w:rsidR="00F5583D" w:rsidRPr="009E7E1D">
        <w:t xml:space="preserve"> </w:t>
      </w:r>
      <w:r w:rsidRPr="009E7E1D">
        <w:t xml:space="preserve">since 2009. Over this time the main purpose of the survey has consistently been to measure stakeholder perception of and satisfaction with our professional performance as a regulator. We also want to understand how our approach to regulation is perceived by stakeholders. </w:t>
      </w:r>
    </w:p>
    <w:p w14:paraId="7F9DE338" w14:textId="77777777" w:rsidR="005D5A31" w:rsidRPr="009E7E1D" w:rsidRDefault="005D5A31" w:rsidP="005D5A31">
      <w:pPr>
        <w:pStyle w:val="Heading3"/>
      </w:pPr>
      <w:bookmarkStart w:id="29" w:name="_Toc505862309"/>
      <w:bookmarkStart w:id="30" w:name="_Toc505862354"/>
      <w:bookmarkStart w:id="31" w:name="_Toc505862422"/>
      <w:r w:rsidRPr="009E7E1D">
        <w:t>Survey constraints</w:t>
      </w:r>
      <w:bookmarkEnd w:id="29"/>
      <w:bookmarkEnd w:id="30"/>
      <w:bookmarkEnd w:id="31"/>
    </w:p>
    <w:p w14:paraId="7F9DE339" w14:textId="7D2F6B40" w:rsidR="005D5A31" w:rsidRPr="009E7E1D" w:rsidRDefault="005D5A31" w:rsidP="00681B61">
      <w:pPr>
        <w:pStyle w:val="BodyA"/>
      </w:pPr>
      <w:r w:rsidRPr="009E7E1D">
        <w:t xml:space="preserve">The </w:t>
      </w:r>
      <w:r w:rsidR="0056533C" w:rsidRPr="009E7E1D">
        <w:t>s</w:t>
      </w:r>
      <w:r w:rsidRPr="009E7E1D">
        <w:t xml:space="preserve">urvey has been modified from year to year to align with areas of focus and to provide information to </w:t>
      </w:r>
      <w:r w:rsidR="0005347D" w:rsidRPr="009E7E1D">
        <w:t>help</w:t>
      </w:r>
      <w:r w:rsidRPr="009E7E1D">
        <w:t xml:space="preserve"> us in our approach as </w:t>
      </w:r>
      <w:r w:rsidR="00940E0D" w:rsidRPr="009E7E1D">
        <w:t xml:space="preserve">a </w:t>
      </w:r>
      <w:r w:rsidRPr="009E7E1D">
        <w:t xml:space="preserve">responsive regulator. </w:t>
      </w:r>
    </w:p>
    <w:p w14:paraId="7F9DE33A" w14:textId="443D8E98" w:rsidR="005D5A31" w:rsidRPr="002F56B1" w:rsidRDefault="005D5A31" w:rsidP="00681B61">
      <w:pPr>
        <w:pStyle w:val="BodyA"/>
        <w:rPr>
          <w:highlight w:val="yellow"/>
        </w:rPr>
      </w:pPr>
      <w:r w:rsidRPr="009E7E1D">
        <w:t>Due to changes in the survey tool and sample</w:t>
      </w:r>
      <w:r w:rsidR="00355738">
        <w:t xml:space="preserve"> in the last two years</w:t>
      </w:r>
      <w:r w:rsidRPr="009E7E1D">
        <w:t>, longitudinal tr</w:t>
      </w:r>
      <w:r w:rsidR="00641248" w:rsidRPr="009E7E1D">
        <w:t xml:space="preserve">ends have not been </w:t>
      </w:r>
      <w:proofErr w:type="spellStart"/>
      <w:r w:rsidR="00641248" w:rsidRPr="009E7E1D">
        <w:t>emphasised</w:t>
      </w:r>
      <w:proofErr w:type="spellEnd"/>
      <w:r w:rsidR="00641248" w:rsidRPr="009E7E1D">
        <w:t xml:space="preserve">. </w:t>
      </w:r>
      <w:r w:rsidRPr="009E7E1D">
        <w:t xml:space="preserve">In particular, this year </w:t>
      </w:r>
      <w:r w:rsidR="005508C0" w:rsidRPr="009E7E1D">
        <w:t xml:space="preserve">some new questions </w:t>
      </w:r>
      <w:r w:rsidR="00270CF4">
        <w:t>were</w:t>
      </w:r>
      <w:r w:rsidR="005508C0" w:rsidRPr="009E7E1D">
        <w:t xml:space="preserve"> added to </w:t>
      </w:r>
      <w:r w:rsidRPr="009E7E1D">
        <w:t>the survey</w:t>
      </w:r>
      <w:r w:rsidR="00355738">
        <w:t>. In 2016 there were changes made to the stakeholder group – a similar stakeholder group was invited to participate in this year’s survey.</w:t>
      </w:r>
    </w:p>
    <w:p w14:paraId="7F9DE33B" w14:textId="77777777" w:rsidR="005D5A31" w:rsidRPr="009E7E1D" w:rsidRDefault="005D5A31" w:rsidP="005D5A31">
      <w:pPr>
        <w:pStyle w:val="Heading3"/>
      </w:pPr>
      <w:bookmarkStart w:id="32" w:name="_Toc505862310"/>
      <w:bookmarkStart w:id="33" w:name="_Toc505862355"/>
      <w:bookmarkStart w:id="34" w:name="_Toc505862423"/>
      <w:r w:rsidRPr="009E7E1D">
        <w:t>Survey sample</w:t>
      </w:r>
      <w:bookmarkEnd w:id="32"/>
      <w:bookmarkEnd w:id="33"/>
      <w:bookmarkEnd w:id="34"/>
    </w:p>
    <w:p w14:paraId="7F9DE33C" w14:textId="6FD27548" w:rsidR="005D5A31" w:rsidRPr="009E7E1D" w:rsidRDefault="005D5A31" w:rsidP="00681B61">
      <w:pPr>
        <w:pStyle w:val="BodyA"/>
      </w:pPr>
      <w:r w:rsidRPr="009E7E1D">
        <w:t xml:space="preserve">The survey was designed to be answered by a range of stakeholders within the </w:t>
      </w:r>
      <w:r w:rsidR="000D4F0E">
        <w:t>c</w:t>
      </w:r>
      <w:r w:rsidRPr="009E7E1D">
        <w:t xml:space="preserve">lass 4 gambling sector in New Zealand. </w:t>
      </w:r>
      <w:r w:rsidR="005508C0" w:rsidRPr="009E7E1D">
        <w:t xml:space="preserve">Territorial </w:t>
      </w:r>
      <w:r w:rsidR="00B929AA">
        <w:t>a</w:t>
      </w:r>
      <w:r w:rsidR="00B929AA" w:rsidRPr="009E7E1D">
        <w:t xml:space="preserve">uthorities </w:t>
      </w:r>
      <w:r w:rsidR="005508C0" w:rsidRPr="009E7E1D">
        <w:t xml:space="preserve">and some </w:t>
      </w:r>
      <w:r w:rsidR="0013395F">
        <w:t xml:space="preserve">gambling </w:t>
      </w:r>
      <w:r w:rsidR="00270CF4">
        <w:t xml:space="preserve">harm </w:t>
      </w:r>
      <w:r w:rsidR="00270CF4" w:rsidRPr="009E7E1D">
        <w:t>service</w:t>
      </w:r>
      <w:r w:rsidR="005508C0" w:rsidRPr="009E7E1D">
        <w:t xml:space="preserve"> providers </w:t>
      </w:r>
      <w:r w:rsidR="009E7E1D" w:rsidRPr="009E7E1D">
        <w:t>have been included since 2015</w:t>
      </w:r>
      <w:r w:rsidR="005508C0" w:rsidRPr="009E7E1D">
        <w:t xml:space="preserve">. We also continued to include </w:t>
      </w:r>
      <w:r w:rsidR="000D4F0E">
        <w:t>c</w:t>
      </w:r>
      <w:r w:rsidR="0060059E" w:rsidRPr="009E7E1D">
        <w:t>lass 4</w:t>
      </w:r>
      <w:r w:rsidR="005508C0" w:rsidRPr="009E7E1D">
        <w:t xml:space="preserve"> non-club societies and </w:t>
      </w:r>
      <w:r w:rsidR="00940E0D" w:rsidRPr="009E7E1D">
        <w:t>c</w:t>
      </w:r>
      <w:r w:rsidR="0060059E" w:rsidRPr="009E7E1D">
        <w:t>lubs</w:t>
      </w:r>
      <w:r w:rsidR="0005347D" w:rsidRPr="009E7E1D">
        <w:t xml:space="preserve">. </w:t>
      </w:r>
      <w:r w:rsidR="009E7E1D" w:rsidRPr="009E7E1D">
        <w:t>In 2016</w:t>
      </w:r>
      <w:r w:rsidR="0005347D" w:rsidRPr="009E7E1D">
        <w:t xml:space="preserve"> </w:t>
      </w:r>
      <w:r w:rsidR="009E7E1D" w:rsidRPr="009E7E1D">
        <w:t xml:space="preserve">and again in 2017 </w:t>
      </w:r>
      <w:r w:rsidR="0005347D" w:rsidRPr="009E7E1D">
        <w:t xml:space="preserve">we asked each </w:t>
      </w:r>
      <w:r w:rsidR="000D4F0E">
        <w:t>c</w:t>
      </w:r>
      <w:r w:rsidR="005C0C21" w:rsidRPr="009E7E1D">
        <w:t xml:space="preserve">lass 4 non-club society </w:t>
      </w:r>
      <w:r w:rsidR="0005347D" w:rsidRPr="009E7E1D">
        <w:t>to fill in only one survey</w:t>
      </w:r>
      <w:r w:rsidR="009E7E1D" w:rsidRPr="009E7E1D">
        <w:t xml:space="preserve"> to prevent multiple response</w:t>
      </w:r>
      <w:r w:rsidR="009E7E1D">
        <w:t>s</w:t>
      </w:r>
      <w:r w:rsidR="009E7E1D" w:rsidRPr="009E7E1D">
        <w:t xml:space="preserve"> from several people in the same </w:t>
      </w:r>
      <w:proofErr w:type="spellStart"/>
      <w:r w:rsidR="009E7E1D" w:rsidRPr="009E7E1D">
        <w:t>organisation</w:t>
      </w:r>
      <w:proofErr w:type="spellEnd"/>
      <w:r w:rsidR="0005347D" w:rsidRPr="009E7E1D">
        <w:t xml:space="preserve">. </w:t>
      </w:r>
      <w:r w:rsidRPr="009E7E1D">
        <w:t xml:space="preserve">All responses are anonymous. The inclusion of a question identifying the type of </w:t>
      </w:r>
      <w:proofErr w:type="spellStart"/>
      <w:r w:rsidRPr="009E7E1D">
        <w:t>organisation</w:t>
      </w:r>
      <w:proofErr w:type="spellEnd"/>
      <w:r w:rsidRPr="009E7E1D">
        <w:t xml:space="preserve"> being represented provided us with the option to consider this as part of our analysis.</w:t>
      </w:r>
    </w:p>
    <w:p w14:paraId="7F9DE33D" w14:textId="4EF012FA" w:rsidR="005D5A31" w:rsidRPr="009E7E1D" w:rsidRDefault="005D5A31" w:rsidP="00681B61">
      <w:pPr>
        <w:pStyle w:val="BodyA"/>
      </w:pPr>
      <w:r w:rsidRPr="009E7E1D">
        <w:t xml:space="preserve">Stakeholders from the casino </w:t>
      </w:r>
      <w:r w:rsidR="001C38AE">
        <w:t xml:space="preserve">and </w:t>
      </w:r>
      <w:r w:rsidR="000D4F0E">
        <w:t>c</w:t>
      </w:r>
      <w:r w:rsidR="001C38AE">
        <w:t xml:space="preserve">lass 3 </w:t>
      </w:r>
      <w:proofErr w:type="gramStart"/>
      <w:r w:rsidRPr="009E7E1D">
        <w:t>sector</w:t>
      </w:r>
      <w:proofErr w:type="gramEnd"/>
      <w:r w:rsidRPr="009E7E1D">
        <w:t xml:space="preserve"> were not included in this survey sample. </w:t>
      </w:r>
    </w:p>
    <w:p w14:paraId="7F9DE33E" w14:textId="77777777" w:rsidR="005D5A31" w:rsidRPr="0016668B" w:rsidRDefault="005D5A31" w:rsidP="005D5A31">
      <w:pPr>
        <w:pStyle w:val="Heading3"/>
      </w:pPr>
      <w:bookmarkStart w:id="35" w:name="_Toc505862311"/>
      <w:bookmarkStart w:id="36" w:name="_Toc505862356"/>
      <w:bookmarkStart w:id="37" w:name="_Toc505862424"/>
      <w:r w:rsidRPr="0016668B">
        <w:t>Invitation to participate</w:t>
      </w:r>
      <w:bookmarkEnd w:id="35"/>
      <w:bookmarkEnd w:id="36"/>
      <w:bookmarkEnd w:id="37"/>
    </w:p>
    <w:p w14:paraId="7F9DE33F" w14:textId="716BE56F" w:rsidR="006266AC" w:rsidRPr="0016668B" w:rsidRDefault="006266AC" w:rsidP="00681B61">
      <w:pPr>
        <w:pStyle w:val="BodyA"/>
      </w:pPr>
      <w:r w:rsidRPr="0016668B">
        <w:t>Email invitations to participate in the</w:t>
      </w:r>
      <w:r w:rsidR="0016668B" w:rsidRPr="0016668B">
        <w:t xml:space="preserve"> web-based survey were sent to 388</w:t>
      </w:r>
      <w:r w:rsidRPr="0016668B">
        <w:t xml:space="preserve"> individuals, </w:t>
      </w:r>
      <w:r w:rsidR="003F68AB" w:rsidRPr="0016668B">
        <w:t>repr</w:t>
      </w:r>
      <w:r w:rsidR="003F68AB">
        <w:t>e</w:t>
      </w:r>
      <w:r w:rsidR="003F68AB" w:rsidRPr="0016668B">
        <w:t>senting</w:t>
      </w:r>
      <w:r w:rsidR="0016668B" w:rsidRPr="0016668B">
        <w:t xml:space="preserve"> 353</w:t>
      </w:r>
      <w:r w:rsidRPr="0016668B">
        <w:t xml:space="preserve"> </w:t>
      </w:r>
      <w:proofErr w:type="spellStart"/>
      <w:r w:rsidRPr="0016668B">
        <w:t>organisations</w:t>
      </w:r>
      <w:proofErr w:type="spellEnd"/>
      <w:r w:rsidRPr="0016668B">
        <w:t>.</w:t>
      </w:r>
    </w:p>
    <w:p w14:paraId="7F9DE340" w14:textId="33D42EFB" w:rsidR="005D5A31" w:rsidRPr="009E7E1D" w:rsidRDefault="003A1585" w:rsidP="00681B61">
      <w:pPr>
        <w:pStyle w:val="BodyA"/>
      </w:pPr>
      <w:r w:rsidRPr="009E7E1D">
        <w:lastRenderedPageBreak/>
        <w:t xml:space="preserve">The </w:t>
      </w:r>
      <w:r w:rsidR="001B495C" w:rsidRPr="009E7E1D">
        <w:t>Department’s</w:t>
      </w:r>
      <w:r w:rsidR="00E20358" w:rsidRPr="009E7E1D">
        <w:t xml:space="preserve"> </w:t>
      </w:r>
      <w:r w:rsidR="00815FCB" w:rsidRPr="009E7E1D">
        <w:t xml:space="preserve">Gambling </w:t>
      </w:r>
      <w:r w:rsidR="00DE46BC" w:rsidRPr="009E7E1D">
        <w:t xml:space="preserve">Compliance </w:t>
      </w:r>
      <w:r w:rsidR="00F5583D" w:rsidRPr="009E7E1D">
        <w:t>Group</w:t>
      </w:r>
      <w:r w:rsidR="00E20358" w:rsidRPr="009E7E1D">
        <w:t xml:space="preserve"> </w:t>
      </w:r>
      <w:r w:rsidR="005D5A31" w:rsidRPr="009E7E1D">
        <w:t xml:space="preserve">has regular contact with a number of our stakeholders and as a result holds contact detail information for them. </w:t>
      </w:r>
      <w:r w:rsidR="00947E82" w:rsidRPr="009E7E1D">
        <w:t>These details, along with publicly available contact information for additional stakeholders</w:t>
      </w:r>
      <w:r w:rsidR="004B5F89" w:rsidRPr="009E7E1D">
        <w:t>,</w:t>
      </w:r>
      <w:r w:rsidR="00947E82" w:rsidRPr="009E7E1D">
        <w:t xml:space="preserve"> were</w:t>
      </w:r>
      <w:r w:rsidR="005D5A31" w:rsidRPr="009E7E1D">
        <w:t xml:space="preserve"> used to compil</w:t>
      </w:r>
      <w:r w:rsidR="00641248" w:rsidRPr="009E7E1D">
        <w:t>e a list of potential participants</w:t>
      </w:r>
      <w:r w:rsidR="005D5A31" w:rsidRPr="009E7E1D">
        <w:t>.</w:t>
      </w:r>
    </w:p>
    <w:p w14:paraId="7F9DE341" w14:textId="77777777" w:rsidR="005D5A31" w:rsidRPr="00936F65" w:rsidRDefault="005D5A31" w:rsidP="005D5A31">
      <w:pPr>
        <w:pStyle w:val="Heading3"/>
      </w:pPr>
      <w:bookmarkStart w:id="38" w:name="_Toc505862312"/>
      <w:bookmarkStart w:id="39" w:name="_Toc505862357"/>
      <w:bookmarkStart w:id="40" w:name="_Toc505862425"/>
      <w:r w:rsidRPr="00936F65">
        <w:t>Response rate</w:t>
      </w:r>
      <w:bookmarkEnd w:id="38"/>
      <w:bookmarkEnd w:id="39"/>
      <w:bookmarkEnd w:id="40"/>
    </w:p>
    <w:p w14:paraId="7F9DE342" w14:textId="13CC5680" w:rsidR="00605334" w:rsidRPr="00936F65" w:rsidRDefault="00EC75F1" w:rsidP="00681B61">
      <w:pPr>
        <w:pStyle w:val="BodyA"/>
      </w:pPr>
      <w:r w:rsidRPr="00936F65">
        <w:t>E</w:t>
      </w:r>
      <w:r w:rsidR="005D5A31" w:rsidRPr="00936F65">
        <w:t xml:space="preserve">mail invitations were sent to </w:t>
      </w:r>
      <w:r w:rsidR="0016668B">
        <w:t xml:space="preserve">388 </w:t>
      </w:r>
      <w:r w:rsidR="00386050" w:rsidRPr="00936F65">
        <w:t>individuals</w:t>
      </w:r>
      <w:r w:rsidRPr="00936F65">
        <w:t xml:space="preserve"> and </w:t>
      </w:r>
      <w:r w:rsidR="00936F65">
        <w:t>164</w:t>
      </w:r>
      <w:r w:rsidR="00605334" w:rsidRPr="00936F65">
        <w:t xml:space="preserve"> responses were received. This represents a respon</w:t>
      </w:r>
      <w:r w:rsidR="00AE7134" w:rsidRPr="00936F65">
        <w:t xml:space="preserve">se rate </w:t>
      </w:r>
      <w:r w:rsidR="001261D0" w:rsidRPr="0016668B">
        <w:t xml:space="preserve">of </w:t>
      </w:r>
      <w:r w:rsidR="0016668B" w:rsidRPr="0016668B">
        <w:t>42</w:t>
      </w:r>
      <w:r w:rsidR="00B1786D" w:rsidRPr="0016668B">
        <w:t xml:space="preserve"> per</w:t>
      </w:r>
      <w:r w:rsidR="00B1786D" w:rsidRPr="00936F65">
        <w:t xml:space="preserve"> cent</w:t>
      </w:r>
      <w:r w:rsidR="005C59AC" w:rsidRPr="00936F65">
        <w:t>.</w:t>
      </w:r>
    </w:p>
    <w:p w14:paraId="7F9DE343" w14:textId="0DDB381A" w:rsidR="000E4446" w:rsidRPr="00C4059A" w:rsidRDefault="000E4446">
      <w:pPr>
        <w:rPr>
          <w:b/>
        </w:rPr>
      </w:pPr>
      <w:r w:rsidRPr="00C4059A">
        <w:rPr>
          <w:b/>
        </w:rPr>
        <w:t>Figure 1</w:t>
      </w:r>
      <w:r w:rsidR="00654486" w:rsidRPr="00C4059A">
        <w:rPr>
          <w:b/>
        </w:rPr>
        <w:t>:</w:t>
      </w:r>
      <w:r w:rsidR="001D2ABF" w:rsidRPr="00C4059A">
        <w:rPr>
          <w:b/>
        </w:rPr>
        <w:t xml:space="preserve"> Resp</w:t>
      </w:r>
      <w:r w:rsidR="00936F65" w:rsidRPr="00C4059A">
        <w:rPr>
          <w:b/>
        </w:rPr>
        <w:t>onse rate, by organisation type</w:t>
      </w:r>
    </w:p>
    <w:tbl>
      <w:tblPr>
        <w:tblStyle w:val="DIATable"/>
        <w:tblW w:w="8910" w:type="dxa"/>
        <w:tblLook w:val="04A0" w:firstRow="1" w:lastRow="0" w:firstColumn="1" w:lastColumn="0" w:noHBand="0" w:noVBand="1"/>
      </w:tblPr>
      <w:tblGrid>
        <w:gridCol w:w="2092"/>
        <w:gridCol w:w="1704"/>
        <w:gridCol w:w="1705"/>
        <w:gridCol w:w="1704"/>
        <w:gridCol w:w="1705"/>
      </w:tblGrid>
      <w:tr w:rsidR="00BF0301" w:rsidRPr="002F56B1" w14:paraId="7F9DE349" w14:textId="77777777" w:rsidTr="00C4059A">
        <w:trPr>
          <w:cnfStyle w:val="100000000000" w:firstRow="1" w:lastRow="0" w:firstColumn="0" w:lastColumn="0" w:oddVBand="0" w:evenVBand="0" w:oddHBand="0" w:evenHBand="0" w:firstRowFirstColumn="0" w:firstRowLastColumn="0" w:lastRowFirstColumn="0" w:lastRowLastColumn="0"/>
          <w:trHeight w:val="879"/>
        </w:trPr>
        <w:tc>
          <w:tcPr>
            <w:tcW w:w="2092" w:type="dxa"/>
          </w:tcPr>
          <w:p w14:paraId="7F9DE344" w14:textId="77777777" w:rsidR="00BF0301" w:rsidRPr="00936F65" w:rsidRDefault="00BF0301" w:rsidP="005D5A31">
            <w:r w:rsidRPr="00936F65">
              <w:t>Organisation Type</w:t>
            </w:r>
          </w:p>
        </w:tc>
        <w:tc>
          <w:tcPr>
            <w:tcW w:w="1704" w:type="dxa"/>
          </w:tcPr>
          <w:p w14:paraId="7F9DE345" w14:textId="77777777" w:rsidR="00BF0301" w:rsidRPr="00936F65" w:rsidRDefault="00BF0301" w:rsidP="001B7C05">
            <w:pPr>
              <w:jc w:val="center"/>
            </w:pPr>
            <w:r w:rsidRPr="00936F65">
              <w:t>Number of organisations</w:t>
            </w:r>
          </w:p>
        </w:tc>
        <w:tc>
          <w:tcPr>
            <w:tcW w:w="1705" w:type="dxa"/>
            <w:vAlign w:val="center"/>
          </w:tcPr>
          <w:p w14:paraId="7F9DE346" w14:textId="77777777" w:rsidR="00BF0301" w:rsidRPr="00936F65" w:rsidRDefault="00BF0301" w:rsidP="00BF0301">
            <w:pPr>
              <w:jc w:val="center"/>
            </w:pPr>
            <w:r w:rsidRPr="00936F65">
              <w:t>Number of invitations sent</w:t>
            </w:r>
          </w:p>
        </w:tc>
        <w:tc>
          <w:tcPr>
            <w:tcW w:w="1704" w:type="dxa"/>
            <w:vAlign w:val="center"/>
          </w:tcPr>
          <w:p w14:paraId="7F9DE347" w14:textId="77777777" w:rsidR="00BF0301" w:rsidRPr="00936F65" w:rsidRDefault="00BF0301" w:rsidP="00BF0301">
            <w:pPr>
              <w:jc w:val="center"/>
            </w:pPr>
            <w:r w:rsidRPr="00936F65">
              <w:t>Number of responses</w:t>
            </w:r>
          </w:p>
        </w:tc>
        <w:tc>
          <w:tcPr>
            <w:tcW w:w="1705" w:type="dxa"/>
            <w:vAlign w:val="center"/>
          </w:tcPr>
          <w:p w14:paraId="7F9DE348" w14:textId="77777777" w:rsidR="00BF0301" w:rsidRPr="00936F65" w:rsidRDefault="00BF0301" w:rsidP="001B7C05">
            <w:pPr>
              <w:jc w:val="center"/>
            </w:pPr>
            <w:r w:rsidRPr="00936F65">
              <w:t>Response Rate</w:t>
            </w:r>
          </w:p>
        </w:tc>
      </w:tr>
      <w:tr w:rsidR="00BF0301" w:rsidRPr="002F56B1" w14:paraId="7F9DE34F" w14:textId="77777777" w:rsidTr="00C4059A">
        <w:trPr>
          <w:trHeight w:val="603"/>
        </w:trPr>
        <w:tc>
          <w:tcPr>
            <w:tcW w:w="2092" w:type="dxa"/>
          </w:tcPr>
          <w:p w14:paraId="7F9DE34A" w14:textId="77777777" w:rsidR="00BF0301" w:rsidRPr="00936F65" w:rsidRDefault="00BF0301" w:rsidP="005D5A31">
            <w:r w:rsidRPr="00936F65">
              <w:t>Class 4 non-club society</w:t>
            </w:r>
          </w:p>
        </w:tc>
        <w:tc>
          <w:tcPr>
            <w:tcW w:w="1704" w:type="dxa"/>
            <w:vAlign w:val="center"/>
          </w:tcPr>
          <w:p w14:paraId="7F9DE34B" w14:textId="5F46641E" w:rsidR="00BF0301" w:rsidRPr="00936F65" w:rsidRDefault="00970BB9" w:rsidP="00FB2608">
            <w:pPr>
              <w:jc w:val="center"/>
              <w:rPr>
                <w:highlight w:val="yellow"/>
              </w:rPr>
            </w:pPr>
            <w:r>
              <w:t>36</w:t>
            </w:r>
          </w:p>
        </w:tc>
        <w:tc>
          <w:tcPr>
            <w:tcW w:w="1705" w:type="dxa"/>
            <w:vAlign w:val="center"/>
          </w:tcPr>
          <w:p w14:paraId="7F9DE34C" w14:textId="303255EE" w:rsidR="00BF0301" w:rsidRPr="0016668B" w:rsidRDefault="00970BB9" w:rsidP="002A7BE5">
            <w:pPr>
              <w:jc w:val="center"/>
            </w:pPr>
            <w:r w:rsidRPr="0016668B">
              <w:t>42</w:t>
            </w:r>
          </w:p>
        </w:tc>
        <w:tc>
          <w:tcPr>
            <w:tcW w:w="1704" w:type="dxa"/>
            <w:vAlign w:val="center"/>
          </w:tcPr>
          <w:p w14:paraId="7F9DE34D" w14:textId="069B73DC" w:rsidR="00BF0301" w:rsidRPr="0016668B" w:rsidRDefault="00F43FDF" w:rsidP="00BF0301">
            <w:pPr>
              <w:jc w:val="center"/>
            </w:pPr>
            <w:r w:rsidRPr="0016668B">
              <w:t>2</w:t>
            </w:r>
            <w:r w:rsidR="00936F65" w:rsidRPr="0016668B">
              <w:t>4</w:t>
            </w:r>
          </w:p>
        </w:tc>
        <w:tc>
          <w:tcPr>
            <w:tcW w:w="1705" w:type="dxa"/>
            <w:vAlign w:val="center"/>
          </w:tcPr>
          <w:p w14:paraId="7F9DE34E" w14:textId="037B0387" w:rsidR="00BF0301" w:rsidRPr="0016668B" w:rsidRDefault="0016668B" w:rsidP="00AE7134">
            <w:pPr>
              <w:jc w:val="center"/>
            </w:pPr>
            <w:r w:rsidRPr="0016668B">
              <w:t>57</w:t>
            </w:r>
            <w:r w:rsidR="00B1786D" w:rsidRPr="0016668B">
              <w:t>%</w:t>
            </w:r>
          </w:p>
        </w:tc>
      </w:tr>
      <w:tr w:rsidR="00BF0301" w:rsidRPr="002F56B1" w14:paraId="7F9DE355" w14:textId="77777777" w:rsidTr="00C4059A">
        <w:trPr>
          <w:trHeight w:val="342"/>
        </w:trPr>
        <w:tc>
          <w:tcPr>
            <w:tcW w:w="2092" w:type="dxa"/>
          </w:tcPr>
          <w:p w14:paraId="7F9DE350" w14:textId="606C9BD5" w:rsidR="00BF0301" w:rsidRPr="00936F65" w:rsidRDefault="0060059E" w:rsidP="001C2E08">
            <w:r w:rsidRPr="00936F65">
              <w:t>Clubs</w:t>
            </w:r>
          </w:p>
        </w:tc>
        <w:tc>
          <w:tcPr>
            <w:tcW w:w="1704" w:type="dxa"/>
            <w:vAlign w:val="center"/>
          </w:tcPr>
          <w:p w14:paraId="7F9DE351" w14:textId="56C37892" w:rsidR="00BF0301" w:rsidRPr="00936F65" w:rsidRDefault="00970BB9" w:rsidP="00BF0301">
            <w:pPr>
              <w:jc w:val="center"/>
              <w:rPr>
                <w:highlight w:val="yellow"/>
              </w:rPr>
            </w:pPr>
            <w:r>
              <w:t>227</w:t>
            </w:r>
          </w:p>
        </w:tc>
        <w:tc>
          <w:tcPr>
            <w:tcW w:w="1705" w:type="dxa"/>
            <w:vAlign w:val="center"/>
          </w:tcPr>
          <w:p w14:paraId="7F9DE352" w14:textId="25A65377" w:rsidR="00BF0301" w:rsidRPr="0016668B" w:rsidRDefault="00970BB9" w:rsidP="00BF0301">
            <w:pPr>
              <w:jc w:val="center"/>
            </w:pPr>
            <w:r w:rsidRPr="0016668B">
              <w:t>235</w:t>
            </w:r>
          </w:p>
        </w:tc>
        <w:tc>
          <w:tcPr>
            <w:tcW w:w="1704" w:type="dxa"/>
            <w:vAlign w:val="center"/>
          </w:tcPr>
          <w:p w14:paraId="7F9DE353" w14:textId="7C48FBDA" w:rsidR="00BF0301" w:rsidRPr="0016668B" w:rsidRDefault="00936F65" w:rsidP="00AE7134">
            <w:pPr>
              <w:jc w:val="center"/>
            </w:pPr>
            <w:r w:rsidRPr="0016668B">
              <w:t>87</w:t>
            </w:r>
          </w:p>
        </w:tc>
        <w:tc>
          <w:tcPr>
            <w:tcW w:w="1705" w:type="dxa"/>
            <w:vAlign w:val="center"/>
          </w:tcPr>
          <w:p w14:paraId="7F9DE354" w14:textId="4DA0A870" w:rsidR="00BF0301" w:rsidRPr="0016668B" w:rsidRDefault="0056593C" w:rsidP="0056593C">
            <w:pPr>
              <w:jc w:val="center"/>
            </w:pPr>
            <w:r w:rsidRPr="0016668B">
              <w:t>37</w:t>
            </w:r>
            <w:r w:rsidR="00B1786D" w:rsidRPr="0016668B">
              <w:t>%</w:t>
            </w:r>
          </w:p>
        </w:tc>
      </w:tr>
      <w:tr w:rsidR="00BF0301" w:rsidRPr="002F56B1" w14:paraId="7F9DE35B" w14:textId="77777777" w:rsidTr="00C4059A">
        <w:trPr>
          <w:trHeight w:val="603"/>
        </w:trPr>
        <w:tc>
          <w:tcPr>
            <w:tcW w:w="2092" w:type="dxa"/>
          </w:tcPr>
          <w:p w14:paraId="7F9DE356" w14:textId="77777777" w:rsidR="00BF0301" w:rsidRPr="00936F65" w:rsidRDefault="00BF0301" w:rsidP="005D5A31">
            <w:r w:rsidRPr="00936F65">
              <w:t>Territorial Authorities</w:t>
            </w:r>
          </w:p>
        </w:tc>
        <w:tc>
          <w:tcPr>
            <w:tcW w:w="1704" w:type="dxa"/>
            <w:vAlign w:val="center"/>
          </w:tcPr>
          <w:p w14:paraId="7F9DE357" w14:textId="02A1FA93" w:rsidR="00BF0301" w:rsidRPr="00936F65" w:rsidRDefault="00970BB9" w:rsidP="00C84F3A">
            <w:pPr>
              <w:jc w:val="center"/>
              <w:rPr>
                <w:highlight w:val="yellow"/>
              </w:rPr>
            </w:pPr>
            <w:r>
              <w:t>55</w:t>
            </w:r>
          </w:p>
        </w:tc>
        <w:tc>
          <w:tcPr>
            <w:tcW w:w="1705" w:type="dxa"/>
            <w:vAlign w:val="center"/>
          </w:tcPr>
          <w:p w14:paraId="7F9DE358" w14:textId="07F966B1" w:rsidR="00BF0301" w:rsidRPr="0016668B" w:rsidRDefault="0016668B" w:rsidP="00C84F3A">
            <w:pPr>
              <w:jc w:val="center"/>
            </w:pPr>
            <w:r w:rsidRPr="0016668B">
              <w:t>6</w:t>
            </w:r>
            <w:r w:rsidR="000B1B62">
              <w:t>0</w:t>
            </w:r>
          </w:p>
        </w:tc>
        <w:tc>
          <w:tcPr>
            <w:tcW w:w="1704" w:type="dxa"/>
            <w:vAlign w:val="center"/>
          </w:tcPr>
          <w:p w14:paraId="7F9DE359" w14:textId="142033AB" w:rsidR="00BF0301" w:rsidRPr="0016668B" w:rsidRDefault="00BF0301" w:rsidP="00BF0301">
            <w:pPr>
              <w:jc w:val="center"/>
            </w:pPr>
            <w:r w:rsidRPr="0016668B">
              <w:t>3</w:t>
            </w:r>
            <w:r w:rsidR="00936F65" w:rsidRPr="0016668B">
              <w:t>4</w:t>
            </w:r>
          </w:p>
        </w:tc>
        <w:tc>
          <w:tcPr>
            <w:tcW w:w="1705" w:type="dxa"/>
            <w:vAlign w:val="center"/>
          </w:tcPr>
          <w:p w14:paraId="7F9DE35A" w14:textId="75CDA087" w:rsidR="00BF0301" w:rsidRPr="0016668B" w:rsidRDefault="00E54774" w:rsidP="00B1786D">
            <w:pPr>
              <w:jc w:val="center"/>
            </w:pPr>
            <w:r>
              <w:t>57</w:t>
            </w:r>
            <w:r w:rsidR="00B1786D" w:rsidRPr="0016668B">
              <w:t>%</w:t>
            </w:r>
          </w:p>
        </w:tc>
      </w:tr>
      <w:tr w:rsidR="00BF0301" w:rsidRPr="002F56B1" w14:paraId="7F9DE361" w14:textId="77777777" w:rsidTr="00C4059A">
        <w:trPr>
          <w:trHeight w:val="459"/>
        </w:trPr>
        <w:tc>
          <w:tcPr>
            <w:tcW w:w="2092" w:type="dxa"/>
          </w:tcPr>
          <w:p w14:paraId="7F9DE35C" w14:textId="505A7B33" w:rsidR="00BF0301" w:rsidRPr="00936F65" w:rsidRDefault="00BF0301" w:rsidP="005D5A31">
            <w:r w:rsidRPr="00936F65">
              <w:t>Other stakeholders</w:t>
            </w:r>
            <w:r w:rsidR="005B201A" w:rsidRPr="00936F65">
              <w:rPr>
                <w:rStyle w:val="FootnoteReference"/>
              </w:rPr>
              <w:footnoteReference w:id="3"/>
            </w:r>
          </w:p>
        </w:tc>
        <w:tc>
          <w:tcPr>
            <w:tcW w:w="1704" w:type="dxa"/>
            <w:vAlign w:val="center"/>
          </w:tcPr>
          <w:p w14:paraId="7F9DE35D" w14:textId="50C736A2" w:rsidR="00BF0301" w:rsidRPr="00936F65" w:rsidRDefault="00970BB9" w:rsidP="005B201A">
            <w:pPr>
              <w:jc w:val="center"/>
              <w:rPr>
                <w:highlight w:val="yellow"/>
              </w:rPr>
            </w:pPr>
            <w:r w:rsidRPr="00C4059A">
              <w:rPr>
                <w:rFonts w:asciiTheme="minorHAnsi" w:eastAsiaTheme="minorEastAsia" w:hAnsiTheme="minorHAnsi"/>
              </w:rPr>
              <w:t>36</w:t>
            </w:r>
          </w:p>
        </w:tc>
        <w:tc>
          <w:tcPr>
            <w:tcW w:w="1705" w:type="dxa"/>
            <w:vAlign w:val="center"/>
          </w:tcPr>
          <w:p w14:paraId="7F9DE35E" w14:textId="562CBAA3" w:rsidR="00BF0301" w:rsidRPr="0016668B" w:rsidRDefault="00E54774" w:rsidP="00BF0301">
            <w:pPr>
              <w:jc w:val="center"/>
            </w:pPr>
            <w:r>
              <w:t>49</w:t>
            </w:r>
          </w:p>
        </w:tc>
        <w:tc>
          <w:tcPr>
            <w:tcW w:w="1704" w:type="dxa"/>
            <w:vAlign w:val="center"/>
          </w:tcPr>
          <w:p w14:paraId="7F9DE35F" w14:textId="216FA359" w:rsidR="00BF0301" w:rsidRPr="0016668B" w:rsidRDefault="00C33E76" w:rsidP="00BF0301">
            <w:pPr>
              <w:jc w:val="center"/>
            </w:pPr>
            <w:r w:rsidRPr="0016668B">
              <w:t>19</w:t>
            </w:r>
          </w:p>
        </w:tc>
        <w:tc>
          <w:tcPr>
            <w:tcW w:w="1705" w:type="dxa"/>
            <w:vAlign w:val="center"/>
          </w:tcPr>
          <w:p w14:paraId="7F9DE360" w14:textId="40B88ABA" w:rsidR="00BF0301" w:rsidRPr="0016668B" w:rsidRDefault="00E54774" w:rsidP="001B7C05">
            <w:pPr>
              <w:jc w:val="center"/>
            </w:pPr>
            <w:r>
              <w:t>39</w:t>
            </w:r>
            <w:r w:rsidR="00B1786D" w:rsidRPr="0016668B">
              <w:t>%</w:t>
            </w:r>
          </w:p>
        </w:tc>
      </w:tr>
      <w:tr w:rsidR="00BF0301" w:rsidRPr="002F56B1" w14:paraId="7F9DE367" w14:textId="77777777" w:rsidTr="00C4059A">
        <w:trPr>
          <w:trHeight w:val="358"/>
        </w:trPr>
        <w:tc>
          <w:tcPr>
            <w:tcW w:w="2092" w:type="dxa"/>
            <w:shd w:val="clear" w:color="auto" w:fill="auto"/>
          </w:tcPr>
          <w:p w14:paraId="7F9DE362" w14:textId="05DE01B9" w:rsidR="00BF0301" w:rsidRPr="00C4059A" w:rsidRDefault="00F5583D">
            <w:pPr>
              <w:rPr>
                <w:b/>
              </w:rPr>
            </w:pPr>
            <w:r w:rsidRPr="00C4059A">
              <w:rPr>
                <w:b/>
              </w:rPr>
              <w:t>Total</w:t>
            </w:r>
          </w:p>
        </w:tc>
        <w:tc>
          <w:tcPr>
            <w:tcW w:w="1704" w:type="dxa"/>
            <w:shd w:val="clear" w:color="auto" w:fill="auto"/>
            <w:vAlign w:val="center"/>
          </w:tcPr>
          <w:p w14:paraId="7F9DE363" w14:textId="34DE4EB3" w:rsidR="00BF0301" w:rsidRPr="00C4059A" w:rsidRDefault="002A7BE5">
            <w:pPr>
              <w:jc w:val="center"/>
              <w:rPr>
                <w:b/>
                <w:highlight w:val="yellow"/>
              </w:rPr>
            </w:pPr>
            <w:r w:rsidRPr="00C4059A">
              <w:rPr>
                <w:b/>
              </w:rPr>
              <w:t>3</w:t>
            </w:r>
            <w:r w:rsidR="00970BB9" w:rsidRPr="00C4059A">
              <w:rPr>
                <w:b/>
              </w:rPr>
              <w:t>5</w:t>
            </w:r>
            <w:r w:rsidR="000B1B62" w:rsidRPr="00C4059A">
              <w:rPr>
                <w:b/>
              </w:rPr>
              <w:t>5</w:t>
            </w:r>
          </w:p>
        </w:tc>
        <w:tc>
          <w:tcPr>
            <w:tcW w:w="1705" w:type="dxa"/>
            <w:shd w:val="clear" w:color="auto" w:fill="auto"/>
            <w:vAlign w:val="center"/>
          </w:tcPr>
          <w:p w14:paraId="7F9DE364" w14:textId="68ED07A6" w:rsidR="00BF0301" w:rsidRPr="00C4059A" w:rsidRDefault="0017175C">
            <w:pPr>
              <w:jc w:val="center"/>
              <w:rPr>
                <w:b/>
                <w:bCs/>
              </w:rPr>
            </w:pPr>
            <w:r w:rsidRPr="00C4059A">
              <w:rPr>
                <w:b/>
              </w:rPr>
              <w:t>3</w:t>
            </w:r>
            <w:r w:rsidR="0016668B" w:rsidRPr="00C4059A">
              <w:rPr>
                <w:b/>
              </w:rPr>
              <w:t>8</w:t>
            </w:r>
            <w:r w:rsidR="000B1B62" w:rsidRPr="00C4059A">
              <w:rPr>
                <w:b/>
              </w:rPr>
              <w:t>6</w:t>
            </w:r>
          </w:p>
        </w:tc>
        <w:tc>
          <w:tcPr>
            <w:tcW w:w="1704" w:type="dxa"/>
            <w:shd w:val="clear" w:color="auto" w:fill="auto"/>
            <w:vAlign w:val="center"/>
          </w:tcPr>
          <w:p w14:paraId="7F9DE365" w14:textId="35137888" w:rsidR="00BF0301" w:rsidRPr="00C4059A" w:rsidRDefault="00936F65">
            <w:pPr>
              <w:jc w:val="center"/>
              <w:rPr>
                <w:b/>
                <w:bCs/>
              </w:rPr>
            </w:pPr>
            <w:r w:rsidRPr="00C4059A">
              <w:rPr>
                <w:b/>
                <w:bCs/>
              </w:rPr>
              <w:t>16</w:t>
            </w:r>
            <w:r w:rsidR="00C33E76" w:rsidRPr="00C4059A">
              <w:rPr>
                <w:b/>
                <w:bCs/>
              </w:rPr>
              <w:t>4</w:t>
            </w:r>
          </w:p>
        </w:tc>
        <w:tc>
          <w:tcPr>
            <w:tcW w:w="1705" w:type="dxa"/>
            <w:shd w:val="clear" w:color="auto" w:fill="auto"/>
            <w:vAlign w:val="center"/>
          </w:tcPr>
          <w:p w14:paraId="7F9DE366" w14:textId="6946B3B8" w:rsidR="00BF0301" w:rsidRPr="00C4059A" w:rsidRDefault="0016668B">
            <w:pPr>
              <w:jc w:val="center"/>
              <w:rPr>
                <w:b/>
                <w:bCs/>
              </w:rPr>
            </w:pPr>
            <w:r w:rsidRPr="00C4059A">
              <w:rPr>
                <w:b/>
                <w:bCs/>
              </w:rPr>
              <w:t>42</w:t>
            </w:r>
            <w:r w:rsidR="00B1786D" w:rsidRPr="00C4059A">
              <w:rPr>
                <w:b/>
                <w:bCs/>
              </w:rPr>
              <w:t>%</w:t>
            </w:r>
          </w:p>
        </w:tc>
      </w:tr>
    </w:tbl>
    <w:p w14:paraId="7F9DE368" w14:textId="143F3406" w:rsidR="00605334" w:rsidRPr="00936F65" w:rsidRDefault="00F37388" w:rsidP="00681B61">
      <w:pPr>
        <w:pStyle w:val="BodyA"/>
      </w:pPr>
      <w:r w:rsidRPr="00936F65">
        <w:t xml:space="preserve">Figure 1 </w:t>
      </w:r>
      <w:r w:rsidR="00605334" w:rsidRPr="00936F65">
        <w:t xml:space="preserve">shows the number of invitations sent to stakeholder groups and </w:t>
      </w:r>
      <w:r w:rsidR="008D601D" w:rsidRPr="00936F65">
        <w:t>the response rate for each</w:t>
      </w:r>
      <w:r w:rsidR="00605334" w:rsidRPr="00936F65">
        <w:t>.</w:t>
      </w:r>
    </w:p>
    <w:p w14:paraId="7F9DE369" w14:textId="4BB477B9" w:rsidR="00E20358" w:rsidRPr="00936F65" w:rsidRDefault="00936F65" w:rsidP="00681B61">
      <w:pPr>
        <w:pStyle w:val="BodyA"/>
      </w:pPr>
      <w:r w:rsidRPr="00936F65">
        <w:t xml:space="preserve">In 2016, 400 stakeholders were invited to participate and 171 responded, resulting in a response rate of 43 per cent. </w:t>
      </w:r>
      <w:r w:rsidR="00E20358" w:rsidRPr="00936F65">
        <w:t xml:space="preserve">In 2015, 413 stakeholders were invited to participate and 233 responded, </w:t>
      </w:r>
      <w:r w:rsidRPr="00936F65">
        <w:t>which is</w:t>
      </w:r>
      <w:r w:rsidR="00E20358" w:rsidRPr="00936F65">
        <w:t xml:space="preserve"> a response rate of </w:t>
      </w:r>
      <w:r w:rsidR="00B1786D" w:rsidRPr="00936F65">
        <w:t>50 per cent</w:t>
      </w:r>
      <w:r w:rsidR="00E20358" w:rsidRPr="00936F65">
        <w:t xml:space="preserve">. </w:t>
      </w:r>
    </w:p>
    <w:p w14:paraId="7F9DE36D" w14:textId="77777777" w:rsidR="00320350" w:rsidRPr="009E7E1D" w:rsidRDefault="00320350" w:rsidP="00320350">
      <w:pPr>
        <w:pStyle w:val="Heading3"/>
      </w:pPr>
      <w:bookmarkStart w:id="41" w:name="_Toc505862313"/>
      <w:bookmarkStart w:id="42" w:name="_Toc505862358"/>
      <w:bookmarkStart w:id="43" w:name="_Toc505862426"/>
      <w:r w:rsidRPr="009E7E1D">
        <w:t>Survey timing</w:t>
      </w:r>
      <w:bookmarkEnd w:id="41"/>
      <w:bookmarkEnd w:id="42"/>
      <w:bookmarkEnd w:id="43"/>
    </w:p>
    <w:p w14:paraId="7F9DE36E" w14:textId="4DBD21D1" w:rsidR="00320350" w:rsidRPr="009E7E1D" w:rsidRDefault="00320350" w:rsidP="00681B61">
      <w:pPr>
        <w:pStyle w:val="BodyA"/>
      </w:pPr>
      <w:r w:rsidRPr="009E7E1D">
        <w:t xml:space="preserve">The survey was open for responses for a period of two weeks from </w:t>
      </w:r>
      <w:r w:rsidR="00812514">
        <w:t>21</w:t>
      </w:r>
      <w:r w:rsidR="007F2F05" w:rsidRPr="009E7E1D">
        <w:t xml:space="preserve"> September </w:t>
      </w:r>
      <w:r w:rsidR="004B5F89" w:rsidRPr="009E7E1D">
        <w:t>to</w:t>
      </w:r>
      <w:r w:rsidR="000C53FA" w:rsidRPr="009E7E1D">
        <w:t xml:space="preserve"> </w:t>
      </w:r>
      <w:r w:rsidR="007F2F05" w:rsidRPr="009E7E1D">
        <w:t>4</w:t>
      </w:r>
      <w:r w:rsidRPr="009E7E1D">
        <w:t xml:space="preserve"> </w:t>
      </w:r>
      <w:r w:rsidR="002F56B1" w:rsidRPr="009E7E1D">
        <w:t>October</w:t>
      </w:r>
      <w:r w:rsidRPr="009E7E1D">
        <w:t xml:space="preserve"> </w:t>
      </w:r>
      <w:r w:rsidR="002F56B1" w:rsidRPr="009E7E1D">
        <w:t>2017</w:t>
      </w:r>
      <w:r w:rsidRPr="009E7E1D">
        <w:t xml:space="preserve">. Reminder invitation emails were sent at the mid-point and also </w:t>
      </w:r>
      <w:r w:rsidR="00EE0CC3">
        <w:t>the</w:t>
      </w:r>
      <w:r w:rsidRPr="009E7E1D">
        <w:t xml:space="preserve"> </w:t>
      </w:r>
      <w:r w:rsidR="009E7E1D" w:rsidRPr="009E7E1D">
        <w:t>day</w:t>
      </w:r>
      <w:r w:rsidR="007F2F05" w:rsidRPr="009E7E1D">
        <w:t xml:space="preserve"> </w:t>
      </w:r>
      <w:r w:rsidR="00EE0CC3">
        <w:t>that</w:t>
      </w:r>
      <w:r w:rsidRPr="009E7E1D">
        <w:t xml:space="preserve"> the survey closed.</w:t>
      </w:r>
      <w:r w:rsidR="002A5C01">
        <w:t xml:space="preserve"> </w:t>
      </w:r>
    </w:p>
    <w:p w14:paraId="7F9DE36F" w14:textId="77777777" w:rsidR="00320350" w:rsidRPr="004A18D2" w:rsidRDefault="00320350" w:rsidP="00320350">
      <w:pPr>
        <w:pStyle w:val="Heading3"/>
      </w:pPr>
      <w:bookmarkStart w:id="44" w:name="_Toc505862314"/>
      <w:bookmarkStart w:id="45" w:name="_Toc505862359"/>
      <w:bookmarkStart w:id="46" w:name="_Toc505862427"/>
      <w:r w:rsidRPr="004A18D2">
        <w:t>Survey design and results</w:t>
      </w:r>
      <w:bookmarkEnd w:id="44"/>
      <w:bookmarkEnd w:id="45"/>
      <w:bookmarkEnd w:id="46"/>
    </w:p>
    <w:p w14:paraId="7F9DE370" w14:textId="3DFDB8F6" w:rsidR="00EA2C2B" w:rsidRPr="00C4059A" w:rsidRDefault="00320350">
      <w:pPr>
        <w:rPr>
          <w:i/>
        </w:rPr>
      </w:pPr>
      <w:r w:rsidRPr="00C4059A">
        <w:rPr>
          <w:rFonts w:eastAsia="Calibri" w:cs="Calibri"/>
          <w:color w:val="000000"/>
          <w:bdr w:val="nil"/>
          <w:lang w:val="en-US" w:eastAsia="en-NZ"/>
        </w:rPr>
        <w:t xml:space="preserve">The survey </w:t>
      </w:r>
      <w:r w:rsidR="004A18D2" w:rsidRPr="00C4059A">
        <w:rPr>
          <w:rFonts w:eastAsia="Calibri" w:cs="Calibri"/>
          <w:color w:val="000000"/>
          <w:bdr w:val="nil"/>
          <w:lang w:val="en-US" w:eastAsia="en-NZ"/>
        </w:rPr>
        <w:t>had 23</w:t>
      </w:r>
      <w:r w:rsidR="00FB4E24" w:rsidRPr="00C4059A">
        <w:rPr>
          <w:rFonts w:eastAsia="Calibri" w:cs="Calibri"/>
          <w:color w:val="000000"/>
          <w:bdr w:val="nil"/>
          <w:lang w:val="en-US" w:eastAsia="en-NZ"/>
        </w:rPr>
        <w:t xml:space="preserve"> questions. </w:t>
      </w:r>
      <w:r w:rsidRPr="00C4059A">
        <w:rPr>
          <w:rFonts w:eastAsia="Calibri" w:cs="Calibri"/>
          <w:color w:val="000000"/>
          <w:bdr w:val="nil"/>
          <w:lang w:val="en-US" w:eastAsia="en-NZ"/>
        </w:rPr>
        <w:t>Various question formats were used</w:t>
      </w:r>
      <w:r w:rsidR="00131711" w:rsidRPr="00C4059A">
        <w:rPr>
          <w:rFonts w:eastAsia="Calibri" w:cs="Calibri"/>
          <w:color w:val="000000"/>
          <w:bdr w:val="nil"/>
          <w:lang w:val="en-US" w:eastAsia="en-NZ"/>
        </w:rPr>
        <w:t>:</w:t>
      </w:r>
      <w:r w:rsidRPr="00C4059A">
        <w:rPr>
          <w:rFonts w:eastAsia="Calibri" w:cs="Calibri"/>
          <w:color w:val="000000"/>
          <w:bdr w:val="nil"/>
          <w:lang w:val="en-US" w:eastAsia="en-NZ"/>
        </w:rPr>
        <w:t xml:space="preserve"> fixed, rating scale and multi-choice. Up to 1</w:t>
      </w:r>
      <w:r w:rsidR="00EA2C2B" w:rsidRPr="00C4059A">
        <w:rPr>
          <w:rFonts w:eastAsia="Calibri" w:cs="Calibri"/>
          <w:color w:val="000000"/>
          <w:bdr w:val="nil"/>
          <w:lang w:val="en-US" w:eastAsia="en-NZ"/>
        </w:rPr>
        <w:t>6</w:t>
      </w:r>
      <w:r w:rsidRPr="00C4059A">
        <w:rPr>
          <w:rFonts w:eastAsia="Calibri" w:cs="Calibri"/>
          <w:color w:val="000000"/>
          <w:bdr w:val="nil"/>
          <w:lang w:val="en-US" w:eastAsia="en-NZ"/>
        </w:rPr>
        <w:t xml:space="preserve"> questions required selection/s from a choice of answers</w:t>
      </w:r>
      <w:r w:rsidR="004B5F89" w:rsidRPr="00C4059A">
        <w:rPr>
          <w:rFonts w:eastAsia="Calibri" w:cs="Calibri"/>
          <w:color w:val="000000"/>
          <w:bdr w:val="nil"/>
          <w:lang w:val="en-US" w:eastAsia="en-NZ"/>
        </w:rPr>
        <w:t xml:space="preserve">, </w:t>
      </w:r>
      <w:r w:rsidR="00D7197F" w:rsidRPr="00C4059A">
        <w:rPr>
          <w:rFonts w:eastAsia="Calibri" w:cs="Calibri"/>
          <w:color w:val="000000"/>
          <w:bdr w:val="nil"/>
          <w:lang w:val="en-US" w:eastAsia="en-NZ"/>
        </w:rPr>
        <w:t>a number</w:t>
      </w:r>
      <w:r w:rsidR="004B5F89" w:rsidRPr="00C4059A">
        <w:rPr>
          <w:rFonts w:eastAsia="Calibri" w:cs="Calibri"/>
          <w:color w:val="000000"/>
          <w:bdr w:val="nil"/>
          <w:lang w:val="en-US" w:eastAsia="en-NZ"/>
        </w:rPr>
        <w:t xml:space="preserve"> of these also allowed for specific free</w:t>
      </w:r>
      <w:r w:rsidR="004D01C2">
        <w:rPr>
          <w:rFonts w:eastAsia="Calibri" w:cs="Calibri"/>
          <w:color w:val="000000"/>
          <w:bdr w:val="nil"/>
          <w:lang w:val="en-US" w:eastAsia="en-NZ"/>
        </w:rPr>
        <w:t>-</w:t>
      </w:r>
      <w:r w:rsidR="004B5F89" w:rsidRPr="00C4059A">
        <w:rPr>
          <w:rFonts w:eastAsia="Calibri" w:cs="Calibri"/>
          <w:color w:val="000000"/>
          <w:bdr w:val="nil"/>
          <w:lang w:val="en-US" w:eastAsia="en-NZ"/>
        </w:rPr>
        <w:t>text comments to be added</w:t>
      </w:r>
      <w:r w:rsidRPr="00C4059A">
        <w:rPr>
          <w:rFonts w:eastAsia="Calibri" w:cs="Calibri"/>
          <w:color w:val="000000"/>
          <w:bdr w:val="nil"/>
          <w:lang w:val="en-US" w:eastAsia="en-NZ"/>
        </w:rPr>
        <w:t xml:space="preserve">. </w:t>
      </w:r>
      <w:r w:rsidR="004A18D2" w:rsidRPr="00C4059A">
        <w:rPr>
          <w:rFonts w:eastAsia="Calibri" w:cs="Calibri"/>
          <w:color w:val="000000"/>
          <w:bdr w:val="nil"/>
          <w:lang w:val="en-US" w:eastAsia="en-NZ"/>
        </w:rPr>
        <w:t xml:space="preserve">Four </w:t>
      </w:r>
      <w:r w:rsidRPr="00C4059A">
        <w:rPr>
          <w:rFonts w:eastAsia="Calibri" w:cs="Calibri"/>
          <w:color w:val="000000"/>
          <w:bdr w:val="nil"/>
          <w:lang w:val="en-US" w:eastAsia="en-NZ"/>
        </w:rPr>
        <w:t>optional, free</w:t>
      </w:r>
      <w:r w:rsidR="004D01C2">
        <w:rPr>
          <w:rFonts w:eastAsia="Calibri" w:cs="Calibri"/>
          <w:color w:val="000000"/>
          <w:bdr w:val="nil"/>
          <w:lang w:val="en-US" w:eastAsia="en-NZ"/>
        </w:rPr>
        <w:t>-</w:t>
      </w:r>
      <w:r w:rsidRPr="00C4059A">
        <w:rPr>
          <w:rFonts w:eastAsia="Calibri" w:cs="Calibri"/>
          <w:color w:val="000000"/>
          <w:bdr w:val="nil"/>
          <w:lang w:val="en-US" w:eastAsia="en-NZ"/>
        </w:rPr>
        <w:t xml:space="preserve">text questions provided an opportunity for comment in specific areas. </w:t>
      </w:r>
      <w:r w:rsidR="00EA2C2B" w:rsidRPr="00C4059A">
        <w:rPr>
          <w:rFonts w:eastAsia="Calibri" w:cs="Calibri"/>
          <w:color w:val="000000"/>
          <w:bdr w:val="nil"/>
          <w:lang w:val="en-US" w:eastAsia="en-NZ"/>
        </w:rPr>
        <w:t xml:space="preserve">A copy of the survey questions is </w:t>
      </w:r>
      <w:r w:rsidR="00F5583D" w:rsidRPr="00C4059A">
        <w:rPr>
          <w:rFonts w:eastAsia="Calibri" w:cs="Calibri"/>
          <w:color w:val="000000"/>
          <w:bdr w:val="nil"/>
          <w:lang w:val="en-US" w:eastAsia="en-NZ"/>
        </w:rPr>
        <w:t>included on the</w:t>
      </w:r>
      <w:r w:rsidR="00F5583D" w:rsidRPr="004A18D2">
        <w:t xml:space="preserve"> </w:t>
      </w:r>
      <w:hyperlink r:id="rId23" w:anchor="five" w:history="1">
        <w:r w:rsidR="00F5583D" w:rsidRPr="004A18D2">
          <w:rPr>
            <w:rStyle w:val="Hyperlink"/>
          </w:rPr>
          <w:t>D</w:t>
        </w:r>
        <w:r w:rsidR="005A5D66" w:rsidRPr="004A18D2">
          <w:rPr>
            <w:rStyle w:val="Hyperlink"/>
          </w:rPr>
          <w:t xml:space="preserve">epartment of Internal </w:t>
        </w:r>
        <w:r w:rsidR="00F5583D" w:rsidRPr="004A18D2">
          <w:rPr>
            <w:rStyle w:val="Hyperlink"/>
          </w:rPr>
          <w:t>A</w:t>
        </w:r>
        <w:r w:rsidR="005A5D66" w:rsidRPr="004A18D2">
          <w:rPr>
            <w:rStyle w:val="Hyperlink"/>
          </w:rPr>
          <w:t>ffairs’</w:t>
        </w:r>
        <w:r w:rsidR="00F5583D" w:rsidRPr="004A18D2">
          <w:rPr>
            <w:rStyle w:val="Hyperlink"/>
          </w:rPr>
          <w:t xml:space="preserve"> website</w:t>
        </w:r>
      </w:hyperlink>
      <w:r w:rsidR="00EA2C2B" w:rsidRPr="00C4059A">
        <w:rPr>
          <w:i/>
        </w:rPr>
        <w:t>.</w:t>
      </w:r>
    </w:p>
    <w:p w14:paraId="7F9DE371" w14:textId="6D7EE9E9" w:rsidR="00320350" w:rsidRPr="004A18D2" w:rsidRDefault="004A18D2" w:rsidP="00681B61">
      <w:pPr>
        <w:pStyle w:val="BodyA"/>
      </w:pPr>
      <w:r w:rsidRPr="004A18D2">
        <w:lastRenderedPageBreak/>
        <w:t>Thirteen</w:t>
      </w:r>
      <w:r w:rsidR="00E574D6" w:rsidRPr="004A18D2">
        <w:t xml:space="preserve"> </w:t>
      </w:r>
      <w:r w:rsidR="00320350" w:rsidRPr="004A18D2">
        <w:t>questions use a five-point ‘Likert-like’ agree scale. The middle of t</w:t>
      </w:r>
      <w:r w:rsidR="00F34700" w:rsidRPr="004A18D2">
        <w:t xml:space="preserve">he scale is identified as </w:t>
      </w:r>
      <w:r w:rsidR="00320350" w:rsidRPr="004A18D2">
        <w:t>average</w:t>
      </w:r>
      <w:r w:rsidR="00F34700" w:rsidRPr="004A18D2">
        <w:t xml:space="preserve"> or neutral,</w:t>
      </w:r>
      <w:r w:rsidR="00320350" w:rsidRPr="004A18D2">
        <w:t xml:space="preserve"> with the extremes indicating either strong agreement or strong disagreement with the question or proposition.</w:t>
      </w:r>
    </w:p>
    <w:p w14:paraId="7F9DE372" w14:textId="07F30AB2" w:rsidR="00320350" w:rsidRPr="00681B61" w:rsidRDefault="00320350" w:rsidP="00681B61">
      <w:pPr>
        <w:pStyle w:val="BodyA"/>
      </w:pPr>
      <w:r w:rsidRPr="004A18D2">
        <w:t>A sample of comments from open</w:t>
      </w:r>
      <w:r w:rsidR="00AF38AC">
        <w:t>-</w:t>
      </w:r>
      <w:r w:rsidRPr="004A18D2">
        <w:t>ended questions is included so that where applicable some context may be seen in the answer. While it is impractical for all comments to be included, samples have been selected to show the variety of views expressed. The number of examples and total number of comments are shown in brackets after each question.</w:t>
      </w:r>
      <w:r w:rsidRPr="00681B61">
        <w:t xml:space="preserve"> </w:t>
      </w:r>
    </w:p>
    <w:p w14:paraId="7F9DE373" w14:textId="77777777" w:rsidR="00320350" w:rsidRDefault="00320350">
      <w:pPr>
        <w:keepLines w:val="0"/>
        <w:rPr>
          <w:rFonts w:cs="Calibri"/>
          <w:szCs w:val="22"/>
        </w:rPr>
        <w:sectPr w:rsidR="00320350" w:rsidSect="00A523E2">
          <w:pgSz w:w="11907" w:h="16840" w:code="9"/>
          <w:pgMar w:top="1418" w:right="1418" w:bottom="992" w:left="1418" w:header="425" w:footer="641" w:gutter="0"/>
          <w:cols w:space="708"/>
          <w:docGrid w:linePitch="360"/>
        </w:sectPr>
      </w:pPr>
      <w:r>
        <w:rPr>
          <w:rFonts w:cs="Calibri"/>
          <w:szCs w:val="22"/>
        </w:rPr>
        <w:br w:type="page"/>
      </w:r>
    </w:p>
    <w:p w14:paraId="7F9DE374" w14:textId="7794132A" w:rsidR="00654486" w:rsidRDefault="003D283C" w:rsidP="00CE2931">
      <w:pPr>
        <w:pStyle w:val="Heading1"/>
      </w:pPr>
      <w:bookmarkStart w:id="47" w:name="_Toc471392460"/>
      <w:bookmarkStart w:id="48" w:name="_Toc505862428"/>
      <w:r>
        <w:lastRenderedPageBreak/>
        <w:t>Survey r</w:t>
      </w:r>
      <w:r w:rsidR="00654486">
        <w:t>esults</w:t>
      </w:r>
      <w:r>
        <w:t xml:space="preserve"> s</w:t>
      </w:r>
      <w:r w:rsidR="00320350">
        <w:t>ummary</w:t>
      </w:r>
      <w:bookmarkEnd w:id="47"/>
      <w:bookmarkEnd w:id="48"/>
    </w:p>
    <w:p w14:paraId="7F9DE375" w14:textId="3602C329" w:rsidR="005D5A31" w:rsidRPr="00401245" w:rsidRDefault="000D50F6" w:rsidP="00401245">
      <w:pPr>
        <w:pStyle w:val="Heading2"/>
        <w:rPr>
          <w:color w:val="1F546B" w:themeColor="text2"/>
          <w:sz w:val="32"/>
          <w:szCs w:val="32"/>
        </w:rPr>
      </w:pPr>
      <w:bookmarkStart w:id="49" w:name="_Toc471392461"/>
      <w:bookmarkStart w:id="50" w:name="_Toc505862429"/>
      <w:r>
        <w:rPr>
          <w:color w:val="1F546B" w:themeColor="text2"/>
          <w:sz w:val="32"/>
          <w:szCs w:val="32"/>
        </w:rPr>
        <w:t xml:space="preserve">Types of </w:t>
      </w:r>
      <w:r w:rsidR="003D283C">
        <w:rPr>
          <w:color w:val="1F546B" w:themeColor="text2"/>
          <w:sz w:val="32"/>
          <w:szCs w:val="32"/>
        </w:rPr>
        <w:t>o</w:t>
      </w:r>
      <w:r w:rsidR="005D5A31" w:rsidRPr="00401245">
        <w:rPr>
          <w:color w:val="1F546B" w:themeColor="text2"/>
          <w:sz w:val="32"/>
          <w:szCs w:val="32"/>
        </w:rPr>
        <w:t>rganisations</w:t>
      </w:r>
      <w:bookmarkEnd w:id="49"/>
      <w:bookmarkEnd w:id="50"/>
    </w:p>
    <w:p w14:paraId="7F9DE377" w14:textId="7D12B3AE" w:rsidR="006F6E48" w:rsidRPr="00C4059A" w:rsidRDefault="006F6E48">
      <w:pPr>
        <w:pStyle w:val="Bullet"/>
        <w:numPr>
          <w:ilvl w:val="0"/>
          <w:numId w:val="0"/>
        </w:numPr>
        <w:rPr>
          <w:b/>
        </w:rPr>
      </w:pPr>
      <w:r w:rsidRPr="00C4059A">
        <w:rPr>
          <w:b/>
        </w:rPr>
        <w:t>Question</w:t>
      </w:r>
      <w:r w:rsidR="00D76D8D" w:rsidRPr="00C4059A">
        <w:rPr>
          <w:b/>
        </w:rPr>
        <w:t xml:space="preserve"> 1: </w:t>
      </w:r>
      <w:r w:rsidRPr="00C4059A">
        <w:rPr>
          <w:b/>
        </w:rPr>
        <w:t xml:space="preserve">What </w:t>
      </w:r>
      <w:r w:rsidR="009F678F" w:rsidRPr="00C4059A">
        <w:rPr>
          <w:b/>
        </w:rPr>
        <w:t xml:space="preserve">type </w:t>
      </w:r>
      <w:r w:rsidR="00754B10" w:rsidRPr="00C4059A">
        <w:rPr>
          <w:b/>
        </w:rPr>
        <w:t xml:space="preserve">of </w:t>
      </w:r>
      <w:r w:rsidRPr="00C4059A">
        <w:rPr>
          <w:b/>
        </w:rPr>
        <w:t>organisation are you completing this survey on behalf of?</w:t>
      </w:r>
    </w:p>
    <w:p w14:paraId="7F9DE378" w14:textId="70C5904C" w:rsidR="005B45E0" w:rsidRPr="00C4059A" w:rsidRDefault="000E4446">
      <w:pPr>
        <w:pStyle w:val="Bullet"/>
        <w:numPr>
          <w:ilvl w:val="0"/>
          <w:numId w:val="0"/>
        </w:numPr>
        <w:rPr>
          <w:b/>
        </w:rPr>
      </w:pPr>
      <w:r w:rsidRPr="00C4059A">
        <w:rPr>
          <w:b/>
        </w:rPr>
        <w:t>Figure</w:t>
      </w:r>
      <w:r w:rsidRPr="00C4059A">
        <w:rPr>
          <w:b/>
          <w:bCs/>
        </w:rPr>
        <w:t xml:space="preserve"> 2</w:t>
      </w:r>
      <w:r w:rsidR="006F6E48" w:rsidRPr="00C4059A">
        <w:rPr>
          <w:b/>
          <w:bCs/>
        </w:rPr>
        <w:t>: Organisation type</w:t>
      </w:r>
      <w:r w:rsidR="00F42D03" w:rsidRPr="00C4059A">
        <w:rPr>
          <w:rStyle w:val="FootnoteReference"/>
          <w:b/>
        </w:rPr>
        <w:footnoteReference w:id="4"/>
      </w:r>
    </w:p>
    <w:p w14:paraId="4DA796A9" w14:textId="60AAF6D1" w:rsidR="002F56B1" w:rsidRDefault="00037486" w:rsidP="00681B61">
      <w:pPr>
        <w:pStyle w:val="Bullet"/>
        <w:numPr>
          <w:ilvl w:val="0"/>
          <w:numId w:val="0"/>
        </w:numPr>
        <w:spacing w:before="120" w:after="240"/>
        <w:rPr>
          <w:rFonts w:eastAsia="Calibri" w:cs="Calibri"/>
          <w:color w:val="000000"/>
          <w:u w:color="000000"/>
          <w:bdr w:val="nil"/>
          <w:lang w:val="en-US" w:eastAsia="en-NZ"/>
        </w:rPr>
      </w:pPr>
      <w:r>
        <w:rPr>
          <w:noProof/>
          <w:lang w:eastAsia="en-NZ"/>
        </w:rPr>
        <w:drawing>
          <wp:inline distT="0" distB="0" distL="0" distR="0" wp14:anchorId="19CB9B27" wp14:editId="4AFA3209">
            <wp:extent cx="5760085" cy="3139739"/>
            <wp:effectExtent l="0" t="0" r="0" b="381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7F9DE37A" w14:textId="096008A1" w:rsidR="005B45E0" w:rsidRPr="00C4059A" w:rsidRDefault="000E4446" w:rsidP="00C4059A">
      <w:pPr>
        <w:pStyle w:val="Bullet"/>
        <w:numPr>
          <w:ilvl w:val="0"/>
          <w:numId w:val="0"/>
        </w:numPr>
        <w:spacing w:before="120" w:after="240"/>
        <w:rPr>
          <w:rFonts w:eastAsia="Calibri" w:cs="Calibri"/>
          <w:color w:val="000000"/>
          <w:bdr w:val="nil"/>
          <w:lang w:val="en-US" w:eastAsia="en-NZ"/>
        </w:rPr>
      </w:pPr>
      <w:r w:rsidRPr="00C4059A">
        <w:rPr>
          <w:rFonts w:eastAsia="Calibri" w:cs="Calibri"/>
          <w:color w:val="000000"/>
          <w:bdr w:val="nil"/>
          <w:lang w:val="en-US" w:eastAsia="en-NZ"/>
        </w:rPr>
        <w:t>Figure 2</w:t>
      </w:r>
      <w:r w:rsidR="00C828F6" w:rsidRPr="00C4059A">
        <w:rPr>
          <w:rFonts w:eastAsia="Calibri" w:cs="Calibri"/>
          <w:color w:val="000000"/>
          <w:bdr w:val="nil"/>
          <w:lang w:val="en-US" w:eastAsia="en-NZ"/>
        </w:rPr>
        <w:t xml:space="preserve"> shows </w:t>
      </w:r>
      <w:r w:rsidR="005C0C21" w:rsidRPr="00C4059A">
        <w:rPr>
          <w:rFonts w:eastAsia="Calibri" w:cs="Calibri"/>
          <w:color w:val="000000"/>
          <w:bdr w:val="nil"/>
          <w:lang w:val="en-US" w:eastAsia="en-NZ"/>
        </w:rPr>
        <w:t xml:space="preserve">the percentage of respondents from each </w:t>
      </w:r>
      <w:proofErr w:type="spellStart"/>
      <w:r w:rsidR="005C0C21" w:rsidRPr="00C4059A">
        <w:rPr>
          <w:rFonts w:eastAsia="Calibri" w:cs="Calibri"/>
          <w:color w:val="000000"/>
          <w:bdr w:val="nil"/>
          <w:lang w:val="en-US" w:eastAsia="en-NZ"/>
        </w:rPr>
        <w:t>organisation</w:t>
      </w:r>
      <w:proofErr w:type="spellEnd"/>
      <w:r w:rsidR="005C0C21" w:rsidRPr="00C4059A">
        <w:rPr>
          <w:rFonts w:eastAsia="Calibri" w:cs="Calibri"/>
          <w:color w:val="000000"/>
          <w:bdr w:val="nil"/>
          <w:lang w:val="en-US" w:eastAsia="en-NZ"/>
        </w:rPr>
        <w:t xml:space="preserve"> type</w:t>
      </w:r>
      <w:r w:rsidR="00051BD3" w:rsidRPr="00C4059A">
        <w:rPr>
          <w:rFonts w:eastAsia="Calibri" w:cs="Calibri"/>
          <w:color w:val="000000"/>
          <w:bdr w:val="nil"/>
          <w:lang w:val="en-US" w:eastAsia="en-NZ"/>
        </w:rPr>
        <w:t xml:space="preserve">. </w:t>
      </w:r>
    </w:p>
    <w:p w14:paraId="48FE8646" w14:textId="161FF48D" w:rsidR="00770C28" w:rsidRPr="00C4059A" w:rsidRDefault="00770C28" w:rsidP="00C4059A">
      <w:pPr>
        <w:pStyle w:val="Bullet"/>
        <w:numPr>
          <w:ilvl w:val="0"/>
          <w:numId w:val="0"/>
        </w:numPr>
        <w:spacing w:before="120" w:after="240"/>
        <w:rPr>
          <w:rFonts w:eastAsia="Calibri" w:cs="Calibri"/>
          <w:color w:val="000000"/>
          <w:bdr w:val="nil"/>
          <w:lang w:val="en-US" w:eastAsia="en-NZ"/>
        </w:rPr>
      </w:pPr>
      <w:r w:rsidRPr="00C4059A">
        <w:rPr>
          <w:rFonts w:eastAsia="Calibri" w:cs="Calibri"/>
          <w:color w:val="000000"/>
          <w:bdr w:val="nil"/>
          <w:lang w:val="en-US" w:eastAsia="en-NZ"/>
        </w:rPr>
        <w:t xml:space="preserve">The </w:t>
      </w:r>
      <w:r w:rsidR="00037486" w:rsidRPr="00C4059A">
        <w:rPr>
          <w:rFonts w:eastAsia="Calibri" w:cs="Calibri"/>
          <w:color w:val="000000"/>
          <w:bdr w:val="nil"/>
          <w:lang w:val="en-US" w:eastAsia="en-NZ"/>
        </w:rPr>
        <w:t>majority of respondents are</w:t>
      </w:r>
      <w:r w:rsidRPr="00C4059A">
        <w:rPr>
          <w:rFonts w:eastAsia="Calibri" w:cs="Calibri"/>
          <w:color w:val="000000"/>
          <w:bdr w:val="nil"/>
          <w:lang w:val="en-US" w:eastAsia="en-NZ"/>
        </w:rPr>
        <w:t xml:space="preserve"> from </w:t>
      </w:r>
      <w:r w:rsidR="00B929AA">
        <w:rPr>
          <w:rFonts w:eastAsia="Calibri" w:cs="Calibri"/>
          <w:color w:val="000000"/>
          <w:bdr w:val="nil"/>
          <w:lang w:val="en-US" w:eastAsia="en-NZ"/>
        </w:rPr>
        <w:t>c</w:t>
      </w:r>
      <w:r w:rsidR="00B929AA" w:rsidRPr="00C4059A">
        <w:rPr>
          <w:rFonts w:eastAsia="Calibri" w:cs="Calibri"/>
          <w:color w:val="000000"/>
          <w:bdr w:val="nil"/>
          <w:lang w:val="en-US" w:eastAsia="en-NZ"/>
        </w:rPr>
        <w:t xml:space="preserve">lubs </w:t>
      </w:r>
      <w:r w:rsidRPr="00C4059A">
        <w:rPr>
          <w:rFonts w:eastAsia="Calibri" w:cs="Calibri"/>
          <w:color w:val="000000"/>
          <w:bdr w:val="nil"/>
          <w:lang w:val="en-US" w:eastAsia="en-NZ"/>
        </w:rPr>
        <w:t>(53</w:t>
      </w:r>
      <w:r w:rsidR="00B1786D" w:rsidRPr="00C4059A">
        <w:rPr>
          <w:rFonts w:eastAsia="Calibri" w:cs="Calibri"/>
          <w:color w:val="000000"/>
          <w:bdr w:val="nil"/>
          <w:lang w:val="en-US" w:eastAsia="en-NZ"/>
        </w:rPr>
        <w:t xml:space="preserve"> per cent</w:t>
      </w:r>
      <w:r w:rsidRPr="00C4059A">
        <w:rPr>
          <w:rFonts w:eastAsia="Calibri" w:cs="Calibri"/>
          <w:color w:val="000000"/>
          <w:bdr w:val="nil"/>
          <w:lang w:val="en-US" w:eastAsia="en-NZ"/>
        </w:rPr>
        <w:t xml:space="preserve">), followed by </w:t>
      </w:r>
      <w:r w:rsidR="00B929AA">
        <w:rPr>
          <w:rFonts w:eastAsia="Calibri" w:cs="Calibri"/>
          <w:color w:val="000000"/>
          <w:bdr w:val="nil"/>
          <w:lang w:val="en-US" w:eastAsia="en-NZ"/>
        </w:rPr>
        <w:t>t</w:t>
      </w:r>
      <w:r w:rsidR="00B929AA" w:rsidRPr="00C4059A">
        <w:rPr>
          <w:rFonts w:eastAsia="Calibri" w:cs="Calibri"/>
          <w:color w:val="000000"/>
          <w:bdr w:val="nil"/>
          <w:lang w:val="en-US" w:eastAsia="en-NZ"/>
        </w:rPr>
        <w:t xml:space="preserve">erritorial </w:t>
      </w:r>
      <w:r w:rsidR="00B929AA">
        <w:rPr>
          <w:rFonts w:eastAsia="Calibri" w:cs="Calibri"/>
          <w:color w:val="000000"/>
          <w:bdr w:val="nil"/>
          <w:lang w:val="en-US" w:eastAsia="en-NZ"/>
        </w:rPr>
        <w:t>a</w:t>
      </w:r>
      <w:r w:rsidR="00B929AA" w:rsidRPr="00C4059A">
        <w:rPr>
          <w:rFonts w:eastAsia="Calibri" w:cs="Calibri"/>
          <w:color w:val="000000"/>
          <w:bdr w:val="nil"/>
          <w:lang w:val="en-US" w:eastAsia="en-NZ"/>
        </w:rPr>
        <w:t xml:space="preserve">uthorities </w:t>
      </w:r>
      <w:r w:rsidRPr="00C4059A">
        <w:rPr>
          <w:rFonts w:eastAsia="Calibri" w:cs="Calibri"/>
          <w:color w:val="000000"/>
          <w:bdr w:val="nil"/>
          <w:lang w:val="en-US" w:eastAsia="en-NZ"/>
        </w:rPr>
        <w:t>(2</w:t>
      </w:r>
      <w:r w:rsidR="00F45048" w:rsidRPr="00C4059A">
        <w:rPr>
          <w:rFonts w:eastAsia="Calibri" w:cs="Calibri"/>
          <w:color w:val="000000"/>
          <w:bdr w:val="nil"/>
          <w:lang w:val="en-US" w:eastAsia="en-NZ"/>
        </w:rPr>
        <w:t>1 per cent</w:t>
      </w:r>
      <w:r w:rsidRPr="00C4059A">
        <w:rPr>
          <w:rFonts w:eastAsia="Calibri" w:cs="Calibri"/>
          <w:color w:val="000000"/>
          <w:bdr w:val="nil"/>
          <w:lang w:val="en-US" w:eastAsia="en-NZ"/>
        </w:rPr>
        <w:t xml:space="preserve">) and </w:t>
      </w:r>
      <w:r w:rsidR="00982C46" w:rsidRPr="00C4059A">
        <w:rPr>
          <w:rFonts w:eastAsia="Calibri" w:cs="Calibri"/>
          <w:color w:val="000000"/>
          <w:bdr w:val="nil"/>
          <w:lang w:val="en-US" w:eastAsia="en-NZ"/>
        </w:rPr>
        <w:t>c</w:t>
      </w:r>
      <w:r w:rsidRPr="00C4059A">
        <w:rPr>
          <w:rFonts w:eastAsia="Calibri" w:cs="Calibri"/>
          <w:color w:val="000000"/>
          <w:bdr w:val="nil"/>
          <w:lang w:val="en-US" w:eastAsia="en-NZ"/>
        </w:rPr>
        <w:t>lass 4 non-club societies (15</w:t>
      </w:r>
      <w:r w:rsidR="00B1786D" w:rsidRPr="00C4059A">
        <w:rPr>
          <w:rFonts w:eastAsia="Calibri" w:cs="Calibri"/>
          <w:color w:val="000000"/>
          <w:bdr w:val="nil"/>
          <w:lang w:val="en-US" w:eastAsia="en-NZ"/>
        </w:rPr>
        <w:t xml:space="preserve"> per cent</w:t>
      </w:r>
      <w:r w:rsidRPr="00C4059A">
        <w:rPr>
          <w:rFonts w:eastAsia="Calibri" w:cs="Calibri"/>
          <w:color w:val="000000"/>
          <w:bdr w:val="nil"/>
          <w:lang w:val="en-US" w:eastAsia="en-NZ"/>
        </w:rPr>
        <w:t xml:space="preserve">). </w:t>
      </w:r>
      <w:r w:rsidR="009A66D2" w:rsidRPr="00C4059A">
        <w:rPr>
          <w:rFonts w:eastAsia="Calibri" w:cs="Calibri"/>
          <w:color w:val="000000"/>
          <w:bdr w:val="nil"/>
          <w:lang w:val="en-US" w:eastAsia="en-NZ"/>
        </w:rPr>
        <w:t xml:space="preserve">The makeup of </w:t>
      </w:r>
      <w:proofErr w:type="spellStart"/>
      <w:r w:rsidR="009A66D2" w:rsidRPr="00C4059A">
        <w:rPr>
          <w:rFonts w:eastAsia="Calibri" w:cs="Calibri"/>
          <w:color w:val="000000"/>
          <w:bdr w:val="nil"/>
          <w:lang w:val="en-US" w:eastAsia="en-NZ"/>
        </w:rPr>
        <w:t>organisation</w:t>
      </w:r>
      <w:proofErr w:type="spellEnd"/>
      <w:r w:rsidR="009A66D2" w:rsidRPr="00C4059A">
        <w:rPr>
          <w:rFonts w:eastAsia="Calibri" w:cs="Calibri"/>
          <w:color w:val="000000"/>
          <w:bdr w:val="nil"/>
          <w:lang w:val="en-US" w:eastAsia="en-NZ"/>
        </w:rPr>
        <w:t xml:space="preserve"> type is very similar to 2016.</w:t>
      </w:r>
    </w:p>
    <w:p w14:paraId="4BEE5171" w14:textId="77777777" w:rsidR="00770C28" w:rsidRDefault="00770C28">
      <w:pPr>
        <w:keepLines w:val="0"/>
        <w:rPr>
          <w:rFonts w:cs="Arial"/>
          <w:b/>
          <w:bCs/>
          <w:iCs/>
          <w:color w:val="1F546B" w:themeColor="text2"/>
          <w:sz w:val="32"/>
          <w:szCs w:val="32"/>
        </w:rPr>
      </w:pPr>
      <w:r>
        <w:rPr>
          <w:color w:val="1F546B" w:themeColor="text2"/>
          <w:sz w:val="32"/>
          <w:szCs w:val="32"/>
        </w:rPr>
        <w:br w:type="page"/>
      </w:r>
    </w:p>
    <w:p w14:paraId="7F9DE380" w14:textId="64DE3805" w:rsidR="00F41DA4" w:rsidRPr="00401245" w:rsidRDefault="00CA5D88" w:rsidP="00401245">
      <w:pPr>
        <w:pStyle w:val="Heading2"/>
        <w:rPr>
          <w:color w:val="1F546B" w:themeColor="text2"/>
          <w:sz w:val="32"/>
          <w:szCs w:val="32"/>
        </w:rPr>
      </w:pPr>
      <w:bookmarkStart w:id="51" w:name="_Toc471392462"/>
      <w:bookmarkStart w:id="52" w:name="_Toc505862430"/>
      <w:r w:rsidRPr="00401245">
        <w:rPr>
          <w:color w:val="1F546B" w:themeColor="text2"/>
          <w:sz w:val="32"/>
          <w:szCs w:val="32"/>
        </w:rPr>
        <w:lastRenderedPageBreak/>
        <w:t xml:space="preserve">Contacting </w:t>
      </w:r>
      <w:r w:rsidR="00617307">
        <w:rPr>
          <w:color w:val="1F546B" w:themeColor="text2"/>
          <w:sz w:val="32"/>
          <w:szCs w:val="32"/>
        </w:rPr>
        <w:t>the Department</w:t>
      </w:r>
      <w:bookmarkEnd w:id="51"/>
      <w:bookmarkEnd w:id="52"/>
    </w:p>
    <w:p w14:paraId="7F9DE381" w14:textId="4990D091" w:rsidR="00F34700" w:rsidRPr="00C4059A" w:rsidRDefault="002C2341">
      <w:pPr>
        <w:rPr>
          <w:b/>
        </w:rPr>
      </w:pPr>
      <w:r w:rsidRPr="00C4059A">
        <w:rPr>
          <w:b/>
        </w:rPr>
        <w:t>Question 2</w:t>
      </w:r>
      <w:r w:rsidR="00D1379E" w:rsidRPr="00C4059A">
        <w:rPr>
          <w:b/>
        </w:rPr>
        <w:t xml:space="preserve">: </w:t>
      </w:r>
      <w:r w:rsidR="00CD3C63" w:rsidRPr="00C4059A">
        <w:rPr>
          <w:b/>
        </w:rPr>
        <w:t>How do you</w:t>
      </w:r>
      <w:r w:rsidR="003A1585" w:rsidRPr="00C4059A">
        <w:rPr>
          <w:b/>
        </w:rPr>
        <w:t xml:space="preserve"> prefer to contact the Department</w:t>
      </w:r>
      <w:r w:rsidR="00D1379E" w:rsidRPr="00C4059A">
        <w:rPr>
          <w:b/>
        </w:rPr>
        <w:t xml:space="preserve">’s </w:t>
      </w:r>
      <w:r w:rsidR="00F92768" w:rsidRPr="00C4059A">
        <w:rPr>
          <w:b/>
        </w:rPr>
        <w:t xml:space="preserve">Gambling Compliance </w:t>
      </w:r>
      <w:r w:rsidR="00D1379E" w:rsidRPr="00C4059A">
        <w:rPr>
          <w:b/>
        </w:rPr>
        <w:t>Group, should you need to?</w:t>
      </w:r>
    </w:p>
    <w:p w14:paraId="7F9DE382" w14:textId="77777777" w:rsidR="00D76D8D" w:rsidRPr="00C4059A" w:rsidRDefault="00D76D8D" w:rsidP="00C4059A">
      <w:pPr>
        <w:spacing w:after="120"/>
        <w:rPr>
          <w:b/>
          <w:bCs/>
        </w:rPr>
      </w:pPr>
      <w:r w:rsidRPr="00C4059A">
        <w:rPr>
          <w:b/>
          <w:bCs/>
        </w:rPr>
        <w:t>Figure 3</w:t>
      </w:r>
      <w:r w:rsidR="00224F8E" w:rsidRPr="00C4059A">
        <w:rPr>
          <w:b/>
          <w:bCs/>
        </w:rPr>
        <w:t>: Preferred contact method</w:t>
      </w:r>
    </w:p>
    <w:p w14:paraId="3BBB0C71" w14:textId="64BC06B3" w:rsidR="002F56B1" w:rsidRDefault="00AB772C" w:rsidP="002F56B1">
      <w:pPr>
        <w:pStyle w:val="Bullet"/>
        <w:numPr>
          <w:ilvl w:val="0"/>
          <w:numId w:val="0"/>
        </w:numPr>
        <w:spacing w:before="120" w:after="240"/>
        <w:rPr>
          <w:rFonts w:eastAsia="Calibri" w:cs="Calibri"/>
          <w:color w:val="000000"/>
          <w:u w:color="000000"/>
          <w:bdr w:val="nil"/>
          <w:lang w:val="en-US" w:eastAsia="en-NZ"/>
        </w:rPr>
      </w:pPr>
      <w:r>
        <w:rPr>
          <w:noProof/>
          <w:lang w:eastAsia="en-NZ"/>
        </w:rPr>
        <w:drawing>
          <wp:inline distT="0" distB="0" distL="0" distR="0" wp14:anchorId="704E2F4D" wp14:editId="6838D2BD">
            <wp:extent cx="5709684" cy="3317359"/>
            <wp:effectExtent l="0" t="0" r="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7F9DE384" w14:textId="07BB381E" w:rsidR="00D1379E" w:rsidRPr="00C4059A" w:rsidRDefault="000E4446" w:rsidP="00C4059A">
      <w:pPr>
        <w:pStyle w:val="Bullet"/>
        <w:numPr>
          <w:ilvl w:val="0"/>
          <w:numId w:val="0"/>
        </w:numPr>
        <w:spacing w:before="120" w:after="240"/>
        <w:rPr>
          <w:rFonts w:eastAsia="Calibri" w:cs="Calibri"/>
          <w:color w:val="000000"/>
          <w:bdr w:val="nil"/>
          <w:lang w:val="en-US" w:eastAsia="en-NZ"/>
        </w:rPr>
      </w:pPr>
      <w:r w:rsidRPr="00C4059A">
        <w:rPr>
          <w:rFonts w:eastAsia="Calibri" w:cs="Calibri"/>
          <w:color w:val="000000"/>
          <w:bdr w:val="nil"/>
          <w:lang w:val="en-US" w:eastAsia="en-NZ"/>
        </w:rPr>
        <w:t>Figure 3</w:t>
      </w:r>
      <w:r w:rsidR="00D1379E" w:rsidRPr="00C4059A">
        <w:rPr>
          <w:rFonts w:eastAsia="Calibri" w:cs="Calibri"/>
          <w:color w:val="000000"/>
          <w:bdr w:val="nil"/>
          <w:lang w:val="en-US" w:eastAsia="en-NZ"/>
        </w:rPr>
        <w:t xml:space="preserve"> shows </w:t>
      </w:r>
      <w:r w:rsidR="002C2341" w:rsidRPr="00C4059A">
        <w:rPr>
          <w:rFonts w:eastAsia="Calibri" w:cs="Calibri"/>
          <w:color w:val="000000"/>
          <w:bdr w:val="nil"/>
          <w:lang w:val="en-US" w:eastAsia="en-NZ"/>
        </w:rPr>
        <w:t xml:space="preserve">the </w:t>
      </w:r>
      <w:r w:rsidR="00923C2B" w:rsidRPr="00C4059A">
        <w:rPr>
          <w:rFonts w:eastAsia="Calibri" w:cs="Calibri"/>
          <w:color w:val="000000"/>
          <w:bdr w:val="nil"/>
          <w:lang w:val="en-US" w:eastAsia="en-NZ"/>
        </w:rPr>
        <w:t xml:space="preserve">percentage </w:t>
      </w:r>
      <w:r w:rsidR="002C2341" w:rsidRPr="00C4059A">
        <w:rPr>
          <w:rFonts w:eastAsia="Calibri" w:cs="Calibri"/>
          <w:color w:val="000000"/>
          <w:bdr w:val="nil"/>
          <w:lang w:val="en-US" w:eastAsia="en-NZ"/>
        </w:rPr>
        <w:t xml:space="preserve">of </w:t>
      </w:r>
      <w:r w:rsidR="00571DFB" w:rsidRPr="00C4059A">
        <w:rPr>
          <w:rFonts w:eastAsia="Calibri" w:cs="Calibri"/>
          <w:color w:val="000000"/>
          <w:bdr w:val="nil"/>
          <w:lang w:val="en-US" w:eastAsia="en-NZ"/>
        </w:rPr>
        <w:t xml:space="preserve">respondents who selected </w:t>
      </w:r>
      <w:r w:rsidR="00D1379E" w:rsidRPr="00C4059A">
        <w:rPr>
          <w:rFonts w:eastAsia="Calibri" w:cs="Calibri"/>
          <w:color w:val="000000"/>
          <w:bdr w:val="nil"/>
          <w:lang w:val="en-US" w:eastAsia="en-NZ"/>
        </w:rPr>
        <w:t>each of the contact options.</w:t>
      </w:r>
    </w:p>
    <w:p w14:paraId="7F9DE386" w14:textId="5EA94359" w:rsidR="00547990" w:rsidRPr="00C4059A" w:rsidRDefault="00F22AB5" w:rsidP="00C4059A">
      <w:pPr>
        <w:pStyle w:val="Bullet"/>
        <w:numPr>
          <w:ilvl w:val="0"/>
          <w:numId w:val="0"/>
        </w:numPr>
        <w:spacing w:before="120" w:after="240"/>
        <w:rPr>
          <w:rFonts w:eastAsia="Calibri" w:cs="Calibri"/>
          <w:color w:val="000000"/>
          <w:bdr w:val="nil"/>
          <w:lang w:val="en-US" w:eastAsia="en-NZ"/>
        </w:rPr>
      </w:pPr>
      <w:r w:rsidRPr="00C4059A">
        <w:rPr>
          <w:rFonts w:eastAsia="Calibri" w:cs="Calibri"/>
          <w:color w:val="000000"/>
          <w:bdr w:val="nil"/>
          <w:lang w:val="en-US" w:eastAsia="en-NZ"/>
        </w:rPr>
        <w:t xml:space="preserve">Respondents were able </w:t>
      </w:r>
      <w:r w:rsidR="0023567C" w:rsidRPr="00C4059A">
        <w:rPr>
          <w:rFonts w:eastAsia="Calibri" w:cs="Calibri"/>
          <w:color w:val="000000"/>
          <w:bdr w:val="nil"/>
          <w:lang w:val="en-US" w:eastAsia="en-NZ"/>
        </w:rPr>
        <w:t xml:space="preserve">to </w:t>
      </w:r>
      <w:r w:rsidR="007C0DBF" w:rsidRPr="00C4059A">
        <w:rPr>
          <w:rFonts w:eastAsia="Calibri" w:cs="Calibri"/>
          <w:color w:val="000000"/>
          <w:bdr w:val="nil"/>
          <w:lang w:val="en-US" w:eastAsia="en-NZ"/>
        </w:rPr>
        <w:t>choose more than one</w:t>
      </w:r>
      <w:r w:rsidR="0051410E" w:rsidRPr="00C4059A">
        <w:rPr>
          <w:rFonts w:eastAsia="Calibri" w:cs="Calibri"/>
          <w:color w:val="000000"/>
          <w:bdr w:val="nil"/>
          <w:lang w:val="en-US" w:eastAsia="en-NZ"/>
        </w:rPr>
        <w:t xml:space="preserve"> preference</w:t>
      </w:r>
      <w:r w:rsidR="007C0DBF" w:rsidRPr="00C4059A">
        <w:rPr>
          <w:rFonts w:eastAsia="Calibri" w:cs="Calibri"/>
          <w:color w:val="000000"/>
          <w:bdr w:val="nil"/>
          <w:lang w:val="en-US" w:eastAsia="en-NZ"/>
        </w:rPr>
        <w:t xml:space="preserve"> </w:t>
      </w:r>
      <w:r w:rsidR="00547990" w:rsidRPr="00C4059A">
        <w:rPr>
          <w:rFonts w:eastAsia="Calibri" w:cs="Calibri"/>
          <w:color w:val="000000"/>
          <w:bdr w:val="nil"/>
          <w:lang w:val="en-US" w:eastAsia="en-NZ"/>
        </w:rPr>
        <w:t>and a</w:t>
      </w:r>
      <w:r w:rsidR="007C0DBF" w:rsidRPr="00C4059A">
        <w:rPr>
          <w:rFonts w:eastAsia="Calibri" w:cs="Calibri"/>
          <w:color w:val="000000"/>
          <w:bdr w:val="nil"/>
          <w:lang w:val="en-US" w:eastAsia="en-NZ"/>
        </w:rPr>
        <w:t xml:space="preserve"> t</w:t>
      </w:r>
      <w:r w:rsidR="0003260E" w:rsidRPr="00C4059A">
        <w:rPr>
          <w:rFonts w:eastAsia="Calibri" w:cs="Calibri"/>
          <w:color w:val="000000"/>
          <w:bdr w:val="nil"/>
          <w:lang w:val="en-US" w:eastAsia="en-NZ"/>
        </w:rPr>
        <w:t xml:space="preserve">otal of </w:t>
      </w:r>
      <w:r w:rsidR="004651DD" w:rsidRPr="00C4059A">
        <w:rPr>
          <w:rFonts w:eastAsia="Calibri" w:cs="Calibri"/>
          <w:color w:val="000000"/>
          <w:bdr w:val="nil"/>
          <w:lang w:val="en-US" w:eastAsia="en-NZ"/>
        </w:rPr>
        <w:t>264</w:t>
      </w:r>
      <w:r w:rsidRPr="00C4059A">
        <w:rPr>
          <w:rFonts w:eastAsia="Calibri" w:cs="Calibri"/>
          <w:color w:val="000000"/>
          <w:bdr w:val="nil"/>
          <w:lang w:val="en-US" w:eastAsia="en-NZ"/>
        </w:rPr>
        <w:t xml:space="preserve"> selections </w:t>
      </w:r>
      <w:r w:rsidR="00547990" w:rsidRPr="00C4059A">
        <w:rPr>
          <w:rFonts w:eastAsia="Calibri" w:cs="Calibri"/>
          <w:color w:val="000000"/>
          <w:bdr w:val="nil"/>
          <w:lang w:val="en-US" w:eastAsia="en-NZ"/>
        </w:rPr>
        <w:t xml:space="preserve">were </w:t>
      </w:r>
      <w:r w:rsidRPr="00C4059A">
        <w:rPr>
          <w:rFonts w:eastAsia="Calibri" w:cs="Calibri"/>
          <w:color w:val="000000"/>
          <w:bdr w:val="nil"/>
          <w:lang w:val="en-US" w:eastAsia="en-NZ"/>
        </w:rPr>
        <w:t>made</w:t>
      </w:r>
      <w:r w:rsidR="007C0DBF" w:rsidRPr="00C4059A">
        <w:rPr>
          <w:rFonts w:eastAsia="Calibri" w:cs="Calibri"/>
          <w:color w:val="000000"/>
          <w:bdr w:val="nil"/>
          <w:lang w:val="en-US" w:eastAsia="en-NZ"/>
        </w:rPr>
        <w:t xml:space="preserve"> by </w:t>
      </w:r>
      <w:r w:rsidR="00466AA4" w:rsidRPr="00C4059A">
        <w:rPr>
          <w:rFonts w:eastAsia="Calibri" w:cs="Calibri"/>
          <w:color w:val="000000"/>
          <w:bdr w:val="nil"/>
          <w:lang w:val="en-US" w:eastAsia="en-NZ"/>
        </w:rPr>
        <w:t>1</w:t>
      </w:r>
      <w:r w:rsidR="004651DD" w:rsidRPr="00C4059A">
        <w:rPr>
          <w:rFonts w:eastAsia="Calibri" w:cs="Calibri"/>
          <w:color w:val="000000"/>
          <w:bdr w:val="nil"/>
          <w:lang w:val="en-US" w:eastAsia="en-NZ"/>
        </w:rPr>
        <w:t>6</w:t>
      </w:r>
      <w:r w:rsidR="008C7715" w:rsidRPr="00C4059A">
        <w:rPr>
          <w:rFonts w:eastAsia="Calibri" w:cs="Calibri"/>
          <w:color w:val="000000"/>
          <w:bdr w:val="nil"/>
          <w:lang w:val="en-US" w:eastAsia="en-NZ"/>
        </w:rPr>
        <w:t>1</w:t>
      </w:r>
      <w:r w:rsidR="007C0DBF" w:rsidRPr="00C4059A">
        <w:rPr>
          <w:rFonts w:eastAsia="Calibri" w:cs="Calibri"/>
          <w:color w:val="000000"/>
          <w:bdr w:val="nil"/>
          <w:lang w:val="en-US" w:eastAsia="en-NZ"/>
        </w:rPr>
        <w:t xml:space="preserve"> respondents</w:t>
      </w:r>
      <w:r w:rsidR="00216416" w:rsidRPr="00C4059A">
        <w:rPr>
          <w:rFonts w:eastAsia="Calibri" w:cs="Calibri"/>
          <w:color w:val="000000"/>
          <w:bdr w:val="nil"/>
          <w:lang w:val="en-US" w:eastAsia="en-NZ"/>
        </w:rPr>
        <w:t>.</w:t>
      </w:r>
    </w:p>
    <w:p w14:paraId="7F9DE388" w14:textId="0E821BCB" w:rsidR="00B27B05" w:rsidRPr="00C4059A" w:rsidRDefault="0003260E" w:rsidP="00C4059A">
      <w:pPr>
        <w:pStyle w:val="Bullet"/>
        <w:numPr>
          <w:ilvl w:val="0"/>
          <w:numId w:val="0"/>
        </w:numPr>
        <w:spacing w:before="120" w:after="240"/>
        <w:rPr>
          <w:rFonts w:eastAsia="Calibri" w:cs="Calibri"/>
          <w:color w:val="000000"/>
          <w:bdr w:val="nil"/>
          <w:lang w:val="en-US" w:eastAsia="en-NZ"/>
        </w:rPr>
      </w:pPr>
      <w:r w:rsidRPr="00C4059A">
        <w:rPr>
          <w:rFonts w:eastAsia="Calibri" w:cs="Calibri"/>
          <w:color w:val="000000"/>
          <w:bdr w:val="nil"/>
          <w:lang w:val="en-US" w:eastAsia="en-NZ"/>
        </w:rPr>
        <w:t>Email</w:t>
      </w:r>
      <w:r w:rsidR="004651DD" w:rsidRPr="00C4059A">
        <w:rPr>
          <w:rFonts w:eastAsia="Calibri" w:cs="Calibri"/>
          <w:color w:val="000000"/>
          <w:bdr w:val="nil"/>
          <w:lang w:val="en-US" w:eastAsia="en-NZ"/>
        </w:rPr>
        <w:t xml:space="preserve"> (87 </w:t>
      </w:r>
      <w:r w:rsidR="00B1786D" w:rsidRPr="00C4059A">
        <w:rPr>
          <w:rFonts w:eastAsia="Calibri" w:cs="Calibri"/>
          <w:color w:val="000000"/>
          <w:bdr w:val="nil"/>
          <w:lang w:val="en-US" w:eastAsia="en-NZ"/>
        </w:rPr>
        <w:t>per cent</w:t>
      </w:r>
      <w:r w:rsidR="00700615" w:rsidRPr="00C4059A">
        <w:rPr>
          <w:rFonts w:eastAsia="Calibri" w:cs="Calibri"/>
          <w:color w:val="000000"/>
          <w:bdr w:val="nil"/>
          <w:lang w:val="en-US" w:eastAsia="en-NZ"/>
        </w:rPr>
        <w:t>)</w:t>
      </w:r>
      <w:r w:rsidRPr="00C4059A">
        <w:rPr>
          <w:rFonts w:eastAsia="Calibri" w:cs="Calibri"/>
          <w:color w:val="000000"/>
          <w:bdr w:val="nil"/>
          <w:lang w:val="en-US" w:eastAsia="en-NZ"/>
        </w:rPr>
        <w:t xml:space="preserve"> is the preferr</w:t>
      </w:r>
      <w:r w:rsidR="00700615" w:rsidRPr="00C4059A">
        <w:rPr>
          <w:rFonts w:eastAsia="Calibri" w:cs="Calibri"/>
          <w:color w:val="000000"/>
          <w:bdr w:val="nil"/>
          <w:lang w:val="en-US" w:eastAsia="en-NZ"/>
        </w:rPr>
        <w:t xml:space="preserve">ed method of contacting </w:t>
      </w:r>
      <w:r w:rsidR="005A5D66" w:rsidRPr="00C4059A">
        <w:rPr>
          <w:rFonts w:eastAsia="Calibri" w:cs="Calibri"/>
          <w:color w:val="000000"/>
          <w:bdr w:val="nil"/>
          <w:lang w:val="en-US" w:eastAsia="en-NZ"/>
        </w:rPr>
        <w:t>the Department</w:t>
      </w:r>
      <w:r w:rsidR="00700615" w:rsidRPr="00C4059A">
        <w:rPr>
          <w:rFonts w:eastAsia="Calibri" w:cs="Calibri"/>
          <w:color w:val="000000"/>
          <w:bdr w:val="nil"/>
          <w:lang w:val="en-US" w:eastAsia="en-NZ"/>
        </w:rPr>
        <w:t xml:space="preserve"> followed</w:t>
      </w:r>
      <w:r w:rsidR="00146E78" w:rsidRPr="00C4059A">
        <w:rPr>
          <w:rFonts w:eastAsia="Calibri" w:cs="Calibri"/>
          <w:color w:val="000000"/>
          <w:bdr w:val="nil"/>
          <w:lang w:val="en-US" w:eastAsia="en-NZ"/>
        </w:rPr>
        <w:t xml:space="preserve"> by phone</w:t>
      </w:r>
      <w:r w:rsidR="004651DD" w:rsidRPr="00C4059A">
        <w:rPr>
          <w:rFonts w:eastAsia="Calibri" w:cs="Calibri"/>
          <w:color w:val="000000"/>
          <w:bdr w:val="nil"/>
          <w:lang w:val="en-US" w:eastAsia="en-NZ"/>
        </w:rPr>
        <w:t xml:space="preserve"> (</w:t>
      </w:r>
      <w:r w:rsidR="009A66D2" w:rsidRPr="00C4059A">
        <w:rPr>
          <w:rFonts w:eastAsia="Calibri" w:cs="Calibri"/>
          <w:color w:val="000000"/>
          <w:bdr w:val="nil"/>
          <w:lang w:val="en-US" w:eastAsia="en-NZ"/>
        </w:rPr>
        <w:t>50</w:t>
      </w:r>
      <w:r w:rsidR="00B1786D" w:rsidRPr="00C4059A">
        <w:rPr>
          <w:rFonts w:eastAsia="Calibri" w:cs="Calibri"/>
          <w:color w:val="000000"/>
          <w:bdr w:val="nil"/>
          <w:lang w:val="en-US" w:eastAsia="en-NZ"/>
        </w:rPr>
        <w:t xml:space="preserve"> per cent</w:t>
      </w:r>
      <w:r w:rsidR="00700615" w:rsidRPr="00C4059A">
        <w:rPr>
          <w:rFonts w:eastAsia="Calibri" w:cs="Calibri"/>
          <w:color w:val="000000"/>
          <w:bdr w:val="nil"/>
          <w:lang w:val="en-US" w:eastAsia="en-NZ"/>
        </w:rPr>
        <w:t>)</w:t>
      </w:r>
      <w:r w:rsidR="00B27B05" w:rsidRPr="00C4059A">
        <w:rPr>
          <w:rFonts w:eastAsia="Calibri" w:cs="Calibri"/>
          <w:color w:val="000000"/>
          <w:bdr w:val="nil"/>
          <w:lang w:val="en-US" w:eastAsia="en-NZ"/>
        </w:rPr>
        <w:t xml:space="preserve">. </w:t>
      </w:r>
      <w:r w:rsidR="00E178BE" w:rsidRPr="00C4059A">
        <w:rPr>
          <w:rFonts w:eastAsia="Calibri" w:cs="Calibri"/>
          <w:color w:val="000000"/>
          <w:bdr w:val="nil"/>
          <w:lang w:val="en-US" w:eastAsia="en-NZ"/>
        </w:rPr>
        <w:t>This follows a similar</w:t>
      </w:r>
      <w:r w:rsidR="0097069F" w:rsidRPr="00C4059A">
        <w:rPr>
          <w:rFonts w:eastAsia="Calibri" w:cs="Calibri"/>
          <w:color w:val="000000"/>
          <w:bdr w:val="nil"/>
          <w:lang w:val="en-US" w:eastAsia="en-NZ"/>
        </w:rPr>
        <w:t xml:space="preserve"> overall </w:t>
      </w:r>
      <w:r w:rsidR="00E178BE" w:rsidRPr="00C4059A">
        <w:rPr>
          <w:rFonts w:eastAsia="Calibri" w:cs="Calibri"/>
          <w:color w:val="000000"/>
          <w:bdr w:val="nil"/>
          <w:lang w:val="en-US" w:eastAsia="en-NZ"/>
        </w:rPr>
        <w:t>pattern to 201</w:t>
      </w:r>
      <w:r w:rsidR="004651DD" w:rsidRPr="00C4059A">
        <w:rPr>
          <w:rFonts w:eastAsia="Calibri" w:cs="Calibri"/>
          <w:color w:val="000000"/>
          <w:bdr w:val="nil"/>
          <w:lang w:val="en-US" w:eastAsia="en-NZ"/>
        </w:rPr>
        <w:t>6</w:t>
      </w:r>
      <w:r w:rsidR="00700615" w:rsidRPr="00C4059A">
        <w:rPr>
          <w:rFonts w:eastAsia="Calibri" w:cs="Calibri"/>
          <w:color w:val="000000"/>
          <w:bdr w:val="nil"/>
          <w:lang w:val="en-US" w:eastAsia="en-NZ"/>
        </w:rPr>
        <w:t xml:space="preserve"> where</w:t>
      </w:r>
      <w:r w:rsidR="00E178BE" w:rsidRPr="00C4059A">
        <w:rPr>
          <w:rFonts w:eastAsia="Calibri" w:cs="Calibri"/>
          <w:color w:val="000000"/>
          <w:bdr w:val="nil"/>
          <w:lang w:val="en-US" w:eastAsia="en-NZ"/>
        </w:rPr>
        <w:t xml:space="preserve"> </w:t>
      </w:r>
      <w:r w:rsidR="004651DD" w:rsidRPr="00C4059A">
        <w:rPr>
          <w:rFonts w:eastAsia="Calibri" w:cs="Calibri"/>
          <w:color w:val="000000"/>
          <w:bdr w:val="nil"/>
          <w:lang w:val="en-US" w:eastAsia="en-NZ"/>
        </w:rPr>
        <w:t>email (84</w:t>
      </w:r>
      <w:r w:rsidR="00B1786D" w:rsidRPr="00C4059A">
        <w:rPr>
          <w:rFonts w:eastAsia="Calibri" w:cs="Calibri"/>
          <w:color w:val="000000"/>
          <w:bdr w:val="nil"/>
          <w:lang w:val="en-US" w:eastAsia="en-NZ"/>
        </w:rPr>
        <w:t xml:space="preserve"> per cent</w:t>
      </w:r>
      <w:r w:rsidR="0097069F" w:rsidRPr="00C4059A">
        <w:rPr>
          <w:rFonts w:eastAsia="Calibri" w:cs="Calibri"/>
          <w:color w:val="000000"/>
          <w:bdr w:val="nil"/>
          <w:lang w:val="en-US" w:eastAsia="en-NZ"/>
        </w:rPr>
        <w:t xml:space="preserve">) </w:t>
      </w:r>
      <w:r w:rsidR="00E178BE" w:rsidRPr="00C4059A">
        <w:rPr>
          <w:rFonts w:eastAsia="Calibri" w:cs="Calibri"/>
          <w:color w:val="000000"/>
          <w:bdr w:val="nil"/>
          <w:lang w:val="en-US" w:eastAsia="en-NZ"/>
        </w:rPr>
        <w:t>and phone</w:t>
      </w:r>
      <w:r w:rsidR="00AD6620" w:rsidRPr="00C4059A">
        <w:rPr>
          <w:rFonts w:eastAsia="Calibri" w:cs="Calibri"/>
          <w:color w:val="000000"/>
          <w:bdr w:val="nil"/>
          <w:lang w:val="en-US" w:eastAsia="en-NZ"/>
        </w:rPr>
        <w:t xml:space="preserve"> (53</w:t>
      </w:r>
      <w:r w:rsidR="00B1786D" w:rsidRPr="00C4059A">
        <w:rPr>
          <w:rFonts w:eastAsia="Calibri" w:cs="Calibri"/>
          <w:color w:val="000000"/>
          <w:bdr w:val="nil"/>
          <w:lang w:val="en-US" w:eastAsia="en-NZ"/>
        </w:rPr>
        <w:t xml:space="preserve"> per cent</w:t>
      </w:r>
      <w:r w:rsidR="0097069F" w:rsidRPr="00C4059A">
        <w:rPr>
          <w:rFonts w:eastAsia="Calibri" w:cs="Calibri"/>
          <w:color w:val="000000"/>
          <w:bdr w:val="nil"/>
          <w:lang w:val="en-US" w:eastAsia="en-NZ"/>
        </w:rPr>
        <w:t>)</w:t>
      </w:r>
      <w:r w:rsidR="00E178BE" w:rsidRPr="00C4059A">
        <w:rPr>
          <w:rFonts w:eastAsia="Calibri" w:cs="Calibri"/>
          <w:color w:val="000000"/>
          <w:bdr w:val="nil"/>
          <w:lang w:val="en-US" w:eastAsia="en-NZ"/>
        </w:rPr>
        <w:t xml:space="preserve"> were the most popular choices.</w:t>
      </w:r>
      <w:r w:rsidR="00700615" w:rsidRPr="00C4059A">
        <w:rPr>
          <w:rFonts w:eastAsia="Calibri" w:cs="Calibri"/>
          <w:color w:val="000000"/>
          <w:bdr w:val="nil"/>
          <w:lang w:val="en-US" w:eastAsia="en-NZ"/>
        </w:rPr>
        <w:t xml:space="preserve"> </w:t>
      </w:r>
    </w:p>
    <w:p w14:paraId="7F9DE38B" w14:textId="010DCBA6" w:rsidR="00DA57A5" w:rsidRDefault="00AC3B7C" w:rsidP="00681B61">
      <w:pPr>
        <w:pStyle w:val="Bullet"/>
        <w:numPr>
          <w:ilvl w:val="0"/>
          <w:numId w:val="0"/>
        </w:numPr>
        <w:spacing w:before="120" w:after="240"/>
      </w:pPr>
      <w:r w:rsidRPr="00C4059A">
        <w:rPr>
          <w:rFonts w:eastAsia="Calibri" w:cs="Calibri"/>
          <w:color w:val="000000"/>
          <w:bdr w:val="nil"/>
          <w:lang w:val="en-US" w:eastAsia="en-NZ"/>
        </w:rPr>
        <w:t>T</w:t>
      </w:r>
      <w:r w:rsidR="00700615" w:rsidRPr="00C4059A">
        <w:rPr>
          <w:rFonts w:eastAsia="Calibri" w:cs="Calibri"/>
          <w:color w:val="000000"/>
          <w:bdr w:val="nil"/>
          <w:lang w:val="en-US" w:eastAsia="en-NZ"/>
        </w:rPr>
        <w:t xml:space="preserve">he preference for </w:t>
      </w:r>
      <w:r w:rsidR="004651DD" w:rsidRPr="00C4059A">
        <w:rPr>
          <w:rFonts w:eastAsia="Calibri" w:cs="Calibri"/>
          <w:color w:val="000000"/>
          <w:bdr w:val="nil"/>
          <w:lang w:val="en-US" w:eastAsia="en-NZ"/>
        </w:rPr>
        <w:t>face-to-face contact has</w:t>
      </w:r>
      <w:r w:rsidR="00365464" w:rsidRPr="00C4059A">
        <w:rPr>
          <w:rFonts w:eastAsia="Calibri" w:cs="Calibri"/>
          <w:color w:val="000000"/>
          <w:bdr w:val="nil"/>
          <w:lang w:val="en-US" w:eastAsia="en-NZ"/>
        </w:rPr>
        <w:t xml:space="preserve"> risen slightly to 13 per cent in 2017 from</w:t>
      </w:r>
      <w:r w:rsidR="004651DD" w:rsidRPr="00C4059A">
        <w:rPr>
          <w:rFonts w:eastAsia="Calibri" w:cs="Calibri"/>
          <w:color w:val="000000"/>
          <w:bdr w:val="nil"/>
          <w:lang w:val="en-US" w:eastAsia="en-NZ"/>
        </w:rPr>
        <w:t xml:space="preserve"> 12 per cent in 2016. Th</w:t>
      </w:r>
      <w:r w:rsidR="009C627B" w:rsidRPr="00C4059A">
        <w:rPr>
          <w:rFonts w:eastAsia="Calibri" w:cs="Calibri"/>
          <w:color w:val="000000"/>
          <w:bdr w:val="nil"/>
          <w:lang w:val="en-US" w:eastAsia="en-NZ"/>
        </w:rPr>
        <w:t xml:space="preserve">e preference for </w:t>
      </w:r>
      <w:r w:rsidR="004651DD" w:rsidRPr="00C4059A">
        <w:rPr>
          <w:rFonts w:eastAsia="Calibri" w:cs="Calibri"/>
          <w:color w:val="000000"/>
          <w:bdr w:val="nil"/>
          <w:lang w:val="en-US" w:eastAsia="en-NZ"/>
        </w:rPr>
        <w:t>a named</w:t>
      </w:r>
      <w:r w:rsidR="00BD3244" w:rsidRPr="00C4059A">
        <w:rPr>
          <w:rFonts w:eastAsia="Calibri" w:cs="Calibri"/>
          <w:color w:val="000000"/>
          <w:bdr w:val="nil"/>
          <w:lang w:val="en-US" w:eastAsia="en-NZ"/>
        </w:rPr>
        <w:t xml:space="preserve"> contact</w:t>
      </w:r>
      <w:r w:rsidR="00700615" w:rsidRPr="00C4059A">
        <w:rPr>
          <w:rFonts w:eastAsia="Calibri" w:cs="Calibri"/>
          <w:color w:val="000000"/>
          <w:bdr w:val="nil"/>
          <w:lang w:val="en-US" w:eastAsia="en-NZ"/>
        </w:rPr>
        <w:t xml:space="preserve"> has dropped </w:t>
      </w:r>
      <w:r w:rsidR="004651DD" w:rsidRPr="00C4059A">
        <w:rPr>
          <w:rFonts w:eastAsia="Calibri" w:cs="Calibri"/>
          <w:color w:val="000000"/>
          <w:bdr w:val="nil"/>
          <w:lang w:val="en-US" w:eastAsia="en-NZ"/>
        </w:rPr>
        <w:t>from 14</w:t>
      </w:r>
      <w:r w:rsidR="00B1786D" w:rsidRPr="00C4059A">
        <w:rPr>
          <w:rFonts w:eastAsia="Calibri" w:cs="Calibri"/>
          <w:color w:val="000000"/>
          <w:bdr w:val="nil"/>
          <w:lang w:val="en-US" w:eastAsia="en-NZ"/>
        </w:rPr>
        <w:t xml:space="preserve"> per cent</w:t>
      </w:r>
      <w:r w:rsidR="009A66D2" w:rsidRPr="00C4059A">
        <w:rPr>
          <w:rFonts w:eastAsia="Calibri" w:cs="Calibri"/>
          <w:color w:val="000000"/>
          <w:bdr w:val="nil"/>
          <w:lang w:val="en-US" w:eastAsia="en-NZ"/>
        </w:rPr>
        <w:t xml:space="preserve"> last year to 12</w:t>
      </w:r>
      <w:r w:rsidR="00B1786D" w:rsidRPr="00C4059A">
        <w:rPr>
          <w:rFonts w:eastAsia="Calibri" w:cs="Calibri"/>
          <w:color w:val="000000"/>
          <w:bdr w:val="nil"/>
          <w:lang w:val="en-US" w:eastAsia="en-NZ"/>
        </w:rPr>
        <w:t xml:space="preserve"> per cent</w:t>
      </w:r>
      <w:r w:rsidR="009C627B" w:rsidRPr="00C4059A">
        <w:rPr>
          <w:rFonts w:eastAsia="Calibri" w:cs="Calibri"/>
          <w:color w:val="000000"/>
          <w:bdr w:val="nil"/>
          <w:lang w:val="en-US" w:eastAsia="en-NZ"/>
        </w:rPr>
        <w:t xml:space="preserve"> </w:t>
      </w:r>
      <w:r w:rsidR="007310D2" w:rsidRPr="00C4059A">
        <w:rPr>
          <w:rFonts w:eastAsia="Calibri" w:cs="Calibri"/>
          <w:color w:val="000000"/>
          <w:bdr w:val="nil"/>
          <w:lang w:val="en-US" w:eastAsia="en-NZ"/>
        </w:rPr>
        <w:t>this year</w:t>
      </w:r>
      <w:r w:rsidR="009C627B" w:rsidRPr="00C4059A">
        <w:rPr>
          <w:rFonts w:eastAsia="Calibri" w:cs="Calibri"/>
          <w:color w:val="000000"/>
          <w:bdr w:val="nil"/>
          <w:lang w:val="en-US" w:eastAsia="en-NZ"/>
        </w:rPr>
        <w:t>.</w:t>
      </w:r>
      <w:r w:rsidR="002A5C01" w:rsidRPr="00C4059A">
        <w:rPr>
          <w:rFonts w:eastAsia="Calibri" w:cs="Calibri"/>
          <w:color w:val="000000"/>
          <w:highlight w:val="yellow"/>
          <w:bdr w:val="nil"/>
          <w:lang w:val="en-US" w:eastAsia="en-NZ"/>
        </w:rPr>
        <w:t xml:space="preserve"> </w:t>
      </w:r>
    </w:p>
    <w:p w14:paraId="7F9DE38C" w14:textId="04D35E0E" w:rsidR="00547990" w:rsidRPr="00C4059A" w:rsidRDefault="00547990">
      <w:pPr>
        <w:pStyle w:val="Bullet"/>
        <w:numPr>
          <w:ilvl w:val="0"/>
          <w:numId w:val="0"/>
        </w:numPr>
        <w:rPr>
          <w:b/>
        </w:rPr>
      </w:pPr>
      <w:r w:rsidRPr="00C4059A">
        <w:rPr>
          <w:b/>
        </w:rPr>
        <w:t>Q</w:t>
      </w:r>
      <w:r w:rsidR="00D1379E" w:rsidRPr="00C4059A">
        <w:rPr>
          <w:b/>
        </w:rPr>
        <w:t>uestion</w:t>
      </w:r>
      <w:r w:rsidR="002C2341" w:rsidRPr="00C4059A">
        <w:rPr>
          <w:b/>
        </w:rPr>
        <w:t xml:space="preserve"> 3</w:t>
      </w:r>
      <w:r w:rsidRPr="00C4059A">
        <w:rPr>
          <w:b/>
        </w:rPr>
        <w:t xml:space="preserve">: Have you contacted </w:t>
      </w:r>
      <w:r w:rsidR="003A1585" w:rsidRPr="00C4059A">
        <w:rPr>
          <w:b/>
        </w:rPr>
        <w:t xml:space="preserve">the </w:t>
      </w:r>
      <w:r w:rsidR="00B1786D" w:rsidRPr="00C4059A">
        <w:rPr>
          <w:b/>
        </w:rPr>
        <w:t>Department over</w:t>
      </w:r>
      <w:r w:rsidRPr="00C4059A">
        <w:rPr>
          <w:b/>
        </w:rPr>
        <w:t xml:space="preserve"> the past 12 months?</w:t>
      </w:r>
    </w:p>
    <w:p w14:paraId="7F9DE38D" w14:textId="0DA21322" w:rsidR="00547990" w:rsidRPr="00C4059A" w:rsidRDefault="004521FE" w:rsidP="00C4059A">
      <w:pPr>
        <w:pStyle w:val="Bullet"/>
        <w:numPr>
          <w:ilvl w:val="0"/>
          <w:numId w:val="0"/>
        </w:numPr>
        <w:spacing w:before="120" w:after="240"/>
        <w:rPr>
          <w:rFonts w:eastAsia="Calibri" w:cs="Calibri"/>
          <w:color w:val="000000"/>
          <w:bdr w:val="nil"/>
          <w:lang w:val="en-US" w:eastAsia="en-NZ"/>
        </w:rPr>
      </w:pPr>
      <w:r w:rsidRPr="00C4059A">
        <w:rPr>
          <w:rFonts w:eastAsia="Calibri" w:cs="Calibri"/>
          <w:color w:val="000000"/>
          <w:bdr w:val="nil"/>
          <w:lang w:val="en-US" w:eastAsia="en-NZ"/>
        </w:rPr>
        <w:t xml:space="preserve">The majority </w:t>
      </w:r>
      <w:r w:rsidR="00F95AAE" w:rsidRPr="00C4059A">
        <w:rPr>
          <w:rFonts w:eastAsia="Calibri" w:cs="Calibri"/>
          <w:color w:val="000000"/>
          <w:bdr w:val="nil"/>
          <w:lang w:val="en-US" w:eastAsia="en-NZ"/>
        </w:rPr>
        <w:t xml:space="preserve">of </w:t>
      </w:r>
      <w:r w:rsidR="00B27B05" w:rsidRPr="00C4059A">
        <w:rPr>
          <w:rFonts w:eastAsia="Calibri" w:cs="Calibri"/>
          <w:color w:val="000000"/>
          <w:bdr w:val="nil"/>
          <w:lang w:val="en-US" w:eastAsia="en-NZ"/>
        </w:rPr>
        <w:t>the</w:t>
      </w:r>
      <w:r w:rsidR="00F95AAE" w:rsidRPr="00C4059A">
        <w:rPr>
          <w:rFonts w:eastAsia="Calibri" w:cs="Calibri"/>
          <w:color w:val="000000"/>
          <w:bdr w:val="nil"/>
          <w:lang w:val="en-US" w:eastAsia="en-NZ"/>
        </w:rPr>
        <w:t xml:space="preserve"> respondents had contacted </w:t>
      </w:r>
      <w:r w:rsidR="005A5D66" w:rsidRPr="00C4059A">
        <w:rPr>
          <w:rFonts w:eastAsia="Calibri" w:cs="Calibri"/>
          <w:color w:val="000000"/>
          <w:bdr w:val="nil"/>
          <w:lang w:val="en-US" w:eastAsia="en-NZ"/>
        </w:rPr>
        <w:t xml:space="preserve">the Department </w:t>
      </w:r>
      <w:r w:rsidR="00F95AAE" w:rsidRPr="00C4059A">
        <w:rPr>
          <w:rFonts w:eastAsia="Calibri" w:cs="Calibri"/>
          <w:color w:val="000000"/>
          <w:bdr w:val="nil"/>
          <w:lang w:val="en-US" w:eastAsia="en-NZ"/>
        </w:rPr>
        <w:t>over the past 12 months</w:t>
      </w:r>
      <w:r w:rsidR="004651DD" w:rsidRPr="00C4059A">
        <w:rPr>
          <w:rFonts w:eastAsia="Calibri" w:cs="Calibri"/>
          <w:color w:val="000000"/>
          <w:bdr w:val="nil"/>
          <w:lang w:val="en-US" w:eastAsia="en-NZ"/>
        </w:rPr>
        <w:t xml:space="preserve"> (7</w:t>
      </w:r>
      <w:r w:rsidR="00891A29" w:rsidRPr="00C4059A">
        <w:rPr>
          <w:rFonts w:eastAsia="Calibri" w:cs="Calibri"/>
          <w:color w:val="000000"/>
          <w:bdr w:val="nil"/>
          <w:lang w:val="en-US" w:eastAsia="en-NZ"/>
        </w:rPr>
        <w:t>6</w:t>
      </w:r>
      <w:r w:rsidR="00B1786D" w:rsidRPr="00C4059A">
        <w:rPr>
          <w:rFonts w:eastAsia="Calibri" w:cs="Calibri"/>
          <w:color w:val="000000"/>
          <w:bdr w:val="nil"/>
          <w:lang w:val="en-US" w:eastAsia="en-NZ"/>
        </w:rPr>
        <w:t xml:space="preserve"> per cent</w:t>
      </w:r>
      <w:r w:rsidRPr="00C4059A">
        <w:rPr>
          <w:rFonts w:eastAsia="Calibri" w:cs="Calibri"/>
          <w:color w:val="000000"/>
          <w:bdr w:val="nil"/>
          <w:lang w:val="en-US" w:eastAsia="en-NZ"/>
        </w:rPr>
        <w:t>)</w:t>
      </w:r>
      <w:r w:rsidR="00F95AAE" w:rsidRPr="00C4059A">
        <w:rPr>
          <w:rFonts w:eastAsia="Calibri" w:cs="Calibri"/>
          <w:color w:val="000000"/>
          <w:bdr w:val="nil"/>
          <w:lang w:val="en-US" w:eastAsia="en-NZ"/>
        </w:rPr>
        <w:t xml:space="preserve">. </w:t>
      </w:r>
      <w:r w:rsidR="00B27B05" w:rsidRPr="00C4059A">
        <w:rPr>
          <w:rFonts w:eastAsia="Calibri" w:cs="Calibri"/>
          <w:color w:val="000000"/>
          <w:bdr w:val="nil"/>
          <w:lang w:val="en-US" w:eastAsia="en-NZ"/>
        </w:rPr>
        <w:t xml:space="preserve">A very small proportion </w:t>
      </w:r>
      <w:r w:rsidR="00891A29" w:rsidRPr="00C4059A">
        <w:rPr>
          <w:rFonts w:eastAsia="Calibri" w:cs="Calibri"/>
          <w:color w:val="000000"/>
          <w:bdr w:val="nil"/>
          <w:lang w:val="en-US" w:eastAsia="en-NZ"/>
        </w:rPr>
        <w:t>(</w:t>
      </w:r>
      <w:r w:rsidR="00F45048" w:rsidRPr="00C4059A">
        <w:rPr>
          <w:rFonts w:eastAsia="Calibri" w:cs="Calibri"/>
          <w:color w:val="000000"/>
          <w:bdr w:val="nil"/>
          <w:lang w:val="en-US" w:eastAsia="en-NZ"/>
        </w:rPr>
        <w:t>four per cent</w:t>
      </w:r>
      <w:r w:rsidR="00B27B05" w:rsidRPr="00C4059A">
        <w:rPr>
          <w:rFonts w:eastAsia="Calibri" w:cs="Calibri"/>
          <w:color w:val="000000"/>
          <w:bdr w:val="nil"/>
          <w:lang w:val="en-US" w:eastAsia="en-NZ"/>
        </w:rPr>
        <w:t xml:space="preserve">) of respondents answered “not sure”. </w:t>
      </w:r>
    </w:p>
    <w:p w14:paraId="7F9DE38F" w14:textId="200E0A18" w:rsidR="00626ED9" w:rsidRPr="00C4059A" w:rsidRDefault="00626ED9" w:rsidP="00C4059A">
      <w:pPr>
        <w:pStyle w:val="Bullet"/>
        <w:numPr>
          <w:ilvl w:val="0"/>
          <w:numId w:val="0"/>
        </w:numPr>
        <w:spacing w:before="120" w:after="240"/>
        <w:rPr>
          <w:rFonts w:eastAsia="Calibri" w:cs="Calibri"/>
          <w:color w:val="000000"/>
          <w:bdr w:val="nil"/>
          <w:lang w:val="en-US" w:eastAsia="en-NZ"/>
        </w:rPr>
      </w:pPr>
      <w:r w:rsidRPr="00C4059A">
        <w:rPr>
          <w:rFonts w:eastAsia="Calibri" w:cs="Calibri"/>
          <w:color w:val="000000"/>
          <w:bdr w:val="nil"/>
          <w:lang w:val="en-US" w:eastAsia="en-NZ"/>
        </w:rPr>
        <w:t>We asked r</w:t>
      </w:r>
      <w:r w:rsidR="00E2506B" w:rsidRPr="00C4059A">
        <w:rPr>
          <w:rFonts w:eastAsia="Calibri" w:cs="Calibri"/>
          <w:color w:val="000000"/>
          <w:bdr w:val="nil"/>
          <w:lang w:val="en-US" w:eastAsia="en-NZ"/>
        </w:rPr>
        <w:t xml:space="preserve">espondents who answered yes to question three </w:t>
      </w:r>
      <w:r w:rsidR="003E5493" w:rsidRPr="00C4059A">
        <w:rPr>
          <w:rFonts w:eastAsia="Calibri" w:cs="Calibri"/>
          <w:color w:val="000000"/>
          <w:bdr w:val="nil"/>
          <w:lang w:val="en-US" w:eastAsia="en-NZ"/>
        </w:rPr>
        <w:t>to provide</w:t>
      </w:r>
      <w:r w:rsidRPr="00C4059A">
        <w:rPr>
          <w:rFonts w:eastAsia="Calibri" w:cs="Calibri"/>
          <w:color w:val="000000"/>
          <w:bdr w:val="nil"/>
          <w:lang w:val="en-US" w:eastAsia="en-NZ"/>
        </w:rPr>
        <w:t xml:space="preserve"> information ab</w:t>
      </w:r>
      <w:r w:rsidR="00E2506B" w:rsidRPr="00C4059A">
        <w:rPr>
          <w:rFonts w:eastAsia="Calibri" w:cs="Calibri"/>
          <w:color w:val="000000"/>
          <w:bdr w:val="nil"/>
          <w:lang w:val="en-US" w:eastAsia="en-NZ"/>
        </w:rPr>
        <w:t>out their experiences of conta</w:t>
      </w:r>
      <w:r w:rsidR="00F92768" w:rsidRPr="00C4059A">
        <w:rPr>
          <w:rFonts w:eastAsia="Calibri" w:cs="Calibri"/>
          <w:color w:val="000000"/>
          <w:bdr w:val="nil"/>
          <w:lang w:val="en-US" w:eastAsia="en-NZ"/>
        </w:rPr>
        <w:t>cting us</w:t>
      </w:r>
      <w:r w:rsidR="00BB3DDD" w:rsidRPr="00C4059A">
        <w:rPr>
          <w:rFonts w:eastAsia="Calibri" w:cs="Calibri"/>
          <w:color w:val="000000"/>
          <w:bdr w:val="nil"/>
          <w:lang w:val="en-US" w:eastAsia="en-NZ"/>
        </w:rPr>
        <w:t xml:space="preserve"> (questions 4 to 7)</w:t>
      </w:r>
      <w:r w:rsidR="0097069F" w:rsidRPr="00C4059A">
        <w:rPr>
          <w:rFonts w:eastAsia="Calibri" w:cs="Calibri"/>
          <w:color w:val="000000"/>
          <w:bdr w:val="nil"/>
          <w:lang w:val="en-US" w:eastAsia="en-NZ"/>
        </w:rPr>
        <w:t>.</w:t>
      </w:r>
      <w:r w:rsidR="00D251A7" w:rsidRPr="00C4059A">
        <w:rPr>
          <w:rFonts w:eastAsia="Calibri" w:cs="Calibri"/>
          <w:color w:val="000000"/>
          <w:bdr w:val="nil"/>
          <w:lang w:val="en-US" w:eastAsia="en-NZ"/>
        </w:rPr>
        <w:t xml:space="preserve"> </w:t>
      </w:r>
    </w:p>
    <w:p w14:paraId="1443FD9A" w14:textId="77777777" w:rsidR="00681B61" w:rsidRDefault="00681B61">
      <w:pPr>
        <w:keepLines w:val="0"/>
        <w:rPr>
          <w:b/>
        </w:rPr>
      </w:pPr>
      <w:r>
        <w:rPr>
          <w:b/>
        </w:rPr>
        <w:br w:type="page"/>
      </w:r>
    </w:p>
    <w:p w14:paraId="7F9DE390" w14:textId="0150CFE4" w:rsidR="00BE3005" w:rsidRPr="00C4059A" w:rsidRDefault="005C4EE1">
      <w:pPr>
        <w:pStyle w:val="Bullet"/>
        <w:numPr>
          <w:ilvl w:val="0"/>
          <w:numId w:val="0"/>
        </w:numPr>
        <w:rPr>
          <w:b/>
        </w:rPr>
      </w:pPr>
      <w:r w:rsidRPr="00C4059A">
        <w:rPr>
          <w:b/>
        </w:rPr>
        <w:lastRenderedPageBreak/>
        <w:t>Question 4</w:t>
      </w:r>
      <w:r w:rsidR="00D1379E" w:rsidRPr="00C4059A">
        <w:rPr>
          <w:b/>
        </w:rPr>
        <w:t xml:space="preserve">: Tell us why you have contacted </w:t>
      </w:r>
      <w:r w:rsidR="003A1585" w:rsidRPr="00C4059A">
        <w:rPr>
          <w:b/>
        </w:rPr>
        <w:t xml:space="preserve">the </w:t>
      </w:r>
      <w:r w:rsidR="00B1786D" w:rsidRPr="00C4059A">
        <w:rPr>
          <w:b/>
        </w:rPr>
        <w:t>Department over</w:t>
      </w:r>
      <w:r w:rsidR="00D1379E" w:rsidRPr="00C4059A">
        <w:rPr>
          <w:b/>
        </w:rPr>
        <w:t xml:space="preserve"> the past 12 months.</w:t>
      </w:r>
    </w:p>
    <w:p w14:paraId="7F9DE391" w14:textId="77777777" w:rsidR="0097069F" w:rsidRPr="00C4059A" w:rsidRDefault="0097069F" w:rsidP="00C4059A">
      <w:pPr>
        <w:spacing w:after="120"/>
        <w:rPr>
          <w:b/>
          <w:bCs/>
        </w:rPr>
      </w:pPr>
      <w:r w:rsidRPr="00C4059A">
        <w:rPr>
          <w:b/>
        </w:rPr>
        <w:t>Figure 4</w:t>
      </w:r>
      <w:r w:rsidR="002D7FE0" w:rsidRPr="00C4059A">
        <w:rPr>
          <w:b/>
        </w:rPr>
        <w:t>:</w:t>
      </w:r>
      <w:r w:rsidRPr="00C4059A">
        <w:rPr>
          <w:b/>
          <w:bCs/>
        </w:rPr>
        <w:t xml:space="preserve"> Reason</w:t>
      </w:r>
      <w:r w:rsidR="00126F60" w:rsidRPr="00C4059A">
        <w:rPr>
          <w:b/>
          <w:bCs/>
        </w:rPr>
        <w:t>s</w:t>
      </w:r>
      <w:r w:rsidR="00224F8E" w:rsidRPr="00C4059A">
        <w:rPr>
          <w:b/>
          <w:bCs/>
        </w:rPr>
        <w:t xml:space="preserve"> for contact</w:t>
      </w:r>
    </w:p>
    <w:p w14:paraId="5706148B" w14:textId="77777777" w:rsidR="008C7715" w:rsidRDefault="00AB772C" w:rsidP="002F56B1">
      <w:pPr>
        <w:pStyle w:val="Bullet"/>
        <w:numPr>
          <w:ilvl w:val="0"/>
          <w:numId w:val="0"/>
        </w:numPr>
        <w:spacing w:before="120" w:after="240"/>
        <w:rPr>
          <w:rFonts w:eastAsia="Calibri" w:cs="Calibri"/>
          <w:color w:val="000000"/>
          <w:u w:color="000000"/>
          <w:bdr w:val="nil"/>
          <w:lang w:val="en-US" w:eastAsia="en-NZ"/>
        </w:rPr>
      </w:pPr>
      <w:r>
        <w:rPr>
          <w:noProof/>
          <w:lang w:eastAsia="en-NZ"/>
        </w:rPr>
        <w:drawing>
          <wp:inline distT="0" distB="0" distL="0" distR="0" wp14:anchorId="767C3012" wp14:editId="321C8DBD">
            <wp:extent cx="5805377" cy="3157870"/>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69546EF8" w14:textId="37202BF6" w:rsidR="00076B3C" w:rsidRPr="00C4059A" w:rsidRDefault="000E4446" w:rsidP="00C4059A">
      <w:pPr>
        <w:pStyle w:val="Bullet"/>
        <w:numPr>
          <w:ilvl w:val="0"/>
          <w:numId w:val="0"/>
        </w:numPr>
        <w:spacing w:before="120" w:after="240"/>
        <w:rPr>
          <w:rFonts w:eastAsia="Calibri" w:cs="Calibri"/>
          <w:color w:val="000000"/>
          <w:bdr w:val="nil"/>
          <w:lang w:val="en-US" w:eastAsia="en-NZ"/>
        </w:rPr>
      </w:pPr>
      <w:r w:rsidRPr="00C4059A">
        <w:rPr>
          <w:rFonts w:eastAsia="Calibri" w:cs="Calibri"/>
          <w:color w:val="000000"/>
          <w:bdr w:val="nil"/>
          <w:lang w:val="en-US" w:eastAsia="en-NZ"/>
        </w:rPr>
        <w:t>Figure 4</w:t>
      </w:r>
      <w:r w:rsidR="00D1379E" w:rsidRPr="00C4059A">
        <w:rPr>
          <w:rFonts w:eastAsia="Calibri" w:cs="Calibri"/>
          <w:color w:val="000000"/>
          <w:bdr w:val="nil"/>
          <w:lang w:val="en-US" w:eastAsia="en-NZ"/>
        </w:rPr>
        <w:t xml:space="preserve"> shows the </w:t>
      </w:r>
      <w:r w:rsidR="00BE3005" w:rsidRPr="00C4059A">
        <w:rPr>
          <w:rFonts w:eastAsia="Calibri" w:cs="Calibri"/>
          <w:color w:val="000000"/>
          <w:bdr w:val="nil"/>
          <w:lang w:val="en-US" w:eastAsia="en-NZ"/>
        </w:rPr>
        <w:t>percentage</w:t>
      </w:r>
      <w:r w:rsidR="00770C28" w:rsidRPr="00C4059A">
        <w:rPr>
          <w:rFonts w:eastAsia="Calibri" w:cs="Calibri"/>
          <w:color w:val="000000"/>
          <w:bdr w:val="nil"/>
          <w:lang w:val="en-US" w:eastAsia="en-NZ"/>
        </w:rPr>
        <w:t xml:space="preserve"> of respondents who selected</w:t>
      </w:r>
      <w:r w:rsidR="00BE3005" w:rsidRPr="00C4059A">
        <w:rPr>
          <w:rFonts w:eastAsia="Calibri" w:cs="Calibri"/>
          <w:color w:val="000000"/>
          <w:bdr w:val="nil"/>
          <w:lang w:val="en-US" w:eastAsia="en-NZ"/>
        </w:rPr>
        <w:t xml:space="preserve"> each </w:t>
      </w:r>
      <w:r w:rsidR="00076B3C" w:rsidRPr="00C4059A">
        <w:rPr>
          <w:rFonts w:eastAsia="Calibri" w:cs="Calibri"/>
          <w:color w:val="000000"/>
          <w:bdr w:val="nil"/>
          <w:lang w:val="en-US" w:eastAsia="en-NZ"/>
        </w:rPr>
        <w:t xml:space="preserve">reason for </w:t>
      </w:r>
      <w:r w:rsidR="00BE3005" w:rsidRPr="00C4059A">
        <w:rPr>
          <w:rFonts w:eastAsia="Calibri" w:cs="Calibri"/>
          <w:color w:val="000000"/>
          <w:bdr w:val="nil"/>
          <w:lang w:val="en-US" w:eastAsia="en-NZ"/>
        </w:rPr>
        <w:t>contact</w:t>
      </w:r>
      <w:r w:rsidR="00076B3C" w:rsidRPr="00C4059A">
        <w:rPr>
          <w:rFonts w:eastAsia="Calibri" w:cs="Calibri"/>
          <w:color w:val="000000"/>
          <w:bdr w:val="nil"/>
          <w:lang w:val="en-US" w:eastAsia="en-NZ"/>
        </w:rPr>
        <w:t>.</w:t>
      </w:r>
    </w:p>
    <w:p w14:paraId="7F9DE395" w14:textId="0B919F2D" w:rsidR="00416640" w:rsidRPr="00C4059A" w:rsidRDefault="00CA5D88" w:rsidP="00C4059A">
      <w:pPr>
        <w:pStyle w:val="Bullet"/>
        <w:numPr>
          <w:ilvl w:val="0"/>
          <w:numId w:val="0"/>
        </w:numPr>
        <w:spacing w:before="120" w:after="240"/>
        <w:rPr>
          <w:rFonts w:eastAsia="Calibri" w:cs="Calibri"/>
          <w:color w:val="000000"/>
          <w:bdr w:val="nil"/>
          <w:lang w:val="en-US" w:eastAsia="en-NZ"/>
        </w:rPr>
      </w:pPr>
      <w:r w:rsidRPr="00C4059A">
        <w:rPr>
          <w:rFonts w:eastAsia="Calibri" w:cs="Calibri"/>
          <w:color w:val="000000"/>
          <w:bdr w:val="nil"/>
          <w:lang w:val="en-US" w:eastAsia="en-NZ"/>
        </w:rPr>
        <w:t xml:space="preserve">Respondents were able </w:t>
      </w:r>
      <w:r w:rsidR="00076B3C" w:rsidRPr="00C4059A">
        <w:rPr>
          <w:rFonts w:eastAsia="Calibri" w:cs="Calibri"/>
          <w:color w:val="000000"/>
          <w:bdr w:val="nil"/>
          <w:lang w:val="en-US" w:eastAsia="en-NZ"/>
        </w:rPr>
        <w:t xml:space="preserve">to </w:t>
      </w:r>
      <w:r w:rsidRPr="00C4059A">
        <w:rPr>
          <w:rFonts w:eastAsia="Calibri" w:cs="Calibri"/>
          <w:color w:val="000000"/>
          <w:bdr w:val="nil"/>
          <w:lang w:val="en-US" w:eastAsia="en-NZ"/>
        </w:rPr>
        <w:t>choose more than one</w:t>
      </w:r>
      <w:r w:rsidR="00581326" w:rsidRPr="00C4059A">
        <w:rPr>
          <w:rFonts w:eastAsia="Calibri" w:cs="Calibri"/>
          <w:color w:val="000000"/>
          <w:bdr w:val="nil"/>
          <w:lang w:val="en-US" w:eastAsia="en-NZ"/>
        </w:rPr>
        <w:t xml:space="preserve"> reason </w:t>
      </w:r>
      <w:r w:rsidR="001751BB" w:rsidRPr="00C4059A">
        <w:rPr>
          <w:rFonts w:eastAsia="Calibri" w:cs="Calibri"/>
          <w:color w:val="000000"/>
          <w:bdr w:val="nil"/>
          <w:lang w:val="en-US" w:eastAsia="en-NZ"/>
        </w:rPr>
        <w:t>and</w:t>
      </w:r>
      <w:r w:rsidRPr="00C4059A">
        <w:rPr>
          <w:rFonts w:eastAsia="Calibri" w:cs="Calibri"/>
          <w:color w:val="000000"/>
          <w:bdr w:val="nil"/>
          <w:lang w:val="en-US" w:eastAsia="en-NZ"/>
        </w:rPr>
        <w:t xml:space="preserve"> </w:t>
      </w:r>
      <w:r w:rsidR="005F7DD9" w:rsidRPr="00C4059A">
        <w:rPr>
          <w:rFonts w:eastAsia="Calibri" w:cs="Calibri"/>
          <w:color w:val="000000"/>
          <w:bdr w:val="nil"/>
          <w:lang w:val="en-US" w:eastAsia="en-NZ"/>
        </w:rPr>
        <w:t>21</w:t>
      </w:r>
      <w:r w:rsidR="008C7715" w:rsidRPr="00C4059A">
        <w:rPr>
          <w:rFonts w:eastAsia="Calibri" w:cs="Calibri"/>
          <w:color w:val="000000"/>
          <w:bdr w:val="nil"/>
          <w:lang w:val="en-US" w:eastAsia="en-NZ"/>
        </w:rPr>
        <w:t>4</w:t>
      </w:r>
      <w:r w:rsidR="00F95AAE" w:rsidRPr="00C4059A">
        <w:rPr>
          <w:rFonts w:eastAsia="Calibri" w:cs="Calibri"/>
          <w:color w:val="000000"/>
          <w:bdr w:val="nil"/>
          <w:lang w:val="en-US" w:eastAsia="en-NZ"/>
        </w:rPr>
        <w:t xml:space="preserve"> selections </w:t>
      </w:r>
      <w:r w:rsidR="00D21DA6" w:rsidRPr="00C4059A">
        <w:rPr>
          <w:rFonts w:eastAsia="Calibri" w:cs="Calibri"/>
          <w:color w:val="000000"/>
          <w:bdr w:val="nil"/>
          <w:lang w:val="en-US" w:eastAsia="en-NZ"/>
        </w:rPr>
        <w:t xml:space="preserve">were </w:t>
      </w:r>
      <w:r w:rsidR="00F95AAE" w:rsidRPr="00C4059A">
        <w:rPr>
          <w:rFonts w:eastAsia="Calibri" w:cs="Calibri"/>
          <w:color w:val="000000"/>
          <w:bdr w:val="nil"/>
          <w:lang w:val="en-US" w:eastAsia="en-NZ"/>
        </w:rPr>
        <w:t>made</w:t>
      </w:r>
      <w:r w:rsidR="004A3087" w:rsidRPr="00C4059A">
        <w:rPr>
          <w:rFonts w:eastAsia="Calibri" w:cs="Calibri"/>
          <w:color w:val="000000"/>
          <w:bdr w:val="nil"/>
          <w:lang w:val="en-US" w:eastAsia="en-NZ"/>
        </w:rPr>
        <w:t xml:space="preserve"> by </w:t>
      </w:r>
      <w:r w:rsidR="008C7715" w:rsidRPr="00C4059A">
        <w:rPr>
          <w:rFonts w:eastAsia="Calibri" w:cs="Calibri"/>
          <w:color w:val="000000"/>
          <w:bdr w:val="nil"/>
          <w:lang w:val="en-US" w:eastAsia="en-NZ"/>
        </w:rPr>
        <w:t>122</w:t>
      </w:r>
      <w:r w:rsidR="00775861" w:rsidRPr="00C4059A">
        <w:rPr>
          <w:rFonts w:eastAsia="Calibri" w:cs="Calibri"/>
          <w:color w:val="000000"/>
          <w:bdr w:val="nil"/>
          <w:lang w:val="en-US" w:eastAsia="en-NZ"/>
        </w:rPr>
        <w:t xml:space="preserve"> </w:t>
      </w:r>
      <w:r w:rsidRPr="00C4059A">
        <w:rPr>
          <w:rFonts w:eastAsia="Calibri" w:cs="Calibri"/>
          <w:color w:val="000000"/>
          <w:bdr w:val="nil"/>
          <w:lang w:val="en-US" w:eastAsia="en-NZ"/>
        </w:rPr>
        <w:t>respondents</w:t>
      </w:r>
      <w:r w:rsidR="00416640" w:rsidRPr="00C4059A">
        <w:rPr>
          <w:rFonts w:eastAsia="Calibri" w:cs="Calibri"/>
          <w:color w:val="000000"/>
          <w:bdr w:val="nil"/>
          <w:lang w:val="en-US" w:eastAsia="en-NZ"/>
        </w:rPr>
        <w:t xml:space="preserve">. This </w:t>
      </w:r>
      <w:r w:rsidR="00F95AAE" w:rsidRPr="00C4059A">
        <w:rPr>
          <w:rFonts w:eastAsia="Calibri" w:cs="Calibri"/>
          <w:color w:val="000000"/>
          <w:bdr w:val="nil"/>
          <w:lang w:val="en-US" w:eastAsia="en-NZ"/>
        </w:rPr>
        <w:t>indicat</w:t>
      </w:r>
      <w:r w:rsidR="00416640" w:rsidRPr="00C4059A">
        <w:rPr>
          <w:rFonts w:eastAsia="Calibri" w:cs="Calibri"/>
          <w:color w:val="000000"/>
          <w:bdr w:val="nil"/>
          <w:lang w:val="en-US" w:eastAsia="en-NZ"/>
        </w:rPr>
        <w:t xml:space="preserve">es </w:t>
      </w:r>
      <w:r w:rsidR="00A64284" w:rsidRPr="00C4059A">
        <w:rPr>
          <w:rFonts w:eastAsia="Calibri" w:cs="Calibri"/>
          <w:color w:val="000000"/>
          <w:bdr w:val="nil"/>
          <w:lang w:val="en-US" w:eastAsia="en-NZ"/>
        </w:rPr>
        <w:t xml:space="preserve">that </w:t>
      </w:r>
      <w:r w:rsidR="002F19A3" w:rsidRPr="00C4059A">
        <w:rPr>
          <w:rFonts w:eastAsia="Calibri" w:cs="Calibri"/>
          <w:color w:val="000000"/>
          <w:bdr w:val="nil"/>
          <w:lang w:val="en-US" w:eastAsia="en-NZ"/>
        </w:rPr>
        <w:t>some</w:t>
      </w:r>
      <w:r w:rsidR="00A64284" w:rsidRPr="00C4059A">
        <w:rPr>
          <w:rFonts w:eastAsia="Calibri" w:cs="Calibri"/>
          <w:color w:val="000000"/>
          <w:bdr w:val="nil"/>
          <w:lang w:val="en-US" w:eastAsia="en-NZ"/>
        </w:rPr>
        <w:t xml:space="preserve"> individuals</w:t>
      </w:r>
      <w:r w:rsidR="00F95AAE" w:rsidRPr="00C4059A">
        <w:rPr>
          <w:rFonts w:eastAsia="Calibri" w:cs="Calibri"/>
          <w:color w:val="000000"/>
          <w:bdr w:val="nil"/>
          <w:lang w:val="en-US" w:eastAsia="en-NZ"/>
        </w:rPr>
        <w:t xml:space="preserve"> </w:t>
      </w:r>
      <w:r w:rsidR="002F19A3" w:rsidRPr="00C4059A">
        <w:rPr>
          <w:rFonts w:eastAsia="Calibri" w:cs="Calibri"/>
          <w:color w:val="000000"/>
          <w:bdr w:val="nil"/>
          <w:lang w:val="en-US" w:eastAsia="en-NZ"/>
        </w:rPr>
        <w:t xml:space="preserve">have contacted </w:t>
      </w:r>
      <w:r w:rsidRPr="00C4059A">
        <w:rPr>
          <w:rFonts w:eastAsia="Calibri" w:cs="Calibri"/>
          <w:color w:val="000000"/>
          <w:bdr w:val="nil"/>
          <w:lang w:val="en-US" w:eastAsia="en-NZ"/>
        </w:rPr>
        <w:t>us fo</w:t>
      </w:r>
      <w:r w:rsidR="00F95AAE" w:rsidRPr="00C4059A">
        <w:rPr>
          <w:rFonts w:eastAsia="Calibri" w:cs="Calibri"/>
          <w:color w:val="000000"/>
          <w:bdr w:val="nil"/>
          <w:lang w:val="en-US" w:eastAsia="en-NZ"/>
        </w:rPr>
        <w:t xml:space="preserve">r </w:t>
      </w:r>
      <w:r w:rsidR="00D21DA6" w:rsidRPr="00C4059A">
        <w:rPr>
          <w:rFonts w:eastAsia="Calibri" w:cs="Calibri"/>
          <w:color w:val="000000"/>
          <w:bdr w:val="nil"/>
          <w:lang w:val="en-US" w:eastAsia="en-NZ"/>
        </w:rPr>
        <w:t xml:space="preserve">a variety of reasons. </w:t>
      </w:r>
    </w:p>
    <w:p w14:paraId="3ADC4769" w14:textId="5AAD682B" w:rsidR="00617307" w:rsidRPr="00C4059A" w:rsidRDefault="00076B3C" w:rsidP="00C4059A">
      <w:pPr>
        <w:pStyle w:val="Bullet"/>
        <w:numPr>
          <w:ilvl w:val="0"/>
          <w:numId w:val="0"/>
        </w:numPr>
        <w:spacing w:before="120" w:after="240"/>
        <w:rPr>
          <w:rFonts w:eastAsia="Calibri" w:cs="Calibri"/>
          <w:color w:val="000000"/>
          <w:highlight w:val="yellow"/>
          <w:bdr w:val="nil"/>
          <w:lang w:val="en-US" w:eastAsia="en-NZ"/>
        </w:rPr>
      </w:pPr>
      <w:r w:rsidRPr="00C4059A">
        <w:rPr>
          <w:rFonts w:eastAsia="Calibri" w:cs="Calibri"/>
          <w:color w:val="000000"/>
          <w:bdr w:val="nil"/>
          <w:lang w:val="en-US" w:eastAsia="en-NZ"/>
        </w:rPr>
        <w:t xml:space="preserve">The two most common reasons for contacting the Department were </w:t>
      </w:r>
      <w:r w:rsidR="009162A7" w:rsidRPr="00C4059A">
        <w:rPr>
          <w:rFonts w:eastAsia="Calibri" w:cs="Calibri"/>
          <w:color w:val="000000"/>
          <w:bdr w:val="nil"/>
          <w:lang w:val="en-US" w:eastAsia="en-NZ"/>
        </w:rPr>
        <w:t>licensing</w:t>
      </w:r>
      <w:r w:rsidRPr="00C4059A">
        <w:rPr>
          <w:rFonts w:eastAsia="Calibri" w:cs="Calibri"/>
          <w:color w:val="000000"/>
          <w:bdr w:val="nil"/>
          <w:lang w:val="en-US" w:eastAsia="en-NZ"/>
        </w:rPr>
        <w:t xml:space="preserve"> application</w:t>
      </w:r>
      <w:r w:rsidR="009162A7" w:rsidRPr="00C4059A">
        <w:rPr>
          <w:rFonts w:eastAsia="Calibri" w:cs="Calibri"/>
          <w:color w:val="000000"/>
          <w:bdr w:val="nil"/>
          <w:lang w:val="en-US" w:eastAsia="en-NZ"/>
        </w:rPr>
        <w:t>s</w:t>
      </w:r>
      <w:r w:rsidRPr="00C4059A">
        <w:rPr>
          <w:rFonts w:eastAsia="Calibri" w:cs="Calibri"/>
          <w:color w:val="000000"/>
          <w:bdr w:val="nil"/>
          <w:lang w:val="en-US" w:eastAsia="en-NZ"/>
        </w:rPr>
        <w:t xml:space="preserve"> </w:t>
      </w:r>
      <w:r w:rsidR="009162A7" w:rsidRPr="00C4059A">
        <w:rPr>
          <w:rFonts w:eastAsia="Calibri" w:cs="Calibri"/>
          <w:color w:val="000000"/>
          <w:bdr w:val="nil"/>
          <w:lang w:val="en-US" w:eastAsia="en-NZ"/>
        </w:rPr>
        <w:t>(6</w:t>
      </w:r>
      <w:r w:rsidR="008C7715" w:rsidRPr="00C4059A">
        <w:rPr>
          <w:rFonts w:eastAsia="Calibri" w:cs="Calibri"/>
          <w:color w:val="000000"/>
          <w:bdr w:val="nil"/>
          <w:lang w:val="en-US" w:eastAsia="en-NZ"/>
        </w:rPr>
        <w:t>5</w:t>
      </w:r>
      <w:r w:rsidR="00B1786D" w:rsidRPr="00C4059A">
        <w:rPr>
          <w:rFonts w:eastAsia="Calibri" w:cs="Calibri"/>
          <w:color w:val="000000"/>
          <w:bdr w:val="nil"/>
          <w:lang w:val="en-US" w:eastAsia="en-NZ"/>
        </w:rPr>
        <w:t xml:space="preserve"> per cent</w:t>
      </w:r>
      <w:r w:rsidR="009162A7" w:rsidRPr="00C4059A">
        <w:rPr>
          <w:rFonts w:eastAsia="Calibri" w:cs="Calibri"/>
          <w:color w:val="000000"/>
          <w:bdr w:val="nil"/>
          <w:lang w:val="en-US" w:eastAsia="en-NZ"/>
        </w:rPr>
        <w:t xml:space="preserve">) </w:t>
      </w:r>
      <w:r w:rsidRPr="00C4059A">
        <w:rPr>
          <w:rFonts w:eastAsia="Calibri" w:cs="Calibri"/>
          <w:color w:val="000000"/>
          <w:bdr w:val="nil"/>
          <w:lang w:val="en-US" w:eastAsia="en-NZ"/>
        </w:rPr>
        <w:t>and general information</w:t>
      </w:r>
      <w:r w:rsidR="008C7715" w:rsidRPr="00C4059A">
        <w:rPr>
          <w:rFonts w:eastAsia="Calibri" w:cs="Calibri"/>
          <w:color w:val="000000"/>
          <w:bdr w:val="nil"/>
          <w:lang w:val="en-US" w:eastAsia="en-NZ"/>
        </w:rPr>
        <w:t xml:space="preserve"> (46 </w:t>
      </w:r>
      <w:r w:rsidR="00B1786D" w:rsidRPr="00C4059A">
        <w:rPr>
          <w:rFonts w:eastAsia="Calibri" w:cs="Calibri"/>
          <w:color w:val="000000"/>
          <w:bdr w:val="nil"/>
          <w:lang w:val="en-US" w:eastAsia="en-NZ"/>
        </w:rPr>
        <w:t>per cent</w:t>
      </w:r>
      <w:r w:rsidR="009162A7" w:rsidRPr="00C4059A">
        <w:rPr>
          <w:rFonts w:eastAsia="Calibri" w:cs="Calibri"/>
          <w:color w:val="000000"/>
          <w:bdr w:val="nil"/>
          <w:lang w:val="en-US" w:eastAsia="en-NZ"/>
        </w:rPr>
        <w:t>)</w:t>
      </w:r>
      <w:r w:rsidRPr="00C4059A">
        <w:rPr>
          <w:rFonts w:eastAsia="Calibri" w:cs="Calibri"/>
          <w:color w:val="000000"/>
          <w:bdr w:val="nil"/>
          <w:lang w:val="en-US" w:eastAsia="en-NZ"/>
        </w:rPr>
        <w:t>.</w:t>
      </w:r>
      <w:r w:rsidR="004D5885" w:rsidRPr="00C4059A">
        <w:rPr>
          <w:rFonts w:eastAsia="Calibri" w:cs="Calibri"/>
          <w:color w:val="000000"/>
          <w:bdr w:val="nil"/>
          <w:lang w:val="en-US" w:eastAsia="en-NZ"/>
        </w:rPr>
        <w:t xml:space="preserve"> The </w:t>
      </w:r>
      <w:r w:rsidR="00617307" w:rsidRPr="00C4059A">
        <w:rPr>
          <w:rFonts w:eastAsia="Calibri" w:cs="Calibri"/>
          <w:color w:val="000000"/>
          <w:bdr w:val="nil"/>
          <w:lang w:val="en-US" w:eastAsia="en-NZ"/>
        </w:rPr>
        <w:t xml:space="preserve">highest </w:t>
      </w:r>
      <w:r w:rsidR="00DF7ECC" w:rsidRPr="00C4059A">
        <w:rPr>
          <w:rFonts w:eastAsia="Calibri" w:cs="Calibri"/>
          <w:color w:val="000000"/>
          <w:bdr w:val="nil"/>
          <w:lang w:val="en-US" w:eastAsia="en-NZ"/>
        </w:rPr>
        <w:t>number of contacts is</w:t>
      </w:r>
      <w:r w:rsidR="00315D12" w:rsidRPr="00C4059A">
        <w:rPr>
          <w:rFonts w:eastAsia="Calibri" w:cs="Calibri"/>
          <w:color w:val="000000"/>
          <w:bdr w:val="nil"/>
          <w:lang w:val="en-US" w:eastAsia="en-NZ"/>
        </w:rPr>
        <w:t xml:space="preserve"> received from </w:t>
      </w:r>
      <w:r w:rsidR="00AF38AC">
        <w:rPr>
          <w:rFonts w:eastAsia="Calibri" w:cs="Calibri"/>
          <w:color w:val="000000"/>
          <w:bdr w:val="nil"/>
          <w:lang w:val="en-US" w:eastAsia="en-NZ"/>
        </w:rPr>
        <w:t>c</w:t>
      </w:r>
      <w:r w:rsidR="00AF38AC" w:rsidRPr="00C4059A">
        <w:rPr>
          <w:rFonts w:eastAsia="Calibri" w:cs="Calibri"/>
          <w:color w:val="000000"/>
          <w:bdr w:val="nil"/>
          <w:lang w:val="en-US" w:eastAsia="en-NZ"/>
        </w:rPr>
        <w:t xml:space="preserve">lubs </w:t>
      </w:r>
      <w:r w:rsidR="00315D12" w:rsidRPr="00C4059A">
        <w:rPr>
          <w:rFonts w:eastAsia="Calibri" w:cs="Calibri"/>
          <w:color w:val="000000"/>
          <w:bdr w:val="nil"/>
          <w:lang w:val="en-US" w:eastAsia="en-NZ"/>
        </w:rPr>
        <w:t xml:space="preserve">followed by </w:t>
      </w:r>
      <w:r w:rsidR="00226489" w:rsidRPr="00C4059A">
        <w:rPr>
          <w:rFonts w:eastAsia="Calibri" w:cs="Calibri"/>
          <w:color w:val="000000"/>
          <w:bdr w:val="nil"/>
          <w:lang w:val="en-US" w:eastAsia="en-NZ"/>
        </w:rPr>
        <w:t>c</w:t>
      </w:r>
      <w:r w:rsidR="00315D12" w:rsidRPr="00C4059A">
        <w:rPr>
          <w:rFonts w:eastAsia="Calibri" w:cs="Calibri"/>
          <w:color w:val="000000"/>
          <w:bdr w:val="nil"/>
          <w:lang w:val="en-US" w:eastAsia="en-NZ"/>
        </w:rPr>
        <w:t>lass 4 non-club societies.</w:t>
      </w:r>
      <w:r w:rsidR="00617307" w:rsidRPr="00C4059A">
        <w:rPr>
          <w:rFonts w:eastAsia="Calibri" w:cs="Calibri"/>
          <w:color w:val="000000"/>
          <w:bdr w:val="nil"/>
          <w:lang w:val="en-US" w:eastAsia="en-NZ"/>
        </w:rPr>
        <w:t xml:space="preserve"> Respondents from </w:t>
      </w:r>
      <w:r w:rsidR="00AF38AC">
        <w:rPr>
          <w:rFonts w:eastAsia="Calibri" w:cs="Calibri"/>
          <w:color w:val="000000"/>
          <w:bdr w:val="nil"/>
          <w:lang w:val="en-US" w:eastAsia="en-NZ"/>
        </w:rPr>
        <w:t>t</w:t>
      </w:r>
      <w:r w:rsidR="00AF38AC" w:rsidRPr="00C4059A">
        <w:rPr>
          <w:rFonts w:eastAsia="Calibri" w:cs="Calibri"/>
          <w:color w:val="000000"/>
          <w:bdr w:val="nil"/>
          <w:lang w:val="en-US" w:eastAsia="en-NZ"/>
        </w:rPr>
        <w:t xml:space="preserve">erritorial </w:t>
      </w:r>
      <w:r w:rsidR="00AF38AC">
        <w:rPr>
          <w:rFonts w:eastAsia="Calibri" w:cs="Calibri"/>
          <w:color w:val="000000"/>
          <w:bdr w:val="nil"/>
          <w:lang w:val="en-US" w:eastAsia="en-NZ"/>
        </w:rPr>
        <w:t>a</w:t>
      </w:r>
      <w:r w:rsidR="00AF38AC" w:rsidRPr="00C4059A">
        <w:rPr>
          <w:rFonts w:eastAsia="Calibri" w:cs="Calibri"/>
          <w:color w:val="000000"/>
          <w:bdr w:val="nil"/>
          <w:lang w:val="en-US" w:eastAsia="en-NZ"/>
        </w:rPr>
        <w:t xml:space="preserve">uthorities </w:t>
      </w:r>
      <w:r w:rsidR="00617307" w:rsidRPr="00C4059A">
        <w:rPr>
          <w:rFonts w:eastAsia="Calibri" w:cs="Calibri"/>
          <w:color w:val="000000"/>
          <w:bdr w:val="nil"/>
          <w:lang w:val="en-US" w:eastAsia="en-NZ"/>
        </w:rPr>
        <w:t>indicated a variety of reasons for contacting</w:t>
      </w:r>
      <w:r w:rsidR="007A1876" w:rsidRPr="00C4059A">
        <w:rPr>
          <w:rFonts w:eastAsia="Calibri" w:cs="Calibri"/>
          <w:color w:val="000000"/>
          <w:bdr w:val="nil"/>
          <w:lang w:val="en-US" w:eastAsia="en-NZ"/>
        </w:rPr>
        <w:t xml:space="preserve"> us, although most commonly for </w:t>
      </w:r>
      <w:r w:rsidR="00617307" w:rsidRPr="00C4059A">
        <w:rPr>
          <w:rFonts w:eastAsia="Calibri" w:cs="Calibri"/>
          <w:color w:val="000000"/>
          <w:bdr w:val="nil"/>
          <w:lang w:val="en-US" w:eastAsia="en-NZ"/>
        </w:rPr>
        <w:t>policy</w:t>
      </w:r>
      <w:r w:rsidR="007A1876" w:rsidRPr="00C4059A">
        <w:rPr>
          <w:rFonts w:eastAsia="Calibri" w:cs="Calibri"/>
          <w:color w:val="000000"/>
          <w:bdr w:val="nil"/>
          <w:lang w:val="en-US" w:eastAsia="en-NZ"/>
        </w:rPr>
        <w:t xml:space="preserve"> or legislative</w:t>
      </w:r>
      <w:r w:rsidR="00617307" w:rsidRPr="00C4059A">
        <w:rPr>
          <w:rFonts w:eastAsia="Calibri" w:cs="Calibri"/>
          <w:color w:val="000000"/>
          <w:bdr w:val="nil"/>
          <w:lang w:val="en-US" w:eastAsia="en-NZ"/>
        </w:rPr>
        <w:t xml:space="preserve"> advice.</w:t>
      </w:r>
    </w:p>
    <w:p w14:paraId="7F9DE399" w14:textId="35AF1153" w:rsidR="005120D0" w:rsidRDefault="009A66D2" w:rsidP="00CA5D88">
      <w:pPr>
        <w:pStyle w:val="Bullet"/>
        <w:numPr>
          <w:ilvl w:val="0"/>
          <w:numId w:val="0"/>
        </w:numPr>
      </w:pPr>
      <w:r w:rsidRPr="00C4059A">
        <w:rPr>
          <w:rFonts w:eastAsia="Calibri" w:cs="Calibri"/>
          <w:color w:val="000000"/>
          <w:bdr w:val="nil"/>
          <w:lang w:val="en-US" w:eastAsia="en-NZ"/>
        </w:rPr>
        <w:t>General support</w:t>
      </w:r>
      <w:r w:rsidR="00661643" w:rsidRPr="00C4059A">
        <w:rPr>
          <w:rFonts w:eastAsia="Calibri" w:cs="Calibri"/>
          <w:color w:val="000000"/>
          <w:bdr w:val="nil"/>
          <w:lang w:val="en-US" w:eastAsia="en-NZ"/>
        </w:rPr>
        <w:t xml:space="preserve">, </w:t>
      </w:r>
      <w:r w:rsidRPr="00C4059A">
        <w:rPr>
          <w:rFonts w:eastAsia="Calibri" w:cs="Calibri"/>
          <w:color w:val="000000"/>
          <w:bdr w:val="nil"/>
          <w:lang w:val="en-US" w:eastAsia="en-NZ"/>
        </w:rPr>
        <w:t>key person changes and gaming equipment enquiries</w:t>
      </w:r>
      <w:r w:rsidR="00CA5D88" w:rsidRPr="00C4059A">
        <w:rPr>
          <w:rFonts w:eastAsia="Calibri" w:cs="Calibri"/>
          <w:color w:val="000000"/>
          <w:bdr w:val="nil"/>
          <w:lang w:val="en-US" w:eastAsia="en-NZ"/>
        </w:rPr>
        <w:t xml:space="preserve"> </w:t>
      </w:r>
      <w:r w:rsidR="00416640" w:rsidRPr="00C4059A">
        <w:rPr>
          <w:rFonts w:eastAsia="Calibri" w:cs="Calibri"/>
          <w:color w:val="000000"/>
          <w:bdr w:val="nil"/>
          <w:lang w:val="en-US" w:eastAsia="en-NZ"/>
        </w:rPr>
        <w:t>w</w:t>
      </w:r>
      <w:r w:rsidR="00661643" w:rsidRPr="00C4059A">
        <w:rPr>
          <w:rFonts w:eastAsia="Calibri" w:cs="Calibri"/>
          <w:color w:val="000000"/>
          <w:bdr w:val="nil"/>
          <w:lang w:val="en-US" w:eastAsia="en-NZ"/>
        </w:rPr>
        <w:t xml:space="preserve">ere </w:t>
      </w:r>
      <w:r w:rsidR="00416640" w:rsidRPr="00C4059A">
        <w:rPr>
          <w:rFonts w:eastAsia="Calibri" w:cs="Calibri"/>
          <w:color w:val="000000"/>
          <w:bdr w:val="nil"/>
          <w:lang w:val="en-US" w:eastAsia="en-NZ"/>
        </w:rPr>
        <w:t>s</w:t>
      </w:r>
      <w:r w:rsidR="00661643" w:rsidRPr="00C4059A">
        <w:rPr>
          <w:rFonts w:eastAsia="Calibri" w:cs="Calibri"/>
          <w:color w:val="000000"/>
          <w:bdr w:val="nil"/>
          <w:lang w:val="en-US" w:eastAsia="en-NZ"/>
        </w:rPr>
        <w:t>ome</w:t>
      </w:r>
      <w:r w:rsidR="00416640" w:rsidRPr="00C4059A">
        <w:rPr>
          <w:rFonts w:eastAsia="Calibri" w:cs="Calibri"/>
          <w:color w:val="000000"/>
          <w:bdr w:val="nil"/>
          <w:lang w:val="en-US" w:eastAsia="en-NZ"/>
        </w:rPr>
        <w:t xml:space="preserve"> theme</w:t>
      </w:r>
      <w:r w:rsidR="00661643" w:rsidRPr="00C4059A">
        <w:rPr>
          <w:rFonts w:eastAsia="Calibri" w:cs="Calibri"/>
          <w:color w:val="000000"/>
          <w:bdr w:val="nil"/>
          <w:lang w:val="en-US" w:eastAsia="en-NZ"/>
        </w:rPr>
        <w:t>s</w:t>
      </w:r>
      <w:r w:rsidR="00416640" w:rsidRPr="00C4059A">
        <w:rPr>
          <w:rFonts w:eastAsia="Calibri" w:cs="Calibri"/>
          <w:color w:val="000000"/>
          <w:bdr w:val="nil"/>
          <w:lang w:val="en-US" w:eastAsia="en-NZ"/>
        </w:rPr>
        <w:t xml:space="preserve"> </w:t>
      </w:r>
      <w:r w:rsidR="00CA5D88" w:rsidRPr="00C4059A">
        <w:rPr>
          <w:rFonts w:eastAsia="Calibri" w:cs="Calibri"/>
          <w:color w:val="000000"/>
          <w:bdr w:val="nil"/>
          <w:lang w:val="en-US" w:eastAsia="en-NZ"/>
        </w:rPr>
        <w:t>for a number of entries in the “other” category.</w:t>
      </w:r>
    </w:p>
    <w:p w14:paraId="67FB2E96" w14:textId="77777777" w:rsidR="009162A7" w:rsidRDefault="009162A7">
      <w:pPr>
        <w:keepLines w:val="0"/>
      </w:pPr>
      <w:r>
        <w:br w:type="page"/>
      </w:r>
    </w:p>
    <w:p w14:paraId="7F9DE3A1" w14:textId="0A0D4823" w:rsidR="0097069F" w:rsidRPr="00D120DD" w:rsidRDefault="003D283C" w:rsidP="005B4239">
      <w:pPr>
        <w:pStyle w:val="Heading2"/>
        <w:rPr>
          <w:color w:val="1F546B" w:themeColor="text2"/>
          <w:sz w:val="32"/>
          <w:szCs w:val="32"/>
        </w:rPr>
      </w:pPr>
      <w:bookmarkStart w:id="53" w:name="_Toc471392463"/>
      <w:bookmarkStart w:id="54" w:name="_Toc505862431"/>
      <w:r>
        <w:rPr>
          <w:color w:val="1F546B" w:themeColor="text2"/>
          <w:sz w:val="32"/>
          <w:szCs w:val="32"/>
        </w:rPr>
        <w:lastRenderedPageBreak/>
        <w:t>Professional p</w:t>
      </w:r>
      <w:r w:rsidR="0097069F" w:rsidRPr="00D120DD">
        <w:rPr>
          <w:color w:val="1F546B" w:themeColor="text2"/>
          <w:sz w:val="32"/>
          <w:szCs w:val="32"/>
        </w:rPr>
        <w:t>erformance</w:t>
      </w:r>
      <w:bookmarkEnd w:id="53"/>
      <w:bookmarkEnd w:id="54"/>
    </w:p>
    <w:p w14:paraId="7F9DE3A2" w14:textId="014B403F" w:rsidR="00073AC3" w:rsidRPr="00C4059A" w:rsidRDefault="00D251A7" w:rsidP="00C4059A">
      <w:pPr>
        <w:pStyle w:val="Bullet"/>
        <w:numPr>
          <w:ilvl w:val="0"/>
          <w:numId w:val="0"/>
        </w:numPr>
        <w:spacing w:before="120" w:after="240"/>
        <w:rPr>
          <w:rFonts w:eastAsia="Calibri" w:cs="Calibri"/>
          <w:color w:val="000000"/>
          <w:bdr w:val="nil"/>
          <w:lang w:val="en-US" w:eastAsia="en-NZ"/>
        </w:rPr>
      </w:pPr>
      <w:r w:rsidRPr="00C4059A">
        <w:rPr>
          <w:rFonts w:eastAsia="Calibri" w:cs="Calibri"/>
          <w:color w:val="000000"/>
          <w:bdr w:val="nil"/>
          <w:lang w:val="en-US" w:eastAsia="en-NZ"/>
        </w:rPr>
        <w:t>Th</w:t>
      </w:r>
      <w:r w:rsidR="008D61EB" w:rsidRPr="00C4059A">
        <w:rPr>
          <w:rFonts w:eastAsia="Calibri" w:cs="Calibri"/>
          <w:color w:val="000000"/>
          <w:bdr w:val="nil"/>
          <w:lang w:val="en-US" w:eastAsia="en-NZ"/>
        </w:rPr>
        <w:t xml:space="preserve">ose </w:t>
      </w:r>
      <w:r w:rsidRPr="00C4059A">
        <w:rPr>
          <w:rFonts w:eastAsia="Calibri" w:cs="Calibri"/>
          <w:color w:val="000000"/>
          <w:bdr w:val="nil"/>
          <w:lang w:val="en-US" w:eastAsia="en-NZ"/>
        </w:rPr>
        <w:t>respondents</w:t>
      </w:r>
      <w:r w:rsidR="008D61EB" w:rsidRPr="00C4059A">
        <w:rPr>
          <w:rFonts w:eastAsia="Calibri" w:cs="Calibri"/>
          <w:color w:val="000000"/>
          <w:bdr w:val="nil"/>
          <w:lang w:val="en-US" w:eastAsia="en-NZ"/>
        </w:rPr>
        <w:t xml:space="preserve"> who had contacted us in the past 12 months</w:t>
      </w:r>
      <w:r w:rsidRPr="00C4059A">
        <w:rPr>
          <w:rFonts w:eastAsia="Calibri" w:cs="Calibri"/>
          <w:color w:val="000000"/>
          <w:bdr w:val="nil"/>
          <w:lang w:val="en-US" w:eastAsia="en-NZ"/>
        </w:rPr>
        <w:t xml:space="preserve"> </w:t>
      </w:r>
      <w:r w:rsidR="002D7FE0" w:rsidRPr="00C4059A">
        <w:rPr>
          <w:rFonts w:eastAsia="Calibri" w:cs="Calibri"/>
          <w:color w:val="000000"/>
          <w:bdr w:val="nil"/>
          <w:lang w:val="en-US" w:eastAsia="en-NZ"/>
        </w:rPr>
        <w:t xml:space="preserve">were </w:t>
      </w:r>
      <w:r w:rsidR="00F92768" w:rsidRPr="00C4059A">
        <w:rPr>
          <w:rFonts w:eastAsia="Calibri" w:cs="Calibri"/>
          <w:color w:val="000000"/>
          <w:bdr w:val="nil"/>
          <w:lang w:val="en-US" w:eastAsia="en-NZ"/>
        </w:rPr>
        <w:t>asked</w:t>
      </w:r>
      <w:r w:rsidRPr="00C4059A">
        <w:rPr>
          <w:rFonts w:eastAsia="Calibri" w:cs="Calibri"/>
          <w:color w:val="000000"/>
          <w:bdr w:val="nil"/>
          <w:lang w:val="en-US" w:eastAsia="en-NZ"/>
        </w:rPr>
        <w:t xml:space="preserve"> t</w:t>
      </w:r>
      <w:r w:rsidR="00073AC3" w:rsidRPr="00C4059A">
        <w:rPr>
          <w:rFonts w:eastAsia="Calibri" w:cs="Calibri"/>
          <w:color w:val="000000"/>
          <w:bdr w:val="nil"/>
          <w:lang w:val="en-US" w:eastAsia="en-NZ"/>
        </w:rPr>
        <w:t>he next three q</w:t>
      </w:r>
      <w:r w:rsidR="008333F7" w:rsidRPr="00C4059A">
        <w:rPr>
          <w:rFonts w:eastAsia="Calibri" w:cs="Calibri"/>
          <w:color w:val="000000"/>
          <w:bdr w:val="nil"/>
          <w:lang w:val="en-US" w:eastAsia="en-NZ"/>
        </w:rPr>
        <w:t>uestions</w:t>
      </w:r>
      <w:r w:rsidRPr="00C4059A">
        <w:rPr>
          <w:rFonts w:eastAsia="Calibri" w:cs="Calibri"/>
          <w:color w:val="000000"/>
          <w:bdr w:val="nil"/>
          <w:lang w:val="en-US" w:eastAsia="en-NZ"/>
        </w:rPr>
        <w:t xml:space="preserve"> about</w:t>
      </w:r>
      <w:r w:rsidR="008333F7" w:rsidRPr="00C4059A">
        <w:rPr>
          <w:rFonts w:eastAsia="Calibri" w:cs="Calibri"/>
          <w:color w:val="000000"/>
          <w:bdr w:val="nil"/>
          <w:lang w:val="en-US" w:eastAsia="en-NZ"/>
        </w:rPr>
        <w:t xml:space="preserve"> </w:t>
      </w:r>
      <w:r w:rsidRPr="00C4059A">
        <w:rPr>
          <w:rFonts w:eastAsia="Calibri" w:cs="Calibri"/>
          <w:color w:val="000000"/>
          <w:bdr w:val="nil"/>
          <w:lang w:val="en-US" w:eastAsia="en-NZ"/>
        </w:rPr>
        <w:t>their</w:t>
      </w:r>
      <w:r w:rsidR="00E2506B" w:rsidRPr="00C4059A">
        <w:rPr>
          <w:rFonts w:eastAsia="Calibri" w:cs="Calibri"/>
          <w:color w:val="000000"/>
          <w:bdr w:val="nil"/>
          <w:lang w:val="en-US" w:eastAsia="en-NZ"/>
        </w:rPr>
        <w:t xml:space="preserve"> experiences of contacting </w:t>
      </w:r>
      <w:r w:rsidR="00F92768" w:rsidRPr="00C4059A">
        <w:rPr>
          <w:rFonts w:eastAsia="Calibri" w:cs="Calibri"/>
          <w:color w:val="000000"/>
          <w:bdr w:val="nil"/>
          <w:lang w:val="en-US" w:eastAsia="en-NZ"/>
        </w:rPr>
        <w:t xml:space="preserve">the </w:t>
      </w:r>
      <w:r w:rsidR="00815FCB" w:rsidRPr="00C4059A">
        <w:rPr>
          <w:rFonts w:eastAsia="Calibri" w:cs="Calibri"/>
          <w:color w:val="000000"/>
          <w:bdr w:val="nil"/>
          <w:lang w:val="en-US" w:eastAsia="en-NZ"/>
        </w:rPr>
        <w:t>Gambling Compliance Group</w:t>
      </w:r>
      <w:r w:rsidR="00E2506B" w:rsidRPr="00C4059A">
        <w:rPr>
          <w:rFonts w:eastAsia="Calibri" w:cs="Calibri"/>
          <w:color w:val="000000"/>
          <w:bdr w:val="nil"/>
          <w:lang w:val="en-US" w:eastAsia="en-NZ"/>
        </w:rPr>
        <w:t xml:space="preserve"> for information</w:t>
      </w:r>
      <w:r w:rsidRPr="00C4059A">
        <w:rPr>
          <w:rFonts w:eastAsia="Calibri" w:cs="Calibri"/>
          <w:color w:val="000000"/>
          <w:bdr w:val="nil"/>
          <w:lang w:val="en-US" w:eastAsia="en-NZ"/>
        </w:rPr>
        <w:t>.</w:t>
      </w:r>
    </w:p>
    <w:p w14:paraId="7F9DE3A4" w14:textId="77777777" w:rsidR="00073AC3" w:rsidRPr="00C4059A" w:rsidRDefault="00073AC3">
      <w:pPr>
        <w:pStyle w:val="Bullet"/>
        <w:numPr>
          <w:ilvl w:val="0"/>
          <w:numId w:val="0"/>
        </w:numPr>
        <w:rPr>
          <w:b/>
        </w:rPr>
      </w:pPr>
      <w:r w:rsidRPr="00C4059A">
        <w:rPr>
          <w:b/>
        </w:rPr>
        <w:t>Question 5: In general, how easy have you found it to obtain the information you need from us?</w:t>
      </w:r>
    </w:p>
    <w:p w14:paraId="7F9DE3A5" w14:textId="32F825B2" w:rsidR="00073AC3" w:rsidRPr="00C4059A" w:rsidRDefault="00073AC3">
      <w:pPr>
        <w:pStyle w:val="Bullet"/>
        <w:numPr>
          <w:ilvl w:val="0"/>
          <w:numId w:val="0"/>
        </w:numPr>
        <w:rPr>
          <w:b/>
          <w:bCs/>
        </w:rPr>
      </w:pPr>
      <w:r w:rsidRPr="00C4059A">
        <w:rPr>
          <w:b/>
        </w:rPr>
        <w:t xml:space="preserve">Question 6: In general, how would you rate the quality of information provided by </w:t>
      </w:r>
      <w:r w:rsidR="003A1585" w:rsidRPr="00C4059A">
        <w:rPr>
          <w:b/>
        </w:rPr>
        <w:t xml:space="preserve">the </w:t>
      </w:r>
      <w:r w:rsidRPr="00C4059A">
        <w:rPr>
          <w:b/>
        </w:rPr>
        <w:t>D</w:t>
      </w:r>
      <w:r w:rsidR="003A1585" w:rsidRPr="00C4059A">
        <w:rPr>
          <w:b/>
        </w:rPr>
        <w:t>epartment</w:t>
      </w:r>
      <w:r w:rsidRPr="00C4059A">
        <w:rPr>
          <w:b/>
        </w:rPr>
        <w:t>?</w:t>
      </w:r>
    </w:p>
    <w:p w14:paraId="7F9DE3A6" w14:textId="77777777" w:rsidR="00073AC3" w:rsidRPr="00C4059A" w:rsidRDefault="00073AC3">
      <w:pPr>
        <w:pStyle w:val="Bullet"/>
        <w:numPr>
          <w:ilvl w:val="0"/>
          <w:numId w:val="0"/>
        </w:numPr>
        <w:rPr>
          <w:b/>
          <w:bCs/>
        </w:rPr>
      </w:pPr>
      <w:r w:rsidRPr="00C4059A">
        <w:rPr>
          <w:b/>
          <w:bCs/>
        </w:rPr>
        <w:t>Question 7:</w:t>
      </w:r>
      <w:r w:rsidR="00D251A7" w:rsidRPr="00C4059A">
        <w:rPr>
          <w:b/>
          <w:bCs/>
        </w:rPr>
        <w:t xml:space="preserve"> In general, how would you rate the speed of our response to you?</w:t>
      </w:r>
    </w:p>
    <w:p w14:paraId="7F9DE3A7" w14:textId="77777777" w:rsidR="00073AC3" w:rsidRDefault="00073AC3" w:rsidP="00E2506B">
      <w:pPr>
        <w:pStyle w:val="Bullet"/>
        <w:numPr>
          <w:ilvl w:val="0"/>
          <w:numId w:val="0"/>
        </w:numPr>
      </w:pPr>
    </w:p>
    <w:p w14:paraId="7F9DE3A8" w14:textId="4E63A934" w:rsidR="00E2506B" w:rsidRPr="00C4059A" w:rsidRDefault="00073AC3" w:rsidP="00C4059A">
      <w:pPr>
        <w:pStyle w:val="Bullet"/>
        <w:numPr>
          <w:ilvl w:val="0"/>
          <w:numId w:val="0"/>
        </w:numPr>
        <w:spacing w:before="120" w:after="240"/>
        <w:rPr>
          <w:rFonts w:eastAsia="Calibri" w:cs="Calibri"/>
          <w:color w:val="000000"/>
          <w:bdr w:val="nil"/>
          <w:lang w:val="en-US" w:eastAsia="en-NZ"/>
        </w:rPr>
      </w:pPr>
      <w:r w:rsidRPr="00C4059A">
        <w:rPr>
          <w:rFonts w:eastAsia="Calibri" w:cs="Calibri"/>
          <w:color w:val="000000"/>
          <w:bdr w:val="nil"/>
          <w:lang w:val="en-US" w:eastAsia="en-NZ"/>
        </w:rPr>
        <w:t>T</w:t>
      </w:r>
      <w:r w:rsidR="008277E3" w:rsidRPr="00C4059A">
        <w:rPr>
          <w:rFonts w:eastAsia="Calibri" w:cs="Calibri"/>
          <w:color w:val="000000"/>
          <w:bdr w:val="nil"/>
          <w:lang w:val="en-US" w:eastAsia="en-NZ"/>
        </w:rPr>
        <w:t xml:space="preserve">hese have been grouped </w:t>
      </w:r>
      <w:r w:rsidR="00AB1637" w:rsidRPr="00C4059A">
        <w:rPr>
          <w:rFonts w:eastAsia="Calibri" w:cs="Calibri"/>
          <w:color w:val="000000"/>
          <w:bdr w:val="nil"/>
          <w:lang w:val="en-US" w:eastAsia="en-NZ"/>
        </w:rPr>
        <w:t xml:space="preserve">together </w:t>
      </w:r>
      <w:r w:rsidR="00D251A7" w:rsidRPr="00C4059A">
        <w:rPr>
          <w:rFonts w:eastAsia="Calibri" w:cs="Calibri"/>
          <w:color w:val="000000"/>
          <w:bdr w:val="nil"/>
          <w:lang w:val="en-US" w:eastAsia="en-NZ"/>
        </w:rPr>
        <w:t xml:space="preserve">in our analysis </w:t>
      </w:r>
      <w:r w:rsidR="00126F60" w:rsidRPr="00C4059A">
        <w:rPr>
          <w:rFonts w:eastAsia="Calibri" w:cs="Calibri"/>
          <w:color w:val="000000"/>
          <w:bdr w:val="nil"/>
          <w:lang w:val="en-US" w:eastAsia="en-NZ"/>
        </w:rPr>
        <w:t xml:space="preserve">to </w:t>
      </w:r>
      <w:r w:rsidR="008277E3" w:rsidRPr="00C4059A">
        <w:rPr>
          <w:rFonts w:eastAsia="Calibri" w:cs="Calibri"/>
          <w:color w:val="000000"/>
          <w:bdr w:val="nil"/>
          <w:lang w:val="en-US" w:eastAsia="en-NZ"/>
        </w:rPr>
        <w:t>evaluat</w:t>
      </w:r>
      <w:r w:rsidR="00126F60" w:rsidRPr="00C4059A">
        <w:rPr>
          <w:rFonts w:eastAsia="Calibri" w:cs="Calibri"/>
          <w:color w:val="000000"/>
          <w:bdr w:val="nil"/>
          <w:lang w:val="en-US" w:eastAsia="en-NZ"/>
        </w:rPr>
        <w:t xml:space="preserve">e </w:t>
      </w:r>
      <w:r w:rsidR="008277E3" w:rsidRPr="00C4059A">
        <w:rPr>
          <w:rFonts w:eastAsia="Calibri" w:cs="Calibri"/>
          <w:color w:val="000000"/>
          <w:bdr w:val="nil"/>
          <w:lang w:val="en-US" w:eastAsia="en-NZ"/>
        </w:rPr>
        <w:t>our professional performance.</w:t>
      </w:r>
      <w:r w:rsidR="00D251A7" w:rsidRPr="00C4059A">
        <w:rPr>
          <w:rFonts w:eastAsia="Calibri" w:cs="Calibri"/>
          <w:color w:val="000000"/>
          <w:bdr w:val="nil"/>
          <w:lang w:val="en-US" w:eastAsia="en-NZ"/>
        </w:rPr>
        <w:t xml:space="preserve"> </w:t>
      </w:r>
      <w:r w:rsidR="003E5493" w:rsidRPr="00C4059A">
        <w:rPr>
          <w:rFonts w:eastAsia="Calibri" w:cs="Calibri"/>
          <w:color w:val="000000"/>
          <w:bdr w:val="nil"/>
          <w:lang w:val="en-US" w:eastAsia="en-NZ"/>
        </w:rPr>
        <w:t>The q</w:t>
      </w:r>
      <w:r w:rsidR="00E574D6" w:rsidRPr="00C4059A">
        <w:rPr>
          <w:rFonts w:eastAsia="Calibri" w:cs="Calibri"/>
          <w:color w:val="000000"/>
          <w:bdr w:val="nil"/>
          <w:lang w:val="en-US" w:eastAsia="en-NZ"/>
        </w:rPr>
        <w:t>uestions use</w:t>
      </w:r>
      <w:r w:rsidR="00E2506B" w:rsidRPr="00C4059A">
        <w:rPr>
          <w:rFonts w:eastAsia="Calibri" w:cs="Calibri"/>
          <w:color w:val="000000"/>
          <w:bdr w:val="nil"/>
          <w:lang w:val="en-US" w:eastAsia="en-NZ"/>
        </w:rPr>
        <w:t xml:space="preserve"> </w:t>
      </w:r>
      <w:r w:rsidR="00A930C1" w:rsidRPr="00C4059A">
        <w:rPr>
          <w:rFonts w:eastAsia="Calibri" w:cs="Calibri"/>
          <w:color w:val="000000"/>
          <w:bdr w:val="nil"/>
          <w:lang w:val="en-US" w:eastAsia="en-NZ"/>
        </w:rPr>
        <w:t xml:space="preserve">rating </w:t>
      </w:r>
      <w:r w:rsidR="0014054F" w:rsidRPr="00C4059A">
        <w:rPr>
          <w:rFonts w:eastAsia="Calibri" w:cs="Calibri"/>
          <w:color w:val="000000"/>
          <w:bdr w:val="nil"/>
          <w:lang w:val="en-US" w:eastAsia="en-NZ"/>
        </w:rPr>
        <w:t>scale</w:t>
      </w:r>
      <w:r w:rsidR="002F19A3" w:rsidRPr="00C4059A">
        <w:rPr>
          <w:rFonts w:eastAsia="Calibri" w:cs="Calibri"/>
          <w:color w:val="000000"/>
          <w:bdr w:val="nil"/>
          <w:lang w:val="en-US" w:eastAsia="en-NZ"/>
        </w:rPr>
        <w:t>s</w:t>
      </w:r>
      <w:r w:rsidR="0014054F" w:rsidRPr="00C4059A">
        <w:rPr>
          <w:rFonts w:eastAsia="Calibri" w:cs="Calibri"/>
          <w:color w:val="000000"/>
          <w:bdr w:val="nil"/>
          <w:lang w:val="en-US" w:eastAsia="en-NZ"/>
        </w:rPr>
        <w:t xml:space="preserve"> </w:t>
      </w:r>
      <w:r w:rsidR="00E2506B" w:rsidRPr="00C4059A">
        <w:rPr>
          <w:rFonts w:eastAsia="Calibri" w:cs="Calibri"/>
          <w:color w:val="000000"/>
          <w:bdr w:val="nil"/>
          <w:lang w:val="en-US" w:eastAsia="en-NZ"/>
        </w:rPr>
        <w:t xml:space="preserve">from 1-5, with 1 being the </w:t>
      </w:r>
      <w:r w:rsidR="0014054F" w:rsidRPr="00C4059A">
        <w:rPr>
          <w:rFonts w:eastAsia="Calibri" w:cs="Calibri"/>
          <w:color w:val="000000"/>
          <w:bdr w:val="nil"/>
          <w:lang w:val="en-US" w:eastAsia="en-NZ"/>
        </w:rPr>
        <w:t>highest</w:t>
      </w:r>
      <w:r w:rsidR="00E2506B" w:rsidRPr="00C4059A">
        <w:rPr>
          <w:rFonts w:eastAsia="Calibri" w:cs="Calibri"/>
          <w:color w:val="000000"/>
          <w:bdr w:val="nil"/>
          <w:lang w:val="en-US" w:eastAsia="en-NZ"/>
        </w:rPr>
        <w:t xml:space="preserve"> and 5 the </w:t>
      </w:r>
      <w:r w:rsidR="0014054F" w:rsidRPr="00C4059A">
        <w:rPr>
          <w:rFonts w:eastAsia="Calibri" w:cs="Calibri"/>
          <w:color w:val="000000"/>
          <w:bdr w:val="nil"/>
          <w:lang w:val="en-US" w:eastAsia="en-NZ"/>
        </w:rPr>
        <w:t>lowest</w:t>
      </w:r>
      <w:r w:rsidR="00E2506B" w:rsidRPr="00C4059A">
        <w:rPr>
          <w:rFonts w:eastAsia="Calibri" w:cs="Calibri"/>
          <w:color w:val="000000"/>
          <w:bdr w:val="nil"/>
          <w:lang w:val="en-US" w:eastAsia="en-NZ"/>
        </w:rPr>
        <w:t>.</w:t>
      </w:r>
    </w:p>
    <w:p w14:paraId="7F9DE3A9" w14:textId="77777777" w:rsidR="00547990" w:rsidRPr="00C4059A" w:rsidRDefault="00E2506B" w:rsidP="00C4059A">
      <w:pPr>
        <w:pStyle w:val="Bullet"/>
        <w:numPr>
          <w:ilvl w:val="0"/>
          <w:numId w:val="0"/>
        </w:numPr>
        <w:spacing w:before="120" w:after="240"/>
        <w:rPr>
          <w:rFonts w:eastAsia="Calibri" w:cs="Calibri"/>
          <w:color w:val="000000"/>
          <w:bdr w:val="nil"/>
          <w:lang w:val="en-US" w:eastAsia="en-NZ"/>
        </w:rPr>
      </w:pPr>
      <w:r w:rsidRPr="00C4059A">
        <w:rPr>
          <w:rFonts w:eastAsia="Calibri" w:cs="Calibri"/>
          <w:color w:val="000000"/>
          <w:bdr w:val="nil"/>
          <w:lang w:val="en-US" w:eastAsia="en-NZ"/>
        </w:rPr>
        <w:t>For example:</w:t>
      </w:r>
    </w:p>
    <w:p w14:paraId="7F9DE3AA" w14:textId="77777777" w:rsidR="00E2506B" w:rsidRDefault="00E2506B" w:rsidP="00681B61">
      <w:pPr>
        <w:pStyle w:val="Bullet"/>
        <w:numPr>
          <w:ilvl w:val="0"/>
          <w:numId w:val="0"/>
        </w:numPr>
        <w:ind w:left="567"/>
      </w:pPr>
      <w:r>
        <w:t xml:space="preserve">1 – </w:t>
      </w:r>
      <w:r w:rsidR="0014054F">
        <w:t xml:space="preserve">Very easy </w:t>
      </w:r>
    </w:p>
    <w:p w14:paraId="7F9DE3AB" w14:textId="77777777" w:rsidR="0014054F" w:rsidRDefault="00E2506B" w:rsidP="00681B61">
      <w:pPr>
        <w:pStyle w:val="Bullet"/>
        <w:numPr>
          <w:ilvl w:val="0"/>
          <w:numId w:val="0"/>
        </w:numPr>
        <w:ind w:left="567"/>
      </w:pPr>
      <w:r>
        <w:t xml:space="preserve">2 – </w:t>
      </w:r>
      <w:r w:rsidR="0014054F">
        <w:t>Quite easy</w:t>
      </w:r>
    </w:p>
    <w:p w14:paraId="7F9DE3AC" w14:textId="19ACB7DA" w:rsidR="00E2506B" w:rsidRDefault="00E2506B" w:rsidP="00681B61">
      <w:pPr>
        <w:pStyle w:val="Bullet"/>
        <w:numPr>
          <w:ilvl w:val="0"/>
          <w:numId w:val="0"/>
        </w:numPr>
        <w:ind w:left="567"/>
      </w:pPr>
      <w:r>
        <w:t>3</w:t>
      </w:r>
      <w:r w:rsidR="00D61894">
        <w:t xml:space="preserve"> </w:t>
      </w:r>
      <w:r w:rsidR="00240CD6">
        <w:t>– Average</w:t>
      </w:r>
    </w:p>
    <w:p w14:paraId="7F9DE3AD" w14:textId="77777777" w:rsidR="0014054F" w:rsidRDefault="00E2506B" w:rsidP="00681B61">
      <w:pPr>
        <w:pStyle w:val="Bullet"/>
        <w:numPr>
          <w:ilvl w:val="0"/>
          <w:numId w:val="0"/>
        </w:numPr>
        <w:ind w:left="567"/>
      </w:pPr>
      <w:r>
        <w:t>4 –</w:t>
      </w:r>
      <w:r w:rsidR="0014054F">
        <w:t xml:space="preserve"> Quite difficult</w:t>
      </w:r>
    </w:p>
    <w:p w14:paraId="7F9DE3AE" w14:textId="77777777" w:rsidR="00E2506B" w:rsidRDefault="00E2506B" w:rsidP="00681B61">
      <w:pPr>
        <w:pStyle w:val="Bullet"/>
        <w:numPr>
          <w:ilvl w:val="0"/>
          <w:numId w:val="0"/>
        </w:numPr>
        <w:ind w:left="567"/>
      </w:pPr>
      <w:r>
        <w:t xml:space="preserve">5 – </w:t>
      </w:r>
      <w:r w:rsidR="0014054F">
        <w:t>Very difficult</w:t>
      </w:r>
    </w:p>
    <w:p w14:paraId="7F9DE3AF" w14:textId="77777777" w:rsidR="00935D5A" w:rsidRDefault="00935D5A" w:rsidP="003F6E7B">
      <w:pPr>
        <w:pStyle w:val="Bullet"/>
        <w:numPr>
          <w:ilvl w:val="0"/>
          <w:numId w:val="0"/>
        </w:numPr>
      </w:pPr>
    </w:p>
    <w:p w14:paraId="7F9DE3B0" w14:textId="77777777" w:rsidR="001B1084" w:rsidRPr="00C4059A" w:rsidRDefault="000E4446" w:rsidP="00C4059A">
      <w:pPr>
        <w:spacing w:after="120"/>
        <w:rPr>
          <w:b/>
        </w:rPr>
      </w:pPr>
      <w:r w:rsidRPr="00C4059A">
        <w:rPr>
          <w:b/>
        </w:rPr>
        <w:t>Figure 5</w:t>
      </w:r>
      <w:r w:rsidR="00126F60" w:rsidRPr="00C4059A">
        <w:rPr>
          <w:b/>
        </w:rPr>
        <w:t>: P</w:t>
      </w:r>
      <w:r w:rsidR="00A309DC" w:rsidRPr="00C4059A">
        <w:rPr>
          <w:b/>
        </w:rPr>
        <w:t>rofessional performance</w:t>
      </w:r>
    </w:p>
    <w:p w14:paraId="4F6E7048" w14:textId="08C7CCEB" w:rsidR="00A21952" w:rsidRDefault="00A21952" w:rsidP="002F56B1">
      <w:pPr>
        <w:pStyle w:val="Bullet"/>
        <w:numPr>
          <w:ilvl w:val="0"/>
          <w:numId w:val="0"/>
        </w:numPr>
        <w:spacing w:before="120" w:after="240"/>
        <w:rPr>
          <w:rFonts w:eastAsia="Calibri" w:cs="Calibri"/>
          <w:color w:val="000000"/>
          <w:u w:color="000000"/>
          <w:bdr w:val="nil"/>
          <w:lang w:val="en-US" w:eastAsia="en-NZ"/>
        </w:rPr>
      </w:pPr>
      <w:r>
        <w:rPr>
          <w:noProof/>
          <w:lang w:eastAsia="en-NZ"/>
        </w:rPr>
        <w:drawing>
          <wp:inline distT="0" distB="0" distL="0" distR="0" wp14:anchorId="740CF66F" wp14:editId="0FAB3A4A">
            <wp:extent cx="5720317" cy="3551274"/>
            <wp:effectExtent l="0" t="0" r="0" b="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7F9DE3B2" w14:textId="0509A62B" w:rsidR="006136AF" w:rsidRPr="00C4059A" w:rsidRDefault="000E4446" w:rsidP="00C4059A">
      <w:pPr>
        <w:pStyle w:val="Bullet"/>
        <w:numPr>
          <w:ilvl w:val="0"/>
          <w:numId w:val="0"/>
        </w:numPr>
        <w:spacing w:before="120" w:after="240"/>
        <w:rPr>
          <w:rFonts w:eastAsia="Calibri" w:cs="Calibri"/>
          <w:color w:val="000000"/>
          <w:bdr w:val="nil"/>
          <w:lang w:val="en-US" w:eastAsia="en-NZ"/>
        </w:rPr>
      </w:pPr>
      <w:r w:rsidRPr="00C4059A">
        <w:rPr>
          <w:rFonts w:eastAsia="Calibri" w:cs="Calibri"/>
          <w:color w:val="000000"/>
          <w:bdr w:val="nil"/>
          <w:lang w:val="en-US" w:eastAsia="en-NZ"/>
        </w:rPr>
        <w:t>Figure 5</w:t>
      </w:r>
      <w:r w:rsidR="007951A4" w:rsidRPr="00C4059A">
        <w:rPr>
          <w:rFonts w:eastAsia="Calibri" w:cs="Calibri"/>
          <w:color w:val="000000"/>
          <w:bdr w:val="nil"/>
          <w:lang w:val="en-US" w:eastAsia="en-NZ"/>
        </w:rPr>
        <w:t xml:space="preserve"> shows the</w:t>
      </w:r>
      <w:r w:rsidR="00923C2B" w:rsidRPr="00C4059A">
        <w:rPr>
          <w:rFonts w:eastAsia="Calibri" w:cs="Calibri"/>
          <w:color w:val="000000"/>
          <w:bdr w:val="nil"/>
          <w:lang w:val="en-US" w:eastAsia="en-NZ"/>
        </w:rPr>
        <w:t xml:space="preserve"> percentages for </w:t>
      </w:r>
      <w:r w:rsidR="007951A4" w:rsidRPr="00C4059A">
        <w:rPr>
          <w:rFonts w:eastAsia="Calibri" w:cs="Calibri"/>
          <w:color w:val="000000"/>
          <w:bdr w:val="nil"/>
          <w:lang w:val="en-US" w:eastAsia="en-NZ"/>
        </w:rPr>
        <w:t xml:space="preserve">selections </w:t>
      </w:r>
      <w:r w:rsidR="00935D5A" w:rsidRPr="00C4059A">
        <w:rPr>
          <w:rFonts w:eastAsia="Calibri" w:cs="Calibri"/>
          <w:color w:val="000000"/>
          <w:bdr w:val="nil"/>
          <w:lang w:val="en-US" w:eastAsia="en-NZ"/>
        </w:rPr>
        <w:t xml:space="preserve">for </w:t>
      </w:r>
      <w:r w:rsidR="008277E3" w:rsidRPr="00C4059A">
        <w:rPr>
          <w:rFonts w:eastAsia="Calibri" w:cs="Calibri"/>
          <w:color w:val="000000"/>
          <w:bdr w:val="nil"/>
          <w:lang w:val="en-US" w:eastAsia="en-NZ"/>
        </w:rPr>
        <w:t xml:space="preserve">each of the three </w:t>
      </w:r>
      <w:r w:rsidR="00935D5A" w:rsidRPr="00C4059A">
        <w:rPr>
          <w:rFonts w:eastAsia="Calibri" w:cs="Calibri"/>
          <w:color w:val="000000"/>
          <w:bdr w:val="nil"/>
          <w:lang w:val="en-US" w:eastAsia="en-NZ"/>
        </w:rPr>
        <w:t xml:space="preserve">questions </w:t>
      </w:r>
      <w:r w:rsidR="007951A4" w:rsidRPr="00C4059A">
        <w:rPr>
          <w:rFonts w:eastAsia="Calibri" w:cs="Calibri"/>
          <w:color w:val="000000"/>
          <w:bdr w:val="nil"/>
          <w:lang w:val="en-US" w:eastAsia="en-NZ"/>
        </w:rPr>
        <w:t xml:space="preserve">rating </w:t>
      </w:r>
      <w:r w:rsidR="00935D5A" w:rsidRPr="00C4059A">
        <w:rPr>
          <w:rFonts w:eastAsia="Calibri" w:cs="Calibri"/>
          <w:color w:val="000000"/>
          <w:bdr w:val="nil"/>
          <w:lang w:val="en-US" w:eastAsia="en-NZ"/>
        </w:rPr>
        <w:t>our professional performance.</w:t>
      </w:r>
    </w:p>
    <w:p w14:paraId="0991BE09" w14:textId="77777777" w:rsidR="00DB3B2D" w:rsidRDefault="00DB3B2D" w:rsidP="003F6E7B">
      <w:pPr>
        <w:pStyle w:val="Bullet"/>
        <w:numPr>
          <w:ilvl w:val="0"/>
          <w:numId w:val="0"/>
        </w:numPr>
        <w:rPr>
          <w:b/>
          <w:color w:val="1F546B" w:themeColor="text2"/>
        </w:rPr>
      </w:pPr>
    </w:p>
    <w:p w14:paraId="451DB030" w14:textId="6DDE2649" w:rsidR="008D61EB" w:rsidRPr="00BA687A" w:rsidRDefault="008D61EB" w:rsidP="003F6E7B">
      <w:pPr>
        <w:pStyle w:val="Bullet"/>
        <w:numPr>
          <w:ilvl w:val="0"/>
          <w:numId w:val="0"/>
        </w:numPr>
      </w:pPr>
      <w:r w:rsidRPr="00BA687A">
        <w:t>The responses across all three questions were all very positive with:</w:t>
      </w:r>
    </w:p>
    <w:p w14:paraId="630D1F5C" w14:textId="47416F33" w:rsidR="008D61EB" w:rsidRPr="00BA687A" w:rsidRDefault="00BA687A" w:rsidP="0060330D">
      <w:pPr>
        <w:pStyle w:val="Bullet"/>
        <w:numPr>
          <w:ilvl w:val="0"/>
          <w:numId w:val="28"/>
        </w:numPr>
      </w:pPr>
      <w:r w:rsidRPr="00BA687A">
        <w:t>Eighty-one</w:t>
      </w:r>
      <w:r w:rsidR="00B1786D" w:rsidRPr="00BA687A">
        <w:t xml:space="preserve"> per cent</w:t>
      </w:r>
      <w:r w:rsidR="003F5C2F" w:rsidRPr="00BA687A">
        <w:t xml:space="preserve"> </w:t>
      </w:r>
      <w:r w:rsidR="008D61EB" w:rsidRPr="00BA687A">
        <w:t>rating the ease of obtaining information as very easy or quite easy</w:t>
      </w:r>
    </w:p>
    <w:p w14:paraId="03EE6B0C" w14:textId="32DFC5E6" w:rsidR="008D61EB" w:rsidRPr="00BA687A" w:rsidRDefault="00BA687A" w:rsidP="0060330D">
      <w:pPr>
        <w:pStyle w:val="Bullet"/>
        <w:numPr>
          <w:ilvl w:val="0"/>
          <w:numId w:val="28"/>
        </w:numPr>
      </w:pPr>
      <w:r w:rsidRPr="00BA687A">
        <w:t>Eighty-four</w:t>
      </w:r>
      <w:r w:rsidR="00B1786D" w:rsidRPr="00BA687A">
        <w:t xml:space="preserve"> per cent</w:t>
      </w:r>
      <w:r w:rsidR="00571DFB" w:rsidRPr="00BA687A">
        <w:t xml:space="preserve"> rating the quality of information provided as very good or good </w:t>
      </w:r>
    </w:p>
    <w:p w14:paraId="12026ADA" w14:textId="25C59FA5" w:rsidR="00571DFB" w:rsidRPr="009A66D2" w:rsidRDefault="00D563A4" w:rsidP="009A66D2">
      <w:pPr>
        <w:pStyle w:val="Bullet"/>
        <w:numPr>
          <w:ilvl w:val="0"/>
          <w:numId w:val="28"/>
        </w:numPr>
      </w:pPr>
      <w:r w:rsidRPr="00BA687A">
        <w:t>Seventy</w:t>
      </w:r>
      <w:r w:rsidR="00BA687A" w:rsidRPr="00BA687A">
        <w:t>-six</w:t>
      </w:r>
      <w:r w:rsidR="00B1786D" w:rsidRPr="00BA687A">
        <w:t xml:space="preserve"> per cent</w:t>
      </w:r>
      <w:r w:rsidR="00571DFB" w:rsidRPr="00BA687A">
        <w:t xml:space="preserve"> rating the speed of response as very fast or quite fast</w:t>
      </w:r>
      <w:r w:rsidR="00B50BFF" w:rsidRPr="00BA687A">
        <w:t>.</w:t>
      </w:r>
    </w:p>
    <w:p w14:paraId="2ED99027" w14:textId="350E3232" w:rsidR="00571DFB" w:rsidRPr="00C4059A" w:rsidRDefault="00571DFB" w:rsidP="00C4059A">
      <w:pPr>
        <w:pStyle w:val="Bullet"/>
        <w:numPr>
          <w:ilvl w:val="0"/>
          <w:numId w:val="0"/>
        </w:numPr>
        <w:spacing w:before="120" w:after="240"/>
        <w:rPr>
          <w:rFonts w:eastAsia="Calibri" w:cs="Calibri"/>
          <w:color w:val="000000"/>
          <w:bdr w:val="nil"/>
          <w:lang w:val="en-US" w:eastAsia="en-NZ"/>
        </w:rPr>
      </w:pPr>
      <w:r w:rsidRPr="00C4059A">
        <w:rPr>
          <w:rFonts w:eastAsia="Calibri" w:cs="Calibri"/>
          <w:color w:val="000000"/>
          <w:bdr w:val="nil"/>
          <w:lang w:val="en-US" w:eastAsia="en-NZ"/>
        </w:rPr>
        <w:t>Compared to last year, this is an increase in the positive ratings in all three areas of our professional performance.</w:t>
      </w:r>
    </w:p>
    <w:p w14:paraId="59B7CE26" w14:textId="34157075" w:rsidR="00571DFB" w:rsidRPr="00C4059A" w:rsidRDefault="00571DFB" w:rsidP="00C4059A">
      <w:pPr>
        <w:pStyle w:val="Bullet"/>
        <w:numPr>
          <w:ilvl w:val="0"/>
          <w:numId w:val="0"/>
        </w:numPr>
        <w:spacing w:before="120" w:after="240"/>
        <w:rPr>
          <w:rFonts w:eastAsia="Calibri" w:cs="Calibri"/>
          <w:color w:val="000000"/>
          <w:bdr w:val="nil"/>
          <w:lang w:val="en-US" w:eastAsia="en-NZ"/>
        </w:rPr>
      </w:pPr>
      <w:r w:rsidRPr="00C4059A">
        <w:rPr>
          <w:rFonts w:eastAsia="Calibri" w:cs="Calibri"/>
          <w:color w:val="000000"/>
          <w:bdr w:val="nil"/>
          <w:lang w:val="en-US" w:eastAsia="en-NZ"/>
        </w:rPr>
        <w:t xml:space="preserve">It is pleasing to see that only </w:t>
      </w:r>
      <w:r w:rsidR="00BA687A" w:rsidRPr="00C4059A">
        <w:rPr>
          <w:rFonts w:eastAsia="Calibri" w:cs="Calibri"/>
          <w:color w:val="000000"/>
          <w:bdr w:val="nil"/>
          <w:lang w:val="en-US" w:eastAsia="en-NZ"/>
        </w:rPr>
        <w:t>two</w:t>
      </w:r>
      <w:r w:rsidR="002A5C01" w:rsidRPr="00C4059A">
        <w:rPr>
          <w:rFonts w:eastAsia="Calibri" w:cs="Calibri"/>
          <w:color w:val="000000"/>
          <w:bdr w:val="nil"/>
          <w:lang w:val="en-US" w:eastAsia="en-NZ"/>
        </w:rPr>
        <w:t xml:space="preserve"> </w:t>
      </w:r>
      <w:r w:rsidR="00B1786D" w:rsidRPr="00C4059A">
        <w:rPr>
          <w:rFonts w:eastAsia="Calibri" w:cs="Calibri"/>
          <w:color w:val="000000"/>
          <w:bdr w:val="nil"/>
          <w:lang w:val="en-US" w:eastAsia="en-NZ"/>
        </w:rPr>
        <w:t>per cent</w:t>
      </w:r>
      <w:r w:rsidRPr="00C4059A">
        <w:rPr>
          <w:rFonts w:eastAsia="Calibri" w:cs="Calibri"/>
          <w:color w:val="000000"/>
          <w:bdr w:val="nil"/>
          <w:lang w:val="en-US" w:eastAsia="en-NZ"/>
        </w:rPr>
        <w:t xml:space="preserve"> of respondents rated information provided as being of poor o</w:t>
      </w:r>
      <w:r w:rsidR="00BA687A" w:rsidRPr="00C4059A">
        <w:rPr>
          <w:rFonts w:eastAsia="Calibri" w:cs="Calibri"/>
          <w:color w:val="000000"/>
          <w:bdr w:val="nil"/>
          <w:lang w:val="en-US" w:eastAsia="en-NZ"/>
        </w:rPr>
        <w:t>r very poor quality. Although eight</w:t>
      </w:r>
      <w:r w:rsidR="00B1786D" w:rsidRPr="00C4059A">
        <w:rPr>
          <w:rFonts w:eastAsia="Calibri" w:cs="Calibri"/>
          <w:color w:val="000000"/>
          <w:bdr w:val="nil"/>
          <w:lang w:val="en-US" w:eastAsia="en-NZ"/>
        </w:rPr>
        <w:t xml:space="preserve"> per cent</w:t>
      </w:r>
      <w:r w:rsidRPr="00C4059A">
        <w:rPr>
          <w:rFonts w:eastAsia="Calibri" w:cs="Calibri"/>
          <w:color w:val="000000"/>
          <w:bdr w:val="nil"/>
          <w:lang w:val="en-US" w:eastAsia="en-NZ"/>
        </w:rPr>
        <w:t xml:space="preserve"> did rate the speed of response as quite slow or very slow</w:t>
      </w:r>
      <w:r w:rsidR="00BA687A" w:rsidRPr="00C4059A">
        <w:rPr>
          <w:rFonts w:eastAsia="Calibri" w:cs="Calibri"/>
          <w:color w:val="000000"/>
          <w:bdr w:val="nil"/>
          <w:lang w:val="en-US" w:eastAsia="en-NZ"/>
        </w:rPr>
        <w:t>, this is a decrease from 10 per cent in 2016</w:t>
      </w:r>
      <w:r w:rsidRPr="00C4059A">
        <w:rPr>
          <w:rFonts w:eastAsia="Calibri" w:cs="Calibri"/>
          <w:color w:val="000000"/>
          <w:bdr w:val="nil"/>
          <w:lang w:val="en-US" w:eastAsia="en-NZ"/>
        </w:rPr>
        <w:t>.</w:t>
      </w:r>
    </w:p>
    <w:p w14:paraId="65428DE0" w14:textId="49820F6A" w:rsidR="004B0567" w:rsidRPr="00C4059A" w:rsidRDefault="00571DFB" w:rsidP="00C4059A">
      <w:pPr>
        <w:pStyle w:val="Bullet"/>
        <w:numPr>
          <w:ilvl w:val="0"/>
          <w:numId w:val="0"/>
        </w:numPr>
        <w:spacing w:before="120" w:after="240"/>
        <w:rPr>
          <w:rFonts w:eastAsia="Calibri" w:cs="Calibri"/>
          <w:color w:val="000000"/>
          <w:bdr w:val="nil"/>
          <w:lang w:val="en-US" w:eastAsia="en-NZ"/>
        </w:rPr>
      </w:pPr>
      <w:r w:rsidRPr="00C4059A">
        <w:rPr>
          <w:rFonts w:eastAsia="Calibri" w:cs="Calibri"/>
          <w:color w:val="000000"/>
          <w:bdr w:val="nil"/>
          <w:lang w:val="en-US" w:eastAsia="en-NZ"/>
        </w:rPr>
        <w:t xml:space="preserve">The results show that </w:t>
      </w:r>
      <w:r w:rsidR="00FF1A63" w:rsidRPr="00C4059A">
        <w:rPr>
          <w:rFonts w:eastAsia="Calibri" w:cs="Calibri"/>
          <w:color w:val="000000"/>
          <w:bdr w:val="nil"/>
          <w:lang w:val="en-US" w:eastAsia="en-NZ"/>
        </w:rPr>
        <w:t xml:space="preserve">respondents in the ‘Other’ category found it the easiest to obtain information from the Department, followed by </w:t>
      </w:r>
      <w:r w:rsidR="00AF38AC">
        <w:rPr>
          <w:rFonts w:eastAsia="Calibri" w:cs="Calibri"/>
          <w:color w:val="000000"/>
          <w:bdr w:val="nil"/>
          <w:lang w:val="en-US" w:eastAsia="en-NZ"/>
        </w:rPr>
        <w:t>c</w:t>
      </w:r>
      <w:r w:rsidR="00AF38AC" w:rsidRPr="00C4059A">
        <w:rPr>
          <w:rFonts w:eastAsia="Calibri" w:cs="Calibri"/>
          <w:color w:val="000000"/>
          <w:bdr w:val="nil"/>
          <w:lang w:val="en-US" w:eastAsia="en-NZ"/>
        </w:rPr>
        <w:t xml:space="preserve">lubs </w:t>
      </w:r>
      <w:r w:rsidR="00FF1A63" w:rsidRPr="00C4059A">
        <w:rPr>
          <w:rFonts w:eastAsia="Calibri" w:cs="Calibri"/>
          <w:color w:val="000000"/>
          <w:bdr w:val="nil"/>
          <w:lang w:val="en-US" w:eastAsia="en-NZ"/>
        </w:rPr>
        <w:t xml:space="preserve">and </w:t>
      </w:r>
      <w:r w:rsidR="00D87D8D" w:rsidRPr="00C4059A">
        <w:rPr>
          <w:rFonts w:eastAsia="Calibri" w:cs="Calibri"/>
          <w:color w:val="000000"/>
          <w:bdr w:val="nil"/>
          <w:lang w:val="en-US" w:eastAsia="en-NZ"/>
        </w:rPr>
        <w:t>c</w:t>
      </w:r>
      <w:r w:rsidR="00131711" w:rsidRPr="00C4059A">
        <w:rPr>
          <w:rFonts w:eastAsia="Calibri" w:cs="Calibri"/>
          <w:color w:val="000000"/>
          <w:bdr w:val="nil"/>
          <w:lang w:val="en-US" w:eastAsia="en-NZ"/>
        </w:rPr>
        <w:t>lass 4</w:t>
      </w:r>
      <w:r w:rsidR="009162A7" w:rsidRPr="00C4059A">
        <w:rPr>
          <w:rFonts w:eastAsia="Calibri" w:cs="Calibri"/>
          <w:color w:val="000000"/>
          <w:bdr w:val="nil"/>
          <w:lang w:val="en-US" w:eastAsia="en-NZ"/>
        </w:rPr>
        <w:t xml:space="preserve"> </w:t>
      </w:r>
      <w:r w:rsidRPr="00C4059A">
        <w:rPr>
          <w:rFonts w:eastAsia="Calibri" w:cs="Calibri"/>
          <w:color w:val="000000"/>
          <w:bdr w:val="nil"/>
          <w:lang w:val="en-US" w:eastAsia="en-NZ"/>
        </w:rPr>
        <w:t xml:space="preserve">non-club societies. </w:t>
      </w:r>
    </w:p>
    <w:p w14:paraId="7F9DE3CA" w14:textId="77777777" w:rsidR="00404A9E" w:rsidRPr="00C4059A" w:rsidRDefault="00427F2D">
      <w:pPr>
        <w:pStyle w:val="Bullet"/>
        <w:numPr>
          <w:ilvl w:val="0"/>
          <w:numId w:val="0"/>
        </w:numPr>
        <w:rPr>
          <w:b/>
        </w:rPr>
      </w:pPr>
      <w:r w:rsidRPr="00C4059A">
        <w:rPr>
          <w:b/>
        </w:rPr>
        <w:t>Question 8: If you have any specific comments about your experience of contacting us please add them here.</w:t>
      </w:r>
    </w:p>
    <w:p w14:paraId="789A6332" w14:textId="583B8A8C" w:rsidR="00433FE1" w:rsidRPr="00C4059A" w:rsidRDefault="00433FE1" w:rsidP="00C4059A">
      <w:pPr>
        <w:pStyle w:val="Bullet"/>
        <w:numPr>
          <w:ilvl w:val="0"/>
          <w:numId w:val="0"/>
        </w:numPr>
        <w:spacing w:before="120" w:after="240"/>
        <w:rPr>
          <w:rFonts w:eastAsia="Calibri" w:cs="Calibri"/>
          <w:color w:val="000000"/>
          <w:bdr w:val="nil"/>
          <w:lang w:val="en-US" w:eastAsia="en-NZ"/>
        </w:rPr>
      </w:pPr>
      <w:r w:rsidRPr="00C4059A">
        <w:rPr>
          <w:rFonts w:eastAsia="Calibri" w:cs="Calibri"/>
          <w:color w:val="000000"/>
          <w:bdr w:val="nil"/>
          <w:lang w:val="en-US" w:eastAsia="en-NZ"/>
        </w:rPr>
        <w:t xml:space="preserve">A number of comments reflected that the sector has seen improvements in their contact with </w:t>
      </w:r>
      <w:r w:rsidR="005A5D66" w:rsidRPr="00C4059A">
        <w:rPr>
          <w:rFonts w:eastAsia="Calibri" w:cs="Calibri"/>
          <w:color w:val="000000"/>
          <w:bdr w:val="nil"/>
          <w:lang w:val="en-US" w:eastAsia="en-NZ"/>
        </w:rPr>
        <w:t>the Department</w:t>
      </w:r>
      <w:r w:rsidRPr="00C4059A">
        <w:rPr>
          <w:rFonts w:eastAsia="Calibri" w:cs="Calibri"/>
          <w:color w:val="000000"/>
          <w:bdr w:val="nil"/>
          <w:lang w:val="en-US" w:eastAsia="en-NZ"/>
        </w:rPr>
        <w:t>, as well as finding it particularly beneficial when they</w:t>
      </w:r>
      <w:r w:rsidR="00131711" w:rsidRPr="00C4059A">
        <w:rPr>
          <w:rFonts w:eastAsia="Calibri" w:cs="Calibri"/>
          <w:color w:val="000000"/>
          <w:bdr w:val="nil"/>
          <w:lang w:val="en-US" w:eastAsia="en-NZ"/>
        </w:rPr>
        <w:t xml:space="preserve"> have</w:t>
      </w:r>
      <w:r w:rsidRPr="00C4059A">
        <w:rPr>
          <w:rFonts w:eastAsia="Calibri" w:cs="Calibri"/>
          <w:color w:val="000000"/>
          <w:bdr w:val="nil"/>
          <w:lang w:val="en-US" w:eastAsia="en-NZ"/>
        </w:rPr>
        <w:t xml:space="preserve"> </w:t>
      </w:r>
      <w:r w:rsidR="00267929" w:rsidRPr="00C4059A">
        <w:rPr>
          <w:rFonts w:eastAsia="Calibri" w:cs="Calibri"/>
          <w:color w:val="000000"/>
          <w:bdr w:val="nil"/>
          <w:lang w:val="en-US" w:eastAsia="en-NZ"/>
        </w:rPr>
        <w:t>a liaison officer to contact</w:t>
      </w:r>
      <w:r w:rsidRPr="00C4059A">
        <w:rPr>
          <w:rFonts w:eastAsia="Calibri" w:cs="Calibri"/>
          <w:color w:val="000000"/>
          <w:bdr w:val="nil"/>
          <w:lang w:val="en-US" w:eastAsia="en-NZ"/>
        </w:rPr>
        <w:t xml:space="preserve">. Some people also reported that </w:t>
      </w:r>
      <w:r w:rsidR="00267929" w:rsidRPr="00C4059A">
        <w:rPr>
          <w:rFonts w:eastAsia="Calibri" w:cs="Calibri"/>
          <w:color w:val="000000"/>
          <w:bdr w:val="nil"/>
          <w:lang w:val="en-US" w:eastAsia="en-NZ"/>
        </w:rPr>
        <w:t xml:space="preserve">response times vary greatly depending on the method of contact </w:t>
      </w:r>
      <w:r w:rsidR="00DB3AD4" w:rsidRPr="00C4059A">
        <w:rPr>
          <w:rFonts w:eastAsia="Calibri" w:cs="Calibri"/>
          <w:color w:val="000000"/>
          <w:bdr w:val="nil"/>
          <w:lang w:val="en-US" w:eastAsia="en-NZ"/>
        </w:rPr>
        <w:t xml:space="preserve">(telephone is particularly slow), </w:t>
      </w:r>
      <w:r w:rsidR="00267929" w:rsidRPr="00C4059A">
        <w:rPr>
          <w:rFonts w:eastAsia="Calibri" w:cs="Calibri"/>
          <w:color w:val="000000"/>
          <w:bdr w:val="nil"/>
          <w:lang w:val="en-US" w:eastAsia="en-NZ"/>
        </w:rPr>
        <w:t>or individual workloads of DIA staff</w:t>
      </w:r>
      <w:r w:rsidRPr="00C4059A">
        <w:rPr>
          <w:rFonts w:eastAsia="Calibri" w:cs="Calibri"/>
          <w:color w:val="000000"/>
          <w:bdr w:val="nil"/>
          <w:lang w:val="en-US" w:eastAsia="en-NZ"/>
        </w:rPr>
        <w:t xml:space="preserve">. </w:t>
      </w:r>
    </w:p>
    <w:p w14:paraId="7F9DE3CB" w14:textId="5889838D" w:rsidR="002D3B6E" w:rsidRPr="00C4059A" w:rsidRDefault="00AE1968" w:rsidP="00C4059A">
      <w:pPr>
        <w:pStyle w:val="Bullet"/>
        <w:numPr>
          <w:ilvl w:val="0"/>
          <w:numId w:val="0"/>
        </w:numPr>
        <w:spacing w:before="120" w:after="240"/>
        <w:rPr>
          <w:rFonts w:eastAsia="Calibri" w:cs="Calibri"/>
          <w:color w:val="000000"/>
          <w:bdr w:val="nil"/>
          <w:lang w:val="en-US" w:eastAsia="en-NZ"/>
        </w:rPr>
      </w:pPr>
      <w:r w:rsidRPr="00C4059A">
        <w:rPr>
          <w:rFonts w:eastAsia="Calibri" w:cs="Calibri"/>
          <w:color w:val="000000"/>
          <w:bdr w:val="nil"/>
          <w:lang w:val="en-US" w:eastAsia="en-NZ"/>
        </w:rPr>
        <w:t xml:space="preserve">A sample from the </w:t>
      </w:r>
      <w:r w:rsidR="00A21952" w:rsidRPr="00C4059A">
        <w:rPr>
          <w:rFonts w:eastAsia="Calibri" w:cs="Calibri"/>
          <w:color w:val="000000"/>
          <w:bdr w:val="nil"/>
          <w:lang w:val="en-US" w:eastAsia="en-NZ"/>
        </w:rPr>
        <w:t>36</w:t>
      </w:r>
      <w:r w:rsidR="00543453" w:rsidRPr="00C4059A">
        <w:rPr>
          <w:rFonts w:eastAsia="Calibri" w:cs="Calibri"/>
          <w:color w:val="000000"/>
          <w:bdr w:val="nil"/>
          <w:lang w:val="en-US" w:eastAsia="en-NZ"/>
        </w:rPr>
        <w:t xml:space="preserve"> </w:t>
      </w:r>
      <w:r w:rsidR="00D52356" w:rsidRPr="00C4059A">
        <w:rPr>
          <w:rFonts w:eastAsia="Calibri" w:cs="Calibri"/>
          <w:color w:val="000000"/>
          <w:bdr w:val="nil"/>
          <w:lang w:val="en-US" w:eastAsia="en-NZ"/>
        </w:rPr>
        <w:t xml:space="preserve">comments </w:t>
      </w:r>
      <w:r w:rsidRPr="00C4059A">
        <w:rPr>
          <w:rFonts w:eastAsia="Calibri" w:cs="Calibri"/>
          <w:color w:val="000000"/>
          <w:bdr w:val="nil"/>
          <w:lang w:val="en-US" w:eastAsia="en-NZ"/>
        </w:rPr>
        <w:t>received is provided</w:t>
      </w:r>
      <w:r w:rsidR="002D3B6E" w:rsidRPr="00C4059A">
        <w:rPr>
          <w:rFonts w:eastAsia="Calibri" w:cs="Calibri"/>
          <w:color w:val="000000"/>
          <w:bdr w:val="nil"/>
          <w:lang w:val="en-US" w:eastAsia="en-NZ"/>
        </w:rPr>
        <w:t xml:space="preserve"> (</w:t>
      </w:r>
      <w:r w:rsidR="00DB3AD4" w:rsidRPr="00C4059A">
        <w:rPr>
          <w:rFonts w:eastAsia="Calibri" w:cs="Calibri"/>
          <w:color w:val="000000"/>
          <w:bdr w:val="nil"/>
          <w:lang w:val="en-US" w:eastAsia="en-NZ"/>
        </w:rPr>
        <w:t>5</w:t>
      </w:r>
      <w:r w:rsidR="002D3B6E" w:rsidRPr="00C4059A">
        <w:rPr>
          <w:rFonts w:eastAsia="Calibri" w:cs="Calibri"/>
          <w:color w:val="000000"/>
          <w:bdr w:val="nil"/>
          <w:lang w:val="en-US" w:eastAsia="en-NZ"/>
        </w:rPr>
        <w:t>/3</w:t>
      </w:r>
      <w:r w:rsidR="009A66D2" w:rsidRPr="00C4059A">
        <w:rPr>
          <w:rFonts w:eastAsia="Calibri" w:cs="Calibri"/>
          <w:color w:val="000000"/>
          <w:bdr w:val="nil"/>
          <w:lang w:val="en-US" w:eastAsia="en-NZ"/>
        </w:rPr>
        <w:t>6</w:t>
      </w:r>
      <w:r w:rsidR="002D3B6E" w:rsidRPr="00C4059A">
        <w:rPr>
          <w:rFonts w:eastAsia="Calibri" w:cs="Calibri"/>
          <w:color w:val="000000"/>
          <w:bdr w:val="nil"/>
          <w:lang w:val="en-US" w:eastAsia="en-NZ"/>
        </w:rPr>
        <w:t>):</w:t>
      </w:r>
    </w:p>
    <w:p w14:paraId="76563F58" w14:textId="7BEAD675" w:rsidR="00FE2CA7" w:rsidRPr="00267929" w:rsidRDefault="00FE2CA7" w:rsidP="004B0567">
      <w:pPr>
        <w:pStyle w:val="Bullet"/>
        <w:numPr>
          <w:ilvl w:val="0"/>
          <w:numId w:val="0"/>
        </w:numPr>
        <w:spacing w:before="120" w:after="240"/>
        <w:ind w:left="567" w:firstLine="6"/>
        <w:rPr>
          <w:lang w:val="en"/>
        </w:rPr>
      </w:pPr>
      <w:r w:rsidRPr="00267929">
        <w:t>“</w:t>
      </w:r>
      <w:r w:rsidR="00267929" w:rsidRPr="00267929">
        <w:rPr>
          <w:lang w:val="en"/>
        </w:rPr>
        <w:t xml:space="preserve">The </w:t>
      </w:r>
      <w:proofErr w:type="gramStart"/>
      <w:r w:rsidR="00267929" w:rsidRPr="00267929">
        <w:rPr>
          <w:lang w:val="en"/>
        </w:rPr>
        <w:t>staff that I have dealt with over the last year have</w:t>
      </w:r>
      <w:proofErr w:type="gramEnd"/>
      <w:r w:rsidR="00267929" w:rsidRPr="00267929">
        <w:rPr>
          <w:lang w:val="en"/>
        </w:rPr>
        <w:t xml:space="preserve"> been very helpful and informative</w:t>
      </w:r>
      <w:r w:rsidRPr="00267929">
        <w:rPr>
          <w:lang w:val="en"/>
        </w:rPr>
        <w:t>.”</w:t>
      </w:r>
    </w:p>
    <w:p w14:paraId="7F9DE3CC" w14:textId="67EA0AC1" w:rsidR="00BD46A0" w:rsidRPr="002F56B1" w:rsidRDefault="00267929" w:rsidP="004B0567">
      <w:pPr>
        <w:pStyle w:val="Bullet"/>
        <w:numPr>
          <w:ilvl w:val="0"/>
          <w:numId w:val="0"/>
        </w:numPr>
        <w:spacing w:before="120" w:after="240"/>
        <w:ind w:left="567" w:firstLine="6"/>
        <w:rPr>
          <w:highlight w:val="yellow"/>
        </w:rPr>
      </w:pPr>
      <w:r>
        <w:t>“</w:t>
      </w:r>
      <w:r w:rsidRPr="00267929">
        <w:t>Having been in the industry for some years I find the DIA much more user-friendly in recent times</w:t>
      </w:r>
      <w:r w:rsidR="004652F7" w:rsidRPr="00267929">
        <w:t>.</w:t>
      </w:r>
      <w:r w:rsidR="00BD46A0" w:rsidRPr="00267929">
        <w:t>”</w:t>
      </w:r>
    </w:p>
    <w:p w14:paraId="7F9DE3CE" w14:textId="44AEE75F" w:rsidR="00B0216B" w:rsidRPr="002F56B1" w:rsidRDefault="00267929" w:rsidP="00267929">
      <w:pPr>
        <w:pStyle w:val="Bullet"/>
        <w:numPr>
          <w:ilvl w:val="0"/>
          <w:numId w:val="0"/>
        </w:numPr>
        <w:spacing w:before="120" w:after="240"/>
        <w:ind w:left="567" w:firstLine="6"/>
        <w:rPr>
          <w:highlight w:val="yellow"/>
        </w:rPr>
      </w:pPr>
      <w:r>
        <w:t>“The information received is always very good however it is hard to get a person on the phone. Complex or unusual issues are best discussed person to person.”</w:t>
      </w:r>
    </w:p>
    <w:p w14:paraId="555EF88A" w14:textId="4CA04C22" w:rsidR="00DB3AD4" w:rsidRPr="00DB3AD4" w:rsidRDefault="00DB3AD4" w:rsidP="00DB3AD4">
      <w:pPr>
        <w:pStyle w:val="Bullet"/>
        <w:numPr>
          <w:ilvl w:val="0"/>
          <w:numId w:val="0"/>
        </w:numPr>
        <w:spacing w:before="120" w:after="240"/>
        <w:ind w:left="567" w:firstLine="6"/>
      </w:pPr>
      <w:r w:rsidRPr="00DB3AD4">
        <w:t xml:space="preserve">"My experience is that the response is very slow - as in taking months to </w:t>
      </w:r>
      <w:r>
        <w:t>reply - or no response at all.”</w:t>
      </w:r>
    </w:p>
    <w:p w14:paraId="7F9DE3D2" w14:textId="23B93565" w:rsidR="0051410E" w:rsidRPr="00FE2CA7" w:rsidRDefault="007951A4" w:rsidP="004B0567">
      <w:pPr>
        <w:pStyle w:val="Bullet"/>
        <w:numPr>
          <w:ilvl w:val="0"/>
          <w:numId w:val="0"/>
        </w:numPr>
        <w:spacing w:before="120" w:after="240"/>
        <w:ind w:left="567" w:firstLine="6"/>
      </w:pPr>
      <w:r w:rsidRPr="00267929">
        <w:t>“</w:t>
      </w:r>
      <w:r w:rsidR="00267929" w:rsidRPr="00267929">
        <w:t>I have found all staff very helpful and obliging</w:t>
      </w:r>
      <w:r w:rsidRPr="00267929">
        <w:t>”</w:t>
      </w:r>
    </w:p>
    <w:p w14:paraId="15F761A5" w14:textId="77777777" w:rsidR="0011040D" w:rsidRDefault="0011040D" w:rsidP="005B4239"/>
    <w:p w14:paraId="29CF0A2A" w14:textId="77777777" w:rsidR="00DE3531" w:rsidRDefault="00DE3531">
      <w:pPr>
        <w:keepLines w:val="0"/>
        <w:rPr>
          <w:rFonts w:cs="Arial"/>
          <w:b/>
          <w:bCs/>
          <w:iCs/>
          <w:color w:val="1F546B" w:themeColor="text2"/>
          <w:sz w:val="32"/>
          <w:szCs w:val="32"/>
        </w:rPr>
      </w:pPr>
      <w:r>
        <w:rPr>
          <w:color w:val="1F546B" w:themeColor="text2"/>
          <w:sz w:val="32"/>
          <w:szCs w:val="32"/>
        </w:rPr>
        <w:br w:type="page"/>
      </w:r>
    </w:p>
    <w:p w14:paraId="7F9DE3D3" w14:textId="2EF1F63E" w:rsidR="00F95AAE" w:rsidRPr="00401245" w:rsidRDefault="006B3106" w:rsidP="00401245">
      <w:pPr>
        <w:pStyle w:val="Heading2"/>
        <w:rPr>
          <w:color w:val="1F546B" w:themeColor="text2"/>
          <w:sz w:val="32"/>
          <w:szCs w:val="32"/>
        </w:rPr>
      </w:pPr>
      <w:bookmarkStart w:id="55" w:name="_Toc471392464"/>
      <w:bookmarkStart w:id="56" w:name="_Toc505862432"/>
      <w:r w:rsidRPr="00401245">
        <w:rPr>
          <w:color w:val="1F546B" w:themeColor="text2"/>
          <w:sz w:val="32"/>
          <w:szCs w:val="32"/>
        </w:rPr>
        <w:lastRenderedPageBreak/>
        <w:t>P</w:t>
      </w:r>
      <w:r w:rsidR="00DC42B7">
        <w:rPr>
          <w:color w:val="1F546B" w:themeColor="text2"/>
          <w:sz w:val="32"/>
          <w:szCs w:val="32"/>
        </w:rPr>
        <w:t xml:space="preserve">roviding </w:t>
      </w:r>
      <w:r w:rsidR="003D283C">
        <w:rPr>
          <w:color w:val="1F546B" w:themeColor="text2"/>
          <w:sz w:val="32"/>
          <w:szCs w:val="32"/>
        </w:rPr>
        <w:t>i</w:t>
      </w:r>
      <w:r w:rsidR="00F95AAE" w:rsidRPr="00401245">
        <w:rPr>
          <w:color w:val="1F546B" w:themeColor="text2"/>
          <w:sz w:val="32"/>
          <w:szCs w:val="32"/>
        </w:rPr>
        <w:t xml:space="preserve">nformation to </w:t>
      </w:r>
      <w:r w:rsidR="001B1084" w:rsidRPr="00401245">
        <w:rPr>
          <w:color w:val="1F546B" w:themeColor="text2"/>
          <w:sz w:val="32"/>
          <w:szCs w:val="32"/>
        </w:rPr>
        <w:t xml:space="preserve">the </w:t>
      </w:r>
      <w:r w:rsidR="003D283C">
        <w:rPr>
          <w:color w:val="1F546B" w:themeColor="text2"/>
          <w:sz w:val="32"/>
          <w:szCs w:val="32"/>
        </w:rPr>
        <w:t>s</w:t>
      </w:r>
      <w:r w:rsidR="00F95AAE" w:rsidRPr="00401245">
        <w:rPr>
          <w:color w:val="1F546B" w:themeColor="text2"/>
          <w:sz w:val="32"/>
          <w:szCs w:val="32"/>
        </w:rPr>
        <w:t>ector</w:t>
      </w:r>
      <w:bookmarkEnd w:id="55"/>
      <w:bookmarkEnd w:id="56"/>
    </w:p>
    <w:p w14:paraId="7F9DE3D4" w14:textId="1D3BFA87" w:rsidR="00AF739B" w:rsidRPr="00C4059A" w:rsidRDefault="006220F2" w:rsidP="00C4059A">
      <w:pPr>
        <w:pStyle w:val="Bullet"/>
        <w:numPr>
          <w:ilvl w:val="0"/>
          <w:numId w:val="0"/>
        </w:numPr>
        <w:spacing w:before="120" w:after="240"/>
        <w:rPr>
          <w:rFonts w:eastAsia="Calibri" w:cs="Calibri"/>
          <w:color w:val="000000"/>
          <w:bdr w:val="nil"/>
          <w:lang w:val="en-US" w:eastAsia="en-NZ"/>
        </w:rPr>
      </w:pPr>
      <w:r w:rsidRPr="00C4059A">
        <w:rPr>
          <w:rFonts w:eastAsia="Calibri" w:cs="Calibri"/>
          <w:color w:val="000000"/>
          <w:bdr w:val="nil"/>
          <w:lang w:val="en-US" w:eastAsia="en-NZ"/>
        </w:rPr>
        <w:t xml:space="preserve">We are interested in perceptions of </w:t>
      </w:r>
      <w:r w:rsidR="00F24CE7" w:rsidRPr="00C4059A">
        <w:rPr>
          <w:rFonts w:eastAsia="Calibri" w:cs="Calibri"/>
          <w:color w:val="000000"/>
          <w:bdr w:val="nil"/>
          <w:lang w:val="en-US" w:eastAsia="en-NZ"/>
        </w:rPr>
        <w:t xml:space="preserve">how useful </w:t>
      </w:r>
      <w:r w:rsidRPr="00C4059A">
        <w:rPr>
          <w:rFonts w:eastAsia="Calibri" w:cs="Calibri"/>
          <w:color w:val="000000"/>
          <w:bdr w:val="nil"/>
          <w:lang w:val="en-US" w:eastAsia="en-NZ"/>
        </w:rPr>
        <w:t xml:space="preserve">our current communications </w:t>
      </w:r>
      <w:r w:rsidR="00F24CE7" w:rsidRPr="00C4059A">
        <w:rPr>
          <w:rFonts w:eastAsia="Calibri" w:cs="Calibri"/>
          <w:color w:val="000000"/>
          <w:bdr w:val="nil"/>
          <w:lang w:val="en-US" w:eastAsia="en-NZ"/>
        </w:rPr>
        <w:t>are in providing</w:t>
      </w:r>
      <w:r w:rsidRPr="00C4059A">
        <w:rPr>
          <w:rFonts w:eastAsia="Calibri" w:cs="Calibri"/>
          <w:color w:val="000000"/>
          <w:bdr w:val="nil"/>
          <w:lang w:val="en-US" w:eastAsia="en-NZ"/>
        </w:rPr>
        <w:t xml:space="preserve"> information to the sector</w:t>
      </w:r>
      <w:r w:rsidR="00F24CE7" w:rsidRPr="00C4059A">
        <w:rPr>
          <w:rFonts w:eastAsia="Calibri" w:cs="Calibri"/>
          <w:color w:val="000000"/>
          <w:bdr w:val="nil"/>
          <w:lang w:val="en-US" w:eastAsia="en-NZ"/>
        </w:rPr>
        <w:t xml:space="preserve">. We </w:t>
      </w:r>
      <w:r w:rsidRPr="00C4059A">
        <w:rPr>
          <w:rFonts w:eastAsia="Calibri" w:cs="Calibri"/>
          <w:color w:val="000000"/>
          <w:bdr w:val="nil"/>
          <w:lang w:val="en-US" w:eastAsia="en-NZ"/>
        </w:rPr>
        <w:t xml:space="preserve">asked respondents to indicate which they have used and rate how useful they have found each </w:t>
      </w:r>
      <w:r w:rsidR="00131711" w:rsidRPr="00C4059A">
        <w:rPr>
          <w:rFonts w:eastAsia="Calibri" w:cs="Calibri"/>
          <w:color w:val="000000"/>
          <w:bdr w:val="nil"/>
          <w:lang w:val="en-US" w:eastAsia="en-NZ"/>
        </w:rPr>
        <w:t>channel</w:t>
      </w:r>
      <w:r w:rsidRPr="00C4059A">
        <w:rPr>
          <w:rFonts w:eastAsia="Calibri" w:cs="Calibri"/>
          <w:color w:val="000000"/>
          <w:bdr w:val="nil"/>
          <w:lang w:val="en-US" w:eastAsia="en-NZ"/>
        </w:rPr>
        <w:t xml:space="preserve">. </w:t>
      </w:r>
    </w:p>
    <w:p w14:paraId="5AEA7CBB" w14:textId="0B829CD6" w:rsidR="009162A7" w:rsidRDefault="009162A7" w:rsidP="009162A7">
      <w:pPr>
        <w:pStyle w:val="Heading3"/>
      </w:pPr>
      <w:bookmarkStart w:id="57" w:name="_Toc505862365"/>
      <w:bookmarkStart w:id="58" w:name="_Toc505862433"/>
      <w:r>
        <w:t>All information sources</w:t>
      </w:r>
      <w:bookmarkEnd w:id="57"/>
      <w:bookmarkEnd w:id="58"/>
    </w:p>
    <w:p w14:paraId="7F9DE3D6" w14:textId="03915D89" w:rsidR="003B013F" w:rsidRPr="00C4059A" w:rsidRDefault="00A22AD9">
      <w:pPr>
        <w:pStyle w:val="Bullet"/>
        <w:numPr>
          <w:ilvl w:val="0"/>
          <w:numId w:val="0"/>
        </w:numPr>
        <w:rPr>
          <w:b/>
        </w:rPr>
      </w:pPr>
      <w:r w:rsidRPr="00C4059A">
        <w:rPr>
          <w:b/>
        </w:rPr>
        <w:t xml:space="preserve">Question 9: </w:t>
      </w:r>
      <w:r w:rsidR="003A1585" w:rsidRPr="00C4059A">
        <w:rPr>
          <w:b/>
        </w:rPr>
        <w:t xml:space="preserve">The </w:t>
      </w:r>
      <w:r w:rsidRPr="00C4059A">
        <w:rPr>
          <w:b/>
        </w:rPr>
        <w:t>D</w:t>
      </w:r>
      <w:r w:rsidR="003A1585" w:rsidRPr="00C4059A">
        <w:rPr>
          <w:b/>
        </w:rPr>
        <w:t>epartment</w:t>
      </w:r>
      <w:r w:rsidRPr="00C4059A">
        <w:rPr>
          <w:b/>
        </w:rPr>
        <w:t xml:space="preserve"> provides general information to the sector in a number of ways. Please tell us how useful you have found these sources of information in the past 12 months.</w:t>
      </w:r>
    </w:p>
    <w:p w14:paraId="7F9DE3D7" w14:textId="06EB6F4A" w:rsidR="002D3B6E" w:rsidRPr="00C4059A" w:rsidRDefault="002D3B6E" w:rsidP="00C4059A">
      <w:pPr>
        <w:spacing w:after="120"/>
        <w:rPr>
          <w:b/>
          <w:bCs/>
        </w:rPr>
      </w:pPr>
      <w:r w:rsidRPr="00C4059A">
        <w:rPr>
          <w:b/>
        </w:rPr>
        <w:t xml:space="preserve">Figure 6: Usefulness of </w:t>
      </w:r>
      <w:r w:rsidR="00A076E2" w:rsidRPr="00C4059A">
        <w:rPr>
          <w:b/>
        </w:rPr>
        <w:t>information s</w:t>
      </w:r>
      <w:r w:rsidR="009162A7" w:rsidRPr="00C4059A">
        <w:rPr>
          <w:b/>
          <w:bCs/>
        </w:rPr>
        <w:t>ource</w:t>
      </w:r>
      <w:r w:rsidR="00A076E2" w:rsidRPr="00C4059A">
        <w:rPr>
          <w:b/>
          <w:bCs/>
        </w:rPr>
        <w:t>s</w:t>
      </w:r>
    </w:p>
    <w:p w14:paraId="305B33B7" w14:textId="0B7DADBF" w:rsidR="002F56B1" w:rsidRDefault="001C6359" w:rsidP="002F56B1">
      <w:pPr>
        <w:pStyle w:val="Bullet"/>
        <w:numPr>
          <w:ilvl w:val="0"/>
          <w:numId w:val="0"/>
        </w:numPr>
        <w:spacing w:before="120" w:after="240"/>
        <w:rPr>
          <w:rFonts w:eastAsia="Calibri" w:cs="Calibri"/>
          <w:color w:val="000000"/>
          <w:u w:color="000000"/>
          <w:bdr w:val="nil"/>
          <w:lang w:val="en-US" w:eastAsia="en-NZ"/>
        </w:rPr>
      </w:pPr>
      <w:r>
        <w:rPr>
          <w:noProof/>
          <w:lang w:eastAsia="en-NZ"/>
        </w:rPr>
        <w:drawing>
          <wp:inline distT="0" distB="0" distL="0" distR="0" wp14:anchorId="6F7F335A" wp14:editId="174637E8">
            <wp:extent cx="5762847" cy="3561907"/>
            <wp:effectExtent l="0" t="0" r="0" b="635"/>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7F9DE3D9" w14:textId="595660D6" w:rsidR="009820BC" w:rsidRPr="00C4059A" w:rsidRDefault="000E4446" w:rsidP="00C4059A">
      <w:pPr>
        <w:pStyle w:val="Bullet"/>
        <w:numPr>
          <w:ilvl w:val="0"/>
          <w:numId w:val="0"/>
        </w:numPr>
        <w:spacing w:before="120" w:after="240"/>
        <w:rPr>
          <w:rFonts w:eastAsia="Calibri" w:cs="Calibri"/>
          <w:color w:val="000000"/>
          <w:bdr w:val="nil"/>
          <w:lang w:val="en-US" w:eastAsia="en-NZ"/>
        </w:rPr>
      </w:pPr>
      <w:r w:rsidRPr="00C4059A">
        <w:rPr>
          <w:rFonts w:eastAsia="Calibri" w:cs="Calibri"/>
          <w:color w:val="000000"/>
          <w:bdr w:val="nil"/>
          <w:lang w:val="en-US" w:eastAsia="en-NZ"/>
        </w:rPr>
        <w:t>Figure 6</w:t>
      </w:r>
      <w:r w:rsidR="00A076E2" w:rsidRPr="00C4059A">
        <w:rPr>
          <w:rFonts w:eastAsia="Calibri" w:cs="Calibri"/>
          <w:color w:val="000000"/>
          <w:bdr w:val="nil"/>
          <w:lang w:val="en-US" w:eastAsia="en-NZ"/>
        </w:rPr>
        <w:t xml:space="preserve"> </w:t>
      </w:r>
      <w:r w:rsidR="009820BC" w:rsidRPr="00C4059A">
        <w:rPr>
          <w:rFonts w:eastAsia="Calibri" w:cs="Calibri"/>
          <w:color w:val="000000"/>
          <w:bdr w:val="nil"/>
          <w:lang w:val="en-US" w:eastAsia="en-NZ"/>
        </w:rPr>
        <w:t xml:space="preserve">shows </w:t>
      </w:r>
      <w:r w:rsidR="00FF3AB6" w:rsidRPr="00C4059A">
        <w:rPr>
          <w:rFonts w:eastAsia="Calibri" w:cs="Calibri"/>
          <w:color w:val="000000"/>
          <w:bdr w:val="nil"/>
          <w:lang w:val="en-US" w:eastAsia="en-NZ"/>
        </w:rPr>
        <w:t xml:space="preserve">percentages </w:t>
      </w:r>
      <w:r w:rsidR="009820BC" w:rsidRPr="00C4059A">
        <w:rPr>
          <w:rFonts w:eastAsia="Calibri" w:cs="Calibri"/>
          <w:color w:val="000000"/>
          <w:bdr w:val="nil"/>
          <w:lang w:val="en-US" w:eastAsia="en-NZ"/>
        </w:rPr>
        <w:t>for</w:t>
      </w:r>
      <w:r w:rsidR="00FF3AB6" w:rsidRPr="00C4059A">
        <w:rPr>
          <w:rFonts w:eastAsia="Calibri" w:cs="Calibri"/>
          <w:color w:val="000000"/>
          <w:bdr w:val="nil"/>
          <w:lang w:val="en-US" w:eastAsia="en-NZ"/>
        </w:rPr>
        <w:t xml:space="preserve"> the</w:t>
      </w:r>
      <w:r w:rsidR="009820BC" w:rsidRPr="00C4059A">
        <w:rPr>
          <w:rFonts w:eastAsia="Calibri" w:cs="Calibri"/>
          <w:color w:val="000000"/>
          <w:bdr w:val="nil"/>
          <w:lang w:val="en-US" w:eastAsia="en-NZ"/>
        </w:rPr>
        <w:t xml:space="preserve"> </w:t>
      </w:r>
      <w:r w:rsidR="009A6D85" w:rsidRPr="00C4059A">
        <w:rPr>
          <w:rFonts w:eastAsia="Calibri" w:cs="Calibri"/>
          <w:color w:val="000000"/>
          <w:bdr w:val="nil"/>
          <w:lang w:val="en-US" w:eastAsia="en-NZ"/>
        </w:rPr>
        <w:t>rating</w:t>
      </w:r>
      <w:r w:rsidR="00A22AD9" w:rsidRPr="00C4059A">
        <w:rPr>
          <w:rFonts w:eastAsia="Calibri" w:cs="Calibri"/>
          <w:color w:val="000000"/>
          <w:bdr w:val="nil"/>
          <w:lang w:val="en-US" w:eastAsia="en-NZ"/>
        </w:rPr>
        <w:t xml:space="preserve">s </w:t>
      </w:r>
      <w:r w:rsidR="00F92768" w:rsidRPr="00C4059A">
        <w:rPr>
          <w:rFonts w:eastAsia="Calibri" w:cs="Calibri"/>
          <w:color w:val="000000"/>
          <w:bdr w:val="nil"/>
          <w:lang w:val="en-US" w:eastAsia="en-NZ"/>
        </w:rPr>
        <w:t xml:space="preserve">of </w:t>
      </w:r>
      <w:r w:rsidR="00A22AD9" w:rsidRPr="00C4059A">
        <w:rPr>
          <w:rFonts w:eastAsia="Calibri" w:cs="Calibri"/>
          <w:color w:val="000000"/>
          <w:bdr w:val="nil"/>
          <w:lang w:val="en-US" w:eastAsia="en-NZ"/>
        </w:rPr>
        <w:t>four</w:t>
      </w:r>
      <w:r w:rsidR="00BB3DDD" w:rsidRPr="00C4059A">
        <w:rPr>
          <w:rFonts w:eastAsia="Calibri" w:cs="Calibri"/>
          <w:color w:val="000000"/>
          <w:bdr w:val="nil"/>
          <w:lang w:val="en-US" w:eastAsia="en-NZ"/>
        </w:rPr>
        <w:t xml:space="preserve"> of the</w:t>
      </w:r>
      <w:r w:rsidR="00A22AD9" w:rsidRPr="00C4059A">
        <w:rPr>
          <w:rFonts w:eastAsia="Calibri" w:cs="Calibri"/>
          <w:color w:val="000000"/>
          <w:bdr w:val="nil"/>
          <w:lang w:val="en-US" w:eastAsia="en-NZ"/>
        </w:rPr>
        <w:t xml:space="preserve"> </w:t>
      </w:r>
      <w:r w:rsidR="00F92768" w:rsidRPr="00C4059A">
        <w:rPr>
          <w:rFonts w:eastAsia="Calibri" w:cs="Calibri"/>
          <w:color w:val="000000"/>
          <w:bdr w:val="nil"/>
          <w:lang w:val="en-US" w:eastAsia="en-NZ"/>
        </w:rPr>
        <w:t xml:space="preserve">main </w:t>
      </w:r>
      <w:r w:rsidR="00A22AD9" w:rsidRPr="00C4059A">
        <w:rPr>
          <w:rFonts w:eastAsia="Calibri" w:cs="Calibri"/>
          <w:color w:val="000000"/>
          <w:bdr w:val="nil"/>
          <w:lang w:val="en-US" w:eastAsia="en-NZ"/>
        </w:rPr>
        <w:t>sources</w:t>
      </w:r>
      <w:r w:rsidR="009820BC" w:rsidRPr="00C4059A">
        <w:rPr>
          <w:rFonts w:eastAsia="Calibri" w:cs="Calibri"/>
          <w:color w:val="000000"/>
          <w:bdr w:val="nil"/>
          <w:lang w:val="en-US" w:eastAsia="en-NZ"/>
        </w:rPr>
        <w:t xml:space="preserve"> we </w:t>
      </w:r>
      <w:r w:rsidR="00A22AD9" w:rsidRPr="00C4059A">
        <w:rPr>
          <w:rFonts w:eastAsia="Calibri" w:cs="Calibri"/>
          <w:color w:val="000000"/>
          <w:bdr w:val="nil"/>
          <w:lang w:val="en-US" w:eastAsia="en-NZ"/>
        </w:rPr>
        <w:t xml:space="preserve">use to </w:t>
      </w:r>
      <w:r w:rsidR="009820BC" w:rsidRPr="00C4059A">
        <w:rPr>
          <w:rFonts w:eastAsia="Calibri" w:cs="Calibri"/>
          <w:color w:val="000000"/>
          <w:bdr w:val="nil"/>
          <w:lang w:val="en-US" w:eastAsia="en-NZ"/>
        </w:rPr>
        <w:t xml:space="preserve">provide </w:t>
      </w:r>
      <w:r w:rsidR="00A22AD9" w:rsidRPr="00C4059A">
        <w:rPr>
          <w:rFonts w:eastAsia="Calibri" w:cs="Calibri"/>
          <w:color w:val="000000"/>
          <w:bdr w:val="nil"/>
          <w:lang w:val="en-US" w:eastAsia="en-NZ"/>
        </w:rPr>
        <w:t xml:space="preserve">information </w:t>
      </w:r>
      <w:r w:rsidR="009820BC" w:rsidRPr="00C4059A">
        <w:rPr>
          <w:rFonts w:eastAsia="Calibri" w:cs="Calibri"/>
          <w:color w:val="000000"/>
          <w:bdr w:val="nil"/>
          <w:lang w:val="en-US" w:eastAsia="en-NZ"/>
        </w:rPr>
        <w:t>to the sector.</w:t>
      </w:r>
    </w:p>
    <w:p w14:paraId="7F9DE3DF" w14:textId="44C7AD49" w:rsidR="00107E45" w:rsidRPr="00C4059A" w:rsidRDefault="00DE3531" w:rsidP="00C4059A">
      <w:pPr>
        <w:pStyle w:val="Bullet"/>
        <w:numPr>
          <w:ilvl w:val="0"/>
          <w:numId w:val="0"/>
        </w:numPr>
        <w:spacing w:before="120" w:after="240"/>
        <w:rPr>
          <w:rFonts w:eastAsia="Calibri" w:cs="Calibri"/>
          <w:color w:val="000000"/>
          <w:bdr w:val="nil"/>
          <w:lang w:val="en-US" w:eastAsia="en-NZ"/>
        </w:rPr>
      </w:pPr>
      <w:r w:rsidRPr="00C4059A">
        <w:rPr>
          <w:rFonts w:eastAsia="Calibri" w:cs="Calibri"/>
          <w:color w:val="000000"/>
          <w:bdr w:val="nil"/>
          <w:lang w:val="en-US" w:eastAsia="en-NZ"/>
        </w:rPr>
        <w:t xml:space="preserve">Note: Respondents </w:t>
      </w:r>
      <w:r w:rsidR="002F19A3" w:rsidRPr="00C4059A">
        <w:rPr>
          <w:rFonts w:eastAsia="Calibri" w:cs="Calibri"/>
          <w:color w:val="000000"/>
          <w:bdr w:val="nil"/>
          <w:lang w:val="en-US" w:eastAsia="en-NZ"/>
        </w:rPr>
        <w:t xml:space="preserve">were also given the option of “haven’t used”. Those who chose this response </w:t>
      </w:r>
      <w:r w:rsidRPr="00C4059A">
        <w:rPr>
          <w:rFonts w:eastAsia="Calibri" w:cs="Calibri"/>
          <w:color w:val="000000"/>
          <w:bdr w:val="nil"/>
          <w:lang w:val="en-US" w:eastAsia="en-NZ"/>
        </w:rPr>
        <w:t xml:space="preserve">are not included in the calculation of percentages in this figure. </w:t>
      </w:r>
    </w:p>
    <w:p w14:paraId="3369C381" w14:textId="5BB4844C" w:rsidR="00DE3531" w:rsidRPr="00C4059A" w:rsidRDefault="003F5C2F">
      <w:pPr>
        <w:pStyle w:val="Bullet"/>
        <w:numPr>
          <w:ilvl w:val="0"/>
          <w:numId w:val="0"/>
        </w:numPr>
        <w:rPr>
          <w:b/>
          <w:color w:val="1F546B" w:themeColor="text2"/>
        </w:rPr>
      </w:pPr>
      <w:r w:rsidRPr="00C4059A">
        <w:rPr>
          <w:b/>
          <w:color w:val="1F546B" w:themeColor="text2"/>
        </w:rPr>
        <w:t xml:space="preserve">Gambits </w:t>
      </w:r>
      <w:r w:rsidR="002460BB">
        <w:rPr>
          <w:b/>
          <w:color w:val="1F546B" w:themeColor="text2"/>
        </w:rPr>
        <w:t>n</w:t>
      </w:r>
      <w:r w:rsidR="002460BB" w:rsidRPr="00C4059A">
        <w:rPr>
          <w:b/>
          <w:color w:val="1F546B" w:themeColor="text2"/>
        </w:rPr>
        <w:t xml:space="preserve">ewsletter </w:t>
      </w:r>
    </w:p>
    <w:p w14:paraId="67D36AB7" w14:textId="2106CD8F" w:rsidR="003A332A" w:rsidRPr="00C4059A" w:rsidRDefault="003A332A" w:rsidP="00C4059A">
      <w:pPr>
        <w:pStyle w:val="Bullet"/>
        <w:numPr>
          <w:ilvl w:val="0"/>
          <w:numId w:val="0"/>
        </w:numPr>
        <w:spacing w:before="120" w:after="240"/>
        <w:rPr>
          <w:rFonts w:eastAsia="Calibri" w:cs="Calibri"/>
          <w:color w:val="000000"/>
          <w:bdr w:val="nil"/>
          <w:lang w:val="en-US" w:eastAsia="en-NZ"/>
        </w:rPr>
      </w:pPr>
      <w:r w:rsidRPr="00C4059A">
        <w:rPr>
          <w:rFonts w:eastAsia="Calibri" w:cs="Calibri"/>
          <w:color w:val="000000"/>
          <w:bdr w:val="nil"/>
          <w:lang w:val="en-US" w:eastAsia="en-NZ"/>
        </w:rPr>
        <w:t xml:space="preserve">A very high </w:t>
      </w:r>
      <w:r w:rsidR="00131711" w:rsidRPr="00C4059A">
        <w:rPr>
          <w:rFonts w:eastAsia="Calibri" w:cs="Calibri"/>
          <w:color w:val="000000"/>
          <w:bdr w:val="nil"/>
          <w:lang w:val="en-US" w:eastAsia="en-NZ"/>
        </w:rPr>
        <w:t>proportion</w:t>
      </w:r>
      <w:r w:rsidRPr="00C4059A">
        <w:rPr>
          <w:rFonts w:eastAsia="Calibri" w:cs="Calibri"/>
          <w:color w:val="000000"/>
          <w:bdr w:val="nil"/>
          <w:lang w:val="en-US" w:eastAsia="en-NZ"/>
        </w:rPr>
        <w:t xml:space="preserve"> o</w:t>
      </w:r>
      <w:r w:rsidR="009162A7" w:rsidRPr="00C4059A">
        <w:rPr>
          <w:rFonts w:eastAsia="Calibri" w:cs="Calibri"/>
          <w:color w:val="000000"/>
          <w:bdr w:val="nil"/>
          <w:lang w:val="en-US" w:eastAsia="en-NZ"/>
        </w:rPr>
        <w:t>f respondents had receive</w:t>
      </w:r>
      <w:r w:rsidR="001C6359" w:rsidRPr="00C4059A">
        <w:rPr>
          <w:rFonts w:eastAsia="Calibri" w:cs="Calibri"/>
          <w:color w:val="000000"/>
          <w:bdr w:val="nil"/>
          <w:lang w:val="en-US" w:eastAsia="en-NZ"/>
        </w:rPr>
        <w:t>d Gambits (85</w:t>
      </w:r>
      <w:r w:rsidR="00B1786D" w:rsidRPr="00C4059A">
        <w:rPr>
          <w:rFonts w:eastAsia="Calibri" w:cs="Calibri"/>
          <w:color w:val="000000"/>
          <w:bdr w:val="nil"/>
          <w:lang w:val="en-US" w:eastAsia="en-NZ"/>
        </w:rPr>
        <w:t xml:space="preserve"> per cent</w:t>
      </w:r>
      <w:r w:rsidRPr="00C4059A">
        <w:rPr>
          <w:rFonts w:eastAsia="Calibri" w:cs="Calibri"/>
          <w:color w:val="000000"/>
          <w:bdr w:val="nil"/>
          <w:lang w:val="en-US" w:eastAsia="en-NZ"/>
        </w:rPr>
        <w:t>).</w:t>
      </w:r>
    </w:p>
    <w:p w14:paraId="7B7DE7CD" w14:textId="1F16F8B1" w:rsidR="00DE3531" w:rsidRPr="00C4059A" w:rsidRDefault="001C6359" w:rsidP="00C4059A">
      <w:pPr>
        <w:pStyle w:val="Bullet"/>
        <w:numPr>
          <w:ilvl w:val="0"/>
          <w:numId w:val="0"/>
        </w:numPr>
        <w:spacing w:before="120" w:after="240"/>
        <w:rPr>
          <w:rFonts w:eastAsia="Calibri" w:cs="Calibri"/>
          <w:color w:val="000000"/>
          <w:bdr w:val="nil"/>
          <w:lang w:val="en-US" w:eastAsia="en-NZ"/>
        </w:rPr>
      </w:pPr>
      <w:r w:rsidRPr="00C4059A">
        <w:rPr>
          <w:rFonts w:eastAsia="Calibri" w:cs="Calibri"/>
          <w:color w:val="000000"/>
          <w:bdr w:val="nil"/>
          <w:lang w:val="en-US" w:eastAsia="en-NZ"/>
        </w:rPr>
        <w:t>Seventy-four per cent of those found Gambits to be very useful or useful. This is a decrease from 86 per cent in 2016. However, it still appears to be valuable</w:t>
      </w:r>
      <w:r w:rsidR="00DE3531" w:rsidRPr="00C4059A">
        <w:rPr>
          <w:rFonts w:eastAsia="Calibri" w:cs="Calibri"/>
          <w:color w:val="000000"/>
          <w:bdr w:val="nil"/>
          <w:lang w:val="en-US" w:eastAsia="en-NZ"/>
        </w:rPr>
        <w:t xml:space="preserve"> as an information source for the entire sector.</w:t>
      </w:r>
    </w:p>
    <w:p w14:paraId="7ABE15ED" w14:textId="19101752" w:rsidR="003A1585" w:rsidRPr="001C6359" w:rsidRDefault="00DE3531" w:rsidP="004B0567">
      <w:pPr>
        <w:pStyle w:val="Bullet"/>
        <w:numPr>
          <w:ilvl w:val="0"/>
          <w:numId w:val="0"/>
        </w:numPr>
        <w:spacing w:before="120" w:after="240"/>
      </w:pPr>
      <w:r w:rsidRPr="00C4059A">
        <w:rPr>
          <w:rFonts w:eastAsia="Calibri" w:cs="Calibri"/>
          <w:color w:val="000000"/>
          <w:bdr w:val="nil"/>
          <w:lang w:val="en-US" w:eastAsia="en-NZ"/>
        </w:rPr>
        <w:t>Compared to other sources of information this had the highest percentage of very useful or useful responses</w:t>
      </w:r>
      <w:r w:rsidR="001C6359" w:rsidRPr="00C4059A">
        <w:rPr>
          <w:rFonts w:eastAsia="Calibri" w:cs="Calibri"/>
          <w:color w:val="000000"/>
          <w:bdr w:val="nil"/>
          <w:lang w:val="en-US" w:eastAsia="en-NZ"/>
        </w:rPr>
        <w:t>, consistent with the 2016 results</w:t>
      </w:r>
      <w:r w:rsidRPr="00C4059A">
        <w:rPr>
          <w:rFonts w:eastAsia="Calibri" w:cs="Calibri"/>
          <w:color w:val="000000"/>
          <w:bdr w:val="nil"/>
          <w:lang w:val="en-US" w:eastAsia="en-NZ"/>
        </w:rPr>
        <w:t xml:space="preserve">. </w:t>
      </w:r>
    </w:p>
    <w:p w14:paraId="47F00957" w14:textId="77777777" w:rsidR="00126DDF" w:rsidRDefault="00126DDF" w:rsidP="00DE3531">
      <w:pPr>
        <w:pStyle w:val="Bullet"/>
        <w:numPr>
          <w:ilvl w:val="0"/>
          <w:numId w:val="0"/>
        </w:numPr>
        <w:rPr>
          <w:b/>
          <w:color w:val="1F546B" w:themeColor="text2"/>
        </w:rPr>
      </w:pPr>
    </w:p>
    <w:p w14:paraId="491E6D21" w14:textId="53B2188D" w:rsidR="00DE3531" w:rsidRPr="00C4059A" w:rsidRDefault="003A1585">
      <w:pPr>
        <w:pStyle w:val="Bullet"/>
        <w:numPr>
          <w:ilvl w:val="0"/>
          <w:numId w:val="0"/>
        </w:numPr>
        <w:rPr>
          <w:b/>
          <w:color w:val="1F546B" w:themeColor="text2"/>
        </w:rPr>
      </w:pPr>
      <w:r w:rsidRPr="00C4059A">
        <w:rPr>
          <w:b/>
          <w:color w:val="1F546B" w:themeColor="text2"/>
        </w:rPr>
        <w:lastRenderedPageBreak/>
        <w:t>The Department’s</w:t>
      </w:r>
      <w:r w:rsidR="00DE3531" w:rsidRPr="00C4059A">
        <w:rPr>
          <w:b/>
          <w:color w:val="1F546B" w:themeColor="text2"/>
        </w:rPr>
        <w:t xml:space="preserve"> </w:t>
      </w:r>
      <w:r w:rsidR="002460BB">
        <w:rPr>
          <w:b/>
          <w:color w:val="1F546B" w:themeColor="text2"/>
        </w:rPr>
        <w:t>w</w:t>
      </w:r>
      <w:r w:rsidR="002460BB" w:rsidRPr="00C4059A">
        <w:rPr>
          <w:b/>
          <w:color w:val="1F546B" w:themeColor="text2"/>
        </w:rPr>
        <w:t>ebsite</w:t>
      </w:r>
    </w:p>
    <w:p w14:paraId="1E402923" w14:textId="52C8FADA" w:rsidR="009162A7" w:rsidRPr="00C4059A" w:rsidRDefault="00DE3531" w:rsidP="00C4059A">
      <w:pPr>
        <w:pStyle w:val="Bullet"/>
        <w:numPr>
          <w:ilvl w:val="0"/>
          <w:numId w:val="0"/>
        </w:numPr>
        <w:spacing w:before="120" w:after="240"/>
        <w:rPr>
          <w:rFonts w:eastAsia="Calibri" w:cs="Calibri"/>
          <w:color w:val="000000"/>
          <w:bdr w:val="nil"/>
          <w:lang w:val="en-US" w:eastAsia="en-NZ"/>
        </w:rPr>
      </w:pPr>
      <w:r w:rsidRPr="00C4059A">
        <w:rPr>
          <w:rFonts w:eastAsia="Calibri" w:cs="Calibri"/>
          <w:color w:val="000000"/>
          <w:bdr w:val="nil"/>
          <w:lang w:val="en-US" w:eastAsia="en-NZ"/>
        </w:rPr>
        <w:t>Almost all of the respondents to this q</w:t>
      </w:r>
      <w:r w:rsidR="000315F0" w:rsidRPr="00C4059A">
        <w:rPr>
          <w:rFonts w:eastAsia="Calibri" w:cs="Calibri"/>
          <w:color w:val="000000"/>
          <w:bdr w:val="nil"/>
          <w:lang w:val="en-US" w:eastAsia="en-NZ"/>
        </w:rPr>
        <w:t>uestion had used the website (92</w:t>
      </w:r>
      <w:r w:rsidR="00B1786D" w:rsidRPr="00C4059A">
        <w:rPr>
          <w:rFonts w:eastAsia="Calibri" w:cs="Calibri"/>
          <w:color w:val="000000"/>
          <w:bdr w:val="nil"/>
          <w:lang w:val="en-US" w:eastAsia="en-NZ"/>
        </w:rPr>
        <w:t xml:space="preserve"> per cent</w:t>
      </w:r>
      <w:r w:rsidRPr="00C4059A">
        <w:rPr>
          <w:rFonts w:eastAsia="Calibri" w:cs="Calibri"/>
          <w:color w:val="000000"/>
          <w:bdr w:val="nil"/>
          <w:lang w:val="en-US" w:eastAsia="en-NZ"/>
        </w:rPr>
        <w:t xml:space="preserve">) and of these, </w:t>
      </w:r>
      <w:r w:rsidR="001C6359" w:rsidRPr="00C4059A">
        <w:rPr>
          <w:rFonts w:eastAsia="Calibri" w:cs="Calibri"/>
          <w:color w:val="000000"/>
          <w:bdr w:val="nil"/>
          <w:lang w:val="en-US" w:eastAsia="en-NZ"/>
        </w:rPr>
        <w:t>70 per cent</w:t>
      </w:r>
      <w:r w:rsidR="003A332A" w:rsidRPr="00C4059A">
        <w:rPr>
          <w:rFonts w:eastAsia="Calibri" w:cs="Calibri"/>
          <w:color w:val="000000"/>
          <w:bdr w:val="nil"/>
          <w:lang w:val="en-US" w:eastAsia="en-NZ"/>
        </w:rPr>
        <w:t xml:space="preserve"> of respondents who used it rated</w:t>
      </w:r>
      <w:r w:rsidR="001C6359" w:rsidRPr="00C4059A">
        <w:rPr>
          <w:rFonts w:eastAsia="Calibri" w:cs="Calibri"/>
          <w:color w:val="000000"/>
          <w:bdr w:val="nil"/>
          <w:lang w:val="en-US" w:eastAsia="en-NZ"/>
        </w:rPr>
        <w:t xml:space="preserve"> it as useful or very useful.</w:t>
      </w:r>
      <w:r w:rsidR="00131711" w:rsidRPr="00C4059A">
        <w:rPr>
          <w:rFonts w:eastAsia="Calibri" w:cs="Calibri"/>
          <w:color w:val="000000"/>
          <w:bdr w:val="nil"/>
          <w:lang w:val="en-US" w:eastAsia="en-NZ"/>
        </w:rPr>
        <w:t xml:space="preserve"> Five per cent of </w:t>
      </w:r>
      <w:r w:rsidR="009162A7" w:rsidRPr="00C4059A">
        <w:rPr>
          <w:rFonts w:eastAsia="Calibri" w:cs="Calibri"/>
          <w:color w:val="000000"/>
          <w:bdr w:val="nil"/>
          <w:lang w:val="en-US" w:eastAsia="en-NZ"/>
        </w:rPr>
        <w:t>respondents found it either “a bit useful” or “not at all useful” (</w:t>
      </w:r>
      <w:r w:rsidR="00131711" w:rsidRPr="00C4059A">
        <w:rPr>
          <w:rFonts w:eastAsia="Calibri" w:cs="Calibri"/>
          <w:color w:val="000000"/>
          <w:bdr w:val="nil"/>
          <w:lang w:val="en-US" w:eastAsia="en-NZ"/>
        </w:rPr>
        <w:t>three</w:t>
      </w:r>
      <w:r w:rsidR="00B1786D" w:rsidRPr="00C4059A">
        <w:rPr>
          <w:rFonts w:eastAsia="Calibri" w:cs="Calibri"/>
          <w:color w:val="000000"/>
          <w:bdr w:val="nil"/>
          <w:lang w:val="en-US" w:eastAsia="en-NZ"/>
        </w:rPr>
        <w:t xml:space="preserve"> per cent</w:t>
      </w:r>
      <w:r w:rsidR="009162A7" w:rsidRPr="00C4059A">
        <w:rPr>
          <w:rFonts w:eastAsia="Calibri" w:cs="Calibri"/>
          <w:color w:val="000000"/>
          <w:bdr w:val="nil"/>
          <w:lang w:val="en-US" w:eastAsia="en-NZ"/>
        </w:rPr>
        <w:t xml:space="preserve"> and </w:t>
      </w:r>
      <w:r w:rsidR="00131711" w:rsidRPr="00C4059A">
        <w:rPr>
          <w:rFonts w:eastAsia="Calibri" w:cs="Calibri"/>
          <w:color w:val="000000"/>
          <w:bdr w:val="nil"/>
          <w:lang w:val="en-US" w:eastAsia="en-NZ"/>
        </w:rPr>
        <w:t>two</w:t>
      </w:r>
      <w:r w:rsidR="00B1786D" w:rsidRPr="00C4059A">
        <w:rPr>
          <w:rFonts w:eastAsia="Calibri" w:cs="Calibri"/>
          <w:color w:val="000000"/>
          <w:bdr w:val="nil"/>
          <w:lang w:val="en-US" w:eastAsia="en-NZ"/>
        </w:rPr>
        <w:t xml:space="preserve"> per cent</w:t>
      </w:r>
      <w:r w:rsidR="009162A7" w:rsidRPr="00C4059A">
        <w:rPr>
          <w:rFonts w:eastAsia="Calibri" w:cs="Calibri"/>
          <w:color w:val="000000"/>
          <w:bdr w:val="nil"/>
          <w:lang w:val="en-US" w:eastAsia="en-NZ"/>
        </w:rPr>
        <w:t xml:space="preserve"> respectively).</w:t>
      </w:r>
      <w:r w:rsidR="00AD1D4B" w:rsidRPr="00C4059A">
        <w:rPr>
          <w:rFonts w:eastAsia="Calibri" w:cs="Calibri"/>
          <w:color w:val="000000"/>
          <w:bdr w:val="nil"/>
          <w:lang w:val="en-US" w:eastAsia="en-NZ"/>
        </w:rPr>
        <w:t xml:space="preserve"> However, these results have improved since 2016 (10 per cent and </w:t>
      </w:r>
      <w:r w:rsidR="00131711" w:rsidRPr="00C4059A">
        <w:rPr>
          <w:rFonts w:eastAsia="Calibri" w:cs="Calibri"/>
          <w:color w:val="000000"/>
          <w:bdr w:val="nil"/>
          <w:lang w:val="en-US" w:eastAsia="en-NZ"/>
        </w:rPr>
        <w:t>one</w:t>
      </w:r>
      <w:r w:rsidR="00AD1D4B" w:rsidRPr="00C4059A">
        <w:rPr>
          <w:rFonts w:eastAsia="Calibri" w:cs="Calibri"/>
          <w:color w:val="000000"/>
          <w:bdr w:val="nil"/>
          <w:lang w:val="en-US" w:eastAsia="en-NZ"/>
        </w:rPr>
        <w:t xml:space="preserve"> per cent).</w:t>
      </w:r>
    </w:p>
    <w:p w14:paraId="7F9DE3E0" w14:textId="034C64C0" w:rsidR="002D3B6E" w:rsidRPr="00C4059A" w:rsidRDefault="002D3B6E">
      <w:pPr>
        <w:pStyle w:val="Bullet"/>
        <w:numPr>
          <w:ilvl w:val="0"/>
          <w:numId w:val="0"/>
        </w:numPr>
        <w:rPr>
          <w:b/>
          <w:color w:val="1F546B" w:themeColor="text2"/>
        </w:rPr>
      </w:pPr>
      <w:r w:rsidRPr="00C4059A">
        <w:rPr>
          <w:b/>
          <w:color w:val="1F546B" w:themeColor="text2"/>
        </w:rPr>
        <w:t xml:space="preserve">Sector </w:t>
      </w:r>
      <w:r w:rsidR="00131711" w:rsidRPr="00C4059A">
        <w:rPr>
          <w:b/>
          <w:color w:val="1F546B" w:themeColor="text2"/>
        </w:rPr>
        <w:t>f</w:t>
      </w:r>
      <w:r w:rsidRPr="00C4059A">
        <w:rPr>
          <w:b/>
          <w:color w:val="1F546B" w:themeColor="text2"/>
        </w:rPr>
        <w:t>orum</w:t>
      </w:r>
      <w:r w:rsidR="008E5195" w:rsidRPr="00C4059A">
        <w:rPr>
          <w:b/>
          <w:color w:val="1F546B" w:themeColor="text2"/>
        </w:rPr>
        <w:t>s</w:t>
      </w:r>
    </w:p>
    <w:p w14:paraId="7F9DE3E1" w14:textId="0F3A5495" w:rsidR="002D3B6E" w:rsidRPr="00C4059A" w:rsidRDefault="009162A7" w:rsidP="00C4059A">
      <w:pPr>
        <w:pStyle w:val="Bullet"/>
        <w:numPr>
          <w:ilvl w:val="0"/>
          <w:numId w:val="0"/>
        </w:numPr>
        <w:spacing w:before="120" w:after="240"/>
        <w:rPr>
          <w:rFonts w:eastAsia="Calibri" w:cs="Calibri"/>
          <w:color w:val="000000"/>
          <w:bdr w:val="nil"/>
          <w:lang w:val="en-US" w:eastAsia="en-NZ"/>
        </w:rPr>
      </w:pPr>
      <w:r w:rsidRPr="00C4059A">
        <w:rPr>
          <w:rFonts w:eastAsia="Calibri" w:cs="Calibri"/>
          <w:color w:val="000000"/>
          <w:bdr w:val="nil"/>
          <w:lang w:val="en-US" w:eastAsia="en-NZ"/>
        </w:rPr>
        <w:t>Sector f</w:t>
      </w:r>
      <w:r w:rsidR="002D3B6E" w:rsidRPr="00C4059A">
        <w:rPr>
          <w:rFonts w:eastAsia="Calibri" w:cs="Calibri"/>
          <w:color w:val="000000"/>
          <w:bdr w:val="nil"/>
          <w:lang w:val="en-US" w:eastAsia="en-NZ"/>
        </w:rPr>
        <w:t xml:space="preserve">orums are regional meetings targeted at </w:t>
      </w:r>
      <w:r w:rsidR="00D87D8D" w:rsidRPr="00C4059A">
        <w:rPr>
          <w:rFonts w:eastAsia="Calibri" w:cs="Calibri"/>
          <w:color w:val="000000"/>
          <w:bdr w:val="nil"/>
          <w:lang w:val="en-US" w:eastAsia="en-NZ"/>
        </w:rPr>
        <w:t>c</w:t>
      </w:r>
      <w:r w:rsidR="002F19A3" w:rsidRPr="00C4059A">
        <w:rPr>
          <w:rFonts w:eastAsia="Calibri" w:cs="Calibri"/>
          <w:color w:val="000000"/>
          <w:bdr w:val="nil"/>
          <w:lang w:val="en-US" w:eastAsia="en-NZ"/>
        </w:rPr>
        <w:t xml:space="preserve">lass </w:t>
      </w:r>
      <w:r w:rsidR="002D3B6E" w:rsidRPr="00C4059A">
        <w:rPr>
          <w:rFonts w:eastAsia="Calibri" w:cs="Calibri"/>
          <w:color w:val="000000"/>
          <w:bdr w:val="nil"/>
          <w:lang w:val="en-US" w:eastAsia="en-NZ"/>
        </w:rPr>
        <w:t>4 non-club societies and key stakeholders for the purpose of engaging with the sector and exchanging information.</w:t>
      </w:r>
    </w:p>
    <w:p w14:paraId="7F9DE3E2" w14:textId="110C703F" w:rsidR="009502EB" w:rsidRPr="00C4059A" w:rsidRDefault="00AD1D4B" w:rsidP="00C4059A">
      <w:pPr>
        <w:pStyle w:val="Bullet"/>
        <w:numPr>
          <w:ilvl w:val="0"/>
          <w:numId w:val="0"/>
        </w:numPr>
        <w:spacing w:before="120" w:after="240"/>
        <w:rPr>
          <w:rFonts w:eastAsia="Calibri" w:cs="Calibri"/>
          <w:color w:val="000000"/>
          <w:bdr w:val="nil"/>
          <w:lang w:val="en-US" w:eastAsia="en-NZ"/>
        </w:rPr>
      </w:pPr>
      <w:r w:rsidRPr="00C4059A">
        <w:rPr>
          <w:rFonts w:eastAsia="Calibri" w:cs="Calibri"/>
          <w:color w:val="000000"/>
          <w:bdr w:val="nil"/>
          <w:lang w:val="en-US" w:eastAsia="en-NZ"/>
        </w:rPr>
        <w:t>Over 60</w:t>
      </w:r>
      <w:r w:rsidR="00B1786D" w:rsidRPr="00C4059A">
        <w:rPr>
          <w:rFonts w:eastAsia="Calibri" w:cs="Calibri"/>
          <w:color w:val="000000"/>
          <w:bdr w:val="nil"/>
          <w:lang w:val="en-US" w:eastAsia="en-NZ"/>
        </w:rPr>
        <w:t xml:space="preserve"> per cent</w:t>
      </w:r>
      <w:r w:rsidR="009502EB" w:rsidRPr="00C4059A">
        <w:rPr>
          <w:rFonts w:eastAsia="Calibri" w:cs="Calibri"/>
          <w:color w:val="000000"/>
          <w:bdr w:val="nil"/>
          <w:lang w:val="en-US" w:eastAsia="en-NZ"/>
        </w:rPr>
        <w:t xml:space="preserve"> of our survey respondents indicated that they had been involved in a sector forum.</w:t>
      </w:r>
    </w:p>
    <w:p w14:paraId="372B8416" w14:textId="00898D6C" w:rsidR="00442F6A" w:rsidRPr="00C4059A" w:rsidRDefault="00AD1D4B" w:rsidP="00C4059A">
      <w:pPr>
        <w:pStyle w:val="Bullet"/>
        <w:numPr>
          <w:ilvl w:val="0"/>
          <w:numId w:val="0"/>
        </w:numPr>
        <w:spacing w:before="120" w:after="240"/>
        <w:rPr>
          <w:rFonts w:eastAsia="Calibri" w:cs="Calibri"/>
          <w:color w:val="000000"/>
          <w:bdr w:val="nil"/>
          <w:lang w:val="en-US" w:eastAsia="en-NZ"/>
        </w:rPr>
      </w:pPr>
      <w:r w:rsidRPr="00C4059A">
        <w:rPr>
          <w:rFonts w:eastAsia="Calibri" w:cs="Calibri"/>
          <w:color w:val="000000"/>
          <w:bdr w:val="nil"/>
          <w:lang w:val="en-US" w:eastAsia="en-NZ"/>
        </w:rPr>
        <w:t>Of the 85</w:t>
      </w:r>
      <w:r w:rsidR="002D3B6E" w:rsidRPr="00C4059A">
        <w:rPr>
          <w:rFonts w:eastAsia="Calibri" w:cs="Calibri"/>
          <w:color w:val="000000"/>
          <w:bdr w:val="nil"/>
          <w:lang w:val="en-US" w:eastAsia="en-NZ"/>
        </w:rPr>
        <w:t xml:space="preserve"> </w:t>
      </w:r>
      <w:r w:rsidR="009162A7" w:rsidRPr="00C4059A">
        <w:rPr>
          <w:rFonts w:eastAsia="Calibri" w:cs="Calibri"/>
          <w:color w:val="000000"/>
          <w:bdr w:val="nil"/>
          <w:lang w:val="en-US" w:eastAsia="en-NZ"/>
        </w:rPr>
        <w:t>respondents who rated sector f</w:t>
      </w:r>
      <w:r w:rsidR="002D3B6E" w:rsidRPr="00C4059A">
        <w:rPr>
          <w:rFonts w:eastAsia="Calibri" w:cs="Calibri"/>
          <w:color w:val="000000"/>
          <w:bdr w:val="nil"/>
          <w:lang w:val="en-US" w:eastAsia="en-NZ"/>
        </w:rPr>
        <w:t>orums as a source of information,</w:t>
      </w:r>
      <w:r w:rsidRPr="00C4059A">
        <w:rPr>
          <w:rFonts w:eastAsia="Calibri" w:cs="Calibri"/>
          <w:color w:val="000000"/>
          <w:bdr w:val="nil"/>
          <w:lang w:val="en-US" w:eastAsia="en-NZ"/>
        </w:rPr>
        <w:t xml:space="preserve"> </w:t>
      </w:r>
      <w:r w:rsidR="00356C5C" w:rsidRPr="00C4059A">
        <w:rPr>
          <w:rFonts w:eastAsia="Calibri" w:cs="Calibri"/>
          <w:color w:val="000000"/>
          <w:bdr w:val="nil"/>
          <w:lang w:val="en-US" w:eastAsia="en-NZ"/>
        </w:rPr>
        <w:t>4</w:t>
      </w:r>
      <w:r w:rsidR="006A49BA" w:rsidRPr="00C4059A">
        <w:rPr>
          <w:rFonts w:eastAsia="Calibri" w:cs="Calibri"/>
          <w:color w:val="000000"/>
          <w:bdr w:val="nil"/>
          <w:lang w:val="en-US" w:eastAsia="en-NZ"/>
        </w:rPr>
        <w:t>1 per cent had not used the meetings during this survey period</w:t>
      </w:r>
      <w:r w:rsidR="00562E4C" w:rsidRPr="00C4059A">
        <w:rPr>
          <w:rFonts w:eastAsia="Calibri" w:cs="Calibri"/>
          <w:color w:val="000000"/>
          <w:bdr w:val="nil"/>
          <w:lang w:val="en-US" w:eastAsia="en-NZ"/>
        </w:rPr>
        <w:t xml:space="preserve"> – the last forum was held in November 2016</w:t>
      </w:r>
      <w:r w:rsidR="005A5FD0" w:rsidRPr="00C4059A">
        <w:rPr>
          <w:rFonts w:eastAsia="Calibri" w:cs="Calibri"/>
          <w:color w:val="000000"/>
          <w:bdr w:val="nil"/>
          <w:lang w:val="en-US" w:eastAsia="en-NZ"/>
        </w:rPr>
        <w:t xml:space="preserve"> (these are usually bi-annual)</w:t>
      </w:r>
      <w:r w:rsidR="006A49BA" w:rsidRPr="00C4059A">
        <w:rPr>
          <w:rFonts w:eastAsia="Calibri" w:cs="Calibri"/>
          <w:color w:val="000000"/>
          <w:bdr w:val="nil"/>
          <w:lang w:val="en-US" w:eastAsia="en-NZ"/>
        </w:rPr>
        <w:t>. O</w:t>
      </w:r>
      <w:r w:rsidRPr="00C4059A">
        <w:rPr>
          <w:rFonts w:eastAsia="Calibri" w:cs="Calibri"/>
          <w:color w:val="000000"/>
          <w:bdr w:val="nil"/>
          <w:lang w:val="en-US" w:eastAsia="en-NZ"/>
        </w:rPr>
        <w:t xml:space="preserve">nly 34 per cent </w:t>
      </w:r>
      <w:r w:rsidR="002D3B6E" w:rsidRPr="00C4059A">
        <w:rPr>
          <w:rFonts w:eastAsia="Calibri" w:cs="Calibri"/>
          <w:color w:val="000000"/>
          <w:bdr w:val="nil"/>
          <w:lang w:val="en-US" w:eastAsia="en-NZ"/>
        </w:rPr>
        <w:t>indicated that they fou</w:t>
      </w:r>
      <w:r w:rsidR="00451AC6" w:rsidRPr="00C4059A">
        <w:rPr>
          <w:rFonts w:eastAsia="Calibri" w:cs="Calibri"/>
          <w:color w:val="000000"/>
          <w:bdr w:val="nil"/>
          <w:lang w:val="en-US" w:eastAsia="en-NZ"/>
        </w:rPr>
        <w:t>nd them useful or very useful</w:t>
      </w:r>
      <w:r w:rsidRPr="00C4059A">
        <w:rPr>
          <w:rFonts w:eastAsia="Calibri" w:cs="Calibri"/>
          <w:color w:val="000000"/>
          <w:bdr w:val="nil"/>
          <w:lang w:val="en-US" w:eastAsia="en-NZ"/>
        </w:rPr>
        <w:t>, which is a large decrease from 61 percent in 2016</w:t>
      </w:r>
      <w:r w:rsidR="00451AC6" w:rsidRPr="00C4059A">
        <w:rPr>
          <w:rFonts w:eastAsia="Calibri" w:cs="Calibri"/>
          <w:color w:val="000000"/>
          <w:bdr w:val="nil"/>
          <w:lang w:val="en-US" w:eastAsia="en-NZ"/>
        </w:rPr>
        <w:t>.</w:t>
      </w:r>
      <w:r w:rsidR="002D3B6E" w:rsidRPr="00C4059A">
        <w:rPr>
          <w:rFonts w:eastAsia="Calibri" w:cs="Calibri"/>
          <w:color w:val="000000"/>
          <w:bdr w:val="nil"/>
          <w:lang w:val="en-US" w:eastAsia="en-NZ"/>
        </w:rPr>
        <w:t xml:space="preserve"> </w:t>
      </w:r>
      <w:r w:rsidR="00442F6A" w:rsidRPr="00C4059A">
        <w:rPr>
          <w:rFonts w:eastAsia="Calibri" w:cs="Calibri"/>
          <w:color w:val="000000"/>
          <w:bdr w:val="nil"/>
          <w:lang w:val="en-US" w:eastAsia="en-NZ"/>
        </w:rPr>
        <w:t xml:space="preserve">Sixty-seven per cent of </w:t>
      </w:r>
      <w:r w:rsidR="002460BB">
        <w:rPr>
          <w:rFonts w:eastAsia="Calibri" w:cs="Calibri"/>
          <w:color w:val="000000"/>
          <w:bdr w:val="nil"/>
          <w:lang w:val="en-US" w:eastAsia="en-NZ"/>
        </w:rPr>
        <w:t>c</w:t>
      </w:r>
      <w:r w:rsidR="002460BB" w:rsidRPr="00C4059A">
        <w:rPr>
          <w:rFonts w:eastAsia="Calibri" w:cs="Calibri"/>
          <w:color w:val="000000"/>
          <w:bdr w:val="nil"/>
          <w:lang w:val="en-US" w:eastAsia="en-NZ"/>
        </w:rPr>
        <w:t xml:space="preserve">lass </w:t>
      </w:r>
      <w:r w:rsidR="00442F6A" w:rsidRPr="00C4059A">
        <w:rPr>
          <w:rFonts w:eastAsia="Calibri" w:cs="Calibri"/>
          <w:color w:val="000000"/>
          <w:bdr w:val="nil"/>
          <w:lang w:val="en-US" w:eastAsia="en-NZ"/>
        </w:rPr>
        <w:t xml:space="preserve">4 non-club societies indicated that they found the forums useful, compared to only 21 per cent of </w:t>
      </w:r>
      <w:r w:rsidR="002460BB">
        <w:rPr>
          <w:rFonts w:eastAsia="Calibri" w:cs="Calibri"/>
          <w:color w:val="000000"/>
          <w:bdr w:val="nil"/>
          <w:lang w:val="en-US" w:eastAsia="en-NZ"/>
        </w:rPr>
        <w:t>c</w:t>
      </w:r>
      <w:r w:rsidR="002460BB" w:rsidRPr="00C4059A">
        <w:rPr>
          <w:rFonts w:eastAsia="Calibri" w:cs="Calibri"/>
          <w:color w:val="000000"/>
          <w:bdr w:val="nil"/>
          <w:lang w:val="en-US" w:eastAsia="en-NZ"/>
        </w:rPr>
        <w:t>lubs</w:t>
      </w:r>
      <w:r w:rsidR="00442F6A" w:rsidRPr="00C4059A">
        <w:rPr>
          <w:rFonts w:eastAsia="Calibri" w:cs="Calibri"/>
          <w:color w:val="000000"/>
          <w:bdr w:val="nil"/>
          <w:lang w:val="en-US" w:eastAsia="en-NZ"/>
        </w:rPr>
        <w:t>.</w:t>
      </w:r>
    </w:p>
    <w:p w14:paraId="7F9DE3E3" w14:textId="24C1CE47" w:rsidR="002D3B6E" w:rsidRPr="00C4059A" w:rsidRDefault="00AD1D4B" w:rsidP="00C4059A">
      <w:pPr>
        <w:pStyle w:val="Bullet"/>
        <w:numPr>
          <w:ilvl w:val="0"/>
          <w:numId w:val="0"/>
        </w:numPr>
        <w:spacing w:before="120" w:after="240"/>
        <w:rPr>
          <w:rFonts w:eastAsia="Calibri" w:cs="Calibri"/>
          <w:color w:val="000000"/>
          <w:bdr w:val="nil"/>
          <w:lang w:val="en-US" w:eastAsia="en-NZ"/>
        </w:rPr>
      </w:pPr>
      <w:r w:rsidRPr="00C4059A">
        <w:rPr>
          <w:rFonts w:eastAsia="Calibri" w:cs="Calibri"/>
          <w:color w:val="000000"/>
          <w:bdr w:val="nil"/>
          <w:lang w:val="en-US" w:eastAsia="en-NZ"/>
        </w:rPr>
        <w:t>Five</w:t>
      </w:r>
      <w:r w:rsidR="00B1786D" w:rsidRPr="00C4059A">
        <w:rPr>
          <w:rFonts w:eastAsia="Calibri" w:cs="Calibri"/>
          <w:color w:val="000000"/>
          <w:bdr w:val="nil"/>
          <w:lang w:val="en-US" w:eastAsia="en-NZ"/>
        </w:rPr>
        <w:t xml:space="preserve"> per cent</w:t>
      </w:r>
      <w:r w:rsidR="00DE3531" w:rsidRPr="00C4059A">
        <w:rPr>
          <w:rFonts w:eastAsia="Calibri" w:cs="Calibri"/>
          <w:color w:val="000000"/>
          <w:bdr w:val="nil"/>
          <w:lang w:val="en-US" w:eastAsia="en-NZ"/>
        </w:rPr>
        <w:t xml:space="preserve"> of those who had attended a forum </w:t>
      </w:r>
      <w:r w:rsidR="002F19A3" w:rsidRPr="00C4059A">
        <w:rPr>
          <w:rFonts w:eastAsia="Calibri" w:cs="Calibri"/>
          <w:color w:val="000000"/>
          <w:bdr w:val="nil"/>
          <w:lang w:val="en-US" w:eastAsia="en-NZ"/>
        </w:rPr>
        <w:t xml:space="preserve">in the past 12 months </w:t>
      </w:r>
      <w:r w:rsidR="00DE3531" w:rsidRPr="00C4059A">
        <w:rPr>
          <w:rFonts w:eastAsia="Calibri" w:cs="Calibri"/>
          <w:color w:val="000000"/>
          <w:bdr w:val="nil"/>
          <w:lang w:val="en-US" w:eastAsia="en-NZ"/>
        </w:rPr>
        <w:t xml:space="preserve">rated them as </w:t>
      </w:r>
      <w:r w:rsidR="00131711" w:rsidRPr="00C4059A">
        <w:rPr>
          <w:rFonts w:eastAsia="Calibri" w:cs="Calibri"/>
          <w:color w:val="000000"/>
          <w:bdr w:val="nil"/>
          <w:lang w:val="en-US" w:eastAsia="en-NZ"/>
        </w:rPr>
        <w:t>“</w:t>
      </w:r>
      <w:r w:rsidR="002D3B6E" w:rsidRPr="00C4059A">
        <w:rPr>
          <w:rFonts w:eastAsia="Calibri" w:cs="Calibri"/>
          <w:color w:val="000000"/>
          <w:bdr w:val="nil"/>
          <w:lang w:val="en-US" w:eastAsia="en-NZ"/>
        </w:rPr>
        <w:t>a bit</w:t>
      </w:r>
      <w:r w:rsidR="00C40924" w:rsidRPr="00C4059A">
        <w:rPr>
          <w:rFonts w:eastAsia="Calibri" w:cs="Calibri"/>
          <w:color w:val="000000"/>
          <w:bdr w:val="nil"/>
          <w:lang w:val="en-US" w:eastAsia="en-NZ"/>
        </w:rPr>
        <w:t xml:space="preserve"> useful</w:t>
      </w:r>
      <w:r w:rsidR="00131711" w:rsidRPr="00C4059A">
        <w:rPr>
          <w:rFonts w:eastAsia="Calibri" w:cs="Calibri"/>
          <w:color w:val="000000"/>
          <w:bdr w:val="nil"/>
          <w:lang w:val="en-US" w:eastAsia="en-NZ"/>
        </w:rPr>
        <w:t>”</w:t>
      </w:r>
      <w:r w:rsidR="009162A7" w:rsidRPr="00C4059A">
        <w:rPr>
          <w:rFonts w:eastAsia="Calibri" w:cs="Calibri"/>
          <w:color w:val="000000"/>
          <w:bdr w:val="nil"/>
          <w:lang w:val="en-US" w:eastAsia="en-NZ"/>
        </w:rPr>
        <w:t xml:space="preserve"> or </w:t>
      </w:r>
      <w:r w:rsidR="00131711" w:rsidRPr="00C4059A">
        <w:rPr>
          <w:rFonts w:eastAsia="Calibri" w:cs="Calibri"/>
          <w:color w:val="000000"/>
          <w:bdr w:val="nil"/>
          <w:lang w:val="en-US" w:eastAsia="en-NZ"/>
        </w:rPr>
        <w:t>“</w:t>
      </w:r>
      <w:r w:rsidR="009162A7" w:rsidRPr="00C4059A">
        <w:rPr>
          <w:rFonts w:eastAsia="Calibri" w:cs="Calibri"/>
          <w:color w:val="000000"/>
          <w:bdr w:val="nil"/>
          <w:lang w:val="en-US" w:eastAsia="en-NZ"/>
        </w:rPr>
        <w:t>not at all useful</w:t>
      </w:r>
      <w:r w:rsidR="00131711" w:rsidRPr="00C4059A">
        <w:rPr>
          <w:rFonts w:eastAsia="Calibri" w:cs="Calibri"/>
          <w:color w:val="000000"/>
          <w:bdr w:val="nil"/>
          <w:lang w:val="en-US" w:eastAsia="en-NZ"/>
        </w:rPr>
        <w:t>”</w:t>
      </w:r>
      <w:r w:rsidRPr="00C4059A">
        <w:rPr>
          <w:rFonts w:eastAsia="Calibri" w:cs="Calibri"/>
          <w:color w:val="000000"/>
          <w:bdr w:val="nil"/>
          <w:lang w:val="en-US" w:eastAsia="en-NZ"/>
        </w:rPr>
        <w:t xml:space="preserve">, which is an increase from </w:t>
      </w:r>
      <w:r w:rsidR="00131711" w:rsidRPr="00C4059A">
        <w:rPr>
          <w:rFonts w:eastAsia="Calibri" w:cs="Calibri"/>
          <w:color w:val="000000"/>
          <w:bdr w:val="nil"/>
          <w:lang w:val="en-US" w:eastAsia="en-NZ"/>
        </w:rPr>
        <w:t>three</w:t>
      </w:r>
      <w:r w:rsidRPr="00C4059A">
        <w:rPr>
          <w:rFonts w:eastAsia="Calibri" w:cs="Calibri"/>
          <w:color w:val="000000"/>
          <w:bdr w:val="nil"/>
          <w:lang w:val="en-US" w:eastAsia="en-NZ"/>
        </w:rPr>
        <w:t xml:space="preserve"> per cent last year</w:t>
      </w:r>
      <w:r w:rsidR="0065193D" w:rsidRPr="00C4059A">
        <w:rPr>
          <w:rFonts w:eastAsia="Calibri" w:cs="Calibri"/>
          <w:color w:val="000000"/>
          <w:bdr w:val="nil"/>
          <w:lang w:val="en-US" w:eastAsia="en-NZ"/>
        </w:rPr>
        <w:t>.</w:t>
      </w:r>
      <w:r w:rsidR="00442F6A" w:rsidRPr="00C4059A">
        <w:rPr>
          <w:rFonts w:eastAsia="Calibri" w:cs="Calibri"/>
          <w:color w:val="000000"/>
          <w:bdr w:val="nil"/>
          <w:lang w:val="en-US" w:eastAsia="en-NZ"/>
        </w:rPr>
        <w:t xml:space="preserve"> </w:t>
      </w:r>
    </w:p>
    <w:p w14:paraId="7F9DE3E5" w14:textId="3A1D95B3" w:rsidR="002D3B6E" w:rsidRPr="00C4059A" w:rsidRDefault="002D3B6E">
      <w:pPr>
        <w:pStyle w:val="Bullet"/>
        <w:numPr>
          <w:ilvl w:val="0"/>
          <w:numId w:val="0"/>
        </w:numPr>
        <w:rPr>
          <w:b/>
          <w:color w:val="1F546B" w:themeColor="text2"/>
        </w:rPr>
      </w:pPr>
      <w:r w:rsidRPr="00C4059A">
        <w:rPr>
          <w:b/>
          <w:color w:val="1F546B" w:themeColor="text2"/>
        </w:rPr>
        <w:t>Face</w:t>
      </w:r>
      <w:r w:rsidR="00DE3531" w:rsidRPr="00C4059A">
        <w:rPr>
          <w:b/>
          <w:color w:val="1F546B" w:themeColor="text2"/>
        </w:rPr>
        <w:t>-</w:t>
      </w:r>
      <w:r w:rsidRPr="00C4059A">
        <w:rPr>
          <w:b/>
          <w:color w:val="1F546B" w:themeColor="text2"/>
        </w:rPr>
        <w:t>to</w:t>
      </w:r>
      <w:r w:rsidR="00DE3531" w:rsidRPr="00C4059A">
        <w:rPr>
          <w:b/>
          <w:color w:val="1F546B" w:themeColor="text2"/>
        </w:rPr>
        <w:t>-</w:t>
      </w:r>
      <w:r w:rsidRPr="00C4059A">
        <w:rPr>
          <w:b/>
          <w:color w:val="1F546B" w:themeColor="text2"/>
        </w:rPr>
        <w:t>face</w:t>
      </w:r>
      <w:r w:rsidR="00DE3531" w:rsidRPr="00C4059A">
        <w:rPr>
          <w:b/>
          <w:color w:val="1F546B" w:themeColor="text2"/>
        </w:rPr>
        <w:t xml:space="preserve"> meetings</w:t>
      </w:r>
    </w:p>
    <w:p w14:paraId="7F9DE3E8" w14:textId="433EC428" w:rsidR="00107E45" w:rsidRPr="00C4059A" w:rsidRDefault="00DE3531" w:rsidP="00C4059A">
      <w:pPr>
        <w:pStyle w:val="Bullet"/>
        <w:numPr>
          <w:ilvl w:val="0"/>
          <w:numId w:val="0"/>
        </w:numPr>
        <w:spacing w:before="120" w:after="240"/>
        <w:rPr>
          <w:rFonts w:eastAsia="Calibri" w:cs="Calibri"/>
          <w:color w:val="000000"/>
          <w:bdr w:val="nil"/>
          <w:lang w:val="en-US" w:eastAsia="en-NZ"/>
        </w:rPr>
      </w:pPr>
      <w:r w:rsidRPr="00C4059A">
        <w:rPr>
          <w:rFonts w:eastAsia="Calibri" w:cs="Calibri"/>
          <w:color w:val="000000"/>
          <w:bdr w:val="nil"/>
          <w:lang w:val="en-US" w:eastAsia="en-NZ"/>
        </w:rPr>
        <w:t>S</w:t>
      </w:r>
      <w:r w:rsidR="00E769F0" w:rsidRPr="00C4059A">
        <w:rPr>
          <w:rFonts w:eastAsia="Calibri" w:cs="Calibri"/>
          <w:color w:val="000000"/>
          <w:bdr w:val="nil"/>
          <w:lang w:val="en-US" w:eastAsia="en-NZ"/>
        </w:rPr>
        <w:t xml:space="preserve">ixty </w:t>
      </w:r>
      <w:r w:rsidR="002D3B6E" w:rsidRPr="00C4059A">
        <w:rPr>
          <w:rFonts w:eastAsia="Calibri" w:cs="Calibri"/>
          <w:color w:val="000000"/>
          <w:bdr w:val="nil"/>
          <w:lang w:val="en-US" w:eastAsia="en-NZ"/>
        </w:rPr>
        <w:t>per</w:t>
      </w:r>
      <w:r w:rsidR="00F23407" w:rsidRPr="00C4059A">
        <w:rPr>
          <w:rFonts w:eastAsia="Calibri" w:cs="Calibri"/>
          <w:color w:val="000000"/>
          <w:bdr w:val="nil"/>
          <w:lang w:val="en-US" w:eastAsia="en-NZ"/>
        </w:rPr>
        <w:t xml:space="preserve"> </w:t>
      </w:r>
      <w:r w:rsidR="002D3B6E" w:rsidRPr="00C4059A">
        <w:rPr>
          <w:rFonts w:eastAsia="Calibri" w:cs="Calibri"/>
          <w:color w:val="000000"/>
          <w:bdr w:val="nil"/>
          <w:lang w:val="en-US" w:eastAsia="en-NZ"/>
        </w:rPr>
        <w:t>cent of responde</w:t>
      </w:r>
      <w:r w:rsidR="009162A7" w:rsidRPr="00C4059A">
        <w:rPr>
          <w:rFonts w:eastAsia="Calibri" w:cs="Calibri"/>
          <w:color w:val="000000"/>
          <w:bdr w:val="nil"/>
          <w:lang w:val="en-US" w:eastAsia="en-NZ"/>
        </w:rPr>
        <w:t>nts had been involved in a face-to-</w:t>
      </w:r>
      <w:r w:rsidR="002D3B6E" w:rsidRPr="00C4059A">
        <w:rPr>
          <w:rFonts w:eastAsia="Calibri" w:cs="Calibri"/>
          <w:color w:val="000000"/>
          <w:bdr w:val="nil"/>
          <w:lang w:val="en-US" w:eastAsia="en-NZ"/>
        </w:rPr>
        <w:t>face meeting over the past 12 mon</w:t>
      </w:r>
      <w:r w:rsidR="00B603A7" w:rsidRPr="00C4059A">
        <w:rPr>
          <w:rFonts w:eastAsia="Calibri" w:cs="Calibri"/>
          <w:color w:val="000000"/>
          <w:bdr w:val="nil"/>
          <w:lang w:val="en-US" w:eastAsia="en-NZ"/>
        </w:rPr>
        <w:t>ths</w:t>
      </w:r>
      <w:r w:rsidRPr="00C4059A">
        <w:rPr>
          <w:rFonts w:eastAsia="Calibri" w:cs="Calibri"/>
          <w:color w:val="000000"/>
          <w:bdr w:val="nil"/>
          <w:lang w:val="en-US" w:eastAsia="en-NZ"/>
        </w:rPr>
        <w:t>.</w:t>
      </w:r>
      <w:r w:rsidR="00617307" w:rsidRPr="00C4059A">
        <w:rPr>
          <w:rFonts w:eastAsia="Calibri" w:cs="Calibri"/>
          <w:color w:val="000000"/>
          <w:bdr w:val="nil"/>
          <w:lang w:val="en-US" w:eastAsia="en-NZ"/>
        </w:rPr>
        <w:t xml:space="preserve"> </w:t>
      </w:r>
      <w:r w:rsidR="00F92768" w:rsidRPr="00C4059A">
        <w:rPr>
          <w:rFonts w:eastAsia="Calibri" w:cs="Calibri"/>
          <w:color w:val="000000"/>
          <w:bdr w:val="nil"/>
          <w:lang w:val="en-US" w:eastAsia="en-NZ"/>
        </w:rPr>
        <w:t>Of those</w:t>
      </w:r>
      <w:r w:rsidR="002D3B6E" w:rsidRPr="00C4059A">
        <w:rPr>
          <w:rFonts w:eastAsia="Calibri" w:cs="Calibri"/>
          <w:color w:val="000000"/>
          <w:bdr w:val="nil"/>
          <w:lang w:val="en-US" w:eastAsia="en-NZ"/>
        </w:rPr>
        <w:t xml:space="preserve">, </w:t>
      </w:r>
      <w:r w:rsidR="009C46F3" w:rsidRPr="00C4059A">
        <w:rPr>
          <w:rFonts w:eastAsia="Calibri" w:cs="Calibri"/>
          <w:color w:val="000000"/>
          <w:bdr w:val="nil"/>
          <w:lang w:val="en-US" w:eastAsia="en-NZ"/>
        </w:rPr>
        <w:t xml:space="preserve">the majority </w:t>
      </w:r>
      <w:r w:rsidR="002D3B6E" w:rsidRPr="00C4059A">
        <w:rPr>
          <w:rFonts w:eastAsia="Calibri" w:cs="Calibri"/>
          <w:color w:val="000000"/>
          <w:bdr w:val="nil"/>
          <w:lang w:val="en-US" w:eastAsia="en-NZ"/>
        </w:rPr>
        <w:t>rated the experience as useful or very useful</w:t>
      </w:r>
      <w:r w:rsidR="00B603A7" w:rsidRPr="00C4059A">
        <w:rPr>
          <w:rFonts w:eastAsia="Calibri" w:cs="Calibri"/>
          <w:color w:val="000000"/>
          <w:bdr w:val="nil"/>
          <w:lang w:val="en-US" w:eastAsia="en-NZ"/>
        </w:rPr>
        <w:t xml:space="preserve"> </w:t>
      </w:r>
      <w:r w:rsidR="00126DDF" w:rsidRPr="00C4059A">
        <w:rPr>
          <w:rFonts w:eastAsia="Calibri" w:cs="Calibri"/>
          <w:color w:val="000000"/>
          <w:bdr w:val="nil"/>
          <w:lang w:val="en-US" w:eastAsia="en-NZ"/>
        </w:rPr>
        <w:t>(78</w:t>
      </w:r>
      <w:r w:rsidR="00B1786D" w:rsidRPr="00C4059A">
        <w:rPr>
          <w:rFonts w:eastAsia="Calibri" w:cs="Calibri"/>
          <w:color w:val="000000"/>
          <w:bdr w:val="nil"/>
          <w:lang w:val="en-US" w:eastAsia="en-NZ"/>
        </w:rPr>
        <w:t xml:space="preserve"> per cent</w:t>
      </w:r>
      <w:r w:rsidR="002D3B6E" w:rsidRPr="00C4059A">
        <w:rPr>
          <w:rFonts w:eastAsia="Calibri" w:cs="Calibri"/>
          <w:color w:val="000000"/>
          <w:bdr w:val="nil"/>
          <w:lang w:val="en-US" w:eastAsia="en-NZ"/>
        </w:rPr>
        <w:t>).</w:t>
      </w:r>
    </w:p>
    <w:p w14:paraId="01A47222" w14:textId="3A1339EF" w:rsidR="00801DC4" w:rsidRPr="00126DDF" w:rsidRDefault="00801DC4" w:rsidP="009162A7">
      <w:pPr>
        <w:pStyle w:val="Heading3"/>
      </w:pPr>
      <w:bookmarkStart w:id="59" w:name="_Toc505862366"/>
      <w:bookmarkStart w:id="60" w:name="_Toc505862434"/>
      <w:r w:rsidRPr="00126DDF">
        <w:t xml:space="preserve">Gambits </w:t>
      </w:r>
      <w:r w:rsidR="00FD13FD">
        <w:t>n</w:t>
      </w:r>
      <w:r w:rsidRPr="00126DDF">
        <w:t>ewsletter</w:t>
      </w:r>
      <w:bookmarkEnd w:id="59"/>
      <w:bookmarkEnd w:id="60"/>
    </w:p>
    <w:p w14:paraId="2105C6F3" w14:textId="29C83584" w:rsidR="00BB3928" w:rsidRPr="00C4059A" w:rsidRDefault="00A22860" w:rsidP="00C4059A">
      <w:pPr>
        <w:pStyle w:val="Bullet"/>
        <w:numPr>
          <w:ilvl w:val="0"/>
          <w:numId w:val="0"/>
        </w:numPr>
        <w:spacing w:before="120" w:after="240"/>
        <w:rPr>
          <w:rFonts w:eastAsia="Calibri" w:cs="Calibri"/>
          <w:color w:val="000000"/>
          <w:bdr w:val="nil"/>
          <w:lang w:val="en-US" w:eastAsia="en-NZ"/>
        </w:rPr>
      </w:pPr>
      <w:r w:rsidRPr="00C4059A">
        <w:rPr>
          <w:rFonts w:eastAsia="Calibri" w:cs="Calibri"/>
          <w:color w:val="000000"/>
          <w:bdr w:val="nil"/>
          <w:lang w:val="en-US" w:eastAsia="en-NZ"/>
        </w:rPr>
        <w:t>F</w:t>
      </w:r>
      <w:r w:rsidR="008857AD" w:rsidRPr="00C4059A">
        <w:rPr>
          <w:rFonts w:eastAsia="Calibri" w:cs="Calibri"/>
          <w:color w:val="000000"/>
          <w:bdr w:val="nil"/>
          <w:lang w:val="en-US" w:eastAsia="en-NZ"/>
        </w:rPr>
        <w:t>urther specific questions</w:t>
      </w:r>
      <w:r w:rsidR="005079B2" w:rsidRPr="00C4059A">
        <w:rPr>
          <w:rFonts w:eastAsia="Calibri" w:cs="Calibri"/>
          <w:color w:val="000000"/>
          <w:bdr w:val="nil"/>
          <w:lang w:val="en-US" w:eastAsia="en-NZ"/>
        </w:rPr>
        <w:t xml:space="preserve"> to find out </w:t>
      </w:r>
      <w:r w:rsidR="005830ED" w:rsidRPr="00C4059A">
        <w:rPr>
          <w:rFonts w:eastAsia="Calibri" w:cs="Calibri"/>
          <w:color w:val="000000"/>
          <w:bdr w:val="nil"/>
          <w:lang w:val="en-US" w:eastAsia="en-NZ"/>
        </w:rPr>
        <w:t xml:space="preserve">about </w:t>
      </w:r>
      <w:r w:rsidR="008857AD" w:rsidRPr="00C4059A">
        <w:rPr>
          <w:rFonts w:eastAsia="Calibri" w:cs="Calibri"/>
          <w:color w:val="000000"/>
          <w:bdr w:val="nil"/>
          <w:lang w:val="en-US" w:eastAsia="en-NZ"/>
        </w:rPr>
        <w:t xml:space="preserve">the level of </w:t>
      </w:r>
      <w:r w:rsidR="00351E70" w:rsidRPr="00C4059A">
        <w:rPr>
          <w:rFonts w:eastAsia="Calibri" w:cs="Calibri"/>
          <w:color w:val="000000"/>
          <w:bdr w:val="nil"/>
          <w:lang w:val="en-US" w:eastAsia="en-NZ"/>
        </w:rPr>
        <w:t>satisfaction</w:t>
      </w:r>
      <w:r w:rsidR="008857AD" w:rsidRPr="00C4059A">
        <w:rPr>
          <w:rFonts w:eastAsia="Calibri" w:cs="Calibri"/>
          <w:color w:val="000000"/>
          <w:bdr w:val="nil"/>
          <w:lang w:val="en-US" w:eastAsia="en-NZ"/>
        </w:rPr>
        <w:t>, relevance and simplicity of the information in Gambits</w:t>
      </w:r>
      <w:r w:rsidRPr="00C4059A">
        <w:rPr>
          <w:rFonts w:eastAsia="Calibri" w:cs="Calibri"/>
          <w:color w:val="000000"/>
          <w:bdr w:val="nil"/>
          <w:lang w:val="en-US" w:eastAsia="en-NZ"/>
        </w:rPr>
        <w:t xml:space="preserve"> (questions 10, 11 and 12) were asked. </w:t>
      </w:r>
      <w:r w:rsidR="00BB3928" w:rsidRPr="00C4059A">
        <w:rPr>
          <w:rFonts w:eastAsia="Calibri" w:cs="Calibri"/>
          <w:color w:val="000000"/>
          <w:bdr w:val="nil"/>
          <w:lang w:val="en-US" w:eastAsia="en-NZ"/>
        </w:rPr>
        <w:t>Any respondent who indicat</w:t>
      </w:r>
      <w:r w:rsidR="00D563A4" w:rsidRPr="00C4059A">
        <w:rPr>
          <w:rFonts w:eastAsia="Calibri" w:cs="Calibri"/>
          <w:color w:val="000000"/>
          <w:bdr w:val="nil"/>
          <w:lang w:val="en-US" w:eastAsia="en-NZ"/>
        </w:rPr>
        <w:t>ed in question 10 that they did not</w:t>
      </w:r>
      <w:r w:rsidR="00BB3928" w:rsidRPr="00C4059A">
        <w:rPr>
          <w:rFonts w:eastAsia="Calibri" w:cs="Calibri"/>
          <w:color w:val="000000"/>
          <w:bdr w:val="nil"/>
          <w:lang w:val="en-US" w:eastAsia="en-NZ"/>
        </w:rPr>
        <w:t xml:space="preserve"> receive Gambits </w:t>
      </w:r>
      <w:r w:rsidR="00110611" w:rsidRPr="00C4059A">
        <w:rPr>
          <w:rFonts w:eastAsia="Calibri" w:cs="Calibri"/>
          <w:color w:val="000000"/>
          <w:bdr w:val="nil"/>
          <w:lang w:val="en-US" w:eastAsia="en-NZ"/>
        </w:rPr>
        <w:t>was not</w:t>
      </w:r>
      <w:r w:rsidR="00BB3928" w:rsidRPr="00C4059A">
        <w:rPr>
          <w:rFonts w:eastAsia="Calibri" w:cs="Calibri"/>
          <w:color w:val="000000"/>
          <w:bdr w:val="nil"/>
          <w:lang w:val="en-US" w:eastAsia="en-NZ"/>
        </w:rPr>
        <w:t xml:space="preserve"> asked to respond to questions 11 or 12. </w:t>
      </w:r>
    </w:p>
    <w:p w14:paraId="3CCB6FFC" w14:textId="5F30C96F" w:rsidR="004B0567" w:rsidRPr="00C4059A" w:rsidRDefault="00303A88" w:rsidP="00C4059A">
      <w:pPr>
        <w:pStyle w:val="Bullet"/>
        <w:numPr>
          <w:ilvl w:val="0"/>
          <w:numId w:val="0"/>
        </w:numPr>
        <w:spacing w:before="120" w:after="240"/>
        <w:rPr>
          <w:rFonts w:eastAsia="Calibri" w:cs="Calibri"/>
          <w:color w:val="000000"/>
          <w:bdr w:val="nil"/>
          <w:lang w:val="en-US" w:eastAsia="en-NZ"/>
        </w:rPr>
      </w:pPr>
      <w:r w:rsidRPr="00C4059A">
        <w:rPr>
          <w:rFonts w:eastAsia="Calibri" w:cs="Calibri"/>
          <w:color w:val="000000"/>
          <w:bdr w:val="nil"/>
          <w:lang w:val="en-US" w:eastAsia="en-NZ"/>
        </w:rPr>
        <w:t xml:space="preserve">Very high </w:t>
      </w:r>
      <w:r w:rsidR="00801DC4" w:rsidRPr="00C4059A">
        <w:rPr>
          <w:rFonts w:eastAsia="Calibri" w:cs="Calibri"/>
          <w:color w:val="000000"/>
          <w:bdr w:val="nil"/>
          <w:lang w:val="en-US" w:eastAsia="en-NZ"/>
        </w:rPr>
        <w:t xml:space="preserve">levels of </w:t>
      </w:r>
      <w:r w:rsidRPr="00C4059A">
        <w:rPr>
          <w:rFonts w:eastAsia="Calibri" w:cs="Calibri"/>
          <w:color w:val="000000"/>
          <w:bdr w:val="nil"/>
          <w:lang w:val="en-US" w:eastAsia="en-NZ"/>
        </w:rPr>
        <w:t xml:space="preserve">positive ratings have been received for all three </w:t>
      </w:r>
      <w:r w:rsidR="00801DC4" w:rsidRPr="00C4059A">
        <w:rPr>
          <w:rFonts w:eastAsia="Calibri" w:cs="Calibri"/>
          <w:color w:val="000000"/>
          <w:bdr w:val="nil"/>
          <w:lang w:val="en-US" w:eastAsia="en-NZ"/>
        </w:rPr>
        <w:t xml:space="preserve">of these questions. </w:t>
      </w:r>
    </w:p>
    <w:p w14:paraId="7F9DE3F6" w14:textId="77777777" w:rsidR="005830ED" w:rsidRPr="00C4059A" w:rsidRDefault="005830ED">
      <w:pPr>
        <w:pStyle w:val="Bullet"/>
        <w:numPr>
          <w:ilvl w:val="0"/>
          <w:numId w:val="0"/>
        </w:numPr>
        <w:rPr>
          <w:b/>
        </w:rPr>
      </w:pPr>
      <w:r w:rsidRPr="00C4059A">
        <w:rPr>
          <w:b/>
        </w:rPr>
        <w:t>Question 10: How satisfied are you with the frequency of the Gambits newsletter?</w:t>
      </w:r>
    </w:p>
    <w:p w14:paraId="7DF52B2C" w14:textId="3EC039A9" w:rsidR="00895EE0" w:rsidRPr="00C4059A" w:rsidRDefault="005830ED" w:rsidP="00C4059A">
      <w:pPr>
        <w:pStyle w:val="Bullet"/>
        <w:numPr>
          <w:ilvl w:val="0"/>
          <w:numId w:val="0"/>
        </w:numPr>
        <w:spacing w:before="120" w:after="240"/>
        <w:rPr>
          <w:rFonts w:eastAsia="Calibri" w:cs="Calibri"/>
          <w:color w:val="000000"/>
          <w:bdr w:val="nil"/>
          <w:lang w:val="en-US" w:eastAsia="en-NZ"/>
        </w:rPr>
      </w:pPr>
      <w:r w:rsidRPr="00C4059A">
        <w:rPr>
          <w:rFonts w:eastAsia="Calibri" w:cs="Calibri"/>
          <w:color w:val="000000"/>
          <w:bdr w:val="nil"/>
          <w:lang w:val="en-US" w:eastAsia="en-NZ"/>
        </w:rPr>
        <w:t>S</w:t>
      </w:r>
      <w:r w:rsidR="003B013F" w:rsidRPr="00C4059A">
        <w:rPr>
          <w:rFonts w:eastAsia="Calibri" w:cs="Calibri"/>
          <w:color w:val="000000"/>
          <w:bdr w:val="nil"/>
          <w:lang w:val="en-US" w:eastAsia="en-NZ"/>
        </w:rPr>
        <w:t>atisfac</w:t>
      </w:r>
      <w:r w:rsidR="00A22AD9" w:rsidRPr="00C4059A">
        <w:rPr>
          <w:rFonts w:eastAsia="Calibri" w:cs="Calibri"/>
          <w:color w:val="000000"/>
          <w:bdr w:val="nil"/>
          <w:lang w:val="en-US" w:eastAsia="en-NZ"/>
        </w:rPr>
        <w:t>tion ratings for</w:t>
      </w:r>
      <w:r w:rsidR="008333F7" w:rsidRPr="00C4059A">
        <w:rPr>
          <w:rFonts w:eastAsia="Calibri" w:cs="Calibri"/>
          <w:color w:val="000000"/>
          <w:bdr w:val="nil"/>
          <w:lang w:val="en-US" w:eastAsia="en-NZ"/>
        </w:rPr>
        <w:t xml:space="preserve"> its frequency were</w:t>
      </w:r>
      <w:r w:rsidR="003B013F" w:rsidRPr="00C4059A">
        <w:rPr>
          <w:rFonts w:eastAsia="Calibri" w:cs="Calibri"/>
          <w:color w:val="000000"/>
          <w:bdr w:val="nil"/>
          <w:lang w:val="en-US" w:eastAsia="en-NZ"/>
        </w:rPr>
        <w:t xml:space="preserve"> high</w:t>
      </w:r>
      <w:r w:rsidR="00BD4B79" w:rsidRPr="00C4059A">
        <w:rPr>
          <w:rFonts w:eastAsia="Calibri" w:cs="Calibri"/>
          <w:color w:val="000000"/>
          <w:bdr w:val="nil"/>
          <w:lang w:val="en-US" w:eastAsia="en-NZ"/>
        </w:rPr>
        <w:t>,</w:t>
      </w:r>
      <w:r w:rsidR="009945AA" w:rsidRPr="00C4059A">
        <w:rPr>
          <w:rFonts w:eastAsia="Calibri" w:cs="Calibri"/>
          <w:color w:val="000000"/>
          <w:bdr w:val="nil"/>
          <w:lang w:val="en-US" w:eastAsia="en-NZ"/>
        </w:rPr>
        <w:t xml:space="preserve"> with 69 per cent of respondents being satisfied or very satisfied. This is a slight decrease from the rating in 2016, which </w:t>
      </w:r>
      <w:proofErr w:type="gramStart"/>
      <w:r w:rsidR="009945AA" w:rsidRPr="00C4059A">
        <w:rPr>
          <w:rFonts w:eastAsia="Calibri" w:cs="Calibri"/>
          <w:color w:val="000000"/>
          <w:bdr w:val="nil"/>
          <w:lang w:val="en-US" w:eastAsia="en-NZ"/>
        </w:rPr>
        <w:t>was</w:t>
      </w:r>
      <w:proofErr w:type="gramEnd"/>
      <w:r w:rsidR="00BD4B79" w:rsidRPr="00C4059A">
        <w:rPr>
          <w:rFonts w:eastAsia="Calibri" w:cs="Calibri"/>
          <w:color w:val="000000"/>
          <w:bdr w:val="nil"/>
          <w:lang w:val="en-US" w:eastAsia="en-NZ"/>
        </w:rPr>
        <w:t xml:space="preserve"> </w:t>
      </w:r>
      <w:r w:rsidR="009A5B84" w:rsidRPr="00C4059A">
        <w:rPr>
          <w:rFonts w:eastAsia="Calibri" w:cs="Calibri"/>
          <w:color w:val="000000"/>
          <w:bdr w:val="nil"/>
          <w:lang w:val="en-US" w:eastAsia="en-NZ"/>
        </w:rPr>
        <w:t>74</w:t>
      </w:r>
      <w:r w:rsidR="00B1786D" w:rsidRPr="00C4059A">
        <w:rPr>
          <w:rFonts w:eastAsia="Calibri" w:cs="Calibri"/>
          <w:color w:val="000000"/>
          <w:bdr w:val="nil"/>
          <w:lang w:val="en-US" w:eastAsia="en-NZ"/>
        </w:rPr>
        <w:t xml:space="preserve"> per cent</w:t>
      </w:r>
      <w:r w:rsidR="00512EDA" w:rsidRPr="00C4059A">
        <w:rPr>
          <w:rFonts w:eastAsia="Calibri" w:cs="Calibri"/>
          <w:color w:val="000000"/>
          <w:bdr w:val="nil"/>
          <w:lang w:val="en-US" w:eastAsia="en-NZ"/>
        </w:rPr>
        <w:t xml:space="preserve"> </w:t>
      </w:r>
      <w:r w:rsidRPr="00C4059A">
        <w:rPr>
          <w:rFonts w:eastAsia="Calibri" w:cs="Calibri"/>
          <w:color w:val="000000"/>
          <w:bdr w:val="nil"/>
          <w:lang w:val="en-US" w:eastAsia="en-NZ"/>
        </w:rPr>
        <w:t xml:space="preserve">satisfied </w:t>
      </w:r>
      <w:r w:rsidR="00351E70" w:rsidRPr="00C4059A">
        <w:rPr>
          <w:rFonts w:eastAsia="Calibri" w:cs="Calibri"/>
          <w:color w:val="000000"/>
          <w:bdr w:val="nil"/>
          <w:lang w:val="en-US" w:eastAsia="en-NZ"/>
        </w:rPr>
        <w:t>or very satisfied</w:t>
      </w:r>
      <w:r w:rsidR="00A22AD9" w:rsidRPr="00C4059A">
        <w:rPr>
          <w:rFonts w:eastAsia="Calibri" w:cs="Calibri"/>
          <w:color w:val="000000"/>
          <w:bdr w:val="nil"/>
          <w:lang w:val="en-US" w:eastAsia="en-NZ"/>
        </w:rPr>
        <w:t>.</w:t>
      </w:r>
      <w:r w:rsidR="00512EDA" w:rsidRPr="00C4059A">
        <w:rPr>
          <w:rFonts w:eastAsia="Calibri" w:cs="Calibri"/>
          <w:color w:val="000000"/>
          <w:bdr w:val="nil"/>
          <w:lang w:val="en-US" w:eastAsia="en-NZ"/>
        </w:rPr>
        <w:t xml:space="preserve"> </w:t>
      </w:r>
      <w:r w:rsidR="009945AA" w:rsidRPr="00C4059A">
        <w:rPr>
          <w:rFonts w:eastAsia="Calibri" w:cs="Calibri"/>
          <w:color w:val="000000"/>
          <w:bdr w:val="nil"/>
          <w:lang w:val="en-US" w:eastAsia="en-NZ"/>
        </w:rPr>
        <w:t>The rating in 2015 was</w:t>
      </w:r>
      <w:r w:rsidR="00512EDA" w:rsidRPr="00C4059A">
        <w:rPr>
          <w:rFonts w:eastAsia="Calibri" w:cs="Calibri"/>
          <w:color w:val="000000"/>
          <w:bdr w:val="nil"/>
          <w:lang w:val="en-US" w:eastAsia="en-NZ"/>
        </w:rPr>
        <w:t xml:space="preserve"> 71</w:t>
      </w:r>
      <w:r w:rsidR="00B1786D" w:rsidRPr="00C4059A">
        <w:rPr>
          <w:rFonts w:eastAsia="Calibri" w:cs="Calibri"/>
          <w:color w:val="000000"/>
          <w:bdr w:val="nil"/>
          <w:lang w:val="en-US" w:eastAsia="en-NZ"/>
        </w:rPr>
        <w:t xml:space="preserve"> per cent</w:t>
      </w:r>
      <w:r w:rsidR="00512EDA" w:rsidRPr="00C4059A">
        <w:rPr>
          <w:rFonts w:eastAsia="Calibri" w:cs="Calibri"/>
          <w:color w:val="000000"/>
          <w:bdr w:val="nil"/>
          <w:lang w:val="en-US" w:eastAsia="en-NZ"/>
        </w:rPr>
        <w:t>.</w:t>
      </w:r>
    </w:p>
    <w:p w14:paraId="63482DD3" w14:textId="77777777" w:rsidR="00DE10A6" w:rsidRDefault="00DE10A6" w:rsidP="003F6E7B">
      <w:pPr>
        <w:pStyle w:val="Bullet"/>
        <w:numPr>
          <w:ilvl w:val="0"/>
          <w:numId w:val="0"/>
        </w:numPr>
        <w:rPr>
          <w:b/>
        </w:rPr>
      </w:pPr>
    </w:p>
    <w:p w14:paraId="7F9DE405" w14:textId="1E2B4645" w:rsidR="00E574D6" w:rsidRPr="00C4059A" w:rsidRDefault="00512EDA">
      <w:pPr>
        <w:pStyle w:val="Bullet"/>
        <w:numPr>
          <w:ilvl w:val="0"/>
          <w:numId w:val="0"/>
        </w:numPr>
        <w:rPr>
          <w:b/>
          <w:lang w:val="en"/>
        </w:rPr>
      </w:pPr>
      <w:r w:rsidRPr="00C4059A">
        <w:rPr>
          <w:b/>
        </w:rPr>
        <w:t xml:space="preserve">Question 11: </w:t>
      </w:r>
      <w:r w:rsidRPr="00C4059A">
        <w:rPr>
          <w:b/>
          <w:lang w:val="en"/>
        </w:rPr>
        <w:t>Is the information in the Gambits newsletter relevant to you?</w:t>
      </w:r>
    </w:p>
    <w:p w14:paraId="7FCE088F" w14:textId="277EB051" w:rsidR="00512EDA" w:rsidRPr="00C4059A" w:rsidRDefault="008857AD" w:rsidP="00C4059A">
      <w:pPr>
        <w:pStyle w:val="Bullet"/>
        <w:numPr>
          <w:ilvl w:val="0"/>
          <w:numId w:val="0"/>
        </w:numPr>
        <w:spacing w:before="120" w:after="240"/>
        <w:rPr>
          <w:rFonts w:eastAsia="Calibri" w:cs="Calibri"/>
          <w:color w:val="000000"/>
          <w:bdr w:val="nil"/>
          <w:lang w:val="en-US" w:eastAsia="en-NZ"/>
        </w:rPr>
      </w:pPr>
      <w:r w:rsidRPr="00C4059A">
        <w:rPr>
          <w:rFonts w:eastAsia="Calibri" w:cs="Calibri"/>
          <w:color w:val="000000"/>
          <w:bdr w:val="nil"/>
          <w:lang w:val="en-US" w:eastAsia="en-NZ"/>
        </w:rPr>
        <w:t xml:space="preserve">Over </w:t>
      </w:r>
      <w:r w:rsidR="009945AA" w:rsidRPr="00C4059A">
        <w:rPr>
          <w:rFonts w:eastAsia="Calibri" w:cs="Calibri"/>
          <w:color w:val="000000"/>
          <w:bdr w:val="nil"/>
          <w:lang w:val="en-US" w:eastAsia="en-NZ"/>
        </w:rPr>
        <w:t>85</w:t>
      </w:r>
      <w:r w:rsidR="00B1786D" w:rsidRPr="00C4059A">
        <w:rPr>
          <w:rFonts w:eastAsia="Calibri" w:cs="Calibri"/>
          <w:color w:val="000000"/>
          <w:bdr w:val="nil"/>
          <w:lang w:val="en-US" w:eastAsia="en-NZ"/>
        </w:rPr>
        <w:t xml:space="preserve"> per cent</w:t>
      </w:r>
      <w:r w:rsidRPr="00C4059A">
        <w:rPr>
          <w:rFonts w:eastAsia="Calibri" w:cs="Calibri"/>
          <w:color w:val="000000"/>
          <w:bdr w:val="nil"/>
          <w:lang w:val="en-US" w:eastAsia="en-NZ"/>
        </w:rPr>
        <w:t xml:space="preserve"> of the respondents </w:t>
      </w:r>
      <w:r w:rsidR="00801DC4" w:rsidRPr="00C4059A">
        <w:rPr>
          <w:rFonts w:eastAsia="Calibri" w:cs="Calibri"/>
          <w:color w:val="000000"/>
          <w:bdr w:val="nil"/>
          <w:lang w:val="en-US" w:eastAsia="en-NZ"/>
        </w:rPr>
        <w:t>rated</w:t>
      </w:r>
      <w:r w:rsidRPr="00C4059A">
        <w:rPr>
          <w:rFonts w:eastAsia="Calibri" w:cs="Calibri"/>
          <w:color w:val="000000"/>
          <w:bdr w:val="nil"/>
          <w:lang w:val="en-US" w:eastAsia="en-NZ"/>
        </w:rPr>
        <w:t xml:space="preserve"> the newsletter </w:t>
      </w:r>
      <w:r w:rsidR="00801DC4" w:rsidRPr="00C4059A">
        <w:rPr>
          <w:rFonts w:eastAsia="Calibri" w:cs="Calibri"/>
          <w:color w:val="000000"/>
          <w:bdr w:val="nil"/>
          <w:lang w:val="en-US" w:eastAsia="en-NZ"/>
        </w:rPr>
        <w:t>as being</w:t>
      </w:r>
      <w:r w:rsidRPr="00C4059A">
        <w:rPr>
          <w:rFonts w:eastAsia="Calibri" w:cs="Calibri"/>
          <w:color w:val="000000"/>
          <w:bdr w:val="nil"/>
          <w:lang w:val="en-US" w:eastAsia="en-NZ"/>
        </w:rPr>
        <w:t xml:space="preserve"> relevant to them. </w:t>
      </w:r>
    </w:p>
    <w:p w14:paraId="7F9DE406" w14:textId="318B2CBF" w:rsidR="00E40E83" w:rsidRDefault="00E40E83">
      <w:pPr>
        <w:keepLines w:val="0"/>
        <w:rPr>
          <w:b/>
          <w:highlight w:val="yellow"/>
        </w:rPr>
      </w:pPr>
      <w:r>
        <w:rPr>
          <w:b/>
          <w:highlight w:val="yellow"/>
        </w:rPr>
        <w:br w:type="page"/>
      </w:r>
    </w:p>
    <w:p w14:paraId="1E3D66CD" w14:textId="36AAD774" w:rsidR="008857AD" w:rsidRPr="00C4059A" w:rsidRDefault="008857AD">
      <w:pPr>
        <w:pStyle w:val="Bullet"/>
        <w:numPr>
          <w:ilvl w:val="0"/>
          <w:numId w:val="0"/>
        </w:numPr>
        <w:rPr>
          <w:b/>
          <w:bCs/>
          <w:lang w:val="en"/>
        </w:rPr>
      </w:pPr>
      <w:r w:rsidRPr="00C4059A">
        <w:rPr>
          <w:b/>
        </w:rPr>
        <w:lastRenderedPageBreak/>
        <w:t>Question 12:</w:t>
      </w:r>
      <w:r w:rsidRPr="00C4059A">
        <w:rPr>
          <w:rFonts w:ascii="Arial" w:eastAsia="Arial" w:hAnsi="Arial" w:cs="Arial"/>
          <w:sz w:val="39"/>
          <w:szCs w:val="39"/>
          <w:lang w:val="en"/>
        </w:rPr>
        <w:t xml:space="preserve"> </w:t>
      </w:r>
      <w:r w:rsidRPr="00C4059A">
        <w:rPr>
          <w:b/>
          <w:bCs/>
          <w:lang w:val="en"/>
        </w:rPr>
        <w:t>How simple is it to understand the information in the Gambits newsletter?</w:t>
      </w:r>
    </w:p>
    <w:p w14:paraId="703468FD" w14:textId="4C96B855" w:rsidR="00371800" w:rsidRPr="00C4059A" w:rsidRDefault="00371800" w:rsidP="00C4059A">
      <w:pPr>
        <w:spacing w:after="120"/>
        <w:rPr>
          <w:b/>
          <w:bCs/>
        </w:rPr>
      </w:pPr>
      <w:r w:rsidRPr="00C4059A">
        <w:rPr>
          <w:b/>
          <w:bCs/>
        </w:rPr>
        <w:t xml:space="preserve">Figure 7: </w:t>
      </w:r>
      <w:r w:rsidR="00DD2A74" w:rsidRPr="00C4059A">
        <w:rPr>
          <w:b/>
          <w:bCs/>
        </w:rPr>
        <w:t>Simplicity of Information</w:t>
      </w:r>
    </w:p>
    <w:p w14:paraId="4EBDC05E" w14:textId="7570E284" w:rsidR="002F56B1" w:rsidRDefault="009945AA" w:rsidP="002F56B1">
      <w:pPr>
        <w:pStyle w:val="Bullet"/>
        <w:numPr>
          <w:ilvl w:val="0"/>
          <w:numId w:val="0"/>
        </w:numPr>
        <w:spacing w:before="120" w:after="240"/>
        <w:rPr>
          <w:rFonts w:eastAsia="Calibri" w:cs="Calibri"/>
          <w:color w:val="000000"/>
          <w:u w:color="000000"/>
          <w:bdr w:val="nil"/>
          <w:lang w:val="en-US" w:eastAsia="en-NZ"/>
        </w:rPr>
      </w:pPr>
      <w:r>
        <w:rPr>
          <w:noProof/>
          <w:lang w:eastAsia="en-NZ"/>
        </w:rPr>
        <w:drawing>
          <wp:inline distT="0" distB="0" distL="0" distR="0" wp14:anchorId="06AED8B8" wp14:editId="318DB4AA">
            <wp:extent cx="5603359" cy="2849525"/>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4E79093F" w14:textId="4FB07DA4" w:rsidR="00E40E83" w:rsidRPr="00C4059A" w:rsidRDefault="00995C85" w:rsidP="00C4059A">
      <w:pPr>
        <w:pStyle w:val="Bullet"/>
        <w:numPr>
          <w:ilvl w:val="0"/>
          <w:numId w:val="0"/>
        </w:numPr>
        <w:spacing w:before="120" w:after="240"/>
        <w:rPr>
          <w:rFonts w:eastAsia="Calibri" w:cs="Calibri"/>
          <w:color w:val="000000"/>
          <w:bdr w:val="nil"/>
          <w:lang w:val="en-US" w:eastAsia="en-NZ"/>
        </w:rPr>
      </w:pPr>
      <w:r w:rsidRPr="00C4059A">
        <w:rPr>
          <w:rFonts w:eastAsia="Calibri" w:cs="Calibri"/>
          <w:color w:val="000000"/>
          <w:bdr w:val="nil"/>
          <w:lang w:val="en-US" w:eastAsia="en-NZ"/>
        </w:rPr>
        <w:t>Figure 7</w:t>
      </w:r>
      <w:r w:rsidR="00E40E83" w:rsidRPr="00C4059A">
        <w:rPr>
          <w:rFonts w:eastAsia="Calibri" w:cs="Calibri"/>
          <w:color w:val="000000"/>
          <w:bdr w:val="nil"/>
          <w:lang w:val="en-US" w:eastAsia="en-NZ"/>
        </w:rPr>
        <w:t xml:space="preserve"> shows the percentage of responses for each selection.</w:t>
      </w:r>
    </w:p>
    <w:p w14:paraId="0B31DAFE" w14:textId="2BC56040" w:rsidR="00467076" w:rsidRPr="00C4059A" w:rsidRDefault="009945AA" w:rsidP="00C4059A">
      <w:pPr>
        <w:pStyle w:val="Bullet"/>
        <w:numPr>
          <w:ilvl w:val="0"/>
          <w:numId w:val="0"/>
        </w:numPr>
        <w:spacing w:before="120" w:after="240"/>
        <w:rPr>
          <w:rFonts w:eastAsia="Calibri" w:cs="Calibri"/>
          <w:color w:val="000000"/>
          <w:bdr w:val="nil"/>
          <w:lang w:val="en-US" w:eastAsia="en-NZ"/>
        </w:rPr>
      </w:pPr>
      <w:r w:rsidRPr="00C4059A">
        <w:rPr>
          <w:rFonts w:eastAsia="Calibri" w:cs="Calibri"/>
          <w:color w:val="000000"/>
          <w:bdr w:val="nil"/>
          <w:lang w:val="en-US" w:eastAsia="en-NZ"/>
        </w:rPr>
        <w:t>Eighty-eight</w:t>
      </w:r>
      <w:r w:rsidR="00B1786D" w:rsidRPr="00C4059A">
        <w:rPr>
          <w:rFonts w:eastAsia="Calibri" w:cs="Calibri"/>
          <w:color w:val="000000"/>
          <w:bdr w:val="nil"/>
          <w:lang w:val="en-US" w:eastAsia="en-NZ"/>
        </w:rPr>
        <w:t xml:space="preserve"> per cent</w:t>
      </w:r>
      <w:r w:rsidR="00467076" w:rsidRPr="00C4059A">
        <w:rPr>
          <w:rFonts w:eastAsia="Calibri" w:cs="Calibri"/>
          <w:color w:val="000000"/>
          <w:bdr w:val="nil"/>
          <w:lang w:val="en-US" w:eastAsia="en-NZ"/>
        </w:rPr>
        <w:t xml:space="preserve"> of the </w:t>
      </w:r>
      <w:r w:rsidR="00157E44" w:rsidRPr="00C4059A">
        <w:rPr>
          <w:rFonts w:eastAsia="Calibri" w:cs="Calibri"/>
          <w:color w:val="000000"/>
          <w:bdr w:val="nil"/>
          <w:lang w:val="en-US" w:eastAsia="en-NZ"/>
        </w:rPr>
        <w:t>respondents found</w:t>
      </w:r>
      <w:r w:rsidR="008857AD" w:rsidRPr="00C4059A">
        <w:rPr>
          <w:rFonts w:eastAsia="Calibri" w:cs="Calibri"/>
          <w:color w:val="000000"/>
          <w:bdr w:val="nil"/>
          <w:lang w:val="en-US" w:eastAsia="en-NZ"/>
        </w:rPr>
        <w:t xml:space="preserve"> it either very easy or easy to understand the information provided in Gambits</w:t>
      </w:r>
      <w:r w:rsidR="00801DC4" w:rsidRPr="00C4059A">
        <w:rPr>
          <w:rFonts w:eastAsia="Calibri" w:cs="Calibri"/>
          <w:color w:val="000000"/>
          <w:bdr w:val="nil"/>
          <w:lang w:val="en-US" w:eastAsia="en-NZ"/>
        </w:rPr>
        <w:t>.</w:t>
      </w:r>
      <w:r w:rsidR="00E803FC" w:rsidRPr="00C4059A">
        <w:rPr>
          <w:rFonts w:eastAsia="Calibri" w:cs="Calibri"/>
          <w:color w:val="000000"/>
          <w:bdr w:val="nil"/>
          <w:lang w:val="en-US" w:eastAsia="en-NZ"/>
        </w:rPr>
        <w:t xml:space="preserve"> </w:t>
      </w:r>
      <w:r w:rsidR="00801DC4" w:rsidRPr="00C4059A">
        <w:rPr>
          <w:rFonts w:eastAsia="Calibri" w:cs="Calibri"/>
          <w:color w:val="000000"/>
          <w:bdr w:val="nil"/>
          <w:lang w:val="en-US" w:eastAsia="en-NZ"/>
        </w:rPr>
        <w:t>Only a</w:t>
      </w:r>
      <w:r w:rsidR="00467076" w:rsidRPr="00C4059A">
        <w:rPr>
          <w:rFonts w:eastAsia="Calibri" w:cs="Calibri"/>
          <w:color w:val="000000"/>
          <w:bdr w:val="nil"/>
          <w:lang w:val="en-US" w:eastAsia="en-NZ"/>
        </w:rPr>
        <w:t xml:space="preserve"> very small percentage of respondents found it difficult or very difficult</w:t>
      </w:r>
      <w:r w:rsidRPr="00C4059A">
        <w:rPr>
          <w:rFonts w:eastAsia="Calibri" w:cs="Calibri"/>
          <w:color w:val="000000"/>
          <w:bdr w:val="nil"/>
          <w:lang w:val="en-US" w:eastAsia="en-NZ"/>
        </w:rPr>
        <w:t xml:space="preserve"> (one</w:t>
      </w:r>
      <w:r w:rsidR="00B1786D" w:rsidRPr="00C4059A">
        <w:rPr>
          <w:rFonts w:eastAsia="Calibri" w:cs="Calibri"/>
          <w:color w:val="000000"/>
          <w:bdr w:val="nil"/>
          <w:lang w:val="en-US" w:eastAsia="en-NZ"/>
        </w:rPr>
        <w:t xml:space="preserve"> per cent</w:t>
      </w:r>
      <w:r w:rsidR="003D3F48" w:rsidRPr="00C4059A">
        <w:rPr>
          <w:rFonts w:eastAsia="Calibri" w:cs="Calibri"/>
          <w:color w:val="000000"/>
          <w:bdr w:val="nil"/>
          <w:lang w:val="en-US" w:eastAsia="en-NZ"/>
        </w:rPr>
        <w:t>)</w:t>
      </w:r>
      <w:r w:rsidR="00467076" w:rsidRPr="00C4059A">
        <w:rPr>
          <w:rFonts w:eastAsia="Calibri" w:cs="Calibri"/>
          <w:color w:val="000000"/>
          <w:bdr w:val="nil"/>
          <w:lang w:val="en-US" w:eastAsia="en-NZ"/>
        </w:rPr>
        <w:t>.</w:t>
      </w:r>
    </w:p>
    <w:p w14:paraId="28C45B12" w14:textId="1BF203B9" w:rsidR="002F56B1" w:rsidRDefault="002946F9" w:rsidP="00367735">
      <w:pPr>
        <w:pStyle w:val="Heading3"/>
      </w:pPr>
      <w:bookmarkStart w:id="61" w:name="_Toc505862367"/>
      <w:bookmarkStart w:id="62" w:name="_Toc505862435"/>
      <w:r>
        <w:t>The Department’s website</w:t>
      </w:r>
      <w:bookmarkEnd w:id="61"/>
      <w:bookmarkEnd w:id="62"/>
    </w:p>
    <w:p w14:paraId="6F73F0A2" w14:textId="205A272B" w:rsidR="002946F9" w:rsidRPr="00681D93" w:rsidRDefault="002946F9" w:rsidP="00681D93">
      <w:r>
        <w:t>This is a new section introduced this year to gather</w:t>
      </w:r>
      <w:r w:rsidR="00367735">
        <w:t xml:space="preserve"> further</w:t>
      </w:r>
      <w:r>
        <w:t xml:space="preserve"> feedback about the</w:t>
      </w:r>
      <w:r w:rsidR="00681D93">
        <w:t xml:space="preserve"> Department’s external website, with a view to improve access to online information in future.</w:t>
      </w:r>
    </w:p>
    <w:p w14:paraId="1F3408C3" w14:textId="19B43985" w:rsidR="00681D93" w:rsidRPr="00C4059A" w:rsidRDefault="002F56B1">
      <w:pPr>
        <w:pStyle w:val="Bullet"/>
        <w:numPr>
          <w:ilvl w:val="0"/>
          <w:numId w:val="0"/>
        </w:numPr>
        <w:rPr>
          <w:b/>
        </w:rPr>
      </w:pPr>
      <w:r w:rsidRPr="00C4059A">
        <w:rPr>
          <w:b/>
        </w:rPr>
        <w:t>Question 13: Have you used the Department’s website to access information about gambling in the past 12 months?</w:t>
      </w:r>
    </w:p>
    <w:p w14:paraId="536B0BB3" w14:textId="0EA262E3" w:rsidR="00681D93" w:rsidRPr="00681D93" w:rsidRDefault="00681D93" w:rsidP="00681D93">
      <w:pPr>
        <w:rPr>
          <w:lang w:eastAsia="en-NZ"/>
        </w:rPr>
      </w:pPr>
      <w:r w:rsidRPr="00681D93">
        <w:rPr>
          <w:lang w:eastAsia="en-NZ"/>
        </w:rPr>
        <w:t xml:space="preserve">The majority of the respondents had </w:t>
      </w:r>
      <w:r>
        <w:rPr>
          <w:lang w:eastAsia="en-NZ"/>
        </w:rPr>
        <w:t>used the Department’s website to access information about gambling in the past 12 months (78</w:t>
      </w:r>
      <w:r w:rsidRPr="00681D93">
        <w:rPr>
          <w:lang w:eastAsia="en-NZ"/>
        </w:rPr>
        <w:t xml:space="preserve"> per cent). A very small proportion (</w:t>
      </w:r>
      <w:r w:rsidR="00131711">
        <w:rPr>
          <w:lang w:eastAsia="en-NZ"/>
        </w:rPr>
        <w:t>two</w:t>
      </w:r>
      <w:r w:rsidRPr="00681D93">
        <w:rPr>
          <w:lang w:eastAsia="en-NZ"/>
        </w:rPr>
        <w:t xml:space="preserve"> per cent) of respondents </w:t>
      </w:r>
      <w:r>
        <w:rPr>
          <w:lang w:eastAsia="en-NZ"/>
        </w:rPr>
        <w:t>did not provide an answer.</w:t>
      </w:r>
    </w:p>
    <w:p w14:paraId="58025626" w14:textId="6B9BF4A6" w:rsidR="00367735" w:rsidRPr="00895EE0" w:rsidRDefault="00681D93" w:rsidP="00895EE0">
      <w:pPr>
        <w:rPr>
          <w:lang w:eastAsia="en-NZ"/>
        </w:rPr>
      </w:pPr>
      <w:r w:rsidRPr="00681D93">
        <w:rPr>
          <w:lang w:eastAsia="en-NZ"/>
        </w:rPr>
        <w:t>We asked respondents wh</w:t>
      </w:r>
      <w:r>
        <w:rPr>
          <w:lang w:eastAsia="en-NZ"/>
        </w:rPr>
        <w:t xml:space="preserve">o answered yes to question </w:t>
      </w:r>
      <w:r w:rsidR="00131711">
        <w:rPr>
          <w:lang w:eastAsia="en-NZ"/>
        </w:rPr>
        <w:t>13</w:t>
      </w:r>
      <w:r>
        <w:rPr>
          <w:lang w:eastAsia="en-NZ"/>
        </w:rPr>
        <w:t xml:space="preserve"> </w:t>
      </w:r>
      <w:r w:rsidRPr="00681D93">
        <w:rPr>
          <w:lang w:eastAsia="en-NZ"/>
        </w:rPr>
        <w:t>to provide information about their experienc</w:t>
      </w:r>
      <w:r>
        <w:rPr>
          <w:lang w:eastAsia="en-NZ"/>
        </w:rPr>
        <w:t xml:space="preserve">es of </w:t>
      </w:r>
      <w:r w:rsidR="00131711">
        <w:rPr>
          <w:lang w:eastAsia="en-NZ"/>
        </w:rPr>
        <w:t>using the website</w:t>
      </w:r>
      <w:r>
        <w:rPr>
          <w:lang w:eastAsia="en-NZ"/>
        </w:rPr>
        <w:t xml:space="preserve"> (questions 14 to 16</w:t>
      </w:r>
      <w:r w:rsidRPr="00681D93">
        <w:rPr>
          <w:lang w:eastAsia="en-NZ"/>
        </w:rPr>
        <w:t xml:space="preserve">).  </w:t>
      </w:r>
    </w:p>
    <w:p w14:paraId="08B022A6" w14:textId="77777777" w:rsidR="003247D2" w:rsidRDefault="003247D2" w:rsidP="008857AD">
      <w:pPr>
        <w:pStyle w:val="Bullet"/>
        <w:numPr>
          <w:ilvl w:val="0"/>
          <w:numId w:val="0"/>
        </w:numPr>
        <w:rPr>
          <w:b/>
        </w:rPr>
      </w:pPr>
    </w:p>
    <w:p w14:paraId="32D9AE4F" w14:textId="6CAFD089" w:rsidR="0012266C" w:rsidRPr="00C4059A" w:rsidRDefault="002F56B1">
      <w:pPr>
        <w:pStyle w:val="Bullet"/>
        <w:numPr>
          <w:ilvl w:val="0"/>
          <w:numId w:val="0"/>
        </w:numPr>
        <w:rPr>
          <w:b/>
        </w:rPr>
      </w:pPr>
      <w:r w:rsidRPr="00C4059A">
        <w:rPr>
          <w:b/>
        </w:rPr>
        <w:t>Question 14: How easy was it to find the information you were looking for on the Department’s website?</w:t>
      </w:r>
    </w:p>
    <w:p w14:paraId="732FCB9F" w14:textId="3D9D563E" w:rsidR="002F56B1" w:rsidRPr="00C4059A" w:rsidRDefault="002F56B1">
      <w:pPr>
        <w:pStyle w:val="Bullet"/>
        <w:numPr>
          <w:ilvl w:val="0"/>
          <w:numId w:val="0"/>
        </w:numPr>
        <w:rPr>
          <w:b/>
        </w:rPr>
      </w:pPr>
      <w:r w:rsidRPr="00C4059A">
        <w:rPr>
          <w:b/>
        </w:rPr>
        <w:t>Question 15: How simple was it to understand the information on the Department’s website?</w:t>
      </w:r>
    </w:p>
    <w:p w14:paraId="6B0D5BD7" w14:textId="0F415430" w:rsidR="00681D93" w:rsidRPr="00681D93" w:rsidRDefault="00681D93" w:rsidP="002F56B1">
      <w:pPr>
        <w:pStyle w:val="Bullet"/>
        <w:numPr>
          <w:ilvl w:val="0"/>
          <w:numId w:val="0"/>
        </w:numPr>
      </w:pPr>
      <w:r w:rsidRPr="00681D93">
        <w:t>Those responde</w:t>
      </w:r>
      <w:r>
        <w:t>nts who had used our website to gain</w:t>
      </w:r>
      <w:r w:rsidRPr="00681D93">
        <w:t xml:space="preserve"> information about gambling in the past 12 months were asked to answer these questions about their experiences accessing and understanding the information. </w:t>
      </w:r>
    </w:p>
    <w:p w14:paraId="4DC19284" w14:textId="5EEEE1BC" w:rsidR="00681D93" w:rsidRPr="00681D93" w:rsidRDefault="00681D93" w:rsidP="002F56B1">
      <w:pPr>
        <w:pStyle w:val="Bullet"/>
        <w:numPr>
          <w:ilvl w:val="0"/>
          <w:numId w:val="0"/>
        </w:numPr>
      </w:pPr>
      <w:r w:rsidRPr="00681D93">
        <w:lastRenderedPageBreak/>
        <w:t>These questions have been grouped to evaluate the overall usefulness of accessing information on the Department’s website.</w:t>
      </w:r>
    </w:p>
    <w:p w14:paraId="2FE004B7" w14:textId="71B11623" w:rsidR="00367735" w:rsidRPr="00C4059A" w:rsidRDefault="00681D93">
      <w:pPr>
        <w:pStyle w:val="Bullet"/>
        <w:numPr>
          <w:ilvl w:val="0"/>
          <w:numId w:val="0"/>
        </w:numPr>
        <w:rPr>
          <w:b/>
        </w:rPr>
      </w:pPr>
      <w:r w:rsidRPr="00C4059A">
        <w:rPr>
          <w:b/>
        </w:rPr>
        <w:t>Figure 8: Information on the Department’s website</w:t>
      </w:r>
      <w:r w:rsidR="00367735">
        <w:rPr>
          <w:noProof/>
          <w:lang w:eastAsia="en-NZ"/>
        </w:rPr>
        <w:drawing>
          <wp:inline distT="0" distB="0" distL="0" distR="0" wp14:anchorId="10909B15" wp14:editId="4CA4FA6E">
            <wp:extent cx="5762847" cy="3083442"/>
            <wp:effectExtent l="0" t="0" r="0" b="3175"/>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5847238B" w14:textId="5335C8E3" w:rsidR="00681D93" w:rsidRPr="00681D93" w:rsidRDefault="00681D93" w:rsidP="002F56B1">
      <w:pPr>
        <w:pStyle w:val="Bullet"/>
        <w:numPr>
          <w:ilvl w:val="0"/>
          <w:numId w:val="0"/>
        </w:numPr>
      </w:pPr>
      <w:r w:rsidRPr="00681D93">
        <w:t>Figure 8 shows the percentages for the ratings of access</w:t>
      </w:r>
      <w:r w:rsidR="00895EE0">
        <w:t>ing</w:t>
      </w:r>
      <w:r w:rsidRPr="00681D93">
        <w:t xml:space="preserve"> and understand</w:t>
      </w:r>
      <w:r w:rsidR="00895EE0">
        <w:t>ing</w:t>
      </w:r>
      <w:r w:rsidRPr="00681D93">
        <w:t xml:space="preserve"> information</w:t>
      </w:r>
      <w:r w:rsidR="00367735">
        <w:t>.</w:t>
      </w:r>
    </w:p>
    <w:p w14:paraId="4634AED1" w14:textId="590562A3" w:rsidR="00681D93" w:rsidRPr="00C4059A" w:rsidRDefault="00367735" w:rsidP="00C4059A">
      <w:pPr>
        <w:pStyle w:val="Bullet"/>
        <w:numPr>
          <w:ilvl w:val="0"/>
          <w:numId w:val="0"/>
        </w:numPr>
        <w:spacing w:before="120" w:after="240"/>
        <w:rPr>
          <w:rFonts w:eastAsia="Calibri" w:cs="Calibri"/>
          <w:color w:val="000000"/>
          <w:bdr w:val="nil"/>
          <w:lang w:val="en-US" w:eastAsia="en-NZ"/>
        </w:rPr>
      </w:pPr>
      <w:r w:rsidRPr="00C4059A">
        <w:rPr>
          <w:rFonts w:eastAsia="Calibri" w:cs="Calibri"/>
          <w:color w:val="000000"/>
          <w:bdr w:val="nil"/>
          <w:lang w:val="en-US" w:eastAsia="en-NZ"/>
        </w:rPr>
        <w:t xml:space="preserve">Sixty-six per cent of the respondents found it either very easy or easy to find information on the Department’s website. Unfortunately </w:t>
      </w:r>
      <w:r w:rsidR="00131711" w:rsidRPr="00C4059A">
        <w:rPr>
          <w:rFonts w:eastAsia="Calibri" w:cs="Calibri"/>
          <w:color w:val="000000"/>
          <w:bdr w:val="nil"/>
          <w:lang w:val="en-US" w:eastAsia="en-NZ"/>
        </w:rPr>
        <w:t>10</w:t>
      </w:r>
      <w:r w:rsidR="00895EE0" w:rsidRPr="00C4059A">
        <w:rPr>
          <w:rFonts w:eastAsia="Calibri" w:cs="Calibri"/>
          <w:color w:val="000000"/>
          <w:bdr w:val="nil"/>
          <w:lang w:val="en-US" w:eastAsia="en-NZ"/>
        </w:rPr>
        <w:t xml:space="preserve"> per cent of respondents </w:t>
      </w:r>
      <w:r w:rsidRPr="00C4059A">
        <w:rPr>
          <w:rFonts w:eastAsia="Calibri" w:cs="Calibri"/>
          <w:color w:val="000000"/>
          <w:bdr w:val="nil"/>
          <w:lang w:val="en-US" w:eastAsia="en-NZ"/>
        </w:rPr>
        <w:t>found it difficult or very difficult</w:t>
      </w:r>
      <w:r w:rsidR="00895EE0" w:rsidRPr="00C4059A">
        <w:rPr>
          <w:rFonts w:eastAsia="Calibri" w:cs="Calibri"/>
          <w:color w:val="000000"/>
          <w:bdr w:val="nil"/>
          <w:lang w:val="en-US" w:eastAsia="en-NZ"/>
        </w:rPr>
        <w:t xml:space="preserve"> to find information</w:t>
      </w:r>
      <w:r w:rsidRPr="00C4059A">
        <w:rPr>
          <w:rFonts w:eastAsia="Calibri" w:cs="Calibri"/>
          <w:color w:val="000000"/>
          <w:bdr w:val="nil"/>
          <w:lang w:val="en-US" w:eastAsia="en-NZ"/>
        </w:rPr>
        <w:t>.</w:t>
      </w:r>
    </w:p>
    <w:p w14:paraId="1BFC2FEE" w14:textId="00AB7A3D" w:rsidR="00681D93" w:rsidRPr="00C4059A" w:rsidRDefault="00367735" w:rsidP="00C4059A">
      <w:pPr>
        <w:pStyle w:val="Bullet"/>
        <w:numPr>
          <w:ilvl w:val="0"/>
          <w:numId w:val="0"/>
        </w:numPr>
        <w:spacing w:before="120" w:after="240"/>
        <w:rPr>
          <w:b/>
          <w:highlight w:val="red"/>
        </w:rPr>
      </w:pPr>
      <w:r w:rsidRPr="00C4059A">
        <w:rPr>
          <w:rFonts w:eastAsia="Calibri" w:cs="Calibri"/>
          <w:color w:val="000000"/>
          <w:bdr w:val="nil"/>
          <w:lang w:val="en-US" w:eastAsia="en-NZ"/>
        </w:rPr>
        <w:t>Seventy-six per cent of the respondents found it either very easy or easy to understand the information that they found on the Department’s website. Only a small percentage (</w:t>
      </w:r>
      <w:r w:rsidR="00131711" w:rsidRPr="00C4059A">
        <w:rPr>
          <w:rFonts w:eastAsia="Calibri" w:cs="Calibri"/>
          <w:color w:val="000000"/>
          <w:bdr w:val="nil"/>
          <w:lang w:val="en-US" w:eastAsia="en-NZ"/>
        </w:rPr>
        <w:t>six</w:t>
      </w:r>
      <w:r w:rsidRPr="00C4059A">
        <w:rPr>
          <w:rFonts w:eastAsia="Calibri" w:cs="Calibri"/>
          <w:color w:val="000000"/>
          <w:bdr w:val="nil"/>
          <w:lang w:val="en-US" w:eastAsia="en-NZ"/>
        </w:rPr>
        <w:t xml:space="preserve"> per cent) found it difficult o</w:t>
      </w:r>
      <w:r w:rsidR="00131711" w:rsidRPr="00C4059A">
        <w:rPr>
          <w:rFonts w:eastAsia="Calibri" w:cs="Calibri"/>
          <w:color w:val="000000"/>
          <w:bdr w:val="nil"/>
          <w:lang w:val="en-US" w:eastAsia="en-NZ"/>
        </w:rPr>
        <w:t>r</w:t>
      </w:r>
      <w:r w:rsidRPr="00C4059A">
        <w:rPr>
          <w:rFonts w:eastAsia="Calibri" w:cs="Calibri"/>
          <w:color w:val="000000"/>
          <w:bdr w:val="nil"/>
          <w:lang w:val="en-US" w:eastAsia="en-NZ"/>
        </w:rPr>
        <w:t xml:space="preserve"> very difficult to understand this information.</w:t>
      </w:r>
    </w:p>
    <w:p w14:paraId="0D1DA680" w14:textId="4589422F" w:rsidR="00895EE0" w:rsidRPr="00895EE0" w:rsidRDefault="00895EE0" w:rsidP="002F56B1">
      <w:pPr>
        <w:pStyle w:val="Bullet"/>
        <w:numPr>
          <w:ilvl w:val="0"/>
          <w:numId w:val="0"/>
        </w:numPr>
        <w:rPr>
          <w:b/>
          <w:highlight w:val="red"/>
        </w:rPr>
      </w:pPr>
    </w:p>
    <w:p w14:paraId="0192B3F6" w14:textId="11534D99" w:rsidR="002F56B1" w:rsidRPr="00C4059A" w:rsidRDefault="002F56B1">
      <w:pPr>
        <w:pStyle w:val="Bullet"/>
        <w:numPr>
          <w:ilvl w:val="0"/>
          <w:numId w:val="0"/>
        </w:numPr>
        <w:rPr>
          <w:b/>
        </w:rPr>
      </w:pPr>
      <w:r w:rsidRPr="00C4059A">
        <w:rPr>
          <w:b/>
        </w:rPr>
        <w:t>Question 16: If you have specific comments of suggestions on how the Department can improve the webpages, please provide them here.</w:t>
      </w:r>
    </w:p>
    <w:p w14:paraId="3DBCDC11" w14:textId="1A5A4F13" w:rsidR="00895EE0" w:rsidRDefault="00895EE0" w:rsidP="00895EE0">
      <w:r>
        <w:t xml:space="preserve">Sixteen respondents provided comments in response to this question. The majority of these comments related to the structure or format of the website. </w:t>
      </w:r>
      <w:r w:rsidR="003552A2">
        <w:t xml:space="preserve">A sample of the comments is provided </w:t>
      </w:r>
      <w:r>
        <w:t>(4/16):</w:t>
      </w:r>
    </w:p>
    <w:p w14:paraId="300BA001" w14:textId="12C3CCF4" w:rsidR="00895EE0" w:rsidRDefault="00895EE0" w:rsidP="009B18E2">
      <w:pPr>
        <w:ind w:left="567"/>
      </w:pPr>
      <w:r>
        <w:t>“</w:t>
      </w:r>
      <w:r w:rsidRPr="00895EE0">
        <w:t>There's a lot of really useful information up on the DIA website and I think I am so used to using it that I know where everything is now. I like the front 'gaming statistics' landing page as it clearly direct</w:t>
      </w:r>
      <w:r>
        <w:t>s you to where you need to go.”</w:t>
      </w:r>
    </w:p>
    <w:p w14:paraId="29E38B56" w14:textId="6F8FB7E5" w:rsidR="002F56B1" w:rsidRDefault="00895EE0" w:rsidP="009B18E2">
      <w:pPr>
        <w:ind w:firstLine="567"/>
      </w:pPr>
      <w:r>
        <w:t>“</w:t>
      </w:r>
      <w:r w:rsidRPr="00895EE0">
        <w:t>It seems to be a complicated exercise to get to the area where information is listed.</w:t>
      </w:r>
      <w:r>
        <w:t>”</w:t>
      </w:r>
    </w:p>
    <w:p w14:paraId="188CE090" w14:textId="7E92F278" w:rsidR="00895EE0" w:rsidRDefault="00895EE0" w:rsidP="009B18E2">
      <w:pPr>
        <w:ind w:left="567"/>
      </w:pPr>
      <w:r>
        <w:t>“</w:t>
      </w:r>
      <w:r w:rsidRPr="00895EE0">
        <w:t>It can sometimes be difficult to find the information required via the website.  The search function is not very useful.</w:t>
      </w:r>
      <w:r>
        <w:t>”</w:t>
      </w:r>
    </w:p>
    <w:p w14:paraId="1E13F461" w14:textId="0E56A5DC" w:rsidR="00895EE0" w:rsidRDefault="00895EE0" w:rsidP="009B18E2">
      <w:pPr>
        <w:ind w:left="567"/>
      </w:pPr>
      <w:r>
        <w:t>“</w:t>
      </w:r>
      <w:r w:rsidRPr="00895EE0">
        <w:t>Once you have used it and understand the format it</w:t>
      </w:r>
      <w:r>
        <w:t>’</w:t>
      </w:r>
      <w:r w:rsidRPr="00895EE0">
        <w:t>s OK, but maybe not for first time users.</w:t>
      </w:r>
      <w:r>
        <w:t>”</w:t>
      </w:r>
    </w:p>
    <w:p w14:paraId="7F9DE458" w14:textId="2AE6EC7B" w:rsidR="001122A6" w:rsidRPr="00C4059A" w:rsidRDefault="001122A6">
      <w:pPr>
        <w:pStyle w:val="Bullet"/>
        <w:numPr>
          <w:ilvl w:val="0"/>
          <w:numId w:val="0"/>
        </w:numPr>
        <w:rPr>
          <w:b/>
        </w:rPr>
      </w:pPr>
      <w:r w:rsidRPr="00C4059A">
        <w:rPr>
          <w:b/>
        </w:rPr>
        <w:lastRenderedPageBreak/>
        <w:t>Question 1</w:t>
      </w:r>
      <w:r w:rsidR="002F56B1" w:rsidRPr="00C4059A">
        <w:rPr>
          <w:b/>
        </w:rPr>
        <w:t>7</w:t>
      </w:r>
      <w:r w:rsidRPr="00C4059A">
        <w:rPr>
          <w:b/>
        </w:rPr>
        <w:t>: If you have any comments about how the D</w:t>
      </w:r>
      <w:r w:rsidR="003A1585" w:rsidRPr="00C4059A">
        <w:rPr>
          <w:b/>
        </w:rPr>
        <w:t>epartment</w:t>
      </w:r>
      <w:r w:rsidRPr="00C4059A">
        <w:rPr>
          <w:b/>
        </w:rPr>
        <w:t xml:space="preserve"> communicates information to the gambling sector and/or the content of information provided please add them here.</w:t>
      </w:r>
    </w:p>
    <w:p w14:paraId="78139120" w14:textId="076DCA0A" w:rsidR="00801DC4" w:rsidRPr="00C4059A" w:rsidRDefault="00801DC4" w:rsidP="00C4059A">
      <w:pPr>
        <w:pStyle w:val="Bullet"/>
        <w:numPr>
          <w:ilvl w:val="0"/>
          <w:numId w:val="0"/>
        </w:numPr>
        <w:spacing w:before="120" w:after="240"/>
        <w:rPr>
          <w:rFonts w:eastAsia="Calibri" w:cs="Calibri"/>
          <w:color w:val="000000"/>
          <w:bdr w:val="nil"/>
          <w:lang w:val="en-US" w:eastAsia="en-NZ"/>
        </w:rPr>
      </w:pPr>
      <w:r w:rsidRPr="00C4059A">
        <w:rPr>
          <w:rFonts w:eastAsia="Calibri" w:cs="Calibri"/>
          <w:color w:val="000000"/>
          <w:bdr w:val="nil"/>
          <w:lang w:val="en-US" w:eastAsia="en-NZ"/>
        </w:rPr>
        <w:t>In general the comments</w:t>
      </w:r>
      <w:r w:rsidR="006A2546" w:rsidRPr="00C4059A">
        <w:rPr>
          <w:rFonts w:eastAsia="Calibri" w:cs="Calibri"/>
          <w:color w:val="000000"/>
          <w:bdr w:val="nil"/>
          <w:lang w:val="en-US" w:eastAsia="en-NZ"/>
        </w:rPr>
        <w:t xml:space="preserve"> highlighted that</w:t>
      </w:r>
      <w:r w:rsidR="00B44FEF" w:rsidRPr="00C4059A">
        <w:rPr>
          <w:rFonts w:eastAsia="Calibri" w:cs="Calibri"/>
          <w:color w:val="000000"/>
          <w:bdr w:val="nil"/>
          <w:lang w:val="en-US" w:eastAsia="en-NZ"/>
        </w:rPr>
        <w:t xml:space="preserve"> stakeholders appreciate the number of forms that the Department provides information in, but that</w:t>
      </w:r>
      <w:r w:rsidR="006A2546" w:rsidRPr="00C4059A">
        <w:rPr>
          <w:rFonts w:eastAsia="Calibri" w:cs="Calibri"/>
          <w:color w:val="000000"/>
          <w:bdr w:val="nil"/>
          <w:lang w:val="en-US" w:eastAsia="en-NZ"/>
        </w:rPr>
        <w:t xml:space="preserve"> information could be clearer, especially for those with less knowledge of the</w:t>
      </w:r>
      <w:r w:rsidR="002F19A3" w:rsidRPr="00C4059A">
        <w:rPr>
          <w:rFonts w:eastAsia="Calibri" w:cs="Calibri"/>
          <w:color w:val="000000"/>
          <w:bdr w:val="nil"/>
          <w:lang w:val="en-US" w:eastAsia="en-NZ"/>
        </w:rPr>
        <w:t xml:space="preserve"> relevant</w:t>
      </w:r>
      <w:r w:rsidR="006A2546" w:rsidRPr="00C4059A">
        <w:rPr>
          <w:rFonts w:eastAsia="Calibri" w:cs="Calibri"/>
          <w:color w:val="000000"/>
          <w:bdr w:val="nil"/>
          <w:lang w:val="en-US" w:eastAsia="en-NZ"/>
        </w:rPr>
        <w:t xml:space="preserve"> legislation and regulations. </w:t>
      </w:r>
    </w:p>
    <w:p w14:paraId="7F9DE459" w14:textId="5BD9989F" w:rsidR="006407AB" w:rsidRPr="00C4059A" w:rsidRDefault="00275C07" w:rsidP="00C4059A">
      <w:pPr>
        <w:pStyle w:val="Bullet"/>
        <w:numPr>
          <w:ilvl w:val="0"/>
          <w:numId w:val="0"/>
        </w:numPr>
        <w:spacing w:before="120" w:after="240"/>
        <w:rPr>
          <w:rFonts w:eastAsia="Calibri" w:cs="Calibri"/>
          <w:color w:val="000000"/>
          <w:bdr w:val="nil"/>
          <w:lang w:val="en-US" w:eastAsia="en-NZ"/>
        </w:rPr>
      </w:pPr>
      <w:r w:rsidRPr="00C4059A">
        <w:rPr>
          <w:rFonts w:eastAsia="Calibri" w:cs="Calibri"/>
          <w:color w:val="000000"/>
          <w:bdr w:val="nil"/>
          <w:lang w:val="en-US" w:eastAsia="en-NZ"/>
        </w:rPr>
        <w:t>A</w:t>
      </w:r>
      <w:r w:rsidR="00B00561" w:rsidRPr="00C4059A">
        <w:rPr>
          <w:rFonts w:eastAsia="Calibri" w:cs="Calibri"/>
          <w:color w:val="000000"/>
          <w:bdr w:val="nil"/>
          <w:lang w:val="en-US" w:eastAsia="en-NZ"/>
        </w:rPr>
        <w:t xml:space="preserve"> </w:t>
      </w:r>
      <w:r w:rsidR="00EE3300" w:rsidRPr="00C4059A">
        <w:rPr>
          <w:rFonts w:eastAsia="Calibri" w:cs="Calibri"/>
          <w:color w:val="000000"/>
          <w:bdr w:val="nil"/>
          <w:lang w:val="en-US" w:eastAsia="en-NZ"/>
        </w:rPr>
        <w:t xml:space="preserve">sample </w:t>
      </w:r>
      <w:r w:rsidRPr="00C4059A">
        <w:rPr>
          <w:rFonts w:eastAsia="Calibri" w:cs="Calibri"/>
          <w:color w:val="000000"/>
          <w:bdr w:val="nil"/>
          <w:lang w:val="en-US" w:eastAsia="en-NZ"/>
        </w:rPr>
        <w:t xml:space="preserve">from the </w:t>
      </w:r>
      <w:r w:rsidR="00126DDF" w:rsidRPr="00C4059A">
        <w:rPr>
          <w:rFonts w:eastAsia="Calibri" w:cs="Calibri"/>
          <w:color w:val="000000"/>
          <w:bdr w:val="nil"/>
          <w:lang w:val="en-US" w:eastAsia="en-NZ"/>
        </w:rPr>
        <w:t xml:space="preserve">27 </w:t>
      </w:r>
      <w:r w:rsidR="00B00561" w:rsidRPr="00C4059A">
        <w:rPr>
          <w:rFonts w:eastAsia="Calibri" w:cs="Calibri"/>
          <w:color w:val="000000"/>
          <w:bdr w:val="nil"/>
          <w:lang w:val="en-US" w:eastAsia="en-NZ"/>
        </w:rPr>
        <w:t>comments received</w:t>
      </w:r>
      <w:r w:rsidRPr="00C4059A">
        <w:rPr>
          <w:rFonts w:eastAsia="Calibri" w:cs="Calibri"/>
          <w:color w:val="000000"/>
          <w:bdr w:val="nil"/>
          <w:lang w:val="en-US" w:eastAsia="en-NZ"/>
        </w:rPr>
        <w:t xml:space="preserve"> is provided</w:t>
      </w:r>
      <w:r w:rsidR="001122A6" w:rsidRPr="00C4059A">
        <w:rPr>
          <w:rFonts w:eastAsia="Calibri" w:cs="Calibri"/>
          <w:color w:val="000000"/>
          <w:bdr w:val="nil"/>
          <w:lang w:val="en-US" w:eastAsia="en-NZ"/>
        </w:rPr>
        <w:t xml:space="preserve"> </w:t>
      </w:r>
      <w:r w:rsidR="00B768E8" w:rsidRPr="00C4059A">
        <w:rPr>
          <w:rFonts w:eastAsia="Calibri" w:cs="Calibri"/>
          <w:color w:val="000000"/>
          <w:bdr w:val="nil"/>
          <w:lang w:val="en-US" w:eastAsia="en-NZ"/>
        </w:rPr>
        <w:t>(</w:t>
      </w:r>
      <w:r w:rsidR="00B44FEF" w:rsidRPr="00C4059A">
        <w:rPr>
          <w:rFonts w:eastAsia="Calibri" w:cs="Calibri"/>
          <w:color w:val="000000"/>
          <w:bdr w:val="nil"/>
          <w:lang w:val="en-US" w:eastAsia="en-NZ"/>
        </w:rPr>
        <w:t>4</w:t>
      </w:r>
      <w:r w:rsidR="001122A6" w:rsidRPr="00C4059A">
        <w:rPr>
          <w:rFonts w:eastAsia="Calibri" w:cs="Calibri"/>
          <w:color w:val="000000"/>
          <w:bdr w:val="nil"/>
          <w:lang w:val="en-US" w:eastAsia="en-NZ"/>
        </w:rPr>
        <w:t>/</w:t>
      </w:r>
      <w:r w:rsidR="00126DDF" w:rsidRPr="00C4059A">
        <w:rPr>
          <w:rFonts w:eastAsia="Calibri" w:cs="Calibri"/>
          <w:color w:val="000000"/>
          <w:bdr w:val="nil"/>
          <w:lang w:val="en-US" w:eastAsia="en-NZ"/>
        </w:rPr>
        <w:t>27</w:t>
      </w:r>
      <w:r w:rsidR="001122A6" w:rsidRPr="00C4059A">
        <w:rPr>
          <w:rFonts w:eastAsia="Calibri" w:cs="Calibri"/>
          <w:color w:val="000000"/>
          <w:bdr w:val="nil"/>
          <w:lang w:val="en-US" w:eastAsia="en-NZ"/>
        </w:rPr>
        <w:t>)</w:t>
      </w:r>
      <w:r w:rsidR="00B00561" w:rsidRPr="00C4059A">
        <w:rPr>
          <w:rFonts w:eastAsia="Calibri" w:cs="Calibri"/>
          <w:color w:val="000000"/>
          <w:bdr w:val="nil"/>
          <w:lang w:val="en-US" w:eastAsia="en-NZ"/>
        </w:rPr>
        <w:t>:</w:t>
      </w:r>
    </w:p>
    <w:p w14:paraId="7F9DE45B" w14:textId="256A1B16" w:rsidR="00B00561" w:rsidRPr="002F56B1" w:rsidRDefault="00B44FEF" w:rsidP="004B0567">
      <w:pPr>
        <w:pStyle w:val="Bullet"/>
        <w:numPr>
          <w:ilvl w:val="0"/>
          <w:numId w:val="0"/>
        </w:numPr>
        <w:spacing w:before="120" w:after="240"/>
        <w:ind w:left="567"/>
        <w:rPr>
          <w:highlight w:val="yellow"/>
        </w:rPr>
      </w:pPr>
      <w:r>
        <w:t>“</w:t>
      </w:r>
      <w:r w:rsidRPr="00B44FEF">
        <w:rPr>
          <w:lang w:val="en"/>
        </w:rPr>
        <w:t>We would prefer the Department was</w:t>
      </w:r>
      <w:r>
        <w:rPr>
          <w:lang w:val="en"/>
        </w:rPr>
        <w:t xml:space="preserve"> upfront and clear on matters.”</w:t>
      </w:r>
    </w:p>
    <w:p w14:paraId="1B23DC65" w14:textId="435F068A" w:rsidR="00DB3AD4" w:rsidRDefault="00DB3AD4" w:rsidP="004B0567">
      <w:pPr>
        <w:pStyle w:val="Bullet"/>
        <w:numPr>
          <w:ilvl w:val="0"/>
          <w:numId w:val="0"/>
        </w:numPr>
        <w:spacing w:before="120" w:after="240"/>
        <w:ind w:left="567"/>
      </w:pPr>
      <w:r>
        <w:t>“</w:t>
      </w:r>
      <w:r w:rsidRPr="00DB3AD4">
        <w:t>Always very efficient in response and the quality of the information provided is helpful</w:t>
      </w:r>
      <w:r>
        <w:t>”</w:t>
      </w:r>
    </w:p>
    <w:p w14:paraId="4539D5EA" w14:textId="55B84488" w:rsidR="00B44FEF" w:rsidRDefault="00B44FEF" w:rsidP="004B0567">
      <w:pPr>
        <w:pStyle w:val="Bullet"/>
        <w:numPr>
          <w:ilvl w:val="0"/>
          <w:numId w:val="0"/>
        </w:numPr>
        <w:spacing w:before="120" w:after="240"/>
        <w:ind w:left="567"/>
      </w:pPr>
      <w:r>
        <w:t>“</w:t>
      </w:r>
      <w:r w:rsidRPr="00B44FEF">
        <w:t>Generally the communication and information provided by DIA is good.  There are some issues where it would be valuable for DIA to engage with the sector</w:t>
      </w:r>
      <w:r>
        <w:t xml:space="preserve"> on projects at earlier stages … </w:t>
      </w:r>
      <w:r w:rsidRPr="00B44FEF">
        <w:t>to ensure sector input to test ideas.</w:t>
      </w:r>
      <w:r>
        <w:t>”</w:t>
      </w:r>
    </w:p>
    <w:p w14:paraId="7C8E4ACF" w14:textId="12155A73" w:rsidR="00DE3531" w:rsidRPr="00C4059A" w:rsidRDefault="00B44FEF" w:rsidP="00C4059A">
      <w:pPr>
        <w:pStyle w:val="Bullet"/>
        <w:numPr>
          <w:ilvl w:val="0"/>
          <w:numId w:val="0"/>
        </w:numPr>
        <w:spacing w:before="120" w:after="240"/>
        <w:ind w:left="567"/>
        <w:rPr>
          <w:rFonts w:ascii="Arial" w:eastAsia="Arial" w:hAnsi="Arial" w:cs="Arial"/>
          <w:b/>
          <w:bCs/>
          <w:color w:val="1F546B" w:themeColor="text2"/>
          <w:sz w:val="32"/>
          <w:szCs w:val="32"/>
        </w:rPr>
      </w:pPr>
      <w:r>
        <w:t>“</w:t>
      </w:r>
      <w:r w:rsidRPr="00B44FEF">
        <w:t>Website could be clearer in terms of being able to find relevant information</w:t>
      </w:r>
      <w:r>
        <w:t>”</w:t>
      </w:r>
      <w:r w:rsidR="00DE3531">
        <w:rPr>
          <w:color w:val="1F546B" w:themeColor="text2"/>
          <w:sz w:val="32"/>
          <w:szCs w:val="32"/>
        </w:rPr>
        <w:br w:type="page"/>
      </w:r>
    </w:p>
    <w:p w14:paraId="7F9DE45F" w14:textId="6FBC97CF" w:rsidR="001B1AB4" w:rsidRPr="0035486D" w:rsidRDefault="003D283C" w:rsidP="00401245">
      <w:pPr>
        <w:pStyle w:val="Heading2"/>
        <w:rPr>
          <w:color w:val="1F546B" w:themeColor="text2"/>
          <w:sz w:val="32"/>
          <w:szCs w:val="32"/>
        </w:rPr>
      </w:pPr>
      <w:bookmarkStart w:id="63" w:name="_Toc471392465"/>
      <w:bookmarkStart w:id="64" w:name="_Toc505862436"/>
      <w:r>
        <w:rPr>
          <w:color w:val="1F546B" w:themeColor="text2"/>
          <w:sz w:val="32"/>
          <w:szCs w:val="32"/>
        </w:rPr>
        <w:lastRenderedPageBreak/>
        <w:t>Approach to r</w:t>
      </w:r>
      <w:r w:rsidR="008109EB" w:rsidRPr="00D10B6A">
        <w:rPr>
          <w:color w:val="1F546B" w:themeColor="text2"/>
          <w:sz w:val="32"/>
          <w:szCs w:val="32"/>
        </w:rPr>
        <w:t>egulation</w:t>
      </w:r>
      <w:bookmarkEnd w:id="63"/>
      <w:bookmarkEnd w:id="64"/>
      <w:r w:rsidR="000F5BC8">
        <w:rPr>
          <w:color w:val="1F546B" w:themeColor="text2"/>
          <w:sz w:val="32"/>
          <w:szCs w:val="32"/>
        </w:rPr>
        <w:t xml:space="preserve"> </w:t>
      </w:r>
    </w:p>
    <w:p w14:paraId="7F9DE460" w14:textId="03F0CB2A" w:rsidR="001B1AB4" w:rsidRPr="00C4059A" w:rsidRDefault="001B1AB4" w:rsidP="00C4059A">
      <w:pPr>
        <w:pStyle w:val="Bullet"/>
        <w:numPr>
          <w:ilvl w:val="0"/>
          <w:numId w:val="0"/>
        </w:numPr>
        <w:spacing w:before="120" w:after="240"/>
        <w:rPr>
          <w:rFonts w:eastAsia="Calibri" w:cs="Calibri"/>
          <w:color w:val="000000"/>
          <w:bdr w:val="nil"/>
          <w:lang w:val="en-US" w:eastAsia="en-NZ"/>
        </w:rPr>
      </w:pPr>
      <w:r w:rsidRPr="00C4059A">
        <w:rPr>
          <w:rFonts w:eastAsia="Calibri" w:cs="Calibri"/>
          <w:color w:val="000000"/>
          <w:bdr w:val="nil"/>
          <w:lang w:val="en-US" w:eastAsia="en-NZ"/>
        </w:rPr>
        <w:t xml:space="preserve">We wanted to gauge </w:t>
      </w:r>
      <w:r w:rsidR="00573E16" w:rsidRPr="00C4059A">
        <w:rPr>
          <w:rFonts w:eastAsia="Calibri" w:cs="Calibri"/>
          <w:color w:val="000000"/>
          <w:bdr w:val="nil"/>
          <w:lang w:val="en-US" w:eastAsia="en-NZ"/>
        </w:rPr>
        <w:t xml:space="preserve">sector </w:t>
      </w:r>
      <w:r w:rsidR="00E141F0" w:rsidRPr="00C4059A">
        <w:rPr>
          <w:rFonts w:eastAsia="Calibri" w:cs="Calibri"/>
          <w:color w:val="000000"/>
          <w:bdr w:val="nil"/>
          <w:lang w:val="en-US" w:eastAsia="en-NZ"/>
        </w:rPr>
        <w:t xml:space="preserve">perceptions of </w:t>
      </w:r>
      <w:r w:rsidR="008C38C2" w:rsidRPr="00C4059A">
        <w:rPr>
          <w:rFonts w:eastAsia="Calibri" w:cs="Calibri"/>
          <w:color w:val="000000"/>
          <w:bdr w:val="nil"/>
          <w:lang w:val="en-US" w:eastAsia="en-NZ"/>
        </w:rPr>
        <w:t xml:space="preserve">our </w:t>
      </w:r>
      <w:r w:rsidR="00E141F0" w:rsidRPr="00C4059A">
        <w:rPr>
          <w:rFonts w:eastAsia="Calibri" w:cs="Calibri"/>
          <w:color w:val="000000"/>
          <w:bdr w:val="nil"/>
          <w:lang w:val="en-US" w:eastAsia="en-NZ"/>
        </w:rPr>
        <w:t>approaches</w:t>
      </w:r>
      <w:r w:rsidR="00B14F70" w:rsidRPr="00C4059A">
        <w:rPr>
          <w:rFonts w:eastAsia="Calibri" w:cs="Calibri"/>
          <w:color w:val="000000"/>
          <w:bdr w:val="nil"/>
          <w:lang w:val="en-US" w:eastAsia="en-NZ"/>
        </w:rPr>
        <w:t xml:space="preserve"> </w:t>
      </w:r>
      <w:r w:rsidR="008E5195" w:rsidRPr="00C4059A">
        <w:rPr>
          <w:rFonts w:eastAsia="Calibri" w:cs="Calibri"/>
          <w:color w:val="000000"/>
          <w:bdr w:val="nil"/>
          <w:lang w:val="en-US" w:eastAsia="en-NZ"/>
        </w:rPr>
        <w:t>to</w:t>
      </w:r>
      <w:r w:rsidR="00B14F70" w:rsidRPr="00C4059A">
        <w:rPr>
          <w:rFonts w:eastAsia="Calibri" w:cs="Calibri"/>
          <w:color w:val="000000"/>
          <w:bdr w:val="nil"/>
          <w:lang w:val="en-US" w:eastAsia="en-NZ"/>
        </w:rPr>
        <w:t xml:space="preserve"> some key areas for us as a</w:t>
      </w:r>
      <w:r w:rsidR="00D761EF" w:rsidRPr="00C4059A">
        <w:rPr>
          <w:rFonts w:eastAsia="Calibri" w:cs="Calibri"/>
          <w:color w:val="000000"/>
          <w:bdr w:val="nil"/>
          <w:lang w:val="en-US" w:eastAsia="en-NZ"/>
        </w:rPr>
        <w:t xml:space="preserve"> regulator</w:t>
      </w:r>
      <w:r w:rsidR="00573E16" w:rsidRPr="00C4059A">
        <w:rPr>
          <w:rFonts w:eastAsia="Calibri" w:cs="Calibri"/>
          <w:color w:val="000000"/>
          <w:bdr w:val="nil"/>
          <w:lang w:val="en-US" w:eastAsia="en-NZ"/>
        </w:rPr>
        <w:t>. The following three</w:t>
      </w:r>
      <w:r w:rsidR="00D761EF" w:rsidRPr="00C4059A">
        <w:rPr>
          <w:rFonts w:eastAsia="Calibri" w:cs="Calibri"/>
          <w:color w:val="000000"/>
          <w:bdr w:val="nil"/>
          <w:lang w:val="en-US" w:eastAsia="en-NZ"/>
        </w:rPr>
        <w:t xml:space="preserve"> questions </w:t>
      </w:r>
      <w:r w:rsidR="002F19A3" w:rsidRPr="00C4059A">
        <w:rPr>
          <w:rFonts w:eastAsia="Calibri" w:cs="Calibri"/>
          <w:color w:val="000000"/>
          <w:bdr w:val="nil"/>
          <w:lang w:val="en-US" w:eastAsia="en-NZ"/>
        </w:rPr>
        <w:t>relate to our vision for the sector</w:t>
      </w:r>
      <w:r w:rsidR="00D761EF" w:rsidRPr="00C4059A">
        <w:rPr>
          <w:rFonts w:eastAsia="Calibri" w:cs="Calibri"/>
          <w:color w:val="000000"/>
          <w:bdr w:val="nil"/>
          <w:lang w:val="en-US" w:eastAsia="en-NZ"/>
        </w:rPr>
        <w:t>.</w:t>
      </w:r>
    </w:p>
    <w:p w14:paraId="7F9DE462" w14:textId="099675C1" w:rsidR="006407AB" w:rsidRPr="00C4059A" w:rsidRDefault="00302D83">
      <w:pPr>
        <w:pStyle w:val="Bullet"/>
        <w:numPr>
          <w:ilvl w:val="0"/>
          <w:numId w:val="0"/>
        </w:numPr>
        <w:rPr>
          <w:b/>
        </w:rPr>
      </w:pPr>
      <w:r w:rsidRPr="00C4059A">
        <w:rPr>
          <w:b/>
        </w:rPr>
        <w:t>Question 1</w:t>
      </w:r>
      <w:r w:rsidR="002F56B1" w:rsidRPr="00C4059A">
        <w:rPr>
          <w:b/>
        </w:rPr>
        <w:t>8</w:t>
      </w:r>
      <w:r w:rsidR="006407AB" w:rsidRPr="00C4059A">
        <w:rPr>
          <w:b/>
        </w:rPr>
        <w:t xml:space="preserve">: </w:t>
      </w:r>
      <w:r w:rsidR="006407AB" w:rsidRPr="00401245">
        <w:t xml:space="preserve">To what extent do you agree that the sector is </w:t>
      </w:r>
      <w:r w:rsidR="006407AB" w:rsidRPr="00C4059A">
        <w:rPr>
          <w:b/>
        </w:rPr>
        <w:t>actively protecting gamblers and communities from gambling harm</w:t>
      </w:r>
      <w:r w:rsidR="006407AB" w:rsidRPr="00401245">
        <w:t>?</w:t>
      </w:r>
    </w:p>
    <w:p w14:paraId="7DC082EE" w14:textId="3C53024F" w:rsidR="000C04C7" w:rsidRPr="00C4059A" w:rsidRDefault="000C04C7">
      <w:pPr>
        <w:pStyle w:val="Bullet"/>
        <w:numPr>
          <w:ilvl w:val="0"/>
          <w:numId w:val="0"/>
        </w:numPr>
        <w:rPr>
          <w:b/>
        </w:rPr>
      </w:pPr>
      <w:r w:rsidRPr="00C4059A">
        <w:rPr>
          <w:b/>
        </w:rPr>
        <w:t>Question 1</w:t>
      </w:r>
      <w:r w:rsidR="002F56B1" w:rsidRPr="00C4059A">
        <w:rPr>
          <w:b/>
        </w:rPr>
        <w:t>9</w:t>
      </w:r>
      <w:r w:rsidRPr="00C4059A">
        <w:rPr>
          <w:b/>
        </w:rPr>
        <w:t xml:space="preserve">: </w:t>
      </w:r>
      <w:r w:rsidRPr="00401245">
        <w:t xml:space="preserve">To what extent do you agree that the sector is </w:t>
      </w:r>
      <w:r w:rsidRPr="00C4059A">
        <w:rPr>
          <w:b/>
        </w:rPr>
        <w:t>working constructively with the regulator to achieve compliance</w:t>
      </w:r>
      <w:r w:rsidRPr="00401245">
        <w:t>?</w:t>
      </w:r>
    </w:p>
    <w:p w14:paraId="3EED50D9" w14:textId="2B8139FB" w:rsidR="000C04C7" w:rsidRPr="00C4059A" w:rsidRDefault="002F56B1">
      <w:pPr>
        <w:pStyle w:val="Bullet"/>
        <w:numPr>
          <w:ilvl w:val="0"/>
          <w:numId w:val="0"/>
        </w:numPr>
        <w:rPr>
          <w:b/>
        </w:rPr>
      </w:pPr>
      <w:r w:rsidRPr="00C4059A">
        <w:rPr>
          <w:b/>
        </w:rPr>
        <w:t>Question 20</w:t>
      </w:r>
      <w:r w:rsidR="000C04C7" w:rsidRPr="00C4059A">
        <w:rPr>
          <w:b/>
        </w:rPr>
        <w:t xml:space="preserve">: </w:t>
      </w:r>
      <w:r w:rsidR="000C04C7" w:rsidRPr="00401245">
        <w:t xml:space="preserve">To what extent do you agree that the sector </w:t>
      </w:r>
      <w:r w:rsidR="000C04C7" w:rsidRPr="00C4059A">
        <w:rPr>
          <w:b/>
        </w:rPr>
        <w:t>maximises gambling returns to benefit community need</w:t>
      </w:r>
      <w:r w:rsidR="000C04C7" w:rsidRPr="00401245">
        <w:t>?</w:t>
      </w:r>
    </w:p>
    <w:p w14:paraId="6579D03C" w14:textId="77777777" w:rsidR="000C04C7" w:rsidRPr="00C44665" w:rsidRDefault="000C04C7" w:rsidP="003F6E7B">
      <w:pPr>
        <w:pStyle w:val="Bullet"/>
        <w:numPr>
          <w:ilvl w:val="0"/>
          <w:numId w:val="0"/>
        </w:numPr>
        <w:rPr>
          <w:b/>
        </w:rPr>
      </w:pPr>
    </w:p>
    <w:p w14:paraId="7F9DE463" w14:textId="700FFF9F" w:rsidR="001122A6" w:rsidRPr="00C4059A" w:rsidRDefault="004756AC" w:rsidP="00C4059A">
      <w:pPr>
        <w:pStyle w:val="Bullet"/>
        <w:numPr>
          <w:ilvl w:val="0"/>
          <w:numId w:val="0"/>
        </w:numPr>
        <w:spacing w:before="120" w:after="120"/>
        <w:rPr>
          <w:b/>
        </w:rPr>
      </w:pPr>
      <w:r w:rsidRPr="00C4059A">
        <w:rPr>
          <w:b/>
        </w:rPr>
        <w:t xml:space="preserve">Figure 8: </w:t>
      </w:r>
      <w:r w:rsidR="002F19A3" w:rsidRPr="00C4059A">
        <w:rPr>
          <w:b/>
        </w:rPr>
        <w:t xml:space="preserve">Vision statements </w:t>
      </w:r>
    </w:p>
    <w:p w14:paraId="7F9DE465" w14:textId="538ABB52" w:rsidR="00302D83" w:rsidRPr="00C4059A" w:rsidRDefault="008C3F3E" w:rsidP="00C4059A">
      <w:pPr>
        <w:pStyle w:val="Bullet"/>
        <w:numPr>
          <w:ilvl w:val="0"/>
          <w:numId w:val="0"/>
        </w:numPr>
        <w:spacing w:before="120" w:after="240"/>
        <w:rPr>
          <w:rFonts w:eastAsia="Calibri" w:cs="Calibri"/>
          <w:color w:val="000000"/>
          <w:bdr w:val="nil"/>
          <w:lang w:val="en-US" w:eastAsia="en-NZ"/>
        </w:rPr>
      </w:pPr>
      <w:r>
        <w:rPr>
          <w:noProof/>
          <w:lang w:eastAsia="en-NZ"/>
        </w:rPr>
        <w:drawing>
          <wp:inline distT="0" distB="0" distL="0" distR="0" wp14:anchorId="36D5E6D4" wp14:editId="313E17F9">
            <wp:extent cx="5762847" cy="3732028"/>
            <wp:effectExtent l="0" t="0" r="0"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r w:rsidR="000E4446" w:rsidRPr="00C4059A">
        <w:rPr>
          <w:rFonts w:eastAsia="Calibri" w:cs="Calibri"/>
          <w:color w:val="000000"/>
          <w:bdr w:val="nil"/>
          <w:lang w:val="en-US" w:eastAsia="en-NZ"/>
        </w:rPr>
        <w:t>Figure 8</w:t>
      </w:r>
      <w:r w:rsidR="00302D83" w:rsidRPr="00C4059A">
        <w:rPr>
          <w:rFonts w:eastAsia="Calibri" w:cs="Calibri"/>
          <w:color w:val="000000"/>
          <w:bdr w:val="nil"/>
          <w:lang w:val="en-US" w:eastAsia="en-NZ"/>
        </w:rPr>
        <w:t xml:space="preserve"> shows the </w:t>
      </w:r>
      <w:r w:rsidR="008F772A" w:rsidRPr="00C4059A">
        <w:rPr>
          <w:rFonts w:eastAsia="Calibri" w:cs="Calibri"/>
          <w:color w:val="000000"/>
          <w:bdr w:val="nil"/>
          <w:lang w:val="en-US" w:eastAsia="en-NZ"/>
        </w:rPr>
        <w:t xml:space="preserve">percentage </w:t>
      </w:r>
      <w:r w:rsidR="00302D83" w:rsidRPr="00C4059A">
        <w:rPr>
          <w:rFonts w:eastAsia="Calibri" w:cs="Calibri"/>
          <w:color w:val="000000"/>
          <w:bdr w:val="nil"/>
          <w:lang w:val="en-US" w:eastAsia="en-NZ"/>
        </w:rPr>
        <w:t xml:space="preserve">of selections for </w:t>
      </w:r>
      <w:r w:rsidR="00D85339" w:rsidRPr="00C4059A">
        <w:rPr>
          <w:rFonts w:eastAsia="Calibri" w:cs="Calibri"/>
          <w:color w:val="000000"/>
          <w:bdr w:val="nil"/>
          <w:lang w:val="en-US" w:eastAsia="en-NZ"/>
        </w:rPr>
        <w:t xml:space="preserve">each rating </w:t>
      </w:r>
      <w:r w:rsidR="00EE3300" w:rsidRPr="00C4059A">
        <w:rPr>
          <w:rFonts w:eastAsia="Calibri" w:cs="Calibri"/>
          <w:color w:val="000000"/>
          <w:bdr w:val="nil"/>
          <w:lang w:val="en-US" w:eastAsia="en-NZ"/>
        </w:rPr>
        <w:t>option</w:t>
      </w:r>
      <w:r w:rsidR="004756AC" w:rsidRPr="00C4059A">
        <w:rPr>
          <w:rFonts w:eastAsia="Calibri" w:cs="Calibri"/>
          <w:color w:val="000000"/>
          <w:bdr w:val="nil"/>
          <w:lang w:val="en-US" w:eastAsia="en-NZ"/>
        </w:rPr>
        <w:t xml:space="preserve"> for </w:t>
      </w:r>
      <w:r w:rsidR="009D2C8D" w:rsidRPr="00C4059A">
        <w:rPr>
          <w:rFonts w:eastAsia="Calibri" w:cs="Calibri"/>
          <w:color w:val="000000"/>
          <w:bdr w:val="nil"/>
          <w:lang w:val="en-US" w:eastAsia="en-NZ"/>
        </w:rPr>
        <w:t xml:space="preserve">all three questions </w:t>
      </w:r>
      <w:r w:rsidR="004756AC" w:rsidRPr="00C4059A">
        <w:rPr>
          <w:rFonts w:eastAsia="Calibri" w:cs="Calibri"/>
          <w:color w:val="000000"/>
          <w:bdr w:val="nil"/>
          <w:lang w:val="en-US" w:eastAsia="en-NZ"/>
        </w:rPr>
        <w:t>asked.</w:t>
      </w:r>
    </w:p>
    <w:p w14:paraId="077E9D0F" w14:textId="30CE7338" w:rsidR="00801DC4" w:rsidRPr="00C4059A" w:rsidRDefault="00801DC4" w:rsidP="00C4059A">
      <w:pPr>
        <w:pStyle w:val="Bullet"/>
        <w:numPr>
          <w:ilvl w:val="0"/>
          <w:numId w:val="0"/>
        </w:numPr>
        <w:spacing w:before="120" w:after="240"/>
        <w:rPr>
          <w:rFonts w:eastAsia="Calibri" w:cs="Calibri"/>
          <w:color w:val="000000"/>
          <w:bdr w:val="nil"/>
          <w:lang w:val="en-US" w:eastAsia="en-NZ"/>
        </w:rPr>
      </w:pPr>
      <w:r w:rsidRPr="00C4059A">
        <w:rPr>
          <w:rFonts w:eastAsia="Calibri" w:cs="Calibri"/>
          <w:color w:val="000000"/>
          <w:bdr w:val="nil"/>
          <w:lang w:val="en-US" w:eastAsia="en-NZ"/>
        </w:rPr>
        <w:t>In general responses were similar for all three questions.</w:t>
      </w:r>
    </w:p>
    <w:p w14:paraId="6965BD6A" w14:textId="7DB56C98" w:rsidR="00801DC4" w:rsidRPr="00C4059A" w:rsidRDefault="00801DC4" w:rsidP="00C4059A">
      <w:pPr>
        <w:pStyle w:val="Bullet"/>
        <w:numPr>
          <w:ilvl w:val="0"/>
          <w:numId w:val="0"/>
        </w:numPr>
        <w:spacing w:before="120" w:after="240"/>
        <w:rPr>
          <w:rFonts w:eastAsia="Calibri" w:cs="Calibri"/>
          <w:color w:val="000000"/>
          <w:highlight w:val="yellow"/>
          <w:bdr w:val="nil"/>
          <w:lang w:val="en-US" w:eastAsia="en-NZ"/>
        </w:rPr>
      </w:pPr>
      <w:r w:rsidRPr="00C4059A">
        <w:rPr>
          <w:rFonts w:eastAsia="Calibri" w:cs="Calibri"/>
          <w:color w:val="000000"/>
          <w:bdr w:val="nil"/>
          <w:lang w:val="en-US" w:eastAsia="en-NZ"/>
        </w:rPr>
        <w:t>The most positive responses related to the sector working constructively with the regulator to achieve compliance</w:t>
      </w:r>
      <w:r w:rsidR="008E5195" w:rsidRPr="00C4059A">
        <w:rPr>
          <w:rFonts w:eastAsia="Calibri" w:cs="Calibri"/>
          <w:color w:val="000000"/>
          <w:bdr w:val="nil"/>
          <w:lang w:val="en-US" w:eastAsia="en-NZ"/>
        </w:rPr>
        <w:t>,</w:t>
      </w:r>
      <w:r w:rsidRPr="00C4059A">
        <w:rPr>
          <w:rFonts w:eastAsia="Calibri" w:cs="Calibri"/>
          <w:color w:val="000000"/>
          <w:bdr w:val="nil"/>
          <w:lang w:val="en-US" w:eastAsia="en-NZ"/>
        </w:rPr>
        <w:t xml:space="preserve"> with 7</w:t>
      </w:r>
      <w:r w:rsidR="00075436" w:rsidRPr="00C4059A">
        <w:rPr>
          <w:rFonts w:eastAsia="Calibri" w:cs="Calibri"/>
          <w:color w:val="000000"/>
          <w:bdr w:val="nil"/>
          <w:lang w:val="en-US" w:eastAsia="en-NZ"/>
        </w:rPr>
        <w:t>2</w:t>
      </w:r>
      <w:r w:rsidR="00B1786D" w:rsidRPr="00C4059A">
        <w:rPr>
          <w:rFonts w:eastAsia="Calibri" w:cs="Calibri"/>
          <w:color w:val="000000"/>
          <w:bdr w:val="nil"/>
          <w:lang w:val="en-US" w:eastAsia="en-NZ"/>
        </w:rPr>
        <w:t xml:space="preserve"> per cent</w:t>
      </w:r>
      <w:r w:rsidRPr="00C4059A">
        <w:rPr>
          <w:rFonts w:eastAsia="Calibri" w:cs="Calibri"/>
          <w:color w:val="000000"/>
          <w:bdr w:val="nil"/>
          <w:lang w:val="en-US" w:eastAsia="en-NZ"/>
        </w:rPr>
        <w:t xml:space="preserve"> agreeing or strongly agreeing with this</w:t>
      </w:r>
      <w:r w:rsidR="00075436" w:rsidRPr="00C4059A">
        <w:rPr>
          <w:rFonts w:eastAsia="Calibri" w:cs="Calibri"/>
          <w:color w:val="000000"/>
          <w:bdr w:val="nil"/>
          <w:lang w:val="en-US" w:eastAsia="en-NZ"/>
        </w:rPr>
        <w:t xml:space="preserve"> statement. This compares with 70</w:t>
      </w:r>
      <w:r w:rsidR="00B1786D" w:rsidRPr="00C4059A">
        <w:rPr>
          <w:rFonts w:eastAsia="Calibri" w:cs="Calibri"/>
          <w:color w:val="000000"/>
          <w:bdr w:val="nil"/>
          <w:lang w:val="en-US" w:eastAsia="en-NZ"/>
        </w:rPr>
        <w:t xml:space="preserve"> per cent</w:t>
      </w:r>
      <w:r w:rsidRPr="00C4059A">
        <w:rPr>
          <w:rFonts w:eastAsia="Calibri" w:cs="Calibri"/>
          <w:color w:val="000000"/>
          <w:bdr w:val="nil"/>
          <w:lang w:val="en-US" w:eastAsia="en-NZ"/>
        </w:rPr>
        <w:t xml:space="preserve"> agreeing or strongly agreeing that the sector actively protects gamblers and commu</w:t>
      </w:r>
      <w:r w:rsidR="00075436" w:rsidRPr="00C4059A">
        <w:rPr>
          <w:rFonts w:eastAsia="Calibri" w:cs="Calibri"/>
          <w:color w:val="000000"/>
          <w:bdr w:val="nil"/>
          <w:lang w:val="en-US" w:eastAsia="en-NZ"/>
        </w:rPr>
        <w:t>nities from gambling harm, and 66</w:t>
      </w:r>
      <w:r w:rsidR="00B1786D" w:rsidRPr="00C4059A">
        <w:rPr>
          <w:rFonts w:eastAsia="Calibri" w:cs="Calibri"/>
          <w:color w:val="000000"/>
          <w:bdr w:val="nil"/>
          <w:lang w:val="en-US" w:eastAsia="en-NZ"/>
        </w:rPr>
        <w:t xml:space="preserve"> per cent</w:t>
      </w:r>
      <w:r w:rsidRPr="00C4059A">
        <w:rPr>
          <w:rFonts w:eastAsia="Calibri" w:cs="Calibri"/>
          <w:color w:val="000000"/>
          <w:bdr w:val="nil"/>
          <w:lang w:val="en-US" w:eastAsia="en-NZ"/>
        </w:rPr>
        <w:t xml:space="preserve"> agreeing or strongly agreeing that the sector </w:t>
      </w:r>
      <w:proofErr w:type="spellStart"/>
      <w:r w:rsidRPr="00C4059A">
        <w:rPr>
          <w:rFonts w:eastAsia="Calibri" w:cs="Calibri"/>
          <w:color w:val="000000"/>
          <w:bdr w:val="nil"/>
          <w:lang w:val="en-US" w:eastAsia="en-NZ"/>
        </w:rPr>
        <w:t>maximises</w:t>
      </w:r>
      <w:proofErr w:type="spellEnd"/>
      <w:r w:rsidRPr="00C4059A">
        <w:rPr>
          <w:rFonts w:eastAsia="Calibri" w:cs="Calibri"/>
          <w:color w:val="000000"/>
          <w:bdr w:val="nil"/>
          <w:lang w:val="en-US" w:eastAsia="en-NZ"/>
        </w:rPr>
        <w:t xml:space="preserve"> gambling returns to benefit community need.</w:t>
      </w:r>
    </w:p>
    <w:p w14:paraId="7078D302" w14:textId="29731910" w:rsidR="00801DC4" w:rsidRPr="00C4059A" w:rsidRDefault="00801DC4" w:rsidP="00C4059A">
      <w:pPr>
        <w:pStyle w:val="Bullet"/>
        <w:numPr>
          <w:ilvl w:val="0"/>
          <w:numId w:val="0"/>
        </w:numPr>
        <w:spacing w:before="120" w:after="240"/>
        <w:rPr>
          <w:rFonts w:eastAsia="Calibri" w:cs="Calibri"/>
          <w:color w:val="000000"/>
          <w:bdr w:val="nil"/>
          <w:lang w:val="en-US" w:eastAsia="en-NZ"/>
        </w:rPr>
      </w:pPr>
      <w:r w:rsidRPr="00C4059A">
        <w:rPr>
          <w:rFonts w:eastAsia="Calibri" w:cs="Calibri"/>
          <w:color w:val="000000"/>
          <w:bdr w:val="nil"/>
          <w:lang w:val="en-US" w:eastAsia="en-NZ"/>
        </w:rPr>
        <w:t xml:space="preserve">The highest percentage of </w:t>
      </w:r>
      <w:r w:rsidR="00A53AA2" w:rsidRPr="00C4059A">
        <w:rPr>
          <w:rFonts w:eastAsia="Calibri" w:cs="Calibri"/>
          <w:color w:val="000000"/>
          <w:bdr w:val="nil"/>
          <w:lang w:val="en-US" w:eastAsia="en-NZ"/>
        </w:rPr>
        <w:t>“</w:t>
      </w:r>
      <w:r w:rsidR="002F54F1" w:rsidRPr="00C4059A">
        <w:rPr>
          <w:rFonts w:eastAsia="Calibri" w:cs="Calibri"/>
          <w:color w:val="000000"/>
          <w:bdr w:val="nil"/>
          <w:lang w:val="en-US" w:eastAsia="en-NZ"/>
        </w:rPr>
        <w:t>disagree</w:t>
      </w:r>
      <w:r w:rsidR="00A53AA2" w:rsidRPr="00C4059A">
        <w:rPr>
          <w:rFonts w:eastAsia="Calibri" w:cs="Calibri"/>
          <w:color w:val="000000"/>
          <w:bdr w:val="nil"/>
          <w:lang w:val="en-US" w:eastAsia="en-NZ"/>
        </w:rPr>
        <w:t>”</w:t>
      </w:r>
      <w:r w:rsidR="002F54F1" w:rsidRPr="00C4059A">
        <w:rPr>
          <w:rFonts w:eastAsia="Calibri" w:cs="Calibri"/>
          <w:color w:val="000000"/>
          <w:bdr w:val="nil"/>
          <w:lang w:val="en-US" w:eastAsia="en-NZ"/>
        </w:rPr>
        <w:t xml:space="preserve"> or </w:t>
      </w:r>
      <w:r w:rsidR="00A53AA2" w:rsidRPr="00C4059A">
        <w:rPr>
          <w:rFonts w:eastAsia="Calibri" w:cs="Calibri"/>
          <w:color w:val="000000"/>
          <w:bdr w:val="nil"/>
          <w:lang w:val="en-US" w:eastAsia="en-NZ"/>
        </w:rPr>
        <w:t>“</w:t>
      </w:r>
      <w:r w:rsidR="002F54F1" w:rsidRPr="00C4059A">
        <w:rPr>
          <w:rFonts w:eastAsia="Calibri" w:cs="Calibri"/>
          <w:color w:val="000000"/>
          <w:bdr w:val="nil"/>
          <w:lang w:val="en-US" w:eastAsia="en-NZ"/>
        </w:rPr>
        <w:t>strongly disagree</w:t>
      </w:r>
      <w:r w:rsidR="00A53AA2" w:rsidRPr="00C4059A">
        <w:rPr>
          <w:rFonts w:eastAsia="Calibri" w:cs="Calibri"/>
          <w:color w:val="000000"/>
          <w:bdr w:val="nil"/>
          <w:lang w:val="en-US" w:eastAsia="en-NZ"/>
        </w:rPr>
        <w:t>”</w:t>
      </w:r>
      <w:r w:rsidR="002F54F1" w:rsidRPr="00C4059A">
        <w:rPr>
          <w:rFonts w:eastAsia="Calibri" w:cs="Calibri"/>
          <w:color w:val="000000"/>
          <w:bdr w:val="nil"/>
          <w:lang w:val="en-US" w:eastAsia="en-NZ"/>
        </w:rPr>
        <w:t xml:space="preserve"> responses related to </w:t>
      </w:r>
      <w:proofErr w:type="spellStart"/>
      <w:r w:rsidR="002F54F1" w:rsidRPr="00C4059A">
        <w:rPr>
          <w:rFonts w:eastAsia="Calibri" w:cs="Calibri"/>
          <w:color w:val="000000"/>
          <w:bdr w:val="nil"/>
          <w:lang w:val="en-US" w:eastAsia="en-NZ"/>
        </w:rPr>
        <w:t>maximising</w:t>
      </w:r>
      <w:proofErr w:type="spellEnd"/>
      <w:r w:rsidR="002F54F1" w:rsidRPr="00C4059A">
        <w:rPr>
          <w:rFonts w:eastAsia="Calibri" w:cs="Calibri"/>
          <w:color w:val="000000"/>
          <w:bdr w:val="nil"/>
          <w:lang w:val="en-US" w:eastAsia="en-NZ"/>
        </w:rPr>
        <w:t xml:space="preserve"> gambling retur</w:t>
      </w:r>
      <w:r w:rsidR="00075436" w:rsidRPr="00C4059A">
        <w:rPr>
          <w:rFonts w:eastAsia="Calibri" w:cs="Calibri"/>
          <w:color w:val="000000"/>
          <w:bdr w:val="nil"/>
          <w:lang w:val="en-US" w:eastAsia="en-NZ"/>
        </w:rPr>
        <w:t>ns to benefit community need (13</w:t>
      </w:r>
      <w:r w:rsidR="00B1786D" w:rsidRPr="00C4059A">
        <w:rPr>
          <w:rFonts w:eastAsia="Calibri" w:cs="Calibri"/>
          <w:color w:val="000000"/>
          <w:bdr w:val="nil"/>
          <w:lang w:val="en-US" w:eastAsia="en-NZ"/>
        </w:rPr>
        <w:t xml:space="preserve"> per cent</w:t>
      </w:r>
      <w:r w:rsidR="002F54F1" w:rsidRPr="00C4059A">
        <w:rPr>
          <w:rFonts w:eastAsia="Calibri" w:cs="Calibri"/>
          <w:color w:val="000000"/>
          <w:bdr w:val="nil"/>
          <w:lang w:val="en-US" w:eastAsia="en-NZ"/>
        </w:rPr>
        <w:t xml:space="preserve">). </w:t>
      </w:r>
      <w:r w:rsidR="00961114" w:rsidRPr="00C4059A">
        <w:rPr>
          <w:rFonts w:eastAsia="Calibri" w:cs="Calibri"/>
          <w:color w:val="000000"/>
          <w:bdr w:val="nil"/>
          <w:lang w:val="en-US" w:eastAsia="en-NZ"/>
        </w:rPr>
        <w:t xml:space="preserve">The majority of these responses (60 per cent) were from </w:t>
      </w:r>
      <w:r w:rsidR="00D60DEA">
        <w:rPr>
          <w:rFonts w:eastAsia="Calibri" w:cs="Calibri"/>
          <w:color w:val="000000"/>
          <w:bdr w:val="nil"/>
          <w:lang w:val="en-US" w:eastAsia="en-NZ"/>
        </w:rPr>
        <w:t>t</w:t>
      </w:r>
      <w:r w:rsidR="00D60DEA" w:rsidRPr="00C4059A">
        <w:rPr>
          <w:rFonts w:eastAsia="Calibri" w:cs="Calibri"/>
          <w:color w:val="000000"/>
          <w:bdr w:val="nil"/>
          <w:lang w:val="en-US" w:eastAsia="en-NZ"/>
        </w:rPr>
        <w:t xml:space="preserve">erritorial </w:t>
      </w:r>
      <w:r w:rsidR="00D60DEA">
        <w:rPr>
          <w:rFonts w:eastAsia="Calibri" w:cs="Calibri"/>
          <w:color w:val="000000"/>
          <w:bdr w:val="nil"/>
          <w:lang w:val="en-US" w:eastAsia="en-NZ"/>
        </w:rPr>
        <w:t>a</w:t>
      </w:r>
      <w:r w:rsidR="00D60DEA" w:rsidRPr="00C4059A">
        <w:rPr>
          <w:rFonts w:eastAsia="Calibri" w:cs="Calibri"/>
          <w:color w:val="000000"/>
          <w:bdr w:val="nil"/>
          <w:lang w:val="en-US" w:eastAsia="en-NZ"/>
        </w:rPr>
        <w:t>uthorities</w:t>
      </w:r>
      <w:r w:rsidR="00961114" w:rsidRPr="00C4059A">
        <w:rPr>
          <w:rFonts w:eastAsia="Calibri" w:cs="Calibri"/>
          <w:color w:val="000000"/>
          <w:bdr w:val="nil"/>
          <w:lang w:val="en-US" w:eastAsia="en-NZ"/>
        </w:rPr>
        <w:t>.</w:t>
      </w:r>
    </w:p>
    <w:p w14:paraId="0FEFF3CF" w14:textId="6A2EAC8A" w:rsidR="002F54F1" w:rsidRPr="00C4059A" w:rsidRDefault="00075436" w:rsidP="00C4059A">
      <w:pPr>
        <w:pStyle w:val="Bullet"/>
        <w:numPr>
          <w:ilvl w:val="0"/>
          <w:numId w:val="0"/>
        </w:numPr>
        <w:spacing w:before="120" w:after="240"/>
        <w:rPr>
          <w:rFonts w:eastAsia="Calibri" w:cs="Calibri"/>
          <w:color w:val="000000"/>
          <w:bdr w:val="nil"/>
          <w:lang w:val="en-US" w:eastAsia="en-NZ"/>
        </w:rPr>
      </w:pPr>
      <w:r w:rsidRPr="00C4059A">
        <w:rPr>
          <w:rFonts w:eastAsia="Calibri" w:cs="Calibri"/>
          <w:color w:val="000000"/>
          <w:bdr w:val="nil"/>
          <w:lang w:val="en-US" w:eastAsia="en-NZ"/>
        </w:rPr>
        <w:lastRenderedPageBreak/>
        <w:t xml:space="preserve">Responses to </w:t>
      </w:r>
      <w:r w:rsidR="002F54F1" w:rsidRPr="00C4059A">
        <w:rPr>
          <w:rFonts w:eastAsia="Calibri" w:cs="Calibri"/>
          <w:color w:val="000000"/>
          <w:bdr w:val="nil"/>
          <w:lang w:val="en-US" w:eastAsia="en-NZ"/>
        </w:rPr>
        <w:t>question</w:t>
      </w:r>
      <w:r w:rsidRPr="00C4059A">
        <w:rPr>
          <w:rFonts w:eastAsia="Calibri" w:cs="Calibri"/>
          <w:color w:val="000000"/>
          <w:bdr w:val="nil"/>
          <w:lang w:val="en-US" w:eastAsia="en-NZ"/>
        </w:rPr>
        <w:t>s 19 and 20</w:t>
      </w:r>
      <w:r w:rsidR="002F54F1" w:rsidRPr="00C4059A">
        <w:rPr>
          <w:rFonts w:eastAsia="Calibri" w:cs="Calibri"/>
          <w:color w:val="000000"/>
          <w:bdr w:val="nil"/>
          <w:lang w:val="en-US" w:eastAsia="en-NZ"/>
        </w:rPr>
        <w:t xml:space="preserve"> were mo</w:t>
      </w:r>
      <w:r w:rsidRPr="00C4059A">
        <w:rPr>
          <w:rFonts w:eastAsia="Calibri" w:cs="Calibri"/>
          <w:color w:val="000000"/>
          <w:bdr w:val="nil"/>
          <w:lang w:val="en-US" w:eastAsia="en-NZ"/>
        </w:rPr>
        <w:t>re positive than last year</w:t>
      </w:r>
      <w:r w:rsidR="00A53AA2" w:rsidRPr="00C4059A">
        <w:rPr>
          <w:rFonts w:eastAsia="Calibri" w:cs="Calibri"/>
          <w:color w:val="000000"/>
          <w:bdr w:val="nil"/>
          <w:lang w:val="en-US" w:eastAsia="en-NZ"/>
        </w:rPr>
        <w:t>. Both questions had a combined increase of over four per cent in the “</w:t>
      </w:r>
      <w:r w:rsidR="002F54F1" w:rsidRPr="00C4059A">
        <w:rPr>
          <w:rFonts w:eastAsia="Calibri" w:cs="Calibri"/>
          <w:color w:val="000000"/>
          <w:bdr w:val="nil"/>
          <w:lang w:val="en-US" w:eastAsia="en-NZ"/>
        </w:rPr>
        <w:t xml:space="preserve">agree </w:t>
      </w:r>
      <w:r w:rsidR="00A53AA2" w:rsidRPr="00C4059A">
        <w:rPr>
          <w:rFonts w:eastAsia="Calibri" w:cs="Calibri"/>
          <w:color w:val="000000"/>
          <w:bdr w:val="nil"/>
          <w:lang w:val="en-US" w:eastAsia="en-NZ"/>
        </w:rPr>
        <w:t>and “</w:t>
      </w:r>
      <w:r w:rsidR="002F54F1" w:rsidRPr="00C4059A">
        <w:rPr>
          <w:rFonts w:eastAsia="Calibri" w:cs="Calibri"/>
          <w:color w:val="000000"/>
          <w:bdr w:val="nil"/>
          <w:lang w:val="en-US" w:eastAsia="en-NZ"/>
        </w:rPr>
        <w:t>strongly agree</w:t>
      </w:r>
      <w:r w:rsidR="00A53AA2" w:rsidRPr="00C4059A">
        <w:rPr>
          <w:rFonts w:eastAsia="Calibri" w:cs="Calibri"/>
          <w:color w:val="000000"/>
          <w:bdr w:val="nil"/>
          <w:lang w:val="en-US" w:eastAsia="en-NZ"/>
        </w:rPr>
        <w:t>” categories</w:t>
      </w:r>
      <w:r w:rsidRPr="00C4059A">
        <w:rPr>
          <w:rFonts w:eastAsia="Calibri" w:cs="Calibri"/>
          <w:color w:val="000000"/>
          <w:bdr w:val="nil"/>
          <w:lang w:val="en-US" w:eastAsia="en-NZ"/>
        </w:rPr>
        <w:t>.</w:t>
      </w:r>
    </w:p>
    <w:p w14:paraId="4131D663" w14:textId="1B87462B" w:rsidR="00CF0C46" w:rsidRPr="00C4059A" w:rsidRDefault="00FA4005" w:rsidP="00C4059A">
      <w:pPr>
        <w:pStyle w:val="Bullet"/>
        <w:numPr>
          <w:ilvl w:val="0"/>
          <w:numId w:val="0"/>
        </w:numPr>
        <w:spacing w:before="120" w:after="240"/>
        <w:rPr>
          <w:rFonts w:eastAsia="Calibri" w:cs="Calibri"/>
          <w:color w:val="000000"/>
          <w:highlight w:val="yellow"/>
          <w:bdr w:val="nil"/>
          <w:lang w:val="en-US" w:eastAsia="en-NZ"/>
        </w:rPr>
      </w:pPr>
      <w:r w:rsidRPr="00C4059A">
        <w:rPr>
          <w:rFonts w:eastAsia="Calibri" w:cs="Calibri"/>
          <w:color w:val="000000"/>
          <w:bdr w:val="nil"/>
          <w:lang w:val="en-US" w:eastAsia="en-NZ"/>
        </w:rPr>
        <w:t>The opportunity to provide specific comments relating to these questions was offered.</w:t>
      </w:r>
      <w:r w:rsidR="00E71E35" w:rsidRPr="00C4059A">
        <w:rPr>
          <w:rFonts w:eastAsia="Calibri" w:cs="Calibri"/>
          <w:color w:val="000000"/>
          <w:bdr w:val="nil"/>
          <w:lang w:val="en-US" w:eastAsia="en-NZ"/>
        </w:rPr>
        <w:t xml:space="preserve"> </w:t>
      </w:r>
    </w:p>
    <w:p w14:paraId="59839F7C" w14:textId="611126EC" w:rsidR="004E47C9" w:rsidRPr="00C4059A" w:rsidRDefault="004E47C9">
      <w:pPr>
        <w:pStyle w:val="Bullet"/>
        <w:numPr>
          <w:ilvl w:val="0"/>
          <w:numId w:val="0"/>
        </w:numPr>
        <w:rPr>
          <w:b/>
        </w:rPr>
      </w:pPr>
      <w:r w:rsidRPr="00C4059A">
        <w:rPr>
          <w:b/>
        </w:rPr>
        <w:t>Gambling Harm</w:t>
      </w:r>
    </w:p>
    <w:p w14:paraId="73F38A64" w14:textId="7E1103DE" w:rsidR="004E47C9" w:rsidRPr="00C4059A" w:rsidRDefault="00E71E35" w:rsidP="00C4059A">
      <w:pPr>
        <w:pStyle w:val="Bullet"/>
        <w:numPr>
          <w:ilvl w:val="0"/>
          <w:numId w:val="0"/>
        </w:numPr>
        <w:spacing w:before="120" w:after="240"/>
        <w:rPr>
          <w:rFonts w:eastAsia="Calibri" w:cs="Calibri"/>
          <w:color w:val="000000"/>
          <w:bdr w:val="nil"/>
          <w:lang w:val="en-US" w:eastAsia="en-NZ"/>
        </w:rPr>
      </w:pPr>
      <w:r w:rsidRPr="00C4059A">
        <w:rPr>
          <w:rFonts w:eastAsia="Calibri" w:cs="Calibri"/>
          <w:color w:val="000000"/>
          <w:bdr w:val="nil"/>
          <w:lang w:val="en-US" w:eastAsia="en-NZ"/>
        </w:rPr>
        <w:t xml:space="preserve">Twenty five comments were received in relation to gambling harm. </w:t>
      </w:r>
      <w:r w:rsidR="004E47C9" w:rsidRPr="00C4059A">
        <w:rPr>
          <w:rFonts w:eastAsia="Calibri" w:cs="Calibri"/>
          <w:color w:val="000000"/>
          <w:bdr w:val="nil"/>
          <w:lang w:val="en-US" w:eastAsia="en-NZ"/>
        </w:rPr>
        <w:t>A number of comments referred to</w:t>
      </w:r>
      <w:r w:rsidR="00DA10ED" w:rsidRPr="00C4059A">
        <w:rPr>
          <w:rFonts w:eastAsia="Calibri" w:cs="Calibri"/>
          <w:color w:val="000000"/>
          <w:bdr w:val="nil"/>
          <w:lang w:val="en-US" w:eastAsia="en-NZ"/>
        </w:rPr>
        <w:t xml:space="preserve"> individual societies and venues having good tool</w:t>
      </w:r>
      <w:r w:rsidR="004E47C9" w:rsidRPr="00C4059A">
        <w:rPr>
          <w:rFonts w:eastAsia="Calibri" w:cs="Calibri"/>
          <w:color w:val="000000"/>
          <w:bdr w:val="nil"/>
          <w:lang w:val="en-US" w:eastAsia="en-NZ"/>
        </w:rPr>
        <w:t xml:space="preserve">s and support to </w:t>
      </w:r>
      <w:proofErr w:type="spellStart"/>
      <w:r w:rsidR="004E47C9" w:rsidRPr="00C4059A">
        <w:rPr>
          <w:rFonts w:eastAsia="Calibri" w:cs="Calibri"/>
          <w:color w:val="000000"/>
          <w:bdr w:val="nil"/>
          <w:lang w:val="en-US" w:eastAsia="en-NZ"/>
        </w:rPr>
        <w:t>minimise</w:t>
      </w:r>
      <w:proofErr w:type="spellEnd"/>
      <w:r w:rsidR="004E47C9" w:rsidRPr="00C4059A">
        <w:rPr>
          <w:rFonts w:eastAsia="Calibri" w:cs="Calibri"/>
          <w:color w:val="000000"/>
          <w:bdr w:val="nil"/>
          <w:lang w:val="en-US" w:eastAsia="en-NZ"/>
        </w:rPr>
        <w:t xml:space="preserve"> harm</w:t>
      </w:r>
      <w:r w:rsidR="00DA10ED" w:rsidRPr="00C4059A">
        <w:rPr>
          <w:rFonts w:eastAsia="Calibri" w:cs="Calibri"/>
          <w:color w:val="000000"/>
          <w:bdr w:val="nil"/>
          <w:lang w:val="en-US" w:eastAsia="en-NZ"/>
        </w:rPr>
        <w:t xml:space="preserve">. However, in general the comments referred to the </w:t>
      </w:r>
      <w:r w:rsidR="009B0B73" w:rsidRPr="00C4059A">
        <w:rPr>
          <w:rFonts w:eastAsia="Calibri" w:cs="Calibri"/>
          <w:color w:val="000000"/>
          <w:bdr w:val="nil"/>
          <w:lang w:val="en-US" w:eastAsia="en-NZ"/>
        </w:rPr>
        <w:t>sector</w:t>
      </w:r>
      <w:r w:rsidR="00DA10ED" w:rsidRPr="00C4059A">
        <w:rPr>
          <w:rFonts w:eastAsia="Calibri" w:cs="Calibri"/>
          <w:color w:val="000000"/>
          <w:bdr w:val="nil"/>
          <w:lang w:val="en-US" w:eastAsia="en-NZ"/>
        </w:rPr>
        <w:t xml:space="preserve"> as a whole still not doing enough to comply with obligati</w:t>
      </w:r>
      <w:r w:rsidR="00CF0C46" w:rsidRPr="00C4059A">
        <w:rPr>
          <w:rFonts w:eastAsia="Calibri" w:cs="Calibri"/>
          <w:color w:val="000000"/>
          <w:bdr w:val="nil"/>
          <w:lang w:val="en-US" w:eastAsia="en-NZ"/>
        </w:rPr>
        <w:t>ons on venues.</w:t>
      </w:r>
    </w:p>
    <w:p w14:paraId="789DA84F" w14:textId="613E0DA1" w:rsidR="00CF0C46" w:rsidRPr="00C4059A" w:rsidRDefault="00096F09" w:rsidP="00C4059A">
      <w:pPr>
        <w:pStyle w:val="Bullet"/>
        <w:numPr>
          <w:ilvl w:val="0"/>
          <w:numId w:val="0"/>
        </w:numPr>
        <w:spacing w:before="120" w:after="240"/>
        <w:rPr>
          <w:rFonts w:eastAsia="Calibri" w:cs="Calibri"/>
          <w:color w:val="000000"/>
          <w:bdr w:val="nil"/>
          <w:lang w:val="en-US" w:eastAsia="en-NZ"/>
        </w:rPr>
      </w:pPr>
      <w:r w:rsidRPr="00C4059A">
        <w:rPr>
          <w:rFonts w:eastAsia="Calibri" w:cs="Calibri"/>
          <w:color w:val="000000"/>
          <w:bdr w:val="nil"/>
          <w:lang w:val="en-US" w:eastAsia="en-NZ"/>
        </w:rPr>
        <w:t>A sample from the 25</w:t>
      </w:r>
      <w:r w:rsidR="00CF0C46" w:rsidRPr="00C4059A">
        <w:rPr>
          <w:rFonts w:eastAsia="Calibri" w:cs="Calibri"/>
          <w:color w:val="000000"/>
          <w:bdr w:val="nil"/>
          <w:lang w:val="en-US" w:eastAsia="en-NZ"/>
        </w:rPr>
        <w:t xml:space="preserve"> comments received is provided (</w:t>
      </w:r>
      <w:r w:rsidR="00A27748" w:rsidRPr="00C4059A">
        <w:rPr>
          <w:rFonts w:eastAsia="Calibri" w:cs="Calibri"/>
          <w:color w:val="000000"/>
          <w:bdr w:val="nil"/>
          <w:lang w:val="en-US" w:eastAsia="en-NZ"/>
        </w:rPr>
        <w:t>3</w:t>
      </w:r>
      <w:r w:rsidR="00CF0C46" w:rsidRPr="00C4059A">
        <w:rPr>
          <w:rFonts w:eastAsia="Calibri" w:cs="Calibri"/>
          <w:color w:val="000000"/>
          <w:bdr w:val="nil"/>
          <w:lang w:val="en-US" w:eastAsia="en-NZ"/>
        </w:rPr>
        <w:t>/2</w:t>
      </w:r>
      <w:r w:rsidRPr="00C4059A">
        <w:rPr>
          <w:rFonts w:eastAsia="Calibri" w:cs="Calibri"/>
          <w:color w:val="000000"/>
          <w:bdr w:val="nil"/>
          <w:lang w:val="en-US" w:eastAsia="en-NZ"/>
        </w:rPr>
        <w:t>5</w:t>
      </w:r>
      <w:r w:rsidR="00CF0C46" w:rsidRPr="00C4059A">
        <w:rPr>
          <w:rFonts w:eastAsia="Calibri" w:cs="Calibri"/>
          <w:color w:val="000000"/>
          <w:bdr w:val="nil"/>
          <w:lang w:val="en-US" w:eastAsia="en-NZ"/>
        </w:rPr>
        <w:t>):</w:t>
      </w:r>
    </w:p>
    <w:p w14:paraId="74A7558B" w14:textId="1B9E1D60" w:rsidR="00CF0C46" w:rsidRPr="00DA10ED" w:rsidRDefault="00CF0C46" w:rsidP="00096F09">
      <w:pPr>
        <w:pStyle w:val="Bullet"/>
        <w:numPr>
          <w:ilvl w:val="0"/>
          <w:numId w:val="0"/>
        </w:numPr>
        <w:spacing w:before="120" w:after="240"/>
        <w:ind w:left="567"/>
      </w:pPr>
      <w:r w:rsidRPr="00DA10ED">
        <w:t>“</w:t>
      </w:r>
      <w:r w:rsidR="00DA10ED" w:rsidRPr="00DA10ED">
        <w:t xml:space="preserve">The sector is working hard to actively protect gamblers and </w:t>
      </w:r>
      <w:r w:rsidR="00974AA4" w:rsidRPr="00DA10ED">
        <w:t>communities;</w:t>
      </w:r>
      <w:r w:rsidR="00DA10ED" w:rsidRPr="00DA10ED">
        <w:t xml:space="preserve"> it does however take time to develop skills in this complex area.</w:t>
      </w:r>
      <w:r w:rsidRPr="00DA10ED">
        <w:t>”</w:t>
      </w:r>
    </w:p>
    <w:p w14:paraId="6EA175CC" w14:textId="3B2B0F47" w:rsidR="00CF0C46" w:rsidRDefault="00CF0C46" w:rsidP="00BC48FE">
      <w:pPr>
        <w:pStyle w:val="Bullet"/>
        <w:numPr>
          <w:ilvl w:val="0"/>
          <w:numId w:val="0"/>
        </w:numPr>
        <w:spacing w:before="120" w:after="240"/>
        <w:ind w:left="567"/>
      </w:pPr>
      <w:r w:rsidRPr="00DA10ED">
        <w:t>“</w:t>
      </w:r>
      <w:r w:rsidR="00DA10ED" w:rsidRPr="00DA10ED">
        <w:t xml:space="preserve">The work being done within venues and in partnership with </w:t>
      </w:r>
      <w:r w:rsidR="00974AA4" w:rsidRPr="00DA10ED">
        <w:t>entities</w:t>
      </w:r>
      <w:r w:rsidR="00DA10ED" w:rsidRPr="00DA10ED">
        <w:t xml:space="preserve"> such as HPA and Salvation Army/Oasis is very proactive and it is easy to see progress.</w:t>
      </w:r>
      <w:r w:rsidRPr="00DA10ED">
        <w:t>”</w:t>
      </w:r>
    </w:p>
    <w:p w14:paraId="53DA8726" w14:textId="25751656" w:rsidR="00DA10ED" w:rsidRPr="00DA10ED" w:rsidRDefault="00DA10ED" w:rsidP="00BC48FE">
      <w:pPr>
        <w:pStyle w:val="Bullet"/>
        <w:numPr>
          <w:ilvl w:val="0"/>
          <w:numId w:val="0"/>
        </w:numPr>
        <w:spacing w:before="120" w:after="240"/>
        <w:ind w:left="567"/>
      </w:pPr>
      <w:r>
        <w:t>“</w:t>
      </w:r>
      <w:r w:rsidRPr="00DA10ED">
        <w:t xml:space="preserve">As much as I would like to believe that all operators have concern for gambling harm, I am not so sure </w:t>
      </w:r>
      <w:r>
        <w:t xml:space="preserve">… </w:t>
      </w:r>
      <w:r w:rsidRPr="00DA10ED">
        <w:t>especially when gaming can play such a significant role in revenue generating.</w:t>
      </w:r>
      <w:r>
        <w:t>”</w:t>
      </w:r>
    </w:p>
    <w:p w14:paraId="22885CA1" w14:textId="07D00EF5" w:rsidR="00CF0C46" w:rsidRPr="00C4059A" w:rsidRDefault="00096F09">
      <w:pPr>
        <w:pStyle w:val="Bullet"/>
        <w:numPr>
          <w:ilvl w:val="0"/>
          <w:numId w:val="0"/>
        </w:numPr>
        <w:rPr>
          <w:rFonts w:eastAsia="Calibri" w:cs="Calibri"/>
          <w:color w:val="000000"/>
          <w:bdr w:val="nil"/>
          <w:lang w:val="en-US" w:eastAsia="en-NZ"/>
        </w:rPr>
      </w:pPr>
      <w:r w:rsidRPr="00C4059A">
        <w:rPr>
          <w:rFonts w:eastAsia="Calibri" w:cs="Calibri"/>
          <w:color w:val="000000"/>
          <w:bdr w:val="nil"/>
          <w:lang w:val="en-US" w:eastAsia="en-NZ"/>
        </w:rPr>
        <w:t>There were also a number of comments about the Mystery</w:t>
      </w:r>
      <w:r w:rsidR="00DA10ED" w:rsidRPr="00C4059A">
        <w:rPr>
          <w:rFonts w:eastAsia="Calibri" w:cs="Calibri"/>
          <w:color w:val="000000"/>
          <w:bdr w:val="nil"/>
          <w:lang w:val="en-US" w:eastAsia="en-NZ"/>
        </w:rPr>
        <w:t xml:space="preserve"> Shopper exercise in 2016/2017. </w:t>
      </w:r>
      <w:r w:rsidRPr="00C4059A">
        <w:rPr>
          <w:rFonts w:eastAsia="Calibri" w:cs="Calibri"/>
          <w:color w:val="000000"/>
          <w:bdr w:val="nil"/>
          <w:lang w:val="en-US" w:eastAsia="en-NZ"/>
        </w:rPr>
        <w:t>A sample of these is provided</w:t>
      </w:r>
      <w:r w:rsidR="00DA10ED" w:rsidRPr="00C4059A">
        <w:rPr>
          <w:rFonts w:eastAsia="Calibri" w:cs="Calibri"/>
          <w:color w:val="000000"/>
          <w:bdr w:val="nil"/>
          <w:lang w:val="en-US" w:eastAsia="en-NZ"/>
        </w:rPr>
        <w:t xml:space="preserve"> (3/25)</w:t>
      </w:r>
      <w:r w:rsidRPr="00C4059A">
        <w:rPr>
          <w:rFonts w:eastAsia="Calibri" w:cs="Calibri"/>
          <w:color w:val="000000"/>
          <w:bdr w:val="nil"/>
          <w:lang w:val="en-US" w:eastAsia="en-NZ"/>
        </w:rPr>
        <w:t>:</w:t>
      </w:r>
    </w:p>
    <w:p w14:paraId="485B20B4" w14:textId="39DBFA69" w:rsidR="00096F09" w:rsidRDefault="00096F09" w:rsidP="00096F09">
      <w:pPr>
        <w:pStyle w:val="Bullet"/>
        <w:numPr>
          <w:ilvl w:val="0"/>
          <w:numId w:val="0"/>
        </w:numPr>
        <w:spacing w:before="120" w:after="240"/>
        <w:ind w:left="567"/>
      </w:pPr>
      <w:r w:rsidRPr="00096F09">
        <w:t>“I think there has been progress but more needs to be done. The Mystery Shopper exercise needs to continue.</w:t>
      </w:r>
      <w:r>
        <w:t>”</w:t>
      </w:r>
    </w:p>
    <w:p w14:paraId="47225A92" w14:textId="5AB2F377" w:rsidR="00096F09" w:rsidRDefault="00096F09" w:rsidP="00096F09">
      <w:pPr>
        <w:pStyle w:val="Bullet"/>
        <w:numPr>
          <w:ilvl w:val="0"/>
          <w:numId w:val="0"/>
        </w:numPr>
        <w:spacing w:before="120" w:after="240"/>
        <w:ind w:left="567"/>
      </w:pPr>
      <w:r>
        <w:t>“</w:t>
      </w:r>
      <w:r w:rsidRPr="00096F09">
        <w:t>The secret shopper results from 2016 confirmed what we already knew and have seen in our own District - venues are not identifying problem gambling and acting upon it.</w:t>
      </w:r>
      <w:r>
        <w:t>”</w:t>
      </w:r>
    </w:p>
    <w:p w14:paraId="4834D2C8" w14:textId="234001A8" w:rsidR="00096F09" w:rsidRPr="002F56B1" w:rsidRDefault="00096F09" w:rsidP="001F0D57">
      <w:pPr>
        <w:pStyle w:val="Bullet"/>
        <w:numPr>
          <w:ilvl w:val="0"/>
          <w:numId w:val="0"/>
        </w:numPr>
        <w:spacing w:before="120" w:after="240"/>
        <w:ind w:left="567"/>
        <w:rPr>
          <w:highlight w:val="yellow"/>
        </w:rPr>
      </w:pPr>
      <w:r>
        <w:t>“</w:t>
      </w:r>
      <w:r w:rsidRPr="00096F09">
        <w:t>I agree that gamblers are being protected, however I don't know if Mystery Shoppers is the way to go as our staff felt it was a form of entrapment in an industry which is already difficult enough</w:t>
      </w:r>
      <w:r w:rsidR="00DA10ED">
        <w:t xml:space="preserve"> … </w:t>
      </w:r>
      <w:r w:rsidRPr="00096F09">
        <w:t>The Staff in general do a great job and in a lot of cases should be commended for their vigilance to comply with everything that is required of them</w:t>
      </w:r>
      <w:r>
        <w:t>”</w:t>
      </w:r>
    </w:p>
    <w:p w14:paraId="64564043" w14:textId="1028C860" w:rsidR="00CF0C46" w:rsidRPr="00C4059A" w:rsidRDefault="00CF0C46">
      <w:pPr>
        <w:pStyle w:val="Bullet"/>
        <w:numPr>
          <w:ilvl w:val="0"/>
          <w:numId w:val="0"/>
        </w:numPr>
        <w:rPr>
          <w:b/>
        </w:rPr>
      </w:pPr>
      <w:r w:rsidRPr="00C4059A">
        <w:rPr>
          <w:b/>
        </w:rPr>
        <w:t>Partnership</w:t>
      </w:r>
    </w:p>
    <w:p w14:paraId="1CA99B4F" w14:textId="75D85FDB" w:rsidR="002054CC" w:rsidRPr="00C4059A" w:rsidRDefault="002054CC" w:rsidP="00C4059A">
      <w:pPr>
        <w:pStyle w:val="Bullet"/>
        <w:numPr>
          <w:ilvl w:val="0"/>
          <w:numId w:val="0"/>
        </w:numPr>
        <w:spacing w:before="120" w:after="240"/>
        <w:rPr>
          <w:rFonts w:eastAsia="Calibri" w:cs="Calibri"/>
          <w:color w:val="000000"/>
          <w:bdr w:val="nil"/>
          <w:lang w:val="en-US" w:eastAsia="en-NZ"/>
        </w:rPr>
      </w:pPr>
      <w:r w:rsidRPr="00C4059A">
        <w:rPr>
          <w:rFonts w:eastAsia="Calibri" w:cs="Calibri"/>
          <w:color w:val="000000"/>
          <w:bdr w:val="nil"/>
          <w:lang w:val="en-US" w:eastAsia="en-NZ"/>
        </w:rPr>
        <w:t xml:space="preserve">There were mostly positive comments in relation to this question, although some raised </w:t>
      </w:r>
      <w:r w:rsidR="00DA10ED" w:rsidRPr="00C4059A">
        <w:rPr>
          <w:rFonts w:eastAsia="Calibri" w:cs="Calibri"/>
          <w:color w:val="000000"/>
          <w:bdr w:val="nil"/>
          <w:lang w:val="en-US" w:eastAsia="en-NZ"/>
        </w:rPr>
        <w:t xml:space="preserve">the concern that the Department </w:t>
      </w:r>
      <w:r w:rsidR="001F0D57" w:rsidRPr="00C4059A">
        <w:rPr>
          <w:rFonts w:eastAsia="Calibri" w:cs="Calibri"/>
          <w:color w:val="000000"/>
          <w:bdr w:val="nil"/>
          <w:lang w:val="en-US" w:eastAsia="en-NZ"/>
        </w:rPr>
        <w:t>is not willing to cooperate with the sector to achieve resolutions</w:t>
      </w:r>
      <w:r w:rsidRPr="00C4059A">
        <w:rPr>
          <w:rFonts w:eastAsia="Calibri" w:cs="Calibri"/>
          <w:color w:val="000000"/>
          <w:bdr w:val="nil"/>
          <w:lang w:val="en-US" w:eastAsia="en-NZ"/>
        </w:rPr>
        <w:t>.</w:t>
      </w:r>
    </w:p>
    <w:p w14:paraId="72005CC6" w14:textId="08D9B951" w:rsidR="002054CC" w:rsidRPr="00C4059A" w:rsidRDefault="002054CC" w:rsidP="00C4059A">
      <w:pPr>
        <w:pStyle w:val="Bullet"/>
        <w:numPr>
          <w:ilvl w:val="0"/>
          <w:numId w:val="0"/>
        </w:numPr>
        <w:spacing w:before="120" w:after="240"/>
        <w:rPr>
          <w:rFonts w:eastAsia="Calibri" w:cs="Calibri"/>
          <w:color w:val="000000"/>
          <w:bdr w:val="nil"/>
          <w:lang w:val="en-US" w:eastAsia="en-NZ"/>
        </w:rPr>
      </w:pPr>
      <w:r w:rsidRPr="00C4059A">
        <w:rPr>
          <w:rFonts w:eastAsia="Calibri" w:cs="Calibri"/>
          <w:color w:val="000000"/>
          <w:bdr w:val="nil"/>
          <w:lang w:val="en-US" w:eastAsia="en-NZ"/>
        </w:rPr>
        <w:t xml:space="preserve">A sample from the </w:t>
      </w:r>
      <w:r w:rsidR="00A53AA2" w:rsidRPr="00C4059A">
        <w:rPr>
          <w:rFonts w:eastAsia="Calibri" w:cs="Calibri"/>
          <w:color w:val="000000"/>
          <w:bdr w:val="nil"/>
          <w:lang w:val="en-US" w:eastAsia="en-NZ"/>
        </w:rPr>
        <w:t>15</w:t>
      </w:r>
      <w:r w:rsidRPr="00C4059A">
        <w:rPr>
          <w:rFonts w:eastAsia="Calibri" w:cs="Calibri"/>
          <w:color w:val="000000"/>
          <w:bdr w:val="nil"/>
          <w:lang w:val="en-US" w:eastAsia="en-NZ"/>
        </w:rPr>
        <w:t xml:space="preserve"> com</w:t>
      </w:r>
      <w:r w:rsidR="00DA10ED" w:rsidRPr="00C4059A">
        <w:rPr>
          <w:rFonts w:eastAsia="Calibri" w:cs="Calibri"/>
          <w:color w:val="000000"/>
          <w:bdr w:val="nil"/>
          <w:lang w:val="en-US" w:eastAsia="en-NZ"/>
        </w:rPr>
        <w:t>ments received is provided (2/15</w:t>
      </w:r>
      <w:r w:rsidRPr="00C4059A">
        <w:rPr>
          <w:rFonts w:eastAsia="Calibri" w:cs="Calibri"/>
          <w:color w:val="000000"/>
          <w:bdr w:val="nil"/>
          <w:lang w:val="en-US" w:eastAsia="en-NZ"/>
        </w:rPr>
        <w:t>):</w:t>
      </w:r>
    </w:p>
    <w:p w14:paraId="2B608772" w14:textId="375EBD48" w:rsidR="002054CC" w:rsidRPr="00DA10ED" w:rsidRDefault="002054CC" w:rsidP="00BC48FE">
      <w:pPr>
        <w:pStyle w:val="Bullet"/>
        <w:numPr>
          <w:ilvl w:val="0"/>
          <w:numId w:val="0"/>
        </w:numPr>
        <w:spacing w:before="120" w:after="240"/>
        <w:ind w:left="567"/>
      </w:pPr>
      <w:r w:rsidRPr="00DA10ED">
        <w:t>“</w:t>
      </w:r>
      <w:r w:rsidR="00DA10ED" w:rsidRPr="00DA10ED">
        <w:t>The regulator is very proactive and the sector is aware that they regulated and monitored on their operations.</w:t>
      </w:r>
      <w:r w:rsidRPr="00DA10ED">
        <w:t>”</w:t>
      </w:r>
    </w:p>
    <w:p w14:paraId="2052CDEB" w14:textId="7F6A11F6" w:rsidR="002054CC" w:rsidRPr="002F56B1" w:rsidRDefault="002054CC" w:rsidP="00BC48FE">
      <w:pPr>
        <w:pStyle w:val="Bullet"/>
        <w:numPr>
          <w:ilvl w:val="0"/>
          <w:numId w:val="0"/>
        </w:numPr>
        <w:spacing w:before="120" w:after="240"/>
        <w:ind w:left="567"/>
        <w:rPr>
          <w:highlight w:val="yellow"/>
        </w:rPr>
      </w:pPr>
      <w:r w:rsidRPr="001F0D57">
        <w:t>“</w:t>
      </w:r>
      <w:r w:rsidR="001F0D57">
        <w:t>…</w:t>
      </w:r>
      <w:r w:rsidR="001F0D57" w:rsidRPr="001F0D57">
        <w:t>I am not convinced we have gone past the attitude from the department of let's find something wrong rather than let's work together so there is nothing wrong.</w:t>
      </w:r>
      <w:r w:rsidR="001F0D57">
        <w:t>”</w:t>
      </w:r>
    </w:p>
    <w:p w14:paraId="079BB43D" w14:textId="7BF7CDFB" w:rsidR="00CF0C46" w:rsidRPr="00C4059A" w:rsidRDefault="00CF0C46">
      <w:pPr>
        <w:keepLines w:val="0"/>
        <w:rPr>
          <w:b/>
          <w:highlight w:val="yellow"/>
        </w:rPr>
      </w:pPr>
      <w:r w:rsidRPr="00C4059A">
        <w:rPr>
          <w:b/>
        </w:rPr>
        <w:lastRenderedPageBreak/>
        <w:t>Community Benefit</w:t>
      </w:r>
    </w:p>
    <w:p w14:paraId="66B8F453" w14:textId="77BD26B9" w:rsidR="00CF0C46" w:rsidRPr="00C4059A" w:rsidRDefault="005E1D66" w:rsidP="00C4059A">
      <w:pPr>
        <w:pStyle w:val="Bullet"/>
        <w:numPr>
          <w:ilvl w:val="0"/>
          <w:numId w:val="0"/>
        </w:numPr>
        <w:spacing w:before="120" w:after="240"/>
        <w:rPr>
          <w:rFonts w:eastAsia="Calibri" w:cs="Calibri"/>
          <w:color w:val="000000"/>
          <w:bdr w:val="nil"/>
          <w:lang w:val="en-US" w:eastAsia="en-NZ"/>
        </w:rPr>
      </w:pPr>
      <w:r w:rsidRPr="00C4059A">
        <w:rPr>
          <w:rFonts w:eastAsia="Calibri" w:cs="Calibri"/>
          <w:color w:val="000000"/>
          <w:bdr w:val="nil"/>
          <w:lang w:val="en-US" w:eastAsia="en-NZ"/>
        </w:rPr>
        <w:t>The range of comments relating to this question reflected the different points of view of the stakeholders surveyed. Some comm</w:t>
      </w:r>
      <w:r w:rsidR="002F19A3" w:rsidRPr="00C4059A">
        <w:rPr>
          <w:rFonts w:eastAsia="Calibri" w:cs="Calibri"/>
          <w:color w:val="000000"/>
          <w:bdr w:val="nil"/>
          <w:lang w:val="en-US" w:eastAsia="en-NZ"/>
        </w:rPr>
        <w:t>on themes included the impact of</w:t>
      </w:r>
      <w:r w:rsidRPr="00C4059A">
        <w:rPr>
          <w:rFonts w:eastAsia="Calibri" w:cs="Calibri"/>
          <w:color w:val="000000"/>
          <w:bdr w:val="nil"/>
          <w:lang w:val="en-US" w:eastAsia="en-NZ"/>
        </w:rPr>
        <w:t xml:space="preserve"> costs on returns to communities and that more money should go back to </w:t>
      </w:r>
      <w:r w:rsidR="00435717" w:rsidRPr="00C4059A">
        <w:rPr>
          <w:rFonts w:eastAsia="Calibri" w:cs="Calibri"/>
          <w:color w:val="000000"/>
          <w:bdr w:val="nil"/>
          <w:lang w:val="en-US" w:eastAsia="en-NZ"/>
        </w:rPr>
        <w:t>the local communities</w:t>
      </w:r>
      <w:r w:rsidR="008C38C2" w:rsidRPr="00C4059A">
        <w:rPr>
          <w:rFonts w:eastAsia="Calibri" w:cs="Calibri"/>
          <w:color w:val="000000"/>
          <w:bdr w:val="nil"/>
          <w:lang w:val="en-US" w:eastAsia="en-NZ"/>
        </w:rPr>
        <w:t xml:space="preserve"> in which </w:t>
      </w:r>
      <w:r w:rsidR="00435717" w:rsidRPr="00C4059A">
        <w:rPr>
          <w:rFonts w:eastAsia="Calibri" w:cs="Calibri"/>
          <w:color w:val="000000"/>
          <w:bdr w:val="nil"/>
          <w:lang w:val="en-US" w:eastAsia="en-NZ"/>
        </w:rPr>
        <w:t xml:space="preserve">the </w:t>
      </w:r>
      <w:r w:rsidR="008C38C2" w:rsidRPr="00C4059A">
        <w:rPr>
          <w:rFonts w:eastAsia="Calibri" w:cs="Calibri"/>
          <w:color w:val="000000"/>
          <w:bdr w:val="nil"/>
          <w:lang w:val="en-US" w:eastAsia="en-NZ"/>
        </w:rPr>
        <w:t>gaming machines are located</w:t>
      </w:r>
      <w:r w:rsidR="00435717" w:rsidRPr="00C4059A">
        <w:rPr>
          <w:rFonts w:eastAsia="Calibri" w:cs="Calibri"/>
          <w:color w:val="000000"/>
          <w:bdr w:val="nil"/>
          <w:lang w:val="en-US" w:eastAsia="en-NZ"/>
        </w:rPr>
        <w:t xml:space="preserve">. </w:t>
      </w:r>
    </w:p>
    <w:p w14:paraId="5F6EE8AB" w14:textId="7FEE3E4E" w:rsidR="005E1D66" w:rsidRPr="00C4059A" w:rsidRDefault="001F0D57" w:rsidP="00C4059A">
      <w:pPr>
        <w:pStyle w:val="Bullet"/>
        <w:numPr>
          <w:ilvl w:val="0"/>
          <w:numId w:val="0"/>
        </w:numPr>
        <w:spacing w:before="120" w:after="240"/>
        <w:rPr>
          <w:rFonts w:eastAsia="Calibri" w:cs="Calibri"/>
          <w:color w:val="000000"/>
          <w:highlight w:val="yellow"/>
          <w:bdr w:val="nil"/>
          <w:lang w:val="en-US" w:eastAsia="en-NZ"/>
        </w:rPr>
      </w:pPr>
      <w:r w:rsidRPr="00C4059A">
        <w:rPr>
          <w:rFonts w:eastAsia="Calibri" w:cs="Calibri"/>
          <w:color w:val="000000"/>
          <w:bdr w:val="nil"/>
          <w:lang w:val="en-US" w:eastAsia="en-NZ"/>
        </w:rPr>
        <w:t>A sample from the 19</w:t>
      </w:r>
      <w:r w:rsidR="005E1D66" w:rsidRPr="00C4059A">
        <w:rPr>
          <w:rFonts w:eastAsia="Calibri" w:cs="Calibri"/>
          <w:color w:val="000000"/>
          <w:bdr w:val="nil"/>
          <w:lang w:val="en-US" w:eastAsia="en-NZ"/>
        </w:rPr>
        <w:t xml:space="preserve"> comments received is provided (</w:t>
      </w:r>
      <w:r w:rsidRPr="00C4059A">
        <w:rPr>
          <w:rFonts w:eastAsia="Calibri" w:cs="Calibri"/>
          <w:color w:val="000000"/>
          <w:bdr w:val="nil"/>
          <w:lang w:val="en-US" w:eastAsia="en-NZ"/>
        </w:rPr>
        <w:t>4/19</w:t>
      </w:r>
      <w:r w:rsidR="00435717" w:rsidRPr="00C4059A">
        <w:rPr>
          <w:rFonts w:eastAsia="Calibri" w:cs="Calibri"/>
          <w:color w:val="000000"/>
          <w:bdr w:val="nil"/>
          <w:lang w:val="en-US" w:eastAsia="en-NZ"/>
        </w:rPr>
        <w:t>):</w:t>
      </w:r>
    </w:p>
    <w:p w14:paraId="46DAE1B2" w14:textId="4738C685" w:rsidR="00435717" w:rsidRPr="002F56B1" w:rsidRDefault="00435717" w:rsidP="00BC48FE">
      <w:pPr>
        <w:pStyle w:val="Bullet"/>
        <w:numPr>
          <w:ilvl w:val="0"/>
          <w:numId w:val="0"/>
        </w:numPr>
        <w:spacing w:before="120" w:after="240"/>
        <w:ind w:left="567"/>
        <w:rPr>
          <w:highlight w:val="yellow"/>
        </w:rPr>
      </w:pPr>
      <w:r w:rsidRPr="00096F09">
        <w:t>“</w:t>
      </w:r>
      <w:r w:rsidR="00096F09" w:rsidRPr="00096F09">
        <w:t>If gambling returns maximised community benefit it wouldn't be known as gamblin</w:t>
      </w:r>
      <w:r w:rsidR="001F0D57">
        <w:t>g. It would be a not-for-profit</w:t>
      </w:r>
      <w:r w:rsidR="00974AA4">
        <w:t xml:space="preserve"> </w:t>
      </w:r>
      <w:r w:rsidR="00096F09" w:rsidRPr="00096F09">
        <w:t>organisation.</w:t>
      </w:r>
      <w:r w:rsidR="00096F09">
        <w:t>”</w:t>
      </w:r>
    </w:p>
    <w:p w14:paraId="37318343" w14:textId="5984E234" w:rsidR="00435717" w:rsidRPr="001F0D57" w:rsidRDefault="00435717" w:rsidP="00BC48FE">
      <w:pPr>
        <w:pStyle w:val="Bullet"/>
        <w:numPr>
          <w:ilvl w:val="0"/>
          <w:numId w:val="0"/>
        </w:numPr>
        <w:spacing w:before="120" w:after="240"/>
        <w:ind w:left="567"/>
      </w:pPr>
      <w:r w:rsidRPr="001F0D57">
        <w:t>“</w:t>
      </w:r>
      <w:r w:rsidR="001F0D57" w:rsidRPr="001F0D57">
        <w:t>Our work indicates that the proceeds are coming from the lower socio economic areas and being returned to higher socio economic areas/groups. The proceeds coming from communities are not being returned - more work needs to be done to ensure that this is returned to the community it has come from and that groups are assisted to apply and be accepted for distribution of funds, particularly Maori.</w:t>
      </w:r>
      <w:r w:rsidR="003429D8" w:rsidRPr="001F0D57">
        <w:t>”</w:t>
      </w:r>
    </w:p>
    <w:p w14:paraId="4485559C" w14:textId="64FC89A1" w:rsidR="00435717" w:rsidRDefault="00435717" w:rsidP="00BC48FE">
      <w:pPr>
        <w:pStyle w:val="Bullet"/>
        <w:numPr>
          <w:ilvl w:val="0"/>
          <w:numId w:val="0"/>
        </w:numPr>
        <w:spacing w:before="120" w:after="240"/>
        <w:ind w:left="567"/>
      </w:pPr>
      <w:r w:rsidRPr="001F0D57">
        <w:t>“</w:t>
      </w:r>
      <w:r w:rsidR="001F0D57" w:rsidRPr="001F0D57">
        <w:t>This is the most enjoying part of my role, having the opportunity to maximize funds to the Community &amp; re</w:t>
      </w:r>
      <w:r w:rsidR="00974AA4">
        <w:t xml:space="preserve">ceiving the wonderful thank </w:t>
      </w:r>
      <w:proofErr w:type="spellStart"/>
      <w:proofErr w:type="gramStart"/>
      <w:r w:rsidR="00974AA4">
        <w:t>you’</w:t>
      </w:r>
      <w:r w:rsidR="001F0D57" w:rsidRPr="001F0D57">
        <w:t>s</w:t>
      </w:r>
      <w:proofErr w:type="spellEnd"/>
      <w:proofErr w:type="gramEnd"/>
      <w:r w:rsidR="001F0D57" w:rsidRPr="001F0D57">
        <w:t xml:space="preserve"> of being a part of helping the Community.</w:t>
      </w:r>
      <w:r w:rsidRPr="001F0D57">
        <w:t>”</w:t>
      </w:r>
    </w:p>
    <w:p w14:paraId="781F5F20" w14:textId="47DFDD19" w:rsidR="001F0D57" w:rsidRPr="004E47C9" w:rsidRDefault="001F0D57" w:rsidP="00BC48FE">
      <w:pPr>
        <w:pStyle w:val="Bullet"/>
        <w:numPr>
          <w:ilvl w:val="0"/>
          <w:numId w:val="0"/>
        </w:numPr>
        <w:spacing w:before="120" w:after="240"/>
        <w:ind w:left="567"/>
      </w:pPr>
      <w:r>
        <w:t>“</w:t>
      </w:r>
      <w:r w:rsidRPr="001F0D57">
        <w:t>I believe there is too much compliance, administration and software updating costs that is taking money from the community.</w:t>
      </w:r>
      <w:r>
        <w:t>”</w:t>
      </w:r>
    </w:p>
    <w:p w14:paraId="4C6C309F" w14:textId="77777777" w:rsidR="00770E4A" w:rsidRDefault="00770E4A" w:rsidP="003F6E7B">
      <w:pPr>
        <w:pStyle w:val="Bullet"/>
        <w:numPr>
          <w:ilvl w:val="0"/>
          <w:numId w:val="0"/>
        </w:numPr>
        <w:rPr>
          <w:b/>
        </w:rPr>
      </w:pPr>
    </w:p>
    <w:p w14:paraId="4A169029" w14:textId="17E42EDC" w:rsidR="00157E44" w:rsidRDefault="00157E44" w:rsidP="00401245">
      <w:pPr>
        <w:pStyle w:val="Bullet"/>
        <w:numPr>
          <w:ilvl w:val="0"/>
          <w:numId w:val="0"/>
        </w:numPr>
      </w:pPr>
      <w:r>
        <w:br w:type="page"/>
      </w:r>
    </w:p>
    <w:p w14:paraId="25B959D5" w14:textId="0D0A2B88" w:rsidR="0024570A" w:rsidRPr="00C4059A" w:rsidRDefault="002F56B1">
      <w:pPr>
        <w:pStyle w:val="Bullet"/>
        <w:numPr>
          <w:ilvl w:val="0"/>
          <w:numId w:val="0"/>
        </w:numPr>
        <w:rPr>
          <w:b/>
        </w:rPr>
      </w:pPr>
      <w:r w:rsidRPr="00C4059A">
        <w:rPr>
          <w:b/>
        </w:rPr>
        <w:lastRenderedPageBreak/>
        <w:t>Question 21</w:t>
      </w:r>
      <w:r w:rsidR="0024570A" w:rsidRPr="00C4059A">
        <w:rPr>
          <w:b/>
        </w:rPr>
        <w:t>:</w:t>
      </w:r>
      <w:r w:rsidR="0024570A" w:rsidRPr="0024570A">
        <w:t xml:space="preserve"> </w:t>
      </w:r>
      <w:r w:rsidR="0024570A" w:rsidRPr="00C4059A">
        <w:rPr>
          <w:b/>
        </w:rPr>
        <w:t xml:space="preserve">To what extent do you agree that the following objectives for the gambling sector are being met by </w:t>
      </w:r>
      <w:r w:rsidR="003A1585" w:rsidRPr="00C4059A">
        <w:rPr>
          <w:b/>
        </w:rPr>
        <w:t xml:space="preserve">the </w:t>
      </w:r>
      <w:r w:rsidR="0024570A" w:rsidRPr="00C4059A">
        <w:rPr>
          <w:b/>
        </w:rPr>
        <w:t>D</w:t>
      </w:r>
      <w:r w:rsidR="003A1585" w:rsidRPr="00C4059A">
        <w:rPr>
          <w:b/>
        </w:rPr>
        <w:t>epartment</w:t>
      </w:r>
      <w:r w:rsidR="0024570A" w:rsidRPr="00C4059A">
        <w:rPr>
          <w:b/>
        </w:rPr>
        <w:t>?</w:t>
      </w:r>
    </w:p>
    <w:p w14:paraId="1694BEC2" w14:textId="2298E891" w:rsidR="008A1932" w:rsidRPr="00C4059A" w:rsidRDefault="008A1932" w:rsidP="00C4059A">
      <w:pPr>
        <w:pStyle w:val="Bullet"/>
        <w:numPr>
          <w:ilvl w:val="0"/>
          <w:numId w:val="0"/>
        </w:numPr>
        <w:spacing w:before="120" w:after="240"/>
        <w:rPr>
          <w:rFonts w:eastAsia="Calibri" w:cs="Calibri"/>
          <w:color w:val="000000"/>
          <w:bdr w:val="nil"/>
          <w:lang w:val="en-US" w:eastAsia="en-NZ"/>
        </w:rPr>
      </w:pPr>
      <w:r w:rsidRPr="00C4059A">
        <w:rPr>
          <w:rFonts w:eastAsia="Calibri" w:cs="Calibri"/>
          <w:color w:val="000000"/>
          <w:bdr w:val="nil"/>
          <w:lang w:val="en-US" w:eastAsia="en-NZ"/>
        </w:rPr>
        <w:t>This</w:t>
      </w:r>
      <w:r w:rsidR="00126DDF" w:rsidRPr="00C4059A">
        <w:rPr>
          <w:rFonts w:eastAsia="Calibri" w:cs="Calibri"/>
          <w:color w:val="000000"/>
          <w:bdr w:val="nil"/>
          <w:lang w:val="en-US" w:eastAsia="en-NZ"/>
        </w:rPr>
        <w:t xml:space="preserve"> question was introduced in 2016</w:t>
      </w:r>
      <w:r w:rsidR="003429D8" w:rsidRPr="00C4059A">
        <w:rPr>
          <w:rFonts w:eastAsia="Calibri" w:cs="Calibri"/>
          <w:color w:val="000000"/>
          <w:bdr w:val="nil"/>
          <w:lang w:val="en-US" w:eastAsia="en-NZ"/>
        </w:rPr>
        <w:t xml:space="preserve"> to gather views on how we are tracking against meeting our </w:t>
      </w:r>
      <w:r w:rsidR="00435717" w:rsidRPr="00C4059A">
        <w:rPr>
          <w:rFonts w:eastAsia="Calibri" w:cs="Calibri"/>
          <w:color w:val="000000"/>
          <w:bdr w:val="nil"/>
          <w:lang w:val="en-US" w:eastAsia="en-NZ"/>
        </w:rPr>
        <w:t>objectives</w:t>
      </w:r>
      <w:r w:rsidR="003429D8" w:rsidRPr="00C4059A">
        <w:rPr>
          <w:rFonts w:eastAsia="Calibri" w:cs="Calibri"/>
          <w:color w:val="000000"/>
          <w:bdr w:val="nil"/>
          <w:lang w:val="en-US" w:eastAsia="en-NZ"/>
        </w:rPr>
        <w:t>, which</w:t>
      </w:r>
      <w:r w:rsidR="00435717" w:rsidRPr="00C4059A">
        <w:rPr>
          <w:rFonts w:eastAsia="Calibri" w:cs="Calibri"/>
          <w:color w:val="000000"/>
          <w:bdr w:val="nil"/>
          <w:lang w:val="en-US" w:eastAsia="en-NZ"/>
        </w:rPr>
        <w:t xml:space="preserve"> were rolled out in late 2015. </w:t>
      </w:r>
      <w:r w:rsidR="00FA4005" w:rsidRPr="00C4059A">
        <w:rPr>
          <w:rFonts w:eastAsia="Calibri" w:cs="Calibri"/>
          <w:color w:val="000000"/>
          <w:bdr w:val="nil"/>
          <w:lang w:val="en-US" w:eastAsia="en-NZ"/>
        </w:rPr>
        <w:t xml:space="preserve">These six objectives help to guide our work in the gambling sector. </w:t>
      </w:r>
    </w:p>
    <w:p w14:paraId="129FBCC9" w14:textId="0C63BEFA" w:rsidR="00022C93" w:rsidRPr="00C4059A" w:rsidRDefault="00022C93">
      <w:pPr>
        <w:pStyle w:val="Bullet"/>
        <w:numPr>
          <w:ilvl w:val="0"/>
          <w:numId w:val="0"/>
        </w:numPr>
        <w:rPr>
          <w:rFonts w:asciiTheme="minorHAnsi" w:eastAsiaTheme="minorEastAsia" w:hAnsiTheme="minorHAnsi" w:cstheme="minorBidi"/>
          <w:b/>
          <w:bCs/>
        </w:rPr>
      </w:pPr>
      <w:r w:rsidRPr="00C4059A">
        <w:rPr>
          <w:rFonts w:asciiTheme="minorHAnsi" w:eastAsiaTheme="minorEastAsia" w:hAnsiTheme="minorHAnsi" w:cstheme="minorBidi"/>
          <w:b/>
          <w:bCs/>
        </w:rPr>
        <w:t xml:space="preserve">Objective One: </w:t>
      </w:r>
      <w:r w:rsidRPr="00C4059A">
        <w:rPr>
          <w:rFonts w:asciiTheme="minorHAnsi" w:eastAsiaTheme="minorEastAsia" w:hAnsiTheme="minorHAnsi" w:cstheme="minorBidi"/>
        </w:rPr>
        <w:t xml:space="preserve">Establish licensing as an </w:t>
      </w:r>
      <w:r w:rsidRPr="00C4059A">
        <w:rPr>
          <w:rFonts w:asciiTheme="minorHAnsi" w:eastAsiaTheme="minorEastAsia" w:hAnsiTheme="minorHAnsi" w:cstheme="minorBidi"/>
          <w:b/>
          <w:bCs/>
        </w:rPr>
        <w:t>effective gateway</w:t>
      </w:r>
      <w:r w:rsidRPr="00C4059A">
        <w:rPr>
          <w:rFonts w:asciiTheme="minorHAnsi" w:eastAsiaTheme="minorEastAsia" w:hAnsiTheme="minorHAnsi" w:cstheme="minorBidi"/>
        </w:rPr>
        <w:t xml:space="preserve"> to the gambling sector</w:t>
      </w:r>
    </w:p>
    <w:p w14:paraId="0A8155A3" w14:textId="27DBEF3E" w:rsidR="00022C93" w:rsidRPr="00C4059A" w:rsidRDefault="00022C93">
      <w:pPr>
        <w:pStyle w:val="Bullet"/>
        <w:numPr>
          <w:ilvl w:val="0"/>
          <w:numId w:val="0"/>
        </w:numPr>
        <w:rPr>
          <w:rFonts w:asciiTheme="minorHAnsi" w:eastAsiaTheme="minorEastAsia" w:hAnsiTheme="minorHAnsi" w:cstheme="minorBidi"/>
          <w:b/>
          <w:bCs/>
        </w:rPr>
      </w:pPr>
      <w:r w:rsidRPr="00C4059A">
        <w:rPr>
          <w:rFonts w:asciiTheme="minorHAnsi" w:eastAsiaTheme="minorEastAsia" w:hAnsiTheme="minorHAnsi" w:cstheme="minorBidi"/>
          <w:b/>
          <w:bCs/>
        </w:rPr>
        <w:t xml:space="preserve">Objective Two: </w:t>
      </w:r>
      <w:r w:rsidRPr="00C4059A">
        <w:rPr>
          <w:rFonts w:asciiTheme="minorHAnsi" w:eastAsiaTheme="minorEastAsia" w:hAnsiTheme="minorHAnsi" w:cstheme="minorBidi"/>
        </w:rPr>
        <w:t xml:space="preserve">Promote and recognise </w:t>
      </w:r>
      <w:r w:rsidRPr="00C4059A">
        <w:rPr>
          <w:rFonts w:asciiTheme="minorHAnsi" w:eastAsiaTheme="minorEastAsia" w:hAnsiTheme="minorHAnsi" w:cstheme="minorBidi"/>
          <w:b/>
          <w:bCs/>
        </w:rPr>
        <w:t>best practice</w:t>
      </w:r>
      <w:r w:rsidRPr="00C4059A">
        <w:rPr>
          <w:rFonts w:asciiTheme="minorHAnsi" w:eastAsiaTheme="minorEastAsia" w:hAnsiTheme="minorHAnsi" w:cstheme="minorBidi"/>
        </w:rPr>
        <w:t xml:space="preserve"> in the gambling sector</w:t>
      </w:r>
    </w:p>
    <w:p w14:paraId="0D703A33" w14:textId="72D7B22B" w:rsidR="00022C93" w:rsidRPr="00C4059A" w:rsidRDefault="00022C93">
      <w:pPr>
        <w:pStyle w:val="Bullet"/>
        <w:numPr>
          <w:ilvl w:val="0"/>
          <w:numId w:val="0"/>
        </w:numPr>
        <w:rPr>
          <w:rFonts w:asciiTheme="minorHAnsi" w:eastAsiaTheme="minorEastAsia" w:hAnsiTheme="minorHAnsi" w:cstheme="minorBidi"/>
          <w:b/>
          <w:bCs/>
        </w:rPr>
      </w:pPr>
      <w:r w:rsidRPr="00C4059A">
        <w:rPr>
          <w:rFonts w:asciiTheme="minorHAnsi" w:eastAsiaTheme="minorEastAsia" w:hAnsiTheme="minorHAnsi" w:cstheme="minorBidi"/>
          <w:b/>
          <w:bCs/>
        </w:rPr>
        <w:t xml:space="preserve">Objective Three: </w:t>
      </w:r>
      <w:r w:rsidRPr="00C4059A">
        <w:rPr>
          <w:rFonts w:asciiTheme="minorHAnsi" w:eastAsiaTheme="minorEastAsia" w:hAnsiTheme="minorHAnsi" w:cstheme="minorBidi"/>
        </w:rPr>
        <w:t xml:space="preserve">Support </w:t>
      </w:r>
      <w:r w:rsidRPr="00C4059A">
        <w:rPr>
          <w:rFonts w:asciiTheme="minorHAnsi" w:eastAsiaTheme="minorEastAsia" w:hAnsiTheme="minorHAnsi" w:cstheme="minorBidi"/>
          <w:b/>
          <w:bCs/>
        </w:rPr>
        <w:t xml:space="preserve">grant </w:t>
      </w:r>
      <w:r w:rsidRPr="00C4059A">
        <w:rPr>
          <w:rFonts w:asciiTheme="minorHAnsi" w:eastAsiaTheme="minorEastAsia" w:hAnsiTheme="minorHAnsi" w:cstheme="minorBidi"/>
        </w:rPr>
        <w:t xml:space="preserve">making that meets </w:t>
      </w:r>
      <w:r w:rsidRPr="00C4059A">
        <w:rPr>
          <w:rFonts w:asciiTheme="minorHAnsi" w:eastAsiaTheme="minorEastAsia" w:hAnsiTheme="minorHAnsi" w:cstheme="minorBidi"/>
          <w:b/>
          <w:bCs/>
        </w:rPr>
        <w:t>community</w:t>
      </w:r>
      <w:r w:rsidRPr="00C4059A">
        <w:rPr>
          <w:rFonts w:asciiTheme="minorHAnsi" w:eastAsiaTheme="minorEastAsia" w:hAnsiTheme="minorHAnsi" w:cstheme="minorBidi"/>
        </w:rPr>
        <w:t xml:space="preserve"> needs</w:t>
      </w:r>
      <w:r w:rsidRPr="00C4059A">
        <w:rPr>
          <w:rFonts w:asciiTheme="minorHAnsi" w:eastAsiaTheme="minorEastAsia" w:hAnsiTheme="minorHAnsi" w:cstheme="minorBidi"/>
          <w:b/>
          <w:bCs/>
        </w:rPr>
        <w:t xml:space="preserve"> </w:t>
      </w:r>
    </w:p>
    <w:p w14:paraId="491312A0" w14:textId="72C27E74" w:rsidR="00022C93" w:rsidRPr="00C4059A" w:rsidRDefault="00022C93">
      <w:pPr>
        <w:pStyle w:val="Bullet"/>
        <w:numPr>
          <w:ilvl w:val="0"/>
          <w:numId w:val="0"/>
        </w:numPr>
        <w:rPr>
          <w:rFonts w:asciiTheme="minorHAnsi" w:eastAsiaTheme="minorEastAsia" w:hAnsiTheme="minorHAnsi" w:cstheme="minorBidi"/>
          <w:b/>
          <w:bCs/>
        </w:rPr>
      </w:pPr>
      <w:r w:rsidRPr="00C4059A">
        <w:rPr>
          <w:rFonts w:asciiTheme="minorHAnsi" w:eastAsiaTheme="minorEastAsia" w:hAnsiTheme="minorHAnsi" w:cstheme="minorBidi"/>
          <w:b/>
          <w:bCs/>
        </w:rPr>
        <w:t xml:space="preserve">Objective Four: </w:t>
      </w:r>
      <w:r w:rsidRPr="00C4059A">
        <w:rPr>
          <w:rFonts w:asciiTheme="minorHAnsi" w:eastAsiaTheme="minorEastAsia" w:hAnsiTheme="minorHAnsi" w:cstheme="minorBidi"/>
        </w:rPr>
        <w:t xml:space="preserve">Foster </w:t>
      </w:r>
      <w:r w:rsidRPr="00C4059A">
        <w:rPr>
          <w:rFonts w:asciiTheme="minorHAnsi" w:eastAsiaTheme="minorEastAsia" w:hAnsiTheme="minorHAnsi" w:cstheme="minorBidi"/>
          <w:b/>
          <w:bCs/>
        </w:rPr>
        <w:t xml:space="preserve">collaboration </w:t>
      </w:r>
      <w:r w:rsidRPr="00C4059A">
        <w:rPr>
          <w:rFonts w:asciiTheme="minorHAnsi" w:eastAsiaTheme="minorEastAsia" w:hAnsiTheme="minorHAnsi" w:cstheme="minorBidi"/>
        </w:rPr>
        <w:t xml:space="preserve">and </w:t>
      </w:r>
      <w:r w:rsidRPr="00C4059A">
        <w:rPr>
          <w:rFonts w:asciiTheme="minorHAnsi" w:eastAsiaTheme="minorEastAsia" w:hAnsiTheme="minorHAnsi" w:cstheme="minorBidi"/>
          <w:b/>
          <w:bCs/>
        </w:rPr>
        <w:t xml:space="preserve">partnership </w:t>
      </w:r>
      <w:r w:rsidRPr="00C4059A">
        <w:rPr>
          <w:rFonts w:asciiTheme="minorHAnsi" w:eastAsiaTheme="minorEastAsia" w:hAnsiTheme="minorHAnsi" w:cstheme="minorBidi"/>
        </w:rPr>
        <w:t>with and across the gambling sector</w:t>
      </w:r>
    </w:p>
    <w:p w14:paraId="49766B08" w14:textId="22FFA728" w:rsidR="00022C93" w:rsidRPr="00C4059A" w:rsidRDefault="00022C93">
      <w:pPr>
        <w:pStyle w:val="Bullet"/>
        <w:numPr>
          <w:ilvl w:val="0"/>
          <w:numId w:val="0"/>
        </w:numPr>
        <w:rPr>
          <w:rFonts w:asciiTheme="minorHAnsi" w:eastAsiaTheme="minorEastAsia" w:hAnsiTheme="minorHAnsi" w:cstheme="minorBidi"/>
          <w:b/>
          <w:bCs/>
        </w:rPr>
      </w:pPr>
      <w:r w:rsidRPr="00C4059A">
        <w:rPr>
          <w:rFonts w:asciiTheme="minorHAnsi" w:eastAsiaTheme="minorEastAsia" w:hAnsiTheme="minorHAnsi" w:cstheme="minorBidi"/>
          <w:b/>
          <w:bCs/>
        </w:rPr>
        <w:t>Objective Five:</w:t>
      </w:r>
      <w:r w:rsidR="002A5C01" w:rsidRPr="00C4059A">
        <w:rPr>
          <w:rFonts w:asciiTheme="minorHAnsi" w:eastAsiaTheme="minorEastAsia" w:hAnsiTheme="minorHAnsi" w:cstheme="minorBidi"/>
          <w:b/>
          <w:bCs/>
        </w:rPr>
        <w:t xml:space="preserve"> </w:t>
      </w:r>
      <w:r w:rsidRPr="00C4059A">
        <w:rPr>
          <w:rFonts w:asciiTheme="minorHAnsi" w:eastAsiaTheme="minorEastAsia" w:hAnsiTheme="minorHAnsi" w:cstheme="minorBidi"/>
        </w:rPr>
        <w:t xml:space="preserve">Deliver consistent </w:t>
      </w:r>
      <w:r w:rsidRPr="00C4059A">
        <w:rPr>
          <w:rFonts w:asciiTheme="minorHAnsi" w:eastAsiaTheme="minorEastAsia" w:hAnsiTheme="minorHAnsi" w:cstheme="minorBidi"/>
          <w:b/>
          <w:bCs/>
        </w:rPr>
        <w:t>regulatory actions</w:t>
      </w:r>
      <w:r w:rsidRPr="00C4059A">
        <w:rPr>
          <w:rFonts w:asciiTheme="minorHAnsi" w:eastAsiaTheme="minorEastAsia" w:hAnsiTheme="minorHAnsi" w:cstheme="minorBidi"/>
        </w:rPr>
        <w:t xml:space="preserve"> and robust </w:t>
      </w:r>
      <w:r w:rsidRPr="00C4059A">
        <w:rPr>
          <w:rFonts w:asciiTheme="minorHAnsi" w:eastAsiaTheme="minorEastAsia" w:hAnsiTheme="minorHAnsi" w:cstheme="minorBidi"/>
          <w:b/>
          <w:bCs/>
        </w:rPr>
        <w:t>regulatory decisions</w:t>
      </w:r>
    </w:p>
    <w:p w14:paraId="6E3B5FCC" w14:textId="50CA1014" w:rsidR="00022C93" w:rsidRPr="00C4059A" w:rsidRDefault="00022C93">
      <w:pPr>
        <w:pStyle w:val="Bullet"/>
        <w:numPr>
          <w:ilvl w:val="0"/>
          <w:numId w:val="0"/>
        </w:numPr>
        <w:rPr>
          <w:rFonts w:asciiTheme="minorHAnsi" w:eastAsiaTheme="minorEastAsia" w:hAnsiTheme="minorHAnsi" w:cstheme="minorBidi"/>
          <w:b/>
          <w:bCs/>
        </w:rPr>
      </w:pPr>
      <w:r w:rsidRPr="00C4059A">
        <w:rPr>
          <w:rFonts w:asciiTheme="minorHAnsi" w:eastAsiaTheme="minorEastAsia" w:hAnsiTheme="minorHAnsi" w:cstheme="minorBidi"/>
          <w:b/>
          <w:bCs/>
        </w:rPr>
        <w:t xml:space="preserve">Objective Six: </w:t>
      </w:r>
      <w:r w:rsidRPr="00C4059A">
        <w:rPr>
          <w:rFonts w:asciiTheme="minorHAnsi" w:eastAsiaTheme="minorEastAsia" w:hAnsiTheme="minorHAnsi" w:cstheme="minorBidi"/>
        </w:rPr>
        <w:t xml:space="preserve">Strike the right </w:t>
      </w:r>
      <w:r w:rsidRPr="00C4059A">
        <w:rPr>
          <w:rFonts w:asciiTheme="minorHAnsi" w:eastAsiaTheme="minorEastAsia" w:hAnsiTheme="minorHAnsi" w:cstheme="minorBidi"/>
          <w:b/>
          <w:bCs/>
        </w:rPr>
        <w:t>balance</w:t>
      </w:r>
      <w:r w:rsidRPr="00C4059A">
        <w:rPr>
          <w:rFonts w:asciiTheme="minorHAnsi" w:eastAsiaTheme="minorEastAsia" w:hAnsiTheme="minorHAnsi" w:cstheme="minorBidi"/>
        </w:rPr>
        <w:t xml:space="preserve"> between </w:t>
      </w:r>
      <w:r w:rsidRPr="00C4059A">
        <w:rPr>
          <w:rFonts w:asciiTheme="minorHAnsi" w:eastAsiaTheme="minorEastAsia" w:hAnsiTheme="minorHAnsi" w:cstheme="minorBidi"/>
          <w:b/>
          <w:bCs/>
        </w:rPr>
        <w:t>minimising gambling harm</w:t>
      </w:r>
      <w:r w:rsidRPr="00C4059A">
        <w:rPr>
          <w:rFonts w:asciiTheme="minorHAnsi" w:eastAsiaTheme="minorEastAsia" w:hAnsiTheme="minorHAnsi" w:cstheme="minorBidi"/>
        </w:rPr>
        <w:t xml:space="preserve">, ensuring </w:t>
      </w:r>
      <w:r w:rsidRPr="00C4059A">
        <w:rPr>
          <w:rFonts w:asciiTheme="minorHAnsi" w:eastAsiaTheme="minorEastAsia" w:hAnsiTheme="minorHAnsi" w:cstheme="minorBidi"/>
          <w:b/>
          <w:bCs/>
        </w:rPr>
        <w:t>sustainable funding</w:t>
      </w:r>
      <w:r w:rsidRPr="00C4059A">
        <w:rPr>
          <w:rFonts w:asciiTheme="minorHAnsi" w:eastAsiaTheme="minorEastAsia" w:hAnsiTheme="minorHAnsi" w:cstheme="minorBidi"/>
        </w:rPr>
        <w:t xml:space="preserve"> for </w:t>
      </w:r>
      <w:r w:rsidRPr="00C4059A">
        <w:rPr>
          <w:rFonts w:asciiTheme="minorHAnsi" w:eastAsiaTheme="minorEastAsia" w:hAnsiTheme="minorHAnsi" w:cstheme="minorBidi"/>
          <w:b/>
          <w:bCs/>
        </w:rPr>
        <w:t>communities</w:t>
      </w:r>
      <w:r w:rsidRPr="00C4059A">
        <w:rPr>
          <w:rFonts w:asciiTheme="minorHAnsi" w:eastAsiaTheme="minorEastAsia" w:hAnsiTheme="minorHAnsi" w:cstheme="minorBidi"/>
        </w:rPr>
        <w:t xml:space="preserve"> and </w:t>
      </w:r>
      <w:r w:rsidRPr="00C4059A">
        <w:rPr>
          <w:rFonts w:asciiTheme="minorHAnsi" w:eastAsiaTheme="minorEastAsia" w:hAnsiTheme="minorHAnsi" w:cstheme="minorBidi"/>
          <w:b/>
          <w:bCs/>
        </w:rPr>
        <w:t>sector sustainability</w:t>
      </w:r>
    </w:p>
    <w:p w14:paraId="57DB12D5" w14:textId="77777777" w:rsidR="00022C93" w:rsidRDefault="00022C93" w:rsidP="00022C93">
      <w:pPr>
        <w:pStyle w:val="Bullet"/>
        <w:numPr>
          <w:ilvl w:val="0"/>
          <w:numId w:val="0"/>
        </w:numPr>
        <w:ind w:left="1418" w:hanging="1418"/>
        <w:rPr>
          <w:b/>
        </w:rPr>
      </w:pPr>
    </w:p>
    <w:p w14:paraId="41D6DC10" w14:textId="55E7B90B" w:rsidR="00022C93" w:rsidRPr="00C4059A" w:rsidRDefault="00995C85" w:rsidP="00C4059A">
      <w:pPr>
        <w:pStyle w:val="Bullet"/>
        <w:numPr>
          <w:ilvl w:val="0"/>
          <w:numId w:val="0"/>
        </w:numPr>
        <w:spacing w:before="120" w:after="120"/>
        <w:rPr>
          <w:b/>
        </w:rPr>
      </w:pPr>
      <w:r w:rsidRPr="00C4059A">
        <w:rPr>
          <w:b/>
        </w:rPr>
        <w:t>Figure 9</w:t>
      </w:r>
      <w:r w:rsidR="00022C93" w:rsidRPr="00C4059A">
        <w:rPr>
          <w:b/>
        </w:rPr>
        <w:t>: Meeting Objectives</w:t>
      </w:r>
    </w:p>
    <w:p w14:paraId="23CBFB8B" w14:textId="7B8C864D" w:rsidR="002F56B1" w:rsidRDefault="008C3F3E" w:rsidP="002F56B1">
      <w:pPr>
        <w:pStyle w:val="Bullet"/>
        <w:numPr>
          <w:ilvl w:val="0"/>
          <w:numId w:val="0"/>
        </w:numPr>
        <w:spacing w:before="120" w:after="240"/>
        <w:rPr>
          <w:rFonts w:eastAsia="Calibri" w:cs="Calibri"/>
          <w:color w:val="000000"/>
          <w:u w:color="000000"/>
          <w:bdr w:val="nil"/>
          <w:lang w:val="en-US" w:eastAsia="en-NZ"/>
        </w:rPr>
      </w:pPr>
      <w:r>
        <w:rPr>
          <w:noProof/>
          <w:lang w:eastAsia="en-NZ"/>
        </w:rPr>
        <w:drawing>
          <wp:inline distT="0" distB="0" distL="0" distR="0" wp14:anchorId="59094390" wp14:editId="781E6128">
            <wp:extent cx="5599215" cy="3295402"/>
            <wp:effectExtent l="0" t="0" r="0" b="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3E60824C" w14:textId="3A532FEC" w:rsidR="00D97B76" w:rsidRPr="00C4059A" w:rsidRDefault="000E35BE" w:rsidP="00C4059A">
      <w:pPr>
        <w:pStyle w:val="Bullet"/>
        <w:numPr>
          <w:ilvl w:val="0"/>
          <w:numId w:val="0"/>
        </w:numPr>
        <w:spacing w:before="120" w:after="240"/>
        <w:rPr>
          <w:rFonts w:eastAsia="Calibri" w:cs="Calibri"/>
          <w:color w:val="000000"/>
          <w:bdr w:val="nil"/>
          <w:lang w:val="en-US" w:eastAsia="en-NZ"/>
        </w:rPr>
      </w:pPr>
      <w:r w:rsidRPr="00C4059A">
        <w:rPr>
          <w:rFonts w:eastAsia="Calibri" w:cs="Calibri"/>
          <w:color w:val="000000"/>
          <w:bdr w:val="nil"/>
          <w:lang w:val="en-US" w:eastAsia="en-NZ"/>
        </w:rPr>
        <w:t xml:space="preserve">Figure 9 </w:t>
      </w:r>
      <w:r w:rsidR="00593477" w:rsidRPr="00C4059A">
        <w:rPr>
          <w:rFonts w:eastAsia="Calibri" w:cs="Calibri"/>
          <w:color w:val="000000"/>
          <w:bdr w:val="nil"/>
          <w:lang w:val="en-US" w:eastAsia="en-NZ"/>
        </w:rPr>
        <w:t xml:space="preserve">shows the combined percentage </w:t>
      </w:r>
      <w:r w:rsidR="003429D8" w:rsidRPr="00C4059A">
        <w:rPr>
          <w:rFonts w:eastAsia="Calibri" w:cs="Calibri"/>
          <w:color w:val="000000"/>
          <w:bdr w:val="nil"/>
          <w:lang w:val="en-US" w:eastAsia="en-NZ"/>
        </w:rPr>
        <w:t xml:space="preserve">of respondents who selected </w:t>
      </w:r>
      <w:r w:rsidR="00F9706F" w:rsidRPr="00C4059A">
        <w:rPr>
          <w:rFonts w:eastAsia="Calibri" w:cs="Calibri"/>
          <w:color w:val="000000"/>
          <w:bdr w:val="nil"/>
          <w:lang w:val="en-US" w:eastAsia="en-NZ"/>
        </w:rPr>
        <w:t>“</w:t>
      </w:r>
      <w:r w:rsidR="003429D8" w:rsidRPr="00C4059A">
        <w:rPr>
          <w:rFonts w:eastAsia="Calibri" w:cs="Calibri"/>
          <w:color w:val="000000"/>
          <w:bdr w:val="nil"/>
          <w:lang w:val="en-US" w:eastAsia="en-NZ"/>
        </w:rPr>
        <w:t>agree</w:t>
      </w:r>
      <w:r w:rsidR="00F9706F" w:rsidRPr="00C4059A">
        <w:rPr>
          <w:rFonts w:eastAsia="Calibri" w:cs="Calibri"/>
          <w:color w:val="000000"/>
          <w:bdr w:val="nil"/>
          <w:lang w:val="en-US" w:eastAsia="en-NZ"/>
        </w:rPr>
        <w:t>”</w:t>
      </w:r>
      <w:r w:rsidR="003429D8" w:rsidRPr="00C4059A">
        <w:rPr>
          <w:rFonts w:eastAsia="Calibri" w:cs="Calibri"/>
          <w:color w:val="000000"/>
          <w:bdr w:val="nil"/>
          <w:lang w:val="en-US" w:eastAsia="en-NZ"/>
        </w:rPr>
        <w:t xml:space="preserve"> or </w:t>
      </w:r>
      <w:r w:rsidR="00F9706F" w:rsidRPr="00C4059A">
        <w:rPr>
          <w:rFonts w:eastAsia="Calibri" w:cs="Calibri"/>
          <w:color w:val="000000"/>
          <w:bdr w:val="nil"/>
          <w:lang w:val="en-US" w:eastAsia="en-NZ"/>
        </w:rPr>
        <w:t>“</w:t>
      </w:r>
      <w:r w:rsidR="003429D8" w:rsidRPr="00C4059A">
        <w:rPr>
          <w:rFonts w:eastAsia="Calibri" w:cs="Calibri"/>
          <w:color w:val="000000"/>
          <w:bdr w:val="nil"/>
          <w:lang w:val="en-US" w:eastAsia="en-NZ"/>
        </w:rPr>
        <w:t>strongly agree</w:t>
      </w:r>
      <w:r w:rsidR="00F9706F" w:rsidRPr="00C4059A">
        <w:rPr>
          <w:rFonts w:eastAsia="Calibri" w:cs="Calibri"/>
          <w:color w:val="000000"/>
          <w:bdr w:val="nil"/>
          <w:lang w:val="en-US" w:eastAsia="en-NZ"/>
        </w:rPr>
        <w:t>”</w:t>
      </w:r>
      <w:r w:rsidR="003429D8" w:rsidRPr="00C4059A">
        <w:rPr>
          <w:rFonts w:eastAsia="Calibri" w:cs="Calibri"/>
          <w:color w:val="000000"/>
          <w:bdr w:val="nil"/>
          <w:lang w:val="en-US" w:eastAsia="en-NZ"/>
        </w:rPr>
        <w:t xml:space="preserve"> for each objective</w:t>
      </w:r>
      <w:r w:rsidR="002A5C01" w:rsidRPr="00C4059A">
        <w:rPr>
          <w:rFonts w:eastAsia="Calibri" w:cs="Calibri"/>
          <w:color w:val="000000"/>
          <w:bdr w:val="nil"/>
          <w:lang w:val="en-US" w:eastAsia="en-NZ"/>
        </w:rPr>
        <w:t xml:space="preserve">. </w:t>
      </w:r>
    </w:p>
    <w:p w14:paraId="6356050A" w14:textId="77777777" w:rsidR="00D97B76" w:rsidRDefault="00D97B76">
      <w:pPr>
        <w:keepLines w:val="0"/>
      </w:pPr>
      <w:r>
        <w:br w:type="page"/>
      </w:r>
    </w:p>
    <w:p w14:paraId="0D431630" w14:textId="1EF69094" w:rsidR="00E05FEF" w:rsidRPr="00C4059A" w:rsidRDefault="00E803FC" w:rsidP="00C4059A">
      <w:pPr>
        <w:pStyle w:val="Bullet"/>
        <w:numPr>
          <w:ilvl w:val="0"/>
          <w:numId w:val="0"/>
        </w:numPr>
        <w:spacing w:before="120" w:after="120"/>
        <w:rPr>
          <w:b/>
        </w:rPr>
      </w:pPr>
      <w:r w:rsidRPr="00C4059A">
        <w:rPr>
          <w:b/>
        </w:rPr>
        <w:lastRenderedPageBreak/>
        <w:t>Figure 10:</w:t>
      </w:r>
      <w:r w:rsidR="00E05FEF" w:rsidRPr="00C4059A">
        <w:rPr>
          <w:b/>
        </w:rPr>
        <w:t xml:space="preserve"> Meeting Objectives</w:t>
      </w:r>
    </w:p>
    <w:tbl>
      <w:tblPr>
        <w:tblStyle w:val="DIATable"/>
        <w:tblW w:w="0" w:type="auto"/>
        <w:tblLayout w:type="fixed"/>
        <w:tblLook w:val="04A0" w:firstRow="1" w:lastRow="0" w:firstColumn="1" w:lastColumn="0" w:noHBand="0" w:noVBand="1"/>
      </w:tblPr>
      <w:tblGrid>
        <w:gridCol w:w="3969"/>
        <w:gridCol w:w="993"/>
        <w:gridCol w:w="992"/>
        <w:gridCol w:w="992"/>
        <w:gridCol w:w="1134"/>
        <w:gridCol w:w="1099"/>
      </w:tblGrid>
      <w:tr w:rsidR="00E05FEF" w:rsidRPr="00CE4186" w14:paraId="110319FB" w14:textId="77777777" w:rsidTr="00C4059A">
        <w:trPr>
          <w:cnfStyle w:val="100000000000" w:firstRow="1" w:lastRow="0" w:firstColumn="0" w:lastColumn="0" w:oddVBand="0" w:evenVBand="0" w:oddHBand="0" w:evenHBand="0" w:firstRowFirstColumn="0" w:firstRowLastColumn="0" w:lastRowFirstColumn="0" w:lastRowLastColumn="0"/>
        </w:trPr>
        <w:tc>
          <w:tcPr>
            <w:tcW w:w="3969" w:type="dxa"/>
          </w:tcPr>
          <w:p w14:paraId="30A5CED7" w14:textId="74B312BE" w:rsidR="00E05FEF" w:rsidRPr="00CE4186" w:rsidRDefault="00E05FEF" w:rsidP="000E35BE">
            <w:pPr>
              <w:pStyle w:val="Bullet"/>
              <w:numPr>
                <w:ilvl w:val="0"/>
                <w:numId w:val="0"/>
              </w:numPr>
            </w:pPr>
            <w:r w:rsidRPr="00CE4186">
              <w:t>Objective</w:t>
            </w:r>
          </w:p>
        </w:tc>
        <w:tc>
          <w:tcPr>
            <w:tcW w:w="993" w:type="dxa"/>
          </w:tcPr>
          <w:p w14:paraId="63FCDA61" w14:textId="473918BD" w:rsidR="00E05FEF" w:rsidRPr="00CE4186" w:rsidRDefault="00E05FEF" w:rsidP="000E3792">
            <w:pPr>
              <w:pStyle w:val="Bullet"/>
              <w:numPr>
                <w:ilvl w:val="0"/>
                <w:numId w:val="0"/>
              </w:numPr>
            </w:pPr>
            <w:r w:rsidRPr="00CE4186">
              <w:t>Strongly agree</w:t>
            </w:r>
          </w:p>
        </w:tc>
        <w:tc>
          <w:tcPr>
            <w:tcW w:w="992" w:type="dxa"/>
          </w:tcPr>
          <w:p w14:paraId="7652B7FE" w14:textId="0C921ABB" w:rsidR="00E05FEF" w:rsidRPr="00CE4186" w:rsidRDefault="00E05FEF" w:rsidP="000E3792">
            <w:pPr>
              <w:pStyle w:val="Bullet"/>
              <w:numPr>
                <w:ilvl w:val="0"/>
                <w:numId w:val="0"/>
              </w:numPr>
            </w:pPr>
            <w:r w:rsidRPr="00CE4186">
              <w:t>Agree</w:t>
            </w:r>
          </w:p>
        </w:tc>
        <w:tc>
          <w:tcPr>
            <w:tcW w:w="992" w:type="dxa"/>
          </w:tcPr>
          <w:p w14:paraId="5E6975AC" w14:textId="44D1E00F" w:rsidR="00E05FEF" w:rsidRPr="00CE4186" w:rsidRDefault="00E05FEF" w:rsidP="000E3792">
            <w:pPr>
              <w:pStyle w:val="Bullet"/>
              <w:numPr>
                <w:ilvl w:val="0"/>
                <w:numId w:val="0"/>
              </w:numPr>
            </w:pPr>
            <w:r w:rsidRPr="00CE4186">
              <w:t>Neutral</w:t>
            </w:r>
          </w:p>
        </w:tc>
        <w:tc>
          <w:tcPr>
            <w:tcW w:w="1134" w:type="dxa"/>
          </w:tcPr>
          <w:p w14:paraId="0ED41EA1" w14:textId="0A0DEB77" w:rsidR="00E05FEF" w:rsidRPr="00CE4186" w:rsidRDefault="00E05FEF" w:rsidP="000E3792">
            <w:pPr>
              <w:pStyle w:val="Bullet"/>
              <w:numPr>
                <w:ilvl w:val="0"/>
                <w:numId w:val="0"/>
              </w:numPr>
            </w:pPr>
            <w:r w:rsidRPr="00CE4186">
              <w:t>Disagree</w:t>
            </w:r>
          </w:p>
        </w:tc>
        <w:tc>
          <w:tcPr>
            <w:tcW w:w="1099" w:type="dxa"/>
          </w:tcPr>
          <w:p w14:paraId="7AA7C37A" w14:textId="24084132" w:rsidR="00E05FEF" w:rsidRPr="00CE4186" w:rsidRDefault="00E05FEF" w:rsidP="000E3792">
            <w:pPr>
              <w:pStyle w:val="Bullet"/>
              <w:numPr>
                <w:ilvl w:val="0"/>
                <w:numId w:val="0"/>
              </w:numPr>
            </w:pPr>
            <w:r w:rsidRPr="00CE4186">
              <w:t>Strongly disagree</w:t>
            </w:r>
          </w:p>
        </w:tc>
      </w:tr>
      <w:tr w:rsidR="00A11B0C" w:rsidRPr="00CE4186" w14:paraId="3778E13E" w14:textId="77777777" w:rsidTr="00C4059A">
        <w:tc>
          <w:tcPr>
            <w:tcW w:w="3969" w:type="dxa"/>
          </w:tcPr>
          <w:p w14:paraId="3F0872FF" w14:textId="36BD88DD" w:rsidR="00A11B0C" w:rsidRPr="00C4059A" w:rsidRDefault="00A11B0C" w:rsidP="00C4059A">
            <w:pPr>
              <w:pStyle w:val="Bullet"/>
              <w:numPr>
                <w:ilvl w:val="0"/>
                <w:numId w:val="0"/>
              </w:numPr>
              <w:spacing w:before="0" w:after="0"/>
              <w:rPr>
                <w:b/>
              </w:rPr>
            </w:pPr>
            <w:r w:rsidRPr="00C4059A">
              <w:rPr>
                <w:b/>
              </w:rPr>
              <w:t>1: Licensing as an effective gateway</w:t>
            </w:r>
          </w:p>
        </w:tc>
        <w:tc>
          <w:tcPr>
            <w:tcW w:w="993" w:type="dxa"/>
            <w:vAlign w:val="center"/>
          </w:tcPr>
          <w:p w14:paraId="42307F0C" w14:textId="1C75D251" w:rsidR="00A11B0C" w:rsidRPr="00C4059A" w:rsidRDefault="00CE4186" w:rsidP="00C4059A">
            <w:pPr>
              <w:pStyle w:val="Bullet"/>
              <w:numPr>
                <w:ilvl w:val="0"/>
                <w:numId w:val="0"/>
              </w:numPr>
              <w:spacing w:before="0" w:after="0" w:line="360" w:lineRule="auto"/>
              <w:jc w:val="center"/>
              <w:rPr>
                <w:rFonts w:asciiTheme="minorHAnsi" w:eastAsiaTheme="minorEastAsia" w:hAnsiTheme="minorHAnsi"/>
              </w:rPr>
            </w:pPr>
            <w:r w:rsidRPr="00C4059A">
              <w:rPr>
                <w:rFonts w:asciiTheme="minorHAnsi" w:eastAsiaTheme="minorEastAsia" w:hAnsiTheme="minorHAnsi"/>
              </w:rPr>
              <w:t>14</w:t>
            </w:r>
            <w:r w:rsidR="00B1786D" w:rsidRPr="00C4059A">
              <w:rPr>
                <w:rFonts w:asciiTheme="minorHAnsi" w:eastAsiaTheme="minorEastAsia" w:hAnsiTheme="minorHAnsi"/>
              </w:rPr>
              <w:t>%</w:t>
            </w:r>
          </w:p>
        </w:tc>
        <w:tc>
          <w:tcPr>
            <w:tcW w:w="992" w:type="dxa"/>
            <w:vAlign w:val="center"/>
          </w:tcPr>
          <w:p w14:paraId="5986C41A" w14:textId="387182E3" w:rsidR="00A11B0C" w:rsidRPr="00C4059A" w:rsidRDefault="00CE4186" w:rsidP="00C4059A">
            <w:pPr>
              <w:pStyle w:val="Bullet"/>
              <w:numPr>
                <w:ilvl w:val="0"/>
                <w:numId w:val="0"/>
              </w:numPr>
              <w:spacing w:before="0" w:after="0" w:line="360" w:lineRule="auto"/>
              <w:jc w:val="center"/>
              <w:rPr>
                <w:rFonts w:asciiTheme="minorHAnsi" w:eastAsiaTheme="minorEastAsia" w:hAnsiTheme="minorHAnsi"/>
              </w:rPr>
            </w:pPr>
            <w:r w:rsidRPr="00C4059A">
              <w:rPr>
                <w:rFonts w:asciiTheme="minorHAnsi" w:eastAsiaTheme="minorEastAsia" w:hAnsiTheme="minorHAnsi"/>
              </w:rPr>
              <w:t>64</w:t>
            </w:r>
            <w:r w:rsidR="00B1786D" w:rsidRPr="00C4059A">
              <w:rPr>
                <w:rFonts w:asciiTheme="minorHAnsi" w:eastAsiaTheme="minorEastAsia" w:hAnsiTheme="minorHAnsi"/>
              </w:rPr>
              <w:t>%</w:t>
            </w:r>
          </w:p>
        </w:tc>
        <w:tc>
          <w:tcPr>
            <w:tcW w:w="992" w:type="dxa"/>
            <w:vAlign w:val="center"/>
          </w:tcPr>
          <w:p w14:paraId="221E03FF" w14:textId="06C53BC2" w:rsidR="00A11B0C" w:rsidRPr="00C4059A" w:rsidRDefault="00CE4186" w:rsidP="00C4059A">
            <w:pPr>
              <w:pStyle w:val="Bullet"/>
              <w:numPr>
                <w:ilvl w:val="0"/>
                <w:numId w:val="0"/>
              </w:numPr>
              <w:spacing w:before="0" w:after="0" w:line="360" w:lineRule="auto"/>
              <w:jc w:val="center"/>
              <w:rPr>
                <w:rFonts w:asciiTheme="minorHAnsi" w:eastAsiaTheme="minorEastAsia" w:hAnsiTheme="minorHAnsi"/>
              </w:rPr>
            </w:pPr>
            <w:r w:rsidRPr="00C4059A">
              <w:rPr>
                <w:rFonts w:asciiTheme="minorHAnsi" w:eastAsiaTheme="minorEastAsia" w:hAnsiTheme="minorHAnsi"/>
              </w:rPr>
              <w:t>20</w:t>
            </w:r>
            <w:r w:rsidR="00B1786D" w:rsidRPr="00C4059A">
              <w:rPr>
                <w:rFonts w:asciiTheme="minorHAnsi" w:eastAsiaTheme="minorEastAsia" w:hAnsiTheme="minorHAnsi"/>
              </w:rPr>
              <w:t>%</w:t>
            </w:r>
          </w:p>
        </w:tc>
        <w:tc>
          <w:tcPr>
            <w:tcW w:w="1134" w:type="dxa"/>
            <w:vAlign w:val="center"/>
          </w:tcPr>
          <w:p w14:paraId="748C0C59" w14:textId="63CFE0E4" w:rsidR="00A11B0C" w:rsidRPr="00C4059A" w:rsidRDefault="00CE4186" w:rsidP="00C4059A">
            <w:pPr>
              <w:pStyle w:val="Bullet"/>
              <w:numPr>
                <w:ilvl w:val="0"/>
                <w:numId w:val="0"/>
              </w:numPr>
              <w:spacing w:before="0" w:after="0" w:line="360" w:lineRule="auto"/>
              <w:jc w:val="center"/>
              <w:rPr>
                <w:rFonts w:asciiTheme="minorHAnsi" w:eastAsiaTheme="minorEastAsia" w:hAnsiTheme="minorHAnsi"/>
              </w:rPr>
            </w:pPr>
            <w:r w:rsidRPr="00C4059A">
              <w:rPr>
                <w:rFonts w:asciiTheme="minorHAnsi" w:eastAsiaTheme="minorEastAsia" w:hAnsiTheme="minorHAnsi"/>
              </w:rPr>
              <w:t>3</w:t>
            </w:r>
            <w:r w:rsidR="00B1786D" w:rsidRPr="00C4059A">
              <w:rPr>
                <w:rFonts w:asciiTheme="minorHAnsi" w:eastAsiaTheme="minorEastAsia" w:hAnsiTheme="minorHAnsi"/>
              </w:rPr>
              <w:t>%</w:t>
            </w:r>
          </w:p>
        </w:tc>
        <w:tc>
          <w:tcPr>
            <w:tcW w:w="1099" w:type="dxa"/>
            <w:vAlign w:val="center"/>
          </w:tcPr>
          <w:p w14:paraId="3BC2B3CF" w14:textId="179A022C" w:rsidR="00A11B0C" w:rsidRPr="00C4059A" w:rsidRDefault="00CE4186" w:rsidP="00C4059A">
            <w:pPr>
              <w:pStyle w:val="Bullet"/>
              <w:numPr>
                <w:ilvl w:val="0"/>
                <w:numId w:val="0"/>
              </w:numPr>
              <w:spacing w:before="0" w:after="0" w:line="360" w:lineRule="auto"/>
              <w:jc w:val="center"/>
              <w:rPr>
                <w:rFonts w:asciiTheme="minorHAnsi" w:eastAsiaTheme="minorEastAsia" w:hAnsiTheme="minorHAnsi"/>
              </w:rPr>
            </w:pPr>
            <w:r w:rsidRPr="00C4059A">
              <w:rPr>
                <w:rFonts w:asciiTheme="minorHAnsi" w:eastAsiaTheme="minorEastAsia" w:hAnsiTheme="minorHAnsi"/>
              </w:rPr>
              <w:t>0</w:t>
            </w:r>
            <w:r w:rsidR="00B1786D" w:rsidRPr="00C4059A">
              <w:rPr>
                <w:rFonts w:asciiTheme="minorHAnsi" w:eastAsiaTheme="minorEastAsia" w:hAnsiTheme="minorHAnsi"/>
              </w:rPr>
              <w:t>%</w:t>
            </w:r>
          </w:p>
        </w:tc>
      </w:tr>
      <w:tr w:rsidR="00A11B0C" w:rsidRPr="00CE4186" w14:paraId="10ECE727" w14:textId="77777777" w:rsidTr="00C4059A">
        <w:tc>
          <w:tcPr>
            <w:tcW w:w="3969" w:type="dxa"/>
          </w:tcPr>
          <w:p w14:paraId="3365E795" w14:textId="2B6D2DA7" w:rsidR="00A11B0C" w:rsidRPr="00C4059A" w:rsidRDefault="00A11B0C" w:rsidP="00C4059A">
            <w:pPr>
              <w:pStyle w:val="Bullet"/>
              <w:numPr>
                <w:ilvl w:val="0"/>
                <w:numId w:val="0"/>
              </w:numPr>
              <w:spacing w:before="0" w:after="0"/>
              <w:rPr>
                <w:b/>
              </w:rPr>
            </w:pPr>
            <w:r w:rsidRPr="00C4059A">
              <w:rPr>
                <w:b/>
              </w:rPr>
              <w:t>2: Promote and recognise best practice</w:t>
            </w:r>
          </w:p>
        </w:tc>
        <w:tc>
          <w:tcPr>
            <w:tcW w:w="993" w:type="dxa"/>
            <w:vAlign w:val="center"/>
          </w:tcPr>
          <w:p w14:paraId="677213B9" w14:textId="79868D1A" w:rsidR="00A11B0C" w:rsidRPr="00C4059A" w:rsidRDefault="00CE4186" w:rsidP="00C4059A">
            <w:pPr>
              <w:pStyle w:val="Bullet"/>
              <w:numPr>
                <w:ilvl w:val="0"/>
                <w:numId w:val="0"/>
              </w:numPr>
              <w:spacing w:before="0" w:after="0" w:line="360" w:lineRule="auto"/>
              <w:jc w:val="center"/>
              <w:rPr>
                <w:rFonts w:asciiTheme="minorHAnsi" w:eastAsiaTheme="minorEastAsia" w:hAnsiTheme="minorHAnsi"/>
              </w:rPr>
            </w:pPr>
            <w:r w:rsidRPr="00C4059A">
              <w:rPr>
                <w:rFonts w:asciiTheme="minorHAnsi" w:eastAsiaTheme="minorEastAsia" w:hAnsiTheme="minorHAnsi"/>
              </w:rPr>
              <w:t>15</w:t>
            </w:r>
            <w:r w:rsidR="00B1786D" w:rsidRPr="00C4059A">
              <w:rPr>
                <w:rFonts w:asciiTheme="minorHAnsi" w:eastAsiaTheme="minorEastAsia" w:hAnsiTheme="minorHAnsi"/>
              </w:rPr>
              <w:t>%</w:t>
            </w:r>
          </w:p>
        </w:tc>
        <w:tc>
          <w:tcPr>
            <w:tcW w:w="992" w:type="dxa"/>
            <w:vAlign w:val="center"/>
          </w:tcPr>
          <w:p w14:paraId="1E6B7CD2" w14:textId="65F71E8A" w:rsidR="00A11B0C" w:rsidRPr="00C4059A" w:rsidRDefault="00CE4186" w:rsidP="00C4059A">
            <w:pPr>
              <w:pStyle w:val="Bullet"/>
              <w:numPr>
                <w:ilvl w:val="0"/>
                <w:numId w:val="0"/>
              </w:numPr>
              <w:spacing w:before="0" w:after="0" w:line="360" w:lineRule="auto"/>
              <w:jc w:val="center"/>
              <w:rPr>
                <w:rFonts w:asciiTheme="minorHAnsi" w:eastAsiaTheme="minorEastAsia" w:hAnsiTheme="minorHAnsi"/>
              </w:rPr>
            </w:pPr>
            <w:r w:rsidRPr="00C4059A">
              <w:rPr>
                <w:rFonts w:asciiTheme="minorHAnsi" w:eastAsiaTheme="minorEastAsia" w:hAnsiTheme="minorHAnsi"/>
              </w:rPr>
              <w:t>54</w:t>
            </w:r>
            <w:r w:rsidR="00B1786D" w:rsidRPr="00C4059A">
              <w:rPr>
                <w:rFonts w:asciiTheme="minorHAnsi" w:eastAsiaTheme="minorEastAsia" w:hAnsiTheme="minorHAnsi"/>
              </w:rPr>
              <w:t>%</w:t>
            </w:r>
          </w:p>
        </w:tc>
        <w:tc>
          <w:tcPr>
            <w:tcW w:w="992" w:type="dxa"/>
            <w:vAlign w:val="center"/>
          </w:tcPr>
          <w:p w14:paraId="1CA04B40" w14:textId="53EF1677" w:rsidR="00A11B0C" w:rsidRPr="00C4059A" w:rsidRDefault="00CE4186" w:rsidP="00C4059A">
            <w:pPr>
              <w:pStyle w:val="Bullet"/>
              <w:numPr>
                <w:ilvl w:val="0"/>
                <w:numId w:val="0"/>
              </w:numPr>
              <w:spacing w:before="0" w:after="0" w:line="360" w:lineRule="auto"/>
              <w:jc w:val="center"/>
              <w:rPr>
                <w:rFonts w:asciiTheme="minorHAnsi" w:eastAsiaTheme="minorEastAsia" w:hAnsiTheme="minorHAnsi"/>
              </w:rPr>
            </w:pPr>
            <w:r w:rsidRPr="00C4059A">
              <w:rPr>
                <w:rFonts w:asciiTheme="minorHAnsi" w:eastAsiaTheme="minorEastAsia" w:hAnsiTheme="minorHAnsi"/>
              </w:rPr>
              <w:t>26</w:t>
            </w:r>
            <w:r w:rsidR="00B1786D" w:rsidRPr="00C4059A">
              <w:rPr>
                <w:rFonts w:asciiTheme="minorHAnsi" w:eastAsiaTheme="minorEastAsia" w:hAnsiTheme="minorHAnsi"/>
              </w:rPr>
              <w:t>%</w:t>
            </w:r>
          </w:p>
        </w:tc>
        <w:tc>
          <w:tcPr>
            <w:tcW w:w="1134" w:type="dxa"/>
            <w:vAlign w:val="center"/>
          </w:tcPr>
          <w:p w14:paraId="4C738A40" w14:textId="4260A264" w:rsidR="00A11B0C" w:rsidRPr="00C4059A" w:rsidRDefault="00CE4186" w:rsidP="00C4059A">
            <w:pPr>
              <w:pStyle w:val="Bullet"/>
              <w:numPr>
                <w:ilvl w:val="0"/>
                <w:numId w:val="0"/>
              </w:numPr>
              <w:spacing w:before="0" w:after="0" w:line="360" w:lineRule="auto"/>
              <w:jc w:val="center"/>
              <w:rPr>
                <w:rFonts w:asciiTheme="minorHAnsi" w:eastAsiaTheme="minorEastAsia" w:hAnsiTheme="minorHAnsi"/>
              </w:rPr>
            </w:pPr>
            <w:r w:rsidRPr="00C4059A">
              <w:rPr>
                <w:rFonts w:asciiTheme="minorHAnsi" w:eastAsiaTheme="minorEastAsia" w:hAnsiTheme="minorHAnsi"/>
              </w:rPr>
              <w:t>4</w:t>
            </w:r>
            <w:r w:rsidR="00B1786D" w:rsidRPr="00C4059A">
              <w:rPr>
                <w:rFonts w:asciiTheme="minorHAnsi" w:eastAsiaTheme="minorEastAsia" w:hAnsiTheme="minorHAnsi"/>
              </w:rPr>
              <w:t>%</w:t>
            </w:r>
          </w:p>
        </w:tc>
        <w:tc>
          <w:tcPr>
            <w:tcW w:w="1099" w:type="dxa"/>
            <w:vAlign w:val="center"/>
          </w:tcPr>
          <w:p w14:paraId="078B9557" w14:textId="0C7D71B8" w:rsidR="00A11B0C" w:rsidRPr="00C4059A" w:rsidRDefault="000E3792" w:rsidP="00C4059A">
            <w:pPr>
              <w:pStyle w:val="Bullet"/>
              <w:numPr>
                <w:ilvl w:val="0"/>
                <w:numId w:val="0"/>
              </w:numPr>
              <w:spacing w:before="0" w:after="0" w:line="360" w:lineRule="auto"/>
              <w:jc w:val="center"/>
              <w:rPr>
                <w:rFonts w:asciiTheme="minorHAnsi" w:eastAsiaTheme="minorEastAsia" w:hAnsiTheme="minorHAnsi"/>
              </w:rPr>
            </w:pPr>
            <w:r w:rsidRPr="00C4059A">
              <w:rPr>
                <w:rFonts w:asciiTheme="minorHAnsi" w:eastAsiaTheme="minorEastAsia" w:hAnsiTheme="minorHAnsi"/>
              </w:rPr>
              <w:t>1</w:t>
            </w:r>
            <w:r w:rsidR="00B1786D" w:rsidRPr="00C4059A">
              <w:rPr>
                <w:rFonts w:asciiTheme="minorHAnsi" w:eastAsiaTheme="minorEastAsia" w:hAnsiTheme="minorHAnsi"/>
              </w:rPr>
              <w:t>%</w:t>
            </w:r>
          </w:p>
        </w:tc>
      </w:tr>
      <w:tr w:rsidR="00A11B0C" w:rsidRPr="00CE4186" w14:paraId="37CF9BD3" w14:textId="77777777" w:rsidTr="00C4059A">
        <w:tc>
          <w:tcPr>
            <w:tcW w:w="3969" w:type="dxa"/>
          </w:tcPr>
          <w:p w14:paraId="6B6C6DA6" w14:textId="2288B57C" w:rsidR="00A11B0C" w:rsidRPr="00C4059A" w:rsidRDefault="00A11B0C" w:rsidP="00C4059A">
            <w:pPr>
              <w:pStyle w:val="Bullet"/>
              <w:numPr>
                <w:ilvl w:val="0"/>
                <w:numId w:val="0"/>
              </w:numPr>
              <w:spacing w:before="0" w:after="0"/>
              <w:rPr>
                <w:b/>
              </w:rPr>
            </w:pPr>
            <w:r w:rsidRPr="00C4059A">
              <w:rPr>
                <w:b/>
              </w:rPr>
              <w:t>3: Grant making that meets community needs</w:t>
            </w:r>
          </w:p>
        </w:tc>
        <w:tc>
          <w:tcPr>
            <w:tcW w:w="993" w:type="dxa"/>
            <w:vAlign w:val="center"/>
          </w:tcPr>
          <w:p w14:paraId="39B77922" w14:textId="376270F5" w:rsidR="00A11B0C" w:rsidRPr="00C4059A" w:rsidRDefault="00CE4186" w:rsidP="00C4059A">
            <w:pPr>
              <w:pStyle w:val="Bullet"/>
              <w:numPr>
                <w:ilvl w:val="0"/>
                <w:numId w:val="0"/>
              </w:numPr>
              <w:spacing w:before="0" w:after="0" w:line="360" w:lineRule="auto"/>
              <w:jc w:val="center"/>
              <w:rPr>
                <w:rFonts w:asciiTheme="minorHAnsi" w:eastAsiaTheme="minorEastAsia" w:hAnsiTheme="minorHAnsi"/>
              </w:rPr>
            </w:pPr>
            <w:r w:rsidRPr="00C4059A">
              <w:rPr>
                <w:rFonts w:asciiTheme="minorHAnsi" w:eastAsiaTheme="minorEastAsia" w:hAnsiTheme="minorHAnsi"/>
              </w:rPr>
              <w:t>16</w:t>
            </w:r>
            <w:r w:rsidR="00B1786D" w:rsidRPr="00C4059A">
              <w:rPr>
                <w:rFonts w:asciiTheme="minorHAnsi" w:eastAsiaTheme="minorEastAsia" w:hAnsiTheme="minorHAnsi"/>
              </w:rPr>
              <w:t>%</w:t>
            </w:r>
          </w:p>
        </w:tc>
        <w:tc>
          <w:tcPr>
            <w:tcW w:w="992" w:type="dxa"/>
            <w:vAlign w:val="center"/>
          </w:tcPr>
          <w:p w14:paraId="4EAEE28B" w14:textId="79201A79" w:rsidR="00A11B0C" w:rsidRPr="00C4059A" w:rsidRDefault="00CE4186" w:rsidP="00C4059A">
            <w:pPr>
              <w:pStyle w:val="Bullet"/>
              <w:numPr>
                <w:ilvl w:val="0"/>
                <w:numId w:val="0"/>
              </w:numPr>
              <w:spacing w:before="0" w:after="0" w:line="360" w:lineRule="auto"/>
              <w:jc w:val="center"/>
              <w:rPr>
                <w:rFonts w:asciiTheme="minorHAnsi" w:eastAsiaTheme="minorEastAsia" w:hAnsiTheme="minorHAnsi"/>
              </w:rPr>
            </w:pPr>
            <w:r w:rsidRPr="00C4059A">
              <w:rPr>
                <w:rFonts w:asciiTheme="minorHAnsi" w:eastAsiaTheme="minorEastAsia" w:hAnsiTheme="minorHAnsi"/>
              </w:rPr>
              <w:t>45</w:t>
            </w:r>
            <w:r w:rsidR="00B1786D" w:rsidRPr="00C4059A">
              <w:rPr>
                <w:rFonts w:asciiTheme="minorHAnsi" w:eastAsiaTheme="minorEastAsia" w:hAnsiTheme="minorHAnsi"/>
              </w:rPr>
              <w:t>%</w:t>
            </w:r>
          </w:p>
        </w:tc>
        <w:tc>
          <w:tcPr>
            <w:tcW w:w="992" w:type="dxa"/>
            <w:vAlign w:val="center"/>
          </w:tcPr>
          <w:p w14:paraId="2635DC7E" w14:textId="4528078E" w:rsidR="00A11B0C" w:rsidRPr="00C4059A" w:rsidRDefault="00CE4186" w:rsidP="00C4059A">
            <w:pPr>
              <w:pStyle w:val="Bullet"/>
              <w:numPr>
                <w:ilvl w:val="0"/>
                <w:numId w:val="0"/>
              </w:numPr>
              <w:spacing w:before="0" w:after="0" w:line="360" w:lineRule="auto"/>
              <w:jc w:val="center"/>
              <w:rPr>
                <w:rFonts w:asciiTheme="minorHAnsi" w:eastAsiaTheme="minorEastAsia" w:hAnsiTheme="minorHAnsi"/>
              </w:rPr>
            </w:pPr>
            <w:r w:rsidRPr="00C4059A">
              <w:rPr>
                <w:rFonts w:asciiTheme="minorHAnsi" w:eastAsiaTheme="minorEastAsia" w:hAnsiTheme="minorHAnsi"/>
              </w:rPr>
              <w:t>30</w:t>
            </w:r>
            <w:r w:rsidR="00B1786D" w:rsidRPr="00C4059A">
              <w:rPr>
                <w:rFonts w:asciiTheme="minorHAnsi" w:eastAsiaTheme="minorEastAsia" w:hAnsiTheme="minorHAnsi"/>
              </w:rPr>
              <w:t>%</w:t>
            </w:r>
          </w:p>
        </w:tc>
        <w:tc>
          <w:tcPr>
            <w:tcW w:w="1134" w:type="dxa"/>
            <w:vAlign w:val="center"/>
          </w:tcPr>
          <w:p w14:paraId="7B589A1F" w14:textId="31F38B68" w:rsidR="00A11B0C" w:rsidRPr="00C4059A" w:rsidRDefault="00CE4186" w:rsidP="00C4059A">
            <w:pPr>
              <w:pStyle w:val="Bullet"/>
              <w:numPr>
                <w:ilvl w:val="0"/>
                <w:numId w:val="0"/>
              </w:numPr>
              <w:spacing w:before="0" w:after="0" w:line="360" w:lineRule="auto"/>
              <w:jc w:val="center"/>
              <w:rPr>
                <w:rFonts w:asciiTheme="minorHAnsi" w:eastAsiaTheme="minorEastAsia" w:hAnsiTheme="minorHAnsi"/>
              </w:rPr>
            </w:pPr>
            <w:r w:rsidRPr="00C4059A">
              <w:rPr>
                <w:rFonts w:asciiTheme="minorHAnsi" w:eastAsiaTheme="minorEastAsia" w:hAnsiTheme="minorHAnsi"/>
              </w:rPr>
              <w:t>5</w:t>
            </w:r>
            <w:r w:rsidR="00B1786D" w:rsidRPr="00C4059A">
              <w:rPr>
                <w:rFonts w:asciiTheme="minorHAnsi" w:eastAsiaTheme="minorEastAsia" w:hAnsiTheme="minorHAnsi"/>
              </w:rPr>
              <w:t>%</w:t>
            </w:r>
          </w:p>
        </w:tc>
        <w:tc>
          <w:tcPr>
            <w:tcW w:w="1099" w:type="dxa"/>
            <w:vAlign w:val="center"/>
          </w:tcPr>
          <w:p w14:paraId="111D9AFD" w14:textId="100F4AE2" w:rsidR="00A11B0C" w:rsidRPr="00C4059A" w:rsidRDefault="00CE4186" w:rsidP="00C4059A">
            <w:pPr>
              <w:pStyle w:val="Bullet"/>
              <w:numPr>
                <w:ilvl w:val="0"/>
                <w:numId w:val="0"/>
              </w:numPr>
              <w:spacing w:before="0" w:after="0" w:line="360" w:lineRule="auto"/>
              <w:jc w:val="center"/>
              <w:rPr>
                <w:rFonts w:asciiTheme="minorHAnsi" w:eastAsiaTheme="minorEastAsia" w:hAnsiTheme="minorHAnsi"/>
              </w:rPr>
            </w:pPr>
            <w:r w:rsidRPr="00C4059A">
              <w:rPr>
                <w:rFonts w:asciiTheme="minorHAnsi" w:eastAsiaTheme="minorEastAsia" w:hAnsiTheme="minorHAnsi"/>
              </w:rPr>
              <w:t>3</w:t>
            </w:r>
            <w:r w:rsidR="00B1786D" w:rsidRPr="00C4059A">
              <w:rPr>
                <w:rFonts w:asciiTheme="minorHAnsi" w:eastAsiaTheme="minorEastAsia" w:hAnsiTheme="minorHAnsi"/>
              </w:rPr>
              <w:t>%</w:t>
            </w:r>
          </w:p>
        </w:tc>
      </w:tr>
      <w:tr w:rsidR="00A11B0C" w:rsidRPr="00CE4186" w14:paraId="33E09EC4" w14:textId="77777777" w:rsidTr="00C4059A">
        <w:tc>
          <w:tcPr>
            <w:tcW w:w="3969" w:type="dxa"/>
          </w:tcPr>
          <w:p w14:paraId="3299C52B" w14:textId="4FB9DA88" w:rsidR="00A11B0C" w:rsidRPr="00C4059A" w:rsidRDefault="00A11B0C" w:rsidP="00C4059A">
            <w:pPr>
              <w:pStyle w:val="Bullet"/>
              <w:numPr>
                <w:ilvl w:val="0"/>
                <w:numId w:val="0"/>
              </w:numPr>
              <w:spacing w:before="0" w:after="0"/>
              <w:rPr>
                <w:b/>
              </w:rPr>
            </w:pPr>
            <w:r w:rsidRPr="00C4059A">
              <w:rPr>
                <w:b/>
              </w:rPr>
              <w:t>4: Collaboration and partnership with and across sector</w:t>
            </w:r>
          </w:p>
        </w:tc>
        <w:tc>
          <w:tcPr>
            <w:tcW w:w="993" w:type="dxa"/>
            <w:vAlign w:val="center"/>
          </w:tcPr>
          <w:p w14:paraId="502DE274" w14:textId="724CEB5D" w:rsidR="00A11B0C" w:rsidRPr="00C4059A" w:rsidRDefault="00CE4186" w:rsidP="00C4059A">
            <w:pPr>
              <w:pStyle w:val="Bullet"/>
              <w:numPr>
                <w:ilvl w:val="0"/>
                <w:numId w:val="0"/>
              </w:numPr>
              <w:spacing w:before="0" w:after="0" w:line="360" w:lineRule="auto"/>
              <w:jc w:val="center"/>
              <w:rPr>
                <w:rFonts w:asciiTheme="minorHAnsi" w:eastAsiaTheme="minorEastAsia" w:hAnsiTheme="minorHAnsi"/>
              </w:rPr>
            </w:pPr>
            <w:r w:rsidRPr="00C4059A">
              <w:rPr>
                <w:rFonts w:asciiTheme="minorHAnsi" w:eastAsiaTheme="minorEastAsia" w:hAnsiTheme="minorHAnsi"/>
              </w:rPr>
              <w:t>16</w:t>
            </w:r>
            <w:r w:rsidR="00B1786D" w:rsidRPr="00C4059A">
              <w:rPr>
                <w:rFonts w:asciiTheme="minorHAnsi" w:eastAsiaTheme="minorEastAsia" w:hAnsiTheme="minorHAnsi"/>
              </w:rPr>
              <w:t>%</w:t>
            </w:r>
          </w:p>
        </w:tc>
        <w:tc>
          <w:tcPr>
            <w:tcW w:w="992" w:type="dxa"/>
            <w:vAlign w:val="center"/>
          </w:tcPr>
          <w:p w14:paraId="0B556232" w14:textId="1D05C475" w:rsidR="00A11B0C" w:rsidRPr="00C4059A" w:rsidRDefault="00CE4186" w:rsidP="00C4059A">
            <w:pPr>
              <w:pStyle w:val="Bullet"/>
              <w:numPr>
                <w:ilvl w:val="0"/>
                <w:numId w:val="0"/>
              </w:numPr>
              <w:spacing w:before="0" w:after="0" w:line="360" w:lineRule="auto"/>
              <w:jc w:val="center"/>
              <w:rPr>
                <w:rFonts w:asciiTheme="minorHAnsi" w:eastAsiaTheme="minorEastAsia" w:hAnsiTheme="minorHAnsi"/>
              </w:rPr>
            </w:pPr>
            <w:r w:rsidRPr="00C4059A">
              <w:rPr>
                <w:rFonts w:asciiTheme="minorHAnsi" w:eastAsiaTheme="minorEastAsia" w:hAnsiTheme="minorHAnsi"/>
              </w:rPr>
              <w:t>40</w:t>
            </w:r>
            <w:r w:rsidR="00B1786D" w:rsidRPr="00C4059A">
              <w:rPr>
                <w:rFonts w:asciiTheme="minorHAnsi" w:eastAsiaTheme="minorEastAsia" w:hAnsiTheme="minorHAnsi"/>
              </w:rPr>
              <w:t>%</w:t>
            </w:r>
          </w:p>
        </w:tc>
        <w:tc>
          <w:tcPr>
            <w:tcW w:w="992" w:type="dxa"/>
            <w:vAlign w:val="center"/>
          </w:tcPr>
          <w:p w14:paraId="65A4DAC6" w14:textId="004E3BC8" w:rsidR="00A11B0C" w:rsidRPr="00C4059A" w:rsidRDefault="00CE4186" w:rsidP="00C4059A">
            <w:pPr>
              <w:pStyle w:val="Bullet"/>
              <w:numPr>
                <w:ilvl w:val="0"/>
                <w:numId w:val="0"/>
              </w:numPr>
              <w:spacing w:before="0" w:after="0" w:line="360" w:lineRule="auto"/>
              <w:jc w:val="center"/>
              <w:rPr>
                <w:rFonts w:asciiTheme="minorHAnsi" w:eastAsiaTheme="minorEastAsia" w:hAnsiTheme="minorHAnsi"/>
              </w:rPr>
            </w:pPr>
            <w:r w:rsidRPr="00C4059A">
              <w:rPr>
                <w:rFonts w:asciiTheme="minorHAnsi" w:eastAsiaTheme="minorEastAsia" w:hAnsiTheme="minorHAnsi"/>
              </w:rPr>
              <w:t>38</w:t>
            </w:r>
            <w:r w:rsidR="00B1786D" w:rsidRPr="00C4059A">
              <w:rPr>
                <w:rFonts w:asciiTheme="minorHAnsi" w:eastAsiaTheme="minorEastAsia" w:hAnsiTheme="minorHAnsi"/>
              </w:rPr>
              <w:t>%</w:t>
            </w:r>
          </w:p>
        </w:tc>
        <w:tc>
          <w:tcPr>
            <w:tcW w:w="1134" w:type="dxa"/>
            <w:vAlign w:val="center"/>
          </w:tcPr>
          <w:p w14:paraId="0069CA21" w14:textId="16A24EBB" w:rsidR="00A11B0C" w:rsidRPr="00C4059A" w:rsidRDefault="00CE4186" w:rsidP="00C4059A">
            <w:pPr>
              <w:pStyle w:val="Bullet"/>
              <w:numPr>
                <w:ilvl w:val="0"/>
                <w:numId w:val="0"/>
              </w:numPr>
              <w:spacing w:before="0" w:after="0" w:line="360" w:lineRule="auto"/>
              <w:jc w:val="center"/>
              <w:rPr>
                <w:rFonts w:asciiTheme="minorHAnsi" w:eastAsiaTheme="minorEastAsia" w:hAnsiTheme="minorHAnsi"/>
              </w:rPr>
            </w:pPr>
            <w:r w:rsidRPr="00C4059A">
              <w:rPr>
                <w:rFonts w:asciiTheme="minorHAnsi" w:eastAsiaTheme="minorEastAsia" w:hAnsiTheme="minorHAnsi"/>
              </w:rPr>
              <w:t>6</w:t>
            </w:r>
            <w:r w:rsidR="00B1786D" w:rsidRPr="00C4059A">
              <w:rPr>
                <w:rFonts w:asciiTheme="minorHAnsi" w:eastAsiaTheme="minorEastAsia" w:hAnsiTheme="minorHAnsi"/>
              </w:rPr>
              <w:t>%</w:t>
            </w:r>
          </w:p>
        </w:tc>
        <w:tc>
          <w:tcPr>
            <w:tcW w:w="1099" w:type="dxa"/>
            <w:vAlign w:val="center"/>
          </w:tcPr>
          <w:p w14:paraId="757C128D" w14:textId="4134DC57" w:rsidR="00A11B0C" w:rsidRPr="00C4059A" w:rsidRDefault="00CE4186" w:rsidP="00C4059A">
            <w:pPr>
              <w:pStyle w:val="Bullet"/>
              <w:numPr>
                <w:ilvl w:val="0"/>
                <w:numId w:val="0"/>
              </w:numPr>
              <w:spacing w:before="0" w:after="0" w:line="360" w:lineRule="auto"/>
              <w:jc w:val="center"/>
              <w:rPr>
                <w:rFonts w:asciiTheme="minorHAnsi" w:eastAsiaTheme="minorEastAsia" w:hAnsiTheme="minorHAnsi"/>
              </w:rPr>
            </w:pPr>
            <w:r w:rsidRPr="00C4059A">
              <w:rPr>
                <w:rFonts w:asciiTheme="minorHAnsi" w:eastAsiaTheme="minorEastAsia" w:hAnsiTheme="minorHAnsi"/>
              </w:rPr>
              <w:t>1</w:t>
            </w:r>
            <w:r w:rsidR="00B1786D" w:rsidRPr="00C4059A">
              <w:rPr>
                <w:rFonts w:asciiTheme="minorHAnsi" w:eastAsiaTheme="minorEastAsia" w:hAnsiTheme="minorHAnsi"/>
              </w:rPr>
              <w:t>%</w:t>
            </w:r>
          </w:p>
        </w:tc>
      </w:tr>
      <w:tr w:rsidR="00A11B0C" w:rsidRPr="00CE4186" w14:paraId="5DFBD5FF" w14:textId="77777777" w:rsidTr="00C4059A">
        <w:tc>
          <w:tcPr>
            <w:tcW w:w="3969" w:type="dxa"/>
          </w:tcPr>
          <w:p w14:paraId="4B378A83" w14:textId="13B1240C" w:rsidR="00A11B0C" w:rsidRPr="00C4059A" w:rsidRDefault="00A11B0C" w:rsidP="00C4059A">
            <w:pPr>
              <w:pStyle w:val="Bullet"/>
              <w:numPr>
                <w:ilvl w:val="0"/>
                <w:numId w:val="0"/>
              </w:numPr>
              <w:spacing w:before="0" w:after="0"/>
              <w:rPr>
                <w:b/>
              </w:rPr>
            </w:pPr>
            <w:r w:rsidRPr="00C4059A">
              <w:rPr>
                <w:b/>
              </w:rPr>
              <w:t>5: Consistent regulatory actions and robust regulatory decisions</w:t>
            </w:r>
          </w:p>
        </w:tc>
        <w:tc>
          <w:tcPr>
            <w:tcW w:w="993" w:type="dxa"/>
            <w:vAlign w:val="center"/>
          </w:tcPr>
          <w:p w14:paraId="2CC99E1B" w14:textId="4C4E801D" w:rsidR="00A11B0C" w:rsidRPr="00C4059A" w:rsidRDefault="00CE4186" w:rsidP="00C4059A">
            <w:pPr>
              <w:pStyle w:val="Bullet"/>
              <w:numPr>
                <w:ilvl w:val="0"/>
                <w:numId w:val="0"/>
              </w:numPr>
              <w:spacing w:before="0" w:after="0" w:line="360" w:lineRule="auto"/>
              <w:jc w:val="center"/>
              <w:rPr>
                <w:rFonts w:asciiTheme="minorHAnsi" w:eastAsiaTheme="minorEastAsia" w:hAnsiTheme="minorHAnsi"/>
              </w:rPr>
            </w:pPr>
            <w:r w:rsidRPr="00C4059A">
              <w:rPr>
                <w:rFonts w:asciiTheme="minorHAnsi" w:eastAsiaTheme="minorEastAsia" w:hAnsiTheme="minorHAnsi"/>
              </w:rPr>
              <w:t>14</w:t>
            </w:r>
            <w:r w:rsidR="00B1786D" w:rsidRPr="00C4059A">
              <w:rPr>
                <w:rFonts w:asciiTheme="minorHAnsi" w:eastAsiaTheme="minorEastAsia" w:hAnsiTheme="minorHAnsi"/>
              </w:rPr>
              <w:t>%</w:t>
            </w:r>
          </w:p>
        </w:tc>
        <w:tc>
          <w:tcPr>
            <w:tcW w:w="992" w:type="dxa"/>
            <w:vAlign w:val="center"/>
          </w:tcPr>
          <w:p w14:paraId="4DC33578" w14:textId="36E6EEB9" w:rsidR="00A11B0C" w:rsidRPr="00C4059A" w:rsidRDefault="00CE4186" w:rsidP="00C4059A">
            <w:pPr>
              <w:pStyle w:val="Bullet"/>
              <w:numPr>
                <w:ilvl w:val="0"/>
                <w:numId w:val="0"/>
              </w:numPr>
              <w:spacing w:before="0" w:after="0" w:line="360" w:lineRule="auto"/>
              <w:jc w:val="center"/>
              <w:rPr>
                <w:rFonts w:asciiTheme="minorHAnsi" w:eastAsiaTheme="minorEastAsia" w:hAnsiTheme="minorHAnsi"/>
              </w:rPr>
            </w:pPr>
            <w:r w:rsidRPr="00C4059A">
              <w:rPr>
                <w:rFonts w:asciiTheme="minorHAnsi" w:eastAsiaTheme="minorEastAsia" w:hAnsiTheme="minorHAnsi"/>
              </w:rPr>
              <w:t>38</w:t>
            </w:r>
            <w:r w:rsidR="00F23407" w:rsidRPr="00C4059A">
              <w:rPr>
                <w:rFonts w:asciiTheme="minorHAnsi" w:eastAsiaTheme="minorEastAsia" w:hAnsiTheme="minorHAnsi"/>
              </w:rPr>
              <w:t>%</w:t>
            </w:r>
          </w:p>
        </w:tc>
        <w:tc>
          <w:tcPr>
            <w:tcW w:w="992" w:type="dxa"/>
            <w:vAlign w:val="center"/>
          </w:tcPr>
          <w:p w14:paraId="54E71742" w14:textId="13D8E736" w:rsidR="00A11B0C" w:rsidRPr="00C4059A" w:rsidRDefault="00CE4186" w:rsidP="00C4059A">
            <w:pPr>
              <w:pStyle w:val="Bullet"/>
              <w:numPr>
                <w:ilvl w:val="0"/>
                <w:numId w:val="0"/>
              </w:numPr>
              <w:spacing w:before="0" w:after="0" w:line="360" w:lineRule="auto"/>
              <w:jc w:val="center"/>
              <w:rPr>
                <w:rFonts w:asciiTheme="minorHAnsi" w:eastAsiaTheme="minorEastAsia" w:hAnsiTheme="minorHAnsi"/>
              </w:rPr>
            </w:pPr>
            <w:r w:rsidRPr="00C4059A">
              <w:rPr>
                <w:rFonts w:asciiTheme="minorHAnsi" w:eastAsiaTheme="minorEastAsia" w:hAnsiTheme="minorHAnsi"/>
              </w:rPr>
              <w:t>38</w:t>
            </w:r>
            <w:r w:rsidR="00B1786D" w:rsidRPr="00C4059A">
              <w:rPr>
                <w:rFonts w:asciiTheme="minorHAnsi" w:eastAsiaTheme="minorEastAsia" w:hAnsiTheme="minorHAnsi"/>
              </w:rPr>
              <w:t>%</w:t>
            </w:r>
          </w:p>
        </w:tc>
        <w:tc>
          <w:tcPr>
            <w:tcW w:w="1134" w:type="dxa"/>
            <w:vAlign w:val="center"/>
          </w:tcPr>
          <w:p w14:paraId="40741093" w14:textId="0C97127A" w:rsidR="00A11B0C" w:rsidRPr="00C4059A" w:rsidRDefault="00CE4186" w:rsidP="00C4059A">
            <w:pPr>
              <w:pStyle w:val="Bullet"/>
              <w:numPr>
                <w:ilvl w:val="0"/>
                <w:numId w:val="0"/>
              </w:numPr>
              <w:spacing w:before="0" w:after="0" w:line="360" w:lineRule="auto"/>
              <w:jc w:val="center"/>
              <w:rPr>
                <w:rFonts w:asciiTheme="minorHAnsi" w:eastAsiaTheme="minorEastAsia" w:hAnsiTheme="minorHAnsi"/>
              </w:rPr>
            </w:pPr>
            <w:r w:rsidRPr="00C4059A">
              <w:rPr>
                <w:rFonts w:asciiTheme="minorHAnsi" w:eastAsiaTheme="minorEastAsia" w:hAnsiTheme="minorHAnsi"/>
              </w:rPr>
              <w:t>7</w:t>
            </w:r>
            <w:r w:rsidR="00B1786D" w:rsidRPr="00C4059A">
              <w:rPr>
                <w:rFonts w:asciiTheme="minorHAnsi" w:eastAsiaTheme="minorEastAsia" w:hAnsiTheme="minorHAnsi"/>
              </w:rPr>
              <w:t>%</w:t>
            </w:r>
          </w:p>
        </w:tc>
        <w:tc>
          <w:tcPr>
            <w:tcW w:w="1099" w:type="dxa"/>
            <w:vAlign w:val="center"/>
          </w:tcPr>
          <w:p w14:paraId="3FACA9D3" w14:textId="66DE143F" w:rsidR="00A11B0C" w:rsidRPr="00C4059A" w:rsidRDefault="000E3792" w:rsidP="00C4059A">
            <w:pPr>
              <w:pStyle w:val="Bullet"/>
              <w:numPr>
                <w:ilvl w:val="0"/>
                <w:numId w:val="0"/>
              </w:numPr>
              <w:spacing w:before="0" w:after="0" w:line="360" w:lineRule="auto"/>
              <w:jc w:val="center"/>
              <w:rPr>
                <w:rFonts w:asciiTheme="minorHAnsi" w:eastAsiaTheme="minorEastAsia" w:hAnsiTheme="minorHAnsi"/>
              </w:rPr>
            </w:pPr>
            <w:r w:rsidRPr="00C4059A">
              <w:rPr>
                <w:rFonts w:asciiTheme="minorHAnsi" w:eastAsiaTheme="minorEastAsia" w:hAnsiTheme="minorHAnsi"/>
              </w:rPr>
              <w:t>3</w:t>
            </w:r>
            <w:r w:rsidR="00B1786D" w:rsidRPr="00C4059A">
              <w:rPr>
                <w:rFonts w:asciiTheme="minorHAnsi" w:eastAsiaTheme="minorEastAsia" w:hAnsiTheme="minorHAnsi"/>
              </w:rPr>
              <w:t>%</w:t>
            </w:r>
          </w:p>
        </w:tc>
      </w:tr>
      <w:tr w:rsidR="00A11B0C" w:rsidRPr="002F56B1" w14:paraId="63D3AE6E" w14:textId="77777777" w:rsidTr="00C4059A">
        <w:tc>
          <w:tcPr>
            <w:tcW w:w="3969" w:type="dxa"/>
          </w:tcPr>
          <w:p w14:paraId="214D8961" w14:textId="47FAAADD" w:rsidR="00A11B0C" w:rsidRPr="00C4059A" w:rsidRDefault="00A11B0C" w:rsidP="00C4059A">
            <w:pPr>
              <w:pStyle w:val="Bullet"/>
              <w:numPr>
                <w:ilvl w:val="0"/>
                <w:numId w:val="0"/>
              </w:numPr>
              <w:spacing w:before="0" w:after="0"/>
              <w:rPr>
                <w:b/>
              </w:rPr>
            </w:pPr>
            <w:r w:rsidRPr="00C4059A">
              <w:rPr>
                <w:b/>
              </w:rPr>
              <w:t>6: Balance between minimising harm, sustainable funding for communities and sector sustainability</w:t>
            </w:r>
          </w:p>
        </w:tc>
        <w:tc>
          <w:tcPr>
            <w:tcW w:w="993" w:type="dxa"/>
            <w:vAlign w:val="center"/>
          </w:tcPr>
          <w:p w14:paraId="369C1DBD" w14:textId="57306B95" w:rsidR="00A11B0C" w:rsidRPr="00C4059A" w:rsidRDefault="00CE4186" w:rsidP="00C4059A">
            <w:pPr>
              <w:pStyle w:val="Bullet"/>
              <w:numPr>
                <w:ilvl w:val="0"/>
                <w:numId w:val="0"/>
              </w:numPr>
              <w:spacing w:before="0" w:after="0" w:line="360" w:lineRule="auto"/>
              <w:jc w:val="center"/>
              <w:rPr>
                <w:rFonts w:asciiTheme="minorHAnsi" w:eastAsiaTheme="minorEastAsia" w:hAnsiTheme="minorHAnsi"/>
              </w:rPr>
            </w:pPr>
            <w:r w:rsidRPr="00C4059A">
              <w:rPr>
                <w:rFonts w:asciiTheme="minorHAnsi" w:eastAsiaTheme="minorEastAsia" w:hAnsiTheme="minorHAnsi"/>
              </w:rPr>
              <w:t>14</w:t>
            </w:r>
            <w:r w:rsidR="00B1786D" w:rsidRPr="00C4059A">
              <w:rPr>
                <w:rFonts w:asciiTheme="minorHAnsi" w:eastAsiaTheme="minorEastAsia" w:hAnsiTheme="minorHAnsi"/>
              </w:rPr>
              <w:t>%</w:t>
            </w:r>
          </w:p>
        </w:tc>
        <w:tc>
          <w:tcPr>
            <w:tcW w:w="992" w:type="dxa"/>
            <w:vAlign w:val="center"/>
          </w:tcPr>
          <w:p w14:paraId="1E2DAAC9" w14:textId="3967446B" w:rsidR="00A11B0C" w:rsidRPr="00C4059A" w:rsidRDefault="00CE4186" w:rsidP="00C4059A">
            <w:pPr>
              <w:pStyle w:val="Bullet"/>
              <w:numPr>
                <w:ilvl w:val="0"/>
                <w:numId w:val="0"/>
              </w:numPr>
              <w:spacing w:before="0" w:after="0" w:line="360" w:lineRule="auto"/>
              <w:jc w:val="center"/>
              <w:rPr>
                <w:rFonts w:asciiTheme="minorHAnsi" w:eastAsiaTheme="minorEastAsia" w:hAnsiTheme="minorHAnsi"/>
              </w:rPr>
            </w:pPr>
            <w:r w:rsidRPr="00C4059A">
              <w:rPr>
                <w:rFonts w:asciiTheme="minorHAnsi" w:eastAsiaTheme="minorEastAsia" w:hAnsiTheme="minorHAnsi"/>
              </w:rPr>
              <w:t>41</w:t>
            </w:r>
            <w:r w:rsidR="00B1786D" w:rsidRPr="00C4059A">
              <w:rPr>
                <w:rFonts w:asciiTheme="minorHAnsi" w:eastAsiaTheme="minorEastAsia" w:hAnsiTheme="minorHAnsi"/>
              </w:rPr>
              <w:t>%</w:t>
            </w:r>
          </w:p>
        </w:tc>
        <w:tc>
          <w:tcPr>
            <w:tcW w:w="992" w:type="dxa"/>
            <w:vAlign w:val="center"/>
          </w:tcPr>
          <w:p w14:paraId="58FDB3AA" w14:textId="6CC0A061" w:rsidR="00A11B0C" w:rsidRPr="00C4059A" w:rsidRDefault="00CE4186" w:rsidP="00C4059A">
            <w:pPr>
              <w:pStyle w:val="Bullet"/>
              <w:numPr>
                <w:ilvl w:val="0"/>
                <w:numId w:val="0"/>
              </w:numPr>
              <w:spacing w:before="0" w:after="0" w:line="360" w:lineRule="auto"/>
              <w:jc w:val="center"/>
              <w:rPr>
                <w:rFonts w:asciiTheme="minorHAnsi" w:eastAsiaTheme="minorEastAsia" w:hAnsiTheme="minorHAnsi"/>
              </w:rPr>
            </w:pPr>
            <w:r w:rsidRPr="00C4059A">
              <w:rPr>
                <w:rFonts w:asciiTheme="minorHAnsi" w:eastAsiaTheme="minorEastAsia" w:hAnsiTheme="minorHAnsi"/>
              </w:rPr>
              <w:t>30</w:t>
            </w:r>
            <w:r w:rsidR="00B1786D" w:rsidRPr="00C4059A">
              <w:rPr>
                <w:rFonts w:asciiTheme="minorHAnsi" w:eastAsiaTheme="minorEastAsia" w:hAnsiTheme="minorHAnsi"/>
              </w:rPr>
              <w:t>%</w:t>
            </w:r>
          </w:p>
        </w:tc>
        <w:tc>
          <w:tcPr>
            <w:tcW w:w="1134" w:type="dxa"/>
            <w:vAlign w:val="center"/>
          </w:tcPr>
          <w:p w14:paraId="17E26803" w14:textId="7DAE75CD" w:rsidR="00A11B0C" w:rsidRPr="00C4059A" w:rsidRDefault="00CE4186" w:rsidP="00C4059A">
            <w:pPr>
              <w:pStyle w:val="Bullet"/>
              <w:numPr>
                <w:ilvl w:val="0"/>
                <w:numId w:val="0"/>
              </w:numPr>
              <w:spacing w:before="0" w:after="0" w:line="360" w:lineRule="auto"/>
              <w:jc w:val="center"/>
              <w:rPr>
                <w:rFonts w:asciiTheme="minorHAnsi" w:eastAsiaTheme="minorEastAsia" w:hAnsiTheme="minorHAnsi"/>
              </w:rPr>
            </w:pPr>
            <w:r w:rsidRPr="00C4059A">
              <w:rPr>
                <w:rFonts w:asciiTheme="minorHAnsi" w:eastAsiaTheme="minorEastAsia" w:hAnsiTheme="minorHAnsi"/>
              </w:rPr>
              <w:t>11</w:t>
            </w:r>
            <w:r w:rsidR="00B1786D" w:rsidRPr="00C4059A">
              <w:rPr>
                <w:rFonts w:asciiTheme="minorHAnsi" w:eastAsiaTheme="minorEastAsia" w:hAnsiTheme="minorHAnsi"/>
              </w:rPr>
              <w:t>%</w:t>
            </w:r>
          </w:p>
        </w:tc>
        <w:tc>
          <w:tcPr>
            <w:tcW w:w="1099" w:type="dxa"/>
            <w:vAlign w:val="center"/>
          </w:tcPr>
          <w:p w14:paraId="63BCFA1A" w14:textId="71688C14" w:rsidR="00A11B0C" w:rsidRPr="00C4059A" w:rsidRDefault="000E3792" w:rsidP="00C4059A">
            <w:pPr>
              <w:pStyle w:val="Bullet"/>
              <w:numPr>
                <w:ilvl w:val="0"/>
                <w:numId w:val="0"/>
              </w:numPr>
              <w:spacing w:before="0" w:after="0" w:line="360" w:lineRule="auto"/>
              <w:jc w:val="center"/>
              <w:rPr>
                <w:rFonts w:asciiTheme="minorHAnsi" w:eastAsiaTheme="minorEastAsia" w:hAnsiTheme="minorHAnsi"/>
              </w:rPr>
            </w:pPr>
            <w:r w:rsidRPr="00C4059A">
              <w:rPr>
                <w:rFonts w:asciiTheme="minorHAnsi" w:eastAsiaTheme="minorEastAsia" w:hAnsiTheme="minorHAnsi"/>
              </w:rPr>
              <w:t>3</w:t>
            </w:r>
            <w:r w:rsidR="00B1786D" w:rsidRPr="00C4059A">
              <w:rPr>
                <w:rFonts w:asciiTheme="minorHAnsi" w:eastAsiaTheme="minorEastAsia" w:hAnsiTheme="minorHAnsi"/>
              </w:rPr>
              <w:t>%</w:t>
            </w:r>
          </w:p>
        </w:tc>
      </w:tr>
    </w:tbl>
    <w:p w14:paraId="17D22C43" w14:textId="61757F15" w:rsidR="00E05FEF" w:rsidRPr="00C4059A" w:rsidRDefault="00E803FC" w:rsidP="00C4059A">
      <w:pPr>
        <w:pStyle w:val="Bullet"/>
        <w:numPr>
          <w:ilvl w:val="0"/>
          <w:numId w:val="0"/>
        </w:numPr>
        <w:spacing w:before="120" w:after="240"/>
        <w:rPr>
          <w:rFonts w:eastAsia="Calibri" w:cs="Calibri"/>
          <w:color w:val="000000"/>
          <w:bdr w:val="nil"/>
          <w:lang w:val="en-US" w:eastAsia="en-NZ"/>
        </w:rPr>
      </w:pPr>
      <w:r w:rsidRPr="00C4059A">
        <w:rPr>
          <w:rFonts w:eastAsia="Calibri" w:cs="Calibri"/>
          <w:color w:val="000000"/>
          <w:bdr w:val="nil"/>
          <w:lang w:val="en-US" w:eastAsia="en-NZ"/>
        </w:rPr>
        <w:t>Figure 10</w:t>
      </w:r>
      <w:r w:rsidR="00E05FEF" w:rsidRPr="00C4059A">
        <w:rPr>
          <w:rFonts w:eastAsia="Calibri" w:cs="Calibri"/>
          <w:color w:val="000000"/>
          <w:bdr w:val="nil"/>
          <w:lang w:val="en-US" w:eastAsia="en-NZ"/>
        </w:rPr>
        <w:t xml:space="preserve"> </w:t>
      </w:r>
      <w:r w:rsidR="00593477" w:rsidRPr="00C4059A">
        <w:rPr>
          <w:rFonts w:eastAsia="Calibri" w:cs="Calibri"/>
          <w:color w:val="000000"/>
          <w:bdr w:val="nil"/>
          <w:lang w:val="en-US" w:eastAsia="en-NZ"/>
        </w:rPr>
        <w:t xml:space="preserve">shows the percentage for selection for each objective. </w:t>
      </w:r>
    </w:p>
    <w:p w14:paraId="61A24548" w14:textId="13181D77" w:rsidR="004A434D" w:rsidRPr="00C4059A" w:rsidRDefault="00F21EA9" w:rsidP="00C4059A">
      <w:pPr>
        <w:pStyle w:val="Bullet"/>
        <w:numPr>
          <w:ilvl w:val="0"/>
          <w:numId w:val="0"/>
        </w:numPr>
        <w:spacing w:before="120" w:after="240"/>
        <w:rPr>
          <w:rFonts w:eastAsia="Calibri" w:cs="Calibri"/>
          <w:color w:val="000000"/>
          <w:highlight w:val="yellow"/>
          <w:bdr w:val="nil"/>
          <w:lang w:val="en-US" w:eastAsia="en-NZ"/>
        </w:rPr>
      </w:pPr>
      <w:r w:rsidRPr="00C4059A">
        <w:rPr>
          <w:rFonts w:eastAsia="Calibri" w:cs="Calibri"/>
          <w:color w:val="000000"/>
          <w:bdr w:val="nil"/>
          <w:lang w:val="en-US" w:eastAsia="en-NZ"/>
        </w:rPr>
        <w:t xml:space="preserve">The response </w:t>
      </w:r>
      <w:r w:rsidR="003A6E3B" w:rsidRPr="00C4059A">
        <w:rPr>
          <w:rFonts w:eastAsia="Calibri" w:cs="Calibri"/>
          <w:color w:val="000000"/>
          <w:bdr w:val="nil"/>
          <w:lang w:val="en-US" w:eastAsia="en-NZ"/>
        </w:rPr>
        <w:t>patterns across all objectives were</w:t>
      </w:r>
      <w:r w:rsidR="006472CC" w:rsidRPr="00C4059A">
        <w:rPr>
          <w:rFonts w:eastAsia="Calibri" w:cs="Calibri"/>
          <w:color w:val="000000"/>
          <w:bdr w:val="nil"/>
          <w:lang w:val="en-US" w:eastAsia="en-NZ"/>
        </w:rPr>
        <w:t xml:space="preserve"> quite </w:t>
      </w:r>
      <w:r w:rsidR="008A1932" w:rsidRPr="00C4059A">
        <w:rPr>
          <w:rFonts w:eastAsia="Calibri" w:cs="Calibri"/>
          <w:color w:val="000000"/>
          <w:bdr w:val="nil"/>
          <w:lang w:val="en-US" w:eastAsia="en-NZ"/>
        </w:rPr>
        <w:t>similar</w:t>
      </w:r>
      <w:r w:rsidRPr="00C4059A">
        <w:rPr>
          <w:rFonts w:eastAsia="Calibri" w:cs="Calibri"/>
          <w:color w:val="000000"/>
          <w:bdr w:val="nil"/>
          <w:lang w:val="en-US" w:eastAsia="en-NZ"/>
        </w:rPr>
        <w:t>.</w:t>
      </w:r>
      <w:r w:rsidR="003429D8" w:rsidRPr="00C4059A">
        <w:rPr>
          <w:rFonts w:eastAsia="Calibri" w:cs="Calibri"/>
          <w:color w:val="000000"/>
          <w:bdr w:val="nil"/>
          <w:lang w:val="en-US" w:eastAsia="en-NZ"/>
        </w:rPr>
        <w:t xml:space="preserve"> The m</w:t>
      </w:r>
      <w:r w:rsidR="008A1932" w:rsidRPr="00C4059A">
        <w:rPr>
          <w:rFonts w:eastAsia="Calibri" w:cs="Calibri"/>
          <w:color w:val="000000"/>
          <w:bdr w:val="nil"/>
          <w:lang w:val="en-US" w:eastAsia="en-NZ"/>
        </w:rPr>
        <w:t>ost</w:t>
      </w:r>
      <w:r w:rsidR="00782B6C" w:rsidRPr="00C4059A">
        <w:rPr>
          <w:rFonts w:eastAsia="Calibri" w:cs="Calibri"/>
          <w:color w:val="000000"/>
          <w:bdr w:val="nil"/>
          <w:lang w:val="en-US" w:eastAsia="en-NZ"/>
        </w:rPr>
        <w:t xml:space="preserve"> common response for each was </w:t>
      </w:r>
      <w:r w:rsidR="00012C52" w:rsidRPr="00C4059A">
        <w:rPr>
          <w:rFonts w:eastAsia="Calibri" w:cs="Calibri"/>
          <w:color w:val="000000"/>
          <w:bdr w:val="nil"/>
          <w:lang w:val="en-US" w:eastAsia="en-NZ"/>
        </w:rPr>
        <w:t>“</w:t>
      </w:r>
      <w:r w:rsidR="003429D8" w:rsidRPr="00C4059A">
        <w:rPr>
          <w:rFonts w:eastAsia="Calibri" w:cs="Calibri"/>
          <w:color w:val="000000"/>
          <w:bdr w:val="nil"/>
          <w:lang w:val="en-US" w:eastAsia="en-NZ"/>
        </w:rPr>
        <w:t>agree</w:t>
      </w:r>
      <w:r w:rsidR="00012C52" w:rsidRPr="00C4059A">
        <w:rPr>
          <w:rFonts w:eastAsia="Calibri" w:cs="Calibri"/>
          <w:color w:val="000000"/>
          <w:bdr w:val="nil"/>
          <w:lang w:val="en-US" w:eastAsia="en-NZ"/>
        </w:rPr>
        <w:t>”</w:t>
      </w:r>
      <w:r w:rsidR="00782B6C" w:rsidRPr="00C4059A">
        <w:rPr>
          <w:rFonts w:eastAsia="Calibri" w:cs="Calibri"/>
          <w:color w:val="000000"/>
          <w:bdr w:val="nil"/>
          <w:lang w:val="en-US" w:eastAsia="en-NZ"/>
        </w:rPr>
        <w:t xml:space="preserve"> followed by </w:t>
      </w:r>
      <w:r w:rsidR="00012C52" w:rsidRPr="00C4059A">
        <w:rPr>
          <w:rFonts w:eastAsia="Calibri" w:cs="Calibri"/>
          <w:color w:val="000000"/>
          <w:bdr w:val="nil"/>
          <w:lang w:val="en-US" w:eastAsia="en-NZ"/>
        </w:rPr>
        <w:t>“</w:t>
      </w:r>
      <w:r w:rsidR="003429D8" w:rsidRPr="00C4059A">
        <w:rPr>
          <w:rFonts w:eastAsia="Calibri" w:cs="Calibri"/>
          <w:color w:val="000000"/>
          <w:bdr w:val="nil"/>
          <w:lang w:val="en-US" w:eastAsia="en-NZ"/>
        </w:rPr>
        <w:t>n</w:t>
      </w:r>
      <w:r w:rsidR="008A1932" w:rsidRPr="00C4059A">
        <w:rPr>
          <w:rFonts w:eastAsia="Calibri" w:cs="Calibri"/>
          <w:color w:val="000000"/>
          <w:bdr w:val="nil"/>
          <w:lang w:val="en-US" w:eastAsia="en-NZ"/>
        </w:rPr>
        <w:t>eutral</w:t>
      </w:r>
      <w:r w:rsidR="00012C52" w:rsidRPr="00C4059A">
        <w:rPr>
          <w:rFonts w:eastAsia="Calibri" w:cs="Calibri"/>
          <w:color w:val="000000"/>
          <w:bdr w:val="nil"/>
          <w:lang w:val="en-US" w:eastAsia="en-NZ"/>
        </w:rPr>
        <w:t>”</w:t>
      </w:r>
      <w:r w:rsidRPr="00C4059A">
        <w:rPr>
          <w:rFonts w:eastAsia="Calibri" w:cs="Calibri"/>
          <w:color w:val="000000"/>
          <w:bdr w:val="nil"/>
          <w:lang w:val="en-US" w:eastAsia="en-NZ"/>
        </w:rPr>
        <w:t>.</w:t>
      </w:r>
      <w:r w:rsidR="005517C1" w:rsidRPr="00C4059A">
        <w:rPr>
          <w:rFonts w:eastAsia="Calibri" w:cs="Calibri"/>
          <w:color w:val="000000"/>
          <w:bdr w:val="nil"/>
          <w:lang w:val="en-US" w:eastAsia="en-NZ"/>
        </w:rPr>
        <w:t xml:space="preserve"> </w:t>
      </w:r>
      <w:r w:rsidR="00782B6C" w:rsidRPr="00C4059A">
        <w:rPr>
          <w:rFonts w:eastAsia="Calibri" w:cs="Calibri"/>
          <w:color w:val="000000"/>
          <w:bdr w:val="nil"/>
          <w:lang w:val="en-US" w:eastAsia="en-NZ"/>
        </w:rPr>
        <w:t>Clubs and</w:t>
      </w:r>
      <w:r w:rsidR="004A434D" w:rsidRPr="00C4059A">
        <w:rPr>
          <w:rFonts w:eastAsia="Calibri" w:cs="Calibri"/>
          <w:color w:val="000000"/>
          <w:bdr w:val="nil"/>
          <w:lang w:val="en-US" w:eastAsia="en-NZ"/>
        </w:rPr>
        <w:t xml:space="preserve"> </w:t>
      </w:r>
      <w:r w:rsidR="00EA3678" w:rsidRPr="00C4059A">
        <w:rPr>
          <w:rFonts w:eastAsia="Calibri" w:cs="Calibri"/>
          <w:color w:val="000000"/>
          <w:bdr w:val="nil"/>
          <w:lang w:val="en-US" w:eastAsia="en-NZ"/>
        </w:rPr>
        <w:t>c</w:t>
      </w:r>
      <w:r w:rsidR="004A434D" w:rsidRPr="00C4059A">
        <w:rPr>
          <w:rFonts w:eastAsia="Calibri" w:cs="Calibri"/>
          <w:color w:val="000000"/>
          <w:bdr w:val="nil"/>
          <w:lang w:val="en-US" w:eastAsia="en-NZ"/>
        </w:rPr>
        <w:t xml:space="preserve">lass 4 non-club societies </w:t>
      </w:r>
      <w:r w:rsidR="0099349D" w:rsidRPr="00C4059A">
        <w:rPr>
          <w:rFonts w:eastAsia="Calibri" w:cs="Calibri"/>
          <w:color w:val="000000"/>
          <w:bdr w:val="nil"/>
          <w:lang w:val="en-US" w:eastAsia="en-NZ"/>
        </w:rPr>
        <w:t xml:space="preserve">were more likely to </w:t>
      </w:r>
      <w:r w:rsidR="004A434D" w:rsidRPr="00C4059A">
        <w:rPr>
          <w:rFonts w:eastAsia="Calibri" w:cs="Calibri"/>
          <w:color w:val="000000"/>
          <w:bdr w:val="nil"/>
          <w:lang w:val="en-US" w:eastAsia="en-NZ"/>
        </w:rPr>
        <w:t>agree that th</w:t>
      </w:r>
      <w:r w:rsidR="00782B6C" w:rsidRPr="00C4059A">
        <w:rPr>
          <w:rFonts w:eastAsia="Calibri" w:cs="Calibri"/>
          <w:color w:val="000000"/>
          <w:bdr w:val="nil"/>
          <w:lang w:val="en-US" w:eastAsia="en-NZ"/>
        </w:rPr>
        <w:t xml:space="preserve">e Department is meeting their </w:t>
      </w:r>
      <w:r w:rsidR="004A434D" w:rsidRPr="00C4059A">
        <w:rPr>
          <w:rFonts w:eastAsia="Calibri" w:cs="Calibri"/>
          <w:color w:val="000000"/>
          <w:bdr w:val="nil"/>
          <w:lang w:val="en-US" w:eastAsia="en-NZ"/>
        </w:rPr>
        <w:t>objectives</w:t>
      </w:r>
      <w:r w:rsidR="0099349D" w:rsidRPr="00C4059A">
        <w:rPr>
          <w:rFonts w:eastAsia="Calibri" w:cs="Calibri"/>
          <w:color w:val="000000"/>
          <w:bdr w:val="nil"/>
          <w:lang w:val="en-US" w:eastAsia="en-NZ"/>
        </w:rPr>
        <w:t xml:space="preserve"> than other stakeholder groups</w:t>
      </w:r>
      <w:r w:rsidR="004A434D" w:rsidRPr="00C4059A">
        <w:rPr>
          <w:rFonts w:eastAsia="Calibri" w:cs="Calibri"/>
          <w:color w:val="000000"/>
          <w:bdr w:val="nil"/>
          <w:lang w:val="en-US" w:eastAsia="en-NZ"/>
        </w:rPr>
        <w:t xml:space="preserve">. </w:t>
      </w:r>
    </w:p>
    <w:p w14:paraId="2FF47C8A" w14:textId="246254C4" w:rsidR="00D577B4" w:rsidRPr="00C4059A" w:rsidRDefault="008A1932" w:rsidP="00C4059A">
      <w:pPr>
        <w:pStyle w:val="Bullet"/>
        <w:numPr>
          <w:ilvl w:val="0"/>
          <w:numId w:val="0"/>
        </w:numPr>
        <w:spacing w:before="120" w:after="240"/>
        <w:rPr>
          <w:rFonts w:eastAsia="Calibri" w:cs="Calibri"/>
          <w:color w:val="000000"/>
          <w:bdr w:val="nil"/>
          <w:lang w:val="en-US" w:eastAsia="en-NZ"/>
        </w:rPr>
      </w:pPr>
      <w:r w:rsidRPr="00C4059A">
        <w:rPr>
          <w:rFonts w:eastAsia="Calibri" w:cs="Calibri"/>
          <w:color w:val="000000"/>
          <w:bdr w:val="nil"/>
          <w:lang w:val="en-US" w:eastAsia="en-NZ"/>
        </w:rPr>
        <w:t xml:space="preserve">The </w:t>
      </w:r>
      <w:r w:rsidR="003A6E3B" w:rsidRPr="00C4059A">
        <w:rPr>
          <w:rFonts w:eastAsia="Calibri" w:cs="Calibri"/>
          <w:color w:val="000000"/>
          <w:bdr w:val="nil"/>
          <w:lang w:val="en-US" w:eastAsia="en-NZ"/>
        </w:rPr>
        <w:t>objective</w:t>
      </w:r>
      <w:r w:rsidR="005F13A9" w:rsidRPr="00C4059A">
        <w:rPr>
          <w:rFonts w:eastAsia="Calibri" w:cs="Calibri"/>
          <w:color w:val="000000"/>
          <w:bdr w:val="nil"/>
          <w:lang w:val="en-US" w:eastAsia="en-NZ"/>
        </w:rPr>
        <w:t>s</w:t>
      </w:r>
      <w:r w:rsidR="003A6E3B" w:rsidRPr="00C4059A">
        <w:rPr>
          <w:rFonts w:eastAsia="Calibri" w:cs="Calibri"/>
          <w:color w:val="000000"/>
          <w:bdr w:val="nil"/>
          <w:lang w:val="en-US" w:eastAsia="en-NZ"/>
        </w:rPr>
        <w:t xml:space="preserve"> with the </w:t>
      </w:r>
      <w:r w:rsidR="003429D8" w:rsidRPr="00C4059A">
        <w:rPr>
          <w:rFonts w:eastAsia="Calibri" w:cs="Calibri"/>
          <w:color w:val="000000"/>
          <w:bdr w:val="nil"/>
          <w:lang w:val="en-US" w:eastAsia="en-NZ"/>
        </w:rPr>
        <w:t xml:space="preserve">highest </w:t>
      </w:r>
      <w:r w:rsidR="00417656" w:rsidRPr="00C4059A">
        <w:rPr>
          <w:rFonts w:eastAsia="Calibri" w:cs="Calibri"/>
          <w:color w:val="000000"/>
          <w:bdr w:val="nil"/>
          <w:lang w:val="en-US" w:eastAsia="en-NZ"/>
        </w:rPr>
        <w:t xml:space="preserve">proportion of respondents who strongly agreed with the statement </w:t>
      </w:r>
      <w:r w:rsidR="005F13A9" w:rsidRPr="00C4059A">
        <w:rPr>
          <w:rFonts w:eastAsia="Calibri" w:cs="Calibri"/>
          <w:color w:val="000000"/>
          <w:bdr w:val="nil"/>
          <w:lang w:val="en-US" w:eastAsia="en-NZ"/>
        </w:rPr>
        <w:t>were related to grant making th</w:t>
      </w:r>
      <w:r w:rsidR="00DD4998" w:rsidRPr="00C4059A">
        <w:rPr>
          <w:rFonts w:eastAsia="Calibri" w:cs="Calibri"/>
          <w:color w:val="000000"/>
          <w:bdr w:val="nil"/>
          <w:lang w:val="en-US" w:eastAsia="en-NZ"/>
        </w:rPr>
        <w:t>at</w:t>
      </w:r>
      <w:r w:rsidR="005F13A9" w:rsidRPr="00C4059A">
        <w:rPr>
          <w:rFonts w:eastAsia="Calibri" w:cs="Calibri"/>
          <w:color w:val="000000"/>
          <w:bdr w:val="nil"/>
          <w:lang w:val="en-US" w:eastAsia="en-NZ"/>
        </w:rPr>
        <w:t xml:space="preserve"> meets community needs and collaboration and partnership with and across the sector</w:t>
      </w:r>
      <w:r w:rsidR="00D577B4" w:rsidRPr="00C4059A">
        <w:rPr>
          <w:rFonts w:eastAsia="Calibri" w:cs="Calibri"/>
          <w:color w:val="000000"/>
          <w:bdr w:val="nil"/>
          <w:lang w:val="en-US" w:eastAsia="en-NZ"/>
        </w:rPr>
        <w:t>.</w:t>
      </w:r>
      <w:r w:rsidR="003429D8" w:rsidRPr="00C4059A">
        <w:rPr>
          <w:rFonts w:eastAsia="Calibri" w:cs="Calibri"/>
          <w:color w:val="000000"/>
          <w:bdr w:val="nil"/>
          <w:lang w:val="en-US" w:eastAsia="en-NZ"/>
        </w:rPr>
        <w:t xml:space="preserve"> While t</w:t>
      </w:r>
      <w:r w:rsidR="00E05FEF" w:rsidRPr="00C4059A">
        <w:rPr>
          <w:rFonts w:eastAsia="Calibri" w:cs="Calibri"/>
          <w:color w:val="000000"/>
          <w:bdr w:val="nil"/>
          <w:lang w:val="en-US" w:eastAsia="en-NZ"/>
        </w:rPr>
        <w:t xml:space="preserve">he objective with the highest proportion of </w:t>
      </w:r>
      <w:r w:rsidR="00F9706F" w:rsidRPr="00C4059A">
        <w:rPr>
          <w:rFonts w:eastAsia="Calibri" w:cs="Calibri"/>
          <w:color w:val="000000"/>
          <w:bdr w:val="nil"/>
          <w:lang w:val="en-US" w:eastAsia="en-NZ"/>
        </w:rPr>
        <w:t>“</w:t>
      </w:r>
      <w:r w:rsidR="00E05FEF" w:rsidRPr="00C4059A">
        <w:rPr>
          <w:rFonts w:eastAsia="Calibri" w:cs="Calibri"/>
          <w:color w:val="000000"/>
          <w:bdr w:val="nil"/>
          <w:lang w:val="en-US" w:eastAsia="en-NZ"/>
        </w:rPr>
        <w:t>disagree</w:t>
      </w:r>
      <w:r w:rsidR="00F9706F" w:rsidRPr="00C4059A">
        <w:rPr>
          <w:rFonts w:eastAsia="Calibri" w:cs="Calibri"/>
          <w:color w:val="000000"/>
          <w:bdr w:val="nil"/>
          <w:lang w:val="en-US" w:eastAsia="en-NZ"/>
        </w:rPr>
        <w:t>”</w:t>
      </w:r>
      <w:r w:rsidR="00E05FEF" w:rsidRPr="00C4059A">
        <w:rPr>
          <w:rFonts w:eastAsia="Calibri" w:cs="Calibri"/>
          <w:color w:val="000000"/>
          <w:bdr w:val="nil"/>
          <w:lang w:val="en-US" w:eastAsia="en-NZ"/>
        </w:rPr>
        <w:t xml:space="preserve"> or</w:t>
      </w:r>
      <w:r w:rsidR="00DD2A90" w:rsidRPr="00C4059A">
        <w:rPr>
          <w:rFonts w:eastAsia="Calibri" w:cs="Calibri"/>
          <w:color w:val="000000"/>
          <w:bdr w:val="nil"/>
          <w:lang w:val="en-US" w:eastAsia="en-NZ"/>
        </w:rPr>
        <w:t xml:space="preserve"> </w:t>
      </w:r>
      <w:r w:rsidR="00F9706F" w:rsidRPr="00C4059A">
        <w:rPr>
          <w:rFonts w:eastAsia="Calibri" w:cs="Calibri"/>
          <w:color w:val="000000"/>
          <w:bdr w:val="nil"/>
          <w:lang w:val="en-US" w:eastAsia="en-NZ"/>
        </w:rPr>
        <w:t>“</w:t>
      </w:r>
      <w:r w:rsidR="005F0687" w:rsidRPr="00C4059A">
        <w:rPr>
          <w:rFonts w:eastAsia="Calibri" w:cs="Calibri"/>
          <w:color w:val="000000"/>
          <w:bdr w:val="nil"/>
          <w:lang w:val="en-US" w:eastAsia="en-NZ"/>
        </w:rPr>
        <w:t>strongly disagree</w:t>
      </w:r>
      <w:r w:rsidR="00F9706F" w:rsidRPr="00C4059A">
        <w:rPr>
          <w:rFonts w:eastAsia="Calibri" w:cs="Calibri"/>
          <w:color w:val="000000"/>
          <w:bdr w:val="nil"/>
          <w:lang w:val="en-US" w:eastAsia="en-NZ"/>
        </w:rPr>
        <w:t>”</w:t>
      </w:r>
      <w:r w:rsidR="005F0687" w:rsidRPr="00C4059A">
        <w:rPr>
          <w:rFonts w:eastAsia="Calibri" w:cs="Calibri"/>
          <w:color w:val="000000"/>
          <w:bdr w:val="nil"/>
          <w:lang w:val="en-US" w:eastAsia="en-NZ"/>
        </w:rPr>
        <w:t xml:space="preserve"> responses was</w:t>
      </w:r>
      <w:r w:rsidR="003429D8" w:rsidRPr="00C4059A">
        <w:rPr>
          <w:rFonts w:eastAsia="Calibri" w:cs="Calibri"/>
          <w:color w:val="000000"/>
          <w:bdr w:val="nil"/>
          <w:lang w:val="en-US" w:eastAsia="en-NZ"/>
        </w:rPr>
        <w:t xml:space="preserve"> about striking </w:t>
      </w:r>
      <w:r w:rsidR="00D577B4" w:rsidRPr="00C4059A">
        <w:rPr>
          <w:rFonts w:eastAsia="Calibri" w:cs="Calibri"/>
          <w:color w:val="000000"/>
          <w:bdr w:val="nil"/>
          <w:lang w:val="en-US" w:eastAsia="en-NZ"/>
        </w:rPr>
        <w:t xml:space="preserve">the right balance between </w:t>
      </w:r>
      <w:proofErr w:type="spellStart"/>
      <w:r w:rsidR="00D577B4" w:rsidRPr="00C4059A">
        <w:rPr>
          <w:rFonts w:eastAsia="Calibri" w:cs="Calibri"/>
          <w:color w:val="000000"/>
          <w:bdr w:val="nil"/>
          <w:lang w:val="en-US" w:eastAsia="en-NZ"/>
        </w:rPr>
        <w:t>minimising</w:t>
      </w:r>
      <w:proofErr w:type="spellEnd"/>
      <w:r w:rsidR="00D577B4" w:rsidRPr="00C4059A">
        <w:rPr>
          <w:rFonts w:eastAsia="Calibri" w:cs="Calibri"/>
          <w:color w:val="000000"/>
          <w:bdr w:val="nil"/>
          <w:lang w:val="en-US" w:eastAsia="en-NZ"/>
        </w:rPr>
        <w:t xml:space="preserve"> gambling harm, ensuring sustainable funding for communities and </w:t>
      </w:r>
      <w:r w:rsidR="003429D8" w:rsidRPr="00C4059A">
        <w:rPr>
          <w:rFonts w:eastAsia="Calibri" w:cs="Calibri"/>
          <w:color w:val="000000"/>
          <w:bdr w:val="nil"/>
          <w:lang w:val="en-US" w:eastAsia="en-NZ"/>
        </w:rPr>
        <w:t xml:space="preserve">sector sustainability. </w:t>
      </w:r>
    </w:p>
    <w:p w14:paraId="233DA070" w14:textId="5D19011A" w:rsidR="00FA4005" w:rsidRPr="00C4059A" w:rsidRDefault="00FA4005" w:rsidP="00C4059A">
      <w:pPr>
        <w:pStyle w:val="Bullet"/>
        <w:numPr>
          <w:ilvl w:val="0"/>
          <w:numId w:val="0"/>
        </w:numPr>
        <w:spacing w:before="120" w:after="240"/>
        <w:rPr>
          <w:rFonts w:eastAsia="Calibri" w:cs="Calibri"/>
          <w:color w:val="000000"/>
          <w:bdr w:val="nil"/>
          <w:lang w:val="en-US" w:eastAsia="en-NZ"/>
        </w:rPr>
      </w:pPr>
      <w:r w:rsidRPr="00C4059A">
        <w:rPr>
          <w:rFonts w:eastAsia="Calibri" w:cs="Calibri"/>
          <w:color w:val="000000"/>
          <w:bdr w:val="nil"/>
          <w:lang w:val="en-US" w:eastAsia="en-NZ"/>
        </w:rPr>
        <w:t>The opportunity to provide specific comments was offered. A number of comments</w:t>
      </w:r>
      <w:r w:rsidR="008C38C2" w:rsidRPr="00C4059A">
        <w:rPr>
          <w:rFonts w:eastAsia="Calibri" w:cs="Calibri"/>
          <w:color w:val="000000"/>
          <w:bdr w:val="nil"/>
          <w:lang w:val="en-US" w:eastAsia="en-NZ"/>
        </w:rPr>
        <w:t xml:space="preserve"> referred to the difficulties of</w:t>
      </w:r>
      <w:r w:rsidRPr="00C4059A">
        <w:rPr>
          <w:rFonts w:eastAsia="Calibri" w:cs="Calibri"/>
          <w:color w:val="000000"/>
          <w:bdr w:val="nil"/>
          <w:lang w:val="en-US" w:eastAsia="en-NZ"/>
        </w:rPr>
        <w:t xml:space="preserve"> balancing harm </w:t>
      </w:r>
      <w:proofErr w:type="spellStart"/>
      <w:r w:rsidRPr="00C4059A">
        <w:rPr>
          <w:rFonts w:eastAsia="Calibri" w:cs="Calibri"/>
          <w:color w:val="000000"/>
          <w:bdr w:val="nil"/>
          <w:lang w:val="en-US" w:eastAsia="en-NZ"/>
        </w:rPr>
        <w:t>minimisation</w:t>
      </w:r>
      <w:proofErr w:type="spellEnd"/>
      <w:r w:rsidRPr="00C4059A">
        <w:rPr>
          <w:rFonts w:eastAsia="Calibri" w:cs="Calibri"/>
          <w:color w:val="000000"/>
          <w:bdr w:val="nil"/>
          <w:lang w:val="en-US" w:eastAsia="en-NZ"/>
        </w:rPr>
        <w:t xml:space="preserve"> with funding for communities and sector sustainability.</w:t>
      </w:r>
    </w:p>
    <w:p w14:paraId="11C0C334" w14:textId="580A9E5F" w:rsidR="00FA4005" w:rsidRPr="00C4059A" w:rsidRDefault="00126DDF" w:rsidP="00C4059A">
      <w:pPr>
        <w:pStyle w:val="Bullet"/>
        <w:numPr>
          <w:ilvl w:val="0"/>
          <w:numId w:val="0"/>
        </w:numPr>
        <w:spacing w:before="120" w:after="240"/>
        <w:rPr>
          <w:rFonts w:eastAsia="Calibri" w:cs="Calibri"/>
          <w:color w:val="000000"/>
          <w:bdr w:val="nil"/>
          <w:lang w:val="en-US" w:eastAsia="en-NZ"/>
        </w:rPr>
      </w:pPr>
      <w:r w:rsidRPr="00C4059A">
        <w:rPr>
          <w:rFonts w:eastAsia="Calibri" w:cs="Calibri"/>
          <w:color w:val="000000"/>
          <w:bdr w:val="nil"/>
          <w:lang w:val="en-US" w:eastAsia="en-NZ"/>
        </w:rPr>
        <w:t>A sample from the 20</w:t>
      </w:r>
      <w:r w:rsidR="00FA4005" w:rsidRPr="00C4059A">
        <w:rPr>
          <w:rFonts w:eastAsia="Calibri" w:cs="Calibri"/>
          <w:color w:val="000000"/>
          <w:bdr w:val="nil"/>
          <w:lang w:val="en-US" w:eastAsia="en-NZ"/>
        </w:rPr>
        <w:t xml:space="preserve"> </w:t>
      </w:r>
      <w:r w:rsidRPr="00C4059A">
        <w:rPr>
          <w:rFonts w:eastAsia="Calibri" w:cs="Calibri"/>
          <w:color w:val="000000"/>
          <w:bdr w:val="nil"/>
          <w:lang w:val="en-US" w:eastAsia="en-NZ"/>
        </w:rPr>
        <w:t>comments received is provided (</w:t>
      </w:r>
      <w:r w:rsidR="00F07EEB" w:rsidRPr="00C4059A">
        <w:rPr>
          <w:rFonts w:eastAsia="Calibri" w:cs="Calibri"/>
          <w:color w:val="000000"/>
          <w:bdr w:val="nil"/>
          <w:lang w:val="en-US" w:eastAsia="en-NZ"/>
        </w:rPr>
        <w:t>3</w:t>
      </w:r>
      <w:r w:rsidR="00FA4005" w:rsidRPr="00C4059A">
        <w:rPr>
          <w:rFonts w:eastAsia="Calibri" w:cs="Calibri"/>
          <w:color w:val="000000"/>
          <w:bdr w:val="nil"/>
          <w:lang w:val="en-US" w:eastAsia="en-NZ"/>
        </w:rPr>
        <w:t>/</w:t>
      </w:r>
      <w:r w:rsidRPr="00C4059A">
        <w:rPr>
          <w:rFonts w:eastAsia="Calibri" w:cs="Calibri"/>
          <w:color w:val="000000"/>
          <w:bdr w:val="nil"/>
          <w:lang w:val="en-US" w:eastAsia="en-NZ"/>
        </w:rPr>
        <w:t>20</w:t>
      </w:r>
      <w:r w:rsidR="00FA4005" w:rsidRPr="00C4059A">
        <w:rPr>
          <w:rFonts w:eastAsia="Calibri" w:cs="Calibri"/>
          <w:color w:val="000000"/>
          <w:bdr w:val="nil"/>
          <w:lang w:val="en-US" w:eastAsia="en-NZ"/>
        </w:rPr>
        <w:t>):</w:t>
      </w:r>
    </w:p>
    <w:p w14:paraId="19A5F968" w14:textId="2B5F8971" w:rsidR="00FA4005" w:rsidRPr="002F56B1" w:rsidRDefault="00374195" w:rsidP="00BC48FE">
      <w:pPr>
        <w:pStyle w:val="Bullet"/>
        <w:numPr>
          <w:ilvl w:val="0"/>
          <w:numId w:val="0"/>
        </w:numPr>
        <w:spacing w:before="120" w:after="240"/>
        <w:ind w:left="567"/>
        <w:rPr>
          <w:highlight w:val="yellow"/>
        </w:rPr>
      </w:pPr>
      <w:r>
        <w:t>“</w:t>
      </w:r>
      <w:r w:rsidRPr="00374195">
        <w:t>On line gambling sector appears to be untouched by any regulatory control which is unfortunate as it circumvents the best intentions of the DIA relating to gambling.</w:t>
      </w:r>
      <w:r>
        <w:t>”</w:t>
      </w:r>
    </w:p>
    <w:p w14:paraId="48E0621A" w14:textId="29285D5A" w:rsidR="00D577B4" w:rsidRPr="00374195" w:rsidRDefault="00374195" w:rsidP="00374195">
      <w:pPr>
        <w:pStyle w:val="Bullet"/>
        <w:numPr>
          <w:ilvl w:val="0"/>
          <w:numId w:val="0"/>
        </w:numPr>
        <w:spacing w:before="120" w:after="240"/>
        <w:ind w:left="567"/>
        <w:rPr>
          <w:highlight w:val="yellow"/>
        </w:rPr>
      </w:pPr>
      <w:r>
        <w:t>“</w:t>
      </w:r>
      <w:r w:rsidRPr="00374195">
        <w:t>While there is greater collaboration in the sector now, there are still instances where this does not happen.</w:t>
      </w:r>
      <w:r>
        <w:t>”</w:t>
      </w:r>
    </w:p>
    <w:p w14:paraId="3A7CC5F5" w14:textId="07F902E2" w:rsidR="00374195" w:rsidRDefault="00374195" w:rsidP="00BC48FE">
      <w:pPr>
        <w:pStyle w:val="Bullet"/>
        <w:numPr>
          <w:ilvl w:val="0"/>
          <w:numId w:val="0"/>
        </w:numPr>
        <w:spacing w:before="120" w:after="240"/>
        <w:ind w:left="567"/>
      </w:pPr>
      <w:r>
        <w:t>“</w:t>
      </w:r>
      <w:r w:rsidRPr="00374195">
        <w:t>There is a lot more that could be done around harm minimisation</w:t>
      </w:r>
      <w:r>
        <w:t xml:space="preserve"> …</w:t>
      </w:r>
      <w:r w:rsidRPr="00374195">
        <w:t xml:space="preserve"> There will always be a conflict between harm minimisation, sustainabilit</w:t>
      </w:r>
      <w:r>
        <w:t>y for communities and the sector”</w:t>
      </w:r>
    </w:p>
    <w:p w14:paraId="7F9DE506" w14:textId="47AFED9C" w:rsidR="007E7A2B" w:rsidRPr="00C4059A" w:rsidRDefault="00D577B4">
      <w:pPr>
        <w:keepLines w:val="0"/>
        <w:rPr>
          <w:b/>
        </w:rPr>
      </w:pPr>
      <w:r>
        <w:br w:type="page"/>
      </w:r>
      <w:r w:rsidR="00DA1856" w:rsidRPr="00C4059A">
        <w:rPr>
          <w:b/>
        </w:rPr>
        <w:lastRenderedPageBreak/>
        <w:t xml:space="preserve">Question </w:t>
      </w:r>
      <w:r w:rsidR="002F56B1" w:rsidRPr="00C4059A">
        <w:rPr>
          <w:b/>
        </w:rPr>
        <w:t>22</w:t>
      </w:r>
      <w:r w:rsidR="007E7A2B" w:rsidRPr="00C4059A">
        <w:rPr>
          <w:b/>
        </w:rPr>
        <w:t xml:space="preserve">: In general </w:t>
      </w:r>
      <w:r w:rsidR="003A1585" w:rsidRPr="00C4059A">
        <w:rPr>
          <w:b/>
        </w:rPr>
        <w:t xml:space="preserve">the </w:t>
      </w:r>
      <w:r w:rsidR="007E7A2B" w:rsidRPr="00C4059A">
        <w:rPr>
          <w:b/>
        </w:rPr>
        <w:t>D</w:t>
      </w:r>
      <w:r w:rsidR="003A1585" w:rsidRPr="00C4059A">
        <w:rPr>
          <w:b/>
        </w:rPr>
        <w:t>epartment</w:t>
      </w:r>
      <w:r w:rsidR="007E7A2B" w:rsidRPr="00C4059A">
        <w:rPr>
          <w:b/>
        </w:rPr>
        <w:t>’s decisions are clearly communicated to my</w:t>
      </w:r>
      <w:r w:rsidR="006C5D2A" w:rsidRPr="00C4059A">
        <w:rPr>
          <w:b/>
        </w:rPr>
        <w:t xml:space="preserve"> </w:t>
      </w:r>
      <w:r w:rsidR="007E7A2B" w:rsidRPr="00C4059A">
        <w:rPr>
          <w:b/>
        </w:rPr>
        <w:t>organisation.</w:t>
      </w:r>
    </w:p>
    <w:p w14:paraId="7F9DE508" w14:textId="76BFFE2A" w:rsidR="006C193F" w:rsidRDefault="003B17EB" w:rsidP="00CE616E">
      <w:pPr>
        <w:pStyle w:val="Bullet"/>
        <w:numPr>
          <w:ilvl w:val="0"/>
          <w:numId w:val="0"/>
        </w:numPr>
        <w:spacing w:before="120" w:after="120"/>
        <w:rPr>
          <w:noProof/>
          <w:lang w:eastAsia="en-NZ"/>
        </w:rPr>
      </w:pPr>
      <w:r w:rsidRPr="00C4059A">
        <w:rPr>
          <w:b/>
          <w:bCs/>
        </w:rPr>
        <w:t xml:space="preserve">Figure </w:t>
      </w:r>
      <w:r w:rsidR="00E803FC" w:rsidRPr="00C4059A">
        <w:rPr>
          <w:b/>
          <w:bCs/>
        </w:rPr>
        <w:t>11</w:t>
      </w:r>
      <w:r w:rsidR="006C5D2A" w:rsidRPr="00C4059A">
        <w:rPr>
          <w:b/>
          <w:bCs/>
        </w:rPr>
        <w:t xml:space="preserve">: </w:t>
      </w:r>
      <w:r w:rsidR="003A1585" w:rsidRPr="00C4059A">
        <w:rPr>
          <w:b/>
          <w:bCs/>
        </w:rPr>
        <w:t xml:space="preserve">The </w:t>
      </w:r>
      <w:r w:rsidR="006C5D2A" w:rsidRPr="00C4059A">
        <w:rPr>
          <w:b/>
          <w:bCs/>
        </w:rPr>
        <w:t>D</w:t>
      </w:r>
      <w:r w:rsidR="003A1585" w:rsidRPr="00C4059A">
        <w:rPr>
          <w:b/>
          <w:bCs/>
        </w:rPr>
        <w:t>epartment</w:t>
      </w:r>
      <w:r w:rsidR="006C5D2A" w:rsidRPr="00C4059A">
        <w:rPr>
          <w:b/>
          <w:bCs/>
        </w:rPr>
        <w:t>’s decisions</w:t>
      </w:r>
    </w:p>
    <w:p w14:paraId="4BBD11BC" w14:textId="433C6ED4" w:rsidR="002F56B1" w:rsidRDefault="005403EE" w:rsidP="002F56B1">
      <w:pPr>
        <w:pStyle w:val="Bullet"/>
        <w:numPr>
          <w:ilvl w:val="0"/>
          <w:numId w:val="0"/>
        </w:numPr>
        <w:spacing w:before="120" w:after="240"/>
        <w:rPr>
          <w:rFonts w:eastAsia="Calibri" w:cs="Calibri"/>
          <w:color w:val="000000"/>
          <w:u w:color="000000"/>
          <w:bdr w:val="nil"/>
          <w:lang w:val="en-US" w:eastAsia="en-NZ"/>
        </w:rPr>
      </w:pPr>
      <w:r>
        <w:rPr>
          <w:noProof/>
          <w:lang w:eastAsia="en-NZ"/>
        </w:rPr>
        <w:drawing>
          <wp:inline distT="0" distB="0" distL="0" distR="0" wp14:anchorId="0074971B" wp14:editId="457252B3">
            <wp:extent cx="5581402" cy="3241964"/>
            <wp:effectExtent l="0" t="0" r="0" b="0"/>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7F9DE509" w14:textId="6E6982F5" w:rsidR="00F40886" w:rsidRPr="00C4059A" w:rsidRDefault="00F40886" w:rsidP="00C4059A">
      <w:pPr>
        <w:pStyle w:val="Bullet"/>
        <w:numPr>
          <w:ilvl w:val="0"/>
          <w:numId w:val="0"/>
        </w:numPr>
        <w:spacing w:before="120" w:after="240"/>
        <w:rPr>
          <w:rFonts w:eastAsia="Calibri" w:cs="Calibri"/>
          <w:color w:val="000000"/>
          <w:bdr w:val="nil"/>
          <w:lang w:val="en-US" w:eastAsia="en-NZ"/>
        </w:rPr>
      </w:pPr>
      <w:r w:rsidRPr="00C4059A">
        <w:rPr>
          <w:rFonts w:eastAsia="Calibri" w:cs="Calibri"/>
          <w:color w:val="000000"/>
          <w:bdr w:val="nil"/>
          <w:lang w:val="en-US" w:eastAsia="en-NZ"/>
        </w:rPr>
        <w:t>Figur</w:t>
      </w:r>
      <w:r w:rsidR="003B17EB" w:rsidRPr="00C4059A">
        <w:rPr>
          <w:rFonts w:eastAsia="Calibri" w:cs="Calibri"/>
          <w:color w:val="000000"/>
          <w:bdr w:val="nil"/>
          <w:lang w:val="en-US" w:eastAsia="en-NZ"/>
        </w:rPr>
        <w:t xml:space="preserve">e </w:t>
      </w:r>
      <w:r w:rsidR="00E803FC" w:rsidRPr="00C4059A">
        <w:rPr>
          <w:rFonts w:eastAsia="Calibri" w:cs="Calibri"/>
          <w:color w:val="000000"/>
          <w:bdr w:val="nil"/>
          <w:lang w:val="en-US" w:eastAsia="en-NZ"/>
        </w:rPr>
        <w:t>11</w:t>
      </w:r>
      <w:r w:rsidR="002F6834" w:rsidRPr="00C4059A">
        <w:rPr>
          <w:rFonts w:eastAsia="Calibri" w:cs="Calibri"/>
          <w:color w:val="000000"/>
          <w:bdr w:val="nil"/>
          <w:lang w:val="en-US" w:eastAsia="en-NZ"/>
        </w:rPr>
        <w:t xml:space="preserve"> shows the percentage</w:t>
      </w:r>
      <w:r w:rsidRPr="00C4059A">
        <w:rPr>
          <w:rFonts w:eastAsia="Calibri" w:cs="Calibri"/>
          <w:color w:val="000000"/>
          <w:bdr w:val="nil"/>
          <w:lang w:val="en-US" w:eastAsia="en-NZ"/>
        </w:rPr>
        <w:t xml:space="preserve"> of selections for each rating option.</w:t>
      </w:r>
    </w:p>
    <w:p w14:paraId="12BBF4F4" w14:textId="1024E26D" w:rsidR="00E05FEF" w:rsidRPr="00C4059A" w:rsidRDefault="00FB18AF" w:rsidP="00C4059A">
      <w:pPr>
        <w:pStyle w:val="Bullet"/>
        <w:numPr>
          <w:ilvl w:val="0"/>
          <w:numId w:val="0"/>
        </w:numPr>
        <w:spacing w:before="120" w:after="240"/>
        <w:rPr>
          <w:rFonts w:eastAsia="Calibri" w:cs="Calibri"/>
          <w:color w:val="000000"/>
          <w:bdr w:val="nil"/>
          <w:lang w:val="en-US" w:eastAsia="en-NZ"/>
        </w:rPr>
      </w:pPr>
      <w:r w:rsidRPr="00C4059A">
        <w:rPr>
          <w:rFonts w:eastAsia="Calibri" w:cs="Calibri"/>
          <w:color w:val="000000"/>
          <w:bdr w:val="nil"/>
          <w:lang w:val="en-US" w:eastAsia="en-NZ"/>
        </w:rPr>
        <w:t>Three quarters</w:t>
      </w:r>
      <w:r w:rsidR="00433515" w:rsidRPr="00C4059A">
        <w:rPr>
          <w:rFonts w:eastAsia="Calibri" w:cs="Calibri"/>
          <w:color w:val="000000"/>
          <w:bdr w:val="nil"/>
          <w:lang w:val="en-US" w:eastAsia="en-NZ"/>
        </w:rPr>
        <w:t xml:space="preserve"> of individual respondent</w:t>
      </w:r>
      <w:r w:rsidRPr="00C4059A">
        <w:rPr>
          <w:rFonts w:eastAsia="Calibri" w:cs="Calibri"/>
          <w:color w:val="000000"/>
          <w:bdr w:val="nil"/>
          <w:lang w:val="en-US" w:eastAsia="en-NZ"/>
        </w:rPr>
        <w:t xml:space="preserve">s </w:t>
      </w:r>
      <w:r w:rsidR="00F9706F" w:rsidRPr="00C4059A">
        <w:rPr>
          <w:rFonts w:eastAsia="Calibri" w:cs="Calibri"/>
          <w:color w:val="000000"/>
          <w:bdr w:val="nil"/>
          <w:lang w:val="en-US" w:eastAsia="en-NZ"/>
        </w:rPr>
        <w:t>“</w:t>
      </w:r>
      <w:r w:rsidRPr="00C4059A">
        <w:rPr>
          <w:rFonts w:eastAsia="Calibri" w:cs="Calibri"/>
          <w:color w:val="000000"/>
          <w:bdr w:val="nil"/>
          <w:lang w:val="en-US" w:eastAsia="en-NZ"/>
        </w:rPr>
        <w:t>agree</w:t>
      </w:r>
      <w:r w:rsidR="00F9706F" w:rsidRPr="00C4059A">
        <w:rPr>
          <w:rFonts w:eastAsia="Calibri" w:cs="Calibri"/>
          <w:color w:val="000000"/>
          <w:bdr w:val="nil"/>
          <w:lang w:val="en-US" w:eastAsia="en-NZ"/>
        </w:rPr>
        <w:t>”</w:t>
      </w:r>
      <w:r w:rsidRPr="00C4059A">
        <w:rPr>
          <w:rFonts w:eastAsia="Calibri" w:cs="Calibri"/>
          <w:color w:val="000000"/>
          <w:bdr w:val="nil"/>
          <w:lang w:val="en-US" w:eastAsia="en-NZ"/>
        </w:rPr>
        <w:t xml:space="preserve"> or </w:t>
      </w:r>
      <w:r w:rsidR="00F9706F" w:rsidRPr="00C4059A">
        <w:rPr>
          <w:rFonts w:eastAsia="Calibri" w:cs="Calibri"/>
          <w:color w:val="000000"/>
          <w:bdr w:val="nil"/>
          <w:lang w:val="en-US" w:eastAsia="en-NZ"/>
        </w:rPr>
        <w:t>“</w:t>
      </w:r>
      <w:r w:rsidRPr="00C4059A">
        <w:rPr>
          <w:rFonts w:eastAsia="Calibri" w:cs="Calibri"/>
          <w:color w:val="000000"/>
          <w:bdr w:val="nil"/>
          <w:lang w:val="en-US" w:eastAsia="en-NZ"/>
        </w:rPr>
        <w:t>strongly agree</w:t>
      </w:r>
      <w:r w:rsidR="00F9706F" w:rsidRPr="00C4059A">
        <w:rPr>
          <w:rFonts w:eastAsia="Calibri" w:cs="Calibri"/>
          <w:color w:val="000000"/>
          <w:bdr w:val="nil"/>
          <w:lang w:val="en-US" w:eastAsia="en-NZ"/>
        </w:rPr>
        <w:t>”</w:t>
      </w:r>
      <w:r w:rsidRPr="00C4059A">
        <w:rPr>
          <w:rFonts w:eastAsia="Calibri" w:cs="Calibri"/>
          <w:color w:val="000000"/>
          <w:bdr w:val="nil"/>
          <w:lang w:val="en-US" w:eastAsia="en-NZ"/>
        </w:rPr>
        <w:t xml:space="preserve"> (75</w:t>
      </w:r>
      <w:r w:rsidR="00B1786D" w:rsidRPr="00C4059A">
        <w:rPr>
          <w:rFonts w:eastAsia="Calibri" w:cs="Calibri"/>
          <w:color w:val="000000"/>
          <w:bdr w:val="nil"/>
          <w:lang w:val="en-US" w:eastAsia="en-NZ"/>
        </w:rPr>
        <w:t xml:space="preserve"> per cent</w:t>
      </w:r>
      <w:r w:rsidR="00433515" w:rsidRPr="00C4059A">
        <w:rPr>
          <w:rFonts w:eastAsia="Calibri" w:cs="Calibri"/>
          <w:color w:val="000000"/>
          <w:bdr w:val="nil"/>
          <w:lang w:val="en-US" w:eastAsia="en-NZ"/>
        </w:rPr>
        <w:t>)</w:t>
      </w:r>
      <w:r w:rsidR="003429D8" w:rsidRPr="00C4059A">
        <w:rPr>
          <w:rFonts w:eastAsia="Calibri" w:cs="Calibri"/>
          <w:color w:val="000000"/>
          <w:bdr w:val="nil"/>
          <w:lang w:val="en-US" w:eastAsia="en-NZ"/>
        </w:rPr>
        <w:t xml:space="preserve">, while only a </w:t>
      </w:r>
      <w:r w:rsidR="00236C14" w:rsidRPr="00C4059A">
        <w:rPr>
          <w:rFonts w:eastAsia="Calibri" w:cs="Calibri"/>
          <w:color w:val="000000"/>
          <w:bdr w:val="nil"/>
          <w:lang w:val="en-US" w:eastAsia="en-NZ"/>
        </w:rPr>
        <w:t xml:space="preserve">small number of respondents </w:t>
      </w:r>
      <w:r w:rsidR="00F9706F" w:rsidRPr="00C4059A">
        <w:rPr>
          <w:rFonts w:eastAsia="Calibri" w:cs="Calibri"/>
          <w:color w:val="000000"/>
          <w:bdr w:val="nil"/>
          <w:lang w:val="en-US" w:eastAsia="en-NZ"/>
        </w:rPr>
        <w:t>“</w:t>
      </w:r>
      <w:r w:rsidRPr="00C4059A">
        <w:rPr>
          <w:rFonts w:eastAsia="Calibri" w:cs="Calibri"/>
          <w:color w:val="000000"/>
          <w:bdr w:val="nil"/>
          <w:lang w:val="en-US" w:eastAsia="en-NZ"/>
        </w:rPr>
        <w:t>disagree</w:t>
      </w:r>
      <w:r w:rsidR="00F9706F" w:rsidRPr="00C4059A">
        <w:rPr>
          <w:rFonts w:eastAsia="Calibri" w:cs="Calibri"/>
          <w:color w:val="000000"/>
          <w:bdr w:val="nil"/>
          <w:lang w:val="en-US" w:eastAsia="en-NZ"/>
        </w:rPr>
        <w:t>”</w:t>
      </w:r>
      <w:r w:rsidRPr="00C4059A">
        <w:rPr>
          <w:rFonts w:eastAsia="Calibri" w:cs="Calibri"/>
          <w:color w:val="000000"/>
          <w:bdr w:val="nil"/>
          <w:lang w:val="en-US" w:eastAsia="en-NZ"/>
        </w:rPr>
        <w:t xml:space="preserve"> or </w:t>
      </w:r>
      <w:r w:rsidR="00F9706F" w:rsidRPr="00C4059A">
        <w:rPr>
          <w:rFonts w:eastAsia="Calibri" w:cs="Calibri"/>
          <w:color w:val="000000"/>
          <w:bdr w:val="nil"/>
          <w:lang w:val="en-US" w:eastAsia="en-NZ"/>
        </w:rPr>
        <w:t>“</w:t>
      </w:r>
      <w:r w:rsidRPr="00C4059A">
        <w:rPr>
          <w:rFonts w:eastAsia="Calibri" w:cs="Calibri"/>
          <w:color w:val="000000"/>
          <w:bdr w:val="nil"/>
          <w:lang w:val="en-US" w:eastAsia="en-NZ"/>
        </w:rPr>
        <w:t>strongly disagree</w:t>
      </w:r>
      <w:r w:rsidR="00F9706F" w:rsidRPr="00C4059A">
        <w:rPr>
          <w:rFonts w:eastAsia="Calibri" w:cs="Calibri"/>
          <w:color w:val="000000"/>
          <w:bdr w:val="nil"/>
          <w:lang w:val="en-US" w:eastAsia="en-NZ"/>
        </w:rPr>
        <w:t>”</w:t>
      </w:r>
      <w:r w:rsidRPr="00C4059A">
        <w:rPr>
          <w:rFonts w:eastAsia="Calibri" w:cs="Calibri"/>
          <w:color w:val="000000"/>
          <w:bdr w:val="nil"/>
          <w:lang w:val="en-US" w:eastAsia="en-NZ"/>
        </w:rPr>
        <w:t xml:space="preserve"> (</w:t>
      </w:r>
      <w:r w:rsidR="00DD4998" w:rsidRPr="00C4059A">
        <w:rPr>
          <w:rFonts w:eastAsia="Calibri" w:cs="Calibri"/>
          <w:color w:val="000000"/>
          <w:bdr w:val="nil"/>
          <w:lang w:val="en-US" w:eastAsia="en-NZ"/>
        </w:rPr>
        <w:t>seven</w:t>
      </w:r>
      <w:r w:rsidR="00B1786D" w:rsidRPr="00C4059A">
        <w:rPr>
          <w:rFonts w:eastAsia="Calibri" w:cs="Calibri"/>
          <w:color w:val="000000"/>
          <w:bdr w:val="nil"/>
          <w:lang w:val="en-US" w:eastAsia="en-NZ"/>
        </w:rPr>
        <w:t xml:space="preserve"> per cent</w:t>
      </w:r>
      <w:r w:rsidR="00236C14" w:rsidRPr="00C4059A">
        <w:rPr>
          <w:rFonts w:eastAsia="Calibri" w:cs="Calibri"/>
          <w:color w:val="000000"/>
          <w:bdr w:val="nil"/>
          <w:lang w:val="en-US" w:eastAsia="en-NZ"/>
        </w:rPr>
        <w:t>).</w:t>
      </w:r>
      <w:r w:rsidR="00776D0D" w:rsidRPr="00C4059A">
        <w:rPr>
          <w:rFonts w:eastAsia="Calibri" w:cs="Calibri"/>
          <w:color w:val="000000"/>
          <w:bdr w:val="nil"/>
          <w:lang w:val="en-US" w:eastAsia="en-NZ"/>
        </w:rPr>
        <w:t xml:space="preserve"> </w:t>
      </w:r>
      <w:r w:rsidRPr="00C4059A">
        <w:rPr>
          <w:rFonts w:eastAsia="Calibri" w:cs="Calibri"/>
          <w:color w:val="000000"/>
          <w:bdr w:val="nil"/>
          <w:lang w:val="en-US" w:eastAsia="en-NZ"/>
        </w:rPr>
        <w:t>This is similar to last year when 68</w:t>
      </w:r>
      <w:r w:rsidR="00B1786D" w:rsidRPr="00C4059A">
        <w:rPr>
          <w:rFonts w:eastAsia="Calibri" w:cs="Calibri"/>
          <w:color w:val="000000"/>
          <w:bdr w:val="nil"/>
          <w:lang w:val="en-US" w:eastAsia="en-NZ"/>
        </w:rPr>
        <w:t xml:space="preserve"> per cent</w:t>
      </w:r>
      <w:r w:rsidR="00E05FEF" w:rsidRPr="00C4059A">
        <w:rPr>
          <w:rFonts w:eastAsia="Calibri" w:cs="Calibri"/>
          <w:color w:val="000000"/>
          <w:bdr w:val="nil"/>
          <w:lang w:val="en-US" w:eastAsia="en-NZ"/>
        </w:rPr>
        <w:t xml:space="preserve"> respond</w:t>
      </w:r>
      <w:r w:rsidRPr="00C4059A">
        <w:rPr>
          <w:rFonts w:eastAsia="Calibri" w:cs="Calibri"/>
          <w:color w:val="000000"/>
          <w:bdr w:val="nil"/>
          <w:lang w:val="en-US" w:eastAsia="en-NZ"/>
        </w:rPr>
        <w:t xml:space="preserve">ed </w:t>
      </w:r>
      <w:r w:rsidR="00F9706F" w:rsidRPr="00C4059A">
        <w:rPr>
          <w:rFonts w:eastAsia="Calibri" w:cs="Calibri"/>
          <w:color w:val="000000"/>
          <w:bdr w:val="nil"/>
          <w:lang w:val="en-US" w:eastAsia="en-NZ"/>
        </w:rPr>
        <w:t>“</w:t>
      </w:r>
      <w:r w:rsidRPr="00C4059A">
        <w:rPr>
          <w:rFonts w:eastAsia="Calibri" w:cs="Calibri"/>
          <w:color w:val="000000"/>
          <w:bdr w:val="nil"/>
          <w:lang w:val="en-US" w:eastAsia="en-NZ"/>
        </w:rPr>
        <w:t>agree</w:t>
      </w:r>
      <w:r w:rsidR="00F9706F" w:rsidRPr="00C4059A">
        <w:rPr>
          <w:rFonts w:eastAsia="Calibri" w:cs="Calibri"/>
          <w:color w:val="000000"/>
          <w:bdr w:val="nil"/>
          <w:lang w:val="en-US" w:eastAsia="en-NZ"/>
        </w:rPr>
        <w:t>”</w:t>
      </w:r>
      <w:r w:rsidRPr="00C4059A">
        <w:rPr>
          <w:rFonts w:eastAsia="Calibri" w:cs="Calibri"/>
          <w:color w:val="000000"/>
          <w:bdr w:val="nil"/>
          <w:lang w:val="en-US" w:eastAsia="en-NZ"/>
        </w:rPr>
        <w:t xml:space="preserve"> or </w:t>
      </w:r>
      <w:r w:rsidR="00F9706F" w:rsidRPr="00C4059A">
        <w:rPr>
          <w:rFonts w:eastAsia="Calibri" w:cs="Calibri"/>
          <w:color w:val="000000"/>
          <w:bdr w:val="nil"/>
          <w:lang w:val="en-US" w:eastAsia="en-NZ"/>
        </w:rPr>
        <w:t>“</w:t>
      </w:r>
      <w:r w:rsidRPr="00C4059A">
        <w:rPr>
          <w:rFonts w:eastAsia="Calibri" w:cs="Calibri"/>
          <w:color w:val="000000"/>
          <w:bdr w:val="nil"/>
          <w:lang w:val="en-US" w:eastAsia="en-NZ"/>
        </w:rPr>
        <w:t>strongly agree</w:t>
      </w:r>
      <w:r w:rsidR="00F9706F" w:rsidRPr="00C4059A">
        <w:rPr>
          <w:rFonts w:eastAsia="Calibri" w:cs="Calibri"/>
          <w:color w:val="000000"/>
          <w:bdr w:val="nil"/>
          <w:lang w:val="en-US" w:eastAsia="en-NZ"/>
        </w:rPr>
        <w:t>”</w:t>
      </w:r>
      <w:r w:rsidRPr="00C4059A">
        <w:rPr>
          <w:rFonts w:eastAsia="Calibri" w:cs="Calibri"/>
          <w:color w:val="000000"/>
          <w:bdr w:val="nil"/>
          <w:lang w:val="en-US" w:eastAsia="en-NZ"/>
        </w:rPr>
        <w:t xml:space="preserve"> and </w:t>
      </w:r>
      <w:r w:rsidR="00DD4998" w:rsidRPr="00C4059A">
        <w:rPr>
          <w:rFonts w:eastAsia="Calibri" w:cs="Calibri"/>
          <w:color w:val="000000"/>
          <w:bdr w:val="nil"/>
          <w:lang w:val="en-US" w:eastAsia="en-NZ"/>
        </w:rPr>
        <w:t>five</w:t>
      </w:r>
      <w:r w:rsidR="00B1786D" w:rsidRPr="00C4059A">
        <w:rPr>
          <w:rFonts w:eastAsia="Calibri" w:cs="Calibri"/>
          <w:color w:val="000000"/>
          <w:bdr w:val="nil"/>
          <w:lang w:val="en-US" w:eastAsia="en-NZ"/>
        </w:rPr>
        <w:t xml:space="preserve"> per cent</w:t>
      </w:r>
      <w:r w:rsidR="00E05FEF" w:rsidRPr="00C4059A">
        <w:rPr>
          <w:rFonts w:eastAsia="Calibri" w:cs="Calibri"/>
          <w:color w:val="000000"/>
          <w:bdr w:val="nil"/>
          <w:lang w:val="en-US" w:eastAsia="en-NZ"/>
        </w:rPr>
        <w:t xml:space="preserve"> </w:t>
      </w:r>
      <w:r w:rsidR="00F9706F" w:rsidRPr="00C4059A">
        <w:rPr>
          <w:rFonts w:eastAsia="Calibri" w:cs="Calibri"/>
          <w:color w:val="000000"/>
          <w:bdr w:val="nil"/>
          <w:lang w:val="en-US" w:eastAsia="en-NZ"/>
        </w:rPr>
        <w:t>“</w:t>
      </w:r>
      <w:r w:rsidR="00E05FEF" w:rsidRPr="00C4059A">
        <w:rPr>
          <w:rFonts w:eastAsia="Calibri" w:cs="Calibri"/>
          <w:color w:val="000000"/>
          <w:bdr w:val="nil"/>
          <w:lang w:val="en-US" w:eastAsia="en-NZ"/>
        </w:rPr>
        <w:t>disagree</w:t>
      </w:r>
      <w:r w:rsidR="00F9706F" w:rsidRPr="00C4059A">
        <w:rPr>
          <w:rFonts w:eastAsia="Calibri" w:cs="Calibri"/>
          <w:color w:val="000000"/>
          <w:bdr w:val="nil"/>
          <w:lang w:val="en-US" w:eastAsia="en-NZ"/>
        </w:rPr>
        <w:t>”</w:t>
      </w:r>
      <w:r w:rsidR="00E05FEF" w:rsidRPr="00C4059A">
        <w:rPr>
          <w:rFonts w:eastAsia="Calibri" w:cs="Calibri"/>
          <w:color w:val="000000"/>
          <w:bdr w:val="nil"/>
          <w:lang w:val="en-US" w:eastAsia="en-NZ"/>
        </w:rPr>
        <w:t xml:space="preserve"> or </w:t>
      </w:r>
      <w:r w:rsidR="00F9706F" w:rsidRPr="00C4059A">
        <w:rPr>
          <w:rFonts w:eastAsia="Calibri" w:cs="Calibri"/>
          <w:color w:val="000000"/>
          <w:bdr w:val="nil"/>
          <w:lang w:val="en-US" w:eastAsia="en-NZ"/>
        </w:rPr>
        <w:t>“</w:t>
      </w:r>
      <w:r w:rsidR="00E05FEF" w:rsidRPr="00C4059A">
        <w:rPr>
          <w:rFonts w:eastAsia="Calibri" w:cs="Calibri"/>
          <w:color w:val="000000"/>
          <w:bdr w:val="nil"/>
          <w:lang w:val="en-US" w:eastAsia="en-NZ"/>
        </w:rPr>
        <w:t>strongly disagree</w:t>
      </w:r>
      <w:r w:rsidR="00F9706F" w:rsidRPr="00C4059A">
        <w:rPr>
          <w:rFonts w:eastAsia="Calibri" w:cs="Calibri"/>
          <w:color w:val="000000"/>
          <w:bdr w:val="nil"/>
          <w:lang w:val="en-US" w:eastAsia="en-NZ"/>
        </w:rPr>
        <w:t>”</w:t>
      </w:r>
      <w:r w:rsidR="00E05FEF" w:rsidRPr="00C4059A">
        <w:rPr>
          <w:rFonts w:eastAsia="Calibri" w:cs="Calibri"/>
          <w:color w:val="000000"/>
          <w:bdr w:val="nil"/>
          <w:lang w:val="en-US" w:eastAsia="en-NZ"/>
        </w:rPr>
        <w:t xml:space="preserve">. </w:t>
      </w:r>
    </w:p>
    <w:p w14:paraId="0621FEBF" w14:textId="40F1296F" w:rsidR="0029014B" w:rsidRPr="00C4059A" w:rsidRDefault="0029014B" w:rsidP="00C4059A">
      <w:pPr>
        <w:pStyle w:val="Bullet"/>
        <w:numPr>
          <w:ilvl w:val="0"/>
          <w:numId w:val="0"/>
        </w:numPr>
        <w:spacing w:before="120" w:after="240"/>
        <w:rPr>
          <w:rFonts w:eastAsia="Calibri" w:cs="Calibri"/>
          <w:color w:val="000000"/>
          <w:bdr w:val="nil"/>
          <w:lang w:val="en-US" w:eastAsia="en-NZ"/>
        </w:rPr>
      </w:pPr>
      <w:r w:rsidRPr="00C4059A">
        <w:rPr>
          <w:rFonts w:eastAsia="Calibri" w:cs="Calibri"/>
          <w:color w:val="000000"/>
          <w:bdr w:val="nil"/>
          <w:lang w:val="en-US" w:eastAsia="en-NZ"/>
        </w:rPr>
        <w:t>The opportunity to provide specific comme</w:t>
      </w:r>
      <w:r w:rsidR="00126DDF" w:rsidRPr="00C4059A">
        <w:rPr>
          <w:rFonts w:eastAsia="Calibri" w:cs="Calibri"/>
          <w:color w:val="000000"/>
          <w:bdr w:val="nil"/>
          <w:lang w:val="en-US" w:eastAsia="en-NZ"/>
        </w:rPr>
        <w:t>nts was offered. A sample from nine</w:t>
      </w:r>
      <w:r w:rsidRPr="00C4059A">
        <w:rPr>
          <w:rFonts w:eastAsia="Calibri" w:cs="Calibri"/>
          <w:color w:val="000000"/>
          <w:bdr w:val="nil"/>
          <w:lang w:val="en-US" w:eastAsia="en-NZ"/>
        </w:rPr>
        <w:t xml:space="preserve"> </w:t>
      </w:r>
      <w:r w:rsidR="002C7643" w:rsidRPr="00C4059A">
        <w:rPr>
          <w:rFonts w:eastAsia="Calibri" w:cs="Calibri"/>
          <w:color w:val="000000"/>
          <w:bdr w:val="nil"/>
          <w:lang w:val="en-US" w:eastAsia="en-NZ"/>
        </w:rPr>
        <w:t>comments received is provided (3</w:t>
      </w:r>
      <w:r w:rsidR="00126DDF" w:rsidRPr="00C4059A">
        <w:rPr>
          <w:rFonts w:eastAsia="Calibri" w:cs="Calibri"/>
          <w:color w:val="000000"/>
          <w:bdr w:val="nil"/>
          <w:lang w:val="en-US" w:eastAsia="en-NZ"/>
        </w:rPr>
        <w:t>/9</w:t>
      </w:r>
      <w:r w:rsidRPr="00C4059A">
        <w:rPr>
          <w:rFonts w:eastAsia="Calibri" w:cs="Calibri"/>
          <w:color w:val="000000"/>
          <w:bdr w:val="nil"/>
          <w:lang w:val="en-US" w:eastAsia="en-NZ"/>
        </w:rPr>
        <w:t>):</w:t>
      </w:r>
    </w:p>
    <w:p w14:paraId="5B6E7A77" w14:textId="2C7683CB" w:rsidR="007B79DA" w:rsidRPr="002F56B1" w:rsidRDefault="002C7643" w:rsidP="00BC48FE">
      <w:pPr>
        <w:pStyle w:val="Bullet"/>
        <w:numPr>
          <w:ilvl w:val="0"/>
          <w:numId w:val="0"/>
        </w:numPr>
        <w:spacing w:before="120" w:after="240"/>
        <w:ind w:left="567"/>
        <w:rPr>
          <w:highlight w:val="yellow"/>
        </w:rPr>
      </w:pPr>
      <w:r>
        <w:t>“</w:t>
      </w:r>
      <w:r w:rsidRPr="002C7643">
        <w:t>Different answers from different people, no consistency</w:t>
      </w:r>
      <w:r>
        <w:t>”</w:t>
      </w:r>
    </w:p>
    <w:p w14:paraId="1C75EC6B" w14:textId="1D0B9C8F" w:rsidR="008B48E5" w:rsidRDefault="002C7643" w:rsidP="00BC48FE">
      <w:pPr>
        <w:pStyle w:val="Bullet"/>
        <w:numPr>
          <w:ilvl w:val="0"/>
          <w:numId w:val="0"/>
        </w:numPr>
        <w:spacing w:before="120" w:after="240"/>
        <w:ind w:left="567"/>
      </w:pPr>
      <w:r>
        <w:t>“</w:t>
      </w:r>
      <w:r w:rsidRPr="002C7643">
        <w:t>I suggest your communications are put before a panel of novices in the first instance to ensure they are writte</w:t>
      </w:r>
      <w:r>
        <w:t xml:space="preserve">n in a manner which is free of </w:t>
      </w:r>
      <w:r w:rsidRPr="002C7643">
        <w:t>"</w:t>
      </w:r>
      <w:proofErr w:type="spellStart"/>
      <w:r w:rsidRPr="002C7643">
        <w:t>legislatati</w:t>
      </w:r>
      <w:r>
        <w:t>vise</w:t>
      </w:r>
      <w:proofErr w:type="spellEnd"/>
      <w:r>
        <w:t xml:space="preserve">" and unfriendly language. </w:t>
      </w:r>
      <w:r w:rsidRPr="002C7643">
        <w:t>I cannot be bothered in reading any communication emanating from DIA.</w:t>
      </w:r>
      <w:r>
        <w:t>”</w:t>
      </w:r>
    </w:p>
    <w:p w14:paraId="01470807" w14:textId="468A7BDB" w:rsidR="002C7643" w:rsidRDefault="002C7643" w:rsidP="00BC48FE">
      <w:pPr>
        <w:pStyle w:val="Bullet"/>
        <w:numPr>
          <w:ilvl w:val="0"/>
          <w:numId w:val="0"/>
        </w:numPr>
        <w:spacing w:before="120" w:after="240"/>
        <w:ind w:left="567"/>
      </w:pPr>
      <w:r>
        <w:t>“</w:t>
      </w:r>
      <w:r w:rsidRPr="002C7643">
        <w:t xml:space="preserve">Gambits </w:t>
      </w:r>
      <w:proofErr w:type="gramStart"/>
      <w:r w:rsidRPr="002C7643">
        <w:t>is</w:t>
      </w:r>
      <w:proofErr w:type="gramEnd"/>
      <w:r w:rsidRPr="002C7643">
        <w:t xml:space="preserve"> great and I always read it. We usually receive press releases in advance too which is helpful.</w:t>
      </w:r>
      <w:r>
        <w:t>”</w:t>
      </w:r>
    </w:p>
    <w:p w14:paraId="50092687" w14:textId="77777777" w:rsidR="00157E44" w:rsidRDefault="00157E44" w:rsidP="005B4239"/>
    <w:p w14:paraId="52D4D959" w14:textId="77777777" w:rsidR="00157E44" w:rsidRDefault="00157E44" w:rsidP="00157E44">
      <w:pPr>
        <w:rPr>
          <w:rFonts w:cs="Arial"/>
          <w:color w:val="1F546B"/>
          <w:sz w:val="28"/>
          <w:szCs w:val="26"/>
        </w:rPr>
      </w:pPr>
      <w:r>
        <w:br w:type="page"/>
      </w:r>
    </w:p>
    <w:p w14:paraId="7F9DE525" w14:textId="278D27EF" w:rsidR="0091221F" w:rsidRPr="00401245" w:rsidRDefault="00211450" w:rsidP="00401245">
      <w:pPr>
        <w:pStyle w:val="Heading2"/>
        <w:rPr>
          <w:color w:val="1F546B" w:themeColor="text2"/>
          <w:sz w:val="32"/>
          <w:szCs w:val="32"/>
        </w:rPr>
      </w:pPr>
      <w:bookmarkStart w:id="65" w:name="_Toc471392466"/>
      <w:bookmarkStart w:id="66" w:name="_Toc505862437"/>
      <w:r>
        <w:rPr>
          <w:color w:val="1F546B" w:themeColor="text2"/>
          <w:sz w:val="32"/>
          <w:szCs w:val="32"/>
        </w:rPr>
        <w:lastRenderedPageBreak/>
        <w:t>Areas of interest or concern</w:t>
      </w:r>
      <w:bookmarkEnd w:id="65"/>
      <w:bookmarkEnd w:id="66"/>
      <w:r>
        <w:rPr>
          <w:color w:val="1F546B" w:themeColor="text2"/>
          <w:sz w:val="32"/>
          <w:szCs w:val="32"/>
        </w:rPr>
        <w:t xml:space="preserve"> </w:t>
      </w:r>
    </w:p>
    <w:p w14:paraId="7F9DE526" w14:textId="153B14D8" w:rsidR="007C07CB" w:rsidRPr="00FF5CAC" w:rsidRDefault="0046678D" w:rsidP="003F6E7B">
      <w:pPr>
        <w:pStyle w:val="Bullet"/>
        <w:numPr>
          <w:ilvl w:val="0"/>
          <w:numId w:val="0"/>
        </w:numPr>
      </w:pPr>
      <w:r w:rsidRPr="00C4059A">
        <w:rPr>
          <w:b/>
        </w:rPr>
        <w:t>Q</w:t>
      </w:r>
      <w:r w:rsidR="0091221F" w:rsidRPr="00C4059A">
        <w:rPr>
          <w:b/>
        </w:rPr>
        <w:t>uestion</w:t>
      </w:r>
      <w:r w:rsidRPr="00C4059A">
        <w:rPr>
          <w:b/>
        </w:rPr>
        <w:t xml:space="preserve"> </w:t>
      </w:r>
      <w:r w:rsidR="002F56B1" w:rsidRPr="00C4059A">
        <w:rPr>
          <w:b/>
        </w:rPr>
        <w:t>23</w:t>
      </w:r>
      <w:r w:rsidR="0091221F" w:rsidRPr="00C4059A">
        <w:rPr>
          <w:b/>
        </w:rPr>
        <w:t>:</w:t>
      </w:r>
      <w:r w:rsidRPr="00C4059A">
        <w:rPr>
          <w:b/>
        </w:rPr>
        <w:t xml:space="preserve"> </w:t>
      </w:r>
      <w:r w:rsidR="000C6E00" w:rsidRPr="00C4059A">
        <w:rPr>
          <w:b/>
        </w:rPr>
        <w:t>Please tell us about any areas of interest or concern that you feel are currently overlooked but you would like</w:t>
      </w:r>
      <w:r w:rsidR="003A1585" w:rsidRPr="00C4059A">
        <w:rPr>
          <w:b/>
        </w:rPr>
        <w:t xml:space="preserve"> the</w:t>
      </w:r>
      <w:r w:rsidR="000C6E00" w:rsidRPr="00C4059A">
        <w:rPr>
          <w:b/>
        </w:rPr>
        <w:t xml:space="preserve"> D</w:t>
      </w:r>
      <w:r w:rsidR="003A1585" w:rsidRPr="00C4059A">
        <w:rPr>
          <w:b/>
          <w:bCs/>
        </w:rPr>
        <w:t>epartment</w:t>
      </w:r>
      <w:r w:rsidR="000C6E00" w:rsidRPr="00C4059A">
        <w:rPr>
          <w:b/>
          <w:bCs/>
        </w:rPr>
        <w:t xml:space="preserve"> to consider focusing on in future</w:t>
      </w:r>
      <w:r w:rsidR="000C6E00" w:rsidRPr="00FF5CAC">
        <w:t>.</w:t>
      </w:r>
    </w:p>
    <w:p w14:paraId="62666AE7" w14:textId="36200B0E" w:rsidR="00D21F74" w:rsidRPr="00C4059A" w:rsidRDefault="000C6E00" w:rsidP="00C4059A">
      <w:pPr>
        <w:pStyle w:val="Bullet"/>
        <w:numPr>
          <w:ilvl w:val="0"/>
          <w:numId w:val="0"/>
        </w:numPr>
        <w:spacing w:before="120" w:after="240"/>
        <w:rPr>
          <w:rFonts w:eastAsia="Calibri" w:cs="Calibri"/>
          <w:color w:val="000000"/>
          <w:bdr w:val="nil"/>
          <w:lang w:val="en-US" w:eastAsia="en-NZ"/>
        </w:rPr>
      </w:pPr>
      <w:r w:rsidRPr="00C4059A">
        <w:rPr>
          <w:rFonts w:eastAsia="Calibri" w:cs="Calibri"/>
          <w:color w:val="000000"/>
          <w:bdr w:val="nil"/>
          <w:lang w:val="en-US" w:eastAsia="en-NZ"/>
        </w:rPr>
        <w:t xml:space="preserve">This </w:t>
      </w:r>
      <w:r w:rsidR="006835A1" w:rsidRPr="00C4059A">
        <w:rPr>
          <w:rFonts w:eastAsia="Calibri" w:cs="Calibri"/>
          <w:color w:val="000000"/>
          <w:bdr w:val="nil"/>
          <w:lang w:val="en-US" w:eastAsia="en-NZ"/>
        </w:rPr>
        <w:t xml:space="preserve">final </w:t>
      </w:r>
      <w:r w:rsidRPr="00C4059A">
        <w:rPr>
          <w:rFonts w:eastAsia="Calibri" w:cs="Calibri"/>
          <w:color w:val="000000"/>
          <w:bdr w:val="nil"/>
          <w:lang w:val="en-US" w:eastAsia="en-NZ"/>
        </w:rPr>
        <w:t xml:space="preserve">question was optional, requiring a free text response. </w:t>
      </w:r>
      <w:r w:rsidR="00126DDF" w:rsidRPr="00C4059A">
        <w:rPr>
          <w:rFonts w:eastAsia="Calibri" w:cs="Calibri"/>
          <w:color w:val="000000"/>
          <w:bdr w:val="nil"/>
          <w:lang w:val="en-US" w:eastAsia="en-NZ"/>
        </w:rPr>
        <w:t>Thir</w:t>
      </w:r>
      <w:r w:rsidR="002A19BC" w:rsidRPr="00C4059A">
        <w:rPr>
          <w:rFonts w:eastAsia="Calibri" w:cs="Calibri"/>
          <w:color w:val="000000"/>
          <w:bdr w:val="nil"/>
          <w:lang w:val="en-US" w:eastAsia="en-NZ"/>
        </w:rPr>
        <w:t>t</w:t>
      </w:r>
      <w:r w:rsidR="00126DDF" w:rsidRPr="00C4059A">
        <w:rPr>
          <w:rFonts w:eastAsia="Calibri" w:cs="Calibri"/>
          <w:color w:val="000000"/>
          <w:bdr w:val="nil"/>
          <w:lang w:val="en-US" w:eastAsia="en-NZ"/>
        </w:rPr>
        <w:t>y-seven</w:t>
      </w:r>
      <w:r w:rsidRPr="00C4059A">
        <w:rPr>
          <w:rFonts w:eastAsia="Calibri" w:cs="Calibri"/>
          <w:color w:val="000000"/>
          <w:bdr w:val="nil"/>
          <w:lang w:val="en-US" w:eastAsia="en-NZ"/>
        </w:rPr>
        <w:t xml:space="preserve"> respondents </w:t>
      </w:r>
      <w:r w:rsidR="00B90DAC" w:rsidRPr="00C4059A">
        <w:rPr>
          <w:rFonts w:eastAsia="Calibri" w:cs="Calibri"/>
          <w:color w:val="000000"/>
          <w:bdr w:val="nil"/>
          <w:lang w:val="en-US" w:eastAsia="en-NZ"/>
        </w:rPr>
        <w:t xml:space="preserve">provided a comment. </w:t>
      </w:r>
    </w:p>
    <w:p w14:paraId="13B36E56" w14:textId="3630036F" w:rsidR="00D21F74" w:rsidRPr="00C4059A" w:rsidRDefault="00126DDF" w:rsidP="00C4059A">
      <w:pPr>
        <w:pStyle w:val="Bullet"/>
        <w:numPr>
          <w:ilvl w:val="0"/>
          <w:numId w:val="0"/>
        </w:numPr>
        <w:spacing w:before="120" w:after="240"/>
        <w:rPr>
          <w:rFonts w:eastAsia="Calibri" w:cs="Calibri"/>
          <w:color w:val="000000"/>
          <w:highlight w:val="yellow"/>
          <w:bdr w:val="nil"/>
          <w:lang w:val="en-US" w:eastAsia="en-NZ"/>
        </w:rPr>
      </w:pPr>
      <w:r w:rsidRPr="00C4059A">
        <w:rPr>
          <w:rFonts w:eastAsia="Calibri" w:cs="Calibri"/>
          <w:color w:val="000000"/>
          <w:bdr w:val="nil"/>
          <w:lang w:val="en-US" w:eastAsia="en-NZ"/>
        </w:rPr>
        <w:t>Of these 37</w:t>
      </w:r>
      <w:r w:rsidR="003B5300" w:rsidRPr="00C4059A">
        <w:rPr>
          <w:rFonts w:eastAsia="Calibri" w:cs="Calibri"/>
          <w:color w:val="000000"/>
          <w:bdr w:val="nil"/>
          <w:lang w:val="en-US" w:eastAsia="en-NZ"/>
        </w:rPr>
        <w:t xml:space="preserve"> comments, five</w:t>
      </w:r>
      <w:r w:rsidR="00D21F74" w:rsidRPr="00C4059A">
        <w:rPr>
          <w:rFonts w:eastAsia="Calibri" w:cs="Calibri"/>
          <w:color w:val="000000"/>
          <w:bdr w:val="nil"/>
          <w:lang w:val="en-US" w:eastAsia="en-NZ"/>
        </w:rPr>
        <w:t xml:space="preserve"> indicated that they did</w:t>
      </w:r>
      <w:r w:rsidR="00D563A4" w:rsidRPr="00C4059A">
        <w:rPr>
          <w:rFonts w:eastAsia="Calibri" w:cs="Calibri"/>
          <w:color w:val="000000"/>
          <w:bdr w:val="nil"/>
          <w:lang w:val="en-US" w:eastAsia="en-NZ"/>
        </w:rPr>
        <w:t xml:space="preserve"> not</w:t>
      </w:r>
      <w:r w:rsidR="00D21F74" w:rsidRPr="00C4059A">
        <w:rPr>
          <w:rFonts w:eastAsia="Calibri" w:cs="Calibri"/>
          <w:color w:val="000000"/>
          <w:bdr w:val="nil"/>
          <w:lang w:val="en-US" w:eastAsia="en-NZ"/>
        </w:rPr>
        <w:t xml:space="preserve"> have any specific area of interest or concern that they would like </w:t>
      </w:r>
      <w:r w:rsidR="005A5D66" w:rsidRPr="00C4059A">
        <w:rPr>
          <w:rFonts w:eastAsia="Calibri" w:cs="Calibri"/>
          <w:color w:val="000000"/>
          <w:bdr w:val="nil"/>
          <w:lang w:val="en-US" w:eastAsia="en-NZ"/>
        </w:rPr>
        <w:t xml:space="preserve">the Department </w:t>
      </w:r>
      <w:r w:rsidR="00D21F74" w:rsidRPr="00C4059A">
        <w:rPr>
          <w:rFonts w:eastAsia="Calibri" w:cs="Calibri"/>
          <w:color w:val="000000"/>
          <w:bdr w:val="nil"/>
          <w:lang w:val="en-US" w:eastAsia="en-NZ"/>
        </w:rPr>
        <w:t>to focus on, and that they were happy with the work of the Department. A sample of these comments is provided:</w:t>
      </w:r>
    </w:p>
    <w:p w14:paraId="5791BA45" w14:textId="2947B9CC" w:rsidR="00D21F74" w:rsidRPr="002F56B1" w:rsidRDefault="00D21F74" w:rsidP="00CA41D3">
      <w:pPr>
        <w:pStyle w:val="Bullet"/>
        <w:numPr>
          <w:ilvl w:val="0"/>
          <w:numId w:val="0"/>
        </w:numPr>
        <w:spacing w:before="120" w:after="240"/>
        <w:ind w:left="567"/>
        <w:rPr>
          <w:highlight w:val="yellow"/>
        </w:rPr>
      </w:pPr>
      <w:r w:rsidRPr="003B5300">
        <w:t>“</w:t>
      </w:r>
      <w:r w:rsidR="003B5300" w:rsidRPr="003B5300">
        <w:t>The information available is very informative, and I have no concerns, in relation to my business</w:t>
      </w:r>
      <w:r w:rsidR="003B5300">
        <w:t>”</w:t>
      </w:r>
    </w:p>
    <w:p w14:paraId="5E012362" w14:textId="1379F562" w:rsidR="00D21F74" w:rsidRPr="003B5300" w:rsidRDefault="00D21F74" w:rsidP="00CA41D3">
      <w:pPr>
        <w:pStyle w:val="Bullet"/>
        <w:numPr>
          <w:ilvl w:val="0"/>
          <w:numId w:val="0"/>
        </w:numPr>
        <w:spacing w:before="120" w:after="240"/>
        <w:ind w:left="567"/>
      </w:pPr>
      <w:r w:rsidRPr="003B5300">
        <w:t>“</w:t>
      </w:r>
      <w:r w:rsidR="003B5300" w:rsidRPr="003B5300">
        <w:t>In general DIA is doing a much better job than they did say 2-3 years ago.”</w:t>
      </w:r>
    </w:p>
    <w:p w14:paraId="2444B69C" w14:textId="3910AD8F" w:rsidR="00D21F74" w:rsidRPr="00C4059A" w:rsidRDefault="003B5300" w:rsidP="00C4059A">
      <w:pPr>
        <w:pStyle w:val="Bullet"/>
        <w:numPr>
          <w:ilvl w:val="0"/>
          <w:numId w:val="0"/>
        </w:numPr>
        <w:spacing w:before="120" w:after="240"/>
        <w:rPr>
          <w:rFonts w:eastAsia="Calibri" w:cs="Calibri"/>
          <w:color w:val="000000"/>
          <w:bdr w:val="nil"/>
          <w:lang w:val="en-US" w:eastAsia="en-NZ"/>
        </w:rPr>
      </w:pPr>
      <w:r w:rsidRPr="00C4059A">
        <w:rPr>
          <w:rFonts w:eastAsia="Calibri" w:cs="Calibri"/>
          <w:color w:val="000000"/>
          <w:bdr w:val="nil"/>
          <w:lang w:val="en-US" w:eastAsia="en-NZ"/>
        </w:rPr>
        <w:t>From the 32</w:t>
      </w:r>
      <w:r w:rsidR="00BB3928" w:rsidRPr="00C4059A">
        <w:rPr>
          <w:rFonts w:eastAsia="Calibri" w:cs="Calibri"/>
          <w:color w:val="000000"/>
          <w:bdr w:val="nil"/>
          <w:lang w:val="en-US" w:eastAsia="en-NZ"/>
        </w:rPr>
        <w:t xml:space="preserve"> comments which included suggestions, o</w:t>
      </w:r>
      <w:r w:rsidR="00D86812" w:rsidRPr="00C4059A">
        <w:rPr>
          <w:rFonts w:eastAsia="Calibri" w:cs="Calibri"/>
          <w:color w:val="000000"/>
          <w:bdr w:val="nil"/>
          <w:lang w:val="en-US" w:eastAsia="en-NZ"/>
        </w:rPr>
        <w:t xml:space="preserve">ne of the most common </w:t>
      </w:r>
      <w:r w:rsidR="00BB3928" w:rsidRPr="00C4059A">
        <w:rPr>
          <w:rFonts w:eastAsia="Calibri" w:cs="Calibri"/>
          <w:color w:val="000000"/>
          <w:bdr w:val="nil"/>
          <w:lang w:val="en-US" w:eastAsia="en-NZ"/>
        </w:rPr>
        <w:t>themes</w:t>
      </w:r>
      <w:r w:rsidR="00D21F74" w:rsidRPr="00C4059A">
        <w:rPr>
          <w:rFonts w:eastAsia="Calibri" w:cs="Calibri"/>
          <w:color w:val="000000"/>
          <w:bdr w:val="nil"/>
          <w:lang w:val="en-US" w:eastAsia="en-NZ"/>
        </w:rPr>
        <w:t xml:space="preserve"> related to</w:t>
      </w:r>
      <w:r w:rsidRPr="00C4059A">
        <w:rPr>
          <w:rFonts w:eastAsia="Calibri" w:cs="Calibri"/>
          <w:color w:val="000000"/>
          <w:bdr w:val="nil"/>
          <w:lang w:val="en-US" w:eastAsia="en-NZ"/>
        </w:rPr>
        <w:t xml:space="preserve"> how DIA</w:t>
      </w:r>
      <w:r w:rsidR="00DD4998" w:rsidRPr="00C4059A">
        <w:rPr>
          <w:rFonts w:eastAsia="Calibri" w:cs="Calibri"/>
          <w:color w:val="000000"/>
          <w:bdr w:val="nil"/>
          <w:lang w:val="en-US" w:eastAsia="en-NZ"/>
        </w:rPr>
        <w:t xml:space="preserve"> works with the sector and</w:t>
      </w:r>
      <w:r w:rsidRPr="00C4059A">
        <w:rPr>
          <w:rFonts w:eastAsia="Calibri" w:cs="Calibri"/>
          <w:color w:val="000000"/>
          <w:bdr w:val="nil"/>
          <w:lang w:val="en-US" w:eastAsia="en-NZ"/>
        </w:rPr>
        <w:t xml:space="preserve"> communicates regulatory requirements with the sector and how this relationship can be improved (16 comments). </w:t>
      </w:r>
      <w:r w:rsidR="00D80382" w:rsidRPr="00C4059A">
        <w:rPr>
          <w:rFonts w:eastAsia="Calibri" w:cs="Calibri"/>
          <w:color w:val="000000"/>
          <w:bdr w:val="nil"/>
          <w:lang w:val="en-US" w:eastAsia="en-NZ"/>
        </w:rPr>
        <w:t>A sample of these comments is provided:</w:t>
      </w:r>
    </w:p>
    <w:p w14:paraId="2FB28F05" w14:textId="04468F38" w:rsidR="00D80382" w:rsidRPr="003B5300" w:rsidRDefault="00D80382" w:rsidP="00CA41D3">
      <w:pPr>
        <w:pStyle w:val="Bullet"/>
        <w:numPr>
          <w:ilvl w:val="0"/>
          <w:numId w:val="0"/>
        </w:numPr>
        <w:spacing w:before="120" w:after="240"/>
        <w:ind w:left="567"/>
      </w:pPr>
      <w:r w:rsidRPr="003B5300">
        <w:t>“</w:t>
      </w:r>
      <w:r w:rsidR="003B5300" w:rsidRPr="003B5300">
        <w:t>Maybe a face to face meeting on site on a regular basis would be proactive</w:t>
      </w:r>
      <w:r w:rsidRPr="003B5300">
        <w:t>.”</w:t>
      </w:r>
    </w:p>
    <w:p w14:paraId="529DA16C" w14:textId="5EB525CF" w:rsidR="003B5300" w:rsidRPr="003B5300" w:rsidRDefault="003B5300" w:rsidP="00CA41D3">
      <w:pPr>
        <w:pStyle w:val="Bullet"/>
        <w:numPr>
          <w:ilvl w:val="0"/>
          <w:numId w:val="0"/>
        </w:numPr>
        <w:spacing w:before="120" w:after="240"/>
        <w:ind w:left="567"/>
      </w:pPr>
      <w:r w:rsidRPr="003B5300">
        <w:t xml:space="preserve">“A cultural shift at certain levels within the department has </w:t>
      </w:r>
      <w:r w:rsidR="00544B30">
        <w:t>been observed over the past two</w:t>
      </w:r>
      <w:r w:rsidRPr="003B5300">
        <w:t xml:space="preserve">-three years </w:t>
      </w:r>
      <w:proofErr w:type="gramStart"/>
      <w:r w:rsidRPr="003B5300">
        <w:t>albeit,</w:t>
      </w:r>
      <w:proofErr w:type="gramEnd"/>
      <w:r w:rsidRPr="003B5300">
        <w:t xml:space="preserve"> there is still a long way to go at middle and below levels. Whilst some recent industry challenges have been dealt with very successfully with the C4 Working Party it is strongly viewed this was because of a true collaborative approach taken from the start of the process, along with taking an evidential approach to reaching solutions. Other projects that were not as successful were not undertaken in the same vein and with the same senior leadership overview.</w:t>
      </w:r>
      <w:r w:rsidR="00DD4998">
        <w:t>”</w:t>
      </w:r>
    </w:p>
    <w:p w14:paraId="79C70B6B" w14:textId="6B805238" w:rsidR="00D80382" w:rsidRPr="003B5300" w:rsidRDefault="00D80382" w:rsidP="00CA41D3">
      <w:pPr>
        <w:pStyle w:val="Bullet"/>
        <w:numPr>
          <w:ilvl w:val="0"/>
          <w:numId w:val="0"/>
        </w:numPr>
        <w:spacing w:before="120" w:after="240"/>
        <w:ind w:left="567"/>
      </w:pPr>
      <w:r w:rsidRPr="003B5300">
        <w:t>“</w:t>
      </w:r>
      <w:r w:rsidR="003B5300" w:rsidRPr="003B5300">
        <w:t xml:space="preserve">The best training sessions I have been to </w:t>
      </w:r>
      <w:proofErr w:type="gramStart"/>
      <w:r w:rsidR="003B5300" w:rsidRPr="003B5300">
        <w:t>are</w:t>
      </w:r>
      <w:proofErr w:type="gramEnd"/>
      <w:r w:rsidR="003B5300" w:rsidRPr="003B5300">
        <w:t xml:space="preserve"> not the ones that go over the legislation and the ideology of gaming and gambling but go through the different types of clientele we can come across and how to interact within these scenarios. </w:t>
      </w:r>
      <w:r w:rsidRPr="003B5300">
        <w:t>…”</w:t>
      </w:r>
    </w:p>
    <w:p w14:paraId="5AE05741" w14:textId="474518CD" w:rsidR="003B5300" w:rsidRPr="003B5300" w:rsidRDefault="003B5300" w:rsidP="00CA41D3">
      <w:pPr>
        <w:pStyle w:val="Bullet"/>
        <w:numPr>
          <w:ilvl w:val="0"/>
          <w:numId w:val="0"/>
        </w:numPr>
        <w:spacing w:before="120" w:after="240"/>
        <w:ind w:left="567"/>
      </w:pPr>
      <w:r w:rsidRPr="003B5300">
        <w:t>“Care needs to be taken to not over load administrative requirements for Societies.  Care n</w:t>
      </w:r>
      <w:r>
        <w:t xml:space="preserve">eeds to be taken to ensure </w:t>
      </w:r>
      <w:proofErr w:type="gramStart"/>
      <w:r>
        <w:t>face-to-</w:t>
      </w:r>
      <w:r w:rsidRPr="003B5300">
        <w:t>face meetings across the sector including venues is</w:t>
      </w:r>
      <w:proofErr w:type="gramEnd"/>
      <w:r w:rsidRPr="003B5300">
        <w:t xml:space="preserve"> encouraged.”</w:t>
      </w:r>
    </w:p>
    <w:p w14:paraId="205A04D9" w14:textId="3A3776F6" w:rsidR="000A4959" w:rsidRPr="00C4059A" w:rsidRDefault="000A4959" w:rsidP="00C4059A">
      <w:pPr>
        <w:pStyle w:val="Bullet"/>
        <w:numPr>
          <w:ilvl w:val="0"/>
          <w:numId w:val="0"/>
        </w:numPr>
        <w:spacing w:before="120" w:after="240"/>
        <w:rPr>
          <w:rFonts w:eastAsia="Calibri" w:cs="Calibri"/>
          <w:color w:val="000000"/>
          <w:bdr w:val="nil"/>
          <w:lang w:val="en-US" w:eastAsia="en-NZ"/>
        </w:rPr>
      </w:pPr>
      <w:r w:rsidRPr="00C4059A">
        <w:rPr>
          <w:rFonts w:eastAsia="Calibri" w:cs="Calibri"/>
          <w:color w:val="000000"/>
          <w:bdr w:val="nil"/>
          <w:lang w:val="en-US" w:eastAsia="en-NZ"/>
        </w:rPr>
        <w:t xml:space="preserve">The other common theme among the comments related to the different needs to clubs, especially in the harm </w:t>
      </w:r>
      <w:proofErr w:type="spellStart"/>
      <w:r w:rsidRPr="00C4059A">
        <w:rPr>
          <w:rFonts w:eastAsia="Calibri" w:cs="Calibri"/>
          <w:color w:val="000000"/>
          <w:bdr w:val="nil"/>
          <w:lang w:val="en-US" w:eastAsia="en-NZ"/>
        </w:rPr>
        <w:t>minimisation</w:t>
      </w:r>
      <w:proofErr w:type="spellEnd"/>
      <w:r w:rsidRPr="00C4059A">
        <w:rPr>
          <w:rFonts w:eastAsia="Calibri" w:cs="Calibri"/>
          <w:color w:val="000000"/>
          <w:bdr w:val="nil"/>
          <w:lang w:val="en-US" w:eastAsia="en-NZ"/>
        </w:rPr>
        <w:t xml:space="preserve"> and sector sustainability spaces:</w:t>
      </w:r>
    </w:p>
    <w:p w14:paraId="18F3CDF2" w14:textId="6813BF7D" w:rsidR="000A4959" w:rsidRPr="00C4059A" w:rsidRDefault="000A4959" w:rsidP="00C4059A">
      <w:pPr>
        <w:pStyle w:val="Bullet"/>
        <w:numPr>
          <w:ilvl w:val="0"/>
          <w:numId w:val="0"/>
        </w:numPr>
        <w:spacing w:before="120" w:after="240"/>
        <w:rPr>
          <w:rFonts w:eastAsia="Calibri" w:cs="Calibri"/>
          <w:color w:val="000000"/>
          <w:bdr w:val="nil"/>
          <w:lang w:val="en-US" w:eastAsia="en-NZ"/>
        </w:rPr>
      </w:pPr>
      <w:r>
        <w:rPr>
          <w:rFonts w:eastAsia="Calibri" w:cs="Calibri"/>
          <w:color w:val="000000"/>
          <w:u w:color="000000"/>
          <w:bdr w:val="nil"/>
          <w:lang w:val="en-US" w:eastAsia="en-NZ"/>
        </w:rPr>
        <w:tab/>
      </w:r>
      <w:r w:rsidRPr="00C4059A">
        <w:rPr>
          <w:rFonts w:eastAsia="Calibri" w:cs="Calibri"/>
          <w:color w:val="000000"/>
          <w:bdr w:val="nil"/>
          <w:lang w:val="en-US" w:eastAsia="en-NZ"/>
        </w:rPr>
        <w:t>“I would like DIA to consider recognition of the role Clubs play in the promotion of</w:t>
      </w:r>
      <w:r>
        <w:rPr>
          <w:rFonts w:eastAsia="Calibri" w:cs="Calibri"/>
          <w:color w:val="000000"/>
          <w:u w:color="000000"/>
          <w:bdr w:val="nil"/>
          <w:lang w:val="en-US" w:eastAsia="en-NZ"/>
        </w:rPr>
        <w:tab/>
      </w:r>
      <w:r w:rsidRPr="00C4059A">
        <w:rPr>
          <w:rFonts w:eastAsia="Calibri" w:cs="Calibri"/>
          <w:color w:val="000000"/>
          <w:bdr w:val="nil"/>
          <w:lang w:val="en-US" w:eastAsia="en-NZ"/>
        </w:rPr>
        <w:t>responsible gambling to their members and guests”</w:t>
      </w:r>
    </w:p>
    <w:p w14:paraId="02F0B9C7" w14:textId="154DCC89" w:rsidR="000A4959" w:rsidRPr="00C4059A" w:rsidRDefault="000A4959" w:rsidP="00C4059A">
      <w:pPr>
        <w:pStyle w:val="Bullet"/>
        <w:numPr>
          <w:ilvl w:val="0"/>
          <w:numId w:val="0"/>
        </w:numPr>
        <w:spacing w:before="120" w:after="240"/>
        <w:ind w:left="567" w:firstLine="3"/>
        <w:rPr>
          <w:rFonts w:eastAsia="Calibri" w:cs="Calibri"/>
          <w:color w:val="000000"/>
          <w:bdr w:val="nil"/>
          <w:lang w:val="en-US" w:eastAsia="en-NZ"/>
        </w:rPr>
      </w:pPr>
      <w:r w:rsidRPr="00C4059A">
        <w:rPr>
          <w:rFonts w:eastAsia="Calibri" w:cs="Calibri"/>
          <w:color w:val="000000"/>
          <w:bdr w:val="nil"/>
          <w:lang w:val="en-US" w:eastAsia="en-NZ"/>
        </w:rPr>
        <w:t>“Allow Clubs to survive in the Auckland region by allowing them to amalgamate their</w:t>
      </w:r>
      <w:r>
        <w:rPr>
          <w:rFonts w:eastAsia="Calibri" w:cs="Calibri"/>
          <w:color w:val="000000"/>
          <w:u w:color="000000"/>
          <w:bdr w:val="nil"/>
          <w:lang w:val="en-US" w:eastAsia="en-NZ"/>
        </w:rPr>
        <w:br/>
      </w:r>
      <w:r w:rsidRPr="00C4059A">
        <w:rPr>
          <w:rFonts w:eastAsia="Calibri" w:cs="Calibri"/>
          <w:color w:val="000000"/>
          <w:bdr w:val="nil"/>
          <w:lang w:val="en-US" w:eastAsia="en-NZ"/>
        </w:rPr>
        <w:t>machines when the Clubs amalgamate”</w:t>
      </w:r>
    </w:p>
    <w:p w14:paraId="407B3E35" w14:textId="77777777" w:rsidR="00D80382" w:rsidRPr="00C4059A" w:rsidRDefault="00D80382" w:rsidP="00C4059A">
      <w:pPr>
        <w:pStyle w:val="Bullet"/>
        <w:numPr>
          <w:ilvl w:val="0"/>
          <w:numId w:val="0"/>
        </w:numPr>
        <w:spacing w:before="120" w:after="240"/>
        <w:rPr>
          <w:rFonts w:eastAsia="Calibri" w:cs="Calibri"/>
          <w:color w:val="000000"/>
          <w:bdr w:val="nil"/>
          <w:lang w:val="en-US" w:eastAsia="en-NZ"/>
        </w:rPr>
      </w:pPr>
      <w:r w:rsidRPr="00C4059A">
        <w:rPr>
          <w:rFonts w:eastAsia="Calibri" w:cs="Calibri"/>
          <w:color w:val="000000"/>
          <w:bdr w:val="nil"/>
          <w:lang w:val="en-US" w:eastAsia="en-NZ"/>
        </w:rPr>
        <w:t>There were also a number of comments suggesting changes to process or legislation. These included:</w:t>
      </w:r>
    </w:p>
    <w:p w14:paraId="248B1184" w14:textId="4B8B0F7C" w:rsidR="00D80382" w:rsidRPr="000A4959" w:rsidRDefault="000A4959" w:rsidP="00E760D3">
      <w:pPr>
        <w:pStyle w:val="Bullet"/>
        <w:numPr>
          <w:ilvl w:val="0"/>
          <w:numId w:val="31"/>
        </w:numPr>
      </w:pPr>
      <w:r w:rsidRPr="000A4959">
        <w:lastRenderedPageBreak/>
        <w:t>Making changes to control online gambling in New Zealand</w:t>
      </w:r>
    </w:p>
    <w:p w14:paraId="01A99823" w14:textId="5213CAEB" w:rsidR="00D80382" w:rsidRDefault="000A4959" w:rsidP="00E760D3">
      <w:pPr>
        <w:pStyle w:val="Bullet"/>
        <w:numPr>
          <w:ilvl w:val="0"/>
          <w:numId w:val="31"/>
        </w:numPr>
      </w:pPr>
      <w:r w:rsidRPr="000A4959">
        <w:t>Reducing the cost of key persons information</w:t>
      </w:r>
      <w:r>
        <w:t xml:space="preserve"> applications </w:t>
      </w:r>
    </w:p>
    <w:p w14:paraId="0610EAFE" w14:textId="66785D60" w:rsidR="000A4959" w:rsidRPr="000A4959" w:rsidRDefault="000A4959" w:rsidP="00E760D3">
      <w:pPr>
        <w:pStyle w:val="Bullet"/>
        <w:numPr>
          <w:ilvl w:val="0"/>
          <w:numId w:val="31"/>
        </w:numPr>
      </w:pPr>
      <w:r>
        <w:t xml:space="preserve">Changes to machine licensing renewal fees – based on turnover rather than number of machines to account for venues in more remote areas </w:t>
      </w:r>
      <w:r w:rsidR="00DD4998">
        <w:t>compared to</w:t>
      </w:r>
      <w:r>
        <w:t xml:space="preserve"> cities</w:t>
      </w:r>
    </w:p>
    <w:p w14:paraId="581F4522" w14:textId="32A30A49" w:rsidR="00D80382" w:rsidRPr="000A4959" w:rsidRDefault="000A4959" w:rsidP="00E760D3">
      <w:pPr>
        <w:pStyle w:val="Bullet"/>
        <w:numPr>
          <w:ilvl w:val="0"/>
          <w:numId w:val="31"/>
        </w:numPr>
      </w:pPr>
      <w:r w:rsidRPr="000A4959">
        <w:t xml:space="preserve">Simplifying the process of renewing venue and machine </w:t>
      </w:r>
      <w:r w:rsidR="00DD4998">
        <w:t>licences</w:t>
      </w:r>
      <w:r>
        <w:t>.</w:t>
      </w:r>
    </w:p>
    <w:p w14:paraId="0D40D366" w14:textId="77777777" w:rsidR="00D80382" w:rsidRPr="002F56B1" w:rsidRDefault="00D80382" w:rsidP="00D80382">
      <w:pPr>
        <w:pStyle w:val="Bullet"/>
        <w:numPr>
          <w:ilvl w:val="0"/>
          <w:numId w:val="0"/>
        </w:numPr>
        <w:rPr>
          <w:highlight w:val="yellow"/>
        </w:rPr>
      </w:pPr>
    </w:p>
    <w:p w14:paraId="2024BCD6" w14:textId="7DC6BD86" w:rsidR="00D80382" w:rsidRPr="00C4059A" w:rsidRDefault="00D86812" w:rsidP="00C4059A">
      <w:pPr>
        <w:pStyle w:val="Bullet"/>
        <w:numPr>
          <w:ilvl w:val="0"/>
          <w:numId w:val="0"/>
        </w:numPr>
        <w:spacing w:before="120" w:after="240"/>
        <w:rPr>
          <w:rFonts w:eastAsia="Calibri" w:cs="Calibri"/>
          <w:color w:val="000000"/>
          <w:bdr w:val="nil"/>
          <w:lang w:val="en-US" w:eastAsia="en-NZ"/>
        </w:rPr>
      </w:pPr>
      <w:r w:rsidRPr="00C4059A">
        <w:rPr>
          <w:rFonts w:eastAsia="Calibri" w:cs="Calibri"/>
          <w:color w:val="000000"/>
          <w:bdr w:val="nil"/>
          <w:lang w:val="en-US" w:eastAsia="en-NZ"/>
        </w:rPr>
        <w:t xml:space="preserve">Other comments related to our approach to compliance </w:t>
      </w:r>
      <w:r w:rsidR="003B5300" w:rsidRPr="00C4059A">
        <w:rPr>
          <w:rFonts w:eastAsia="Calibri" w:cs="Calibri"/>
          <w:color w:val="000000"/>
          <w:bdr w:val="nil"/>
          <w:lang w:val="en-US" w:eastAsia="en-NZ"/>
        </w:rPr>
        <w:t>and</w:t>
      </w:r>
      <w:r w:rsidRPr="00C4059A">
        <w:rPr>
          <w:rFonts w:eastAsia="Calibri" w:cs="Calibri"/>
          <w:color w:val="000000"/>
          <w:bdr w:val="nil"/>
          <w:lang w:val="en-US" w:eastAsia="en-NZ"/>
        </w:rPr>
        <w:t xml:space="preserve"> dealing with unethical or non-compliant entities. </w:t>
      </w:r>
      <w:r w:rsidR="00543453" w:rsidRPr="00C4059A">
        <w:rPr>
          <w:rFonts w:eastAsia="Calibri" w:cs="Calibri"/>
          <w:color w:val="000000"/>
          <w:bdr w:val="nil"/>
          <w:lang w:val="en-US" w:eastAsia="en-NZ"/>
        </w:rPr>
        <w:t xml:space="preserve">Here </w:t>
      </w:r>
      <w:r w:rsidR="0099349D" w:rsidRPr="00C4059A">
        <w:rPr>
          <w:rFonts w:eastAsia="Calibri" w:cs="Calibri"/>
          <w:color w:val="000000"/>
          <w:bdr w:val="nil"/>
          <w:lang w:val="en-US" w:eastAsia="en-NZ"/>
        </w:rPr>
        <w:t>is</w:t>
      </w:r>
      <w:r w:rsidR="00543453" w:rsidRPr="00C4059A">
        <w:rPr>
          <w:rFonts w:eastAsia="Calibri" w:cs="Calibri"/>
          <w:color w:val="000000"/>
          <w:bdr w:val="nil"/>
          <w:lang w:val="en-US" w:eastAsia="en-NZ"/>
        </w:rPr>
        <w:t xml:space="preserve"> a </w:t>
      </w:r>
      <w:r w:rsidR="00BB3928" w:rsidRPr="00C4059A">
        <w:rPr>
          <w:rFonts w:eastAsia="Calibri" w:cs="Calibri"/>
          <w:color w:val="000000"/>
          <w:bdr w:val="nil"/>
          <w:lang w:val="en-US" w:eastAsia="en-NZ"/>
        </w:rPr>
        <w:t>sample of these comments:</w:t>
      </w:r>
    </w:p>
    <w:p w14:paraId="4B452A85" w14:textId="25BA0D1D" w:rsidR="00D86812" w:rsidRPr="003B5300" w:rsidRDefault="00D86812" w:rsidP="00CA41D3">
      <w:pPr>
        <w:pStyle w:val="Bullet"/>
        <w:numPr>
          <w:ilvl w:val="0"/>
          <w:numId w:val="0"/>
        </w:numPr>
        <w:spacing w:before="120" w:after="240"/>
        <w:ind w:left="567"/>
      </w:pPr>
      <w:r w:rsidRPr="003B5300">
        <w:t>“</w:t>
      </w:r>
      <w:r w:rsidR="003B5300" w:rsidRPr="003B5300">
        <w:t>DIA is often demandi</w:t>
      </w:r>
      <w:r w:rsidR="003B5300">
        <w:t xml:space="preserve">ng in its regulatory approach … </w:t>
      </w:r>
      <w:r w:rsidR="003B5300" w:rsidRPr="003B5300">
        <w:t>whilst being rather tardy at times in delivering outcomes.”</w:t>
      </w:r>
    </w:p>
    <w:p w14:paraId="36D20C9D" w14:textId="1B27D998" w:rsidR="005D558B" w:rsidRDefault="00D86812" w:rsidP="003B5300">
      <w:pPr>
        <w:pStyle w:val="Bullet"/>
        <w:numPr>
          <w:ilvl w:val="0"/>
          <w:numId w:val="0"/>
        </w:numPr>
        <w:spacing w:before="120" w:after="240"/>
        <w:ind w:left="567"/>
      </w:pPr>
      <w:r w:rsidRPr="003B5300">
        <w:t>“</w:t>
      </w:r>
      <w:r w:rsidR="003B5300" w:rsidRPr="003B5300">
        <w:t>Too many societies allowed to operate motivated by and for personal gain not community interest.</w:t>
      </w:r>
      <w:r w:rsidRPr="003B5300">
        <w:t>”</w:t>
      </w:r>
    </w:p>
    <w:p w14:paraId="742A706C" w14:textId="4A6BD0B2" w:rsidR="000A4959" w:rsidRPr="003B5300" w:rsidRDefault="000A4959" w:rsidP="003B5300">
      <w:pPr>
        <w:pStyle w:val="Bullet"/>
        <w:numPr>
          <w:ilvl w:val="0"/>
          <w:numId w:val="0"/>
        </w:numPr>
        <w:spacing w:before="120" w:after="240"/>
        <w:ind w:left="567"/>
      </w:pPr>
      <w:r>
        <w:t>“</w:t>
      </w:r>
      <w:r w:rsidRPr="000A4959">
        <w:t>DIA needs to put some resources into looking at the grant recipients and how or if they are s</w:t>
      </w:r>
      <w:r>
        <w:t xml:space="preserve">pending monies granted to them … </w:t>
      </w:r>
      <w:r w:rsidRPr="000A4959">
        <w:t>One thing that may be beneficial is for all grants approved</w:t>
      </w:r>
      <w:r>
        <w:t xml:space="preserve"> to</w:t>
      </w:r>
      <w:r w:rsidRPr="000A4959">
        <w:t xml:space="preserve"> be put on a centralised online database where info regarding the grants, the organisations details etc. can be</w:t>
      </w:r>
      <w:r>
        <w:t xml:space="preserve"> seen and searched in one place</w:t>
      </w:r>
      <w:r w:rsidRPr="000A4959">
        <w:t>.</w:t>
      </w:r>
      <w:r>
        <w:t>”</w:t>
      </w:r>
    </w:p>
    <w:p w14:paraId="3C2BD95D" w14:textId="77777777" w:rsidR="000A4959" w:rsidRDefault="000A4959">
      <w:pPr>
        <w:keepLines w:val="0"/>
        <w:rPr>
          <w:b/>
          <w:color w:val="1F546B"/>
          <w:kern w:val="32"/>
          <w:sz w:val="52"/>
        </w:rPr>
      </w:pPr>
      <w:bookmarkStart w:id="67" w:name="_Toc471392467"/>
      <w:r>
        <w:br w:type="page"/>
      </w:r>
    </w:p>
    <w:p w14:paraId="555C7F32" w14:textId="590BFE69" w:rsidR="008112C0" w:rsidRPr="00D93AF0" w:rsidRDefault="008112C0" w:rsidP="00EF1F11">
      <w:pPr>
        <w:pStyle w:val="Heading1"/>
      </w:pPr>
      <w:bookmarkStart w:id="68" w:name="_Toc505862438"/>
      <w:r w:rsidRPr="00D93AF0">
        <w:lastRenderedPageBreak/>
        <w:t>Conclusion</w:t>
      </w:r>
      <w:bookmarkEnd w:id="67"/>
      <w:bookmarkEnd w:id="68"/>
    </w:p>
    <w:p w14:paraId="6001570B" w14:textId="5A7EB527" w:rsidR="008112C0" w:rsidRPr="00C4059A" w:rsidRDefault="008112C0" w:rsidP="00C4059A">
      <w:pPr>
        <w:pStyle w:val="Bullet"/>
        <w:numPr>
          <w:ilvl w:val="0"/>
          <w:numId w:val="0"/>
        </w:numPr>
        <w:spacing w:before="120" w:after="240"/>
        <w:rPr>
          <w:rFonts w:eastAsia="Calibri" w:cs="Calibri"/>
          <w:color w:val="000000"/>
          <w:bdr w:val="nil"/>
          <w:lang w:val="en-US" w:eastAsia="en-NZ"/>
        </w:rPr>
      </w:pPr>
      <w:r w:rsidRPr="00C4059A">
        <w:rPr>
          <w:rFonts w:eastAsia="Calibri" w:cs="Calibri"/>
          <w:color w:val="000000"/>
          <w:bdr w:val="nil"/>
          <w:lang w:val="en-US" w:eastAsia="en-NZ"/>
        </w:rPr>
        <w:t xml:space="preserve">This annual survey provides the Department with useful information about how the gambling regulator is perceived by others in the </w:t>
      </w:r>
      <w:r w:rsidR="00B007A5" w:rsidRPr="00C4059A">
        <w:rPr>
          <w:rFonts w:eastAsia="Calibri" w:cs="Calibri"/>
          <w:color w:val="000000"/>
          <w:bdr w:val="nil"/>
          <w:lang w:val="en-US" w:eastAsia="en-NZ"/>
        </w:rPr>
        <w:t>c</w:t>
      </w:r>
      <w:r w:rsidRPr="00C4059A">
        <w:rPr>
          <w:rFonts w:eastAsia="Calibri" w:cs="Calibri"/>
          <w:color w:val="000000"/>
          <w:bdr w:val="nil"/>
          <w:lang w:val="en-US" w:eastAsia="en-NZ"/>
        </w:rPr>
        <w:t>lass 4 gambling sector.</w:t>
      </w:r>
      <w:r w:rsidR="00CC36FF" w:rsidRPr="00C4059A">
        <w:rPr>
          <w:rFonts w:eastAsia="Calibri" w:cs="Calibri"/>
          <w:color w:val="000000"/>
          <w:bdr w:val="nil"/>
          <w:lang w:val="en-US" w:eastAsia="en-NZ"/>
        </w:rPr>
        <w:t xml:space="preserve"> </w:t>
      </w:r>
      <w:r w:rsidRPr="00C4059A">
        <w:rPr>
          <w:rFonts w:eastAsia="Calibri" w:cs="Calibri"/>
          <w:color w:val="000000"/>
          <w:bdr w:val="nil"/>
          <w:lang w:val="en-US" w:eastAsia="en-NZ"/>
        </w:rPr>
        <w:t xml:space="preserve">The responses help guide our focus </w:t>
      </w:r>
      <w:r w:rsidR="00DD01E2" w:rsidRPr="00C4059A">
        <w:rPr>
          <w:rFonts w:eastAsia="Calibri" w:cs="Calibri"/>
          <w:color w:val="000000"/>
          <w:bdr w:val="nil"/>
          <w:lang w:val="en-US" w:eastAsia="en-NZ"/>
        </w:rPr>
        <w:t>and inform us about areas that may need tweaking or improving.</w:t>
      </w:r>
    </w:p>
    <w:p w14:paraId="744F15A0" w14:textId="16BBC837" w:rsidR="00DD01E2" w:rsidRPr="00C4059A" w:rsidRDefault="00CC36FF" w:rsidP="00C4059A">
      <w:pPr>
        <w:pStyle w:val="Bullet"/>
        <w:numPr>
          <w:ilvl w:val="0"/>
          <w:numId w:val="0"/>
        </w:numPr>
        <w:spacing w:before="120" w:after="240"/>
        <w:rPr>
          <w:rFonts w:eastAsia="Calibri" w:cs="Calibri"/>
          <w:color w:val="000000"/>
          <w:bdr w:val="nil"/>
          <w:lang w:val="en-US" w:eastAsia="en-NZ"/>
        </w:rPr>
      </w:pPr>
      <w:r w:rsidRPr="00C4059A">
        <w:rPr>
          <w:rFonts w:eastAsia="Calibri" w:cs="Calibri"/>
          <w:color w:val="000000"/>
          <w:bdr w:val="nil"/>
          <w:lang w:val="en-US" w:eastAsia="en-NZ"/>
        </w:rPr>
        <w:t>We have been making</w:t>
      </w:r>
      <w:r w:rsidR="00DD01E2" w:rsidRPr="00C4059A">
        <w:rPr>
          <w:rFonts w:eastAsia="Calibri" w:cs="Calibri"/>
          <w:color w:val="000000"/>
          <w:bdr w:val="nil"/>
          <w:lang w:val="en-US" w:eastAsia="en-NZ"/>
        </w:rPr>
        <w:t xml:space="preserve"> significant changes to how we engage with the sector</w:t>
      </w:r>
      <w:r w:rsidR="001F0ADD" w:rsidRPr="00C4059A">
        <w:rPr>
          <w:rFonts w:eastAsia="Calibri" w:cs="Calibri"/>
          <w:color w:val="000000"/>
          <w:bdr w:val="nil"/>
          <w:lang w:val="en-US" w:eastAsia="en-NZ"/>
        </w:rPr>
        <w:t xml:space="preserve"> in recent years</w:t>
      </w:r>
      <w:r w:rsidR="002A5C01" w:rsidRPr="00C4059A">
        <w:rPr>
          <w:rFonts w:eastAsia="Calibri" w:cs="Calibri"/>
          <w:color w:val="000000"/>
          <w:bdr w:val="nil"/>
          <w:lang w:val="en-US" w:eastAsia="en-NZ"/>
        </w:rPr>
        <w:t xml:space="preserve">. </w:t>
      </w:r>
      <w:r w:rsidR="00D563A4" w:rsidRPr="00C4059A">
        <w:rPr>
          <w:rFonts w:eastAsia="Calibri" w:cs="Calibri"/>
          <w:color w:val="000000"/>
          <w:bdr w:val="nil"/>
          <w:lang w:val="en-US" w:eastAsia="en-NZ"/>
        </w:rPr>
        <w:t>These</w:t>
      </w:r>
      <w:r w:rsidR="00D9155D" w:rsidRPr="00C4059A">
        <w:rPr>
          <w:rFonts w:eastAsia="Calibri" w:cs="Calibri"/>
          <w:color w:val="000000"/>
          <w:bdr w:val="nil"/>
          <w:lang w:val="en-US" w:eastAsia="en-NZ"/>
        </w:rPr>
        <w:t xml:space="preserve"> change</w:t>
      </w:r>
      <w:r w:rsidR="00D563A4" w:rsidRPr="00C4059A">
        <w:rPr>
          <w:rFonts w:eastAsia="Calibri" w:cs="Calibri"/>
          <w:color w:val="000000"/>
          <w:bdr w:val="nil"/>
          <w:lang w:val="en-US" w:eastAsia="en-NZ"/>
        </w:rPr>
        <w:t>s</w:t>
      </w:r>
      <w:r w:rsidR="001F0ADD" w:rsidRPr="00C4059A">
        <w:rPr>
          <w:rFonts w:eastAsia="Calibri" w:cs="Calibri"/>
          <w:color w:val="000000"/>
          <w:bdr w:val="nil"/>
          <w:lang w:val="en-US" w:eastAsia="en-NZ"/>
        </w:rPr>
        <w:t xml:space="preserve"> continue to be </w:t>
      </w:r>
      <w:r w:rsidR="00D9155D" w:rsidRPr="00C4059A">
        <w:rPr>
          <w:rFonts w:eastAsia="Calibri" w:cs="Calibri"/>
          <w:color w:val="000000"/>
          <w:bdr w:val="nil"/>
          <w:lang w:val="en-US" w:eastAsia="en-NZ"/>
        </w:rPr>
        <w:t>rec</w:t>
      </w:r>
      <w:r w:rsidR="00E67151" w:rsidRPr="00C4059A">
        <w:rPr>
          <w:rFonts w:eastAsia="Calibri" w:cs="Calibri"/>
          <w:color w:val="000000"/>
          <w:bdr w:val="nil"/>
          <w:lang w:val="en-US" w:eastAsia="en-NZ"/>
        </w:rPr>
        <w:t>eived positively by the sector</w:t>
      </w:r>
      <w:r w:rsidR="003B3093" w:rsidRPr="00C4059A">
        <w:rPr>
          <w:rFonts w:eastAsia="Calibri" w:cs="Calibri"/>
          <w:color w:val="000000"/>
          <w:bdr w:val="nil"/>
          <w:lang w:val="en-US" w:eastAsia="en-NZ"/>
        </w:rPr>
        <w:t xml:space="preserve"> which is well illustrated by the responses to the survey</w:t>
      </w:r>
      <w:r w:rsidR="00E67151" w:rsidRPr="00C4059A">
        <w:rPr>
          <w:rFonts w:eastAsia="Calibri" w:cs="Calibri"/>
          <w:color w:val="000000"/>
          <w:bdr w:val="nil"/>
          <w:lang w:val="en-US" w:eastAsia="en-NZ"/>
        </w:rPr>
        <w:t>.</w:t>
      </w:r>
    </w:p>
    <w:p w14:paraId="2506F398" w14:textId="43E89065" w:rsidR="001F0ADD" w:rsidRPr="00C4059A" w:rsidRDefault="001F0ADD" w:rsidP="00C4059A">
      <w:pPr>
        <w:pStyle w:val="Bullet"/>
        <w:numPr>
          <w:ilvl w:val="0"/>
          <w:numId w:val="0"/>
        </w:numPr>
        <w:spacing w:before="120" w:after="240"/>
        <w:rPr>
          <w:rFonts w:eastAsia="Calibri" w:cs="Calibri"/>
          <w:color w:val="000000"/>
          <w:bdr w:val="nil"/>
          <w:lang w:val="en-US" w:eastAsia="en-NZ"/>
        </w:rPr>
      </w:pPr>
      <w:r w:rsidRPr="00C4059A">
        <w:rPr>
          <w:rFonts w:eastAsia="Calibri" w:cs="Calibri"/>
          <w:color w:val="000000"/>
          <w:bdr w:val="nil"/>
          <w:lang w:val="en-US" w:eastAsia="en-NZ"/>
        </w:rPr>
        <w:t xml:space="preserve">This year we introduced questions about the Department’s website, and the availability and quality of the information available on it.  </w:t>
      </w:r>
    </w:p>
    <w:p w14:paraId="21ABF882" w14:textId="4B5AE3C1" w:rsidR="001F0ADD" w:rsidRPr="00C4059A" w:rsidRDefault="00E67151" w:rsidP="00C4059A">
      <w:pPr>
        <w:pStyle w:val="Bullet"/>
        <w:numPr>
          <w:ilvl w:val="0"/>
          <w:numId w:val="0"/>
        </w:numPr>
        <w:spacing w:before="120" w:after="240"/>
        <w:rPr>
          <w:rFonts w:eastAsia="Calibri" w:cs="Calibri"/>
          <w:color w:val="000000"/>
          <w:bdr w:val="nil"/>
          <w:lang w:val="en-US" w:eastAsia="en-NZ"/>
        </w:rPr>
      </w:pPr>
      <w:r w:rsidRPr="00C4059A">
        <w:rPr>
          <w:rFonts w:eastAsia="Calibri" w:cs="Calibri"/>
          <w:color w:val="000000"/>
          <w:bdr w:val="nil"/>
          <w:lang w:val="en-US" w:eastAsia="en-NZ"/>
        </w:rPr>
        <w:t>This year</w:t>
      </w:r>
      <w:r w:rsidR="000814BF" w:rsidRPr="00C4059A">
        <w:rPr>
          <w:rFonts w:eastAsia="Calibri" w:cs="Calibri"/>
          <w:color w:val="000000"/>
          <w:bdr w:val="nil"/>
          <w:lang w:val="en-US" w:eastAsia="en-NZ"/>
        </w:rPr>
        <w:t xml:space="preserve"> </w:t>
      </w:r>
      <w:r w:rsidR="00CC36FF" w:rsidRPr="00C4059A">
        <w:rPr>
          <w:rFonts w:eastAsia="Calibri" w:cs="Calibri"/>
          <w:color w:val="000000"/>
          <w:bdr w:val="nil"/>
          <w:lang w:val="en-US" w:eastAsia="en-NZ"/>
        </w:rPr>
        <w:t xml:space="preserve">we </w:t>
      </w:r>
      <w:r w:rsidR="000814BF" w:rsidRPr="00C4059A">
        <w:rPr>
          <w:rFonts w:eastAsia="Calibri" w:cs="Calibri"/>
          <w:color w:val="000000"/>
          <w:bdr w:val="nil"/>
          <w:lang w:val="en-US" w:eastAsia="en-NZ"/>
        </w:rPr>
        <w:t>are particularly pleased to note that:</w:t>
      </w:r>
    </w:p>
    <w:p w14:paraId="2B8AD590" w14:textId="781D447C" w:rsidR="001F0ADD" w:rsidRPr="001F0ADD" w:rsidRDefault="001F0ADD" w:rsidP="001F0ADD">
      <w:pPr>
        <w:pStyle w:val="Bullet"/>
        <w:numPr>
          <w:ilvl w:val="0"/>
          <w:numId w:val="36"/>
        </w:numPr>
      </w:pPr>
      <w:proofErr w:type="gramStart"/>
      <w:r w:rsidRPr="001F0ADD">
        <w:t>ratings</w:t>
      </w:r>
      <w:proofErr w:type="gramEnd"/>
      <w:r w:rsidRPr="001F0ADD">
        <w:t xml:space="preserve"> of our professional performance (ease of obtaining information, quality of information, and speed of response) remain high and have improved in all sections since the 2016 survey. </w:t>
      </w:r>
    </w:p>
    <w:p w14:paraId="70A309CA" w14:textId="4FC6DB76" w:rsidR="001F0ADD" w:rsidRPr="001F0ADD" w:rsidRDefault="001F0ADD" w:rsidP="001F0ADD">
      <w:pPr>
        <w:pStyle w:val="BodyA"/>
        <w:keepLines w:val="0"/>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jc w:val="both"/>
        <w:rPr>
          <w:color w:val="auto"/>
          <w:lang w:eastAsia="en-US"/>
        </w:rPr>
      </w:pPr>
      <w:r w:rsidRPr="001F0ADD">
        <w:rPr>
          <w:color w:val="auto"/>
          <w:lang w:eastAsia="en-US"/>
        </w:rPr>
        <w:t>Gambits continue</w:t>
      </w:r>
      <w:r>
        <w:rPr>
          <w:color w:val="auto"/>
          <w:lang w:eastAsia="en-US"/>
        </w:rPr>
        <w:t>s</w:t>
      </w:r>
      <w:r w:rsidRPr="001F0ADD">
        <w:rPr>
          <w:color w:val="auto"/>
          <w:lang w:eastAsia="en-US"/>
        </w:rPr>
        <w:t xml:space="preserve"> </w:t>
      </w:r>
      <w:r>
        <w:rPr>
          <w:color w:val="auto"/>
          <w:lang w:eastAsia="en-US"/>
        </w:rPr>
        <w:t>be considered a great resource for the sector</w:t>
      </w:r>
      <w:r w:rsidRPr="001F0ADD">
        <w:rPr>
          <w:color w:val="auto"/>
          <w:lang w:eastAsia="en-US"/>
        </w:rPr>
        <w:t xml:space="preserve"> (usefulness, satisfaction with frequency, relevancy of information and being simple to understand.)</w:t>
      </w:r>
    </w:p>
    <w:p w14:paraId="2D149EAE" w14:textId="5153ED52" w:rsidR="001F0ADD" w:rsidRPr="001F0ADD" w:rsidRDefault="001F0ADD" w:rsidP="001F0ADD">
      <w:pPr>
        <w:pStyle w:val="BodyA"/>
        <w:keepLines w:val="0"/>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jc w:val="both"/>
        <w:rPr>
          <w:color w:val="auto"/>
          <w:lang w:eastAsia="en-US"/>
        </w:rPr>
      </w:pPr>
      <w:r w:rsidRPr="001F0ADD">
        <w:rPr>
          <w:color w:val="auto"/>
          <w:lang w:eastAsia="en-US"/>
        </w:rPr>
        <w:t>overall the Department’s website is well used by a large number of stakeholders, and</w:t>
      </w:r>
    </w:p>
    <w:p w14:paraId="79EE1539" w14:textId="33CE6744" w:rsidR="00DD4998" w:rsidRPr="00DD4998" w:rsidRDefault="001F0ADD" w:rsidP="00DD4998">
      <w:pPr>
        <w:pStyle w:val="BodyA"/>
        <w:keepLines w:val="0"/>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jc w:val="both"/>
        <w:rPr>
          <w:color w:val="auto"/>
          <w:lang w:eastAsia="en-US"/>
        </w:rPr>
      </w:pPr>
      <w:proofErr w:type="gramStart"/>
      <w:r>
        <w:rPr>
          <w:color w:val="auto"/>
          <w:lang w:eastAsia="en-US"/>
        </w:rPr>
        <w:t>responses</w:t>
      </w:r>
      <w:proofErr w:type="gramEnd"/>
      <w:r>
        <w:rPr>
          <w:color w:val="auto"/>
          <w:lang w:eastAsia="en-US"/>
        </w:rPr>
        <w:t xml:space="preserve"> to</w:t>
      </w:r>
      <w:r w:rsidRPr="001F0ADD">
        <w:rPr>
          <w:color w:val="auto"/>
          <w:lang w:eastAsia="en-US"/>
        </w:rPr>
        <w:t xml:space="preserve"> questions about our vision</w:t>
      </w:r>
      <w:r w:rsidR="00DD4998">
        <w:rPr>
          <w:color w:val="auto"/>
          <w:lang w:eastAsia="en-US"/>
        </w:rPr>
        <w:t xml:space="preserve"> for the sector</w:t>
      </w:r>
      <w:r w:rsidRPr="001F0ADD">
        <w:rPr>
          <w:color w:val="auto"/>
          <w:lang w:eastAsia="en-US"/>
        </w:rPr>
        <w:t xml:space="preserve"> have all </w:t>
      </w:r>
      <w:r w:rsidR="00DD4998">
        <w:rPr>
          <w:color w:val="auto"/>
          <w:lang w:eastAsia="en-US"/>
        </w:rPr>
        <w:t>improved</w:t>
      </w:r>
      <w:r w:rsidRPr="001F0ADD">
        <w:rPr>
          <w:color w:val="auto"/>
          <w:lang w:eastAsia="en-US"/>
        </w:rPr>
        <w:t xml:space="preserve"> compared to the 2016 baseline.</w:t>
      </w:r>
      <w:r w:rsidR="00DD4998">
        <w:rPr>
          <w:color w:val="auto"/>
          <w:lang w:eastAsia="en-US"/>
        </w:rPr>
        <w:t xml:space="preserve"> Comments in this section reflect the improved relationship with the sector.</w:t>
      </w:r>
    </w:p>
    <w:p w14:paraId="3259B597" w14:textId="620FDE20" w:rsidR="008112C0" w:rsidRPr="00C4059A" w:rsidRDefault="00CC36FF" w:rsidP="00C4059A">
      <w:pPr>
        <w:pStyle w:val="Bullet"/>
        <w:numPr>
          <w:ilvl w:val="0"/>
          <w:numId w:val="0"/>
        </w:numPr>
        <w:spacing w:before="120" w:after="240"/>
        <w:rPr>
          <w:rFonts w:eastAsia="Calibri" w:cs="Calibri"/>
          <w:color w:val="000000"/>
          <w:bdr w:val="nil"/>
          <w:lang w:val="en-US" w:eastAsia="en-NZ"/>
        </w:rPr>
      </w:pPr>
      <w:r w:rsidRPr="00C4059A">
        <w:rPr>
          <w:rFonts w:eastAsia="Calibri" w:cs="Calibri"/>
          <w:color w:val="000000"/>
          <w:bdr w:val="nil"/>
          <w:lang w:val="en-US" w:eastAsia="en-NZ"/>
        </w:rPr>
        <w:t>We are looking forward to continuing</w:t>
      </w:r>
      <w:r w:rsidR="001F0ADD" w:rsidRPr="00C4059A">
        <w:rPr>
          <w:rFonts w:eastAsia="Calibri" w:cs="Calibri"/>
          <w:color w:val="000000"/>
          <w:bdr w:val="nil"/>
          <w:lang w:val="en-US" w:eastAsia="en-NZ"/>
        </w:rPr>
        <w:t xml:space="preserve"> to make improvements in the way that we engage with the sector, using </w:t>
      </w:r>
      <w:r w:rsidRPr="00C4059A">
        <w:rPr>
          <w:rFonts w:eastAsia="Calibri" w:cs="Calibri"/>
          <w:color w:val="000000"/>
          <w:bdr w:val="nil"/>
          <w:lang w:val="en-US" w:eastAsia="en-NZ"/>
        </w:rPr>
        <w:t xml:space="preserve">our vision and objectives to </w:t>
      </w:r>
      <w:r w:rsidR="00324226" w:rsidRPr="00C4059A">
        <w:rPr>
          <w:rFonts w:eastAsia="Calibri" w:cs="Calibri"/>
          <w:color w:val="000000"/>
          <w:bdr w:val="nil"/>
          <w:lang w:val="en-US" w:eastAsia="en-NZ"/>
        </w:rPr>
        <w:t>drive the</w:t>
      </w:r>
      <w:r w:rsidRPr="00C4059A">
        <w:rPr>
          <w:rFonts w:eastAsia="Calibri" w:cs="Calibri"/>
          <w:color w:val="000000"/>
          <w:bdr w:val="nil"/>
          <w:lang w:val="en-US" w:eastAsia="en-NZ"/>
        </w:rPr>
        <w:t xml:space="preserve"> way that we work</w:t>
      </w:r>
      <w:r w:rsidR="001F0ADD" w:rsidRPr="00C4059A">
        <w:rPr>
          <w:rFonts w:eastAsia="Calibri" w:cs="Calibri"/>
          <w:color w:val="000000"/>
          <w:bdr w:val="nil"/>
          <w:lang w:val="en-US" w:eastAsia="en-NZ"/>
        </w:rPr>
        <w:t>. We hope to see continued improvements to our practices reflected in future s</w:t>
      </w:r>
      <w:r w:rsidRPr="00C4059A">
        <w:rPr>
          <w:rFonts w:eastAsia="Calibri" w:cs="Calibri"/>
          <w:color w:val="000000"/>
          <w:bdr w:val="nil"/>
          <w:lang w:val="en-US" w:eastAsia="en-NZ"/>
        </w:rPr>
        <w:t>urveys</w:t>
      </w:r>
      <w:r w:rsidR="002A5C01" w:rsidRPr="00C4059A">
        <w:rPr>
          <w:rFonts w:eastAsia="Calibri" w:cs="Calibri"/>
          <w:color w:val="000000"/>
          <w:bdr w:val="nil"/>
          <w:lang w:val="en-US" w:eastAsia="en-NZ"/>
        </w:rPr>
        <w:t xml:space="preserve">. </w:t>
      </w:r>
    </w:p>
    <w:p w14:paraId="523B8F00" w14:textId="105C5FE4" w:rsidR="008112C0" w:rsidRDefault="00DA00EC" w:rsidP="00DA00EC">
      <w:pPr>
        <w:pStyle w:val="Heading2"/>
        <w:rPr>
          <w:color w:val="1F546B" w:themeColor="text2"/>
          <w:sz w:val="32"/>
          <w:szCs w:val="32"/>
        </w:rPr>
      </w:pPr>
      <w:bookmarkStart w:id="69" w:name="_Toc505862370"/>
      <w:bookmarkStart w:id="70" w:name="_Toc505862439"/>
      <w:r w:rsidRPr="00DA00EC">
        <w:rPr>
          <w:color w:val="1F546B" w:themeColor="text2"/>
          <w:sz w:val="32"/>
          <w:szCs w:val="32"/>
        </w:rPr>
        <w:t xml:space="preserve">Appendix A: Survey </w:t>
      </w:r>
      <w:r w:rsidR="00FD13FD">
        <w:rPr>
          <w:color w:val="1F546B" w:themeColor="text2"/>
          <w:sz w:val="32"/>
          <w:szCs w:val="32"/>
        </w:rPr>
        <w:t>q</w:t>
      </w:r>
      <w:r w:rsidRPr="00DA00EC">
        <w:rPr>
          <w:color w:val="1F546B" w:themeColor="text2"/>
          <w:sz w:val="32"/>
          <w:szCs w:val="32"/>
        </w:rPr>
        <w:t>uestions</w:t>
      </w:r>
      <w:bookmarkEnd w:id="69"/>
      <w:bookmarkEnd w:id="70"/>
    </w:p>
    <w:p w14:paraId="650D0C10" w14:textId="64F70877" w:rsidR="00DA00EC" w:rsidRPr="00DA00EC" w:rsidRDefault="00452207" w:rsidP="00DA00EC">
      <w:hyperlink r:id="rId34" w:anchor="GS2017" w:history="1">
        <w:r w:rsidR="00DA00EC" w:rsidRPr="00C86E45">
          <w:rPr>
            <w:rStyle w:val="Hyperlink"/>
          </w:rPr>
          <w:t>A copy of all survey questions is available</w:t>
        </w:r>
        <w:r w:rsidR="0006192C" w:rsidRPr="00C86E45">
          <w:rPr>
            <w:rStyle w:val="Hyperlink"/>
          </w:rPr>
          <w:t xml:space="preserve"> here</w:t>
        </w:r>
      </w:hyperlink>
      <w:r w:rsidR="0006192C">
        <w:t>.</w:t>
      </w:r>
    </w:p>
    <w:sectPr w:rsidR="00DA00EC" w:rsidRPr="00DA00EC" w:rsidSect="00C4059A">
      <w:pgSz w:w="11907" w:h="16840" w:code="9"/>
      <w:pgMar w:top="1418" w:right="1418" w:bottom="992" w:left="1418" w:header="425" w:footer="64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CA8FF4" w14:textId="77777777" w:rsidR="00D230BC" w:rsidRDefault="00D230BC">
      <w:r>
        <w:separator/>
      </w:r>
    </w:p>
  </w:endnote>
  <w:endnote w:type="continuationSeparator" w:id="0">
    <w:p w14:paraId="238B87E4" w14:textId="77777777" w:rsidR="00D230BC" w:rsidRDefault="00D230BC">
      <w:r>
        <w:continuationSeparator/>
      </w:r>
    </w:p>
  </w:endnote>
  <w:endnote w:type="continuationNotice" w:id="1">
    <w:p w14:paraId="1484A46D" w14:textId="77777777" w:rsidR="00D230BC" w:rsidRDefault="00D230BC">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unga">
    <w:panose1 w:val="020B0802040204020203"/>
    <w:charset w:val="01"/>
    <w:family w:val="roman"/>
    <w:notTrueType/>
    <w:pitch w:val="variable"/>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Mäori">
    <w:altName w:val="Arial"/>
    <w:panose1 w:val="020B0604020202020204"/>
    <w:charset w:val="00"/>
    <w:family w:val="swiss"/>
    <w:pitch w:val="variable"/>
    <w:sig w:usb0="20007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9DE564" w14:textId="13A9FCC3" w:rsidR="00D230BC" w:rsidRPr="00F60476" w:rsidRDefault="00923149" w:rsidP="00F60476">
    <w:pPr>
      <w:pStyle w:val="Footer"/>
    </w:pPr>
    <w:r>
      <w:rPr>
        <w:noProof/>
        <w:lang w:eastAsia="en-NZ"/>
      </w:rPr>
      <w:drawing>
        <wp:anchor distT="0" distB="0" distL="114300" distR="114300" simplePos="0" relativeHeight="251660290" behindDoc="0" locked="0" layoutInCell="1" allowOverlap="1" wp14:anchorId="7F9DE56E" wp14:editId="0FAF34BF">
          <wp:simplePos x="0" y="0"/>
          <wp:positionH relativeFrom="column">
            <wp:posOffset>3204845</wp:posOffset>
          </wp:positionH>
          <wp:positionV relativeFrom="page">
            <wp:posOffset>10178415</wp:posOffset>
          </wp:positionV>
          <wp:extent cx="2555875" cy="262255"/>
          <wp:effectExtent l="0" t="0" r="0" b="4445"/>
          <wp:wrapSquare wrapText="bothSides"/>
          <wp:docPr id="10" name="Picture 10" descr="This image is the New Zealand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zealand government July 2014 [Converted].png"/>
                  <pic:cNvPicPr/>
                </pic:nvPicPr>
                <pic:blipFill>
                  <a:blip r:embed="rId1" cstate="print">
                    <a:extLst>
                      <a:ext uri="{28A0092B-C50C-407E-A947-70E740481C1C}">
                        <a14:useLocalDpi xmlns:a14="http://schemas.microsoft.com/office/drawing/2010/main"/>
                      </a:ext>
                    </a:extLst>
                  </a:blip>
                  <a:stretch>
                    <a:fillRect/>
                  </a:stretch>
                </pic:blipFill>
                <pic:spPr>
                  <a:xfrm>
                    <a:off x="0" y="0"/>
                    <a:ext cx="2555875" cy="262255"/>
                  </a:xfrm>
                  <a:prstGeom prst="rect">
                    <a:avLst/>
                  </a:prstGeom>
                </pic:spPr>
              </pic:pic>
            </a:graphicData>
          </a:graphic>
          <wp14:sizeRelH relativeFrom="margin">
            <wp14:pctWidth>0</wp14:pctWidth>
          </wp14:sizeRelH>
          <wp14:sizeRelV relativeFrom="margin">
            <wp14:pctHeight>0</wp14:pctHeight>
          </wp14:sizeRelV>
        </wp:anchor>
      </w:drawing>
    </w:r>
    <w:r w:rsidRPr="00923149">
      <w:rPr>
        <w:bCs/>
        <w:noProof/>
        <w:lang w:eastAsia="en-NZ"/>
      </w:rPr>
      <w:drawing>
        <wp:anchor distT="0" distB="0" distL="114300" distR="114300" simplePos="0" relativeHeight="251662338" behindDoc="0" locked="0" layoutInCell="1" allowOverlap="1" wp14:anchorId="7D71C71A" wp14:editId="36FC7F5F">
          <wp:simplePos x="0" y="0"/>
          <wp:positionH relativeFrom="column">
            <wp:posOffset>1270</wp:posOffset>
          </wp:positionH>
          <wp:positionV relativeFrom="paragraph">
            <wp:posOffset>-329565</wp:posOffset>
          </wp:positionV>
          <wp:extent cx="2338705" cy="627380"/>
          <wp:effectExtent l="0" t="0" r="0" b="1270"/>
          <wp:wrapSquare wrapText="bothSides"/>
          <wp:docPr id="17" name="Picture 17" descr="T:\Logos\DIA Logo\DIA Logo - Black (Word Templat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Logos\DIA Logo\DIA Logo - Black (Word Templates).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338705" cy="62738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9DE565" w14:textId="77777777" w:rsidR="00D230BC" w:rsidRDefault="00D230BC" w:rsidP="00AA3D58">
    <w:pPr>
      <w:pStyle w:val="Footer"/>
      <w:tabs>
        <w:tab w:val="center" w:pos="5103"/>
        <w:tab w:val="right" w:pos="9071"/>
      </w:tabs>
      <w:ind w:right="-1"/>
    </w:pPr>
    <w:r>
      <w:t>DMS library:</w:t>
    </w:r>
    <w:r>
      <w:fldChar w:fldCharType="begin"/>
    </w:r>
    <w:r>
      <w:instrText xml:space="preserve"> MacroButton NoMacro </w:instrText>
    </w:r>
    <w:r>
      <w:rPr>
        <w:highlight w:val="yellow"/>
      </w:rPr>
      <w:instrText>&lt;i</w:instrText>
    </w:r>
    <w:r w:rsidRPr="0012021D">
      <w:rPr>
        <w:highlight w:val="yellow"/>
      </w:rPr>
      <w:instrText>nsert DMS library&gt;</w:instrText>
    </w:r>
    <w:r>
      <w:instrText xml:space="preserve"> </w:instrText>
    </w:r>
    <w:r>
      <w:fldChar w:fldCharType="end"/>
    </w:r>
    <w:r>
      <w:tab/>
    </w:r>
    <w:r>
      <w:tab/>
      <w:t>￼</w:t>
    </w:r>
    <w:r>
      <w:fldChar w:fldCharType="begin"/>
    </w:r>
    <w:r>
      <w:instrText xml:space="preserve"> PAGE  \* Arabic  \* MERGEFORMAT </w:instrText>
    </w:r>
    <w:r>
      <w:fldChar w:fldCharType="separate"/>
    </w:r>
    <w:r w:rsidRPr="77A6A748">
      <w:rPr>
        <w:noProof/>
      </w:rPr>
      <w:t>￼</w:t>
    </w:r>
    <w:r>
      <w:fldChar w:fldCharType="end"/>
    </w:r>
    <w:r>
      <w:t>￼</w:t>
    </w:r>
    <w:r w:rsidR="00452207">
      <w:fldChar w:fldCharType="begin"/>
    </w:r>
    <w:r w:rsidR="00452207">
      <w:instrText xml:space="preserve"> NUMPAGES   \* MERGEFORMAT </w:instrText>
    </w:r>
    <w:r w:rsidR="00452207">
      <w:fldChar w:fldCharType="separate"/>
    </w:r>
    <w:r>
      <w:rPr>
        <w:noProof/>
      </w:rPr>
      <w:t>26</w:t>
    </w:r>
    <w:r w:rsidR="00452207">
      <w:rPr>
        <w:noProof/>
      </w:rPr>
      <w:fldChar w:fldCharType="end"/>
    </w:r>
  </w:p>
  <w:p w14:paraId="7F9DE566" w14:textId="77777777" w:rsidR="00D230BC" w:rsidRDefault="00D230BC" w:rsidP="00E57F71">
    <w:pPr>
      <w:pStyle w:val="Footer"/>
      <w:tabs>
        <w:tab w:val="right" w:pos="9071"/>
      </w:tabs>
      <w:ind w:right="-1"/>
    </w:pPr>
    <w:r>
      <w:t>DMS file code:</w:t>
    </w:r>
    <w:r>
      <w:fldChar w:fldCharType="begin"/>
    </w:r>
    <w:r>
      <w:instrText xml:space="preserve"> MacroButton NoMacro </w:instrText>
    </w:r>
    <w:r w:rsidRPr="0012021D">
      <w:rPr>
        <w:highlight w:val="yellow"/>
      </w:rPr>
      <w:instrText>&lt;</w:instrText>
    </w:r>
    <w:r>
      <w:rPr>
        <w:highlight w:val="yellow"/>
      </w:rPr>
      <w:instrText>insert DMS document ID</w:instrText>
    </w:r>
    <w:r w:rsidRPr="0012021D">
      <w:rPr>
        <w:highlight w:val="yellow"/>
      </w:rPr>
      <w:instrText>&gt;</w:instrText>
    </w:r>
    <w:r>
      <w:instrText xml:space="preserve"> </w:instrTex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2657657"/>
      <w:docPartObj>
        <w:docPartGallery w:val="Page Numbers (Bottom of Page)"/>
        <w:docPartUnique/>
      </w:docPartObj>
    </w:sdtPr>
    <w:sdtEndPr>
      <w:rPr>
        <w:noProof/>
      </w:rPr>
    </w:sdtEndPr>
    <w:sdtContent>
      <w:p w14:paraId="7F9DE568" w14:textId="77777777" w:rsidR="00D230BC" w:rsidRPr="00391C7C" w:rsidRDefault="00D230BC" w:rsidP="004F729F">
        <w:pPr>
          <w:pStyle w:val="Footer"/>
          <w:jc w:val="right"/>
        </w:pPr>
        <w:r>
          <w:fldChar w:fldCharType="begin"/>
        </w:r>
        <w:r>
          <w:instrText xml:space="preserve"> PAGE   \* MERGEFORMAT </w:instrText>
        </w:r>
        <w:r>
          <w:fldChar w:fldCharType="separate"/>
        </w:r>
        <w:r w:rsidR="00452207">
          <w:rPr>
            <w:noProof/>
          </w:rPr>
          <w:t>iv</w:t>
        </w:r>
        <w:r>
          <w:rPr>
            <w:noProof/>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9DE56A" w14:textId="77777777" w:rsidR="00D230BC" w:rsidRPr="00391C7C" w:rsidRDefault="00D230BC" w:rsidP="004518B7">
    <w:pPr>
      <w:pStyle w:val="Footer"/>
      <w:tabs>
        <w:tab w:val="center" w:pos="4678"/>
        <w:tab w:val="right" w:pos="9071"/>
      </w:tabs>
      <w:ind w:right="-1"/>
    </w:pPr>
    <w:r>
      <w:tab/>
    </w:r>
    <w:r>
      <w:tab/>
    </w:r>
    <w:r>
      <w:fldChar w:fldCharType="begin"/>
    </w:r>
    <w:r>
      <w:instrText xml:space="preserve"> PAGE   \* MERGEFORMAT </w:instrText>
    </w:r>
    <w:r>
      <w:fldChar w:fldCharType="separate"/>
    </w:r>
    <w:r w:rsidR="00452207">
      <w:rPr>
        <w:noProof/>
      </w:rPr>
      <w:t>24</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8CA31B" w14:textId="77777777" w:rsidR="00D230BC" w:rsidRDefault="00D230BC" w:rsidP="006E29CC">
      <w:pPr>
        <w:pStyle w:val="Spacer"/>
      </w:pPr>
      <w:r>
        <w:separator/>
      </w:r>
    </w:p>
    <w:p w14:paraId="345A257D" w14:textId="77777777" w:rsidR="00D230BC" w:rsidRDefault="00D230BC" w:rsidP="006E29CC">
      <w:pPr>
        <w:pStyle w:val="Spacer"/>
      </w:pPr>
    </w:p>
  </w:footnote>
  <w:footnote w:type="continuationSeparator" w:id="0">
    <w:p w14:paraId="6A0A684E" w14:textId="77777777" w:rsidR="00D230BC" w:rsidRDefault="00D230BC">
      <w:r>
        <w:continuationSeparator/>
      </w:r>
    </w:p>
  </w:footnote>
  <w:footnote w:type="continuationNotice" w:id="1">
    <w:p w14:paraId="254FCD3B" w14:textId="77777777" w:rsidR="00D230BC" w:rsidRDefault="00D230BC">
      <w:pPr>
        <w:spacing w:before="0" w:after="0"/>
      </w:pPr>
    </w:p>
  </w:footnote>
  <w:footnote w:id="2">
    <w:p w14:paraId="7F9DE572" w14:textId="77777777" w:rsidR="00D230BC" w:rsidRPr="00AB503F" w:rsidRDefault="00D230BC" w:rsidP="005D5A31">
      <w:pPr>
        <w:pStyle w:val="FootnoteText"/>
        <w:rPr>
          <w:szCs w:val="18"/>
        </w:rPr>
      </w:pPr>
      <w:r w:rsidRPr="00AB503F">
        <w:rPr>
          <w:rStyle w:val="FootnoteReference"/>
          <w:szCs w:val="18"/>
        </w:rPr>
        <w:footnoteRef/>
      </w:r>
      <w:r w:rsidRPr="00AB503F">
        <w:rPr>
          <w:szCs w:val="18"/>
        </w:rPr>
        <w:t xml:space="preserve"> </w:t>
      </w:r>
      <w:hyperlink r:id="rId1" w:history="1">
        <w:r>
          <w:rPr>
            <w:rStyle w:val="Hyperlink"/>
            <w:szCs w:val="18"/>
          </w:rPr>
          <w:t>Gambling Act 2003</w:t>
        </w:r>
      </w:hyperlink>
    </w:p>
  </w:footnote>
  <w:footnote w:id="3">
    <w:p w14:paraId="3A352413" w14:textId="5CC4B74B" w:rsidR="00D230BC" w:rsidRDefault="00D230BC">
      <w:pPr>
        <w:pStyle w:val="FootnoteText"/>
      </w:pPr>
      <w:r>
        <w:rPr>
          <w:rStyle w:val="FootnoteReference"/>
        </w:rPr>
        <w:footnoteRef/>
      </w:r>
      <w:r>
        <w:t xml:space="preserve"> </w:t>
      </w:r>
      <w:r w:rsidRPr="00C4059A">
        <w:rPr>
          <w:rFonts w:asciiTheme="minorHAnsi" w:eastAsiaTheme="minorEastAsia" w:hAnsiTheme="minorHAnsi" w:cstheme="minorBidi"/>
        </w:rPr>
        <w:t>Includes management companies, service providers, government departments and others</w:t>
      </w:r>
    </w:p>
  </w:footnote>
  <w:footnote w:id="4">
    <w:p w14:paraId="7D00EEAA" w14:textId="7B857953" w:rsidR="00D230BC" w:rsidRPr="00C4059A" w:rsidRDefault="00D230BC" w:rsidP="00C4059A">
      <w:pPr>
        <w:pStyle w:val="Bullet"/>
        <w:numPr>
          <w:ilvl w:val="0"/>
          <w:numId w:val="0"/>
        </w:numPr>
        <w:spacing w:before="120" w:after="240"/>
        <w:rPr>
          <w:rFonts w:eastAsia="Calibri" w:cs="Calibri"/>
          <w:color w:val="000000"/>
          <w:sz w:val="20"/>
          <w:szCs w:val="20"/>
          <w:bdr w:val="nil"/>
          <w:lang w:val="en-US" w:eastAsia="en-NZ"/>
        </w:rPr>
      </w:pPr>
      <w:r w:rsidRPr="00C4059A">
        <w:rPr>
          <w:rStyle w:val="FootnoteReference"/>
          <w:sz w:val="20"/>
        </w:rPr>
        <w:footnoteRef/>
      </w:r>
      <w:r w:rsidRPr="00C4059A">
        <w:rPr>
          <w:sz w:val="20"/>
        </w:rPr>
        <w:t xml:space="preserve"> </w:t>
      </w:r>
      <w:r w:rsidRPr="00C4059A">
        <w:rPr>
          <w:rFonts w:eastAsia="Calibri" w:cs="Calibri"/>
          <w:color w:val="000000"/>
          <w:sz w:val="20"/>
          <w:szCs w:val="20"/>
          <w:bdr w:val="nil"/>
          <w:lang w:val="en-US" w:eastAsia="en-NZ"/>
        </w:rPr>
        <w:t>Service Provider refers to “Problem Gambling Service Providers”; “Management Company” refers to Management Service Providers.</w:t>
      </w:r>
    </w:p>
    <w:p w14:paraId="663D9E28" w14:textId="64B9C0C8" w:rsidR="00D230BC" w:rsidRDefault="00D230BC">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9DE563" w14:textId="5501495F" w:rsidR="00D230BC" w:rsidRPr="00143173" w:rsidRDefault="00D230BC" w:rsidP="00143173">
    <w:pPr>
      <w:pStyle w:val="Securityclassificiation"/>
      <w:rPr>
        <w:bCs/>
      </w:rPr>
    </w:pPr>
    <w:r w:rsidRPr="00143173">
      <w:rPr>
        <w:bCs/>
        <w:noProof/>
        <w:lang w:eastAsia="en-NZ"/>
      </w:rPr>
      <w:drawing>
        <wp:anchor distT="0" distB="0" distL="114300" distR="114300" simplePos="0" relativeHeight="251658240" behindDoc="0" locked="0" layoutInCell="1" allowOverlap="1" wp14:anchorId="7F9DE56C" wp14:editId="7F9DE56D">
          <wp:simplePos x="0" y="0"/>
          <wp:positionH relativeFrom="column">
            <wp:align>left</wp:align>
          </wp:positionH>
          <wp:positionV relativeFrom="page">
            <wp:posOffset>504190</wp:posOffset>
          </wp:positionV>
          <wp:extent cx="108000" cy="3240000"/>
          <wp:effectExtent l="0" t="0" r="6350" b="0"/>
          <wp:wrapSquare wrapText="bothSides"/>
          <wp:docPr id="8" name="Picture 8" descr="This image is for decoration on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oured stick June 2014 4KB.png"/>
                  <pic:cNvPicPr/>
                </pic:nvPicPr>
                <pic:blipFill>
                  <a:blip r:embed="rId1">
                    <a:extLst>
                      <a:ext uri="{28A0092B-C50C-407E-A947-70E740481C1C}">
                        <a14:useLocalDpi xmlns:a14="http://schemas.microsoft.com/office/drawing/2010/main"/>
                      </a:ext>
                    </a:extLst>
                  </a:blip>
                  <a:stretch>
                    <a:fillRect/>
                  </a:stretch>
                </pic:blipFill>
                <pic:spPr>
                  <a:xfrm>
                    <a:off x="0" y="0"/>
                    <a:ext cx="108000" cy="3240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9DE567" w14:textId="663EB24B" w:rsidR="00D230BC" w:rsidRDefault="00D230BC" w:rsidP="0046577B">
    <w:pPr>
      <w:pStyle w:val="Header"/>
    </w:pPr>
    <w:r>
      <w:t>2017 Gambling Sector Survey</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9DE569" w14:textId="68D7CCE1" w:rsidR="00D230BC" w:rsidRDefault="00D230BC" w:rsidP="0046577B">
    <w:pPr>
      <w:pStyle w:val="Header"/>
    </w:pPr>
    <w:r>
      <w:t>2017 Gambling Sector Survey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092F23C"/>
    <w:lvl w:ilvl="0">
      <w:start w:val="1"/>
      <w:numFmt w:val="decimal"/>
      <w:pStyle w:val="ListNumber5"/>
      <w:lvlText w:val="%1."/>
      <w:lvlJc w:val="left"/>
      <w:pPr>
        <w:tabs>
          <w:tab w:val="num" w:pos="7303"/>
        </w:tabs>
        <w:ind w:left="7303" w:hanging="360"/>
      </w:pPr>
    </w:lvl>
  </w:abstractNum>
  <w:abstractNum w:abstractNumId="1">
    <w:nsid w:val="FFFFFF7D"/>
    <w:multiLevelType w:val="singleLevel"/>
    <w:tmpl w:val="4900E3A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E35A998E"/>
    <w:lvl w:ilvl="0">
      <w:start w:val="1"/>
      <w:numFmt w:val="decimal"/>
      <w:pStyle w:val="ListNumber3"/>
      <w:lvlText w:val="%1."/>
      <w:lvlJc w:val="left"/>
      <w:pPr>
        <w:tabs>
          <w:tab w:val="num" w:pos="926"/>
        </w:tabs>
        <w:ind w:left="926" w:hanging="360"/>
      </w:pPr>
    </w:lvl>
  </w:abstractNum>
  <w:abstractNum w:abstractNumId="3">
    <w:nsid w:val="FFFFFF7F"/>
    <w:multiLevelType w:val="singleLevel"/>
    <w:tmpl w:val="6C32224A"/>
    <w:lvl w:ilvl="0">
      <w:start w:val="1"/>
      <w:numFmt w:val="decimal"/>
      <w:pStyle w:val="ListNumber2"/>
      <w:lvlText w:val="%1."/>
      <w:lvlJc w:val="left"/>
      <w:pPr>
        <w:tabs>
          <w:tab w:val="num" w:pos="643"/>
        </w:tabs>
        <w:ind w:left="643" w:hanging="360"/>
      </w:pPr>
    </w:lvl>
  </w:abstractNum>
  <w:abstractNum w:abstractNumId="4">
    <w:nsid w:val="FFFFFF80"/>
    <w:multiLevelType w:val="singleLevel"/>
    <w:tmpl w:val="8A0463DC"/>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CCE04DE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B60EAF4E"/>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A29E0C6A"/>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84FAD412"/>
    <w:lvl w:ilvl="0">
      <w:start w:val="1"/>
      <w:numFmt w:val="decimal"/>
      <w:pStyle w:val="ListNumber"/>
      <w:lvlText w:val="%1."/>
      <w:lvlJc w:val="left"/>
      <w:pPr>
        <w:tabs>
          <w:tab w:val="num" w:pos="360"/>
        </w:tabs>
        <w:ind w:left="360" w:hanging="360"/>
      </w:pPr>
    </w:lvl>
  </w:abstractNum>
  <w:abstractNum w:abstractNumId="9">
    <w:nsid w:val="FFFFFF89"/>
    <w:multiLevelType w:val="singleLevel"/>
    <w:tmpl w:val="4E66EE6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4849D7"/>
    <w:multiLevelType w:val="hybridMultilevel"/>
    <w:tmpl w:val="26445A5C"/>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nsid w:val="02BA46F3"/>
    <w:multiLevelType w:val="multilevel"/>
    <w:tmpl w:val="96662BF2"/>
    <w:lvl w:ilvl="0">
      <w:start w:val="1"/>
      <w:numFmt w:val="decimal"/>
      <w:pStyle w:val="Numberedpara3level1"/>
      <w:lvlText w:val="%1."/>
      <w:lvlJc w:val="left"/>
      <w:pPr>
        <w:ind w:left="567" w:hanging="567"/>
      </w:pPr>
      <w:rPr>
        <w:rFonts w:hint="default"/>
      </w:rPr>
    </w:lvl>
    <w:lvl w:ilvl="1">
      <w:start w:val="1"/>
      <w:numFmt w:val="decimal"/>
      <w:pStyle w:val="Numberedpara3level211"/>
      <w:lvlText w:val="%1.%2"/>
      <w:lvlJc w:val="left"/>
      <w:pPr>
        <w:ind w:left="1247" w:hanging="680"/>
      </w:pPr>
      <w:rPr>
        <w:rFonts w:hint="default"/>
      </w:rPr>
    </w:lvl>
    <w:lvl w:ilvl="2">
      <w:start w:val="1"/>
      <w:numFmt w:val="decimal"/>
      <w:pStyle w:val="Numberedpara3level3111"/>
      <w:lvlText w:val="%1.%2.%3"/>
      <w:lvlJc w:val="left"/>
      <w:pPr>
        <w:tabs>
          <w:tab w:val="num" w:pos="1247"/>
        </w:tabs>
        <w:ind w:left="2155" w:hanging="90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048801E9"/>
    <w:multiLevelType w:val="multilevel"/>
    <w:tmpl w:val="084A60DC"/>
    <w:lvl w:ilvl="0">
      <w:start w:val="1"/>
      <w:numFmt w:val="decimal"/>
      <w:pStyle w:val="Tablelist123"/>
      <w:lvlText w:val="%1."/>
      <w:lvlJc w:val="left"/>
      <w:pPr>
        <w:tabs>
          <w:tab w:val="num" w:pos="357"/>
        </w:tabs>
        <w:ind w:left="357" w:hanging="357"/>
      </w:pPr>
      <w:rPr>
        <w:rFonts w:ascii="Calibri" w:hAnsi="Calibri" w:hint="default"/>
        <w:caps w:val="0"/>
        <w:strike w:val="0"/>
        <w:dstrike w:val="0"/>
        <w:vanish w:val="0"/>
        <w:sz w:val="22"/>
        <w:vertAlign w:val="baseline"/>
      </w:rPr>
    </w:lvl>
    <w:lvl w:ilvl="1">
      <w:start w:val="1"/>
      <w:numFmt w:val="lowerLetter"/>
      <w:pStyle w:val="Tablelist123level2"/>
      <w:lvlText w:val="(%2)"/>
      <w:lvlJc w:val="left"/>
      <w:pPr>
        <w:tabs>
          <w:tab w:val="num" w:pos="714"/>
        </w:tabs>
        <w:ind w:left="714" w:hanging="357"/>
      </w:pPr>
      <w:rPr>
        <w:rFonts w:hint="default"/>
      </w:rPr>
    </w:lvl>
    <w:lvl w:ilvl="2">
      <w:start w:val="1"/>
      <w:numFmt w:val="lowerRoman"/>
      <w:lvlText w:val="(%3)"/>
      <w:lvlJc w:val="left"/>
      <w:pPr>
        <w:tabs>
          <w:tab w:val="num" w:pos="1071"/>
        </w:tabs>
        <w:ind w:left="1071" w:hanging="357"/>
      </w:pPr>
      <w:rPr>
        <w:rFonts w:hint="default"/>
      </w:rPr>
    </w:lvl>
    <w:lvl w:ilvl="3">
      <w:start w:val="1"/>
      <w:numFmt w:val="none"/>
      <w:pStyle w:val="BodyTextTableLevel3"/>
      <w:isLgl/>
      <w:suff w:val="nothing"/>
      <w:lvlText w:val=""/>
      <w:lvlJc w:val="left"/>
      <w:pPr>
        <w:ind w:left="1428" w:hanging="357"/>
      </w:pPr>
      <w:rPr>
        <w:rFonts w:hint="default"/>
      </w:rPr>
    </w:lvl>
    <w:lvl w:ilvl="4">
      <w:start w:val="1"/>
      <w:numFmt w:val="none"/>
      <w:isLgl/>
      <w:lvlText w:val=""/>
      <w:lvlJc w:val="left"/>
      <w:pPr>
        <w:tabs>
          <w:tab w:val="num" w:pos="1785"/>
        </w:tabs>
        <w:ind w:left="1785" w:hanging="357"/>
      </w:pPr>
      <w:rPr>
        <w:rFonts w:hint="default"/>
      </w:rPr>
    </w:lvl>
    <w:lvl w:ilvl="5">
      <w:start w:val="1"/>
      <w:numFmt w:val="none"/>
      <w:isLgl/>
      <w:lvlText w:val=""/>
      <w:lvlJc w:val="left"/>
      <w:pPr>
        <w:tabs>
          <w:tab w:val="num" w:pos="2142"/>
        </w:tabs>
        <w:ind w:left="2142" w:hanging="357"/>
      </w:pPr>
      <w:rPr>
        <w:rFonts w:hint="default"/>
      </w:rPr>
    </w:lvl>
    <w:lvl w:ilvl="6">
      <w:start w:val="1"/>
      <w:numFmt w:val="none"/>
      <w:isLgl/>
      <w:lvlText w:val=""/>
      <w:lvlJc w:val="left"/>
      <w:pPr>
        <w:tabs>
          <w:tab w:val="num" w:pos="2499"/>
        </w:tabs>
        <w:ind w:left="2499" w:hanging="357"/>
      </w:pPr>
      <w:rPr>
        <w:rFonts w:hint="default"/>
      </w:rPr>
    </w:lvl>
    <w:lvl w:ilvl="7">
      <w:start w:val="1"/>
      <w:numFmt w:val="none"/>
      <w:isLgl/>
      <w:lvlText w:val=""/>
      <w:lvlJc w:val="left"/>
      <w:pPr>
        <w:tabs>
          <w:tab w:val="num" w:pos="2856"/>
        </w:tabs>
        <w:ind w:left="2856" w:hanging="357"/>
      </w:pPr>
      <w:rPr>
        <w:rFonts w:hint="default"/>
      </w:rPr>
    </w:lvl>
    <w:lvl w:ilvl="8">
      <w:start w:val="1"/>
      <w:numFmt w:val="none"/>
      <w:isLgl/>
      <w:lvlText w:val=""/>
      <w:lvlJc w:val="left"/>
      <w:pPr>
        <w:tabs>
          <w:tab w:val="num" w:pos="3213"/>
        </w:tabs>
        <w:ind w:left="3213" w:hanging="357"/>
      </w:pPr>
      <w:rPr>
        <w:rFonts w:hint="default"/>
      </w:rPr>
    </w:lvl>
  </w:abstractNum>
  <w:abstractNum w:abstractNumId="13">
    <w:nsid w:val="0BB84FFD"/>
    <w:multiLevelType w:val="multilevel"/>
    <w:tmpl w:val="4DC84630"/>
    <w:lvl w:ilvl="0">
      <w:start w:val="1"/>
      <w:numFmt w:val="decimal"/>
      <w:pStyle w:val="Numberedpara11headingwithnumber"/>
      <w:lvlText w:val="%1."/>
      <w:lvlJc w:val="left"/>
      <w:pPr>
        <w:ind w:left="567" w:hanging="567"/>
      </w:pPr>
      <w:rPr>
        <w:rFonts w:cs="Tunga" w:hint="default"/>
      </w:rPr>
    </w:lvl>
    <w:lvl w:ilvl="1">
      <w:start w:val="1"/>
      <w:numFmt w:val="decimal"/>
      <w:lvlText w:val="%1.%2"/>
      <w:lvlJc w:val="left"/>
      <w:pPr>
        <w:ind w:left="567" w:hanging="567"/>
      </w:pPr>
      <w:rPr>
        <w:rFonts w:cs="Tunga" w:hint="default"/>
      </w:rPr>
    </w:lvl>
    <w:lvl w:ilvl="2">
      <w:start w:val="1"/>
      <w:numFmt w:val="lowerLetter"/>
      <w:lvlText w:val="(%3)"/>
      <w:lvlJc w:val="left"/>
      <w:pPr>
        <w:ind w:left="924" w:hanging="357"/>
      </w:pPr>
      <w:rPr>
        <w:rFonts w:cs="Tunga" w:hint="default"/>
      </w:rPr>
    </w:lvl>
    <w:lvl w:ilvl="3">
      <w:start w:val="1"/>
      <w:numFmt w:val="lowerRoman"/>
      <w:lvlText w:val="(%4)"/>
      <w:lvlJc w:val="left"/>
      <w:pPr>
        <w:ind w:left="1281" w:hanging="357"/>
      </w:pPr>
      <w:rPr>
        <w:rFonts w:cs="Tunga" w:hint="default"/>
      </w:rPr>
    </w:lvl>
    <w:lvl w:ilvl="4">
      <w:start w:val="1"/>
      <w:numFmt w:val="none"/>
      <w:suff w:val="nothing"/>
      <w:lvlText w:val=""/>
      <w:lvlJc w:val="left"/>
      <w:pPr>
        <w:ind w:left="3544" w:firstLine="0"/>
      </w:pPr>
      <w:rPr>
        <w:rFonts w:cs="Tunga" w:hint="default"/>
      </w:rPr>
    </w:lvl>
    <w:lvl w:ilvl="5">
      <w:start w:val="1"/>
      <w:numFmt w:val="none"/>
      <w:lvlText w:val=""/>
      <w:lvlJc w:val="left"/>
      <w:pPr>
        <w:tabs>
          <w:tab w:val="num" w:pos="1701"/>
        </w:tabs>
        <w:ind w:left="1701" w:firstLine="0"/>
      </w:pPr>
      <w:rPr>
        <w:rFonts w:cs="Tunga" w:hint="default"/>
      </w:rPr>
    </w:lvl>
    <w:lvl w:ilvl="6">
      <w:start w:val="1"/>
      <w:numFmt w:val="none"/>
      <w:lvlText w:val=""/>
      <w:lvlJc w:val="left"/>
      <w:pPr>
        <w:tabs>
          <w:tab w:val="num" w:pos="1701"/>
        </w:tabs>
        <w:ind w:left="1701" w:firstLine="0"/>
      </w:pPr>
      <w:rPr>
        <w:rFonts w:cs="Tunga" w:hint="default"/>
      </w:rPr>
    </w:lvl>
    <w:lvl w:ilvl="7">
      <w:start w:val="1"/>
      <w:numFmt w:val="none"/>
      <w:lvlText w:val=""/>
      <w:lvlJc w:val="left"/>
      <w:pPr>
        <w:tabs>
          <w:tab w:val="num" w:pos="1701"/>
        </w:tabs>
        <w:ind w:left="1701" w:firstLine="0"/>
      </w:pPr>
      <w:rPr>
        <w:rFonts w:cs="Tunga" w:hint="default"/>
      </w:rPr>
    </w:lvl>
    <w:lvl w:ilvl="8">
      <w:start w:val="1"/>
      <w:numFmt w:val="none"/>
      <w:lvlText w:val=""/>
      <w:lvlJc w:val="left"/>
      <w:pPr>
        <w:tabs>
          <w:tab w:val="num" w:pos="1701"/>
        </w:tabs>
        <w:ind w:left="1701" w:firstLine="0"/>
      </w:pPr>
      <w:rPr>
        <w:rFonts w:cs="Tunga" w:hint="default"/>
      </w:rPr>
    </w:lvl>
  </w:abstractNum>
  <w:abstractNum w:abstractNumId="14">
    <w:nsid w:val="1984256C"/>
    <w:multiLevelType w:val="multilevel"/>
    <w:tmpl w:val="0430E66C"/>
    <w:lvl w:ilvl="0">
      <w:start w:val="1"/>
      <w:numFmt w:val="decimal"/>
      <w:pStyle w:val="Headingnumbered1"/>
      <w:lvlText w:val="%1."/>
      <w:lvlJc w:val="left"/>
      <w:pPr>
        <w:tabs>
          <w:tab w:val="num" w:pos="709"/>
        </w:tabs>
        <w:ind w:left="709" w:hanging="709"/>
      </w:pPr>
      <w:rPr>
        <w:rFonts w:cs="Gill Sans MT" w:hint="default"/>
      </w:rPr>
    </w:lvl>
    <w:lvl w:ilvl="1">
      <w:start w:val="1"/>
      <w:numFmt w:val="decimal"/>
      <w:pStyle w:val="Headingnumbered2"/>
      <w:lvlText w:val="%1.%2"/>
      <w:lvlJc w:val="left"/>
      <w:pPr>
        <w:tabs>
          <w:tab w:val="num" w:pos="709"/>
        </w:tabs>
        <w:ind w:left="709" w:hanging="709"/>
      </w:pPr>
      <w:rPr>
        <w:rFonts w:cs="Gill Sans MT" w:hint="default"/>
      </w:rPr>
    </w:lvl>
    <w:lvl w:ilvl="2">
      <w:start w:val="1"/>
      <w:numFmt w:val="decimal"/>
      <w:pStyle w:val="Headingnumbered3"/>
      <w:lvlText w:val="%3.%2.%1"/>
      <w:lvlJc w:val="left"/>
      <w:pPr>
        <w:tabs>
          <w:tab w:val="num" w:pos="709"/>
        </w:tabs>
        <w:ind w:left="709" w:hanging="709"/>
      </w:pPr>
      <w:rPr>
        <w:rFonts w:cs="Gill Sans MT" w:hint="default"/>
      </w:rPr>
    </w:lvl>
    <w:lvl w:ilvl="3">
      <w:start w:val="1"/>
      <w:numFmt w:val="none"/>
      <w:pStyle w:val="Headingnumbered4"/>
      <w:lvlText w:val="%4"/>
      <w:lvlJc w:val="left"/>
      <w:pPr>
        <w:tabs>
          <w:tab w:val="num" w:pos="0"/>
        </w:tabs>
        <w:ind w:left="0" w:firstLine="0"/>
      </w:pPr>
      <w:rPr>
        <w:rFonts w:ascii="Calibri" w:hAnsi="Calibri" w:cs="Gill Sans MT" w:hint="default"/>
        <w:b/>
        <w:i/>
        <w:caps w:val="0"/>
        <w:strike w:val="0"/>
        <w:dstrike w:val="0"/>
        <w:vanish w:val="0"/>
        <w:color w:val="1F546B" w:themeColor="text2"/>
        <w:sz w:val="24"/>
        <w:vertAlign w:val="baseline"/>
      </w:rPr>
    </w:lvl>
    <w:lvl w:ilvl="4">
      <w:start w:val="1"/>
      <w:numFmt w:val="none"/>
      <w:pStyle w:val="BodyTextIndentLevel3"/>
      <w:suff w:val="nothing"/>
      <w:lvlText w:val=""/>
      <w:lvlJc w:val="left"/>
      <w:pPr>
        <w:ind w:left="1843" w:firstLine="0"/>
      </w:pPr>
      <w:rPr>
        <w:rFonts w:cs="Gill Sans MT" w:hint="default"/>
      </w:rPr>
    </w:lvl>
    <w:lvl w:ilvl="5">
      <w:start w:val="1"/>
      <w:numFmt w:val="none"/>
      <w:lvlText w:val=""/>
      <w:lvlJc w:val="left"/>
      <w:pPr>
        <w:tabs>
          <w:tab w:val="num" w:pos="0"/>
        </w:tabs>
        <w:ind w:left="0" w:firstLine="0"/>
      </w:pPr>
      <w:rPr>
        <w:rFonts w:cs="Gill Sans MT" w:hint="default"/>
      </w:rPr>
    </w:lvl>
    <w:lvl w:ilvl="6">
      <w:start w:val="1"/>
      <w:numFmt w:val="none"/>
      <w:lvlText w:val=""/>
      <w:lvlJc w:val="left"/>
      <w:pPr>
        <w:tabs>
          <w:tab w:val="num" w:pos="0"/>
        </w:tabs>
        <w:ind w:left="0" w:firstLine="0"/>
      </w:pPr>
      <w:rPr>
        <w:rFonts w:cs="Gill Sans MT" w:hint="default"/>
      </w:rPr>
    </w:lvl>
    <w:lvl w:ilvl="7">
      <w:start w:val="1"/>
      <w:numFmt w:val="none"/>
      <w:lvlText w:val=""/>
      <w:lvlJc w:val="left"/>
      <w:pPr>
        <w:tabs>
          <w:tab w:val="num" w:pos="0"/>
        </w:tabs>
        <w:ind w:left="0" w:firstLine="0"/>
      </w:pPr>
      <w:rPr>
        <w:rFonts w:cs="Gill Sans MT" w:hint="default"/>
      </w:rPr>
    </w:lvl>
    <w:lvl w:ilvl="8">
      <w:start w:val="1"/>
      <w:numFmt w:val="none"/>
      <w:lvlText w:val=""/>
      <w:lvlJc w:val="left"/>
      <w:pPr>
        <w:tabs>
          <w:tab w:val="num" w:pos="0"/>
        </w:tabs>
        <w:ind w:left="0" w:firstLine="0"/>
      </w:pPr>
      <w:rPr>
        <w:rFonts w:cs="Gill Sans MT" w:hint="default"/>
      </w:rPr>
    </w:lvl>
  </w:abstractNum>
  <w:abstractNum w:abstractNumId="15">
    <w:nsid w:val="2B0063FD"/>
    <w:multiLevelType w:val="hybridMultilevel"/>
    <w:tmpl w:val="00B69E44"/>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nsid w:val="2D595D95"/>
    <w:multiLevelType w:val="hybridMultilevel"/>
    <w:tmpl w:val="395CFCB8"/>
    <w:lvl w:ilvl="0" w:tplc="267CDEF0">
      <w:start w:val="1"/>
      <w:numFmt w:val="bullet"/>
      <w:pStyle w:val="Bullet-lvl1"/>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nsid w:val="368F5832"/>
    <w:multiLevelType w:val="multilevel"/>
    <w:tmpl w:val="805E2C0A"/>
    <w:lvl w:ilvl="0">
      <w:start w:val="1"/>
      <w:numFmt w:val="upperLetter"/>
      <w:pStyle w:val="Headingappendix"/>
      <w:suff w:val="space"/>
      <w:lvlText w:val="Appendix %1:"/>
      <w:lvlJc w:val="left"/>
      <w:pPr>
        <w:ind w:left="0" w:firstLine="0"/>
      </w:pPr>
      <w:rPr>
        <w:rFonts w:hint="default"/>
        <w:color w:val="1F546B"/>
        <w:szCs w:val="20"/>
      </w:rPr>
    </w:lvl>
    <w:lvl w:ilvl="1">
      <w:start w:val="1"/>
      <w:numFmt w:val="none"/>
      <w:lvlText w:val=""/>
      <w:lvlJc w:val="left"/>
      <w:pPr>
        <w:tabs>
          <w:tab w:val="num" w:pos="0"/>
        </w:tabs>
        <w:ind w:left="0" w:firstLine="0"/>
      </w:pPr>
      <w:rPr>
        <w:rFonts w:hint="default"/>
        <w:szCs w:val="20"/>
      </w:rPr>
    </w:lvl>
    <w:lvl w:ilvl="2">
      <w:start w:val="1"/>
      <w:numFmt w:val="none"/>
      <w:lvlText w:val=""/>
      <w:lvlJc w:val="left"/>
      <w:pPr>
        <w:tabs>
          <w:tab w:val="num" w:pos="0"/>
        </w:tabs>
        <w:ind w:left="0" w:firstLine="0"/>
      </w:pPr>
      <w:rPr>
        <w:rFonts w:hint="default"/>
        <w:szCs w:val="20"/>
      </w:rPr>
    </w:lvl>
    <w:lvl w:ilvl="3">
      <w:start w:val="1"/>
      <w:numFmt w:val="none"/>
      <w:lvlText w:val=""/>
      <w:lvlJc w:val="left"/>
      <w:pPr>
        <w:tabs>
          <w:tab w:val="num" w:pos="0"/>
        </w:tabs>
        <w:ind w:left="0" w:firstLine="0"/>
      </w:pPr>
      <w:rPr>
        <w:rFonts w:hint="default"/>
        <w:szCs w:val="20"/>
      </w:rPr>
    </w:lvl>
    <w:lvl w:ilvl="4">
      <w:start w:val="1"/>
      <w:numFmt w:val="none"/>
      <w:lvlText w:val=""/>
      <w:lvlJc w:val="left"/>
      <w:pPr>
        <w:tabs>
          <w:tab w:val="num" w:pos="0"/>
        </w:tabs>
        <w:ind w:left="0" w:firstLine="0"/>
      </w:pPr>
      <w:rPr>
        <w:rFonts w:hint="default"/>
        <w:szCs w:val="20"/>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8">
    <w:nsid w:val="374F1B62"/>
    <w:multiLevelType w:val="multilevel"/>
    <w:tmpl w:val="48543978"/>
    <w:lvl w:ilvl="0">
      <w:start w:val="1"/>
      <w:numFmt w:val="decimal"/>
      <w:pStyle w:val="Numberedpara2level1"/>
      <w:lvlText w:val="%1."/>
      <w:lvlJc w:val="left"/>
      <w:pPr>
        <w:tabs>
          <w:tab w:val="num" w:pos="567"/>
        </w:tabs>
        <w:ind w:left="567" w:hanging="567"/>
      </w:pPr>
      <w:rPr>
        <w:rFonts w:hint="default"/>
      </w:rPr>
    </w:lvl>
    <w:lvl w:ilvl="1">
      <w:start w:val="1"/>
      <w:numFmt w:val="lowerLetter"/>
      <w:pStyle w:val="Numberedpara2level2a"/>
      <w:lvlText w:val="%2)"/>
      <w:lvlJc w:val="left"/>
      <w:pPr>
        <w:ind w:left="924" w:hanging="357"/>
      </w:pPr>
      <w:rPr>
        <w:rFonts w:hint="default"/>
      </w:rPr>
    </w:lvl>
    <w:lvl w:ilvl="2">
      <w:start w:val="1"/>
      <w:numFmt w:val="lowerRoman"/>
      <w:pStyle w:val="Numberedpara2level3i"/>
      <w:lvlText w:val="%3)"/>
      <w:lvlJc w:val="left"/>
      <w:pPr>
        <w:ind w:left="1298" w:hanging="37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38512A5E"/>
    <w:multiLevelType w:val="hybridMultilevel"/>
    <w:tmpl w:val="09CE673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nsid w:val="3C7A5AA8"/>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1">
    <w:nsid w:val="43166244"/>
    <w:multiLevelType w:val="hybridMultilevel"/>
    <w:tmpl w:val="3CE2F95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nsid w:val="49185E3F"/>
    <w:multiLevelType w:val="multilevel"/>
    <w:tmpl w:val="F5EABF96"/>
    <w:lvl w:ilvl="0">
      <w:start w:val="1"/>
      <w:numFmt w:val="decimal"/>
      <w:pStyle w:val="Legislationsection"/>
      <w:lvlText w:val="%1"/>
      <w:lvlJc w:val="left"/>
      <w:pPr>
        <w:ind w:left="567" w:hanging="567"/>
      </w:pPr>
      <w:rPr>
        <w:rFonts w:hint="default"/>
        <w:b/>
        <w:i w:val="0"/>
      </w:rPr>
    </w:lvl>
    <w:lvl w:ilvl="1">
      <w:start w:val="1"/>
      <w:numFmt w:val="none"/>
      <w:lvlText w:val="%2"/>
      <w:lvlJc w:val="left"/>
      <w:pPr>
        <w:ind w:left="567" w:firstLine="0"/>
      </w:pPr>
      <w:rPr>
        <w:rFonts w:hint="default"/>
      </w:rPr>
    </w:lvl>
    <w:lvl w:ilvl="2">
      <w:start w:val="1"/>
      <w:numFmt w:val="lowerLetter"/>
      <w:pStyle w:val="Legislationa"/>
      <w:lvlText w:val="(%3)"/>
      <w:lvlJc w:val="left"/>
      <w:pPr>
        <w:ind w:left="1134" w:hanging="567"/>
      </w:pPr>
      <w:rPr>
        <w:rFonts w:hint="default"/>
      </w:rPr>
    </w:lvl>
    <w:lvl w:ilvl="3">
      <w:start w:val="1"/>
      <w:numFmt w:val="lowerRoman"/>
      <w:pStyle w:val="Legislationi"/>
      <w:lvlText w:val="(%4)"/>
      <w:lvlJc w:val="left"/>
      <w:pPr>
        <w:ind w:left="1701"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nsid w:val="58D47783"/>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5EB64413"/>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5">
    <w:nsid w:val="5F6020FE"/>
    <w:multiLevelType w:val="hybridMultilevel"/>
    <w:tmpl w:val="BBD6B4C8"/>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26">
    <w:nsid w:val="5FD40A31"/>
    <w:multiLevelType w:val="multilevel"/>
    <w:tmpl w:val="51BAA28C"/>
    <w:lvl w:ilvl="0">
      <w:start w:val="1"/>
      <w:numFmt w:val="bullet"/>
      <w:pStyle w:val="Bullet"/>
      <w:lvlText w:val=""/>
      <w:lvlJc w:val="left"/>
      <w:pPr>
        <w:ind w:left="927" w:hanging="360"/>
      </w:pPr>
      <w:rPr>
        <w:rFonts w:ascii="Symbol" w:hAnsi="Symbol" w:hint="default"/>
        <w:sz w:val="20"/>
      </w:rPr>
    </w:lvl>
    <w:lvl w:ilvl="1">
      <w:start w:val="1"/>
      <w:numFmt w:val="bullet"/>
      <w:pStyle w:val="Bulletlevel2"/>
      <w:lvlText w:val="○"/>
      <w:lvlJc w:val="left"/>
      <w:pPr>
        <w:ind w:left="1281" w:hanging="357"/>
      </w:pPr>
      <w:rPr>
        <w:rFonts w:ascii="Courier New" w:hAnsi="Courier New" w:hint="default"/>
        <w:b/>
        <w:i w:val="0"/>
        <w:sz w:val="18"/>
      </w:rPr>
    </w:lvl>
    <w:lvl w:ilvl="2">
      <w:start w:val="1"/>
      <w:numFmt w:val="bullet"/>
      <w:lvlRestart w:val="0"/>
      <w:pStyle w:val="Bulletlevel3"/>
      <w:lvlText w:val="-"/>
      <w:lvlJc w:val="left"/>
      <w:pPr>
        <w:ind w:left="1639" w:hanging="358"/>
      </w:pPr>
      <w:rPr>
        <w:rFonts w:ascii="Arial" w:hAnsi="Arial" w:hint="default"/>
      </w:rPr>
    </w:lvl>
    <w:lvl w:ilvl="3">
      <w:start w:val="1"/>
      <w:numFmt w:val="none"/>
      <w:lvlRestart w:val="0"/>
      <w:suff w:val="nothing"/>
      <w:lvlText w:val=""/>
      <w:lvlJc w:val="left"/>
      <w:pPr>
        <w:ind w:left="1701" w:firstLine="0"/>
      </w:pPr>
      <w:rPr>
        <w:rFonts w:hint="default"/>
      </w:rPr>
    </w:lvl>
    <w:lvl w:ilvl="4">
      <w:start w:val="1"/>
      <w:numFmt w:val="none"/>
      <w:lvlRestart w:val="0"/>
      <w:lvlText w:val=""/>
      <w:lvlJc w:val="left"/>
      <w:pPr>
        <w:tabs>
          <w:tab w:val="num" w:pos="283"/>
        </w:tabs>
        <w:ind w:left="283" w:firstLine="0"/>
      </w:pPr>
      <w:rPr>
        <w:rFonts w:hint="default"/>
      </w:rPr>
    </w:lvl>
    <w:lvl w:ilvl="5">
      <w:start w:val="1"/>
      <w:numFmt w:val="none"/>
      <w:lvlRestart w:val="0"/>
      <w:lvlText w:val=""/>
      <w:lvlJc w:val="left"/>
      <w:pPr>
        <w:tabs>
          <w:tab w:val="num" w:pos="283"/>
        </w:tabs>
        <w:ind w:left="283" w:firstLine="0"/>
      </w:pPr>
      <w:rPr>
        <w:rFonts w:hint="default"/>
      </w:rPr>
    </w:lvl>
    <w:lvl w:ilvl="6">
      <w:start w:val="1"/>
      <w:numFmt w:val="none"/>
      <w:lvlRestart w:val="0"/>
      <w:lvlText w:val=""/>
      <w:lvlJc w:val="left"/>
      <w:pPr>
        <w:tabs>
          <w:tab w:val="num" w:pos="283"/>
        </w:tabs>
        <w:ind w:left="283" w:firstLine="0"/>
      </w:pPr>
      <w:rPr>
        <w:rFonts w:hint="default"/>
      </w:rPr>
    </w:lvl>
    <w:lvl w:ilvl="7">
      <w:start w:val="1"/>
      <w:numFmt w:val="none"/>
      <w:lvlRestart w:val="0"/>
      <w:lvlText w:val=""/>
      <w:lvlJc w:val="left"/>
      <w:pPr>
        <w:tabs>
          <w:tab w:val="num" w:pos="283"/>
        </w:tabs>
        <w:ind w:left="283" w:firstLine="0"/>
      </w:pPr>
      <w:rPr>
        <w:rFonts w:hint="default"/>
      </w:rPr>
    </w:lvl>
    <w:lvl w:ilvl="8">
      <w:start w:val="1"/>
      <w:numFmt w:val="none"/>
      <w:lvlRestart w:val="0"/>
      <w:lvlText w:val=""/>
      <w:lvlJc w:val="left"/>
      <w:pPr>
        <w:tabs>
          <w:tab w:val="num" w:pos="283"/>
        </w:tabs>
        <w:ind w:left="283" w:firstLine="0"/>
      </w:pPr>
      <w:rPr>
        <w:rFonts w:hint="default"/>
      </w:rPr>
    </w:lvl>
  </w:abstractNum>
  <w:abstractNum w:abstractNumId="27">
    <w:nsid w:val="62081221"/>
    <w:multiLevelType w:val="hybridMultilevel"/>
    <w:tmpl w:val="716EE596"/>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28">
    <w:nsid w:val="6629776D"/>
    <w:multiLevelType w:val="hybridMultilevel"/>
    <w:tmpl w:val="9C1C455A"/>
    <w:lvl w:ilvl="0" w:tplc="FB2C7B5A">
      <w:start w:val="1"/>
      <w:numFmt w:val="decimal"/>
      <w:pStyle w:val="Legislationnumber"/>
      <w:lvlText w:val="(%1)"/>
      <w:lvlJc w:val="left"/>
      <w:pPr>
        <w:ind w:left="360" w:hanging="360"/>
      </w:pPr>
      <w:rPr>
        <w:rFonts w:hint="default"/>
        <w:b w:val="0"/>
        <w:i w:val="0"/>
      </w:r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29">
    <w:nsid w:val="67532733"/>
    <w:multiLevelType w:val="multilevel"/>
    <w:tmpl w:val="D400BCB2"/>
    <w:lvl w:ilvl="0">
      <w:start w:val="1"/>
      <w:numFmt w:val="bullet"/>
      <w:pStyle w:val="Tablebullet"/>
      <w:lvlText w:val=""/>
      <w:lvlJc w:val="left"/>
      <w:pPr>
        <w:ind w:left="357" w:hanging="357"/>
      </w:pPr>
      <w:rPr>
        <w:rFonts w:ascii="Symbol" w:hAnsi="Symbol" w:hint="default"/>
        <w:sz w:val="18"/>
      </w:rPr>
    </w:lvl>
    <w:lvl w:ilvl="1">
      <w:start w:val="1"/>
      <w:numFmt w:val="bullet"/>
      <w:pStyle w:val="Tablebulletlevel2"/>
      <w:lvlText w:val="○"/>
      <w:lvlJc w:val="left"/>
      <w:pPr>
        <w:ind w:left="714" w:hanging="357"/>
      </w:pPr>
      <w:rPr>
        <w:rFonts w:ascii="Courier New" w:hAnsi="Courier New" w:hint="default"/>
        <w:b w:val="0"/>
        <w:i w:val="0"/>
        <w:caps w:val="0"/>
        <w:strike w:val="0"/>
        <w:dstrike w:val="0"/>
        <w:vanish w:val="0"/>
        <w:sz w:val="16"/>
        <w:vertAlign w:val="baseline"/>
      </w:rPr>
    </w:lvl>
    <w:lvl w:ilvl="2">
      <w:start w:val="1"/>
      <w:numFmt w:val="bullet"/>
      <w:lvlRestart w:val="0"/>
      <w:pStyle w:val="TableBulletListLevel3"/>
      <w:lvlText w:val="-"/>
      <w:lvlJc w:val="left"/>
      <w:pPr>
        <w:tabs>
          <w:tab w:val="num" w:pos="1106"/>
        </w:tabs>
        <w:ind w:left="1071" w:firstLine="210"/>
      </w:pPr>
      <w:rPr>
        <w:rFonts w:ascii="Arial" w:hAnsi="Arial" w:hint="default"/>
      </w:rPr>
    </w:lvl>
    <w:lvl w:ilvl="3">
      <w:start w:val="1"/>
      <w:numFmt w:val="none"/>
      <w:lvlRestart w:val="0"/>
      <w:suff w:val="nothing"/>
      <w:lvlText w:val=""/>
      <w:lvlJc w:val="left"/>
      <w:pPr>
        <w:ind w:left="1428" w:firstLine="210"/>
      </w:pPr>
      <w:rPr>
        <w:rFonts w:hint="default"/>
      </w:rPr>
    </w:lvl>
    <w:lvl w:ilvl="4">
      <w:start w:val="1"/>
      <w:numFmt w:val="none"/>
      <w:lvlRestart w:val="0"/>
      <w:lvlText w:val=""/>
      <w:lvlJc w:val="left"/>
      <w:pPr>
        <w:tabs>
          <w:tab w:val="num" w:pos="851"/>
        </w:tabs>
        <w:ind w:left="1785" w:firstLine="210"/>
      </w:pPr>
      <w:rPr>
        <w:rFonts w:hint="default"/>
      </w:rPr>
    </w:lvl>
    <w:lvl w:ilvl="5">
      <w:start w:val="1"/>
      <w:numFmt w:val="none"/>
      <w:lvlRestart w:val="0"/>
      <w:lvlText w:val=""/>
      <w:lvlJc w:val="left"/>
      <w:pPr>
        <w:tabs>
          <w:tab w:val="num" w:pos="851"/>
        </w:tabs>
        <w:ind w:left="2142" w:firstLine="210"/>
      </w:pPr>
      <w:rPr>
        <w:rFonts w:hint="default"/>
      </w:rPr>
    </w:lvl>
    <w:lvl w:ilvl="6">
      <w:start w:val="1"/>
      <w:numFmt w:val="none"/>
      <w:lvlRestart w:val="0"/>
      <w:lvlText w:val=""/>
      <w:lvlJc w:val="left"/>
      <w:pPr>
        <w:tabs>
          <w:tab w:val="num" w:pos="851"/>
        </w:tabs>
        <w:ind w:left="2499" w:firstLine="210"/>
      </w:pPr>
      <w:rPr>
        <w:rFonts w:hint="default"/>
      </w:rPr>
    </w:lvl>
    <w:lvl w:ilvl="7">
      <w:start w:val="1"/>
      <w:numFmt w:val="none"/>
      <w:lvlRestart w:val="0"/>
      <w:lvlText w:val=""/>
      <w:lvlJc w:val="left"/>
      <w:pPr>
        <w:tabs>
          <w:tab w:val="num" w:pos="851"/>
        </w:tabs>
        <w:ind w:left="2856" w:firstLine="210"/>
      </w:pPr>
      <w:rPr>
        <w:rFonts w:hint="default"/>
      </w:rPr>
    </w:lvl>
    <w:lvl w:ilvl="8">
      <w:start w:val="1"/>
      <w:numFmt w:val="none"/>
      <w:lvlRestart w:val="0"/>
      <w:lvlText w:val=""/>
      <w:lvlJc w:val="left"/>
      <w:pPr>
        <w:tabs>
          <w:tab w:val="num" w:pos="851"/>
        </w:tabs>
        <w:ind w:left="3213" w:firstLine="210"/>
      </w:pPr>
      <w:rPr>
        <w:rFonts w:hint="default"/>
      </w:rPr>
    </w:lvl>
  </w:abstractNum>
  <w:abstractNum w:abstractNumId="30">
    <w:nsid w:val="6B2A7B0B"/>
    <w:multiLevelType w:val="multilevel"/>
    <w:tmpl w:val="E83A8BA2"/>
    <w:lvl w:ilvl="0">
      <w:start w:val="1"/>
      <w:numFmt w:val="decimal"/>
      <w:pStyle w:val="List123"/>
      <w:lvlText w:val="%1."/>
      <w:lvlJc w:val="left"/>
      <w:pPr>
        <w:ind w:left="924" w:hanging="357"/>
      </w:pPr>
      <w:rPr>
        <w:rFonts w:hint="default"/>
      </w:rPr>
    </w:lvl>
    <w:lvl w:ilvl="1">
      <w:start w:val="1"/>
      <w:numFmt w:val="lowerLetter"/>
      <w:pStyle w:val="List123level2"/>
      <w:lvlText w:val="(%2)"/>
      <w:lvlJc w:val="left"/>
      <w:pPr>
        <w:ind w:left="1281" w:hanging="357"/>
      </w:pPr>
      <w:rPr>
        <w:rFonts w:hint="default"/>
      </w:rPr>
    </w:lvl>
    <w:lvl w:ilvl="2">
      <w:start w:val="1"/>
      <w:numFmt w:val="lowerRoman"/>
      <w:pStyle w:val="List123level3"/>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31">
    <w:nsid w:val="6CDA3CC1"/>
    <w:multiLevelType w:val="hybridMultilevel"/>
    <w:tmpl w:val="0436D838"/>
    <w:lvl w:ilvl="0" w:tplc="14090001">
      <w:start w:val="1"/>
      <w:numFmt w:val="bullet"/>
      <w:lvlText w:val=""/>
      <w:lvlJc w:val="left"/>
      <w:pPr>
        <w:ind w:left="776" w:hanging="360"/>
      </w:pPr>
      <w:rPr>
        <w:rFonts w:ascii="Symbol" w:hAnsi="Symbol" w:hint="default"/>
      </w:rPr>
    </w:lvl>
    <w:lvl w:ilvl="1" w:tplc="14090003" w:tentative="1">
      <w:start w:val="1"/>
      <w:numFmt w:val="bullet"/>
      <w:lvlText w:val="o"/>
      <w:lvlJc w:val="left"/>
      <w:pPr>
        <w:ind w:left="1496" w:hanging="360"/>
      </w:pPr>
      <w:rPr>
        <w:rFonts w:ascii="Courier New" w:hAnsi="Courier New" w:cs="Courier New" w:hint="default"/>
      </w:rPr>
    </w:lvl>
    <w:lvl w:ilvl="2" w:tplc="14090005" w:tentative="1">
      <w:start w:val="1"/>
      <w:numFmt w:val="bullet"/>
      <w:lvlText w:val=""/>
      <w:lvlJc w:val="left"/>
      <w:pPr>
        <w:ind w:left="2216" w:hanging="360"/>
      </w:pPr>
      <w:rPr>
        <w:rFonts w:ascii="Wingdings" w:hAnsi="Wingdings" w:hint="default"/>
      </w:rPr>
    </w:lvl>
    <w:lvl w:ilvl="3" w:tplc="14090001" w:tentative="1">
      <w:start w:val="1"/>
      <w:numFmt w:val="bullet"/>
      <w:lvlText w:val=""/>
      <w:lvlJc w:val="left"/>
      <w:pPr>
        <w:ind w:left="2936" w:hanging="360"/>
      </w:pPr>
      <w:rPr>
        <w:rFonts w:ascii="Symbol" w:hAnsi="Symbol" w:hint="default"/>
      </w:rPr>
    </w:lvl>
    <w:lvl w:ilvl="4" w:tplc="14090003" w:tentative="1">
      <w:start w:val="1"/>
      <w:numFmt w:val="bullet"/>
      <w:lvlText w:val="o"/>
      <w:lvlJc w:val="left"/>
      <w:pPr>
        <w:ind w:left="3656" w:hanging="360"/>
      </w:pPr>
      <w:rPr>
        <w:rFonts w:ascii="Courier New" w:hAnsi="Courier New" w:cs="Courier New" w:hint="default"/>
      </w:rPr>
    </w:lvl>
    <w:lvl w:ilvl="5" w:tplc="14090005" w:tentative="1">
      <w:start w:val="1"/>
      <w:numFmt w:val="bullet"/>
      <w:lvlText w:val=""/>
      <w:lvlJc w:val="left"/>
      <w:pPr>
        <w:ind w:left="4376" w:hanging="360"/>
      </w:pPr>
      <w:rPr>
        <w:rFonts w:ascii="Wingdings" w:hAnsi="Wingdings" w:hint="default"/>
      </w:rPr>
    </w:lvl>
    <w:lvl w:ilvl="6" w:tplc="14090001" w:tentative="1">
      <w:start w:val="1"/>
      <w:numFmt w:val="bullet"/>
      <w:lvlText w:val=""/>
      <w:lvlJc w:val="left"/>
      <w:pPr>
        <w:ind w:left="5096" w:hanging="360"/>
      </w:pPr>
      <w:rPr>
        <w:rFonts w:ascii="Symbol" w:hAnsi="Symbol" w:hint="default"/>
      </w:rPr>
    </w:lvl>
    <w:lvl w:ilvl="7" w:tplc="14090003" w:tentative="1">
      <w:start w:val="1"/>
      <w:numFmt w:val="bullet"/>
      <w:lvlText w:val="o"/>
      <w:lvlJc w:val="left"/>
      <w:pPr>
        <w:ind w:left="5816" w:hanging="360"/>
      </w:pPr>
      <w:rPr>
        <w:rFonts w:ascii="Courier New" w:hAnsi="Courier New" w:cs="Courier New" w:hint="default"/>
      </w:rPr>
    </w:lvl>
    <w:lvl w:ilvl="8" w:tplc="14090005" w:tentative="1">
      <w:start w:val="1"/>
      <w:numFmt w:val="bullet"/>
      <w:lvlText w:val=""/>
      <w:lvlJc w:val="left"/>
      <w:pPr>
        <w:ind w:left="6536" w:hanging="360"/>
      </w:pPr>
      <w:rPr>
        <w:rFonts w:ascii="Wingdings" w:hAnsi="Wingdings" w:hint="default"/>
      </w:rPr>
    </w:lvl>
  </w:abstractNum>
  <w:abstractNum w:abstractNumId="32">
    <w:nsid w:val="6DE824E7"/>
    <w:multiLevelType w:val="multilevel"/>
    <w:tmpl w:val="0380C358"/>
    <w:lvl w:ilvl="0">
      <w:numFmt w:val="none"/>
      <w:pStyle w:val="BodyTextTableLevel1"/>
      <w:suff w:val="nothing"/>
      <w:lvlText w:val=""/>
      <w:lvlJc w:val="left"/>
      <w:pPr>
        <w:ind w:left="425" w:firstLine="0"/>
      </w:pPr>
      <w:rPr>
        <w:rFonts w:hint="default"/>
      </w:rPr>
    </w:lvl>
    <w:lvl w:ilvl="1">
      <w:start w:val="1"/>
      <w:numFmt w:val="none"/>
      <w:pStyle w:val="BodyTextTableLevel2"/>
      <w:suff w:val="nothing"/>
      <w:lvlText w:val="%2%1"/>
      <w:lvlJc w:val="left"/>
      <w:pPr>
        <w:ind w:left="709" w:firstLine="0"/>
      </w:pPr>
      <w:rPr>
        <w:rFonts w:hint="default"/>
      </w:rPr>
    </w:lvl>
    <w:lvl w:ilvl="2">
      <w:start w:val="1"/>
      <w:numFmt w:val="none"/>
      <w:suff w:val="nothing"/>
      <w:lvlText w:val="%3%1"/>
      <w:lvlJc w:val="left"/>
      <w:pPr>
        <w:ind w:left="1134" w:firstLine="0"/>
      </w:pPr>
      <w:rPr>
        <w:rFonts w:hint="default"/>
      </w:rPr>
    </w:lvl>
    <w:lvl w:ilvl="3">
      <w:start w:val="1"/>
      <w:numFmt w:val="none"/>
      <w:isLgl/>
      <w:lvlText w:val=""/>
      <w:lvlJc w:val="left"/>
      <w:pPr>
        <w:tabs>
          <w:tab w:val="num" w:pos="0"/>
        </w:tabs>
        <w:ind w:left="0" w:firstLine="0"/>
      </w:pPr>
      <w:rPr>
        <w:rFonts w:hint="default"/>
      </w:rPr>
    </w:lvl>
    <w:lvl w:ilvl="4">
      <w:start w:val="1"/>
      <w:numFmt w:val="none"/>
      <w:isLgl/>
      <w:lvlText w:val=""/>
      <w:lvlJc w:val="left"/>
      <w:pPr>
        <w:tabs>
          <w:tab w:val="num" w:pos="0"/>
        </w:tabs>
        <w:ind w:left="0" w:firstLine="0"/>
      </w:pPr>
      <w:rPr>
        <w:rFonts w:hint="default"/>
      </w:rPr>
    </w:lvl>
    <w:lvl w:ilvl="5">
      <w:start w:val="1"/>
      <w:numFmt w:val="none"/>
      <w:isLgl/>
      <w:lvlText w:val=""/>
      <w:lvlJc w:val="left"/>
      <w:pPr>
        <w:tabs>
          <w:tab w:val="num" w:pos="0"/>
        </w:tabs>
        <w:ind w:left="0" w:firstLine="0"/>
      </w:pPr>
      <w:rPr>
        <w:rFonts w:hint="default"/>
      </w:rPr>
    </w:lvl>
    <w:lvl w:ilvl="6">
      <w:start w:val="1"/>
      <w:numFmt w:val="none"/>
      <w:isLgl/>
      <w:lvlText w:val=""/>
      <w:lvlJc w:val="left"/>
      <w:pPr>
        <w:tabs>
          <w:tab w:val="num" w:pos="0"/>
        </w:tabs>
        <w:ind w:left="0" w:firstLine="0"/>
      </w:pPr>
      <w:rPr>
        <w:rFonts w:hint="default"/>
      </w:rPr>
    </w:lvl>
    <w:lvl w:ilvl="7">
      <w:start w:val="1"/>
      <w:numFmt w:val="none"/>
      <w:isLgl/>
      <w:lvlText w:val=""/>
      <w:lvlJc w:val="left"/>
      <w:pPr>
        <w:tabs>
          <w:tab w:val="num" w:pos="0"/>
        </w:tabs>
        <w:ind w:left="0" w:firstLine="0"/>
      </w:pPr>
      <w:rPr>
        <w:rFonts w:hint="default"/>
      </w:rPr>
    </w:lvl>
    <w:lvl w:ilvl="8">
      <w:start w:val="1"/>
      <w:numFmt w:val="none"/>
      <w:isLgl/>
      <w:lvlText w:val=""/>
      <w:lvlJc w:val="left"/>
      <w:pPr>
        <w:tabs>
          <w:tab w:val="num" w:pos="0"/>
        </w:tabs>
        <w:ind w:left="0" w:firstLine="0"/>
      </w:pPr>
      <w:rPr>
        <w:rFonts w:hint="default"/>
      </w:rPr>
    </w:lvl>
  </w:abstractNum>
  <w:abstractNum w:abstractNumId="33">
    <w:nsid w:val="76585497"/>
    <w:multiLevelType w:val="multilevel"/>
    <w:tmpl w:val="54B65A0C"/>
    <w:lvl w:ilvl="0">
      <w:start w:val="1"/>
      <w:numFmt w:val="upperLetter"/>
      <w:pStyle w:val="ListABC"/>
      <w:lvlText w:val="%1."/>
      <w:lvlJc w:val="left"/>
      <w:pPr>
        <w:ind w:left="924" w:hanging="357"/>
      </w:pPr>
      <w:rPr>
        <w:rFonts w:hint="default"/>
        <w:caps w:val="0"/>
        <w:strike w:val="0"/>
        <w:dstrike w:val="0"/>
        <w:vanish w:val="0"/>
        <w:sz w:val="24"/>
        <w:vertAlign w:val="baseline"/>
      </w:rPr>
    </w:lvl>
    <w:lvl w:ilvl="1">
      <w:start w:val="1"/>
      <w:numFmt w:val="lowerLetter"/>
      <w:pStyle w:val="ListABClevel2"/>
      <w:lvlText w:val="(%2)"/>
      <w:lvlJc w:val="left"/>
      <w:pPr>
        <w:ind w:left="1281" w:hanging="357"/>
      </w:pPr>
      <w:rPr>
        <w:rFonts w:hint="default"/>
      </w:rPr>
    </w:lvl>
    <w:lvl w:ilvl="2">
      <w:start w:val="1"/>
      <w:numFmt w:val="lowerRoman"/>
      <w:pStyle w:val="ListABClevel3"/>
      <w:lvlText w:val="(%3)"/>
      <w:lvlJc w:val="left"/>
      <w:pPr>
        <w:ind w:left="1638" w:hanging="357"/>
      </w:pPr>
      <w:rPr>
        <w:rFonts w:hint="default"/>
      </w:rPr>
    </w:lvl>
    <w:lvl w:ilvl="3">
      <w:start w:val="1"/>
      <w:numFmt w:val="none"/>
      <w:isLgl/>
      <w:suff w:val="nothing"/>
      <w:lvlText w:val=""/>
      <w:lvlJc w:val="left"/>
      <w:pPr>
        <w:ind w:left="1995" w:hanging="357"/>
      </w:pPr>
      <w:rPr>
        <w:rFonts w:hint="default"/>
      </w:rPr>
    </w:lvl>
    <w:lvl w:ilvl="4">
      <w:start w:val="1"/>
      <w:numFmt w:val="none"/>
      <w:isLgl/>
      <w:lvlText w:val=""/>
      <w:lvlJc w:val="left"/>
      <w:pPr>
        <w:tabs>
          <w:tab w:val="num" w:pos="1995"/>
        </w:tabs>
        <w:ind w:left="2352" w:hanging="357"/>
      </w:pPr>
      <w:rPr>
        <w:rFonts w:hint="default"/>
      </w:rPr>
    </w:lvl>
    <w:lvl w:ilvl="5">
      <w:start w:val="1"/>
      <w:numFmt w:val="none"/>
      <w:isLgl/>
      <w:lvlText w:val=""/>
      <w:lvlJc w:val="left"/>
      <w:pPr>
        <w:tabs>
          <w:tab w:val="num" w:pos="2352"/>
        </w:tabs>
        <w:ind w:left="2709" w:hanging="357"/>
      </w:pPr>
      <w:rPr>
        <w:rFonts w:hint="default"/>
      </w:rPr>
    </w:lvl>
    <w:lvl w:ilvl="6">
      <w:start w:val="1"/>
      <w:numFmt w:val="none"/>
      <w:isLgl/>
      <w:lvlText w:val=""/>
      <w:lvlJc w:val="left"/>
      <w:pPr>
        <w:tabs>
          <w:tab w:val="num" w:pos="2709"/>
        </w:tabs>
        <w:ind w:left="3066" w:hanging="357"/>
      </w:pPr>
      <w:rPr>
        <w:rFonts w:hint="default"/>
      </w:rPr>
    </w:lvl>
    <w:lvl w:ilvl="7">
      <w:start w:val="1"/>
      <w:numFmt w:val="none"/>
      <w:isLgl/>
      <w:lvlText w:val=""/>
      <w:lvlJc w:val="left"/>
      <w:pPr>
        <w:tabs>
          <w:tab w:val="num" w:pos="3066"/>
        </w:tabs>
        <w:ind w:left="3423" w:hanging="357"/>
      </w:pPr>
      <w:rPr>
        <w:rFonts w:hint="default"/>
      </w:rPr>
    </w:lvl>
    <w:lvl w:ilvl="8">
      <w:start w:val="1"/>
      <w:numFmt w:val="none"/>
      <w:isLgl/>
      <w:lvlText w:val=""/>
      <w:lvlJc w:val="left"/>
      <w:pPr>
        <w:tabs>
          <w:tab w:val="num" w:pos="3423"/>
        </w:tabs>
        <w:ind w:left="3780" w:hanging="357"/>
      </w:pPr>
      <w:rPr>
        <w:rFonts w:hint="default"/>
      </w:rPr>
    </w:lvl>
  </w:abstractNum>
  <w:abstractNum w:abstractNumId="34">
    <w:nsid w:val="79760340"/>
    <w:multiLevelType w:val="hybridMultilevel"/>
    <w:tmpl w:val="DA78E31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24"/>
  </w:num>
  <w:num w:numId="2">
    <w:abstractNumId w:val="23"/>
  </w:num>
  <w:num w:numId="3">
    <w:abstractNumId w:val="20"/>
  </w:num>
  <w:num w:numId="4">
    <w:abstractNumId w:val="32"/>
  </w:num>
  <w:num w:numId="5">
    <w:abstractNumId w:val="26"/>
  </w:num>
  <w:num w:numId="6">
    <w:abstractNumId w:val="29"/>
  </w:num>
  <w:num w:numId="7">
    <w:abstractNumId w:val="17"/>
  </w:num>
  <w:num w:numId="8">
    <w:abstractNumId w:val="14"/>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12"/>
  </w:num>
  <w:num w:numId="20">
    <w:abstractNumId w:val="33"/>
  </w:num>
  <w:num w:numId="21">
    <w:abstractNumId w:val="30"/>
  </w:num>
  <w:num w:numId="22">
    <w:abstractNumId w:val="28"/>
  </w:num>
  <w:num w:numId="23">
    <w:abstractNumId w:val="22"/>
  </w:num>
  <w:num w:numId="24">
    <w:abstractNumId w:val="18"/>
  </w:num>
  <w:num w:numId="25">
    <w:abstractNumId w:val="13"/>
  </w:num>
  <w:num w:numId="26">
    <w:abstractNumId w:val="11"/>
  </w:num>
  <w:num w:numId="27">
    <w:abstractNumId w:val="16"/>
  </w:num>
  <w:num w:numId="28">
    <w:abstractNumId w:val="31"/>
  </w:num>
  <w:num w:numId="29">
    <w:abstractNumId w:val="34"/>
  </w:num>
  <w:num w:numId="30">
    <w:abstractNumId w:val="21"/>
  </w:num>
  <w:num w:numId="31">
    <w:abstractNumId w:val="19"/>
  </w:num>
  <w:num w:numId="32">
    <w:abstractNumId w:val="26"/>
  </w:num>
  <w:num w:numId="33">
    <w:abstractNumId w:val="10"/>
  </w:num>
  <w:num w:numId="34">
    <w:abstractNumId w:val="25"/>
  </w:num>
  <w:num w:numId="35">
    <w:abstractNumId w:val="15"/>
  </w:num>
  <w:num w:numId="36">
    <w:abstractNumId w:val="25"/>
  </w:num>
  <w:num w:numId="37">
    <w:abstractNumId w:val="27"/>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trackRevisions/>
  <w:defaultTabStop w:val="567"/>
  <w:characterSpacingControl w:val="doNotCompress"/>
  <w:hdrShapeDefaults>
    <o:shapedefaults v:ext="edit" spidmax="69633"/>
  </w:hdrShapeDefaults>
  <w:footnotePr>
    <w:footnote w:id="-1"/>
    <w:footnote w:id="0"/>
    <w:footnote w:id="1"/>
  </w:footnotePr>
  <w:endnotePr>
    <w:endnote w:id="-1"/>
    <w:endnote w:id="0"/>
    <w:endnote w:id="1"/>
  </w:endnotePr>
  <w:compat>
    <w:suppressTop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74BA"/>
    <w:rsid w:val="00003360"/>
    <w:rsid w:val="00004839"/>
    <w:rsid w:val="000057FF"/>
    <w:rsid w:val="000116A4"/>
    <w:rsid w:val="00011ED1"/>
    <w:rsid w:val="00012C52"/>
    <w:rsid w:val="0001442D"/>
    <w:rsid w:val="00015EF1"/>
    <w:rsid w:val="00020010"/>
    <w:rsid w:val="00022C93"/>
    <w:rsid w:val="00023A17"/>
    <w:rsid w:val="00023C11"/>
    <w:rsid w:val="00024469"/>
    <w:rsid w:val="00027E8D"/>
    <w:rsid w:val="000315F0"/>
    <w:rsid w:val="0003260E"/>
    <w:rsid w:val="00034673"/>
    <w:rsid w:val="00036F85"/>
    <w:rsid w:val="00037486"/>
    <w:rsid w:val="00037E9D"/>
    <w:rsid w:val="000409E2"/>
    <w:rsid w:val="00044EA1"/>
    <w:rsid w:val="00045A32"/>
    <w:rsid w:val="000470A1"/>
    <w:rsid w:val="00051BD3"/>
    <w:rsid w:val="00052BCD"/>
    <w:rsid w:val="0005347D"/>
    <w:rsid w:val="00053A62"/>
    <w:rsid w:val="000558CD"/>
    <w:rsid w:val="00057C44"/>
    <w:rsid w:val="0006192C"/>
    <w:rsid w:val="00062E3A"/>
    <w:rsid w:val="00063BB2"/>
    <w:rsid w:val="000641D7"/>
    <w:rsid w:val="00073AC3"/>
    <w:rsid w:val="00075436"/>
    <w:rsid w:val="000756F1"/>
    <w:rsid w:val="00076035"/>
    <w:rsid w:val="00076B3C"/>
    <w:rsid w:val="00077013"/>
    <w:rsid w:val="000814BF"/>
    <w:rsid w:val="00083FE9"/>
    <w:rsid w:val="00084549"/>
    <w:rsid w:val="000858D9"/>
    <w:rsid w:val="00087918"/>
    <w:rsid w:val="00087D95"/>
    <w:rsid w:val="00091C3A"/>
    <w:rsid w:val="00092587"/>
    <w:rsid w:val="000953BD"/>
    <w:rsid w:val="00096F09"/>
    <w:rsid w:val="000A4959"/>
    <w:rsid w:val="000A4BC6"/>
    <w:rsid w:val="000B1B62"/>
    <w:rsid w:val="000B1FA8"/>
    <w:rsid w:val="000B59E5"/>
    <w:rsid w:val="000B6AA7"/>
    <w:rsid w:val="000B76A4"/>
    <w:rsid w:val="000C04C7"/>
    <w:rsid w:val="000C15A9"/>
    <w:rsid w:val="000C53FA"/>
    <w:rsid w:val="000C5F1B"/>
    <w:rsid w:val="000C6E00"/>
    <w:rsid w:val="000D4F0E"/>
    <w:rsid w:val="000D50F6"/>
    <w:rsid w:val="000D7EDD"/>
    <w:rsid w:val="000E09DC"/>
    <w:rsid w:val="000E35BE"/>
    <w:rsid w:val="000E3792"/>
    <w:rsid w:val="000E4446"/>
    <w:rsid w:val="000E50D6"/>
    <w:rsid w:val="000E677B"/>
    <w:rsid w:val="000E7C4E"/>
    <w:rsid w:val="000F094D"/>
    <w:rsid w:val="000F3A05"/>
    <w:rsid w:val="000F483B"/>
    <w:rsid w:val="000F4ADF"/>
    <w:rsid w:val="000F542A"/>
    <w:rsid w:val="000F5BC8"/>
    <w:rsid w:val="000F61AF"/>
    <w:rsid w:val="000F7FEB"/>
    <w:rsid w:val="00100AAB"/>
    <w:rsid w:val="0010171C"/>
    <w:rsid w:val="00102FAD"/>
    <w:rsid w:val="00107815"/>
    <w:rsid w:val="00107E45"/>
    <w:rsid w:val="0011040D"/>
    <w:rsid w:val="00110611"/>
    <w:rsid w:val="001122A6"/>
    <w:rsid w:val="00112F80"/>
    <w:rsid w:val="001140B8"/>
    <w:rsid w:val="00115A8F"/>
    <w:rsid w:val="00121870"/>
    <w:rsid w:val="0012266C"/>
    <w:rsid w:val="001255D1"/>
    <w:rsid w:val="001261D0"/>
    <w:rsid w:val="00126DDF"/>
    <w:rsid w:val="00126F60"/>
    <w:rsid w:val="001272F7"/>
    <w:rsid w:val="00127A82"/>
    <w:rsid w:val="00127D0A"/>
    <w:rsid w:val="00131711"/>
    <w:rsid w:val="0013300F"/>
    <w:rsid w:val="0013395F"/>
    <w:rsid w:val="0013424E"/>
    <w:rsid w:val="0014054F"/>
    <w:rsid w:val="0014132A"/>
    <w:rsid w:val="00141FC2"/>
    <w:rsid w:val="001420E8"/>
    <w:rsid w:val="00143173"/>
    <w:rsid w:val="0014481A"/>
    <w:rsid w:val="00144EE5"/>
    <w:rsid w:val="0014527A"/>
    <w:rsid w:val="00146479"/>
    <w:rsid w:val="00146E78"/>
    <w:rsid w:val="001505F2"/>
    <w:rsid w:val="00152573"/>
    <w:rsid w:val="001536A0"/>
    <w:rsid w:val="0015404E"/>
    <w:rsid w:val="00157E44"/>
    <w:rsid w:val="00161533"/>
    <w:rsid w:val="001625CE"/>
    <w:rsid w:val="00163F43"/>
    <w:rsid w:val="0016433D"/>
    <w:rsid w:val="0016668B"/>
    <w:rsid w:val="0017175C"/>
    <w:rsid w:val="0017398D"/>
    <w:rsid w:val="001751BB"/>
    <w:rsid w:val="00176372"/>
    <w:rsid w:val="001766F8"/>
    <w:rsid w:val="00181D16"/>
    <w:rsid w:val="00182457"/>
    <w:rsid w:val="00184B11"/>
    <w:rsid w:val="0018766C"/>
    <w:rsid w:val="00191A51"/>
    <w:rsid w:val="0019331B"/>
    <w:rsid w:val="00193A36"/>
    <w:rsid w:val="0019603B"/>
    <w:rsid w:val="00196EFB"/>
    <w:rsid w:val="001A0CC6"/>
    <w:rsid w:val="001A20C9"/>
    <w:rsid w:val="001A4D35"/>
    <w:rsid w:val="001A5CE5"/>
    <w:rsid w:val="001A5F55"/>
    <w:rsid w:val="001A6BAD"/>
    <w:rsid w:val="001A7371"/>
    <w:rsid w:val="001A7C74"/>
    <w:rsid w:val="001B1084"/>
    <w:rsid w:val="001B1AB4"/>
    <w:rsid w:val="001B3857"/>
    <w:rsid w:val="001B495C"/>
    <w:rsid w:val="001B646D"/>
    <w:rsid w:val="001B7A27"/>
    <w:rsid w:val="001B7C05"/>
    <w:rsid w:val="001C0031"/>
    <w:rsid w:val="001C2E08"/>
    <w:rsid w:val="001C34B3"/>
    <w:rsid w:val="001C38AE"/>
    <w:rsid w:val="001C5CC4"/>
    <w:rsid w:val="001C6359"/>
    <w:rsid w:val="001C66FF"/>
    <w:rsid w:val="001D0111"/>
    <w:rsid w:val="001D258F"/>
    <w:rsid w:val="001D2ABF"/>
    <w:rsid w:val="001D3020"/>
    <w:rsid w:val="001D7D92"/>
    <w:rsid w:val="001E2BBF"/>
    <w:rsid w:val="001E629C"/>
    <w:rsid w:val="001F0635"/>
    <w:rsid w:val="001F0ADD"/>
    <w:rsid w:val="001F0D57"/>
    <w:rsid w:val="001F16BA"/>
    <w:rsid w:val="001F1967"/>
    <w:rsid w:val="001F3544"/>
    <w:rsid w:val="001F52F0"/>
    <w:rsid w:val="002054CC"/>
    <w:rsid w:val="00205FE8"/>
    <w:rsid w:val="00206BA3"/>
    <w:rsid w:val="00211450"/>
    <w:rsid w:val="00213074"/>
    <w:rsid w:val="00213DF4"/>
    <w:rsid w:val="002146CB"/>
    <w:rsid w:val="00215160"/>
    <w:rsid w:val="00216416"/>
    <w:rsid w:val="002206D9"/>
    <w:rsid w:val="00221D13"/>
    <w:rsid w:val="002224B4"/>
    <w:rsid w:val="002239BB"/>
    <w:rsid w:val="0022470A"/>
    <w:rsid w:val="00224F8E"/>
    <w:rsid w:val="00226489"/>
    <w:rsid w:val="002265E6"/>
    <w:rsid w:val="00226D5E"/>
    <w:rsid w:val="00227B4B"/>
    <w:rsid w:val="00230F30"/>
    <w:rsid w:val="0023567C"/>
    <w:rsid w:val="00236C14"/>
    <w:rsid w:val="00237050"/>
    <w:rsid w:val="00237A3D"/>
    <w:rsid w:val="00240CD6"/>
    <w:rsid w:val="00240E83"/>
    <w:rsid w:val="0024382A"/>
    <w:rsid w:val="0024570A"/>
    <w:rsid w:val="002460BB"/>
    <w:rsid w:val="0024754A"/>
    <w:rsid w:val="002502D1"/>
    <w:rsid w:val="00254C41"/>
    <w:rsid w:val="00267929"/>
    <w:rsid w:val="00270424"/>
    <w:rsid w:val="00270CF4"/>
    <w:rsid w:val="00270EEC"/>
    <w:rsid w:val="002757FE"/>
    <w:rsid w:val="00275C07"/>
    <w:rsid w:val="002766F9"/>
    <w:rsid w:val="002806A2"/>
    <w:rsid w:val="00284440"/>
    <w:rsid w:val="00284ED7"/>
    <w:rsid w:val="0029014B"/>
    <w:rsid w:val="00292B5E"/>
    <w:rsid w:val="002946F9"/>
    <w:rsid w:val="00295AB1"/>
    <w:rsid w:val="00297CC7"/>
    <w:rsid w:val="00297D0D"/>
    <w:rsid w:val="002A01F6"/>
    <w:rsid w:val="002A194F"/>
    <w:rsid w:val="002A19BC"/>
    <w:rsid w:val="002A450E"/>
    <w:rsid w:val="002A4BD9"/>
    <w:rsid w:val="002A4FE7"/>
    <w:rsid w:val="002A5C01"/>
    <w:rsid w:val="002A7BE5"/>
    <w:rsid w:val="002B0A00"/>
    <w:rsid w:val="002B1CEB"/>
    <w:rsid w:val="002B5D30"/>
    <w:rsid w:val="002B7427"/>
    <w:rsid w:val="002C1968"/>
    <w:rsid w:val="002C2341"/>
    <w:rsid w:val="002C70C4"/>
    <w:rsid w:val="002C7592"/>
    <w:rsid w:val="002C7643"/>
    <w:rsid w:val="002C7A47"/>
    <w:rsid w:val="002D0B11"/>
    <w:rsid w:val="002D27B6"/>
    <w:rsid w:val="002D3265"/>
    <w:rsid w:val="002D3B6E"/>
    <w:rsid w:val="002D7FE0"/>
    <w:rsid w:val="002E35F3"/>
    <w:rsid w:val="002E50C6"/>
    <w:rsid w:val="002E7541"/>
    <w:rsid w:val="002E7EA3"/>
    <w:rsid w:val="002F19A3"/>
    <w:rsid w:val="002F3DD4"/>
    <w:rsid w:val="002F54F1"/>
    <w:rsid w:val="002F56B1"/>
    <w:rsid w:val="002F6834"/>
    <w:rsid w:val="002F7DDD"/>
    <w:rsid w:val="003004C1"/>
    <w:rsid w:val="0030084C"/>
    <w:rsid w:val="00302D83"/>
    <w:rsid w:val="00303A88"/>
    <w:rsid w:val="00305AF0"/>
    <w:rsid w:val="00306D1C"/>
    <w:rsid w:val="00307F08"/>
    <w:rsid w:val="003129BA"/>
    <w:rsid w:val="003148C9"/>
    <w:rsid w:val="003148FC"/>
    <w:rsid w:val="0031562E"/>
    <w:rsid w:val="00315D12"/>
    <w:rsid w:val="003169EF"/>
    <w:rsid w:val="00320350"/>
    <w:rsid w:val="003215A6"/>
    <w:rsid w:val="00321D09"/>
    <w:rsid w:val="00324226"/>
    <w:rsid w:val="003247D2"/>
    <w:rsid w:val="003272FB"/>
    <w:rsid w:val="00330820"/>
    <w:rsid w:val="00330EEC"/>
    <w:rsid w:val="003346A1"/>
    <w:rsid w:val="00335543"/>
    <w:rsid w:val="0033566A"/>
    <w:rsid w:val="00336FF3"/>
    <w:rsid w:val="003373C6"/>
    <w:rsid w:val="00337E8A"/>
    <w:rsid w:val="003429D8"/>
    <w:rsid w:val="00342DBF"/>
    <w:rsid w:val="00351E68"/>
    <w:rsid w:val="00351E70"/>
    <w:rsid w:val="00353D72"/>
    <w:rsid w:val="0035486D"/>
    <w:rsid w:val="003552A2"/>
    <w:rsid w:val="00355433"/>
    <w:rsid w:val="00355738"/>
    <w:rsid w:val="00356C5C"/>
    <w:rsid w:val="00357D14"/>
    <w:rsid w:val="00357E61"/>
    <w:rsid w:val="00360EC1"/>
    <w:rsid w:val="003630F9"/>
    <w:rsid w:val="00364CD5"/>
    <w:rsid w:val="00365464"/>
    <w:rsid w:val="00367735"/>
    <w:rsid w:val="00370FC0"/>
    <w:rsid w:val="00371800"/>
    <w:rsid w:val="00373206"/>
    <w:rsid w:val="00374195"/>
    <w:rsid w:val="00376A5B"/>
    <w:rsid w:val="00381F5D"/>
    <w:rsid w:val="00385728"/>
    <w:rsid w:val="00386050"/>
    <w:rsid w:val="003862B5"/>
    <w:rsid w:val="0038706E"/>
    <w:rsid w:val="00391C7C"/>
    <w:rsid w:val="003A00C5"/>
    <w:rsid w:val="003A10DA"/>
    <w:rsid w:val="003A12C8"/>
    <w:rsid w:val="003A1585"/>
    <w:rsid w:val="003A332A"/>
    <w:rsid w:val="003A6E3B"/>
    <w:rsid w:val="003A6FFE"/>
    <w:rsid w:val="003B013F"/>
    <w:rsid w:val="003B17EB"/>
    <w:rsid w:val="003B3093"/>
    <w:rsid w:val="003B3A23"/>
    <w:rsid w:val="003B5300"/>
    <w:rsid w:val="003B6CCC"/>
    <w:rsid w:val="003C552E"/>
    <w:rsid w:val="003C56D9"/>
    <w:rsid w:val="003C57DB"/>
    <w:rsid w:val="003C591C"/>
    <w:rsid w:val="003C63D0"/>
    <w:rsid w:val="003C6501"/>
    <w:rsid w:val="003D1A22"/>
    <w:rsid w:val="003D283C"/>
    <w:rsid w:val="003D350C"/>
    <w:rsid w:val="003D353C"/>
    <w:rsid w:val="003D3F48"/>
    <w:rsid w:val="003D60CB"/>
    <w:rsid w:val="003D6454"/>
    <w:rsid w:val="003E337D"/>
    <w:rsid w:val="003E35E1"/>
    <w:rsid w:val="003E5493"/>
    <w:rsid w:val="003E5D96"/>
    <w:rsid w:val="003E65EC"/>
    <w:rsid w:val="003F32E0"/>
    <w:rsid w:val="003F3E0E"/>
    <w:rsid w:val="003F5886"/>
    <w:rsid w:val="003F5C2F"/>
    <w:rsid w:val="003F68AB"/>
    <w:rsid w:val="003F6D6F"/>
    <w:rsid w:val="003F6E7B"/>
    <w:rsid w:val="003F7D8A"/>
    <w:rsid w:val="0040020C"/>
    <w:rsid w:val="004010D8"/>
    <w:rsid w:val="00401245"/>
    <w:rsid w:val="00402575"/>
    <w:rsid w:val="0040323B"/>
    <w:rsid w:val="00404A9E"/>
    <w:rsid w:val="004054B9"/>
    <w:rsid w:val="00406038"/>
    <w:rsid w:val="0040700B"/>
    <w:rsid w:val="00407F54"/>
    <w:rsid w:val="00411341"/>
    <w:rsid w:val="004117F7"/>
    <w:rsid w:val="00413966"/>
    <w:rsid w:val="00413D64"/>
    <w:rsid w:val="00415CDB"/>
    <w:rsid w:val="00416640"/>
    <w:rsid w:val="00416817"/>
    <w:rsid w:val="00417656"/>
    <w:rsid w:val="00424863"/>
    <w:rsid w:val="00425169"/>
    <w:rsid w:val="0042551E"/>
    <w:rsid w:val="00426491"/>
    <w:rsid w:val="00427F2D"/>
    <w:rsid w:val="004315CF"/>
    <w:rsid w:val="00433515"/>
    <w:rsid w:val="00433AD8"/>
    <w:rsid w:val="00433FE1"/>
    <w:rsid w:val="00435717"/>
    <w:rsid w:val="0044283A"/>
    <w:rsid w:val="00442F6A"/>
    <w:rsid w:val="004518B7"/>
    <w:rsid w:val="00451AC6"/>
    <w:rsid w:val="004521FE"/>
    <w:rsid w:val="00452207"/>
    <w:rsid w:val="004550CF"/>
    <w:rsid w:val="004552A0"/>
    <w:rsid w:val="00455A17"/>
    <w:rsid w:val="00460A83"/>
    <w:rsid w:val="00460E1B"/>
    <w:rsid w:val="004612BF"/>
    <w:rsid w:val="00462ED4"/>
    <w:rsid w:val="0046348C"/>
    <w:rsid w:val="0046488A"/>
    <w:rsid w:val="004651DD"/>
    <w:rsid w:val="004652F7"/>
    <w:rsid w:val="0046577B"/>
    <w:rsid w:val="00466659"/>
    <w:rsid w:val="0046678D"/>
    <w:rsid w:val="00466AA4"/>
    <w:rsid w:val="00467076"/>
    <w:rsid w:val="00467BBE"/>
    <w:rsid w:val="004734F8"/>
    <w:rsid w:val="004743CC"/>
    <w:rsid w:val="00475478"/>
    <w:rsid w:val="004756AC"/>
    <w:rsid w:val="00476248"/>
    <w:rsid w:val="00476C03"/>
    <w:rsid w:val="00476EAF"/>
    <w:rsid w:val="00477619"/>
    <w:rsid w:val="00483A05"/>
    <w:rsid w:val="00484675"/>
    <w:rsid w:val="00484AB3"/>
    <w:rsid w:val="00484BA9"/>
    <w:rsid w:val="00486E6E"/>
    <w:rsid w:val="00490F4B"/>
    <w:rsid w:val="00491547"/>
    <w:rsid w:val="00493CEE"/>
    <w:rsid w:val="00493F5E"/>
    <w:rsid w:val="004955F1"/>
    <w:rsid w:val="00496514"/>
    <w:rsid w:val="00496B41"/>
    <w:rsid w:val="00497BEE"/>
    <w:rsid w:val="004A18D2"/>
    <w:rsid w:val="004A29B0"/>
    <w:rsid w:val="004A3087"/>
    <w:rsid w:val="004A33AE"/>
    <w:rsid w:val="004A434D"/>
    <w:rsid w:val="004A5823"/>
    <w:rsid w:val="004A6EFB"/>
    <w:rsid w:val="004A738E"/>
    <w:rsid w:val="004A7779"/>
    <w:rsid w:val="004A7E22"/>
    <w:rsid w:val="004B0567"/>
    <w:rsid w:val="004B0AAF"/>
    <w:rsid w:val="004B0B3B"/>
    <w:rsid w:val="004B3924"/>
    <w:rsid w:val="004B5F89"/>
    <w:rsid w:val="004C4907"/>
    <w:rsid w:val="004C4DDD"/>
    <w:rsid w:val="004C682B"/>
    <w:rsid w:val="004D01C2"/>
    <w:rsid w:val="004D06BB"/>
    <w:rsid w:val="004D1706"/>
    <w:rsid w:val="004D243F"/>
    <w:rsid w:val="004D5885"/>
    <w:rsid w:val="004D7473"/>
    <w:rsid w:val="004E47C9"/>
    <w:rsid w:val="004E4849"/>
    <w:rsid w:val="004E4D4E"/>
    <w:rsid w:val="004F257B"/>
    <w:rsid w:val="004F2E2E"/>
    <w:rsid w:val="004F3015"/>
    <w:rsid w:val="004F7031"/>
    <w:rsid w:val="004F729F"/>
    <w:rsid w:val="0050617C"/>
    <w:rsid w:val="005079B2"/>
    <w:rsid w:val="0051048E"/>
    <w:rsid w:val="0051119C"/>
    <w:rsid w:val="005120D0"/>
    <w:rsid w:val="00512ACB"/>
    <w:rsid w:val="00512EDA"/>
    <w:rsid w:val="0051410E"/>
    <w:rsid w:val="00516176"/>
    <w:rsid w:val="00516741"/>
    <w:rsid w:val="00522120"/>
    <w:rsid w:val="0052216D"/>
    <w:rsid w:val="005256AC"/>
    <w:rsid w:val="00525B3E"/>
    <w:rsid w:val="00526115"/>
    <w:rsid w:val="0052765F"/>
    <w:rsid w:val="00533FAF"/>
    <w:rsid w:val="005366B6"/>
    <w:rsid w:val="005403EE"/>
    <w:rsid w:val="00541876"/>
    <w:rsid w:val="00543453"/>
    <w:rsid w:val="00543F52"/>
    <w:rsid w:val="00544B30"/>
    <w:rsid w:val="005456EA"/>
    <w:rsid w:val="00546A4F"/>
    <w:rsid w:val="00547990"/>
    <w:rsid w:val="00547B45"/>
    <w:rsid w:val="005508C0"/>
    <w:rsid w:val="005517C1"/>
    <w:rsid w:val="00551D4B"/>
    <w:rsid w:val="00553953"/>
    <w:rsid w:val="00555832"/>
    <w:rsid w:val="00557B0E"/>
    <w:rsid w:val="00561A97"/>
    <w:rsid w:val="00562E4C"/>
    <w:rsid w:val="00563DAC"/>
    <w:rsid w:val="0056533C"/>
    <w:rsid w:val="0056593C"/>
    <w:rsid w:val="005675E0"/>
    <w:rsid w:val="00570242"/>
    <w:rsid w:val="00570C00"/>
    <w:rsid w:val="00571DFB"/>
    <w:rsid w:val="005731E9"/>
    <w:rsid w:val="00573BF5"/>
    <w:rsid w:val="00573E16"/>
    <w:rsid w:val="00576C9D"/>
    <w:rsid w:val="00576E9D"/>
    <w:rsid w:val="00581302"/>
    <w:rsid w:val="00581326"/>
    <w:rsid w:val="0058206B"/>
    <w:rsid w:val="005830ED"/>
    <w:rsid w:val="00585690"/>
    <w:rsid w:val="00593477"/>
    <w:rsid w:val="00593B07"/>
    <w:rsid w:val="00593DF6"/>
    <w:rsid w:val="00595B33"/>
    <w:rsid w:val="0059662F"/>
    <w:rsid w:val="00597C00"/>
    <w:rsid w:val="005A0AD1"/>
    <w:rsid w:val="005A1745"/>
    <w:rsid w:val="005A28E8"/>
    <w:rsid w:val="005A2922"/>
    <w:rsid w:val="005A37F9"/>
    <w:rsid w:val="005A50A5"/>
    <w:rsid w:val="005A59D4"/>
    <w:rsid w:val="005A5D66"/>
    <w:rsid w:val="005A5FD0"/>
    <w:rsid w:val="005A675A"/>
    <w:rsid w:val="005A6E9C"/>
    <w:rsid w:val="005A7B73"/>
    <w:rsid w:val="005A7DF0"/>
    <w:rsid w:val="005B201A"/>
    <w:rsid w:val="005B4239"/>
    <w:rsid w:val="005B449C"/>
    <w:rsid w:val="005B45E0"/>
    <w:rsid w:val="005C0376"/>
    <w:rsid w:val="005C0C21"/>
    <w:rsid w:val="005C3BDD"/>
    <w:rsid w:val="005C4A0C"/>
    <w:rsid w:val="005C4EE1"/>
    <w:rsid w:val="005C59AC"/>
    <w:rsid w:val="005D05BD"/>
    <w:rsid w:val="005D3066"/>
    <w:rsid w:val="005D3404"/>
    <w:rsid w:val="005D457E"/>
    <w:rsid w:val="005D558B"/>
    <w:rsid w:val="005D5A31"/>
    <w:rsid w:val="005D6122"/>
    <w:rsid w:val="005D78F3"/>
    <w:rsid w:val="005E1818"/>
    <w:rsid w:val="005E1D66"/>
    <w:rsid w:val="005E3873"/>
    <w:rsid w:val="005E3912"/>
    <w:rsid w:val="005E4429"/>
    <w:rsid w:val="005E4454"/>
    <w:rsid w:val="005E4B13"/>
    <w:rsid w:val="005E4C02"/>
    <w:rsid w:val="005E6FCE"/>
    <w:rsid w:val="005E7726"/>
    <w:rsid w:val="005F01DF"/>
    <w:rsid w:val="005F045C"/>
    <w:rsid w:val="005F0687"/>
    <w:rsid w:val="005F0B97"/>
    <w:rsid w:val="005F13A9"/>
    <w:rsid w:val="005F629B"/>
    <w:rsid w:val="005F76CC"/>
    <w:rsid w:val="005F7DD9"/>
    <w:rsid w:val="005F7FF8"/>
    <w:rsid w:val="0060059E"/>
    <w:rsid w:val="00600CA4"/>
    <w:rsid w:val="00602416"/>
    <w:rsid w:val="00602C9F"/>
    <w:rsid w:val="0060330D"/>
    <w:rsid w:val="006041F2"/>
    <w:rsid w:val="00604509"/>
    <w:rsid w:val="00605334"/>
    <w:rsid w:val="00611583"/>
    <w:rsid w:val="006136AF"/>
    <w:rsid w:val="0061508A"/>
    <w:rsid w:val="00615806"/>
    <w:rsid w:val="006161CD"/>
    <w:rsid w:val="00617307"/>
    <w:rsid w:val="00617F3F"/>
    <w:rsid w:val="0062135C"/>
    <w:rsid w:val="006220F2"/>
    <w:rsid w:val="006225CA"/>
    <w:rsid w:val="00622883"/>
    <w:rsid w:val="00622C7F"/>
    <w:rsid w:val="006264D5"/>
    <w:rsid w:val="006266AC"/>
    <w:rsid w:val="006269B9"/>
    <w:rsid w:val="00626ED9"/>
    <w:rsid w:val="00631F1B"/>
    <w:rsid w:val="00633EBC"/>
    <w:rsid w:val="00634E4D"/>
    <w:rsid w:val="006407AB"/>
    <w:rsid w:val="00641248"/>
    <w:rsid w:val="00646507"/>
    <w:rsid w:val="006472CC"/>
    <w:rsid w:val="0065193D"/>
    <w:rsid w:val="00652E2D"/>
    <w:rsid w:val="006531A5"/>
    <w:rsid w:val="00653653"/>
    <w:rsid w:val="00654486"/>
    <w:rsid w:val="006549CB"/>
    <w:rsid w:val="00654B5D"/>
    <w:rsid w:val="00655349"/>
    <w:rsid w:val="00661643"/>
    <w:rsid w:val="00662716"/>
    <w:rsid w:val="00665919"/>
    <w:rsid w:val="00667187"/>
    <w:rsid w:val="00671C44"/>
    <w:rsid w:val="00672D4C"/>
    <w:rsid w:val="006736F2"/>
    <w:rsid w:val="00675B87"/>
    <w:rsid w:val="00677B13"/>
    <w:rsid w:val="00677F4E"/>
    <w:rsid w:val="006809F1"/>
    <w:rsid w:val="00681A08"/>
    <w:rsid w:val="00681B61"/>
    <w:rsid w:val="00681D93"/>
    <w:rsid w:val="006835A1"/>
    <w:rsid w:val="00683713"/>
    <w:rsid w:val="00685ECF"/>
    <w:rsid w:val="006871D3"/>
    <w:rsid w:val="006875B8"/>
    <w:rsid w:val="00687CA4"/>
    <w:rsid w:val="00687CEA"/>
    <w:rsid w:val="0069272B"/>
    <w:rsid w:val="0069422D"/>
    <w:rsid w:val="0069443A"/>
    <w:rsid w:val="00695B75"/>
    <w:rsid w:val="00696CFA"/>
    <w:rsid w:val="00697953"/>
    <w:rsid w:val="006A1A95"/>
    <w:rsid w:val="006A1D67"/>
    <w:rsid w:val="006A234F"/>
    <w:rsid w:val="006A2546"/>
    <w:rsid w:val="006A38B7"/>
    <w:rsid w:val="006A3B6C"/>
    <w:rsid w:val="006A49BA"/>
    <w:rsid w:val="006A4A71"/>
    <w:rsid w:val="006A60A1"/>
    <w:rsid w:val="006A724C"/>
    <w:rsid w:val="006B0386"/>
    <w:rsid w:val="006B0786"/>
    <w:rsid w:val="006B1574"/>
    <w:rsid w:val="006B1CB2"/>
    <w:rsid w:val="006B1DD1"/>
    <w:rsid w:val="006B27C7"/>
    <w:rsid w:val="006B3106"/>
    <w:rsid w:val="006B3396"/>
    <w:rsid w:val="006C193F"/>
    <w:rsid w:val="006C3B7E"/>
    <w:rsid w:val="006C459C"/>
    <w:rsid w:val="006C4D22"/>
    <w:rsid w:val="006C5D2A"/>
    <w:rsid w:val="006D16A6"/>
    <w:rsid w:val="006D2031"/>
    <w:rsid w:val="006D494B"/>
    <w:rsid w:val="006D4AF0"/>
    <w:rsid w:val="006D638F"/>
    <w:rsid w:val="006E1296"/>
    <w:rsid w:val="006E1EE7"/>
    <w:rsid w:val="006E29CC"/>
    <w:rsid w:val="006E2E68"/>
    <w:rsid w:val="006E4200"/>
    <w:rsid w:val="006E44D5"/>
    <w:rsid w:val="006E7854"/>
    <w:rsid w:val="006E7BF7"/>
    <w:rsid w:val="006F5D2A"/>
    <w:rsid w:val="006F5FE8"/>
    <w:rsid w:val="006F6E48"/>
    <w:rsid w:val="00700615"/>
    <w:rsid w:val="00701A5B"/>
    <w:rsid w:val="00701B20"/>
    <w:rsid w:val="007068C8"/>
    <w:rsid w:val="00707ACB"/>
    <w:rsid w:val="00710124"/>
    <w:rsid w:val="00711BCA"/>
    <w:rsid w:val="00714B96"/>
    <w:rsid w:val="00715B8F"/>
    <w:rsid w:val="007169A5"/>
    <w:rsid w:val="007202D5"/>
    <w:rsid w:val="00724C44"/>
    <w:rsid w:val="00725BFC"/>
    <w:rsid w:val="0073106E"/>
    <w:rsid w:val="007310D2"/>
    <w:rsid w:val="0073299D"/>
    <w:rsid w:val="00744D40"/>
    <w:rsid w:val="00745BB4"/>
    <w:rsid w:val="0075195C"/>
    <w:rsid w:val="00754B10"/>
    <w:rsid w:val="00754B44"/>
    <w:rsid w:val="00754BEA"/>
    <w:rsid w:val="00756BB7"/>
    <w:rsid w:val="0075764B"/>
    <w:rsid w:val="00760C01"/>
    <w:rsid w:val="00761293"/>
    <w:rsid w:val="00761439"/>
    <w:rsid w:val="00761D1D"/>
    <w:rsid w:val="00765AC6"/>
    <w:rsid w:val="007667DD"/>
    <w:rsid w:val="007668F5"/>
    <w:rsid w:val="007679CB"/>
    <w:rsid w:val="00767C04"/>
    <w:rsid w:val="00770C28"/>
    <w:rsid w:val="00770E4A"/>
    <w:rsid w:val="00772E1D"/>
    <w:rsid w:val="007736A2"/>
    <w:rsid w:val="00773E9D"/>
    <w:rsid w:val="00773F2E"/>
    <w:rsid w:val="00775861"/>
    <w:rsid w:val="00775F90"/>
    <w:rsid w:val="00776D0D"/>
    <w:rsid w:val="0078128E"/>
    <w:rsid w:val="00782B6C"/>
    <w:rsid w:val="00784F5F"/>
    <w:rsid w:val="007876BD"/>
    <w:rsid w:val="00791306"/>
    <w:rsid w:val="007951A4"/>
    <w:rsid w:val="00796E5D"/>
    <w:rsid w:val="00797FD3"/>
    <w:rsid w:val="007A1298"/>
    <w:rsid w:val="007A1876"/>
    <w:rsid w:val="007A317E"/>
    <w:rsid w:val="007A34A3"/>
    <w:rsid w:val="007A4A1A"/>
    <w:rsid w:val="007A6226"/>
    <w:rsid w:val="007B0F68"/>
    <w:rsid w:val="007B2C91"/>
    <w:rsid w:val="007B3C61"/>
    <w:rsid w:val="007B4595"/>
    <w:rsid w:val="007B4882"/>
    <w:rsid w:val="007B6233"/>
    <w:rsid w:val="007B796B"/>
    <w:rsid w:val="007B79DA"/>
    <w:rsid w:val="007C07CB"/>
    <w:rsid w:val="007C0DBF"/>
    <w:rsid w:val="007C12EC"/>
    <w:rsid w:val="007C42FA"/>
    <w:rsid w:val="007D0D06"/>
    <w:rsid w:val="007D1918"/>
    <w:rsid w:val="007D3469"/>
    <w:rsid w:val="007D3BAF"/>
    <w:rsid w:val="007D5F58"/>
    <w:rsid w:val="007D62A7"/>
    <w:rsid w:val="007E1709"/>
    <w:rsid w:val="007E224C"/>
    <w:rsid w:val="007E2B95"/>
    <w:rsid w:val="007E3EAA"/>
    <w:rsid w:val="007E52CE"/>
    <w:rsid w:val="007E69B7"/>
    <w:rsid w:val="007E7361"/>
    <w:rsid w:val="007E7A2B"/>
    <w:rsid w:val="007E7BEB"/>
    <w:rsid w:val="007F1BA8"/>
    <w:rsid w:val="007F2F05"/>
    <w:rsid w:val="007F3DA2"/>
    <w:rsid w:val="007F69AA"/>
    <w:rsid w:val="007F79B4"/>
    <w:rsid w:val="00801DC4"/>
    <w:rsid w:val="00802AA4"/>
    <w:rsid w:val="00810054"/>
    <w:rsid w:val="008109EB"/>
    <w:rsid w:val="008112C0"/>
    <w:rsid w:val="00812514"/>
    <w:rsid w:val="00812F7C"/>
    <w:rsid w:val="008156E4"/>
    <w:rsid w:val="0081572A"/>
    <w:rsid w:val="00815FCB"/>
    <w:rsid w:val="00821201"/>
    <w:rsid w:val="00821415"/>
    <w:rsid w:val="0082264B"/>
    <w:rsid w:val="00824331"/>
    <w:rsid w:val="00824F7C"/>
    <w:rsid w:val="008260F8"/>
    <w:rsid w:val="0082765B"/>
    <w:rsid w:val="008277E3"/>
    <w:rsid w:val="00830584"/>
    <w:rsid w:val="00830E9A"/>
    <w:rsid w:val="00831A8B"/>
    <w:rsid w:val="00832A6D"/>
    <w:rsid w:val="008333F7"/>
    <w:rsid w:val="00835BD7"/>
    <w:rsid w:val="00842A87"/>
    <w:rsid w:val="00843D71"/>
    <w:rsid w:val="00844C21"/>
    <w:rsid w:val="0084745A"/>
    <w:rsid w:val="00851972"/>
    <w:rsid w:val="00852447"/>
    <w:rsid w:val="008554BE"/>
    <w:rsid w:val="00860B2B"/>
    <w:rsid w:val="00866836"/>
    <w:rsid w:val="00867A16"/>
    <w:rsid w:val="00870045"/>
    <w:rsid w:val="00871401"/>
    <w:rsid w:val="00872543"/>
    <w:rsid w:val="0087298C"/>
    <w:rsid w:val="00872F9A"/>
    <w:rsid w:val="0087489E"/>
    <w:rsid w:val="008752B9"/>
    <w:rsid w:val="00876D61"/>
    <w:rsid w:val="00876E5F"/>
    <w:rsid w:val="008857AD"/>
    <w:rsid w:val="00890CA8"/>
    <w:rsid w:val="00890CE4"/>
    <w:rsid w:val="00891A29"/>
    <w:rsid w:val="008922BC"/>
    <w:rsid w:val="008923D8"/>
    <w:rsid w:val="00895EE0"/>
    <w:rsid w:val="00897561"/>
    <w:rsid w:val="008975DC"/>
    <w:rsid w:val="008A060C"/>
    <w:rsid w:val="008A11A8"/>
    <w:rsid w:val="008A1208"/>
    <w:rsid w:val="008A1932"/>
    <w:rsid w:val="008A23EA"/>
    <w:rsid w:val="008A5DD4"/>
    <w:rsid w:val="008B2248"/>
    <w:rsid w:val="008B4651"/>
    <w:rsid w:val="008B48E5"/>
    <w:rsid w:val="008C1229"/>
    <w:rsid w:val="008C2E0B"/>
    <w:rsid w:val="008C3187"/>
    <w:rsid w:val="008C38C2"/>
    <w:rsid w:val="008C3F3E"/>
    <w:rsid w:val="008C41D8"/>
    <w:rsid w:val="008C5E4F"/>
    <w:rsid w:val="008C61EF"/>
    <w:rsid w:val="008C620C"/>
    <w:rsid w:val="008C7715"/>
    <w:rsid w:val="008D1BE3"/>
    <w:rsid w:val="008D29AD"/>
    <w:rsid w:val="008D57A1"/>
    <w:rsid w:val="008D601D"/>
    <w:rsid w:val="008D61EB"/>
    <w:rsid w:val="008D63B7"/>
    <w:rsid w:val="008D69B1"/>
    <w:rsid w:val="008D6A03"/>
    <w:rsid w:val="008D6CA6"/>
    <w:rsid w:val="008E3892"/>
    <w:rsid w:val="008E4291"/>
    <w:rsid w:val="008E5195"/>
    <w:rsid w:val="008E7FEE"/>
    <w:rsid w:val="008F1CE0"/>
    <w:rsid w:val="008F3E25"/>
    <w:rsid w:val="008F5F9C"/>
    <w:rsid w:val="008F67F5"/>
    <w:rsid w:val="008F6BCE"/>
    <w:rsid w:val="008F772A"/>
    <w:rsid w:val="00900D4B"/>
    <w:rsid w:val="00902B43"/>
    <w:rsid w:val="009031B2"/>
    <w:rsid w:val="00904FF9"/>
    <w:rsid w:val="00907486"/>
    <w:rsid w:val="0091118F"/>
    <w:rsid w:val="0091221F"/>
    <w:rsid w:val="00914B3D"/>
    <w:rsid w:val="009151ED"/>
    <w:rsid w:val="009162A7"/>
    <w:rsid w:val="009170B9"/>
    <w:rsid w:val="0091788A"/>
    <w:rsid w:val="00923149"/>
    <w:rsid w:val="00923C2B"/>
    <w:rsid w:val="00923C95"/>
    <w:rsid w:val="00923F01"/>
    <w:rsid w:val="0092618E"/>
    <w:rsid w:val="00927482"/>
    <w:rsid w:val="00930B89"/>
    <w:rsid w:val="00935D5A"/>
    <w:rsid w:val="00936975"/>
    <w:rsid w:val="00936F65"/>
    <w:rsid w:val="00937B4D"/>
    <w:rsid w:val="00940E0D"/>
    <w:rsid w:val="00941675"/>
    <w:rsid w:val="00941A10"/>
    <w:rsid w:val="009444CF"/>
    <w:rsid w:val="00947E82"/>
    <w:rsid w:val="009502EB"/>
    <w:rsid w:val="0095112B"/>
    <w:rsid w:val="00951EB8"/>
    <w:rsid w:val="00952811"/>
    <w:rsid w:val="00955D5A"/>
    <w:rsid w:val="00961008"/>
    <w:rsid w:val="00961114"/>
    <w:rsid w:val="00962007"/>
    <w:rsid w:val="00962C14"/>
    <w:rsid w:val="0096385B"/>
    <w:rsid w:val="009669CF"/>
    <w:rsid w:val="00967C27"/>
    <w:rsid w:val="0097069F"/>
    <w:rsid w:val="00970BB9"/>
    <w:rsid w:val="009727DA"/>
    <w:rsid w:val="00973A6D"/>
    <w:rsid w:val="00974AA4"/>
    <w:rsid w:val="009768DE"/>
    <w:rsid w:val="009820BC"/>
    <w:rsid w:val="00982C46"/>
    <w:rsid w:val="009836C0"/>
    <w:rsid w:val="00985094"/>
    <w:rsid w:val="009865AA"/>
    <w:rsid w:val="00987080"/>
    <w:rsid w:val="0098765A"/>
    <w:rsid w:val="0099148D"/>
    <w:rsid w:val="0099343F"/>
    <w:rsid w:val="0099349D"/>
    <w:rsid w:val="00993BF5"/>
    <w:rsid w:val="00993CCF"/>
    <w:rsid w:val="009945AA"/>
    <w:rsid w:val="00995221"/>
    <w:rsid w:val="00995C85"/>
    <w:rsid w:val="009968B0"/>
    <w:rsid w:val="009A4303"/>
    <w:rsid w:val="009A4A76"/>
    <w:rsid w:val="009A544E"/>
    <w:rsid w:val="009A5B84"/>
    <w:rsid w:val="009A6366"/>
    <w:rsid w:val="009A66D2"/>
    <w:rsid w:val="009A6CB2"/>
    <w:rsid w:val="009A6D85"/>
    <w:rsid w:val="009B0982"/>
    <w:rsid w:val="009B0B73"/>
    <w:rsid w:val="009B18E2"/>
    <w:rsid w:val="009B4C99"/>
    <w:rsid w:val="009B5CD5"/>
    <w:rsid w:val="009B6D1D"/>
    <w:rsid w:val="009C059F"/>
    <w:rsid w:val="009C0819"/>
    <w:rsid w:val="009C3343"/>
    <w:rsid w:val="009C46F3"/>
    <w:rsid w:val="009C54D4"/>
    <w:rsid w:val="009C57C1"/>
    <w:rsid w:val="009C627B"/>
    <w:rsid w:val="009C6373"/>
    <w:rsid w:val="009C706E"/>
    <w:rsid w:val="009D05B3"/>
    <w:rsid w:val="009D191D"/>
    <w:rsid w:val="009D287C"/>
    <w:rsid w:val="009D28CF"/>
    <w:rsid w:val="009D291A"/>
    <w:rsid w:val="009D2C8D"/>
    <w:rsid w:val="009D2DB7"/>
    <w:rsid w:val="009D6B4D"/>
    <w:rsid w:val="009E05F9"/>
    <w:rsid w:val="009E1860"/>
    <w:rsid w:val="009E4272"/>
    <w:rsid w:val="009E4C2F"/>
    <w:rsid w:val="009E5D36"/>
    <w:rsid w:val="009E7AD1"/>
    <w:rsid w:val="009E7CA0"/>
    <w:rsid w:val="009E7E1D"/>
    <w:rsid w:val="009F1D32"/>
    <w:rsid w:val="009F5D4B"/>
    <w:rsid w:val="009F678F"/>
    <w:rsid w:val="00A028A1"/>
    <w:rsid w:val="00A04392"/>
    <w:rsid w:val="00A057C4"/>
    <w:rsid w:val="00A076E2"/>
    <w:rsid w:val="00A11B0C"/>
    <w:rsid w:val="00A1406A"/>
    <w:rsid w:val="00A146D6"/>
    <w:rsid w:val="00A16003"/>
    <w:rsid w:val="00A163EE"/>
    <w:rsid w:val="00A167D7"/>
    <w:rsid w:val="00A20970"/>
    <w:rsid w:val="00A209A1"/>
    <w:rsid w:val="00A21952"/>
    <w:rsid w:val="00A22860"/>
    <w:rsid w:val="00A22AD9"/>
    <w:rsid w:val="00A24FBB"/>
    <w:rsid w:val="00A25D53"/>
    <w:rsid w:val="00A27748"/>
    <w:rsid w:val="00A279DC"/>
    <w:rsid w:val="00A27A26"/>
    <w:rsid w:val="00A309DC"/>
    <w:rsid w:val="00A313C6"/>
    <w:rsid w:val="00A319B0"/>
    <w:rsid w:val="00A3296B"/>
    <w:rsid w:val="00A341A5"/>
    <w:rsid w:val="00A356B1"/>
    <w:rsid w:val="00A36309"/>
    <w:rsid w:val="00A42ED2"/>
    <w:rsid w:val="00A44B33"/>
    <w:rsid w:val="00A456B5"/>
    <w:rsid w:val="00A50CC6"/>
    <w:rsid w:val="00A50E00"/>
    <w:rsid w:val="00A51A89"/>
    <w:rsid w:val="00A523E2"/>
    <w:rsid w:val="00A52529"/>
    <w:rsid w:val="00A528C7"/>
    <w:rsid w:val="00A53624"/>
    <w:rsid w:val="00A53AA2"/>
    <w:rsid w:val="00A5628B"/>
    <w:rsid w:val="00A5759D"/>
    <w:rsid w:val="00A5766B"/>
    <w:rsid w:val="00A61807"/>
    <w:rsid w:val="00A61D02"/>
    <w:rsid w:val="00A641D7"/>
    <w:rsid w:val="00A64284"/>
    <w:rsid w:val="00A6531F"/>
    <w:rsid w:val="00A65F43"/>
    <w:rsid w:val="00A73154"/>
    <w:rsid w:val="00A73AFD"/>
    <w:rsid w:val="00A7641D"/>
    <w:rsid w:val="00A811A3"/>
    <w:rsid w:val="00A840D6"/>
    <w:rsid w:val="00A8508B"/>
    <w:rsid w:val="00A863E3"/>
    <w:rsid w:val="00A868FF"/>
    <w:rsid w:val="00A87706"/>
    <w:rsid w:val="00A87D72"/>
    <w:rsid w:val="00A930C1"/>
    <w:rsid w:val="00A93C75"/>
    <w:rsid w:val="00AA0A5F"/>
    <w:rsid w:val="00AA1E61"/>
    <w:rsid w:val="00AA3D58"/>
    <w:rsid w:val="00AA4DDE"/>
    <w:rsid w:val="00AB10E5"/>
    <w:rsid w:val="00AB1637"/>
    <w:rsid w:val="00AB1692"/>
    <w:rsid w:val="00AB3A92"/>
    <w:rsid w:val="00AB40F3"/>
    <w:rsid w:val="00AB4625"/>
    <w:rsid w:val="00AB478B"/>
    <w:rsid w:val="00AB4AD9"/>
    <w:rsid w:val="00AB5E41"/>
    <w:rsid w:val="00AB772C"/>
    <w:rsid w:val="00AC051F"/>
    <w:rsid w:val="00AC0D64"/>
    <w:rsid w:val="00AC274A"/>
    <w:rsid w:val="00AC3B7C"/>
    <w:rsid w:val="00AD1D4B"/>
    <w:rsid w:val="00AD284C"/>
    <w:rsid w:val="00AD6620"/>
    <w:rsid w:val="00AD6E77"/>
    <w:rsid w:val="00AD73BD"/>
    <w:rsid w:val="00AD757F"/>
    <w:rsid w:val="00AD7A25"/>
    <w:rsid w:val="00AE1968"/>
    <w:rsid w:val="00AE1D88"/>
    <w:rsid w:val="00AE51A1"/>
    <w:rsid w:val="00AE7134"/>
    <w:rsid w:val="00AF01D4"/>
    <w:rsid w:val="00AF31DD"/>
    <w:rsid w:val="00AF38AC"/>
    <w:rsid w:val="00AF3A5A"/>
    <w:rsid w:val="00AF5218"/>
    <w:rsid w:val="00AF739B"/>
    <w:rsid w:val="00B00561"/>
    <w:rsid w:val="00B007A5"/>
    <w:rsid w:val="00B01FAB"/>
    <w:rsid w:val="00B0216B"/>
    <w:rsid w:val="00B044C8"/>
    <w:rsid w:val="00B0480E"/>
    <w:rsid w:val="00B066CF"/>
    <w:rsid w:val="00B1026A"/>
    <w:rsid w:val="00B132A5"/>
    <w:rsid w:val="00B14F70"/>
    <w:rsid w:val="00B1786D"/>
    <w:rsid w:val="00B21166"/>
    <w:rsid w:val="00B21BFE"/>
    <w:rsid w:val="00B2383D"/>
    <w:rsid w:val="00B25AB8"/>
    <w:rsid w:val="00B263AE"/>
    <w:rsid w:val="00B27B05"/>
    <w:rsid w:val="00B35C11"/>
    <w:rsid w:val="00B35D2C"/>
    <w:rsid w:val="00B37A5F"/>
    <w:rsid w:val="00B4102E"/>
    <w:rsid w:val="00B41432"/>
    <w:rsid w:val="00B43943"/>
    <w:rsid w:val="00B44FEF"/>
    <w:rsid w:val="00B456E6"/>
    <w:rsid w:val="00B47091"/>
    <w:rsid w:val="00B50BFF"/>
    <w:rsid w:val="00B50FB6"/>
    <w:rsid w:val="00B603A7"/>
    <w:rsid w:val="00B62134"/>
    <w:rsid w:val="00B62C3E"/>
    <w:rsid w:val="00B645DE"/>
    <w:rsid w:val="00B64799"/>
    <w:rsid w:val="00B65857"/>
    <w:rsid w:val="00B66698"/>
    <w:rsid w:val="00B67BF4"/>
    <w:rsid w:val="00B72416"/>
    <w:rsid w:val="00B72BC5"/>
    <w:rsid w:val="00B73F0D"/>
    <w:rsid w:val="00B745DC"/>
    <w:rsid w:val="00B768E8"/>
    <w:rsid w:val="00B80337"/>
    <w:rsid w:val="00B8137B"/>
    <w:rsid w:val="00B84350"/>
    <w:rsid w:val="00B855A6"/>
    <w:rsid w:val="00B90DAC"/>
    <w:rsid w:val="00B91098"/>
    <w:rsid w:val="00B911DD"/>
    <w:rsid w:val="00B91904"/>
    <w:rsid w:val="00B926F2"/>
    <w:rsid w:val="00B92735"/>
    <w:rsid w:val="00B929AA"/>
    <w:rsid w:val="00B969ED"/>
    <w:rsid w:val="00BA655A"/>
    <w:rsid w:val="00BA687A"/>
    <w:rsid w:val="00BB0D90"/>
    <w:rsid w:val="00BB15DA"/>
    <w:rsid w:val="00BB3928"/>
    <w:rsid w:val="00BB3DDD"/>
    <w:rsid w:val="00BB60C6"/>
    <w:rsid w:val="00BB74BA"/>
    <w:rsid w:val="00BB7984"/>
    <w:rsid w:val="00BC3559"/>
    <w:rsid w:val="00BC48FE"/>
    <w:rsid w:val="00BC6A06"/>
    <w:rsid w:val="00BC7FBA"/>
    <w:rsid w:val="00BD137C"/>
    <w:rsid w:val="00BD1444"/>
    <w:rsid w:val="00BD3244"/>
    <w:rsid w:val="00BD46A0"/>
    <w:rsid w:val="00BD4B79"/>
    <w:rsid w:val="00BD5CAC"/>
    <w:rsid w:val="00BE2FA3"/>
    <w:rsid w:val="00BE3005"/>
    <w:rsid w:val="00BF0301"/>
    <w:rsid w:val="00BF117E"/>
    <w:rsid w:val="00BF14EA"/>
    <w:rsid w:val="00BF301E"/>
    <w:rsid w:val="00BF5E75"/>
    <w:rsid w:val="00BF64A7"/>
    <w:rsid w:val="00C01505"/>
    <w:rsid w:val="00C01FB2"/>
    <w:rsid w:val="00C02B3F"/>
    <w:rsid w:val="00C03596"/>
    <w:rsid w:val="00C04044"/>
    <w:rsid w:val="00C0545F"/>
    <w:rsid w:val="00C1031F"/>
    <w:rsid w:val="00C10516"/>
    <w:rsid w:val="00C11BB9"/>
    <w:rsid w:val="00C13ABB"/>
    <w:rsid w:val="00C15A13"/>
    <w:rsid w:val="00C2002E"/>
    <w:rsid w:val="00C238D9"/>
    <w:rsid w:val="00C24A9D"/>
    <w:rsid w:val="00C24CCC"/>
    <w:rsid w:val="00C25EA7"/>
    <w:rsid w:val="00C2677E"/>
    <w:rsid w:val="00C27815"/>
    <w:rsid w:val="00C31542"/>
    <w:rsid w:val="00C31F64"/>
    <w:rsid w:val="00C33E76"/>
    <w:rsid w:val="00C3701E"/>
    <w:rsid w:val="00C37F90"/>
    <w:rsid w:val="00C4059A"/>
    <w:rsid w:val="00C40924"/>
    <w:rsid w:val="00C42F14"/>
    <w:rsid w:val="00C434AD"/>
    <w:rsid w:val="00C44510"/>
    <w:rsid w:val="00C44665"/>
    <w:rsid w:val="00C567E3"/>
    <w:rsid w:val="00C6078D"/>
    <w:rsid w:val="00C62072"/>
    <w:rsid w:val="00C62EC1"/>
    <w:rsid w:val="00C657CF"/>
    <w:rsid w:val="00C67174"/>
    <w:rsid w:val="00C71E1A"/>
    <w:rsid w:val="00C72803"/>
    <w:rsid w:val="00C737A4"/>
    <w:rsid w:val="00C73809"/>
    <w:rsid w:val="00C777CF"/>
    <w:rsid w:val="00C77E88"/>
    <w:rsid w:val="00C80D62"/>
    <w:rsid w:val="00C82236"/>
    <w:rsid w:val="00C828F6"/>
    <w:rsid w:val="00C837AF"/>
    <w:rsid w:val="00C84F3A"/>
    <w:rsid w:val="00C86E45"/>
    <w:rsid w:val="00C95EEE"/>
    <w:rsid w:val="00C967AB"/>
    <w:rsid w:val="00C96BFD"/>
    <w:rsid w:val="00C97BA3"/>
    <w:rsid w:val="00CA1F70"/>
    <w:rsid w:val="00CA41D3"/>
    <w:rsid w:val="00CA5358"/>
    <w:rsid w:val="00CA5D88"/>
    <w:rsid w:val="00CA7A34"/>
    <w:rsid w:val="00CB1EA1"/>
    <w:rsid w:val="00CB3B3B"/>
    <w:rsid w:val="00CB5426"/>
    <w:rsid w:val="00CB6674"/>
    <w:rsid w:val="00CB6844"/>
    <w:rsid w:val="00CB7C4D"/>
    <w:rsid w:val="00CC06B6"/>
    <w:rsid w:val="00CC36FF"/>
    <w:rsid w:val="00CD3C63"/>
    <w:rsid w:val="00CD502A"/>
    <w:rsid w:val="00CE278C"/>
    <w:rsid w:val="00CE2931"/>
    <w:rsid w:val="00CE2B2B"/>
    <w:rsid w:val="00CE4186"/>
    <w:rsid w:val="00CE4465"/>
    <w:rsid w:val="00CE616E"/>
    <w:rsid w:val="00CE7FE5"/>
    <w:rsid w:val="00CF0C46"/>
    <w:rsid w:val="00CF0F91"/>
    <w:rsid w:val="00CF12CF"/>
    <w:rsid w:val="00CF58A3"/>
    <w:rsid w:val="00D006AC"/>
    <w:rsid w:val="00D00C82"/>
    <w:rsid w:val="00D01CA0"/>
    <w:rsid w:val="00D060D2"/>
    <w:rsid w:val="00D07DD8"/>
    <w:rsid w:val="00D10B6A"/>
    <w:rsid w:val="00D120DD"/>
    <w:rsid w:val="00D1379E"/>
    <w:rsid w:val="00D14394"/>
    <w:rsid w:val="00D21568"/>
    <w:rsid w:val="00D21DA6"/>
    <w:rsid w:val="00D21F74"/>
    <w:rsid w:val="00D230BC"/>
    <w:rsid w:val="00D23E62"/>
    <w:rsid w:val="00D242CD"/>
    <w:rsid w:val="00D251A7"/>
    <w:rsid w:val="00D305AA"/>
    <w:rsid w:val="00D32EC4"/>
    <w:rsid w:val="00D341C3"/>
    <w:rsid w:val="00D41F3A"/>
    <w:rsid w:val="00D42843"/>
    <w:rsid w:val="00D45DDE"/>
    <w:rsid w:val="00D5152A"/>
    <w:rsid w:val="00D51789"/>
    <w:rsid w:val="00D52356"/>
    <w:rsid w:val="00D52371"/>
    <w:rsid w:val="00D5478A"/>
    <w:rsid w:val="00D55A58"/>
    <w:rsid w:val="00D563A4"/>
    <w:rsid w:val="00D577B4"/>
    <w:rsid w:val="00D60A09"/>
    <w:rsid w:val="00D60DEA"/>
    <w:rsid w:val="00D61894"/>
    <w:rsid w:val="00D637B4"/>
    <w:rsid w:val="00D65145"/>
    <w:rsid w:val="00D6538C"/>
    <w:rsid w:val="00D71260"/>
    <w:rsid w:val="00D7197F"/>
    <w:rsid w:val="00D74314"/>
    <w:rsid w:val="00D761AE"/>
    <w:rsid w:val="00D761EF"/>
    <w:rsid w:val="00D76805"/>
    <w:rsid w:val="00D76D8D"/>
    <w:rsid w:val="00D77DDC"/>
    <w:rsid w:val="00D80382"/>
    <w:rsid w:val="00D84606"/>
    <w:rsid w:val="00D85339"/>
    <w:rsid w:val="00D86812"/>
    <w:rsid w:val="00D87D8D"/>
    <w:rsid w:val="00D9155D"/>
    <w:rsid w:val="00D92505"/>
    <w:rsid w:val="00D93AF0"/>
    <w:rsid w:val="00D95319"/>
    <w:rsid w:val="00D961A1"/>
    <w:rsid w:val="00D97B76"/>
    <w:rsid w:val="00DA00EC"/>
    <w:rsid w:val="00DA0A14"/>
    <w:rsid w:val="00DA10ED"/>
    <w:rsid w:val="00DA1856"/>
    <w:rsid w:val="00DA267C"/>
    <w:rsid w:val="00DA5006"/>
    <w:rsid w:val="00DA5101"/>
    <w:rsid w:val="00DA57A5"/>
    <w:rsid w:val="00DA79EF"/>
    <w:rsid w:val="00DB0C0B"/>
    <w:rsid w:val="00DB35F9"/>
    <w:rsid w:val="00DB3AD4"/>
    <w:rsid w:val="00DB3B2D"/>
    <w:rsid w:val="00DB3B74"/>
    <w:rsid w:val="00DB3D17"/>
    <w:rsid w:val="00DB4D5B"/>
    <w:rsid w:val="00DB7815"/>
    <w:rsid w:val="00DC42B7"/>
    <w:rsid w:val="00DC5870"/>
    <w:rsid w:val="00DC613D"/>
    <w:rsid w:val="00DC65F9"/>
    <w:rsid w:val="00DD01E2"/>
    <w:rsid w:val="00DD0384"/>
    <w:rsid w:val="00DD0901"/>
    <w:rsid w:val="00DD2A74"/>
    <w:rsid w:val="00DD2A90"/>
    <w:rsid w:val="00DD30BA"/>
    <w:rsid w:val="00DD3157"/>
    <w:rsid w:val="00DD3BD0"/>
    <w:rsid w:val="00DD3C45"/>
    <w:rsid w:val="00DD3DD8"/>
    <w:rsid w:val="00DD4998"/>
    <w:rsid w:val="00DE10A6"/>
    <w:rsid w:val="00DE16B6"/>
    <w:rsid w:val="00DE1C7C"/>
    <w:rsid w:val="00DE3186"/>
    <w:rsid w:val="00DE3531"/>
    <w:rsid w:val="00DE36CA"/>
    <w:rsid w:val="00DE387C"/>
    <w:rsid w:val="00DE46BC"/>
    <w:rsid w:val="00DE4E1D"/>
    <w:rsid w:val="00DE7E63"/>
    <w:rsid w:val="00DF15A0"/>
    <w:rsid w:val="00DF16FD"/>
    <w:rsid w:val="00DF2911"/>
    <w:rsid w:val="00DF2ACE"/>
    <w:rsid w:val="00DF54DB"/>
    <w:rsid w:val="00DF7ECC"/>
    <w:rsid w:val="00E00550"/>
    <w:rsid w:val="00E01E02"/>
    <w:rsid w:val="00E0414A"/>
    <w:rsid w:val="00E04B62"/>
    <w:rsid w:val="00E056A7"/>
    <w:rsid w:val="00E05FEF"/>
    <w:rsid w:val="00E1161C"/>
    <w:rsid w:val="00E11FBC"/>
    <w:rsid w:val="00E12513"/>
    <w:rsid w:val="00E141F0"/>
    <w:rsid w:val="00E178BE"/>
    <w:rsid w:val="00E20358"/>
    <w:rsid w:val="00E23F5B"/>
    <w:rsid w:val="00E24AA5"/>
    <w:rsid w:val="00E2506B"/>
    <w:rsid w:val="00E26D66"/>
    <w:rsid w:val="00E301C1"/>
    <w:rsid w:val="00E30900"/>
    <w:rsid w:val="00E31863"/>
    <w:rsid w:val="00E3231A"/>
    <w:rsid w:val="00E367C5"/>
    <w:rsid w:val="00E3770F"/>
    <w:rsid w:val="00E37E71"/>
    <w:rsid w:val="00E40072"/>
    <w:rsid w:val="00E40E83"/>
    <w:rsid w:val="00E42847"/>
    <w:rsid w:val="00E45F25"/>
    <w:rsid w:val="00E46064"/>
    <w:rsid w:val="00E46CD1"/>
    <w:rsid w:val="00E54774"/>
    <w:rsid w:val="00E560FE"/>
    <w:rsid w:val="00E574D6"/>
    <w:rsid w:val="00E57F71"/>
    <w:rsid w:val="00E604A1"/>
    <w:rsid w:val="00E604F8"/>
    <w:rsid w:val="00E627BD"/>
    <w:rsid w:val="00E63833"/>
    <w:rsid w:val="00E67151"/>
    <w:rsid w:val="00E70BD9"/>
    <w:rsid w:val="00E71E35"/>
    <w:rsid w:val="00E73AA8"/>
    <w:rsid w:val="00E7480C"/>
    <w:rsid w:val="00E760D3"/>
    <w:rsid w:val="00E769F0"/>
    <w:rsid w:val="00E773BB"/>
    <w:rsid w:val="00E77616"/>
    <w:rsid w:val="00E80228"/>
    <w:rsid w:val="00E803FC"/>
    <w:rsid w:val="00E82E73"/>
    <w:rsid w:val="00E82F4B"/>
    <w:rsid w:val="00E84D4A"/>
    <w:rsid w:val="00E94D8D"/>
    <w:rsid w:val="00E952D3"/>
    <w:rsid w:val="00E95B0B"/>
    <w:rsid w:val="00EA2674"/>
    <w:rsid w:val="00EA2C2B"/>
    <w:rsid w:val="00EA2ED4"/>
    <w:rsid w:val="00EA3678"/>
    <w:rsid w:val="00EA491A"/>
    <w:rsid w:val="00EA4C34"/>
    <w:rsid w:val="00EA6594"/>
    <w:rsid w:val="00EB1583"/>
    <w:rsid w:val="00EC23FB"/>
    <w:rsid w:val="00EC75F1"/>
    <w:rsid w:val="00ED4D51"/>
    <w:rsid w:val="00ED5719"/>
    <w:rsid w:val="00ED6928"/>
    <w:rsid w:val="00ED7681"/>
    <w:rsid w:val="00ED7B9F"/>
    <w:rsid w:val="00EE0CC3"/>
    <w:rsid w:val="00EE27FC"/>
    <w:rsid w:val="00EE3300"/>
    <w:rsid w:val="00EE41C2"/>
    <w:rsid w:val="00EE60C8"/>
    <w:rsid w:val="00EE747A"/>
    <w:rsid w:val="00EF19DA"/>
    <w:rsid w:val="00EF1F11"/>
    <w:rsid w:val="00EF3B41"/>
    <w:rsid w:val="00EF5034"/>
    <w:rsid w:val="00EF58FA"/>
    <w:rsid w:val="00EF63C6"/>
    <w:rsid w:val="00F034FB"/>
    <w:rsid w:val="00F036E0"/>
    <w:rsid w:val="00F05087"/>
    <w:rsid w:val="00F05606"/>
    <w:rsid w:val="00F056C3"/>
    <w:rsid w:val="00F07EEB"/>
    <w:rsid w:val="00F105F5"/>
    <w:rsid w:val="00F1075A"/>
    <w:rsid w:val="00F121EE"/>
    <w:rsid w:val="00F130A5"/>
    <w:rsid w:val="00F1353F"/>
    <w:rsid w:val="00F16BD0"/>
    <w:rsid w:val="00F20102"/>
    <w:rsid w:val="00F20F73"/>
    <w:rsid w:val="00F215A9"/>
    <w:rsid w:val="00F2175C"/>
    <w:rsid w:val="00F21EA9"/>
    <w:rsid w:val="00F22AB5"/>
    <w:rsid w:val="00F22E82"/>
    <w:rsid w:val="00F23407"/>
    <w:rsid w:val="00F24CE7"/>
    <w:rsid w:val="00F2620D"/>
    <w:rsid w:val="00F26629"/>
    <w:rsid w:val="00F30300"/>
    <w:rsid w:val="00F3277D"/>
    <w:rsid w:val="00F337BF"/>
    <w:rsid w:val="00F33D14"/>
    <w:rsid w:val="00F34700"/>
    <w:rsid w:val="00F37388"/>
    <w:rsid w:val="00F40886"/>
    <w:rsid w:val="00F41B0B"/>
    <w:rsid w:val="00F41DA4"/>
    <w:rsid w:val="00F42D03"/>
    <w:rsid w:val="00F43BA7"/>
    <w:rsid w:val="00F43FDF"/>
    <w:rsid w:val="00F45048"/>
    <w:rsid w:val="00F473B6"/>
    <w:rsid w:val="00F52E57"/>
    <w:rsid w:val="00F53E06"/>
    <w:rsid w:val="00F54018"/>
    <w:rsid w:val="00F54188"/>
    <w:rsid w:val="00F54281"/>
    <w:rsid w:val="00F54CC0"/>
    <w:rsid w:val="00F5583D"/>
    <w:rsid w:val="00F60476"/>
    <w:rsid w:val="00F631BA"/>
    <w:rsid w:val="00F634C0"/>
    <w:rsid w:val="00F652C7"/>
    <w:rsid w:val="00F66550"/>
    <w:rsid w:val="00F71A87"/>
    <w:rsid w:val="00F727A5"/>
    <w:rsid w:val="00F74D6D"/>
    <w:rsid w:val="00F74E5C"/>
    <w:rsid w:val="00F847A9"/>
    <w:rsid w:val="00F860F2"/>
    <w:rsid w:val="00F87371"/>
    <w:rsid w:val="00F87C84"/>
    <w:rsid w:val="00F92501"/>
    <w:rsid w:val="00F92768"/>
    <w:rsid w:val="00F95878"/>
    <w:rsid w:val="00F95AAE"/>
    <w:rsid w:val="00F9706F"/>
    <w:rsid w:val="00FA4005"/>
    <w:rsid w:val="00FA4202"/>
    <w:rsid w:val="00FA47CB"/>
    <w:rsid w:val="00FA59BF"/>
    <w:rsid w:val="00FA5CC1"/>
    <w:rsid w:val="00FA5FE9"/>
    <w:rsid w:val="00FA67D2"/>
    <w:rsid w:val="00FB18AF"/>
    <w:rsid w:val="00FB1E7C"/>
    <w:rsid w:val="00FB2608"/>
    <w:rsid w:val="00FB2A0D"/>
    <w:rsid w:val="00FB302F"/>
    <w:rsid w:val="00FB4E24"/>
    <w:rsid w:val="00FB5A92"/>
    <w:rsid w:val="00FB5AF2"/>
    <w:rsid w:val="00FB6E03"/>
    <w:rsid w:val="00FB75F3"/>
    <w:rsid w:val="00FC0C11"/>
    <w:rsid w:val="00FC154A"/>
    <w:rsid w:val="00FC1C69"/>
    <w:rsid w:val="00FC32AE"/>
    <w:rsid w:val="00FC340C"/>
    <w:rsid w:val="00FC3739"/>
    <w:rsid w:val="00FC3ECD"/>
    <w:rsid w:val="00FC6919"/>
    <w:rsid w:val="00FD0220"/>
    <w:rsid w:val="00FD13FD"/>
    <w:rsid w:val="00FE188E"/>
    <w:rsid w:val="00FE29B0"/>
    <w:rsid w:val="00FE2CA7"/>
    <w:rsid w:val="00FE5AD9"/>
    <w:rsid w:val="00FE7A33"/>
    <w:rsid w:val="00FF1A63"/>
    <w:rsid w:val="00FF3AB6"/>
    <w:rsid w:val="00FF435B"/>
    <w:rsid w:val="00FF43BD"/>
    <w:rsid w:val="00FF479B"/>
    <w:rsid w:val="00FF5CAC"/>
    <w:rsid w:val="00FF70D1"/>
    <w:rsid w:val="09683A1E"/>
    <w:rsid w:val="0BB311EA"/>
    <w:rsid w:val="0C96C7FB"/>
    <w:rsid w:val="39A6BD96"/>
    <w:rsid w:val="67767EA5"/>
    <w:rsid w:val="77A6A74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o:shapelayout v:ext="edit">
      <o:idmap v:ext="edit" data="1"/>
    </o:shapelayout>
  </w:shapeDefaults>
  <w:decimalSymbol w:val="."/>
  <w:listSeparator w:val=","/>
  <w14:docId w14:val="7F9DE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4"/>
        <w:szCs w:val="24"/>
        <w:lang w:val="en-NZ" w:eastAsia="en-NZ" w:bidi="ar-SA"/>
      </w:rPr>
    </w:rPrDefault>
    <w:pPrDefault>
      <w:pPr>
        <w:spacing w:before="120" w:after="24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1" w:unhideWhenUsed="0" w:qFormat="1"/>
    <w:lsdException w:name="heading 6" w:semiHidden="0" w:uiPriority="1"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footnote text" w:uiPriority="0"/>
    <w:lsdException w:name="header" w:uiPriority="0"/>
    <w:lsdException w:name="caption" w:uiPriority="0" w:qFormat="1"/>
    <w:lsdException w:name="footnote reference" w:uiPriority="0"/>
    <w:lsdException w:name="page number" w:unhideWhenUsed="0"/>
    <w:lsdException w:name="table of authorities" w:unhideWhenUsed="0"/>
    <w:lsdException w:name="List Number" w:semiHidden="0" w:unhideWhenUsed="0"/>
    <w:lsdException w:name="List 2" w:uiPriority="3"/>
    <w:lsdException w:name="List 4" w:semiHidden="0" w:unhideWhenUsed="0"/>
    <w:lsdException w:name="List 5" w:semiHidden="0" w:unhideWhenUsed="0"/>
    <w:lsdException w:name="Title" w:semiHidden="0" w:uiPriority="0" w:unhideWhenUsed="0" w:qFormat="1"/>
    <w:lsdException w:name="Default Paragraph Font" w:uiPriority="1"/>
    <w:lsdException w:name="Body Text" w:uiPriority="0"/>
    <w:lsdException w:name="Subtitle" w:semiHidden="0" w:uiPriority="1"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Document Map" w:unhideWhenUsed="0"/>
    <w:lsdException w:name="HTML Top of Form" w:uiPriority="0"/>
    <w:lsdException w:name="HTML Bottom of Form" w:uiPriority="0"/>
    <w:lsdException w:name="Normal Table"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Table Grid" w:semiHidden="0" w:uiPriority="59" w:unhideWhenUsed="0"/>
    <w:lsdException w:name="Table Theme" w:uiPriority="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unhideWhenUsed="0"/>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iPriority="33" w:unhideWhenUsed="0" w:qFormat="1"/>
    <w:lsdException w:name="Bibliography" w:uiPriority="37"/>
    <w:lsdException w:name="TOC Heading" w:uiPriority="39" w:unhideWhenUsed="0" w:qFormat="1"/>
  </w:latentStyles>
  <w:style w:type="paragraph" w:default="1" w:styleId="Normal">
    <w:name w:val="Normal"/>
    <w:qFormat/>
    <w:rsid w:val="005D5A31"/>
    <w:pPr>
      <w:keepLines/>
    </w:pPr>
    <w:rPr>
      <w:rFonts w:eastAsiaTheme="minorHAnsi"/>
      <w:lang w:eastAsia="en-US"/>
    </w:rPr>
  </w:style>
  <w:style w:type="paragraph" w:styleId="Heading1">
    <w:name w:val="heading 1"/>
    <w:basedOn w:val="Normal"/>
    <w:next w:val="Normal"/>
    <w:link w:val="Heading1Char"/>
    <w:qFormat/>
    <w:rsid w:val="005D5A31"/>
    <w:pPr>
      <w:keepNext/>
      <w:pageBreakBefore/>
      <w:spacing w:after="120"/>
      <w:contextualSpacing/>
      <w:outlineLvl w:val="0"/>
    </w:pPr>
    <w:rPr>
      <w:rFonts w:cs="Arial"/>
      <w:b/>
      <w:bCs/>
      <w:color w:val="1F546B" w:themeColor="text2"/>
      <w:kern w:val="32"/>
      <w:sz w:val="52"/>
      <w:szCs w:val="32"/>
    </w:rPr>
  </w:style>
  <w:style w:type="paragraph" w:styleId="Heading2">
    <w:name w:val="heading 2"/>
    <w:basedOn w:val="Normal"/>
    <w:next w:val="Normal"/>
    <w:link w:val="Heading2Char"/>
    <w:qFormat/>
    <w:rsid w:val="005D5A31"/>
    <w:pPr>
      <w:keepNext/>
      <w:spacing w:before="360" w:after="120"/>
      <w:contextualSpacing/>
      <w:outlineLvl w:val="1"/>
    </w:pPr>
    <w:rPr>
      <w:rFonts w:cs="Arial"/>
      <w:b/>
      <w:bCs/>
      <w:iCs/>
      <w:color w:val="1F546B"/>
      <w:sz w:val="36"/>
      <w:szCs w:val="28"/>
    </w:rPr>
  </w:style>
  <w:style w:type="paragraph" w:styleId="Heading3">
    <w:name w:val="heading 3"/>
    <w:basedOn w:val="Normal"/>
    <w:next w:val="Normal"/>
    <w:link w:val="Heading3Char"/>
    <w:qFormat/>
    <w:rsid w:val="005D5A31"/>
    <w:pPr>
      <w:keepNext/>
      <w:spacing w:before="360" w:after="120"/>
      <w:contextualSpacing/>
      <w:outlineLvl w:val="2"/>
    </w:pPr>
    <w:rPr>
      <w:rFonts w:cs="Arial"/>
      <w:b/>
      <w:bCs/>
      <w:color w:val="1F546B"/>
      <w:sz w:val="28"/>
      <w:szCs w:val="26"/>
    </w:rPr>
  </w:style>
  <w:style w:type="paragraph" w:styleId="Heading4">
    <w:name w:val="heading 4"/>
    <w:basedOn w:val="Normal"/>
    <w:next w:val="Normal"/>
    <w:link w:val="Heading4Char"/>
    <w:qFormat/>
    <w:rsid w:val="005D5A31"/>
    <w:pPr>
      <w:keepNext/>
      <w:spacing w:before="360" w:after="120"/>
      <w:contextualSpacing/>
      <w:outlineLvl w:val="3"/>
    </w:pPr>
    <w:rPr>
      <w:b/>
      <w:bCs/>
      <w:i/>
      <w:color w:val="1F546B" w:themeColor="text2"/>
      <w:szCs w:val="28"/>
    </w:rPr>
  </w:style>
  <w:style w:type="paragraph" w:styleId="Heading5">
    <w:name w:val="heading 5"/>
    <w:basedOn w:val="Normal"/>
    <w:next w:val="BodyText"/>
    <w:link w:val="Heading5Char"/>
    <w:uiPriority w:val="1"/>
    <w:semiHidden/>
    <w:qFormat/>
    <w:rsid w:val="005D5A31"/>
    <w:pPr>
      <w:keepNext/>
      <w:spacing w:before="360"/>
      <w:outlineLvl w:val="4"/>
    </w:pPr>
    <w:rPr>
      <w:b/>
      <w:bCs/>
      <w:iCs/>
      <w:szCs w:val="26"/>
    </w:rPr>
  </w:style>
  <w:style w:type="paragraph" w:styleId="Heading6">
    <w:name w:val="heading 6"/>
    <w:basedOn w:val="Normal"/>
    <w:next w:val="Normal"/>
    <w:link w:val="Heading6Char"/>
    <w:uiPriority w:val="1"/>
    <w:semiHidden/>
    <w:qFormat/>
    <w:rsid w:val="005D5A31"/>
    <w:pPr>
      <w:spacing w:before="360"/>
      <w:outlineLvl w:val="5"/>
    </w:pPr>
    <w:rPr>
      <w:b/>
      <w:bCs/>
      <w:i/>
      <w:szCs w:val="22"/>
    </w:rPr>
  </w:style>
  <w:style w:type="paragraph" w:styleId="Heading7">
    <w:name w:val="heading 7"/>
    <w:basedOn w:val="Normal"/>
    <w:next w:val="Normal"/>
    <w:uiPriority w:val="99"/>
    <w:semiHidden/>
    <w:qFormat/>
    <w:rsid w:val="005D5A31"/>
    <w:pPr>
      <w:spacing w:after="60"/>
      <w:outlineLvl w:val="6"/>
    </w:pPr>
  </w:style>
  <w:style w:type="paragraph" w:styleId="Heading8">
    <w:name w:val="heading 8"/>
    <w:basedOn w:val="Normal"/>
    <w:next w:val="Normal"/>
    <w:uiPriority w:val="99"/>
    <w:semiHidden/>
    <w:qFormat/>
    <w:rsid w:val="005D5A31"/>
    <w:pPr>
      <w:spacing w:after="60"/>
      <w:outlineLvl w:val="7"/>
    </w:pPr>
    <w:rPr>
      <w:i/>
      <w:iCs/>
    </w:rPr>
  </w:style>
  <w:style w:type="paragraph" w:styleId="Heading9">
    <w:name w:val="heading 9"/>
    <w:basedOn w:val="Normal"/>
    <w:next w:val="Normal"/>
    <w:uiPriority w:val="99"/>
    <w:semiHidden/>
    <w:qFormat/>
    <w:rsid w:val="005D5A31"/>
    <w:pPr>
      <w:spacing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5675E0"/>
    <w:pPr>
      <w:numPr>
        <w:numId w:val="1"/>
      </w:numPr>
    </w:pPr>
  </w:style>
  <w:style w:type="paragraph" w:styleId="BodyText">
    <w:name w:val="Body Text"/>
    <w:basedOn w:val="Normal"/>
    <w:link w:val="BodyTextChar"/>
    <w:rsid w:val="005675E0"/>
    <w:pPr>
      <w:spacing w:after="200"/>
    </w:pPr>
  </w:style>
  <w:style w:type="numbering" w:styleId="1ai">
    <w:name w:val="Outline List 1"/>
    <w:basedOn w:val="NoList"/>
    <w:semiHidden/>
    <w:rsid w:val="005675E0"/>
    <w:pPr>
      <w:numPr>
        <w:numId w:val="2"/>
      </w:numPr>
    </w:pPr>
  </w:style>
  <w:style w:type="numbering" w:styleId="ArticleSection">
    <w:name w:val="Outline List 3"/>
    <w:basedOn w:val="NoList"/>
    <w:semiHidden/>
    <w:rsid w:val="005675E0"/>
    <w:pPr>
      <w:numPr>
        <w:numId w:val="3"/>
      </w:numPr>
    </w:pPr>
  </w:style>
  <w:style w:type="paragraph" w:styleId="BlockText">
    <w:name w:val="Block Text"/>
    <w:basedOn w:val="Normal"/>
    <w:uiPriority w:val="99"/>
    <w:semiHidden/>
    <w:rsid w:val="005675E0"/>
    <w:pPr>
      <w:ind w:left="1440" w:right="1440"/>
    </w:pPr>
  </w:style>
  <w:style w:type="paragraph" w:styleId="BodyText2">
    <w:name w:val="Body Text 2"/>
    <w:basedOn w:val="Normal"/>
    <w:uiPriority w:val="99"/>
    <w:semiHidden/>
    <w:rsid w:val="005675E0"/>
    <w:pPr>
      <w:spacing w:line="480" w:lineRule="auto"/>
    </w:pPr>
  </w:style>
  <w:style w:type="paragraph" w:styleId="BodyText3">
    <w:name w:val="Body Text 3"/>
    <w:basedOn w:val="Normal"/>
    <w:uiPriority w:val="99"/>
    <w:semiHidden/>
    <w:rsid w:val="005675E0"/>
    <w:rPr>
      <w:sz w:val="16"/>
      <w:szCs w:val="16"/>
    </w:rPr>
  </w:style>
  <w:style w:type="paragraph" w:styleId="BodyTextFirstIndent">
    <w:name w:val="Body Text First Indent"/>
    <w:basedOn w:val="BodyText"/>
    <w:uiPriority w:val="99"/>
    <w:semiHidden/>
    <w:rsid w:val="005675E0"/>
    <w:pPr>
      <w:spacing w:after="120"/>
      <w:ind w:firstLine="210"/>
    </w:pPr>
  </w:style>
  <w:style w:type="paragraph" w:styleId="BodyTextIndent">
    <w:name w:val="Body Text Indent"/>
    <w:basedOn w:val="Normal"/>
    <w:uiPriority w:val="99"/>
    <w:semiHidden/>
    <w:rsid w:val="005675E0"/>
    <w:pPr>
      <w:ind w:left="283"/>
    </w:pPr>
  </w:style>
  <w:style w:type="paragraph" w:styleId="BodyTextFirstIndent2">
    <w:name w:val="Body Text First Indent 2"/>
    <w:basedOn w:val="BodyTextIndent"/>
    <w:uiPriority w:val="99"/>
    <w:semiHidden/>
    <w:rsid w:val="005675E0"/>
    <w:pPr>
      <w:ind w:firstLine="210"/>
    </w:pPr>
  </w:style>
  <w:style w:type="paragraph" w:styleId="BodyTextIndent2">
    <w:name w:val="Body Text Indent 2"/>
    <w:basedOn w:val="Normal"/>
    <w:uiPriority w:val="99"/>
    <w:semiHidden/>
    <w:rsid w:val="005675E0"/>
    <w:pPr>
      <w:spacing w:line="480" w:lineRule="auto"/>
      <w:ind w:left="283"/>
    </w:pPr>
  </w:style>
  <w:style w:type="paragraph" w:styleId="BodyTextIndent3">
    <w:name w:val="Body Text Indent 3"/>
    <w:basedOn w:val="Normal"/>
    <w:uiPriority w:val="99"/>
    <w:semiHidden/>
    <w:rsid w:val="005675E0"/>
    <w:pPr>
      <w:ind w:left="283"/>
    </w:pPr>
    <w:rPr>
      <w:sz w:val="16"/>
      <w:szCs w:val="16"/>
    </w:rPr>
  </w:style>
  <w:style w:type="paragraph" w:styleId="Closing">
    <w:name w:val="Closing"/>
    <w:basedOn w:val="Normal"/>
    <w:uiPriority w:val="99"/>
    <w:semiHidden/>
    <w:rsid w:val="005675E0"/>
    <w:pPr>
      <w:ind w:left="4252"/>
    </w:pPr>
  </w:style>
  <w:style w:type="paragraph" w:styleId="Date">
    <w:name w:val="Date"/>
    <w:basedOn w:val="Normal"/>
    <w:next w:val="Normal"/>
    <w:uiPriority w:val="99"/>
    <w:semiHidden/>
    <w:rsid w:val="005675E0"/>
  </w:style>
  <w:style w:type="paragraph" w:styleId="E-mailSignature">
    <w:name w:val="E-mail Signature"/>
    <w:basedOn w:val="Normal"/>
    <w:uiPriority w:val="99"/>
    <w:semiHidden/>
    <w:rsid w:val="005675E0"/>
  </w:style>
  <w:style w:type="character" w:styleId="Emphasis">
    <w:name w:val="Emphasis"/>
    <w:uiPriority w:val="99"/>
    <w:semiHidden/>
    <w:qFormat/>
    <w:rsid w:val="005D5A31"/>
    <w:rPr>
      <w:rFonts w:ascii="Calibri" w:hAnsi="Calibri"/>
      <w:i/>
      <w:iCs/>
    </w:rPr>
  </w:style>
  <w:style w:type="paragraph" w:styleId="EnvelopeAddress">
    <w:name w:val="envelope address"/>
    <w:basedOn w:val="Normal"/>
    <w:uiPriority w:val="99"/>
    <w:semiHidden/>
    <w:rsid w:val="005675E0"/>
    <w:pPr>
      <w:framePr w:w="7920" w:h="1980" w:hRule="exact" w:hSpace="180" w:wrap="auto" w:hAnchor="page" w:xAlign="center" w:yAlign="bottom"/>
      <w:ind w:left="2880"/>
    </w:pPr>
    <w:rPr>
      <w:rFonts w:cs="Arial"/>
    </w:rPr>
  </w:style>
  <w:style w:type="paragraph" w:styleId="EnvelopeReturn">
    <w:name w:val="envelope return"/>
    <w:basedOn w:val="Normal"/>
    <w:uiPriority w:val="99"/>
    <w:semiHidden/>
    <w:rsid w:val="005675E0"/>
    <w:rPr>
      <w:rFonts w:cs="Arial"/>
      <w:sz w:val="20"/>
      <w:szCs w:val="20"/>
    </w:rPr>
  </w:style>
  <w:style w:type="character" w:styleId="FollowedHyperlink">
    <w:name w:val="FollowedHyperlink"/>
    <w:uiPriority w:val="99"/>
    <w:semiHidden/>
    <w:rsid w:val="005675E0"/>
    <w:rPr>
      <w:color w:val="800080"/>
      <w:u w:val="single"/>
    </w:rPr>
  </w:style>
  <w:style w:type="paragraph" w:styleId="Footer">
    <w:name w:val="footer"/>
    <w:basedOn w:val="Normal"/>
    <w:link w:val="FooterChar"/>
    <w:uiPriority w:val="99"/>
    <w:rsid w:val="005F76CC"/>
    <w:pPr>
      <w:spacing w:before="40" w:after="40"/>
      <w:contextualSpacing/>
    </w:pPr>
    <w:rPr>
      <w:i/>
      <w:sz w:val="20"/>
    </w:rPr>
  </w:style>
  <w:style w:type="paragraph" w:styleId="Header">
    <w:name w:val="header"/>
    <w:basedOn w:val="Normal"/>
    <w:rsid w:val="00DD3BD0"/>
    <w:pPr>
      <w:spacing w:before="40" w:after="40"/>
    </w:pPr>
    <w:rPr>
      <w:color w:val="808080" w:themeColor="background1" w:themeShade="80"/>
      <w:sz w:val="22"/>
    </w:rPr>
  </w:style>
  <w:style w:type="character" w:styleId="HTMLAcronym">
    <w:name w:val="HTML Acronym"/>
    <w:basedOn w:val="DefaultParagraphFont"/>
    <w:uiPriority w:val="99"/>
    <w:semiHidden/>
    <w:rsid w:val="005675E0"/>
  </w:style>
  <w:style w:type="paragraph" w:styleId="HTMLAddress">
    <w:name w:val="HTML Address"/>
    <w:basedOn w:val="Normal"/>
    <w:uiPriority w:val="99"/>
    <w:semiHidden/>
    <w:rsid w:val="005675E0"/>
    <w:rPr>
      <w:i/>
      <w:iCs/>
    </w:rPr>
  </w:style>
  <w:style w:type="character" w:styleId="HTMLCite">
    <w:name w:val="HTML Cite"/>
    <w:uiPriority w:val="99"/>
    <w:semiHidden/>
    <w:rsid w:val="005675E0"/>
    <w:rPr>
      <w:i/>
      <w:iCs/>
    </w:rPr>
  </w:style>
  <w:style w:type="character" w:styleId="HTMLCode">
    <w:name w:val="HTML Code"/>
    <w:uiPriority w:val="99"/>
    <w:semiHidden/>
    <w:rsid w:val="005675E0"/>
    <w:rPr>
      <w:rFonts w:ascii="Courier New" w:hAnsi="Courier New" w:cs="Courier New"/>
      <w:sz w:val="20"/>
      <w:szCs w:val="20"/>
    </w:rPr>
  </w:style>
  <w:style w:type="character" w:styleId="HTMLDefinition">
    <w:name w:val="HTML Definition"/>
    <w:uiPriority w:val="99"/>
    <w:semiHidden/>
    <w:rsid w:val="005675E0"/>
    <w:rPr>
      <w:i/>
      <w:iCs/>
    </w:rPr>
  </w:style>
  <w:style w:type="character" w:styleId="HTMLKeyboard">
    <w:name w:val="HTML Keyboard"/>
    <w:uiPriority w:val="99"/>
    <w:semiHidden/>
    <w:rsid w:val="005675E0"/>
    <w:rPr>
      <w:rFonts w:ascii="Courier New" w:hAnsi="Courier New" w:cs="Courier New"/>
      <w:sz w:val="20"/>
      <w:szCs w:val="20"/>
    </w:rPr>
  </w:style>
  <w:style w:type="paragraph" w:styleId="HTMLPreformatted">
    <w:name w:val="HTML Preformatted"/>
    <w:basedOn w:val="Normal"/>
    <w:uiPriority w:val="99"/>
    <w:semiHidden/>
    <w:rsid w:val="005675E0"/>
    <w:rPr>
      <w:rFonts w:ascii="Courier New" w:hAnsi="Courier New" w:cs="Courier New"/>
      <w:sz w:val="20"/>
      <w:szCs w:val="20"/>
    </w:rPr>
  </w:style>
  <w:style w:type="character" w:styleId="HTMLSample">
    <w:name w:val="HTML Sample"/>
    <w:uiPriority w:val="99"/>
    <w:semiHidden/>
    <w:rsid w:val="005675E0"/>
    <w:rPr>
      <w:rFonts w:ascii="Courier New" w:hAnsi="Courier New" w:cs="Courier New"/>
    </w:rPr>
  </w:style>
  <w:style w:type="character" w:styleId="HTMLTypewriter">
    <w:name w:val="HTML Typewriter"/>
    <w:uiPriority w:val="99"/>
    <w:semiHidden/>
    <w:rsid w:val="005675E0"/>
    <w:rPr>
      <w:rFonts w:ascii="Courier New" w:hAnsi="Courier New" w:cs="Courier New"/>
      <w:sz w:val="20"/>
      <w:szCs w:val="20"/>
    </w:rPr>
  </w:style>
  <w:style w:type="character" w:styleId="HTMLVariable">
    <w:name w:val="HTML Variable"/>
    <w:uiPriority w:val="99"/>
    <w:semiHidden/>
    <w:rsid w:val="005675E0"/>
    <w:rPr>
      <w:i/>
      <w:iCs/>
    </w:rPr>
  </w:style>
  <w:style w:type="character" w:styleId="Hyperlink">
    <w:name w:val="Hyperlink"/>
    <w:uiPriority w:val="99"/>
    <w:rsid w:val="005675E0"/>
    <w:rPr>
      <w:color w:val="0000FF"/>
      <w:u w:val="single"/>
    </w:rPr>
  </w:style>
  <w:style w:type="character" w:styleId="LineNumber">
    <w:name w:val="line number"/>
    <w:basedOn w:val="DefaultParagraphFont"/>
    <w:uiPriority w:val="99"/>
    <w:semiHidden/>
    <w:rsid w:val="005675E0"/>
  </w:style>
  <w:style w:type="paragraph" w:styleId="List">
    <w:name w:val="List"/>
    <w:basedOn w:val="Normal"/>
    <w:uiPriority w:val="99"/>
    <w:semiHidden/>
    <w:rsid w:val="005675E0"/>
    <w:pPr>
      <w:ind w:left="283" w:hanging="283"/>
    </w:pPr>
  </w:style>
  <w:style w:type="paragraph" w:styleId="List2">
    <w:name w:val="List 2"/>
    <w:basedOn w:val="Normal"/>
    <w:uiPriority w:val="3"/>
    <w:semiHidden/>
    <w:rsid w:val="005675E0"/>
    <w:pPr>
      <w:ind w:left="566" w:hanging="283"/>
    </w:pPr>
  </w:style>
  <w:style w:type="paragraph" w:styleId="List3">
    <w:name w:val="List 3"/>
    <w:basedOn w:val="Normal"/>
    <w:uiPriority w:val="99"/>
    <w:semiHidden/>
    <w:rsid w:val="005675E0"/>
    <w:pPr>
      <w:ind w:left="849" w:hanging="283"/>
    </w:pPr>
  </w:style>
  <w:style w:type="paragraph" w:styleId="List4">
    <w:name w:val="List 4"/>
    <w:basedOn w:val="Normal"/>
    <w:uiPriority w:val="99"/>
    <w:semiHidden/>
    <w:rsid w:val="005675E0"/>
    <w:pPr>
      <w:ind w:left="1132" w:hanging="283"/>
    </w:pPr>
  </w:style>
  <w:style w:type="paragraph" w:styleId="List5">
    <w:name w:val="List 5"/>
    <w:basedOn w:val="Normal"/>
    <w:uiPriority w:val="99"/>
    <w:semiHidden/>
    <w:rsid w:val="005675E0"/>
    <w:pPr>
      <w:ind w:left="1415" w:hanging="283"/>
    </w:pPr>
  </w:style>
  <w:style w:type="paragraph" w:styleId="ListBullet">
    <w:name w:val="List Bullet"/>
    <w:basedOn w:val="Normal"/>
    <w:uiPriority w:val="99"/>
    <w:semiHidden/>
    <w:rsid w:val="005675E0"/>
    <w:pPr>
      <w:numPr>
        <w:numId w:val="9"/>
      </w:numPr>
    </w:pPr>
  </w:style>
  <w:style w:type="paragraph" w:styleId="ListBullet2">
    <w:name w:val="List Bullet 2"/>
    <w:basedOn w:val="Normal"/>
    <w:uiPriority w:val="99"/>
    <w:semiHidden/>
    <w:rsid w:val="005675E0"/>
    <w:pPr>
      <w:numPr>
        <w:numId w:val="10"/>
      </w:numPr>
    </w:pPr>
  </w:style>
  <w:style w:type="paragraph" w:styleId="ListBullet3">
    <w:name w:val="List Bullet 3"/>
    <w:basedOn w:val="Normal"/>
    <w:uiPriority w:val="99"/>
    <w:semiHidden/>
    <w:rsid w:val="005675E0"/>
    <w:pPr>
      <w:numPr>
        <w:numId w:val="11"/>
      </w:numPr>
    </w:pPr>
  </w:style>
  <w:style w:type="paragraph" w:styleId="ListBullet4">
    <w:name w:val="List Bullet 4"/>
    <w:basedOn w:val="Normal"/>
    <w:uiPriority w:val="99"/>
    <w:semiHidden/>
    <w:rsid w:val="005675E0"/>
    <w:pPr>
      <w:numPr>
        <w:numId w:val="12"/>
      </w:numPr>
    </w:pPr>
  </w:style>
  <w:style w:type="paragraph" w:styleId="ListBullet5">
    <w:name w:val="List Bullet 5"/>
    <w:basedOn w:val="Normal"/>
    <w:uiPriority w:val="99"/>
    <w:semiHidden/>
    <w:rsid w:val="005675E0"/>
    <w:pPr>
      <w:numPr>
        <w:numId w:val="13"/>
      </w:numPr>
    </w:pPr>
  </w:style>
  <w:style w:type="paragraph" w:styleId="ListContinue">
    <w:name w:val="List Continue"/>
    <w:basedOn w:val="Normal"/>
    <w:uiPriority w:val="99"/>
    <w:semiHidden/>
    <w:rsid w:val="005675E0"/>
    <w:pPr>
      <w:ind w:left="283"/>
    </w:pPr>
  </w:style>
  <w:style w:type="paragraph" w:styleId="ListContinue2">
    <w:name w:val="List Continue 2"/>
    <w:basedOn w:val="Normal"/>
    <w:uiPriority w:val="99"/>
    <w:semiHidden/>
    <w:rsid w:val="005675E0"/>
    <w:pPr>
      <w:ind w:left="566"/>
    </w:pPr>
  </w:style>
  <w:style w:type="paragraph" w:styleId="ListContinue3">
    <w:name w:val="List Continue 3"/>
    <w:basedOn w:val="Normal"/>
    <w:uiPriority w:val="99"/>
    <w:semiHidden/>
    <w:rsid w:val="005675E0"/>
    <w:pPr>
      <w:ind w:left="849"/>
    </w:pPr>
  </w:style>
  <w:style w:type="paragraph" w:styleId="ListContinue4">
    <w:name w:val="List Continue 4"/>
    <w:basedOn w:val="Normal"/>
    <w:uiPriority w:val="99"/>
    <w:semiHidden/>
    <w:rsid w:val="005675E0"/>
    <w:pPr>
      <w:ind w:left="1132"/>
    </w:pPr>
  </w:style>
  <w:style w:type="paragraph" w:styleId="ListContinue5">
    <w:name w:val="List Continue 5"/>
    <w:basedOn w:val="Normal"/>
    <w:uiPriority w:val="99"/>
    <w:semiHidden/>
    <w:rsid w:val="005675E0"/>
    <w:pPr>
      <w:ind w:left="1415"/>
    </w:pPr>
  </w:style>
  <w:style w:type="paragraph" w:styleId="ListNumber">
    <w:name w:val="List Number"/>
    <w:basedOn w:val="Normal"/>
    <w:uiPriority w:val="99"/>
    <w:semiHidden/>
    <w:rsid w:val="005675E0"/>
    <w:pPr>
      <w:numPr>
        <w:numId w:val="14"/>
      </w:numPr>
    </w:pPr>
  </w:style>
  <w:style w:type="paragraph" w:styleId="ListNumber2">
    <w:name w:val="List Number 2"/>
    <w:basedOn w:val="Normal"/>
    <w:uiPriority w:val="99"/>
    <w:semiHidden/>
    <w:rsid w:val="005675E0"/>
    <w:pPr>
      <w:numPr>
        <w:numId w:val="15"/>
      </w:numPr>
    </w:pPr>
  </w:style>
  <w:style w:type="paragraph" w:styleId="ListNumber3">
    <w:name w:val="List Number 3"/>
    <w:basedOn w:val="Normal"/>
    <w:uiPriority w:val="99"/>
    <w:semiHidden/>
    <w:rsid w:val="005675E0"/>
    <w:pPr>
      <w:numPr>
        <w:numId w:val="16"/>
      </w:numPr>
    </w:pPr>
  </w:style>
  <w:style w:type="paragraph" w:styleId="ListNumber4">
    <w:name w:val="List Number 4"/>
    <w:basedOn w:val="Normal"/>
    <w:uiPriority w:val="99"/>
    <w:semiHidden/>
    <w:rsid w:val="005675E0"/>
    <w:pPr>
      <w:numPr>
        <w:numId w:val="17"/>
      </w:numPr>
    </w:pPr>
  </w:style>
  <w:style w:type="paragraph" w:styleId="ListNumber5">
    <w:name w:val="List Number 5"/>
    <w:basedOn w:val="Normal"/>
    <w:uiPriority w:val="99"/>
    <w:semiHidden/>
    <w:rsid w:val="005675E0"/>
    <w:pPr>
      <w:numPr>
        <w:numId w:val="18"/>
      </w:numPr>
    </w:pPr>
  </w:style>
  <w:style w:type="paragraph" w:styleId="MessageHeader">
    <w:name w:val="Message Header"/>
    <w:basedOn w:val="Normal"/>
    <w:uiPriority w:val="99"/>
    <w:semiHidden/>
    <w:rsid w:val="005675E0"/>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uiPriority w:val="99"/>
    <w:semiHidden/>
    <w:rsid w:val="005675E0"/>
    <w:rPr>
      <w:rFonts w:ascii="Times New Roman" w:hAnsi="Times New Roman"/>
    </w:rPr>
  </w:style>
  <w:style w:type="paragraph" w:styleId="NormalIndent">
    <w:name w:val="Normal Indent"/>
    <w:basedOn w:val="Normal"/>
    <w:uiPriority w:val="99"/>
    <w:semiHidden/>
    <w:rsid w:val="005675E0"/>
    <w:pPr>
      <w:ind w:left="709"/>
    </w:pPr>
  </w:style>
  <w:style w:type="paragraph" w:styleId="NoteHeading">
    <w:name w:val="Note Heading"/>
    <w:basedOn w:val="Normal"/>
    <w:next w:val="Normal"/>
    <w:uiPriority w:val="99"/>
    <w:semiHidden/>
    <w:rsid w:val="005675E0"/>
  </w:style>
  <w:style w:type="character" w:customStyle="1" w:styleId="Heading1Char">
    <w:name w:val="Heading 1 Char"/>
    <w:basedOn w:val="DefaultParagraphFont"/>
    <w:link w:val="Heading1"/>
    <w:rsid w:val="005D5A31"/>
    <w:rPr>
      <w:rFonts w:eastAsiaTheme="minorHAnsi" w:cs="Arial"/>
      <w:b/>
      <w:bCs/>
      <w:color w:val="1F546B" w:themeColor="text2"/>
      <w:kern w:val="32"/>
      <w:sz w:val="52"/>
      <w:szCs w:val="32"/>
      <w:lang w:eastAsia="en-US"/>
    </w:rPr>
  </w:style>
  <w:style w:type="paragraph" w:styleId="PlainText">
    <w:name w:val="Plain Text"/>
    <w:basedOn w:val="Normal"/>
    <w:uiPriority w:val="99"/>
    <w:semiHidden/>
    <w:rsid w:val="005675E0"/>
    <w:rPr>
      <w:rFonts w:ascii="Courier New" w:hAnsi="Courier New" w:cs="Courier New"/>
      <w:sz w:val="20"/>
      <w:szCs w:val="20"/>
    </w:rPr>
  </w:style>
  <w:style w:type="paragraph" w:styleId="Salutation">
    <w:name w:val="Salutation"/>
    <w:basedOn w:val="Normal"/>
    <w:next w:val="Normal"/>
    <w:uiPriority w:val="99"/>
    <w:semiHidden/>
    <w:rsid w:val="005675E0"/>
  </w:style>
  <w:style w:type="paragraph" w:styleId="Signature">
    <w:name w:val="Signature"/>
    <w:basedOn w:val="Normal"/>
    <w:uiPriority w:val="99"/>
    <w:semiHidden/>
    <w:rsid w:val="005675E0"/>
    <w:pPr>
      <w:ind w:left="4252"/>
    </w:pPr>
  </w:style>
  <w:style w:type="character" w:styleId="Strong">
    <w:name w:val="Strong"/>
    <w:uiPriority w:val="99"/>
    <w:semiHidden/>
    <w:qFormat/>
    <w:rsid w:val="005D5A31"/>
    <w:rPr>
      <w:b/>
      <w:bCs/>
    </w:rPr>
  </w:style>
  <w:style w:type="paragraph" w:styleId="Subtitle">
    <w:name w:val="Subtitle"/>
    <w:basedOn w:val="Normal"/>
    <w:uiPriority w:val="1"/>
    <w:semiHidden/>
    <w:qFormat/>
    <w:rsid w:val="005D5A31"/>
    <w:pPr>
      <w:jc w:val="center"/>
    </w:pPr>
    <w:rPr>
      <w:b/>
      <w:color w:val="7BC7CE"/>
      <w:sz w:val="36"/>
      <w:szCs w:val="36"/>
    </w:rPr>
  </w:style>
  <w:style w:type="table" w:styleId="Table3Deffects1">
    <w:name w:val="Table 3D effects 1"/>
    <w:basedOn w:val="TableNormal"/>
    <w:semiHidden/>
    <w:rsid w:val="005675E0"/>
    <w:pPr>
      <w:spacing w:line="28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5675E0"/>
    <w:pPr>
      <w:spacing w:line="28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5675E0"/>
    <w:pPr>
      <w:spacing w:line="28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5675E0"/>
    <w:pPr>
      <w:spacing w:line="28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5675E0"/>
    <w:pPr>
      <w:spacing w:line="28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5675E0"/>
    <w:pPr>
      <w:spacing w:line="28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5675E0"/>
    <w:pPr>
      <w:spacing w:line="28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5675E0"/>
    <w:pPr>
      <w:spacing w:line="28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5675E0"/>
    <w:pPr>
      <w:spacing w:line="28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5675E0"/>
    <w:pPr>
      <w:spacing w:line="28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5675E0"/>
    <w:pPr>
      <w:spacing w:line="28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5675E0"/>
    <w:pPr>
      <w:spacing w:line="28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5675E0"/>
    <w:pPr>
      <w:spacing w:line="28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5675E0"/>
    <w:pPr>
      <w:spacing w:line="28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5675E0"/>
    <w:pPr>
      <w:spacing w:line="28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5675E0"/>
    <w:pPr>
      <w:spacing w:line="28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5675E0"/>
    <w:pPr>
      <w:spacing w:line="28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5675E0"/>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5675E0"/>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5675E0"/>
    <w:pPr>
      <w:spacing w:line="28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5675E0"/>
    <w:pPr>
      <w:spacing w:line="28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5675E0"/>
    <w:pPr>
      <w:spacing w:line="28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5675E0"/>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5675E0"/>
    <w:pPr>
      <w:spacing w:line="28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5675E0"/>
    <w:pPr>
      <w:spacing w:line="28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5675E0"/>
    <w:pPr>
      <w:spacing w:line="28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5675E0"/>
    <w:pPr>
      <w:spacing w:line="28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5675E0"/>
    <w:pPr>
      <w:spacing w:line="28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5675E0"/>
    <w:pPr>
      <w:spacing w:line="28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5675E0"/>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5675E0"/>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5675E0"/>
    <w:pPr>
      <w:spacing w:line="28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5675E0"/>
    <w:pPr>
      <w:spacing w:line="28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5675E0"/>
    <w:pPr>
      <w:spacing w:line="28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5675E0"/>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5675E0"/>
    <w:pPr>
      <w:spacing w:line="28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5675E0"/>
    <w:pPr>
      <w:spacing w:line="28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5675E0"/>
    <w:pPr>
      <w:spacing w:line="28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5675E0"/>
    <w:pPr>
      <w:spacing w:line="28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5675E0"/>
    <w:pPr>
      <w:spacing w:line="28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5675E0"/>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5675E0"/>
    <w:pPr>
      <w:spacing w:line="28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5675E0"/>
    <w:pPr>
      <w:spacing w:line="28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5675E0"/>
    <w:pPr>
      <w:spacing w:line="28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5D5A31"/>
    <w:pPr>
      <w:contextualSpacing/>
      <w:jc w:val="right"/>
    </w:pPr>
    <w:rPr>
      <w:b/>
      <w:color w:val="1F546B"/>
      <w:sz w:val="80"/>
      <w:szCs w:val="80"/>
    </w:rPr>
  </w:style>
  <w:style w:type="paragraph" w:customStyle="1" w:styleId="BodyTextIndentLevel1">
    <w:name w:val="Body Text Indent Level 1"/>
    <w:basedOn w:val="BodyText"/>
    <w:uiPriority w:val="3"/>
    <w:semiHidden/>
    <w:rsid w:val="005675E0"/>
    <w:pPr>
      <w:ind w:left="709"/>
    </w:pPr>
  </w:style>
  <w:style w:type="paragraph" w:customStyle="1" w:styleId="BodyTextIndentLevel2">
    <w:name w:val="Body Text Indent Level 2"/>
    <w:basedOn w:val="BodyText"/>
    <w:uiPriority w:val="3"/>
    <w:semiHidden/>
    <w:rsid w:val="005675E0"/>
    <w:pPr>
      <w:ind w:left="1276"/>
    </w:pPr>
  </w:style>
  <w:style w:type="paragraph" w:customStyle="1" w:styleId="BodyTextIndentLevel3">
    <w:name w:val="Body Text Indent Level 3"/>
    <w:basedOn w:val="BodyText"/>
    <w:uiPriority w:val="3"/>
    <w:semiHidden/>
    <w:rsid w:val="005675E0"/>
    <w:pPr>
      <w:numPr>
        <w:ilvl w:val="4"/>
        <w:numId w:val="8"/>
      </w:numPr>
    </w:pPr>
  </w:style>
  <w:style w:type="paragraph" w:customStyle="1" w:styleId="SingleSpacedParagraph">
    <w:name w:val="Single Spaced Paragraph"/>
    <w:basedOn w:val="Normal"/>
    <w:uiPriority w:val="99"/>
    <w:semiHidden/>
    <w:rsid w:val="005675E0"/>
  </w:style>
  <w:style w:type="paragraph" w:customStyle="1" w:styleId="Headingnumbered1">
    <w:name w:val="Heading numbered 1"/>
    <w:basedOn w:val="Heading1"/>
    <w:next w:val="Normal"/>
    <w:uiPriority w:val="1"/>
    <w:semiHidden/>
    <w:rsid w:val="00E367C5"/>
    <w:pPr>
      <w:numPr>
        <w:numId w:val="8"/>
      </w:numPr>
      <w:outlineLvl w:val="5"/>
    </w:pPr>
  </w:style>
  <w:style w:type="paragraph" w:customStyle="1" w:styleId="Headingnumbered2">
    <w:name w:val="Heading numbered 2"/>
    <w:basedOn w:val="Heading2"/>
    <w:next w:val="Normal"/>
    <w:uiPriority w:val="1"/>
    <w:semiHidden/>
    <w:rsid w:val="00E367C5"/>
    <w:pPr>
      <w:numPr>
        <w:ilvl w:val="1"/>
        <w:numId w:val="8"/>
      </w:numPr>
      <w:outlineLvl w:val="6"/>
    </w:pPr>
  </w:style>
  <w:style w:type="paragraph" w:customStyle="1" w:styleId="Headingnumbered3">
    <w:name w:val="Heading numbered 3"/>
    <w:basedOn w:val="Normal"/>
    <w:next w:val="Normal"/>
    <w:uiPriority w:val="1"/>
    <w:semiHidden/>
    <w:rsid w:val="00E367C5"/>
    <w:pPr>
      <w:numPr>
        <w:ilvl w:val="2"/>
        <w:numId w:val="8"/>
      </w:numPr>
      <w:spacing w:before="360"/>
    </w:pPr>
    <w:rPr>
      <w:b/>
      <w:color w:val="1F546B"/>
      <w:sz w:val="28"/>
    </w:rPr>
  </w:style>
  <w:style w:type="paragraph" w:customStyle="1" w:styleId="Headingnumbered4">
    <w:name w:val="Heading numbered 4"/>
    <w:basedOn w:val="Normal"/>
    <w:next w:val="Normal"/>
    <w:uiPriority w:val="1"/>
    <w:semiHidden/>
    <w:rsid w:val="00E367C5"/>
    <w:pPr>
      <w:numPr>
        <w:ilvl w:val="3"/>
        <w:numId w:val="8"/>
      </w:numPr>
      <w:spacing w:before="360"/>
    </w:pPr>
    <w:rPr>
      <w:b/>
      <w:i/>
      <w:color w:val="1F546B"/>
    </w:rPr>
  </w:style>
  <w:style w:type="paragraph" w:customStyle="1" w:styleId="Numberedpara1">
    <w:name w:val="Numbered para 1"/>
    <w:basedOn w:val="Numberedpara1heading"/>
    <w:semiHidden/>
    <w:rsid w:val="00A313C6"/>
  </w:style>
  <w:style w:type="paragraph" w:customStyle="1" w:styleId="Numberedpara2">
    <w:name w:val="Numbered para 2"/>
    <w:basedOn w:val="Normal"/>
    <w:semiHidden/>
    <w:rsid w:val="00FE5AD9"/>
  </w:style>
  <w:style w:type="paragraph" w:customStyle="1" w:styleId="Numberedpara3a">
    <w:name w:val="Numbered para 3 (a)"/>
    <w:basedOn w:val="Normal"/>
    <w:semiHidden/>
    <w:rsid w:val="00CF12CF"/>
  </w:style>
  <w:style w:type="paragraph" w:customStyle="1" w:styleId="Numberedpara4i">
    <w:name w:val="Numbered para 4 (i)"/>
    <w:basedOn w:val="Normal"/>
    <w:semiHidden/>
    <w:rsid w:val="00CF12CF"/>
  </w:style>
  <w:style w:type="paragraph" w:customStyle="1" w:styleId="Bullet">
    <w:name w:val="Bullet"/>
    <w:basedOn w:val="Normal"/>
    <w:rsid w:val="00A840D6"/>
    <w:pPr>
      <w:numPr>
        <w:numId w:val="5"/>
      </w:numPr>
      <w:spacing w:before="80" w:after="80"/>
    </w:pPr>
  </w:style>
  <w:style w:type="paragraph" w:customStyle="1" w:styleId="Bulletlevel2">
    <w:name w:val="Bullet level 2"/>
    <w:basedOn w:val="Normal"/>
    <w:uiPriority w:val="1"/>
    <w:semiHidden/>
    <w:rsid w:val="00A167D7"/>
    <w:pPr>
      <w:numPr>
        <w:ilvl w:val="1"/>
        <w:numId w:val="5"/>
      </w:numPr>
      <w:spacing w:before="80" w:after="80"/>
    </w:pPr>
  </w:style>
  <w:style w:type="paragraph" w:customStyle="1" w:styleId="Bulletlevel3">
    <w:name w:val="Bullet level 3"/>
    <w:basedOn w:val="Normal"/>
    <w:uiPriority w:val="1"/>
    <w:semiHidden/>
    <w:rsid w:val="00A167D7"/>
    <w:pPr>
      <w:numPr>
        <w:ilvl w:val="2"/>
        <w:numId w:val="5"/>
      </w:numPr>
      <w:spacing w:before="80" w:after="80"/>
    </w:pPr>
  </w:style>
  <w:style w:type="paragraph" w:customStyle="1" w:styleId="BodyTextBulletIndentLevel1">
    <w:name w:val="Body Text Bullet Indent Level 1"/>
    <w:basedOn w:val="BodyText"/>
    <w:uiPriority w:val="99"/>
    <w:semiHidden/>
    <w:rsid w:val="005675E0"/>
    <w:pPr>
      <w:ind w:left="567"/>
    </w:pPr>
  </w:style>
  <w:style w:type="paragraph" w:customStyle="1" w:styleId="BodyTextBulletIndentLevel2">
    <w:name w:val="Body Text Bullet Indent Level 2"/>
    <w:basedOn w:val="BodyText"/>
    <w:uiPriority w:val="99"/>
    <w:semiHidden/>
    <w:rsid w:val="005675E0"/>
    <w:pPr>
      <w:ind w:left="1134"/>
    </w:pPr>
  </w:style>
  <w:style w:type="paragraph" w:customStyle="1" w:styleId="BodyTextBulletIndentLevel3">
    <w:name w:val="Body Text Bullet Indent Level 3"/>
    <w:basedOn w:val="BodyText"/>
    <w:uiPriority w:val="99"/>
    <w:semiHidden/>
    <w:rsid w:val="005675E0"/>
    <w:pPr>
      <w:ind w:left="1701"/>
    </w:pPr>
  </w:style>
  <w:style w:type="paragraph" w:customStyle="1" w:styleId="ListABC">
    <w:name w:val="List A B C"/>
    <w:basedOn w:val="Normal"/>
    <w:semiHidden/>
    <w:rsid w:val="00CF12CF"/>
    <w:pPr>
      <w:numPr>
        <w:numId w:val="20"/>
      </w:numPr>
      <w:spacing w:before="80" w:after="80"/>
    </w:pPr>
  </w:style>
  <w:style w:type="paragraph" w:customStyle="1" w:styleId="List123">
    <w:name w:val="List 1 2 3"/>
    <w:basedOn w:val="Normal"/>
    <w:rsid w:val="00CF12CF"/>
    <w:pPr>
      <w:numPr>
        <w:numId w:val="21"/>
      </w:numPr>
      <w:spacing w:before="80" w:after="80"/>
    </w:pPr>
  </w:style>
  <w:style w:type="paragraph" w:styleId="FootnoteText">
    <w:name w:val="footnote text"/>
    <w:basedOn w:val="Normal"/>
    <w:link w:val="FootnoteTextChar"/>
    <w:rsid w:val="00890CE4"/>
    <w:pPr>
      <w:spacing w:before="60" w:after="60" w:line="192" w:lineRule="auto"/>
      <w:ind w:left="130" w:hanging="130"/>
    </w:pPr>
    <w:rPr>
      <w:sz w:val="20"/>
      <w:szCs w:val="20"/>
    </w:rPr>
  </w:style>
  <w:style w:type="character" w:styleId="FootnoteReference">
    <w:name w:val="footnote reference"/>
    <w:aliases w:val="Footnote Number"/>
    <w:semiHidden/>
    <w:rsid w:val="0040020C"/>
    <w:rPr>
      <w:rFonts w:ascii="Calibri" w:hAnsi="Calibri"/>
      <w:sz w:val="24"/>
      <w:vertAlign w:val="superscript"/>
    </w:rPr>
  </w:style>
  <w:style w:type="paragraph" w:styleId="TOC1">
    <w:name w:val="toc 1"/>
    <w:basedOn w:val="Normal"/>
    <w:next w:val="Normal"/>
    <w:uiPriority w:val="39"/>
    <w:rsid w:val="0030084C"/>
    <w:pPr>
      <w:tabs>
        <w:tab w:val="right" w:leader="dot" w:pos="9072"/>
      </w:tabs>
      <w:spacing w:before="200" w:after="60"/>
      <w:ind w:right="567"/>
    </w:pPr>
    <w:rPr>
      <w:b/>
      <w:color w:val="1F546B"/>
    </w:rPr>
  </w:style>
  <w:style w:type="paragraph" w:styleId="TOC2">
    <w:name w:val="toc 2"/>
    <w:basedOn w:val="Normal"/>
    <w:next w:val="Normal"/>
    <w:uiPriority w:val="39"/>
    <w:rsid w:val="0030084C"/>
    <w:pPr>
      <w:tabs>
        <w:tab w:val="left" w:pos="993"/>
        <w:tab w:val="right" w:leader="dot" w:pos="9072"/>
      </w:tabs>
      <w:spacing w:before="60" w:after="60"/>
      <w:ind w:left="425" w:right="567"/>
    </w:pPr>
    <w:rPr>
      <w:noProof/>
    </w:rPr>
  </w:style>
  <w:style w:type="paragraph" w:styleId="TOC3">
    <w:name w:val="toc 3"/>
    <w:basedOn w:val="Normal"/>
    <w:next w:val="Normal"/>
    <w:autoRedefine/>
    <w:uiPriority w:val="39"/>
    <w:rsid w:val="0030084C"/>
    <w:pPr>
      <w:tabs>
        <w:tab w:val="left" w:pos="1701"/>
        <w:tab w:val="right" w:leader="dot" w:pos="9072"/>
      </w:tabs>
      <w:spacing w:before="60" w:after="60"/>
      <w:ind w:left="992" w:right="567"/>
    </w:pPr>
    <w:rPr>
      <w:noProof/>
    </w:rPr>
  </w:style>
  <w:style w:type="paragraph" w:styleId="TOC4">
    <w:name w:val="toc 4"/>
    <w:basedOn w:val="Normal"/>
    <w:next w:val="Normal"/>
    <w:autoRedefine/>
    <w:uiPriority w:val="39"/>
    <w:semiHidden/>
    <w:rsid w:val="0030084C"/>
    <w:pPr>
      <w:tabs>
        <w:tab w:val="right" w:leader="dot" w:pos="9072"/>
      </w:tabs>
      <w:spacing w:before="60" w:after="60"/>
      <w:ind w:left="1701" w:right="567"/>
    </w:pPr>
    <w:rPr>
      <w:noProof/>
    </w:rPr>
  </w:style>
  <w:style w:type="paragraph" w:styleId="TOC5">
    <w:name w:val="toc 5"/>
    <w:aliases w:val="appendix heading"/>
    <w:basedOn w:val="Normal"/>
    <w:next w:val="Normal"/>
    <w:autoRedefine/>
    <w:uiPriority w:val="39"/>
    <w:semiHidden/>
    <w:rsid w:val="0030084C"/>
    <w:pPr>
      <w:tabs>
        <w:tab w:val="right" w:leader="dot" w:pos="9072"/>
      </w:tabs>
      <w:spacing w:after="60"/>
      <w:ind w:right="567"/>
      <w:contextualSpacing/>
    </w:pPr>
    <w:rPr>
      <w:noProof/>
    </w:rPr>
  </w:style>
  <w:style w:type="paragraph" w:customStyle="1" w:styleId="HeadingContents">
    <w:name w:val="Heading Contents"/>
    <w:basedOn w:val="HeadingTableofFigures"/>
    <w:uiPriority w:val="99"/>
    <w:semiHidden/>
    <w:rsid w:val="005675E0"/>
  </w:style>
  <w:style w:type="paragraph" w:customStyle="1" w:styleId="Tableheading">
    <w:name w:val="Table heading"/>
    <w:basedOn w:val="Normal"/>
    <w:rsid w:val="00CF12CF"/>
    <w:pPr>
      <w:spacing w:before="40" w:after="40"/>
    </w:pPr>
    <w:rPr>
      <w:b/>
      <w:color w:val="FFFFFF" w:themeColor="background1"/>
      <w:sz w:val="22"/>
    </w:rPr>
  </w:style>
  <w:style w:type="character" w:customStyle="1" w:styleId="Heading2Char">
    <w:name w:val="Heading 2 Char"/>
    <w:basedOn w:val="DefaultParagraphFont"/>
    <w:link w:val="Heading2"/>
    <w:rsid w:val="005D5A31"/>
    <w:rPr>
      <w:rFonts w:eastAsiaTheme="minorHAnsi" w:cs="Arial"/>
      <w:b/>
      <w:bCs/>
      <w:iCs/>
      <w:color w:val="1F546B"/>
      <w:sz w:val="36"/>
      <w:szCs w:val="28"/>
      <w:lang w:eastAsia="en-US"/>
    </w:rPr>
  </w:style>
  <w:style w:type="paragraph" w:customStyle="1" w:styleId="BodyTextTable">
    <w:name w:val="Body Text Table"/>
    <w:basedOn w:val="BodyText"/>
    <w:uiPriority w:val="11"/>
    <w:semiHidden/>
    <w:rsid w:val="00761293"/>
    <w:pPr>
      <w:spacing w:after="180" w:line="260" w:lineRule="atLeast"/>
    </w:pPr>
    <w:rPr>
      <w:sz w:val="22"/>
    </w:rPr>
  </w:style>
  <w:style w:type="paragraph" w:customStyle="1" w:styleId="BodyTextTableLastLine">
    <w:name w:val="Body Text Table Last Line"/>
    <w:basedOn w:val="BodyTextTable"/>
    <w:uiPriority w:val="99"/>
    <w:semiHidden/>
    <w:rsid w:val="005675E0"/>
    <w:pPr>
      <w:spacing w:after="0"/>
    </w:pPr>
  </w:style>
  <w:style w:type="paragraph" w:customStyle="1" w:styleId="Tablebullet">
    <w:name w:val="Table bullet"/>
    <w:basedOn w:val="Tablenormal0"/>
    <w:rsid w:val="0082264B"/>
    <w:pPr>
      <w:numPr>
        <w:numId w:val="6"/>
      </w:numPr>
    </w:pPr>
  </w:style>
  <w:style w:type="paragraph" w:customStyle="1" w:styleId="Tablebulletlevel2">
    <w:name w:val="Table bullet level 2"/>
    <w:basedOn w:val="Tablenormal0"/>
    <w:uiPriority w:val="99"/>
    <w:semiHidden/>
    <w:rsid w:val="00CF12CF"/>
    <w:pPr>
      <w:numPr>
        <w:ilvl w:val="1"/>
        <w:numId w:val="6"/>
      </w:numPr>
    </w:pPr>
  </w:style>
  <w:style w:type="paragraph" w:customStyle="1" w:styleId="TableBulletListLevel3">
    <w:name w:val="Table Bullet List Level 3"/>
    <w:basedOn w:val="BodyTextTable"/>
    <w:uiPriority w:val="11"/>
    <w:semiHidden/>
    <w:rsid w:val="009D28CF"/>
    <w:pPr>
      <w:numPr>
        <w:ilvl w:val="2"/>
        <w:numId w:val="6"/>
      </w:numPr>
      <w:spacing w:before="60" w:after="60"/>
    </w:pPr>
  </w:style>
  <w:style w:type="paragraph" w:customStyle="1" w:styleId="Tablelist123">
    <w:name w:val="Table list 1 2 3"/>
    <w:basedOn w:val="Tablenormal0"/>
    <w:rsid w:val="00CF12CF"/>
    <w:pPr>
      <w:numPr>
        <w:numId w:val="19"/>
      </w:numPr>
    </w:pPr>
  </w:style>
  <w:style w:type="paragraph" w:customStyle="1" w:styleId="Tablelist123level2">
    <w:name w:val="Table list 1 2 3 level 2"/>
    <w:basedOn w:val="Tablenormal0"/>
    <w:semiHidden/>
    <w:rsid w:val="00CF12CF"/>
    <w:pPr>
      <w:numPr>
        <w:ilvl w:val="1"/>
        <w:numId w:val="19"/>
      </w:numPr>
    </w:pPr>
  </w:style>
  <w:style w:type="character" w:customStyle="1" w:styleId="Heading4Char">
    <w:name w:val="Heading 4 Char"/>
    <w:basedOn w:val="DefaultParagraphFont"/>
    <w:link w:val="Heading4"/>
    <w:rsid w:val="005D5A31"/>
    <w:rPr>
      <w:rFonts w:eastAsiaTheme="minorHAnsi"/>
      <w:b/>
      <w:bCs/>
      <w:i/>
      <w:color w:val="1F546B" w:themeColor="text2"/>
      <w:szCs w:val="28"/>
      <w:lang w:eastAsia="en-US"/>
    </w:rPr>
  </w:style>
  <w:style w:type="paragraph" w:customStyle="1" w:styleId="BodyTextTableLevel1">
    <w:name w:val="Body Text Table Level 1"/>
    <w:basedOn w:val="BodyTextTable"/>
    <w:uiPriority w:val="11"/>
    <w:semiHidden/>
    <w:rsid w:val="005675E0"/>
    <w:pPr>
      <w:numPr>
        <w:numId w:val="4"/>
      </w:numPr>
    </w:pPr>
  </w:style>
  <w:style w:type="paragraph" w:customStyle="1" w:styleId="BodyTextTableLevel2">
    <w:name w:val="Body Text Table Level 2"/>
    <w:basedOn w:val="BodyTextTable"/>
    <w:uiPriority w:val="11"/>
    <w:semiHidden/>
    <w:rsid w:val="005675E0"/>
    <w:pPr>
      <w:numPr>
        <w:ilvl w:val="1"/>
        <w:numId w:val="4"/>
      </w:numPr>
    </w:pPr>
  </w:style>
  <w:style w:type="paragraph" w:customStyle="1" w:styleId="BodyTextTableLevel3">
    <w:name w:val="Body Text Table Level 3"/>
    <w:basedOn w:val="BodyTextTable"/>
    <w:uiPriority w:val="11"/>
    <w:semiHidden/>
    <w:rsid w:val="005675E0"/>
    <w:pPr>
      <w:numPr>
        <w:ilvl w:val="3"/>
        <w:numId w:val="19"/>
      </w:numPr>
    </w:pPr>
  </w:style>
  <w:style w:type="paragraph" w:styleId="Caption">
    <w:name w:val="caption"/>
    <w:basedOn w:val="Normal"/>
    <w:next w:val="Normal"/>
    <w:qFormat/>
    <w:rsid w:val="005D5A31"/>
    <w:pPr>
      <w:keepNext/>
      <w:spacing w:before="80" w:after="80"/>
      <w:jc w:val="center"/>
    </w:pPr>
    <w:rPr>
      <w:b/>
      <w:bCs/>
      <w:sz w:val="22"/>
      <w:szCs w:val="20"/>
    </w:rPr>
  </w:style>
  <w:style w:type="paragraph" w:customStyle="1" w:styleId="WhiteSpace">
    <w:name w:val="White Space"/>
    <w:basedOn w:val="Normal"/>
    <w:uiPriority w:val="99"/>
    <w:semiHidden/>
    <w:rsid w:val="005675E0"/>
    <w:rPr>
      <w:sz w:val="12"/>
    </w:rPr>
  </w:style>
  <w:style w:type="table" w:customStyle="1" w:styleId="TableDIA">
    <w:name w:val="Table DIA"/>
    <w:basedOn w:val="TableNormal"/>
    <w:rsid w:val="005675E0"/>
    <w:rPr>
      <w:rFonts w:ascii="Arial" w:hAnsi="Arial"/>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57" w:type="dxa"/>
        <w:bottom w:w="57" w:type="dxa"/>
      </w:tblCellMar>
    </w:tblPr>
    <w:trPr>
      <w:cantSplit/>
    </w:trPr>
    <w:tblStylePr w:type="firstRow">
      <w:rPr>
        <w:rFonts w:ascii="Arial" w:hAnsi="Arial"/>
        <w:b w:val="0"/>
        <w:bCs/>
        <w:color w:val="auto"/>
        <w:sz w:val="20"/>
      </w:rPr>
      <w:tblPr/>
      <w:trPr>
        <w:cantSplit w:val="0"/>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000000" w:fill="CCCCCC"/>
      </w:tcPr>
    </w:tblStylePr>
  </w:style>
  <w:style w:type="paragraph" w:customStyle="1" w:styleId="Headingappendix">
    <w:name w:val="Heading appendix"/>
    <w:basedOn w:val="Heading1"/>
    <w:next w:val="Normal"/>
    <w:rsid w:val="00B969ED"/>
    <w:pPr>
      <w:numPr>
        <w:numId w:val="7"/>
      </w:numPr>
      <w:tabs>
        <w:tab w:val="left" w:pos="2268"/>
      </w:tabs>
      <w:spacing w:before="0"/>
      <w:outlineLvl w:val="7"/>
    </w:pPr>
  </w:style>
  <w:style w:type="paragraph" w:customStyle="1" w:styleId="NotforContentsheading1">
    <w:name w:val="Not for Contents heading 1"/>
    <w:basedOn w:val="Normal"/>
    <w:next w:val="Normal"/>
    <w:rsid w:val="00B62134"/>
    <w:pPr>
      <w:keepNext/>
    </w:pPr>
    <w:rPr>
      <w:b/>
      <w:color w:val="1F546B"/>
      <w:kern w:val="32"/>
      <w:sz w:val="52"/>
    </w:rPr>
  </w:style>
  <w:style w:type="paragraph" w:styleId="TOC6">
    <w:name w:val="toc 6"/>
    <w:basedOn w:val="Normal"/>
    <w:next w:val="Normal"/>
    <w:autoRedefine/>
    <w:uiPriority w:val="99"/>
    <w:semiHidden/>
    <w:rsid w:val="005675E0"/>
    <w:pPr>
      <w:tabs>
        <w:tab w:val="right" w:pos="9072"/>
      </w:tabs>
      <w:spacing w:before="200"/>
      <w:ind w:left="567" w:right="567" w:hanging="567"/>
    </w:pPr>
    <w:rPr>
      <w:b/>
    </w:rPr>
  </w:style>
  <w:style w:type="paragraph" w:styleId="TOC7">
    <w:name w:val="toc 7"/>
    <w:basedOn w:val="Normal"/>
    <w:next w:val="Normal"/>
    <w:autoRedefine/>
    <w:uiPriority w:val="99"/>
    <w:semiHidden/>
    <w:rsid w:val="005675E0"/>
    <w:pPr>
      <w:tabs>
        <w:tab w:val="left" w:pos="567"/>
        <w:tab w:val="right" w:pos="9072"/>
      </w:tabs>
      <w:ind w:left="567" w:right="567" w:hanging="567"/>
    </w:pPr>
  </w:style>
  <w:style w:type="paragraph" w:styleId="TOC8">
    <w:name w:val="toc 8"/>
    <w:basedOn w:val="Normal"/>
    <w:next w:val="Normal"/>
    <w:autoRedefine/>
    <w:uiPriority w:val="99"/>
    <w:semiHidden/>
    <w:rsid w:val="005675E0"/>
    <w:pPr>
      <w:tabs>
        <w:tab w:val="right" w:pos="9072"/>
      </w:tabs>
      <w:spacing w:before="200"/>
      <w:ind w:left="284" w:hanging="284"/>
    </w:pPr>
    <w:rPr>
      <w:b/>
    </w:rPr>
  </w:style>
  <w:style w:type="paragraph" w:customStyle="1" w:styleId="ListABClevel2">
    <w:name w:val="List A B C level 2"/>
    <w:basedOn w:val="Normal"/>
    <w:uiPriority w:val="1"/>
    <w:semiHidden/>
    <w:qFormat/>
    <w:rsid w:val="005D5A31"/>
    <w:pPr>
      <w:numPr>
        <w:ilvl w:val="1"/>
        <w:numId w:val="20"/>
      </w:numPr>
      <w:spacing w:before="80" w:after="80"/>
    </w:pPr>
  </w:style>
  <w:style w:type="paragraph" w:customStyle="1" w:styleId="NotforContentsheading2">
    <w:name w:val="Not for Contents heading 2"/>
    <w:basedOn w:val="Normal"/>
    <w:next w:val="Normal"/>
    <w:rsid w:val="00E367C5"/>
    <w:pPr>
      <w:keepNext/>
      <w:spacing w:before="360"/>
    </w:pPr>
    <w:rPr>
      <w:b/>
      <w:color w:val="1F546B"/>
      <w:sz w:val="36"/>
    </w:rPr>
  </w:style>
  <w:style w:type="character" w:customStyle="1" w:styleId="Heading3Char">
    <w:name w:val="Heading 3 Char"/>
    <w:link w:val="Heading3"/>
    <w:rsid w:val="005D5A31"/>
    <w:rPr>
      <w:rFonts w:eastAsiaTheme="minorHAnsi" w:cs="Arial"/>
      <w:b/>
      <w:bCs/>
      <w:color w:val="1F546B"/>
      <w:sz w:val="28"/>
      <w:szCs w:val="26"/>
      <w:lang w:eastAsia="en-US"/>
    </w:rPr>
  </w:style>
  <w:style w:type="paragraph" w:styleId="BalloonText">
    <w:name w:val="Balloon Text"/>
    <w:basedOn w:val="Normal"/>
    <w:uiPriority w:val="99"/>
    <w:semiHidden/>
    <w:rsid w:val="005675E0"/>
    <w:rPr>
      <w:rFonts w:ascii="Tahoma" w:hAnsi="Tahoma" w:cs="Tahoma"/>
      <w:sz w:val="16"/>
      <w:szCs w:val="16"/>
    </w:rPr>
  </w:style>
  <w:style w:type="paragraph" w:styleId="TableofFigures">
    <w:name w:val="table of figures"/>
    <w:basedOn w:val="Normal"/>
    <w:next w:val="Normal"/>
    <w:uiPriority w:val="99"/>
    <w:semiHidden/>
    <w:rsid w:val="006B3396"/>
    <w:pPr>
      <w:keepNext/>
      <w:spacing w:before="480" w:after="0"/>
    </w:pPr>
    <w:rPr>
      <w:rFonts w:eastAsiaTheme="majorEastAsia" w:cstheme="majorBidi"/>
      <w:b/>
      <w:bCs/>
      <w:color w:val="1F546B"/>
      <w:sz w:val="60"/>
      <w:szCs w:val="28"/>
      <w:lang w:val="en-US" w:eastAsia="ja-JP"/>
    </w:rPr>
  </w:style>
  <w:style w:type="paragraph" w:customStyle="1" w:styleId="HeadingTableofTables">
    <w:name w:val="Heading Table of Tables"/>
    <w:basedOn w:val="HeadingContents"/>
    <w:next w:val="BodyText"/>
    <w:uiPriority w:val="4"/>
    <w:semiHidden/>
    <w:rsid w:val="005675E0"/>
    <w:pPr>
      <w:spacing w:after="60"/>
    </w:pPr>
  </w:style>
  <w:style w:type="paragraph" w:customStyle="1" w:styleId="HeadingTableofFigures">
    <w:name w:val="Heading Table of Figures"/>
    <w:next w:val="BodyText"/>
    <w:uiPriority w:val="4"/>
    <w:semiHidden/>
    <w:rsid w:val="005675E0"/>
    <w:rPr>
      <w:rFonts w:eastAsiaTheme="majorEastAsia" w:cstheme="majorBidi"/>
      <w:b/>
      <w:bCs/>
      <w:color w:val="1F546B"/>
      <w:sz w:val="60"/>
      <w:szCs w:val="28"/>
      <w:lang w:val="en-US" w:eastAsia="ja-JP"/>
    </w:rPr>
  </w:style>
  <w:style w:type="table" w:customStyle="1" w:styleId="DIATable">
    <w:name w:val="_DIA Table"/>
    <w:basedOn w:val="TableNormal"/>
    <w:uiPriority w:val="99"/>
    <w:rsid w:val="00687CA4"/>
    <w:pPr>
      <w:spacing w:before="56" w:after="32"/>
    </w:pPr>
    <w:rPr>
      <w:rFonts w:eastAsiaTheme="minorHAnsi" w:cstheme="minorBidi"/>
      <w:sz w:val="22"/>
      <w:lang w:eastAsia="en-US"/>
    </w:rPr>
    <w:tblPr>
      <w:tblInd w:w="108" w:type="dxa"/>
      <w:tblBorders>
        <w:top w:val="single" w:sz="12" w:space="0" w:color="1F546B" w:themeColor="text2"/>
        <w:left w:val="single" w:sz="12" w:space="0" w:color="1F546B" w:themeColor="text2"/>
        <w:bottom w:val="single" w:sz="12" w:space="0" w:color="1F546B" w:themeColor="text2"/>
        <w:right w:val="single" w:sz="12" w:space="0" w:color="1F546B" w:themeColor="text2"/>
        <w:insideH w:val="single" w:sz="6" w:space="0" w:color="1F546B" w:themeColor="text2"/>
        <w:insideV w:val="single" w:sz="6" w:space="0" w:color="1F546B" w:themeColor="text2"/>
      </w:tblBorders>
    </w:tblPr>
    <w:trPr>
      <w:cantSplit/>
    </w:trPr>
    <w:tblStylePr w:type="firstRow">
      <w:pPr>
        <w:wordWrap/>
        <w:spacing w:beforeLines="0" w:before="60" w:beforeAutospacing="0" w:afterLines="0" w:after="32" w:afterAutospacing="0" w:line="240" w:lineRule="auto"/>
        <w:contextualSpacing w:val="0"/>
      </w:pPr>
      <w:rPr>
        <w:rFonts w:ascii="Calibri" w:hAnsi="Calibri"/>
        <w:b/>
        <w:color w:val="FFFFFF" w:themeColor="background1"/>
        <w:sz w:val="22"/>
      </w:rPr>
      <w:tblPr/>
      <w:tcPr>
        <w:tcBorders>
          <w:top w:val="single" w:sz="6" w:space="0" w:color="1F546B" w:themeColor="text2"/>
          <w:left w:val="single" w:sz="12" w:space="0" w:color="1F546B" w:themeColor="text2"/>
          <w:bottom w:val="nil"/>
          <w:right w:val="single" w:sz="12" w:space="0" w:color="1F546B" w:themeColor="text2"/>
          <w:insideH w:val="single" w:sz="6" w:space="0" w:color="FFFFFF" w:themeColor="background1"/>
          <w:insideV w:val="single" w:sz="6" w:space="0" w:color="FFFFFF" w:themeColor="background1"/>
          <w:tl2br w:val="nil"/>
          <w:tr2bl w:val="nil"/>
        </w:tcBorders>
        <w:shd w:val="clear" w:color="auto" w:fill="1F546B" w:themeFill="text2"/>
      </w:tcPr>
    </w:tblStylePr>
  </w:style>
  <w:style w:type="character" w:styleId="SubtleEmphasis">
    <w:name w:val="Subtle Emphasis"/>
    <w:basedOn w:val="DefaultParagraphFont"/>
    <w:uiPriority w:val="99"/>
    <w:semiHidden/>
    <w:qFormat/>
    <w:rsid w:val="005D5A31"/>
    <w:rPr>
      <w:i/>
      <w:iCs/>
    </w:rPr>
  </w:style>
  <w:style w:type="character" w:styleId="IntenseEmphasis">
    <w:name w:val="Intense Emphasis"/>
    <w:uiPriority w:val="99"/>
    <w:semiHidden/>
    <w:qFormat/>
    <w:rsid w:val="005D5A31"/>
    <w:rPr>
      <w:b/>
      <w:i/>
    </w:rPr>
  </w:style>
  <w:style w:type="paragraph" w:styleId="ListParagraph">
    <w:name w:val="List Paragraph"/>
    <w:basedOn w:val="List123"/>
    <w:uiPriority w:val="34"/>
    <w:qFormat/>
    <w:rsid w:val="005D5A31"/>
    <w:pPr>
      <w:numPr>
        <w:numId w:val="0"/>
      </w:numPr>
    </w:pPr>
  </w:style>
  <w:style w:type="character" w:customStyle="1" w:styleId="Heading5Char">
    <w:name w:val="Heading 5 Char"/>
    <w:basedOn w:val="DefaultParagraphFont"/>
    <w:link w:val="Heading5"/>
    <w:uiPriority w:val="1"/>
    <w:semiHidden/>
    <w:rsid w:val="005D5A31"/>
    <w:rPr>
      <w:rFonts w:eastAsiaTheme="minorHAnsi"/>
      <w:b/>
      <w:bCs/>
      <w:iCs/>
      <w:szCs w:val="26"/>
      <w:lang w:eastAsia="en-US"/>
    </w:rPr>
  </w:style>
  <w:style w:type="character" w:styleId="SubtleReference">
    <w:name w:val="Subtle Reference"/>
    <w:basedOn w:val="DefaultParagraphFont"/>
    <w:uiPriority w:val="99"/>
    <w:semiHidden/>
    <w:qFormat/>
    <w:rsid w:val="005D5A31"/>
    <w:rPr>
      <w:rFonts w:ascii="Calibri" w:hAnsi="Calibri"/>
      <w:smallCaps/>
      <w:color w:val="A42F13" w:themeColor="accent2"/>
      <w:u w:val="single"/>
    </w:rPr>
  </w:style>
  <w:style w:type="character" w:styleId="BookTitle">
    <w:name w:val="Book Title"/>
    <w:basedOn w:val="DefaultParagraphFont"/>
    <w:uiPriority w:val="33"/>
    <w:semiHidden/>
    <w:qFormat/>
    <w:rsid w:val="005D5A31"/>
    <w:rPr>
      <w:rFonts w:ascii="Calibri" w:hAnsi="Calibri"/>
      <w:b/>
      <w:bCs/>
      <w:smallCaps/>
      <w:spacing w:val="5"/>
    </w:rPr>
  </w:style>
  <w:style w:type="character" w:styleId="IntenseReference">
    <w:name w:val="Intense Reference"/>
    <w:basedOn w:val="DefaultParagraphFont"/>
    <w:uiPriority w:val="99"/>
    <w:semiHidden/>
    <w:qFormat/>
    <w:rsid w:val="005D5A31"/>
    <w:rPr>
      <w:rFonts w:ascii="Calibri" w:hAnsi="Calibri"/>
      <w:b/>
      <w:bCs/>
      <w:smallCaps/>
      <w:color w:val="A42F13" w:themeColor="accent2"/>
      <w:spacing w:val="5"/>
      <w:u w:val="single"/>
    </w:rPr>
  </w:style>
  <w:style w:type="paragraph" w:styleId="Index1">
    <w:name w:val="index 1"/>
    <w:basedOn w:val="Normal"/>
    <w:next w:val="Normal"/>
    <w:autoRedefine/>
    <w:uiPriority w:val="99"/>
    <w:semiHidden/>
    <w:rsid w:val="005675E0"/>
    <w:pPr>
      <w:ind w:left="240" w:hanging="240"/>
    </w:pPr>
  </w:style>
  <w:style w:type="paragraph" w:styleId="IndexHeading">
    <w:name w:val="index heading"/>
    <w:basedOn w:val="Normal"/>
    <w:next w:val="Index1"/>
    <w:uiPriority w:val="99"/>
    <w:semiHidden/>
    <w:rsid w:val="005675E0"/>
    <w:rPr>
      <w:rFonts w:eastAsiaTheme="majorEastAsia" w:cstheme="majorBidi"/>
      <w:b/>
      <w:bCs/>
    </w:rPr>
  </w:style>
  <w:style w:type="character" w:styleId="EndnoteReference">
    <w:name w:val="endnote reference"/>
    <w:basedOn w:val="DefaultParagraphFont"/>
    <w:uiPriority w:val="99"/>
    <w:semiHidden/>
    <w:rsid w:val="005675E0"/>
    <w:rPr>
      <w:rFonts w:ascii="Calibri" w:hAnsi="Calibri"/>
      <w:vertAlign w:val="superscript"/>
    </w:rPr>
  </w:style>
  <w:style w:type="paragraph" w:styleId="TOAHeading">
    <w:name w:val="toa heading"/>
    <w:basedOn w:val="Normal"/>
    <w:next w:val="Normal"/>
    <w:uiPriority w:val="99"/>
    <w:semiHidden/>
    <w:rsid w:val="005675E0"/>
    <w:rPr>
      <w:rFonts w:eastAsiaTheme="majorEastAsia" w:cstheme="majorBidi"/>
      <w:b/>
      <w:bCs/>
    </w:rPr>
  </w:style>
  <w:style w:type="paragraph" w:styleId="MacroText">
    <w:name w:val="macro"/>
    <w:link w:val="MacroTextChar"/>
    <w:uiPriority w:val="99"/>
    <w:semiHidden/>
    <w:rsid w:val="005675E0"/>
    <w:pPr>
      <w:tabs>
        <w:tab w:val="left" w:pos="480"/>
        <w:tab w:val="left" w:pos="960"/>
        <w:tab w:val="left" w:pos="1440"/>
        <w:tab w:val="left" w:pos="1920"/>
        <w:tab w:val="left" w:pos="2400"/>
        <w:tab w:val="left" w:pos="2880"/>
        <w:tab w:val="left" w:pos="3360"/>
        <w:tab w:val="left" w:pos="3840"/>
        <w:tab w:val="left" w:pos="4320"/>
      </w:tabs>
      <w:spacing w:line="280" w:lineRule="atLeast"/>
    </w:pPr>
    <w:rPr>
      <w:rFonts w:cs="Consolas"/>
      <w:lang w:eastAsia="en-US"/>
    </w:rPr>
  </w:style>
  <w:style w:type="character" w:customStyle="1" w:styleId="MacroTextChar">
    <w:name w:val="Macro Text Char"/>
    <w:basedOn w:val="DefaultParagraphFont"/>
    <w:link w:val="MacroText"/>
    <w:uiPriority w:val="99"/>
    <w:semiHidden/>
    <w:rsid w:val="006875B8"/>
    <w:rPr>
      <w:rFonts w:cs="Consolas"/>
      <w:lang w:eastAsia="en-US"/>
    </w:rPr>
  </w:style>
  <w:style w:type="character" w:styleId="CommentReference">
    <w:name w:val="annotation reference"/>
    <w:basedOn w:val="DefaultParagraphFont"/>
    <w:uiPriority w:val="99"/>
    <w:semiHidden/>
    <w:rsid w:val="005675E0"/>
    <w:rPr>
      <w:rFonts w:ascii="Calibri" w:hAnsi="Calibri"/>
      <w:sz w:val="16"/>
      <w:szCs w:val="16"/>
    </w:rPr>
  </w:style>
  <w:style w:type="character" w:customStyle="1" w:styleId="BodyTextChar">
    <w:name w:val="Body Text Char"/>
    <w:basedOn w:val="DefaultParagraphFont"/>
    <w:link w:val="BodyText"/>
    <w:rsid w:val="006875B8"/>
  </w:style>
  <w:style w:type="paragraph" w:styleId="IntenseQuote">
    <w:name w:val="Intense Quote"/>
    <w:basedOn w:val="Normal"/>
    <w:next w:val="Normal"/>
    <w:link w:val="IntenseQuoteChar"/>
    <w:uiPriority w:val="99"/>
    <w:semiHidden/>
    <w:qFormat/>
    <w:rsid w:val="005D5A31"/>
    <w:pPr>
      <w:pBdr>
        <w:bottom w:val="single" w:sz="4" w:space="4" w:color="7BC7CE" w:themeColor="accent1"/>
      </w:pBdr>
      <w:spacing w:before="200" w:after="280"/>
      <w:ind w:left="936" w:right="936"/>
    </w:pPr>
    <w:rPr>
      <w:b/>
      <w:bCs/>
      <w:i/>
      <w:iCs/>
      <w:color w:val="1F546B" w:themeColor="text2"/>
    </w:rPr>
  </w:style>
  <w:style w:type="character" w:customStyle="1" w:styleId="IntenseQuoteChar">
    <w:name w:val="Intense Quote Char"/>
    <w:basedOn w:val="DefaultParagraphFont"/>
    <w:link w:val="IntenseQuote"/>
    <w:uiPriority w:val="99"/>
    <w:semiHidden/>
    <w:rsid w:val="005D5A31"/>
    <w:rPr>
      <w:rFonts w:eastAsiaTheme="minorHAnsi"/>
      <w:b/>
      <w:bCs/>
      <w:i/>
      <w:iCs/>
      <w:color w:val="1F546B" w:themeColor="text2"/>
      <w:lang w:eastAsia="en-US"/>
    </w:rPr>
  </w:style>
  <w:style w:type="paragraph" w:customStyle="1" w:styleId="Headingpage">
    <w:name w:val="Heading page"/>
    <w:basedOn w:val="Normal"/>
    <w:next w:val="Normal"/>
    <w:semiHidden/>
    <w:rsid w:val="00E367C5"/>
    <w:pPr>
      <w:spacing w:before="400"/>
    </w:pPr>
    <w:rPr>
      <w:b/>
      <w:sz w:val="48"/>
    </w:rPr>
  </w:style>
  <w:style w:type="paragraph" w:customStyle="1" w:styleId="Tablenormal0">
    <w:name w:val="Table normal"/>
    <w:basedOn w:val="Normal"/>
    <w:qFormat/>
    <w:rsid w:val="005D5A31"/>
    <w:pPr>
      <w:spacing w:before="40" w:after="40"/>
    </w:pPr>
    <w:rPr>
      <w:sz w:val="22"/>
    </w:rPr>
  </w:style>
  <w:style w:type="character" w:customStyle="1" w:styleId="Heading6Char">
    <w:name w:val="Heading 6 Char"/>
    <w:basedOn w:val="DefaultParagraphFont"/>
    <w:link w:val="Heading6"/>
    <w:uiPriority w:val="1"/>
    <w:semiHidden/>
    <w:rsid w:val="005D5A31"/>
    <w:rPr>
      <w:rFonts w:eastAsiaTheme="minorHAnsi"/>
      <w:b/>
      <w:bCs/>
      <w:i/>
      <w:szCs w:val="22"/>
      <w:lang w:eastAsia="en-US"/>
    </w:rPr>
  </w:style>
  <w:style w:type="paragraph" w:customStyle="1" w:styleId="ListABClevel3">
    <w:name w:val="List A B C level 3"/>
    <w:basedOn w:val="Normal"/>
    <w:uiPriority w:val="1"/>
    <w:semiHidden/>
    <w:qFormat/>
    <w:rsid w:val="005D5A31"/>
    <w:pPr>
      <w:numPr>
        <w:ilvl w:val="2"/>
        <w:numId w:val="20"/>
      </w:numPr>
      <w:spacing w:before="80" w:after="80"/>
    </w:pPr>
  </w:style>
  <w:style w:type="paragraph" w:customStyle="1" w:styleId="List123level2">
    <w:name w:val="List 1 2 3 level 2"/>
    <w:basedOn w:val="Normal"/>
    <w:uiPriority w:val="1"/>
    <w:semiHidden/>
    <w:qFormat/>
    <w:rsid w:val="005D5A31"/>
    <w:pPr>
      <w:numPr>
        <w:ilvl w:val="1"/>
        <w:numId w:val="21"/>
      </w:numPr>
      <w:spacing w:before="80" w:after="80"/>
    </w:pPr>
  </w:style>
  <w:style w:type="paragraph" w:customStyle="1" w:styleId="List123level3">
    <w:name w:val="List 1 2 3 level 3"/>
    <w:basedOn w:val="Normal"/>
    <w:uiPriority w:val="1"/>
    <w:semiHidden/>
    <w:qFormat/>
    <w:rsid w:val="005D5A31"/>
    <w:pPr>
      <w:numPr>
        <w:ilvl w:val="2"/>
        <w:numId w:val="21"/>
      </w:numPr>
      <w:spacing w:before="80" w:after="80"/>
    </w:pPr>
  </w:style>
  <w:style w:type="paragraph" w:customStyle="1" w:styleId="Legislationsection">
    <w:name w:val="Legislation section"/>
    <w:basedOn w:val="Normal"/>
    <w:semiHidden/>
    <w:qFormat/>
    <w:rsid w:val="005D5A31"/>
    <w:pPr>
      <w:keepNext/>
      <w:numPr>
        <w:numId w:val="23"/>
      </w:numPr>
      <w:tabs>
        <w:tab w:val="left" w:pos="567"/>
      </w:tabs>
      <w:spacing w:after="60"/>
    </w:pPr>
    <w:rPr>
      <w:b/>
      <w:sz w:val="22"/>
    </w:rPr>
  </w:style>
  <w:style w:type="paragraph" w:customStyle="1" w:styleId="Legislationnumber">
    <w:name w:val="Legislation number"/>
    <w:basedOn w:val="Normal"/>
    <w:semiHidden/>
    <w:qFormat/>
    <w:rsid w:val="005D5A31"/>
    <w:pPr>
      <w:numPr>
        <w:numId w:val="22"/>
      </w:numPr>
      <w:tabs>
        <w:tab w:val="left" w:pos="567"/>
      </w:tabs>
      <w:spacing w:before="60" w:after="60"/>
    </w:pPr>
    <w:rPr>
      <w:sz w:val="22"/>
    </w:rPr>
  </w:style>
  <w:style w:type="paragraph" w:customStyle="1" w:styleId="Legislationa">
    <w:name w:val="Legislation (a)"/>
    <w:basedOn w:val="Normal"/>
    <w:semiHidden/>
    <w:qFormat/>
    <w:rsid w:val="005D5A31"/>
    <w:pPr>
      <w:numPr>
        <w:ilvl w:val="2"/>
        <w:numId w:val="23"/>
      </w:numPr>
      <w:spacing w:before="60" w:after="60"/>
    </w:pPr>
    <w:rPr>
      <w:sz w:val="22"/>
    </w:rPr>
  </w:style>
  <w:style w:type="paragraph" w:customStyle="1" w:styleId="Legislationi">
    <w:name w:val="Legislation (i)"/>
    <w:basedOn w:val="Normal"/>
    <w:semiHidden/>
    <w:qFormat/>
    <w:rsid w:val="005D5A31"/>
    <w:pPr>
      <w:numPr>
        <w:ilvl w:val="3"/>
        <w:numId w:val="23"/>
      </w:numPr>
      <w:spacing w:before="60" w:after="60"/>
    </w:pPr>
    <w:rPr>
      <w:sz w:val="22"/>
    </w:rPr>
  </w:style>
  <w:style w:type="paragraph" w:customStyle="1" w:styleId="Numberedparaindentonly">
    <w:name w:val="Numbered para indent only"/>
    <w:basedOn w:val="Normal"/>
    <w:semiHidden/>
    <w:qFormat/>
    <w:rsid w:val="005D5A31"/>
    <w:pPr>
      <w:spacing w:after="120"/>
      <w:ind w:left="567"/>
    </w:pPr>
  </w:style>
  <w:style w:type="paragraph" w:customStyle="1" w:styleId="Numberedparaheading">
    <w:name w:val="Numbered para heading"/>
    <w:basedOn w:val="BodyText"/>
    <w:semiHidden/>
    <w:rsid w:val="00091C3A"/>
    <w:rPr>
      <w:b/>
      <w:sz w:val="28"/>
    </w:rPr>
  </w:style>
  <w:style w:type="paragraph" w:customStyle="1" w:styleId="Spacer">
    <w:name w:val="Spacer"/>
    <w:basedOn w:val="Normal"/>
    <w:qFormat/>
    <w:rsid w:val="005D5A31"/>
    <w:pPr>
      <w:spacing w:before="0" w:after="0"/>
    </w:pPr>
  </w:style>
  <w:style w:type="paragraph" w:customStyle="1" w:styleId="Page">
    <w:name w:val="Page"/>
    <w:basedOn w:val="Spacer"/>
    <w:semiHidden/>
    <w:qFormat/>
    <w:rsid w:val="005D5A31"/>
    <w:pPr>
      <w:jc w:val="right"/>
    </w:pPr>
    <w:rPr>
      <w:color w:val="000000" w:themeColor="text1"/>
    </w:rPr>
  </w:style>
  <w:style w:type="table" w:customStyle="1" w:styleId="Blanktable">
    <w:name w:val="Blank table"/>
    <w:basedOn w:val="TableNormal"/>
    <w:uiPriority w:val="99"/>
    <w:rsid w:val="007202D5"/>
    <w:tblPr>
      <w:tblInd w:w="108" w:type="dxa"/>
    </w:tblPr>
  </w:style>
  <w:style w:type="paragraph" w:customStyle="1" w:styleId="Tinyline">
    <w:name w:val="Tiny line"/>
    <w:basedOn w:val="Normal"/>
    <w:qFormat/>
    <w:rsid w:val="005D5A31"/>
    <w:pPr>
      <w:spacing w:before="0" w:after="0"/>
    </w:pPr>
    <w:rPr>
      <w:sz w:val="8"/>
    </w:rPr>
  </w:style>
  <w:style w:type="paragraph" w:customStyle="1" w:styleId="Numberedpara1heading">
    <w:name w:val="Numbered para 1 (heading)"/>
    <w:basedOn w:val="Normal"/>
    <w:semiHidden/>
    <w:rsid w:val="00A313C6"/>
    <w:rPr>
      <w:b/>
    </w:rPr>
  </w:style>
  <w:style w:type="paragraph" w:customStyle="1" w:styleId="Tablenormal12pt">
    <w:name w:val="Table normal 12pt"/>
    <w:basedOn w:val="Tablenormal0"/>
    <w:semiHidden/>
    <w:qFormat/>
    <w:rsid w:val="005D5A31"/>
    <w:rPr>
      <w:sz w:val="24"/>
    </w:rPr>
  </w:style>
  <w:style w:type="paragraph" w:customStyle="1" w:styleId="Tableheading12pt">
    <w:name w:val="Table heading 12pt"/>
    <w:basedOn w:val="Tableheading"/>
    <w:semiHidden/>
    <w:qFormat/>
    <w:rsid w:val="005D5A31"/>
    <w:pPr>
      <w:keepNext/>
    </w:pPr>
    <w:rPr>
      <w:sz w:val="24"/>
    </w:rPr>
  </w:style>
  <w:style w:type="paragraph" w:customStyle="1" w:styleId="Documentationpageheading">
    <w:name w:val="Documentation page heading"/>
    <w:basedOn w:val="Normal"/>
    <w:semiHidden/>
    <w:qFormat/>
    <w:rsid w:val="005D5A31"/>
    <w:pPr>
      <w:spacing w:after="0"/>
    </w:pPr>
    <w:rPr>
      <w:b/>
      <w:color w:val="1F546B" w:themeColor="text2"/>
      <w:sz w:val="36"/>
    </w:rPr>
  </w:style>
  <w:style w:type="paragraph" w:customStyle="1" w:styleId="Documentationpagesubheading">
    <w:name w:val="Documentation page subheading"/>
    <w:basedOn w:val="Documentationpageheading"/>
    <w:semiHidden/>
    <w:qFormat/>
    <w:rsid w:val="005D5A31"/>
    <w:rPr>
      <w:sz w:val="28"/>
    </w:rPr>
  </w:style>
  <w:style w:type="paragraph" w:customStyle="1" w:styleId="Documentationpagetable">
    <w:name w:val="Documentation page table"/>
    <w:basedOn w:val="Normal"/>
    <w:semiHidden/>
    <w:qFormat/>
    <w:rsid w:val="005D5A31"/>
    <w:pPr>
      <w:spacing w:before="44" w:after="24"/>
    </w:pPr>
    <w:rPr>
      <w:rFonts w:cstheme="minorBidi"/>
      <w:sz w:val="20"/>
    </w:rPr>
  </w:style>
  <w:style w:type="paragraph" w:customStyle="1" w:styleId="Documentationpagetableheading">
    <w:name w:val="Documentation page table heading"/>
    <w:basedOn w:val="Normal"/>
    <w:semiHidden/>
    <w:qFormat/>
    <w:rsid w:val="005D5A31"/>
    <w:pPr>
      <w:spacing w:before="40" w:after="40"/>
    </w:pPr>
    <w:rPr>
      <w:rFonts w:cstheme="minorBidi"/>
      <w:b/>
      <w:color w:val="FFFFFF" w:themeColor="background1"/>
      <w:sz w:val="20"/>
    </w:rPr>
  </w:style>
  <w:style w:type="paragraph" w:customStyle="1" w:styleId="Numberedparasubheading">
    <w:name w:val="Numbered para subheading"/>
    <w:basedOn w:val="Normal"/>
    <w:next w:val="Numberedpara2"/>
    <w:semiHidden/>
    <w:rsid w:val="00A313C6"/>
    <w:rPr>
      <w:b/>
      <w:i/>
    </w:rPr>
  </w:style>
  <w:style w:type="paragraph" w:customStyle="1" w:styleId="Title2">
    <w:name w:val="Title 2"/>
    <w:basedOn w:val="Title"/>
    <w:qFormat/>
    <w:rsid w:val="005D5A31"/>
    <w:rPr>
      <w:sz w:val="52"/>
    </w:rPr>
  </w:style>
  <w:style w:type="paragraph" w:customStyle="1" w:styleId="Numberedpara2a">
    <w:name w:val="Numbered para 2 (a)"/>
    <w:basedOn w:val="Numberedpara3a"/>
    <w:semiHidden/>
    <w:rsid w:val="00A313C6"/>
  </w:style>
  <w:style w:type="paragraph" w:customStyle="1" w:styleId="Numberedpara3i">
    <w:name w:val="Numbered para 3 (i)"/>
    <w:basedOn w:val="Numberedpara4i"/>
    <w:semiHidden/>
    <w:rsid w:val="00A313C6"/>
  </w:style>
  <w:style w:type="character" w:customStyle="1" w:styleId="FooterChar">
    <w:name w:val="Footer Char"/>
    <w:basedOn w:val="DefaultParagraphFont"/>
    <w:link w:val="Footer"/>
    <w:uiPriority w:val="99"/>
    <w:rsid w:val="00DD3BD0"/>
    <w:rPr>
      <w:rFonts w:eastAsiaTheme="minorHAnsi"/>
      <w:i/>
      <w:sz w:val="20"/>
      <w:lang w:eastAsia="en-US"/>
    </w:rPr>
  </w:style>
  <w:style w:type="paragraph" w:customStyle="1" w:styleId="Numberedpara2subheading">
    <w:name w:val="Numbered para (2) subheading"/>
    <w:basedOn w:val="Normal"/>
    <w:next w:val="Normal"/>
    <w:semiHidden/>
    <w:qFormat/>
    <w:rsid w:val="005D5A31"/>
    <w:pPr>
      <w:keepNext/>
      <w:spacing w:before="240" w:after="120"/>
    </w:pPr>
    <w:rPr>
      <w:b/>
      <w:i/>
    </w:rPr>
  </w:style>
  <w:style w:type="paragraph" w:customStyle="1" w:styleId="Numberedpara2level1">
    <w:name w:val="Numbered para (2) level 1"/>
    <w:basedOn w:val="Normal"/>
    <w:semiHidden/>
    <w:qFormat/>
    <w:rsid w:val="005D5A31"/>
    <w:pPr>
      <w:numPr>
        <w:numId w:val="24"/>
      </w:numPr>
      <w:spacing w:after="120"/>
    </w:pPr>
  </w:style>
  <w:style w:type="paragraph" w:customStyle="1" w:styleId="Numberedpara2level2a">
    <w:name w:val="Numbered para (2) level 2 (a)"/>
    <w:basedOn w:val="Normal"/>
    <w:semiHidden/>
    <w:qFormat/>
    <w:rsid w:val="005D5A31"/>
    <w:pPr>
      <w:numPr>
        <w:ilvl w:val="1"/>
        <w:numId w:val="24"/>
      </w:numPr>
      <w:spacing w:after="120"/>
    </w:pPr>
  </w:style>
  <w:style w:type="paragraph" w:customStyle="1" w:styleId="Numberedpara2level3i">
    <w:name w:val="Numbered para (2) level 3 (i)"/>
    <w:basedOn w:val="Normal"/>
    <w:semiHidden/>
    <w:qFormat/>
    <w:rsid w:val="005D5A31"/>
    <w:pPr>
      <w:numPr>
        <w:ilvl w:val="2"/>
        <w:numId w:val="24"/>
      </w:numPr>
      <w:spacing w:after="120"/>
    </w:pPr>
  </w:style>
  <w:style w:type="paragraph" w:customStyle="1" w:styleId="Numberedpara2heading">
    <w:name w:val="Numbered para (2) heading"/>
    <w:basedOn w:val="Normal"/>
    <w:semiHidden/>
    <w:qFormat/>
    <w:rsid w:val="005D5A31"/>
    <w:pPr>
      <w:keepNext/>
      <w:spacing w:before="240" w:after="120"/>
    </w:pPr>
    <w:rPr>
      <w:b/>
      <w:sz w:val="28"/>
    </w:rPr>
  </w:style>
  <w:style w:type="character" w:customStyle="1" w:styleId="Footersecurityclassification">
    <w:name w:val="Footer security classification"/>
    <w:basedOn w:val="DefaultParagraphFont"/>
    <w:uiPriority w:val="1"/>
    <w:qFormat/>
    <w:rsid w:val="005D5A31"/>
    <w:rPr>
      <w:b/>
      <w:i/>
      <w:caps/>
      <w:smallCaps w:val="0"/>
      <w:sz w:val="22"/>
    </w:rPr>
  </w:style>
  <w:style w:type="paragraph" w:customStyle="1" w:styleId="Numberedpara11headingwithnumber">
    <w:name w:val="Numbered para (1) 1 (heading with number)"/>
    <w:basedOn w:val="Normal"/>
    <w:semiHidden/>
    <w:qFormat/>
    <w:rsid w:val="005D5A31"/>
    <w:pPr>
      <w:keepNext/>
      <w:numPr>
        <w:numId w:val="25"/>
      </w:numPr>
      <w:spacing w:before="240" w:after="120"/>
    </w:pPr>
    <w:rPr>
      <w:b/>
      <w:sz w:val="28"/>
    </w:rPr>
  </w:style>
  <w:style w:type="paragraph" w:customStyle="1" w:styleId="Crossreference">
    <w:name w:val="Cross reference"/>
    <w:basedOn w:val="Normal"/>
    <w:semiHidden/>
    <w:qFormat/>
    <w:rsid w:val="005D5A31"/>
    <w:rPr>
      <w:i/>
      <w:color w:val="1F546B" w:themeColor="text2"/>
      <w:u w:val="single"/>
    </w:rPr>
  </w:style>
  <w:style w:type="paragraph" w:customStyle="1" w:styleId="Numberedpara3heading">
    <w:name w:val="Numbered para (3) heading"/>
    <w:basedOn w:val="Normal"/>
    <w:semiHidden/>
    <w:qFormat/>
    <w:rsid w:val="005D5A31"/>
    <w:pPr>
      <w:keepNext/>
      <w:spacing w:before="200" w:after="120"/>
    </w:pPr>
    <w:rPr>
      <w:b/>
    </w:rPr>
  </w:style>
  <w:style w:type="paragraph" w:customStyle="1" w:styleId="Numberedpara3subheading">
    <w:name w:val="Numbered para (3) subheading"/>
    <w:basedOn w:val="Normal"/>
    <w:semiHidden/>
    <w:qFormat/>
    <w:rsid w:val="005D5A31"/>
    <w:pPr>
      <w:keepNext/>
      <w:spacing w:before="240" w:after="120"/>
    </w:pPr>
    <w:rPr>
      <w:b/>
      <w:i/>
    </w:rPr>
  </w:style>
  <w:style w:type="paragraph" w:customStyle="1" w:styleId="Numberedpara3level1">
    <w:name w:val="Numbered para (3) level 1"/>
    <w:basedOn w:val="Normal"/>
    <w:semiHidden/>
    <w:qFormat/>
    <w:rsid w:val="005D5A31"/>
    <w:pPr>
      <w:numPr>
        <w:numId w:val="26"/>
      </w:numPr>
      <w:spacing w:after="120"/>
    </w:pPr>
  </w:style>
  <w:style w:type="paragraph" w:customStyle="1" w:styleId="Numberedpara3level211">
    <w:name w:val="Numbered para (3) level 2 (1.1)"/>
    <w:basedOn w:val="Normal"/>
    <w:semiHidden/>
    <w:qFormat/>
    <w:rsid w:val="005D5A31"/>
    <w:pPr>
      <w:numPr>
        <w:ilvl w:val="1"/>
        <w:numId w:val="26"/>
      </w:numPr>
      <w:spacing w:after="120"/>
    </w:pPr>
  </w:style>
  <w:style w:type="paragraph" w:customStyle="1" w:styleId="Numberedpara3level3111">
    <w:name w:val="Numbered para (3) level 3 (1.1.1)"/>
    <w:basedOn w:val="Normal"/>
    <w:semiHidden/>
    <w:qFormat/>
    <w:rsid w:val="005D5A31"/>
    <w:pPr>
      <w:numPr>
        <w:ilvl w:val="2"/>
        <w:numId w:val="26"/>
      </w:numPr>
      <w:spacing w:after="120"/>
    </w:pPr>
  </w:style>
  <w:style w:type="character" w:customStyle="1" w:styleId="TitleChar">
    <w:name w:val="Title Char"/>
    <w:basedOn w:val="DefaultParagraphFont"/>
    <w:link w:val="Title"/>
    <w:rsid w:val="005D5A31"/>
    <w:rPr>
      <w:rFonts w:eastAsiaTheme="minorHAnsi"/>
      <w:b/>
      <w:color w:val="1F546B"/>
      <w:sz w:val="80"/>
      <w:szCs w:val="80"/>
      <w:lang w:eastAsia="en-US"/>
    </w:rPr>
  </w:style>
  <w:style w:type="paragraph" w:customStyle="1" w:styleId="Securityclassificiation">
    <w:name w:val="Security classificiation"/>
    <w:basedOn w:val="Title2"/>
    <w:qFormat/>
    <w:rsid w:val="005D5A31"/>
    <w:pPr>
      <w:spacing w:before="240" w:after="0"/>
      <w:jc w:val="center"/>
    </w:pPr>
    <w:rPr>
      <w:caps/>
      <w:color w:val="000000" w:themeColor="text1"/>
      <w:sz w:val="32"/>
    </w:rPr>
  </w:style>
  <w:style w:type="paragraph" w:customStyle="1" w:styleId="LHcolumn">
    <w:name w:val="LH column"/>
    <w:basedOn w:val="Normal"/>
    <w:rsid w:val="00E26D66"/>
    <w:pPr>
      <w:keepLines w:val="0"/>
    </w:pPr>
    <w:rPr>
      <w:rFonts w:eastAsia="Calibri"/>
      <w:b/>
      <w:color w:val="1F546B" w:themeColor="text2"/>
      <w:w w:val="90"/>
      <w:szCs w:val="22"/>
    </w:rPr>
  </w:style>
  <w:style w:type="paragraph" w:customStyle="1" w:styleId="Coverimage">
    <w:name w:val="Cover image"/>
    <w:basedOn w:val="Spacer"/>
    <w:qFormat/>
    <w:rsid w:val="005D5A31"/>
    <w:pPr>
      <w:jc w:val="right"/>
    </w:pPr>
  </w:style>
  <w:style w:type="character" w:customStyle="1" w:styleId="Crossreferences">
    <w:name w:val="Cross references"/>
    <w:basedOn w:val="DefaultParagraphFont"/>
    <w:uiPriority w:val="1"/>
    <w:qFormat/>
    <w:rsid w:val="005D5A31"/>
    <w:rPr>
      <w:i/>
      <w:color w:val="1F546B" w:themeColor="text2"/>
      <w:u w:val="single"/>
    </w:rPr>
  </w:style>
  <w:style w:type="paragraph" w:customStyle="1" w:styleId="Bullet-lvl1">
    <w:name w:val="Bullet - lvl 1"/>
    <w:basedOn w:val="Normal"/>
    <w:link w:val="Bullet-lvl1CharChar"/>
    <w:rsid w:val="005D5A31"/>
    <w:pPr>
      <w:keepLines w:val="0"/>
      <w:numPr>
        <w:numId w:val="27"/>
      </w:numPr>
      <w:spacing w:before="20" w:after="60"/>
    </w:pPr>
    <w:rPr>
      <w:rFonts w:ascii="Arial Mäori" w:eastAsia="Times New Roman" w:hAnsi="Arial Mäori"/>
      <w:sz w:val="22"/>
      <w:lang w:val="en-GB" w:eastAsia="en-GB"/>
    </w:rPr>
  </w:style>
  <w:style w:type="character" w:customStyle="1" w:styleId="Bullet-lvl1CharChar">
    <w:name w:val="Bullet - lvl 1 Char Char"/>
    <w:link w:val="Bullet-lvl1"/>
    <w:rsid w:val="005D5A31"/>
    <w:rPr>
      <w:rFonts w:ascii="Arial Mäori" w:hAnsi="Arial Mäori"/>
      <w:sz w:val="22"/>
      <w:lang w:val="en-GB" w:eastAsia="en-GB"/>
    </w:rPr>
  </w:style>
  <w:style w:type="character" w:customStyle="1" w:styleId="FootnoteTextChar">
    <w:name w:val="Footnote Text Char"/>
    <w:basedOn w:val="DefaultParagraphFont"/>
    <w:link w:val="FootnoteText"/>
    <w:rsid w:val="005D5A31"/>
    <w:rPr>
      <w:rFonts w:eastAsiaTheme="minorHAnsi"/>
      <w:sz w:val="20"/>
      <w:szCs w:val="20"/>
      <w:lang w:eastAsia="en-US"/>
    </w:rPr>
  </w:style>
  <w:style w:type="paragraph" w:styleId="CommentText">
    <w:name w:val="annotation text"/>
    <w:basedOn w:val="Normal"/>
    <w:link w:val="CommentTextChar"/>
    <w:uiPriority w:val="99"/>
    <w:semiHidden/>
    <w:unhideWhenUsed/>
    <w:rsid w:val="006407AB"/>
    <w:rPr>
      <w:sz w:val="20"/>
      <w:szCs w:val="20"/>
    </w:rPr>
  </w:style>
  <w:style w:type="character" w:customStyle="1" w:styleId="CommentTextChar">
    <w:name w:val="Comment Text Char"/>
    <w:basedOn w:val="DefaultParagraphFont"/>
    <w:link w:val="CommentText"/>
    <w:uiPriority w:val="99"/>
    <w:semiHidden/>
    <w:rsid w:val="006407AB"/>
    <w:rPr>
      <w:rFonts w:eastAsiaTheme="minorHAnsi"/>
      <w:sz w:val="20"/>
      <w:szCs w:val="20"/>
      <w:lang w:eastAsia="en-US"/>
    </w:rPr>
  </w:style>
  <w:style w:type="paragraph" w:styleId="CommentSubject">
    <w:name w:val="annotation subject"/>
    <w:basedOn w:val="CommentText"/>
    <w:next w:val="CommentText"/>
    <w:link w:val="CommentSubjectChar"/>
    <w:uiPriority w:val="99"/>
    <w:semiHidden/>
    <w:unhideWhenUsed/>
    <w:rsid w:val="006407AB"/>
    <w:rPr>
      <w:b/>
      <w:bCs/>
    </w:rPr>
  </w:style>
  <w:style w:type="character" w:customStyle="1" w:styleId="CommentSubjectChar">
    <w:name w:val="Comment Subject Char"/>
    <w:basedOn w:val="CommentTextChar"/>
    <w:link w:val="CommentSubject"/>
    <w:uiPriority w:val="99"/>
    <w:semiHidden/>
    <w:rsid w:val="006407AB"/>
    <w:rPr>
      <w:rFonts w:eastAsiaTheme="minorHAnsi"/>
      <w:b/>
      <w:bCs/>
      <w:sz w:val="20"/>
      <w:szCs w:val="20"/>
      <w:lang w:eastAsia="en-US"/>
    </w:rPr>
  </w:style>
  <w:style w:type="paragraph" w:styleId="EndnoteText">
    <w:name w:val="endnote text"/>
    <w:basedOn w:val="Normal"/>
    <w:link w:val="EndnoteTextChar"/>
    <w:uiPriority w:val="99"/>
    <w:semiHidden/>
    <w:unhideWhenUsed/>
    <w:rsid w:val="005A2922"/>
    <w:pPr>
      <w:spacing w:before="0" w:after="0"/>
    </w:pPr>
    <w:rPr>
      <w:sz w:val="20"/>
      <w:szCs w:val="20"/>
    </w:rPr>
  </w:style>
  <w:style w:type="character" w:customStyle="1" w:styleId="EndnoteTextChar">
    <w:name w:val="Endnote Text Char"/>
    <w:basedOn w:val="DefaultParagraphFont"/>
    <w:link w:val="EndnoteText"/>
    <w:uiPriority w:val="99"/>
    <w:semiHidden/>
    <w:rsid w:val="005A2922"/>
    <w:rPr>
      <w:rFonts w:eastAsiaTheme="minorHAnsi"/>
      <w:sz w:val="20"/>
      <w:szCs w:val="20"/>
      <w:lang w:eastAsia="en-US"/>
    </w:rPr>
  </w:style>
  <w:style w:type="paragraph" w:styleId="Revision">
    <w:name w:val="Revision"/>
    <w:hidden/>
    <w:uiPriority w:val="99"/>
    <w:semiHidden/>
    <w:rsid w:val="00DE3531"/>
    <w:pPr>
      <w:spacing w:before="0" w:after="0"/>
    </w:pPr>
    <w:rPr>
      <w:rFonts w:eastAsiaTheme="minorHAnsi"/>
      <w:lang w:eastAsia="en-US"/>
    </w:rPr>
  </w:style>
  <w:style w:type="paragraph" w:customStyle="1" w:styleId="BodyA">
    <w:name w:val="Body A"/>
    <w:rsid w:val="0014481A"/>
    <w:pPr>
      <w:keepLines/>
      <w:pBdr>
        <w:top w:val="nil"/>
        <w:left w:val="nil"/>
        <w:bottom w:val="nil"/>
        <w:right w:val="nil"/>
        <w:between w:val="nil"/>
        <w:bar w:val="nil"/>
      </w:pBdr>
    </w:pPr>
    <w:rPr>
      <w:rFonts w:eastAsia="Calibri" w:cs="Calibri"/>
      <w:color w:val="000000"/>
      <w:u w:color="000000"/>
      <w:bdr w:val="nil"/>
      <w:lang w:val="en-US"/>
    </w:rPr>
  </w:style>
  <w:style w:type="paragraph" w:styleId="TOCHeading">
    <w:name w:val="TOC Heading"/>
    <w:basedOn w:val="Heading1"/>
    <w:next w:val="Normal"/>
    <w:uiPriority w:val="39"/>
    <w:semiHidden/>
    <w:unhideWhenUsed/>
    <w:qFormat/>
    <w:rsid w:val="00CE2931"/>
    <w:pPr>
      <w:pageBreakBefore w:val="0"/>
      <w:spacing w:before="480" w:after="0" w:line="276" w:lineRule="auto"/>
      <w:contextualSpacing w:val="0"/>
      <w:outlineLvl w:val="9"/>
    </w:pPr>
    <w:rPr>
      <w:rFonts w:asciiTheme="majorHAnsi" w:eastAsiaTheme="majorEastAsia" w:hAnsiTheme="majorHAnsi" w:cstheme="majorBidi"/>
      <w:color w:val="42A9B3" w:themeColor="accent1" w:themeShade="BF"/>
      <w:kern w:val="0"/>
      <w:sz w:val="28"/>
      <w:szCs w:val="28"/>
      <w:lang w:val="en-US"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4"/>
        <w:szCs w:val="24"/>
        <w:lang w:val="en-NZ" w:eastAsia="en-NZ" w:bidi="ar-SA"/>
      </w:rPr>
    </w:rPrDefault>
    <w:pPrDefault>
      <w:pPr>
        <w:spacing w:before="120" w:after="24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1" w:unhideWhenUsed="0" w:qFormat="1"/>
    <w:lsdException w:name="heading 6" w:semiHidden="0" w:uiPriority="1"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footnote text" w:uiPriority="0"/>
    <w:lsdException w:name="header" w:uiPriority="0"/>
    <w:lsdException w:name="caption" w:uiPriority="0" w:qFormat="1"/>
    <w:lsdException w:name="footnote reference" w:uiPriority="0"/>
    <w:lsdException w:name="page number" w:unhideWhenUsed="0"/>
    <w:lsdException w:name="table of authorities" w:unhideWhenUsed="0"/>
    <w:lsdException w:name="List Number" w:semiHidden="0" w:unhideWhenUsed="0"/>
    <w:lsdException w:name="List 2" w:uiPriority="3"/>
    <w:lsdException w:name="List 4" w:semiHidden="0" w:unhideWhenUsed="0"/>
    <w:lsdException w:name="List 5" w:semiHidden="0" w:unhideWhenUsed="0"/>
    <w:lsdException w:name="Title" w:semiHidden="0" w:uiPriority="0" w:unhideWhenUsed="0" w:qFormat="1"/>
    <w:lsdException w:name="Default Paragraph Font" w:uiPriority="1"/>
    <w:lsdException w:name="Body Text" w:uiPriority="0"/>
    <w:lsdException w:name="Subtitle" w:semiHidden="0" w:uiPriority="1"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Document Map" w:unhideWhenUsed="0"/>
    <w:lsdException w:name="HTML Top of Form" w:uiPriority="0"/>
    <w:lsdException w:name="HTML Bottom of Form" w:uiPriority="0"/>
    <w:lsdException w:name="Normal Table"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Table Grid" w:semiHidden="0" w:uiPriority="59" w:unhideWhenUsed="0"/>
    <w:lsdException w:name="Table Theme" w:uiPriority="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unhideWhenUsed="0"/>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iPriority="33" w:unhideWhenUsed="0" w:qFormat="1"/>
    <w:lsdException w:name="Bibliography" w:uiPriority="37"/>
    <w:lsdException w:name="TOC Heading" w:uiPriority="39" w:unhideWhenUsed="0" w:qFormat="1"/>
  </w:latentStyles>
  <w:style w:type="paragraph" w:default="1" w:styleId="Normal">
    <w:name w:val="Normal"/>
    <w:qFormat/>
    <w:rsid w:val="005D5A31"/>
    <w:pPr>
      <w:keepLines/>
    </w:pPr>
    <w:rPr>
      <w:rFonts w:eastAsiaTheme="minorHAnsi"/>
      <w:lang w:eastAsia="en-US"/>
    </w:rPr>
  </w:style>
  <w:style w:type="paragraph" w:styleId="Heading1">
    <w:name w:val="heading 1"/>
    <w:basedOn w:val="Normal"/>
    <w:next w:val="Normal"/>
    <w:link w:val="Heading1Char"/>
    <w:qFormat/>
    <w:rsid w:val="005D5A31"/>
    <w:pPr>
      <w:keepNext/>
      <w:pageBreakBefore/>
      <w:spacing w:after="120"/>
      <w:contextualSpacing/>
      <w:outlineLvl w:val="0"/>
    </w:pPr>
    <w:rPr>
      <w:rFonts w:cs="Arial"/>
      <w:b/>
      <w:bCs/>
      <w:color w:val="1F546B" w:themeColor="text2"/>
      <w:kern w:val="32"/>
      <w:sz w:val="52"/>
      <w:szCs w:val="32"/>
    </w:rPr>
  </w:style>
  <w:style w:type="paragraph" w:styleId="Heading2">
    <w:name w:val="heading 2"/>
    <w:basedOn w:val="Normal"/>
    <w:next w:val="Normal"/>
    <w:link w:val="Heading2Char"/>
    <w:qFormat/>
    <w:rsid w:val="005D5A31"/>
    <w:pPr>
      <w:keepNext/>
      <w:spacing w:before="360" w:after="120"/>
      <w:contextualSpacing/>
      <w:outlineLvl w:val="1"/>
    </w:pPr>
    <w:rPr>
      <w:rFonts w:cs="Arial"/>
      <w:b/>
      <w:bCs/>
      <w:iCs/>
      <w:color w:val="1F546B"/>
      <w:sz w:val="36"/>
      <w:szCs w:val="28"/>
    </w:rPr>
  </w:style>
  <w:style w:type="paragraph" w:styleId="Heading3">
    <w:name w:val="heading 3"/>
    <w:basedOn w:val="Normal"/>
    <w:next w:val="Normal"/>
    <w:link w:val="Heading3Char"/>
    <w:qFormat/>
    <w:rsid w:val="005D5A31"/>
    <w:pPr>
      <w:keepNext/>
      <w:spacing w:before="360" w:after="120"/>
      <w:contextualSpacing/>
      <w:outlineLvl w:val="2"/>
    </w:pPr>
    <w:rPr>
      <w:rFonts w:cs="Arial"/>
      <w:b/>
      <w:bCs/>
      <w:color w:val="1F546B"/>
      <w:sz w:val="28"/>
      <w:szCs w:val="26"/>
    </w:rPr>
  </w:style>
  <w:style w:type="paragraph" w:styleId="Heading4">
    <w:name w:val="heading 4"/>
    <w:basedOn w:val="Normal"/>
    <w:next w:val="Normal"/>
    <w:link w:val="Heading4Char"/>
    <w:qFormat/>
    <w:rsid w:val="005D5A31"/>
    <w:pPr>
      <w:keepNext/>
      <w:spacing w:before="360" w:after="120"/>
      <w:contextualSpacing/>
      <w:outlineLvl w:val="3"/>
    </w:pPr>
    <w:rPr>
      <w:b/>
      <w:bCs/>
      <w:i/>
      <w:color w:val="1F546B" w:themeColor="text2"/>
      <w:szCs w:val="28"/>
    </w:rPr>
  </w:style>
  <w:style w:type="paragraph" w:styleId="Heading5">
    <w:name w:val="heading 5"/>
    <w:basedOn w:val="Normal"/>
    <w:next w:val="BodyText"/>
    <w:link w:val="Heading5Char"/>
    <w:uiPriority w:val="1"/>
    <w:semiHidden/>
    <w:qFormat/>
    <w:rsid w:val="005D5A31"/>
    <w:pPr>
      <w:keepNext/>
      <w:spacing w:before="360"/>
      <w:outlineLvl w:val="4"/>
    </w:pPr>
    <w:rPr>
      <w:b/>
      <w:bCs/>
      <w:iCs/>
      <w:szCs w:val="26"/>
    </w:rPr>
  </w:style>
  <w:style w:type="paragraph" w:styleId="Heading6">
    <w:name w:val="heading 6"/>
    <w:basedOn w:val="Normal"/>
    <w:next w:val="Normal"/>
    <w:link w:val="Heading6Char"/>
    <w:uiPriority w:val="1"/>
    <w:semiHidden/>
    <w:qFormat/>
    <w:rsid w:val="005D5A31"/>
    <w:pPr>
      <w:spacing w:before="360"/>
      <w:outlineLvl w:val="5"/>
    </w:pPr>
    <w:rPr>
      <w:b/>
      <w:bCs/>
      <w:i/>
      <w:szCs w:val="22"/>
    </w:rPr>
  </w:style>
  <w:style w:type="paragraph" w:styleId="Heading7">
    <w:name w:val="heading 7"/>
    <w:basedOn w:val="Normal"/>
    <w:next w:val="Normal"/>
    <w:uiPriority w:val="99"/>
    <w:semiHidden/>
    <w:qFormat/>
    <w:rsid w:val="005D5A31"/>
    <w:pPr>
      <w:spacing w:after="60"/>
      <w:outlineLvl w:val="6"/>
    </w:pPr>
  </w:style>
  <w:style w:type="paragraph" w:styleId="Heading8">
    <w:name w:val="heading 8"/>
    <w:basedOn w:val="Normal"/>
    <w:next w:val="Normal"/>
    <w:uiPriority w:val="99"/>
    <w:semiHidden/>
    <w:qFormat/>
    <w:rsid w:val="005D5A31"/>
    <w:pPr>
      <w:spacing w:after="60"/>
      <w:outlineLvl w:val="7"/>
    </w:pPr>
    <w:rPr>
      <w:i/>
      <w:iCs/>
    </w:rPr>
  </w:style>
  <w:style w:type="paragraph" w:styleId="Heading9">
    <w:name w:val="heading 9"/>
    <w:basedOn w:val="Normal"/>
    <w:next w:val="Normal"/>
    <w:uiPriority w:val="99"/>
    <w:semiHidden/>
    <w:qFormat/>
    <w:rsid w:val="005D5A31"/>
    <w:pPr>
      <w:spacing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5675E0"/>
    <w:pPr>
      <w:numPr>
        <w:numId w:val="1"/>
      </w:numPr>
    </w:pPr>
  </w:style>
  <w:style w:type="paragraph" w:styleId="BodyText">
    <w:name w:val="Body Text"/>
    <w:basedOn w:val="Normal"/>
    <w:link w:val="BodyTextChar"/>
    <w:rsid w:val="005675E0"/>
    <w:pPr>
      <w:spacing w:after="200"/>
    </w:pPr>
  </w:style>
  <w:style w:type="numbering" w:styleId="1ai">
    <w:name w:val="Outline List 1"/>
    <w:basedOn w:val="NoList"/>
    <w:semiHidden/>
    <w:rsid w:val="005675E0"/>
    <w:pPr>
      <w:numPr>
        <w:numId w:val="2"/>
      </w:numPr>
    </w:pPr>
  </w:style>
  <w:style w:type="numbering" w:styleId="ArticleSection">
    <w:name w:val="Outline List 3"/>
    <w:basedOn w:val="NoList"/>
    <w:semiHidden/>
    <w:rsid w:val="005675E0"/>
    <w:pPr>
      <w:numPr>
        <w:numId w:val="3"/>
      </w:numPr>
    </w:pPr>
  </w:style>
  <w:style w:type="paragraph" w:styleId="BlockText">
    <w:name w:val="Block Text"/>
    <w:basedOn w:val="Normal"/>
    <w:uiPriority w:val="99"/>
    <w:semiHidden/>
    <w:rsid w:val="005675E0"/>
    <w:pPr>
      <w:ind w:left="1440" w:right="1440"/>
    </w:pPr>
  </w:style>
  <w:style w:type="paragraph" w:styleId="BodyText2">
    <w:name w:val="Body Text 2"/>
    <w:basedOn w:val="Normal"/>
    <w:uiPriority w:val="99"/>
    <w:semiHidden/>
    <w:rsid w:val="005675E0"/>
    <w:pPr>
      <w:spacing w:line="480" w:lineRule="auto"/>
    </w:pPr>
  </w:style>
  <w:style w:type="paragraph" w:styleId="BodyText3">
    <w:name w:val="Body Text 3"/>
    <w:basedOn w:val="Normal"/>
    <w:uiPriority w:val="99"/>
    <w:semiHidden/>
    <w:rsid w:val="005675E0"/>
    <w:rPr>
      <w:sz w:val="16"/>
      <w:szCs w:val="16"/>
    </w:rPr>
  </w:style>
  <w:style w:type="paragraph" w:styleId="BodyTextFirstIndent">
    <w:name w:val="Body Text First Indent"/>
    <w:basedOn w:val="BodyText"/>
    <w:uiPriority w:val="99"/>
    <w:semiHidden/>
    <w:rsid w:val="005675E0"/>
    <w:pPr>
      <w:spacing w:after="120"/>
      <w:ind w:firstLine="210"/>
    </w:pPr>
  </w:style>
  <w:style w:type="paragraph" w:styleId="BodyTextIndent">
    <w:name w:val="Body Text Indent"/>
    <w:basedOn w:val="Normal"/>
    <w:uiPriority w:val="99"/>
    <w:semiHidden/>
    <w:rsid w:val="005675E0"/>
    <w:pPr>
      <w:ind w:left="283"/>
    </w:pPr>
  </w:style>
  <w:style w:type="paragraph" w:styleId="BodyTextFirstIndent2">
    <w:name w:val="Body Text First Indent 2"/>
    <w:basedOn w:val="BodyTextIndent"/>
    <w:uiPriority w:val="99"/>
    <w:semiHidden/>
    <w:rsid w:val="005675E0"/>
    <w:pPr>
      <w:ind w:firstLine="210"/>
    </w:pPr>
  </w:style>
  <w:style w:type="paragraph" w:styleId="BodyTextIndent2">
    <w:name w:val="Body Text Indent 2"/>
    <w:basedOn w:val="Normal"/>
    <w:uiPriority w:val="99"/>
    <w:semiHidden/>
    <w:rsid w:val="005675E0"/>
    <w:pPr>
      <w:spacing w:line="480" w:lineRule="auto"/>
      <w:ind w:left="283"/>
    </w:pPr>
  </w:style>
  <w:style w:type="paragraph" w:styleId="BodyTextIndent3">
    <w:name w:val="Body Text Indent 3"/>
    <w:basedOn w:val="Normal"/>
    <w:uiPriority w:val="99"/>
    <w:semiHidden/>
    <w:rsid w:val="005675E0"/>
    <w:pPr>
      <w:ind w:left="283"/>
    </w:pPr>
    <w:rPr>
      <w:sz w:val="16"/>
      <w:szCs w:val="16"/>
    </w:rPr>
  </w:style>
  <w:style w:type="paragraph" w:styleId="Closing">
    <w:name w:val="Closing"/>
    <w:basedOn w:val="Normal"/>
    <w:uiPriority w:val="99"/>
    <w:semiHidden/>
    <w:rsid w:val="005675E0"/>
    <w:pPr>
      <w:ind w:left="4252"/>
    </w:pPr>
  </w:style>
  <w:style w:type="paragraph" w:styleId="Date">
    <w:name w:val="Date"/>
    <w:basedOn w:val="Normal"/>
    <w:next w:val="Normal"/>
    <w:uiPriority w:val="99"/>
    <w:semiHidden/>
    <w:rsid w:val="005675E0"/>
  </w:style>
  <w:style w:type="paragraph" w:styleId="E-mailSignature">
    <w:name w:val="E-mail Signature"/>
    <w:basedOn w:val="Normal"/>
    <w:uiPriority w:val="99"/>
    <w:semiHidden/>
    <w:rsid w:val="005675E0"/>
  </w:style>
  <w:style w:type="character" w:styleId="Emphasis">
    <w:name w:val="Emphasis"/>
    <w:uiPriority w:val="99"/>
    <w:semiHidden/>
    <w:qFormat/>
    <w:rsid w:val="005D5A31"/>
    <w:rPr>
      <w:rFonts w:ascii="Calibri" w:hAnsi="Calibri"/>
      <w:i/>
      <w:iCs/>
    </w:rPr>
  </w:style>
  <w:style w:type="paragraph" w:styleId="EnvelopeAddress">
    <w:name w:val="envelope address"/>
    <w:basedOn w:val="Normal"/>
    <w:uiPriority w:val="99"/>
    <w:semiHidden/>
    <w:rsid w:val="005675E0"/>
    <w:pPr>
      <w:framePr w:w="7920" w:h="1980" w:hRule="exact" w:hSpace="180" w:wrap="auto" w:hAnchor="page" w:xAlign="center" w:yAlign="bottom"/>
      <w:ind w:left="2880"/>
    </w:pPr>
    <w:rPr>
      <w:rFonts w:cs="Arial"/>
    </w:rPr>
  </w:style>
  <w:style w:type="paragraph" w:styleId="EnvelopeReturn">
    <w:name w:val="envelope return"/>
    <w:basedOn w:val="Normal"/>
    <w:uiPriority w:val="99"/>
    <w:semiHidden/>
    <w:rsid w:val="005675E0"/>
    <w:rPr>
      <w:rFonts w:cs="Arial"/>
      <w:sz w:val="20"/>
      <w:szCs w:val="20"/>
    </w:rPr>
  </w:style>
  <w:style w:type="character" w:styleId="FollowedHyperlink">
    <w:name w:val="FollowedHyperlink"/>
    <w:uiPriority w:val="99"/>
    <w:semiHidden/>
    <w:rsid w:val="005675E0"/>
    <w:rPr>
      <w:color w:val="800080"/>
      <w:u w:val="single"/>
    </w:rPr>
  </w:style>
  <w:style w:type="paragraph" w:styleId="Footer">
    <w:name w:val="footer"/>
    <w:basedOn w:val="Normal"/>
    <w:link w:val="FooterChar"/>
    <w:uiPriority w:val="99"/>
    <w:rsid w:val="005F76CC"/>
    <w:pPr>
      <w:spacing w:before="40" w:after="40"/>
      <w:contextualSpacing/>
    </w:pPr>
    <w:rPr>
      <w:i/>
      <w:sz w:val="20"/>
    </w:rPr>
  </w:style>
  <w:style w:type="paragraph" w:styleId="Header">
    <w:name w:val="header"/>
    <w:basedOn w:val="Normal"/>
    <w:rsid w:val="00DD3BD0"/>
    <w:pPr>
      <w:spacing w:before="40" w:after="40"/>
    </w:pPr>
    <w:rPr>
      <w:color w:val="808080" w:themeColor="background1" w:themeShade="80"/>
      <w:sz w:val="22"/>
    </w:rPr>
  </w:style>
  <w:style w:type="character" w:styleId="HTMLAcronym">
    <w:name w:val="HTML Acronym"/>
    <w:basedOn w:val="DefaultParagraphFont"/>
    <w:uiPriority w:val="99"/>
    <w:semiHidden/>
    <w:rsid w:val="005675E0"/>
  </w:style>
  <w:style w:type="paragraph" w:styleId="HTMLAddress">
    <w:name w:val="HTML Address"/>
    <w:basedOn w:val="Normal"/>
    <w:uiPriority w:val="99"/>
    <w:semiHidden/>
    <w:rsid w:val="005675E0"/>
    <w:rPr>
      <w:i/>
      <w:iCs/>
    </w:rPr>
  </w:style>
  <w:style w:type="character" w:styleId="HTMLCite">
    <w:name w:val="HTML Cite"/>
    <w:uiPriority w:val="99"/>
    <w:semiHidden/>
    <w:rsid w:val="005675E0"/>
    <w:rPr>
      <w:i/>
      <w:iCs/>
    </w:rPr>
  </w:style>
  <w:style w:type="character" w:styleId="HTMLCode">
    <w:name w:val="HTML Code"/>
    <w:uiPriority w:val="99"/>
    <w:semiHidden/>
    <w:rsid w:val="005675E0"/>
    <w:rPr>
      <w:rFonts w:ascii="Courier New" w:hAnsi="Courier New" w:cs="Courier New"/>
      <w:sz w:val="20"/>
      <w:szCs w:val="20"/>
    </w:rPr>
  </w:style>
  <w:style w:type="character" w:styleId="HTMLDefinition">
    <w:name w:val="HTML Definition"/>
    <w:uiPriority w:val="99"/>
    <w:semiHidden/>
    <w:rsid w:val="005675E0"/>
    <w:rPr>
      <w:i/>
      <w:iCs/>
    </w:rPr>
  </w:style>
  <w:style w:type="character" w:styleId="HTMLKeyboard">
    <w:name w:val="HTML Keyboard"/>
    <w:uiPriority w:val="99"/>
    <w:semiHidden/>
    <w:rsid w:val="005675E0"/>
    <w:rPr>
      <w:rFonts w:ascii="Courier New" w:hAnsi="Courier New" w:cs="Courier New"/>
      <w:sz w:val="20"/>
      <w:szCs w:val="20"/>
    </w:rPr>
  </w:style>
  <w:style w:type="paragraph" w:styleId="HTMLPreformatted">
    <w:name w:val="HTML Preformatted"/>
    <w:basedOn w:val="Normal"/>
    <w:uiPriority w:val="99"/>
    <w:semiHidden/>
    <w:rsid w:val="005675E0"/>
    <w:rPr>
      <w:rFonts w:ascii="Courier New" w:hAnsi="Courier New" w:cs="Courier New"/>
      <w:sz w:val="20"/>
      <w:szCs w:val="20"/>
    </w:rPr>
  </w:style>
  <w:style w:type="character" w:styleId="HTMLSample">
    <w:name w:val="HTML Sample"/>
    <w:uiPriority w:val="99"/>
    <w:semiHidden/>
    <w:rsid w:val="005675E0"/>
    <w:rPr>
      <w:rFonts w:ascii="Courier New" w:hAnsi="Courier New" w:cs="Courier New"/>
    </w:rPr>
  </w:style>
  <w:style w:type="character" w:styleId="HTMLTypewriter">
    <w:name w:val="HTML Typewriter"/>
    <w:uiPriority w:val="99"/>
    <w:semiHidden/>
    <w:rsid w:val="005675E0"/>
    <w:rPr>
      <w:rFonts w:ascii="Courier New" w:hAnsi="Courier New" w:cs="Courier New"/>
      <w:sz w:val="20"/>
      <w:szCs w:val="20"/>
    </w:rPr>
  </w:style>
  <w:style w:type="character" w:styleId="HTMLVariable">
    <w:name w:val="HTML Variable"/>
    <w:uiPriority w:val="99"/>
    <w:semiHidden/>
    <w:rsid w:val="005675E0"/>
    <w:rPr>
      <w:i/>
      <w:iCs/>
    </w:rPr>
  </w:style>
  <w:style w:type="character" w:styleId="Hyperlink">
    <w:name w:val="Hyperlink"/>
    <w:uiPriority w:val="99"/>
    <w:rsid w:val="005675E0"/>
    <w:rPr>
      <w:color w:val="0000FF"/>
      <w:u w:val="single"/>
    </w:rPr>
  </w:style>
  <w:style w:type="character" w:styleId="LineNumber">
    <w:name w:val="line number"/>
    <w:basedOn w:val="DefaultParagraphFont"/>
    <w:uiPriority w:val="99"/>
    <w:semiHidden/>
    <w:rsid w:val="005675E0"/>
  </w:style>
  <w:style w:type="paragraph" w:styleId="List">
    <w:name w:val="List"/>
    <w:basedOn w:val="Normal"/>
    <w:uiPriority w:val="99"/>
    <w:semiHidden/>
    <w:rsid w:val="005675E0"/>
    <w:pPr>
      <w:ind w:left="283" w:hanging="283"/>
    </w:pPr>
  </w:style>
  <w:style w:type="paragraph" w:styleId="List2">
    <w:name w:val="List 2"/>
    <w:basedOn w:val="Normal"/>
    <w:uiPriority w:val="3"/>
    <w:semiHidden/>
    <w:rsid w:val="005675E0"/>
    <w:pPr>
      <w:ind w:left="566" w:hanging="283"/>
    </w:pPr>
  </w:style>
  <w:style w:type="paragraph" w:styleId="List3">
    <w:name w:val="List 3"/>
    <w:basedOn w:val="Normal"/>
    <w:uiPriority w:val="99"/>
    <w:semiHidden/>
    <w:rsid w:val="005675E0"/>
    <w:pPr>
      <w:ind w:left="849" w:hanging="283"/>
    </w:pPr>
  </w:style>
  <w:style w:type="paragraph" w:styleId="List4">
    <w:name w:val="List 4"/>
    <w:basedOn w:val="Normal"/>
    <w:uiPriority w:val="99"/>
    <w:semiHidden/>
    <w:rsid w:val="005675E0"/>
    <w:pPr>
      <w:ind w:left="1132" w:hanging="283"/>
    </w:pPr>
  </w:style>
  <w:style w:type="paragraph" w:styleId="List5">
    <w:name w:val="List 5"/>
    <w:basedOn w:val="Normal"/>
    <w:uiPriority w:val="99"/>
    <w:semiHidden/>
    <w:rsid w:val="005675E0"/>
    <w:pPr>
      <w:ind w:left="1415" w:hanging="283"/>
    </w:pPr>
  </w:style>
  <w:style w:type="paragraph" w:styleId="ListBullet">
    <w:name w:val="List Bullet"/>
    <w:basedOn w:val="Normal"/>
    <w:uiPriority w:val="99"/>
    <w:semiHidden/>
    <w:rsid w:val="005675E0"/>
    <w:pPr>
      <w:numPr>
        <w:numId w:val="9"/>
      </w:numPr>
    </w:pPr>
  </w:style>
  <w:style w:type="paragraph" w:styleId="ListBullet2">
    <w:name w:val="List Bullet 2"/>
    <w:basedOn w:val="Normal"/>
    <w:uiPriority w:val="99"/>
    <w:semiHidden/>
    <w:rsid w:val="005675E0"/>
    <w:pPr>
      <w:numPr>
        <w:numId w:val="10"/>
      </w:numPr>
    </w:pPr>
  </w:style>
  <w:style w:type="paragraph" w:styleId="ListBullet3">
    <w:name w:val="List Bullet 3"/>
    <w:basedOn w:val="Normal"/>
    <w:uiPriority w:val="99"/>
    <w:semiHidden/>
    <w:rsid w:val="005675E0"/>
    <w:pPr>
      <w:numPr>
        <w:numId w:val="11"/>
      </w:numPr>
    </w:pPr>
  </w:style>
  <w:style w:type="paragraph" w:styleId="ListBullet4">
    <w:name w:val="List Bullet 4"/>
    <w:basedOn w:val="Normal"/>
    <w:uiPriority w:val="99"/>
    <w:semiHidden/>
    <w:rsid w:val="005675E0"/>
    <w:pPr>
      <w:numPr>
        <w:numId w:val="12"/>
      </w:numPr>
    </w:pPr>
  </w:style>
  <w:style w:type="paragraph" w:styleId="ListBullet5">
    <w:name w:val="List Bullet 5"/>
    <w:basedOn w:val="Normal"/>
    <w:uiPriority w:val="99"/>
    <w:semiHidden/>
    <w:rsid w:val="005675E0"/>
    <w:pPr>
      <w:numPr>
        <w:numId w:val="13"/>
      </w:numPr>
    </w:pPr>
  </w:style>
  <w:style w:type="paragraph" w:styleId="ListContinue">
    <w:name w:val="List Continue"/>
    <w:basedOn w:val="Normal"/>
    <w:uiPriority w:val="99"/>
    <w:semiHidden/>
    <w:rsid w:val="005675E0"/>
    <w:pPr>
      <w:ind w:left="283"/>
    </w:pPr>
  </w:style>
  <w:style w:type="paragraph" w:styleId="ListContinue2">
    <w:name w:val="List Continue 2"/>
    <w:basedOn w:val="Normal"/>
    <w:uiPriority w:val="99"/>
    <w:semiHidden/>
    <w:rsid w:val="005675E0"/>
    <w:pPr>
      <w:ind w:left="566"/>
    </w:pPr>
  </w:style>
  <w:style w:type="paragraph" w:styleId="ListContinue3">
    <w:name w:val="List Continue 3"/>
    <w:basedOn w:val="Normal"/>
    <w:uiPriority w:val="99"/>
    <w:semiHidden/>
    <w:rsid w:val="005675E0"/>
    <w:pPr>
      <w:ind w:left="849"/>
    </w:pPr>
  </w:style>
  <w:style w:type="paragraph" w:styleId="ListContinue4">
    <w:name w:val="List Continue 4"/>
    <w:basedOn w:val="Normal"/>
    <w:uiPriority w:val="99"/>
    <w:semiHidden/>
    <w:rsid w:val="005675E0"/>
    <w:pPr>
      <w:ind w:left="1132"/>
    </w:pPr>
  </w:style>
  <w:style w:type="paragraph" w:styleId="ListContinue5">
    <w:name w:val="List Continue 5"/>
    <w:basedOn w:val="Normal"/>
    <w:uiPriority w:val="99"/>
    <w:semiHidden/>
    <w:rsid w:val="005675E0"/>
    <w:pPr>
      <w:ind w:left="1415"/>
    </w:pPr>
  </w:style>
  <w:style w:type="paragraph" w:styleId="ListNumber">
    <w:name w:val="List Number"/>
    <w:basedOn w:val="Normal"/>
    <w:uiPriority w:val="99"/>
    <w:semiHidden/>
    <w:rsid w:val="005675E0"/>
    <w:pPr>
      <w:numPr>
        <w:numId w:val="14"/>
      </w:numPr>
    </w:pPr>
  </w:style>
  <w:style w:type="paragraph" w:styleId="ListNumber2">
    <w:name w:val="List Number 2"/>
    <w:basedOn w:val="Normal"/>
    <w:uiPriority w:val="99"/>
    <w:semiHidden/>
    <w:rsid w:val="005675E0"/>
    <w:pPr>
      <w:numPr>
        <w:numId w:val="15"/>
      </w:numPr>
    </w:pPr>
  </w:style>
  <w:style w:type="paragraph" w:styleId="ListNumber3">
    <w:name w:val="List Number 3"/>
    <w:basedOn w:val="Normal"/>
    <w:uiPriority w:val="99"/>
    <w:semiHidden/>
    <w:rsid w:val="005675E0"/>
    <w:pPr>
      <w:numPr>
        <w:numId w:val="16"/>
      </w:numPr>
    </w:pPr>
  </w:style>
  <w:style w:type="paragraph" w:styleId="ListNumber4">
    <w:name w:val="List Number 4"/>
    <w:basedOn w:val="Normal"/>
    <w:uiPriority w:val="99"/>
    <w:semiHidden/>
    <w:rsid w:val="005675E0"/>
    <w:pPr>
      <w:numPr>
        <w:numId w:val="17"/>
      </w:numPr>
    </w:pPr>
  </w:style>
  <w:style w:type="paragraph" w:styleId="ListNumber5">
    <w:name w:val="List Number 5"/>
    <w:basedOn w:val="Normal"/>
    <w:uiPriority w:val="99"/>
    <w:semiHidden/>
    <w:rsid w:val="005675E0"/>
    <w:pPr>
      <w:numPr>
        <w:numId w:val="18"/>
      </w:numPr>
    </w:pPr>
  </w:style>
  <w:style w:type="paragraph" w:styleId="MessageHeader">
    <w:name w:val="Message Header"/>
    <w:basedOn w:val="Normal"/>
    <w:uiPriority w:val="99"/>
    <w:semiHidden/>
    <w:rsid w:val="005675E0"/>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uiPriority w:val="99"/>
    <w:semiHidden/>
    <w:rsid w:val="005675E0"/>
    <w:rPr>
      <w:rFonts w:ascii="Times New Roman" w:hAnsi="Times New Roman"/>
    </w:rPr>
  </w:style>
  <w:style w:type="paragraph" w:styleId="NormalIndent">
    <w:name w:val="Normal Indent"/>
    <w:basedOn w:val="Normal"/>
    <w:uiPriority w:val="99"/>
    <w:semiHidden/>
    <w:rsid w:val="005675E0"/>
    <w:pPr>
      <w:ind w:left="709"/>
    </w:pPr>
  </w:style>
  <w:style w:type="paragraph" w:styleId="NoteHeading">
    <w:name w:val="Note Heading"/>
    <w:basedOn w:val="Normal"/>
    <w:next w:val="Normal"/>
    <w:uiPriority w:val="99"/>
    <w:semiHidden/>
    <w:rsid w:val="005675E0"/>
  </w:style>
  <w:style w:type="character" w:customStyle="1" w:styleId="Heading1Char">
    <w:name w:val="Heading 1 Char"/>
    <w:basedOn w:val="DefaultParagraphFont"/>
    <w:link w:val="Heading1"/>
    <w:rsid w:val="005D5A31"/>
    <w:rPr>
      <w:rFonts w:eastAsiaTheme="minorHAnsi" w:cs="Arial"/>
      <w:b/>
      <w:bCs/>
      <w:color w:val="1F546B" w:themeColor="text2"/>
      <w:kern w:val="32"/>
      <w:sz w:val="52"/>
      <w:szCs w:val="32"/>
      <w:lang w:eastAsia="en-US"/>
    </w:rPr>
  </w:style>
  <w:style w:type="paragraph" w:styleId="PlainText">
    <w:name w:val="Plain Text"/>
    <w:basedOn w:val="Normal"/>
    <w:uiPriority w:val="99"/>
    <w:semiHidden/>
    <w:rsid w:val="005675E0"/>
    <w:rPr>
      <w:rFonts w:ascii="Courier New" w:hAnsi="Courier New" w:cs="Courier New"/>
      <w:sz w:val="20"/>
      <w:szCs w:val="20"/>
    </w:rPr>
  </w:style>
  <w:style w:type="paragraph" w:styleId="Salutation">
    <w:name w:val="Salutation"/>
    <w:basedOn w:val="Normal"/>
    <w:next w:val="Normal"/>
    <w:uiPriority w:val="99"/>
    <w:semiHidden/>
    <w:rsid w:val="005675E0"/>
  </w:style>
  <w:style w:type="paragraph" w:styleId="Signature">
    <w:name w:val="Signature"/>
    <w:basedOn w:val="Normal"/>
    <w:uiPriority w:val="99"/>
    <w:semiHidden/>
    <w:rsid w:val="005675E0"/>
    <w:pPr>
      <w:ind w:left="4252"/>
    </w:pPr>
  </w:style>
  <w:style w:type="character" w:styleId="Strong">
    <w:name w:val="Strong"/>
    <w:uiPriority w:val="99"/>
    <w:semiHidden/>
    <w:qFormat/>
    <w:rsid w:val="005D5A31"/>
    <w:rPr>
      <w:b/>
      <w:bCs/>
    </w:rPr>
  </w:style>
  <w:style w:type="paragraph" w:styleId="Subtitle">
    <w:name w:val="Subtitle"/>
    <w:basedOn w:val="Normal"/>
    <w:uiPriority w:val="1"/>
    <w:semiHidden/>
    <w:qFormat/>
    <w:rsid w:val="005D5A31"/>
    <w:pPr>
      <w:jc w:val="center"/>
    </w:pPr>
    <w:rPr>
      <w:b/>
      <w:color w:val="7BC7CE"/>
      <w:sz w:val="36"/>
      <w:szCs w:val="36"/>
    </w:rPr>
  </w:style>
  <w:style w:type="table" w:styleId="Table3Deffects1">
    <w:name w:val="Table 3D effects 1"/>
    <w:basedOn w:val="TableNormal"/>
    <w:semiHidden/>
    <w:rsid w:val="005675E0"/>
    <w:pPr>
      <w:spacing w:line="28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5675E0"/>
    <w:pPr>
      <w:spacing w:line="28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5675E0"/>
    <w:pPr>
      <w:spacing w:line="28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5675E0"/>
    <w:pPr>
      <w:spacing w:line="28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5675E0"/>
    <w:pPr>
      <w:spacing w:line="28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5675E0"/>
    <w:pPr>
      <w:spacing w:line="28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5675E0"/>
    <w:pPr>
      <w:spacing w:line="28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5675E0"/>
    <w:pPr>
      <w:spacing w:line="28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5675E0"/>
    <w:pPr>
      <w:spacing w:line="28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5675E0"/>
    <w:pPr>
      <w:spacing w:line="28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5675E0"/>
    <w:pPr>
      <w:spacing w:line="28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5675E0"/>
    <w:pPr>
      <w:spacing w:line="28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5675E0"/>
    <w:pPr>
      <w:spacing w:line="28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5675E0"/>
    <w:pPr>
      <w:spacing w:line="28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5675E0"/>
    <w:pPr>
      <w:spacing w:line="28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5675E0"/>
    <w:pPr>
      <w:spacing w:line="28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5675E0"/>
    <w:pPr>
      <w:spacing w:line="28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5675E0"/>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5675E0"/>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5675E0"/>
    <w:pPr>
      <w:spacing w:line="28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5675E0"/>
    <w:pPr>
      <w:spacing w:line="28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5675E0"/>
    <w:pPr>
      <w:spacing w:line="28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5675E0"/>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5675E0"/>
    <w:pPr>
      <w:spacing w:line="28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5675E0"/>
    <w:pPr>
      <w:spacing w:line="28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5675E0"/>
    <w:pPr>
      <w:spacing w:line="28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5675E0"/>
    <w:pPr>
      <w:spacing w:line="28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5675E0"/>
    <w:pPr>
      <w:spacing w:line="28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5675E0"/>
    <w:pPr>
      <w:spacing w:line="28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5675E0"/>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5675E0"/>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5675E0"/>
    <w:pPr>
      <w:spacing w:line="28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5675E0"/>
    <w:pPr>
      <w:spacing w:line="28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5675E0"/>
    <w:pPr>
      <w:spacing w:line="28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5675E0"/>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5675E0"/>
    <w:pPr>
      <w:spacing w:line="28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5675E0"/>
    <w:pPr>
      <w:spacing w:line="28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5675E0"/>
    <w:pPr>
      <w:spacing w:line="28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5675E0"/>
    <w:pPr>
      <w:spacing w:line="28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5675E0"/>
    <w:pPr>
      <w:spacing w:line="28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5675E0"/>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5675E0"/>
    <w:pPr>
      <w:spacing w:line="28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5675E0"/>
    <w:pPr>
      <w:spacing w:line="28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5675E0"/>
    <w:pPr>
      <w:spacing w:line="28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5D5A31"/>
    <w:pPr>
      <w:contextualSpacing/>
      <w:jc w:val="right"/>
    </w:pPr>
    <w:rPr>
      <w:b/>
      <w:color w:val="1F546B"/>
      <w:sz w:val="80"/>
      <w:szCs w:val="80"/>
    </w:rPr>
  </w:style>
  <w:style w:type="paragraph" w:customStyle="1" w:styleId="BodyTextIndentLevel1">
    <w:name w:val="Body Text Indent Level 1"/>
    <w:basedOn w:val="BodyText"/>
    <w:uiPriority w:val="3"/>
    <w:semiHidden/>
    <w:rsid w:val="005675E0"/>
    <w:pPr>
      <w:ind w:left="709"/>
    </w:pPr>
  </w:style>
  <w:style w:type="paragraph" w:customStyle="1" w:styleId="BodyTextIndentLevel2">
    <w:name w:val="Body Text Indent Level 2"/>
    <w:basedOn w:val="BodyText"/>
    <w:uiPriority w:val="3"/>
    <w:semiHidden/>
    <w:rsid w:val="005675E0"/>
    <w:pPr>
      <w:ind w:left="1276"/>
    </w:pPr>
  </w:style>
  <w:style w:type="paragraph" w:customStyle="1" w:styleId="BodyTextIndentLevel3">
    <w:name w:val="Body Text Indent Level 3"/>
    <w:basedOn w:val="BodyText"/>
    <w:uiPriority w:val="3"/>
    <w:semiHidden/>
    <w:rsid w:val="005675E0"/>
    <w:pPr>
      <w:numPr>
        <w:ilvl w:val="4"/>
        <w:numId w:val="8"/>
      </w:numPr>
    </w:pPr>
  </w:style>
  <w:style w:type="paragraph" w:customStyle="1" w:styleId="SingleSpacedParagraph">
    <w:name w:val="Single Spaced Paragraph"/>
    <w:basedOn w:val="Normal"/>
    <w:uiPriority w:val="99"/>
    <w:semiHidden/>
    <w:rsid w:val="005675E0"/>
  </w:style>
  <w:style w:type="paragraph" w:customStyle="1" w:styleId="Headingnumbered1">
    <w:name w:val="Heading numbered 1"/>
    <w:basedOn w:val="Heading1"/>
    <w:next w:val="Normal"/>
    <w:uiPriority w:val="1"/>
    <w:semiHidden/>
    <w:rsid w:val="00E367C5"/>
    <w:pPr>
      <w:numPr>
        <w:numId w:val="8"/>
      </w:numPr>
      <w:outlineLvl w:val="5"/>
    </w:pPr>
  </w:style>
  <w:style w:type="paragraph" w:customStyle="1" w:styleId="Headingnumbered2">
    <w:name w:val="Heading numbered 2"/>
    <w:basedOn w:val="Heading2"/>
    <w:next w:val="Normal"/>
    <w:uiPriority w:val="1"/>
    <w:semiHidden/>
    <w:rsid w:val="00E367C5"/>
    <w:pPr>
      <w:numPr>
        <w:ilvl w:val="1"/>
        <w:numId w:val="8"/>
      </w:numPr>
      <w:outlineLvl w:val="6"/>
    </w:pPr>
  </w:style>
  <w:style w:type="paragraph" w:customStyle="1" w:styleId="Headingnumbered3">
    <w:name w:val="Heading numbered 3"/>
    <w:basedOn w:val="Normal"/>
    <w:next w:val="Normal"/>
    <w:uiPriority w:val="1"/>
    <w:semiHidden/>
    <w:rsid w:val="00E367C5"/>
    <w:pPr>
      <w:numPr>
        <w:ilvl w:val="2"/>
        <w:numId w:val="8"/>
      </w:numPr>
      <w:spacing w:before="360"/>
    </w:pPr>
    <w:rPr>
      <w:b/>
      <w:color w:val="1F546B"/>
      <w:sz w:val="28"/>
    </w:rPr>
  </w:style>
  <w:style w:type="paragraph" w:customStyle="1" w:styleId="Headingnumbered4">
    <w:name w:val="Heading numbered 4"/>
    <w:basedOn w:val="Normal"/>
    <w:next w:val="Normal"/>
    <w:uiPriority w:val="1"/>
    <w:semiHidden/>
    <w:rsid w:val="00E367C5"/>
    <w:pPr>
      <w:numPr>
        <w:ilvl w:val="3"/>
        <w:numId w:val="8"/>
      </w:numPr>
      <w:spacing w:before="360"/>
    </w:pPr>
    <w:rPr>
      <w:b/>
      <w:i/>
      <w:color w:val="1F546B"/>
    </w:rPr>
  </w:style>
  <w:style w:type="paragraph" w:customStyle="1" w:styleId="Numberedpara1">
    <w:name w:val="Numbered para 1"/>
    <w:basedOn w:val="Numberedpara1heading"/>
    <w:semiHidden/>
    <w:rsid w:val="00A313C6"/>
  </w:style>
  <w:style w:type="paragraph" w:customStyle="1" w:styleId="Numberedpara2">
    <w:name w:val="Numbered para 2"/>
    <w:basedOn w:val="Normal"/>
    <w:semiHidden/>
    <w:rsid w:val="00FE5AD9"/>
  </w:style>
  <w:style w:type="paragraph" w:customStyle="1" w:styleId="Numberedpara3a">
    <w:name w:val="Numbered para 3 (a)"/>
    <w:basedOn w:val="Normal"/>
    <w:semiHidden/>
    <w:rsid w:val="00CF12CF"/>
  </w:style>
  <w:style w:type="paragraph" w:customStyle="1" w:styleId="Numberedpara4i">
    <w:name w:val="Numbered para 4 (i)"/>
    <w:basedOn w:val="Normal"/>
    <w:semiHidden/>
    <w:rsid w:val="00CF12CF"/>
  </w:style>
  <w:style w:type="paragraph" w:customStyle="1" w:styleId="Bullet">
    <w:name w:val="Bullet"/>
    <w:basedOn w:val="Normal"/>
    <w:rsid w:val="00A840D6"/>
    <w:pPr>
      <w:numPr>
        <w:numId w:val="5"/>
      </w:numPr>
      <w:spacing w:before="80" w:after="80"/>
    </w:pPr>
  </w:style>
  <w:style w:type="paragraph" w:customStyle="1" w:styleId="Bulletlevel2">
    <w:name w:val="Bullet level 2"/>
    <w:basedOn w:val="Normal"/>
    <w:uiPriority w:val="1"/>
    <w:semiHidden/>
    <w:rsid w:val="00A167D7"/>
    <w:pPr>
      <w:numPr>
        <w:ilvl w:val="1"/>
        <w:numId w:val="5"/>
      </w:numPr>
      <w:spacing w:before="80" w:after="80"/>
    </w:pPr>
  </w:style>
  <w:style w:type="paragraph" w:customStyle="1" w:styleId="Bulletlevel3">
    <w:name w:val="Bullet level 3"/>
    <w:basedOn w:val="Normal"/>
    <w:uiPriority w:val="1"/>
    <w:semiHidden/>
    <w:rsid w:val="00A167D7"/>
    <w:pPr>
      <w:numPr>
        <w:ilvl w:val="2"/>
        <w:numId w:val="5"/>
      </w:numPr>
      <w:spacing w:before="80" w:after="80"/>
    </w:pPr>
  </w:style>
  <w:style w:type="paragraph" w:customStyle="1" w:styleId="BodyTextBulletIndentLevel1">
    <w:name w:val="Body Text Bullet Indent Level 1"/>
    <w:basedOn w:val="BodyText"/>
    <w:uiPriority w:val="99"/>
    <w:semiHidden/>
    <w:rsid w:val="005675E0"/>
    <w:pPr>
      <w:ind w:left="567"/>
    </w:pPr>
  </w:style>
  <w:style w:type="paragraph" w:customStyle="1" w:styleId="BodyTextBulletIndentLevel2">
    <w:name w:val="Body Text Bullet Indent Level 2"/>
    <w:basedOn w:val="BodyText"/>
    <w:uiPriority w:val="99"/>
    <w:semiHidden/>
    <w:rsid w:val="005675E0"/>
    <w:pPr>
      <w:ind w:left="1134"/>
    </w:pPr>
  </w:style>
  <w:style w:type="paragraph" w:customStyle="1" w:styleId="BodyTextBulletIndentLevel3">
    <w:name w:val="Body Text Bullet Indent Level 3"/>
    <w:basedOn w:val="BodyText"/>
    <w:uiPriority w:val="99"/>
    <w:semiHidden/>
    <w:rsid w:val="005675E0"/>
    <w:pPr>
      <w:ind w:left="1701"/>
    </w:pPr>
  </w:style>
  <w:style w:type="paragraph" w:customStyle="1" w:styleId="ListABC">
    <w:name w:val="List A B C"/>
    <w:basedOn w:val="Normal"/>
    <w:semiHidden/>
    <w:rsid w:val="00CF12CF"/>
    <w:pPr>
      <w:numPr>
        <w:numId w:val="20"/>
      </w:numPr>
      <w:spacing w:before="80" w:after="80"/>
    </w:pPr>
  </w:style>
  <w:style w:type="paragraph" w:customStyle="1" w:styleId="List123">
    <w:name w:val="List 1 2 3"/>
    <w:basedOn w:val="Normal"/>
    <w:rsid w:val="00CF12CF"/>
    <w:pPr>
      <w:numPr>
        <w:numId w:val="21"/>
      </w:numPr>
      <w:spacing w:before="80" w:after="80"/>
    </w:pPr>
  </w:style>
  <w:style w:type="paragraph" w:styleId="FootnoteText">
    <w:name w:val="footnote text"/>
    <w:basedOn w:val="Normal"/>
    <w:link w:val="FootnoteTextChar"/>
    <w:rsid w:val="00890CE4"/>
    <w:pPr>
      <w:spacing w:before="60" w:after="60" w:line="192" w:lineRule="auto"/>
      <w:ind w:left="130" w:hanging="130"/>
    </w:pPr>
    <w:rPr>
      <w:sz w:val="20"/>
      <w:szCs w:val="20"/>
    </w:rPr>
  </w:style>
  <w:style w:type="character" w:styleId="FootnoteReference">
    <w:name w:val="footnote reference"/>
    <w:aliases w:val="Footnote Number"/>
    <w:semiHidden/>
    <w:rsid w:val="0040020C"/>
    <w:rPr>
      <w:rFonts w:ascii="Calibri" w:hAnsi="Calibri"/>
      <w:sz w:val="24"/>
      <w:vertAlign w:val="superscript"/>
    </w:rPr>
  </w:style>
  <w:style w:type="paragraph" w:styleId="TOC1">
    <w:name w:val="toc 1"/>
    <w:basedOn w:val="Normal"/>
    <w:next w:val="Normal"/>
    <w:uiPriority w:val="39"/>
    <w:rsid w:val="0030084C"/>
    <w:pPr>
      <w:tabs>
        <w:tab w:val="right" w:leader="dot" w:pos="9072"/>
      </w:tabs>
      <w:spacing w:before="200" w:after="60"/>
      <w:ind w:right="567"/>
    </w:pPr>
    <w:rPr>
      <w:b/>
      <w:color w:val="1F546B"/>
    </w:rPr>
  </w:style>
  <w:style w:type="paragraph" w:styleId="TOC2">
    <w:name w:val="toc 2"/>
    <w:basedOn w:val="Normal"/>
    <w:next w:val="Normal"/>
    <w:uiPriority w:val="39"/>
    <w:rsid w:val="0030084C"/>
    <w:pPr>
      <w:tabs>
        <w:tab w:val="left" w:pos="993"/>
        <w:tab w:val="right" w:leader="dot" w:pos="9072"/>
      </w:tabs>
      <w:spacing w:before="60" w:after="60"/>
      <w:ind w:left="425" w:right="567"/>
    </w:pPr>
    <w:rPr>
      <w:noProof/>
    </w:rPr>
  </w:style>
  <w:style w:type="paragraph" w:styleId="TOC3">
    <w:name w:val="toc 3"/>
    <w:basedOn w:val="Normal"/>
    <w:next w:val="Normal"/>
    <w:autoRedefine/>
    <w:uiPriority w:val="39"/>
    <w:rsid w:val="0030084C"/>
    <w:pPr>
      <w:tabs>
        <w:tab w:val="left" w:pos="1701"/>
        <w:tab w:val="right" w:leader="dot" w:pos="9072"/>
      </w:tabs>
      <w:spacing w:before="60" w:after="60"/>
      <w:ind w:left="992" w:right="567"/>
    </w:pPr>
    <w:rPr>
      <w:noProof/>
    </w:rPr>
  </w:style>
  <w:style w:type="paragraph" w:styleId="TOC4">
    <w:name w:val="toc 4"/>
    <w:basedOn w:val="Normal"/>
    <w:next w:val="Normal"/>
    <w:autoRedefine/>
    <w:uiPriority w:val="39"/>
    <w:semiHidden/>
    <w:rsid w:val="0030084C"/>
    <w:pPr>
      <w:tabs>
        <w:tab w:val="right" w:leader="dot" w:pos="9072"/>
      </w:tabs>
      <w:spacing w:before="60" w:after="60"/>
      <w:ind w:left="1701" w:right="567"/>
    </w:pPr>
    <w:rPr>
      <w:noProof/>
    </w:rPr>
  </w:style>
  <w:style w:type="paragraph" w:styleId="TOC5">
    <w:name w:val="toc 5"/>
    <w:aliases w:val="appendix heading"/>
    <w:basedOn w:val="Normal"/>
    <w:next w:val="Normal"/>
    <w:autoRedefine/>
    <w:uiPriority w:val="39"/>
    <w:semiHidden/>
    <w:rsid w:val="0030084C"/>
    <w:pPr>
      <w:tabs>
        <w:tab w:val="right" w:leader="dot" w:pos="9072"/>
      </w:tabs>
      <w:spacing w:after="60"/>
      <w:ind w:right="567"/>
      <w:contextualSpacing/>
    </w:pPr>
    <w:rPr>
      <w:noProof/>
    </w:rPr>
  </w:style>
  <w:style w:type="paragraph" w:customStyle="1" w:styleId="HeadingContents">
    <w:name w:val="Heading Contents"/>
    <w:basedOn w:val="HeadingTableofFigures"/>
    <w:uiPriority w:val="99"/>
    <w:semiHidden/>
    <w:rsid w:val="005675E0"/>
  </w:style>
  <w:style w:type="paragraph" w:customStyle="1" w:styleId="Tableheading">
    <w:name w:val="Table heading"/>
    <w:basedOn w:val="Normal"/>
    <w:rsid w:val="00CF12CF"/>
    <w:pPr>
      <w:spacing w:before="40" w:after="40"/>
    </w:pPr>
    <w:rPr>
      <w:b/>
      <w:color w:val="FFFFFF" w:themeColor="background1"/>
      <w:sz w:val="22"/>
    </w:rPr>
  </w:style>
  <w:style w:type="character" w:customStyle="1" w:styleId="Heading2Char">
    <w:name w:val="Heading 2 Char"/>
    <w:basedOn w:val="DefaultParagraphFont"/>
    <w:link w:val="Heading2"/>
    <w:rsid w:val="005D5A31"/>
    <w:rPr>
      <w:rFonts w:eastAsiaTheme="minorHAnsi" w:cs="Arial"/>
      <w:b/>
      <w:bCs/>
      <w:iCs/>
      <w:color w:val="1F546B"/>
      <w:sz w:val="36"/>
      <w:szCs w:val="28"/>
      <w:lang w:eastAsia="en-US"/>
    </w:rPr>
  </w:style>
  <w:style w:type="paragraph" w:customStyle="1" w:styleId="BodyTextTable">
    <w:name w:val="Body Text Table"/>
    <w:basedOn w:val="BodyText"/>
    <w:uiPriority w:val="11"/>
    <w:semiHidden/>
    <w:rsid w:val="00761293"/>
    <w:pPr>
      <w:spacing w:after="180" w:line="260" w:lineRule="atLeast"/>
    </w:pPr>
    <w:rPr>
      <w:sz w:val="22"/>
    </w:rPr>
  </w:style>
  <w:style w:type="paragraph" w:customStyle="1" w:styleId="BodyTextTableLastLine">
    <w:name w:val="Body Text Table Last Line"/>
    <w:basedOn w:val="BodyTextTable"/>
    <w:uiPriority w:val="99"/>
    <w:semiHidden/>
    <w:rsid w:val="005675E0"/>
    <w:pPr>
      <w:spacing w:after="0"/>
    </w:pPr>
  </w:style>
  <w:style w:type="paragraph" w:customStyle="1" w:styleId="Tablebullet">
    <w:name w:val="Table bullet"/>
    <w:basedOn w:val="Tablenormal0"/>
    <w:rsid w:val="0082264B"/>
    <w:pPr>
      <w:numPr>
        <w:numId w:val="6"/>
      </w:numPr>
    </w:pPr>
  </w:style>
  <w:style w:type="paragraph" w:customStyle="1" w:styleId="Tablebulletlevel2">
    <w:name w:val="Table bullet level 2"/>
    <w:basedOn w:val="Tablenormal0"/>
    <w:uiPriority w:val="99"/>
    <w:semiHidden/>
    <w:rsid w:val="00CF12CF"/>
    <w:pPr>
      <w:numPr>
        <w:ilvl w:val="1"/>
        <w:numId w:val="6"/>
      </w:numPr>
    </w:pPr>
  </w:style>
  <w:style w:type="paragraph" w:customStyle="1" w:styleId="TableBulletListLevel3">
    <w:name w:val="Table Bullet List Level 3"/>
    <w:basedOn w:val="BodyTextTable"/>
    <w:uiPriority w:val="11"/>
    <w:semiHidden/>
    <w:rsid w:val="009D28CF"/>
    <w:pPr>
      <w:numPr>
        <w:ilvl w:val="2"/>
        <w:numId w:val="6"/>
      </w:numPr>
      <w:spacing w:before="60" w:after="60"/>
    </w:pPr>
  </w:style>
  <w:style w:type="paragraph" w:customStyle="1" w:styleId="Tablelist123">
    <w:name w:val="Table list 1 2 3"/>
    <w:basedOn w:val="Tablenormal0"/>
    <w:rsid w:val="00CF12CF"/>
    <w:pPr>
      <w:numPr>
        <w:numId w:val="19"/>
      </w:numPr>
    </w:pPr>
  </w:style>
  <w:style w:type="paragraph" w:customStyle="1" w:styleId="Tablelist123level2">
    <w:name w:val="Table list 1 2 3 level 2"/>
    <w:basedOn w:val="Tablenormal0"/>
    <w:semiHidden/>
    <w:rsid w:val="00CF12CF"/>
    <w:pPr>
      <w:numPr>
        <w:ilvl w:val="1"/>
        <w:numId w:val="19"/>
      </w:numPr>
    </w:pPr>
  </w:style>
  <w:style w:type="character" w:customStyle="1" w:styleId="Heading4Char">
    <w:name w:val="Heading 4 Char"/>
    <w:basedOn w:val="DefaultParagraphFont"/>
    <w:link w:val="Heading4"/>
    <w:rsid w:val="005D5A31"/>
    <w:rPr>
      <w:rFonts w:eastAsiaTheme="minorHAnsi"/>
      <w:b/>
      <w:bCs/>
      <w:i/>
      <w:color w:val="1F546B" w:themeColor="text2"/>
      <w:szCs w:val="28"/>
      <w:lang w:eastAsia="en-US"/>
    </w:rPr>
  </w:style>
  <w:style w:type="paragraph" w:customStyle="1" w:styleId="BodyTextTableLevel1">
    <w:name w:val="Body Text Table Level 1"/>
    <w:basedOn w:val="BodyTextTable"/>
    <w:uiPriority w:val="11"/>
    <w:semiHidden/>
    <w:rsid w:val="005675E0"/>
    <w:pPr>
      <w:numPr>
        <w:numId w:val="4"/>
      </w:numPr>
    </w:pPr>
  </w:style>
  <w:style w:type="paragraph" w:customStyle="1" w:styleId="BodyTextTableLevel2">
    <w:name w:val="Body Text Table Level 2"/>
    <w:basedOn w:val="BodyTextTable"/>
    <w:uiPriority w:val="11"/>
    <w:semiHidden/>
    <w:rsid w:val="005675E0"/>
    <w:pPr>
      <w:numPr>
        <w:ilvl w:val="1"/>
        <w:numId w:val="4"/>
      </w:numPr>
    </w:pPr>
  </w:style>
  <w:style w:type="paragraph" w:customStyle="1" w:styleId="BodyTextTableLevel3">
    <w:name w:val="Body Text Table Level 3"/>
    <w:basedOn w:val="BodyTextTable"/>
    <w:uiPriority w:val="11"/>
    <w:semiHidden/>
    <w:rsid w:val="005675E0"/>
    <w:pPr>
      <w:numPr>
        <w:ilvl w:val="3"/>
        <w:numId w:val="19"/>
      </w:numPr>
    </w:pPr>
  </w:style>
  <w:style w:type="paragraph" w:styleId="Caption">
    <w:name w:val="caption"/>
    <w:basedOn w:val="Normal"/>
    <w:next w:val="Normal"/>
    <w:qFormat/>
    <w:rsid w:val="005D5A31"/>
    <w:pPr>
      <w:keepNext/>
      <w:spacing w:before="80" w:after="80"/>
      <w:jc w:val="center"/>
    </w:pPr>
    <w:rPr>
      <w:b/>
      <w:bCs/>
      <w:sz w:val="22"/>
      <w:szCs w:val="20"/>
    </w:rPr>
  </w:style>
  <w:style w:type="paragraph" w:customStyle="1" w:styleId="WhiteSpace">
    <w:name w:val="White Space"/>
    <w:basedOn w:val="Normal"/>
    <w:uiPriority w:val="99"/>
    <w:semiHidden/>
    <w:rsid w:val="005675E0"/>
    <w:rPr>
      <w:sz w:val="12"/>
    </w:rPr>
  </w:style>
  <w:style w:type="table" w:customStyle="1" w:styleId="TableDIA">
    <w:name w:val="Table DIA"/>
    <w:basedOn w:val="TableNormal"/>
    <w:rsid w:val="005675E0"/>
    <w:rPr>
      <w:rFonts w:ascii="Arial" w:hAnsi="Arial"/>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57" w:type="dxa"/>
        <w:bottom w:w="57" w:type="dxa"/>
      </w:tblCellMar>
    </w:tblPr>
    <w:trPr>
      <w:cantSplit/>
    </w:trPr>
    <w:tblStylePr w:type="firstRow">
      <w:rPr>
        <w:rFonts w:ascii="Arial" w:hAnsi="Arial"/>
        <w:b w:val="0"/>
        <w:bCs/>
        <w:color w:val="auto"/>
        <w:sz w:val="20"/>
      </w:rPr>
      <w:tblPr/>
      <w:trPr>
        <w:cantSplit w:val="0"/>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000000" w:fill="CCCCCC"/>
      </w:tcPr>
    </w:tblStylePr>
  </w:style>
  <w:style w:type="paragraph" w:customStyle="1" w:styleId="Headingappendix">
    <w:name w:val="Heading appendix"/>
    <w:basedOn w:val="Heading1"/>
    <w:next w:val="Normal"/>
    <w:rsid w:val="00B969ED"/>
    <w:pPr>
      <w:numPr>
        <w:numId w:val="7"/>
      </w:numPr>
      <w:tabs>
        <w:tab w:val="left" w:pos="2268"/>
      </w:tabs>
      <w:spacing w:before="0"/>
      <w:outlineLvl w:val="7"/>
    </w:pPr>
  </w:style>
  <w:style w:type="paragraph" w:customStyle="1" w:styleId="NotforContentsheading1">
    <w:name w:val="Not for Contents heading 1"/>
    <w:basedOn w:val="Normal"/>
    <w:next w:val="Normal"/>
    <w:rsid w:val="00B62134"/>
    <w:pPr>
      <w:keepNext/>
    </w:pPr>
    <w:rPr>
      <w:b/>
      <w:color w:val="1F546B"/>
      <w:kern w:val="32"/>
      <w:sz w:val="52"/>
    </w:rPr>
  </w:style>
  <w:style w:type="paragraph" w:styleId="TOC6">
    <w:name w:val="toc 6"/>
    <w:basedOn w:val="Normal"/>
    <w:next w:val="Normal"/>
    <w:autoRedefine/>
    <w:uiPriority w:val="99"/>
    <w:semiHidden/>
    <w:rsid w:val="005675E0"/>
    <w:pPr>
      <w:tabs>
        <w:tab w:val="right" w:pos="9072"/>
      </w:tabs>
      <w:spacing w:before="200"/>
      <w:ind w:left="567" w:right="567" w:hanging="567"/>
    </w:pPr>
    <w:rPr>
      <w:b/>
    </w:rPr>
  </w:style>
  <w:style w:type="paragraph" w:styleId="TOC7">
    <w:name w:val="toc 7"/>
    <w:basedOn w:val="Normal"/>
    <w:next w:val="Normal"/>
    <w:autoRedefine/>
    <w:uiPriority w:val="99"/>
    <w:semiHidden/>
    <w:rsid w:val="005675E0"/>
    <w:pPr>
      <w:tabs>
        <w:tab w:val="left" w:pos="567"/>
        <w:tab w:val="right" w:pos="9072"/>
      </w:tabs>
      <w:ind w:left="567" w:right="567" w:hanging="567"/>
    </w:pPr>
  </w:style>
  <w:style w:type="paragraph" w:styleId="TOC8">
    <w:name w:val="toc 8"/>
    <w:basedOn w:val="Normal"/>
    <w:next w:val="Normal"/>
    <w:autoRedefine/>
    <w:uiPriority w:val="99"/>
    <w:semiHidden/>
    <w:rsid w:val="005675E0"/>
    <w:pPr>
      <w:tabs>
        <w:tab w:val="right" w:pos="9072"/>
      </w:tabs>
      <w:spacing w:before="200"/>
      <w:ind w:left="284" w:hanging="284"/>
    </w:pPr>
    <w:rPr>
      <w:b/>
    </w:rPr>
  </w:style>
  <w:style w:type="paragraph" w:customStyle="1" w:styleId="ListABClevel2">
    <w:name w:val="List A B C level 2"/>
    <w:basedOn w:val="Normal"/>
    <w:uiPriority w:val="1"/>
    <w:semiHidden/>
    <w:qFormat/>
    <w:rsid w:val="005D5A31"/>
    <w:pPr>
      <w:numPr>
        <w:ilvl w:val="1"/>
        <w:numId w:val="20"/>
      </w:numPr>
      <w:spacing w:before="80" w:after="80"/>
    </w:pPr>
  </w:style>
  <w:style w:type="paragraph" w:customStyle="1" w:styleId="NotforContentsheading2">
    <w:name w:val="Not for Contents heading 2"/>
    <w:basedOn w:val="Normal"/>
    <w:next w:val="Normal"/>
    <w:rsid w:val="00E367C5"/>
    <w:pPr>
      <w:keepNext/>
      <w:spacing w:before="360"/>
    </w:pPr>
    <w:rPr>
      <w:b/>
      <w:color w:val="1F546B"/>
      <w:sz w:val="36"/>
    </w:rPr>
  </w:style>
  <w:style w:type="character" w:customStyle="1" w:styleId="Heading3Char">
    <w:name w:val="Heading 3 Char"/>
    <w:link w:val="Heading3"/>
    <w:rsid w:val="005D5A31"/>
    <w:rPr>
      <w:rFonts w:eastAsiaTheme="minorHAnsi" w:cs="Arial"/>
      <w:b/>
      <w:bCs/>
      <w:color w:val="1F546B"/>
      <w:sz w:val="28"/>
      <w:szCs w:val="26"/>
      <w:lang w:eastAsia="en-US"/>
    </w:rPr>
  </w:style>
  <w:style w:type="paragraph" w:styleId="BalloonText">
    <w:name w:val="Balloon Text"/>
    <w:basedOn w:val="Normal"/>
    <w:uiPriority w:val="99"/>
    <w:semiHidden/>
    <w:rsid w:val="005675E0"/>
    <w:rPr>
      <w:rFonts w:ascii="Tahoma" w:hAnsi="Tahoma" w:cs="Tahoma"/>
      <w:sz w:val="16"/>
      <w:szCs w:val="16"/>
    </w:rPr>
  </w:style>
  <w:style w:type="paragraph" w:styleId="TableofFigures">
    <w:name w:val="table of figures"/>
    <w:basedOn w:val="Normal"/>
    <w:next w:val="Normal"/>
    <w:uiPriority w:val="99"/>
    <w:semiHidden/>
    <w:rsid w:val="006B3396"/>
    <w:pPr>
      <w:keepNext/>
      <w:spacing w:before="480" w:after="0"/>
    </w:pPr>
    <w:rPr>
      <w:rFonts w:eastAsiaTheme="majorEastAsia" w:cstheme="majorBidi"/>
      <w:b/>
      <w:bCs/>
      <w:color w:val="1F546B"/>
      <w:sz w:val="60"/>
      <w:szCs w:val="28"/>
      <w:lang w:val="en-US" w:eastAsia="ja-JP"/>
    </w:rPr>
  </w:style>
  <w:style w:type="paragraph" w:customStyle="1" w:styleId="HeadingTableofTables">
    <w:name w:val="Heading Table of Tables"/>
    <w:basedOn w:val="HeadingContents"/>
    <w:next w:val="BodyText"/>
    <w:uiPriority w:val="4"/>
    <w:semiHidden/>
    <w:rsid w:val="005675E0"/>
    <w:pPr>
      <w:spacing w:after="60"/>
    </w:pPr>
  </w:style>
  <w:style w:type="paragraph" w:customStyle="1" w:styleId="HeadingTableofFigures">
    <w:name w:val="Heading Table of Figures"/>
    <w:next w:val="BodyText"/>
    <w:uiPriority w:val="4"/>
    <w:semiHidden/>
    <w:rsid w:val="005675E0"/>
    <w:rPr>
      <w:rFonts w:eastAsiaTheme="majorEastAsia" w:cstheme="majorBidi"/>
      <w:b/>
      <w:bCs/>
      <w:color w:val="1F546B"/>
      <w:sz w:val="60"/>
      <w:szCs w:val="28"/>
      <w:lang w:val="en-US" w:eastAsia="ja-JP"/>
    </w:rPr>
  </w:style>
  <w:style w:type="table" w:customStyle="1" w:styleId="DIATable">
    <w:name w:val="_DIA Table"/>
    <w:basedOn w:val="TableNormal"/>
    <w:uiPriority w:val="99"/>
    <w:rsid w:val="00687CA4"/>
    <w:pPr>
      <w:spacing w:before="56" w:after="32"/>
    </w:pPr>
    <w:rPr>
      <w:rFonts w:eastAsiaTheme="minorHAnsi" w:cstheme="minorBidi"/>
      <w:sz w:val="22"/>
      <w:lang w:eastAsia="en-US"/>
    </w:rPr>
    <w:tblPr>
      <w:tblInd w:w="108" w:type="dxa"/>
      <w:tblBorders>
        <w:top w:val="single" w:sz="12" w:space="0" w:color="1F546B" w:themeColor="text2"/>
        <w:left w:val="single" w:sz="12" w:space="0" w:color="1F546B" w:themeColor="text2"/>
        <w:bottom w:val="single" w:sz="12" w:space="0" w:color="1F546B" w:themeColor="text2"/>
        <w:right w:val="single" w:sz="12" w:space="0" w:color="1F546B" w:themeColor="text2"/>
        <w:insideH w:val="single" w:sz="6" w:space="0" w:color="1F546B" w:themeColor="text2"/>
        <w:insideV w:val="single" w:sz="6" w:space="0" w:color="1F546B" w:themeColor="text2"/>
      </w:tblBorders>
    </w:tblPr>
    <w:trPr>
      <w:cantSplit/>
    </w:trPr>
    <w:tblStylePr w:type="firstRow">
      <w:pPr>
        <w:wordWrap/>
        <w:spacing w:beforeLines="0" w:before="60" w:beforeAutospacing="0" w:afterLines="0" w:after="32" w:afterAutospacing="0" w:line="240" w:lineRule="auto"/>
        <w:contextualSpacing w:val="0"/>
      </w:pPr>
      <w:rPr>
        <w:rFonts w:ascii="Calibri" w:hAnsi="Calibri"/>
        <w:b/>
        <w:color w:val="FFFFFF" w:themeColor="background1"/>
        <w:sz w:val="22"/>
      </w:rPr>
      <w:tblPr/>
      <w:tcPr>
        <w:tcBorders>
          <w:top w:val="single" w:sz="6" w:space="0" w:color="1F546B" w:themeColor="text2"/>
          <w:left w:val="single" w:sz="12" w:space="0" w:color="1F546B" w:themeColor="text2"/>
          <w:bottom w:val="nil"/>
          <w:right w:val="single" w:sz="12" w:space="0" w:color="1F546B" w:themeColor="text2"/>
          <w:insideH w:val="single" w:sz="6" w:space="0" w:color="FFFFFF" w:themeColor="background1"/>
          <w:insideV w:val="single" w:sz="6" w:space="0" w:color="FFFFFF" w:themeColor="background1"/>
          <w:tl2br w:val="nil"/>
          <w:tr2bl w:val="nil"/>
        </w:tcBorders>
        <w:shd w:val="clear" w:color="auto" w:fill="1F546B" w:themeFill="text2"/>
      </w:tcPr>
    </w:tblStylePr>
  </w:style>
  <w:style w:type="character" w:styleId="SubtleEmphasis">
    <w:name w:val="Subtle Emphasis"/>
    <w:basedOn w:val="DefaultParagraphFont"/>
    <w:uiPriority w:val="99"/>
    <w:semiHidden/>
    <w:qFormat/>
    <w:rsid w:val="005D5A31"/>
    <w:rPr>
      <w:i/>
      <w:iCs/>
    </w:rPr>
  </w:style>
  <w:style w:type="character" w:styleId="IntenseEmphasis">
    <w:name w:val="Intense Emphasis"/>
    <w:uiPriority w:val="99"/>
    <w:semiHidden/>
    <w:qFormat/>
    <w:rsid w:val="005D5A31"/>
    <w:rPr>
      <w:b/>
      <w:i/>
    </w:rPr>
  </w:style>
  <w:style w:type="paragraph" w:styleId="ListParagraph">
    <w:name w:val="List Paragraph"/>
    <w:basedOn w:val="List123"/>
    <w:uiPriority w:val="34"/>
    <w:qFormat/>
    <w:rsid w:val="005D5A31"/>
    <w:pPr>
      <w:numPr>
        <w:numId w:val="0"/>
      </w:numPr>
    </w:pPr>
  </w:style>
  <w:style w:type="character" w:customStyle="1" w:styleId="Heading5Char">
    <w:name w:val="Heading 5 Char"/>
    <w:basedOn w:val="DefaultParagraphFont"/>
    <w:link w:val="Heading5"/>
    <w:uiPriority w:val="1"/>
    <w:semiHidden/>
    <w:rsid w:val="005D5A31"/>
    <w:rPr>
      <w:rFonts w:eastAsiaTheme="minorHAnsi"/>
      <w:b/>
      <w:bCs/>
      <w:iCs/>
      <w:szCs w:val="26"/>
      <w:lang w:eastAsia="en-US"/>
    </w:rPr>
  </w:style>
  <w:style w:type="character" w:styleId="SubtleReference">
    <w:name w:val="Subtle Reference"/>
    <w:basedOn w:val="DefaultParagraphFont"/>
    <w:uiPriority w:val="99"/>
    <w:semiHidden/>
    <w:qFormat/>
    <w:rsid w:val="005D5A31"/>
    <w:rPr>
      <w:rFonts w:ascii="Calibri" w:hAnsi="Calibri"/>
      <w:smallCaps/>
      <w:color w:val="A42F13" w:themeColor="accent2"/>
      <w:u w:val="single"/>
    </w:rPr>
  </w:style>
  <w:style w:type="character" w:styleId="BookTitle">
    <w:name w:val="Book Title"/>
    <w:basedOn w:val="DefaultParagraphFont"/>
    <w:uiPriority w:val="33"/>
    <w:semiHidden/>
    <w:qFormat/>
    <w:rsid w:val="005D5A31"/>
    <w:rPr>
      <w:rFonts w:ascii="Calibri" w:hAnsi="Calibri"/>
      <w:b/>
      <w:bCs/>
      <w:smallCaps/>
      <w:spacing w:val="5"/>
    </w:rPr>
  </w:style>
  <w:style w:type="character" w:styleId="IntenseReference">
    <w:name w:val="Intense Reference"/>
    <w:basedOn w:val="DefaultParagraphFont"/>
    <w:uiPriority w:val="99"/>
    <w:semiHidden/>
    <w:qFormat/>
    <w:rsid w:val="005D5A31"/>
    <w:rPr>
      <w:rFonts w:ascii="Calibri" w:hAnsi="Calibri"/>
      <w:b/>
      <w:bCs/>
      <w:smallCaps/>
      <w:color w:val="A42F13" w:themeColor="accent2"/>
      <w:spacing w:val="5"/>
      <w:u w:val="single"/>
    </w:rPr>
  </w:style>
  <w:style w:type="paragraph" w:styleId="Index1">
    <w:name w:val="index 1"/>
    <w:basedOn w:val="Normal"/>
    <w:next w:val="Normal"/>
    <w:autoRedefine/>
    <w:uiPriority w:val="99"/>
    <w:semiHidden/>
    <w:rsid w:val="005675E0"/>
    <w:pPr>
      <w:ind w:left="240" w:hanging="240"/>
    </w:pPr>
  </w:style>
  <w:style w:type="paragraph" w:styleId="IndexHeading">
    <w:name w:val="index heading"/>
    <w:basedOn w:val="Normal"/>
    <w:next w:val="Index1"/>
    <w:uiPriority w:val="99"/>
    <w:semiHidden/>
    <w:rsid w:val="005675E0"/>
    <w:rPr>
      <w:rFonts w:eastAsiaTheme="majorEastAsia" w:cstheme="majorBidi"/>
      <w:b/>
      <w:bCs/>
    </w:rPr>
  </w:style>
  <w:style w:type="character" w:styleId="EndnoteReference">
    <w:name w:val="endnote reference"/>
    <w:basedOn w:val="DefaultParagraphFont"/>
    <w:uiPriority w:val="99"/>
    <w:semiHidden/>
    <w:rsid w:val="005675E0"/>
    <w:rPr>
      <w:rFonts w:ascii="Calibri" w:hAnsi="Calibri"/>
      <w:vertAlign w:val="superscript"/>
    </w:rPr>
  </w:style>
  <w:style w:type="paragraph" w:styleId="TOAHeading">
    <w:name w:val="toa heading"/>
    <w:basedOn w:val="Normal"/>
    <w:next w:val="Normal"/>
    <w:uiPriority w:val="99"/>
    <w:semiHidden/>
    <w:rsid w:val="005675E0"/>
    <w:rPr>
      <w:rFonts w:eastAsiaTheme="majorEastAsia" w:cstheme="majorBidi"/>
      <w:b/>
      <w:bCs/>
    </w:rPr>
  </w:style>
  <w:style w:type="paragraph" w:styleId="MacroText">
    <w:name w:val="macro"/>
    <w:link w:val="MacroTextChar"/>
    <w:uiPriority w:val="99"/>
    <w:semiHidden/>
    <w:rsid w:val="005675E0"/>
    <w:pPr>
      <w:tabs>
        <w:tab w:val="left" w:pos="480"/>
        <w:tab w:val="left" w:pos="960"/>
        <w:tab w:val="left" w:pos="1440"/>
        <w:tab w:val="left" w:pos="1920"/>
        <w:tab w:val="left" w:pos="2400"/>
        <w:tab w:val="left" w:pos="2880"/>
        <w:tab w:val="left" w:pos="3360"/>
        <w:tab w:val="left" w:pos="3840"/>
        <w:tab w:val="left" w:pos="4320"/>
      </w:tabs>
      <w:spacing w:line="280" w:lineRule="atLeast"/>
    </w:pPr>
    <w:rPr>
      <w:rFonts w:cs="Consolas"/>
      <w:lang w:eastAsia="en-US"/>
    </w:rPr>
  </w:style>
  <w:style w:type="character" w:customStyle="1" w:styleId="MacroTextChar">
    <w:name w:val="Macro Text Char"/>
    <w:basedOn w:val="DefaultParagraphFont"/>
    <w:link w:val="MacroText"/>
    <w:uiPriority w:val="99"/>
    <w:semiHidden/>
    <w:rsid w:val="006875B8"/>
    <w:rPr>
      <w:rFonts w:cs="Consolas"/>
      <w:lang w:eastAsia="en-US"/>
    </w:rPr>
  </w:style>
  <w:style w:type="character" w:styleId="CommentReference">
    <w:name w:val="annotation reference"/>
    <w:basedOn w:val="DefaultParagraphFont"/>
    <w:uiPriority w:val="99"/>
    <w:semiHidden/>
    <w:rsid w:val="005675E0"/>
    <w:rPr>
      <w:rFonts w:ascii="Calibri" w:hAnsi="Calibri"/>
      <w:sz w:val="16"/>
      <w:szCs w:val="16"/>
    </w:rPr>
  </w:style>
  <w:style w:type="character" w:customStyle="1" w:styleId="BodyTextChar">
    <w:name w:val="Body Text Char"/>
    <w:basedOn w:val="DefaultParagraphFont"/>
    <w:link w:val="BodyText"/>
    <w:rsid w:val="006875B8"/>
  </w:style>
  <w:style w:type="paragraph" w:styleId="IntenseQuote">
    <w:name w:val="Intense Quote"/>
    <w:basedOn w:val="Normal"/>
    <w:next w:val="Normal"/>
    <w:link w:val="IntenseQuoteChar"/>
    <w:uiPriority w:val="99"/>
    <w:semiHidden/>
    <w:qFormat/>
    <w:rsid w:val="005D5A31"/>
    <w:pPr>
      <w:pBdr>
        <w:bottom w:val="single" w:sz="4" w:space="4" w:color="7BC7CE" w:themeColor="accent1"/>
      </w:pBdr>
      <w:spacing w:before="200" w:after="280"/>
      <w:ind w:left="936" w:right="936"/>
    </w:pPr>
    <w:rPr>
      <w:b/>
      <w:bCs/>
      <w:i/>
      <w:iCs/>
      <w:color w:val="1F546B" w:themeColor="text2"/>
    </w:rPr>
  </w:style>
  <w:style w:type="character" w:customStyle="1" w:styleId="IntenseQuoteChar">
    <w:name w:val="Intense Quote Char"/>
    <w:basedOn w:val="DefaultParagraphFont"/>
    <w:link w:val="IntenseQuote"/>
    <w:uiPriority w:val="99"/>
    <w:semiHidden/>
    <w:rsid w:val="005D5A31"/>
    <w:rPr>
      <w:rFonts w:eastAsiaTheme="minorHAnsi"/>
      <w:b/>
      <w:bCs/>
      <w:i/>
      <w:iCs/>
      <w:color w:val="1F546B" w:themeColor="text2"/>
      <w:lang w:eastAsia="en-US"/>
    </w:rPr>
  </w:style>
  <w:style w:type="paragraph" w:customStyle="1" w:styleId="Headingpage">
    <w:name w:val="Heading page"/>
    <w:basedOn w:val="Normal"/>
    <w:next w:val="Normal"/>
    <w:semiHidden/>
    <w:rsid w:val="00E367C5"/>
    <w:pPr>
      <w:spacing w:before="400"/>
    </w:pPr>
    <w:rPr>
      <w:b/>
      <w:sz w:val="48"/>
    </w:rPr>
  </w:style>
  <w:style w:type="paragraph" w:customStyle="1" w:styleId="Tablenormal0">
    <w:name w:val="Table normal"/>
    <w:basedOn w:val="Normal"/>
    <w:qFormat/>
    <w:rsid w:val="005D5A31"/>
    <w:pPr>
      <w:spacing w:before="40" w:after="40"/>
    </w:pPr>
    <w:rPr>
      <w:sz w:val="22"/>
    </w:rPr>
  </w:style>
  <w:style w:type="character" w:customStyle="1" w:styleId="Heading6Char">
    <w:name w:val="Heading 6 Char"/>
    <w:basedOn w:val="DefaultParagraphFont"/>
    <w:link w:val="Heading6"/>
    <w:uiPriority w:val="1"/>
    <w:semiHidden/>
    <w:rsid w:val="005D5A31"/>
    <w:rPr>
      <w:rFonts w:eastAsiaTheme="minorHAnsi"/>
      <w:b/>
      <w:bCs/>
      <w:i/>
      <w:szCs w:val="22"/>
      <w:lang w:eastAsia="en-US"/>
    </w:rPr>
  </w:style>
  <w:style w:type="paragraph" w:customStyle="1" w:styleId="ListABClevel3">
    <w:name w:val="List A B C level 3"/>
    <w:basedOn w:val="Normal"/>
    <w:uiPriority w:val="1"/>
    <w:semiHidden/>
    <w:qFormat/>
    <w:rsid w:val="005D5A31"/>
    <w:pPr>
      <w:numPr>
        <w:ilvl w:val="2"/>
        <w:numId w:val="20"/>
      </w:numPr>
      <w:spacing w:before="80" w:after="80"/>
    </w:pPr>
  </w:style>
  <w:style w:type="paragraph" w:customStyle="1" w:styleId="List123level2">
    <w:name w:val="List 1 2 3 level 2"/>
    <w:basedOn w:val="Normal"/>
    <w:uiPriority w:val="1"/>
    <w:semiHidden/>
    <w:qFormat/>
    <w:rsid w:val="005D5A31"/>
    <w:pPr>
      <w:numPr>
        <w:ilvl w:val="1"/>
        <w:numId w:val="21"/>
      </w:numPr>
      <w:spacing w:before="80" w:after="80"/>
    </w:pPr>
  </w:style>
  <w:style w:type="paragraph" w:customStyle="1" w:styleId="List123level3">
    <w:name w:val="List 1 2 3 level 3"/>
    <w:basedOn w:val="Normal"/>
    <w:uiPriority w:val="1"/>
    <w:semiHidden/>
    <w:qFormat/>
    <w:rsid w:val="005D5A31"/>
    <w:pPr>
      <w:numPr>
        <w:ilvl w:val="2"/>
        <w:numId w:val="21"/>
      </w:numPr>
      <w:spacing w:before="80" w:after="80"/>
    </w:pPr>
  </w:style>
  <w:style w:type="paragraph" w:customStyle="1" w:styleId="Legislationsection">
    <w:name w:val="Legislation section"/>
    <w:basedOn w:val="Normal"/>
    <w:semiHidden/>
    <w:qFormat/>
    <w:rsid w:val="005D5A31"/>
    <w:pPr>
      <w:keepNext/>
      <w:numPr>
        <w:numId w:val="23"/>
      </w:numPr>
      <w:tabs>
        <w:tab w:val="left" w:pos="567"/>
      </w:tabs>
      <w:spacing w:after="60"/>
    </w:pPr>
    <w:rPr>
      <w:b/>
      <w:sz w:val="22"/>
    </w:rPr>
  </w:style>
  <w:style w:type="paragraph" w:customStyle="1" w:styleId="Legislationnumber">
    <w:name w:val="Legislation number"/>
    <w:basedOn w:val="Normal"/>
    <w:semiHidden/>
    <w:qFormat/>
    <w:rsid w:val="005D5A31"/>
    <w:pPr>
      <w:numPr>
        <w:numId w:val="22"/>
      </w:numPr>
      <w:tabs>
        <w:tab w:val="left" w:pos="567"/>
      </w:tabs>
      <w:spacing w:before="60" w:after="60"/>
    </w:pPr>
    <w:rPr>
      <w:sz w:val="22"/>
    </w:rPr>
  </w:style>
  <w:style w:type="paragraph" w:customStyle="1" w:styleId="Legislationa">
    <w:name w:val="Legislation (a)"/>
    <w:basedOn w:val="Normal"/>
    <w:semiHidden/>
    <w:qFormat/>
    <w:rsid w:val="005D5A31"/>
    <w:pPr>
      <w:numPr>
        <w:ilvl w:val="2"/>
        <w:numId w:val="23"/>
      </w:numPr>
      <w:spacing w:before="60" w:after="60"/>
    </w:pPr>
    <w:rPr>
      <w:sz w:val="22"/>
    </w:rPr>
  </w:style>
  <w:style w:type="paragraph" w:customStyle="1" w:styleId="Legislationi">
    <w:name w:val="Legislation (i)"/>
    <w:basedOn w:val="Normal"/>
    <w:semiHidden/>
    <w:qFormat/>
    <w:rsid w:val="005D5A31"/>
    <w:pPr>
      <w:numPr>
        <w:ilvl w:val="3"/>
        <w:numId w:val="23"/>
      </w:numPr>
      <w:spacing w:before="60" w:after="60"/>
    </w:pPr>
    <w:rPr>
      <w:sz w:val="22"/>
    </w:rPr>
  </w:style>
  <w:style w:type="paragraph" w:customStyle="1" w:styleId="Numberedparaindentonly">
    <w:name w:val="Numbered para indent only"/>
    <w:basedOn w:val="Normal"/>
    <w:semiHidden/>
    <w:qFormat/>
    <w:rsid w:val="005D5A31"/>
    <w:pPr>
      <w:spacing w:after="120"/>
      <w:ind w:left="567"/>
    </w:pPr>
  </w:style>
  <w:style w:type="paragraph" w:customStyle="1" w:styleId="Numberedparaheading">
    <w:name w:val="Numbered para heading"/>
    <w:basedOn w:val="BodyText"/>
    <w:semiHidden/>
    <w:rsid w:val="00091C3A"/>
    <w:rPr>
      <w:b/>
      <w:sz w:val="28"/>
    </w:rPr>
  </w:style>
  <w:style w:type="paragraph" w:customStyle="1" w:styleId="Spacer">
    <w:name w:val="Spacer"/>
    <w:basedOn w:val="Normal"/>
    <w:qFormat/>
    <w:rsid w:val="005D5A31"/>
    <w:pPr>
      <w:spacing w:before="0" w:after="0"/>
    </w:pPr>
  </w:style>
  <w:style w:type="paragraph" w:customStyle="1" w:styleId="Page">
    <w:name w:val="Page"/>
    <w:basedOn w:val="Spacer"/>
    <w:semiHidden/>
    <w:qFormat/>
    <w:rsid w:val="005D5A31"/>
    <w:pPr>
      <w:jc w:val="right"/>
    </w:pPr>
    <w:rPr>
      <w:color w:val="000000" w:themeColor="text1"/>
    </w:rPr>
  </w:style>
  <w:style w:type="table" w:customStyle="1" w:styleId="Blanktable">
    <w:name w:val="Blank table"/>
    <w:basedOn w:val="TableNormal"/>
    <w:uiPriority w:val="99"/>
    <w:rsid w:val="007202D5"/>
    <w:tblPr>
      <w:tblInd w:w="108" w:type="dxa"/>
    </w:tblPr>
  </w:style>
  <w:style w:type="paragraph" w:customStyle="1" w:styleId="Tinyline">
    <w:name w:val="Tiny line"/>
    <w:basedOn w:val="Normal"/>
    <w:qFormat/>
    <w:rsid w:val="005D5A31"/>
    <w:pPr>
      <w:spacing w:before="0" w:after="0"/>
    </w:pPr>
    <w:rPr>
      <w:sz w:val="8"/>
    </w:rPr>
  </w:style>
  <w:style w:type="paragraph" w:customStyle="1" w:styleId="Numberedpara1heading">
    <w:name w:val="Numbered para 1 (heading)"/>
    <w:basedOn w:val="Normal"/>
    <w:semiHidden/>
    <w:rsid w:val="00A313C6"/>
    <w:rPr>
      <w:b/>
    </w:rPr>
  </w:style>
  <w:style w:type="paragraph" w:customStyle="1" w:styleId="Tablenormal12pt">
    <w:name w:val="Table normal 12pt"/>
    <w:basedOn w:val="Tablenormal0"/>
    <w:semiHidden/>
    <w:qFormat/>
    <w:rsid w:val="005D5A31"/>
    <w:rPr>
      <w:sz w:val="24"/>
    </w:rPr>
  </w:style>
  <w:style w:type="paragraph" w:customStyle="1" w:styleId="Tableheading12pt">
    <w:name w:val="Table heading 12pt"/>
    <w:basedOn w:val="Tableheading"/>
    <w:semiHidden/>
    <w:qFormat/>
    <w:rsid w:val="005D5A31"/>
    <w:pPr>
      <w:keepNext/>
    </w:pPr>
    <w:rPr>
      <w:sz w:val="24"/>
    </w:rPr>
  </w:style>
  <w:style w:type="paragraph" w:customStyle="1" w:styleId="Documentationpageheading">
    <w:name w:val="Documentation page heading"/>
    <w:basedOn w:val="Normal"/>
    <w:semiHidden/>
    <w:qFormat/>
    <w:rsid w:val="005D5A31"/>
    <w:pPr>
      <w:spacing w:after="0"/>
    </w:pPr>
    <w:rPr>
      <w:b/>
      <w:color w:val="1F546B" w:themeColor="text2"/>
      <w:sz w:val="36"/>
    </w:rPr>
  </w:style>
  <w:style w:type="paragraph" w:customStyle="1" w:styleId="Documentationpagesubheading">
    <w:name w:val="Documentation page subheading"/>
    <w:basedOn w:val="Documentationpageheading"/>
    <w:semiHidden/>
    <w:qFormat/>
    <w:rsid w:val="005D5A31"/>
    <w:rPr>
      <w:sz w:val="28"/>
    </w:rPr>
  </w:style>
  <w:style w:type="paragraph" w:customStyle="1" w:styleId="Documentationpagetable">
    <w:name w:val="Documentation page table"/>
    <w:basedOn w:val="Normal"/>
    <w:semiHidden/>
    <w:qFormat/>
    <w:rsid w:val="005D5A31"/>
    <w:pPr>
      <w:spacing w:before="44" w:after="24"/>
    </w:pPr>
    <w:rPr>
      <w:rFonts w:cstheme="minorBidi"/>
      <w:sz w:val="20"/>
    </w:rPr>
  </w:style>
  <w:style w:type="paragraph" w:customStyle="1" w:styleId="Documentationpagetableheading">
    <w:name w:val="Documentation page table heading"/>
    <w:basedOn w:val="Normal"/>
    <w:semiHidden/>
    <w:qFormat/>
    <w:rsid w:val="005D5A31"/>
    <w:pPr>
      <w:spacing w:before="40" w:after="40"/>
    </w:pPr>
    <w:rPr>
      <w:rFonts w:cstheme="minorBidi"/>
      <w:b/>
      <w:color w:val="FFFFFF" w:themeColor="background1"/>
      <w:sz w:val="20"/>
    </w:rPr>
  </w:style>
  <w:style w:type="paragraph" w:customStyle="1" w:styleId="Numberedparasubheading">
    <w:name w:val="Numbered para subheading"/>
    <w:basedOn w:val="Normal"/>
    <w:next w:val="Numberedpara2"/>
    <w:semiHidden/>
    <w:rsid w:val="00A313C6"/>
    <w:rPr>
      <w:b/>
      <w:i/>
    </w:rPr>
  </w:style>
  <w:style w:type="paragraph" w:customStyle="1" w:styleId="Title2">
    <w:name w:val="Title 2"/>
    <w:basedOn w:val="Title"/>
    <w:qFormat/>
    <w:rsid w:val="005D5A31"/>
    <w:rPr>
      <w:sz w:val="52"/>
    </w:rPr>
  </w:style>
  <w:style w:type="paragraph" w:customStyle="1" w:styleId="Numberedpara2a">
    <w:name w:val="Numbered para 2 (a)"/>
    <w:basedOn w:val="Numberedpara3a"/>
    <w:semiHidden/>
    <w:rsid w:val="00A313C6"/>
  </w:style>
  <w:style w:type="paragraph" w:customStyle="1" w:styleId="Numberedpara3i">
    <w:name w:val="Numbered para 3 (i)"/>
    <w:basedOn w:val="Numberedpara4i"/>
    <w:semiHidden/>
    <w:rsid w:val="00A313C6"/>
  </w:style>
  <w:style w:type="character" w:customStyle="1" w:styleId="FooterChar">
    <w:name w:val="Footer Char"/>
    <w:basedOn w:val="DefaultParagraphFont"/>
    <w:link w:val="Footer"/>
    <w:uiPriority w:val="99"/>
    <w:rsid w:val="00DD3BD0"/>
    <w:rPr>
      <w:rFonts w:eastAsiaTheme="minorHAnsi"/>
      <w:i/>
      <w:sz w:val="20"/>
      <w:lang w:eastAsia="en-US"/>
    </w:rPr>
  </w:style>
  <w:style w:type="paragraph" w:customStyle="1" w:styleId="Numberedpara2subheading">
    <w:name w:val="Numbered para (2) subheading"/>
    <w:basedOn w:val="Normal"/>
    <w:next w:val="Normal"/>
    <w:semiHidden/>
    <w:qFormat/>
    <w:rsid w:val="005D5A31"/>
    <w:pPr>
      <w:keepNext/>
      <w:spacing w:before="240" w:after="120"/>
    </w:pPr>
    <w:rPr>
      <w:b/>
      <w:i/>
    </w:rPr>
  </w:style>
  <w:style w:type="paragraph" w:customStyle="1" w:styleId="Numberedpara2level1">
    <w:name w:val="Numbered para (2) level 1"/>
    <w:basedOn w:val="Normal"/>
    <w:semiHidden/>
    <w:qFormat/>
    <w:rsid w:val="005D5A31"/>
    <w:pPr>
      <w:numPr>
        <w:numId w:val="24"/>
      </w:numPr>
      <w:spacing w:after="120"/>
    </w:pPr>
  </w:style>
  <w:style w:type="paragraph" w:customStyle="1" w:styleId="Numberedpara2level2a">
    <w:name w:val="Numbered para (2) level 2 (a)"/>
    <w:basedOn w:val="Normal"/>
    <w:semiHidden/>
    <w:qFormat/>
    <w:rsid w:val="005D5A31"/>
    <w:pPr>
      <w:numPr>
        <w:ilvl w:val="1"/>
        <w:numId w:val="24"/>
      </w:numPr>
      <w:spacing w:after="120"/>
    </w:pPr>
  </w:style>
  <w:style w:type="paragraph" w:customStyle="1" w:styleId="Numberedpara2level3i">
    <w:name w:val="Numbered para (2) level 3 (i)"/>
    <w:basedOn w:val="Normal"/>
    <w:semiHidden/>
    <w:qFormat/>
    <w:rsid w:val="005D5A31"/>
    <w:pPr>
      <w:numPr>
        <w:ilvl w:val="2"/>
        <w:numId w:val="24"/>
      </w:numPr>
      <w:spacing w:after="120"/>
    </w:pPr>
  </w:style>
  <w:style w:type="paragraph" w:customStyle="1" w:styleId="Numberedpara2heading">
    <w:name w:val="Numbered para (2) heading"/>
    <w:basedOn w:val="Normal"/>
    <w:semiHidden/>
    <w:qFormat/>
    <w:rsid w:val="005D5A31"/>
    <w:pPr>
      <w:keepNext/>
      <w:spacing w:before="240" w:after="120"/>
    </w:pPr>
    <w:rPr>
      <w:b/>
      <w:sz w:val="28"/>
    </w:rPr>
  </w:style>
  <w:style w:type="character" w:customStyle="1" w:styleId="Footersecurityclassification">
    <w:name w:val="Footer security classification"/>
    <w:basedOn w:val="DefaultParagraphFont"/>
    <w:uiPriority w:val="1"/>
    <w:qFormat/>
    <w:rsid w:val="005D5A31"/>
    <w:rPr>
      <w:b/>
      <w:i/>
      <w:caps/>
      <w:smallCaps w:val="0"/>
      <w:sz w:val="22"/>
    </w:rPr>
  </w:style>
  <w:style w:type="paragraph" w:customStyle="1" w:styleId="Numberedpara11headingwithnumber">
    <w:name w:val="Numbered para (1) 1 (heading with number)"/>
    <w:basedOn w:val="Normal"/>
    <w:semiHidden/>
    <w:qFormat/>
    <w:rsid w:val="005D5A31"/>
    <w:pPr>
      <w:keepNext/>
      <w:numPr>
        <w:numId w:val="25"/>
      </w:numPr>
      <w:spacing w:before="240" w:after="120"/>
    </w:pPr>
    <w:rPr>
      <w:b/>
      <w:sz w:val="28"/>
    </w:rPr>
  </w:style>
  <w:style w:type="paragraph" w:customStyle="1" w:styleId="Crossreference">
    <w:name w:val="Cross reference"/>
    <w:basedOn w:val="Normal"/>
    <w:semiHidden/>
    <w:qFormat/>
    <w:rsid w:val="005D5A31"/>
    <w:rPr>
      <w:i/>
      <w:color w:val="1F546B" w:themeColor="text2"/>
      <w:u w:val="single"/>
    </w:rPr>
  </w:style>
  <w:style w:type="paragraph" w:customStyle="1" w:styleId="Numberedpara3heading">
    <w:name w:val="Numbered para (3) heading"/>
    <w:basedOn w:val="Normal"/>
    <w:semiHidden/>
    <w:qFormat/>
    <w:rsid w:val="005D5A31"/>
    <w:pPr>
      <w:keepNext/>
      <w:spacing w:before="200" w:after="120"/>
    </w:pPr>
    <w:rPr>
      <w:b/>
    </w:rPr>
  </w:style>
  <w:style w:type="paragraph" w:customStyle="1" w:styleId="Numberedpara3subheading">
    <w:name w:val="Numbered para (3) subheading"/>
    <w:basedOn w:val="Normal"/>
    <w:semiHidden/>
    <w:qFormat/>
    <w:rsid w:val="005D5A31"/>
    <w:pPr>
      <w:keepNext/>
      <w:spacing w:before="240" w:after="120"/>
    </w:pPr>
    <w:rPr>
      <w:b/>
      <w:i/>
    </w:rPr>
  </w:style>
  <w:style w:type="paragraph" w:customStyle="1" w:styleId="Numberedpara3level1">
    <w:name w:val="Numbered para (3) level 1"/>
    <w:basedOn w:val="Normal"/>
    <w:semiHidden/>
    <w:qFormat/>
    <w:rsid w:val="005D5A31"/>
    <w:pPr>
      <w:numPr>
        <w:numId w:val="26"/>
      </w:numPr>
      <w:spacing w:after="120"/>
    </w:pPr>
  </w:style>
  <w:style w:type="paragraph" w:customStyle="1" w:styleId="Numberedpara3level211">
    <w:name w:val="Numbered para (3) level 2 (1.1)"/>
    <w:basedOn w:val="Normal"/>
    <w:semiHidden/>
    <w:qFormat/>
    <w:rsid w:val="005D5A31"/>
    <w:pPr>
      <w:numPr>
        <w:ilvl w:val="1"/>
        <w:numId w:val="26"/>
      </w:numPr>
      <w:spacing w:after="120"/>
    </w:pPr>
  </w:style>
  <w:style w:type="paragraph" w:customStyle="1" w:styleId="Numberedpara3level3111">
    <w:name w:val="Numbered para (3) level 3 (1.1.1)"/>
    <w:basedOn w:val="Normal"/>
    <w:semiHidden/>
    <w:qFormat/>
    <w:rsid w:val="005D5A31"/>
    <w:pPr>
      <w:numPr>
        <w:ilvl w:val="2"/>
        <w:numId w:val="26"/>
      </w:numPr>
      <w:spacing w:after="120"/>
    </w:pPr>
  </w:style>
  <w:style w:type="character" w:customStyle="1" w:styleId="TitleChar">
    <w:name w:val="Title Char"/>
    <w:basedOn w:val="DefaultParagraphFont"/>
    <w:link w:val="Title"/>
    <w:rsid w:val="005D5A31"/>
    <w:rPr>
      <w:rFonts w:eastAsiaTheme="minorHAnsi"/>
      <w:b/>
      <w:color w:val="1F546B"/>
      <w:sz w:val="80"/>
      <w:szCs w:val="80"/>
      <w:lang w:eastAsia="en-US"/>
    </w:rPr>
  </w:style>
  <w:style w:type="paragraph" w:customStyle="1" w:styleId="Securityclassificiation">
    <w:name w:val="Security classificiation"/>
    <w:basedOn w:val="Title2"/>
    <w:qFormat/>
    <w:rsid w:val="005D5A31"/>
    <w:pPr>
      <w:spacing w:before="240" w:after="0"/>
      <w:jc w:val="center"/>
    </w:pPr>
    <w:rPr>
      <w:caps/>
      <w:color w:val="000000" w:themeColor="text1"/>
      <w:sz w:val="32"/>
    </w:rPr>
  </w:style>
  <w:style w:type="paragraph" w:customStyle="1" w:styleId="LHcolumn">
    <w:name w:val="LH column"/>
    <w:basedOn w:val="Normal"/>
    <w:rsid w:val="00E26D66"/>
    <w:pPr>
      <w:keepLines w:val="0"/>
    </w:pPr>
    <w:rPr>
      <w:rFonts w:eastAsia="Calibri"/>
      <w:b/>
      <w:color w:val="1F546B" w:themeColor="text2"/>
      <w:w w:val="90"/>
      <w:szCs w:val="22"/>
    </w:rPr>
  </w:style>
  <w:style w:type="paragraph" w:customStyle="1" w:styleId="Coverimage">
    <w:name w:val="Cover image"/>
    <w:basedOn w:val="Spacer"/>
    <w:qFormat/>
    <w:rsid w:val="005D5A31"/>
    <w:pPr>
      <w:jc w:val="right"/>
    </w:pPr>
  </w:style>
  <w:style w:type="character" w:customStyle="1" w:styleId="Crossreferences">
    <w:name w:val="Cross references"/>
    <w:basedOn w:val="DefaultParagraphFont"/>
    <w:uiPriority w:val="1"/>
    <w:qFormat/>
    <w:rsid w:val="005D5A31"/>
    <w:rPr>
      <w:i/>
      <w:color w:val="1F546B" w:themeColor="text2"/>
      <w:u w:val="single"/>
    </w:rPr>
  </w:style>
  <w:style w:type="paragraph" w:customStyle="1" w:styleId="Bullet-lvl1">
    <w:name w:val="Bullet - lvl 1"/>
    <w:basedOn w:val="Normal"/>
    <w:link w:val="Bullet-lvl1CharChar"/>
    <w:rsid w:val="005D5A31"/>
    <w:pPr>
      <w:keepLines w:val="0"/>
      <w:numPr>
        <w:numId w:val="27"/>
      </w:numPr>
      <w:spacing w:before="20" w:after="60"/>
    </w:pPr>
    <w:rPr>
      <w:rFonts w:ascii="Arial Mäori" w:eastAsia="Times New Roman" w:hAnsi="Arial Mäori"/>
      <w:sz w:val="22"/>
      <w:lang w:val="en-GB" w:eastAsia="en-GB"/>
    </w:rPr>
  </w:style>
  <w:style w:type="character" w:customStyle="1" w:styleId="Bullet-lvl1CharChar">
    <w:name w:val="Bullet - lvl 1 Char Char"/>
    <w:link w:val="Bullet-lvl1"/>
    <w:rsid w:val="005D5A31"/>
    <w:rPr>
      <w:rFonts w:ascii="Arial Mäori" w:hAnsi="Arial Mäori"/>
      <w:sz w:val="22"/>
      <w:lang w:val="en-GB" w:eastAsia="en-GB"/>
    </w:rPr>
  </w:style>
  <w:style w:type="character" w:customStyle="1" w:styleId="FootnoteTextChar">
    <w:name w:val="Footnote Text Char"/>
    <w:basedOn w:val="DefaultParagraphFont"/>
    <w:link w:val="FootnoteText"/>
    <w:rsid w:val="005D5A31"/>
    <w:rPr>
      <w:rFonts w:eastAsiaTheme="minorHAnsi"/>
      <w:sz w:val="20"/>
      <w:szCs w:val="20"/>
      <w:lang w:eastAsia="en-US"/>
    </w:rPr>
  </w:style>
  <w:style w:type="paragraph" w:styleId="CommentText">
    <w:name w:val="annotation text"/>
    <w:basedOn w:val="Normal"/>
    <w:link w:val="CommentTextChar"/>
    <w:uiPriority w:val="99"/>
    <w:semiHidden/>
    <w:unhideWhenUsed/>
    <w:rsid w:val="006407AB"/>
    <w:rPr>
      <w:sz w:val="20"/>
      <w:szCs w:val="20"/>
    </w:rPr>
  </w:style>
  <w:style w:type="character" w:customStyle="1" w:styleId="CommentTextChar">
    <w:name w:val="Comment Text Char"/>
    <w:basedOn w:val="DefaultParagraphFont"/>
    <w:link w:val="CommentText"/>
    <w:uiPriority w:val="99"/>
    <w:semiHidden/>
    <w:rsid w:val="006407AB"/>
    <w:rPr>
      <w:rFonts w:eastAsiaTheme="minorHAnsi"/>
      <w:sz w:val="20"/>
      <w:szCs w:val="20"/>
      <w:lang w:eastAsia="en-US"/>
    </w:rPr>
  </w:style>
  <w:style w:type="paragraph" w:styleId="CommentSubject">
    <w:name w:val="annotation subject"/>
    <w:basedOn w:val="CommentText"/>
    <w:next w:val="CommentText"/>
    <w:link w:val="CommentSubjectChar"/>
    <w:uiPriority w:val="99"/>
    <w:semiHidden/>
    <w:unhideWhenUsed/>
    <w:rsid w:val="006407AB"/>
    <w:rPr>
      <w:b/>
      <w:bCs/>
    </w:rPr>
  </w:style>
  <w:style w:type="character" w:customStyle="1" w:styleId="CommentSubjectChar">
    <w:name w:val="Comment Subject Char"/>
    <w:basedOn w:val="CommentTextChar"/>
    <w:link w:val="CommentSubject"/>
    <w:uiPriority w:val="99"/>
    <w:semiHidden/>
    <w:rsid w:val="006407AB"/>
    <w:rPr>
      <w:rFonts w:eastAsiaTheme="minorHAnsi"/>
      <w:b/>
      <w:bCs/>
      <w:sz w:val="20"/>
      <w:szCs w:val="20"/>
      <w:lang w:eastAsia="en-US"/>
    </w:rPr>
  </w:style>
  <w:style w:type="paragraph" w:styleId="EndnoteText">
    <w:name w:val="endnote text"/>
    <w:basedOn w:val="Normal"/>
    <w:link w:val="EndnoteTextChar"/>
    <w:uiPriority w:val="99"/>
    <w:semiHidden/>
    <w:unhideWhenUsed/>
    <w:rsid w:val="005A2922"/>
    <w:pPr>
      <w:spacing w:before="0" w:after="0"/>
    </w:pPr>
    <w:rPr>
      <w:sz w:val="20"/>
      <w:szCs w:val="20"/>
    </w:rPr>
  </w:style>
  <w:style w:type="character" w:customStyle="1" w:styleId="EndnoteTextChar">
    <w:name w:val="Endnote Text Char"/>
    <w:basedOn w:val="DefaultParagraphFont"/>
    <w:link w:val="EndnoteText"/>
    <w:uiPriority w:val="99"/>
    <w:semiHidden/>
    <w:rsid w:val="005A2922"/>
    <w:rPr>
      <w:rFonts w:eastAsiaTheme="minorHAnsi"/>
      <w:sz w:val="20"/>
      <w:szCs w:val="20"/>
      <w:lang w:eastAsia="en-US"/>
    </w:rPr>
  </w:style>
  <w:style w:type="paragraph" w:styleId="Revision">
    <w:name w:val="Revision"/>
    <w:hidden/>
    <w:uiPriority w:val="99"/>
    <w:semiHidden/>
    <w:rsid w:val="00DE3531"/>
    <w:pPr>
      <w:spacing w:before="0" w:after="0"/>
    </w:pPr>
    <w:rPr>
      <w:rFonts w:eastAsiaTheme="minorHAnsi"/>
      <w:lang w:eastAsia="en-US"/>
    </w:rPr>
  </w:style>
  <w:style w:type="paragraph" w:customStyle="1" w:styleId="BodyA">
    <w:name w:val="Body A"/>
    <w:rsid w:val="0014481A"/>
    <w:pPr>
      <w:keepLines/>
      <w:pBdr>
        <w:top w:val="nil"/>
        <w:left w:val="nil"/>
        <w:bottom w:val="nil"/>
        <w:right w:val="nil"/>
        <w:between w:val="nil"/>
        <w:bar w:val="nil"/>
      </w:pBdr>
    </w:pPr>
    <w:rPr>
      <w:rFonts w:eastAsia="Calibri" w:cs="Calibri"/>
      <w:color w:val="000000"/>
      <w:u w:color="000000"/>
      <w:bdr w:val="nil"/>
      <w:lang w:val="en-US"/>
    </w:rPr>
  </w:style>
  <w:style w:type="paragraph" w:styleId="TOCHeading">
    <w:name w:val="TOC Heading"/>
    <w:basedOn w:val="Heading1"/>
    <w:next w:val="Normal"/>
    <w:uiPriority w:val="39"/>
    <w:semiHidden/>
    <w:unhideWhenUsed/>
    <w:qFormat/>
    <w:rsid w:val="00CE2931"/>
    <w:pPr>
      <w:pageBreakBefore w:val="0"/>
      <w:spacing w:before="480" w:after="0" w:line="276" w:lineRule="auto"/>
      <w:contextualSpacing w:val="0"/>
      <w:outlineLvl w:val="9"/>
    </w:pPr>
    <w:rPr>
      <w:rFonts w:asciiTheme="majorHAnsi" w:eastAsiaTheme="majorEastAsia" w:hAnsiTheme="majorHAnsi" w:cstheme="majorBidi"/>
      <w:color w:val="42A9B3" w:themeColor="accent1" w:themeShade="BF"/>
      <w:kern w:val="0"/>
      <w:sz w:val="28"/>
      <w:szCs w:val="28"/>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5973398">
      <w:bodyDiv w:val="1"/>
      <w:marLeft w:val="0"/>
      <w:marRight w:val="0"/>
      <w:marTop w:val="0"/>
      <w:marBottom w:val="0"/>
      <w:divBdr>
        <w:top w:val="none" w:sz="0" w:space="0" w:color="auto"/>
        <w:left w:val="none" w:sz="0" w:space="0" w:color="auto"/>
        <w:bottom w:val="none" w:sz="0" w:space="0" w:color="auto"/>
        <w:right w:val="none" w:sz="0" w:space="0" w:color="auto"/>
      </w:divBdr>
    </w:div>
    <w:div w:id="524445800">
      <w:bodyDiv w:val="1"/>
      <w:marLeft w:val="0"/>
      <w:marRight w:val="0"/>
      <w:marTop w:val="0"/>
      <w:marBottom w:val="0"/>
      <w:divBdr>
        <w:top w:val="none" w:sz="0" w:space="0" w:color="auto"/>
        <w:left w:val="none" w:sz="0" w:space="0" w:color="auto"/>
        <w:bottom w:val="none" w:sz="0" w:space="0" w:color="auto"/>
        <w:right w:val="none" w:sz="0" w:space="0" w:color="auto"/>
      </w:divBdr>
    </w:div>
    <w:div w:id="548568775">
      <w:bodyDiv w:val="1"/>
      <w:marLeft w:val="0"/>
      <w:marRight w:val="0"/>
      <w:marTop w:val="0"/>
      <w:marBottom w:val="0"/>
      <w:divBdr>
        <w:top w:val="none" w:sz="0" w:space="0" w:color="auto"/>
        <w:left w:val="none" w:sz="0" w:space="0" w:color="auto"/>
        <w:bottom w:val="none" w:sz="0" w:space="0" w:color="auto"/>
        <w:right w:val="none" w:sz="0" w:space="0" w:color="auto"/>
      </w:divBdr>
    </w:div>
    <w:div w:id="635910386">
      <w:bodyDiv w:val="1"/>
      <w:marLeft w:val="0"/>
      <w:marRight w:val="0"/>
      <w:marTop w:val="0"/>
      <w:marBottom w:val="0"/>
      <w:divBdr>
        <w:top w:val="none" w:sz="0" w:space="0" w:color="auto"/>
        <w:left w:val="none" w:sz="0" w:space="0" w:color="auto"/>
        <w:bottom w:val="none" w:sz="0" w:space="0" w:color="auto"/>
        <w:right w:val="none" w:sz="0" w:space="0" w:color="auto"/>
      </w:divBdr>
    </w:div>
    <w:div w:id="1162968700">
      <w:bodyDiv w:val="1"/>
      <w:marLeft w:val="0"/>
      <w:marRight w:val="0"/>
      <w:marTop w:val="0"/>
      <w:marBottom w:val="0"/>
      <w:divBdr>
        <w:top w:val="none" w:sz="0" w:space="0" w:color="auto"/>
        <w:left w:val="none" w:sz="0" w:space="0" w:color="auto"/>
        <w:bottom w:val="none" w:sz="0" w:space="0" w:color="auto"/>
        <w:right w:val="none" w:sz="0" w:space="0" w:color="auto"/>
      </w:divBdr>
    </w:div>
    <w:div w:id="2064937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image" Target="media/image6.png"/><Relationship Id="rId26" Type="http://schemas.openxmlformats.org/officeDocument/2006/relationships/chart" Target="charts/chart3.xml"/><Relationship Id="rId3" Type="http://schemas.openxmlformats.org/officeDocument/2006/relationships/customXml" Target="../customXml/item3.xml"/><Relationship Id="rId21" Type="http://schemas.openxmlformats.org/officeDocument/2006/relationships/header" Target="header3.xml"/><Relationship Id="rId34" Type="http://schemas.openxmlformats.org/officeDocument/2006/relationships/hyperlink" Target="https://www.dia.govt.nz/Resource-material-Our-Research-and-Reports-Index" TargetMode="Externa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image" Target="media/image5.png"/><Relationship Id="rId25" Type="http://schemas.openxmlformats.org/officeDocument/2006/relationships/chart" Target="charts/chart2.xml"/><Relationship Id="rId33" Type="http://schemas.openxmlformats.org/officeDocument/2006/relationships/chart" Target="charts/chart10.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3.xml"/><Relationship Id="rId29" Type="http://schemas.openxmlformats.org/officeDocument/2006/relationships/chart" Target="charts/chart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chart" Target="charts/chart1.xml"/><Relationship Id="rId32" Type="http://schemas.openxmlformats.org/officeDocument/2006/relationships/chart" Target="charts/chart9.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www.dia.govt.nz/diawebsite.nsf/wpg_URL/Resource-material-Our-Research-and-Reports-Index?OpenDocument" TargetMode="External"/><Relationship Id="rId28" Type="http://schemas.openxmlformats.org/officeDocument/2006/relationships/chart" Target="charts/chart5.xml"/><Relationship Id="rId36"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2.xml"/><Relationship Id="rId31" Type="http://schemas.openxmlformats.org/officeDocument/2006/relationships/chart" Target="charts/chart8.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footer" Target="footer4.xml"/><Relationship Id="rId27" Type="http://schemas.openxmlformats.org/officeDocument/2006/relationships/chart" Target="charts/chart4.xml"/><Relationship Id="rId30" Type="http://schemas.openxmlformats.org/officeDocument/2006/relationships/chart" Target="charts/chart7.xml"/><Relationship Id="rId35"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legislation.govt.nz/act/public/2003/0051/latest/DLM207497.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wlgprdfile02.dia.govt.nz\shared$\diatemplates\Templates\Documents%20-%20Report.dotx"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https://dia.cohesion.net.nz/Sites/GMB/Projects/Gambling%20Stakeholder%20Survey%202017/Gambling%20Sector%20Survey%202017%20-%20summary%20of%20data.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https://dia.cohesion.net.nz/Sites/GMB/Projects/Gambling%20Stakeholder%20Survey%202017/Gambling%20Sector%20Survey%202017%20-%20summary%20of%20data.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https://dia.cohesion.net.nz/Sites/GMB/Projects/Gambling%20Stakeholder%20Survey%202017/Gambling%20Sector%20Survey%202017%20-%20summary%20of%20data.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https://dia.cohesion.net.nz/Sites/GMB/Projects/Gambling%20Stakeholder%20Survey%202017/Gambling%20Sector%20Survey%202017%20-%20summary%20of%20data.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https://dia.cohesion.net.nz/Sites/GMB/Projects/Gambling%20Stakeholder%20Survey%202017/Gambling%20Sector%20Survey%202017%20-%20summary%20of%20data.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https://dia.cohesion.net.nz/Sites/GMB/Projects/Gambling%20Stakeholder%20Survey%202017/Gambling%20Sector%20Survey%202017%20-%20summary%20of%20data.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https://dia.cohesion.net.nz/Sites/GMB/Projects/Gambling%20Stakeholder%20Survey%202017/Gambling%20Sector%20Survey%202017%20-%20summary%20of%20data.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https://dia.cohesion.net.nz/Sites/GMB/Projects/Gambling%20Stakeholder%20Survey%202017/Gambling%20Sector%20Survey%202017%20-%20summary%20of%20data.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https://dia.cohesion.net.nz/Sites/GMB/Projects/Gambling%20Stakeholder%20Survey%202017/Gambling%20Sector%20Survey%202017%20-%20summary%20of%20data.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https://dia.cohesion.net.nz/Sites/GMB/Projects/Gambling%20Stakeholder%20Survey%202017/Gambling%20Sector%20Survey%202017%20-%20summary%20of%20data.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N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2.5130878910406464E-2"/>
          <c:y val="4.0461378278128457E-2"/>
          <c:w val="0.94092711467092571"/>
          <c:h val="0.95953864383456922"/>
        </c:manualLayout>
      </c:layout>
      <c:ofPieChart>
        <c:ofPieType val="bar"/>
        <c:varyColors val="1"/>
        <c:ser>
          <c:idx val="0"/>
          <c:order val="0"/>
          <c:tx>
            <c:strRef>
              <c:f>'Organisation type'!$F$1</c:f>
              <c:strCache>
                <c:ptCount val="1"/>
                <c:pt idx="0">
                  <c:v>NUMBER</c:v>
                </c:pt>
              </c:strCache>
            </c:strRef>
          </c:tx>
          <c:spPr>
            <a:ln>
              <a:noFill/>
            </a:ln>
          </c:spPr>
          <c:dPt>
            <c:idx val="0"/>
            <c:bubble3D val="0"/>
            <c:spPr>
              <a:solidFill>
                <a:schemeClr val="accent4">
                  <a:lumMod val="60000"/>
                  <a:lumOff val="40000"/>
                </a:schemeClr>
              </a:solidFill>
              <a:ln>
                <a:noFill/>
              </a:ln>
            </c:spPr>
          </c:dPt>
          <c:dPt>
            <c:idx val="1"/>
            <c:bubble3D val="0"/>
            <c:spPr>
              <a:solidFill>
                <a:schemeClr val="accent1"/>
              </a:solidFill>
              <a:ln>
                <a:noFill/>
              </a:ln>
            </c:spPr>
          </c:dPt>
          <c:dPt>
            <c:idx val="2"/>
            <c:bubble3D val="0"/>
            <c:spPr>
              <a:solidFill>
                <a:schemeClr val="bg2">
                  <a:lumMod val="60000"/>
                  <a:lumOff val="40000"/>
                </a:schemeClr>
              </a:solidFill>
              <a:ln>
                <a:noFill/>
              </a:ln>
            </c:spPr>
          </c:dPt>
          <c:dPt>
            <c:idx val="3"/>
            <c:bubble3D val="0"/>
            <c:spPr>
              <a:solidFill>
                <a:schemeClr val="accent6">
                  <a:lumMod val="20000"/>
                  <a:lumOff val="80000"/>
                </a:schemeClr>
              </a:solidFill>
              <a:ln>
                <a:noFill/>
              </a:ln>
            </c:spPr>
          </c:dPt>
          <c:dPt>
            <c:idx val="4"/>
            <c:bubble3D val="0"/>
            <c:spPr>
              <a:solidFill>
                <a:schemeClr val="accent6">
                  <a:lumMod val="40000"/>
                  <a:lumOff val="60000"/>
                </a:schemeClr>
              </a:solidFill>
              <a:ln>
                <a:noFill/>
              </a:ln>
            </c:spPr>
          </c:dPt>
          <c:dPt>
            <c:idx val="5"/>
            <c:bubble3D val="0"/>
            <c:spPr>
              <a:solidFill>
                <a:schemeClr val="accent6">
                  <a:lumMod val="60000"/>
                  <a:lumOff val="40000"/>
                </a:schemeClr>
              </a:solidFill>
              <a:ln>
                <a:noFill/>
              </a:ln>
            </c:spPr>
          </c:dPt>
          <c:dPt>
            <c:idx val="6"/>
            <c:bubble3D val="0"/>
            <c:spPr>
              <a:solidFill>
                <a:schemeClr val="accent6">
                  <a:lumMod val="75000"/>
                </a:schemeClr>
              </a:solidFill>
              <a:ln>
                <a:noFill/>
              </a:ln>
            </c:spPr>
          </c:dPt>
          <c:dPt>
            <c:idx val="7"/>
            <c:bubble3D val="0"/>
            <c:spPr>
              <a:solidFill>
                <a:schemeClr val="accent5">
                  <a:lumMod val="60000"/>
                  <a:lumOff val="40000"/>
                </a:schemeClr>
              </a:solidFill>
              <a:ln>
                <a:noFill/>
              </a:ln>
            </c:spPr>
          </c:dPt>
          <c:dLbls>
            <c:dLbl>
              <c:idx val="0"/>
              <c:layout>
                <c:manualLayout>
                  <c:x val="-0.14072445469527733"/>
                  <c:y val="-0.17784424414513669"/>
                </c:manualLayout>
              </c:layout>
              <c:showLegendKey val="0"/>
              <c:showVal val="0"/>
              <c:showCatName val="1"/>
              <c:showSerName val="0"/>
              <c:showPercent val="1"/>
              <c:showBubbleSize val="0"/>
            </c:dLbl>
            <c:dLbl>
              <c:idx val="1"/>
              <c:layout>
                <c:manualLayout>
                  <c:x val="0.15012614424779974"/>
                  <c:y val="-8.1669095781474355E-2"/>
                </c:manualLayout>
              </c:layout>
              <c:showLegendKey val="0"/>
              <c:showVal val="0"/>
              <c:showCatName val="1"/>
              <c:showSerName val="0"/>
              <c:showPercent val="1"/>
              <c:showBubbleSize val="0"/>
            </c:dLbl>
            <c:dLbl>
              <c:idx val="2"/>
              <c:layout>
                <c:manualLayout>
                  <c:x val="-0.13534369383743833"/>
                  <c:y val="0.24539588216584896"/>
                </c:manualLayout>
              </c:layout>
              <c:showLegendKey val="0"/>
              <c:showVal val="0"/>
              <c:showCatName val="1"/>
              <c:showSerName val="0"/>
              <c:showPercent val="1"/>
              <c:showBubbleSize val="0"/>
            </c:dLbl>
            <c:dLbl>
              <c:idx val="3"/>
              <c:layout>
                <c:manualLayout>
                  <c:x val="-7.8515879390863574E-2"/>
                  <c:y val="0"/>
                </c:manualLayout>
              </c:layout>
              <c:showLegendKey val="0"/>
              <c:showVal val="0"/>
              <c:showCatName val="1"/>
              <c:showSerName val="0"/>
              <c:showPercent val="1"/>
              <c:showBubbleSize val="0"/>
            </c:dLbl>
            <c:dLbl>
              <c:idx val="4"/>
              <c:layout>
                <c:manualLayout>
                  <c:x val="-6.6213106126190746E-2"/>
                  <c:y val="8.0705711072918875E-3"/>
                </c:manualLayout>
              </c:layout>
              <c:showLegendKey val="0"/>
              <c:showVal val="0"/>
              <c:showCatName val="1"/>
              <c:showSerName val="0"/>
              <c:showPercent val="1"/>
              <c:showBubbleSize val="0"/>
            </c:dLbl>
            <c:dLbl>
              <c:idx val="5"/>
              <c:layout>
                <c:manualLayout>
                  <c:x val="-8.1579816365070945E-2"/>
                  <c:y val="-2.7547973031582943E-3"/>
                </c:manualLayout>
              </c:layout>
              <c:showLegendKey val="0"/>
              <c:showVal val="0"/>
              <c:showCatName val="1"/>
              <c:showSerName val="0"/>
              <c:showPercent val="1"/>
              <c:showBubbleSize val="0"/>
            </c:dLbl>
            <c:dLbl>
              <c:idx val="6"/>
              <c:layout>
                <c:manualLayout>
                  <c:x val="-0.10960953847985205"/>
                  <c:y val="-4.2291063558289382E-3"/>
                </c:manualLayout>
              </c:layout>
              <c:spPr/>
              <c:txPr>
                <a:bodyPr/>
                <a:lstStyle/>
                <a:p>
                  <a:pPr>
                    <a:defRPr sz="900">
                      <a:solidFill>
                        <a:sysClr val="windowText" lastClr="000000"/>
                      </a:solidFill>
                    </a:defRPr>
                  </a:pPr>
                  <a:endParaRPr lang="en-US"/>
                </a:p>
              </c:txPr>
              <c:showLegendKey val="0"/>
              <c:showVal val="0"/>
              <c:showCatName val="1"/>
              <c:showSerName val="0"/>
              <c:showPercent val="1"/>
              <c:showBubbleSize val="0"/>
            </c:dLbl>
            <c:dLbl>
              <c:idx val="7"/>
              <c:layout>
                <c:manualLayout>
                  <c:x val="-0.14107835935953184"/>
                  <c:y val="3.0614154574313914E-3"/>
                </c:manualLayout>
              </c:layout>
              <c:showLegendKey val="0"/>
              <c:showVal val="0"/>
              <c:showCatName val="1"/>
              <c:showSerName val="0"/>
              <c:showPercent val="1"/>
              <c:showBubbleSize val="0"/>
            </c:dLbl>
            <c:txPr>
              <a:bodyPr/>
              <a:lstStyle/>
              <a:p>
                <a:pPr>
                  <a:defRPr sz="900"/>
                </a:pPr>
                <a:endParaRPr lang="en-US"/>
              </a:p>
            </c:txPr>
            <c:showLegendKey val="0"/>
            <c:showVal val="0"/>
            <c:showCatName val="1"/>
            <c:showSerName val="0"/>
            <c:showPercent val="1"/>
            <c:showBubbleSize val="0"/>
            <c:showLeaderLines val="1"/>
          </c:dLbls>
          <c:cat>
            <c:strRef>
              <c:f>'Organisation type'!$E$2:$E$8</c:f>
              <c:strCache>
                <c:ptCount val="7"/>
                <c:pt idx="0">
                  <c:v>Class 4 non-club society</c:v>
                </c:pt>
                <c:pt idx="1">
                  <c:v>Club</c:v>
                </c:pt>
                <c:pt idx="2">
                  <c:v>Territorial Authority</c:v>
                </c:pt>
                <c:pt idx="3">
                  <c:v>Management Company</c:v>
                </c:pt>
                <c:pt idx="4">
                  <c:v>Service Provider</c:v>
                </c:pt>
                <c:pt idx="5">
                  <c:v>Government Department</c:v>
                </c:pt>
                <c:pt idx="6">
                  <c:v>Other</c:v>
                </c:pt>
              </c:strCache>
            </c:strRef>
          </c:cat>
          <c:val>
            <c:numRef>
              <c:f>'Organisation type'!$F$2:$F$8</c:f>
              <c:numCache>
                <c:formatCode>General</c:formatCode>
                <c:ptCount val="7"/>
                <c:pt idx="0">
                  <c:v>24</c:v>
                </c:pt>
                <c:pt idx="1">
                  <c:v>87</c:v>
                </c:pt>
                <c:pt idx="2">
                  <c:v>34</c:v>
                </c:pt>
                <c:pt idx="3">
                  <c:v>5</c:v>
                </c:pt>
                <c:pt idx="4">
                  <c:v>3</c:v>
                </c:pt>
                <c:pt idx="5">
                  <c:v>4</c:v>
                </c:pt>
                <c:pt idx="6">
                  <c:v>7</c:v>
                </c:pt>
              </c:numCache>
            </c:numRef>
          </c:val>
        </c:ser>
        <c:dLbls>
          <c:showLegendKey val="0"/>
          <c:showVal val="0"/>
          <c:showCatName val="0"/>
          <c:showSerName val="0"/>
          <c:showPercent val="0"/>
          <c:showBubbleSize val="0"/>
          <c:showLeaderLines val="1"/>
        </c:dLbls>
        <c:gapWidth val="150"/>
        <c:splitType val="pos"/>
        <c:splitPos val="4"/>
        <c:secondPieSize val="75"/>
        <c:serLines/>
      </c:ofPieChart>
    </c:plotArea>
    <c:plotVisOnly val="1"/>
    <c:dispBlanksAs val="gap"/>
    <c:showDLblsOverMax val="0"/>
  </c:chart>
  <c:spPr>
    <a:noFill/>
    <a:ln>
      <a:noFill/>
    </a:ln>
  </c:sp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N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9.1849518810148731E-2"/>
          <c:y val="5.1400554097404488E-2"/>
          <c:w val="0.87759492563429575"/>
          <c:h val="0.75391586468358118"/>
        </c:manualLayout>
      </c:layout>
      <c:barChart>
        <c:barDir val="col"/>
        <c:grouping val="clustered"/>
        <c:varyColors val="0"/>
        <c:ser>
          <c:idx val="0"/>
          <c:order val="0"/>
          <c:invertIfNegative val="0"/>
          <c:dPt>
            <c:idx val="0"/>
            <c:invertIfNegative val="0"/>
            <c:bubble3D val="0"/>
            <c:spPr>
              <a:solidFill>
                <a:schemeClr val="accent1"/>
              </a:solidFill>
            </c:spPr>
          </c:dPt>
          <c:dPt>
            <c:idx val="1"/>
            <c:invertIfNegative val="0"/>
            <c:bubble3D val="0"/>
            <c:spPr>
              <a:solidFill>
                <a:schemeClr val="bg2">
                  <a:lumMod val="60000"/>
                  <a:lumOff val="40000"/>
                </a:schemeClr>
              </a:solidFill>
            </c:spPr>
          </c:dPt>
          <c:dPt>
            <c:idx val="2"/>
            <c:invertIfNegative val="0"/>
            <c:bubble3D val="0"/>
            <c:spPr>
              <a:solidFill>
                <a:schemeClr val="accent4">
                  <a:lumMod val="60000"/>
                  <a:lumOff val="40000"/>
                </a:schemeClr>
              </a:solidFill>
            </c:spPr>
          </c:dPt>
          <c:dPt>
            <c:idx val="3"/>
            <c:invertIfNegative val="0"/>
            <c:bubble3D val="0"/>
            <c:spPr>
              <a:solidFill>
                <a:schemeClr val="accent5">
                  <a:lumMod val="60000"/>
                  <a:lumOff val="40000"/>
                </a:schemeClr>
              </a:solidFill>
            </c:spPr>
          </c:dPt>
          <c:dPt>
            <c:idx val="4"/>
            <c:invertIfNegative val="0"/>
            <c:bubble3D val="0"/>
            <c:spPr>
              <a:solidFill>
                <a:schemeClr val="accent2">
                  <a:lumMod val="60000"/>
                  <a:lumOff val="40000"/>
                </a:schemeClr>
              </a:solidFill>
            </c:spPr>
          </c:dPt>
          <c:dPt>
            <c:idx val="5"/>
            <c:invertIfNegative val="0"/>
            <c:bubble3D val="0"/>
            <c:spPr>
              <a:solidFill>
                <a:schemeClr val="accent6">
                  <a:lumMod val="60000"/>
                  <a:lumOff val="40000"/>
                </a:schemeClr>
              </a:solidFill>
            </c:spPr>
          </c:dPt>
          <c:dLbls>
            <c:showLegendKey val="0"/>
            <c:showVal val="1"/>
            <c:showCatName val="0"/>
            <c:showSerName val="0"/>
            <c:showPercent val="0"/>
            <c:showBubbleSize val="0"/>
            <c:showLeaderLines val="0"/>
          </c:dLbls>
          <c:cat>
            <c:strRef>
              <c:f>'Decision communication'!$D$5:$I$5</c:f>
              <c:strCache>
                <c:ptCount val="6"/>
                <c:pt idx="0">
                  <c:v>1</c:v>
                </c:pt>
                <c:pt idx="1">
                  <c:v>2</c:v>
                </c:pt>
                <c:pt idx="2">
                  <c:v>3</c:v>
                </c:pt>
                <c:pt idx="3">
                  <c:v>4</c:v>
                </c:pt>
                <c:pt idx="4">
                  <c:v>5</c:v>
                </c:pt>
                <c:pt idx="5">
                  <c:v>Don't know</c:v>
                </c:pt>
              </c:strCache>
            </c:strRef>
          </c:cat>
          <c:val>
            <c:numRef>
              <c:f>'Decision communication'!$D$6:$I$6</c:f>
              <c:numCache>
                <c:formatCode>0%</c:formatCode>
                <c:ptCount val="6"/>
                <c:pt idx="0">
                  <c:v>0.15032679738562091</c:v>
                </c:pt>
                <c:pt idx="1">
                  <c:v>0.60130718954248363</c:v>
                </c:pt>
                <c:pt idx="2">
                  <c:v>0.13071895424836602</c:v>
                </c:pt>
                <c:pt idx="3">
                  <c:v>5.8823529411764705E-2</c:v>
                </c:pt>
                <c:pt idx="4">
                  <c:v>1.3071895424836602E-2</c:v>
                </c:pt>
                <c:pt idx="5">
                  <c:v>4.5751633986928102E-2</c:v>
                </c:pt>
              </c:numCache>
            </c:numRef>
          </c:val>
        </c:ser>
        <c:dLbls>
          <c:showLegendKey val="0"/>
          <c:showVal val="0"/>
          <c:showCatName val="0"/>
          <c:showSerName val="0"/>
          <c:showPercent val="0"/>
          <c:showBubbleSize val="0"/>
        </c:dLbls>
        <c:gapWidth val="150"/>
        <c:axId val="125479168"/>
        <c:axId val="125481344"/>
      </c:barChart>
      <c:catAx>
        <c:axId val="125479168"/>
        <c:scaling>
          <c:orientation val="minMax"/>
        </c:scaling>
        <c:delete val="0"/>
        <c:axPos val="b"/>
        <c:title>
          <c:tx>
            <c:rich>
              <a:bodyPr/>
              <a:lstStyle/>
              <a:p>
                <a:pPr>
                  <a:defRPr/>
                </a:pPr>
                <a:r>
                  <a:rPr lang="en-US"/>
                  <a:t>Rating scale: 1(high) - 5(low)</a:t>
                </a:r>
              </a:p>
            </c:rich>
          </c:tx>
          <c:overlay val="0"/>
        </c:title>
        <c:majorTickMark val="out"/>
        <c:minorTickMark val="none"/>
        <c:tickLblPos val="nextTo"/>
        <c:crossAx val="125481344"/>
        <c:crosses val="autoZero"/>
        <c:auto val="1"/>
        <c:lblAlgn val="ctr"/>
        <c:lblOffset val="100"/>
        <c:noMultiLvlLbl val="0"/>
      </c:catAx>
      <c:valAx>
        <c:axId val="125481344"/>
        <c:scaling>
          <c:orientation val="minMax"/>
          <c:max val="1"/>
        </c:scaling>
        <c:delete val="0"/>
        <c:axPos val="l"/>
        <c:numFmt formatCode="0%" sourceLinked="1"/>
        <c:majorTickMark val="out"/>
        <c:minorTickMark val="none"/>
        <c:tickLblPos val="nextTo"/>
        <c:crossAx val="125479168"/>
        <c:crosses val="autoZero"/>
        <c:crossBetween val="between"/>
      </c:valAx>
      <c:spPr>
        <a:noFill/>
        <a:ln>
          <a:noFill/>
        </a:ln>
      </c:spPr>
    </c:plotArea>
    <c:plotVisOnly val="1"/>
    <c:dispBlanksAs val="gap"/>
    <c:showDLblsOverMax val="0"/>
  </c:chart>
  <c:spPr>
    <a:noFill/>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N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spPr>
            <a:solidFill>
              <a:srgbClr val="FBE387"/>
            </a:solidFill>
          </c:spPr>
          <c:invertIfNegative val="0"/>
          <c:dPt>
            <c:idx val="0"/>
            <c:invertIfNegative val="0"/>
            <c:bubble3D val="0"/>
            <c:spPr>
              <a:solidFill>
                <a:schemeClr val="accent1"/>
              </a:solidFill>
            </c:spPr>
          </c:dPt>
          <c:dPt>
            <c:idx val="1"/>
            <c:invertIfNegative val="0"/>
            <c:bubble3D val="0"/>
            <c:spPr>
              <a:solidFill>
                <a:schemeClr val="bg2">
                  <a:lumMod val="60000"/>
                  <a:lumOff val="40000"/>
                </a:schemeClr>
              </a:solidFill>
            </c:spPr>
          </c:dPt>
          <c:dPt>
            <c:idx val="2"/>
            <c:invertIfNegative val="0"/>
            <c:bubble3D val="0"/>
            <c:spPr>
              <a:solidFill>
                <a:schemeClr val="accent4">
                  <a:lumMod val="60000"/>
                  <a:lumOff val="40000"/>
                </a:schemeClr>
              </a:solidFill>
            </c:spPr>
          </c:dPt>
          <c:dPt>
            <c:idx val="3"/>
            <c:invertIfNegative val="0"/>
            <c:bubble3D val="0"/>
            <c:spPr>
              <a:solidFill>
                <a:schemeClr val="accent5">
                  <a:lumMod val="60000"/>
                  <a:lumOff val="40000"/>
                </a:schemeClr>
              </a:solidFill>
            </c:spPr>
          </c:dPt>
          <c:dPt>
            <c:idx val="4"/>
            <c:invertIfNegative val="0"/>
            <c:bubble3D val="0"/>
            <c:spPr>
              <a:solidFill>
                <a:schemeClr val="accent2">
                  <a:lumMod val="60000"/>
                  <a:lumOff val="40000"/>
                </a:schemeClr>
              </a:solidFill>
            </c:spPr>
          </c:dPt>
          <c:dPt>
            <c:idx val="5"/>
            <c:invertIfNegative val="0"/>
            <c:bubble3D val="0"/>
            <c:spPr>
              <a:solidFill>
                <a:schemeClr val="accent6">
                  <a:lumMod val="60000"/>
                  <a:lumOff val="40000"/>
                </a:schemeClr>
              </a:solidFill>
            </c:spPr>
          </c:dPt>
          <c:dLbls>
            <c:showLegendKey val="0"/>
            <c:showVal val="1"/>
            <c:showCatName val="0"/>
            <c:showSerName val="0"/>
            <c:showPercent val="0"/>
            <c:showBubbleSize val="0"/>
            <c:showLeaderLines val="0"/>
          </c:dLbls>
          <c:cat>
            <c:strRef>
              <c:f>'Contact method'!$L$3:$Q$3</c:f>
              <c:strCache>
                <c:ptCount val="6"/>
                <c:pt idx="0">
                  <c:v>Email</c:v>
                </c:pt>
                <c:pt idx="1">
                  <c:v>Letter</c:v>
                </c:pt>
                <c:pt idx="2">
                  <c:v>Phone</c:v>
                </c:pt>
                <c:pt idx="3">
                  <c:v>Face-to-face</c:v>
                </c:pt>
                <c:pt idx="4">
                  <c:v>Named contact</c:v>
                </c:pt>
                <c:pt idx="5">
                  <c:v>Other</c:v>
                </c:pt>
              </c:strCache>
            </c:strRef>
          </c:cat>
          <c:val>
            <c:numRef>
              <c:f>'Contact method'!$L$4:$Q$4</c:f>
              <c:numCache>
                <c:formatCode>0%</c:formatCode>
                <c:ptCount val="6"/>
                <c:pt idx="0">
                  <c:v>0.86956521739130432</c:v>
                </c:pt>
                <c:pt idx="1">
                  <c:v>1.8633540372670808E-2</c:v>
                </c:pt>
                <c:pt idx="2">
                  <c:v>0.49689440993788819</c:v>
                </c:pt>
                <c:pt idx="3">
                  <c:v>0.13043478260869565</c:v>
                </c:pt>
                <c:pt idx="4">
                  <c:v>0.11801242236024845</c:v>
                </c:pt>
                <c:pt idx="5">
                  <c:v>6.2111801242236021E-3</c:v>
                </c:pt>
              </c:numCache>
            </c:numRef>
          </c:val>
        </c:ser>
        <c:dLbls>
          <c:showLegendKey val="0"/>
          <c:showVal val="0"/>
          <c:showCatName val="0"/>
          <c:showSerName val="0"/>
          <c:showPercent val="0"/>
          <c:showBubbleSize val="0"/>
        </c:dLbls>
        <c:gapWidth val="150"/>
        <c:axId val="322236800"/>
        <c:axId val="322238720"/>
      </c:barChart>
      <c:catAx>
        <c:axId val="322236800"/>
        <c:scaling>
          <c:orientation val="minMax"/>
        </c:scaling>
        <c:delete val="0"/>
        <c:axPos val="b"/>
        <c:majorTickMark val="out"/>
        <c:minorTickMark val="none"/>
        <c:tickLblPos val="nextTo"/>
        <c:crossAx val="322238720"/>
        <c:crosses val="autoZero"/>
        <c:auto val="1"/>
        <c:lblAlgn val="ctr"/>
        <c:lblOffset val="100"/>
        <c:noMultiLvlLbl val="0"/>
      </c:catAx>
      <c:valAx>
        <c:axId val="322238720"/>
        <c:scaling>
          <c:orientation val="minMax"/>
          <c:max val="1"/>
        </c:scaling>
        <c:delete val="0"/>
        <c:axPos val="l"/>
        <c:numFmt formatCode="0%" sourceLinked="0"/>
        <c:majorTickMark val="out"/>
        <c:minorTickMark val="none"/>
        <c:tickLblPos val="nextTo"/>
        <c:crossAx val="322236800"/>
        <c:crosses val="autoZero"/>
        <c:crossBetween val="between"/>
      </c:valAx>
      <c:spPr>
        <a:noFill/>
        <a:ln>
          <a:noFill/>
        </a:ln>
      </c:spPr>
    </c:plotArea>
    <c:plotVisOnly val="1"/>
    <c:dispBlanksAs val="gap"/>
    <c:showDLblsOverMax val="0"/>
  </c:chart>
  <c:spPr>
    <a:noFill/>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N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invertIfNegative val="0"/>
          <c:dPt>
            <c:idx val="0"/>
            <c:invertIfNegative val="0"/>
            <c:bubble3D val="0"/>
            <c:spPr>
              <a:solidFill>
                <a:schemeClr val="accent1"/>
              </a:solidFill>
            </c:spPr>
          </c:dPt>
          <c:dPt>
            <c:idx val="1"/>
            <c:invertIfNegative val="0"/>
            <c:bubble3D val="0"/>
            <c:spPr>
              <a:solidFill>
                <a:schemeClr val="bg2">
                  <a:lumMod val="60000"/>
                  <a:lumOff val="40000"/>
                </a:schemeClr>
              </a:solidFill>
            </c:spPr>
          </c:dPt>
          <c:dPt>
            <c:idx val="2"/>
            <c:invertIfNegative val="0"/>
            <c:bubble3D val="0"/>
            <c:spPr>
              <a:solidFill>
                <a:schemeClr val="accent4">
                  <a:lumMod val="60000"/>
                  <a:lumOff val="40000"/>
                </a:schemeClr>
              </a:solidFill>
            </c:spPr>
          </c:dPt>
          <c:dPt>
            <c:idx val="3"/>
            <c:invertIfNegative val="0"/>
            <c:bubble3D val="0"/>
            <c:spPr>
              <a:solidFill>
                <a:schemeClr val="accent5">
                  <a:lumMod val="60000"/>
                  <a:lumOff val="40000"/>
                </a:schemeClr>
              </a:solidFill>
            </c:spPr>
          </c:dPt>
          <c:dPt>
            <c:idx val="4"/>
            <c:invertIfNegative val="0"/>
            <c:bubble3D val="0"/>
            <c:spPr>
              <a:solidFill>
                <a:schemeClr val="accent2">
                  <a:lumMod val="60000"/>
                  <a:lumOff val="40000"/>
                </a:schemeClr>
              </a:solidFill>
            </c:spPr>
          </c:dPt>
          <c:dLbls>
            <c:showLegendKey val="0"/>
            <c:showVal val="1"/>
            <c:showCatName val="0"/>
            <c:showSerName val="0"/>
            <c:showPercent val="0"/>
            <c:showBubbleSize val="0"/>
            <c:showLeaderLines val="0"/>
          </c:dLbls>
          <c:cat>
            <c:strRef>
              <c:f>'Contact reason'!$G$3:$K$3</c:f>
              <c:strCache>
                <c:ptCount val="5"/>
                <c:pt idx="0">
                  <c:v>Legislative advice</c:v>
                </c:pt>
                <c:pt idx="1">
                  <c:v>Policy advice</c:v>
                </c:pt>
                <c:pt idx="2">
                  <c:v>General information</c:v>
                </c:pt>
                <c:pt idx="3">
                  <c:v>Licensing application</c:v>
                </c:pt>
                <c:pt idx="4">
                  <c:v>Other</c:v>
                </c:pt>
              </c:strCache>
            </c:strRef>
          </c:cat>
          <c:val>
            <c:numRef>
              <c:f>'Contact reason'!$G$4:$K$4</c:f>
              <c:numCache>
                <c:formatCode>0%</c:formatCode>
                <c:ptCount val="5"/>
                <c:pt idx="0">
                  <c:v>0.24590163934426229</c:v>
                </c:pt>
                <c:pt idx="1">
                  <c:v>0.27049180327868855</c:v>
                </c:pt>
                <c:pt idx="2">
                  <c:v>0.45901639344262296</c:v>
                </c:pt>
                <c:pt idx="3">
                  <c:v>0.64754098360655743</c:v>
                </c:pt>
                <c:pt idx="4">
                  <c:v>0.13114754098360656</c:v>
                </c:pt>
              </c:numCache>
            </c:numRef>
          </c:val>
        </c:ser>
        <c:dLbls>
          <c:showLegendKey val="0"/>
          <c:showVal val="0"/>
          <c:showCatName val="0"/>
          <c:showSerName val="0"/>
          <c:showPercent val="0"/>
          <c:showBubbleSize val="0"/>
        </c:dLbls>
        <c:gapWidth val="150"/>
        <c:axId val="322570880"/>
        <c:axId val="35303808"/>
      </c:barChart>
      <c:catAx>
        <c:axId val="322570880"/>
        <c:scaling>
          <c:orientation val="minMax"/>
        </c:scaling>
        <c:delete val="0"/>
        <c:axPos val="b"/>
        <c:majorTickMark val="out"/>
        <c:minorTickMark val="none"/>
        <c:tickLblPos val="nextTo"/>
        <c:crossAx val="35303808"/>
        <c:crosses val="autoZero"/>
        <c:auto val="1"/>
        <c:lblAlgn val="ctr"/>
        <c:lblOffset val="100"/>
        <c:noMultiLvlLbl val="0"/>
      </c:catAx>
      <c:valAx>
        <c:axId val="35303808"/>
        <c:scaling>
          <c:orientation val="minMax"/>
          <c:max val="1"/>
        </c:scaling>
        <c:delete val="0"/>
        <c:axPos val="l"/>
        <c:numFmt formatCode="0%" sourceLinked="1"/>
        <c:majorTickMark val="out"/>
        <c:minorTickMark val="none"/>
        <c:tickLblPos val="nextTo"/>
        <c:crossAx val="322570880"/>
        <c:crosses val="autoZero"/>
        <c:crossBetween val="between"/>
      </c:valAx>
      <c:spPr>
        <a:noFill/>
        <a:ln>
          <a:noFill/>
        </a:ln>
      </c:spPr>
    </c:plotArea>
    <c:plotVisOnly val="1"/>
    <c:dispBlanksAs val="gap"/>
    <c:showDLblsOverMax val="0"/>
  </c:chart>
  <c:spPr>
    <a:noFill/>
    <a:ln>
      <a:no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N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9.1849518810148731E-2"/>
          <c:y val="5.1400554097404488E-2"/>
          <c:w val="0.88770691163604554"/>
          <c:h val="0.78016057828836971"/>
        </c:manualLayout>
      </c:layout>
      <c:barChart>
        <c:barDir val="col"/>
        <c:grouping val="clustered"/>
        <c:varyColors val="0"/>
        <c:ser>
          <c:idx val="0"/>
          <c:order val="0"/>
          <c:tx>
            <c:strRef>
              <c:f>'Professional performance'!$G$7</c:f>
              <c:strCache>
                <c:ptCount val="1"/>
                <c:pt idx="0">
                  <c:v>Ease of obtaining information</c:v>
                </c:pt>
              </c:strCache>
            </c:strRef>
          </c:tx>
          <c:spPr>
            <a:solidFill>
              <a:schemeClr val="accent1"/>
            </a:solidFill>
          </c:spPr>
          <c:invertIfNegative val="0"/>
          <c:dLbls>
            <c:showLegendKey val="0"/>
            <c:showVal val="1"/>
            <c:showCatName val="0"/>
            <c:showSerName val="0"/>
            <c:showPercent val="0"/>
            <c:showBubbleSize val="0"/>
            <c:showLeaderLines val="0"/>
          </c:dLbls>
          <c:cat>
            <c:numRef>
              <c:f>'Professional performance'!$H$6:$L$6</c:f>
              <c:numCache>
                <c:formatCode>General</c:formatCode>
                <c:ptCount val="5"/>
                <c:pt idx="0">
                  <c:v>1</c:v>
                </c:pt>
                <c:pt idx="1">
                  <c:v>2</c:v>
                </c:pt>
                <c:pt idx="2">
                  <c:v>3</c:v>
                </c:pt>
                <c:pt idx="3">
                  <c:v>4</c:v>
                </c:pt>
                <c:pt idx="4">
                  <c:v>5</c:v>
                </c:pt>
              </c:numCache>
            </c:numRef>
          </c:cat>
          <c:val>
            <c:numRef>
              <c:f>'Professional performance'!$H$7:$L$7</c:f>
              <c:numCache>
                <c:formatCode>0%</c:formatCode>
                <c:ptCount val="5"/>
                <c:pt idx="0">
                  <c:v>0.28688524590163933</c:v>
                </c:pt>
                <c:pt idx="1">
                  <c:v>0.51639344262295084</c:v>
                </c:pt>
                <c:pt idx="2">
                  <c:v>0.14754098360655737</c:v>
                </c:pt>
                <c:pt idx="3">
                  <c:v>3.2786885245901641E-2</c:v>
                </c:pt>
                <c:pt idx="4">
                  <c:v>1.6393442622950821E-2</c:v>
                </c:pt>
              </c:numCache>
            </c:numRef>
          </c:val>
        </c:ser>
        <c:ser>
          <c:idx val="1"/>
          <c:order val="1"/>
          <c:tx>
            <c:strRef>
              <c:f>'Professional performance'!$G$8</c:f>
              <c:strCache>
                <c:ptCount val="1"/>
                <c:pt idx="0">
                  <c:v>Quality of information provided</c:v>
                </c:pt>
              </c:strCache>
            </c:strRef>
          </c:tx>
          <c:spPr>
            <a:solidFill>
              <a:schemeClr val="bg2">
                <a:lumMod val="60000"/>
                <a:lumOff val="40000"/>
              </a:schemeClr>
            </a:solidFill>
          </c:spPr>
          <c:invertIfNegative val="0"/>
          <c:dLbls>
            <c:showLegendKey val="0"/>
            <c:showVal val="1"/>
            <c:showCatName val="0"/>
            <c:showSerName val="0"/>
            <c:showPercent val="0"/>
            <c:showBubbleSize val="0"/>
            <c:showLeaderLines val="0"/>
          </c:dLbls>
          <c:cat>
            <c:numRef>
              <c:f>'Professional performance'!$H$6:$L$6</c:f>
              <c:numCache>
                <c:formatCode>General</c:formatCode>
                <c:ptCount val="5"/>
                <c:pt idx="0">
                  <c:v>1</c:v>
                </c:pt>
                <c:pt idx="1">
                  <c:v>2</c:v>
                </c:pt>
                <c:pt idx="2">
                  <c:v>3</c:v>
                </c:pt>
                <c:pt idx="3">
                  <c:v>4</c:v>
                </c:pt>
                <c:pt idx="4">
                  <c:v>5</c:v>
                </c:pt>
              </c:numCache>
            </c:numRef>
          </c:cat>
          <c:val>
            <c:numRef>
              <c:f>'Professional performance'!$H$8:$L$8</c:f>
              <c:numCache>
                <c:formatCode>0%</c:formatCode>
                <c:ptCount val="5"/>
                <c:pt idx="0">
                  <c:v>0.35245901639344263</c:v>
                </c:pt>
                <c:pt idx="1">
                  <c:v>0.49180327868852458</c:v>
                </c:pt>
                <c:pt idx="2">
                  <c:v>0.13934426229508196</c:v>
                </c:pt>
                <c:pt idx="3">
                  <c:v>0</c:v>
                </c:pt>
                <c:pt idx="4">
                  <c:v>1.6393442622950821E-2</c:v>
                </c:pt>
              </c:numCache>
            </c:numRef>
          </c:val>
        </c:ser>
        <c:ser>
          <c:idx val="2"/>
          <c:order val="2"/>
          <c:tx>
            <c:strRef>
              <c:f>'Professional performance'!$G$9</c:f>
              <c:strCache>
                <c:ptCount val="1"/>
                <c:pt idx="0">
                  <c:v>Speed of DIA response</c:v>
                </c:pt>
              </c:strCache>
            </c:strRef>
          </c:tx>
          <c:spPr>
            <a:solidFill>
              <a:schemeClr val="accent4">
                <a:lumMod val="60000"/>
                <a:lumOff val="40000"/>
              </a:schemeClr>
            </a:solidFill>
          </c:spPr>
          <c:invertIfNegative val="0"/>
          <c:dLbls>
            <c:showLegendKey val="0"/>
            <c:showVal val="1"/>
            <c:showCatName val="0"/>
            <c:showSerName val="0"/>
            <c:showPercent val="0"/>
            <c:showBubbleSize val="0"/>
            <c:showLeaderLines val="0"/>
          </c:dLbls>
          <c:cat>
            <c:numRef>
              <c:f>'Professional performance'!$H$6:$L$6</c:f>
              <c:numCache>
                <c:formatCode>General</c:formatCode>
                <c:ptCount val="5"/>
                <c:pt idx="0">
                  <c:v>1</c:v>
                </c:pt>
                <c:pt idx="1">
                  <c:v>2</c:v>
                </c:pt>
                <c:pt idx="2">
                  <c:v>3</c:v>
                </c:pt>
                <c:pt idx="3">
                  <c:v>4</c:v>
                </c:pt>
                <c:pt idx="4">
                  <c:v>5</c:v>
                </c:pt>
              </c:numCache>
            </c:numRef>
          </c:cat>
          <c:val>
            <c:numRef>
              <c:f>'Professional performance'!$H$9:$L$9</c:f>
              <c:numCache>
                <c:formatCode>0%</c:formatCode>
                <c:ptCount val="5"/>
                <c:pt idx="0">
                  <c:v>0.27868852459016391</c:v>
                </c:pt>
                <c:pt idx="1">
                  <c:v>0.48360655737704916</c:v>
                </c:pt>
                <c:pt idx="2">
                  <c:v>0.15573770491803279</c:v>
                </c:pt>
                <c:pt idx="3">
                  <c:v>4.9180327868852458E-2</c:v>
                </c:pt>
                <c:pt idx="4">
                  <c:v>3.2786885245901641E-2</c:v>
                </c:pt>
              </c:numCache>
            </c:numRef>
          </c:val>
        </c:ser>
        <c:dLbls>
          <c:showLegendKey val="0"/>
          <c:showVal val="0"/>
          <c:showCatName val="0"/>
          <c:showSerName val="0"/>
          <c:showPercent val="0"/>
          <c:showBubbleSize val="0"/>
        </c:dLbls>
        <c:gapWidth val="150"/>
        <c:axId val="35523584"/>
        <c:axId val="35525760"/>
      </c:barChart>
      <c:catAx>
        <c:axId val="35523584"/>
        <c:scaling>
          <c:orientation val="minMax"/>
        </c:scaling>
        <c:delete val="0"/>
        <c:axPos val="b"/>
        <c:title>
          <c:tx>
            <c:rich>
              <a:bodyPr/>
              <a:lstStyle/>
              <a:p>
                <a:pPr>
                  <a:defRPr/>
                </a:pPr>
                <a:r>
                  <a:rPr lang="en-NZ"/>
                  <a:t>Rating Scale: 1(high)</a:t>
                </a:r>
                <a:r>
                  <a:rPr lang="en-NZ" baseline="0"/>
                  <a:t> - 5(low)</a:t>
                </a:r>
                <a:endParaRPr lang="en-NZ"/>
              </a:p>
            </c:rich>
          </c:tx>
          <c:overlay val="0"/>
        </c:title>
        <c:numFmt formatCode="General" sourceLinked="1"/>
        <c:majorTickMark val="out"/>
        <c:minorTickMark val="none"/>
        <c:tickLblPos val="nextTo"/>
        <c:crossAx val="35525760"/>
        <c:crosses val="autoZero"/>
        <c:auto val="1"/>
        <c:lblAlgn val="ctr"/>
        <c:lblOffset val="100"/>
        <c:noMultiLvlLbl val="0"/>
      </c:catAx>
      <c:valAx>
        <c:axId val="35525760"/>
        <c:scaling>
          <c:orientation val="minMax"/>
          <c:max val="1"/>
        </c:scaling>
        <c:delete val="0"/>
        <c:axPos val="l"/>
        <c:numFmt formatCode="0%" sourceLinked="1"/>
        <c:majorTickMark val="out"/>
        <c:minorTickMark val="none"/>
        <c:tickLblPos val="nextTo"/>
        <c:crossAx val="35523584"/>
        <c:crosses val="autoZero"/>
        <c:crossBetween val="between"/>
      </c:valAx>
      <c:spPr>
        <a:noFill/>
        <a:ln>
          <a:noFill/>
        </a:ln>
      </c:spPr>
    </c:plotArea>
    <c:legend>
      <c:legendPos val="r"/>
      <c:layout>
        <c:manualLayout>
          <c:xMode val="edge"/>
          <c:yMode val="edge"/>
          <c:x val="0.63233420822397202"/>
          <c:y val="0.23090551181102362"/>
          <c:w val="0.32434505686789145"/>
          <c:h val="0.23715296243707243"/>
        </c:manualLayout>
      </c:layout>
      <c:overlay val="0"/>
    </c:legend>
    <c:plotVisOnly val="1"/>
    <c:dispBlanksAs val="gap"/>
    <c:showDLblsOverMax val="0"/>
  </c:chart>
  <c:spPr>
    <a:noFill/>
    <a:ln>
      <a:noFill/>
    </a:ln>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N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5.0032297364698566E-2"/>
          <c:y val="2.8304702829928287E-2"/>
          <c:w val="0.9387806586481986"/>
          <c:h val="0.84566142995719762"/>
        </c:manualLayout>
      </c:layout>
      <c:barChart>
        <c:barDir val="col"/>
        <c:grouping val="clustered"/>
        <c:varyColors val="0"/>
        <c:ser>
          <c:idx val="0"/>
          <c:order val="0"/>
          <c:tx>
            <c:strRef>
              <c:f>'Info usefulness'!$G$8</c:f>
              <c:strCache>
                <c:ptCount val="1"/>
                <c:pt idx="0">
                  <c:v>Gambits</c:v>
                </c:pt>
              </c:strCache>
            </c:strRef>
          </c:tx>
          <c:spPr>
            <a:solidFill>
              <a:schemeClr val="accent1"/>
            </a:solidFill>
          </c:spPr>
          <c:invertIfNegative val="0"/>
          <c:dLbls>
            <c:txPr>
              <a:bodyPr/>
              <a:lstStyle/>
              <a:p>
                <a:pPr>
                  <a:defRPr sz="800"/>
                </a:pPr>
                <a:endParaRPr lang="en-US"/>
              </a:p>
            </c:txPr>
            <c:showLegendKey val="0"/>
            <c:showVal val="1"/>
            <c:showCatName val="0"/>
            <c:showSerName val="0"/>
            <c:showPercent val="0"/>
            <c:showBubbleSize val="0"/>
            <c:showLeaderLines val="0"/>
          </c:dLbls>
          <c:cat>
            <c:numRef>
              <c:f>'Info usefulness'!$H$7:$L$7</c:f>
              <c:numCache>
                <c:formatCode>General</c:formatCode>
                <c:ptCount val="5"/>
                <c:pt idx="0">
                  <c:v>1</c:v>
                </c:pt>
                <c:pt idx="1">
                  <c:v>2</c:v>
                </c:pt>
                <c:pt idx="2">
                  <c:v>3</c:v>
                </c:pt>
                <c:pt idx="3">
                  <c:v>4</c:v>
                </c:pt>
                <c:pt idx="4">
                  <c:v>5</c:v>
                </c:pt>
              </c:numCache>
            </c:numRef>
          </c:cat>
          <c:val>
            <c:numRef>
              <c:f>'Info usefulness'!$H$8:$L$8</c:f>
              <c:numCache>
                <c:formatCode>0%</c:formatCode>
                <c:ptCount val="5"/>
                <c:pt idx="0">
                  <c:v>0.35897435897435898</c:v>
                </c:pt>
                <c:pt idx="1">
                  <c:v>0.38461538461538464</c:v>
                </c:pt>
                <c:pt idx="2">
                  <c:v>4.4871794871794872E-2</c:v>
                </c:pt>
                <c:pt idx="3">
                  <c:v>5.128205128205128E-2</c:v>
                </c:pt>
                <c:pt idx="4">
                  <c:v>1.282051282051282E-2</c:v>
                </c:pt>
              </c:numCache>
            </c:numRef>
          </c:val>
        </c:ser>
        <c:ser>
          <c:idx val="1"/>
          <c:order val="1"/>
          <c:tx>
            <c:strRef>
              <c:f>'Info usefulness'!$G$9</c:f>
              <c:strCache>
                <c:ptCount val="1"/>
                <c:pt idx="0">
                  <c:v>DIA website</c:v>
                </c:pt>
              </c:strCache>
            </c:strRef>
          </c:tx>
          <c:spPr>
            <a:solidFill>
              <a:schemeClr val="bg2">
                <a:lumMod val="60000"/>
                <a:lumOff val="40000"/>
              </a:schemeClr>
            </a:solidFill>
          </c:spPr>
          <c:invertIfNegative val="0"/>
          <c:dLbls>
            <c:txPr>
              <a:bodyPr/>
              <a:lstStyle/>
              <a:p>
                <a:pPr>
                  <a:defRPr sz="800"/>
                </a:pPr>
                <a:endParaRPr lang="en-US"/>
              </a:p>
            </c:txPr>
            <c:showLegendKey val="0"/>
            <c:showVal val="1"/>
            <c:showCatName val="0"/>
            <c:showSerName val="0"/>
            <c:showPercent val="0"/>
            <c:showBubbleSize val="0"/>
            <c:showLeaderLines val="0"/>
          </c:dLbls>
          <c:cat>
            <c:numRef>
              <c:f>'Info usefulness'!$H$7:$L$7</c:f>
              <c:numCache>
                <c:formatCode>General</c:formatCode>
                <c:ptCount val="5"/>
                <c:pt idx="0">
                  <c:v>1</c:v>
                </c:pt>
                <c:pt idx="1">
                  <c:v>2</c:v>
                </c:pt>
                <c:pt idx="2">
                  <c:v>3</c:v>
                </c:pt>
                <c:pt idx="3">
                  <c:v>4</c:v>
                </c:pt>
                <c:pt idx="4">
                  <c:v>5</c:v>
                </c:pt>
              </c:numCache>
            </c:numRef>
          </c:cat>
          <c:val>
            <c:numRef>
              <c:f>'Info usefulness'!$H$9:$L$9</c:f>
              <c:numCache>
                <c:formatCode>0%</c:formatCode>
                <c:ptCount val="5"/>
                <c:pt idx="0">
                  <c:v>0.2356687898089172</c:v>
                </c:pt>
                <c:pt idx="1">
                  <c:v>0.46496815286624205</c:v>
                </c:pt>
                <c:pt idx="2">
                  <c:v>0.17197452229299362</c:v>
                </c:pt>
                <c:pt idx="3">
                  <c:v>3.1847133757961783E-2</c:v>
                </c:pt>
                <c:pt idx="4">
                  <c:v>1.9108280254777069E-2</c:v>
                </c:pt>
              </c:numCache>
            </c:numRef>
          </c:val>
        </c:ser>
        <c:ser>
          <c:idx val="2"/>
          <c:order val="2"/>
          <c:tx>
            <c:strRef>
              <c:f>'Info usefulness'!$G$10</c:f>
              <c:strCache>
                <c:ptCount val="1"/>
                <c:pt idx="0">
                  <c:v>Sector forum</c:v>
                </c:pt>
              </c:strCache>
            </c:strRef>
          </c:tx>
          <c:spPr>
            <a:solidFill>
              <a:schemeClr val="accent4">
                <a:lumMod val="60000"/>
                <a:lumOff val="40000"/>
              </a:schemeClr>
            </a:solidFill>
          </c:spPr>
          <c:invertIfNegative val="0"/>
          <c:dLbls>
            <c:txPr>
              <a:bodyPr/>
              <a:lstStyle/>
              <a:p>
                <a:pPr>
                  <a:defRPr sz="800"/>
                </a:pPr>
                <a:endParaRPr lang="en-US"/>
              </a:p>
            </c:txPr>
            <c:showLegendKey val="0"/>
            <c:showVal val="1"/>
            <c:showCatName val="0"/>
            <c:showSerName val="0"/>
            <c:showPercent val="0"/>
            <c:showBubbleSize val="0"/>
            <c:showLeaderLines val="0"/>
          </c:dLbls>
          <c:cat>
            <c:numRef>
              <c:f>'Info usefulness'!$H$7:$L$7</c:f>
              <c:numCache>
                <c:formatCode>General</c:formatCode>
                <c:ptCount val="5"/>
                <c:pt idx="0">
                  <c:v>1</c:v>
                </c:pt>
                <c:pt idx="1">
                  <c:v>2</c:v>
                </c:pt>
                <c:pt idx="2">
                  <c:v>3</c:v>
                </c:pt>
                <c:pt idx="3">
                  <c:v>4</c:v>
                </c:pt>
                <c:pt idx="4">
                  <c:v>5</c:v>
                </c:pt>
              </c:numCache>
            </c:numRef>
          </c:cat>
          <c:val>
            <c:numRef>
              <c:f>'Info usefulness'!$H$10:$L$10</c:f>
              <c:numCache>
                <c:formatCode>0%</c:formatCode>
                <c:ptCount val="5"/>
                <c:pt idx="0">
                  <c:v>0.12413793103448276</c:v>
                </c:pt>
                <c:pt idx="1">
                  <c:v>0.22068965517241379</c:v>
                </c:pt>
                <c:pt idx="2">
                  <c:v>0.19310344827586207</c:v>
                </c:pt>
                <c:pt idx="3">
                  <c:v>2.7586206896551724E-2</c:v>
                </c:pt>
                <c:pt idx="4">
                  <c:v>2.0689655172413793E-2</c:v>
                </c:pt>
              </c:numCache>
            </c:numRef>
          </c:val>
        </c:ser>
        <c:ser>
          <c:idx val="3"/>
          <c:order val="3"/>
          <c:tx>
            <c:strRef>
              <c:f>'Info usefulness'!$G$11</c:f>
              <c:strCache>
                <c:ptCount val="1"/>
                <c:pt idx="0">
                  <c:v>Face-to-face meetings</c:v>
                </c:pt>
              </c:strCache>
            </c:strRef>
          </c:tx>
          <c:spPr>
            <a:solidFill>
              <a:schemeClr val="accent5">
                <a:lumMod val="60000"/>
                <a:lumOff val="40000"/>
              </a:schemeClr>
            </a:solidFill>
          </c:spPr>
          <c:invertIfNegative val="0"/>
          <c:dLbls>
            <c:txPr>
              <a:bodyPr/>
              <a:lstStyle/>
              <a:p>
                <a:pPr>
                  <a:defRPr sz="800"/>
                </a:pPr>
                <a:endParaRPr lang="en-US"/>
              </a:p>
            </c:txPr>
            <c:showLegendKey val="0"/>
            <c:showVal val="1"/>
            <c:showCatName val="0"/>
            <c:showSerName val="0"/>
            <c:showPercent val="0"/>
            <c:showBubbleSize val="0"/>
            <c:showLeaderLines val="0"/>
          </c:dLbls>
          <c:cat>
            <c:numRef>
              <c:f>'Info usefulness'!$H$7:$L$7</c:f>
              <c:numCache>
                <c:formatCode>General</c:formatCode>
                <c:ptCount val="5"/>
                <c:pt idx="0">
                  <c:v>1</c:v>
                </c:pt>
                <c:pt idx="1">
                  <c:v>2</c:v>
                </c:pt>
                <c:pt idx="2">
                  <c:v>3</c:v>
                </c:pt>
                <c:pt idx="3">
                  <c:v>4</c:v>
                </c:pt>
                <c:pt idx="4">
                  <c:v>5</c:v>
                </c:pt>
              </c:numCache>
            </c:numRef>
          </c:cat>
          <c:val>
            <c:numRef>
              <c:f>'Info usefulness'!$H$11:$L$11</c:f>
              <c:numCache>
                <c:formatCode>0%</c:formatCode>
                <c:ptCount val="5"/>
                <c:pt idx="0">
                  <c:v>0.26530612244897961</c:v>
                </c:pt>
                <c:pt idx="1">
                  <c:v>0.19727891156462585</c:v>
                </c:pt>
                <c:pt idx="2">
                  <c:v>0.11564625850340136</c:v>
                </c:pt>
                <c:pt idx="3">
                  <c:v>0</c:v>
                </c:pt>
                <c:pt idx="4">
                  <c:v>6.8027210884353739E-3</c:v>
                </c:pt>
              </c:numCache>
            </c:numRef>
          </c:val>
        </c:ser>
        <c:dLbls>
          <c:showLegendKey val="0"/>
          <c:showVal val="0"/>
          <c:showCatName val="0"/>
          <c:showSerName val="0"/>
          <c:showPercent val="0"/>
          <c:showBubbleSize val="0"/>
        </c:dLbls>
        <c:gapWidth val="150"/>
        <c:axId val="35562624"/>
        <c:axId val="35564544"/>
      </c:barChart>
      <c:catAx>
        <c:axId val="35562624"/>
        <c:scaling>
          <c:orientation val="minMax"/>
        </c:scaling>
        <c:delete val="0"/>
        <c:axPos val="b"/>
        <c:title>
          <c:tx>
            <c:rich>
              <a:bodyPr/>
              <a:lstStyle/>
              <a:p>
                <a:pPr>
                  <a:defRPr/>
                </a:pPr>
                <a:r>
                  <a:rPr lang="en-NZ"/>
                  <a:t>Rating scale: 1(high)</a:t>
                </a:r>
                <a:r>
                  <a:rPr lang="en-NZ" baseline="0"/>
                  <a:t> - 5(low)</a:t>
                </a:r>
                <a:endParaRPr lang="en-NZ"/>
              </a:p>
            </c:rich>
          </c:tx>
          <c:overlay val="0"/>
        </c:title>
        <c:numFmt formatCode="General" sourceLinked="1"/>
        <c:majorTickMark val="out"/>
        <c:minorTickMark val="none"/>
        <c:tickLblPos val="nextTo"/>
        <c:crossAx val="35564544"/>
        <c:crosses val="autoZero"/>
        <c:auto val="1"/>
        <c:lblAlgn val="ctr"/>
        <c:lblOffset val="100"/>
        <c:noMultiLvlLbl val="0"/>
      </c:catAx>
      <c:valAx>
        <c:axId val="35564544"/>
        <c:scaling>
          <c:orientation val="minMax"/>
          <c:max val="1"/>
        </c:scaling>
        <c:delete val="0"/>
        <c:axPos val="l"/>
        <c:numFmt formatCode="0%" sourceLinked="1"/>
        <c:majorTickMark val="out"/>
        <c:minorTickMark val="none"/>
        <c:tickLblPos val="nextTo"/>
        <c:crossAx val="35562624"/>
        <c:crosses val="autoZero"/>
        <c:crossBetween val="between"/>
      </c:valAx>
      <c:spPr>
        <a:noFill/>
        <a:ln>
          <a:noFill/>
        </a:ln>
      </c:spPr>
    </c:plotArea>
    <c:legend>
      <c:legendPos val="r"/>
      <c:layout>
        <c:manualLayout>
          <c:xMode val="edge"/>
          <c:yMode val="edge"/>
          <c:x val="0.4446800380482035"/>
          <c:y val="0.14387854595866764"/>
          <c:w val="0.44574461199473109"/>
          <c:h val="0.3820586430974966"/>
        </c:manualLayout>
      </c:layout>
      <c:overlay val="0"/>
    </c:legend>
    <c:plotVisOnly val="1"/>
    <c:dispBlanksAs val="gap"/>
    <c:showDLblsOverMax val="0"/>
  </c:chart>
  <c:spPr>
    <a:noFill/>
    <a:ln>
      <a:noFill/>
    </a:ln>
  </c:sp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N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Gambits!$E$7</c:f>
              <c:strCache>
                <c:ptCount val="1"/>
                <c:pt idx="0">
                  <c:v>Simple to understand</c:v>
                </c:pt>
              </c:strCache>
            </c:strRef>
          </c:tx>
          <c:invertIfNegative val="0"/>
          <c:dPt>
            <c:idx val="0"/>
            <c:invertIfNegative val="0"/>
            <c:bubble3D val="0"/>
            <c:spPr>
              <a:solidFill>
                <a:schemeClr val="accent1"/>
              </a:solidFill>
            </c:spPr>
          </c:dPt>
          <c:dPt>
            <c:idx val="1"/>
            <c:invertIfNegative val="0"/>
            <c:bubble3D val="0"/>
            <c:spPr>
              <a:solidFill>
                <a:schemeClr val="bg2">
                  <a:lumMod val="60000"/>
                  <a:lumOff val="40000"/>
                </a:schemeClr>
              </a:solidFill>
            </c:spPr>
          </c:dPt>
          <c:dPt>
            <c:idx val="2"/>
            <c:invertIfNegative val="0"/>
            <c:bubble3D val="0"/>
            <c:spPr>
              <a:solidFill>
                <a:schemeClr val="accent4">
                  <a:lumMod val="60000"/>
                  <a:lumOff val="40000"/>
                </a:schemeClr>
              </a:solidFill>
            </c:spPr>
          </c:dPt>
          <c:dPt>
            <c:idx val="3"/>
            <c:invertIfNegative val="0"/>
            <c:bubble3D val="0"/>
            <c:spPr>
              <a:solidFill>
                <a:schemeClr val="accent5">
                  <a:lumMod val="60000"/>
                  <a:lumOff val="40000"/>
                </a:schemeClr>
              </a:solidFill>
            </c:spPr>
          </c:dPt>
          <c:dLbls>
            <c:showLegendKey val="0"/>
            <c:showVal val="1"/>
            <c:showCatName val="0"/>
            <c:showSerName val="0"/>
            <c:showPercent val="0"/>
            <c:showBubbleSize val="0"/>
            <c:showLeaderLines val="0"/>
          </c:dLbls>
          <c:cat>
            <c:strRef>
              <c:f>Gambits!$F$6:$J$6</c:f>
              <c:strCache>
                <c:ptCount val="5"/>
                <c:pt idx="0">
                  <c:v>Very easy</c:v>
                </c:pt>
                <c:pt idx="1">
                  <c:v>Easy</c:v>
                </c:pt>
                <c:pt idx="2">
                  <c:v>Neutral</c:v>
                </c:pt>
                <c:pt idx="3">
                  <c:v>Difficult</c:v>
                </c:pt>
                <c:pt idx="4">
                  <c:v>Very difficult</c:v>
                </c:pt>
              </c:strCache>
            </c:strRef>
          </c:cat>
          <c:val>
            <c:numRef>
              <c:f>Gambits!$F$7:$J$7</c:f>
              <c:numCache>
                <c:formatCode>0%</c:formatCode>
                <c:ptCount val="5"/>
                <c:pt idx="0">
                  <c:v>0.28888888888888886</c:v>
                </c:pt>
                <c:pt idx="1">
                  <c:v>0.58518518518518514</c:v>
                </c:pt>
                <c:pt idx="2">
                  <c:v>0.11851851851851852</c:v>
                </c:pt>
                <c:pt idx="3">
                  <c:v>7.4074074074074077E-3</c:v>
                </c:pt>
                <c:pt idx="4">
                  <c:v>0</c:v>
                </c:pt>
              </c:numCache>
            </c:numRef>
          </c:val>
        </c:ser>
        <c:dLbls>
          <c:showLegendKey val="0"/>
          <c:showVal val="0"/>
          <c:showCatName val="0"/>
          <c:showSerName val="0"/>
          <c:showPercent val="0"/>
          <c:showBubbleSize val="0"/>
        </c:dLbls>
        <c:gapWidth val="150"/>
        <c:axId val="35586816"/>
        <c:axId val="35588352"/>
      </c:barChart>
      <c:catAx>
        <c:axId val="35586816"/>
        <c:scaling>
          <c:orientation val="minMax"/>
        </c:scaling>
        <c:delete val="0"/>
        <c:axPos val="b"/>
        <c:numFmt formatCode="General" sourceLinked="1"/>
        <c:majorTickMark val="out"/>
        <c:minorTickMark val="none"/>
        <c:tickLblPos val="nextTo"/>
        <c:crossAx val="35588352"/>
        <c:crosses val="autoZero"/>
        <c:auto val="1"/>
        <c:lblAlgn val="ctr"/>
        <c:lblOffset val="100"/>
        <c:noMultiLvlLbl val="0"/>
      </c:catAx>
      <c:valAx>
        <c:axId val="35588352"/>
        <c:scaling>
          <c:orientation val="minMax"/>
          <c:max val="1"/>
        </c:scaling>
        <c:delete val="0"/>
        <c:axPos val="l"/>
        <c:numFmt formatCode="0%" sourceLinked="1"/>
        <c:majorTickMark val="out"/>
        <c:minorTickMark val="none"/>
        <c:tickLblPos val="nextTo"/>
        <c:crossAx val="35586816"/>
        <c:crosses val="autoZero"/>
        <c:crossBetween val="between"/>
      </c:valAx>
      <c:spPr>
        <a:noFill/>
        <a:ln>
          <a:noFill/>
        </a:ln>
      </c:spPr>
    </c:plotArea>
    <c:plotVisOnly val="1"/>
    <c:dispBlanksAs val="gap"/>
    <c:showDLblsOverMax val="0"/>
  </c:chart>
  <c:spPr>
    <a:noFill/>
    <a:ln>
      <a:noFill/>
    </a:ln>
  </c:sp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N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5.132452739100278E-2"/>
          <c:y val="4.3284677134656412E-2"/>
          <c:w val="0.93197363717195425"/>
          <c:h val="0.87735466705105802"/>
        </c:manualLayout>
      </c:layout>
      <c:barChart>
        <c:barDir val="col"/>
        <c:grouping val="clustered"/>
        <c:varyColors val="0"/>
        <c:ser>
          <c:idx val="0"/>
          <c:order val="0"/>
          <c:tx>
            <c:strRef>
              <c:f>'NEW website questions'!$AN$8</c:f>
              <c:strCache>
                <c:ptCount val="1"/>
                <c:pt idx="0">
                  <c:v>Finding information</c:v>
                </c:pt>
              </c:strCache>
            </c:strRef>
          </c:tx>
          <c:spPr>
            <a:solidFill>
              <a:schemeClr val="accent1"/>
            </a:solidFill>
          </c:spPr>
          <c:invertIfNegative val="0"/>
          <c:dLbls>
            <c:showLegendKey val="0"/>
            <c:showVal val="1"/>
            <c:showCatName val="0"/>
            <c:showSerName val="0"/>
            <c:showPercent val="0"/>
            <c:showBubbleSize val="0"/>
            <c:showLeaderLines val="0"/>
          </c:dLbls>
          <c:cat>
            <c:strRef>
              <c:f>'NEW website questions'!$AO$7:$AS$7</c:f>
              <c:strCache>
                <c:ptCount val="5"/>
                <c:pt idx="0">
                  <c:v>Very easy</c:v>
                </c:pt>
                <c:pt idx="1">
                  <c:v>Easy</c:v>
                </c:pt>
                <c:pt idx="2">
                  <c:v>Neutral</c:v>
                </c:pt>
                <c:pt idx="3">
                  <c:v>Difficult</c:v>
                </c:pt>
                <c:pt idx="4">
                  <c:v>Very difficult</c:v>
                </c:pt>
              </c:strCache>
            </c:strRef>
          </c:cat>
          <c:val>
            <c:numRef>
              <c:f>'NEW website questions'!$AO$8:$AS$8</c:f>
              <c:numCache>
                <c:formatCode>0%</c:formatCode>
                <c:ptCount val="5"/>
                <c:pt idx="0">
                  <c:v>8.5271317829457363E-2</c:v>
                </c:pt>
                <c:pt idx="1">
                  <c:v>0.56589147286821706</c:v>
                </c:pt>
                <c:pt idx="2">
                  <c:v>0.23255813953488372</c:v>
                </c:pt>
                <c:pt idx="3">
                  <c:v>0.10077519379844961</c:v>
                </c:pt>
                <c:pt idx="4">
                  <c:v>1.5503875968992248E-2</c:v>
                </c:pt>
              </c:numCache>
            </c:numRef>
          </c:val>
        </c:ser>
        <c:ser>
          <c:idx val="1"/>
          <c:order val="1"/>
          <c:tx>
            <c:strRef>
              <c:f>'NEW website questions'!$AN$9</c:f>
              <c:strCache>
                <c:ptCount val="1"/>
                <c:pt idx="0">
                  <c:v>Understanding information</c:v>
                </c:pt>
              </c:strCache>
            </c:strRef>
          </c:tx>
          <c:spPr>
            <a:solidFill>
              <a:schemeClr val="bg2">
                <a:lumMod val="60000"/>
                <a:lumOff val="40000"/>
              </a:schemeClr>
            </a:solidFill>
          </c:spPr>
          <c:invertIfNegative val="0"/>
          <c:dLbls>
            <c:showLegendKey val="0"/>
            <c:showVal val="1"/>
            <c:showCatName val="0"/>
            <c:showSerName val="0"/>
            <c:showPercent val="0"/>
            <c:showBubbleSize val="0"/>
            <c:showLeaderLines val="0"/>
          </c:dLbls>
          <c:cat>
            <c:strRef>
              <c:f>'NEW website questions'!$AO$7:$AS$7</c:f>
              <c:strCache>
                <c:ptCount val="5"/>
                <c:pt idx="0">
                  <c:v>Very easy</c:v>
                </c:pt>
                <c:pt idx="1">
                  <c:v>Easy</c:v>
                </c:pt>
                <c:pt idx="2">
                  <c:v>Neutral</c:v>
                </c:pt>
                <c:pt idx="3">
                  <c:v>Difficult</c:v>
                </c:pt>
                <c:pt idx="4">
                  <c:v>Very difficult</c:v>
                </c:pt>
              </c:strCache>
            </c:strRef>
          </c:cat>
          <c:val>
            <c:numRef>
              <c:f>'NEW website questions'!$AO$9:$AS$9</c:f>
              <c:numCache>
                <c:formatCode>0%</c:formatCode>
                <c:ptCount val="5"/>
                <c:pt idx="0">
                  <c:v>0.10852713178294573</c:v>
                </c:pt>
                <c:pt idx="1">
                  <c:v>0.65116279069767447</c:v>
                </c:pt>
                <c:pt idx="2">
                  <c:v>0.18604651162790697</c:v>
                </c:pt>
                <c:pt idx="3">
                  <c:v>3.875968992248062E-2</c:v>
                </c:pt>
                <c:pt idx="4">
                  <c:v>1.5503875968992248E-2</c:v>
                </c:pt>
              </c:numCache>
            </c:numRef>
          </c:val>
        </c:ser>
        <c:dLbls>
          <c:showLegendKey val="0"/>
          <c:showVal val="0"/>
          <c:showCatName val="0"/>
          <c:showSerName val="0"/>
          <c:showPercent val="0"/>
          <c:showBubbleSize val="0"/>
        </c:dLbls>
        <c:gapWidth val="150"/>
        <c:axId val="35744768"/>
        <c:axId val="35857152"/>
      </c:barChart>
      <c:catAx>
        <c:axId val="35744768"/>
        <c:scaling>
          <c:orientation val="minMax"/>
        </c:scaling>
        <c:delete val="0"/>
        <c:axPos val="b"/>
        <c:numFmt formatCode="General" sourceLinked="1"/>
        <c:majorTickMark val="out"/>
        <c:minorTickMark val="none"/>
        <c:tickLblPos val="nextTo"/>
        <c:crossAx val="35857152"/>
        <c:crosses val="autoZero"/>
        <c:auto val="1"/>
        <c:lblAlgn val="ctr"/>
        <c:lblOffset val="100"/>
        <c:noMultiLvlLbl val="0"/>
      </c:catAx>
      <c:valAx>
        <c:axId val="35857152"/>
        <c:scaling>
          <c:orientation val="minMax"/>
          <c:max val="1"/>
        </c:scaling>
        <c:delete val="0"/>
        <c:axPos val="l"/>
        <c:numFmt formatCode="0%" sourceLinked="1"/>
        <c:majorTickMark val="out"/>
        <c:minorTickMark val="none"/>
        <c:tickLblPos val="nextTo"/>
        <c:crossAx val="35744768"/>
        <c:crosses val="autoZero"/>
        <c:crossBetween val="between"/>
      </c:valAx>
      <c:spPr>
        <a:noFill/>
        <a:ln>
          <a:noFill/>
        </a:ln>
      </c:spPr>
    </c:plotArea>
    <c:legend>
      <c:legendPos val="r"/>
      <c:layout>
        <c:manualLayout>
          <c:xMode val="edge"/>
          <c:yMode val="edge"/>
          <c:x val="0.47883561120634077"/>
          <c:y val="0.20727909011373577"/>
          <c:w val="0.42958503295353506"/>
          <c:h val="0.16831678648864545"/>
        </c:manualLayout>
      </c:layout>
      <c:overlay val="0"/>
    </c:legend>
    <c:plotVisOnly val="1"/>
    <c:dispBlanksAs val="gap"/>
    <c:showDLblsOverMax val="0"/>
  </c:chart>
  <c:spPr>
    <a:noFill/>
    <a:ln>
      <a:noFill/>
    </a:ln>
  </c:sp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N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7.202233573494532E-2"/>
          <c:y val="4.3284677134656412E-2"/>
          <c:w val="0.90181094926873517"/>
          <c:h val="0.75378489969455575"/>
        </c:manualLayout>
      </c:layout>
      <c:barChart>
        <c:barDir val="col"/>
        <c:grouping val="clustered"/>
        <c:varyColors val="0"/>
        <c:ser>
          <c:idx val="0"/>
          <c:order val="0"/>
          <c:tx>
            <c:strRef>
              <c:f>'Approach to regulation'!$I$8</c:f>
              <c:strCache>
                <c:ptCount val="1"/>
                <c:pt idx="0">
                  <c:v>Actively protecting gamblers and communities from gambling harm</c:v>
                </c:pt>
              </c:strCache>
            </c:strRef>
          </c:tx>
          <c:spPr>
            <a:solidFill>
              <a:schemeClr val="accent1"/>
            </a:solidFill>
          </c:spPr>
          <c:invertIfNegative val="0"/>
          <c:dLbls>
            <c:txPr>
              <a:bodyPr/>
              <a:lstStyle/>
              <a:p>
                <a:pPr>
                  <a:defRPr sz="800"/>
                </a:pPr>
                <a:endParaRPr lang="en-US"/>
              </a:p>
            </c:txPr>
            <c:showLegendKey val="0"/>
            <c:showVal val="1"/>
            <c:showCatName val="0"/>
            <c:showSerName val="0"/>
            <c:showPercent val="0"/>
            <c:showBubbleSize val="0"/>
            <c:showLeaderLines val="0"/>
          </c:dLbls>
          <c:cat>
            <c:strRef>
              <c:f>'Approach to regulation'!$J$7:$O$7</c:f>
              <c:strCache>
                <c:ptCount val="6"/>
                <c:pt idx="0">
                  <c:v>1</c:v>
                </c:pt>
                <c:pt idx="1">
                  <c:v>2</c:v>
                </c:pt>
                <c:pt idx="2">
                  <c:v>3</c:v>
                </c:pt>
                <c:pt idx="3">
                  <c:v>4</c:v>
                </c:pt>
                <c:pt idx="4">
                  <c:v>5</c:v>
                </c:pt>
                <c:pt idx="5">
                  <c:v>Don't know</c:v>
                </c:pt>
              </c:strCache>
            </c:strRef>
          </c:cat>
          <c:val>
            <c:numRef>
              <c:f>'Approach to regulation'!$J$8:$O$8</c:f>
              <c:numCache>
                <c:formatCode>0%</c:formatCode>
                <c:ptCount val="6"/>
                <c:pt idx="0">
                  <c:v>0.19354838709677419</c:v>
                </c:pt>
                <c:pt idx="1">
                  <c:v>0.50322580645161286</c:v>
                </c:pt>
                <c:pt idx="2">
                  <c:v>0.18064516129032257</c:v>
                </c:pt>
                <c:pt idx="3">
                  <c:v>4.5161290322580643E-2</c:v>
                </c:pt>
                <c:pt idx="4">
                  <c:v>3.2258064516129031E-2</c:v>
                </c:pt>
                <c:pt idx="5">
                  <c:v>4.5161290322580643E-2</c:v>
                </c:pt>
              </c:numCache>
            </c:numRef>
          </c:val>
        </c:ser>
        <c:ser>
          <c:idx val="1"/>
          <c:order val="1"/>
          <c:tx>
            <c:strRef>
              <c:f>'Approach to regulation'!$I$9</c:f>
              <c:strCache>
                <c:ptCount val="1"/>
                <c:pt idx="0">
                  <c:v>Working constuctively with the regulator to achieve compliance</c:v>
                </c:pt>
              </c:strCache>
            </c:strRef>
          </c:tx>
          <c:spPr>
            <a:solidFill>
              <a:schemeClr val="bg2">
                <a:lumMod val="60000"/>
                <a:lumOff val="40000"/>
              </a:schemeClr>
            </a:solidFill>
          </c:spPr>
          <c:invertIfNegative val="0"/>
          <c:dLbls>
            <c:txPr>
              <a:bodyPr/>
              <a:lstStyle/>
              <a:p>
                <a:pPr>
                  <a:defRPr sz="800"/>
                </a:pPr>
                <a:endParaRPr lang="en-US"/>
              </a:p>
            </c:txPr>
            <c:showLegendKey val="0"/>
            <c:showVal val="1"/>
            <c:showCatName val="0"/>
            <c:showSerName val="0"/>
            <c:showPercent val="0"/>
            <c:showBubbleSize val="0"/>
            <c:showLeaderLines val="0"/>
          </c:dLbls>
          <c:cat>
            <c:strRef>
              <c:f>'Approach to regulation'!$J$7:$O$7</c:f>
              <c:strCache>
                <c:ptCount val="6"/>
                <c:pt idx="0">
                  <c:v>1</c:v>
                </c:pt>
                <c:pt idx="1">
                  <c:v>2</c:v>
                </c:pt>
                <c:pt idx="2">
                  <c:v>3</c:v>
                </c:pt>
                <c:pt idx="3">
                  <c:v>4</c:v>
                </c:pt>
                <c:pt idx="4">
                  <c:v>5</c:v>
                </c:pt>
                <c:pt idx="5">
                  <c:v>Don't know</c:v>
                </c:pt>
              </c:strCache>
            </c:strRef>
          </c:cat>
          <c:val>
            <c:numRef>
              <c:f>'Approach to regulation'!$J$9:$O$9</c:f>
              <c:numCache>
                <c:formatCode>0%</c:formatCode>
                <c:ptCount val="6"/>
                <c:pt idx="0">
                  <c:v>0.19354838709677419</c:v>
                </c:pt>
                <c:pt idx="1">
                  <c:v>0.52258064516129032</c:v>
                </c:pt>
                <c:pt idx="2">
                  <c:v>0.17419354838709677</c:v>
                </c:pt>
                <c:pt idx="3">
                  <c:v>3.870967741935484E-2</c:v>
                </c:pt>
                <c:pt idx="4">
                  <c:v>6.4516129032258064E-3</c:v>
                </c:pt>
                <c:pt idx="5">
                  <c:v>6.4516129032258063E-2</c:v>
                </c:pt>
              </c:numCache>
            </c:numRef>
          </c:val>
        </c:ser>
        <c:ser>
          <c:idx val="2"/>
          <c:order val="2"/>
          <c:tx>
            <c:strRef>
              <c:f>'Approach to regulation'!$I$10</c:f>
              <c:strCache>
                <c:ptCount val="1"/>
                <c:pt idx="0">
                  <c:v>Maximises gambling returns to benefit community need</c:v>
                </c:pt>
              </c:strCache>
            </c:strRef>
          </c:tx>
          <c:spPr>
            <a:solidFill>
              <a:schemeClr val="accent4">
                <a:lumMod val="60000"/>
                <a:lumOff val="40000"/>
              </a:schemeClr>
            </a:solidFill>
          </c:spPr>
          <c:invertIfNegative val="0"/>
          <c:dLbls>
            <c:txPr>
              <a:bodyPr/>
              <a:lstStyle/>
              <a:p>
                <a:pPr>
                  <a:defRPr sz="800"/>
                </a:pPr>
                <a:endParaRPr lang="en-US"/>
              </a:p>
            </c:txPr>
            <c:showLegendKey val="0"/>
            <c:showVal val="1"/>
            <c:showCatName val="0"/>
            <c:showSerName val="0"/>
            <c:showPercent val="0"/>
            <c:showBubbleSize val="0"/>
            <c:showLeaderLines val="0"/>
          </c:dLbls>
          <c:cat>
            <c:strRef>
              <c:f>'Approach to regulation'!$J$7:$O$7</c:f>
              <c:strCache>
                <c:ptCount val="6"/>
                <c:pt idx="0">
                  <c:v>1</c:v>
                </c:pt>
                <c:pt idx="1">
                  <c:v>2</c:v>
                </c:pt>
                <c:pt idx="2">
                  <c:v>3</c:v>
                </c:pt>
                <c:pt idx="3">
                  <c:v>4</c:v>
                </c:pt>
                <c:pt idx="4">
                  <c:v>5</c:v>
                </c:pt>
                <c:pt idx="5">
                  <c:v>Don't know</c:v>
                </c:pt>
              </c:strCache>
            </c:strRef>
          </c:cat>
          <c:val>
            <c:numRef>
              <c:f>'Approach to regulation'!$J$10:$O$10</c:f>
              <c:numCache>
                <c:formatCode>0%</c:formatCode>
                <c:ptCount val="6"/>
                <c:pt idx="0">
                  <c:v>0.13548387096774195</c:v>
                </c:pt>
                <c:pt idx="1">
                  <c:v>0.52903225806451615</c:v>
                </c:pt>
                <c:pt idx="2">
                  <c:v>0.14193548387096774</c:v>
                </c:pt>
                <c:pt idx="3">
                  <c:v>8.387096774193549E-2</c:v>
                </c:pt>
                <c:pt idx="4">
                  <c:v>4.5161290322580643E-2</c:v>
                </c:pt>
                <c:pt idx="5">
                  <c:v>6.4516129032258063E-2</c:v>
                </c:pt>
              </c:numCache>
            </c:numRef>
          </c:val>
        </c:ser>
        <c:dLbls>
          <c:showLegendKey val="0"/>
          <c:showVal val="0"/>
          <c:showCatName val="0"/>
          <c:showSerName val="0"/>
          <c:showPercent val="0"/>
          <c:showBubbleSize val="0"/>
        </c:dLbls>
        <c:gapWidth val="150"/>
        <c:axId val="37939840"/>
        <c:axId val="38294272"/>
      </c:barChart>
      <c:catAx>
        <c:axId val="37939840"/>
        <c:scaling>
          <c:orientation val="minMax"/>
        </c:scaling>
        <c:delete val="0"/>
        <c:axPos val="b"/>
        <c:title>
          <c:tx>
            <c:rich>
              <a:bodyPr/>
              <a:lstStyle/>
              <a:p>
                <a:pPr>
                  <a:defRPr/>
                </a:pPr>
                <a:r>
                  <a:rPr lang="en-US"/>
                  <a:t>Rating scale: 1(high) - 5(low)</a:t>
                </a:r>
              </a:p>
            </c:rich>
          </c:tx>
          <c:layout>
            <c:manualLayout>
              <c:xMode val="edge"/>
              <c:yMode val="edge"/>
              <c:x val="0.4059730989716937"/>
              <c:y val="0.89473684210526316"/>
            </c:manualLayout>
          </c:layout>
          <c:overlay val="0"/>
        </c:title>
        <c:majorTickMark val="out"/>
        <c:minorTickMark val="none"/>
        <c:tickLblPos val="nextTo"/>
        <c:crossAx val="38294272"/>
        <c:crosses val="autoZero"/>
        <c:auto val="1"/>
        <c:lblAlgn val="ctr"/>
        <c:lblOffset val="100"/>
        <c:noMultiLvlLbl val="0"/>
      </c:catAx>
      <c:valAx>
        <c:axId val="38294272"/>
        <c:scaling>
          <c:orientation val="minMax"/>
          <c:max val="1"/>
        </c:scaling>
        <c:delete val="0"/>
        <c:axPos val="l"/>
        <c:numFmt formatCode="0%" sourceLinked="1"/>
        <c:majorTickMark val="out"/>
        <c:minorTickMark val="none"/>
        <c:tickLblPos val="nextTo"/>
        <c:crossAx val="37939840"/>
        <c:crosses val="autoZero"/>
        <c:crossBetween val="between"/>
      </c:valAx>
      <c:spPr>
        <a:noFill/>
        <a:ln>
          <a:noFill/>
        </a:ln>
      </c:spPr>
    </c:plotArea>
    <c:legend>
      <c:legendPos val="r"/>
      <c:layout>
        <c:manualLayout>
          <c:xMode val="edge"/>
          <c:yMode val="edge"/>
          <c:x val="0.34774544181714762"/>
          <c:y val="5.4585808352903248E-2"/>
          <c:w val="0.64285895354591149"/>
          <c:h val="0.18857407721466862"/>
        </c:manualLayout>
      </c:layout>
      <c:overlay val="0"/>
    </c:legend>
    <c:plotVisOnly val="1"/>
    <c:dispBlanksAs val="gap"/>
    <c:showDLblsOverMax val="0"/>
  </c:chart>
  <c:spPr>
    <a:noFill/>
    <a:ln>
      <a:noFill/>
    </a:ln>
  </c:sp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N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invertIfNegative val="0"/>
          <c:dPt>
            <c:idx val="0"/>
            <c:invertIfNegative val="0"/>
            <c:bubble3D val="0"/>
            <c:spPr>
              <a:solidFill>
                <a:schemeClr val="accent1"/>
              </a:solidFill>
            </c:spPr>
          </c:dPt>
          <c:dPt>
            <c:idx val="1"/>
            <c:invertIfNegative val="0"/>
            <c:bubble3D val="0"/>
            <c:spPr>
              <a:solidFill>
                <a:schemeClr val="bg2">
                  <a:lumMod val="60000"/>
                  <a:lumOff val="40000"/>
                </a:schemeClr>
              </a:solidFill>
            </c:spPr>
          </c:dPt>
          <c:dPt>
            <c:idx val="2"/>
            <c:invertIfNegative val="0"/>
            <c:bubble3D val="0"/>
            <c:spPr>
              <a:solidFill>
                <a:schemeClr val="accent4">
                  <a:lumMod val="60000"/>
                  <a:lumOff val="40000"/>
                </a:schemeClr>
              </a:solidFill>
            </c:spPr>
          </c:dPt>
          <c:dPt>
            <c:idx val="3"/>
            <c:invertIfNegative val="0"/>
            <c:bubble3D val="0"/>
            <c:spPr>
              <a:solidFill>
                <a:schemeClr val="accent5">
                  <a:lumMod val="60000"/>
                  <a:lumOff val="40000"/>
                </a:schemeClr>
              </a:solidFill>
            </c:spPr>
          </c:dPt>
          <c:dPt>
            <c:idx val="4"/>
            <c:invertIfNegative val="0"/>
            <c:bubble3D val="0"/>
            <c:spPr>
              <a:solidFill>
                <a:schemeClr val="accent2">
                  <a:lumMod val="60000"/>
                  <a:lumOff val="40000"/>
                </a:schemeClr>
              </a:solidFill>
            </c:spPr>
          </c:dPt>
          <c:dPt>
            <c:idx val="5"/>
            <c:invertIfNegative val="0"/>
            <c:bubble3D val="0"/>
            <c:spPr>
              <a:solidFill>
                <a:schemeClr val="accent6">
                  <a:lumMod val="60000"/>
                  <a:lumOff val="40000"/>
                </a:schemeClr>
              </a:solidFill>
            </c:spPr>
          </c:dPt>
          <c:dLbls>
            <c:showLegendKey val="0"/>
            <c:showVal val="1"/>
            <c:showCatName val="0"/>
            <c:showSerName val="0"/>
            <c:showPercent val="0"/>
            <c:showBubbleSize val="0"/>
            <c:showLeaderLines val="0"/>
          </c:dLbls>
          <c:cat>
            <c:strRef>
              <c:f>'Meeting objectives'!$H$19:$H$24</c:f>
              <c:strCache>
                <c:ptCount val="6"/>
                <c:pt idx="0">
                  <c:v>Licensing as a gateway</c:v>
                </c:pt>
                <c:pt idx="1">
                  <c:v>Best practice</c:v>
                </c:pt>
                <c:pt idx="2">
                  <c:v>Grant making</c:v>
                </c:pt>
                <c:pt idx="3">
                  <c:v>Collaboration &amp; partnership</c:v>
                </c:pt>
                <c:pt idx="4">
                  <c:v>Regulatory actions</c:v>
                </c:pt>
                <c:pt idx="5">
                  <c:v>Strike balance</c:v>
                </c:pt>
              </c:strCache>
            </c:strRef>
          </c:cat>
          <c:val>
            <c:numRef>
              <c:f>'Meeting objectives'!$I$19:$I$24</c:f>
              <c:numCache>
                <c:formatCode>0%</c:formatCode>
                <c:ptCount val="6"/>
                <c:pt idx="0">
                  <c:v>0.77777777777777768</c:v>
                </c:pt>
                <c:pt idx="1">
                  <c:v>0.69078947368421051</c:v>
                </c:pt>
                <c:pt idx="2">
                  <c:v>0.61842105263157898</c:v>
                </c:pt>
                <c:pt idx="3">
                  <c:v>0.55921052631578949</c:v>
                </c:pt>
                <c:pt idx="4">
                  <c:v>0.51315789473684215</c:v>
                </c:pt>
                <c:pt idx="5">
                  <c:v>0.55921052631578949</c:v>
                </c:pt>
              </c:numCache>
            </c:numRef>
          </c:val>
        </c:ser>
        <c:dLbls>
          <c:showLegendKey val="0"/>
          <c:showVal val="0"/>
          <c:showCatName val="0"/>
          <c:showSerName val="0"/>
          <c:showPercent val="0"/>
          <c:showBubbleSize val="0"/>
        </c:dLbls>
        <c:gapWidth val="150"/>
        <c:axId val="38304768"/>
        <c:axId val="38335232"/>
      </c:barChart>
      <c:catAx>
        <c:axId val="38304768"/>
        <c:scaling>
          <c:orientation val="minMax"/>
        </c:scaling>
        <c:delete val="0"/>
        <c:axPos val="b"/>
        <c:majorTickMark val="out"/>
        <c:minorTickMark val="none"/>
        <c:tickLblPos val="nextTo"/>
        <c:crossAx val="38335232"/>
        <c:crosses val="autoZero"/>
        <c:auto val="1"/>
        <c:lblAlgn val="ctr"/>
        <c:lblOffset val="100"/>
        <c:noMultiLvlLbl val="0"/>
      </c:catAx>
      <c:valAx>
        <c:axId val="38335232"/>
        <c:scaling>
          <c:orientation val="minMax"/>
          <c:max val="1"/>
        </c:scaling>
        <c:delete val="0"/>
        <c:axPos val="l"/>
        <c:numFmt formatCode="0%" sourceLinked="1"/>
        <c:majorTickMark val="out"/>
        <c:minorTickMark val="none"/>
        <c:tickLblPos val="nextTo"/>
        <c:crossAx val="38304768"/>
        <c:crosses val="autoZero"/>
        <c:crossBetween val="between"/>
      </c:valAx>
      <c:spPr>
        <a:noFill/>
        <a:ln>
          <a:noFill/>
        </a:ln>
      </c:spPr>
    </c:plotArea>
    <c:plotVisOnly val="1"/>
    <c:dispBlanksAs val="gap"/>
    <c:showDLblsOverMax val="0"/>
  </c:chart>
  <c:spPr>
    <a:noFill/>
    <a:ln>
      <a:noFill/>
    </a:ln>
  </c:spPr>
  <c:externalData r:id="rId1">
    <c:autoUpdate val="0"/>
  </c:externalData>
</c:chartSpace>
</file>

<file path=word/theme/theme1.xml><?xml version="1.0" encoding="utf-8"?>
<a:theme xmlns:a="http://schemas.openxmlformats.org/drawingml/2006/main" name="Office Theme">
  <a:themeElements>
    <a:clrScheme name="DIA">
      <a:dk1>
        <a:sysClr val="windowText" lastClr="000000"/>
      </a:dk1>
      <a:lt1>
        <a:srgbClr val="FFFFFF"/>
      </a:lt1>
      <a:dk2>
        <a:srgbClr val="1F546B"/>
      </a:dk2>
      <a:lt2>
        <a:srgbClr val="FAD53D"/>
      </a:lt2>
      <a:accent1>
        <a:srgbClr val="7BC7CE"/>
      </a:accent1>
      <a:accent2>
        <a:srgbClr val="A42F13"/>
      </a:accent2>
      <a:accent3>
        <a:srgbClr val="DD8E00"/>
      </a:accent3>
      <a:accent4>
        <a:srgbClr val="4F7D29"/>
      </a:accent4>
      <a:accent5>
        <a:srgbClr val="563774"/>
      </a:accent5>
      <a:accent6>
        <a:srgbClr val="F06A22"/>
      </a:accent6>
      <a:hlink>
        <a:srgbClr val="348087"/>
      </a:hlink>
      <a:folHlink>
        <a:srgbClr val="AA9233"/>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IAProjectValue xmlns="c648a002-e47e-48ed-a207-3b8ce1d893d3" xsi:nil="true"/>
    <C3ProjectName xmlns="01be4277-2979-4a68-876d-b92b25fceece" xsi:nil="true"/>
    <DIANotes xmlns="c648a002-e47e-48ed-a207-3b8ce1d893d3" xsi:nil="true"/>
    <_EndDate xmlns="http://schemas.microsoft.com/sharepoint/v3/fields">2018-04-29T12:00:00+00:00</_EndDate>
    <mf8e3920e77a4be68f9898a4a9478a6b xmlns="c648a002-e47e-48ed-a207-3b8ce1d893d3">
      <Terms xmlns="http://schemas.microsoft.com/office/infopath/2007/PartnerControls"/>
    </mf8e3920e77a4be68f9898a4a9478a6b>
    <StartDate xmlns="http://schemas.microsoft.com/sharepoint/v3">2017-08-02T12:00:00+00:00</StartDate>
    <_dlc_DocId xmlns="c648a002-e47e-48ed-a207-3b8ce1d893d3">YXQARP2T7VWH-21-1302</_dlc_DocId>
    <TaxCatchAll xmlns="c648a002-e47e-48ed-a207-3b8ce1d893d3">
      <Value>213</Value>
      <Value>2</Value>
      <Value>1</Value>
      <Value>1694</Value>
    </TaxCatchAll>
    <_dlc_DocIdUrl xmlns="c648a002-e47e-48ed-a207-3b8ce1d893d3">
      <Url>https://dia.cohesion.net.nz/Sites/GMB/_layouts/15/DocIdRedir.aspx?ID=YXQARP2T7VWH-21-1302</Url>
      <Description>YXQARP2T7VWH-21-1302</Description>
    </_dlc_DocIdUrl>
    <C3ProjectDocumentTypeNote xmlns="01be4277-2979-4a68-876d-b92b25fceece">
      <Terms xmlns="http://schemas.microsoft.com/office/infopath/2007/PartnerControls">
        <TermInfo xmlns="http://schemas.microsoft.com/office/infopath/2007/PartnerControls">
          <TermName xmlns="http://schemas.microsoft.com/office/infopath/2007/PartnerControls">Report</TermName>
          <TermId xmlns="http://schemas.microsoft.com/office/infopath/2007/PartnerControls">a515140f-5dc5-4fb2-9a98-c619a2127e45</TermId>
        </TermInfo>
      </Terms>
    </C3ProjectDocumentTypeNote>
    <TaxKeywordTaxHTField xmlns="c648a002-e47e-48ed-a207-3b8ce1d893d3">
      <Terms xmlns="http://schemas.microsoft.com/office/infopath/2007/PartnerControls"/>
    </TaxKeywordTaxHTField>
    <ea3c6b56d556460fbeed1cb795bcbdf8 xmlns="c648a002-e47e-48ed-a207-3b8ce1d893d3">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875d92a8-67e2-4a32-9472-8fe99549e1eb</TermId>
        </TermInfo>
      </Terms>
    </ea3c6b56d556460fbeed1cb795bcbdf8>
    <C3TopicNote xmlns="01be4277-2979-4a68-876d-b92b25fceece">
      <Terms xmlns="http://schemas.microsoft.com/office/infopath/2007/PartnerControls">
        <TermInfo xmlns="http://schemas.microsoft.com/office/infopath/2007/PartnerControls">
          <TermName xmlns="http://schemas.microsoft.com/office/infopath/2007/PartnerControls">Gambling Survey 2017</TermName>
          <TermId xmlns="http://schemas.microsoft.com/office/infopath/2007/PartnerControls">338ae466-ef5b-4aac-a194-ca4c22e952f5</TermId>
        </TermInfo>
      </Terms>
    </C3TopicNote>
    <IconOverlay xmlns="http://schemas.microsoft.com/sharepoint/v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Operational Project Document DIA" ma:contentTypeID="0x0101005496552013C0BA46BE88192D5C6EB20B00EECD0B3F0C45DF45B673ABBB050EE9F20082DAE6D4A0696E4D8E205C6373B2C750" ma:contentTypeVersion="5" ma:contentTypeDescription="Use to denote the type of documents used within an operational project" ma:contentTypeScope="" ma:versionID="b1ce3317b114de9f6707e097440f7f9f">
  <xsd:schema xmlns:xsd="http://www.w3.org/2001/XMLSchema" xmlns:xs="http://www.w3.org/2001/XMLSchema" xmlns:p="http://schemas.microsoft.com/office/2006/metadata/properties" xmlns:ns1="http://schemas.microsoft.com/sharepoint/v3" xmlns:ns3="01be4277-2979-4a68-876d-b92b25fceece" xmlns:ns4="c648a002-e47e-48ed-a207-3b8ce1d893d3" xmlns:ns5="http://schemas.microsoft.com/sharepoint/v3/fields" xmlns:ns6="http://schemas.microsoft.com/sharepoint/v4" targetNamespace="http://schemas.microsoft.com/office/2006/metadata/properties" ma:root="true" ma:fieldsID="3100d632380844af0deb3c253e2fbc84" ns1:_="" ns3:_="" ns4:_="" ns5:_="" ns6:_="">
    <xsd:import namespace="http://schemas.microsoft.com/sharepoint/v3"/>
    <xsd:import namespace="01be4277-2979-4a68-876d-b92b25fceece"/>
    <xsd:import namespace="c648a002-e47e-48ed-a207-3b8ce1d893d3"/>
    <xsd:import namespace="http://schemas.microsoft.com/sharepoint/v3/fields"/>
    <xsd:import namespace="http://schemas.microsoft.com/sharepoint/v4"/>
    <xsd:element name="properties">
      <xsd:complexType>
        <xsd:sequence>
          <xsd:element name="documentManagement">
            <xsd:complexType>
              <xsd:all>
                <xsd:element ref="ns3:C3TopicNote" minOccurs="0"/>
                <xsd:element ref="ns4:TaxKeywordTaxHTField" minOccurs="0"/>
                <xsd:element ref="ns4:TaxCatchAll" minOccurs="0"/>
                <xsd:element ref="ns4:TaxCatchAllLabel" minOccurs="0"/>
                <xsd:element ref="ns3:C3ProjectDocumentTypeNote" minOccurs="0"/>
                <xsd:element ref="ns3:C3ProjectName" minOccurs="0"/>
                <xsd:element ref="ns5:_EndDate" minOccurs="0"/>
                <xsd:element ref="ns1:StartDate" minOccurs="0"/>
                <xsd:element ref="ns4:DIAProjectValue" minOccurs="0"/>
                <xsd:element ref="ns4:ea3c6b56d556460fbeed1cb795bcbdf8" minOccurs="0"/>
                <xsd:element ref="ns4:DIANotes" minOccurs="0"/>
                <xsd:element ref="ns4:mf8e3920e77a4be68f9898a4a9478a6b" minOccurs="0"/>
                <xsd:element ref="ns4:_dlc_DocId" minOccurs="0"/>
                <xsd:element ref="ns4:_dlc_DocIdUrl" minOccurs="0"/>
                <xsd:element ref="ns4:_dlc_DocIdPersistId" minOccurs="0"/>
                <xsd:element ref="ns6: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StartDate" ma:index="18" nillable="true" ma:displayName="Start Date" ma:default="[today]" ma:format="DateOnly" ma:internalName="Start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1be4277-2979-4a68-876d-b92b25fceece" elementFormDefault="qualified">
    <xsd:import namespace="http://schemas.microsoft.com/office/2006/documentManagement/types"/>
    <xsd:import namespace="http://schemas.microsoft.com/office/infopath/2007/PartnerControls"/>
    <xsd:element name="C3TopicNote" ma:index="9" nillable="true" ma:taxonomy="true" ma:internalName="C3TopicNote" ma:taxonomyFieldName="C3Topic" ma:displayName="Topic" ma:indexed="true" ma:readOnly="false" ma:default="" ma:fieldId="{6a3fe89f-a6dd-4490-a9c1-3ef38d67b8c7}" ma:sspId="caf61cd4-0327-4679-8f8a-6e41773e81e7" ma:termSetId="93895e98-8daa-4392-8163-da238c93d801" ma:anchorId="03be5d80-fa1f-4149-b91a-cf64b7d41564" ma:open="true" ma:isKeyword="false">
      <xsd:complexType>
        <xsd:sequence>
          <xsd:element ref="pc:Terms" minOccurs="0" maxOccurs="1"/>
        </xsd:sequence>
      </xsd:complexType>
    </xsd:element>
    <xsd:element name="C3ProjectDocumentTypeNote" ma:index="14" nillable="true" ma:taxonomy="true" ma:internalName="C3ProjectDocumentTypeNote" ma:taxonomyFieldName="C3ProjectDocumentType" ma:displayName="Project Document Type" ma:readOnly="false" ma:default="" ma:fieldId="{34fbba63-1669-4d38-beb4-245115adf0e7}" ma:sspId="caf61cd4-0327-4679-8f8a-6e41773e81e7" ma:termSetId="76381174-3429-402c-bd29-8d75bd7c13b3" ma:anchorId="00000000-0000-0000-0000-000000000000" ma:open="true" ma:isKeyword="false">
      <xsd:complexType>
        <xsd:sequence>
          <xsd:element ref="pc:Terms" minOccurs="0" maxOccurs="1"/>
        </xsd:sequence>
      </xsd:complexType>
    </xsd:element>
    <xsd:element name="C3ProjectName" ma:index="16" nillable="true" ma:displayName="Project Name" ma:internalName="C3Project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648a002-e47e-48ed-a207-3b8ce1d893d3" elementFormDefault="qualified">
    <xsd:import namespace="http://schemas.microsoft.com/office/2006/documentManagement/types"/>
    <xsd:import namespace="http://schemas.microsoft.com/office/infopath/2007/PartnerControls"/>
    <xsd:element name="TaxKeywordTaxHTField" ma:index="11" nillable="true" ma:taxonomy="true" ma:internalName="TaxKeywordTaxHTField" ma:taxonomyFieldName="TaxKeyword" ma:displayName="Enterprise Keywords" ma:fieldId="{23f27201-bee3-471e-b2e7-b64fd8b7ca38}" ma:taxonomyMulti="true" ma:sspId="caf61cd4-0327-4679-8f8a-6e41773e81e7" ma:termSetId="00000000-0000-0000-0000-000000000000" ma:anchorId="00000000-0000-0000-0000-000000000000" ma:open="true" ma:isKeyword="true">
      <xsd:complexType>
        <xsd:sequence>
          <xsd:element ref="pc:Terms" minOccurs="0" maxOccurs="1"/>
        </xsd:sequence>
      </xsd:complexType>
    </xsd:element>
    <xsd:element name="TaxCatchAll" ma:index="12" nillable="true" ma:displayName="Taxonomy Catch All Column" ma:hidden="true" ma:list="{95d9ccfa-b826-4801-901a-dfd490111967}" ma:internalName="TaxCatchAll" ma:showField="CatchAllData" ma:web="c648a002-e47e-48ed-a207-3b8ce1d893d3">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95d9ccfa-b826-4801-901a-dfd490111967}" ma:internalName="TaxCatchAllLabel" ma:readOnly="true" ma:showField="CatchAllDataLabel" ma:web="c648a002-e47e-48ed-a207-3b8ce1d893d3">
      <xsd:complexType>
        <xsd:complexContent>
          <xsd:extension base="dms:MultiChoiceLookup">
            <xsd:sequence>
              <xsd:element name="Value" type="dms:Lookup" maxOccurs="unbounded" minOccurs="0" nillable="true"/>
            </xsd:sequence>
          </xsd:extension>
        </xsd:complexContent>
      </xsd:complexType>
    </xsd:element>
    <xsd:element name="DIAProjectValue" ma:index="19" nillable="true" ma:displayName="Project Value" ma:description="Proposed cost of the project" ma:internalName="DIAProjectValue">
      <xsd:simpleType>
        <xsd:restriction base="dms:Text"/>
      </xsd:simpleType>
    </xsd:element>
    <xsd:element name="ea3c6b56d556460fbeed1cb795bcbdf8" ma:index="20" ma:taxonomy="true" ma:internalName="ea3c6b56d556460fbeed1cb795bcbdf8" ma:taxonomyFieldName="DIASecurityClassification" ma:displayName="Security Classification" ma:default="2;#UNCLASSIFIED|875d92a8-67e2-4a32-9472-8fe99549e1eb" ma:fieldId="{ea3c6b56-d556-460f-beed-1cb795bcbdf8}" ma:sspId="caf61cd4-0327-4679-8f8a-6e41773e81e7" ma:termSetId="6e030844-242a-4d29-a562-8ce1d1b5efae" ma:anchorId="00000000-0000-0000-0000-000000000000" ma:open="false" ma:isKeyword="false">
      <xsd:complexType>
        <xsd:sequence>
          <xsd:element ref="pc:Terms" minOccurs="0" maxOccurs="1"/>
        </xsd:sequence>
      </xsd:complexType>
    </xsd:element>
    <xsd:element name="DIANotes" ma:index="22" nillable="true" ma:displayName="Notes" ma:description="Additional information, can include URL link to another document" ma:internalName="DIANotes">
      <xsd:simpleType>
        <xsd:restriction base="dms:Note">
          <xsd:maxLength value="255"/>
        </xsd:restriction>
      </xsd:simpleType>
    </xsd:element>
    <xsd:element name="mf8e3920e77a4be68f9898a4a9478a6b" ma:index="23" nillable="true" ma:taxonomy="true" ma:internalName="mf8e3920e77a4be68f9898a4a9478a6b" ma:taxonomyFieldName="DIAGamblingOperationType" ma:displayName="Gambling Operation Type" ma:fieldId="{6f8e3920-e77a-4be6-8f98-98a4a9478a6b}" ma:sspId="caf61cd4-0327-4679-8f8a-6e41773e81e7" ma:termSetId="0a2c7960-063e-43c0-ac0a-3a4d84c304c6" ma:anchorId="00000000-0000-0000-0000-000000000000" ma:open="true" ma:isKeyword="false">
      <xsd:complexType>
        <xsd:sequence>
          <xsd:element ref="pc:Terms" minOccurs="0" maxOccurs="1"/>
        </xsd:sequence>
      </xsd:complexType>
    </xsd:element>
    <xsd:element name="_dlc_DocId" ma:index="25" nillable="true" ma:displayName="Document ID Value" ma:description="The value of the document ID assigned to this item." ma:internalName="_dlc_DocId" ma:readOnly="true">
      <xsd:simpleType>
        <xsd:restriction base="dms:Text"/>
      </xsd:simpleType>
    </xsd:element>
    <xsd:element name="_dlc_DocIdUrl" ma:index="2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7"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EndDate" ma:index="17" nillable="true" ma:displayName="End Date" ma:default="[today]" ma:format="DateOnly" ma:internalName="_End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D5707B-4108-4DFE-B0EA-1E663A2D98F6}">
  <ds:schemaRefs>
    <ds:schemaRef ds:uri="http://schemas.microsoft.com/office/2006/documentManagement/types"/>
    <ds:schemaRef ds:uri="http://schemas.microsoft.com/sharepoint/v3"/>
    <ds:schemaRef ds:uri="http://schemas.microsoft.com/sharepoint/v4"/>
    <ds:schemaRef ds:uri="http://purl.org/dc/elements/1.1/"/>
    <ds:schemaRef ds:uri="c648a002-e47e-48ed-a207-3b8ce1d893d3"/>
    <ds:schemaRef ds:uri="http://schemas.microsoft.com/office/infopath/2007/PartnerControls"/>
    <ds:schemaRef ds:uri="http://schemas.openxmlformats.org/package/2006/metadata/core-properties"/>
    <ds:schemaRef ds:uri="http://schemas.microsoft.com/sharepoint/v3/fields"/>
    <ds:schemaRef ds:uri="http://purl.org/dc/terms/"/>
    <ds:schemaRef ds:uri="http://schemas.microsoft.com/office/2006/metadata/properties"/>
    <ds:schemaRef ds:uri="01be4277-2979-4a68-876d-b92b25fceece"/>
    <ds:schemaRef ds:uri="http://www.w3.org/XML/1998/namespace"/>
    <ds:schemaRef ds:uri="http://purl.org/dc/dcmitype/"/>
  </ds:schemaRefs>
</ds:datastoreItem>
</file>

<file path=customXml/itemProps2.xml><?xml version="1.0" encoding="utf-8"?>
<ds:datastoreItem xmlns:ds="http://schemas.openxmlformats.org/officeDocument/2006/customXml" ds:itemID="{46E7CF68-E510-46B8-B483-0B8A48E5F619}">
  <ds:schemaRefs>
    <ds:schemaRef ds:uri="http://schemas.microsoft.com/sharepoint/v3/contenttype/forms"/>
  </ds:schemaRefs>
</ds:datastoreItem>
</file>

<file path=customXml/itemProps3.xml><?xml version="1.0" encoding="utf-8"?>
<ds:datastoreItem xmlns:ds="http://schemas.openxmlformats.org/officeDocument/2006/customXml" ds:itemID="{6F62CDD5-C8C2-4CD9-8ABD-9A9A198A9363}">
  <ds:schemaRefs>
    <ds:schemaRef ds:uri="http://schemas.microsoft.com/sharepoint/events"/>
  </ds:schemaRefs>
</ds:datastoreItem>
</file>

<file path=customXml/itemProps4.xml><?xml version="1.0" encoding="utf-8"?>
<ds:datastoreItem xmlns:ds="http://schemas.openxmlformats.org/officeDocument/2006/customXml" ds:itemID="{1F1123EA-9556-4748-8F94-1A98B45A58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1be4277-2979-4a68-876d-b92b25fceece"/>
    <ds:schemaRef ds:uri="c648a002-e47e-48ed-a207-3b8ce1d893d3"/>
    <ds:schemaRef ds:uri="http://schemas.microsoft.com/sharepoint/v3/fields"/>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64362AA-D29E-4DFB-83C8-F48BF08981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Documents - Report</Template>
  <TotalTime>1</TotalTime>
  <Pages>29</Pages>
  <Words>6758</Words>
  <Characters>35007</Characters>
  <Application>Microsoft Office Word</Application>
  <DocSecurity>0</DocSecurity>
  <Lines>744</Lines>
  <Paragraphs>430</Paragraphs>
  <ScaleCrop>false</ScaleCrop>
  <HeadingPairs>
    <vt:vector size="2" baseType="variant">
      <vt:variant>
        <vt:lpstr>Title</vt:lpstr>
      </vt:variant>
      <vt:variant>
        <vt:i4>1</vt:i4>
      </vt:variant>
    </vt:vector>
  </HeadingPairs>
  <TitlesOfParts>
    <vt:vector size="1" baseType="lpstr">
      <vt:lpstr>2017 Survey of Stakeholders in Gambling Regulation - Summary of findings</vt:lpstr>
    </vt:vector>
  </TitlesOfParts>
  <Company>Department of Internal Affairs</Company>
  <LinksUpToDate>false</LinksUpToDate>
  <CharactersWithSpaces>41335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 Survey of Stakeholders in Gambling Regulation - Summary of findings</dc:title>
  <dc:creator>Sarah Carr</dc:creator>
  <dc:description>Released 1 February 2011</dc:description>
  <cp:lastModifiedBy>Tim Bollinger</cp:lastModifiedBy>
  <cp:revision>2</cp:revision>
  <cp:lastPrinted>2017-10-10T19:39:00Z</cp:lastPrinted>
  <dcterms:created xsi:type="dcterms:W3CDTF">2018-05-14T22:51:00Z</dcterms:created>
  <dcterms:modified xsi:type="dcterms:W3CDTF">2018-05-14T22:51:00Z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C3ProjectDocumentType">
    <vt:lpwstr>213;#Report|a515140f-5dc5-4fb2-9a98-c619a2127e45</vt:lpwstr>
  </property>
  <property fmtid="{D5CDD505-2E9C-101B-9397-08002B2CF9AE}" pid="4" name="ContentTypeId">
    <vt:lpwstr>0x0101005496552013C0BA46BE88192D5C6EB20B00EECD0B3F0C45DF45B673ABBB050EE9F20082DAE6D4A0696E4D8E205C6373B2C750</vt:lpwstr>
  </property>
  <property fmtid="{D5CDD505-2E9C-101B-9397-08002B2CF9AE}" pid="5" name="DIAGamblingOperationType">
    <vt:lpwstr/>
  </property>
  <property fmtid="{D5CDD505-2E9C-101B-9397-08002B2CF9AE}" pid="6" name="d4d88d9c404441259a20c2016d5c4fc4">
    <vt:lpwstr>Correspondence|dcd6b05f-dc80-4336-b228-09aebf3d212c</vt:lpwstr>
  </property>
  <property fmtid="{D5CDD505-2E9C-101B-9397-08002B2CF9AE}" pid="7" name="C3Topic">
    <vt:lpwstr>1694;#Gambling Survey 2017|338ae466-ef5b-4aac-a194-ca4c22e952f5</vt:lpwstr>
  </property>
  <property fmtid="{D5CDD505-2E9C-101B-9397-08002B2CF9AE}" pid="8" name="_dlc_DocIdItemGuid">
    <vt:lpwstr>bec6baeb-515a-468b-91b8-cd297fea6318</vt:lpwstr>
  </property>
  <property fmtid="{D5CDD505-2E9C-101B-9397-08002B2CF9AE}" pid="9" name="DIAEmailContentType">
    <vt:lpwstr>1;#Correspondence|dcd6b05f-dc80-4336-b228-09aebf3d212c</vt:lpwstr>
  </property>
  <property fmtid="{D5CDD505-2E9C-101B-9397-08002B2CF9AE}" pid="10" name="DIASecurityClassification">
    <vt:lpwstr>2;#UNCLASSIFIED|875d92a8-67e2-4a32-9472-8fe99549e1eb</vt:lpwstr>
  </property>
</Properties>
</file>