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98"/>
        <w:gridCol w:w="2029"/>
        <w:gridCol w:w="1824"/>
        <w:gridCol w:w="6442"/>
      </w:tblGrid>
      <w:tr w:rsidR="005210D0" w:rsidRPr="00CF74C8" w14:paraId="3164246D" w14:textId="77777777" w:rsidTr="007B3084"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80A810" w14:textId="77777777" w:rsidR="005210D0" w:rsidRPr="00CF74C8" w:rsidRDefault="005210D0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Date of weekly review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C5510" w14:textId="28A2676D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 xml:space="preserve">For the previous </w:t>
            </w:r>
            <w:r w:rsidR="00B64D7F">
              <w:rPr>
                <w:rFonts w:asciiTheme="minorHAnsi" w:hAnsiTheme="minorHAnsi"/>
              </w:rPr>
              <w:t>7</w:t>
            </w:r>
            <w:r w:rsidRPr="00CF74C8">
              <w:rPr>
                <w:rFonts w:asciiTheme="minorHAnsi" w:hAnsiTheme="minorHAnsi"/>
              </w:rPr>
              <w:t xml:space="preserve"> days ending</w:t>
            </w:r>
          </w:p>
        </w:tc>
        <w:tc>
          <w:tcPr>
            <w:tcW w:w="64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182C30" w14:textId="77777777" w:rsidR="005210D0" w:rsidRPr="00CF74C8" w:rsidRDefault="005210D0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Name of Venue Manager/acting on behalf</w:t>
            </w:r>
          </w:p>
        </w:tc>
      </w:tr>
      <w:tr w:rsidR="005210D0" w:rsidRPr="00CF74C8" w14:paraId="78B31333" w14:textId="77777777" w:rsidTr="007B3084">
        <w:trPr>
          <w:trHeight w:val="613"/>
        </w:trPr>
        <w:tc>
          <w:tcPr>
            <w:tcW w:w="5398" w:type="dxa"/>
            <w:tcBorders>
              <w:left w:val="single" w:sz="18" w:space="0" w:color="auto"/>
              <w:bottom w:val="single" w:sz="18" w:space="0" w:color="auto"/>
            </w:tcBorders>
          </w:tcPr>
          <w:p w14:paraId="69D62E28" w14:textId="77777777" w:rsidR="005210D0" w:rsidRPr="00CF74C8" w:rsidRDefault="005210D0" w:rsidP="003E7F0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bottom w:val="single" w:sz="18" w:space="0" w:color="auto"/>
            </w:tcBorders>
          </w:tcPr>
          <w:p w14:paraId="58B59616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442" w:type="dxa"/>
            <w:tcBorders>
              <w:bottom w:val="single" w:sz="18" w:space="0" w:color="auto"/>
              <w:right w:val="single" w:sz="18" w:space="0" w:color="auto"/>
            </w:tcBorders>
          </w:tcPr>
          <w:p w14:paraId="494BB6DD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10D0" w:rsidRPr="00CF74C8" w14:paraId="56B85230" w14:textId="77777777" w:rsidTr="007B3084"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F48058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Are there any players that the venue manager has reasonable grounds to believe are problem gamblers?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EC6A57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Any further action taken as a result of the venue manager’s review/person acting on their behalf</w:t>
            </w:r>
          </w:p>
        </w:tc>
      </w:tr>
      <w:tr w:rsidR="005210D0" w:rsidRPr="00CF74C8" w14:paraId="3C61C2B7" w14:textId="77777777" w:rsidTr="007B3084">
        <w:trPr>
          <w:trHeight w:val="2460"/>
        </w:trPr>
        <w:tc>
          <w:tcPr>
            <w:tcW w:w="74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835D952" w14:textId="77777777" w:rsidR="005210D0" w:rsidRPr="00CF74C8" w:rsidRDefault="005210D0" w:rsidP="003E7F08">
            <w:pPr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82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4DF0F7B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10D0" w:rsidRPr="00CF74C8" w14:paraId="72A6A8AE" w14:textId="77777777" w:rsidTr="007B3084">
        <w:trPr>
          <w:trHeight w:val="371"/>
        </w:trPr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D77C8F1" w14:textId="77777777" w:rsidR="005210D0" w:rsidRPr="00CF74C8" w:rsidRDefault="005210D0" w:rsidP="003E7F08">
            <w:pPr>
              <w:rPr>
                <w:rFonts w:asciiTheme="minorHAnsi" w:hAnsiTheme="minorHAnsi"/>
                <w:color w:val="FFFFFF" w:themeColor="background1"/>
              </w:rPr>
            </w:pPr>
            <w:r w:rsidRPr="00CF74C8">
              <w:rPr>
                <w:rFonts w:asciiTheme="minorHAnsi" w:hAnsiTheme="minorHAnsi"/>
              </w:rPr>
              <w:t>Signature of venue manager or person acting on their behalf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646C97" w14:textId="77777777" w:rsidR="005210D0" w:rsidRPr="00CF74C8" w:rsidRDefault="005210D0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6E82E3FF" w14:textId="77777777" w:rsidR="00AE478C" w:rsidRDefault="00AE478C" w:rsidP="003920B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98"/>
        <w:gridCol w:w="2029"/>
        <w:gridCol w:w="1824"/>
        <w:gridCol w:w="6442"/>
      </w:tblGrid>
      <w:tr w:rsidR="00870407" w:rsidRPr="00CF74C8" w14:paraId="1EDDAB10" w14:textId="77777777" w:rsidTr="007B3084"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798F87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Date of weekly review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841465" w14:textId="6E6DE14F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 xml:space="preserve">For the previous </w:t>
            </w:r>
            <w:r w:rsidR="00B64D7F">
              <w:rPr>
                <w:rFonts w:asciiTheme="minorHAnsi" w:hAnsiTheme="minorHAnsi"/>
              </w:rPr>
              <w:t>7</w:t>
            </w:r>
            <w:r w:rsidRPr="00CF74C8">
              <w:rPr>
                <w:rFonts w:asciiTheme="minorHAnsi" w:hAnsiTheme="minorHAnsi"/>
              </w:rPr>
              <w:t xml:space="preserve"> days ending</w:t>
            </w:r>
          </w:p>
        </w:tc>
        <w:tc>
          <w:tcPr>
            <w:tcW w:w="64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0F452E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Name of Venue Manager/acting on behalf</w:t>
            </w:r>
          </w:p>
        </w:tc>
      </w:tr>
      <w:tr w:rsidR="00870407" w:rsidRPr="00CF74C8" w14:paraId="2483C38C" w14:textId="77777777" w:rsidTr="007B3084">
        <w:trPr>
          <w:trHeight w:val="613"/>
        </w:trPr>
        <w:tc>
          <w:tcPr>
            <w:tcW w:w="5398" w:type="dxa"/>
            <w:tcBorders>
              <w:left w:val="single" w:sz="18" w:space="0" w:color="auto"/>
              <w:bottom w:val="single" w:sz="18" w:space="0" w:color="auto"/>
            </w:tcBorders>
          </w:tcPr>
          <w:p w14:paraId="38F844E1" w14:textId="77777777" w:rsidR="00870407" w:rsidRPr="00CF74C8" w:rsidRDefault="00870407" w:rsidP="003E7F0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bottom w:val="single" w:sz="18" w:space="0" w:color="auto"/>
            </w:tcBorders>
          </w:tcPr>
          <w:p w14:paraId="277741D5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442" w:type="dxa"/>
            <w:tcBorders>
              <w:bottom w:val="single" w:sz="18" w:space="0" w:color="auto"/>
              <w:right w:val="single" w:sz="18" w:space="0" w:color="auto"/>
            </w:tcBorders>
          </w:tcPr>
          <w:p w14:paraId="252556E8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387EFDC6" w14:textId="77777777" w:rsidTr="00870407"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F18D5A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Are there any players that the venue manager has reasonable grounds to believe are problem gamblers?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C89813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Any further action taken as a result of the venue manager’s review/person acting on their behalf</w:t>
            </w:r>
          </w:p>
        </w:tc>
      </w:tr>
      <w:tr w:rsidR="00870407" w:rsidRPr="00CF74C8" w14:paraId="405DD4E4" w14:textId="77777777" w:rsidTr="00870407">
        <w:trPr>
          <w:trHeight w:val="2460"/>
        </w:trPr>
        <w:tc>
          <w:tcPr>
            <w:tcW w:w="74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ADA6BD8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82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8683249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4D8B4C3C" w14:textId="77777777" w:rsidTr="00870407">
        <w:trPr>
          <w:trHeight w:val="371"/>
        </w:trPr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ABCF569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  <w:r w:rsidRPr="00CF74C8">
              <w:rPr>
                <w:rFonts w:asciiTheme="minorHAnsi" w:hAnsiTheme="minorHAnsi"/>
              </w:rPr>
              <w:t>Signature of venue manager or person acting on their behalf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1F9B07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4CA85069" w14:textId="54D2B2C3" w:rsidR="007B3084" w:rsidRDefault="007B3084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98"/>
        <w:gridCol w:w="2029"/>
        <w:gridCol w:w="1824"/>
        <w:gridCol w:w="6442"/>
      </w:tblGrid>
      <w:tr w:rsidR="00870407" w:rsidRPr="00CF74C8" w14:paraId="645BA8FD" w14:textId="77777777" w:rsidTr="007B3084"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F87AD3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lastRenderedPageBreak/>
              <w:t>Date of weekly review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8CF979" w14:textId="236E54DA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 xml:space="preserve">For the previous </w:t>
            </w:r>
            <w:r w:rsidR="00B64D7F">
              <w:rPr>
                <w:rFonts w:asciiTheme="minorHAnsi" w:hAnsiTheme="minorHAnsi"/>
              </w:rPr>
              <w:t>7</w:t>
            </w:r>
            <w:r w:rsidRPr="00CF74C8">
              <w:rPr>
                <w:rFonts w:asciiTheme="minorHAnsi" w:hAnsiTheme="minorHAnsi"/>
              </w:rPr>
              <w:t xml:space="preserve"> days ending</w:t>
            </w:r>
          </w:p>
        </w:tc>
        <w:tc>
          <w:tcPr>
            <w:tcW w:w="64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4B6483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Name of Venue Manager/acting on behalf</w:t>
            </w:r>
          </w:p>
        </w:tc>
      </w:tr>
      <w:tr w:rsidR="00870407" w:rsidRPr="00CF74C8" w14:paraId="2C2E5536" w14:textId="77777777" w:rsidTr="007B3084">
        <w:trPr>
          <w:trHeight w:val="613"/>
        </w:trPr>
        <w:tc>
          <w:tcPr>
            <w:tcW w:w="5398" w:type="dxa"/>
            <w:tcBorders>
              <w:left w:val="single" w:sz="18" w:space="0" w:color="auto"/>
              <w:bottom w:val="single" w:sz="18" w:space="0" w:color="auto"/>
            </w:tcBorders>
          </w:tcPr>
          <w:p w14:paraId="2B6EE2FB" w14:textId="77777777" w:rsidR="00870407" w:rsidRPr="00CF74C8" w:rsidRDefault="00870407" w:rsidP="003E7F0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bottom w:val="single" w:sz="18" w:space="0" w:color="auto"/>
            </w:tcBorders>
          </w:tcPr>
          <w:p w14:paraId="58066E54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442" w:type="dxa"/>
            <w:tcBorders>
              <w:bottom w:val="single" w:sz="18" w:space="0" w:color="auto"/>
              <w:right w:val="single" w:sz="18" w:space="0" w:color="auto"/>
            </w:tcBorders>
          </w:tcPr>
          <w:p w14:paraId="09C380BC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55119DE0" w14:textId="77777777" w:rsidTr="00870407"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87B2D7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Are there any players that the venue manager has reasonable grounds to believe are problem gamblers?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E49AC0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Any further action taken as a result of the venue manager’s review/person acting on their behalf</w:t>
            </w:r>
          </w:p>
        </w:tc>
      </w:tr>
      <w:tr w:rsidR="00870407" w:rsidRPr="00CF74C8" w14:paraId="699B6CCD" w14:textId="77777777" w:rsidTr="00870407">
        <w:trPr>
          <w:trHeight w:val="2460"/>
        </w:trPr>
        <w:tc>
          <w:tcPr>
            <w:tcW w:w="74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FE28A52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82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0E12D80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11930953" w14:textId="77777777" w:rsidTr="00870407">
        <w:trPr>
          <w:trHeight w:val="371"/>
        </w:trPr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AA9E47E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  <w:r w:rsidRPr="00CF74C8">
              <w:rPr>
                <w:rFonts w:asciiTheme="minorHAnsi" w:hAnsiTheme="minorHAnsi"/>
              </w:rPr>
              <w:t>Signature of venue manager or person acting on their behalf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AF7E74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CCA9316" w14:textId="77777777" w:rsidR="00870407" w:rsidRDefault="00870407" w:rsidP="003920B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98"/>
        <w:gridCol w:w="2029"/>
        <w:gridCol w:w="1824"/>
        <w:gridCol w:w="6442"/>
      </w:tblGrid>
      <w:tr w:rsidR="00870407" w:rsidRPr="00CF74C8" w14:paraId="7E22B8E4" w14:textId="77777777" w:rsidTr="007B3084"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B01160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Date of weekly review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75BC6" w14:textId="51DAFF03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 xml:space="preserve">For the previous </w:t>
            </w:r>
            <w:r w:rsidR="00B64D7F">
              <w:rPr>
                <w:rFonts w:asciiTheme="minorHAnsi" w:hAnsiTheme="minorHAnsi"/>
              </w:rPr>
              <w:t>7</w:t>
            </w:r>
            <w:r w:rsidRPr="00CF74C8">
              <w:rPr>
                <w:rFonts w:asciiTheme="minorHAnsi" w:hAnsiTheme="minorHAnsi"/>
              </w:rPr>
              <w:t xml:space="preserve"> days ending</w:t>
            </w:r>
          </w:p>
        </w:tc>
        <w:tc>
          <w:tcPr>
            <w:tcW w:w="64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A8BB35" w14:textId="77777777" w:rsidR="00870407" w:rsidRPr="00CF74C8" w:rsidRDefault="00870407" w:rsidP="003E7F08">
            <w:pPr>
              <w:rPr>
                <w:rFonts w:asciiTheme="minorHAnsi" w:hAnsiTheme="minorHAnsi"/>
              </w:rPr>
            </w:pPr>
            <w:r w:rsidRPr="00CF74C8">
              <w:rPr>
                <w:rFonts w:asciiTheme="minorHAnsi" w:hAnsiTheme="minorHAnsi"/>
              </w:rPr>
              <w:t>Name of Venue Manager/acting on behalf</w:t>
            </w:r>
          </w:p>
        </w:tc>
      </w:tr>
      <w:tr w:rsidR="00870407" w:rsidRPr="00CF74C8" w14:paraId="150D4252" w14:textId="77777777" w:rsidTr="007B3084">
        <w:trPr>
          <w:trHeight w:val="613"/>
        </w:trPr>
        <w:tc>
          <w:tcPr>
            <w:tcW w:w="5398" w:type="dxa"/>
            <w:tcBorders>
              <w:left w:val="single" w:sz="18" w:space="0" w:color="auto"/>
              <w:bottom w:val="single" w:sz="18" w:space="0" w:color="auto"/>
            </w:tcBorders>
          </w:tcPr>
          <w:p w14:paraId="151BFE76" w14:textId="77777777" w:rsidR="00870407" w:rsidRPr="00CF74C8" w:rsidRDefault="00870407" w:rsidP="003E7F0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bottom w:val="single" w:sz="18" w:space="0" w:color="auto"/>
            </w:tcBorders>
          </w:tcPr>
          <w:p w14:paraId="6DFDC39D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442" w:type="dxa"/>
            <w:tcBorders>
              <w:bottom w:val="single" w:sz="18" w:space="0" w:color="auto"/>
              <w:right w:val="single" w:sz="18" w:space="0" w:color="auto"/>
            </w:tcBorders>
          </w:tcPr>
          <w:p w14:paraId="3B465A91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34A130D3" w14:textId="77777777" w:rsidTr="007B3084"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B60EDE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Are there any players that the venue manager has reasonable grounds to believe are problem gamblers?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6534A3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  <w:r w:rsidRPr="00CF74C8">
              <w:rPr>
                <w:rFonts w:asciiTheme="minorHAnsi" w:hAnsiTheme="minorHAnsi"/>
              </w:rPr>
              <w:t>Any further action taken as a result of the venue manager’s review/person acting on their behalf</w:t>
            </w:r>
          </w:p>
        </w:tc>
      </w:tr>
      <w:tr w:rsidR="00870407" w:rsidRPr="00CF74C8" w14:paraId="6974227C" w14:textId="77777777" w:rsidTr="007B3084">
        <w:trPr>
          <w:trHeight w:val="2460"/>
        </w:trPr>
        <w:tc>
          <w:tcPr>
            <w:tcW w:w="74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6DADFCD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82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5C88A73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0407" w:rsidRPr="00CF74C8" w14:paraId="4E0F6881" w14:textId="77777777" w:rsidTr="007B3084">
        <w:trPr>
          <w:trHeight w:val="371"/>
        </w:trPr>
        <w:tc>
          <w:tcPr>
            <w:tcW w:w="7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5BDE8B" w14:textId="77777777" w:rsidR="00870407" w:rsidRPr="00CF74C8" w:rsidRDefault="00870407" w:rsidP="003E7F08">
            <w:pPr>
              <w:rPr>
                <w:rFonts w:asciiTheme="minorHAnsi" w:hAnsiTheme="minorHAnsi"/>
                <w:color w:val="FFFFFF" w:themeColor="background1"/>
              </w:rPr>
            </w:pPr>
            <w:r w:rsidRPr="00CF74C8">
              <w:rPr>
                <w:rFonts w:asciiTheme="minorHAnsi" w:hAnsiTheme="minorHAnsi"/>
              </w:rPr>
              <w:t>Signature of venue manager or person acting on their behalf</w:t>
            </w:r>
          </w:p>
        </w:tc>
        <w:tc>
          <w:tcPr>
            <w:tcW w:w="82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7538C4" w14:textId="77777777" w:rsidR="00870407" w:rsidRPr="00CF74C8" w:rsidRDefault="00870407" w:rsidP="003E7F0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42F0F33C" w14:textId="77777777" w:rsidR="00870407" w:rsidRPr="00603635" w:rsidRDefault="00870407" w:rsidP="00870407"/>
    <w:sectPr w:rsidR="00870407" w:rsidRPr="00603635" w:rsidSect="00870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567" w:right="709" w:bottom="426" w:left="284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121" w14:textId="77777777" w:rsidR="00356C7C" w:rsidRDefault="0035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003E" w14:textId="3F5E3F66" w:rsidR="005210D0" w:rsidRDefault="005210D0" w:rsidP="00FA63FA">
    <w:pPr>
      <w:pStyle w:val="Spacer"/>
    </w:pPr>
    <w:r>
      <w:t>Weekly review of records: To be completed by venue manager or person acting on their behalf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DC0" w14:textId="77777777" w:rsidR="00356C7C" w:rsidRDefault="0035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54F7" w14:textId="77777777" w:rsidR="00356C7C" w:rsidRDefault="0035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E438" w14:textId="77777777" w:rsidR="00356C7C" w:rsidRDefault="00356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24E5" w14:textId="77777777" w:rsidR="00356C7C" w:rsidRDefault="0035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56C7C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23</Value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C326EWCD6JZ2-837383414-45</_dlc_DocId>
    <_dlc_DocIdUrl xmlns="85311de4-afe1-4671-a683-c93bf693c152">
      <Url>https://dia.cohesion.net.nz/sites/TEA/RENT/_layouts/15/DocIdRedir.aspx?ID=C326EWCD6JZ2-837383414-45</Url>
      <Description>C326EWCD6JZ2-837383414-45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7397-26CD-45B0-9407-477C754C744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4"/>
    <ds:schemaRef ds:uri="http://www.w3.org/XML/1998/namespace"/>
    <ds:schemaRef ds:uri="85311de4-afe1-4671-a683-c93bf693c152"/>
    <ds:schemaRef ds:uri="http://purl.org/dc/dcmitype/"/>
    <ds:schemaRef ds:uri="http://schemas.openxmlformats.org/package/2006/metadata/core-properties"/>
    <ds:schemaRef ds:uri="01be4277-2979-4a68-876d-b92b25fcee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2</cp:revision>
  <cp:lastPrinted>2014-03-27T01:47:00Z</cp:lastPrinted>
  <dcterms:created xsi:type="dcterms:W3CDTF">2023-11-02T03:09:00Z</dcterms:created>
  <dcterms:modified xsi:type="dcterms:W3CDTF">2023-11-02T03:09:00Z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e607d002-3ac4-4a91-90bb-9a22e384e30b</vt:lpwstr>
  </property>
  <property fmtid="{D5CDD505-2E9C-101B-9397-08002B2CF9AE}" pid="8" name="m4b7cad729d540cc87a02edd2c660710">
    <vt:lpwstr>Correspondence|dcd6b05f-dc80-4336-b228-09aebf3d212c</vt:lpwstr>
  </property>
  <property fmtid="{D5CDD505-2E9C-101B-9397-08002B2CF9AE}" pid="9" name="DIAEmailContentType">
    <vt:lpwstr>23;#Correspondence|dcd6b05f-dc80-4336-b228-09aebf3d212c</vt:lpwstr>
  </property>
</Properties>
</file>