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EAFE" w14:textId="77777777" w:rsidR="004F3641" w:rsidRDefault="004F3641" w:rsidP="004F3641">
      <w:pPr>
        <w:keepLines w:val="0"/>
        <w:spacing w:before="0" w:after="0" w:line="280" w:lineRule="atLeast"/>
        <w:jc w:val="both"/>
        <w:rPr>
          <w:rFonts w:eastAsia="Times New Roman"/>
          <w:b/>
        </w:rPr>
      </w:pPr>
    </w:p>
    <w:p w14:paraId="3F5F0743" w14:textId="021B5CE2" w:rsidR="004F3641" w:rsidRPr="004F3641" w:rsidRDefault="004F3641" w:rsidP="004F3641">
      <w:pPr>
        <w:keepLines w:val="0"/>
        <w:spacing w:before="0" w:line="280" w:lineRule="atLeast"/>
        <w:jc w:val="both"/>
        <w:rPr>
          <w:rFonts w:eastAsia="Times New Roman"/>
        </w:rPr>
      </w:pPr>
    </w:p>
    <w:p w14:paraId="3BA658A0" w14:textId="3AE16A54" w:rsidR="004F3641" w:rsidRPr="00D06996" w:rsidRDefault="00D06996" w:rsidP="004F3641">
      <w:pPr>
        <w:keepNext/>
        <w:keepLines w:val="0"/>
        <w:spacing w:before="240" w:line="280" w:lineRule="atLeast"/>
        <w:jc w:val="center"/>
        <w:outlineLvl w:val="1"/>
        <w:rPr>
          <w:rFonts w:eastAsia="Times New Roman"/>
          <w:b/>
          <w:sz w:val="30"/>
          <w:szCs w:val="30"/>
        </w:rPr>
      </w:pPr>
      <w:r w:rsidRPr="00D06996">
        <w:rPr>
          <w:rFonts w:eastAsia="Times New Roman"/>
          <w:b/>
          <w:sz w:val="30"/>
          <w:szCs w:val="30"/>
        </w:rPr>
        <w:t>Amendment to the Gambling Act (Class 4) Game Rules 2016</w:t>
      </w:r>
    </w:p>
    <w:p w14:paraId="2DF343A2" w14:textId="43F66B92" w:rsidR="00D06996" w:rsidRDefault="00D06996" w:rsidP="00C85DC1">
      <w:pPr>
        <w:keepNext/>
        <w:spacing w:before="0" w:after="0"/>
        <w:contextualSpacing/>
        <w:outlineLvl w:val="1"/>
      </w:pPr>
      <w:bookmarkStart w:id="0" w:name="_Toc93482304"/>
      <w:r>
        <w:t xml:space="preserve">Pursuant to section 367 of the Gambling Act 2003, the following amendment to the Gambling Act (Class 4) Game Rules was prescribed on </w:t>
      </w:r>
      <w:r w:rsidR="007628D3">
        <w:t>31</w:t>
      </w:r>
      <w:r w:rsidR="00C94990">
        <w:t xml:space="preserve"> March</w:t>
      </w:r>
      <w:r>
        <w:t xml:space="preserve"> 2022. </w:t>
      </w:r>
    </w:p>
    <w:p w14:paraId="23F751AE" w14:textId="77777777" w:rsidR="00D06996" w:rsidRDefault="00D06996" w:rsidP="00C85DC1">
      <w:pPr>
        <w:keepNext/>
        <w:spacing w:before="0" w:after="0"/>
        <w:contextualSpacing/>
        <w:outlineLvl w:val="1"/>
      </w:pPr>
    </w:p>
    <w:p w14:paraId="62BB6B49" w14:textId="09E5D1FC" w:rsidR="00D06996" w:rsidRDefault="00D06996" w:rsidP="00C85DC1">
      <w:pPr>
        <w:keepNext/>
        <w:spacing w:before="0" w:after="0"/>
        <w:contextualSpacing/>
        <w:outlineLvl w:val="1"/>
        <w:rPr>
          <w:rFonts w:cs="Calibri"/>
          <w:b/>
          <w:bCs/>
          <w:iCs/>
          <w:color w:val="1F546B"/>
          <w:sz w:val="26"/>
          <w:szCs w:val="26"/>
        </w:rPr>
      </w:pPr>
      <w:r>
        <w:t xml:space="preserve">These amendments take effect on </w:t>
      </w:r>
      <w:r w:rsidR="007628D3">
        <w:t>12 April</w:t>
      </w:r>
      <w:r>
        <w:t xml:space="preserve"> 2022. </w:t>
      </w:r>
    </w:p>
    <w:p w14:paraId="348D4CD3" w14:textId="6EC6F5DB" w:rsidR="00D06996" w:rsidRDefault="00D06996" w:rsidP="00C85DC1">
      <w:pPr>
        <w:keepNext/>
        <w:spacing w:before="0" w:after="0"/>
        <w:contextualSpacing/>
        <w:outlineLvl w:val="1"/>
        <w:rPr>
          <w:rFonts w:cs="Calibri"/>
          <w:b/>
          <w:bCs/>
          <w:iCs/>
          <w:color w:val="1F546B"/>
          <w:sz w:val="26"/>
          <w:szCs w:val="26"/>
        </w:rPr>
      </w:pPr>
    </w:p>
    <w:p w14:paraId="61D2D5C2" w14:textId="56DAB6F8" w:rsidR="00D06996" w:rsidRDefault="00D06996" w:rsidP="00C85DC1">
      <w:pPr>
        <w:keepNext/>
        <w:spacing w:before="0" w:after="0"/>
        <w:contextualSpacing/>
        <w:outlineLvl w:val="1"/>
        <w:rPr>
          <w:rFonts w:cs="Calibri"/>
          <w:b/>
          <w:bCs/>
          <w:iCs/>
          <w:color w:val="1F546B"/>
          <w:sz w:val="26"/>
          <w:szCs w:val="26"/>
        </w:rPr>
      </w:pPr>
      <w:r>
        <w:rPr>
          <w:rFonts w:cs="Calibri"/>
          <w:b/>
          <w:bCs/>
          <w:iCs/>
          <w:noProof/>
          <w:color w:val="1F546B"/>
          <w:sz w:val="26"/>
          <w:szCs w:val="26"/>
        </w:rPr>
        <mc:AlternateContent>
          <mc:Choice Requires="wpi">
            <w:drawing>
              <wp:anchor distT="0" distB="0" distL="114300" distR="114300" simplePos="0" relativeHeight="251659264" behindDoc="0" locked="0" layoutInCell="1" allowOverlap="1" wp14:anchorId="1FAA1FFD" wp14:editId="5EEB4C39">
                <wp:simplePos x="0" y="0"/>
                <wp:positionH relativeFrom="column">
                  <wp:posOffset>4459090</wp:posOffset>
                </wp:positionH>
                <wp:positionV relativeFrom="paragraph">
                  <wp:posOffset>13800</wp:posOffset>
                </wp:positionV>
                <wp:extent cx="6840" cy="360"/>
                <wp:effectExtent l="38100" t="38100" r="31750" b="3810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6840" cy="360"/>
                      </w14:xfrm>
                    </w14:contentPart>
                  </a:graphicData>
                </a:graphic>
              </wp:anchor>
            </w:drawing>
          </mc:Choice>
          <mc:Fallback>
            <w:pict>
              <v:shapetype w14:anchorId="7DBFC1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50.75pt;margin-top:.75pt;width:1.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">
                <v:imagedata r:id="rId9" o:title=""/>
              </v:shape>
            </w:pict>
          </mc:Fallback>
        </mc:AlternateContent>
      </w:r>
    </w:p>
    <w:p w14:paraId="16E602E8" w14:textId="77777777" w:rsidR="00D06996" w:rsidRDefault="00D06996" w:rsidP="00C85DC1">
      <w:pPr>
        <w:keepNext/>
        <w:spacing w:before="0" w:after="0"/>
        <w:contextualSpacing/>
        <w:outlineLvl w:val="1"/>
        <w:rPr>
          <w:rFonts w:cs="Calibri"/>
          <w:b/>
          <w:bCs/>
          <w:iCs/>
          <w:color w:val="1F546B"/>
          <w:sz w:val="26"/>
          <w:szCs w:val="26"/>
        </w:rPr>
      </w:pPr>
    </w:p>
    <w:p w14:paraId="74C4F3D1" w14:textId="4B0FB486" w:rsidR="00C85DC1" w:rsidRPr="00C85DC1" w:rsidRDefault="00C85DC1" w:rsidP="00C85DC1">
      <w:pPr>
        <w:keepNext/>
        <w:spacing w:before="0" w:after="0"/>
        <w:contextualSpacing/>
        <w:outlineLvl w:val="1"/>
        <w:rPr>
          <w:rFonts w:cs="Calibri"/>
          <w:b/>
          <w:bCs/>
          <w:iCs/>
          <w:color w:val="1F546B"/>
          <w:sz w:val="26"/>
          <w:szCs w:val="26"/>
        </w:rPr>
      </w:pPr>
      <w:r w:rsidRPr="00C85DC1">
        <w:rPr>
          <w:rFonts w:cs="Calibri"/>
          <w:b/>
          <w:bCs/>
          <w:iCs/>
          <w:color w:val="1F546B"/>
          <w:sz w:val="26"/>
          <w:szCs w:val="26"/>
        </w:rPr>
        <w:t>Part 1: Rules relating to Gambling Equipment Security and Access</w:t>
      </w:r>
      <w:bookmarkEnd w:id="0"/>
      <w:r w:rsidRPr="00C85DC1">
        <w:rPr>
          <w:rFonts w:cs="Calibri"/>
          <w:b/>
          <w:bCs/>
          <w:iCs/>
          <w:color w:val="1F546B"/>
          <w:sz w:val="26"/>
          <w:szCs w:val="26"/>
        </w:rPr>
        <w:t xml:space="preserve"> </w:t>
      </w:r>
    </w:p>
    <w:p w14:paraId="42CA9BE7" w14:textId="77777777" w:rsidR="00C85DC1" w:rsidRPr="00C85DC1" w:rsidRDefault="00C85DC1" w:rsidP="00C85DC1">
      <w:pPr>
        <w:keepLines w:val="0"/>
        <w:spacing w:before="240" w:after="120" w:line="280" w:lineRule="atLeast"/>
        <w:rPr>
          <w:rFonts w:cs="Arial"/>
          <w:color w:val="000000"/>
          <w:lang w:val="en-GB" w:eastAsia="en-GB"/>
        </w:rPr>
      </w:pPr>
      <w:r w:rsidRPr="00C85DC1">
        <w:rPr>
          <w:rFonts w:cs="Arial"/>
          <w:color w:val="000000"/>
          <w:lang w:val="en-GB" w:eastAsia="en-GB"/>
        </w:rPr>
        <w:t xml:space="preserve">New rule 1.0 requires service staff to contact the EMS monitor before installing, removing, modifying or servicing gaming machines. The rule also provides instructions on how to clear the </w:t>
      </w:r>
      <w:proofErr w:type="gramStart"/>
      <w:r w:rsidRPr="00C85DC1">
        <w:rPr>
          <w:rFonts w:cs="Arial"/>
          <w:color w:val="000000"/>
          <w:lang w:val="en-GB" w:eastAsia="en-GB"/>
        </w:rPr>
        <w:t>random access</w:t>
      </w:r>
      <w:proofErr w:type="gramEnd"/>
      <w:r w:rsidRPr="00C85DC1">
        <w:rPr>
          <w:rFonts w:cs="Arial"/>
          <w:color w:val="000000"/>
          <w:lang w:val="en-GB" w:eastAsia="en-GB"/>
        </w:rPr>
        <w:t xml:space="preserve"> memory and includes previous rule 48 prohibiting the switching off of site controllers or network communication equipment.</w:t>
      </w:r>
      <w:bookmarkStart w:id="1" w:name="_Toc88206051"/>
      <w:r w:rsidRPr="00C85DC1">
        <w:rPr>
          <w:rFonts w:cs="Arial"/>
          <w:color w:val="000000"/>
          <w:lang w:val="en-GB" w:eastAsia="en-GB"/>
        </w:rPr>
        <w:t xml:space="preserve"> </w:t>
      </w:r>
      <w:bookmarkEnd w:id="1"/>
      <w:r w:rsidRPr="00C85DC1">
        <w:rPr>
          <w:rFonts w:cs="Arial"/>
          <w:color w:val="000000"/>
          <w:lang w:val="en-GB" w:eastAsia="en-GB"/>
        </w:rPr>
        <w:t>The rule reads:</w:t>
      </w:r>
    </w:p>
    <w:p w14:paraId="71CBB3DF" w14:textId="77777777" w:rsidR="00C85DC1" w:rsidRPr="00C85DC1" w:rsidRDefault="00C85DC1" w:rsidP="00C85DC1">
      <w:pPr>
        <w:keepNext/>
        <w:spacing w:before="360" w:after="120"/>
        <w:contextualSpacing/>
        <w:outlineLvl w:val="2"/>
        <w:rPr>
          <w:rFonts w:cs="Arial"/>
          <w:b/>
          <w:bCs/>
          <w:i/>
        </w:rPr>
      </w:pPr>
      <w:bookmarkStart w:id="2" w:name="_Toc88206050"/>
      <w:r w:rsidRPr="00C85DC1">
        <w:rPr>
          <w:rFonts w:cs="Arial"/>
          <w:b/>
          <w:bCs/>
          <w:i/>
        </w:rPr>
        <w:t>1.0</w:t>
      </w:r>
      <w:r w:rsidRPr="00C85DC1">
        <w:rPr>
          <w:rFonts w:cs="Arial"/>
          <w:b/>
          <w:bCs/>
          <w:i/>
        </w:rPr>
        <w:tab/>
        <w:t xml:space="preserve">Advising EMS </w:t>
      </w:r>
      <w:bookmarkEnd w:id="2"/>
      <w:r w:rsidRPr="00C85DC1">
        <w:rPr>
          <w:rFonts w:cs="Arial"/>
          <w:b/>
          <w:bCs/>
          <w:i/>
        </w:rPr>
        <w:t>Service Desk</w:t>
      </w:r>
    </w:p>
    <w:p w14:paraId="2EC072BD" w14:textId="77777777" w:rsidR="00C85DC1" w:rsidRPr="00C85DC1" w:rsidRDefault="00C85DC1" w:rsidP="00C85DC1">
      <w:pPr>
        <w:numPr>
          <w:ilvl w:val="0"/>
          <w:numId w:val="25"/>
        </w:numPr>
        <w:ind w:left="567" w:hanging="567"/>
        <w:rPr>
          <w:i/>
        </w:rPr>
      </w:pPr>
      <w:r w:rsidRPr="00C85DC1">
        <w:rPr>
          <w:i/>
        </w:rPr>
        <w:t>Where gambling equipment is to be installed, removed, modified, or serviced then the venue manager must ensure service staff have contacted the EMS service desk before allowing entry to gambling area or issue of keys. This only applies to gaming machine related changes and does not include general servicing of gaming machines where access to the logic cage for example is required. It does apply to EGM software changes, EGM ram clears, any EMS Site Controller power changes, any EMS Router power changes. Note; failure of service staff to advise the service desk they are on site and the work they intend to do can have significant impact on the monitoring and reconciliation of EGM meter values leading to GMP calculation issues.</w:t>
      </w:r>
    </w:p>
    <w:p w14:paraId="27FE98E6" w14:textId="77777777" w:rsidR="00C85DC1" w:rsidRPr="00C85DC1" w:rsidRDefault="00C85DC1" w:rsidP="00C85DC1">
      <w:pPr>
        <w:numPr>
          <w:ilvl w:val="0"/>
          <w:numId w:val="25"/>
        </w:numPr>
        <w:ind w:left="567" w:hanging="567"/>
        <w:rPr>
          <w:i/>
        </w:rPr>
      </w:pPr>
      <w:r w:rsidRPr="00C85DC1">
        <w:rPr>
          <w:i/>
        </w:rPr>
        <w:t>Where an EGM is to be RAM Cleared, removed or otherwise modified or changed the venue manager is to ensure all player credit meters are showing zero value; if not  zero refer ‘Unpaid prizes, money found inside gaming machines’ requirement for action to be taken</w:t>
      </w:r>
    </w:p>
    <w:p w14:paraId="6D3C7A08" w14:textId="77777777" w:rsidR="00C85DC1" w:rsidRPr="00C85DC1" w:rsidRDefault="00C85DC1" w:rsidP="00C85DC1">
      <w:pPr>
        <w:numPr>
          <w:ilvl w:val="0"/>
          <w:numId w:val="25"/>
        </w:numPr>
        <w:ind w:left="567" w:hanging="567"/>
        <w:rPr>
          <w:bCs/>
          <w:i/>
          <w:szCs w:val="28"/>
        </w:rPr>
      </w:pPr>
      <w:r w:rsidRPr="00C85DC1">
        <w:rPr>
          <w:bCs/>
          <w:i/>
          <w:szCs w:val="28"/>
        </w:rPr>
        <w:t xml:space="preserve">Switching off site controllers and other equipment </w:t>
      </w:r>
    </w:p>
    <w:p w14:paraId="442273E0" w14:textId="77777777" w:rsidR="00C85DC1" w:rsidRPr="00C85DC1" w:rsidRDefault="00C85DC1" w:rsidP="00C85DC1">
      <w:pPr>
        <w:spacing w:before="80" w:after="80"/>
        <w:ind w:left="1134" w:hanging="567"/>
        <w:rPr>
          <w:i/>
        </w:rPr>
      </w:pPr>
      <w:r w:rsidRPr="00C85DC1">
        <w:rPr>
          <w:i/>
        </w:rPr>
        <w:t>(a)</w:t>
      </w:r>
      <w:r w:rsidRPr="00C85DC1">
        <w:rPr>
          <w:i/>
        </w:rPr>
        <w:tab/>
        <w:t>A person must not at any time switch off a site controller unless under instructions to do so from the monitor or by monitor service personnel.</w:t>
      </w:r>
    </w:p>
    <w:p w14:paraId="78C432A9" w14:textId="77777777" w:rsidR="00C85DC1" w:rsidRPr="00C85DC1" w:rsidRDefault="00C85DC1" w:rsidP="00C85DC1">
      <w:pPr>
        <w:spacing w:before="80" w:after="80"/>
        <w:ind w:left="1134" w:hanging="567"/>
        <w:rPr>
          <w:i/>
        </w:rPr>
      </w:pPr>
      <w:r w:rsidRPr="00C85DC1">
        <w:rPr>
          <w:i/>
        </w:rPr>
        <w:t>(b)</w:t>
      </w:r>
      <w:r w:rsidRPr="00C85DC1">
        <w:rPr>
          <w:i/>
        </w:rPr>
        <w:tab/>
        <w:t>A person must not switch off any EMS wide area network communications equipment such as routers or network terminating units unless under instructions to do so from:</w:t>
      </w:r>
    </w:p>
    <w:p w14:paraId="19D878E1" w14:textId="006C918B" w:rsidR="00C85DC1" w:rsidRPr="00C85DC1" w:rsidRDefault="00C85DC1" w:rsidP="00C85DC1">
      <w:pPr>
        <w:spacing w:before="80" w:after="80"/>
        <w:ind w:left="1134"/>
        <w:rPr>
          <w:i/>
        </w:rPr>
      </w:pPr>
      <w:proofErr w:type="spellStart"/>
      <w:r w:rsidRPr="00C85DC1">
        <w:rPr>
          <w:i/>
        </w:rPr>
        <w:t>i</w:t>
      </w:r>
      <w:proofErr w:type="spellEnd"/>
      <w:r w:rsidRPr="00C85DC1">
        <w:rPr>
          <w:i/>
        </w:rPr>
        <w:t>)</w:t>
      </w:r>
      <w:r w:rsidRPr="00C85DC1">
        <w:rPr>
          <w:i/>
        </w:rPr>
        <w:tab/>
        <w:t>the monitor or monitor service personnel</w:t>
      </w:r>
      <w:r w:rsidR="006D016D">
        <w:rPr>
          <w:i/>
        </w:rPr>
        <w:t>.</w:t>
      </w:r>
    </w:p>
    <w:p w14:paraId="20A21067" w14:textId="77777777" w:rsidR="00C85DC1" w:rsidRPr="00C85DC1" w:rsidRDefault="00C85DC1" w:rsidP="00C85DC1">
      <w:pPr>
        <w:keepLines w:val="0"/>
        <w:spacing w:before="240" w:after="120" w:line="280" w:lineRule="atLeast"/>
        <w:rPr>
          <w:rFonts w:cs="Arial"/>
          <w:color w:val="000000"/>
          <w:lang w:val="en-GB" w:eastAsia="en-GB"/>
        </w:rPr>
      </w:pPr>
      <w:r w:rsidRPr="00C85DC1">
        <w:rPr>
          <w:rFonts w:cs="Arial"/>
          <w:color w:val="000000"/>
          <w:lang w:val="en-GB" w:eastAsia="en-GB"/>
        </w:rPr>
        <w:t>Amendments to rule 11.2 (previously rule 23) by the insertion of paragraph (k)provides instruction for the redemption of tickets printed after a cancelled credit event, including that the ticket is only valid for 30 minutes. Paragraph (k) reads:</w:t>
      </w:r>
    </w:p>
    <w:p w14:paraId="045C0FE5" w14:textId="77777777" w:rsidR="00C85DC1" w:rsidRPr="00C85DC1" w:rsidRDefault="00C85DC1" w:rsidP="00C85DC1">
      <w:pPr>
        <w:spacing w:before="80" w:after="80"/>
        <w:ind w:left="1134" w:hanging="567"/>
        <w:rPr>
          <w:i/>
        </w:rPr>
      </w:pPr>
      <w:r w:rsidRPr="00C85DC1">
        <w:rPr>
          <w:i/>
        </w:rPr>
        <w:t>(k)</w:t>
      </w:r>
      <w:r w:rsidRPr="00C85DC1">
        <w:rPr>
          <w:i/>
        </w:rPr>
        <w:tab/>
        <w:t>Any ticket printed for the indicated cash amount in respect of an EGM QCOM Cancelled Credit event:</w:t>
      </w:r>
    </w:p>
    <w:p w14:paraId="5ADA7AD0" w14:textId="77777777" w:rsidR="00C85DC1" w:rsidRPr="00C85DC1" w:rsidRDefault="00C85DC1" w:rsidP="00C85DC1">
      <w:pPr>
        <w:spacing w:before="80" w:after="80"/>
        <w:ind w:left="1701" w:hanging="567"/>
        <w:rPr>
          <w:i/>
        </w:rPr>
      </w:pPr>
      <w:r w:rsidRPr="00C85DC1">
        <w:rPr>
          <w:i/>
        </w:rPr>
        <w:lastRenderedPageBreak/>
        <w:t>(</w:t>
      </w:r>
      <w:proofErr w:type="spellStart"/>
      <w:r w:rsidRPr="00C85DC1">
        <w:rPr>
          <w:i/>
        </w:rPr>
        <w:t>i</w:t>
      </w:r>
      <w:proofErr w:type="spellEnd"/>
      <w:r w:rsidRPr="00C85DC1">
        <w:rPr>
          <w:i/>
        </w:rPr>
        <w:t xml:space="preserve">) </w:t>
      </w:r>
      <w:r w:rsidRPr="00C85DC1">
        <w:rPr>
          <w:i/>
        </w:rPr>
        <w:tab/>
        <w:t>is valid for cash redemption from an approved Redemption Kiosk for a maximum period of 30 minutes; and</w:t>
      </w:r>
    </w:p>
    <w:p w14:paraId="0AA6675D" w14:textId="042A27D3" w:rsidR="00C85DC1" w:rsidRDefault="00C85DC1" w:rsidP="00C85DC1">
      <w:pPr>
        <w:spacing w:before="80" w:after="80"/>
        <w:ind w:left="1134"/>
        <w:rPr>
          <w:i/>
        </w:rPr>
      </w:pPr>
      <w:r w:rsidRPr="00C85DC1">
        <w:rPr>
          <w:i/>
        </w:rPr>
        <w:t>(ii)</w:t>
      </w:r>
      <w:r w:rsidRPr="00C85DC1">
        <w:rPr>
          <w:i/>
        </w:rPr>
        <w:tab/>
        <w:t>a ticket can only be redeemed by authorised venue staff; and</w:t>
      </w:r>
    </w:p>
    <w:p w14:paraId="2CD8208B" w14:textId="59168152" w:rsidR="00C85DC1" w:rsidRPr="00C85DC1" w:rsidRDefault="00C85DC1" w:rsidP="00C85DC1">
      <w:pPr>
        <w:spacing w:before="80" w:after="80"/>
        <w:ind w:left="1701" w:hanging="567"/>
        <w:rPr>
          <w:i/>
        </w:rPr>
      </w:pPr>
      <w:r>
        <w:rPr>
          <w:i/>
        </w:rPr>
        <w:t>(iii)</w:t>
      </w:r>
      <w:r>
        <w:rPr>
          <w:i/>
        </w:rPr>
        <w:tab/>
      </w:r>
      <w:r w:rsidRPr="00C85DC1">
        <w:rPr>
          <w:i/>
        </w:rPr>
        <w:t xml:space="preserve">record the cancelled credit meter reading on the Cancelled Credit, Short Pays and Refills Report must be filled out as above; and </w:t>
      </w:r>
    </w:p>
    <w:p w14:paraId="7A655274" w14:textId="195F9CB9" w:rsidR="00C85DC1" w:rsidRPr="00C85DC1" w:rsidRDefault="00C85DC1" w:rsidP="00C85DC1">
      <w:pPr>
        <w:spacing w:before="80" w:after="80"/>
        <w:ind w:left="1701" w:hanging="567"/>
        <w:rPr>
          <w:i/>
        </w:rPr>
      </w:pPr>
      <w:r>
        <w:rPr>
          <w:i/>
        </w:rPr>
        <w:t>(iv)</w:t>
      </w:r>
      <w:r>
        <w:rPr>
          <w:i/>
        </w:rPr>
        <w:tab/>
      </w:r>
      <w:r w:rsidRPr="00C85DC1">
        <w:rPr>
          <w:i/>
        </w:rPr>
        <w:t>for the avoidance of any doubt the player must present personal identification confirming the players name before the ticket can be redeemed.</w:t>
      </w:r>
    </w:p>
    <w:p w14:paraId="4A6C16BA" w14:textId="77777777" w:rsidR="004F3641" w:rsidRPr="004F3641" w:rsidRDefault="004F3641" w:rsidP="004F3641">
      <w:pPr>
        <w:keepLines w:val="0"/>
        <w:spacing w:before="240" w:after="120" w:line="280" w:lineRule="atLeast"/>
        <w:rPr>
          <w:rFonts w:eastAsia="Times New Roman" w:cs="Calibri"/>
          <w:color w:val="000000"/>
          <w:lang w:val="en-GB" w:eastAsia="en-GB"/>
        </w:rPr>
      </w:pPr>
      <w:r w:rsidRPr="004F3641">
        <w:rPr>
          <w:rFonts w:eastAsia="Times New Roman" w:cs="Calibri"/>
          <w:color w:val="000000"/>
          <w:lang w:val="en-GB" w:eastAsia="en-GB"/>
        </w:rPr>
        <w:t>Amendments to the numbering of the rules.</w:t>
      </w:r>
    </w:p>
    <w:sectPr w:rsidR="004F3641" w:rsidRPr="004F3641"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E8FF" w14:textId="77777777" w:rsidR="004F3641" w:rsidRDefault="004F3641">
      <w:r>
        <w:separator/>
      </w:r>
    </w:p>
    <w:p w14:paraId="0E1F5A5A" w14:textId="77777777" w:rsidR="004F3641" w:rsidRDefault="004F3641"/>
    <w:p w14:paraId="63D9EEC2" w14:textId="77777777" w:rsidR="004F3641" w:rsidRDefault="004F3641"/>
  </w:endnote>
  <w:endnote w:type="continuationSeparator" w:id="0">
    <w:p w14:paraId="10EB1B0E" w14:textId="77777777" w:rsidR="004F3641" w:rsidRDefault="004F3641">
      <w:r>
        <w:continuationSeparator/>
      </w:r>
    </w:p>
    <w:p w14:paraId="2679A887" w14:textId="77777777" w:rsidR="004F3641" w:rsidRDefault="004F3641"/>
    <w:p w14:paraId="2442FE9D" w14:textId="77777777" w:rsidR="004F3641" w:rsidRDefault="004F3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023"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94569D">
      <w:rPr>
        <w:noProof/>
      </w:rPr>
      <w:fldChar w:fldCharType="begin"/>
    </w:r>
    <w:r w:rsidR="0094569D">
      <w:rPr>
        <w:noProof/>
      </w:rPr>
      <w:instrText xml:space="preserve"> NUMPAGES   \* MERGEFORMAT </w:instrText>
    </w:r>
    <w:r w:rsidR="0094569D">
      <w:rPr>
        <w:noProof/>
      </w:rPr>
      <w:fldChar w:fldCharType="separate"/>
    </w:r>
    <w:r w:rsidR="00603635">
      <w:rPr>
        <w:noProof/>
      </w:rPr>
      <w:t>1</w:t>
    </w:r>
    <w:r w:rsidR="009456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EE38" w14:textId="77777777" w:rsidR="004F3641" w:rsidRDefault="004F3641" w:rsidP="00FB1990">
      <w:pPr>
        <w:pStyle w:val="Spacer"/>
      </w:pPr>
      <w:r>
        <w:separator/>
      </w:r>
    </w:p>
    <w:p w14:paraId="34D09743" w14:textId="77777777" w:rsidR="004F3641" w:rsidRDefault="004F3641" w:rsidP="00FB1990">
      <w:pPr>
        <w:pStyle w:val="Spacer"/>
      </w:pPr>
    </w:p>
  </w:footnote>
  <w:footnote w:type="continuationSeparator" w:id="0">
    <w:p w14:paraId="769E0EFA" w14:textId="77777777" w:rsidR="004F3641" w:rsidRDefault="004F3641">
      <w:r>
        <w:continuationSeparator/>
      </w:r>
    </w:p>
    <w:p w14:paraId="28B18A41" w14:textId="77777777" w:rsidR="004F3641" w:rsidRDefault="004F3641"/>
    <w:p w14:paraId="3E1195C9" w14:textId="77777777" w:rsidR="004F3641" w:rsidRDefault="004F3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87E" w14:textId="1D0AD7A0" w:rsidR="00677F8A" w:rsidRPr="00591BDC" w:rsidRDefault="004F3641" w:rsidP="004F3641">
    <w:pPr>
      <w:pStyle w:val="Header"/>
      <w:jc w:val="right"/>
    </w:pPr>
    <w:r>
      <w:rPr>
        <w:noProof/>
        <w:lang w:eastAsia="en-NZ"/>
      </w:rPr>
      <w:drawing>
        <wp:inline distT="0" distB="0" distL="0" distR="0" wp14:anchorId="379E7C04" wp14:editId="26FEEE5B">
          <wp:extent cx="2409825" cy="695325"/>
          <wp:effectExtent l="0" t="0" r="9525" b="9525"/>
          <wp:docPr id="1" name="Picture 1" descr="cid:image002.jpg@01D7D218.C2276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D218.C2276A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8B074A"/>
    <w:multiLevelType w:val="hybridMultilevel"/>
    <w:tmpl w:val="B3D0CF0E"/>
    <w:lvl w:ilvl="0" w:tplc="FFFFFFFF">
      <w:start w:val="1"/>
      <w:numFmt w:val="lowerLetter"/>
      <w:lvlText w:val="(%1)"/>
      <w:lvlJc w:val="left"/>
      <w:pPr>
        <w:ind w:left="1746" w:hanging="360"/>
      </w:pPr>
      <w:rPr>
        <w:rFonts w:cs="Times New Roman"/>
      </w:rPr>
    </w:lvl>
    <w:lvl w:ilvl="1" w:tplc="0C090019">
      <w:start w:val="1"/>
      <w:numFmt w:val="lowerLetter"/>
      <w:lvlText w:val="%2."/>
      <w:lvlJc w:val="left"/>
      <w:pPr>
        <w:ind w:left="2466" w:hanging="360"/>
      </w:pPr>
      <w:rPr>
        <w:rFonts w:cs="Times New Roman"/>
      </w:rPr>
    </w:lvl>
    <w:lvl w:ilvl="2" w:tplc="0C09001B">
      <w:start w:val="1"/>
      <w:numFmt w:val="lowerRoman"/>
      <w:lvlText w:val="%3."/>
      <w:lvlJc w:val="right"/>
      <w:pPr>
        <w:ind w:left="3186" w:hanging="180"/>
      </w:pPr>
      <w:rPr>
        <w:rFonts w:cs="Times New Roman"/>
      </w:rPr>
    </w:lvl>
    <w:lvl w:ilvl="3" w:tplc="0C09000F">
      <w:start w:val="1"/>
      <w:numFmt w:val="decimal"/>
      <w:lvlText w:val="%4."/>
      <w:lvlJc w:val="left"/>
      <w:pPr>
        <w:ind w:left="3906" w:hanging="360"/>
      </w:pPr>
      <w:rPr>
        <w:rFonts w:cs="Times New Roman"/>
      </w:rPr>
    </w:lvl>
    <w:lvl w:ilvl="4" w:tplc="0C090019">
      <w:start w:val="1"/>
      <w:numFmt w:val="lowerLetter"/>
      <w:lvlText w:val="%5."/>
      <w:lvlJc w:val="left"/>
      <w:pPr>
        <w:ind w:left="4626" w:hanging="360"/>
      </w:pPr>
      <w:rPr>
        <w:rFonts w:cs="Times New Roman"/>
      </w:rPr>
    </w:lvl>
    <w:lvl w:ilvl="5" w:tplc="0C09001B">
      <w:start w:val="1"/>
      <w:numFmt w:val="lowerRoman"/>
      <w:lvlText w:val="%6."/>
      <w:lvlJc w:val="right"/>
      <w:pPr>
        <w:ind w:left="5346" w:hanging="180"/>
      </w:pPr>
      <w:rPr>
        <w:rFonts w:cs="Times New Roman"/>
      </w:rPr>
    </w:lvl>
    <w:lvl w:ilvl="6" w:tplc="0C09000F">
      <w:start w:val="1"/>
      <w:numFmt w:val="decimal"/>
      <w:lvlText w:val="%7."/>
      <w:lvlJc w:val="left"/>
      <w:pPr>
        <w:ind w:left="6066" w:hanging="360"/>
      </w:pPr>
      <w:rPr>
        <w:rFonts w:cs="Times New Roman"/>
      </w:rPr>
    </w:lvl>
    <w:lvl w:ilvl="7" w:tplc="0C090019">
      <w:start w:val="1"/>
      <w:numFmt w:val="lowerLetter"/>
      <w:lvlText w:val="%8."/>
      <w:lvlJc w:val="left"/>
      <w:pPr>
        <w:ind w:left="6786" w:hanging="360"/>
      </w:pPr>
      <w:rPr>
        <w:rFonts w:cs="Times New Roman"/>
      </w:rPr>
    </w:lvl>
    <w:lvl w:ilvl="8" w:tplc="0C09001B">
      <w:start w:val="1"/>
      <w:numFmt w:val="lowerRoman"/>
      <w:lvlText w:val="%9."/>
      <w:lvlJc w:val="right"/>
      <w:pPr>
        <w:ind w:left="7506" w:hanging="180"/>
      </w:pPr>
      <w:rPr>
        <w:rFonts w:cs="Times New Roman"/>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58201FE"/>
    <w:multiLevelType w:val="hybridMultilevel"/>
    <w:tmpl w:val="0FC075C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0C1942EA"/>
    <w:multiLevelType w:val="hybridMultilevel"/>
    <w:tmpl w:val="7638BF3C"/>
    <w:lvl w:ilvl="0" w:tplc="AA32B0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8C103D"/>
    <w:multiLevelType w:val="hybridMultilevel"/>
    <w:tmpl w:val="674A10B4"/>
    <w:lvl w:ilvl="0" w:tplc="9C8409C0">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ED16390"/>
    <w:multiLevelType w:val="hybridMultilevel"/>
    <w:tmpl w:val="FDA4FF3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Times New Roman"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Times New Roman"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Times New Roman" w:hint="default"/>
      </w:rPr>
    </w:lvl>
    <w:lvl w:ilvl="8" w:tplc="0C090005">
      <w:start w:val="1"/>
      <w:numFmt w:val="bullet"/>
      <w:lvlText w:val=""/>
      <w:lvlJc w:val="left"/>
      <w:pPr>
        <w:ind w:left="7047" w:hanging="360"/>
      </w:pPr>
      <w:rPr>
        <w:rFonts w:ascii="Wingdings" w:hAnsi="Wingdings" w:hint="default"/>
      </w:rPr>
    </w:lvl>
  </w:abstractNum>
  <w:abstractNum w:abstractNumId="21" w15:restartNumberingAfterBreak="0">
    <w:nsid w:val="53744047"/>
    <w:multiLevelType w:val="hybridMultilevel"/>
    <w:tmpl w:val="6C0A1BA4"/>
    <w:lvl w:ilvl="0" w:tplc="FFFFFFFF">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C64F00"/>
    <w:multiLevelType w:val="hybridMultilevel"/>
    <w:tmpl w:val="3948D1F4"/>
    <w:lvl w:ilvl="0" w:tplc="77A6B214">
      <w:start w:val="4"/>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5CC82CF9"/>
    <w:multiLevelType w:val="hybridMultilevel"/>
    <w:tmpl w:val="196EF57A"/>
    <w:lvl w:ilvl="0" w:tplc="FFFFFFFF">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5"/>
  </w:num>
  <w:num w:numId="9">
    <w:abstractNumId w:val="17"/>
  </w:num>
  <w:num w:numId="10">
    <w:abstractNumId w:val="13"/>
  </w:num>
  <w:num w:numId="11">
    <w:abstractNumId w:val="26"/>
  </w:num>
  <w:num w:numId="12">
    <w:abstractNumId w:val="28"/>
  </w:num>
  <w:num w:numId="13">
    <w:abstractNumId w:val="30"/>
  </w:num>
  <w:num w:numId="14">
    <w:abstractNumId w:val="8"/>
  </w:num>
  <w:num w:numId="15">
    <w:abstractNumId w:val="15"/>
  </w:num>
  <w:num w:numId="16">
    <w:abstractNumId w:val="31"/>
  </w:num>
  <w:num w:numId="17">
    <w:abstractNumId w:val="29"/>
  </w:num>
  <w:num w:numId="18">
    <w:abstractNumId w:val="27"/>
  </w:num>
  <w:num w:numId="19">
    <w:abstractNumId w:val="18"/>
  </w:num>
  <w:num w:numId="20">
    <w:abstractNumId w:val="16"/>
  </w:num>
  <w:num w:numId="21">
    <w:abstractNumId w:val="11"/>
  </w:num>
  <w:num w:numId="22">
    <w:abstractNumId w:val="7"/>
  </w:num>
  <w:num w:numId="23">
    <w:abstractNumId w:val="14"/>
  </w:num>
  <w:num w:numId="24">
    <w:abstractNumId w:val="10"/>
  </w:num>
  <w:num w:numId="25">
    <w:abstractNumId w:val="1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41"/>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3641"/>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016D"/>
    <w:rsid w:val="006D638F"/>
    <w:rsid w:val="006D7384"/>
    <w:rsid w:val="006E7BF7"/>
    <w:rsid w:val="00702F2C"/>
    <w:rsid w:val="007068C8"/>
    <w:rsid w:val="00715B8F"/>
    <w:rsid w:val="0073106E"/>
    <w:rsid w:val="00755142"/>
    <w:rsid w:val="00756BB7"/>
    <w:rsid w:val="0075764B"/>
    <w:rsid w:val="00760C01"/>
    <w:rsid w:val="00761293"/>
    <w:rsid w:val="007628D3"/>
    <w:rsid w:val="00767C04"/>
    <w:rsid w:val="007736A2"/>
    <w:rsid w:val="007A6226"/>
    <w:rsid w:val="007B3C61"/>
    <w:rsid w:val="007D1918"/>
    <w:rsid w:val="007F03F2"/>
    <w:rsid w:val="008031DF"/>
    <w:rsid w:val="008065D7"/>
    <w:rsid w:val="008111A3"/>
    <w:rsid w:val="00816E30"/>
    <w:rsid w:val="0082264B"/>
    <w:rsid w:val="0082765B"/>
    <w:rsid w:val="00831ED8"/>
    <w:rsid w:val="008340A4"/>
    <w:rsid w:val="008352B1"/>
    <w:rsid w:val="008353E7"/>
    <w:rsid w:val="00835BD7"/>
    <w:rsid w:val="008428E8"/>
    <w:rsid w:val="00843C26"/>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569D"/>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2BEA"/>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85DC1"/>
    <w:rsid w:val="00C90217"/>
    <w:rsid w:val="00C94990"/>
    <w:rsid w:val="00C96BFD"/>
    <w:rsid w:val="00C96C98"/>
    <w:rsid w:val="00CA5358"/>
    <w:rsid w:val="00CB0B17"/>
    <w:rsid w:val="00CB1DCA"/>
    <w:rsid w:val="00CD502A"/>
    <w:rsid w:val="00CF12CF"/>
    <w:rsid w:val="00CF4BE3"/>
    <w:rsid w:val="00D060D2"/>
    <w:rsid w:val="00D06996"/>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57F14"/>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490AF5"/>
  <w15:chartTrackingRefBased/>
  <w15:docId w15:val="{414E5E99-BBC4-4625-ADA8-D55C763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uiPriority w:val="99"/>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unhideWhenUsed/>
    <w:rsid w:val="004F3641"/>
    <w:rPr>
      <w:sz w:val="20"/>
      <w:szCs w:val="20"/>
    </w:rPr>
  </w:style>
  <w:style w:type="character" w:customStyle="1" w:styleId="CommentTextChar">
    <w:name w:val="Comment Text Char"/>
    <w:basedOn w:val="DefaultParagraphFont"/>
    <w:link w:val="CommentText"/>
    <w:uiPriority w:val="99"/>
    <w:semiHidden/>
    <w:rsid w:val="004F3641"/>
    <w:rPr>
      <w:sz w:val="20"/>
      <w:szCs w:val="20"/>
      <w:lang w:eastAsia="en-US"/>
    </w:rPr>
  </w:style>
  <w:style w:type="paragraph" w:customStyle="1" w:styleId="ListNumeric">
    <w:name w:val="List Numeric"/>
    <w:basedOn w:val="BodyText"/>
    <w:rsid w:val="004F3641"/>
    <w:pPr>
      <w:keepLines w:val="0"/>
      <w:tabs>
        <w:tab w:val="num" w:pos="567"/>
      </w:tabs>
      <w:spacing w:before="0" w:line="280" w:lineRule="atLeast"/>
      <w:ind w:left="567" w:hanging="567"/>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2.jpg@01D80D2A.3F8FDD10" TargetMode="External"/><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4T04:59:47.819"/>
    </inkml:context>
    <inkml:brush xml:id="br0">
      <inkml:brushProperty name="width" value="0.025" units="cm"/>
      <inkml:brushProperty name="height" value="0.025" units="cm"/>
      <inkml:brushProperty name="ignorePressure" value="1"/>
    </inkml:brush>
  </inkml:definitions>
  <inkml:trace contextRef="#ctx0" brushRef="#br0">0 0,'3'0,"4"0,1 0</inkml:trace>
</inkml:ink>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B66E-0C7A-455D-8BD0-F624E011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Bezett</dc:creator>
  <cp:keywords/>
  <dc:description/>
  <cp:lastModifiedBy>Tim Bollinger</cp:lastModifiedBy>
  <cp:revision>2</cp:revision>
  <cp:lastPrinted>2022-03-01T03:04:00Z</cp:lastPrinted>
  <dcterms:created xsi:type="dcterms:W3CDTF">2022-04-11T04:50:00Z</dcterms:created>
  <dcterms:modified xsi:type="dcterms:W3CDTF">2022-04-11T04:50:00Z</dcterms:modified>
</cp:coreProperties>
</file>