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1D6" w:rsidRPr="00B12546" w:rsidRDefault="007361D6" w:rsidP="00F4402E">
      <w:pPr>
        <w:pStyle w:val="NotforContentsheading1"/>
        <w:rPr>
          <w:sz w:val="40"/>
          <w:szCs w:val="40"/>
        </w:rPr>
      </w:pPr>
      <w:bookmarkStart w:id="0" w:name="_GoBack"/>
      <w:bookmarkEnd w:id="0"/>
      <w:r w:rsidRPr="00B12546">
        <w:rPr>
          <w:sz w:val="40"/>
          <w:szCs w:val="40"/>
        </w:rPr>
        <w:t>Regulatory impact statement</w:t>
      </w:r>
      <w:r w:rsidR="0033629D" w:rsidRPr="00B12546">
        <w:rPr>
          <w:sz w:val="40"/>
          <w:szCs w:val="40"/>
        </w:rPr>
        <w:t>: c</w:t>
      </w:r>
      <w:r w:rsidR="000D2027" w:rsidRPr="00B12546">
        <w:rPr>
          <w:sz w:val="40"/>
          <w:szCs w:val="40"/>
        </w:rPr>
        <w:t>hanges to fees under the Gambling Act 2003</w:t>
      </w:r>
    </w:p>
    <w:p w:rsidR="007361D6" w:rsidRPr="00B302E6" w:rsidRDefault="007361D6" w:rsidP="00B302E6">
      <w:pPr>
        <w:pStyle w:val="NotforContentsheading2"/>
      </w:pPr>
      <w:r w:rsidRPr="00B302E6">
        <w:t>Agency disclosure statement</w:t>
      </w:r>
    </w:p>
    <w:p w:rsidR="007361D6" w:rsidRPr="001C0C30" w:rsidRDefault="007361D6" w:rsidP="007361D6">
      <w:r>
        <w:t xml:space="preserve">This regulatory impact statement </w:t>
      </w:r>
      <w:r w:rsidR="003727F0">
        <w:t xml:space="preserve">(RIS) </w:t>
      </w:r>
      <w:r>
        <w:t xml:space="preserve">has been prepared by </w:t>
      </w:r>
      <w:r w:rsidR="00662410">
        <w:t xml:space="preserve">the Department of </w:t>
      </w:r>
      <w:r w:rsidR="0088686D">
        <w:t>Internal Affairs</w:t>
      </w:r>
      <w:r w:rsidR="00433E14">
        <w:t xml:space="preserve"> (the Department)</w:t>
      </w:r>
      <w:r>
        <w:t>.</w:t>
      </w:r>
    </w:p>
    <w:p w:rsidR="007361D6" w:rsidRDefault="0003609C" w:rsidP="007361D6">
      <w:pPr>
        <w:rPr>
          <w:rFonts w:eastAsia="Calibri"/>
          <w:lang w:val="en-AU"/>
        </w:rPr>
      </w:pPr>
      <w:r>
        <w:t xml:space="preserve">The </w:t>
      </w:r>
      <w:r w:rsidR="00E51575">
        <w:t xml:space="preserve">Gambling Act 2003 (the Act) </w:t>
      </w:r>
      <w:r w:rsidR="007E15DC">
        <w:t xml:space="preserve">enables the </w:t>
      </w:r>
      <w:r w:rsidR="00E51575">
        <w:t xml:space="preserve">costs of the Department and the Gambling Commission in relation to the regulation of gambling </w:t>
      </w:r>
      <w:r w:rsidR="007E15DC">
        <w:t xml:space="preserve">to </w:t>
      </w:r>
      <w:r w:rsidR="00E51575">
        <w:t xml:space="preserve">be met by charging fees to gambling operators. </w:t>
      </w:r>
      <w:r>
        <w:rPr>
          <w:rFonts w:eastAsia="Calibri"/>
          <w:lang w:val="en-AU"/>
        </w:rPr>
        <w:t xml:space="preserve">This RIS </w:t>
      </w:r>
      <w:r w:rsidR="00DE7930">
        <w:rPr>
          <w:rFonts w:eastAsia="Calibri"/>
          <w:lang w:val="en-AU"/>
        </w:rPr>
        <w:t xml:space="preserve">proposes increases to </w:t>
      </w:r>
      <w:r w:rsidR="00C01D5C">
        <w:rPr>
          <w:rFonts w:eastAsia="Calibri"/>
          <w:lang w:val="en-AU"/>
        </w:rPr>
        <w:t xml:space="preserve">the fees paid by </w:t>
      </w:r>
      <w:r w:rsidR="00DE7930">
        <w:rPr>
          <w:rFonts w:eastAsia="Calibri"/>
          <w:lang w:val="en-AU"/>
        </w:rPr>
        <w:t xml:space="preserve">class 4 gambling </w:t>
      </w:r>
      <w:r w:rsidR="00C01D5C">
        <w:rPr>
          <w:rFonts w:eastAsia="Calibri"/>
          <w:lang w:val="en-AU"/>
        </w:rPr>
        <w:t xml:space="preserve">operators </w:t>
      </w:r>
      <w:r w:rsidR="00C01D5C">
        <w:t xml:space="preserve">(those that operate electronic gaming machines in pubs and clubs) </w:t>
      </w:r>
      <w:r>
        <w:rPr>
          <w:rFonts w:eastAsia="Calibri"/>
          <w:lang w:val="en-AU"/>
        </w:rPr>
        <w:t xml:space="preserve">to address the </w:t>
      </w:r>
      <w:r w:rsidR="0054787D">
        <w:rPr>
          <w:rFonts w:eastAsia="Calibri"/>
          <w:lang w:val="en-AU"/>
        </w:rPr>
        <w:t xml:space="preserve">significant levels of </w:t>
      </w:r>
      <w:r w:rsidR="000A1BEE">
        <w:rPr>
          <w:rFonts w:eastAsia="Calibri"/>
          <w:lang w:val="en-AU"/>
        </w:rPr>
        <w:t>under-recovery currently occurring in the Department’s cost-recovery arrangements</w:t>
      </w:r>
      <w:r w:rsidR="00FF5B22">
        <w:rPr>
          <w:rFonts w:eastAsia="Calibri"/>
          <w:lang w:val="en-AU"/>
        </w:rPr>
        <w:t>.</w:t>
      </w:r>
    </w:p>
    <w:p w:rsidR="00DE7930" w:rsidRDefault="00E51575" w:rsidP="007361D6">
      <w:pPr>
        <w:rPr>
          <w:rFonts w:eastAsia="Calibri"/>
          <w:lang w:val="en-AU"/>
        </w:rPr>
      </w:pPr>
      <w:r>
        <w:t>While the Act anticipates the costs of gambling regulation being met by third-parties,</w:t>
      </w:r>
      <w:r w:rsidR="00934CA9">
        <w:rPr>
          <w:rFonts w:eastAsia="Calibri"/>
          <w:lang w:val="en-AU"/>
        </w:rPr>
        <w:t xml:space="preserve"> </w:t>
      </w:r>
      <w:r>
        <w:rPr>
          <w:rFonts w:eastAsia="Calibri"/>
          <w:lang w:val="en-AU"/>
        </w:rPr>
        <w:t>t</w:t>
      </w:r>
      <w:r w:rsidR="00F34F39">
        <w:rPr>
          <w:rFonts w:eastAsia="Calibri"/>
          <w:lang w:val="en-AU"/>
        </w:rPr>
        <w:t xml:space="preserve">he preferred option identified in this RIS </w:t>
      </w:r>
      <w:r w:rsidR="00703198">
        <w:rPr>
          <w:rFonts w:eastAsia="Calibri"/>
          <w:lang w:val="en-AU"/>
        </w:rPr>
        <w:t xml:space="preserve">reduces but </w:t>
      </w:r>
      <w:r w:rsidR="00F34F39">
        <w:rPr>
          <w:rFonts w:eastAsia="Calibri"/>
          <w:lang w:val="en-AU"/>
        </w:rPr>
        <w:t>does not completely remove government subsid</w:t>
      </w:r>
      <w:r w:rsidR="0054787D">
        <w:rPr>
          <w:rFonts w:eastAsia="Calibri"/>
          <w:lang w:val="en-AU"/>
        </w:rPr>
        <w:t xml:space="preserve">isation of gambling regulation. This is due to the constraints </w:t>
      </w:r>
      <w:r w:rsidR="00565902">
        <w:rPr>
          <w:rFonts w:eastAsia="Calibri"/>
          <w:lang w:val="en-AU"/>
        </w:rPr>
        <w:t xml:space="preserve">in the </w:t>
      </w:r>
      <w:r w:rsidR="0054787D">
        <w:rPr>
          <w:rFonts w:eastAsia="Calibri"/>
          <w:lang w:val="en-AU"/>
        </w:rPr>
        <w:t xml:space="preserve">current </w:t>
      </w:r>
      <w:r w:rsidR="00FF5B22">
        <w:rPr>
          <w:rFonts w:eastAsia="Calibri"/>
          <w:lang w:val="en-AU"/>
        </w:rPr>
        <w:t>cost-recovery model</w:t>
      </w:r>
      <w:r w:rsidR="0054787D">
        <w:rPr>
          <w:rFonts w:eastAsia="Calibri"/>
          <w:lang w:val="en-AU"/>
        </w:rPr>
        <w:t xml:space="preserve"> and the Department’s limited ability to reduce its costs as gambling regulator</w:t>
      </w:r>
      <w:r w:rsidR="00FF5B22">
        <w:rPr>
          <w:rFonts w:eastAsia="Calibri"/>
          <w:lang w:val="en-AU"/>
        </w:rPr>
        <w:t xml:space="preserve"> under the Act</w:t>
      </w:r>
      <w:r w:rsidR="0054787D">
        <w:rPr>
          <w:rFonts w:eastAsia="Calibri"/>
          <w:lang w:val="en-AU"/>
        </w:rPr>
        <w:t>.</w:t>
      </w:r>
    </w:p>
    <w:p w:rsidR="006D67F9" w:rsidRDefault="006D67F9" w:rsidP="006D67F9">
      <w:r>
        <w:t xml:space="preserve">The modelling that drove the </w:t>
      </w:r>
      <w:r w:rsidR="00854271">
        <w:t>preferred option</w:t>
      </w:r>
      <w:r>
        <w:t xml:space="preserve"> is </w:t>
      </w:r>
      <w:r w:rsidR="00F05BB2">
        <w:t>based on financial forecasting a</w:t>
      </w:r>
      <w:r w:rsidR="00FC12BA">
        <w:t xml:space="preserve">s well as </w:t>
      </w:r>
      <w:r w:rsidR="006670E8">
        <w:t xml:space="preserve">the </w:t>
      </w:r>
      <w:r w:rsidR="00054443">
        <w:t>assumption (based on data trends) that gaming machine numbers will continue to decline</w:t>
      </w:r>
      <w:r w:rsidR="00FC12BA">
        <w:t xml:space="preserve">. </w:t>
      </w:r>
      <w:r>
        <w:t>The Department considers these projections to be reasonable, but acknowledges that</w:t>
      </w:r>
      <w:r w:rsidR="00DA5172">
        <w:t>, as a result,</w:t>
      </w:r>
      <w:r>
        <w:t xml:space="preserve"> the extent to which the</w:t>
      </w:r>
      <w:r w:rsidR="00854271">
        <w:t xml:space="preserve"> preferred option </w:t>
      </w:r>
      <w:r>
        <w:t>will enable the Department to r</w:t>
      </w:r>
      <w:r w:rsidR="00DE2DB7">
        <w:t xml:space="preserve">ecover its </w:t>
      </w:r>
      <w:r>
        <w:t>costs</w:t>
      </w:r>
      <w:r w:rsidR="00C7129F">
        <w:t xml:space="preserve"> is uncertain</w:t>
      </w:r>
      <w:r>
        <w:t xml:space="preserve">. Risks associated with this uncertainty can be managed through regular three-yearly reviews of fees.  </w:t>
      </w:r>
    </w:p>
    <w:p w:rsidR="006D67F9" w:rsidRDefault="006D67F9" w:rsidP="006D67F9">
      <w:pPr>
        <w:ind w:right="170"/>
        <w:jc w:val="both"/>
      </w:pPr>
      <w:r>
        <w:t>The majority of the class 4 sector expressed concern that th</w:t>
      </w:r>
      <w:r w:rsidR="00934CA9">
        <w:t xml:space="preserve">e preferred option </w:t>
      </w:r>
      <w:r>
        <w:t>will make their businesses unviable, particularly in the context of regulated increases to the minim</w:t>
      </w:r>
      <w:r w:rsidR="00524679">
        <w:t xml:space="preserve">um rate of return to community </w:t>
      </w:r>
      <w:r>
        <w:t>purposes</w:t>
      </w:r>
      <w:r w:rsidR="00C7129F">
        <w:t xml:space="preserve"> (and other cost pressures)</w:t>
      </w:r>
      <w:r>
        <w:t xml:space="preserve">. </w:t>
      </w:r>
      <w:r w:rsidRPr="00D01B49">
        <w:rPr>
          <w:rFonts w:eastAsia="MS Mincho"/>
        </w:rPr>
        <w:t xml:space="preserve">While the Department has </w:t>
      </w:r>
      <w:r>
        <w:rPr>
          <w:rFonts w:eastAsia="MS Mincho"/>
        </w:rPr>
        <w:t>assessed</w:t>
      </w:r>
      <w:r w:rsidRPr="00D01B49">
        <w:rPr>
          <w:rFonts w:eastAsia="MS Mincho"/>
        </w:rPr>
        <w:t xml:space="preserve"> the </w:t>
      </w:r>
      <w:r>
        <w:rPr>
          <w:rFonts w:eastAsia="MS Mincho"/>
        </w:rPr>
        <w:t xml:space="preserve">impact of </w:t>
      </w:r>
      <w:r w:rsidR="00934CA9">
        <w:rPr>
          <w:rFonts w:eastAsia="MS Mincho"/>
        </w:rPr>
        <w:t>the preferred option</w:t>
      </w:r>
      <w:r>
        <w:rPr>
          <w:rFonts w:eastAsia="MS Mincho"/>
        </w:rPr>
        <w:t xml:space="preserve"> on the sector, t</w:t>
      </w:r>
      <w:r w:rsidRPr="001D063B">
        <w:rPr>
          <w:rFonts w:eastAsia="MS Mincho"/>
        </w:rPr>
        <w:t>he analysis in this RIS is constrained by</w:t>
      </w:r>
      <w:r>
        <w:rPr>
          <w:rFonts w:eastAsia="MS Mincho"/>
        </w:rPr>
        <w:t xml:space="preserve"> a lack of information on the </w:t>
      </w:r>
      <w:r w:rsidRPr="001D063B">
        <w:rPr>
          <w:rFonts w:eastAsia="MS Mincho"/>
        </w:rPr>
        <w:t xml:space="preserve">extent to which </w:t>
      </w:r>
      <w:r w:rsidR="00934CA9">
        <w:rPr>
          <w:rFonts w:eastAsia="MS Mincho"/>
        </w:rPr>
        <w:t xml:space="preserve">the preferred option </w:t>
      </w:r>
      <w:r>
        <w:rPr>
          <w:rFonts w:eastAsia="MS Mincho"/>
        </w:rPr>
        <w:t xml:space="preserve">will cause gambling operations to cease </w:t>
      </w:r>
      <w:r w:rsidR="00C40445">
        <w:rPr>
          <w:rFonts w:eastAsia="MS Mincho"/>
        </w:rPr>
        <w:t xml:space="preserve">at </w:t>
      </w:r>
      <w:r>
        <w:rPr>
          <w:rFonts w:eastAsia="MS Mincho"/>
        </w:rPr>
        <w:t>some</w:t>
      </w:r>
      <w:r w:rsidRPr="001D063B">
        <w:rPr>
          <w:rFonts w:eastAsia="MS Mincho"/>
        </w:rPr>
        <w:t xml:space="preserve"> venues</w:t>
      </w:r>
      <w:r w:rsidR="0033629D">
        <w:rPr>
          <w:rFonts w:eastAsia="MS Mincho"/>
        </w:rPr>
        <w:t xml:space="preserve">. </w:t>
      </w:r>
      <w:r>
        <w:t>This uncertainty makes it difficult to estimate the full regulatory impacts</w:t>
      </w:r>
      <w:r w:rsidR="00934CA9">
        <w:t xml:space="preserve">. </w:t>
      </w:r>
      <w:r w:rsidRPr="001D063B">
        <w:rPr>
          <w:rFonts w:eastAsia="MS Mincho"/>
        </w:rPr>
        <w:t xml:space="preserve">Risks associated with this uncertainty are mitigated to some extent by the proposal </w:t>
      </w:r>
      <w:r>
        <w:rPr>
          <w:rFonts w:eastAsia="MS Mincho"/>
        </w:rPr>
        <w:t xml:space="preserve">that further policy work be undertaken on the </w:t>
      </w:r>
      <w:r>
        <w:t xml:space="preserve">regulated minimum rate of return.  </w:t>
      </w:r>
    </w:p>
    <w:p w:rsidR="0033629D" w:rsidRPr="0047593A" w:rsidRDefault="0033629D" w:rsidP="006D67F9">
      <w:pPr>
        <w:ind w:right="170"/>
        <w:jc w:val="both"/>
      </w:pPr>
    </w:p>
    <w:tbl>
      <w:tblPr>
        <w:tblStyle w:val="Blanktable"/>
        <w:tblW w:w="0" w:type="auto"/>
        <w:tblLayout w:type="fixed"/>
        <w:tblLook w:val="04A0" w:firstRow="1" w:lastRow="0" w:firstColumn="1" w:lastColumn="0" w:noHBand="0" w:noVBand="1"/>
      </w:tblPr>
      <w:tblGrid>
        <w:gridCol w:w="454"/>
        <w:gridCol w:w="170"/>
        <w:gridCol w:w="454"/>
        <w:gridCol w:w="170"/>
        <w:gridCol w:w="680"/>
        <w:gridCol w:w="6430"/>
      </w:tblGrid>
      <w:tr w:rsidR="007361D6" w:rsidRPr="00934303" w:rsidTr="007361D6">
        <w:trPr>
          <w:cantSplit/>
          <w:trHeight w:val="1418"/>
        </w:trPr>
        <w:tc>
          <w:tcPr>
            <w:tcW w:w="8358" w:type="dxa"/>
            <w:gridSpan w:val="6"/>
          </w:tcPr>
          <w:p w:rsidR="007361D6" w:rsidRPr="00934303" w:rsidRDefault="007361D6" w:rsidP="00E52276">
            <w:pPr>
              <w:keepNext/>
            </w:pPr>
          </w:p>
        </w:tc>
      </w:tr>
      <w:tr w:rsidR="007361D6" w:rsidRPr="00934303" w:rsidTr="00FB0E14">
        <w:trPr>
          <w:cantSplit/>
        </w:trPr>
        <w:tc>
          <w:tcPr>
            <w:tcW w:w="8358" w:type="dxa"/>
            <w:gridSpan w:val="6"/>
            <w:tcMar>
              <w:left w:w="0" w:type="dxa"/>
            </w:tcMar>
          </w:tcPr>
          <w:p w:rsidR="007361D6" w:rsidRPr="00934303" w:rsidRDefault="00F05E2D" w:rsidP="00FB0E14">
            <w:pPr>
              <w:pStyle w:val="Spacer"/>
            </w:pPr>
            <w:r>
              <w:t>Steve Waldegrave</w:t>
            </w:r>
          </w:p>
        </w:tc>
      </w:tr>
      <w:tr w:rsidR="007361D6" w:rsidRPr="00934303" w:rsidTr="00FB0E14">
        <w:trPr>
          <w:cantSplit/>
        </w:trPr>
        <w:tc>
          <w:tcPr>
            <w:tcW w:w="8358" w:type="dxa"/>
            <w:gridSpan w:val="6"/>
            <w:tcMar>
              <w:left w:w="0" w:type="dxa"/>
            </w:tcMar>
          </w:tcPr>
          <w:p w:rsidR="007361D6" w:rsidRPr="00934303" w:rsidRDefault="00F05E2D" w:rsidP="00FB0E14">
            <w:pPr>
              <w:pStyle w:val="Spacer"/>
            </w:pPr>
            <w:r>
              <w:t>General Manager, Policy</w:t>
            </w:r>
          </w:p>
        </w:tc>
      </w:tr>
      <w:tr w:rsidR="007361D6" w:rsidRPr="00934303" w:rsidTr="00B84E9B">
        <w:trPr>
          <w:cantSplit/>
          <w:trHeight w:hRule="exact" w:val="567"/>
        </w:trPr>
        <w:tc>
          <w:tcPr>
            <w:tcW w:w="454" w:type="dxa"/>
            <w:tcBorders>
              <w:bottom w:val="single" w:sz="6" w:space="0" w:color="auto"/>
            </w:tcBorders>
            <w:tcMar>
              <w:left w:w="57" w:type="dxa"/>
              <w:right w:w="57" w:type="dxa"/>
            </w:tcMar>
            <w:vAlign w:val="bottom"/>
          </w:tcPr>
          <w:p w:rsidR="007361D6" w:rsidRPr="00934303" w:rsidRDefault="007361D6" w:rsidP="00B84E9B">
            <w:pPr>
              <w:pStyle w:val="Spacer"/>
            </w:pPr>
          </w:p>
        </w:tc>
        <w:tc>
          <w:tcPr>
            <w:tcW w:w="170" w:type="dxa"/>
            <w:tcBorders>
              <w:bottom w:val="single" w:sz="6" w:space="0" w:color="auto"/>
            </w:tcBorders>
            <w:tcMar>
              <w:left w:w="57" w:type="dxa"/>
              <w:right w:w="57" w:type="dxa"/>
            </w:tcMar>
            <w:vAlign w:val="bottom"/>
          </w:tcPr>
          <w:p w:rsidR="007361D6" w:rsidRPr="00934303" w:rsidRDefault="007361D6" w:rsidP="00B84E9B">
            <w:pPr>
              <w:pStyle w:val="Spacer"/>
            </w:pPr>
            <w:r>
              <w:t>/</w:t>
            </w:r>
          </w:p>
        </w:tc>
        <w:tc>
          <w:tcPr>
            <w:tcW w:w="454" w:type="dxa"/>
            <w:tcBorders>
              <w:bottom w:val="single" w:sz="6" w:space="0" w:color="auto"/>
            </w:tcBorders>
            <w:tcMar>
              <w:left w:w="57" w:type="dxa"/>
              <w:right w:w="57" w:type="dxa"/>
            </w:tcMar>
            <w:vAlign w:val="bottom"/>
          </w:tcPr>
          <w:p w:rsidR="007361D6" w:rsidRPr="00934303" w:rsidRDefault="007361D6" w:rsidP="00B84E9B">
            <w:pPr>
              <w:pStyle w:val="Spacer"/>
            </w:pPr>
          </w:p>
        </w:tc>
        <w:tc>
          <w:tcPr>
            <w:tcW w:w="170" w:type="dxa"/>
            <w:tcBorders>
              <w:bottom w:val="single" w:sz="6" w:space="0" w:color="auto"/>
            </w:tcBorders>
            <w:tcMar>
              <w:left w:w="57" w:type="dxa"/>
              <w:right w:w="57" w:type="dxa"/>
            </w:tcMar>
            <w:vAlign w:val="bottom"/>
          </w:tcPr>
          <w:p w:rsidR="007361D6" w:rsidRPr="00934303" w:rsidRDefault="007361D6" w:rsidP="00B84E9B">
            <w:pPr>
              <w:pStyle w:val="Spacer"/>
            </w:pPr>
            <w:r>
              <w:t>/</w:t>
            </w:r>
          </w:p>
        </w:tc>
        <w:tc>
          <w:tcPr>
            <w:tcW w:w="680" w:type="dxa"/>
            <w:tcBorders>
              <w:bottom w:val="single" w:sz="6" w:space="0" w:color="auto"/>
            </w:tcBorders>
            <w:tcMar>
              <w:left w:w="57" w:type="dxa"/>
              <w:right w:w="57" w:type="dxa"/>
            </w:tcMar>
            <w:vAlign w:val="bottom"/>
          </w:tcPr>
          <w:p w:rsidR="007361D6" w:rsidRPr="00934303" w:rsidRDefault="007361D6" w:rsidP="00B84E9B">
            <w:pPr>
              <w:pStyle w:val="Spacer"/>
            </w:pPr>
          </w:p>
        </w:tc>
        <w:tc>
          <w:tcPr>
            <w:tcW w:w="6430" w:type="dxa"/>
            <w:tcMar>
              <w:left w:w="57" w:type="dxa"/>
              <w:right w:w="57" w:type="dxa"/>
            </w:tcMar>
            <w:vAlign w:val="bottom"/>
          </w:tcPr>
          <w:p w:rsidR="007361D6" w:rsidRPr="00934303" w:rsidRDefault="007361D6" w:rsidP="00B84E9B">
            <w:pPr>
              <w:pStyle w:val="Spacer"/>
            </w:pPr>
          </w:p>
        </w:tc>
      </w:tr>
    </w:tbl>
    <w:p w:rsidR="0033629D" w:rsidRDefault="0033629D" w:rsidP="002961EF">
      <w:pPr>
        <w:pStyle w:val="NotforContentsheading2"/>
      </w:pPr>
    </w:p>
    <w:p w:rsidR="0037298A" w:rsidRPr="0037298A" w:rsidRDefault="0037298A" w:rsidP="002961EF">
      <w:pPr>
        <w:pStyle w:val="NotforContentsheading2"/>
      </w:pPr>
      <w:r>
        <w:t>Contents</w:t>
      </w:r>
    </w:p>
    <w:p w:rsidR="00142802" w:rsidRDefault="00473E2F">
      <w:pPr>
        <w:pStyle w:val="TOC1"/>
        <w:rPr>
          <w:rFonts w:asciiTheme="minorHAnsi" w:eastAsiaTheme="minorEastAsia" w:hAnsiTheme="minorHAnsi" w:cstheme="minorBidi"/>
          <w:noProof/>
          <w:color w:val="auto"/>
          <w:sz w:val="22"/>
          <w:szCs w:val="22"/>
          <w:lang w:eastAsia="en-NZ"/>
        </w:rPr>
      </w:pPr>
      <w:r>
        <w:rPr>
          <w:noProof/>
        </w:rPr>
        <w:fldChar w:fldCharType="begin"/>
      </w:r>
      <w:r>
        <w:rPr>
          <w:noProof/>
        </w:rPr>
        <w:instrText xml:space="preserve"> TOC \o "1-2" \h \z \u </w:instrText>
      </w:r>
      <w:r>
        <w:rPr>
          <w:noProof/>
        </w:rPr>
        <w:fldChar w:fldCharType="separate"/>
      </w:r>
      <w:hyperlink w:anchor="_Toc431562989" w:history="1">
        <w:r w:rsidR="00142802" w:rsidRPr="00B20A87">
          <w:rPr>
            <w:rStyle w:val="Hyperlink"/>
            <w:noProof/>
          </w:rPr>
          <w:t>Introduction</w:t>
        </w:r>
        <w:r w:rsidR="00142802">
          <w:rPr>
            <w:noProof/>
            <w:webHidden/>
          </w:rPr>
          <w:tab/>
        </w:r>
        <w:r w:rsidR="00142802">
          <w:rPr>
            <w:noProof/>
            <w:webHidden/>
          </w:rPr>
          <w:fldChar w:fldCharType="begin"/>
        </w:r>
        <w:r w:rsidR="00142802">
          <w:rPr>
            <w:noProof/>
            <w:webHidden/>
          </w:rPr>
          <w:instrText xml:space="preserve"> PAGEREF _Toc431562989 \h </w:instrText>
        </w:r>
        <w:r w:rsidR="00142802">
          <w:rPr>
            <w:noProof/>
            <w:webHidden/>
          </w:rPr>
        </w:r>
        <w:r w:rsidR="00142802">
          <w:rPr>
            <w:noProof/>
            <w:webHidden/>
          </w:rPr>
          <w:fldChar w:fldCharType="separate"/>
        </w:r>
        <w:r w:rsidR="00142802">
          <w:rPr>
            <w:noProof/>
            <w:webHidden/>
          </w:rPr>
          <w:t>3</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0" w:history="1">
        <w:r w:rsidR="00142802" w:rsidRPr="00B20A87">
          <w:rPr>
            <w:rStyle w:val="Hyperlink"/>
            <w:noProof/>
          </w:rPr>
          <w:t>Status quo and problem definition</w:t>
        </w:r>
        <w:r w:rsidR="00142802">
          <w:rPr>
            <w:noProof/>
            <w:webHidden/>
          </w:rPr>
          <w:tab/>
        </w:r>
        <w:r w:rsidR="00142802">
          <w:rPr>
            <w:noProof/>
            <w:webHidden/>
          </w:rPr>
          <w:fldChar w:fldCharType="begin"/>
        </w:r>
        <w:r w:rsidR="00142802">
          <w:rPr>
            <w:noProof/>
            <w:webHidden/>
          </w:rPr>
          <w:instrText xml:space="preserve"> PAGEREF _Toc431562990 \h </w:instrText>
        </w:r>
        <w:r w:rsidR="00142802">
          <w:rPr>
            <w:noProof/>
            <w:webHidden/>
          </w:rPr>
        </w:r>
        <w:r w:rsidR="00142802">
          <w:rPr>
            <w:noProof/>
            <w:webHidden/>
          </w:rPr>
          <w:fldChar w:fldCharType="separate"/>
        </w:r>
        <w:r w:rsidR="00142802">
          <w:rPr>
            <w:noProof/>
            <w:webHidden/>
          </w:rPr>
          <w:t>5</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1" w:history="1">
        <w:r w:rsidR="00142802" w:rsidRPr="00B20A87">
          <w:rPr>
            <w:rStyle w:val="Hyperlink"/>
            <w:noProof/>
          </w:rPr>
          <w:t>Objective</w:t>
        </w:r>
        <w:r w:rsidR="00142802">
          <w:rPr>
            <w:noProof/>
            <w:webHidden/>
          </w:rPr>
          <w:tab/>
        </w:r>
        <w:r w:rsidR="00142802">
          <w:rPr>
            <w:noProof/>
            <w:webHidden/>
          </w:rPr>
          <w:fldChar w:fldCharType="begin"/>
        </w:r>
        <w:r w:rsidR="00142802">
          <w:rPr>
            <w:noProof/>
            <w:webHidden/>
          </w:rPr>
          <w:instrText xml:space="preserve"> PAGEREF _Toc431562991 \h </w:instrText>
        </w:r>
        <w:r w:rsidR="00142802">
          <w:rPr>
            <w:noProof/>
            <w:webHidden/>
          </w:rPr>
        </w:r>
        <w:r w:rsidR="00142802">
          <w:rPr>
            <w:noProof/>
            <w:webHidden/>
          </w:rPr>
          <w:fldChar w:fldCharType="separate"/>
        </w:r>
        <w:r w:rsidR="00142802">
          <w:rPr>
            <w:noProof/>
            <w:webHidden/>
          </w:rPr>
          <w:t>7</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2" w:history="1">
        <w:r w:rsidR="00142802" w:rsidRPr="00B20A87">
          <w:rPr>
            <w:rStyle w:val="Hyperlink"/>
            <w:noProof/>
          </w:rPr>
          <w:t>Options</w:t>
        </w:r>
        <w:r w:rsidR="00142802">
          <w:rPr>
            <w:noProof/>
            <w:webHidden/>
          </w:rPr>
          <w:tab/>
        </w:r>
        <w:r w:rsidR="00142802">
          <w:rPr>
            <w:noProof/>
            <w:webHidden/>
          </w:rPr>
          <w:fldChar w:fldCharType="begin"/>
        </w:r>
        <w:r w:rsidR="00142802">
          <w:rPr>
            <w:noProof/>
            <w:webHidden/>
          </w:rPr>
          <w:instrText xml:space="preserve"> PAGEREF _Toc431562992 \h </w:instrText>
        </w:r>
        <w:r w:rsidR="00142802">
          <w:rPr>
            <w:noProof/>
            <w:webHidden/>
          </w:rPr>
        </w:r>
        <w:r w:rsidR="00142802">
          <w:rPr>
            <w:noProof/>
            <w:webHidden/>
          </w:rPr>
          <w:fldChar w:fldCharType="separate"/>
        </w:r>
        <w:r w:rsidR="00142802">
          <w:rPr>
            <w:noProof/>
            <w:webHidden/>
          </w:rPr>
          <w:t>7</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3" w:history="1">
        <w:r w:rsidR="00142802" w:rsidRPr="00B20A87">
          <w:rPr>
            <w:rStyle w:val="Hyperlink"/>
            <w:noProof/>
          </w:rPr>
          <w:t>Summary of options considered</w:t>
        </w:r>
        <w:r w:rsidR="00142802">
          <w:rPr>
            <w:noProof/>
            <w:webHidden/>
          </w:rPr>
          <w:tab/>
        </w:r>
        <w:r w:rsidR="00142802">
          <w:rPr>
            <w:noProof/>
            <w:webHidden/>
          </w:rPr>
          <w:fldChar w:fldCharType="begin"/>
        </w:r>
        <w:r w:rsidR="00142802">
          <w:rPr>
            <w:noProof/>
            <w:webHidden/>
          </w:rPr>
          <w:instrText xml:space="preserve"> PAGEREF _Toc431562993 \h </w:instrText>
        </w:r>
        <w:r w:rsidR="00142802">
          <w:rPr>
            <w:noProof/>
            <w:webHidden/>
          </w:rPr>
        </w:r>
        <w:r w:rsidR="00142802">
          <w:rPr>
            <w:noProof/>
            <w:webHidden/>
          </w:rPr>
          <w:fldChar w:fldCharType="separate"/>
        </w:r>
        <w:r w:rsidR="00142802">
          <w:rPr>
            <w:noProof/>
            <w:webHidden/>
          </w:rPr>
          <w:t>10</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4" w:history="1">
        <w:r w:rsidR="00142802" w:rsidRPr="00B20A87">
          <w:rPr>
            <w:rStyle w:val="Hyperlink"/>
            <w:noProof/>
          </w:rPr>
          <w:t>Consultation</w:t>
        </w:r>
        <w:r w:rsidR="00142802">
          <w:rPr>
            <w:noProof/>
            <w:webHidden/>
          </w:rPr>
          <w:tab/>
        </w:r>
        <w:r w:rsidR="00142802">
          <w:rPr>
            <w:noProof/>
            <w:webHidden/>
          </w:rPr>
          <w:fldChar w:fldCharType="begin"/>
        </w:r>
        <w:r w:rsidR="00142802">
          <w:rPr>
            <w:noProof/>
            <w:webHidden/>
          </w:rPr>
          <w:instrText xml:space="preserve"> PAGEREF _Toc431562994 \h </w:instrText>
        </w:r>
        <w:r w:rsidR="00142802">
          <w:rPr>
            <w:noProof/>
            <w:webHidden/>
          </w:rPr>
        </w:r>
        <w:r w:rsidR="00142802">
          <w:rPr>
            <w:noProof/>
            <w:webHidden/>
          </w:rPr>
          <w:fldChar w:fldCharType="separate"/>
        </w:r>
        <w:r w:rsidR="00142802">
          <w:rPr>
            <w:noProof/>
            <w:webHidden/>
          </w:rPr>
          <w:t>12</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5" w:history="1">
        <w:r w:rsidR="00142802" w:rsidRPr="00B20A87">
          <w:rPr>
            <w:rStyle w:val="Hyperlink"/>
            <w:noProof/>
          </w:rPr>
          <w:t>Recommendations</w:t>
        </w:r>
        <w:r w:rsidR="00142802">
          <w:rPr>
            <w:noProof/>
            <w:webHidden/>
          </w:rPr>
          <w:tab/>
        </w:r>
        <w:r w:rsidR="00142802">
          <w:rPr>
            <w:noProof/>
            <w:webHidden/>
          </w:rPr>
          <w:fldChar w:fldCharType="begin"/>
        </w:r>
        <w:r w:rsidR="00142802">
          <w:rPr>
            <w:noProof/>
            <w:webHidden/>
          </w:rPr>
          <w:instrText xml:space="preserve"> PAGEREF _Toc431562995 \h </w:instrText>
        </w:r>
        <w:r w:rsidR="00142802">
          <w:rPr>
            <w:noProof/>
            <w:webHidden/>
          </w:rPr>
        </w:r>
        <w:r w:rsidR="00142802">
          <w:rPr>
            <w:noProof/>
            <w:webHidden/>
          </w:rPr>
          <w:fldChar w:fldCharType="separate"/>
        </w:r>
        <w:r w:rsidR="00142802">
          <w:rPr>
            <w:noProof/>
            <w:webHidden/>
          </w:rPr>
          <w:t>12</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6" w:history="1">
        <w:r w:rsidR="00142802" w:rsidRPr="00B20A87">
          <w:rPr>
            <w:rStyle w:val="Hyperlink"/>
            <w:noProof/>
          </w:rPr>
          <w:t>Implementation plan</w:t>
        </w:r>
        <w:r w:rsidR="00142802">
          <w:rPr>
            <w:noProof/>
            <w:webHidden/>
          </w:rPr>
          <w:tab/>
        </w:r>
        <w:r w:rsidR="00142802">
          <w:rPr>
            <w:noProof/>
            <w:webHidden/>
          </w:rPr>
          <w:fldChar w:fldCharType="begin"/>
        </w:r>
        <w:r w:rsidR="00142802">
          <w:rPr>
            <w:noProof/>
            <w:webHidden/>
          </w:rPr>
          <w:instrText xml:space="preserve"> PAGEREF _Toc431562996 \h </w:instrText>
        </w:r>
        <w:r w:rsidR="00142802">
          <w:rPr>
            <w:noProof/>
            <w:webHidden/>
          </w:rPr>
        </w:r>
        <w:r w:rsidR="00142802">
          <w:rPr>
            <w:noProof/>
            <w:webHidden/>
          </w:rPr>
          <w:fldChar w:fldCharType="separate"/>
        </w:r>
        <w:r w:rsidR="00142802">
          <w:rPr>
            <w:noProof/>
            <w:webHidden/>
          </w:rPr>
          <w:t>12</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7" w:history="1">
        <w:r w:rsidR="00142802" w:rsidRPr="00B20A87">
          <w:rPr>
            <w:rStyle w:val="Hyperlink"/>
            <w:noProof/>
          </w:rPr>
          <w:t>Monitoring, evaluation, and review</w:t>
        </w:r>
        <w:r w:rsidR="00142802">
          <w:rPr>
            <w:noProof/>
            <w:webHidden/>
          </w:rPr>
          <w:tab/>
        </w:r>
        <w:r w:rsidR="00142802">
          <w:rPr>
            <w:noProof/>
            <w:webHidden/>
          </w:rPr>
          <w:fldChar w:fldCharType="begin"/>
        </w:r>
        <w:r w:rsidR="00142802">
          <w:rPr>
            <w:noProof/>
            <w:webHidden/>
          </w:rPr>
          <w:instrText xml:space="preserve"> PAGEREF _Toc431562997 \h </w:instrText>
        </w:r>
        <w:r w:rsidR="00142802">
          <w:rPr>
            <w:noProof/>
            <w:webHidden/>
          </w:rPr>
        </w:r>
        <w:r w:rsidR="00142802">
          <w:rPr>
            <w:noProof/>
            <w:webHidden/>
          </w:rPr>
          <w:fldChar w:fldCharType="separate"/>
        </w:r>
        <w:r w:rsidR="00142802">
          <w:rPr>
            <w:noProof/>
            <w:webHidden/>
          </w:rPr>
          <w:t>13</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8" w:history="1">
        <w:r w:rsidR="00142802" w:rsidRPr="00B20A87">
          <w:rPr>
            <w:rStyle w:val="Hyperlink"/>
            <w:noProof/>
          </w:rPr>
          <w:t>Appendix one: modelling of fees under option two (the preferred option)</w:t>
        </w:r>
        <w:r w:rsidR="00142802">
          <w:rPr>
            <w:noProof/>
            <w:webHidden/>
          </w:rPr>
          <w:tab/>
        </w:r>
        <w:r w:rsidR="00142802">
          <w:rPr>
            <w:noProof/>
            <w:webHidden/>
          </w:rPr>
          <w:fldChar w:fldCharType="begin"/>
        </w:r>
        <w:r w:rsidR="00142802">
          <w:rPr>
            <w:noProof/>
            <w:webHidden/>
          </w:rPr>
          <w:instrText xml:space="preserve"> PAGEREF _Toc431562998 \h </w:instrText>
        </w:r>
        <w:r w:rsidR="00142802">
          <w:rPr>
            <w:noProof/>
            <w:webHidden/>
          </w:rPr>
        </w:r>
        <w:r w:rsidR="00142802">
          <w:rPr>
            <w:noProof/>
            <w:webHidden/>
          </w:rPr>
          <w:fldChar w:fldCharType="separate"/>
        </w:r>
        <w:r w:rsidR="00142802">
          <w:rPr>
            <w:noProof/>
            <w:webHidden/>
          </w:rPr>
          <w:t>14</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2999" w:history="1">
        <w:r w:rsidR="00142802" w:rsidRPr="00B20A87">
          <w:rPr>
            <w:rStyle w:val="Hyperlink"/>
            <w:noProof/>
          </w:rPr>
          <w:t>Appendix two: schedule of proposed gambling fees</w:t>
        </w:r>
        <w:r w:rsidR="00142802">
          <w:rPr>
            <w:noProof/>
            <w:webHidden/>
          </w:rPr>
          <w:tab/>
        </w:r>
        <w:r w:rsidR="00142802">
          <w:rPr>
            <w:noProof/>
            <w:webHidden/>
          </w:rPr>
          <w:fldChar w:fldCharType="begin"/>
        </w:r>
        <w:r w:rsidR="00142802">
          <w:rPr>
            <w:noProof/>
            <w:webHidden/>
          </w:rPr>
          <w:instrText xml:space="preserve"> PAGEREF _Toc431562999 \h </w:instrText>
        </w:r>
        <w:r w:rsidR="00142802">
          <w:rPr>
            <w:noProof/>
            <w:webHidden/>
          </w:rPr>
        </w:r>
        <w:r w:rsidR="00142802">
          <w:rPr>
            <w:noProof/>
            <w:webHidden/>
          </w:rPr>
          <w:fldChar w:fldCharType="separate"/>
        </w:r>
        <w:r w:rsidR="00142802">
          <w:rPr>
            <w:noProof/>
            <w:webHidden/>
          </w:rPr>
          <w:t>15</w:t>
        </w:r>
        <w:r w:rsidR="00142802">
          <w:rPr>
            <w:noProof/>
            <w:webHidden/>
          </w:rPr>
          <w:fldChar w:fldCharType="end"/>
        </w:r>
      </w:hyperlink>
    </w:p>
    <w:p w:rsidR="00142802" w:rsidRDefault="009850DE">
      <w:pPr>
        <w:pStyle w:val="TOC1"/>
        <w:rPr>
          <w:rFonts w:asciiTheme="minorHAnsi" w:eastAsiaTheme="minorEastAsia" w:hAnsiTheme="minorHAnsi" w:cstheme="minorBidi"/>
          <w:noProof/>
          <w:color w:val="auto"/>
          <w:sz w:val="22"/>
          <w:szCs w:val="22"/>
          <w:lang w:eastAsia="en-NZ"/>
        </w:rPr>
      </w:pPr>
      <w:hyperlink w:anchor="_Toc431563000" w:history="1">
        <w:r w:rsidR="00142802" w:rsidRPr="00B20A87">
          <w:rPr>
            <w:rStyle w:val="Hyperlink"/>
            <w:noProof/>
          </w:rPr>
          <w:t>Appendix three: results of consultation on increases to class 4 gambling fees</w:t>
        </w:r>
        <w:r w:rsidR="00142802">
          <w:rPr>
            <w:noProof/>
            <w:webHidden/>
          </w:rPr>
          <w:tab/>
        </w:r>
        <w:r w:rsidR="00142802">
          <w:rPr>
            <w:noProof/>
            <w:webHidden/>
          </w:rPr>
          <w:fldChar w:fldCharType="begin"/>
        </w:r>
        <w:r w:rsidR="00142802">
          <w:rPr>
            <w:noProof/>
            <w:webHidden/>
          </w:rPr>
          <w:instrText xml:space="preserve"> PAGEREF _Toc431563000 \h </w:instrText>
        </w:r>
        <w:r w:rsidR="00142802">
          <w:rPr>
            <w:noProof/>
            <w:webHidden/>
          </w:rPr>
        </w:r>
        <w:r w:rsidR="00142802">
          <w:rPr>
            <w:noProof/>
            <w:webHidden/>
          </w:rPr>
          <w:fldChar w:fldCharType="separate"/>
        </w:r>
        <w:r w:rsidR="00142802">
          <w:rPr>
            <w:noProof/>
            <w:webHidden/>
          </w:rPr>
          <w:t>17</w:t>
        </w:r>
        <w:r w:rsidR="00142802">
          <w:rPr>
            <w:noProof/>
            <w:webHidden/>
          </w:rPr>
          <w:fldChar w:fldCharType="end"/>
        </w:r>
      </w:hyperlink>
    </w:p>
    <w:p w:rsidR="00264E9B" w:rsidRDefault="00473E2F" w:rsidP="00BE0F28">
      <w:r>
        <w:rPr>
          <w:noProof/>
          <w:color w:val="000000" w:themeColor="text1"/>
        </w:rPr>
        <w:fldChar w:fldCharType="end"/>
      </w:r>
      <w:r w:rsidR="00264E9B">
        <w:br w:type="page"/>
      </w:r>
    </w:p>
    <w:p w:rsidR="00264E9B" w:rsidRPr="00475CE8" w:rsidRDefault="00AA5754" w:rsidP="00475CE8">
      <w:pPr>
        <w:pStyle w:val="Heading1"/>
      </w:pPr>
      <w:bookmarkStart w:id="1" w:name="_Toc431562989"/>
      <w:r w:rsidRPr="00475CE8">
        <w:lastRenderedPageBreak/>
        <w:t>Introduction</w:t>
      </w:r>
      <w:bookmarkEnd w:id="1"/>
    </w:p>
    <w:p w:rsidR="00794501" w:rsidRDefault="00C53C23" w:rsidP="002E516B">
      <w:pPr>
        <w:pStyle w:val="Numberedpara3level1"/>
      </w:pPr>
      <w:r>
        <w:t xml:space="preserve">The </w:t>
      </w:r>
      <w:r w:rsidR="00433E14">
        <w:t xml:space="preserve">Department </w:t>
      </w:r>
      <w:r>
        <w:t xml:space="preserve">undertakes </w:t>
      </w:r>
      <w:r w:rsidR="00EB6BFC">
        <w:t xml:space="preserve">gambling licensing, compliance and enforcement functions under the </w:t>
      </w:r>
      <w:r w:rsidR="00433E14">
        <w:t xml:space="preserve">Act. </w:t>
      </w:r>
      <w:r w:rsidR="003B3519">
        <w:t>The Act intends that t</w:t>
      </w:r>
      <w:r w:rsidR="00EB6BFC">
        <w:t xml:space="preserve">hese functions </w:t>
      </w:r>
      <w:r w:rsidR="00607B29">
        <w:t xml:space="preserve">(and those of the Gambling Commission) </w:t>
      </w:r>
      <w:r w:rsidR="00EB6BFC">
        <w:t xml:space="preserve">are </w:t>
      </w:r>
      <w:r w:rsidR="003B3519">
        <w:t xml:space="preserve">fully </w:t>
      </w:r>
      <w:r w:rsidR="00EB6BFC">
        <w:t>funded through fees</w:t>
      </w:r>
      <w:r w:rsidR="00A167B5">
        <w:t xml:space="preserve"> paid by gambling operators regulated by the Department. </w:t>
      </w:r>
      <w:r w:rsidR="00794501">
        <w:t>The fees are set in the Gambling (Fees) Regulations 2007 (the Regula</w:t>
      </w:r>
      <w:r w:rsidR="00B24887">
        <w:t xml:space="preserve">tions) </w:t>
      </w:r>
      <w:r w:rsidR="00794501">
        <w:t>under section 370 of the Act.</w:t>
      </w:r>
      <w:r w:rsidR="00794501" w:rsidRPr="007F11E6">
        <w:t xml:space="preserve"> </w:t>
      </w:r>
    </w:p>
    <w:p w:rsidR="00844686" w:rsidRDefault="00A167B5" w:rsidP="00943263">
      <w:pPr>
        <w:pStyle w:val="Numberedpara3level1"/>
      </w:pPr>
      <w:r>
        <w:t>The operators</w:t>
      </w:r>
      <w:r w:rsidR="00C01D5C">
        <w:t xml:space="preserve"> are class 4 gambling societies</w:t>
      </w:r>
      <w:r w:rsidR="00031548">
        <w:t>,</w:t>
      </w:r>
      <w:r>
        <w:t xml:space="preserve"> casinos</w:t>
      </w:r>
      <w:r w:rsidR="00031548">
        <w:t>,</w:t>
      </w:r>
      <w:r w:rsidR="0070252F">
        <w:t xml:space="preserve"> and </w:t>
      </w:r>
      <w:r>
        <w:t>class 3 gambling</w:t>
      </w:r>
      <w:r w:rsidR="0070252F">
        <w:t xml:space="preserve"> organisations.</w:t>
      </w:r>
      <w:r w:rsidR="0070252F">
        <w:rPr>
          <w:rStyle w:val="FootnoteReference"/>
        </w:rPr>
        <w:footnoteReference w:id="1"/>
      </w:r>
      <w:r w:rsidR="002E516B" w:rsidRPr="002E516B">
        <w:t xml:space="preserve"> </w:t>
      </w:r>
      <w:r w:rsidR="00943263">
        <w:t xml:space="preserve"> </w:t>
      </w:r>
      <w:r w:rsidR="008440E7">
        <w:t xml:space="preserve">Approximately 80 per cent of the Department’s regulatory activity </w:t>
      </w:r>
      <w:r w:rsidR="00607B29">
        <w:t>relates to t</w:t>
      </w:r>
      <w:r w:rsidR="008440E7">
        <w:t xml:space="preserve">he class 4 sector. </w:t>
      </w:r>
      <w:r w:rsidR="00844686">
        <w:t>The Department’s regu</w:t>
      </w:r>
      <w:r w:rsidR="00DE545D">
        <w:t xml:space="preserve">latory activities in the sector </w:t>
      </w:r>
      <w:r w:rsidR="00844686">
        <w:t>include efforts to reduce theft and fraud, as well as activities to minimise gambling harm and maximise community returns.</w:t>
      </w:r>
    </w:p>
    <w:p w:rsidR="00DA7A88" w:rsidRDefault="00C67F27" w:rsidP="00DA7A88">
      <w:pPr>
        <w:pStyle w:val="Numberedpara3level1"/>
      </w:pPr>
      <w:r>
        <w:t xml:space="preserve">Two-thirds of </w:t>
      </w:r>
      <w:r w:rsidR="00404D9A">
        <w:t xml:space="preserve">gambling </w:t>
      </w:r>
      <w:r>
        <w:t xml:space="preserve">fees revenue comes from </w:t>
      </w:r>
      <w:r w:rsidR="0019539D">
        <w:t xml:space="preserve">the </w:t>
      </w:r>
      <w:r w:rsidR="00534B74">
        <w:t xml:space="preserve">daily monitoring fee and the annual compliance </w:t>
      </w:r>
      <w:r w:rsidR="0019539D">
        <w:t>fee</w:t>
      </w:r>
      <w:r w:rsidR="00F97511">
        <w:t xml:space="preserve"> paid by class 4 operators</w:t>
      </w:r>
      <w:r w:rsidR="0019539D">
        <w:t xml:space="preserve">. Both </w:t>
      </w:r>
      <w:r>
        <w:t>fees</w:t>
      </w:r>
      <w:r w:rsidR="0019539D">
        <w:t xml:space="preserve"> are</w:t>
      </w:r>
      <w:r>
        <w:t xml:space="preserve"> tied to the number of gaming machines in the class 4 sector (refer table 1</w:t>
      </w:r>
      <w:r w:rsidR="000F77D4">
        <w:t>)</w:t>
      </w:r>
      <w:r>
        <w:t xml:space="preserve">. </w:t>
      </w:r>
      <w:r w:rsidR="008440E7">
        <w:t>T</w:t>
      </w:r>
      <w:r w:rsidR="00CB4CFF">
        <w:t xml:space="preserve">he number of </w:t>
      </w:r>
      <w:r w:rsidR="00D313B4">
        <w:t xml:space="preserve">class 4 </w:t>
      </w:r>
      <w:r w:rsidR="0015799E">
        <w:t xml:space="preserve">gaming machines, </w:t>
      </w:r>
      <w:r w:rsidR="008440E7">
        <w:t xml:space="preserve">societies, </w:t>
      </w:r>
      <w:r w:rsidR="0015799E">
        <w:t xml:space="preserve">and venues </w:t>
      </w:r>
      <w:r w:rsidR="008440E7">
        <w:t>has steadily declined since the Act was passed. Since 2012 gaming machine proceeds have also experienced a decline, although not as marked.</w:t>
      </w:r>
    </w:p>
    <w:p w:rsidR="00D05E15" w:rsidRDefault="00D05E15" w:rsidP="00D05E15">
      <w:pPr>
        <w:pStyle w:val="Caption"/>
        <w:keepNext/>
      </w:pPr>
      <w:r>
        <w:t xml:space="preserve">Table </w:t>
      </w:r>
      <w:r w:rsidR="009850DE">
        <w:fldChar w:fldCharType="begin"/>
      </w:r>
      <w:r w:rsidR="009850DE">
        <w:instrText xml:space="preserve"> SEQ Table \* ARABIC </w:instrText>
      </w:r>
      <w:r w:rsidR="009850DE">
        <w:fldChar w:fldCharType="separate"/>
      </w:r>
      <w:r w:rsidR="006D38A9">
        <w:rPr>
          <w:noProof/>
        </w:rPr>
        <w:t>1</w:t>
      </w:r>
      <w:r w:rsidR="009850DE">
        <w:rPr>
          <w:noProof/>
        </w:rPr>
        <w:fldChar w:fldCharType="end"/>
      </w:r>
      <w:r>
        <w:t xml:space="preserve">: Fee types and associated proportion of </w:t>
      </w:r>
      <w:r w:rsidR="00951001">
        <w:t>fee</w:t>
      </w:r>
      <w:r>
        <w:t xml:space="preserve"> revenue in 2013/14</w:t>
      </w:r>
    </w:p>
    <w:tbl>
      <w:tblPr>
        <w:tblStyle w:val="DIATable"/>
        <w:tblW w:w="0" w:type="auto"/>
        <w:jc w:val="center"/>
        <w:tblInd w:w="0" w:type="dxa"/>
        <w:tblLook w:val="04A0" w:firstRow="1" w:lastRow="0" w:firstColumn="1" w:lastColumn="0" w:noHBand="0" w:noVBand="1"/>
      </w:tblPr>
      <w:tblGrid>
        <w:gridCol w:w="2186"/>
        <w:gridCol w:w="1607"/>
        <w:gridCol w:w="1682"/>
        <w:gridCol w:w="3812"/>
      </w:tblGrid>
      <w:tr w:rsidR="00B23627" w:rsidRPr="00BA50B0" w:rsidTr="00E00B2A">
        <w:trPr>
          <w:cnfStyle w:val="100000000000" w:firstRow="1" w:lastRow="0" w:firstColumn="0" w:lastColumn="0" w:oddVBand="0" w:evenVBand="0" w:oddHBand="0" w:evenHBand="0" w:firstRowFirstColumn="0" w:firstRowLastColumn="0" w:lastRowFirstColumn="0" w:lastRowLastColumn="0"/>
          <w:jc w:val="center"/>
        </w:trPr>
        <w:tc>
          <w:tcPr>
            <w:tcW w:w="0" w:type="auto"/>
          </w:tcPr>
          <w:p w:rsidR="00B23627" w:rsidRPr="00B23998" w:rsidRDefault="00B23627" w:rsidP="001B5645">
            <w:pPr>
              <w:pStyle w:val="HeadingTable"/>
              <w:rPr>
                <w:rFonts w:ascii="Calibri" w:hAnsi="Calibri"/>
                <w:sz w:val="24"/>
              </w:rPr>
            </w:pPr>
            <w:r w:rsidRPr="00B23998">
              <w:rPr>
                <w:rFonts w:ascii="Calibri" w:hAnsi="Calibri"/>
                <w:sz w:val="24"/>
              </w:rPr>
              <w:t>Type of fee</w:t>
            </w:r>
          </w:p>
        </w:tc>
        <w:tc>
          <w:tcPr>
            <w:tcW w:w="0" w:type="auto"/>
          </w:tcPr>
          <w:p w:rsidR="00B23627" w:rsidRPr="00B23998" w:rsidRDefault="00B23627" w:rsidP="001F238D">
            <w:pPr>
              <w:pStyle w:val="HeadingTable"/>
              <w:rPr>
                <w:rFonts w:ascii="Calibri" w:hAnsi="Calibri"/>
                <w:sz w:val="24"/>
              </w:rPr>
            </w:pPr>
            <w:r w:rsidRPr="00B23998">
              <w:rPr>
                <w:rFonts w:ascii="Calibri" w:hAnsi="Calibri"/>
                <w:sz w:val="24"/>
              </w:rPr>
              <w:t>Fees recovered (20</w:t>
            </w:r>
            <w:r>
              <w:rPr>
                <w:rFonts w:ascii="Calibri" w:hAnsi="Calibri"/>
                <w:sz w:val="24"/>
              </w:rPr>
              <w:t>1</w:t>
            </w:r>
            <w:r w:rsidR="001F238D">
              <w:rPr>
                <w:rFonts w:ascii="Calibri" w:hAnsi="Calibri"/>
                <w:sz w:val="24"/>
              </w:rPr>
              <w:t>3</w:t>
            </w:r>
            <w:r w:rsidRPr="00B23998">
              <w:rPr>
                <w:rFonts w:ascii="Calibri" w:hAnsi="Calibri"/>
                <w:sz w:val="24"/>
              </w:rPr>
              <w:t>/1</w:t>
            </w:r>
            <w:r w:rsidR="001F238D">
              <w:rPr>
                <w:rFonts w:ascii="Calibri" w:hAnsi="Calibri"/>
                <w:sz w:val="24"/>
              </w:rPr>
              <w:t>4</w:t>
            </w:r>
            <w:r w:rsidRPr="00B23998">
              <w:rPr>
                <w:rFonts w:ascii="Calibri" w:hAnsi="Calibri"/>
                <w:sz w:val="24"/>
              </w:rPr>
              <w:t>) $million</w:t>
            </w:r>
          </w:p>
        </w:tc>
        <w:tc>
          <w:tcPr>
            <w:tcW w:w="0" w:type="auto"/>
          </w:tcPr>
          <w:p w:rsidR="00B23627" w:rsidRPr="00B23998" w:rsidRDefault="00B23627" w:rsidP="00951001">
            <w:pPr>
              <w:pStyle w:val="HeadingTable"/>
              <w:rPr>
                <w:rFonts w:ascii="Calibri" w:hAnsi="Calibri"/>
                <w:sz w:val="24"/>
              </w:rPr>
            </w:pPr>
            <w:r w:rsidRPr="00B23998">
              <w:rPr>
                <w:rFonts w:ascii="Calibri" w:hAnsi="Calibri"/>
                <w:sz w:val="24"/>
              </w:rPr>
              <w:t xml:space="preserve">Percentage of total  </w:t>
            </w:r>
            <w:r w:rsidR="00F4402E">
              <w:rPr>
                <w:rFonts w:ascii="Calibri" w:hAnsi="Calibri"/>
                <w:sz w:val="24"/>
              </w:rPr>
              <w:t xml:space="preserve">fees </w:t>
            </w:r>
            <w:r w:rsidRPr="00B23998">
              <w:rPr>
                <w:rFonts w:ascii="Calibri" w:hAnsi="Calibri"/>
                <w:sz w:val="24"/>
              </w:rPr>
              <w:t>revenue</w:t>
            </w:r>
          </w:p>
        </w:tc>
        <w:tc>
          <w:tcPr>
            <w:tcW w:w="0" w:type="auto"/>
          </w:tcPr>
          <w:p w:rsidR="00B23627" w:rsidRPr="00B23998" w:rsidRDefault="00B23627" w:rsidP="001B5645">
            <w:pPr>
              <w:pStyle w:val="HeadingTable"/>
              <w:rPr>
                <w:rFonts w:ascii="Calibri" w:hAnsi="Calibri"/>
                <w:sz w:val="24"/>
              </w:rPr>
            </w:pPr>
            <w:r w:rsidRPr="00B23998">
              <w:rPr>
                <w:rFonts w:ascii="Calibri" w:hAnsi="Calibri"/>
                <w:sz w:val="24"/>
              </w:rPr>
              <w:t>Comment</w:t>
            </w:r>
          </w:p>
        </w:tc>
      </w:tr>
      <w:tr w:rsidR="00B23627" w:rsidRPr="00BA50B0" w:rsidTr="00E00B2A">
        <w:trPr>
          <w:jc w:val="center"/>
        </w:trPr>
        <w:tc>
          <w:tcPr>
            <w:tcW w:w="0" w:type="auto"/>
          </w:tcPr>
          <w:p w:rsidR="00B23627" w:rsidRPr="00BA50B0" w:rsidRDefault="00B23627" w:rsidP="001B5645">
            <w:pPr>
              <w:pStyle w:val="HeadingTable"/>
              <w:rPr>
                <w:rFonts w:ascii="Calibri" w:hAnsi="Calibri"/>
                <w:b w:val="0"/>
                <w:sz w:val="24"/>
              </w:rPr>
            </w:pPr>
            <w:r w:rsidRPr="00BA50B0">
              <w:rPr>
                <w:rFonts w:ascii="Calibri" w:hAnsi="Calibri"/>
                <w:b w:val="0"/>
                <w:sz w:val="24"/>
              </w:rPr>
              <w:t>Class 4 machine monitoring fees</w:t>
            </w:r>
          </w:p>
        </w:tc>
        <w:tc>
          <w:tcPr>
            <w:tcW w:w="0" w:type="auto"/>
          </w:tcPr>
          <w:p w:rsidR="00B23627" w:rsidRPr="00BA50B0" w:rsidRDefault="00B23627" w:rsidP="001B5645">
            <w:pPr>
              <w:pStyle w:val="HeadingTable"/>
              <w:jc w:val="center"/>
              <w:rPr>
                <w:rFonts w:ascii="Calibri" w:hAnsi="Calibri"/>
                <w:b w:val="0"/>
                <w:sz w:val="24"/>
              </w:rPr>
            </w:pPr>
            <w:r w:rsidRPr="00BA50B0">
              <w:rPr>
                <w:rFonts w:ascii="Calibri" w:hAnsi="Calibri"/>
                <w:b w:val="0"/>
                <w:sz w:val="24"/>
              </w:rPr>
              <w:t>$7.04</w:t>
            </w:r>
          </w:p>
        </w:tc>
        <w:tc>
          <w:tcPr>
            <w:tcW w:w="0" w:type="auto"/>
          </w:tcPr>
          <w:p w:rsidR="00B23627" w:rsidRPr="00BA50B0" w:rsidRDefault="00B23627" w:rsidP="001B5645">
            <w:pPr>
              <w:pStyle w:val="HeadingTable"/>
              <w:jc w:val="center"/>
              <w:rPr>
                <w:rFonts w:ascii="Calibri" w:hAnsi="Calibri"/>
                <w:b w:val="0"/>
                <w:sz w:val="24"/>
              </w:rPr>
            </w:pPr>
            <w:r w:rsidRPr="00BA50B0">
              <w:rPr>
                <w:rFonts w:ascii="Calibri" w:hAnsi="Calibri"/>
                <w:b w:val="0"/>
                <w:sz w:val="24"/>
              </w:rPr>
              <w:t>35</w:t>
            </w:r>
            <w:r>
              <w:rPr>
                <w:rFonts w:ascii="Calibri" w:hAnsi="Calibri"/>
                <w:b w:val="0"/>
                <w:sz w:val="24"/>
              </w:rPr>
              <w:t>.18</w:t>
            </w:r>
            <w:r w:rsidRPr="00BA50B0">
              <w:rPr>
                <w:rFonts w:ascii="Calibri" w:hAnsi="Calibri"/>
                <w:b w:val="0"/>
                <w:sz w:val="24"/>
              </w:rPr>
              <w:t>%</w:t>
            </w:r>
          </w:p>
        </w:tc>
        <w:tc>
          <w:tcPr>
            <w:tcW w:w="0" w:type="auto"/>
          </w:tcPr>
          <w:p w:rsidR="00B23627" w:rsidRPr="00BA50B0" w:rsidRDefault="00B23627" w:rsidP="008F43C2">
            <w:pPr>
              <w:pStyle w:val="HeadingTable"/>
              <w:rPr>
                <w:rFonts w:ascii="Calibri" w:hAnsi="Calibri"/>
                <w:b w:val="0"/>
                <w:sz w:val="24"/>
              </w:rPr>
            </w:pPr>
            <w:r w:rsidRPr="00BA50B0">
              <w:rPr>
                <w:rFonts w:ascii="Calibri" w:hAnsi="Calibri"/>
                <w:b w:val="0"/>
                <w:sz w:val="24"/>
              </w:rPr>
              <w:t>Fees of $1.20/day charged for use of gaming machines t</w:t>
            </w:r>
            <w:r w:rsidR="008F43C2">
              <w:rPr>
                <w:rFonts w:ascii="Calibri" w:hAnsi="Calibri"/>
                <w:b w:val="0"/>
                <w:sz w:val="24"/>
              </w:rPr>
              <w:t>o</w:t>
            </w:r>
            <w:r w:rsidRPr="00BA50B0">
              <w:rPr>
                <w:rFonts w:ascii="Calibri" w:hAnsi="Calibri"/>
                <w:b w:val="0"/>
                <w:sz w:val="24"/>
              </w:rPr>
              <w:t xml:space="preserve"> fund the </w:t>
            </w:r>
            <w:r w:rsidR="001B5645">
              <w:rPr>
                <w:rFonts w:ascii="Calibri" w:hAnsi="Calibri"/>
                <w:b w:val="0"/>
                <w:sz w:val="24"/>
              </w:rPr>
              <w:t xml:space="preserve">Department’s </w:t>
            </w:r>
            <w:r w:rsidRPr="00BA50B0">
              <w:rPr>
                <w:rFonts w:ascii="Calibri" w:hAnsi="Calibri"/>
                <w:b w:val="0"/>
                <w:sz w:val="24"/>
              </w:rPr>
              <w:t xml:space="preserve">Electronic </w:t>
            </w:r>
            <w:r>
              <w:rPr>
                <w:rFonts w:ascii="Calibri" w:hAnsi="Calibri"/>
                <w:b w:val="0"/>
                <w:sz w:val="24"/>
              </w:rPr>
              <w:t>Monitoring System and the Integrated Gambling Platform</w:t>
            </w:r>
          </w:p>
        </w:tc>
      </w:tr>
      <w:tr w:rsidR="00B23627" w:rsidRPr="00BA50B0" w:rsidTr="00E00B2A">
        <w:trPr>
          <w:jc w:val="center"/>
        </w:trPr>
        <w:tc>
          <w:tcPr>
            <w:tcW w:w="0" w:type="auto"/>
          </w:tcPr>
          <w:p w:rsidR="00B23627" w:rsidRPr="00BA50B0" w:rsidRDefault="00B23627" w:rsidP="001B5645">
            <w:pPr>
              <w:pStyle w:val="HeadingTable"/>
              <w:rPr>
                <w:rFonts w:ascii="Calibri" w:hAnsi="Calibri"/>
                <w:b w:val="0"/>
                <w:sz w:val="24"/>
              </w:rPr>
            </w:pPr>
            <w:r w:rsidRPr="00BA50B0">
              <w:rPr>
                <w:rFonts w:ascii="Calibri" w:hAnsi="Calibri"/>
                <w:b w:val="0"/>
                <w:sz w:val="24"/>
              </w:rPr>
              <w:t>Class 4 compliance fees</w:t>
            </w:r>
          </w:p>
        </w:tc>
        <w:tc>
          <w:tcPr>
            <w:tcW w:w="0" w:type="auto"/>
          </w:tcPr>
          <w:p w:rsidR="00B23627" w:rsidRPr="00BA50B0" w:rsidRDefault="00B23627" w:rsidP="001B5645">
            <w:pPr>
              <w:pStyle w:val="HeadingTable"/>
              <w:jc w:val="center"/>
              <w:rPr>
                <w:rFonts w:ascii="Calibri" w:hAnsi="Calibri"/>
                <w:b w:val="0"/>
                <w:sz w:val="24"/>
              </w:rPr>
            </w:pPr>
            <w:r w:rsidRPr="00BA50B0">
              <w:rPr>
                <w:rFonts w:ascii="Calibri" w:hAnsi="Calibri"/>
                <w:b w:val="0"/>
                <w:sz w:val="24"/>
              </w:rPr>
              <w:t>$6.46</w:t>
            </w:r>
          </w:p>
        </w:tc>
        <w:tc>
          <w:tcPr>
            <w:tcW w:w="0" w:type="auto"/>
          </w:tcPr>
          <w:p w:rsidR="00B23627" w:rsidRPr="00BA50B0" w:rsidRDefault="00B23627" w:rsidP="001B5645">
            <w:pPr>
              <w:pStyle w:val="HeadingTable"/>
              <w:jc w:val="center"/>
              <w:rPr>
                <w:rFonts w:ascii="Calibri" w:hAnsi="Calibri"/>
                <w:b w:val="0"/>
                <w:sz w:val="24"/>
              </w:rPr>
            </w:pPr>
            <w:r>
              <w:rPr>
                <w:rFonts w:ascii="Calibri" w:hAnsi="Calibri"/>
                <w:b w:val="0"/>
                <w:sz w:val="24"/>
              </w:rPr>
              <w:t>32.28</w:t>
            </w:r>
            <w:r w:rsidRPr="00BA50B0">
              <w:rPr>
                <w:rFonts w:ascii="Calibri" w:hAnsi="Calibri"/>
                <w:b w:val="0"/>
                <w:sz w:val="24"/>
              </w:rPr>
              <w:t>%</w:t>
            </w:r>
          </w:p>
        </w:tc>
        <w:tc>
          <w:tcPr>
            <w:tcW w:w="0" w:type="auto"/>
          </w:tcPr>
          <w:p w:rsidR="00B23627" w:rsidRPr="00BA50B0" w:rsidRDefault="00B23627" w:rsidP="00201A99">
            <w:pPr>
              <w:pStyle w:val="HeadingTable"/>
              <w:rPr>
                <w:rFonts w:ascii="Calibri" w:hAnsi="Calibri"/>
                <w:b w:val="0"/>
                <w:sz w:val="24"/>
              </w:rPr>
            </w:pPr>
            <w:r w:rsidRPr="00BA50B0">
              <w:rPr>
                <w:rFonts w:ascii="Calibri" w:hAnsi="Calibri"/>
                <w:b w:val="0"/>
                <w:sz w:val="24"/>
              </w:rPr>
              <w:t xml:space="preserve">Annual fee of $378 per gaming machine charged to all </w:t>
            </w:r>
            <w:r>
              <w:rPr>
                <w:rFonts w:ascii="Calibri" w:hAnsi="Calibri"/>
                <w:b w:val="0"/>
                <w:sz w:val="24"/>
              </w:rPr>
              <w:t>c</w:t>
            </w:r>
            <w:r w:rsidRPr="00BA50B0">
              <w:rPr>
                <w:rFonts w:ascii="Calibri" w:hAnsi="Calibri"/>
                <w:b w:val="0"/>
                <w:sz w:val="24"/>
              </w:rPr>
              <w:t xml:space="preserve">lass 4 operators </w:t>
            </w:r>
            <w:r w:rsidR="00201A99">
              <w:rPr>
                <w:rFonts w:ascii="Calibri" w:hAnsi="Calibri"/>
                <w:b w:val="0"/>
                <w:sz w:val="24"/>
              </w:rPr>
              <w:t>to</w:t>
            </w:r>
            <w:r w:rsidRPr="00BA50B0">
              <w:rPr>
                <w:rFonts w:ascii="Calibri" w:hAnsi="Calibri"/>
                <w:b w:val="0"/>
                <w:sz w:val="24"/>
              </w:rPr>
              <w:t xml:space="preserve"> cover compliance activity</w:t>
            </w:r>
          </w:p>
        </w:tc>
      </w:tr>
      <w:tr w:rsidR="00B23627" w:rsidRPr="00BA50B0" w:rsidTr="00E00B2A">
        <w:trPr>
          <w:jc w:val="center"/>
        </w:trPr>
        <w:tc>
          <w:tcPr>
            <w:tcW w:w="0" w:type="auto"/>
          </w:tcPr>
          <w:p w:rsidR="00B23627" w:rsidRPr="00BA50B0" w:rsidRDefault="00B23627" w:rsidP="001B5645">
            <w:pPr>
              <w:pStyle w:val="HeadingTable"/>
              <w:rPr>
                <w:rFonts w:ascii="Calibri" w:hAnsi="Calibri"/>
                <w:b w:val="0"/>
                <w:sz w:val="24"/>
              </w:rPr>
            </w:pPr>
            <w:r w:rsidRPr="00BA50B0">
              <w:rPr>
                <w:rFonts w:ascii="Calibri" w:hAnsi="Calibri"/>
                <w:b w:val="0"/>
                <w:sz w:val="24"/>
              </w:rPr>
              <w:t>Casino fees</w:t>
            </w:r>
          </w:p>
        </w:tc>
        <w:tc>
          <w:tcPr>
            <w:tcW w:w="0" w:type="auto"/>
          </w:tcPr>
          <w:p w:rsidR="00B23627" w:rsidRPr="00BA50B0" w:rsidRDefault="00B23627" w:rsidP="001B5645">
            <w:pPr>
              <w:pStyle w:val="HeadingTable"/>
              <w:jc w:val="center"/>
              <w:rPr>
                <w:rFonts w:ascii="Calibri" w:hAnsi="Calibri"/>
                <w:b w:val="0"/>
                <w:sz w:val="24"/>
              </w:rPr>
            </w:pPr>
            <w:r>
              <w:rPr>
                <w:rFonts w:ascii="Calibri" w:hAnsi="Calibri"/>
                <w:b w:val="0"/>
                <w:sz w:val="24"/>
              </w:rPr>
              <w:t>$5.24</w:t>
            </w:r>
          </w:p>
        </w:tc>
        <w:tc>
          <w:tcPr>
            <w:tcW w:w="0" w:type="auto"/>
          </w:tcPr>
          <w:p w:rsidR="00B23627" w:rsidRPr="00BA50B0" w:rsidRDefault="00B23627" w:rsidP="001B5645">
            <w:pPr>
              <w:pStyle w:val="HeadingTable"/>
              <w:jc w:val="center"/>
              <w:rPr>
                <w:rFonts w:ascii="Calibri" w:hAnsi="Calibri"/>
                <w:b w:val="0"/>
                <w:sz w:val="24"/>
              </w:rPr>
            </w:pPr>
            <w:r w:rsidRPr="00BA50B0">
              <w:rPr>
                <w:rFonts w:ascii="Calibri" w:hAnsi="Calibri"/>
                <w:b w:val="0"/>
                <w:sz w:val="24"/>
              </w:rPr>
              <w:t>2</w:t>
            </w:r>
            <w:r>
              <w:rPr>
                <w:rFonts w:ascii="Calibri" w:hAnsi="Calibri"/>
                <w:b w:val="0"/>
                <w:sz w:val="24"/>
              </w:rPr>
              <w:t>6.89</w:t>
            </w:r>
            <w:r w:rsidRPr="00BA50B0">
              <w:rPr>
                <w:rFonts w:ascii="Calibri" w:hAnsi="Calibri"/>
                <w:b w:val="0"/>
                <w:sz w:val="24"/>
              </w:rPr>
              <w:t>%</w:t>
            </w:r>
          </w:p>
        </w:tc>
        <w:tc>
          <w:tcPr>
            <w:tcW w:w="0" w:type="auto"/>
          </w:tcPr>
          <w:p w:rsidR="00B23627" w:rsidRPr="00BA50B0" w:rsidRDefault="00B23627" w:rsidP="001B5645">
            <w:pPr>
              <w:pStyle w:val="HeadingTable"/>
              <w:rPr>
                <w:rFonts w:ascii="Calibri" w:hAnsi="Calibri"/>
                <w:b w:val="0"/>
                <w:sz w:val="24"/>
              </w:rPr>
            </w:pPr>
            <w:r w:rsidRPr="00BA50B0">
              <w:rPr>
                <w:rFonts w:ascii="Calibri" w:hAnsi="Calibri"/>
                <w:b w:val="0"/>
                <w:sz w:val="24"/>
              </w:rPr>
              <w:t>Fixed annual fees charged to each of the six casinos</w:t>
            </w:r>
          </w:p>
        </w:tc>
      </w:tr>
      <w:tr w:rsidR="00B23627" w:rsidRPr="00BA50B0" w:rsidTr="00E00B2A">
        <w:trPr>
          <w:jc w:val="center"/>
        </w:trPr>
        <w:tc>
          <w:tcPr>
            <w:tcW w:w="0" w:type="auto"/>
          </w:tcPr>
          <w:p w:rsidR="00B23627" w:rsidRPr="00BA50B0" w:rsidRDefault="00B23627" w:rsidP="001B5645">
            <w:pPr>
              <w:pStyle w:val="HeadingTable"/>
              <w:rPr>
                <w:rFonts w:ascii="Calibri" w:hAnsi="Calibri"/>
                <w:b w:val="0"/>
                <w:sz w:val="24"/>
              </w:rPr>
            </w:pPr>
            <w:r w:rsidRPr="00BA50B0">
              <w:rPr>
                <w:rFonts w:ascii="Calibri" w:hAnsi="Calibri"/>
                <w:b w:val="0"/>
                <w:sz w:val="24"/>
              </w:rPr>
              <w:t>Licensing and miscellaneous fees</w:t>
            </w:r>
            <w:r w:rsidR="001B5645">
              <w:rPr>
                <w:rFonts w:ascii="Calibri" w:hAnsi="Calibri"/>
                <w:b w:val="0"/>
                <w:sz w:val="24"/>
              </w:rPr>
              <w:t xml:space="preserve"> (classes 3 and 4)</w:t>
            </w:r>
          </w:p>
        </w:tc>
        <w:tc>
          <w:tcPr>
            <w:tcW w:w="0" w:type="auto"/>
          </w:tcPr>
          <w:p w:rsidR="00B23627" w:rsidRPr="00BA50B0" w:rsidRDefault="00B23627" w:rsidP="001B5645">
            <w:pPr>
              <w:pStyle w:val="HeadingTable"/>
              <w:jc w:val="center"/>
              <w:rPr>
                <w:rFonts w:ascii="Calibri" w:hAnsi="Calibri"/>
                <w:b w:val="0"/>
                <w:sz w:val="24"/>
              </w:rPr>
            </w:pPr>
            <w:r w:rsidRPr="00BA50B0">
              <w:rPr>
                <w:rFonts w:ascii="Calibri" w:hAnsi="Calibri"/>
                <w:b w:val="0"/>
                <w:sz w:val="24"/>
              </w:rPr>
              <w:t>$1.13</w:t>
            </w:r>
          </w:p>
        </w:tc>
        <w:tc>
          <w:tcPr>
            <w:tcW w:w="0" w:type="auto"/>
          </w:tcPr>
          <w:p w:rsidR="00B23627" w:rsidRDefault="00B23627" w:rsidP="001B5645">
            <w:pPr>
              <w:pStyle w:val="HeadingTable"/>
              <w:jc w:val="center"/>
              <w:rPr>
                <w:rFonts w:ascii="Calibri" w:hAnsi="Calibri"/>
                <w:b w:val="0"/>
                <w:sz w:val="24"/>
              </w:rPr>
            </w:pPr>
            <w:r>
              <w:rPr>
                <w:rFonts w:ascii="Calibri" w:hAnsi="Calibri"/>
                <w:b w:val="0"/>
                <w:sz w:val="24"/>
              </w:rPr>
              <w:t>5.65</w:t>
            </w:r>
            <w:r w:rsidRPr="00BA50B0">
              <w:rPr>
                <w:rFonts w:ascii="Calibri" w:hAnsi="Calibri"/>
                <w:b w:val="0"/>
                <w:sz w:val="24"/>
              </w:rPr>
              <w:t>%</w:t>
            </w:r>
          </w:p>
        </w:tc>
        <w:tc>
          <w:tcPr>
            <w:tcW w:w="0" w:type="auto"/>
          </w:tcPr>
          <w:p w:rsidR="00B23627" w:rsidRPr="00BA50B0" w:rsidRDefault="00B23627" w:rsidP="001B5645">
            <w:pPr>
              <w:pStyle w:val="HeadingTable"/>
              <w:rPr>
                <w:rFonts w:ascii="Calibri" w:hAnsi="Calibri"/>
                <w:b w:val="0"/>
                <w:sz w:val="24"/>
              </w:rPr>
            </w:pPr>
            <w:r w:rsidRPr="00BA50B0">
              <w:rPr>
                <w:rFonts w:ascii="Calibri" w:hAnsi="Calibri"/>
                <w:b w:val="0"/>
                <w:sz w:val="24"/>
              </w:rPr>
              <w:t xml:space="preserve">A range of fees primarily for issue of new or renewed licences for </w:t>
            </w:r>
            <w:r>
              <w:rPr>
                <w:rFonts w:ascii="Calibri" w:hAnsi="Calibri"/>
                <w:b w:val="0"/>
                <w:sz w:val="24"/>
              </w:rPr>
              <w:t>c</w:t>
            </w:r>
            <w:r w:rsidRPr="00BA50B0">
              <w:rPr>
                <w:rFonts w:ascii="Calibri" w:hAnsi="Calibri"/>
                <w:b w:val="0"/>
                <w:sz w:val="24"/>
              </w:rPr>
              <w:t>lasses 3 and 4 gambling</w:t>
            </w:r>
          </w:p>
        </w:tc>
      </w:tr>
      <w:tr w:rsidR="00B23627" w:rsidRPr="00BA50B0" w:rsidTr="00E00B2A">
        <w:trPr>
          <w:jc w:val="center"/>
        </w:trPr>
        <w:tc>
          <w:tcPr>
            <w:tcW w:w="0" w:type="auto"/>
          </w:tcPr>
          <w:p w:rsidR="00B23627" w:rsidRPr="00BA50B0" w:rsidRDefault="00B23627" w:rsidP="001B5645">
            <w:pPr>
              <w:pStyle w:val="HeadingTable"/>
              <w:rPr>
                <w:rFonts w:ascii="Calibri" w:hAnsi="Calibri"/>
                <w:sz w:val="24"/>
              </w:rPr>
            </w:pPr>
            <w:r w:rsidRPr="00BA50B0">
              <w:rPr>
                <w:rFonts w:ascii="Calibri" w:hAnsi="Calibri"/>
                <w:sz w:val="24"/>
              </w:rPr>
              <w:t>Total</w:t>
            </w:r>
          </w:p>
        </w:tc>
        <w:tc>
          <w:tcPr>
            <w:tcW w:w="0" w:type="auto"/>
          </w:tcPr>
          <w:p w:rsidR="00B23627" w:rsidRPr="00BA50B0" w:rsidRDefault="00B23627" w:rsidP="001B5645">
            <w:pPr>
              <w:pStyle w:val="HeadingTable"/>
              <w:jc w:val="center"/>
              <w:rPr>
                <w:rFonts w:ascii="Calibri" w:hAnsi="Calibri"/>
                <w:sz w:val="24"/>
              </w:rPr>
            </w:pPr>
            <w:r>
              <w:rPr>
                <w:rFonts w:ascii="Calibri" w:hAnsi="Calibri"/>
                <w:sz w:val="24"/>
              </w:rPr>
              <w:t>$19.87</w:t>
            </w:r>
          </w:p>
        </w:tc>
        <w:tc>
          <w:tcPr>
            <w:tcW w:w="0" w:type="auto"/>
          </w:tcPr>
          <w:p w:rsidR="00B23627" w:rsidRPr="00BA50B0" w:rsidRDefault="00B23627" w:rsidP="001B5645">
            <w:pPr>
              <w:pStyle w:val="HeadingTable"/>
              <w:jc w:val="center"/>
              <w:rPr>
                <w:rFonts w:ascii="Calibri" w:hAnsi="Calibri"/>
                <w:sz w:val="24"/>
              </w:rPr>
            </w:pPr>
            <w:r w:rsidRPr="00BA50B0">
              <w:rPr>
                <w:rFonts w:ascii="Calibri" w:hAnsi="Calibri"/>
                <w:sz w:val="24"/>
              </w:rPr>
              <w:t>100%</w:t>
            </w:r>
          </w:p>
        </w:tc>
        <w:tc>
          <w:tcPr>
            <w:tcW w:w="0" w:type="auto"/>
          </w:tcPr>
          <w:p w:rsidR="00B23627" w:rsidRPr="00BA50B0" w:rsidRDefault="00B23627" w:rsidP="001B5645">
            <w:pPr>
              <w:pStyle w:val="HeadingTable"/>
              <w:rPr>
                <w:rFonts w:ascii="Calibri" w:hAnsi="Calibri"/>
                <w:sz w:val="24"/>
              </w:rPr>
            </w:pPr>
          </w:p>
        </w:tc>
      </w:tr>
    </w:tbl>
    <w:p w:rsidR="006B6D68" w:rsidRDefault="006B6D68" w:rsidP="00367E15">
      <w:pPr>
        <w:pStyle w:val="NotforContentsheading2"/>
      </w:pPr>
      <w:r>
        <w:t xml:space="preserve">The relationship between </w:t>
      </w:r>
      <w:r w:rsidR="002B39F7">
        <w:t xml:space="preserve">class 4 </w:t>
      </w:r>
      <w:r w:rsidR="00124FC4">
        <w:t xml:space="preserve">society costs and </w:t>
      </w:r>
      <w:r>
        <w:t>return to communities</w:t>
      </w:r>
    </w:p>
    <w:p w:rsidR="00D16E8C" w:rsidRDefault="00EC6FD7" w:rsidP="00EC6FD7">
      <w:pPr>
        <w:pStyle w:val="Numberedpara3level1"/>
      </w:pPr>
      <w:r>
        <w:t xml:space="preserve">The costs incurred by societies in operating gaming machines and distributing proceeds have a direct relationship with the level of community returns. </w:t>
      </w:r>
      <w:r w:rsidR="00002CD6">
        <w:t>Societ</w:t>
      </w:r>
      <w:r w:rsidR="00E175A6">
        <w:t>y</w:t>
      </w:r>
      <w:r w:rsidR="00002CD6">
        <w:t xml:space="preserve"> costs are paid from the gross proceeds from gambling leaving an amount </w:t>
      </w:r>
      <w:r w:rsidR="00884E15">
        <w:t xml:space="preserve">of net proceeds </w:t>
      </w:r>
      <w:r w:rsidR="00002CD6">
        <w:t>to be distributed to commu</w:t>
      </w:r>
      <w:r w:rsidR="00D16E8C">
        <w:t xml:space="preserve">nities by way of grants. </w:t>
      </w:r>
      <w:r w:rsidR="00D16E8C" w:rsidRPr="00D54B17">
        <w:rPr>
          <w:rFonts w:eastAsia="Calibri" w:cs="Arial"/>
          <w:szCs w:val="22"/>
        </w:rPr>
        <w:t xml:space="preserve">A </w:t>
      </w:r>
      <w:r w:rsidR="00D16E8C">
        <w:t>minimum rate of return to communities is fixed in the Gambling (Class 4 Net Proceeds) Regulations 2004.</w:t>
      </w:r>
    </w:p>
    <w:p w:rsidR="00002CD6" w:rsidRDefault="00EC6FD7" w:rsidP="00D16E8C">
      <w:pPr>
        <w:pStyle w:val="Numberedpara3level1"/>
      </w:pPr>
      <w:r>
        <w:lastRenderedPageBreak/>
        <w:t>Broadly speaking, in order to increase their return to communities societies need to reduce their costs.</w:t>
      </w:r>
      <w:r w:rsidRPr="00EC6FD7">
        <w:rPr>
          <w:rFonts w:eastAsia="Calibri" w:cs="Arial"/>
          <w:szCs w:val="22"/>
        </w:rPr>
        <w:t xml:space="preserve"> </w:t>
      </w:r>
      <w:r w:rsidR="002C1B41">
        <w:t xml:space="preserve">Society costs fall into two categories – government levies and other costs (including venue expenses).  Government levies are made up of gaming duty, a problem gambling levy and fees to recover the Department’s regulatory costs. Revenue from gaming duty and the problem gambling levy has discrete purposes and cannot be used to cover the Department’s regulatory costs. </w:t>
      </w:r>
    </w:p>
    <w:p w:rsidR="004D4303" w:rsidRDefault="004D4303" w:rsidP="004D4303">
      <w:pPr>
        <w:pStyle w:val="Caption"/>
        <w:keepNext/>
        <w:jc w:val="center"/>
      </w:pPr>
      <w:r>
        <w:t xml:space="preserve">Figure </w:t>
      </w:r>
      <w:r w:rsidR="0090246E">
        <w:t>1</w:t>
      </w:r>
      <w:r>
        <w:t xml:space="preserve">: Where </w:t>
      </w:r>
      <w:r w:rsidR="005F6E43">
        <w:t xml:space="preserve">the gross proceeds from </w:t>
      </w:r>
      <w:r>
        <w:t>gaming machine</w:t>
      </w:r>
      <w:r w:rsidR="005F6E43">
        <w:t>s</w:t>
      </w:r>
      <w:r>
        <w:t xml:space="preserve"> go (excluding GST)</w:t>
      </w:r>
    </w:p>
    <w:p w:rsidR="00131607" w:rsidRDefault="00002CD6" w:rsidP="00367E15">
      <w:pPr>
        <w:pStyle w:val="Numberedpara3level1"/>
        <w:numPr>
          <w:ilvl w:val="0"/>
          <w:numId w:val="0"/>
        </w:numPr>
        <w:ind w:left="567" w:hanging="567"/>
        <w:jc w:val="center"/>
      </w:pPr>
      <w:r>
        <w:rPr>
          <w:noProof/>
          <w:lang w:eastAsia="en-NZ"/>
        </w:rPr>
        <w:drawing>
          <wp:inline distT="0" distB="0" distL="0" distR="0" wp14:anchorId="1011E1D3" wp14:editId="19110AC9">
            <wp:extent cx="4572000" cy="2128838"/>
            <wp:effectExtent l="0" t="0" r="1905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73DC" w:rsidRPr="00E10FE8" w:rsidRDefault="00E10FE8" w:rsidP="00E10FE8">
      <w:pPr>
        <w:pStyle w:val="NotforContentsheading2"/>
      </w:pPr>
      <w:r w:rsidRPr="00E10FE8">
        <w:t>Cost pressures on societies</w:t>
      </w:r>
    </w:p>
    <w:p w:rsidR="002E41D4" w:rsidRDefault="009E3695" w:rsidP="002E41D4">
      <w:pPr>
        <w:pStyle w:val="Numberedpara3level1"/>
        <w:rPr>
          <w:rFonts w:eastAsia="Calibri" w:cs="Arial"/>
          <w:szCs w:val="22"/>
        </w:rPr>
      </w:pPr>
      <w:r>
        <w:rPr>
          <w:rFonts w:eastAsia="Calibri" w:cs="Arial"/>
          <w:szCs w:val="22"/>
        </w:rPr>
        <w:t>Immediate c</w:t>
      </w:r>
      <w:r w:rsidR="000A7764">
        <w:rPr>
          <w:rFonts w:eastAsia="Calibri" w:cs="Arial"/>
          <w:szCs w:val="22"/>
        </w:rPr>
        <w:t xml:space="preserve">ost pressures </w:t>
      </w:r>
      <w:r w:rsidR="005E3F1E">
        <w:rPr>
          <w:rFonts w:eastAsia="Calibri" w:cs="Arial"/>
          <w:szCs w:val="22"/>
        </w:rPr>
        <w:t>on</w:t>
      </w:r>
      <w:r w:rsidR="00824EC3">
        <w:rPr>
          <w:rFonts w:eastAsia="Calibri" w:cs="Arial"/>
          <w:szCs w:val="22"/>
        </w:rPr>
        <w:t xml:space="preserve"> societies </w:t>
      </w:r>
      <w:r w:rsidR="000D6AB0">
        <w:rPr>
          <w:rFonts w:eastAsia="Calibri" w:cs="Arial"/>
          <w:szCs w:val="22"/>
        </w:rPr>
        <w:t xml:space="preserve">that </w:t>
      </w:r>
      <w:r w:rsidR="00DB29F1">
        <w:rPr>
          <w:rFonts w:eastAsia="Calibri" w:cs="Arial"/>
          <w:szCs w:val="22"/>
        </w:rPr>
        <w:t>may</w:t>
      </w:r>
      <w:r w:rsidR="006E4ED5">
        <w:rPr>
          <w:rFonts w:eastAsia="Calibri" w:cs="Arial"/>
          <w:szCs w:val="22"/>
        </w:rPr>
        <w:t xml:space="preserve"> </w:t>
      </w:r>
      <w:r w:rsidR="00230294">
        <w:rPr>
          <w:rFonts w:eastAsia="Calibri" w:cs="Arial"/>
          <w:szCs w:val="22"/>
        </w:rPr>
        <w:t>i</w:t>
      </w:r>
      <w:r w:rsidR="000D6AB0">
        <w:rPr>
          <w:rFonts w:eastAsia="Calibri" w:cs="Arial"/>
          <w:szCs w:val="22"/>
        </w:rPr>
        <w:t xml:space="preserve">mpact on their </w:t>
      </w:r>
      <w:r w:rsidR="00D75EA5">
        <w:rPr>
          <w:rFonts w:eastAsia="Calibri" w:cs="Arial"/>
          <w:szCs w:val="22"/>
        </w:rPr>
        <w:t xml:space="preserve">ability to meet the </w:t>
      </w:r>
      <w:r w:rsidR="008949FA">
        <w:rPr>
          <w:rFonts w:eastAsia="Calibri" w:cs="Arial"/>
          <w:szCs w:val="22"/>
        </w:rPr>
        <w:t>minimum rate of return to communities are:</w:t>
      </w:r>
    </w:p>
    <w:p w:rsidR="002E41D4" w:rsidRPr="002E41D4" w:rsidRDefault="002E41D4" w:rsidP="002E41D4">
      <w:pPr>
        <w:pStyle w:val="Bullet"/>
        <w:rPr>
          <w:rFonts w:eastAsia="Calibri" w:cs="Arial"/>
          <w:szCs w:val="22"/>
        </w:rPr>
      </w:pPr>
      <w:r w:rsidRPr="002E41D4">
        <w:t xml:space="preserve">the one-off costs of replacing Bank Note Acceptors and firmware upgrades in gaming machines by April 2016 as a result of </w:t>
      </w:r>
      <w:r w:rsidR="00D11445">
        <w:t xml:space="preserve">the Reserve Bank’s changes to </w:t>
      </w:r>
      <w:r w:rsidRPr="002E41D4">
        <w:t>New Zealand bank notes</w:t>
      </w:r>
      <w:r>
        <w:t>; and</w:t>
      </w:r>
    </w:p>
    <w:p w:rsidR="00D54B17" w:rsidRDefault="002E41D4" w:rsidP="00153A6C">
      <w:pPr>
        <w:pStyle w:val="Bullet"/>
      </w:pPr>
      <w:r w:rsidRPr="002E41D4">
        <w:t xml:space="preserve">the costs of </w:t>
      </w:r>
      <w:r>
        <w:t xml:space="preserve">phasing out </w:t>
      </w:r>
      <w:r w:rsidRPr="002E41D4">
        <w:t>non-downloadable jackpot machines by December 2015.</w:t>
      </w:r>
      <w:r w:rsidR="006C4FB6">
        <w:rPr>
          <w:rStyle w:val="FootnoteReference"/>
        </w:rPr>
        <w:footnoteReference w:id="2"/>
      </w:r>
      <w:r w:rsidRPr="002E41D4">
        <w:t xml:space="preserve"> </w:t>
      </w:r>
    </w:p>
    <w:p w:rsidR="00C61541" w:rsidRDefault="00A93DFF" w:rsidP="00D16E8C">
      <w:pPr>
        <w:pStyle w:val="Numberedpara3level1"/>
      </w:pPr>
      <w:r>
        <w:t xml:space="preserve">In 2013 the decision was made to </w:t>
      </w:r>
      <w:r w:rsidRPr="00D16E8C">
        <w:t xml:space="preserve">progressively </w:t>
      </w:r>
      <w:r>
        <w:t>increase the minimum rate o</w:t>
      </w:r>
      <w:r w:rsidR="00685155">
        <w:t>f return</w:t>
      </w:r>
      <w:r w:rsidR="00A94211">
        <w:t>.</w:t>
      </w:r>
      <w:r w:rsidR="00685155">
        <w:t xml:space="preserve"> </w:t>
      </w:r>
      <w:r>
        <w:t>The rate increased from 37.12 per cent of GST-exclusive gross proceeds to 40 per cent in September 2014. T</w:t>
      </w:r>
      <w:r w:rsidR="00605D01">
        <w:t>he</w:t>
      </w:r>
      <w:r>
        <w:t xml:space="preserve"> rate will increase to 41 per cent in 2016 and 42 per cent in 2018. </w:t>
      </w:r>
      <w:r w:rsidR="00E60CAD">
        <w:t xml:space="preserve">Societies that consistently fail to meet the </w:t>
      </w:r>
      <w:r w:rsidR="00685155">
        <w:t xml:space="preserve">minimum </w:t>
      </w:r>
      <w:r w:rsidR="00E60CAD">
        <w:t xml:space="preserve">requirement are unlikely to be re-licensed by the Department.  </w:t>
      </w:r>
    </w:p>
    <w:p w:rsidR="00E60CAD" w:rsidRDefault="00642E3F" w:rsidP="00E60CAD">
      <w:pPr>
        <w:pStyle w:val="NotforContentsheading2"/>
      </w:pPr>
      <w:r>
        <w:t>Machine numbers as the basis for setting fees</w:t>
      </w:r>
    </w:p>
    <w:p w:rsidR="00D84C73" w:rsidRDefault="00D84C73" w:rsidP="00C63D17">
      <w:pPr>
        <w:pStyle w:val="Numberedpara3level1"/>
      </w:pPr>
      <w:r>
        <w:t>The</w:t>
      </w:r>
      <w:r w:rsidR="00004FA1">
        <w:t xml:space="preserve"> </w:t>
      </w:r>
      <w:r>
        <w:t xml:space="preserve">current </w:t>
      </w:r>
      <w:r w:rsidR="00F73B12">
        <w:t xml:space="preserve">basis for setting </w:t>
      </w:r>
      <w:r w:rsidR="00F4402E">
        <w:t xml:space="preserve">gambling </w:t>
      </w:r>
      <w:r w:rsidR="00F73B12">
        <w:t xml:space="preserve">fees </w:t>
      </w:r>
      <w:r>
        <w:t>is not well aligned with cost recovery principles. A significant proportion of</w:t>
      </w:r>
      <w:r w:rsidR="00820D16">
        <w:t xml:space="preserve"> fees </w:t>
      </w:r>
      <w:r w:rsidR="00E75D64">
        <w:t xml:space="preserve">revenue </w:t>
      </w:r>
      <w:r>
        <w:t xml:space="preserve">comes from </w:t>
      </w:r>
      <w:r w:rsidR="00E75D64">
        <w:t>fees</w:t>
      </w:r>
      <w:r w:rsidR="00820D16">
        <w:t xml:space="preserve"> </w:t>
      </w:r>
      <w:r>
        <w:t>linked to the number of gaming machines</w:t>
      </w:r>
      <w:r w:rsidR="00F32B09">
        <w:t xml:space="preserve"> in the class 4 sector</w:t>
      </w:r>
      <w:r>
        <w:t>. A problem with this is that there is a substantial element of regulatory activity, the costs of which are not related t</w:t>
      </w:r>
      <w:r w:rsidR="00A02B8D">
        <w:t xml:space="preserve">o the number of </w:t>
      </w:r>
      <w:r w:rsidR="000D79C9">
        <w:t>machines</w:t>
      </w:r>
      <w:r w:rsidR="00F32B09">
        <w:t xml:space="preserve"> in the sector</w:t>
      </w:r>
      <w:r w:rsidR="00B35BE5">
        <w:t xml:space="preserve"> (</w:t>
      </w:r>
      <w:r w:rsidR="000D79C9">
        <w:t>e.g. investigations into grant fraud</w:t>
      </w:r>
      <w:r w:rsidR="00B35BE5">
        <w:t>)</w:t>
      </w:r>
      <w:r w:rsidR="000D79C9">
        <w:t>.</w:t>
      </w:r>
      <w:r w:rsidR="00A02B8D">
        <w:t xml:space="preserve"> The fact that </w:t>
      </w:r>
      <w:r w:rsidR="00974E3D">
        <w:t>machine numbers has steadily fallen means that this basis for setting fees exposes the Department</w:t>
      </w:r>
      <w:r w:rsidR="00AC5F85">
        <w:t xml:space="preserve"> to financial risk</w:t>
      </w:r>
      <w:r w:rsidR="0008489A">
        <w:t>.</w:t>
      </w:r>
    </w:p>
    <w:p w:rsidR="004651A8" w:rsidRDefault="00974E3D" w:rsidP="001E21BB">
      <w:pPr>
        <w:pStyle w:val="Numberedpara3level1"/>
      </w:pPr>
      <w:r>
        <w:lastRenderedPageBreak/>
        <w:t xml:space="preserve">The </w:t>
      </w:r>
      <w:r w:rsidR="0090370A">
        <w:t xml:space="preserve">relationship between society costs and return to communities also limits the level at which </w:t>
      </w:r>
      <w:r w:rsidR="00B35BE5">
        <w:t xml:space="preserve">these </w:t>
      </w:r>
      <w:r w:rsidR="0090370A">
        <w:t xml:space="preserve">fees can be set. </w:t>
      </w:r>
      <w:r w:rsidR="000D79C9">
        <w:t>M</w:t>
      </w:r>
      <w:r w:rsidR="004651A8">
        <w:t>achines</w:t>
      </w:r>
      <w:r w:rsidR="000D79C9">
        <w:t xml:space="preserve"> generating high levels of </w:t>
      </w:r>
      <w:r w:rsidR="00C076CA">
        <w:t>gaming machine proceeds (</w:t>
      </w:r>
      <w:r w:rsidR="00075FF3">
        <w:t>GMP</w:t>
      </w:r>
      <w:r w:rsidR="00C076CA">
        <w:t>)</w:t>
      </w:r>
      <w:r w:rsidR="00075FF3">
        <w:t xml:space="preserve"> </w:t>
      </w:r>
      <w:r w:rsidR="004651A8">
        <w:t>enable societies to more easily meet the minimum rate of return</w:t>
      </w:r>
      <w:r w:rsidR="002D5B9E">
        <w:t xml:space="preserve">. This is because </w:t>
      </w:r>
      <w:r w:rsidR="004651A8">
        <w:t xml:space="preserve">the fixed costs of operating </w:t>
      </w:r>
      <w:r w:rsidR="00075FF3">
        <w:t xml:space="preserve">these </w:t>
      </w:r>
      <w:r w:rsidR="004651A8">
        <w:t xml:space="preserve">gaming machines will take up a smaller proportion of </w:t>
      </w:r>
      <w:r w:rsidR="00075FF3">
        <w:t>GMP</w:t>
      </w:r>
      <w:r w:rsidR="004651A8">
        <w:t xml:space="preserve">. Conversely, </w:t>
      </w:r>
      <w:r w:rsidR="00075FF3">
        <w:t xml:space="preserve">the fixed costs of machines generating low levels of GMP may make it </w:t>
      </w:r>
      <w:r w:rsidR="00B35BE5">
        <w:t>harder</w:t>
      </w:r>
      <w:r w:rsidR="00075FF3">
        <w:t xml:space="preserve"> for societies to meet the minimum rate of return.</w:t>
      </w:r>
    </w:p>
    <w:p w:rsidR="00E60CAD" w:rsidRDefault="00A94F60" w:rsidP="00004FA1">
      <w:pPr>
        <w:pStyle w:val="Numberedpara3level1"/>
      </w:pPr>
      <w:r>
        <w:t xml:space="preserve">If the fees linked to </w:t>
      </w:r>
      <w:r w:rsidR="00A11E4F">
        <w:t xml:space="preserve">machines are set too high there is a risk that societies will </w:t>
      </w:r>
      <w:r w:rsidR="002F4033">
        <w:t xml:space="preserve">reduce </w:t>
      </w:r>
      <w:r w:rsidR="00855CBF">
        <w:t xml:space="preserve">costs by </w:t>
      </w:r>
      <w:r w:rsidR="00004FA1">
        <w:t>shed</w:t>
      </w:r>
      <w:r w:rsidR="00855CBF">
        <w:t xml:space="preserve">ding </w:t>
      </w:r>
      <w:r w:rsidR="008918FE">
        <w:t>machines</w:t>
      </w:r>
      <w:r w:rsidR="00B35BE5">
        <w:t xml:space="preserve"> with low GMP</w:t>
      </w:r>
      <w:r w:rsidR="008918FE">
        <w:t xml:space="preserve"> (usually in rural venues)</w:t>
      </w:r>
      <w:r w:rsidR="00855CBF">
        <w:t xml:space="preserve">. </w:t>
      </w:r>
      <w:r w:rsidR="00217243">
        <w:t xml:space="preserve">One consequence of this </w:t>
      </w:r>
      <w:r w:rsidR="00CB7EFE">
        <w:t xml:space="preserve">would be that </w:t>
      </w:r>
      <w:r w:rsidR="00217243">
        <w:t>the revenue base of machines over which the Department</w:t>
      </w:r>
      <w:r w:rsidR="00806BD8">
        <w:t xml:space="preserve"> recovers most of its costs </w:t>
      </w:r>
      <w:r w:rsidR="00CB7EFE">
        <w:t xml:space="preserve">would </w:t>
      </w:r>
      <w:r w:rsidR="00217243">
        <w:t>reduce.</w:t>
      </w:r>
      <w:r w:rsidR="00A11E4F">
        <w:t xml:space="preserve"> </w:t>
      </w:r>
      <w:r w:rsidR="000C7B3C">
        <w:t xml:space="preserve">There </w:t>
      </w:r>
      <w:r w:rsidR="00B21D77">
        <w:t>c</w:t>
      </w:r>
      <w:r w:rsidR="00CB7EFE">
        <w:t xml:space="preserve">ould </w:t>
      </w:r>
      <w:r w:rsidR="000C7B3C">
        <w:t>also be an impact on co</w:t>
      </w:r>
      <w:r w:rsidR="008278D3">
        <w:t>mmunity funding</w:t>
      </w:r>
      <w:r w:rsidR="00CB7EFE">
        <w:t>.</w:t>
      </w:r>
      <w:r w:rsidR="00004FA1">
        <w:t xml:space="preserve"> </w:t>
      </w:r>
    </w:p>
    <w:p w:rsidR="005E5B1A" w:rsidRDefault="00E37D81" w:rsidP="00873574">
      <w:pPr>
        <w:pStyle w:val="Numberedpara3level1"/>
        <w:tabs>
          <w:tab w:val="clear" w:pos="567"/>
        </w:tabs>
      </w:pPr>
      <w:r>
        <w:t>Despit</w:t>
      </w:r>
      <w:r w:rsidR="007D0249">
        <w:t xml:space="preserve">e these </w:t>
      </w:r>
      <w:r w:rsidR="002F2100">
        <w:t>concerns</w:t>
      </w:r>
      <w:r w:rsidR="007D0249">
        <w:t xml:space="preserve">, </w:t>
      </w:r>
      <w:r>
        <w:t xml:space="preserve">the Department </w:t>
      </w:r>
      <w:r w:rsidR="00B638E3">
        <w:t xml:space="preserve">is not proposing to change the basis of fee setting at this time. The Department’s </w:t>
      </w:r>
      <w:r w:rsidR="00353A6E">
        <w:t xml:space="preserve">examination of other options for </w:t>
      </w:r>
      <w:r w:rsidR="00EF3C58">
        <w:t>fee setting</w:t>
      </w:r>
      <w:r w:rsidR="00DF34F9">
        <w:t xml:space="preserve"> </w:t>
      </w:r>
      <w:r w:rsidR="00B9675E">
        <w:t xml:space="preserve">did not </w:t>
      </w:r>
      <w:r w:rsidR="00353A6E">
        <w:t>identif</w:t>
      </w:r>
      <w:r w:rsidR="00B9675E">
        <w:t xml:space="preserve">y </w:t>
      </w:r>
      <w:r w:rsidR="00353A6E">
        <w:t>a</w:t>
      </w:r>
      <w:r w:rsidR="007C50CB">
        <w:t xml:space="preserve"> feasible </w:t>
      </w:r>
      <w:r w:rsidR="00873574">
        <w:t>alternative</w:t>
      </w:r>
      <w:r w:rsidR="003D1E2B">
        <w:t xml:space="preserve"> to machine numbers</w:t>
      </w:r>
      <w:r w:rsidR="00744031">
        <w:t xml:space="preserve">. </w:t>
      </w:r>
      <w:r w:rsidR="00B638E3">
        <w:t xml:space="preserve"> </w:t>
      </w:r>
    </w:p>
    <w:p w:rsidR="0019539D" w:rsidRPr="0019539D" w:rsidRDefault="005E5B1A" w:rsidP="001843FA">
      <w:pPr>
        <w:pStyle w:val="Numberedpara3level1"/>
        <w:tabs>
          <w:tab w:val="clear" w:pos="567"/>
        </w:tabs>
      </w:pPr>
      <w:r>
        <w:t>T</w:t>
      </w:r>
      <w:r w:rsidR="009E0454">
        <w:t>his regulatory impact analysis (RIA) identif</w:t>
      </w:r>
      <w:r w:rsidR="00125506">
        <w:t xml:space="preserve">ies options for </w:t>
      </w:r>
      <w:r w:rsidR="00A9682D">
        <w:t xml:space="preserve">cost recovery </w:t>
      </w:r>
      <w:r w:rsidR="00BC08A8">
        <w:t xml:space="preserve">within the constraints and limitations of the current </w:t>
      </w:r>
      <w:r w:rsidR="00F76568">
        <w:t xml:space="preserve">basis for setting fees. </w:t>
      </w:r>
      <w:r w:rsidR="00FE5806">
        <w:t>Th</w:t>
      </w:r>
      <w:r w:rsidR="00614020">
        <w:t>is RIA focuses on the class 4 sector</w:t>
      </w:r>
      <w:r w:rsidR="00246F47">
        <w:t xml:space="preserve"> as the regulation of class 4 gambling </w:t>
      </w:r>
      <w:r w:rsidR="00614020">
        <w:t xml:space="preserve">under the Act </w:t>
      </w:r>
      <w:r w:rsidR="007A4464">
        <w:t>drives the Department’</w:t>
      </w:r>
      <w:r w:rsidR="009C06B6">
        <w:t xml:space="preserve">s gambling regulatory costs and the </w:t>
      </w:r>
      <w:r w:rsidR="00270DFC">
        <w:t xml:space="preserve">options for </w:t>
      </w:r>
      <w:r w:rsidR="009C06B6">
        <w:t xml:space="preserve">cost recovery </w:t>
      </w:r>
      <w:r w:rsidR="00270DFC">
        <w:t>i</w:t>
      </w:r>
      <w:r w:rsidR="009C06B6">
        <w:t xml:space="preserve">mpact </w:t>
      </w:r>
      <w:r w:rsidR="00893D68">
        <w:t xml:space="preserve">largely </w:t>
      </w:r>
      <w:r w:rsidR="009C06B6">
        <w:t>on this sector.</w:t>
      </w:r>
    </w:p>
    <w:p w:rsidR="006B6D68" w:rsidRDefault="008563C7" w:rsidP="006B6D68">
      <w:pPr>
        <w:pStyle w:val="Heading1"/>
      </w:pPr>
      <w:bookmarkStart w:id="2" w:name="_Toc431562990"/>
      <w:r>
        <w:t>S</w:t>
      </w:r>
      <w:r w:rsidR="001B47C2">
        <w:t>tatus quo</w:t>
      </w:r>
      <w:r>
        <w:t xml:space="preserve"> and problem definition</w:t>
      </w:r>
      <w:bookmarkEnd w:id="2"/>
    </w:p>
    <w:p w:rsidR="006D2071" w:rsidRDefault="00DB0313" w:rsidP="00DB0313">
      <w:pPr>
        <w:pStyle w:val="Numberedpara3level1"/>
      </w:pPr>
      <w:r>
        <w:t xml:space="preserve">Fees were last reviewed in 2007 and came into force on 1 February 2008. </w:t>
      </w:r>
      <w:r w:rsidR="003D1E2B">
        <w:t>Revenue generated under the current fee levels is insufficient to meet the Department’s current and forecast costs for regulating the gambling sector. The Department forecasts an operating deficit of $4 million in 2015/16 between</w:t>
      </w:r>
      <w:r w:rsidR="00DE545D">
        <w:t xml:space="preserve"> fees</w:t>
      </w:r>
      <w:r w:rsidR="003D1E2B">
        <w:t xml:space="preserve"> revenue and </w:t>
      </w:r>
      <w:r w:rsidR="00DE545D">
        <w:t xml:space="preserve">regulatory </w:t>
      </w:r>
      <w:r w:rsidR="003D1E2B">
        <w:t>costs. The operating deficit is projected to continue to grow</w:t>
      </w:r>
      <w:r w:rsidR="005976FB">
        <w:t>.</w:t>
      </w:r>
    </w:p>
    <w:p w:rsidR="005976FB" w:rsidRDefault="005976FB" w:rsidP="005976FB">
      <w:pPr>
        <w:pStyle w:val="NotforContentsheading2"/>
      </w:pPr>
      <w:r>
        <w:t xml:space="preserve">Decline in fees revenue </w:t>
      </w:r>
    </w:p>
    <w:p w:rsidR="005976FB" w:rsidRDefault="005976FB" w:rsidP="005976FB">
      <w:pPr>
        <w:pStyle w:val="Numberedpara3level1"/>
      </w:pPr>
      <w:r>
        <w:t xml:space="preserve">The last fees review set the </w:t>
      </w:r>
      <w:r w:rsidRPr="00415F52">
        <w:t>fees</w:t>
      </w:r>
      <w:r>
        <w:t xml:space="preserve"> on the basis that the number of machines in the sector </w:t>
      </w:r>
      <w:r w:rsidRPr="00415F52">
        <w:t>would not reduce from approximately 20,000</w:t>
      </w:r>
      <w:r>
        <w:t>. However, machine numbers have continued to decline, and t</w:t>
      </w:r>
      <w:r w:rsidRPr="00415F52">
        <w:t>here were 1</w:t>
      </w:r>
      <w:r>
        <w:t>6,579 licensed machines in June 2015. The result is that revenue from class 4 gaming machines has decreased by 20 per cent since 2008</w:t>
      </w:r>
      <w:r w:rsidR="00E448E3">
        <w:t xml:space="preserve">. </w:t>
      </w:r>
      <w:r w:rsidR="00AB161A">
        <w:t>T</w:t>
      </w:r>
      <w:r>
        <w:t>he number of societies an</w:t>
      </w:r>
      <w:r w:rsidR="00AB161A">
        <w:t xml:space="preserve">d venues in the sector has also </w:t>
      </w:r>
      <w:r>
        <w:t>decline</w:t>
      </w:r>
      <w:r w:rsidR="00E448E3">
        <w:t>d</w:t>
      </w:r>
      <w:r>
        <w:t xml:space="preserve">, </w:t>
      </w:r>
      <w:r w:rsidR="00AB161A">
        <w:t>r</w:t>
      </w:r>
      <w:r>
        <w:t xml:space="preserve">esulting in lower </w:t>
      </w:r>
      <w:r w:rsidR="00DE545D">
        <w:t xml:space="preserve">fees </w:t>
      </w:r>
      <w:r>
        <w:t>revenue from licensing fees.</w:t>
      </w:r>
      <w:r w:rsidRPr="008D3323">
        <w:t xml:space="preserve"> </w:t>
      </w:r>
    </w:p>
    <w:p w:rsidR="00896EBF" w:rsidRPr="00EA4284" w:rsidRDefault="00896EBF" w:rsidP="00896EBF">
      <w:pPr>
        <w:pStyle w:val="NotforContentsheading2"/>
      </w:pPr>
      <w:r>
        <w:t>Regulatory costs have not declined</w:t>
      </w:r>
    </w:p>
    <w:p w:rsidR="00074960" w:rsidRPr="00DF26D5" w:rsidRDefault="00896EBF" w:rsidP="002309CF">
      <w:pPr>
        <w:pStyle w:val="Numberedpara3level1"/>
      </w:pPr>
      <w:r>
        <w:rPr>
          <w:rFonts w:eastAsia="Calibri"/>
          <w:lang w:val="en-AU"/>
        </w:rPr>
        <w:t xml:space="preserve">Although machine numbers and </w:t>
      </w:r>
      <w:r w:rsidR="00B3025F">
        <w:rPr>
          <w:rFonts w:eastAsia="Calibri"/>
          <w:lang w:val="en-AU"/>
        </w:rPr>
        <w:t xml:space="preserve">fees </w:t>
      </w:r>
      <w:r>
        <w:rPr>
          <w:rFonts w:eastAsia="Calibri"/>
          <w:lang w:val="en-AU"/>
        </w:rPr>
        <w:t xml:space="preserve">revenue have decreased, the Department’s </w:t>
      </w:r>
      <w:r w:rsidR="00346456">
        <w:rPr>
          <w:rFonts w:eastAsia="Calibri"/>
          <w:lang w:val="en-AU"/>
        </w:rPr>
        <w:t xml:space="preserve">gambling </w:t>
      </w:r>
      <w:r>
        <w:rPr>
          <w:rFonts w:eastAsia="Calibri"/>
          <w:lang w:val="en-AU"/>
        </w:rPr>
        <w:t>regulatory costs have not followed this trajectory</w:t>
      </w:r>
      <w:r w:rsidR="008A0A3F">
        <w:rPr>
          <w:rFonts w:eastAsia="Calibri"/>
          <w:lang w:val="en-AU"/>
        </w:rPr>
        <w:t xml:space="preserve">. </w:t>
      </w:r>
      <w:r w:rsidR="00C93255">
        <w:t>The Department has been under-recovering its gambling regulatory costs for the last five years. Th</w:t>
      </w:r>
      <w:r w:rsidR="002309CF">
        <w:t>e</w:t>
      </w:r>
      <w:r w:rsidR="00C93255">
        <w:t xml:space="preserve"> under-recovery is forecast to worsen</w:t>
      </w:r>
      <w:r w:rsidR="00616C0A">
        <w:t>,</w:t>
      </w:r>
      <w:r w:rsidR="00C93255">
        <w:t xml:space="preserve"> as </w:t>
      </w:r>
      <w:r w:rsidR="00346456">
        <w:t>fees revenue</w:t>
      </w:r>
      <w:r w:rsidR="00C93255">
        <w:t xml:space="preserve"> from machines is projected to continue to decline and </w:t>
      </w:r>
      <w:r w:rsidR="00346456">
        <w:t xml:space="preserve">Departmental gambling regulatory </w:t>
      </w:r>
      <w:r w:rsidR="00C93255">
        <w:t>costs to increase</w:t>
      </w:r>
      <w:r w:rsidR="00E923C3">
        <w:t>.</w:t>
      </w:r>
      <w:r w:rsidR="00B3025F">
        <w:t xml:space="preserve"> </w:t>
      </w:r>
    </w:p>
    <w:p w:rsidR="005B6105" w:rsidRDefault="005B6105" w:rsidP="005B6105">
      <w:pPr>
        <w:pStyle w:val="Numberedpara3level1"/>
      </w:pPr>
      <w:r>
        <w:t xml:space="preserve">Cost increases are driven by the need to maintain the Department’s levels of regulatory activity in the class 4 sector (despite the reducing size of the sector) </w:t>
      </w:r>
      <w:r w:rsidR="00AA0F25">
        <w:t xml:space="preserve">and because of </w:t>
      </w:r>
      <w:r>
        <w:t>fixed cost pressures such as:</w:t>
      </w:r>
    </w:p>
    <w:p w:rsidR="005B6105" w:rsidRDefault="005B6105" w:rsidP="005B6105">
      <w:pPr>
        <w:pStyle w:val="Bullet"/>
      </w:pPr>
      <w:r>
        <w:t>the ongoing costs for operating and maintaining the Electronic Monitoring System (EMS) for class 4 gaming machines;</w:t>
      </w:r>
      <w:r w:rsidR="009B41FB">
        <w:t xml:space="preserve"> </w:t>
      </w:r>
      <w:r w:rsidR="005C6EF8">
        <w:t>and</w:t>
      </w:r>
    </w:p>
    <w:p w:rsidR="00B25040" w:rsidRDefault="005B6105" w:rsidP="00B25040">
      <w:pPr>
        <w:pStyle w:val="Bullet"/>
      </w:pPr>
      <w:r>
        <w:lastRenderedPageBreak/>
        <w:t>development, depreciation and maintenance costs for the Integrated Gambling Platform system (IGP) to assist with regulating the industry</w:t>
      </w:r>
      <w:r w:rsidR="005C6EF8">
        <w:t>.</w:t>
      </w:r>
    </w:p>
    <w:p w:rsidR="005B6105" w:rsidRDefault="005C6EF8" w:rsidP="00B25040">
      <w:pPr>
        <w:pStyle w:val="Numberedpara3level1"/>
      </w:pPr>
      <w:r>
        <w:t xml:space="preserve">General cost pressures </w:t>
      </w:r>
      <w:r w:rsidR="005B6105">
        <w:t>includ</w:t>
      </w:r>
      <w:r>
        <w:t>e</w:t>
      </w:r>
      <w:r w:rsidR="005B6105">
        <w:t xml:space="preserve"> </w:t>
      </w:r>
      <w:r w:rsidR="005B6105" w:rsidRPr="008D56F4">
        <w:t>all c</w:t>
      </w:r>
      <w:r>
        <w:t xml:space="preserve">onsumer price index adjustments, </w:t>
      </w:r>
      <w:r w:rsidR="005B6105">
        <w:t xml:space="preserve">increases in </w:t>
      </w:r>
      <w:r w:rsidR="005B6105" w:rsidRPr="008D56F4">
        <w:t>salary costs</w:t>
      </w:r>
      <w:r>
        <w:t xml:space="preserve">, </w:t>
      </w:r>
      <w:r w:rsidR="00DD688F">
        <w:t xml:space="preserve">contribution to </w:t>
      </w:r>
      <w:r w:rsidR="005B6105">
        <w:t>corporate overhead and capital charges.</w:t>
      </w:r>
      <w:r w:rsidR="00262D3C">
        <w:t xml:space="preserve"> </w:t>
      </w:r>
    </w:p>
    <w:p w:rsidR="00FF110F" w:rsidRDefault="00F83885" w:rsidP="00FF110F">
      <w:pPr>
        <w:pStyle w:val="Numberedpara3level1"/>
      </w:pPr>
      <w:r>
        <w:t>The current levels of l</w:t>
      </w:r>
      <w:r w:rsidR="00862F19">
        <w:t>icensing fees</w:t>
      </w:r>
      <w:r w:rsidR="009F419F">
        <w:t xml:space="preserve"> </w:t>
      </w:r>
      <w:r w:rsidR="00C662EC">
        <w:t xml:space="preserve">also </w:t>
      </w:r>
      <w:r w:rsidR="00FF110F">
        <w:t xml:space="preserve">do not </w:t>
      </w:r>
      <w:r w:rsidR="00FF110F" w:rsidRPr="00624693">
        <w:t>reflect the</w:t>
      </w:r>
      <w:r w:rsidR="00FF110F" w:rsidRPr="00FF110F">
        <w:t xml:space="preserve"> </w:t>
      </w:r>
      <w:r w:rsidR="00FF110F" w:rsidRPr="00624693">
        <w:t xml:space="preserve">significant due diligence </w:t>
      </w:r>
      <w:r w:rsidR="00FF110F">
        <w:t xml:space="preserve">of the Department in </w:t>
      </w:r>
      <w:r w:rsidR="00FF110F" w:rsidRPr="00624693">
        <w:t>assess</w:t>
      </w:r>
      <w:r w:rsidR="00FF110F">
        <w:t>ing</w:t>
      </w:r>
      <w:r w:rsidR="00FF110F" w:rsidRPr="00624693">
        <w:t xml:space="preserve"> the suitability of gambling</w:t>
      </w:r>
      <w:r w:rsidR="00FF110F">
        <w:t xml:space="preserve"> operators and venue operators.</w:t>
      </w:r>
    </w:p>
    <w:p w:rsidR="00924C9F" w:rsidRPr="00686D61" w:rsidRDefault="00924C9F" w:rsidP="00924C9F">
      <w:pPr>
        <w:pStyle w:val="Numberedpara3level1"/>
        <w:tabs>
          <w:tab w:val="clear" w:pos="567"/>
        </w:tabs>
      </w:pPr>
      <w:r w:rsidRPr="006A7237">
        <w:t>The figure below provides a breakdown of the Department’s gambling regulatory</w:t>
      </w:r>
      <w:r w:rsidR="00550DBB">
        <w:t xml:space="preserve"> costs by activity.</w:t>
      </w:r>
    </w:p>
    <w:p w:rsidR="00924C9F" w:rsidRDefault="00924C9F" w:rsidP="00924C9F">
      <w:pPr>
        <w:pStyle w:val="Caption"/>
      </w:pPr>
      <w:r>
        <w:t xml:space="preserve">Figure </w:t>
      </w:r>
      <w:r w:rsidR="00E6455D">
        <w:t>2</w:t>
      </w:r>
      <w:r>
        <w:t>: Breakdown of regulato</w:t>
      </w:r>
      <w:r w:rsidR="00550DBB">
        <w:t xml:space="preserve">ry costs by activity </w:t>
      </w:r>
    </w:p>
    <w:p w:rsidR="00924C9F" w:rsidRDefault="00924C9F" w:rsidP="00924C9F">
      <w:pPr>
        <w:pStyle w:val="NumbersLevel1"/>
        <w:tabs>
          <w:tab w:val="clear" w:pos="709"/>
        </w:tabs>
        <w:ind w:firstLine="0"/>
        <w:jc w:val="center"/>
        <w:rPr>
          <w:rFonts w:ascii="Calibri" w:hAnsi="Calibri"/>
          <w:sz w:val="24"/>
        </w:rPr>
      </w:pPr>
      <w:r>
        <w:rPr>
          <w:noProof/>
          <w:lang w:eastAsia="en-NZ"/>
        </w:rPr>
        <w:drawing>
          <wp:inline distT="0" distB="0" distL="0" distR="0" wp14:anchorId="1E10DF1E" wp14:editId="084C542C">
            <wp:extent cx="5100555" cy="2817198"/>
            <wp:effectExtent l="0" t="0" r="24130" b="215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4FEC" w:rsidRDefault="00D94FEC" w:rsidP="00D94FEC">
      <w:pPr>
        <w:pStyle w:val="NotforContentsheading2"/>
      </w:pPr>
      <w:r>
        <w:t>Department’s memorandum account deficit</w:t>
      </w:r>
    </w:p>
    <w:p w:rsidR="00D94FEC" w:rsidRDefault="00D94FEC" w:rsidP="00D94FEC">
      <w:pPr>
        <w:pStyle w:val="Numberedpara3level1"/>
      </w:pPr>
      <w:r>
        <w:t xml:space="preserve">The outcome of lower </w:t>
      </w:r>
      <w:r w:rsidR="00AA0F25">
        <w:t xml:space="preserve">fees </w:t>
      </w:r>
      <w:r>
        <w:t xml:space="preserve">revenue and increased </w:t>
      </w:r>
      <w:r w:rsidR="00AA0F25">
        <w:t xml:space="preserve">gambling regulatory </w:t>
      </w:r>
      <w:r>
        <w:t xml:space="preserve">costs is a growing deficit in the Department’s memorandum account for gambling fees ($12.9 million as at 30 June 2015). The deficit amount </w:t>
      </w:r>
      <w:r w:rsidR="00AA0F25">
        <w:t xml:space="preserve">is composed of </w:t>
      </w:r>
      <w:r>
        <w:t>the current shortfall and historic debts.</w:t>
      </w:r>
    </w:p>
    <w:p w:rsidR="00D94FEC" w:rsidRDefault="00D94FEC" w:rsidP="00D94FEC">
      <w:pPr>
        <w:pStyle w:val="Numberedpara3level1"/>
      </w:pPr>
      <w:r>
        <w:t>T</w:t>
      </w:r>
      <w:r w:rsidRPr="0068312F">
        <w:t xml:space="preserve">he deficit is forecast to increase significantly if </w:t>
      </w:r>
      <w:r w:rsidR="008F4794">
        <w:t xml:space="preserve">fees </w:t>
      </w:r>
      <w:r w:rsidRPr="0068312F">
        <w:t xml:space="preserve">revenue declines and </w:t>
      </w:r>
      <w:r w:rsidR="008F4794">
        <w:t xml:space="preserve">regulatory </w:t>
      </w:r>
      <w:r w:rsidRPr="0068312F">
        <w:t>costs increase at forecast levels</w:t>
      </w:r>
      <w:r>
        <w:t xml:space="preserve"> (refer table 2 below)</w:t>
      </w:r>
      <w:r w:rsidRPr="0068312F">
        <w:t>.</w:t>
      </w:r>
      <w:r>
        <w:t xml:space="preserve"> The forecast deficit includes capital charges applied to the overall memorandum account deficit and to the Department’s capital investment in IGP. As the deficit increases, capital charges accrue, which further exacerbate the deficit.</w:t>
      </w:r>
    </w:p>
    <w:p w:rsidR="00D94FEC" w:rsidRDefault="00D94FEC" w:rsidP="00D94FEC">
      <w:pPr>
        <w:pStyle w:val="Caption"/>
      </w:pPr>
      <w:r>
        <w:t>Table 2: Forecast memorandum account deficit under the status quo ($million)</w:t>
      </w:r>
    </w:p>
    <w:tbl>
      <w:tblPr>
        <w:tblStyle w:val="DIATable"/>
        <w:tblW w:w="9179" w:type="dxa"/>
        <w:tblLayout w:type="fixed"/>
        <w:tblLook w:val="04A0" w:firstRow="1" w:lastRow="0" w:firstColumn="1" w:lastColumn="0" w:noHBand="0" w:noVBand="1"/>
      </w:tblPr>
      <w:tblGrid>
        <w:gridCol w:w="2692"/>
        <w:gridCol w:w="1082"/>
        <w:gridCol w:w="1081"/>
        <w:gridCol w:w="1081"/>
        <w:gridCol w:w="1081"/>
        <w:gridCol w:w="1081"/>
        <w:gridCol w:w="1081"/>
      </w:tblGrid>
      <w:tr w:rsidR="008F4794" w:rsidTr="008F4794">
        <w:trPr>
          <w:cnfStyle w:val="100000000000" w:firstRow="1" w:lastRow="0" w:firstColumn="0" w:lastColumn="0" w:oddVBand="0" w:evenVBand="0" w:oddHBand="0" w:evenHBand="0" w:firstRowFirstColumn="0" w:firstRowLastColumn="0" w:lastRowFirstColumn="0" w:lastRowLastColumn="0"/>
        </w:trPr>
        <w:tc>
          <w:tcPr>
            <w:tcW w:w="2692" w:type="dxa"/>
          </w:tcPr>
          <w:p w:rsidR="008F4794" w:rsidRPr="00A75078" w:rsidRDefault="008F4794" w:rsidP="001B5645">
            <w:pPr>
              <w:pStyle w:val="FinancialtableLHC"/>
              <w:keepNext/>
            </w:pPr>
          </w:p>
        </w:tc>
        <w:tc>
          <w:tcPr>
            <w:tcW w:w="1082" w:type="dxa"/>
          </w:tcPr>
          <w:p w:rsidR="008F4794" w:rsidRPr="00A75078" w:rsidRDefault="008F4794" w:rsidP="001B5645">
            <w:pPr>
              <w:pStyle w:val="Financialtableyears"/>
              <w:keepNext/>
            </w:pPr>
            <w:r>
              <w:t>2015</w:t>
            </w:r>
            <w:r w:rsidRPr="00A75078">
              <w:t>/1</w:t>
            </w:r>
            <w:r>
              <w:t>6</w:t>
            </w:r>
          </w:p>
        </w:tc>
        <w:tc>
          <w:tcPr>
            <w:tcW w:w="1081" w:type="dxa"/>
          </w:tcPr>
          <w:p w:rsidR="008F4794" w:rsidRPr="00A75078" w:rsidRDefault="008F4794" w:rsidP="001B5645">
            <w:pPr>
              <w:pStyle w:val="Financialtableyears"/>
              <w:keepNext/>
            </w:pPr>
            <w:r>
              <w:t>2016</w:t>
            </w:r>
            <w:r w:rsidRPr="00A75078">
              <w:t>/1</w:t>
            </w:r>
            <w:r>
              <w:t>7</w:t>
            </w:r>
          </w:p>
        </w:tc>
        <w:tc>
          <w:tcPr>
            <w:tcW w:w="1081" w:type="dxa"/>
          </w:tcPr>
          <w:p w:rsidR="008F4794" w:rsidRPr="00A75078" w:rsidRDefault="008F4794" w:rsidP="001B5645">
            <w:pPr>
              <w:pStyle w:val="Financialtableyears"/>
              <w:keepNext/>
            </w:pPr>
            <w:r>
              <w:t>2017</w:t>
            </w:r>
            <w:r w:rsidRPr="00A75078">
              <w:t>/1</w:t>
            </w:r>
            <w:r>
              <w:t>8</w:t>
            </w:r>
          </w:p>
        </w:tc>
        <w:tc>
          <w:tcPr>
            <w:tcW w:w="1081" w:type="dxa"/>
          </w:tcPr>
          <w:p w:rsidR="008F4794" w:rsidRPr="00A75078" w:rsidRDefault="008F4794" w:rsidP="001B5645">
            <w:pPr>
              <w:pStyle w:val="Financialtableyears"/>
              <w:keepNext/>
            </w:pPr>
            <w:r>
              <w:t>2018/19</w:t>
            </w:r>
          </w:p>
        </w:tc>
        <w:tc>
          <w:tcPr>
            <w:tcW w:w="1081" w:type="dxa"/>
          </w:tcPr>
          <w:p w:rsidR="008F4794" w:rsidRDefault="008F4794" w:rsidP="001B5645">
            <w:pPr>
              <w:pStyle w:val="Financialtableyears"/>
              <w:keepNext/>
            </w:pPr>
            <w:r>
              <w:t>2019/20</w:t>
            </w:r>
          </w:p>
        </w:tc>
        <w:tc>
          <w:tcPr>
            <w:tcW w:w="1081" w:type="dxa"/>
          </w:tcPr>
          <w:p w:rsidR="008F4794" w:rsidRDefault="008F4794" w:rsidP="001B5645">
            <w:pPr>
              <w:pStyle w:val="Financialtableyears"/>
              <w:keepNext/>
            </w:pPr>
            <w:r>
              <w:t>2020/21</w:t>
            </w:r>
          </w:p>
        </w:tc>
      </w:tr>
      <w:tr w:rsidR="008F4794" w:rsidTr="008F4794">
        <w:tc>
          <w:tcPr>
            <w:tcW w:w="2692" w:type="dxa"/>
          </w:tcPr>
          <w:p w:rsidR="008F4794" w:rsidRPr="004A25A3" w:rsidRDefault="008F4794" w:rsidP="001B5645">
            <w:pPr>
              <w:pStyle w:val="FinancialtableLHC"/>
              <w:keepNext/>
            </w:pPr>
            <w:r w:rsidRPr="004A25A3">
              <w:t>Revenue</w:t>
            </w:r>
          </w:p>
        </w:tc>
        <w:tc>
          <w:tcPr>
            <w:tcW w:w="1082" w:type="dxa"/>
          </w:tcPr>
          <w:p w:rsidR="008F4794" w:rsidRPr="00BB122F" w:rsidRDefault="008F4794" w:rsidP="001B5645">
            <w:pPr>
              <w:pStyle w:val="Financialtablefigures"/>
              <w:keepNext/>
            </w:pPr>
            <w:r>
              <w:t>19.522</w:t>
            </w:r>
          </w:p>
        </w:tc>
        <w:tc>
          <w:tcPr>
            <w:tcW w:w="1081" w:type="dxa"/>
          </w:tcPr>
          <w:p w:rsidR="008F4794" w:rsidRPr="00BB122F" w:rsidRDefault="008F4794" w:rsidP="001B5645">
            <w:pPr>
              <w:pStyle w:val="Financialtablefigures"/>
              <w:keepNext/>
            </w:pPr>
            <w:r>
              <w:t>19.112</w:t>
            </w:r>
          </w:p>
        </w:tc>
        <w:tc>
          <w:tcPr>
            <w:tcW w:w="1081" w:type="dxa"/>
          </w:tcPr>
          <w:p w:rsidR="008F4794" w:rsidRPr="00BB122F" w:rsidRDefault="008F4794" w:rsidP="001B5645">
            <w:pPr>
              <w:pStyle w:val="Financialtablefigures"/>
              <w:keepNext/>
            </w:pPr>
            <w:r>
              <w:t>18.729</w:t>
            </w:r>
          </w:p>
        </w:tc>
        <w:tc>
          <w:tcPr>
            <w:tcW w:w="1081" w:type="dxa"/>
          </w:tcPr>
          <w:p w:rsidR="008F4794" w:rsidRPr="00BB122F" w:rsidRDefault="008F4794" w:rsidP="001B5645">
            <w:pPr>
              <w:pStyle w:val="Financialtablefigures"/>
              <w:keepNext/>
            </w:pPr>
            <w:r>
              <w:t>18.345</w:t>
            </w:r>
          </w:p>
        </w:tc>
        <w:tc>
          <w:tcPr>
            <w:tcW w:w="1081" w:type="dxa"/>
          </w:tcPr>
          <w:p w:rsidR="008F4794" w:rsidRDefault="008F4794" w:rsidP="001B5645">
            <w:pPr>
              <w:pStyle w:val="Financialtablefigures"/>
              <w:keepNext/>
            </w:pPr>
            <w:r>
              <w:t>17.962</w:t>
            </w:r>
          </w:p>
        </w:tc>
        <w:tc>
          <w:tcPr>
            <w:tcW w:w="1081" w:type="dxa"/>
          </w:tcPr>
          <w:p w:rsidR="008F4794" w:rsidRDefault="004B14FF" w:rsidP="001B5645">
            <w:pPr>
              <w:pStyle w:val="Financialtablefigures"/>
              <w:keepNext/>
            </w:pPr>
            <w:r>
              <w:t>17.579</w:t>
            </w:r>
          </w:p>
        </w:tc>
      </w:tr>
      <w:tr w:rsidR="008F4794" w:rsidTr="008F4794">
        <w:tc>
          <w:tcPr>
            <w:tcW w:w="2692" w:type="dxa"/>
          </w:tcPr>
          <w:p w:rsidR="008F4794" w:rsidRPr="004A25A3" w:rsidRDefault="008F4794" w:rsidP="001B5645">
            <w:pPr>
              <w:pStyle w:val="FinancialtableLHC"/>
              <w:keepNext/>
            </w:pPr>
            <w:r w:rsidRPr="004A25A3">
              <w:t>Expenditure</w:t>
            </w:r>
          </w:p>
        </w:tc>
        <w:tc>
          <w:tcPr>
            <w:tcW w:w="1082" w:type="dxa"/>
          </w:tcPr>
          <w:p w:rsidR="008F4794" w:rsidRPr="00BB122F" w:rsidRDefault="008F4794" w:rsidP="001B5645">
            <w:pPr>
              <w:pStyle w:val="Financialtablefigures"/>
              <w:keepNext/>
            </w:pPr>
            <w:r>
              <w:t>23.603</w:t>
            </w:r>
          </w:p>
        </w:tc>
        <w:tc>
          <w:tcPr>
            <w:tcW w:w="1081" w:type="dxa"/>
          </w:tcPr>
          <w:p w:rsidR="008F4794" w:rsidRPr="00BB122F" w:rsidRDefault="008F4794" w:rsidP="001B5645">
            <w:pPr>
              <w:pStyle w:val="Financialtablefigures"/>
              <w:keepNext/>
            </w:pPr>
            <w:r>
              <w:t>25.150</w:t>
            </w:r>
          </w:p>
        </w:tc>
        <w:tc>
          <w:tcPr>
            <w:tcW w:w="1081" w:type="dxa"/>
          </w:tcPr>
          <w:p w:rsidR="008F4794" w:rsidRPr="00BB122F" w:rsidRDefault="008F4794" w:rsidP="001B5645">
            <w:pPr>
              <w:pStyle w:val="Financialtablefigures"/>
              <w:keepNext/>
            </w:pPr>
            <w:r>
              <w:t>26.345</w:t>
            </w:r>
          </w:p>
        </w:tc>
        <w:tc>
          <w:tcPr>
            <w:tcW w:w="1081" w:type="dxa"/>
          </w:tcPr>
          <w:p w:rsidR="008F4794" w:rsidRPr="00BB122F" w:rsidRDefault="008F4794" w:rsidP="001B5645">
            <w:pPr>
              <w:pStyle w:val="Financialtablefigures"/>
              <w:keepNext/>
            </w:pPr>
            <w:r>
              <w:t>27.044</w:t>
            </w:r>
          </w:p>
        </w:tc>
        <w:tc>
          <w:tcPr>
            <w:tcW w:w="1081" w:type="dxa"/>
          </w:tcPr>
          <w:p w:rsidR="008F4794" w:rsidRDefault="008F4794" w:rsidP="001B5645">
            <w:pPr>
              <w:pStyle w:val="Financialtablefigures"/>
              <w:keepNext/>
            </w:pPr>
            <w:r>
              <w:t>28.156</w:t>
            </w:r>
          </w:p>
        </w:tc>
        <w:tc>
          <w:tcPr>
            <w:tcW w:w="1081" w:type="dxa"/>
          </w:tcPr>
          <w:p w:rsidR="008F4794" w:rsidRDefault="004B14FF" w:rsidP="001B5645">
            <w:pPr>
              <w:pStyle w:val="Financialtablefigures"/>
              <w:keepNext/>
            </w:pPr>
            <w:r>
              <w:t>29.387</w:t>
            </w:r>
          </w:p>
        </w:tc>
      </w:tr>
      <w:tr w:rsidR="008F4794" w:rsidTr="008F4794">
        <w:tc>
          <w:tcPr>
            <w:tcW w:w="2692" w:type="dxa"/>
          </w:tcPr>
          <w:p w:rsidR="008F4794" w:rsidRPr="004A25A3" w:rsidRDefault="008F4794" w:rsidP="001B5645">
            <w:pPr>
              <w:pStyle w:val="FinancialtableLHC"/>
              <w:keepNext/>
            </w:pPr>
            <w:r w:rsidRPr="004A25A3">
              <w:t>Surplus/(Deficit)</w:t>
            </w:r>
          </w:p>
        </w:tc>
        <w:tc>
          <w:tcPr>
            <w:tcW w:w="1082" w:type="dxa"/>
          </w:tcPr>
          <w:p w:rsidR="008F4794" w:rsidRPr="00BB122F" w:rsidRDefault="008F4794" w:rsidP="001B5645">
            <w:pPr>
              <w:pStyle w:val="Financialtablefigures"/>
              <w:keepNext/>
            </w:pPr>
            <w:r>
              <w:t>(4.081)</w:t>
            </w:r>
          </w:p>
        </w:tc>
        <w:tc>
          <w:tcPr>
            <w:tcW w:w="1081" w:type="dxa"/>
          </w:tcPr>
          <w:p w:rsidR="008F4794" w:rsidRPr="00BB122F" w:rsidRDefault="008F4794" w:rsidP="001B5645">
            <w:pPr>
              <w:pStyle w:val="Financialtablefigures"/>
              <w:keepNext/>
            </w:pPr>
            <w:r>
              <w:t>(6.038)</w:t>
            </w:r>
          </w:p>
        </w:tc>
        <w:tc>
          <w:tcPr>
            <w:tcW w:w="1081" w:type="dxa"/>
          </w:tcPr>
          <w:p w:rsidR="008F4794" w:rsidRPr="00BB122F" w:rsidRDefault="004B14FF" w:rsidP="001B5645">
            <w:pPr>
              <w:pStyle w:val="Financialtablefigures"/>
              <w:keepNext/>
            </w:pPr>
            <w:r>
              <w:t>(</w:t>
            </w:r>
            <w:r w:rsidR="008F4794">
              <w:t>7.617</w:t>
            </w:r>
            <w:r>
              <w:t>)</w:t>
            </w:r>
          </w:p>
        </w:tc>
        <w:tc>
          <w:tcPr>
            <w:tcW w:w="1081" w:type="dxa"/>
          </w:tcPr>
          <w:p w:rsidR="008F4794" w:rsidRPr="00BB122F" w:rsidRDefault="004B14FF" w:rsidP="001B5645">
            <w:pPr>
              <w:pStyle w:val="Financialtablefigures"/>
              <w:keepNext/>
            </w:pPr>
            <w:r>
              <w:t>(</w:t>
            </w:r>
            <w:r w:rsidR="008F4794">
              <w:t>8.699</w:t>
            </w:r>
            <w:r>
              <w:t>)</w:t>
            </w:r>
          </w:p>
        </w:tc>
        <w:tc>
          <w:tcPr>
            <w:tcW w:w="1081" w:type="dxa"/>
          </w:tcPr>
          <w:p w:rsidR="008F4794" w:rsidRDefault="004B14FF" w:rsidP="001B5645">
            <w:pPr>
              <w:pStyle w:val="Financialtablefigures"/>
              <w:keepNext/>
            </w:pPr>
            <w:r>
              <w:t>(</w:t>
            </w:r>
            <w:r w:rsidR="008F4794">
              <w:t>10.194</w:t>
            </w:r>
            <w:r>
              <w:t>)</w:t>
            </w:r>
          </w:p>
        </w:tc>
        <w:tc>
          <w:tcPr>
            <w:tcW w:w="1081" w:type="dxa"/>
          </w:tcPr>
          <w:p w:rsidR="008F4794" w:rsidRDefault="004B14FF" w:rsidP="001B5645">
            <w:pPr>
              <w:pStyle w:val="Financialtablefigures"/>
              <w:keepNext/>
            </w:pPr>
            <w:r>
              <w:t>(11.808)</w:t>
            </w:r>
          </w:p>
        </w:tc>
      </w:tr>
      <w:tr w:rsidR="008F4794" w:rsidTr="008F4794">
        <w:tc>
          <w:tcPr>
            <w:tcW w:w="2692" w:type="dxa"/>
          </w:tcPr>
          <w:p w:rsidR="008F4794" w:rsidRPr="004A25A3" w:rsidRDefault="008F4794" w:rsidP="001B5645">
            <w:pPr>
              <w:pStyle w:val="FinancialtableLHC"/>
            </w:pPr>
            <w:r w:rsidRPr="004A25A3">
              <w:t xml:space="preserve">Memo </w:t>
            </w:r>
            <w:r>
              <w:t>account</w:t>
            </w:r>
            <w:r w:rsidRPr="004A25A3">
              <w:t xml:space="preserve"> </w:t>
            </w:r>
            <w:r>
              <w:t xml:space="preserve">deficit (including capital charges) </w:t>
            </w:r>
          </w:p>
        </w:tc>
        <w:tc>
          <w:tcPr>
            <w:tcW w:w="1082" w:type="dxa"/>
          </w:tcPr>
          <w:p w:rsidR="008F4794" w:rsidRPr="00E72E0B" w:rsidRDefault="008F4794" w:rsidP="001B5645">
            <w:pPr>
              <w:pStyle w:val="Financialtablefigures"/>
            </w:pPr>
            <w:r>
              <w:t>(17.064)</w:t>
            </w:r>
          </w:p>
        </w:tc>
        <w:tc>
          <w:tcPr>
            <w:tcW w:w="1081" w:type="dxa"/>
          </w:tcPr>
          <w:p w:rsidR="008F4794" w:rsidRPr="00E72E0B" w:rsidRDefault="008F4794" w:rsidP="001B5645">
            <w:pPr>
              <w:pStyle w:val="Financialtablefigures"/>
            </w:pPr>
            <w:r>
              <w:t>(23.101)</w:t>
            </w:r>
          </w:p>
        </w:tc>
        <w:tc>
          <w:tcPr>
            <w:tcW w:w="1081" w:type="dxa"/>
          </w:tcPr>
          <w:p w:rsidR="008F4794" w:rsidRPr="007635B5" w:rsidRDefault="008F4794" w:rsidP="001B5645">
            <w:pPr>
              <w:pStyle w:val="Financialtablefigures"/>
            </w:pPr>
            <w:r>
              <w:t>(30.718)</w:t>
            </w:r>
          </w:p>
        </w:tc>
        <w:tc>
          <w:tcPr>
            <w:tcW w:w="1081" w:type="dxa"/>
          </w:tcPr>
          <w:p w:rsidR="008F4794" w:rsidRPr="00E72E0B" w:rsidRDefault="008F4794" w:rsidP="001B5645">
            <w:pPr>
              <w:pStyle w:val="Financialtablefigures"/>
            </w:pPr>
            <w:r>
              <w:t>(39.417)</w:t>
            </w:r>
          </w:p>
        </w:tc>
        <w:tc>
          <w:tcPr>
            <w:tcW w:w="1081" w:type="dxa"/>
          </w:tcPr>
          <w:p w:rsidR="008F4794" w:rsidRDefault="008F4794" w:rsidP="001B5645">
            <w:pPr>
              <w:pStyle w:val="Financialtablefigures"/>
            </w:pPr>
            <w:r>
              <w:t>(49.610)</w:t>
            </w:r>
          </w:p>
        </w:tc>
        <w:tc>
          <w:tcPr>
            <w:tcW w:w="1081" w:type="dxa"/>
          </w:tcPr>
          <w:p w:rsidR="008F4794" w:rsidRDefault="005117D7" w:rsidP="001B5645">
            <w:pPr>
              <w:pStyle w:val="Financialtablefigures"/>
            </w:pPr>
            <w:r>
              <w:t>(61.419)</w:t>
            </w:r>
          </w:p>
        </w:tc>
      </w:tr>
    </w:tbl>
    <w:p w:rsidR="006205F8" w:rsidRDefault="006205F8" w:rsidP="00D94FEC">
      <w:pPr>
        <w:pStyle w:val="NotforContentsheading2"/>
      </w:pPr>
    </w:p>
    <w:p w:rsidR="006205F8" w:rsidRDefault="006205F8" w:rsidP="00D94FEC">
      <w:pPr>
        <w:pStyle w:val="NotforContentsheading2"/>
      </w:pPr>
    </w:p>
    <w:p w:rsidR="00D94FEC" w:rsidRDefault="008563C7" w:rsidP="00D94FEC">
      <w:pPr>
        <w:pStyle w:val="NotforContentsheading2"/>
      </w:pPr>
      <w:r>
        <w:lastRenderedPageBreak/>
        <w:t>Problem definition</w:t>
      </w:r>
    </w:p>
    <w:p w:rsidR="00DB0313" w:rsidRDefault="000D4C69" w:rsidP="009422E0">
      <w:pPr>
        <w:pStyle w:val="Numberedpara3level1"/>
      </w:pPr>
      <w:r>
        <w:t>C</w:t>
      </w:r>
      <w:r w:rsidR="00EE1C69">
        <w:t xml:space="preserve">urrent </w:t>
      </w:r>
      <w:r>
        <w:t xml:space="preserve">gambling </w:t>
      </w:r>
      <w:r w:rsidR="00EE1C69">
        <w:t xml:space="preserve">fee levels are </w:t>
      </w:r>
      <w:r w:rsidR="006B4034">
        <w:t>not sufficient to enable the Department to re</w:t>
      </w:r>
      <w:r w:rsidR="00DB0313">
        <w:t xml:space="preserve">cover costs. </w:t>
      </w:r>
      <w:r>
        <w:t>T</w:t>
      </w:r>
      <w:r w:rsidR="00DB0313">
        <w:t>h</w:t>
      </w:r>
      <w:r w:rsidR="001843FA">
        <w:t xml:space="preserve">is </w:t>
      </w:r>
      <w:r w:rsidR="00DB0313">
        <w:t xml:space="preserve">operating deficit is being </w:t>
      </w:r>
      <w:r w:rsidR="004B12B8">
        <w:t>carried</w:t>
      </w:r>
      <w:r w:rsidR="00DB0313">
        <w:t xml:space="preserve"> from within </w:t>
      </w:r>
      <w:r w:rsidR="001843FA">
        <w:t xml:space="preserve">the Department’s </w:t>
      </w:r>
      <w:r w:rsidR="00DB0313">
        <w:t xml:space="preserve">overall balance </w:t>
      </w:r>
      <w:r w:rsidR="004B12B8">
        <w:t xml:space="preserve">sheet. </w:t>
      </w:r>
      <w:r w:rsidR="00C21CDF">
        <w:t>T</w:t>
      </w:r>
      <w:r w:rsidR="00DB0313">
        <w:t xml:space="preserve">he Act </w:t>
      </w:r>
      <w:r w:rsidR="00C21CDF">
        <w:t xml:space="preserve">intends </w:t>
      </w:r>
      <w:r w:rsidR="00DB0313">
        <w:t xml:space="preserve">that </w:t>
      </w:r>
      <w:r w:rsidR="004B12B8">
        <w:t xml:space="preserve">the </w:t>
      </w:r>
      <w:r w:rsidR="00DB0313">
        <w:t xml:space="preserve">cost </w:t>
      </w:r>
      <w:r w:rsidR="004B12B8">
        <w:t>of regulation</w:t>
      </w:r>
      <w:r w:rsidR="00A14A70">
        <w:t xml:space="preserve"> is </w:t>
      </w:r>
      <w:r w:rsidR="00014346">
        <w:t xml:space="preserve">funded by the sector. </w:t>
      </w:r>
      <w:r>
        <w:t xml:space="preserve">If fees and/or costs are not adjusted </w:t>
      </w:r>
      <w:r w:rsidR="002545A3">
        <w:t>at this time</w:t>
      </w:r>
      <w:r w:rsidR="001B7CAF">
        <w:t>,</w:t>
      </w:r>
      <w:r w:rsidR="002545A3">
        <w:t xml:space="preserve"> </w:t>
      </w:r>
      <w:r>
        <w:t xml:space="preserve">the deficit between revenue and costs </w:t>
      </w:r>
      <w:r w:rsidR="006B525F">
        <w:t xml:space="preserve">and the memorandum account deficit </w:t>
      </w:r>
      <w:r>
        <w:t>will continue to grow</w:t>
      </w:r>
      <w:r w:rsidR="006C4FB6">
        <w:t>.</w:t>
      </w:r>
    </w:p>
    <w:p w:rsidR="00287417" w:rsidRPr="00287417" w:rsidRDefault="00287417" w:rsidP="00287417">
      <w:pPr>
        <w:pStyle w:val="Numberedpara3level1"/>
        <w:numPr>
          <w:ilvl w:val="0"/>
          <w:numId w:val="0"/>
        </w:numPr>
        <w:rPr>
          <w:i/>
        </w:rPr>
      </w:pPr>
      <w:r w:rsidRPr="00287417">
        <w:rPr>
          <w:i/>
        </w:rPr>
        <w:t>Constraint</w:t>
      </w:r>
      <w:r w:rsidR="006D40E2">
        <w:rPr>
          <w:i/>
        </w:rPr>
        <w:t>s</w:t>
      </w:r>
    </w:p>
    <w:p w:rsidR="00D94FEC" w:rsidRDefault="00837BBF" w:rsidP="00F802F6">
      <w:pPr>
        <w:pStyle w:val="Numberedpara3level1"/>
      </w:pPr>
      <w:r>
        <w:t xml:space="preserve">Options for fee levels </w:t>
      </w:r>
      <w:r w:rsidR="002545A3">
        <w:t xml:space="preserve">need to be set at </w:t>
      </w:r>
      <w:r w:rsidR="000F64A3">
        <w:t>r</w:t>
      </w:r>
      <w:r w:rsidR="002545A3">
        <w:t>ates that</w:t>
      </w:r>
      <w:r w:rsidR="00933D81">
        <w:t xml:space="preserve"> address </w:t>
      </w:r>
      <w:r w:rsidR="002545A3">
        <w:t>the Department’s operating deficit and memor</w:t>
      </w:r>
      <w:r w:rsidR="00F95806">
        <w:t xml:space="preserve">andum account deficit. </w:t>
      </w:r>
      <w:r w:rsidR="004627FC">
        <w:t xml:space="preserve">The Department does </w:t>
      </w:r>
      <w:r w:rsidR="00361FB6">
        <w:t>not propos</w:t>
      </w:r>
      <w:r w:rsidR="009C2A20">
        <w:t>e</w:t>
      </w:r>
      <w:r w:rsidR="00361FB6">
        <w:t xml:space="preserve"> a </w:t>
      </w:r>
      <w:r w:rsidR="00F95806">
        <w:t xml:space="preserve">capital injection from the Crown to </w:t>
      </w:r>
      <w:r w:rsidR="00D31315">
        <w:t>address</w:t>
      </w:r>
      <w:r w:rsidR="00F95806">
        <w:t xml:space="preserve"> the </w:t>
      </w:r>
      <w:r w:rsidR="000F64A3">
        <w:t xml:space="preserve">memorandum account </w:t>
      </w:r>
      <w:r w:rsidR="00F95806">
        <w:t>deficit</w:t>
      </w:r>
      <w:r w:rsidR="00770B5B">
        <w:t xml:space="preserve"> in line with the intent of the Act</w:t>
      </w:r>
      <w:r w:rsidR="008502AA">
        <w:t>.</w:t>
      </w:r>
      <w:r w:rsidR="00215A74">
        <w:t xml:space="preserve"> </w:t>
      </w:r>
      <w:r w:rsidR="00A13B2E">
        <w:t xml:space="preserve">A capital injection </w:t>
      </w:r>
      <w:r w:rsidR="00F802F6">
        <w:t xml:space="preserve">would also move away from Treasury’s </w:t>
      </w:r>
      <w:r w:rsidR="00AE0335">
        <w:t xml:space="preserve">Guidelines for Setting Charges in the Public Sector 2002. </w:t>
      </w:r>
      <w:r w:rsidR="00F802F6">
        <w:t xml:space="preserve"> </w:t>
      </w:r>
    </w:p>
    <w:p w:rsidR="000F64A3" w:rsidRPr="006D2071" w:rsidRDefault="003B11D6" w:rsidP="00E25893">
      <w:pPr>
        <w:pStyle w:val="Numberedpara3level1"/>
      </w:pPr>
      <w:r>
        <w:t xml:space="preserve">However the </w:t>
      </w:r>
      <w:r w:rsidR="00110A1D">
        <w:t xml:space="preserve">dependencies between </w:t>
      </w:r>
      <w:r w:rsidR="00CD1C88">
        <w:t xml:space="preserve">machine numbers as the basis for </w:t>
      </w:r>
      <w:r w:rsidR="00F612C4">
        <w:t>fees</w:t>
      </w:r>
      <w:r w:rsidR="00CD1C88">
        <w:t>,</w:t>
      </w:r>
      <w:r w:rsidR="00F612C4">
        <w:t xml:space="preserve"> </w:t>
      </w:r>
      <w:r w:rsidR="00110A1D">
        <w:t xml:space="preserve">sector dynamics </w:t>
      </w:r>
      <w:r w:rsidR="00933D81">
        <w:t xml:space="preserve">and </w:t>
      </w:r>
      <w:r w:rsidR="00F612C4">
        <w:t xml:space="preserve">return to the </w:t>
      </w:r>
      <w:r w:rsidR="00933D81">
        <w:t xml:space="preserve">community </w:t>
      </w:r>
      <w:r w:rsidR="00110A1D">
        <w:t xml:space="preserve">mean that </w:t>
      </w:r>
      <w:r>
        <w:t xml:space="preserve">the Department </w:t>
      </w:r>
      <w:r w:rsidR="00110A1D">
        <w:t>is constrained in the level to which it can increase fees</w:t>
      </w:r>
      <w:r w:rsidR="00206B05">
        <w:t xml:space="preserve"> and there</w:t>
      </w:r>
      <w:r w:rsidR="00693683">
        <w:t>by</w:t>
      </w:r>
      <w:r w:rsidR="00206B05">
        <w:t xml:space="preserve"> recover its true costs.</w:t>
      </w:r>
      <w:r w:rsidR="00F612C4">
        <w:t xml:space="preserve"> If fees are </w:t>
      </w:r>
      <w:r w:rsidR="00061E16">
        <w:t>set too high</w:t>
      </w:r>
      <w:r w:rsidR="00507DF3">
        <w:t>,</w:t>
      </w:r>
      <w:r w:rsidR="00061E16">
        <w:t xml:space="preserve"> both the </w:t>
      </w:r>
      <w:r w:rsidR="005A44F1">
        <w:t xml:space="preserve">minimum rate of </w:t>
      </w:r>
      <w:r w:rsidR="00F612C4">
        <w:t xml:space="preserve">return to communities and </w:t>
      </w:r>
      <w:r w:rsidR="005A44F1">
        <w:t>the overall amount of community funding will be jeopardised.</w:t>
      </w:r>
    </w:p>
    <w:p w:rsidR="00264E9B" w:rsidRDefault="00264E9B" w:rsidP="00B302E6">
      <w:pPr>
        <w:pStyle w:val="Heading1"/>
      </w:pPr>
      <w:bookmarkStart w:id="3" w:name="_Toc431562991"/>
      <w:r>
        <w:t>Objective</w:t>
      </w:r>
      <w:bookmarkEnd w:id="3"/>
    </w:p>
    <w:p w:rsidR="00A74A09" w:rsidRDefault="003353FD" w:rsidP="00DB0110">
      <w:pPr>
        <w:pStyle w:val="Numberedpara3level1"/>
      </w:pPr>
      <w:r>
        <w:t>T</w:t>
      </w:r>
      <w:r w:rsidR="00524F33">
        <w:t xml:space="preserve">he </w:t>
      </w:r>
      <w:r w:rsidR="00EE3273">
        <w:t>objective</w:t>
      </w:r>
      <w:r w:rsidR="009A672A">
        <w:t xml:space="preserve"> is </w:t>
      </w:r>
      <w:r w:rsidR="00BE07DF">
        <w:t>to</w:t>
      </w:r>
      <w:r w:rsidR="00A74A09">
        <w:t>:</w:t>
      </w:r>
      <w:r w:rsidR="00BE07DF">
        <w:t xml:space="preserve"> </w:t>
      </w:r>
    </w:p>
    <w:p w:rsidR="00A74A09" w:rsidRDefault="00DB0110" w:rsidP="00A74A09">
      <w:pPr>
        <w:pStyle w:val="Bullet"/>
      </w:pPr>
      <w:r>
        <w:t>reco</w:t>
      </w:r>
      <w:r w:rsidR="004F26F0">
        <w:t xml:space="preserve">ver the Department’s </w:t>
      </w:r>
      <w:r w:rsidR="00524F33">
        <w:t>costs of gambling regulation</w:t>
      </w:r>
      <w:r w:rsidR="003B11D6">
        <w:t xml:space="preserve"> </w:t>
      </w:r>
      <w:r w:rsidR="00A74A09">
        <w:t xml:space="preserve">(the costs of maintaining the Department’s current levels of regulatory oversight); </w:t>
      </w:r>
    </w:p>
    <w:p w:rsidR="00BA3D05" w:rsidRDefault="003B11D6" w:rsidP="00BA3D05">
      <w:pPr>
        <w:pStyle w:val="Bullet"/>
      </w:pPr>
      <w:r>
        <w:t xml:space="preserve">reduce the deficit </w:t>
      </w:r>
      <w:r w:rsidR="001E064F">
        <w:t>in the memorandum account</w:t>
      </w:r>
      <w:r w:rsidR="00A1126E">
        <w:t xml:space="preserve"> over time</w:t>
      </w:r>
      <w:r w:rsidR="00A400C3">
        <w:t xml:space="preserve"> (</w:t>
      </w:r>
      <w:r w:rsidR="00CD1C88">
        <w:t>taking in</w:t>
      </w:r>
      <w:r w:rsidR="004F2740">
        <w:t>to account the constraint</w:t>
      </w:r>
      <w:r w:rsidR="00B94370">
        <w:t xml:space="preserve"> that any fee increases need to balance the impact on societies’ ability to meet their other costs</w:t>
      </w:r>
      <w:r w:rsidR="00A400C3">
        <w:t>)</w:t>
      </w:r>
      <w:r w:rsidR="008502AA">
        <w:t>; and</w:t>
      </w:r>
    </w:p>
    <w:p w:rsidR="008502AA" w:rsidRDefault="008502AA" w:rsidP="00BA3D05">
      <w:pPr>
        <w:pStyle w:val="Bullet"/>
      </w:pPr>
      <w:r>
        <w:t>maintain an adequate level of regulation.</w:t>
      </w:r>
    </w:p>
    <w:p w:rsidR="003353FD" w:rsidRDefault="00117A2C" w:rsidP="003353FD">
      <w:pPr>
        <w:pStyle w:val="Numberedpara3level1"/>
      </w:pPr>
      <w:r>
        <w:t>Recovery of the Department’s costs</w:t>
      </w:r>
      <w:r w:rsidR="00524F33">
        <w:t xml:space="preserve"> of regulation</w:t>
      </w:r>
      <w:r>
        <w:t xml:space="preserve"> and reducing the deficit in the memorandum account </w:t>
      </w:r>
      <w:r w:rsidR="00832DEE">
        <w:t>will address the issue</w:t>
      </w:r>
      <w:r>
        <w:t xml:space="preserve"> until</w:t>
      </w:r>
      <w:r w:rsidR="00BA2A6C">
        <w:t xml:space="preserve"> </w:t>
      </w:r>
      <w:r w:rsidR="00ED24A5">
        <w:t xml:space="preserve">additional </w:t>
      </w:r>
      <w:r w:rsidR="00BA2A6C">
        <w:t xml:space="preserve">work is done on the cost </w:t>
      </w:r>
      <w:r w:rsidR="004F7FE0">
        <w:t>recovery model for gambling regulation.</w:t>
      </w:r>
    </w:p>
    <w:p w:rsidR="00D85EE5" w:rsidRDefault="00D85EE5" w:rsidP="00D85EE5">
      <w:pPr>
        <w:pStyle w:val="Numberedpara3level1"/>
      </w:pPr>
      <w:r>
        <w:t xml:space="preserve">The </w:t>
      </w:r>
      <w:r w:rsidR="00AF2670">
        <w:t xml:space="preserve">following </w:t>
      </w:r>
      <w:r>
        <w:t xml:space="preserve">criteria </w:t>
      </w:r>
      <w:r w:rsidR="00AF2670">
        <w:t xml:space="preserve">were </w:t>
      </w:r>
      <w:r>
        <w:t xml:space="preserve">used </w:t>
      </w:r>
      <w:r w:rsidR="00AF2670">
        <w:t>to assess the options against the objective</w:t>
      </w:r>
      <w:r>
        <w:t>:</w:t>
      </w:r>
    </w:p>
    <w:p w:rsidR="00D85EE5" w:rsidRDefault="00FF0ED3" w:rsidP="00D85EE5">
      <w:pPr>
        <w:pStyle w:val="Numberedpara1level3a"/>
      </w:pPr>
      <w:r>
        <w:t>T</w:t>
      </w:r>
      <w:r w:rsidR="001168F1">
        <w:t>he option r</w:t>
      </w:r>
      <w:r w:rsidR="00D85EE5">
        <w:t>ecover</w:t>
      </w:r>
      <w:r>
        <w:t>s</w:t>
      </w:r>
      <w:r w:rsidR="001168F1">
        <w:t xml:space="preserve"> </w:t>
      </w:r>
      <w:r w:rsidR="00D85EE5">
        <w:t xml:space="preserve">the Department’s </w:t>
      </w:r>
      <w:r w:rsidR="00AF2670">
        <w:t xml:space="preserve">costs of gambling regulation and </w:t>
      </w:r>
      <w:r w:rsidR="00D85EE5">
        <w:t>reduce</w:t>
      </w:r>
      <w:r>
        <w:t>s</w:t>
      </w:r>
      <w:r w:rsidR="00D85EE5">
        <w:t xml:space="preserve"> the </w:t>
      </w:r>
      <w:r w:rsidR="009C7F12">
        <w:t>deficit in the memorandum account</w:t>
      </w:r>
    </w:p>
    <w:p w:rsidR="00D85EE5" w:rsidRDefault="00FF0ED3" w:rsidP="00D85EE5">
      <w:pPr>
        <w:pStyle w:val="Numberedpara1level3a"/>
      </w:pPr>
      <w:r>
        <w:t xml:space="preserve">Societies meet the </w:t>
      </w:r>
      <w:r w:rsidR="00D85EE5">
        <w:t>minimum rate of return to communities</w:t>
      </w:r>
    </w:p>
    <w:p w:rsidR="00D85EE5" w:rsidRDefault="001465EA" w:rsidP="00D85EE5">
      <w:pPr>
        <w:pStyle w:val="Numberedpara1level3a"/>
      </w:pPr>
      <w:r>
        <w:t>F</w:t>
      </w:r>
      <w:r w:rsidR="00D85EE5">
        <w:t>unding to communities</w:t>
      </w:r>
      <w:r>
        <w:t xml:space="preserve"> is not reduced</w:t>
      </w:r>
    </w:p>
    <w:p w:rsidR="00D85EE5" w:rsidRPr="004D664E" w:rsidRDefault="009A735E" w:rsidP="00D85EE5">
      <w:pPr>
        <w:pStyle w:val="Numberedpara1level3a"/>
      </w:pPr>
      <w:r>
        <w:t>Cost recovery from fees is not impacted</w:t>
      </w:r>
      <w:r w:rsidR="00D85EE5">
        <w:t xml:space="preserve"> </w:t>
      </w:r>
    </w:p>
    <w:p w:rsidR="00264E9B" w:rsidRDefault="00264E9B" w:rsidP="00B302E6">
      <w:pPr>
        <w:pStyle w:val="Heading1"/>
      </w:pPr>
      <w:bookmarkStart w:id="4" w:name="_Toc431562992"/>
      <w:r>
        <w:t>Options</w:t>
      </w:r>
      <w:bookmarkEnd w:id="4"/>
      <w:r>
        <w:t xml:space="preserve"> </w:t>
      </w:r>
    </w:p>
    <w:p w:rsidR="00FB0E14" w:rsidRDefault="00EE5C1A" w:rsidP="00FB0E14">
      <w:pPr>
        <w:pStyle w:val="Numberedpara3level1"/>
      </w:pPr>
      <w:r>
        <w:t>The</w:t>
      </w:r>
      <w:r w:rsidR="006B7D31">
        <w:t xml:space="preserve"> Department has considered </w:t>
      </w:r>
      <w:r w:rsidR="00FA710F">
        <w:t>five option</w:t>
      </w:r>
      <w:r w:rsidR="00EF2C9C">
        <w:t>s</w:t>
      </w:r>
      <w:r w:rsidR="00FA710F">
        <w:t>, but has only evaluated three options in detail. These three are</w:t>
      </w:r>
      <w:r>
        <w:t>:</w:t>
      </w:r>
    </w:p>
    <w:p w:rsidR="00904389" w:rsidRDefault="00735F8D" w:rsidP="00FE441C">
      <w:pPr>
        <w:pStyle w:val="Bullet"/>
      </w:pPr>
      <w:r>
        <w:t xml:space="preserve">Option one: </w:t>
      </w:r>
      <w:r w:rsidR="00FE441C">
        <w:t>the status quo</w:t>
      </w:r>
      <w:r w:rsidR="00093DFA">
        <w:t xml:space="preserve"> (maintain fees at current levels)</w:t>
      </w:r>
      <w:r w:rsidR="00FE441C">
        <w:t xml:space="preserve"> </w:t>
      </w:r>
    </w:p>
    <w:p w:rsidR="00FE441C" w:rsidRDefault="00735F8D" w:rsidP="00FE441C">
      <w:pPr>
        <w:pStyle w:val="Bullet"/>
      </w:pPr>
      <w:r>
        <w:t xml:space="preserve">Option two: </w:t>
      </w:r>
      <w:r w:rsidR="00FE441C">
        <w:t>increase fees to cover gambling regulatory costs and reduce the memorandum account deficit over time (preferred option)</w:t>
      </w:r>
    </w:p>
    <w:p w:rsidR="00DD341E" w:rsidRDefault="00735F8D" w:rsidP="003B11D6">
      <w:pPr>
        <w:pStyle w:val="Bullet"/>
      </w:pPr>
      <w:r>
        <w:lastRenderedPageBreak/>
        <w:t xml:space="preserve">Option three: reduce </w:t>
      </w:r>
      <w:r w:rsidR="008E5E9F">
        <w:t xml:space="preserve">Departmental </w:t>
      </w:r>
      <w:r>
        <w:t>costs</w:t>
      </w:r>
      <w:r w:rsidR="002E6A0D">
        <w:t xml:space="preserve"> </w:t>
      </w:r>
      <w:r w:rsidR="00DD341E">
        <w:t xml:space="preserve"> </w:t>
      </w:r>
      <w:r w:rsidR="00CE12CA">
        <w:t>and seek a lower fee increase</w:t>
      </w:r>
    </w:p>
    <w:p w:rsidR="00AA39BF" w:rsidRDefault="00AA39BF" w:rsidP="00AA39BF">
      <w:pPr>
        <w:pStyle w:val="Numberedpara3level1"/>
      </w:pPr>
      <w:r>
        <w:t>The two options that have been dismissed for further analysis at this time are:</w:t>
      </w:r>
    </w:p>
    <w:p w:rsidR="00AA39BF" w:rsidRDefault="00AA39BF" w:rsidP="00AA39BF">
      <w:pPr>
        <w:pStyle w:val="Bullet"/>
      </w:pPr>
      <w:r>
        <w:t>Option four: an alternative approach to fee setting instead of gaming machines  - a viable alternative has not been found</w:t>
      </w:r>
    </w:p>
    <w:p w:rsidR="00AA39BF" w:rsidRDefault="00AA39BF" w:rsidP="00AA39BF">
      <w:pPr>
        <w:pStyle w:val="Bullet"/>
      </w:pPr>
      <w:r>
        <w:t>Option five: amending legislation so that government is authorised to absorb either: (a) a proportion of the costs of regulating gambling and/or (b) any shortfall of gaming machine funding to the community resulting from societies paying higher fees – the curent fiscal environment precludes a Crown contribution</w:t>
      </w:r>
    </w:p>
    <w:p w:rsidR="00DA72BE" w:rsidRDefault="00340357" w:rsidP="00DA72BE">
      <w:pPr>
        <w:pStyle w:val="Numberedpara3level1"/>
      </w:pPr>
      <w:r>
        <w:t xml:space="preserve">The options evaluated are described in more detail below. </w:t>
      </w:r>
      <w:r w:rsidR="00DA72BE">
        <w:t xml:space="preserve">The Department’s analysis of the impacts of each option is based on what is known to it in terms of societies’ GMP data for 2014/15, their current rate of return to communities, and the number of low and high GMP venues they hold. </w:t>
      </w:r>
    </w:p>
    <w:p w:rsidR="00DA72BE" w:rsidRDefault="00DA72BE" w:rsidP="00DA72BE">
      <w:pPr>
        <w:pStyle w:val="Numberedpara3level1"/>
      </w:pPr>
      <w:r w:rsidRPr="00D445AE">
        <w:t>Ultimately</w:t>
      </w:r>
      <w:r>
        <w:t>,</w:t>
      </w:r>
      <w:r w:rsidRPr="00D445AE">
        <w:t xml:space="preserve"> </w:t>
      </w:r>
      <w:r>
        <w:t>as</w:t>
      </w:r>
      <w:r w:rsidRPr="00D445AE">
        <w:t xml:space="preserve"> different societies have different cost structures, operating models and types of venues, it is difficult to know precisely how the sector will adapt</w:t>
      </w:r>
      <w:r>
        <w:t xml:space="preserve"> under each option</w:t>
      </w:r>
      <w:r w:rsidRPr="00D445AE">
        <w:t xml:space="preserve">. It is also difficult to be certain of exactly how many societies will choose to cease operating at low </w:t>
      </w:r>
      <w:r>
        <w:t>GMP</w:t>
      </w:r>
      <w:r w:rsidRPr="00D445AE">
        <w:t xml:space="preserve"> venues, and how many will exit the sector entirely</w:t>
      </w:r>
      <w:r>
        <w:t>.</w:t>
      </w:r>
      <w:r w:rsidRPr="00D445AE">
        <w:t xml:space="preserve"> </w:t>
      </w:r>
      <w:r w:rsidR="00542BDA">
        <w:t xml:space="preserve">In the event that societies were unable to meet the rate of return requirements and exit the sector, the impact on funding available to the community is difficult to estimate. </w:t>
      </w:r>
      <w:r w:rsidRPr="00AD3B88">
        <w:t xml:space="preserve">The </w:t>
      </w:r>
      <w:r>
        <w:t>impact</w:t>
      </w:r>
      <w:r w:rsidR="00542BDA">
        <w:t xml:space="preserve">s </w:t>
      </w:r>
      <w:r>
        <w:t>d</w:t>
      </w:r>
      <w:r w:rsidR="00456010">
        <w:t>epend</w:t>
      </w:r>
      <w:r w:rsidRPr="00AD3B88">
        <w:t xml:space="preserve"> on how many venues ar</w:t>
      </w:r>
      <w:r w:rsidR="009C17B8">
        <w:t>e picked u</w:t>
      </w:r>
      <w:r w:rsidR="00456010">
        <w:t>p by other societies and the extent to which patronage shifts to other venues.</w:t>
      </w:r>
    </w:p>
    <w:p w:rsidR="00AF2AD3" w:rsidRDefault="00AF2AD3" w:rsidP="00340357">
      <w:pPr>
        <w:pStyle w:val="NotforContentsheading2"/>
      </w:pPr>
      <w:r>
        <w:t>O</w:t>
      </w:r>
      <w:r w:rsidRPr="00340357">
        <w:t>ption one: status quo</w:t>
      </w:r>
      <w:r w:rsidR="00150134" w:rsidRPr="00340357">
        <w:t xml:space="preserve"> (maintain fees at current levels)</w:t>
      </w:r>
    </w:p>
    <w:p w:rsidR="004F7FE0" w:rsidRDefault="00AF2AD3" w:rsidP="00AF2AD3">
      <w:pPr>
        <w:pStyle w:val="Numberedpara3level1"/>
      </w:pPr>
      <w:r>
        <w:t>Under the status quo the Department would continue with the fee</w:t>
      </w:r>
      <w:r w:rsidR="005327B8">
        <w:t xml:space="preserve"> levels set in 2008.</w:t>
      </w:r>
      <w:r>
        <w:t xml:space="preserve"> The key feature</w:t>
      </w:r>
      <w:r w:rsidR="004F7FE0">
        <w:t>s</w:t>
      </w:r>
      <w:r>
        <w:t xml:space="preserve"> of the status quo </w:t>
      </w:r>
      <w:r w:rsidR="004F7FE0">
        <w:t>are:</w:t>
      </w:r>
    </w:p>
    <w:p w:rsidR="00904389" w:rsidRDefault="00AF2AD3" w:rsidP="0005453C">
      <w:pPr>
        <w:pStyle w:val="Bullet"/>
      </w:pPr>
      <w:r>
        <w:t>an increasing deficit between fees reve</w:t>
      </w:r>
      <w:r w:rsidR="00DE3EAE">
        <w:t xml:space="preserve">nue </w:t>
      </w:r>
      <w:r w:rsidR="00904389">
        <w:t>and gambling regulatory costs;</w:t>
      </w:r>
      <w:r w:rsidR="00DE3EAE">
        <w:t xml:space="preserve"> </w:t>
      </w:r>
      <w:r w:rsidR="00524F33">
        <w:t xml:space="preserve">and </w:t>
      </w:r>
    </w:p>
    <w:p w:rsidR="00D55D2C" w:rsidRDefault="00904389" w:rsidP="00DF5D6D">
      <w:pPr>
        <w:pStyle w:val="Bullet"/>
      </w:pPr>
      <w:r>
        <w:t xml:space="preserve">government </w:t>
      </w:r>
      <w:r w:rsidR="00AF2AD3">
        <w:t xml:space="preserve"> </w:t>
      </w:r>
      <w:r>
        <w:t>absorbing a proportion of the costs of regulating gambling</w:t>
      </w:r>
      <w:r w:rsidR="00524F33">
        <w:t>.</w:t>
      </w:r>
    </w:p>
    <w:p w:rsidR="00EC0D8C" w:rsidRDefault="00203FBE" w:rsidP="00334C78">
      <w:pPr>
        <w:pStyle w:val="Numberedpara3level1"/>
      </w:pPr>
      <w:r>
        <w:t xml:space="preserve">Maintaining the </w:t>
      </w:r>
      <w:r w:rsidR="004F1895">
        <w:t>current level of fees</w:t>
      </w:r>
      <w:r>
        <w:t xml:space="preserve"> would </w:t>
      </w:r>
      <w:r w:rsidR="008F5C43">
        <w:t xml:space="preserve">enable societies to more easily </w:t>
      </w:r>
      <w:r w:rsidR="00716F05">
        <w:t>meet the increases in the rate of return to communities.</w:t>
      </w:r>
    </w:p>
    <w:p w:rsidR="00EC0D8C" w:rsidRDefault="00962641" w:rsidP="00DB7698">
      <w:pPr>
        <w:pStyle w:val="Numberedpara3level1"/>
      </w:pPr>
      <w:r>
        <w:t xml:space="preserve">For the Department the status quo means that it would continue to incur significant financial deficits or face pressure to reduce the level of regulatory oversight it provides. </w:t>
      </w:r>
      <w:r w:rsidR="00EC0D8C">
        <w:t xml:space="preserve">A reduction in the level of oversight </w:t>
      </w:r>
      <w:r w:rsidR="00AD109A">
        <w:t xml:space="preserve">is likely to result in </w:t>
      </w:r>
      <w:r w:rsidR="00DB7698">
        <w:t xml:space="preserve">an increase in </w:t>
      </w:r>
      <w:r w:rsidR="00AD109A">
        <w:t>non-compliance w</w:t>
      </w:r>
      <w:r w:rsidR="00DB7698">
        <w:t xml:space="preserve">ith the statutory requirements. This </w:t>
      </w:r>
      <w:r w:rsidR="00DB7698" w:rsidRPr="00DB7698">
        <w:t>is likely to result in less money being returned to communities</w:t>
      </w:r>
      <w:r w:rsidR="005B50D0">
        <w:t>.</w:t>
      </w:r>
    </w:p>
    <w:p w:rsidR="00AD28C8" w:rsidRDefault="00962641" w:rsidP="00334C78">
      <w:pPr>
        <w:pStyle w:val="Numberedpara3level1"/>
      </w:pPr>
      <w:r>
        <w:t xml:space="preserve">Retaining the status quo would </w:t>
      </w:r>
      <w:r w:rsidR="00880F10">
        <w:t xml:space="preserve">also </w:t>
      </w:r>
      <w:r>
        <w:t xml:space="preserve">be incompatible with the need to maximise cost recovery in line with Treasury’s Guidelines for Setting Charges in the Public Sector 2002. </w:t>
      </w:r>
    </w:p>
    <w:p w:rsidR="006D7CC2" w:rsidRDefault="00A34511" w:rsidP="00A34511">
      <w:pPr>
        <w:pStyle w:val="NotforContentsheading2"/>
      </w:pPr>
      <w:r>
        <w:t>Option two: increase fees to cover gambling regulatory costs and reduce the memorandum account deficit over time (preferred option)</w:t>
      </w:r>
    </w:p>
    <w:p w:rsidR="00BA3E07" w:rsidRDefault="00807E0F" w:rsidP="00AA39BF">
      <w:pPr>
        <w:pStyle w:val="Numberedpara3level1"/>
      </w:pPr>
      <w:r>
        <w:t xml:space="preserve">Option two would involve fee increases that </w:t>
      </w:r>
      <w:r w:rsidR="00C1142C">
        <w:t xml:space="preserve">cover the </w:t>
      </w:r>
      <w:r w:rsidR="00BC04B2">
        <w:t xml:space="preserve">Departments </w:t>
      </w:r>
      <w:r w:rsidR="00524F33">
        <w:t xml:space="preserve">costs of </w:t>
      </w:r>
      <w:r w:rsidR="00BC04B2">
        <w:t xml:space="preserve">gambling </w:t>
      </w:r>
      <w:r w:rsidR="00524F33">
        <w:t xml:space="preserve">regulation </w:t>
      </w:r>
      <w:r>
        <w:t>per annum</w:t>
      </w:r>
      <w:r w:rsidR="00077983">
        <w:t xml:space="preserve"> </w:t>
      </w:r>
      <w:r w:rsidR="00077983" w:rsidRPr="004929F8">
        <w:rPr>
          <w:i/>
        </w:rPr>
        <w:t>and</w:t>
      </w:r>
      <w:r w:rsidR="00077983">
        <w:t xml:space="preserve"> </w:t>
      </w:r>
      <w:r w:rsidR="00C1142C">
        <w:t xml:space="preserve">reduce </w:t>
      </w:r>
      <w:r>
        <w:t>the deficit in the memorandum account</w:t>
      </w:r>
      <w:r w:rsidR="00AA39BF">
        <w:t xml:space="preserve"> over a ten-</w:t>
      </w:r>
      <w:r w:rsidR="00785B55">
        <w:t>year period</w:t>
      </w:r>
      <w:r w:rsidR="00077983">
        <w:t xml:space="preserve">. </w:t>
      </w:r>
    </w:p>
    <w:p w:rsidR="00045517" w:rsidRDefault="00C1142C" w:rsidP="00AA39BF">
      <w:pPr>
        <w:pStyle w:val="Numberedpara3level1"/>
      </w:pPr>
      <w:r>
        <w:lastRenderedPageBreak/>
        <w:t xml:space="preserve">The Department considers a ten-year period to be reasonable </w:t>
      </w:r>
      <w:r w:rsidR="00024349">
        <w:t>time frame over which to sp</w:t>
      </w:r>
      <w:r>
        <w:t xml:space="preserve">read </w:t>
      </w:r>
      <w:r w:rsidR="00932C1B">
        <w:t xml:space="preserve">the costs and reduce the scale of </w:t>
      </w:r>
      <w:r w:rsidR="00925ED4">
        <w:t>current fee payers subsiding the future</w:t>
      </w:r>
      <w:r w:rsidR="000876AF">
        <w:t xml:space="preserve"> and past</w:t>
      </w:r>
      <w:r w:rsidR="00925ED4">
        <w:t xml:space="preserve"> cost</w:t>
      </w:r>
      <w:r w:rsidR="00D36F9E">
        <w:t>s</w:t>
      </w:r>
      <w:r w:rsidR="00925ED4">
        <w:t xml:space="preserve"> of ga</w:t>
      </w:r>
      <w:r w:rsidR="00115867">
        <w:t xml:space="preserve">mbling regulation. </w:t>
      </w:r>
      <w:r w:rsidR="00DC6D63">
        <w:t xml:space="preserve">The modelling of this option assumes a 500 per year decline in machine numbers (based on data trends). Appendix </w:t>
      </w:r>
      <w:r w:rsidR="00DE58FE">
        <w:t>one</w:t>
      </w:r>
      <w:r w:rsidR="00DC6D63">
        <w:t xml:space="preserve"> provides more information about the model</w:t>
      </w:r>
      <w:r w:rsidR="007F657A">
        <w:t>ling of this option</w:t>
      </w:r>
      <w:r w:rsidR="00DC6D63">
        <w:t>.</w:t>
      </w:r>
    </w:p>
    <w:p w:rsidR="00FD7BAF" w:rsidRDefault="0011473C" w:rsidP="00636A4F">
      <w:pPr>
        <w:pStyle w:val="Numberedpara3level1"/>
      </w:pPr>
      <w:r>
        <w:t>F</w:t>
      </w:r>
      <w:r w:rsidR="00807E0F" w:rsidRPr="00371E24">
        <w:t xml:space="preserve">ees currently account for approximately 2.06 per cent of societies’ GST-exclusive gross </w:t>
      </w:r>
      <w:r w:rsidR="00807E0F">
        <w:t>GMP.</w:t>
      </w:r>
      <w:r w:rsidR="00807E0F" w:rsidRPr="00371E24">
        <w:t xml:space="preserve"> </w:t>
      </w:r>
      <w:r>
        <w:t xml:space="preserve">Under this option </w:t>
      </w:r>
      <w:r w:rsidR="006A5545">
        <w:t xml:space="preserve">fees would account for </w:t>
      </w:r>
      <w:r w:rsidR="00807E0F" w:rsidRPr="00371E24">
        <w:t xml:space="preserve">3.16 per cent in </w:t>
      </w:r>
      <w:r w:rsidR="00807E0F">
        <w:t>2016/17 (a 54 per cent increase in fees).</w:t>
      </w:r>
      <w:r>
        <w:t xml:space="preserve"> </w:t>
      </w:r>
      <w:r w:rsidR="00807E0F">
        <w:t xml:space="preserve">While some </w:t>
      </w:r>
      <w:r w:rsidR="00934D62">
        <w:t>charges</w:t>
      </w:r>
      <w:r w:rsidR="00807E0F">
        <w:t xml:space="preserve"> would increase, others would decrease as summarised </w:t>
      </w:r>
      <w:r w:rsidR="007F657A">
        <w:t xml:space="preserve">in the table </w:t>
      </w:r>
      <w:r w:rsidR="00807E0F">
        <w:t xml:space="preserve">below. (Appendix </w:t>
      </w:r>
      <w:r w:rsidR="00DE58FE">
        <w:t>two</w:t>
      </w:r>
      <w:r w:rsidR="00807E0F">
        <w:t xml:space="preserve"> sets out the complete list of fees that, under this option, will replace the fees currently specified in the fees regulations.)</w:t>
      </w:r>
    </w:p>
    <w:p w:rsidR="00807E0F" w:rsidRDefault="00807E0F" w:rsidP="00807E0F">
      <w:pPr>
        <w:pStyle w:val="Caption"/>
        <w:keepNext/>
      </w:pPr>
      <w:r>
        <w:t>Table 3: Summary of the changes to class 4 fees</w:t>
      </w:r>
      <w:r w:rsidR="00AA39BF">
        <w:t xml:space="preserve"> under option two</w:t>
      </w:r>
    </w:p>
    <w:tbl>
      <w:tblPr>
        <w:tblStyle w:val="DIATable"/>
        <w:tblW w:w="0" w:type="auto"/>
        <w:jc w:val="center"/>
        <w:tblLook w:val="04A0" w:firstRow="1" w:lastRow="0" w:firstColumn="1" w:lastColumn="0" w:noHBand="0" w:noVBand="1"/>
      </w:tblPr>
      <w:tblGrid>
        <w:gridCol w:w="5105"/>
        <w:gridCol w:w="998"/>
        <w:gridCol w:w="3076"/>
      </w:tblGrid>
      <w:tr w:rsidR="00807E0F" w:rsidTr="006D7CC2">
        <w:trPr>
          <w:cnfStyle w:val="100000000000" w:firstRow="1" w:lastRow="0" w:firstColumn="0" w:lastColumn="0" w:oddVBand="0" w:evenVBand="0" w:oddHBand="0" w:evenHBand="0" w:firstRowFirstColumn="0" w:firstRowLastColumn="0" w:lastRowFirstColumn="0" w:lastRowLastColumn="0"/>
          <w:jc w:val="center"/>
        </w:trPr>
        <w:tc>
          <w:tcPr>
            <w:tcW w:w="0" w:type="auto"/>
          </w:tcPr>
          <w:p w:rsidR="00807E0F" w:rsidRDefault="00807E0F" w:rsidP="006D7CC2">
            <w:pPr>
              <w:pStyle w:val="Numberedpara3level1"/>
              <w:numPr>
                <w:ilvl w:val="0"/>
                <w:numId w:val="0"/>
              </w:numPr>
              <w:jc w:val="center"/>
            </w:pPr>
            <w:r>
              <w:t>Fee type</w:t>
            </w:r>
          </w:p>
        </w:tc>
        <w:tc>
          <w:tcPr>
            <w:tcW w:w="0" w:type="auto"/>
          </w:tcPr>
          <w:p w:rsidR="00807E0F" w:rsidRDefault="00807E0F" w:rsidP="006D7CC2">
            <w:pPr>
              <w:pStyle w:val="Numberedpara3level1"/>
              <w:numPr>
                <w:ilvl w:val="0"/>
                <w:numId w:val="0"/>
              </w:numPr>
              <w:jc w:val="center"/>
            </w:pPr>
            <w:r>
              <w:t>Current fee</w:t>
            </w:r>
          </w:p>
        </w:tc>
        <w:tc>
          <w:tcPr>
            <w:tcW w:w="0" w:type="auto"/>
          </w:tcPr>
          <w:p w:rsidR="00807E0F" w:rsidRDefault="00807E0F" w:rsidP="006D7CC2">
            <w:pPr>
              <w:pStyle w:val="Numberedpara3level1"/>
              <w:numPr>
                <w:ilvl w:val="0"/>
                <w:numId w:val="0"/>
              </w:numPr>
              <w:jc w:val="center"/>
            </w:pPr>
            <w:r>
              <w:t>New fee under this option</w:t>
            </w:r>
          </w:p>
        </w:tc>
      </w:tr>
      <w:tr w:rsidR="00807E0F" w:rsidRPr="00F82B74" w:rsidTr="006D7CC2">
        <w:trPr>
          <w:jc w:val="center"/>
        </w:trPr>
        <w:tc>
          <w:tcPr>
            <w:tcW w:w="0" w:type="auto"/>
          </w:tcPr>
          <w:p w:rsidR="00807E0F" w:rsidRPr="00D52EF5" w:rsidRDefault="00807E0F" w:rsidP="006D7CC2">
            <w:pPr>
              <w:pStyle w:val="Numberedpara3level1"/>
              <w:numPr>
                <w:ilvl w:val="0"/>
                <w:numId w:val="0"/>
              </w:numPr>
              <w:rPr>
                <w:i/>
                <w:sz w:val="20"/>
                <w:szCs w:val="20"/>
              </w:rPr>
            </w:pPr>
            <w:r w:rsidRPr="00D52EF5">
              <w:rPr>
                <w:i/>
                <w:sz w:val="20"/>
                <w:szCs w:val="20"/>
              </w:rPr>
              <w:t xml:space="preserve">Class 4 annual compliance fee - </w:t>
            </w:r>
          </w:p>
          <w:p w:rsidR="00807E0F" w:rsidRPr="00D52EF5" w:rsidRDefault="00807E0F" w:rsidP="006D7CC2">
            <w:pPr>
              <w:pStyle w:val="Numberedpara3level1"/>
              <w:numPr>
                <w:ilvl w:val="0"/>
                <w:numId w:val="29"/>
              </w:numPr>
              <w:rPr>
                <w:sz w:val="20"/>
                <w:szCs w:val="20"/>
              </w:rPr>
            </w:pPr>
            <w:r w:rsidRPr="00D52EF5">
              <w:rPr>
                <w:sz w:val="20"/>
                <w:szCs w:val="20"/>
              </w:rPr>
              <w:t>non-club societies and large club societies (eight machines plus)</w:t>
            </w:r>
          </w:p>
          <w:p w:rsidR="00D52EF5" w:rsidRPr="00D52EF5" w:rsidRDefault="00D52EF5" w:rsidP="00C33E0E">
            <w:pPr>
              <w:pStyle w:val="Tablebullet"/>
              <w:numPr>
                <w:ilvl w:val="0"/>
                <w:numId w:val="0"/>
              </w:numPr>
              <w:rPr>
                <w:sz w:val="20"/>
                <w:szCs w:val="20"/>
              </w:rPr>
            </w:pPr>
          </w:p>
          <w:p w:rsidR="00807E0F" w:rsidRPr="00D52EF5" w:rsidRDefault="00807E0F" w:rsidP="005B00B3">
            <w:pPr>
              <w:pStyle w:val="Tablebullet"/>
              <w:rPr>
                <w:sz w:val="20"/>
                <w:szCs w:val="20"/>
              </w:rPr>
            </w:pPr>
            <w:r w:rsidRPr="00D52EF5">
              <w:rPr>
                <w:sz w:val="20"/>
                <w:szCs w:val="20"/>
              </w:rPr>
              <w:t>small club societies (seven or fewer machines)</w:t>
            </w:r>
          </w:p>
        </w:tc>
        <w:tc>
          <w:tcPr>
            <w:tcW w:w="0" w:type="auto"/>
          </w:tcPr>
          <w:p w:rsidR="00807E0F" w:rsidRPr="00D52EF5" w:rsidRDefault="00807E0F" w:rsidP="006D7CC2">
            <w:pPr>
              <w:pStyle w:val="Numberedpara3level1"/>
              <w:numPr>
                <w:ilvl w:val="0"/>
                <w:numId w:val="0"/>
              </w:numPr>
              <w:jc w:val="center"/>
              <w:rPr>
                <w:sz w:val="20"/>
                <w:szCs w:val="20"/>
              </w:rPr>
            </w:pPr>
          </w:p>
          <w:p w:rsidR="00807E0F" w:rsidRPr="00D52EF5" w:rsidRDefault="00807E0F" w:rsidP="006D7CC2">
            <w:pPr>
              <w:pStyle w:val="Numberedpara3level1"/>
              <w:numPr>
                <w:ilvl w:val="0"/>
                <w:numId w:val="0"/>
              </w:numPr>
              <w:jc w:val="center"/>
              <w:rPr>
                <w:sz w:val="20"/>
                <w:szCs w:val="20"/>
              </w:rPr>
            </w:pPr>
            <w:r w:rsidRPr="00D52EF5">
              <w:rPr>
                <w:sz w:val="20"/>
                <w:szCs w:val="20"/>
              </w:rPr>
              <w:t>$378</w:t>
            </w:r>
          </w:p>
          <w:p w:rsidR="00807E0F" w:rsidRPr="00D52EF5" w:rsidRDefault="00807E0F" w:rsidP="006D7CC2">
            <w:pPr>
              <w:pStyle w:val="Numberedpara3level1"/>
              <w:numPr>
                <w:ilvl w:val="0"/>
                <w:numId w:val="0"/>
              </w:numPr>
              <w:jc w:val="center"/>
              <w:rPr>
                <w:sz w:val="20"/>
                <w:szCs w:val="20"/>
              </w:rPr>
            </w:pPr>
          </w:p>
          <w:p w:rsidR="005B00B3" w:rsidRPr="005B00B3" w:rsidRDefault="005B00B3" w:rsidP="005B00B3">
            <w:pPr>
              <w:pStyle w:val="Numberedpara3level1"/>
              <w:numPr>
                <w:ilvl w:val="0"/>
                <w:numId w:val="0"/>
              </w:numPr>
              <w:spacing w:before="0" w:after="44"/>
              <w:jc w:val="center"/>
              <w:rPr>
                <w:sz w:val="8"/>
                <w:szCs w:val="8"/>
              </w:rPr>
            </w:pPr>
          </w:p>
          <w:p w:rsidR="00807E0F" w:rsidRPr="00D52EF5" w:rsidRDefault="00807E0F" w:rsidP="005B00B3">
            <w:pPr>
              <w:pStyle w:val="Numberedpara3level1"/>
              <w:numPr>
                <w:ilvl w:val="0"/>
                <w:numId w:val="0"/>
              </w:numPr>
              <w:spacing w:before="0" w:after="44"/>
              <w:jc w:val="center"/>
              <w:rPr>
                <w:sz w:val="20"/>
                <w:szCs w:val="20"/>
              </w:rPr>
            </w:pPr>
            <w:r w:rsidRPr="00D52EF5">
              <w:rPr>
                <w:sz w:val="20"/>
                <w:szCs w:val="20"/>
              </w:rPr>
              <w:t>$378</w:t>
            </w:r>
          </w:p>
        </w:tc>
        <w:tc>
          <w:tcPr>
            <w:tcW w:w="0" w:type="auto"/>
          </w:tcPr>
          <w:p w:rsidR="00807E0F" w:rsidRPr="00D52EF5" w:rsidRDefault="00807E0F" w:rsidP="006D7CC2">
            <w:pPr>
              <w:pStyle w:val="Numberedpara3level1"/>
              <w:numPr>
                <w:ilvl w:val="0"/>
                <w:numId w:val="0"/>
              </w:numPr>
              <w:rPr>
                <w:sz w:val="20"/>
                <w:szCs w:val="20"/>
              </w:rPr>
            </w:pPr>
          </w:p>
          <w:p w:rsidR="00D52EF5" w:rsidRPr="00D52EF5" w:rsidRDefault="00807E0F" w:rsidP="00D52EF5">
            <w:pPr>
              <w:pStyle w:val="Numberedpara3level1"/>
              <w:numPr>
                <w:ilvl w:val="0"/>
                <w:numId w:val="0"/>
              </w:numPr>
              <w:ind w:left="12" w:hanging="12"/>
              <w:rPr>
                <w:sz w:val="20"/>
                <w:szCs w:val="20"/>
              </w:rPr>
            </w:pPr>
            <w:r w:rsidRPr="00D52EF5">
              <w:rPr>
                <w:sz w:val="20"/>
                <w:szCs w:val="20"/>
              </w:rPr>
              <w:t>$595.77 - in first year, with stepped increases in subsequent years</w:t>
            </w:r>
          </w:p>
          <w:p w:rsidR="00807E0F" w:rsidRPr="00D52EF5" w:rsidRDefault="00807E0F" w:rsidP="00C33E0E">
            <w:pPr>
              <w:pStyle w:val="Numberedpara3level1"/>
              <w:numPr>
                <w:ilvl w:val="0"/>
                <w:numId w:val="0"/>
              </w:numPr>
              <w:rPr>
                <w:sz w:val="20"/>
                <w:szCs w:val="20"/>
              </w:rPr>
            </w:pPr>
            <w:r w:rsidRPr="00D52EF5">
              <w:rPr>
                <w:sz w:val="20"/>
                <w:szCs w:val="20"/>
              </w:rPr>
              <w:t>$295.50 - lowered to reflect the lower compliance costs these club societies present to the Department</w:t>
            </w:r>
          </w:p>
        </w:tc>
      </w:tr>
      <w:tr w:rsidR="00807E0F" w:rsidRPr="00F82B74" w:rsidTr="006D7CC2">
        <w:trPr>
          <w:jc w:val="center"/>
        </w:trPr>
        <w:tc>
          <w:tcPr>
            <w:tcW w:w="0" w:type="auto"/>
          </w:tcPr>
          <w:p w:rsidR="00807E0F" w:rsidRPr="00D52EF5" w:rsidRDefault="00807E0F" w:rsidP="006D7CC2">
            <w:pPr>
              <w:pStyle w:val="Numberedpara3level1"/>
              <w:numPr>
                <w:ilvl w:val="0"/>
                <w:numId w:val="0"/>
              </w:numPr>
              <w:rPr>
                <w:i/>
                <w:sz w:val="20"/>
                <w:szCs w:val="20"/>
              </w:rPr>
            </w:pPr>
            <w:r w:rsidRPr="00D52EF5">
              <w:rPr>
                <w:i/>
                <w:sz w:val="20"/>
                <w:szCs w:val="20"/>
              </w:rPr>
              <w:t xml:space="preserve">Class 4 daily monitoring fee – </w:t>
            </w:r>
          </w:p>
          <w:p w:rsidR="00807E0F" w:rsidRPr="00D52EF5" w:rsidRDefault="00807E0F" w:rsidP="006D7CC2">
            <w:pPr>
              <w:pStyle w:val="Numberedpara3level1"/>
              <w:numPr>
                <w:ilvl w:val="0"/>
                <w:numId w:val="30"/>
              </w:numPr>
              <w:rPr>
                <w:sz w:val="20"/>
                <w:szCs w:val="20"/>
              </w:rPr>
            </w:pPr>
            <w:r w:rsidRPr="00D52EF5">
              <w:rPr>
                <w:sz w:val="20"/>
                <w:szCs w:val="20"/>
              </w:rPr>
              <w:t xml:space="preserve">per machine per day (or part day) that the machine is switched on </w:t>
            </w:r>
          </w:p>
        </w:tc>
        <w:tc>
          <w:tcPr>
            <w:tcW w:w="0" w:type="auto"/>
          </w:tcPr>
          <w:p w:rsidR="00807E0F" w:rsidRPr="00D52EF5" w:rsidRDefault="00807E0F" w:rsidP="006D7CC2">
            <w:pPr>
              <w:pStyle w:val="Numberedpara3level1"/>
              <w:numPr>
                <w:ilvl w:val="0"/>
                <w:numId w:val="0"/>
              </w:numPr>
              <w:jc w:val="center"/>
              <w:rPr>
                <w:sz w:val="20"/>
                <w:szCs w:val="20"/>
              </w:rPr>
            </w:pPr>
          </w:p>
          <w:p w:rsidR="00807E0F" w:rsidRPr="00D52EF5" w:rsidRDefault="00807E0F" w:rsidP="006D7CC2">
            <w:pPr>
              <w:pStyle w:val="Numberedpara3level1"/>
              <w:numPr>
                <w:ilvl w:val="0"/>
                <w:numId w:val="0"/>
              </w:numPr>
              <w:jc w:val="center"/>
              <w:rPr>
                <w:sz w:val="20"/>
                <w:szCs w:val="20"/>
              </w:rPr>
            </w:pPr>
            <w:r w:rsidRPr="00D52EF5">
              <w:rPr>
                <w:sz w:val="20"/>
                <w:szCs w:val="20"/>
              </w:rPr>
              <w:t>$1.20</w:t>
            </w:r>
          </w:p>
        </w:tc>
        <w:tc>
          <w:tcPr>
            <w:tcW w:w="0" w:type="auto"/>
          </w:tcPr>
          <w:p w:rsidR="00807E0F" w:rsidRPr="00D52EF5" w:rsidRDefault="00807E0F" w:rsidP="006D7CC2">
            <w:pPr>
              <w:pStyle w:val="Numberedpara3level1"/>
              <w:numPr>
                <w:ilvl w:val="0"/>
                <w:numId w:val="0"/>
              </w:numPr>
              <w:jc w:val="center"/>
              <w:rPr>
                <w:sz w:val="20"/>
                <w:szCs w:val="20"/>
              </w:rPr>
            </w:pPr>
          </w:p>
          <w:p w:rsidR="00807E0F" w:rsidRPr="00D52EF5" w:rsidRDefault="00807E0F" w:rsidP="006D7CC2">
            <w:pPr>
              <w:pStyle w:val="Numberedpara3level1"/>
              <w:numPr>
                <w:ilvl w:val="0"/>
                <w:numId w:val="0"/>
              </w:numPr>
              <w:jc w:val="center"/>
              <w:rPr>
                <w:sz w:val="20"/>
                <w:szCs w:val="20"/>
              </w:rPr>
            </w:pPr>
            <w:r w:rsidRPr="00D52EF5">
              <w:rPr>
                <w:sz w:val="20"/>
                <w:szCs w:val="20"/>
              </w:rPr>
              <w:t>$1.90</w:t>
            </w:r>
          </w:p>
        </w:tc>
      </w:tr>
      <w:tr w:rsidR="00807E0F" w:rsidRPr="00624693" w:rsidTr="006D7CC2">
        <w:trPr>
          <w:jc w:val="center"/>
        </w:trPr>
        <w:tc>
          <w:tcPr>
            <w:tcW w:w="0" w:type="auto"/>
          </w:tcPr>
          <w:p w:rsidR="00807E0F" w:rsidRPr="00D52EF5" w:rsidRDefault="00807E0F" w:rsidP="006D7CC2">
            <w:pPr>
              <w:pStyle w:val="Numberedpara3level1"/>
              <w:numPr>
                <w:ilvl w:val="0"/>
                <w:numId w:val="0"/>
              </w:numPr>
              <w:rPr>
                <w:i/>
                <w:sz w:val="20"/>
                <w:szCs w:val="20"/>
              </w:rPr>
            </w:pPr>
            <w:r w:rsidRPr="00D52EF5">
              <w:rPr>
                <w:i/>
                <w:sz w:val="20"/>
                <w:szCs w:val="20"/>
              </w:rPr>
              <w:t xml:space="preserve">Class 4 licensing fee – </w:t>
            </w:r>
            <w:r w:rsidRPr="00D52EF5">
              <w:rPr>
                <w:sz w:val="20"/>
                <w:szCs w:val="20"/>
              </w:rPr>
              <w:t>needs to reflect the</w:t>
            </w:r>
            <w:r w:rsidRPr="00D52EF5">
              <w:rPr>
                <w:i/>
                <w:sz w:val="20"/>
                <w:szCs w:val="20"/>
              </w:rPr>
              <w:t xml:space="preserve"> </w:t>
            </w:r>
            <w:r w:rsidRPr="00D52EF5">
              <w:rPr>
                <w:sz w:val="20"/>
                <w:szCs w:val="20"/>
              </w:rPr>
              <w:t>significant due diligence of the Department in assessing the suitability of gambling operators and venue operators – this is not reflected in the current fees</w:t>
            </w:r>
          </w:p>
          <w:p w:rsidR="00807E0F" w:rsidRPr="00D52EF5" w:rsidRDefault="00807E0F" w:rsidP="006D7CC2">
            <w:pPr>
              <w:pStyle w:val="Numberedpara3level1"/>
              <w:numPr>
                <w:ilvl w:val="0"/>
                <w:numId w:val="31"/>
              </w:numPr>
              <w:rPr>
                <w:sz w:val="20"/>
                <w:szCs w:val="20"/>
              </w:rPr>
            </w:pPr>
            <w:r w:rsidRPr="00D52EF5">
              <w:rPr>
                <w:sz w:val="20"/>
                <w:szCs w:val="20"/>
              </w:rPr>
              <w:t xml:space="preserve">approvals for </w:t>
            </w:r>
            <w:r w:rsidRPr="00D52EF5">
              <w:rPr>
                <w:i/>
                <w:sz w:val="20"/>
                <w:szCs w:val="20"/>
              </w:rPr>
              <w:t xml:space="preserve">new </w:t>
            </w:r>
            <w:r w:rsidRPr="00D52EF5">
              <w:rPr>
                <w:sz w:val="20"/>
                <w:szCs w:val="20"/>
              </w:rPr>
              <w:t>class 4 non-club societies</w:t>
            </w:r>
          </w:p>
          <w:p w:rsidR="00807E0F" w:rsidRPr="00D52EF5" w:rsidRDefault="00807E0F" w:rsidP="006D7CC2">
            <w:pPr>
              <w:pStyle w:val="Numberedpara3level1"/>
              <w:numPr>
                <w:ilvl w:val="0"/>
                <w:numId w:val="31"/>
              </w:numPr>
              <w:rPr>
                <w:sz w:val="20"/>
                <w:szCs w:val="20"/>
              </w:rPr>
            </w:pPr>
            <w:r w:rsidRPr="00D52EF5">
              <w:rPr>
                <w:i/>
                <w:sz w:val="20"/>
                <w:szCs w:val="20"/>
              </w:rPr>
              <w:t xml:space="preserve">renewals </w:t>
            </w:r>
            <w:r w:rsidRPr="00D52EF5">
              <w:rPr>
                <w:sz w:val="20"/>
                <w:szCs w:val="20"/>
              </w:rPr>
              <w:t>of non-club society licenses</w:t>
            </w:r>
          </w:p>
          <w:p w:rsidR="00807E0F" w:rsidRPr="00D52EF5" w:rsidRDefault="00807E0F" w:rsidP="006D7CC2">
            <w:pPr>
              <w:pStyle w:val="Numberedpara3level1"/>
              <w:numPr>
                <w:ilvl w:val="0"/>
                <w:numId w:val="31"/>
              </w:numPr>
              <w:rPr>
                <w:sz w:val="20"/>
                <w:szCs w:val="20"/>
              </w:rPr>
            </w:pPr>
            <w:r w:rsidRPr="00D52EF5">
              <w:rPr>
                <w:i/>
                <w:sz w:val="20"/>
                <w:szCs w:val="20"/>
              </w:rPr>
              <w:t xml:space="preserve">new </w:t>
            </w:r>
            <w:r w:rsidRPr="00D52EF5">
              <w:rPr>
                <w:sz w:val="20"/>
                <w:szCs w:val="20"/>
              </w:rPr>
              <w:t>venue licenses (non-clubs)</w:t>
            </w:r>
          </w:p>
          <w:p w:rsidR="00807E0F" w:rsidRPr="00D52EF5" w:rsidRDefault="00807E0F" w:rsidP="006D7CC2">
            <w:pPr>
              <w:pStyle w:val="Numberedpara3level1"/>
              <w:numPr>
                <w:ilvl w:val="0"/>
                <w:numId w:val="31"/>
              </w:numPr>
              <w:rPr>
                <w:sz w:val="20"/>
                <w:szCs w:val="20"/>
              </w:rPr>
            </w:pPr>
            <w:r w:rsidRPr="00D52EF5">
              <w:rPr>
                <w:i/>
                <w:sz w:val="20"/>
                <w:szCs w:val="20"/>
              </w:rPr>
              <w:t>new</w:t>
            </w:r>
            <w:r w:rsidRPr="00D52EF5">
              <w:rPr>
                <w:sz w:val="20"/>
                <w:szCs w:val="20"/>
              </w:rPr>
              <w:t xml:space="preserve"> venue licences (clubs)</w:t>
            </w:r>
          </w:p>
          <w:p w:rsidR="00807E0F" w:rsidRPr="00D52EF5" w:rsidRDefault="00807E0F" w:rsidP="006D7CC2">
            <w:pPr>
              <w:pStyle w:val="Numberedpara3level1"/>
              <w:numPr>
                <w:ilvl w:val="0"/>
                <w:numId w:val="0"/>
              </w:numPr>
              <w:rPr>
                <w:sz w:val="20"/>
                <w:szCs w:val="20"/>
              </w:rPr>
            </w:pPr>
          </w:p>
        </w:tc>
        <w:tc>
          <w:tcPr>
            <w:tcW w:w="0" w:type="auto"/>
          </w:tcPr>
          <w:p w:rsidR="00807E0F" w:rsidRPr="00D52EF5" w:rsidRDefault="00807E0F" w:rsidP="006D7CC2">
            <w:pPr>
              <w:pStyle w:val="Numberedpara3level1"/>
              <w:numPr>
                <w:ilvl w:val="0"/>
                <w:numId w:val="0"/>
              </w:numPr>
              <w:jc w:val="center"/>
              <w:rPr>
                <w:sz w:val="20"/>
                <w:szCs w:val="20"/>
              </w:rPr>
            </w:pPr>
          </w:p>
          <w:p w:rsidR="00807E0F" w:rsidRPr="00D52EF5" w:rsidRDefault="00807E0F" w:rsidP="006D7CC2">
            <w:pPr>
              <w:pStyle w:val="Numberedpara3level1"/>
              <w:numPr>
                <w:ilvl w:val="0"/>
                <w:numId w:val="0"/>
              </w:numPr>
              <w:jc w:val="center"/>
              <w:rPr>
                <w:sz w:val="20"/>
                <w:szCs w:val="20"/>
              </w:rPr>
            </w:pPr>
          </w:p>
          <w:p w:rsidR="00807E0F" w:rsidRPr="00D52EF5" w:rsidRDefault="00807E0F" w:rsidP="006D7CC2">
            <w:pPr>
              <w:pStyle w:val="Numberedpara3level1"/>
              <w:numPr>
                <w:ilvl w:val="0"/>
                <w:numId w:val="0"/>
              </w:numPr>
              <w:jc w:val="center"/>
              <w:rPr>
                <w:sz w:val="20"/>
                <w:szCs w:val="20"/>
              </w:rPr>
            </w:pPr>
          </w:p>
          <w:p w:rsidR="00807E0F" w:rsidRPr="00D52EF5" w:rsidRDefault="00807E0F" w:rsidP="006D7CC2">
            <w:pPr>
              <w:pStyle w:val="Numberedpara3level1"/>
              <w:numPr>
                <w:ilvl w:val="0"/>
                <w:numId w:val="0"/>
              </w:numPr>
              <w:jc w:val="center"/>
              <w:rPr>
                <w:sz w:val="20"/>
                <w:szCs w:val="20"/>
              </w:rPr>
            </w:pPr>
            <w:r w:rsidRPr="00D52EF5">
              <w:rPr>
                <w:sz w:val="20"/>
                <w:szCs w:val="20"/>
              </w:rPr>
              <w:t>$3,616</w:t>
            </w:r>
            <w:r w:rsidRPr="00D52EF5">
              <w:rPr>
                <w:sz w:val="20"/>
                <w:szCs w:val="20"/>
              </w:rPr>
              <w:br/>
            </w:r>
            <w:r w:rsidRPr="00D52EF5">
              <w:rPr>
                <w:sz w:val="20"/>
                <w:szCs w:val="20"/>
              </w:rPr>
              <w:br/>
              <w:t>$2,261</w:t>
            </w:r>
          </w:p>
          <w:p w:rsidR="00807E0F" w:rsidRPr="00D52EF5" w:rsidRDefault="00807E0F" w:rsidP="006D7CC2">
            <w:pPr>
              <w:pStyle w:val="Numberedpara3level1"/>
              <w:numPr>
                <w:ilvl w:val="0"/>
                <w:numId w:val="0"/>
              </w:numPr>
              <w:jc w:val="center"/>
              <w:rPr>
                <w:sz w:val="20"/>
                <w:szCs w:val="20"/>
              </w:rPr>
            </w:pPr>
            <w:r w:rsidRPr="00D52EF5">
              <w:rPr>
                <w:sz w:val="20"/>
                <w:szCs w:val="20"/>
              </w:rPr>
              <w:t>$904</w:t>
            </w:r>
          </w:p>
          <w:p w:rsidR="00807E0F" w:rsidRPr="00D52EF5" w:rsidRDefault="00807E0F" w:rsidP="006D7CC2">
            <w:pPr>
              <w:pStyle w:val="Numberedpara3level1"/>
              <w:numPr>
                <w:ilvl w:val="0"/>
                <w:numId w:val="0"/>
              </w:numPr>
              <w:jc w:val="center"/>
              <w:rPr>
                <w:sz w:val="20"/>
                <w:szCs w:val="20"/>
              </w:rPr>
            </w:pPr>
            <w:r w:rsidRPr="00D52EF5">
              <w:rPr>
                <w:sz w:val="20"/>
                <w:szCs w:val="20"/>
              </w:rPr>
              <w:t>$678</w:t>
            </w:r>
          </w:p>
          <w:p w:rsidR="00807E0F" w:rsidRPr="00D52EF5" w:rsidRDefault="00807E0F" w:rsidP="006D7CC2">
            <w:pPr>
              <w:pStyle w:val="Numberedpara3level1"/>
              <w:numPr>
                <w:ilvl w:val="0"/>
                <w:numId w:val="0"/>
              </w:numPr>
              <w:jc w:val="center"/>
              <w:rPr>
                <w:sz w:val="20"/>
                <w:szCs w:val="20"/>
              </w:rPr>
            </w:pPr>
          </w:p>
        </w:tc>
        <w:tc>
          <w:tcPr>
            <w:tcW w:w="0" w:type="auto"/>
          </w:tcPr>
          <w:p w:rsidR="00807E0F" w:rsidRPr="00D52EF5" w:rsidRDefault="00807E0F" w:rsidP="006D7CC2">
            <w:pPr>
              <w:pStyle w:val="Numberedpara3level1"/>
              <w:numPr>
                <w:ilvl w:val="0"/>
                <w:numId w:val="0"/>
              </w:numPr>
              <w:jc w:val="center"/>
              <w:rPr>
                <w:sz w:val="20"/>
                <w:szCs w:val="20"/>
              </w:rPr>
            </w:pPr>
          </w:p>
          <w:p w:rsidR="00807E0F" w:rsidRPr="00D52EF5" w:rsidRDefault="00807E0F" w:rsidP="006D7CC2">
            <w:pPr>
              <w:pStyle w:val="Numberedpara3level1"/>
              <w:numPr>
                <w:ilvl w:val="0"/>
                <w:numId w:val="0"/>
              </w:numPr>
              <w:jc w:val="center"/>
              <w:rPr>
                <w:sz w:val="20"/>
                <w:szCs w:val="20"/>
              </w:rPr>
            </w:pPr>
          </w:p>
          <w:p w:rsidR="00807E0F" w:rsidRPr="00D52EF5" w:rsidRDefault="00807E0F" w:rsidP="006D7CC2">
            <w:pPr>
              <w:pStyle w:val="Numberedpara3level1"/>
              <w:numPr>
                <w:ilvl w:val="0"/>
                <w:numId w:val="0"/>
              </w:numPr>
              <w:jc w:val="center"/>
              <w:rPr>
                <w:sz w:val="20"/>
                <w:szCs w:val="20"/>
              </w:rPr>
            </w:pPr>
          </w:p>
          <w:p w:rsidR="00807E0F" w:rsidRPr="00D52EF5" w:rsidRDefault="00807E0F" w:rsidP="006D7CC2">
            <w:pPr>
              <w:pStyle w:val="Numberedpara3level1"/>
              <w:numPr>
                <w:ilvl w:val="0"/>
                <w:numId w:val="0"/>
              </w:numPr>
              <w:jc w:val="center"/>
              <w:rPr>
                <w:sz w:val="20"/>
                <w:szCs w:val="20"/>
              </w:rPr>
            </w:pPr>
            <w:r w:rsidRPr="00D52EF5">
              <w:rPr>
                <w:sz w:val="20"/>
                <w:szCs w:val="20"/>
              </w:rPr>
              <w:t>$15,795</w:t>
            </w:r>
            <w:r w:rsidRPr="00D52EF5">
              <w:rPr>
                <w:sz w:val="20"/>
                <w:szCs w:val="20"/>
              </w:rPr>
              <w:br/>
            </w:r>
            <w:r w:rsidRPr="00D52EF5">
              <w:rPr>
                <w:sz w:val="20"/>
                <w:szCs w:val="20"/>
              </w:rPr>
              <w:br/>
              <w:t>$10,246</w:t>
            </w:r>
          </w:p>
          <w:p w:rsidR="00807E0F" w:rsidRPr="00D52EF5" w:rsidRDefault="00807E0F" w:rsidP="006D7CC2">
            <w:pPr>
              <w:pStyle w:val="Numberedpara3level1"/>
              <w:numPr>
                <w:ilvl w:val="0"/>
                <w:numId w:val="0"/>
              </w:numPr>
              <w:jc w:val="center"/>
              <w:rPr>
                <w:sz w:val="20"/>
                <w:szCs w:val="20"/>
              </w:rPr>
            </w:pPr>
            <w:r w:rsidRPr="00D52EF5">
              <w:rPr>
                <w:sz w:val="20"/>
                <w:szCs w:val="20"/>
              </w:rPr>
              <w:t>$2,567</w:t>
            </w:r>
          </w:p>
          <w:p w:rsidR="00807E0F" w:rsidRPr="00D52EF5" w:rsidRDefault="00807E0F" w:rsidP="006D7CC2">
            <w:pPr>
              <w:pStyle w:val="Numberedpara3level1"/>
              <w:numPr>
                <w:ilvl w:val="0"/>
                <w:numId w:val="0"/>
              </w:numPr>
              <w:jc w:val="center"/>
              <w:rPr>
                <w:sz w:val="20"/>
                <w:szCs w:val="20"/>
              </w:rPr>
            </w:pPr>
            <w:r w:rsidRPr="00D52EF5">
              <w:rPr>
                <w:sz w:val="20"/>
                <w:szCs w:val="20"/>
              </w:rPr>
              <w:t>$2,054</w:t>
            </w:r>
          </w:p>
          <w:p w:rsidR="00807E0F" w:rsidRPr="00D52EF5" w:rsidRDefault="00807E0F" w:rsidP="006D7CC2">
            <w:pPr>
              <w:pStyle w:val="Numberedpara3level1"/>
              <w:numPr>
                <w:ilvl w:val="0"/>
                <w:numId w:val="0"/>
              </w:numPr>
              <w:jc w:val="center"/>
              <w:rPr>
                <w:sz w:val="20"/>
                <w:szCs w:val="20"/>
              </w:rPr>
            </w:pPr>
          </w:p>
        </w:tc>
      </w:tr>
    </w:tbl>
    <w:p w:rsidR="00705597" w:rsidRDefault="00705597" w:rsidP="005E6D6B">
      <w:pPr>
        <w:pStyle w:val="Numberedpara3level1"/>
      </w:pPr>
      <w:r w:rsidRPr="005E6D6B">
        <w:t xml:space="preserve">Option two </w:t>
      </w:r>
      <w:r w:rsidR="00670874">
        <w:t xml:space="preserve">would </w:t>
      </w:r>
      <w:r w:rsidR="00D71C22" w:rsidRPr="005E6D6B">
        <w:t>have a positive impact on cost recovery</w:t>
      </w:r>
      <w:r w:rsidR="005E6D6B" w:rsidRPr="005E6D6B">
        <w:t xml:space="preserve"> and on the </w:t>
      </w:r>
      <w:r w:rsidR="00DD0363">
        <w:t xml:space="preserve">Department’s </w:t>
      </w:r>
      <w:r w:rsidR="005E6D6B" w:rsidRPr="005E6D6B">
        <w:t>memorandum account deficit</w:t>
      </w:r>
      <w:r w:rsidR="00750D13">
        <w:t>. However</w:t>
      </w:r>
      <w:r w:rsidR="007730AD">
        <w:t xml:space="preserve">, depending on how </w:t>
      </w:r>
      <w:r w:rsidR="00750D13">
        <w:t xml:space="preserve">societies adapt to the option, </w:t>
      </w:r>
      <w:r w:rsidR="00E87D10">
        <w:t xml:space="preserve">it </w:t>
      </w:r>
      <w:r w:rsidR="002113C2">
        <w:t>could</w:t>
      </w:r>
      <w:r w:rsidR="00E87D10">
        <w:t xml:space="preserve"> </w:t>
      </w:r>
      <w:r w:rsidR="00750D13">
        <w:t xml:space="preserve">have </w:t>
      </w:r>
      <w:r w:rsidR="005E6D6B">
        <w:t>negative impact</w:t>
      </w:r>
      <w:r w:rsidR="00750D13">
        <w:t>s</w:t>
      </w:r>
      <w:r w:rsidR="005E6D6B">
        <w:t xml:space="preserve"> on </w:t>
      </w:r>
      <w:r w:rsidR="00D40AF1">
        <w:t>the</w:t>
      </w:r>
      <w:r w:rsidR="00750D13">
        <w:t>ir</w:t>
      </w:r>
      <w:r w:rsidR="00D40AF1">
        <w:t xml:space="preserve"> capacity to meet the </w:t>
      </w:r>
      <w:r w:rsidR="00750D13">
        <w:t xml:space="preserve">regulated increases in the minimum rate of return and on the amount of funding to communities. </w:t>
      </w:r>
    </w:p>
    <w:p w:rsidR="00340357" w:rsidRDefault="006A4DA0" w:rsidP="006A4DA0">
      <w:pPr>
        <w:pStyle w:val="Numberedpara3level1"/>
      </w:pPr>
      <w:r w:rsidRPr="006A4DA0">
        <w:t xml:space="preserve">Impacts on </w:t>
      </w:r>
      <w:r w:rsidR="00D94EF9">
        <w:t xml:space="preserve">the 270 </w:t>
      </w:r>
      <w:r w:rsidRPr="006A4DA0">
        <w:t>club societies (e.g. bowling clubs) are likely to be vari</w:t>
      </w:r>
      <w:r>
        <w:t>ed</w:t>
      </w:r>
      <w:r w:rsidRPr="006A4DA0">
        <w:t>, although these societies are not required to pay a return to the community or pay venue costs. Th</w:t>
      </w:r>
      <w:r>
        <w:t xml:space="preserve">is option </w:t>
      </w:r>
      <w:r w:rsidRPr="006A4DA0">
        <w:t>could impact the ongoing viability of s</w:t>
      </w:r>
      <w:r w:rsidR="00D94EF9">
        <w:t xml:space="preserve">mall </w:t>
      </w:r>
      <w:r w:rsidRPr="006A4DA0">
        <w:t>club operations, although these clubs have the option of merging and restoring their viability</w:t>
      </w:r>
    </w:p>
    <w:p w:rsidR="00AA4551" w:rsidRDefault="00AA4551" w:rsidP="0062075D">
      <w:pPr>
        <w:pStyle w:val="NotforContentsheading2"/>
      </w:pPr>
    </w:p>
    <w:p w:rsidR="00A34511" w:rsidRDefault="00A34511" w:rsidP="0062075D">
      <w:pPr>
        <w:pStyle w:val="NotforContentsheading2"/>
      </w:pPr>
      <w:r>
        <w:lastRenderedPageBreak/>
        <w:t xml:space="preserve">Option three </w:t>
      </w:r>
      <w:r w:rsidR="00150134">
        <w:t>(a com</w:t>
      </w:r>
      <w:r w:rsidR="00E45F82">
        <w:t xml:space="preserve">bination of cost cutting and a small </w:t>
      </w:r>
      <w:r w:rsidR="00150134">
        <w:t>fee increase)</w:t>
      </w:r>
    </w:p>
    <w:p w:rsidR="0062075D" w:rsidRDefault="0062075D" w:rsidP="00DC1B7D">
      <w:pPr>
        <w:pStyle w:val="Numberedpara3level1"/>
      </w:pPr>
      <w:r>
        <w:t xml:space="preserve">Under this option the </w:t>
      </w:r>
      <w:r w:rsidR="00150134">
        <w:t xml:space="preserve">Department would </w:t>
      </w:r>
      <w:r w:rsidR="00C57CC7">
        <w:t xml:space="preserve">seek a </w:t>
      </w:r>
      <w:r w:rsidR="00F0406B">
        <w:t xml:space="preserve">small </w:t>
      </w:r>
      <w:r w:rsidR="00DC1B7D">
        <w:t xml:space="preserve">fee increase </w:t>
      </w:r>
      <w:r w:rsidR="00F0406B">
        <w:t>(</w:t>
      </w:r>
      <w:r w:rsidR="00C57CC7">
        <w:t>half of what is proposed under option two</w:t>
      </w:r>
      <w:r w:rsidR="004929F8">
        <w:t xml:space="preserve">) </w:t>
      </w:r>
      <w:r w:rsidR="00DC1B7D">
        <w:t xml:space="preserve">and reduce its operating costs to the extent that these lower </w:t>
      </w:r>
      <w:r w:rsidR="00EA1C1F">
        <w:t xml:space="preserve">operating </w:t>
      </w:r>
      <w:r w:rsidR="00DC1B7D">
        <w:t>costs could be recovered by the lower fees.</w:t>
      </w:r>
      <w:r w:rsidR="005E75BB">
        <w:t xml:space="preserve"> </w:t>
      </w:r>
      <w:r w:rsidR="00B12663">
        <w:t xml:space="preserve">The memorandum account deficit </w:t>
      </w:r>
      <w:r w:rsidR="00536BE4">
        <w:t>will remain u</w:t>
      </w:r>
      <w:r w:rsidR="006D03D8">
        <w:t>naddressed under this option.</w:t>
      </w:r>
    </w:p>
    <w:p w:rsidR="003F1BEC" w:rsidRPr="009D66EA" w:rsidRDefault="003F1BEC" w:rsidP="003F1BEC">
      <w:pPr>
        <w:pStyle w:val="Numberedpara3level1"/>
      </w:pPr>
      <w:r w:rsidRPr="009D66EA">
        <w:t>A key drawback of this option is the ability of the Department to reduce its costs, as many are fixed irrespective o</w:t>
      </w:r>
      <w:r w:rsidR="00835D7E">
        <w:t>f the number of gaming machines, for example:</w:t>
      </w:r>
      <w:r w:rsidRPr="009D66EA">
        <w:t xml:space="preserve"> </w:t>
      </w:r>
    </w:p>
    <w:p w:rsidR="003F1BEC" w:rsidRPr="009D66EA" w:rsidRDefault="003F1BEC" w:rsidP="003F1BEC">
      <w:pPr>
        <w:pStyle w:val="Bullet"/>
      </w:pPr>
      <w:r w:rsidRPr="009D66EA">
        <w:t>the operation and maintenance of the EMS, which monitors all class 4 gaming machine-related activity</w:t>
      </w:r>
      <w:r>
        <w:t xml:space="preserve"> ( a requirement of the Act)</w:t>
      </w:r>
      <w:r w:rsidR="00835D7E">
        <w:t>; and</w:t>
      </w:r>
    </w:p>
    <w:p w:rsidR="00C601B6" w:rsidRDefault="003F1BEC" w:rsidP="00CB5C26">
      <w:pPr>
        <w:pStyle w:val="Bullet"/>
      </w:pPr>
      <w:r w:rsidRPr="009D66EA">
        <w:t>the implementation of the IGP (an integrated electronic solution) that replaces a legacy licensing system no longer fit for purpose and unsupported</w:t>
      </w:r>
      <w:r w:rsidR="00835D7E">
        <w:t>.</w:t>
      </w:r>
    </w:p>
    <w:p w:rsidR="003F1BEC" w:rsidRDefault="009A6F94" w:rsidP="009A6F94">
      <w:pPr>
        <w:pStyle w:val="Numberedpara3level1"/>
      </w:pPr>
      <w:r>
        <w:t xml:space="preserve">The savings in costs would therefore need to be found by </w:t>
      </w:r>
      <w:r w:rsidR="003F1BEC" w:rsidRPr="009D66EA">
        <w:t>reduc</w:t>
      </w:r>
      <w:r>
        <w:t xml:space="preserve">ing </w:t>
      </w:r>
      <w:r w:rsidR="003F1BEC" w:rsidRPr="009D66EA">
        <w:t>staff</w:t>
      </w:r>
      <w:r>
        <w:t>. In</w:t>
      </w:r>
      <w:r w:rsidR="003F1BEC" w:rsidRPr="009D66EA">
        <w:t>itial calculations show that a reduction of over 35 per cent of current staffing levels would need to be achieved over five years plus significant savings in other operational c</w:t>
      </w:r>
      <w:r w:rsidR="003F1BEC">
        <w:t>osts.</w:t>
      </w:r>
      <w:r>
        <w:t xml:space="preserve"> T</w:t>
      </w:r>
      <w:r w:rsidR="003F1BEC" w:rsidRPr="009D66EA">
        <w:t xml:space="preserve">he Department has already reduced staff numbers since the last fees review, and is currently operating at the lowest number of staff </w:t>
      </w:r>
      <w:r w:rsidR="00D57AFD">
        <w:t>employed in ga</w:t>
      </w:r>
      <w:r w:rsidR="002F2FB5">
        <w:t>mbling regulat</w:t>
      </w:r>
      <w:r w:rsidR="004817B3">
        <w:t>ory</w:t>
      </w:r>
      <w:r w:rsidR="002F2FB5">
        <w:t xml:space="preserve"> work </w:t>
      </w:r>
      <w:r w:rsidR="003F1BEC" w:rsidRPr="009D66EA">
        <w:t>since 2004</w:t>
      </w:r>
      <w:r w:rsidR="00432DDA">
        <w:t xml:space="preserve"> </w:t>
      </w:r>
      <w:r w:rsidR="003F1BEC" w:rsidRPr="009D66EA">
        <w:t>(85 FTEs)</w:t>
      </w:r>
      <w:r w:rsidR="002F2FB5">
        <w:t>.</w:t>
      </w:r>
    </w:p>
    <w:p w:rsidR="00D57057" w:rsidRDefault="005B50D0" w:rsidP="00B20C4B">
      <w:pPr>
        <w:pStyle w:val="Numberedpara3level1"/>
      </w:pPr>
      <w:r>
        <w:t>A reduction of over 35 per cent in staffing levels will affect the Department’s ability to perform the following function</w:t>
      </w:r>
      <w:r w:rsidR="00B20C4B">
        <w:t>s</w:t>
      </w:r>
      <w:r w:rsidR="00D57057">
        <w:t>:</w:t>
      </w:r>
    </w:p>
    <w:p w:rsidR="00D57057" w:rsidRDefault="00B20C4B" w:rsidP="00D57057">
      <w:pPr>
        <w:pStyle w:val="Bullet"/>
      </w:pPr>
      <w:r w:rsidRPr="00B20C4B">
        <w:t>investigat</w:t>
      </w:r>
      <w:r w:rsidR="00D57057">
        <w:t>e serious and complex offending;</w:t>
      </w:r>
    </w:p>
    <w:p w:rsidR="00D57057" w:rsidRDefault="00042E30" w:rsidP="00D57057">
      <w:pPr>
        <w:pStyle w:val="Bullet"/>
      </w:pPr>
      <w:r>
        <w:t>assess the suitability of gambling operators and venue operators;</w:t>
      </w:r>
    </w:p>
    <w:p w:rsidR="00D57057" w:rsidRDefault="00D57057" w:rsidP="00D57057">
      <w:pPr>
        <w:pStyle w:val="Bullet"/>
      </w:pPr>
      <w:r>
        <w:t>undertake audits and inspections;</w:t>
      </w:r>
      <w:r w:rsidR="00681D1B">
        <w:t xml:space="preserve"> and</w:t>
      </w:r>
    </w:p>
    <w:p w:rsidR="005B50D0" w:rsidRDefault="00D57057" w:rsidP="00D57057">
      <w:pPr>
        <w:pStyle w:val="Bullet"/>
      </w:pPr>
      <w:r>
        <w:t>engage with the sector in a way that delivers benefits.</w:t>
      </w:r>
      <w:r w:rsidR="00B20C4B" w:rsidRPr="00B20C4B">
        <w:t xml:space="preserve"> </w:t>
      </w:r>
    </w:p>
    <w:p w:rsidR="00340357" w:rsidRDefault="00D57057" w:rsidP="00CF76FA">
      <w:pPr>
        <w:pStyle w:val="Numberedpara3level1"/>
      </w:pPr>
      <w:r>
        <w:t xml:space="preserve">As with option one, non-compliance with the </w:t>
      </w:r>
      <w:r w:rsidR="00473AF4">
        <w:t xml:space="preserve">Act’s requirements </w:t>
      </w:r>
      <w:r w:rsidR="005B50D0">
        <w:t xml:space="preserve">is likely to </w:t>
      </w:r>
      <w:r w:rsidR="00960F4E">
        <w:t>increase.</w:t>
      </w:r>
      <w:r w:rsidR="005B50D0">
        <w:t xml:space="preserve"> This </w:t>
      </w:r>
      <w:r w:rsidR="005B50D0" w:rsidRPr="00DB7698">
        <w:t>is likely to result in less money being returned to communities and loss of public confidence in the regulator and the gambling system</w:t>
      </w:r>
      <w:r w:rsidR="005B50D0">
        <w:t>.</w:t>
      </w:r>
    </w:p>
    <w:p w:rsidR="00CF76FA" w:rsidRDefault="00CF76FA" w:rsidP="00BA72C4">
      <w:pPr>
        <w:pStyle w:val="Heading1"/>
      </w:pPr>
      <w:bookmarkStart w:id="5" w:name="_Toc431562993"/>
      <w:r>
        <w:t>Summary of options considered</w:t>
      </w:r>
      <w:bookmarkEnd w:id="5"/>
    </w:p>
    <w:p w:rsidR="00CF76FA" w:rsidRDefault="00CF76FA" w:rsidP="00CF76FA">
      <w:pPr>
        <w:pStyle w:val="Numberedpara3level1"/>
      </w:pPr>
      <w:r>
        <w:t>The table below summarises the analysis of the options against the assessment criteria.</w:t>
      </w:r>
    </w:p>
    <w:p w:rsidR="00CF76FA" w:rsidRDefault="00CF76FA" w:rsidP="00CF76FA">
      <w:pPr>
        <w:pStyle w:val="Numberedpara3level1"/>
        <w:numPr>
          <w:ilvl w:val="0"/>
          <w:numId w:val="0"/>
        </w:numPr>
        <w:ind w:left="567"/>
      </w:pPr>
    </w:p>
    <w:p w:rsidR="00CF76FA" w:rsidRDefault="00CF76FA" w:rsidP="00CF76FA"/>
    <w:p w:rsidR="00CF76FA" w:rsidRPr="00CF76FA" w:rsidRDefault="00CF76FA" w:rsidP="00CF76FA">
      <w:pPr>
        <w:sectPr w:rsidR="00CF76FA" w:rsidRPr="00CF76FA" w:rsidSect="00CE3996">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992" w:left="1418" w:header="425" w:footer="635" w:gutter="0"/>
          <w:cols w:space="708"/>
          <w:titlePg/>
          <w:docGrid w:linePitch="360"/>
        </w:sectPr>
      </w:pPr>
    </w:p>
    <w:p w:rsidR="00340357" w:rsidRPr="005647B1" w:rsidRDefault="00340357" w:rsidP="005647B1">
      <w:pPr>
        <w:pStyle w:val="NotforContentsheading2"/>
      </w:pPr>
      <w:r w:rsidRPr="005647B1">
        <w:lastRenderedPageBreak/>
        <w:t xml:space="preserve">Impact analysis of options against the criteria </w:t>
      </w:r>
    </w:p>
    <w:tbl>
      <w:tblPr>
        <w:tblStyle w:val="DIATable"/>
        <w:tblW w:w="0" w:type="auto"/>
        <w:tblLook w:val="04A0" w:firstRow="1" w:lastRow="0" w:firstColumn="1" w:lastColumn="0" w:noHBand="0" w:noVBand="1"/>
      </w:tblPr>
      <w:tblGrid>
        <w:gridCol w:w="2277"/>
        <w:gridCol w:w="2510"/>
        <w:gridCol w:w="2029"/>
        <w:gridCol w:w="2810"/>
        <w:gridCol w:w="2154"/>
        <w:gridCol w:w="2758"/>
      </w:tblGrid>
      <w:tr w:rsidR="00376D68" w:rsidRPr="00973C9E" w:rsidTr="004058C6">
        <w:trPr>
          <w:cnfStyle w:val="100000000000" w:firstRow="1" w:lastRow="0" w:firstColumn="0" w:lastColumn="0" w:oddVBand="0" w:evenVBand="0" w:oddHBand="0" w:evenHBand="0" w:firstRowFirstColumn="0" w:firstRowLastColumn="0" w:lastRowFirstColumn="0" w:lastRowLastColumn="0"/>
        </w:trPr>
        <w:tc>
          <w:tcPr>
            <w:tcW w:w="0" w:type="auto"/>
          </w:tcPr>
          <w:p w:rsidR="00340357" w:rsidRPr="00973C9E" w:rsidRDefault="00340357" w:rsidP="004058C6">
            <w:pPr>
              <w:keepLines w:val="0"/>
              <w:rPr>
                <w:b w:val="0"/>
                <w:szCs w:val="22"/>
              </w:rPr>
            </w:pPr>
          </w:p>
        </w:tc>
        <w:tc>
          <w:tcPr>
            <w:tcW w:w="0" w:type="auto"/>
          </w:tcPr>
          <w:p w:rsidR="00340357" w:rsidRPr="007F211D" w:rsidRDefault="00340357" w:rsidP="004058C6">
            <w:pPr>
              <w:keepLines w:val="0"/>
              <w:rPr>
                <w:b w:val="0"/>
                <w:szCs w:val="22"/>
              </w:rPr>
            </w:pPr>
            <w:r w:rsidRPr="007F211D">
              <w:rPr>
                <w:szCs w:val="22"/>
              </w:rPr>
              <w:t xml:space="preserve">Impact: recovers operating costs and reduces memorandum account deficit </w:t>
            </w:r>
          </w:p>
        </w:tc>
        <w:tc>
          <w:tcPr>
            <w:tcW w:w="0" w:type="auto"/>
          </w:tcPr>
          <w:p w:rsidR="00340357" w:rsidRPr="007F211D" w:rsidRDefault="00340357" w:rsidP="004058C6">
            <w:pPr>
              <w:keepLines w:val="0"/>
              <w:rPr>
                <w:b w:val="0"/>
                <w:szCs w:val="22"/>
              </w:rPr>
            </w:pPr>
            <w:r w:rsidRPr="007F211D">
              <w:rPr>
                <w:szCs w:val="22"/>
              </w:rPr>
              <w:t>Impact: effect o</w:t>
            </w:r>
            <w:r>
              <w:rPr>
                <w:szCs w:val="22"/>
              </w:rPr>
              <w:t>n</w:t>
            </w:r>
            <w:r w:rsidRPr="007F211D">
              <w:rPr>
                <w:szCs w:val="22"/>
              </w:rPr>
              <w:t xml:space="preserve"> societies’ ability to meet the minimum rate of return </w:t>
            </w:r>
          </w:p>
        </w:tc>
        <w:tc>
          <w:tcPr>
            <w:tcW w:w="0" w:type="auto"/>
          </w:tcPr>
          <w:p w:rsidR="00340357" w:rsidRPr="007F211D" w:rsidRDefault="00340357" w:rsidP="004058C6">
            <w:pPr>
              <w:keepLines w:val="0"/>
              <w:rPr>
                <w:b w:val="0"/>
                <w:szCs w:val="22"/>
              </w:rPr>
            </w:pPr>
            <w:r w:rsidRPr="007F211D">
              <w:rPr>
                <w:szCs w:val="22"/>
              </w:rPr>
              <w:t xml:space="preserve">Impact: effect on dollar amounts of funding to communities </w:t>
            </w:r>
          </w:p>
        </w:tc>
        <w:tc>
          <w:tcPr>
            <w:tcW w:w="0" w:type="auto"/>
          </w:tcPr>
          <w:p w:rsidR="00340357" w:rsidRPr="007F211D" w:rsidRDefault="00340357" w:rsidP="004058C6">
            <w:pPr>
              <w:keepLines w:val="0"/>
              <w:rPr>
                <w:b w:val="0"/>
                <w:szCs w:val="22"/>
              </w:rPr>
            </w:pPr>
            <w:r w:rsidRPr="007F211D">
              <w:rPr>
                <w:szCs w:val="22"/>
              </w:rPr>
              <w:t xml:space="preserve">Impact: </w:t>
            </w:r>
            <w:r>
              <w:rPr>
                <w:szCs w:val="22"/>
              </w:rPr>
              <w:t>fees</w:t>
            </w:r>
            <w:r w:rsidR="004929F8">
              <w:rPr>
                <w:szCs w:val="22"/>
              </w:rPr>
              <w:t xml:space="preserve"> revenue received</w:t>
            </w:r>
          </w:p>
        </w:tc>
        <w:tc>
          <w:tcPr>
            <w:tcW w:w="0" w:type="auto"/>
          </w:tcPr>
          <w:p w:rsidR="00340357" w:rsidRPr="007F211D" w:rsidRDefault="00340357" w:rsidP="004058C6">
            <w:pPr>
              <w:keepLines w:val="0"/>
              <w:rPr>
                <w:szCs w:val="22"/>
              </w:rPr>
            </w:pPr>
            <w:r w:rsidRPr="007F211D">
              <w:rPr>
                <w:szCs w:val="22"/>
              </w:rPr>
              <w:t>Summary</w:t>
            </w:r>
          </w:p>
        </w:tc>
      </w:tr>
      <w:tr w:rsidR="00376D68" w:rsidRPr="00973C9E" w:rsidTr="004058C6">
        <w:tc>
          <w:tcPr>
            <w:tcW w:w="0" w:type="auto"/>
          </w:tcPr>
          <w:p w:rsidR="00340357" w:rsidRPr="007F211D" w:rsidRDefault="00340357" w:rsidP="004058C6">
            <w:pPr>
              <w:keepLines w:val="0"/>
              <w:rPr>
                <w:szCs w:val="22"/>
              </w:rPr>
            </w:pPr>
            <w:r w:rsidRPr="007F211D">
              <w:rPr>
                <w:b/>
                <w:szCs w:val="22"/>
              </w:rPr>
              <w:t>Option one – Status quo</w:t>
            </w:r>
            <w:r w:rsidRPr="007F211D">
              <w:rPr>
                <w:szCs w:val="22"/>
              </w:rPr>
              <w:t xml:space="preserve"> </w:t>
            </w:r>
          </w:p>
          <w:p w:rsidR="00340357" w:rsidRPr="007F211D" w:rsidRDefault="00340357" w:rsidP="004058C6">
            <w:pPr>
              <w:keepLines w:val="0"/>
              <w:rPr>
                <w:szCs w:val="22"/>
              </w:rPr>
            </w:pPr>
            <w:r w:rsidRPr="007F211D">
              <w:rPr>
                <w:szCs w:val="22"/>
              </w:rPr>
              <w:t>Maintain fees at current level</w:t>
            </w:r>
          </w:p>
          <w:p w:rsidR="00340357" w:rsidRPr="007F211D" w:rsidRDefault="00340357" w:rsidP="004058C6">
            <w:pPr>
              <w:keepLines w:val="0"/>
              <w:rPr>
                <w:szCs w:val="22"/>
              </w:rPr>
            </w:pPr>
          </w:p>
        </w:tc>
        <w:tc>
          <w:tcPr>
            <w:tcW w:w="0" w:type="auto"/>
          </w:tcPr>
          <w:p w:rsidR="00340357" w:rsidRPr="007F211D" w:rsidRDefault="00974EFB" w:rsidP="00974EFB">
            <w:pPr>
              <w:pStyle w:val="Tablebullet"/>
              <w:numPr>
                <w:ilvl w:val="0"/>
                <w:numId w:val="0"/>
              </w:numPr>
              <w:rPr>
                <w:b/>
                <w:szCs w:val="22"/>
              </w:rPr>
            </w:pPr>
            <w:r>
              <w:rPr>
                <w:szCs w:val="22"/>
              </w:rPr>
              <w:t>T</w:t>
            </w:r>
            <w:r w:rsidR="00340357" w:rsidRPr="007F211D">
              <w:rPr>
                <w:szCs w:val="22"/>
              </w:rPr>
              <w:t>he Department continues to incur financial deficits</w:t>
            </w:r>
            <w:r w:rsidR="00855D68">
              <w:rPr>
                <w:szCs w:val="22"/>
              </w:rPr>
              <w:t xml:space="preserve"> or faces pressure to reduce levels of regulatory oversight</w:t>
            </w:r>
          </w:p>
        </w:tc>
        <w:tc>
          <w:tcPr>
            <w:tcW w:w="0" w:type="auto"/>
          </w:tcPr>
          <w:p w:rsidR="00340357" w:rsidRPr="007F211D" w:rsidRDefault="00974EFB" w:rsidP="00974EFB">
            <w:pPr>
              <w:pStyle w:val="Tablebullet"/>
              <w:numPr>
                <w:ilvl w:val="0"/>
                <w:numId w:val="0"/>
              </w:numPr>
              <w:rPr>
                <w:szCs w:val="22"/>
              </w:rPr>
            </w:pPr>
            <w:r>
              <w:rPr>
                <w:szCs w:val="22"/>
              </w:rPr>
              <w:t>E</w:t>
            </w:r>
            <w:r w:rsidR="00340357" w:rsidRPr="007F211D">
              <w:rPr>
                <w:szCs w:val="22"/>
              </w:rPr>
              <w:t>asier for societies to meet the minimum rate of return</w:t>
            </w:r>
            <w:r w:rsidR="006B22EC">
              <w:rPr>
                <w:szCs w:val="22"/>
              </w:rPr>
              <w:t xml:space="preserve"> requirements</w:t>
            </w:r>
          </w:p>
        </w:tc>
        <w:tc>
          <w:tcPr>
            <w:tcW w:w="0" w:type="auto"/>
          </w:tcPr>
          <w:p w:rsidR="00340357" w:rsidRPr="007F211D" w:rsidRDefault="00974EFB" w:rsidP="00974EFB">
            <w:pPr>
              <w:pStyle w:val="Tablebullet"/>
              <w:numPr>
                <w:ilvl w:val="0"/>
                <w:numId w:val="0"/>
              </w:numPr>
              <w:rPr>
                <w:szCs w:val="22"/>
              </w:rPr>
            </w:pPr>
            <w:r>
              <w:rPr>
                <w:szCs w:val="22"/>
              </w:rPr>
              <w:t>Ri</w:t>
            </w:r>
            <w:r w:rsidR="00340357">
              <w:rPr>
                <w:szCs w:val="22"/>
              </w:rPr>
              <w:t xml:space="preserve">sk that levels of regulatory oversight will need to be reduced </w:t>
            </w:r>
            <w:r>
              <w:rPr>
                <w:szCs w:val="22"/>
              </w:rPr>
              <w:t xml:space="preserve">to save costs, </w:t>
            </w:r>
            <w:r w:rsidR="006B22EC">
              <w:rPr>
                <w:szCs w:val="22"/>
              </w:rPr>
              <w:t xml:space="preserve">resulting in less money being returned to communities </w:t>
            </w:r>
            <w:r w:rsidR="001B2F00">
              <w:rPr>
                <w:szCs w:val="22"/>
              </w:rPr>
              <w:t xml:space="preserve">due to increased </w:t>
            </w:r>
            <w:r>
              <w:rPr>
                <w:szCs w:val="22"/>
              </w:rPr>
              <w:t xml:space="preserve">sector </w:t>
            </w:r>
            <w:r w:rsidR="001B2F00">
              <w:rPr>
                <w:szCs w:val="22"/>
              </w:rPr>
              <w:t>non-compliance</w:t>
            </w:r>
          </w:p>
        </w:tc>
        <w:tc>
          <w:tcPr>
            <w:tcW w:w="0" w:type="auto"/>
          </w:tcPr>
          <w:p w:rsidR="00340357" w:rsidRPr="00100DB2" w:rsidRDefault="004929F8" w:rsidP="004929F8">
            <w:pPr>
              <w:pStyle w:val="Tablebullet"/>
              <w:numPr>
                <w:ilvl w:val="0"/>
                <w:numId w:val="0"/>
              </w:numPr>
              <w:rPr>
                <w:b/>
                <w:szCs w:val="22"/>
              </w:rPr>
            </w:pPr>
            <w:r>
              <w:rPr>
                <w:szCs w:val="22"/>
              </w:rPr>
              <w:t>F</w:t>
            </w:r>
            <w:r w:rsidR="00340357" w:rsidRPr="00100DB2">
              <w:rPr>
                <w:szCs w:val="22"/>
              </w:rPr>
              <w:t xml:space="preserve">ee </w:t>
            </w:r>
            <w:r w:rsidR="00A146C4">
              <w:rPr>
                <w:szCs w:val="22"/>
              </w:rPr>
              <w:t xml:space="preserve">revenue </w:t>
            </w:r>
            <w:r>
              <w:rPr>
                <w:szCs w:val="22"/>
              </w:rPr>
              <w:t>received continues to d</w:t>
            </w:r>
            <w:r w:rsidR="002534ED">
              <w:rPr>
                <w:szCs w:val="22"/>
              </w:rPr>
              <w:t>ecreas</w:t>
            </w:r>
            <w:r>
              <w:rPr>
                <w:szCs w:val="22"/>
              </w:rPr>
              <w:t>e</w:t>
            </w:r>
            <w:r w:rsidR="002534ED">
              <w:rPr>
                <w:szCs w:val="22"/>
              </w:rPr>
              <w:t xml:space="preserve"> as machine numbers decline</w:t>
            </w:r>
          </w:p>
        </w:tc>
        <w:tc>
          <w:tcPr>
            <w:tcW w:w="0" w:type="auto"/>
          </w:tcPr>
          <w:p w:rsidR="00340357" w:rsidRPr="007F211D" w:rsidRDefault="00340357" w:rsidP="004058C6">
            <w:pPr>
              <w:keepLines w:val="0"/>
              <w:rPr>
                <w:b/>
                <w:szCs w:val="22"/>
              </w:rPr>
            </w:pPr>
            <w:r w:rsidRPr="007F211D">
              <w:rPr>
                <w:b/>
                <w:szCs w:val="22"/>
              </w:rPr>
              <w:t>Does not meet the objective</w:t>
            </w:r>
          </w:p>
        </w:tc>
      </w:tr>
      <w:tr w:rsidR="00376D68" w:rsidRPr="00973C9E" w:rsidTr="004058C6">
        <w:tc>
          <w:tcPr>
            <w:tcW w:w="0" w:type="auto"/>
          </w:tcPr>
          <w:p w:rsidR="00340357" w:rsidRPr="007F211D" w:rsidRDefault="00340357" w:rsidP="004058C6">
            <w:pPr>
              <w:keepLines w:val="0"/>
              <w:rPr>
                <w:b/>
                <w:szCs w:val="22"/>
              </w:rPr>
            </w:pPr>
            <w:r w:rsidRPr="007F211D">
              <w:rPr>
                <w:b/>
                <w:szCs w:val="22"/>
              </w:rPr>
              <w:t>Option two – fee increases (preferred option)</w:t>
            </w:r>
          </w:p>
          <w:p w:rsidR="00340357" w:rsidRPr="007F211D" w:rsidRDefault="00340357" w:rsidP="004058C6">
            <w:pPr>
              <w:keepLines w:val="0"/>
              <w:rPr>
                <w:szCs w:val="22"/>
              </w:rPr>
            </w:pPr>
            <w:r w:rsidRPr="007F211D">
              <w:rPr>
                <w:szCs w:val="22"/>
              </w:rPr>
              <w:t>Update fees to recover  costs and reduce memorandum account deficit</w:t>
            </w:r>
            <w:r w:rsidR="00974EFB">
              <w:rPr>
                <w:szCs w:val="22"/>
              </w:rPr>
              <w:t xml:space="preserve"> </w:t>
            </w:r>
            <w:r w:rsidR="00CE2BD9">
              <w:rPr>
                <w:szCs w:val="22"/>
              </w:rPr>
              <w:t>(a 54 per cent increase in fees)</w:t>
            </w:r>
          </w:p>
          <w:p w:rsidR="00340357" w:rsidRPr="007F211D" w:rsidRDefault="00340357" w:rsidP="004058C6">
            <w:pPr>
              <w:keepLines w:val="0"/>
              <w:rPr>
                <w:szCs w:val="22"/>
              </w:rPr>
            </w:pPr>
          </w:p>
        </w:tc>
        <w:tc>
          <w:tcPr>
            <w:tcW w:w="0" w:type="auto"/>
          </w:tcPr>
          <w:p w:rsidR="00340357" w:rsidRPr="007F211D" w:rsidRDefault="00974EFB" w:rsidP="009268DF">
            <w:pPr>
              <w:pStyle w:val="Tablebullet"/>
              <w:numPr>
                <w:ilvl w:val="0"/>
                <w:numId w:val="0"/>
              </w:numPr>
              <w:rPr>
                <w:szCs w:val="22"/>
              </w:rPr>
            </w:pPr>
            <w:r>
              <w:rPr>
                <w:szCs w:val="22"/>
              </w:rPr>
              <w:t>R</w:t>
            </w:r>
            <w:r w:rsidR="00340357" w:rsidRPr="00D77995">
              <w:rPr>
                <w:szCs w:val="22"/>
              </w:rPr>
              <w:t xml:space="preserve">ecovery of operating costs and recovery of the memorandum account deficit is expected over ten years using best  estimates </w:t>
            </w:r>
          </w:p>
        </w:tc>
        <w:tc>
          <w:tcPr>
            <w:tcW w:w="0" w:type="auto"/>
          </w:tcPr>
          <w:p w:rsidR="00974EFB" w:rsidRDefault="00376D68" w:rsidP="004058C6">
            <w:pPr>
              <w:pStyle w:val="Tablebullet"/>
              <w:numPr>
                <w:ilvl w:val="0"/>
                <w:numId w:val="0"/>
              </w:numPr>
              <w:rPr>
                <w:szCs w:val="22"/>
              </w:rPr>
            </w:pPr>
            <w:r>
              <w:rPr>
                <w:szCs w:val="22"/>
              </w:rPr>
              <w:t>Some societies</w:t>
            </w:r>
            <w:r w:rsidR="00340357" w:rsidRPr="007F211D">
              <w:rPr>
                <w:szCs w:val="22"/>
              </w:rPr>
              <w:t xml:space="preserve"> will need to reduce their costs in or</w:t>
            </w:r>
            <w:r w:rsidR="00D94EF9">
              <w:rPr>
                <w:szCs w:val="22"/>
              </w:rPr>
              <w:t>der to meet the rate of return</w:t>
            </w:r>
            <w:r w:rsidR="00627553">
              <w:rPr>
                <w:szCs w:val="22"/>
              </w:rPr>
              <w:t xml:space="preserve">. </w:t>
            </w:r>
          </w:p>
          <w:p w:rsidR="00340357" w:rsidRPr="00307E7F" w:rsidRDefault="00627553" w:rsidP="004058C6">
            <w:pPr>
              <w:pStyle w:val="Tablebullet"/>
              <w:numPr>
                <w:ilvl w:val="0"/>
                <w:numId w:val="0"/>
              </w:numPr>
              <w:rPr>
                <w:szCs w:val="22"/>
              </w:rPr>
            </w:pPr>
            <w:r>
              <w:rPr>
                <w:szCs w:val="22"/>
              </w:rPr>
              <w:t>Impacts on 270 club societies are likely to be varied</w:t>
            </w:r>
          </w:p>
          <w:p w:rsidR="00340357" w:rsidRPr="007F211D" w:rsidRDefault="00340357" w:rsidP="004058C6">
            <w:pPr>
              <w:pStyle w:val="Tablebullet"/>
              <w:numPr>
                <w:ilvl w:val="0"/>
                <w:numId w:val="0"/>
              </w:numPr>
              <w:rPr>
                <w:b/>
                <w:szCs w:val="22"/>
              </w:rPr>
            </w:pPr>
          </w:p>
        </w:tc>
        <w:tc>
          <w:tcPr>
            <w:tcW w:w="0" w:type="auto"/>
          </w:tcPr>
          <w:p w:rsidR="0039302B" w:rsidRPr="0039302B" w:rsidRDefault="00974EFB" w:rsidP="0039302B">
            <w:pPr>
              <w:pStyle w:val="Tablebullet"/>
              <w:numPr>
                <w:ilvl w:val="0"/>
                <w:numId w:val="0"/>
              </w:numPr>
              <w:rPr>
                <w:szCs w:val="22"/>
              </w:rPr>
            </w:pPr>
            <w:r>
              <w:rPr>
                <w:szCs w:val="22"/>
              </w:rPr>
              <w:t>T</w:t>
            </w:r>
            <w:r w:rsidR="00520FB6">
              <w:rPr>
                <w:szCs w:val="22"/>
              </w:rPr>
              <w:t>he precise loss in community funding depends on how many venues a</w:t>
            </w:r>
            <w:r w:rsidR="0039302B">
              <w:rPr>
                <w:szCs w:val="22"/>
              </w:rPr>
              <w:t xml:space="preserve">re picked up by other societies </w:t>
            </w:r>
            <w:r w:rsidR="0039302B" w:rsidRPr="0039302B">
              <w:rPr>
                <w:szCs w:val="22"/>
              </w:rPr>
              <w:t>and the extent to which p</w:t>
            </w:r>
            <w:r w:rsidR="0039302B">
              <w:rPr>
                <w:szCs w:val="22"/>
              </w:rPr>
              <w:t>atronage shifts to other venues</w:t>
            </w:r>
          </w:p>
          <w:p w:rsidR="00974EFB" w:rsidRDefault="00520FB6" w:rsidP="0039302B">
            <w:pPr>
              <w:pStyle w:val="Tablebullet"/>
              <w:numPr>
                <w:ilvl w:val="0"/>
                <w:numId w:val="0"/>
              </w:numPr>
              <w:rPr>
                <w:szCs w:val="22"/>
              </w:rPr>
            </w:pPr>
            <w:r>
              <w:rPr>
                <w:szCs w:val="22"/>
              </w:rPr>
              <w:t xml:space="preserve"> </w:t>
            </w:r>
          </w:p>
          <w:p w:rsidR="00340357" w:rsidRPr="007F211D" w:rsidRDefault="00340357" w:rsidP="00974EFB">
            <w:pPr>
              <w:pStyle w:val="Tablebullet"/>
              <w:numPr>
                <w:ilvl w:val="0"/>
                <w:numId w:val="0"/>
              </w:numPr>
              <w:ind w:left="-12" w:firstLine="12"/>
              <w:rPr>
                <w:szCs w:val="22"/>
              </w:rPr>
            </w:pPr>
          </w:p>
        </w:tc>
        <w:tc>
          <w:tcPr>
            <w:tcW w:w="0" w:type="auto"/>
          </w:tcPr>
          <w:p w:rsidR="00340357" w:rsidRPr="00A72178" w:rsidRDefault="004929F8" w:rsidP="004929F8">
            <w:pPr>
              <w:pStyle w:val="Tablebullet"/>
              <w:numPr>
                <w:ilvl w:val="0"/>
                <w:numId w:val="0"/>
              </w:numPr>
              <w:rPr>
                <w:szCs w:val="22"/>
              </w:rPr>
            </w:pPr>
            <w:r>
              <w:t>The fees model assumes a 500 per year reduction in machines. A higher reduction will result in under-recovery of fees revenue</w:t>
            </w:r>
          </w:p>
        </w:tc>
        <w:tc>
          <w:tcPr>
            <w:tcW w:w="0" w:type="auto"/>
          </w:tcPr>
          <w:p w:rsidR="00340357" w:rsidRPr="007F211D" w:rsidRDefault="00340357" w:rsidP="004058C6">
            <w:pPr>
              <w:keepLines w:val="0"/>
              <w:rPr>
                <w:b/>
                <w:szCs w:val="22"/>
              </w:rPr>
            </w:pPr>
            <w:r w:rsidRPr="007F211D">
              <w:rPr>
                <w:b/>
                <w:szCs w:val="22"/>
              </w:rPr>
              <w:t>Me</w:t>
            </w:r>
            <w:r w:rsidR="00CC0A16">
              <w:rPr>
                <w:b/>
                <w:szCs w:val="22"/>
              </w:rPr>
              <w:t xml:space="preserve">ets objective but presents </w:t>
            </w:r>
            <w:r w:rsidRPr="007F211D">
              <w:rPr>
                <w:b/>
                <w:szCs w:val="22"/>
              </w:rPr>
              <w:t xml:space="preserve">risks to community funding and cost recovery </w:t>
            </w:r>
          </w:p>
          <w:p w:rsidR="00340357" w:rsidRPr="007F211D" w:rsidRDefault="00340357" w:rsidP="004058C6">
            <w:pPr>
              <w:keepLines w:val="0"/>
              <w:rPr>
                <w:b/>
                <w:szCs w:val="22"/>
              </w:rPr>
            </w:pPr>
          </w:p>
        </w:tc>
      </w:tr>
      <w:tr w:rsidR="00376D68" w:rsidRPr="00973C9E" w:rsidTr="004058C6">
        <w:tc>
          <w:tcPr>
            <w:tcW w:w="0" w:type="auto"/>
          </w:tcPr>
          <w:p w:rsidR="00340357" w:rsidRPr="00547AD0" w:rsidRDefault="00340357" w:rsidP="004058C6">
            <w:pPr>
              <w:keepLines w:val="0"/>
              <w:rPr>
                <w:b/>
                <w:szCs w:val="22"/>
              </w:rPr>
            </w:pPr>
            <w:r w:rsidRPr="007F211D">
              <w:rPr>
                <w:b/>
                <w:szCs w:val="22"/>
              </w:rPr>
              <w:t>Option three –</w:t>
            </w:r>
            <w:r w:rsidR="00974EFB">
              <w:rPr>
                <w:b/>
                <w:szCs w:val="22"/>
              </w:rPr>
              <w:t xml:space="preserve"> a small </w:t>
            </w:r>
            <w:r w:rsidRPr="007F211D">
              <w:rPr>
                <w:b/>
                <w:szCs w:val="22"/>
              </w:rPr>
              <w:t>fee increase</w:t>
            </w:r>
            <w:r w:rsidR="00547AD0">
              <w:rPr>
                <w:b/>
                <w:szCs w:val="22"/>
              </w:rPr>
              <w:t xml:space="preserve"> </w:t>
            </w:r>
            <w:r w:rsidR="00C2318A">
              <w:rPr>
                <w:b/>
                <w:szCs w:val="22"/>
              </w:rPr>
              <w:t xml:space="preserve">(25 per cent) </w:t>
            </w:r>
            <w:r w:rsidR="00974EFB">
              <w:rPr>
                <w:b/>
                <w:szCs w:val="22"/>
              </w:rPr>
              <w:t>and</w:t>
            </w:r>
            <w:r w:rsidR="00547AD0">
              <w:rPr>
                <w:b/>
                <w:szCs w:val="22"/>
              </w:rPr>
              <w:t xml:space="preserve"> cost cutting</w:t>
            </w:r>
          </w:p>
          <w:p w:rsidR="00340357" w:rsidRPr="007F211D" w:rsidRDefault="00340357" w:rsidP="004058C6">
            <w:pPr>
              <w:keepLines w:val="0"/>
              <w:rPr>
                <w:b/>
                <w:szCs w:val="22"/>
              </w:rPr>
            </w:pPr>
          </w:p>
        </w:tc>
        <w:tc>
          <w:tcPr>
            <w:tcW w:w="0" w:type="auto"/>
          </w:tcPr>
          <w:p w:rsidR="00340357" w:rsidRPr="007F211D" w:rsidRDefault="004929F8" w:rsidP="00E73F63">
            <w:pPr>
              <w:pStyle w:val="Tablebullet"/>
              <w:numPr>
                <w:ilvl w:val="0"/>
                <w:numId w:val="0"/>
              </w:numPr>
              <w:rPr>
                <w:szCs w:val="22"/>
              </w:rPr>
            </w:pPr>
            <w:r>
              <w:rPr>
                <w:szCs w:val="22"/>
              </w:rPr>
              <w:t>Wou</w:t>
            </w:r>
            <w:r w:rsidR="00974EFB">
              <w:rPr>
                <w:szCs w:val="22"/>
              </w:rPr>
              <w:t xml:space="preserve">ld not recover </w:t>
            </w:r>
            <w:r w:rsidR="000B0B73">
              <w:rPr>
                <w:szCs w:val="22"/>
              </w:rPr>
              <w:t xml:space="preserve">operating costs </w:t>
            </w:r>
            <w:r w:rsidR="00974EFB" w:rsidRPr="004929F8">
              <w:rPr>
                <w:i/>
                <w:szCs w:val="22"/>
              </w:rPr>
              <w:t xml:space="preserve">and </w:t>
            </w:r>
            <w:r w:rsidR="00974EFB">
              <w:rPr>
                <w:szCs w:val="22"/>
              </w:rPr>
              <w:t xml:space="preserve">reduce the deficit in the memorandum account </w:t>
            </w:r>
          </w:p>
        </w:tc>
        <w:tc>
          <w:tcPr>
            <w:tcW w:w="0" w:type="auto"/>
          </w:tcPr>
          <w:p w:rsidR="00340357" w:rsidRPr="007F211D" w:rsidRDefault="00974EFB" w:rsidP="00974EFB">
            <w:pPr>
              <w:pStyle w:val="Tablebullet"/>
              <w:numPr>
                <w:ilvl w:val="0"/>
                <w:numId w:val="0"/>
              </w:numPr>
              <w:rPr>
                <w:b/>
                <w:szCs w:val="22"/>
              </w:rPr>
            </w:pPr>
            <w:r>
              <w:rPr>
                <w:szCs w:val="22"/>
              </w:rPr>
              <w:t>E</w:t>
            </w:r>
            <w:r w:rsidR="00FD6DC1" w:rsidRPr="007F211D">
              <w:rPr>
                <w:szCs w:val="22"/>
              </w:rPr>
              <w:t>asier for societies to meet the minimum rate of return</w:t>
            </w:r>
            <w:r w:rsidR="00FD6DC1">
              <w:rPr>
                <w:szCs w:val="22"/>
              </w:rPr>
              <w:t xml:space="preserve"> requirements</w:t>
            </w:r>
          </w:p>
        </w:tc>
        <w:tc>
          <w:tcPr>
            <w:tcW w:w="0" w:type="auto"/>
          </w:tcPr>
          <w:p w:rsidR="00340357" w:rsidRPr="008437FC" w:rsidRDefault="00974EFB" w:rsidP="00CE2BD9">
            <w:pPr>
              <w:pStyle w:val="Tablebullet"/>
              <w:numPr>
                <w:ilvl w:val="0"/>
                <w:numId w:val="0"/>
              </w:numPr>
              <w:rPr>
                <w:szCs w:val="22"/>
              </w:rPr>
            </w:pPr>
            <w:r>
              <w:rPr>
                <w:szCs w:val="22"/>
              </w:rPr>
              <w:t>C</w:t>
            </w:r>
            <w:r w:rsidR="007F5F4D">
              <w:rPr>
                <w:szCs w:val="22"/>
              </w:rPr>
              <w:t xml:space="preserve">ost cutting </w:t>
            </w:r>
            <w:r w:rsidR="00CE2BD9">
              <w:rPr>
                <w:szCs w:val="22"/>
              </w:rPr>
              <w:t>from</w:t>
            </w:r>
            <w:r w:rsidR="007F5F4D">
              <w:rPr>
                <w:szCs w:val="22"/>
              </w:rPr>
              <w:t xml:space="preserve"> staff reductions will result in less money being returned to communities due to increased </w:t>
            </w:r>
            <w:r w:rsidR="00CE2BD9">
              <w:rPr>
                <w:szCs w:val="22"/>
              </w:rPr>
              <w:t xml:space="preserve">sector </w:t>
            </w:r>
            <w:r w:rsidR="007F5F4D">
              <w:rPr>
                <w:szCs w:val="22"/>
              </w:rPr>
              <w:t>non-compliance</w:t>
            </w:r>
          </w:p>
        </w:tc>
        <w:tc>
          <w:tcPr>
            <w:tcW w:w="0" w:type="auto"/>
          </w:tcPr>
          <w:p w:rsidR="00340357" w:rsidRPr="007F211D" w:rsidRDefault="004929F8" w:rsidP="004929F8">
            <w:pPr>
              <w:pStyle w:val="Tablebullet"/>
              <w:numPr>
                <w:ilvl w:val="0"/>
                <w:numId w:val="0"/>
              </w:numPr>
              <w:rPr>
                <w:szCs w:val="22"/>
              </w:rPr>
            </w:pPr>
            <w:r>
              <w:rPr>
                <w:szCs w:val="22"/>
              </w:rPr>
              <w:t xml:space="preserve">Less risk of under-recovery of fees revenue </w:t>
            </w:r>
            <w:r w:rsidR="008366AC">
              <w:rPr>
                <w:szCs w:val="22"/>
              </w:rPr>
              <w:t>as s</w:t>
            </w:r>
            <w:r w:rsidR="00340357" w:rsidRPr="007F211D">
              <w:rPr>
                <w:szCs w:val="22"/>
              </w:rPr>
              <w:t xml:space="preserve">ocieties are more likely to be able to </w:t>
            </w:r>
            <w:r w:rsidR="008366AC">
              <w:rPr>
                <w:szCs w:val="22"/>
              </w:rPr>
              <w:t xml:space="preserve">afford </w:t>
            </w:r>
            <w:r w:rsidR="00340357" w:rsidRPr="007F211D">
              <w:rPr>
                <w:szCs w:val="22"/>
              </w:rPr>
              <w:t xml:space="preserve">a </w:t>
            </w:r>
            <w:r>
              <w:rPr>
                <w:szCs w:val="22"/>
              </w:rPr>
              <w:t>small</w:t>
            </w:r>
            <w:r w:rsidR="009268DF">
              <w:rPr>
                <w:szCs w:val="22"/>
              </w:rPr>
              <w:t>er</w:t>
            </w:r>
            <w:r w:rsidR="00340357" w:rsidRPr="007F211D">
              <w:rPr>
                <w:szCs w:val="22"/>
              </w:rPr>
              <w:t xml:space="preserve"> fee increase</w:t>
            </w:r>
          </w:p>
        </w:tc>
        <w:tc>
          <w:tcPr>
            <w:tcW w:w="0" w:type="auto"/>
          </w:tcPr>
          <w:p w:rsidR="00340357" w:rsidRPr="007F211D" w:rsidRDefault="00252E4C" w:rsidP="00252E4C">
            <w:pPr>
              <w:keepLines w:val="0"/>
              <w:rPr>
                <w:b/>
                <w:szCs w:val="22"/>
              </w:rPr>
            </w:pPr>
            <w:r>
              <w:rPr>
                <w:b/>
                <w:szCs w:val="22"/>
              </w:rPr>
              <w:t xml:space="preserve">Does not meet the objective as cost cutting would affect </w:t>
            </w:r>
            <w:r w:rsidR="00214F68">
              <w:rPr>
                <w:b/>
                <w:szCs w:val="22"/>
              </w:rPr>
              <w:t>the Department’s ability to maintain current levels of regulatory oversight</w:t>
            </w:r>
            <w:r w:rsidR="00FA5B40">
              <w:rPr>
                <w:b/>
                <w:szCs w:val="22"/>
              </w:rPr>
              <w:t xml:space="preserve"> and thus reduce returns</w:t>
            </w:r>
          </w:p>
        </w:tc>
      </w:tr>
    </w:tbl>
    <w:p w:rsidR="00340357" w:rsidRPr="00630352" w:rsidRDefault="00340357" w:rsidP="00340357">
      <w:pPr>
        <w:pStyle w:val="Numberedpara3level1"/>
        <w:numPr>
          <w:ilvl w:val="0"/>
          <w:numId w:val="0"/>
        </w:numPr>
        <w:rPr>
          <w:sz w:val="4"/>
          <w:szCs w:val="4"/>
        </w:rPr>
      </w:pPr>
    </w:p>
    <w:p w:rsidR="00340357" w:rsidRDefault="00340357" w:rsidP="00340357">
      <w:pPr>
        <w:pStyle w:val="Numberedpara3level1"/>
        <w:numPr>
          <w:ilvl w:val="0"/>
          <w:numId w:val="0"/>
        </w:numPr>
        <w:sectPr w:rsidR="00340357" w:rsidSect="00CE3996">
          <w:pgSz w:w="16840" w:h="11907" w:orient="landscape" w:code="9"/>
          <w:pgMar w:top="1418" w:right="1418" w:bottom="1418" w:left="992" w:header="425" w:footer="635" w:gutter="0"/>
          <w:cols w:space="708"/>
          <w:titlePg/>
          <w:docGrid w:linePitch="360"/>
        </w:sectPr>
      </w:pPr>
    </w:p>
    <w:p w:rsidR="00264E9B" w:rsidRPr="00E52276" w:rsidRDefault="00264E9B" w:rsidP="00B302E6">
      <w:pPr>
        <w:pStyle w:val="Heading1"/>
        <w:rPr>
          <w:rStyle w:val="Crossreferences"/>
        </w:rPr>
      </w:pPr>
      <w:bookmarkStart w:id="6" w:name="_Toc431562994"/>
      <w:r>
        <w:lastRenderedPageBreak/>
        <w:t>Consultation</w:t>
      </w:r>
      <w:bookmarkEnd w:id="6"/>
    </w:p>
    <w:p w:rsidR="00B84B08" w:rsidRDefault="003107D9" w:rsidP="00B84B08">
      <w:pPr>
        <w:pStyle w:val="Numberedpara3level1"/>
      </w:pPr>
      <w:r>
        <w:t xml:space="preserve">In February 2015 Cabinet agreed to the release of a public consultation document seeking feedback on increases to gambling fees. </w:t>
      </w:r>
      <w:r w:rsidR="00C42B8F">
        <w:t xml:space="preserve">Consultation with the </w:t>
      </w:r>
      <w:r w:rsidR="00E14E3C">
        <w:t xml:space="preserve">gambling sector and the general public </w:t>
      </w:r>
      <w:r w:rsidR="00736760">
        <w:t xml:space="preserve">on the preferred option took place </w:t>
      </w:r>
      <w:r w:rsidR="00E14E3C">
        <w:t xml:space="preserve">between 4 March and 24 April 2015. </w:t>
      </w:r>
      <w:r w:rsidR="00E14E3C" w:rsidRPr="00E14E3C">
        <w:t xml:space="preserve">The Department received </w:t>
      </w:r>
      <w:r w:rsidR="00E14E3C">
        <w:t>41 submissions on the proposed changes to fees</w:t>
      </w:r>
      <w:r w:rsidR="00934986">
        <w:t>.</w:t>
      </w:r>
      <w:r w:rsidR="00E14E3C" w:rsidRPr="00E14E3C">
        <w:t xml:space="preserve"> </w:t>
      </w:r>
    </w:p>
    <w:p w:rsidR="00525E3B" w:rsidRDefault="00E14E3C" w:rsidP="00920AB5">
      <w:pPr>
        <w:pStyle w:val="Numberedpara3level1"/>
      </w:pPr>
      <w:r w:rsidRPr="00E14E3C">
        <w:t xml:space="preserve">The </w:t>
      </w:r>
      <w:r w:rsidR="00566F66">
        <w:t xml:space="preserve">results of consultation were as expected, with the class 4 sector strongly opposed to the fee increases and problem gambling groups supporting </w:t>
      </w:r>
      <w:r w:rsidR="008E547D">
        <w:t xml:space="preserve">higher increases in fees. </w:t>
      </w:r>
      <w:r w:rsidR="00566F66">
        <w:t xml:space="preserve"> </w:t>
      </w:r>
      <w:r w:rsidR="00557E9E">
        <w:t xml:space="preserve">A summary of submitters’ views on the proposed class 4 fee increases is provided in </w:t>
      </w:r>
      <w:r w:rsidR="00B72756">
        <w:t>A</w:t>
      </w:r>
      <w:r w:rsidR="00557E9E">
        <w:t>ppendix t</w:t>
      </w:r>
      <w:r w:rsidR="00DE58FE">
        <w:t>hree</w:t>
      </w:r>
      <w:r w:rsidR="00557E9E">
        <w:t>.</w:t>
      </w:r>
      <w:r w:rsidR="004E4E1A">
        <w:t xml:space="preserve"> </w:t>
      </w:r>
      <w:r w:rsidR="00B84B08">
        <w:t xml:space="preserve"> </w:t>
      </w:r>
      <w:r w:rsidR="00525E3B">
        <w:t xml:space="preserve">The Department has considered all feedback. While no changes to the preferred option have been made, </w:t>
      </w:r>
      <w:r w:rsidR="0065416C">
        <w:t xml:space="preserve">the Department acknowledges submitter concerns that the </w:t>
      </w:r>
      <w:r w:rsidR="00F53694">
        <w:t xml:space="preserve">class 4 </w:t>
      </w:r>
      <w:r w:rsidR="0065416C">
        <w:t xml:space="preserve">sector is under increasing pressure to financially support the necessary level of regulation and maintain funding streams for community purposes. </w:t>
      </w:r>
    </w:p>
    <w:p w:rsidR="00B3390E" w:rsidRDefault="00B3390E" w:rsidP="00B3390E">
      <w:pPr>
        <w:pStyle w:val="NotforContentsheading2"/>
      </w:pPr>
      <w:r>
        <w:t>Departmental consultation</w:t>
      </w:r>
    </w:p>
    <w:p w:rsidR="00BF7245" w:rsidRDefault="00BF7245" w:rsidP="00BF7245">
      <w:pPr>
        <w:pStyle w:val="Numberedpara3level1"/>
      </w:pPr>
      <w:r>
        <w:t>The Cabinet paper that this RIS accompanies is currently being consulted on with The Treasury, Ministries of Health, Business, Innovation and Employment, Culture and Heritage, Women</w:t>
      </w:r>
      <w:r w:rsidR="00C458D3">
        <w:t xml:space="preserve">, </w:t>
      </w:r>
      <w:r>
        <w:t>Pacific Island Affairs, Te Puni Kōkiri, and Sport New Zealand. The Department of the Prime Minister and Cabinet has been informed.</w:t>
      </w:r>
    </w:p>
    <w:p w:rsidR="00264E9B" w:rsidRDefault="00DC5EB0" w:rsidP="00B302E6">
      <w:pPr>
        <w:pStyle w:val="Heading1"/>
      </w:pPr>
      <w:bookmarkStart w:id="7" w:name="_Toc431562995"/>
      <w:r>
        <w:t>R</w:t>
      </w:r>
      <w:r w:rsidR="00264E9B">
        <w:t>ecommendations</w:t>
      </w:r>
      <w:bookmarkEnd w:id="7"/>
    </w:p>
    <w:p w:rsidR="002F074C" w:rsidRDefault="009F39AC" w:rsidP="007B23F6">
      <w:pPr>
        <w:pStyle w:val="Numberedpara3level1"/>
      </w:pPr>
      <w:r>
        <w:t xml:space="preserve">Having carefully considered the impacts of the preferred option, </w:t>
      </w:r>
      <w:r w:rsidR="006668FC">
        <w:t xml:space="preserve">the Department recommends that the </w:t>
      </w:r>
      <w:r w:rsidR="008A3091">
        <w:t xml:space="preserve">preferred </w:t>
      </w:r>
      <w:r w:rsidR="006668FC">
        <w:t xml:space="preserve">option </w:t>
      </w:r>
      <w:r w:rsidR="008A3091">
        <w:t xml:space="preserve">(option </w:t>
      </w:r>
      <w:r w:rsidR="0009288A">
        <w:t>two</w:t>
      </w:r>
      <w:r w:rsidR="008A3091">
        <w:t xml:space="preserve">) </w:t>
      </w:r>
      <w:r w:rsidR="006668FC">
        <w:t xml:space="preserve">be implemented. </w:t>
      </w:r>
      <w:r w:rsidR="00452B3B">
        <w:t xml:space="preserve">Neither the status quo </w:t>
      </w:r>
      <w:r w:rsidR="008A3091">
        <w:t xml:space="preserve">(option </w:t>
      </w:r>
      <w:r w:rsidR="0009288A">
        <w:t>one</w:t>
      </w:r>
      <w:r w:rsidR="008A3091">
        <w:t xml:space="preserve">) </w:t>
      </w:r>
      <w:r w:rsidR="00452B3B">
        <w:t xml:space="preserve">nor option three will meet the objective. The preferred option </w:t>
      </w:r>
      <w:r w:rsidR="008A3091">
        <w:t xml:space="preserve">(option </w:t>
      </w:r>
      <w:r w:rsidR="0009288A">
        <w:t>two</w:t>
      </w:r>
      <w:r w:rsidR="008A3091">
        <w:t xml:space="preserve">) </w:t>
      </w:r>
      <w:r w:rsidR="00452B3B">
        <w:t xml:space="preserve">reflects revenue decline and cost increases since the fees were last set and achieves the objective. </w:t>
      </w:r>
      <w:r w:rsidR="008A3091">
        <w:t xml:space="preserve">The main benefit of option </w:t>
      </w:r>
      <w:r w:rsidR="009517C1">
        <w:t>two</w:t>
      </w:r>
      <w:r w:rsidR="008A3091">
        <w:t xml:space="preserve"> is that it will ensure the Department is able to continue its regulatory functions </w:t>
      </w:r>
      <w:r w:rsidR="002F074C">
        <w:t xml:space="preserve">as well as </w:t>
      </w:r>
      <w:r w:rsidR="008A3091">
        <w:t xml:space="preserve">reduce the deficit over time. </w:t>
      </w:r>
    </w:p>
    <w:p w:rsidR="007B23F6" w:rsidRDefault="0062701F" w:rsidP="007B23F6">
      <w:pPr>
        <w:pStyle w:val="Numberedpara3level1"/>
      </w:pPr>
      <w:r>
        <w:t>However</w:t>
      </w:r>
      <w:r w:rsidR="002F074C">
        <w:t xml:space="preserve"> </w:t>
      </w:r>
      <w:r w:rsidR="002F074C" w:rsidRPr="008E7AF2">
        <w:t>increasing fees</w:t>
      </w:r>
      <w:r w:rsidR="002F074C">
        <w:t xml:space="preserve"> now together with the increases to the </w:t>
      </w:r>
      <w:r w:rsidR="002F074C" w:rsidRPr="008E7AF2">
        <w:t xml:space="preserve">minimum rate of return </w:t>
      </w:r>
      <w:r w:rsidR="002F074C">
        <w:t xml:space="preserve">in 2016 and 2018 could lead to a reduction in </w:t>
      </w:r>
      <w:r w:rsidR="002F074C" w:rsidRPr="008E7AF2">
        <w:t>aggregate community funding</w:t>
      </w:r>
      <w:r w:rsidR="002F074C">
        <w:t xml:space="preserve">. It also presents risks to cost recovery, as the current model relies on the sector being able to </w:t>
      </w:r>
      <w:r w:rsidR="0009288A">
        <w:t>afford</w:t>
      </w:r>
      <w:r w:rsidR="002F074C">
        <w:t xml:space="preserve"> the proposed level of fee increases. There is no potential to avoid fee increases without impacting on the Department’s </w:t>
      </w:r>
      <w:r w:rsidR="002F074C" w:rsidRPr="007B23F6">
        <w:rPr>
          <w:spacing w:val="-2"/>
        </w:rPr>
        <w:t xml:space="preserve">ability to fulfil its obligations under the Act. </w:t>
      </w:r>
      <w:r w:rsidR="002F074C" w:rsidRPr="000934E0">
        <w:t xml:space="preserve">The Department recommends </w:t>
      </w:r>
      <w:r w:rsidR="002F074C">
        <w:t xml:space="preserve">that the proposed fee increases take place in conjunction with further policy work on the </w:t>
      </w:r>
      <w:r w:rsidR="002F074C" w:rsidRPr="000934E0">
        <w:t>minimum rate of return</w:t>
      </w:r>
      <w:r w:rsidR="002F074C">
        <w:t xml:space="preserve"> re</w:t>
      </w:r>
      <w:r w:rsidR="00FC670D">
        <w:t>quirements.</w:t>
      </w:r>
      <w:r w:rsidR="002F074C" w:rsidRPr="000934E0">
        <w:t xml:space="preserve"> </w:t>
      </w:r>
    </w:p>
    <w:p w:rsidR="00264E9B" w:rsidRDefault="00264E9B" w:rsidP="001F55FD">
      <w:pPr>
        <w:pStyle w:val="Heading1"/>
      </w:pPr>
      <w:bookmarkStart w:id="8" w:name="_Toc431562996"/>
      <w:r>
        <w:t>Implementation plan</w:t>
      </w:r>
      <w:bookmarkEnd w:id="8"/>
    </w:p>
    <w:p w:rsidR="006B2D05" w:rsidRDefault="006B2D05" w:rsidP="006B2D05">
      <w:pPr>
        <w:pStyle w:val="Numberedpara3level1"/>
      </w:pPr>
      <w:r>
        <w:t xml:space="preserve">Cabinet agreement will be needed to give effect to any changes to fees. Drafting instructions will be issued for a new schedule of fees under the Act to be given effect by an Order in Council. </w:t>
      </w:r>
      <w:r w:rsidR="006F6D9E">
        <w:t xml:space="preserve">The sector will receive advance notice of the changes to fees, which are proposed to come into effect </w:t>
      </w:r>
      <w:r w:rsidR="008F2150">
        <w:t xml:space="preserve">by </w:t>
      </w:r>
      <w:r w:rsidR="006F6D9E">
        <w:t xml:space="preserve">1 </w:t>
      </w:r>
      <w:r w:rsidR="00143354">
        <w:t>December</w:t>
      </w:r>
      <w:r w:rsidR="008F2150">
        <w:t xml:space="preserve"> 201</w:t>
      </w:r>
      <w:r w:rsidR="00143354">
        <w:t>5</w:t>
      </w:r>
      <w:r w:rsidR="006F6D9E">
        <w:t xml:space="preserve">. </w:t>
      </w:r>
    </w:p>
    <w:p w:rsidR="006F6D9E" w:rsidRDefault="006B2D05" w:rsidP="006B2D05">
      <w:pPr>
        <w:pStyle w:val="Numberedpara3level1"/>
      </w:pPr>
      <w:r>
        <w:t xml:space="preserve">The Department does not expect compliance costs to be affected as no changes are proposed to fee collection processes. </w:t>
      </w:r>
    </w:p>
    <w:p w:rsidR="00264E9B" w:rsidRDefault="00264E9B" w:rsidP="00B302E6">
      <w:pPr>
        <w:pStyle w:val="Heading1"/>
      </w:pPr>
      <w:bookmarkStart w:id="9" w:name="_Toc431562997"/>
      <w:r>
        <w:lastRenderedPageBreak/>
        <w:t>Monitoring, evaluation, and review</w:t>
      </w:r>
      <w:bookmarkEnd w:id="9"/>
    </w:p>
    <w:p w:rsidR="00677E8A" w:rsidRDefault="00144CC8" w:rsidP="00677E8A">
      <w:pPr>
        <w:pStyle w:val="Numberedpara3level1"/>
      </w:pPr>
      <w:r>
        <w:t xml:space="preserve">The Department will actively monitor the effect of </w:t>
      </w:r>
      <w:r w:rsidR="00C97105">
        <w:t xml:space="preserve">the proposed fees in the sector. </w:t>
      </w:r>
      <w:r>
        <w:t xml:space="preserve">A key factor would be whether the fees are recovering the required amounts and not under-recovering or over-recovering. </w:t>
      </w:r>
      <w:r w:rsidR="00C97105">
        <w:t>Financial monitoring would occur continuously</w:t>
      </w:r>
      <w:r w:rsidR="00677E8A">
        <w:t>,</w:t>
      </w:r>
      <w:r w:rsidR="00C97105">
        <w:t xml:space="preserve"> therefore any sudden or large changes in fees revenue would be picked up immediately. </w:t>
      </w:r>
      <w:r>
        <w:t xml:space="preserve">The number of venues changing hands or societies exiting the sector will be monitored to assess the impacts. </w:t>
      </w:r>
    </w:p>
    <w:p w:rsidR="00677E8A" w:rsidRDefault="00677E8A" w:rsidP="00677E8A">
      <w:pPr>
        <w:pStyle w:val="Numberedpara3level1"/>
      </w:pPr>
      <w:r>
        <w:t>The significant level of fee increases proposed under the preferred option will not completely remove government subsidisation of gambling regulation. Should the fee increases be approved, t</w:t>
      </w:r>
      <w:r w:rsidRPr="00171E81">
        <w:t xml:space="preserve">he large memorandum account deficit </w:t>
      </w:r>
      <w:r>
        <w:t xml:space="preserve">will not be fully recovered </w:t>
      </w:r>
      <w:r w:rsidRPr="00171E81">
        <w:t>and pressure w</w:t>
      </w:r>
      <w:r>
        <w:t>ill</w:t>
      </w:r>
      <w:r w:rsidRPr="00171E81">
        <w:t xml:space="preserve"> remain on </w:t>
      </w:r>
      <w:r>
        <w:t xml:space="preserve">the </w:t>
      </w:r>
      <w:r w:rsidRPr="007B23F6">
        <w:rPr>
          <w:rFonts w:eastAsia="Calibri"/>
          <w:lang w:val="en-AU"/>
        </w:rPr>
        <w:t>Department’s</w:t>
      </w:r>
      <w:r w:rsidRPr="00171E81">
        <w:t xml:space="preserve"> balance sheet</w:t>
      </w:r>
      <w:r>
        <w:t xml:space="preserve"> for the foreseeable future</w:t>
      </w:r>
      <w:r w:rsidRPr="00171E81">
        <w:t xml:space="preserve">. </w:t>
      </w:r>
    </w:p>
    <w:p w:rsidR="00677E8A" w:rsidRDefault="00677E8A" w:rsidP="00677E8A">
      <w:pPr>
        <w:pStyle w:val="Numberedpara3level1"/>
      </w:pPr>
      <w:r>
        <w:t>For this reason, the Minister of Internal Affairs is seeking Cabinet agreement to a fit-for-purpose assessment of the class 4 sector at the same time as seeking decisions on fees. The proposed assessment will review the dynamics in the sector and look at the alignment between the sector, the regulator and the sustainability of the current regulatory regime.</w:t>
      </w:r>
      <w:r w:rsidRPr="007B23F6">
        <w:t xml:space="preserve"> </w:t>
      </w:r>
      <w:r>
        <w:t xml:space="preserve">The proposed scope of the assessment includes a ‘first principles’ review of the cost recovery model for gambling regulation. </w:t>
      </w:r>
    </w:p>
    <w:p w:rsidR="00677E8A" w:rsidRDefault="00677E8A" w:rsidP="00677E8A">
      <w:pPr>
        <w:pStyle w:val="Numberedpara3level1"/>
      </w:pPr>
      <w:r>
        <w:t>The Department has not recommended that decisions on fees await the outcome of the proposed assessment of the sector. This is to prevent worsening of the Department’s financial situation (a forecast memorandum account deficit of $23 million in 2016/17) and because of the recommendation that the risks associated with increasing fees can be reduced through further policy work on the minimum rate of return.</w:t>
      </w:r>
    </w:p>
    <w:p w:rsidR="009F7263" w:rsidRDefault="009F7263">
      <w:pPr>
        <w:keepLines w:val="0"/>
      </w:pPr>
      <w:r>
        <w:br w:type="page"/>
      </w:r>
    </w:p>
    <w:p w:rsidR="004A6566" w:rsidRDefault="004A6566" w:rsidP="004A6566">
      <w:pPr>
        <w:pStyle w:val="Heading1"/>
      </w:pPr>
      <w:bookmarkStart w:id="10" w:name="_Toc431562998"/>
      <w:bookmarkStart w:id="11" w:name="_Toc410217733"/>
      <w:bookmarkStart w:id="12" w:name="_Toc425773597"/>
      <w:r>
        <w:lastRenderedPageBreak/>
        <w:t xml:space="preserve">Appendix one: </w:t>
      </w:r>
      <w:r w:rsidR="00C809A1">
        <w:t>modelling of fees under option two (the preferred option)</w:t>
      </w:r>
      <w:bookmarkEnd w:id="10"/>
    </w:p>
    <w:p w:rsidR="004A6566" w:rsidRDefault="004A6566" w:rsidP="004A6566">
      <w:pPr>
        <w:pStyle w:val="Numberedpara3level1"/>
      </w:pPr>
      <w:r>
        <w:t xml:space="preserve">The Department’s fees model forecasts revenue and costs over a ten year period.  This is to balance the repayment of the memorandum account deficit and the impact of the increases. Revenue projections are based on gaming machine numbers and conservative estimates of the future volume of licensing activities. All volumes have been held constant, except for machine numbers which are assumed to decrease at a rate of 500 per year, which is the historic average. </w:t>
      </w:r>
    </w:p>
    <w:p w:rsidR="004A6566" w:rsidRDefault="004A6566" w:rsidP="004A6566">
      <w:pPr>
        <w:pStyle w:val="Numberedpara3level1"/>
      </w:pPr>
      <w:r>
        <w:t>The model is an activity- based costing model. The revenue and expenditure figures are based on past events and may not accurately reflect the costs of regulatory activities going forward. As a result figures in out-years may be over or understated, meaning proposed fees may not be adequately recovering costs.</w:t>
      </w:r>
    </w:p>
    <w:p w:rsidR="004A6566" w:rsidRDefault="004A6566" w:rsidP="004A6566">
      <w:pPr>
        <w:pStyle w:val="Numberedpara3level1"/>
      </w:pPr>
      <w:r w:rsidRPr="00B96AC7">
        <w:t>It is possible that the rate of decline in gaming machine numbers will slow, as the sector continues to rationalise, and reach an “opt</w:t>
      </w:r>
      <w:r>
        <w:t xml:space="preserve">imum” number. </w:t>
      </w:r>
      <w:r w:rsidRPr="00B96AC7">
        <w:t xml:space="preserve">It is also possible that volumes of licensing activity will be greater than </w:t>
      </w:r>
      <w:r>
        <w:t xml:space="preserve">projected. </w:t>
      </w:r>
      <w:r w:rsidRPr="00B96AC7">
        <w:t xml:space="preserve">The effect of </w:t>
      </w:r>
      <w:r>
        <w:t>these s</w:t>
      </w:r>
      <w:r w:rsidRPr="00B96AC7">
        <w:t>cenarios is that the memorandum account</w:t>
      </w:r>
      <w:r>
        <w:t xml:space="preserve"> reduces </w:t>
      </w:r>
      <w:r w:rsidRPr="00B96AC7">
        <w:t xml:space="preserve">more quickly due to over-recovery of revenue. </w:t>
      </w:r>
    </w:p>
    <w:p w:rsidR="004A6566" w:rsidRPr="006769BF" w:rsidRDefault="004A6566" w:rsidP="004A6566">
      <w:pPr>
        <w:pStyle w:val="Numberedpara3level1"/>
        <w:tabs>
          <w:tab w:val="clear" w:pos="567"/>
        </w:tabs>
      </w:pPr>
      <w:r>
        <w:t xml:space="preserve">It is also possible that there will be under-recovery of revenue if the proposed fees impact heavily on the viability of venues and societies. This could lead to an even sharper decline in machine numbers than currently built into the model of 500 per year.  </w:t>
      </w:r>
    </w:p>
    <w:p w:rsidR="004A6566" w:rsidRDefault="004A6566" w:rsidP="004A6566">
      <w:pPr>
        <w:pStyle w:val="Numberedpara3level1"/>
      </w:pPr>
      <w:r>
        <w:t>The table below shows the impact of the revised fees on revenue and expenditure and the memorandum account deficit if there is no under recovery of over recovery of revenue. The deficit will not be completely repaid but the downward trend in the memorandum account deficit will be reversed.</w:t>
      </w:r>
    </w:p>
    <w:p w:rsidR="004A6566" w:rsidRDefault="004A6566" w:rsidP="004A6566">
      <w:pPr>
        <w:pStyle w:val="Caption"/>
        <w:keepNext/>
      </w:pPr>
      <w:r>
        <w:t>Table 3: Forecast revenue and costs based on new fees</w:t>
      </w:r>
    </w:p>
    <w:tbl>
      <w:tblPr>
        <w:tblStyle w:val="DIATable"/>
        <w:tblW w:w="9185" w:type="dxa"/>
        <w:tblLayout w:type="fixed"/>
        <w:tblLook w:val="04A0" w:firstRow="1" w:lastRow="0" w:firstColumn="1" w:lastColumn="0" w:noHBand="0" w:noVBand="1"/>
      </w:tblPr>
      <w:tblGrid>
        <w:gridCol w:w="2693"/>
        <w:gridCol w:w="1082"/>
        <w:gridCol w:w="1082"/>
        <w:gridCol w:w="1082"/>
        <w:gridCol w:w="1082"/>
        <w:gridCol w:w="1082"/>
        <w:gridCol w:w="1082"/>
      </w:tblGrid>
      <w:tr w:rsidR="004A6566" w:rsidTr="004058C6">
        <w:trPr>
          <w:cnfStyle w:val="100000000000" w:firstRow="1" w:lastRow="0" w:firstColumn="0" w:lastColumn="0" w:oddVBand="0" w:evenVBand="0" w:oddHBand="0" w:evenHBand="0" w:firstRowFirstColumn="0" w:firstRowLastColumn="0" w:lastRowFirstColumn="0" w:lastRowLastColumn="0"/>
        </w:trPr>
        <w:tc>
          <w:tcPr>
            <w:tcW w:w="2693" w:type="dxa"/>
          </w:tcPr>
          <w:p w:rsidR="004A6566" w:rsidRPr="00A75078" w:rsidRDefault="004A6566" w:rsidP="004058C6">
            <w:pPr>
              <w:pStyle w:val="FinancialtableLHC"/>
              <w:keepNext/>
            </w:pPr>
          </w:p>
        </w:tc>
        <w:tc>
          <w:tcPr>
            <w:tcW w:w="1082" w:type="dxa"/>
          </w:tcPr>
          <w:p w:rsidR="004A6566" w:rsidRDefault="004A6566" w:rsidP="004058C6">
            <w:pPr>
              <w:pStyle w:val="Financialtableyears"/>
              <w:keepNext/>
            </w:pPr>
            <w:r>
              <w:t>2014/15</w:t>
            </w:r>
          </w:p>
        </w:tc>
        <w:tc>
          <w:tcPr>
            <w:tcW w:w="1082" w:type="dxa"/>
          </w:tcPr>
          <w:p w:rsidR="004A6566" w:rsidRPr="00A75078" w:rsidRDefault="004A6566" w:rsidP="004058C6">
            <w:pPr>
              <w:pStyle w:val="Financialtableyears"/>
              <w:keepNext/>
            </w:pPr>
            <w:r>
              <w:t>2015</w:t>
            </w:r>
            <w:r w:rsidRPr="00A75078">
              <w:t>/1</w:t>
            </w:r>
            <w:r>
              <w:t>6</w:t>
            </w:r>
          </w:p>
        </w:tc>
        <w:tc>
          <w:tcPr>
            <w:tcW w:w="1082" w:type="dxa"/>
          </w:tcPr>
          <w:p w:rsidR="004A6566" w:rsidRPr="00A75078" w:rsidRDefault="004A6566" w:rsidP="004058C6">
            <w:pPr>
              <w:pStyle w:val="Financialtableyears"/>
              <w:keepNext/>
            </w:pPr>
            <w:r>
              <w:t>2016</w:t>
            </w:r>
            <w:r w:rsidRPr="00A75078">
              <w:t>/1</w:t>
            </w:r>
            <w:r>
              <w:t>7</w:t>
            </w:r>
          </w:p>
        </w:tc>
        <w:tc>
          <w:tcPr>
            <w:tcW w:w="1082" w:type="dxa"/>
          </w:tcPr>
          <w:p w:rsidR="004A6566" w:rsidRPr="00A75078" w:rsidRDefault="004A6566" w:rsidP="004058C6">
            <w:pPr>
              <w:pStyle w:val="Financialtableyears"/>
              <w:keepNext/>
            </w:pPr>
            <w:r>
              <w:t>2017</w:t>
            </w:r>
            <w:r w:rsidRPr="00A75078">
              <w:t>/1</w:t>
            </w:r>
            <w:r>
              <w:t>8</w:t>
            </w:r>
          </w:p>
        </w:tc>
        <w:tc>
          <w:tcPr>
            <w:tcW w:w="1082" w:type="dxa"/>
          </w:tcPr>
          <w:p w:rsidR="004A6566" w:rsidRPr="00A75078" w:rsidRDefault="004A6566" w:rsidP="004058C6">
            <w:pPr>
              <w:pStyle w:val="Financialtableyears"/>
              <w:keepNext/>
            </w:pPr>
            <w:r>
              <w:t>2018/19</w:t>
            </w:r>
          </w:p>
        </w:tc>
        <w:tc>
          <w:tcPr>
            <w:tcW w:w="1082" w:type="dxa"/>
          </w:tcPr>
          <w:p w:rsidR="004A6566" w:rsidRDefault="004A6566" w:rsidP="004058C6">
            <w:pPr>
              <w:pStyle w:val="Financialtableyears"/>
              <w:keepNext/>
            </w:pPr>
            <w:r>
              <w:t>2019/20</w:t>
            </w:r>
          </w:p>
        </w:tc>
      </w:tr>
      <w:tr w:rsidR="004A6566" w:rsidTr="004058C6">
        <w:tc>
          <w:tcPr>
            <w:tcW w:w="2693" w:type="dxa"/>
          </w:tcPr>
          <w:p w:rsidR="004A6566" w:rsidRPr="004A25A3" w:rsidRDefault="004A6566" w:rsidP="004058C6">
            <w:pPr>
              <w:pStyle w:val="FinancialtableLHC"/>
              <w:keepNext/>
            </w:pPr>
            <w:r w:rsidRPr="004A25A3">
              <w:t>Revenue</w:t>
            </w:r>
          </w:p>
        </w:tc>
        <w:tc>
          <w:tcPr>
            <w:tcW w:w="1082" w:type="dxa"/>
          </w:tcPr>
          <w:p w:rsidR="004A6566" w:rsidRPr="00BB122F" w:rsidRDefault="004A6566" w:rsidP="004058C6">
            <w:pPr>
              <w:pStyle w:val="Financialtablefigures"/>
              <w:keepNext/>
            </w:pPr>
            <w:r>
              <w:t>18.459</w:t>
            </w:r>
          </w:p>
        </w:tc>
        <w:tc>
          <w:tcPr>
            <w:tcW w:w="1082" w:type="dxa"/>
          </w:tcPr>
          <w:p w:rsidR="004A6566" w:rsidRPr="00BB122F" w:rsidRDefault="004A6566" w:rsidP="004058C6">
            <w:pPr>
              <w:pStyle w:val="Financialtablefigures"/>
              <w:keepNext/>
            </w:pPr>
            <w:r>
              <w:t>23.278</w:t>
            </w:r>
          </w:p>
        </w:tc>
        <w:tc>
          <w:tcPr>
            <w:tcW w:w="1082" w:type="dxa"/>
          </w:tcPr>
          <w:p w:rsidR="004A6566" w:rsidRPr="00BB122F" w:rsidRDefault="004A6566" w:rsidP="004058C6">
            <w:pPr>
              <w:pStyle w:val="Financialtablefigures"/>
              <w:keepNext/>
            </w:pPr>
            <w:r>
              <w:t>26.950</w:t>
            </w:r>
          </w:p>
        </w:tc>
        <w:tc>
          <w:tcPr>
            <w:tcW w:w="1082" w:type="dxa"/>
          </w:tcPr>
          <w:p w:rsidR="004A6566" w:rsidRPr="00BB122F" w:rsidRDefault="004A6566" w:rsidP="004058C6">
            <w:pPr>
              <w:pStyle w:val="Financialtablefigures"/>
              <w:keepNext/>
            </w:pPr>
            <w:r>
              <w:t>26.836</w:t>
            </w:r>
          </w:p>
        </w:tc>
        <w:tc>
          <w:tcPr>
            <w:tcW w:w="1082" w:type="dxa"/>
          </w:tcPr>
          <w:p w:rsidR="004A6566" w:rsidRPr="00BB122F" w:rsidRDefault="004A6566" w:rsidP="004058C6">
            <w:pPr>
              <w:pStyle w:val="Financialtablefigures"/>
              <w:keepNext/>
            </w:pPr>
            <w:r>
              <w:t>26.726</w:t>
            </w:r>
          </w:p>
        </w:tc>
        <w:tc>
          <w:tcPr>
            <w:tcW w:w="1082" w:type="dxa"/>
          </w:tcPr>
          <w:p w:rsidR="004A6566" w:rsidRDefault="004A6566" w:rsidP="004058C6">
            <w:pPr>
              <w:pStyle w:val="Financialtablefigures"/>
              <w:keepNext/>
            </w:pPr>
            <w:r>
              <w:t>26.620</w:t>
            </w:r>
          </w:p>
        </w:tc>
      </w:tr>
      <w:tr w:rsidR="004A6566" w:rsidTr="004058C6">
        <w:tc>
          <w:tcPr>
            <w:tcW w:w="2693" w:type="dxa"/>
          </w:tcPr>
          <w:p w:rsidR="004A6566" w:rsidRPr="004A25A3" w:rsidRDefault="004A6566" w:rsidP="004058C6">
            <w:pPr>
              <w:pStyle w:val="FinancialtableLHC"/>
              <w:keepNext/>
            </w:pPr>
            <w:r w:rsidRPr="004A25A3">
              <w:t>Expenditure</w:t>
            </w:r>
          </w:p>
        </w:tc>
        <w:tc>
          <w:tcPr>
            <w:tcW w:w="1082" w:type="dxa"/>
          </w:tcPr>
          <w:p w:rsidR="004A6566" w:rsidRPr="00BB122F" w:rsidRDefault="004A6566" w:rsidP="004058C6">
            <w:pPr>
              <w:pStyle w:val="Financialtablefigures"/>
              <w:keepNext/>
            </w:pPr>
            <w:r>
              <w:t>22.268</w:t>
            </w:r>
          </w:p>
        </w:tc>
        <w:tc>
          <w:tcPr>
            <w:tcW w:w="1082" w:type="dxa"/>
          </w:tcPr>
          <w:p w:rsidR="004A6566" w:rsidRPr="00BB122F" w:rsidRDefault="004A6566" w:rsidP="004058C6">
            <w:pPr>
              <w:pStyle w:val="Financialtablefigures"/>
              <w:keepNext/>
            </w:pPr>
            <w:r>
              <w:t>23.528</w:t>
            </w:r>
          </w:p>
        </w:tc>
        <w:tc>
          <w:tcPr>
            <w:tcW w:w="1082" w:type="dxa"/>
          </w:tcPr>
          <w:p w:rsidR="004A6566" w:rsidRPr="00BB122F" w:rsidRDefault="004A6566" w:rsidP="004058C6">
            <w:pPr>
              <w:pStyle w:val="Financialtablefigures"/>
              <w:keepNext/>
            </w:pPr>
            <w:r>
              <w:t>24.687</w:t>
            </w:r>
          </w:p>
        </w:tc>
        <w:tc>
          <w:tcPr>
            <w:tcW w:w="1082" w:type="dxa"/>
          </w:tcPr>
          <w:p w:rsidR="004A6566" w:rsidRPr="00BB122F" w:rsidRDefault="004A6566" w:rsidP="004058C6">
            <w:pPr>
              <w:pStyle w:val="Financialtablefigures"/>
              <w:keepNext/>
            </w:pPr>
            <w:r>
              <w:t>25.213</w:t>
            </w:r>
          </w:p>
        </w:tc>
        <w:tc>
          <w:tcPr>
            <w:tcW w:w="1082" w:type="dxa"/>
          </w:tcPr>
          <w:p w:rsidR="004A6566" w:rsidRPr="00BB122F" w:rsidRDefault="004A6566" w:rsidP="004058C6">
            <w:pPr>
              <w:pStyle w:val="Financialtablefigures"/>
              <w:keepNext/>
            </w:pPr>
            <w:r>
              <w:t>25.167</w:t>
            </w:r>
          </w:p>
        </w:tc>
        <w:tc>
          <w:tcPr>
            <w:tcW w:w="1082" w:type="dxa"/>
          </w:tcPr>
          <w:p w:rsidR="004A6566" w:rsidRDefault="004A6566" w:rsidP="004058C6">
            <w:pPr>
              <w:pStyle w:val="Financialtablefigures"/>
              <w:keepNext/>
            </w:pPr>
            <w:r>
              <w:t>25.452</w:t>
            </w:r>
          </w:p>
        </w:tc>
      </w:tr>
      <w:tr w:rsidR="004A6566" w:rsidTr="004058C6">
        <w:tc>
          <w:tcPr>
            <w:tcW w:w="2693" w:type="dxa"/>
          </w:tcPr>
          <w:p w:rsidR="004A6566" w:rsidRPr="004A25A3" w:rsidRDefault="004A6566" w:rsidP="004058C6">
            <w:pPr>
              <w:pStyle w:val="FinancialtableLHC"/>
              <w:keepNext/>
            </w:pPr>
            <w:r w:rsidRPr="004A25A3">
              <w:t>Surplus/(Deficit)</w:t>
            </w:r>
          </w:p>
        </w:tc>
        <w:tc>
          <w:tcPr>
            <w:tcW w:w="1082" w:type="dxa"/>
          </w:tcPr>
          <w:p w:rsidR="004A6566" w:rsidRPr="00BB122F" w:rsidRDefault="004A6566" w:rsidP="004058C6">
            <w:pPr>
              <w:pStyle w:val="Financialtablefigures"/>
              <w:keepNext/>
            </w:pPr>
            <w:r>
              <w:t>(3.809)</w:t>
            </w:r>
          </w:p>
        </w:tc>
        <w:tc>
          <w:tcPr>
            <w:tcW w:w="1082" w:type="dxa"/>
          </w:tcPr>
          <w:p w:rsidR="004A6566" w:rsidRPr="00BB122F" w:rsidRDefault="004A6566" w:rsidP="004058C6">
            <w:pPr>
              <w:pStyle w:val="Financialtablefigures"/>
              <w:keepNext/>
            </w:pPr>
            <w:r>
              <w:t>(0.250)</w:t>
            </w:r>
          </w:p>
        </w:tc>
        <w:tc>
          <w:tcPr>
            <w:tcW w:w="1082" w:type="dxa"/>
          </w:tcPr>
          <w:p w:rsidR="004A6566" w:rsidRPr="00BB122F" w:rsidRDefault="004A6566" w:rsidP="004058C6">
            <w:pPr>
              <w:pStyle w:val="Financialtablefigures"/>
              <w:keepNext/>
            </w:pPr>
            <w:r>
              <w:t>2.264</w:t>
            </w:r>
          </w:p>
        </w:tc>
        <w:tc>
          <w:tcPr>
            <w:tcW w:w="1082" w:type="dxa"/>
          </w:tcPr>
          <w:p w:rsidR="004A6566" w:rsidRPr="00BB122F" w:rsidRDefault="004A6566" w:rsidP="004058C6">
            <w:pPr>
              <w:pStyle w:val="Financialtablefigures"/>
              <w:keepNext/>
            </w:pPr>
            <w:r>
              <w:t>1.624</w:t>
            </w:r>
          </w:p>
        </w:tc>
        <w:tc>
          <w:tcPr>
            <w:tcW w:w="1082" w:type="dxa"/>
          </w:tcPr>
          <w:p w:rsidR="004A6566" w:rsidRPr="00BB122F" w:rsidRDefault="004A6566" w:rsidP="004058C6">
            <w:pPr>
              <w:pStyle w:val="Financialtablefigures"/>
              <w:keepNext/>
            </w:pPr>
            <w:r>
              <w:t>1.560</w:t>
            </w:r>
          </w:p>
        </w:tc>
        <w:tc>
          <w:tcPr>
            <w:tcW w:w="1082" w:type="dxa"/>
          </w:tcPr>
          <w:p w:rsidR="004A6566" w:rsidRDefault="004A6566" w:rsidP="004058C6">
            <w:pPr>
              <w:pStyle w:val="Financialtablefigures"/>
              <w:keepNext/>
            </w:pPr>
            <w:r>
              <w:t>1.168</w:t>
            </w:r>
          </w:p>
        </w:tc>
      </w:tr>
      <w:tr w:rsidR="004A6566" w:rsidTr="004058C6">
        <w:tc>
          <w:tcPr>
            <w:tcW w:w="2693" w:type="dxa"/>
          </w:tcPr>
          <w:p w:rsidR="004A6566" w:rsidRPr="004A25A3" w:rsidRDefault="004A6566" w:rsidP="004058C6">
            <w:pPr>
              <w:pStyle w:val="FinancialtableLHC"/>
            </w:pPr>
            <w:r w:rsidRPr="004A25A3">
              <w:t xml:space="preserve">Memo </w:t>
            </w:r>
            <w:r>
              <w:t>account</w:t>
            </w:r>
            <w:r w:rsidRPr="004A25A3">
              <w:t xml:space="preserve"> </w:t>
            </w:r>
            <w:r>
              <w:t>c</w:t>
            </w:r>
            <w:r w:rsidRPr="004A25A3">
              <w:t>losing</w:t>
            </w:r>
            <w:r>
              <w:t xml:space="preserve"> (including capital charges) </w:t>
            </w:r>
          </w:p>
        </w:tc>
        <w:tc>
          <w:tcPr>
            <w:tcW w:w="1082" w:type="dxa"/>
          </w:tcPr>
          <w:p w:rsidR="004A6566" w:rsidRPr="00E72E0B" w:rsidRDefault="004A6566" w:rsidP="004058C6">
            <w:pPr>
              <w:pStyle w:val="Financialtablefigures"/>
            </w:pPr>
            <w:r>
              <w:t>(12.982)</w:t>
            </w:r>
          </w:p>
        </w:tc>
        <w:tc>
          <w:tcPr>
            <w:tcW w:w="1082" w:type="dxa"/>
          </w:tcPr>
          <w:p w:rsidR="004A6566" w:rsidRPr="00E72E0B" w:rsidRDefault="004A6566" w:rsidP="004058C6">
            <w:pPr>
              <w:pStyle w:val="Financialtablefigures"/>
            </w:pPr>
            <w:r>
              <w:t>(13.232)</w:t>
            </w:r>
          </w:p>
        </w:tc>
        <w:tc>
          <w:tcPr>
            <w:tcW w:w="1082" w:type="dxa"/>
          </w:tcPr>
          <w:p w:rsidR="004A6566" w:rsidRPr="00E72E0B" w:rsidRDefault="004A6566" w:rsidP="004058C6">
            <w:pPr>
              <w:pStyle w:val="Financialtablefigures"/>
            </w:pPr>
            <w:r>
              <w:t>(10.969)</w:t>
            </w:r>
          </w:p>
        </w:tc>
        <w:tc>
          <w:tcPr>
            <w:tcW w:w="1082" w:type="dxa"/>
          </w:tcPr>
          <w:p w:rsidR="004A6566" w:rsidRPr="007635B5" w:rsidRDefault="004A6566" w:rsidP="004058C6">
            <w:pPr>
              <w:pStyle w:val="Financialtablefigures"/>
            </w:pPr>
            <w:r>
              <w:t>(9.345)</w:t>
            </w:r>
          </w:p>
        </w:tc>
        <w:tc>
          <w:tcPr>
            <w:tcW w:w="1082" w:type="dxa"/>
          </w:tcPr>
          <w:p w:rsidR="004A6566" w:rsidRPr="00E72E0B" w:rsidRDefault="004A6566" w:rsidP="004058C6">
            <w:pPr>
              <w:pStyle w:val="Financialtablefigures"/>
            </w:pPr>
            <w:r>
              <w:t>(7.785)</w:t>
            </w:r>
          </w:p>
        </w:tc>
        <w:tc>
          <w:tcPr>
            <w:tcW w:w="1082" w:type="dxa"/>
          </w:tcPr>
          <w:p w:rsidR="004A6566" w:rsidRDefault="004A6566" w:rsidP="004058C6">
            <w:pPr>
              <w:pStyle w:val="Financialtablefigures"/>
            </w:pPr>
            <w:r>
              <w:t>(6.617)</w:t>
            </w:r>
          </w:p>
        </w:tc>
      </w:tr>
    </w:tbl>
    <w:p w:rsidR="004A6566" w:rsidRDefault="004A6566" w:rsidP="004A6566">
      <w:pPr>
        <w:pStyle w:val="Numberedpara3level1"/>
        <w:numPr>
          <w:ilvl w:val="0"/>
          <w:numId w:val="0"/>
        </w:numPr>
        <w:ind w:left="567" w:hanging="567"/>
      </w:pPr>
    </w:p>
    <w:p w:rsidR="004A6566" w:rsidRDefault="004A6566" w:rsidP="004A6566">
      <w:pPr>
        <w:pStyle w:val="Numberedpara3level1"/>
        <w:numPr>
          <w:ilvl w:val="0"/>
          <w:numId w:val="0"/>
        </w:numPr>
        <w:ind w:left="567" w:hanging="567"/>
      </w:pPr>
    </w:p>
    <w:p w:rsidR="004A6566" w:rsidRDefault="004A6566" w:rsidP="004A6566">
      <w:pPr>
        <w:pStyle w:val="Numberedpara3level1"/>
        <w:numPr>
          <w:ilvl w:val="0"/>
          <w:numId w:val="0"/>
        </w:numPr>
        <w:ind w:left="567" w:hanging="567"/>
      </w:pPr>
    </w:p>
    <w:p w:rsidR="004A6566" w:rsidRDefault="004A6566" w:rsidP="004A6566">
      <w:pPr>
        <w:pStyle w:val="Numberedpara3level1"/>
        <w:numPr>
          <w:ilvl w:val="0"/>
          <w:numId w:val="0"/>
        </w:numPr>
        <w:ind w:left="567" w:hanging="567"/>
      </w:pPr>
    </w:p>
    <w:p w:rsidR="004A6566" w:rsidRDefault="004A6566" w:rsidP="004A6566">
      <w:pPr>
        <w:pStyle w:val="Numberedpara3level1"/>
        <w:numPr>
          <w:ilvl w:val="0"/>
          <w:numId w:val="0"/>
        </w:numPr>
        <w:ind w:left="567" w:hanging="567"/>
      </w:pPr>
    </w:p>
    <w:p w:rsidR="004A6566" w:rsidRDefault="004A6566" w:rsidP="004A6566">
      <w:pPr>
        <w:pStyle w:val="Numberedpara3level1"/>
        <w:numPr>
          <w:ilvl w:val="0"/>
          <w:numId w:val="0"/>
        </w:numPr>
        <w:ind w:left="567" w:hanging="567"/>
      </w:pPr>
    </w:p>
    <w:p w:rsidR="004A6566" w:rsidRDefault="004A6566" w:rsidP="004A6566">
      <w:pPr>
        <w:pStyle w:val="Numberedpara3level1"/>
        <w:numPr>
          <w:ilvl w:val="0"/>
          <w:numId w:val="0"/>
        </w:numPr>
        <w:ind w:left="567" w:hanging="567"/>
      </w:pPr>
    </w:p>
    <w:p w:rsidR="004A6566" w:rsidRDefault="004A6566" w:rsidP="004A6566">
      <w:pPr>
        <w:pStyle w:val="Numberedpara3level1"/>
        <w:numPr>
          <w:ilvl w:val="0"/>
          <w:numId w:val="0"/>
        </w:numPr>
        <w:ind w:left="567" w:hanging="567"/>
      </w:pPr>
    </w:p>
    <w:p w:rsidR="00557E9E" w:rsidRDefault="00557E9E" w:rsidP="00557E9E">
      <w:pPr>
        <w:pStyle w:val="Heading1"/>
      </w:pPr>
      <w:bookmarkStart w:id="13" w:name="_Toc431562999"/>
      <w:r>
        <w:lastRenderedPageBreak/>
        <w:t xml:space="preserve">Appendix </w:t>
      </w:r>
      <w:r w:rsidR="004A6566">
        <w:t>two</w:t>
      </w:r>
      <w:r>
        <w:t>: schedule of proposed gambling fees</w:t>
      </w:r>
      <w:bookmarkEnd w:id="11"/>
      <w:bookmarkEnd w:id="13"/>
      <w:r>
        <w:t xml:space="preserve"> </w:t>
      </w:r>
      <w:bookmarkEnd w:id="12"/>
    </w:p>
    <w:tbl>
      <w:tblPr>
        <w:tblStyle w:val="DIATable"/>
        <w:tblW w:w="8681" w:type="dxa"/>
        <w:jc w:val="center"/>
        <w:tblLook w:val="04A0" w:firstRow="1" w:lastRow="0" w:firstColumn="1" w:lastColumn="0" w:noHBand="0" w:noVBand="1"/>
      </w:tblPr>
      <w:tblGrid>
        <w:gridCol w:w="2127"/>
        <w:gridCol w:w="1302"/>
        <w:gridCol w:w="1313"/>
        <w:gridCol w:w="1313"/>
        <w:gridCol w:w="1313"/>
        <w:gridCol w:w="1313"/>
      </w:tblGrid>
      <w:tr w:rsidR="00557E9E" w:rsidTr="001B5645">
        <w:trPr>
          <w:cnfStyle w:val="100000000000" w:firstRow="1" w:lastRow="0" w:firstColumn="0" w:lastColumn="0" w:oddVBand="0" w:evenVBand="0" w:oddHBand="0" w:evenHBand="0" w:firstRowFirstColumn="0" w:firstRowLastColumn="0" w:lastRowFirstColumn="0" w:lastRowLastColumn="0"/>
          <w:tblHeader/>
          <w:jc w:val="center"/>
        </w:trPr>
        <w:tc>
          <w:tcPr>
            <w:tcW w:w="2127" w:type="dxa"/>
            <w:tcBorders>
              <w:bottom w:val="single" w:sz="6" w:space="0" w:color="1F546B" w:themeColor="text2"/>
            </w:tcBorders>
          </w:tcPr>
          <w:p w:rsidR="00557E9E" w:rsidRPr="002C1E1B" w:rsidRDefault="00557E9E" w:rsidP="001B5645">
            <w:pPr>
              <w:rPr>
                <w:sz w:val="16"/>
                <w:szCs w:val="16"/>
              </w:rPr>
            </w:pPr>
            <w:r w:rsidRPr="002C1E1B">
              <w:rPr>
                <w:sz w:val="16"/>
                <w:szCs w:val="16"/>
              </w:rPr>
              <w:t>Fee type</w:t>
            </w:r>
          </w:p>
        </w:tc>
        <w:tc>
          <w:tcPr>
            <w:tcW w:w="1302" w:type="dxa"/>
            <w:tcBorders>
              <w:bottom w:val="single" w:sz="6" w:space="0" w:color="1F546B" w:themeColor="text2"/>
            </w:tcBorders>
          </w:tcPr>
          <w:p w:rsidR="00557E9E" w:rsidRPr="002C1E1B" w:rsidRDefault="00557E9E" w:rsidP="001B5645">
            <w:pPr>
              <w:rPr>
                <w:sz w:val="16"/>
                <w:szCs w:val="16"/>
              </w:rPr>
            </w:pPr>
            <w:r w:rsidRPr="002C1E1B">
              <w:rPr>
                <w:sz w:val="16"/>
                <w:szCs w:val="16"/>
              </w:rPr>
              <w:t>Current fee ($)</w:t>
            </w:r>
          </w:p>
        </w:tc>
        <w:tc>
          <w:tcPr>
            <w:tcW w:w="1313" w:type="dxa"/>
            <w:tcBorders>
              <w:bottom w:val="single" w:sz="6" w:space="0" w:color="1F546B" w:themeColor="text2"/>
            </w:tcBorders>
          </w:tcPr>
          <w:p w:rsidR="00557E9E" w:rsidRPr="002C1E1B" w:rsidRDefault="00557E9E" w:rsidP="001B5645">
            <w:pPr>
              <w:rPr>
                <w:sz w:val="16"/>
                <w:szCs w:val="16"/>
              </w:rPr>
            </w:pPr>
            <w:r w:rsidRPr="002C1E1B">
              <w:rPr>
                <w:sz w:val="16"/>
                <w:szCs w:val="16"/>
              </w:rPr>
              <w:t>Proposed fee 2015/16 ($)</w:t>
            </w:r>
          </w:p>
        </w:tc>
        <w:tc>
          <w:tcPr>
            <w:tcW w:w="1313" w:type="dxa"/>
            <w:tcBorders>
              <w:bottom w:val="single" w:sz="6" w:space="0" w:color="1F546B" w:themeColor="text2"/>
            </w:tcBorders>
          </w:tcPr>
          <w:p w:rsidR="00557E9E" w:rsidRPr="002C1E1B" w:rsidRDefault="00557E9E" w:rsidP="001B5645">
            <w:pPr>
              <w:rPr>
                <w:sz w:val="16"/>
                <w:szCs w:val="16"/>
              </w:rPr>
            </w:pPr>
            <w:r w:rsidRPr="002C1E1B">
              <w:rPr>
                <w:sz w:val="16"/>
                <w:szCs w:val="16"/>
              </w:rPr>
              <w:t>Proposed fee 2016/17 ($)</w:t>
            </w:r>
          </w:p>
        </w:tc>
        <w:tc>
          <w:tcPr>
            <w:tcW w:w="1313" w:type="dxa"/>
            <w:tcBorders>
              <w:bottom w:val="single" w:sz="6" w:space="0" w:color="1F546B" w:themeColor="text2"/>
            </w:tcBorders>
          </w:tcPr>
          <w:p w:rsidR="00557E9E" w:rsidRPr="002C1E1B" w:rsidRDefault="00557E9E" w:rsidP="001B5645">
            <w:pPr>
              <w:rPr>
                <w:sz w:val="16"/>
                <w:szCs w:val="16"/>
              </w:rPr>
            </w:pPr>
            <w:r w:rsidRPr="002C1E1B">
              <w:rPr>
                <w:sz w:val="16"/>
                <w:szCs w:val="16"/>
              </w:rPr>
              <w:t>Proposed fee 2017/18 ($)</w:t>
            </w:r>
          </w:p>
        </w:tc>
        <w:tc>
          <w:tcPr>
            <w:tcW w:w="1313" w:type="dxa"/>
            <w:tcBorders>
              <w:bottom w:val="single" w:sz="6" w:space="0" w:color="1F546B" w:themeColor="text2"/>
            </w:tcBorders>
          </w:tcPr>
          <w:p w:rsidR="00557E9E" w:rsidRPr="002C1E1B" w:rsidRDefault="00557E9E" w:rsidP="001B5645">
            <w:pPr>
              <w:rPr>
                <w:sz w:val="16"/>
                <w:szCs w:val="16"/>
              </w:rPr>
            </w:pPr>
            <w:r w:rsidRPr="002C1E1B">
              <w:rPr>
                <w:sz w:val="16"/>
                <w:szCs w:val="16"/>
              </w:rPr>
              <w:t>Proposed fee Out</w:t>
            </w:r>
            <w:r>
              <w:rPr>
                <w:sz w:val="16"/>
                <w:szCs w:val="16"/>
              </w:rPr>
              <w:t xml:space="preserve"> </w:t>
            </w:r>
            <w:r w:rsidRPr="002C1E1B">
              <w:rPr>
                <w:sz w:val="16"/>
                <w:szCs w:val="16"/>
              </w:rPr>
              <w:t>years</w:t>
            </w:r>
          </w:p>
          <w:p w:rsidR="00557E9E" w:rsidRPr="002C1E1B" w:rsidRDefault="00557E9E" w:rsidP="001B5645">
            <w:pPr>
              <w:rPr>
                <w:sz w:val="16"/>
                <w:szCs w:val="16"/>
              </w:rPr>
            </w:pPr>
            <w:r w:rsidRPr="002C1E1B">
              <w:rPr>
                <w:sz w:val="16"/>
                <w:szCs w:val="16"/>
              </w:rPr>
              <w:t>202</w:t>
            </w:r>
            <w:r>
              <w:rPr>
                <w:sz w:val="16"/>
                <w:szCs w:val="16"/>
              </w:rPr>
              <w:t>4</w:t>
            </w:r>
            <w:r w:rsidRPr="002C1E1B">
              <w:rPr>
                <w:sz w:val="16"/>
                <w:szCs w:val="16"/>
              </w:rPr>
              <w:t>/2</w:t>
            </w:r>
            <w:r>
              <w:rPr>
                <w:sz w:val="16"/>
                <w:szCs w:val="16"/>
              </w:rPr>
              <w:t>5</w:t>
            </w:r>
            <w:r w:rsidRPr="002C1E1B">
              <w:rPr>
                <w:sz w:val="16"/>
                <w:szCs w:val="16"/>
              </w:rPr>
              <w:t xml:space="preserve"> ($)</w:t>
            </w:r>
          </w:p>
        </w:tc>
      </w:tr>
      <w:tr w:rsidR="00557E9E" w:rsidTr="001B5645">
        <w:trPr>
          <w:jc w:val="center"/>
        </w:trPr>
        <w:tc>
          <w:tcPr>
            <w:tcW w:w="2127" w:type="dxa"/>
            <w:tcBorders>
              <w:top w:val="single" w:sz="6" w:space="0" w:color="1F546B" w:themeColor="text2"/>
            </w:tcBorders>
          </w:tcPr>
          <w:p w:rsidR="00557E9E" w:rsidRPr="00CD0FCC" w:rsidRDefault="00557E9E" w:rsidP="001B5645">
            <w:pPr>
              <w:pStyle w:val="BodyText"/>
              <w:spacing w:after="0"/>
              <w:rPr>
                <w:b/>
                <w:sz w:val="16"/>
                <w:szCs w:val="16"/>
              </w:rPr>
            </w:pPr>
            <w:r w:rsidRPr="00CD0FCC">
              <w:rPr>
                <w:b/>
                <w:sz w:val="16"/>
                <w:szCs w:val="16"/>
              </w:rPr>
              <w:t>Class 3 Operator Licence</w:t>
            </w:r>
          </w:p>
          <w:p w:rsidR="00557E9E" w:rsidRDefault="00557E9E" w:rsidP="001B5645">
            <w:pPr>
              <w:pStyle w:val="BodyText"/>
              <w:spacing w:after="0"/>
              <w:rPr>
                <w:sz w:val="16"/>
                <w:szCs w:val="16"/>
              </w:rPr>
            </w:pPr>
            <w:r w:rsidRPr="00BA189B">
              <w:rPr>
                <w:sz w:val="16"/>
                <w:szCs w:val="16"/>
              </w:rPr>
              <w:t>New or renewal (prizes $50,000 or less)</w:t>
            </w:r>
          </w:p>
          <w:p w:rsidR="00557E9E" w:rsidRPr="00BA189B" w:rsidRDefault="00557E9E" w:rsidP="001B5645">
            <w:pPr>
              <w:pStyle w:val="BodyText"/>
              <w:spacing w:after="0"/>
              <w:rPr>
                <w:sz w:val="16"/>
                <w:szCs w:val="16"/>
              </w:rPr>
            </w:pPr>
          </w:p>
          <w:p w:rsidR="00557E9E" w:rsidRDefault="00557E9E" w:rsidP="001B5645">
            <w:pPr>
              <w:pStyle w:val="BodyText"/>
              <w:spacing w:after="0"/>
              <w:rPr>
                <w:sz w:val="16"/>
                <w:szCs w:val="16"/>
              </w:rPr>
            </w:pPr>
            <w:r w:rsidRPr="00BA189B">
              <w:rPr>
                <w:sz w:val="16"/>
                <w:szCs w:val="16"/>
              </w:rPr>
              <w:t>New or renewal (prizes more than $50,000)</w:t>
            </w:r>
          </w:p>
          <w:p w:rsidR="00557E9E" w:rsidRPr="00BA189B" w:rsidRDefault="00557E9E" w:rsidP="001B5645">
            <w:pPr>
              <w:pStyle w:val="BodyText"/>
              <w:spacing w:after="0"/>
              <w:rPr>
                <w:sz w:val="16"/>
                <w:szCs w:val="16"/>
              </w:rPr>
            </w:pPr>
          </w:p>
          <w:p w:rsidR="00557E9E" w:rsidRPr="00BA189B" w:rsidRDefault="00557E9E" w:rsidP="001B5645">
            <w:pPr>
              <w:pStyle w:val="BodyText"/>
              <w:spacing w:after="0"/>
              <w:rPr>
                <w:sz w:val="16"/>
                <w:szCs w:val="16"/>
              </w:rPr>
            </w:pPr>
            <w:r w:rsidRPr="001362FC">
              <w:rPr>
                <w:sz w:val="16"/>
                <w:szCs w:val="16"/>
              </w:rPr>
              <w:t>Amendment</w:t>
            </w:r>
          </w:p>
        </w:tc>
        <w:tc>
          <w:tcPr>
            <w:tcW w:w="1302" w:type="dxa"/>
            <w:tcBorders>
              <w:top w:val="single" w:sz="6" w:space="0" w:color="1F546B" w:themeColor="text2"/>
            </w:tcBorders>
          </w:tcPr>
          <w:p w:rsidR="00557E9E" w:rsidRPr="00BA189B" w:rsidRDefault="00557E9E" w:rsidP="001B5645">
            <w:pPr>
              <w:pStyle w:val="BodyText"/>
              <w:spacing w:after="0"/>
              <w:jc w:val="right"/>
              <w:rPr>
                <w:sz w:val="16"/>
                <w:szCs w:val="16"/>
              </w:rPr>
            </w:pPr>
          </w:p>
          <w:p w:rsidR="00557E9E" w:rsidRPr="00BA189B" w:rsidRDefault="00557E9E" w:rsidP="001B5645">
            <w:pPr>
              <w:pStyle w:val="BodyText"/>
              <w:spacing w:after="0"/>
              <w:jc w:val="right"/>
              <w:rPr>
                <w:sz w:val="16"/>
                <w:szCs w:val="16"/>
              </w:rPr>
            </w:pPr>
            <w:r w:rsidRPr="00BA189B">
              <w:rPr>
                <w:sz w:val="16"/>
                <w:szCs w:val="16"/>
              </w:rPr>
              <w:t>89</w:t>
            </w:r>
          </w:p>
          <w:p w:rsidR="00557E9E" w:rsidRPr="00BA189B"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189B" w:rsidRDefault="00557E9E" w:rsidP="001B5645">
            <w:pPr>
              <w:pStyle w:val="BodyText"/>
              <w:spacing w:after="0"/>
              <w:jc w:val="right"/>
              <w:rPr>
                <w:sz w:val="16"/>
                <w:szCs w:val="16"/>
              </w:rPr>
            </w:pPr>
            <w:r w:rsidRPr="00BA189B">
              <w:rPr>
                <w:sz w:val="16"/>
                <w:szCs w:val="16"/>
              </w:rPr>
              <w:t>628</w:t>
            </w:r>
          </w:p>
          <w:p w:rsidR="00557E9E" w:rsidRPr="00BA189B" w:rsidRDefault="00557E9E" w:rsidP="001B5645">
            <w:pPr>
              <w:pStyle w:val="BodyText"/>
              <w:spacing w:after="0"/>
              <w:jc w:val="right"/>
              <w:rPr>
                <w:sz w:val="16"/>
                <w:szCs w:val="16"/>
              </w:rPr>
            </w:pPr>
          </w:p>
          <w:p w:rsidR="00557E9E" w:rsidRPr="00BA189B" w:rsidRDefault="00FE2E78" w:rsidP="00FE2E78">
            <w:pPr>
              <w:pStyle w:val="BodyText"/>
              <w:spacing w:after="44"/>
              <w:jc w:val="right"/>
              <w:rPr>
                <w:sz w:val="16"/>
                <w:szCs w:val="16"/>
              </w:rPr>
            </w:pPr>
            <w:r>
              <w:rPr>
                <w:sz w:val="16"/>
                <w:szCs w:val="16"/>
              </w:rPr>
              <w:br/>
            </w:r>
            <w:r w:rsidR="00557E9E" w:rsidRPr="00BA189B">
              <w:rPr>
                <w:sz w:val="16"/>
                <w:szCs w:val="16"/>
              </w:rPr>
              <w:t>306</w:t>
            </w:r>
          </w:p>
        </w:tc>
        <w:tc>
          <w:tcPr>
            <w:tcW w:w="1313" w:type="dxa"/>
            <w:tcBorders>
              <w:top w:val="single" w:sz="6" w:space="0" w:color="1F546B" w:themeColor="text2"/>
            </w:tcBorders>
          </w:tcPr>
          <w:p w:rsidR="00557E9E" w:rsidRPr="00BA189B" w:rsidRDefault="00557E9E" w:rsidP="001B5645">
            <w:pPr>
              <w:pStyle w:val="BodyText"/>
              <w:spacing w:after="0"/>
              <w:jc w:val="right"/>
              <w:rPr>
                <w:sz w:val="16"/>
                <w:szCs w:val="16"/>
              </w:rPr>
            </w:pPr>
          </w:p>
          <w:p w:rsidR="00557E9E" w:rsidRPr="00BA189B" w:rsidRDefault="00557E9E" w:rsidP="001B5645">
            <w:pPr>
              <w:pStyle w:val="BodyText"/>
              <w:spacing w:after="0"/>
              <w:jc w:val="right"/>
              <w:rPr>
                <w:sz w:val="16"/>
                <w:szCs w:val="16"/>
              </w:rPr>
            </w:pPr>
            <w:r w:rsidRPr="00BA189B">
              <w:rPr>
                <w:sz w:val="16"/>
                <w:szCs w:val="16"/>
              </w:rPr>
              <w:t>89</w:t>
            </w:r>
          </w:p>
          <w:p w:rsidR="00557E9E" w:rsidRPr="00BA189B"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189B" w:rsidRDefault="00557E9E" w:rsidP="001B5645">
            <w:pPr>
              <w:pStyle w:val="BodyText"/>
              <w:spacing w:after="0"/>
              <w:jc w:val="right"/>
              <w:rPr>
                <w:sz w:val="16"/>
                <w:szCs w:val="16"/>
              </w:rPr>
            </w:pPr>
            <w:r w:rsidRPr="00BA189B">
              <w:rPr>
                <w:sz w:val="16"/>
                <w:szCs w:val="16"/>
              </w:rPr>
              <w:t>628</w:t>
            </w:r>
          </w:p>
          <w:p w:rsidR="00557E9E" w:rsidRPr="00BA189B" w:rsidRDefault="00557E9E" w:rsidP="001B5645">
            <w:pPr>
              <w:pStyle w:val="BodyText"/>
              <w:spacing w:after="0"/>
              <w:jc w:val="right"/>
              <w:rPr>
                <w:sz w:val="16"/>
                <w:szCs w:val="16"/>
              </w:rPr>
            </w:pPr>
          </w:p>
          <w:p w:rsidR="00557E9E" w:rsidRPr="00BA189B" w:rsidRDefault="00FE2E78" w:rsidP="00FE2E78">
            <w:pPr>
              <w:pStyle w:val="BodyText"/>
              <w:spacing w:after="44"/>
              <w:jc w:val="right"/>
              <w:rPr>
                <w:sz w:val="16"/>
                <w:szCs w:val="16"/>
              </w:rPr>
            </w:pPr>
            <w:r>
              <w:rPr>
                <w:sz w:val="16"/>
                <w:szCs w:val="16"/>
              </w:rPr>
              <w:br/>
            </w:r>
            <w:r w:rsidR="00557E9E" w:rsidRPr="00BA189B">
              <w:rPr>
                <w:sz w:val="16"/>
                <w:szCs w:val="16"/>
              </w:rPr>
              <w:t>0</w:t>
            </w:r>
          </w:p>
        </w:tc>
        <w:tc>
          <w:tcPr>
            <w:tcW w:w="1313" w:type="dxa"/>
            <w:tcBorders>
              <w:top w:val="single" w:sz="6" w:space="0" w:color="1F546B" w:themeColor="text2"/>
            </w:tcBorders>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89</w:t>
            </w:r>
          </w:p>
          <w:p w:rsidR="00557E9E" w:rsidRPr="00BA50B0"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628</w:t>
            </w:r>
          </w:p>
          <w:p w:rsidR="00557E9E" w:rsidRPr="00BA50B0" w:rsidRDefault="00557E9E" w:rsidP="001B5645">
            <w:pPr>
              <w:pStyle w:val="BodyText"/>
              <w:spacing w:after="0"/>
              <w:jc w:val="right"/>
              <w:rPr>
                <w:sz w:val="16"/>
                <w:szCs w:val="16"/>
              </w:rPr>
            </w:pPr>
          </w:p>
          <w:p w:rsidR="00557E9E" w:rsidRPr="00BA50B0" w:rsidRDefault="00FE2E78" w:rsidP="00FE2E78">
            <w:pPr>
              <w:pStyle w:val="BodyText"/>
              <w:spacing w:after="44"/>
              <w:jc w:val="right"/>
              <w:rPr>
                <w:sz w:val="16"/>
                <w:szCs w:val="16"/>
              </w:rPr>
            </w:pPr>
            <w:r>
              <w:rPr>
                <w:sz w:val="16"/>
                <w:szCs w:val="16"/>
              </w:rPr>
              <w:br/>
            </w:r>
            <w:r w:rsidR="00557E9E" w:rsidRPr="00BA50B0">
              <w:rPr>
                <w:sz w:val="16"/>
                <w:szCs w:val="16"/>
              </w:rPr>
              <w:t>0</w:t>
            </w:r>
          </w:p>
        </w:tc>
        <w:tc>
          <w:tcPr>
            <w:tcW w:w="1313" w:type="dxa"/>
            <w:tcBorders>
              <w:top w:val="single" w:sz="6" w:space="0" w:color="1F546B" w:themeColor="text2"/>
            </w:tcBorders>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89</w:t>
            </w:r>
          </w:p>
          <w:p w:rsidR="00557E9E" w:rsidRPr="00BA50B0"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628</w:t>
            </w:r>
          </w:p>
          <w:p w:rsidR="00557E9E" w:rsidRPr="00BA50B0" w:rsidRDefault="00557E9E" w:rsidP="001B5645">
            <w:pPr>
              <w:pStyle w:val="BodyText"/>
              <w:spacing w:after="0"/>
              <w:jc w:val="right"/>
              <w:rPr>
                <w:sz w:val="16"/>
                <w:szCs w:val="16"/>
              </w:rPr>
            </w:pPr>
          </w:p>
          <w:p w:rsidR="00557E9E" w:rsidRPr="00BA50B0" w:rsidRDefault="00FE2E78" w:rsidP="00FE2E78">
            <w:pPr>
              <w:pStyle w:val="BodyText"/>
              <w:spacing w:after="44"/>
              <w:jc w:val="right"/>
              <w:rPr>
                <w:sz w:val="16"/>
                <w:szCs w:val="16"/>
              </w:rPr>
            </w:pPr>
            <w:r>
              <w:rPr>
                <w:sz w:val="16"/>
                <w:szCs w:val="16"/>
              </w:rPr>
              <w:br/>
            </w:r>
            <w:r w:rsidR="00557E9E" w:rsidRPr="00BA50B0">
              <w:rPr>
                <w:sz w:val="16"/>
                <w:szCs w:val="16"/>
              </w:rPr>
              <w:t>0</w:t>
            </w:r>
          </w:p>
        </w:tc>
        <w:tc>
          <w:tcPr>
            <w:tcW w:w="1313" w:type="dxa"/>
            <w:tcBorders>
              <w:top w:val="single" w:sz="6" w:space="0" w:color="1F546B" w:themeColor="text2"/>
            </w:tcBorders>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89</w:t>
            </w:r>
          </w:p>
          <w:p w:rsidR="00557E9E" w:rsidRPr="00BA50B0"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628</w:t>
            </w:r>
          </w:p>
          <w:p w:rsidR="00557E9E" w:rsidRPr="00BA50B0" w:rsidRDefault="00557E9E" w:rsidP="001B5645">
            <w:pPr>
              <w:pStyle w:val="BodyText"/>
              <w:spacing w:after="0"/>
              <w:jc w:val="right"/>
              <w:rPr>
                <w:sz w:val="16"/>
                <w:szCs w:val="16"/>
              </w:rPr>
            </w:pPr>
          </w:p>
          <w:p w:rsidR="00557E9E" w:rsidRPr="00BA50B0" w:rsidRDefault="00FE2E78" w:rsidP="00FE2E78">
            <w:pPr>
              <w:pStyle w:val="BodyText"/>
              <w:spacing w:after="44"/>
              <w:jc w:val="right"/>
              <w:rPr>
                <w:sz w:val="16"/>
                <w:szCs w:val="16"/>
              </w:rPr>
            </w:pPr>
            <w:r>
              <w:rPr>
                <w:sz w:val="16"/>
                <w:szCs w:val="16"/>
              </w:rPr>
              <w:br/>
            </w:r>
            <w:r w:rsidR="00557E9E" w:rsidRPr="00BA50B0">
              <w:rPr>
                <w:sz w:val="16"/>
                <w:szCs w:val="16"/>
              </w:rPr>
              <w:t>0</w:t>
            </w:r>
          </w:p>
        </w:tc>
      </w:tr>
      <w:tr w:rsidR="00557E9E" w:rsidTr="001B5645">
        <w:trPr>
          <w:jc w:val="center"/>
        </w:trPr>
        <w:tc>
          <w:tcPr>
            <w:tcW w:w="2127" w:type="dxa"/>
          </w:tcPr>
          <w:p w:rsidR="00557E9E" w:rsidRPr="00BA50B0" w:rsidRDefault="00557E9E" w:rsidP="001B5645">
            <w:pPr>
              <w:pStyle w:val="BodyText"/>
              <w:spacing w:after="0"/>
              <w:rPr>
                <w:b/>
                <w:sz w:val="16"/>
                <w:szCs w:val="16"/>
              </w:rPr>
            </w:pPr>
            <w:r w:rsidRPr="00BA50B0">
              <w:rPr>
                <w:b/>
                <w:sz w:val="16"/>
                <w:szCs w:val="16"/>
              </w:rPr>
              <w:t>Class 4 Operator Licences</w:t>
            </w:r>
          </w:p>
          <w:p w:rsidR="00557E9E" w:rsidRDefault="00557E9E" w:rsidP="001B5645">
            <w:pPr>
              <w:pStyle w:val="BodyText"/>
              <w:spacing w:after="0"/>
              <w:rPr>
                <w:sz w:val="16"/>
                <w:szCs w:val="16"/>
              </w:rPr>
            </w:pPr>
            <w:r w:rsidRPr="00BA50B0">
              <w:rPr>
                <w:sz w:val="16"/>
                <w:szCs w:val="16"/>
              </w:rPr>
              <w:t>New (club societies)</w:t>
            </w:r>
          </w:p>
          <w:p w:rsidR="00557E9E" w:rsidRPr="00BA50B0" w:rsidRDefault="00557E9E" w:rsidP="001B5645">
            <w:pPr>
              <w:pStyle w:val="BodyText"/>
              <w:spacing w:after="0"/>
              <w:rPr>
                <w:sz w:val="16"/>
                <w:szCs w:val="16"/>
              </w:rPr>
            </w:pPr>
          </w:p>
          <w:p w:rsidR="00557E9E" w:rsidRPr="00BA50B0" w:rsidRDefault="00557E9E" w:rsidP="001B5645">
            <w:pPr>
              <w:pStyle w:val="BodyText"/>
              <w:spacing w:after="0"/>
              <w:rPr>
                <w:sz w:val="16"/>
                <w:szCs w:val="16"/>
              </w:rPr>
            </w:pPr>
            <w:r w:rsidRPr="00BA50B0">
              <w:rPr>
                <w:sz w:val="16"/>
                <w:szCs w:val="16"/>
              </w:rPr>
              <w:t>New (non-club societies)</w:t>
            </w:r>
          </w:p>
          <w:p w:rsidR="00557E9E" w:rsidRDefault="00557E9E" w:rsidP="001B5645">
            <w:pPr>
              <w:pStyle w:val="BodyText"/>
              <w:spacing w:after="0"/>
              <w:rPr>
                <w:sz w:val="16"/>
                <w:szCs w:val="16"/>
              </w:rPr>
            </w:pPr>
          </w:p>
          <w:p w:rsidR="00557E9E" w:rsidRPr="00BA50B0" w:rsidRDefault="00557E9E" w:rsidP="001B5645">
            <w:pPr>
              <w:pStyle w:val="BodyText"/>
              <w:spacing w:after="0"/>
              <w:rPr>
                <w:sz w:val="16"/>
                <w:szCs w:val="16"/>
              </w:rPr>
            </w:pPr>
            <w:r w:rsidRPr="00BA50B0">
              <w:rPr>
                <w:sz w:val="16"/>
                <w:szCs w:val="16"/>
              </w:rPr>
              <w:t>Amendment or notification (key person)</w:t>
            </w:r>
          </w:p>
          <w:p w:rsidR="00557E9E" w:rsidRDefault="00557E9E" w:rsidP="001B5645">
            <w:pPr>
              <w:pStyle w:val="BodyText"/>
              <w:spacing w:after="0"/>
              <w:rPr>
                <w:sz w:val="16"/>
                <w:szCs w:val="16"/>
              </w:rPr>
            </w:pPr>
          </w:p>
          <w:p w:rsidR="00557E9E" w:rsidRPr="00BA50B0" w:rsidRDefault="00557E9E" w:rsidP="001B5645">
            <w:pPr>
              <w:pStyle w:val="BodyText"/>
              <w:spacing w:after="0"/>
              <w:rPr>
                <w:sz w:val="16"/>
                <w:szCs w:val="16"/>
              </w:rPr>
            </w:pPr>
            <w:r w:rsidRPr="00BA50B0">
              <w:rPr>
                <w:sz w:val="16"/>
                <w:szCs w:val="16"/>
              </w:rPr>
              <w:t>Amendment or notification (other)</w:t>
            </w:r>
          </w:p>
          <w:p w:rsidR="00557E9E" w:rsidRDefault="00557E9E" w:rsidP="001B5645">
            <w:pPr>
              <w:pStyle w:val="BodyText"/>
              <w:spacing w:after="0"/>
              <w:rPr>
                <w:sz w:val="16"/>
                <w:szCs w:val="16"/>
              </w:rPr>
            </w:pPr>
          </w:p>
          <w:p w:rsidR="00557E9E" w:rsidRPr="00BA50B0" w:rsidRDefault="00557E9E" w:rsidP="001B5645">
            <w:pPr>
              <w:pStyle w:val="BodyText"/>
              <w:spacing w:after="0"/>
              <w:rPr>
                <w:sz w:val="16"/>
                <w:szCs w:val="16"/>
              </w:rPr>
            </w:pPr>
            <w:r w:rsidRPr="00BA50B0">
              <w:rPr>
                <w:sz w:val="16"/>
                <w:szCs w:val="16"/>
              </w:rPr>
              <w:t>Renewal (club societies)</w:t>
            </w:r>
          </w:p>
          <w:p w:rsidR="00557E9E" w:rsidRDefault="00557E9E" w:rsidP="001B5645">
            <w:pPr>
              <w:pStyle w:val="BodyText"/>
              <w:spacing w:after="0"/>
              <w:rPr>
                <w:sz w:val="16"/>
                <w:szCs w:val="16"/>
              </w:rPr>
            </w:pPr>
          </w:p>
          <w:p w:rsidR="00557E9E" w:rsidRPr="00BA50B0" w:rsidRDefault="00557E9E" w:rsidP="001B5645">
            <w:pPr>
              <w:pStyle w:val="BodyText"/>
              <w:spacing w:after="0"/>
              <w:rPr>
                <w:sz w:val="16"/>
                <w:szCs w:val="16"/>
              </w:rPr>
            </w:pPr>
            <w:r w:rsidRPr="00BA50B0">
              <w:rPr>
                <w:sz w:val="16"/>
                <w:szCs w:val="16"/>
              </w:rPr>
              <w:t>Renewal (non-club societies)</w:t>
            </w:r>
          </w:p>
          <w:p w:rsidR="00557E9E" w:rsidRDefault="00557E9E" w:rsidP="001B5645">
            <w:pPr>
              <w:pStyle w:val="BodyText"/>
              <w:spacing w:after="0"/>
              <w:rPr>
                <w:sz w:val="16"/>
                <w:szCs w:val="16"/>
              </w:rPr>
            </w:pPr>
          </w:p>
          <w:p w:rsidR="00557E9E" w:rsidRPr="00BA50B0" w:rsidRDefault="00557E9E" w:rsidP="001B5645">
            <w:pPr>
              <w:pStyle w:val="BodyText"/>
              <w:spacing w:after="0"/>
              <w:rPr>
                <w:sz w:val="16"/>
                <w:szCs w:val="16"/>
              </w:rPr>
            </w:pPr>
            <w:r w:rsidRPr="00103788">
              <w:rPr>
                <w:sz w:val="16"/>
                <w:szCs w:val="16"/>
              </w:rPr>
              <w:t>O</w:t>
            </w:r>
            <w:r>
              <w:rPr>
                <w:sz w:val="16"/>
                <w:szCs w:val="16"/>
              </w:rPr>
              <w:t>perator’s annual fee (non-clubs)</w:t>
            </w:r>
          </w:p>
        </w:tc>
        <w:tc>
          <w:tcPr>
            <w:tcW w:w="1302"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3,616</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w:t>
            </w:r>
            <w:r>
              <w:rPr>
                <w:sz w:val="16"/>
                <w:szCs w:val="16"/>
              </w:rPr>
              <w:t>,</w:t>
            </w:r>
            <w:r w:rsidRPr="00BA50B0">
              <w:rPr>
                <w:sz w:val="16"/>
                <w:szCs w:val="16"/>
              </w:rPr>
              <w:t>616</w:t>
            </w:r>
          </w:p>
          <w:p w:rsidR="00557E9E" w:rsidRDefault="00557E9E" w:rsidP="001B5645">
            <w:pPr>
              <w:pStyle w:val="BodyText"/>
              <w:spacing w:after="0"/>
              <w:jc w:val="right"/>
              <w:rPr>
                <w:sz w:val="16"/>
                <w:szCs w:val="16"/>
              </w:rPr>
            </w:pPr>
            <w:r>
              <w:rPr>
                <w:sz w:val="16"/>
                <w:szCs w:val="16"/>
              </w:rPr>
              <w:t xml:space="preserve">          </w:t>
            </w:r>
          </w:p>
          <w:p w:rsidR="00557E9E" w:rsidRPr="00BA50B0" w:rsidRDefault="00557E9E" w:rsidP="001B5645">
            <w:pPr>
              <w:pStyle w:val="BodyText"/>
              <w:spacing w:after="0"/>
              <w:jc w:val="right"/>
              <w:rPr>
                <w:sz w:val="16"/>
                <w:szCs w:val="16"/>
              </w:rPr>
            </w:pPr>
            <w:r>
              <w:rPr>
                <w:sz w:val="16"/>
                <w:szCs w:val="16"/>
              </w:rPr>
              <w:t xml:space="preserve"> </w:t>
            </w:r>
            <w:r w:rsidRPr="00BA50B0">
              <w:rPr>
                <w:sz w:val="16"/>
                <w:szCs w:val="16"/>
              </w:rPr>
              <w:t>565</w:t>
            </w:r>
          </w:p>
          <w:p w:rsidR="00557E9E" w:rsidRPr="00BA50B0"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226</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r w:rsidRPr="00BA50B0">
              <w:rPr>
                <w:sz w:val="16"/>
                <w:szCs w:val="16"/>
              </w:rPr>
              <w:t>1,130</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r w:rsidRPr="00BA50B0">
              <w:rPr>
                <w:sz w:val="16"/>
                <w:szCs w:val="16"/>
              </w:rPr>
              <w:t>2,261</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3,612</w:t>
            </w:r>
          </w:p>
        </w:tc>
        <w:tc>
          <w:tcPr>
            <w:tcW w:w="1313"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3,616</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15,795</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565</w:t>
            </w:r>
          </w:p>
          <w:p w:rsidR="00557E9E" w:rsidRPr="00BA50B0"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169</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1,130</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10,246</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3,612</w:t>
            </w:r>
          </w:p>
        </w:tc>
        <w:tc>
          <w:tcPr>
            <w:tcW w:w="1313"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3,616</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15,795</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565</w:t>
            </w:r>
          </w:p>
          <w:p w:rsidR="00557E9E" w:rsidRPr="00BA50B0"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169</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1,130</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10,246</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3,612</w:t>
            </w:r>
          </w:p>
        </w:tc>
        <w:tc>
          <w:tcPr>
            <w:tcW w:w="1313"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3,616</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15,795</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565</w:t>
            </w:r>
          </w:p>
          <w:p w:rsidR="00557E9E" w:rsidRPr="00BA50B0"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169</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1,130</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10,246</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3,612</w:t>
            </w:r>
          </w:p>
        </w:tc>
        <w:tc>
          <w:tcPr>
            <w:tcW w:w="1313"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3,616</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15,795</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565</w:t>
            </w:r>
          </w:p>
          <w:p w:rsidR="00557E9E" w:rsidRPr="00BA50B0"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169</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1,130</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10,246</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3,612</w:t>
            </w:r>
          </w:p>
        </w:tc>
      </w:tr>
      <w:tr w:rsidR="00557E9E" w:rsidTr="001B5645">
        <w:trPr>
          <w:jc w:val="center"/>
        </w:trPr>
        <w:tc>
          <w:tcPr>
            <w:tcW w:w="2127" w:type="dxa"/>
          </w:tcPr>
          <w:p w:rsidR="00557E9E" w:rsidRPr="00BA50B0" w:rsidRDefault="00557E9E" w:rsidP="001B5645">
            <w:pPr>
              <w:pStyle w:val="BodyText"/>
              <w:spacing w:after="0"/>
              <w:rPr>
                <w:b/>
                <w:sz w:val="16"/>
                <w:szCs w:val="16"/>
              </w:rPr>
            </w:pPr>
            <w:r w:rsidRPr="00BA50B0">
              <w:rPr>
                <w:b/>
                <w:sz w:val="16"/>
                <w:szCs w:val="16"/>
              </w:rPr>
              <w:t>Annual compliance fee (per gaming machine) – non-clubs and larger clubs</w:t>
            </w:r>
          </w:p>
        </w:tc>
        <w:tc>
          <w:tcPr>
            <w:tcW w:w="1302" w:type="dxa"/>
          </w:tcPr>
          <w:p w:rsidR="00557E9E" w:rsidRPr="00BA50B0" w:rsidRDefault="00557E9E" w:rsidP="001B5645">
            <w:pPr>
              <w:pStyle w:val="BodyText"/>
              <w:jc w:val="right"/>
              <w:rPr>
                <w:sz w:val="16"/>
                <w:szCs w:val="16"/>
              </w:rPr>
            </w:pPr>
            <w:r w:rsidRPr="00BA50B0">
              <w:rPr>
                <w:sz w:val="16"/>
                <w:szCs w:val="16"/>
              </w:rPr>
              <w:t>378</w:t>
            </w:r>
          </w:p>
        </w:tc>
        <w:tc>
          <w:tcPr>
            <w:tcW w:w="1313" w:type="dxa"/>
          </w:tcPr>
          <w:p w:rsidR="00557E9E" w:rsidRPr="00BA50B0" w:rsidRDefault="00557E9E" w:rsidP="001B5645">
            <w:pPr>
              <w:pStyle w:val="BodyText"/>
              <w:jc w:val="right"/>
              <w:rPr>
                <w:sz w:val="16"/>
                <w:szCs w:val="16"/>
              </w:rPr>
            </w:pPr>
            <w:r>
              <w:rPr>
                <w:sz w:val="16"/>
                <w:szCs w:val="16"/>
              </w:rPr>
              <w:t>595.77</w:t>
            </w:r>
          </w:p>
        </w:tc>
        <w:tc>
          <w:tcPr>
            <w:tcW w:w="1313" w:type="dxa"/>
          </w:tcPr>
          <w:p w:rsidR="00557E9E" w:rsidRPr="00BA50B0" w:rsidRDefault="00557E9E" w:rsidP="001B5645">
            <w:pPr>
              <w:pStyle w:val="BodyText"/>
              <w:jc w:val="right"/>
              <w:rPr>
                <w:sz w:val="16"/>
                <w:szCs w:val="16"/>
              </w:rPr>
            </w:pPr>
            <w:r>
              <w:rPr>
                <w:sz w:val="16"/>
                <w:szCs w:val="16"/>
              </w:rPr>
              <w:t>627.27</w:t>
            </w:r>
          </w:p>
        </w:tc>
        <w:tc>
          <w:tcPr>
            <w:tcW w:w="1313" w:type="dxa"/>
          </w:tcPr>
          <w:p w:rsidR="00557E9E" w:rsidRPr="00BA50B0" w:rsidRDefault="00557E9E" w:rsidP="001B5645">
            <w:pPr>
              <w:pStyle w:val="BodyText"/>
              <w:jc w:val="right"/>
              <w:rPr>
                <w:sz w:val="16"/>
                <w:szCs w:val="16"/>
              </w:rPr>
            </w:pPr>
            <w:r>
              <w:rPr>
                <w:sz w:val="16"/>
                <w:szCs w:val="16"/>
              </w:rPr>
              <w:t>661.13</w:t>
            </w:r>
          </w:p>
        </w:tc>
        <w:tc>
          <w:tcPr>
            <w:tcW w:w="1313" w:type="dxa"/>
          </w:tcPr>
          <w:p w:rsidR="00557E9E" w:rsidRPr="00BA50B0" w:rsidRDefault="00557E9E" w:rsidP="001B5645">
            <w:pPr>
              <w:pStyle w:val="BodyText"/>
              <w:jc w:val="right"/>
              <w:rPr>
                <w:sz w:val="16"/>
                <w:szCs w:val="16"/>
              </w:rPr>
            </w:pPr>
            <w:r w:rsidRPr="00477D34">
              <w:rPr>
                <w:sz w:val="16"/>
                <w:szCs w:val="16"/>
              </w:rPr>
              <w:t>986.17</w:t>
            </w:r>
          </w:p>
        </w:tc>
      </w:tr>
      <w:tr w:rsidR="00557E9E" w:rsidTr="001B5645">
        <w:trPr>
          <w:jc w:val="center"/>
        </w:trPr>
        <w:tc>
          <w:tcPr>
            <w:tcW w:w="2127" w:type="dxa"/>
          </w:tcPr>
          <w:p w:rsidR="00557E9E" w:rsidRPr="00BA50B0" w:rsidRDefault="00557E9E" w:rsidP="001B5645">
            <w:pPr>
              <w:pStyle w:val="BodyText"/>
              <w:spacing w:after="0"/>
              <w:rPr>
                <w:b/>
                <w:sz w:val="16"/>
                <w:szCs w:val="16"/>
              </w:rPr>
            </w:pPr>
            <w:r w:rsidRPr="00BA50B0">
              <w:rPr>
                <w:b/>
                <w:sz w:val="16"/>
                <w:szCs w:val="16"/>
              </w:rPr>
              <w:t xml:space="preserve">Annual compliance fee (per </w:t>
            </w:r>
            <w:r>
              <w:rPr>
                <w:b/>
                <w:sz w:val="16"/>
                <w:szCs w:val="16"/>
              </w:rPr>
              <w:t>gaming machine)</w:t>
            </w:r>
            <w:r w:rsidRPr="00BA50B0">
              <w:rPr>
                <w:b/>
                <w:sz w:val="16"/>
                <w:szCs w:val="16"/>
              </w:rPr>
              <w:t xml:space="preserve"> – small clubs</w:t>
            </w:r>
          </w:p>
        </w:tc>
        <w:tc>
          <w:tcPr>
            <w:tcW w:w="1302" w:type="dxa"/>
          </w:tcPr>
          <w:p w:rsidR="00557E9E" w:rsidRPr="00BA50B0" w:rsidRDefault="00557E9E" w:rsidP="001B5645">
            <w:pPr>
              <w:pStyle w:val="BodyText"/>
              <w:jc w:val="right"/>
              <w:rPr>
                <w:sz w:val="16"/>
                <w:szCs w:val="16"/>
              </w:rPr>
            </w:pPr>
            <w:r w:rsidRPr="00BA50B0">
              <w:rPr>
                <w:sz w:val="16"/>
                <w:szCs w:val="16"/>
              </w:rPr>
              <w:t>378</w:t>
            </w:r>
          </w:p>
        </w:tc>
        <w:tc>
          <w:tcPr>
            <w:tcW w:w="1313" w:type="dxa"/>
          </w:tcPr>
          <w:p w:rsidR="00557E9E" w:rsidRPr="00BA50B0" w:rsidRDefault="00557E9E" w:rsidP="001B5645">
            <w:pPr>
              <w:pStyle w:val="BodyText"/>
              <w:jc w:val="right"/>
              <w:rPr>
                <w:sz w:val="16"/>
                <w:szCs w:val="16"/>
              </w:rPr>
            </w:pPr>
            <w:r>
              <w:rPr>
                <w:sz w:val="16"/>
                <w:szCs w:val="16"/>
              </w:rPr>
              <w:t>295.50</w:t>
            </w:r>
          </w:p>
        </w:tc>
        <w:tc>
          <w:tcPr>
            <w:tcW w:w="1313" w:type="dxa"/>
          </w:tcPr>
          <w:p w:rsidR="00557E9E" w:rsidRPr="00BA50B0" w:rsidRDefault="00557E9E" w:rsidP="001B5645">
            <w:pPr>
              <w:pStyle w:val="BodyText"/>
              <w:jc w:val="right"/>
              <w:rPr>
                <w:sz w:val="16"/>
                <w:szCs w:val="16"/>
              </w:rPr>
            </w:pPr>
            <w:r w:rsidRPr="00BA50B0">
              <w:rPr>
                <w:sz w:val="16"/>
                <w:szCs w:val="16"/>
              </w:rPr>
              <w:t>3</w:t>
            </w:r>
            <w:r>
              <w:rPr>
                <w:sz w:val="16"/>
                <w:szCs w:val="16"/>
              </w:rPr>
              <w:t>04.50</w:t>
            </w:r>
          </w:p>
        </w:tc>
        <w:tc>
          <w:tcPr>
            <w:tcW w:w="1313" w:type="dxa"/>
          </w:tcPr>
          <w:p w:rsidR="00557E9E" w:rsidRPr="00BA50B0" w:rsidRDefault="00557E9E" w:rsidP="001B5645">
            <w:pPr>
              <w:pStyle w:val="BodyText"/>
              <w:jc w:val="right"/>
              <w:rPr>
                <w:sz w:val="16"/>
                <w:szCs w:val="16"/>
              </w:rPr>
            </w:pPr>
            <w:r w:rsidRPr="00BA50B0">
              <w:rPr>
                <w:sz w:val="16"/>
                <w:szCs w:val="16"/>
              </w:rPr>
              <w:t>3</w:t>
            </w:r>
            <w:r>
              <w:rPr>
                <w:sz w:val="16"/>
                <w:szCs w:val="16"/>
              </w:rPr>
              <w:t>13.50</w:t>
            </w:r>
          </w:p>
        </w:tc>
        <w:tc>
          <w:tcPr>
            <w:tcW w:w="1313" w:type="dxa"/>
          </w:tcPr>
          <w:p w:rsidR="00557E9E" w:rsidRPr="00BA50B0" w:rsidRDefault="00557E9E" w:rsidP="001B5645">
            <w:pPr>
              <w:pStyle w:val="BodyText"/>
              <w:jc w:val="right"/>
              <w:rPr>
                <w:sz w:val="16"/>
                <w:szCs w:val="16"/>
              </w:rPr>
            </w:pPr>
            <w:r w:rsidRPr="00477D34">
              <w:rPr>
                <w:sz w:val="16"/>
                <w:szCs w:val="16"/>
              </w:rPr>
              <w:t>377.00</w:t>
            </w:r>
          </w:p>
        </w:tc>
      </w:tr>
      <w:tr w:rsidR="00557E9E" w:rsidTr="001B5645">
        <w:trPr>
          <w:jc w:val="center"/>
        </w:trPr>
        <w:tc>
          <w:tcPr>
            <w:tcW w:w="2127" w:type="dxa"/>
          </w:tcPr>
          <w:p w:rsidR="00557E9E" w:rsidRPr="00BA50B0" w:rsidRDefault="00557E9E" w:rsidP="001B5645">
            <w:pPr>
              <w:pStyle w:val="BodyText"/>
              <w:spacing w:after="0"/>
              <w:rPr>
                <w:b/>
                <w:sz w:val="16"/>
                <w:szCs w:val="16"/>
              </w:rPr>
            </w:pPr>
            <w:r w:rsidRPr="00BA50B0">
              <w:rPr>
                <w:b/>
                <w:sz w:val="16"/>
                <w:szCs w:val="16"/>
              </w:rPr>
              <w:t>Class 4 venue licences</w:t>
            </w:r>
          </w:p>
          <w:p w:rsidR="00557E9E" w:rsidRPr="00BA50B0" w:rsidRDefault="00557E9E" w:rsidP="001B5645">
            <w:pPr>
              <w:pStyle w:val="BodyText"/>
              <w:spacing w:after="0"/>
              <w:rPr>
                <w:sz w:val="16"/>
                <w:szCs w:val="16"/>
              </w:rPr>
            </w:pPr>
            <w:r w:rsidRPr="00BA50B0">
              <w:rPr>
                <w:sz w:val="16"/>
                <w:szCs w:val="16"/>
              </w:rPr>
              <w:t>New venue licence (club)</w:t>
            </w:r>
          </w:p>
          <w:p w:rsidR="00557E9E" w:rsidRDefault="00557E9E" w:rsidP="001B5645">
            <w:pPr>
              <w:pStyle w:val="BodyText"/>
              <w:spacing w:after="0"/>
              <w:rPr>
                <w:sz w:val="16"/>
                <w:szCs w:val="16"/>
              </w:rPr>
            </w:pPr>
          </w:p>
          <w:p w:rsidR="00557E9E" w:rsidRPr="00BA50B0" w:rsidRDefault="00557E9E" w:rsidP="001B5645">
            <w:pPr>
              <w:pStyle w:val="BodyText"/>
              <w:spacing w:after="0"/>
              <w:rPr>
                <w:sz w:val="16"/>
                <w:szCs w:val="16"/>
              </w:rPr>
            </w:pPr>
            <w:r w:rsidRPr="00BA50B0">
              <w:rPr>
                <w:sz w:val="16"/>
                <w:szCs w:val="16"/>
              </w:rPr>
              <w:t>New venue licence (non-club)</w:t>
            </w:r>
          </w:p>
          <w:p w:rsidR="00557E9E" w:rsidRDefault="00557E9E" w:rsidP="001B5645">
            <w:pPr>
              <w:pStyle w:val="BodyText"/>
              <w:spacing w:after="0"/>
              <w:rPr>
                <w:sz w:val="16"/>
                <w:szCs w:val="16"/>
              </w:rPr>
            </w:pPr>
          </w:p>
          <w:p w:rsidR="00557E9E" w:rsidRPr="00BA50B0" w:rsidRDefault="00557E9E" w:rsidP="001B5645">
            <w:pPr>
              <w:pStyle w:val="BodyText"/>
              <w:spacing w:after="0"/>
              <w:rPr>
                <w:sz w:val="16"/>
                <w:szCs w:val="16"/>
              </w:rPr>
            </w:pPr>
            <w:r w:rsidRPr="00BA50B0">
              <w:rPr>
                <w:sz w:val="16"/>
                <w:szCs w:val="16"/>
              </w:rPr>
              <w:t>Renewed venue licence (club)</w:t>
            </w:r>
          </w:p>
          <w:p w:rsidR="00557E9E" w:rsidRDefault="00557E9E" w:rsidP="001B5645">
            <w:pPr>
              <w:pStyle w:val="BodyText"/>
              <w:spacing w:after="0"/>
              <w:rPr>
                <w:sz w:val="16"/>
                <w:szCs w:val="16"/>
              </w:rPr>
            </w:pPr>
          </w:p>
          <w:p w:rsidR="00557E9E" w:rsidRPr="00BA50B0" w:rsidRDefault="00557E9E" w:rsidP="001B5645">
            <w:pPr>
              <w:pStyle w:val="BodyText"/>
              <w:spacing w:after="0"/>
              <w:rPr>
                <w:sz w:val="16"/>
                <w:szCs w:val="16"/>
              </w:rPr>
            </w:pPr>
            <w:r w:rsidRPr="00BA50B0">
              <w:rPr>
                <w:sz w:val="16"/>
                <w:szCs w:val="16"/>
              </w:rPr>
              <w:t>Renewed venue licence (non-club)</w:t>
            </w:r>
          </w:p>
          <w:p w:rsidR="00557E9E" w:rsidRPr="00BA50B0" w:rsidRDefault="00557E9E" w:rsidP="001B5645">
            <w:pPr>
              <w:pStyle w:val="BodyText"/>
              <w:spacing w:after="0"/>
              <w:rPr>
                <w:sz w:val="16"/>
                <w:szCs w:val="16"/>
              </w:rPr>
            </w:pPr>
          </w:p>
        </w:tc>
        <w:tc>
          <w:tcPr>
            <w:tcW w:w="1302"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678</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904</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r>
              <w:rPr>
                <w:sz w:val="16"/>
                <w:szCs w:val="16"/>
              </w:rPr>
              <w:t>112.89</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Pr>
                <w:sz w:val="16"/>
                <w:szCs w:val="16"/>
              </w:rPr>
              <w:t>169.78</w:t>
            </w:r>
          </w:p>
        </w:tc>
        <w:tc>
          <w:tcPr>
            <w:tcW w:w="1313"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2,054</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2,567</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r>
              <w:rPr>
                <w:sz w:val="16"/>
                <w:szCs w:val="16"/>
              </w:rPr>
              <w:t>112.89</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Pr>
                <w:sz w:val="16"/>
                <w:szCs w:val="16"/>
              </w:rPr>
              <w:t>169.78</w:t>
            </w:r>
          </w:p>
        </w:tc>
        <w:tc>
          <w:tcPr>
            <w:tcW w:w="1313"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2,054</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2,567</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r>
              <w:rPr>
                <w:sz w:val="16"/>
                <w:szCs w:val="16"/>
              </w:rPr>
              <w:t>112.89</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Pr>
                <w:sz w:val="16"/>
                <w:szCs w:val="16"/>
              </w:rPr>
              <w:t>169.78</w:t>
            </w:r>
          </w:p>
        </w:tc>
        <w:tc>
          <w:tcPr>
            <w:tcW w:w="1313"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2,054</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2,567</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r>
              <w:rPr>
                <w:sz w:val="16"/>
                <w:szCs w:val="16"/>
              </w:rPr>
              <w:t>112.89</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Pr>
                <w:sz w:val="16"/>
                <w:szCs w:val="16"/>
              </w:rPr>
              <w:t>169.78</w:t>
            </w:r>
          </w:p>
        </w:tc>
        <w:tc>
          <w:tcPr>
            <w:tcW w:w="1313" w:type="dxa"/>
          </w:tcPr>
          <w:p w:rsidR="00557E9E" w:rsidRPr="00BA50B0"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2,054</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2,567</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Pr>
                <w:sz w:val="16"/>
                <w:szCs w:val="16"/>
              </w:rPr>
              <w:t>112.89</w:t>
            </w:r>
          </w:p>
          <w:p w:rsidR="00557E9E" w:rsidRDefault="00557E9E" w:rsidP="001B5645">
            <w:pPr>
              <w:pStyle w:val="BodyText"/>
              <w:spacing w:after="0"/>
              <w:jc w:val="right"/>
              <w:rPr>
                <w:sz w:val="16"/>
                <w:szCs w:val="16"/>
              </w:rPr>
            </w:pP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Pr>
                <w:sz w:val="16"/>
                <w:szCs w:val="16"/>
              </w:rPr>
              <w:t>169.78</w:t>
            </w:r>
          </w:p>
        </w:tc>
      </w:tr>
      <w:tr w:rsidR="00557E9E" w:rsidTr="001B5645">
        <w:trPr>
          <w:jc w:val="center"/>
        </w:trPr>
        <w:tc>
          <w:tcPr>
            <w:tcW w:w="2127" w:type="dxa"/>
          </w:tcPr>
          <w:p w:rsidR="00557E9E" w:rsidRPr="00BA50B0" w:rsidRDefault="00557E9E" w:rsidP="001B5645">
            <w:pPr>
              <w:pStyle w:val="BodyText"/>
              <w:rPr>
                <w:b/>
                <w:sz w:val="16"/>
                <w:szCs w:val="16"/>
              </w:rPr>
            </w:pPr>
            <w:r w:rsidRPr="00BA50B0">
              <w:rPr>
                <w:b/>
                <w:sz w:val="16"/>
                <w:szCs w:val="16"/>
              </w:rPr>
              <w:t>Daily monitoring fee</w:t>
            </w:r>
          </w:p>
        </w:tc>
        <w:tc>
          <w:tcPr>
            <w:tcW w:w="1302" w:type="dxa"/>
          </w:tcPr>
          <w:p w:rsidR="00557E9E" w:rsidRPr="00BA50B0" w:rsidRDefault="00557E9E" w:rsidP="001B5645">
            <w:pPr>
              <w:pStyle w:val="BodyText"/>
              <w:jc w:val="right"/>
              <w:rPr>
                <w:sz w:val="16"/>
                <w:szCs w:val="16"/>
              </w:rPr>
            </w:pPr>
            <w:r w:rsidRPr="00BA50B0">
              <w:rPr>
                <w:sz w:val="16"/>
                <w:szCs w:val="16"/>
              </w:rPr>
              <w:t>1.20</w:t>
            </w:r>
          </w:p>
        </w:tc>
        <w:tc>
          <w:tcPr>
            <w:tcW w:w="1313" w:type="dxa"/>
          </w:tcPr>
          <w:p w:rsidR="00557E9E" w:rsidRPr="00BA50B0" w:rsidRDefault="00557E9E" w:rsidP="001B5645">
            <w:pPr>
              <w:pStyle w:val="BodyText"/>
              <w:jc w:val="right"/>
              <w:rPr>
                <w:sz w:val="16"/>
                <w:szCs w:val="16"/>
              </w:rPr>
            </w:pPr>
            <w:r w:rsidRPr="00BA50B0">
              <w:rPr>
                <w:sz w:val="16"/>
                <w:szCs w:val="16"/>
              </w:rPr>
              <w:t>1.90</w:t>
            </w:r>
          </w:p>
        </w:tc>
        <w:tc>
          <w:tcPr>
            <w:tcW w:w="1313" w:type="dxa"/>
          </w:tcPr>
          <w:p w:rsidR="00557E9E" w:rsidRPr="00BA50B0" w:rsidRDefault="00557E9E" w:rsidP="001B5645">
            <w:pPr>
              <w:pStyle w:val="BodyText"/>
              <w:jc w:val="right"/>
              <w:rPr>
                <w:sz w:val="16"/>
                <w:szCs w:val="16"/>
              </w:rPr>
            </w:pPr>
            <w:r w:rsidRPr="00BA50B0">
              <w:rPr>
                <w:sz w:val="16"/>
                <w:szCs w:val="16"/>
              </w:rPr>
              <w:t>1.90</w:t>
            </w:r>
          </w:p>
        </w:tc>
        <w:tc>
          <w:tcPr>
            <w:tcW w:w="1313" w:type="dxa"/>
          </w:tcPr>
          <w:p w:rsidR="00557E9E" w:rsidRPr="00BA50B0" w:rsidRDefault="00557E9E" w:rsidP="001B5645">
            <w:pPr>
              <w:pStyle w:val="BodyText"/>
              <w:jc w:val="right"/>
              <w:rPr>
                <w:sz w:val="16"/>
                <w:szCs w:val="16"/>
              </w:rPr>
            </w:pPr>
            <w:r w:rsidRPr="00BA50B0">
              <w:rPr>
                <w:sz w:val="16"/>
                <w:szCs w:val="16"/>
              </w:rPr>
              <w:t>1.90</w:t>
            </w:r>
          </w:p>
        </w:tc>
        <w:tc>
          <w:tcPr>
            <w:tcW w:w="1313" w:type="dxa"/>
          </w:tcPr>
          <w:p w:rsidR="00557E9E" w:rsidRPr="00BA50B0" w:rsidRDefault="00557E9E" w:rsidP="001B5645">
            <w:pPr>
              <w:pStyle w:val="BodyText"/>
              <w:jc w:val="right"/>
              <w:rPr>
                <w:sz w:val="16"/>
                <w:szCs w:val="16"/>
                <w:highlight w:val="yellow"/>
              </w:rPr>
            </w:pPr>
            <w:r w:rsidRPr="00BA50B0">
              <w:rPr>
                <w:sz w:val="16"/>
                <w:szCs w:val="16"/>
              </w:rPr>
              <w:t>1.90</w:t>
            </w:r>
          </w:p>
        </w:tc>
      </w:tr>
      <w:tr w:rsidR="00557E9E" w:rsidTr="001B5645">
        <w:trPr>
          <w:jc w:val="center"/>
        </w:trPr>
        <w:tc>
          <w:tcPr>
            <w:tcW w:w="2127" w:type="dxa"/>
          </w:tcPr>
          <w:p w:rsidR="00557E9E" w:rsidRPr="00BA50B0" w:rsidRDefault="00557E9E" w:rsidP="001B5645">
            <w:pPr>
              <w:pStyle w:val="BodyText"/>
              <w:rPr>
                <w:b/>
                <w:sz w:val="16"/>
                <w:szCs w:val="16"/>
              </w:rPr>
            </w:pPr>
            <w:r w:rsidRPr="00BA50B0">
              <w:rPr>
                <w:b/>
                <w:sz w:val="16"/>
                <w:szCs w:val="16"/>
              </w:rPr>
              <w:t>Certificate of Approval (casino staff)</w:t>
            </w:r>
          </w:p>
        </w:tc>
        <w:tc>
          <w:tcPr>
            <w:tcW w:w="1302" w:type="dxa"/>
          </w:tcPr>
          <w:p w:rsidR="00557E9E" w:rsidRPr="00BA50B0" w:rsidRDefault="00557E9E" w:rsidP="001B5645">
            <w:pPr>
              <w:pStyle w:val="BodyText"/>
              <w:jc w:val="right"/>
              <w:rPr>
                <w:sz w:val="16"/>
                <w:szCs w:val="16"/>
              </w:rPr>
            </w:pPr>
            <w:r w:rsidRPr="00BA50B0">
              <w:rPr>
                <w:sz w:val="16"/>
                <w:szCs w:val="16"/>
              </w:rPr>
              <w:t>292</w:t>
            </w:r>
          </w:p>
        </w:tc>
        <w:tc>
          <w:tcPr>
            <w:tcW w:w="1313" w:type="dxa"/>
          </w:tcPr>
          <w:p w:rsidR="00557E9E" w:rsidRPr="00BA50B0" w:rsidRDefault="00557E9E" w:rsidP="001B5645">
            <w:pPr>
              <w:pStyle w:val="BodyText"/>
              <w:jc w:val="right"/>
              <w:rPr>
                <w:sz w:val="16"/>
                <w:szCs w:val="16"/>
              </w:rPr>
            </w:pPr>
            <w:r>
              <w:rPr>
                <w:sz w:val="16"/>
                <w:szCs w:val="16"/>
              </w:rPr>
              <w:t>512.44</w:t>
            </w:r>
          </w:p>
        </w:tc>
        <w:tc>
          <w:tcPr>
            <w:tcW w:w="1313" w:type="dxa"/>
          </w:tcPr>
          <w:p w:rsidR="00557E9E" w:rsidRPr="00BA50B0" w:rsidRDefault="00557E9E" w:rsidP="001B5645">
            <w:pPr>
              <w:pStyle w:val="BodyText"/>
              <w:jc w:val="right"/>
              <w:rPr>
                <w:sz w:val="16"/>
                <w:szCs w:val="16"/>
              </w:rPr>
            </w:pPr>
            <w:r>
              <w:rPr>
                <w:sz w:val="16"/>
                <w:szCs w:val="16"/>
              </w:rPr>
              <w:t>512.44</w:t>
            </w:r>
          </w:p>
        </w:tc>
        <w:tc>
          <w:tcPr>
            <w:tcW w:w="1313" w:type="dxa"/>
          </w:tcPr>
          <w:p w:rsidR="00557E9E" w:rsidRPr="00BA50B0" w:rsidRDefault="00557E9E" w:rsidP="001B5645">
            <w:pPr>
              <w:pStyle w:val="BodyText"/>
              <w:jc w:val="right"/>
              <w:rPr>
                <w:sz w:val="16"/>
                <w:szCs w:val="16"/>
              </w:rPr>
            </w:pPr>
            <w:r>
              <w:rPr>
                <w:sz w:val="16"/>
                <w:szCs w:val="16"/>
              </w:rPr>
              <w:t>512.44</w:t>
            </w:r>
          </w:p>
        </w:tc>
        <w:tc>
          <w:tcPr>
            <w:tcW w:w="1313" w:type="dxa"/>
          </w:tcPr>
          <w:p w:rsidR="00557E9E" w:rsidRPr="00BA50B0" w:rsidRDefault="00557E9E" w:rsidP="001B5645">
            <w:pPr>
              <w:pStyle w:val="BodyText"/>
              <w:jc w:val="right"/>
              <w:rPr>
                <w:sz w:val="16"/>
                <w:szCs w:val="16"/>
              </w:rPr>
            </w:pPr>
            <w:r>
              <w:rPr>
                <w:sz w:val="16"/>
                <w:szCs w:val="16"/>
              </w:rPr>
              <w:t>512.44</w:t>
            </w:r>
          </w:p>
        </w:tc>
      </w:tr>
      <w:tr w:rsidR="00557E9E" w:rsidTr="001B5645">
        <w:trPr>
          <w:jc w:val="center"/>
        </w:trPr>
        <w:tc>
          <w:tcPr>
            <w:tcW w:w="2127" w:type="dxa"/>
          </w:tcPr>
          <w:p w:rsidR="00557E9E" w:rsidRPr="00BA50B0" w:rsidRDefault="00557E9E" w:rsidP="001B5645">
            <w:pPr>
              <w:pStyle w:val="BodyText"/>
              <w:rPr>
                <w:b/>
                <w:sz w:val="16"/>
                <w:szCs w:val="16"/>
              </w:rPr>
            </w:pPr>
            <w:r w:rsidRPr="00BA50B0">
              <w:rPr>
                <w:b/>
                <w:sz w:val="16"/>
                <w:szCs w:val="16"/>
              </w:rPr>
              <w:t>Associated person approval</w:t>
            </w:r>
          </w:p>
        </w:tc>
        <w:tc>
          <w:tcPr>
            <w:tcW w:w="1302" w:type="dxa"/>
          </w:tcPr>
          <w:p w:rsidR="00557E9E" w:rsidRPr="00BA50B0" w:rsidRDefault="00557E9E" w:rsidP="001B5645">
            <w:pPr>
              <w:pStyle w:val="BodyText"/>
              <w:jc w:val="right"/>
              <w:rPr>
                <w:sz w:val="16"/>
                <w:szCs w:val="16"/>
              </w:rPr>
            </w:pPr>
            <w:r w:rsidRPr="00BA50B0">
              <w:rPr>
                <w:sz w:val="16"/>
                <w:szCs w:val="16"/>
              </w:rPr>
              <w:t>293</w:t>
            </w:r>
          </w:p>
        </w:tc>
        <w:tc>
          <w:tcPr>
            <w:tcW w:w="1313" w:type="dxa"/>
          </w:tcPr>
          <w:p w:rsidR="00557E9E" w:rsidRPr="00BA50B0" w:rsidRDefault="00557E9E" w:rsidP="001B5645">
            <w:pPr>
              <w:pStyle w:val="BodyText"/>
              <w:jc w:val="right"/>
              <w:rPr>
                <w:sz w:val="16"/>
                <w:szCs w:val="16"/>
              </w:rPr>
            </w:pPr>
            <w:r>
              <w:rPr>
                <w:sz w:val="16"/>
                <w:szCs w:val="16"/>
              </w:rPr>
              <w:t>512.44</w:t>
            </w:r>
          </w:p>
        </w:tc>
        <w:tc>
          <w:tcPr>
            <w:tcW w:w="1313" w:type="dxa"/>
          </w:tcPr>
          <w:p w:rsidR="00557E9E" w:rsidRPr="00BA50B0" w:rsidRDefault="00557E9E" w:rsidP="001B5645">
            <w:pPr>
              <w:pStyle w:val="BodyText"/>
              <w:jc w:val="right"/>
              <w:rPr>
                <w:sz w:val="16"/>
                <w:szCs w:val="16"/>
              </w:rPr>
            </w:pPr>
            <w:r>
              <w:rPr>
                <w:sz w:val="16"/>
                <w:szCs w:val="16"/>
              </w:rPr>
              <w:t>512.44</w:t>
            </w:r>
          </w:p>
        </w:tc>
        <w:tc>
          <w:tcPr>
            <w:tcW w:w="1313" w:type="dxa"/>
          </w:tcPr>
          <w:p w:rsidR="00557E9E" w:rsidRPr="00BA50B0" w:rsidRDefault="00557E9E" w:rsidP="001B5645">
            <w:pPr>
              <w:pStyle w:val="BodyText"/>
              <w:jc w:val="right"/>
              <w:rPr>
                <w:sz w:val="16"/>
                <w:szCs w:val="16"/>
              </w:rPr>
            </w:pPr>
            <w:r>
              <w:rPr>
                <w:sz w:val="16"/>
                <w:szCs w:val="16"/>
              </w:rPr>
              <w:t>512.44</w:t>
            </w:r>
          </w:p>
        </w:tc>
        <w:tc>
          <w:tcPr>
            <w:tcW w:w="1313" w:type="dxa"/>
          </w:tcPr>
          <w:p w:rsidR="00557E9E" w:rsidRPr="00BA50B0" w:rsidRDefault="00557E9E" w:rsidP="001B5645">
            <w:pPr>
              <w:pStyle w:val="BodyText"/>
              <w:jc w:val="right"/>
              <w:rPr>
                <w:sz w:val="16"/>
                <w:szCs w:val="16"/>
              </w:rPr>
            </w:pPr>
            <w:r>
              <w:rPr>
                <w:sz w:val="16"/>
                <w:szCs w:val="16"/>
              </w:rPr>
              <w:t>512.44</w:t>
            </w:r>
          </w:p>
        </w:tc>
      </w:tr>
      <w:tr w:rsidR="00557E9E" w:rsidTr="001B5645">
        <w:trPr>
          <w:jc w:val="center"/>
        </w:trPr>
        <w:tc>
          <w:tcPr>
            <w:tcW w:w="2127" w:type="dxa"/>
          </w:tcPr>
          <w:p w:rsidR="00557E9E" w:rsidRPr="00BA50B0" w:rsidRDefault="00557E9E" w:rsidP="001B5645">
            <w:pPr>
              <w:pStyle w:val="BodyText"/>
              <w:rPr>
                <w:b/>
                <w:sz w:val="16"/>
                <w:szCs w:val="16"/>
              </w:rPr>
            </w:pPr>
            <w:r w:rsidRPr="00BA50B0">
              <w:rPr>
                <w:b/>
                <w:sz w:val="16"/>
                <w:szCs w:val="16"/>
              </w:rPr>
              <w:t xml:space="preserve">New casino operator’s licence </w:t>
            </w:r>
          </w:p>
        </w:tc>
        <w:tc>
          <w:tcPr>
            <w:tcW w:w="1302" w:type="dxa"/>
          </w:tcPr>
          <w:p w:rsidR="00557E9E" w:rsidRPr="00BA50B0" w:rsidRDefault="00557E9E" w:rsidP="001B5645">
            <w:pPr>
              <w:pStyle w:val="BodyText"/>
              <w:jc w:val="right"/>
              <w:rPr>
                <w:sz w:val="16"/>
                <w:szCs w:val="16"/>
              </w:rPr>
            </w:pPr>
            <w:r w:rsidRPr="00BA50B0">
              <w:rPr>
                <w:sz w:val="16"/>
                <w:szCs w:val="16"/>
              </w:rPr>
              <w:t>340,000</w:t>
            </w:r>
          </w:p>
        </w:tc>
        <w:tc>
          <w:tcPr>
            <w:tcW w:w="1313" w:type="dxa"/>
          </w:tcPr>
          <w:p w:rsidR="00557E9E" w:rsidRPr="00BA50B0" w:rsidRDefault="00557E9E" w:rsidP="001B5645">
            <w:pPr>
              <w:pStyle w:val="BodyText"/>
              <w:jc w:val="right"/>
              <w:rPr>
                <w:sz w:val="16"/>
                <w:szCs w:val="16"/>
              </w:rPr>
            </w:pPr>
            <w:r w:rsidRPr="00BA50B0">
              <w:rPr>
                <w:sz w:val="16"/>
                <w:szCs w:val="16"/>
              </w:rPr>
              <w:t>340,000</w:t>
            </w:r>
          </w:p>
        </w:tc>
        <w:tc>
          <w:tcPr>
            <w:tcW w:w="1313" w:type="dxa"/>
          </w:tcPr>
          <w:p w:rsidR="00557E9E" w:rsidRPr="00BA50B0" w:rsidRDefault="00557E9E" w:rsidP="001B5645">
            <w:pPr>
              <w:pStyle w:val="BodyText"/>
              <w:jc w:val="right"/>
              <w:rPr>
                <w:sz w:val="16"/>
                <w:szCs w:val="16"/>
              </w:rPr>
            </w:pPr>
            <w:r w:rsidRPr="00BA50B0">
              <w:rPr>
                <w:sz w:val="16"/>
                <w:szCs w:val="16"/>
              </w:rPr>
              <w:t>340,000</w:t>
            </w:r>
          </w:p>
        </w:tc>
        <w:tc>
          <w:tcPr>
            <w:tcW w:w="1313" w:type="dxa"/>
          </w:tcPr>
          <w:p w:rsidR="00557E9E" w:rsidRPr="00BA50B0" w:rsidRDefault="00557E9E" w:rsidP="001B5645">
            <w:pPr>
              <w:pStyle w:val="BodyText"/>
              <w:jc w:val="right"/>
              <w:rPr>
                <w:sz w:val="16"/>
                <w:szCs w:val="16"/>
              </w:rPr>
            </w:pPr>
            <w:r w:rsidRPr="00BA50B0">
              <w:rPr>
                <w:sz w:val="16"/>
                <w:szCs w:val="16"/>
              </w:rPr>
              <w:t>340,000</w:t>
            </w:r>
          </w:p>
        </w:tc>
        <w:tc>
          <w:tcPr>
            <w:tcW w:w="1313" w:type="dxa"/>
          </w:tcPr>
          <w:p w:rsidR="00557E9E" w:rsidRPr="00BA50B0" w:rsidRDefault="00557E9E" w:rsidP="001B5645">
            <w:pPr>
              <w:pStyle w:val="BodyText"/>
              <w:jc w:val="right"/>
              <w:rPr>
                <w:sz w:val="16"/>
                <w:szCs w:val="16"/>
              </w:rPr>
            </w:pPr>
            <w:r w:rsidRPr="00BA50B0">
              <w:rPr>
                <w:sz w:val="16"/>
                <w:szCs w:val="16"/>
              </w:rPr>
              <w:t>340,000</w:t>
            </w:r>
          </w:p>
        </w:tc>
      </w:tr>
      <w:tr w:rsidR="00557E9E" w:rsidTr="001B5645">
        <w:trPr>
          <w:jc w:val="center"/>
        </w:trPr>
        <w:tc>
          <w:tcPr>
            <w:tcW w:w="2127" w:type="dxa"/>
          </w:tcPr>
          <w:p w:rsidR="00557E9E" w:rsidRPr="00BA50B0" w:rsidRDefault="00557E9E" w:rsidP="001B5645">
            <w:pPr>
              <w:pStyle w:val="BodyText"/>
              <w:rPr>
                <w:b/>
                <w:sz w:val="16"/>
                <w:szCs w:val="16"/>
              </w:rPr>
            </w:pPr>
            <w:r w:rsidRPr="00BA50B0">
              <w:rPr>
                <w:b/>
                <w:sz w:val="16"/>
                <w:szCs w:val="16"/>
              </w:rPr>
              <w:t>New casino venue agreement</w:t>
            </w:r>
          </w:p>
        </w:tc>
        <w:tc>
          <w:tcPr>
            <w:tcW w:w="1302" w:type="dxa"/>
          </w:tcPr>
          <w:p w:rsidR="00557E9E" w:rsidRPr="00BA50B0" w:rsidRDefault="00557E9E" w:rsidP="001B5645">
            <w:pPr>
              <w:pStyle w:val="BodyText"/>
              <w:jc w:val="right"/>
              <w:rPr>
                <w:sz w:val="16"/>
                <w:szCs w:val="16"/>
              </w:rPr>
            </w:pPr>
            <w:r w:rsidRPr="00BA50B0">
              <w:rPr>
                <w:sz w:val="16"/>
                <w:szCs w:val="16"/>
              </w:rPr>
              <w:t>23,000</w:t>
            </w:r>
          </w:p>
        </w:tc>
        <w:tc>
          <w:tcPr>
            <w:tcW w:w="1313" w:type="dxa"/>
          </w:tcPr>
          <w:p w:rsidR="00557E9E" w:rsidRPr="00BA50B0" w:rsidRDefault="00557E9E" w:rsidP="001B5645">
            <w:pPr>
              <w:pStyle w:val="BodyText"/>
              <w:jc w:val="right"/>
              <w:rPr>
                <w:sz w:val="16"/>
                <w:szCs w:val="16"/>
              </w:rPr>
            </w:pPr>
            <w:r w:rsidRPr="00BA50B0">
              <w:rPr>
                <w:sz w:val="16"/>
                <w:szCs w:val="16"/>
              </w:rPr>
              <w:t>23,000</w:t>
            </w:r>
          </w:p>
        </w:tc>
        <w:tc>
          <w:tcPr>
            <w:tcW w:w="1313" w:type="dxa"/>
          </w:tcPr>
          <w:p w:rsidR="00557E9E" w:rsidRPr="00BA50B0" w:rsidRDefault="00557E9E" w:rsidP="001B5645">
            <w:pPr>
              <w:pStyle w:val="BodyText"/>
              <w:jc w:val="right"/>
              <w:rPr>
                <w:sz w:val="16"/>
                <w:szCs w:val="16"/>
              </w:rPr>
            </w:pPr>
            <w:r w:rsidRPr="00BA50B0">
              <w:rPr>
                <w:sz w:val="16"/>
                <w:szCs w:val="16"/>
              </w:rPr>
              <w:t>23,000</w:t>
            </w:r>
          </w:p>
        </w:tc>
        <w:tc>
          <w:tcPr>
            <w:tcW w:w="1313" w:type="dxa"/>
          </w:tcPr>
          <w:p w:rsidR="00557E9E" w:rsidRPr="00BA50B0" w:rsidRDefault="00557E9E" w:rsidP="001B5645">
            <w:pPr>
              <w:pStyle w:val="BodyText"/>
              <w:jc w:val="right"/>
              <w:rPr>
                <w:sz w:val="16"/>
                <w:szCs w:val="16"/>
              </w:rPr>
            </w:pPr>
            <w:r w:rsidRPr="00BA50B0">
              <w:rPr>
                <w:sz w:val="16"/>
                <w:szCs w:val="16"/>
              </w:rPr>
              <w:t>23,000</w:t>
            </w:r>
          </w:p>
        </w:tc>
        <w:tc>
          <w:tcPr>
            <w:tcW w:w="1313" w:type="dxa"/>
          </w:tcPr>
          <w:p w:rsidR="00557E9E" w:rsidRPr="00BA50B0" w:rsidRDefault="00557E9E" w:rsidP="001B5645">
            <w:pPr>
              <w:pStyle w:val="BodyText"/>
              <w:jc w:val="right"/>
              <w:rPr>
                <w:sz w:val="16"/>
                <w:szCs w:val="16"/>
              </w:rPr>
            </w:pPr>
            <w:r w:rsidRPr="00BA50B0">
              <w:rPr>
                <w:sz w:val="16"/>
                <w:szCs w:val="16"/>
              </w:rPr>
              <w:t>23,000</w:t>
            </w:r>
          </w:p>
        </w:tc>
      </w:tr>
      <w:tr w:rsidR="00557E9E" w:rsidTr="001B5645">
        <w:trPr>
          <w:jc w:val="center"/>
        </w:trPr>
        <w:tc>
          <w:tcPr>
            <w:tcW w:w="2127" w:type="dxa"/>
          </w:tcPr>
          <w:p w:rsidR="00557E9E" w:rsidRPr="00BA50B0" w:rsidRDefault="00557E9E" w:rsidP="001B5645">
            <w:pPr>
              <w:pStyle w:val="BodyText"/>
              <w:rPr>
                <w:b/>
                <w:sz w:val="16"/>
                <w:szCs w:val="16"/>
              </w:rPr>
            </w:pPr>
            <w:r w:rsidRPr="00BA50B0">
              <w:rPr>
                <w:b/>
                <w:sz w:val="16"/>
                <w:szCs w:val="16"/>
              </w:rPr>
              <w:lastRenderedPageBreak/>
              <w:t>Amendment to casino operator’s licence, venue agreement and venue licence</w:t>
            </w:r>
          </w:p>
        </w:tc>
        <w:tc>
          <w:tcPr>
            <w:tcW w:w="1302" w:type="dxa"/>
          </w:tcPr>
          <w:p w:rsidR="00557E9E" w:rsidRPr="00BA50B0" w:rsidRDefault="00557E9E" w:rsidP="001B5645">
            <w:pPr>
              <w:pStyle w:val="BodyText"/>
              <w:jc w:val="right"/>
              <w:rPr>
                <w:sz w:val="16"/>
                <w:szCs w:val="16"/>
              </w:rPr>
            </w:pPr>
            <w:r w:rsidRPr="00BA50B0">
              <w:rPr>
                <w:sz w:val="16"/>
                <w:szCs w:val="16"/>
              </w:rPr>
              <w:t>888</w:t>
            </w:r>
          </w:p>
        </w:tc>
        <w:tc>
          <w:tcPr>
            <w:tcW w:w="1313" w:type="dxa"/>
          </w:tcPr>
          <w:p w:rsidR="00557E9E" w:rsidRPr="00BA50B0" w:rsidRDefault="00557E9E" w:rsidP="001B5645">
            <w:pPr>
              <w:pStyle w:val="BodyText"/>
              <w:jc w:val="right"/>
              <w:rPr>
                <w:sz w:val="16"/>
                <w:szCs w:val="16"/>
              </w:rPr>
            </w:pPr>
            <w:r w:rsidRPr="00BA50B0">
              <w:rPr>
                <w:sz w:val="16"/>
                <w:szCs w:val="16"/>
              </w:rPr>
              <w:t>888</w:t>
            </w:r>
          </w:p>
        </w:tc>
        <w:tc>
          <w:tcPr>
            <w:tcW w:w="1313" w:type="dxa"/>
          </w:tcPr>
          <w:p w:rsidR="00557E9E" w:rsidRPr="00BA50B0" w:rsidRDefault="00557E9E" w:rsidP="001B5645">
            <w:pPr>
              <w:pStyle w:val="BodyText"/>
              <w:jc w:val="right"/>
              <w:rPr>
                <w:sz w:val="16"/>
                <w:szCs w:val="16"/>
              </w:rPr>
            </w:pPr>
            <w:r w:rsidRPr="00BA50B0">
              <w:rPr>
                <w:sz w:val="16"/>
                <w:szCs w:val="16"/>
              </w:rPr>
              <w:t>888</w:t>
            </w:r>
          </w:p>
        </w:tc>
        <w:tc>
          <w:tcPr>
            <w:tcW w:w="1313" w:type="dxa"/>
          </w:tcPr>
          <w:p w:rsidR="00557E9E" w:rsidRPr="00BA50B0" w:rsidRDefault="00557E9E" w:rsidP="001B5645">
            <w:pPr>
              <w:pStyle w:val="BodyText"/>
              <w:jc w:val="right"/>
              <w:rPr>
                <w:sz w:val="16"/>
                <w:szCs w:val="16"/>
              </w:rPr>
            </w:pPr>
            <w:r w:rsidRPr="00BA50B0">
              <w:rPr>
                <w:sz w:val="16"/>
                <w:szCs w:val="16"/>
              </w:rPr>
              <w:t>888</w:t>
            </w:r>
          </w:p>
        </w:tc>
        <w:tc>
          <w:tcPr>
            <w:tcW w:w="1313" w:type="dxa"/>
          </w:tcPr>
          <w:p w:rsidR="00557E9E" w:rsidRPr="00BA50B0" w:rsidRDefault="00557E9E" w:rsidP="001B5645">
            <w:pPr>
              <w:pStyle w:val="BodyText"/>
              <w:jc w:val="right"/>
              <w:rPr>
                <w:sz w:val="16"/>
                <w:szCs w:val="16"/>
              </w:rPr>
            </w:pPr>
            <w:r w:rsidRPr="00BA50B0">
              <w:rPr>
                <w:sz w:val="16"/>
                <w:szCs w:val="16"/>
              </w:rPr>
              <w:t>888</w:t>
            </w:r>
          </w:p>
        </w:tc>
      </w:tr>
      <w:tr w:rsidR="00557E9E" w:rsidTr="001B5645">
        <w:trPr>
          <w:jc w:val="center"/>
        </w:trPr>
        <w:tc>
          <w:tcPr>
            <w:tcW w:w="2127" w:type="dxa"/>
          </w:tcPr>
          <w:p w:rsidR="00557E9E" w:rsidRPr="00BA50B0" w:rsidRDefault="00557E9E" w:rsidP="001B5645">
            <w:pPr>
              <w:pStyle w:val="BodyText"/>
              <w:spacing w:after="0"/>
              <w:rPr>
                <w:b/>
                <w:sz w:val="16"/>
                <w:szCs w:val="16"/>
              </w:rPr>
            </w:pPr>
            <w:r w:rsidRPr="00BA50B0">
              <w:rPr>
                <w:b/>
                <w:sz w:val="16"/>
                <w:szCs w:val="16"/>
              </w:rPr>
              <w:t>New or renewed promoters’ licence</w:t>
            </w:r>
          </w:p>
          <w:p w:rsidR="00557E9E" w:rsidRPr="00BA50B0" w:rsidRDefault="00557E9E" w:rsidP="001B5645">
            <w:pPr>
              <w:pStyle w:val="BodyText"/>
              <w:rPr>
                <w:b/>
                <w:sz w:val="16"/>
                <w:szCs w:val="16"/>
              </w:rPr>
            </w:pPr>
            <w:r w:rsidRPr="00BA50B0">
              <w:rPr>
                <w:b/>
                <w:sz w:val="16"/>
                <w:szCs w:val="16"/>
              </w:rPr>
              <w:t>Temp licensed promoter authority</w:t>
            </w:r>
          </w:p>
        </w:tc>
        <w:tc>
          <w:tcPr>
            <w:tcW w:w="1302" w:type="dxa"/>
          </w:tcPr>
          <w:p w:rsidR="00557E9E" w:rsidRPr="00BA50B0" w:rsidRDefault="00557E9E" w:rsidP="001B5645">
            <w:pPr>
              <w:pStyle w:val="BodyText"/>
              <w:spacing w:after="0"/>
              <w:jc w:val="right"/>
              <w:rPr>
                <w:sz w:val="16"/>
                <w:szCs w:val="16"/>
              </w:rPr>
            </w:pPr>
            <w:r w:rsidRPr="00BA50B0">
              <w:rPr>
                <w:sz w:val="16"/>
                <w:szCs w:val="16"/>
              </w:rPr>
              <w:t>1,375</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100</w:t>
            </w:r>
          </w:p>
        </w:tc>
        <w:tc>
          <w:tcPr>
            <w:tcW w:w="1313" w:type="dxa"/>
          </w:tcPr>
          <w:p w:rsidR="00557E9E" w:rsidRPr="00BA50B0" w:rsidRDefault="00557E9E" w:rsidP="001B5645">
            <w:pPr>
              <w:pStyle w:val="BodyText"/>
              <w:spacing w:after="0"/>
              <w:jc w:val="right"/>
              <w:rPr>
                <w:sz w:val="16"/>
                <w:szCs w:val="16"/>
              </w:rPr>
            </w:pPr>
            <w:r w:rsidRPr="00BA50B0">
              <w:rPr>
                <w:sz w:val="16"/>
                <w:szCs w:val="16"/>
              </w:rPr>
              <w:t>2,567</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100</w:t>
            </w:r>
          </w:p>
        </w:tc>
        <w:tc>
          <w:tcPr>
            <w:tcW w:w="1313" w:type="dxa"/>
          </w:tcPr>
          <w:p w:rsidR="00557E9E" w:rsidRPr="00BA50B0" w:rsidRDefault="00557E9E" w:rsidP="001B5645">
            <w:pPr>
              <w:pStyle w:val="BodyText"/>
              <w:spacing w:after="0"/>
              <w:jc w:val="right"/>
              <w:rPr>
                <w:sz w:val="16"/>
                <w:szCs w:val="16"/>
              </w:rPr>
            </w:pPr>
            <w:r w:rsidRPr="00BA50B0">
              <w:rPr>
                <w:sz w:val="16"/>
                <w:szCs w:val="16"/>
              </w:rPr>
              <w:t>2,567</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100</w:t>
            </w:r>
          </w:p>
        </w:tc>
        <w:tc>
          <w:tcPr>
            <w:tcW w:w="1313" w:type="dxa"/>
          </w:tcPr>
          <w:p w:rsidR="00557E9E" w:rsidRPr="00BA50B0" w:rsidRDefault="00557E9E" w:rsidP="001B5645">
            <w:pPr>
              <w:pStyle w:val="BodyText"/>
              <w:spacing w:after="0"/>
              <w:jc w:val="right"/>
              <w:rPr>
                <w:sz w:val="16"/>
                <w:szCs w:val="16"/>
              </w:rPr>
            </w:pPr>
            <w:r w:rsidRPr="00BA50B0">
              <w:rPr>
                <w:sz w:val="16"/>
                <w:szCs w:val="16"/>
              </w:rPr>
              <w:t>2,567</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100</w:t>
            </w:r>
          </w:p>
        </w:tc>
        <w:tc>
          <w:tcPr>
            <w:tcW w:w="1313" w:type="dxa"/>
          </w:tcPr>
          <w:p w:rsidR="00557E9E" w:rsidRPr="00BA50B0" w:rsidRDefault="00557E9E" w:rsidP="001B5645">
            <w:pPr>
              <w:pStyle w:val="BodyText"/>
              <w:spacing w:after="0"/>
              <w:jc w:val="right"/>
              <w:rPr>
                <w:sz w:val="16"/>
                <w:szCs w:val="16"/>
              </w:rPr>
            </w:pPr>
            <w:r w:rsidRPr="00BA50B0">
              <w:rPr>
                <w:sz w:val="16"/>
                <w:szCs w:val="16"/>
              </w:rPr>
              <w:t>2,567</w:t>
            </w:r>
          </w:p>
          <w:p w:rsidR="00557E9E" w:rsidRDefault="00557E9E" w:rsidP="001B5645">
            <w:pPr>
              <w:pStyle w:val="BodyText"/>
              <w:spacing w:after="0"/>
              <w:jc w:val="right"/>
              <w:rPr>
                <w:sz w:val="16"/>
                <w:szCs w:val="16"/>
              </w:rPr>
            </w:pPr>
          </w:p>
          <w:p w:rsidR="00557E9E" w:rsidRPr="00BA50B0" w:rsidRDefault="00557E9E" w:rsidP="001B5645">
            <w:pPr>
              <w:pStyle w:val="BodyText"/>
              <w:spacing w:after="0"/>
              <w:jc w:val="right"/>
              <w:rPr>
                <w:sz w:val="16"/>
                <w:szCs w:val="16"/>
              </w:rPr>
            </w:pPr>
            <w:r w:rsidRPr="00BA50B0">
              <w:rPr>
                <w:sz w:val="16"/>
                <w:szCs w:val="16"/>
              </w:rPr>
              <w:t>100</w:t>
            </w:r>
          </w:p>
        </w:tc>
      </w:tr>
      <w:tr w:rsidR="00557E9E" w:rsidRPr="00BA50B0" w:rsidTr="001B5645">
        <w:trPr>
          <w:jc w:val="center"/>
        </w:trPr>
        <w:tc>
          <w:tcPr>
            <w:tcW w:w="2127" w:type="dxa"/>
          </w:tcPr>
          <w:p w:rsidR="00557E9E" w:rsidRPr="00BA50B0" w:rsidRDefault="00557E9E" w:rsidP="001B5645">
            <w:pPr>
              <w:pStyle w:val="BodyText"/>
              <w:rPr>
                <w:b/>
                <w:sz w:val="16"/>
                <w:szCs w:val="16"/>
              </w:rPr>
            </w:pPr>
            <w:r w:rsidRPr="00BA50B0">
              <w:rPr>
                <w:b/>
                <w:sz w:val="16"/>
                <w:szCs w:val="16"/>
              </w:rPr>
              <w:t>Filing appeal with Gambling Commission</w:t>
            </w:r>
          </w:p>
        </w:tc>
        <w:tc>
          <w:tcPr>
            <w:tcW w:w="1302" w:type="dxa"/>
          </w:tcPr>
          <w:p w:rsidR="00557E9E" w:rsidRPr="00BA50B0" w:rsidRDefault="00557E9E" w:rsidP="001B5645">
            <w:pPr>
              <w:pStyle w:val="BodyText"/>
              <w:jc w:val="right"/>
              <w:rPr>
                <w:sz w:val="16"/>
                <w:szCs w:val="16"/>
              </w:rPr>
            </w:pPr>
            <w:r w:rsidRPr="00BA50B0">
              <w:rPr>
                <w:sz w:val="16"/>
                <w:szCs w:val="16"/>
              </w:rPr>
              <w:t>255</w:t>
            </w:r>
          </w:p>
        </w:tc>
        <w:tc>
          <w:tcPr>
            <w:tcW w:w="1313" w:type="dxa"/>
          </w:tcPr>
          <w:p w:rsidR="00557E9E" w:rsidRPr="00BA50B0" w:rsidRDefault="00557E9E" w:rsidP="001B5645">
            <w:pPr>
              <w:pStyle w:val="BodyText"/>
              <w:jc w:val="right"/>
              <w:rPr>
                <w:sz w:val="16"/>
                <w:szCs w:val="16"/>
              </w:rPr>
            </w:pPr>
            <w:r w:rsidRPr="00BA50B0">
              <w:rPr>
                <w:sz w:val="16"/>
                <w:szCs w:val="16"/>
              </w:rPr>
              <w:t>255</w:t>
            </w:r>
          </w:p>
        </w:tc>
        <w:tc>
          <w:tcPr>
            <w:tcW w:w="1313" w:type="dxa"/>
          </w:tcPr>
          <w:p w:rsidR="00557E9E" w:rsidRPr="00BA50B0" w:rsidRDefault="00557E9E" w:rsidP="001B5645">
            <w:pPr>
              <w:pStyle w:val="BodyText"/>
              <w:jc w:val="right"/>
              <w:rPr>
                <w:sz w:val="16"/>
                <w:szCs w:val="16"/>
              </w:rPr>
            </w:pPr>
            <w:r w:rsidRPr="00BA50B0">
              <w:rPr>
                <w:sz w:val="16"/>
                <w:szCs w:val="16"/>
              </w:rPr>
              <w:t>255</w:t>
            </w:r>
          </w:p>
        </w:tc>
        <w:tc>
          <w:tcPr>
            <w:tcW w:w="1313" w:type="dxa"/>
          </w:tcPr>
          <w:p w:rsidR="00557E9E" w:rsidRPr="00BA50B0" w:rsidRDefault="00557E9E" w:rsidP="001B5645">
            <w:pPr>
              <w:pStyle w:val="BodyText"/>
              <w:jc w:val="right"/>
              <w:rPr>
                <w:sz w:val="16"/>
                <w:szCs w:val="16"/>
              </w:rPr>
            </w:pPr>
            <w:r w:rsidRPr="00BA50B0">
              <w:rPr>
                <w:sz w:val="16"/>
                <w:szCs w:val="16"/>
              </w:rPr>
              <w:t>255</w:t>
            </w:r>
          </w:p>
        </w:tc>
        <w:tc>
          <w:tcPr>
            <w:tcW w:w="1313" w:type="dxa"/>
          </w:tcPr>
          <w:p w:rsidR="00557E9E" w:rsidRPr="00BA50B0" w:rsidRDefault="00557E9E" w:rsidP="001B5645">
            <w:pPr>
              <w:pStyle w:val="BodyText"/>
              <w:jc w:val="right"/>
              <w:rPr>
                <w:sz w:val="16"/>
                <w:szCs w:val="16"/>
              </w:rPr>
            </w:pPr>
            <w:r w:rsidRPr="00BA50B0">
              <w:rPr>
                <w:sz w:val="16"/>
                <w:szCs w:val="16"/>
              </w:rPr>
              <w:t>255</w:t>
            </w:r>
          </w:p>
        </w:tc>
      </w:tr>
      <w:tr w:rsidR="00557E9E" w:rsidRPr="00BA50B0" w:rsidTr="001B5645">
        <w:trPr>
          <w:jc w:val="center"/>
        </w:trPr>
        <w:tc>
          <w:tcPr>
            <w:tcW w:w="2127" w:type="dxa"/>
          </w:tcPr>
          <w:p w:rsidR="00557E9E" w:rsidRPr="00BA50B0" w:rsidRDefault="00557E9E" w:rsidP="001B5645">
            <w:pPr>
              <w:pStyle w:val="BodyText"/>
              <w:rPr>
                <w:b/>
                <w:sz w:val="16"/>
                <w:szCs w:val="16"/>
              </w:rPr>
            </w:pPr>
            <w:r w:rsidRPr="00BA50B0">
              <w:rPr>
                <w:b/>
                <w:sz w:val="16"/>
                <w:szCs w:val="16"/>
              </w:rPr>
              <w:t>1-day, half day and part half day hearing</w:t>
            </w:r>
          </w:p>
        </w:tc>
        <w:tc>
          <w:tcPr>
            <w:tcW w:w="1302" w:type="dxa"/>
          </w:tcPr>
          <w:p w:rsidR="00557E9E" w:rsidRPr="00BA50B0" w:rsidRDefault="00557E9E" w:rsidP="001B5645">
            <w:pPr>
              <w:pStyle w:val="BodyText"/>
              <w:jc w:val="right"/>
              <w:rPr>
                <w:sz w:val="16"/>
                <w:szCs w:val="16"/>
              </w:rPr>
            </w:pPr>
            <w:r w:rsidRPr="00BA50B0">
              <w:rPr>
                <w:sz w:val="16"/>
                <w:szCs w:val="16"/>
              </w:rPr>
              <w:t>460</w:t>
            </w:r>
          </w:p>
        </w:tc>
        <w:tc>
          <w:tcPr>
            <w:tcW w:w="1313" w:type="dxa"/>
          </w:tcPr>
          <w:p w:rsidR="00557E9E" w:rsidRPr="00BA50B0" w:rsidRDefault="00557E9E" w:rsidP="001B5645">
            <w:pPr>
              <w:pStyle w:val="BodyText"/>
              <w:jc w:val="right"/>
              <w:rPr>
                <w:sz w:val="16"/>
                <w:szCs w:val="16"/>
              </w:rPr>
            </w:pPr>
            <w:r w:rsidRPr="00BA50B0">
              <w:rPr>
                <w:sz w:val="16"/>
                <w:szCs w:val="16"/>
              </w:rPr>
              <w:t>460</w:t>
            </w:r>
          </w:p>
        </w:tc>
        <w:tc>
          <w:tcPr>
            <w:tcW w:w="1313" w:type="dxa"/>
          </w:tcPr>
          <w:p w:rsidR="00557E9E" w:rsidRPr="00BA50B0" w:rsidRDefault="00557E9E" w:rsidP="001B5645">
            <w:pPr>
              <w:pStyle w:val="BodyText"/>
              <w:jc w:val="right"/>
              <w:rPr>
                <w:sz w:val="16"/>
                <w:szCs w:val="16"/>
              </w:rPr>
            </w:pPr>
            <w:r w:rsidRPr="00BA50B0">
              <w:rPr>
                <w:sz w:val="16"/>
                <w:szCs w:val="16"/>
              </w:rPr>
              <w:t>460</w:t>
            </w:r>
          </w:p>
        </w:tc>
        <w:tc>
          <w:tcPr>
            <w:tcW w:w="1313" w:type="dxa"/>
          </w:tcPr>
          <w:p w:rsidR="00557E9E" w:rsidRPr="00BA50B0" w:rsidRDefault="00557E9E" w:rsidP="001B5645">
            <w:pPr>
              <w:pStyle w:val="BodyText"/>
              <w:jc w:val="right"/>
              <w:rPr>
                <w:sz w:val="16"/>
                <w:szCs w:val="16"/>
              </w:rPr>
            </w:pPr>
            <w:r w:rsidRPr="00BA50B0">
              <w:rPr>
                <w:sz w:val="16"/>
                <w:szCs w:val="16"/>
              </w:rPr>
              <w:t>460</w:t>
            </w:r>
          </w:p>
        </w:tc>
        <w:tc>
          <w:tcPr>
            <w:tcW w:w="1313" w:type="dxa"/>
          </w:tcPr>
          <w:p w:rsidR="00557E9E" w:rsidRPr="00BA50B0" w:rsidRDefault="00557E9E" w:rsidP="001B5645">
            <w:pPr>
              <w:pStyle w:val="BodyText"/>
              <w:jc w:val="right"/>
              <w:rPr>
                <w:sz w:val="16"/>
                <w:szCs w:val="16"/>
              </w:rPr>
            </w:pPr>
            <w:r w:rsidRPr="00BA50B0">
              <w:rPr>
                <w:sz w:val="16"/>
                <w:szCs w:val="16"/>
              </w:rPr>
              <w:t>460</w:t>
            </w:r>
          </w:p>
        </w:tc>
      </w:tr>
    </w:tbl>
    <w:p w:rsidR="00557E9E" w:rsidRDefault="00557E9E" w:rsidP="00557E9E"/>
    <w:tbl>
      <w:tblPr>
        <w:tblStyle w:val="DIATable"/>
        <w:tblW w:w="0" w:type="auto"/>
        <w:tblLook w:val="04A0" w:firstRow="1" w:lastRow="0" w:firstColumn="1" w:lastColumn="0" w:noHBand="0" w:noVBand="1"/>
      </w:tblPr>
      <w:tblGrid>
        <w:gridCol w:w="1842"/>
        <w:gridCol w:w="1833"/>
        <w:gridCol w:w="1834"/>
        <w:gridCol w:w="1835"/>
        <w:gridCol w:w="1835"/>
      </w:tblGrid>
      <w:tr w:rsidR="00557E9E" w:rsidTr="001B5645">
        <w:trPr>
          <w:cnfStyle w:val="100000000000" w:firstRow="1" w:lastRow="0" w:firstColumn="0" w:lastColumn="0" w:oddVBand="0" w:evenVBand="0" w:oddHBand="0" w:evenHBand="0" w:firstRowFirstColumn="0" w:firstRowLastColumn="0" w:lastRowFirstColumn="0" w:lastRowLastColumn="0"/>
        </w:trPr>
        <w:tc>
          <w:tcPr>
            <w:tcW w:w="1842" w:type="dxa"/>
            <w:tcBorders>
              <w:bottom w:val="single" w:sz="6" w:space="0" w:color="1F546B" w:themeColor="text2"/>
            </w:tcBorders>
          </w:tcPr>
          <w:p w:rsidR="00557E9E" w:rsidRDefault="00557E9E" w:rsidP="001B5645">
            <w:pPr>
              <w:jc w:val="center"/>
            </w:pPr>
            <w:r>
              <w:t>Casino fees</w:t>
            </w:r>
          </w:p>
        </w:tc>
        <w:tc>
          <w:tcPr>
            <w:tcW w:w="1833" w:type="dxa"/>
            <w:tcBorders>
              <w:bottom w:val="single" w:sz="6" w:space="0" w:color="1F546B" w:themeColor="text2"/>
            </w:tcBorders>
          </w:tcPr>
          <w:p w:rsidR="00557E9E" w:rsidRDefault="00557E9E" w:rsidP="001B5645">
            <w:pPr>
              <w:jc w:val="center"/>
            </w:pPr>
            <w:r>
              <w:t>Current fee ($million)</w:t>
            </w:r>
          </w:p>
        </w:tc>
        <w:tc>
          <w:tcPr>
            <w:tcW w:w="1834" w:type="dxa"/>
            <w:tcBorders>
              <w:bottom w:val="single" w:sz="6" w:space="0" w:color="1F546B" w:themeColor="text2"/>
            </w:tcBorders>
          </w:tcPr>
          <w:p w:rsidR="00557E9E" w:rsidRDefault="00557E9E" w:rsidP="001B5645">
            <w:pPr>
              <w:jc w:val="center"/>
            </w:pPr>
            <w:r>
              <w:t>Proposed fee 2015/16 ($million)</w:t>
            </w:r>
          </w:p>
        </w:tc>
        <w:tc>
          <w:tcPr>
            <w:tcW w:w="1835" w:type="dxa"/>
            <w:tcBorders>
              <w:bottom w:val="single" w:sz="6" w:space="0" w:color="1F546B" w:themeColor="text2"/>
            </w:tcBorders>
          </w:tcPr>
          <w:p w:rsidR="00557E9E" w:rsidRDefault="00557E9E" w:rsidP="001B5645">
            <w:pPr>
              <w:jc w:val="center"/>
            </w:pPr>
            <w:r>
              <w:t>Proposed fee 2016/17 ($million)</w:t>
            </w:r>
          </w:p>
        </w:tc>
        <w:tc>
          <w:tcPr>
            <w:tcW w:w="1835" w:type="dxa"/>
            <w:tcBorders>
              <w:bottom w:val="single" w:sz="6" w:space="0" w:color="1F546B" w:themeColor="text2"/>
            </w:tcBorders>
          </w:tcPr>
          <w:p w:rsidR="00557E9E" w:rsidRDefault="00557E9E" w:rsidP="001B5645">
            <w:pPr>
              <w:jc w:val="center"/>
            </w:pPr>
            <w:r>
              <w:t>Proposed fee 2017/18 ($million)</w:t>
            </w:r>
          </w:p>
        </w:tc>
      </w:tr>
      <w:tr w:rsidR="00557E9E" w:rsidTr="001B5645">
        <w:tc>
          <w:tcPr>
            <w:tcW w:w="1842" w:type="dxa"/>
            <w:tcBorders>
              <w:top w:val="single" w:sz="6" w:space="0" w:color="1F546B" w:themeColor="text2"/>
            </w:tcBorders>
          </w:tcPr>
          <w:p w:rsidR="00557E9E" w:rsidRPr="00C42C72" w:rsidRDefault="00557E9E" w:rsidP="001B5645">
            <w:pPr>
              <w:rPr>
                <w:b/>
              </w:rPr>
            </w:pPr>
            <w:r w:rsidRPr="00C42C72">
              <w:rPr>
                <w:b/>
              </w:rPr>
              <w:t>Auckland</w:t>
            </w:r>
          </w:p>
        </w:tc>
        <w:tc>
          <w:tcPr>
            <w:tcW w:w="1833" w:type="dxa"/>
            <w:tcBorders>
              <w:top w:val="single" w:sz="6" w:space="0" w:color="1F546B" w:themeColor="text2"/>
            </w:tcBorders>
          </w:tcPr>
          <w:p w:rsidR="00557E9E" w:rsidRPr="00BA50B0" w:rsidRDefault="00557E9E" w:rsidP="001B5645">
            <w:pPr>
              <w:pStyle w:val="BodyText"/>
            </w:pPr>
            <w:r w:rsidRPr="00BA50B0">
              <w:t>2.573</w:t>
            </w:r>
          </w:p>
        </w:tc>
        <w:tc>
          <w:tcPr>
            <w:tcW w:w="1834" w:type="dxa"/>
            <w:tcBorders>
              <w:top w:val="single" w:sz="6" w:space="0" w:color="1F546B" w:themeColor="text2"/>
            </w:tcBorders>
          </w:tcPr>
          <w:p w:rsidR="00557E9E" w:rsidRPr="00BA50B0" w:rsidRDefault="00557E9E" w:rsidP="001B5645">
            <w:pPr>
              <w:pStyle w:val="BodyText"/>
            </w:pPr>
            <w:r w:rsidRPr="00BA50B0">
              <w:t>2.852</w:t>
            </w:r>
          </w:p>
        </w:tc>
        <w:tc>
          <w:tcPr>
            <w:tcW w:w="1835" w:type="dxa"/>
            <w:tcBorders>
              <w:top w:val="single" w:sz="6" w:space="0" w:color="1F546B" w:themeColor="text2"/>
            </w:tcBorders>
          </w:tcPr>
          <w:p w:rsidR="00557E9E" w:rsidRPr="00BA50B0" w:rsidRDefault="00557E9E" w:rsidP="001B5645">
            <w:pPr>
              <w:pStyle w:val="BodyText"/>
            </w:pPr>
            <w:r w:rsidRPr="00BA50B0">
              <w:t>2.852</w:t>
            </w:r>
          </w:p>
        </w:tc>
        <w:tc>
          <w:tcPr>
            <w:tcW w:w="1835" w:type="dxa"/>
            <w:tcBorders>
              <w:top w:val="single" w:sz="6" w:space="0" w:color="1F546B" w:themeColor="text2"/>
            </w:tcBorders>
          </w:tcPr>
          <w:p w:rsidR="00557E9E" w:rsidRPr="00BA50B0" w:rsidRDefault="00557E9E" w:rsidP="001B5645">
            <w:pPr>
              <w:pStyle w:val="BodyText"/>
            </w:pPr>
            <w:r w:rsidRPr="00BA50B0">
              <w:t>2.852</w:t>
            </w:r>
          </w:p>
        </w:tc>
      </w:tr>
      <w:tr w:rsidR="00557E9E" w:rsidTr="001B5645">
        <w:tc>
          <w:tcPr>
            <w:tcW w:w="1842" w:type="dxa"/>
          </w:tcPr>
          <w:p w:rsidR="00557E9E" w:rsidRPr="00C42C72" w:rsidRDefault="00557E9E" w:rsidP="001B5645">
            <w:pPr>
              <w:rPr>
                <w:b/>
              </w:rPr>
            </w:pPr>
            <w:r w:rsidRPr="00C42C72">
              <w:rPr>
                <w:b/>
              </w:rPr>
              <w:t>Hamilton</w:t>
            </w:r>
          </w:p>
        </w:tc>
        <w:tc>
          <w:tcPr>
            <w:tcW w:w="1833" w:type="dxa"/>
          </w:tcPr>
          <w:p w:rsidR="00557E9E" w:rsidRPr="00BA50B0" w:rsidRDefault="00557E9E" w:rsidP="001B5645">
            <w:pPr>
              <w:pStyle w:val="BodyText"/>
            </w:pPr>
            <w:r w:rsidRPr="00BA50B0">
              <w:t>0.652</w:t>
            </w:r>
          </w:p>
        </w:tc>
        <w:tc>
          <w:tcPr>
            <w:tcW w:w="1834" w:type="dxa"/>
          </w:tcPr>
          <w:p w:rsidR="00557E9E" w:rsidRPr="00BA50B0" w:rsidRDefault="00557E9E" w:rsidP="001B5645">
            <w:pPr>
              <w:pStyle w:val="BodyText"/>
            </w:pPr>
            <w:r w:rsidRPr="00BA50B0">
              <w:t>0.550</w:t>
            </w:r>
          </w:p>
        </w:tc>
        <w:tc>
          <w:tcPr>
            <w:tcW w:w="1835" w:type="dxa"/>
          </w:tcPr>
          <w:p w:rsidR="00557E9E" w:rsidRPr="00BA50B0" w:rsidRDefault="00557E9E" w:rsidP="001B5645">
            <w:pPr>
              <w:pStyle w:val="BodyText"/>
            </w:pPr>
            <w:r w:rsidRPr="00BA50B0">
              <w:t>0.550</w:t>
            </w:r>
          </w:p>
        </w:tc>
        <w:tc>
          <w:tcPr>
            <w:tcW w:w="1835" w:type="dxa"/>
          </w:tcPr>
          <w:p w:rsidR="00557E9E" w:rsidRPr="00BA50B0" w:rsidRDefault="00557E9E" w:rsidP="001B5645">
            <w:pPr>
              <w:pStyle w:val="BodyText"/>
            </w:pPr>
            <w:r w:rsidRPr="00BA50B0">
              <w:t>0.550</w:t>
            </w:r>
          </w:p>
        </w:tc>
      </w:tr>
      <w:tr w:rsidR="00557E9E" w:rsidTr="001B5645">
        <w:tc>
          <w:tcPr>
            <w:tcW w:w="1842" w:type="dxa"/>
          </w:tcPr>
          <w:p w:rsidR="00557E9E" w:rsidRPr="00C42C72" w:rsidRDefault="00557E9E" w:rsidP="001B5645">
            <w:pPr>
              <w:rPr>
                <w:b/>
              </w:rPr>
            </w:pPr>
            <w:r w:rsidRPr="00C42C72">
              <w:rPr>
                <w:b/>
              </w:rPr>
              <w:t>Christchurch</w:t>
            </w:r>
          </w:p>
        </w:tc>
        <w:tc>
          <w:tcPr>
            <w:tcW w:w="1833" w:type="dxa"/>
          </w:tcPr>
          <w:p w:rsidR="00557E9E" w:rsidRPr="00BA50B0" w:rsidRDefault="00557E9E" w:rsidP="001B5645">
            <w:pPr>
              <w:pStyle w:val="BodyText"/>
            </w:pPr>
            <w:r w:rsidRPr="00BA50B0">
              <w:t>1.114</w:t>
            </w:r>
          </w:p>
        </w:tc>
        <w:tc>
          <w:tcPr>
            <w:tcW w:w="1834" w:type="dxa"/>
          </w:tcPr>
          <w:p w:rsidR="00557E9E" w:rsidRPr="00BA50B0" w:rsidRDefault="00557E9E" w:rsidP="001B5645">
            <w:pPr>
              <w:pStyle w:val="BodyText"/>
            </w:pPr>
            <w:r w:rsidRPr="00BA50B0">
              <w:t>0.813</w:t>
            </w:r>
          </w:p>
        </w:tc>
        <w:tc>
          <w:tcPr>
            <w:tcW w:w="1835" w:type="dxa"/>
          </w:tcPr>
          <w:p w:rsidR="00557E9E" w:rsidRPr="00BA50B0" w:rsidRDefault="00557E9E" w:rsidP="001B5645">
            <w:pPr>
              <w:pStyle w:val="BodyText"/>
            </w:pPr>
            <w:r w:rsidRPr="00BA50B0">
              <w:t>0.813</w:t>
            </w:r>
          </w:p>
        </w:tc>
        <w:tc>
          <w:tcPr>
            <w:tcW w:w="1835" w:type="dxa"/>
          </w:tcPr>
          <w:p w:rsidR="00557E9E" w:rsidRPr="00BA50B0" w:rsidRDefault="00557E9E" w:rsidP="001B5645">
            <w:pPr>
              <w:pStyle w:val="BodyText"/>
            </w:pPr>
            <w:r w:rsidRPr="00BA50B0">
              <w:t>0.813</w:t>
            </w:r>
          </w:p>
        </w:tc>
      </w:tr>
      <w:tr w:rsidR="00557E9E" w:rsidTr="001B5645">
        <w:tc>
          <w:tcPr>
            <w:tcW w:w="1842" w:type="dxa"/>
          </w:tcPr>
          <w:p w:rsidR="00557E9E" w:rsidRPr="00C42C72" w:rsidRDefault="00557E9E" w:rsidP="001B5645">
            <w:pPr>
              <w:rPr>
                <w:b/>
              </w:rPr>
            </w:pPr>
            <w:r w:rsidRPr="00C42C72">
              <w:rPr>
                <w:b/>
              </w:rPr>
              <w:t>Dunedin</w:t>
            </w:r>
          </w:p>
        </w:tc>
        <w:tc>
          <w:tcPr>
            <w:tcW w:w="1833" w:type="dxa"/>
          </w:tcPr>
          <w:p w:rsidR="00557E9E" w:rsidRPr="00BA50B0" w:rsidRDefault="00557E9E" w:rsidP="001B5645">
            <w:pPr>
              <w:pStyle w:val="BodyText"/>
            </w:pPr>
            <w:r w:rsidRPr="00BA50B0">
              <w:t>0.495</w:t>
            </w:r>
          </w:p>
        </w:tc>
        <w:tc>
          <w:tcPr>
            <w:tcW w:w="1834" w:type="dxa"/>
          </w:tcPr>
          <w:p w:rsidR="00557E9E" w:rsidRPr="00BA50B0" w:rsidRDefault="00557E9E" w:rsidP="001B5645">
            <w:pPr>
              <w:pStyle w:val="BodyText"/>
            </w:pPr>
            <w:r w:rsidRPr="00BA50B0">
              <w:t>0.446</w:t>
            </w:r>
          </w:p>
        </w:tc>
        <w:tc>
          <w:tcPr>
            <w:tcW w:w="1835" w:type="dxa"/>
          </w:tcPr>
          <w:p w:rsidR="00557E9E" w:rsidRPr="00BA50B0" w:rsidRDefault="00557E9E" w:rsidP="001B5645">
            <w:pPr>
              <w:pStyle w:val="BodyText"/>
            </w:pPr>
            <w:r w:rsidRPr="00BA50B0">
              <w:t>0.446</w:t>
            </w:r>
          </w:p>
        </w:tc>
        <w:tc>
          <w:tcPr>
            <w:tcW w:w="1835" w:type="dxa"/>
          </w:tcPr>
          <w:p w:rsidR="00557E9E" w:rsidRPr="00BA50B0" w:rsidRDefault="00557E9E" w:rsidP="001B5645">
            <w:pPr>
              <w:pStyle w:val="BodyText"/>
            </w:pPr>
            <w:r w:rsidRPr="00BA50B0">
              <w:t>0.446</w:t>
            </w:r>
          </w:p>
        </w:tc>
      </w:tr>
      <w:tr w:rsidR="00557E9E" w:rsidTr="001B5645">
        <w:tc>
          <w:tcPr>
            <w:tcW w:w="1842" w:type="dxa"/>
          </w:tcPr>
          <w:p w:rsidR="00557E9E" w:rsidRPr="00C42C72" w:rsidRDefault="00557E9E" w:rsidP="001B5645">
            <w:pPr>
              <w:rPr>
                <w:b/>
              </w:rPr>
            </w:pPr>
            <w:r w:rsidRPr="00C42C72">
              <w:rPr>
                <w:b/>
              </w:rPr>
              <w:t>Queenstown Sky City</w:t>
            </w:r>
          </w:p>
        </w:tc>
        <w:tc>
          <w:tcPr>
            <w:tcW w:w="1833" w:type="dxa"/>
          </w:tcPr>
          <w:p w:rsidR="00557E9E" w:rsidRPr="00BA50B0" w:rsidRDefault="00557E9E" w:rsidP="001B5645">
            <w:pPr>
              <w:pStyle w:val="BodyText"/>
            </w:pPr>
            <w:r w:rsidRPr="00BA50B0">
              <w:t>0.211</w:t>
            </w:r>
          </w:p>
        </w:tc>
        <w:tc>
          <w:tcPr>
            <w:tcW w:w="1834" w:type="dxa"/>
          </w:tcPr>
          <w:p w:rsidR="00557E9E" w:rsidRPr="00BA50B0" w:rsidRDefault="00557E9E" w:rsidP="001B5645">
            <w:pPr>
              <w:pStyle w:val="BodyText"/>
            </w:pPr>
            <w:r w:rsidRPr="00BA50B0">
              <w:t>0.304</w:t>
            </w:r>
          </w:p>
        </w:tc>
        <w:tc>
          <w:tcPr>
            <w:tcW w:w="1835" w:type="dxa"/>
          </w:tcPr>
          <w:p w:rsidR="00557E9E" w:rsidRPr="00BA50B0" w:rsidRDefault="00557E9E" w:rsidP="001B5645">
            <w:pPr>
              <w:pStyle w:val="BodyText"/>
            </w:pPr>
            <w:r w:rsidRPr="00BA50B0">
              <w:t>0.304</w:t>
            </w:r>
          </w:p>
        </w:tc>
        <w:tc>
          <w:tcPr>
            <w:tcW w:w="1835" w:type="dxa"/>
          </w:tcPr>
          <w:p w:rsidR="00557E9E" w:rsidRPr="00BA50B0" w:rsidRDefault="00557E9E" w:rsidP="001B5645">
            <w:pPr>
              <w:pStyle w:val="BodyText"/>
            </w:pPr>
            <w:r w:rsidRPr="00BA50B0">
              <w:t>0.304</w:t>
            </w:r>
          </w:p>
        </w:tc>
      </w:tr>
      <w:tr w:rsidR="00557E9E" w:rsidTr="001B5645">
        <w:tc>
          <w:tcPr>
            <w:tcW w:w="1842" w:type="dxa"/>
          </w:tcPr>
          <w:p w:rsidR="00557E9E" w:rsidRPr="00C42C72" w:rsidRDefault="00557E9E" w:rsidP="001B5645">
            <w:pPr>
              <w:rPr>
                <w:b/>
              </w:rPr>
            </w:pPr>
            <w:r w:rsidRPr="00C42C72">
              <w:rPr>
                <w:b/>
              </w:rPr>
              <w:t>Queenstown wharf</w:t>
            </w:r>
          </w:p>
        </w:tc>
        <w:tc>
          <w:tcPr>
            <w:tcW w:w="1833" w:type="dxa"/>
          </w:tcPr>
          <w:p w:rsidR="00557E9E" w:rsidRPr="00BA50B0" w:rsidRDefault="00557E9E" w:rsidP="001B5645">
            <w:pPr>
              <w:pStyle w:val="BodyText"/>
            </w:pPr>
            <w:r w:rsidRPr="00BA50B0">
              <w:t>0.197</w:t>
            </w:r>
          </w:p>
        </w:tc>
        <w:tc>
          <w:tcPr>
            <w:tcW w:w="1834" w:type="dxa"/>
          </w:tcPr>
          <w:p w:rsidR="00557E9E" w:rsidRPr="00BA50B0" w:rsidRDefault="00557E9E" w:rsidP="001B5645">
            <w:pPr>
              <w:pStyle w:val="BodyText"/>
            </w:pPr>
            <w:r w:rsidRPr="00BA50B0">
              <w:t>0.278</w:t>
            </w:r>
          </w:p>
        </w:tc>
        <w:tc>
          <w:tcPr>
            <w:tcW w:w="1835" w:type="dxa"/>
          </w:tcPr>
          <w:p w:rsidR="00557E9E" w:rsidRPr="00BA50B0" w:rsidRDefault="00557E9E" w:rsidP="001B5645">
            <w:pPr>
              <w:pStyle w:val="BodyText"/>
            </w:pPr>
            <w:r w:rsidRPr="00BA50B0">
              <w:t>0.278</w:t>
            </w:r>
          </w:p>
        </w:tc>
        <w:tc>
          <w:tcPr>
            <w:tcW w:w="1835" w:type="dxa"/>
          </w:tcPr>
          <w:p w:rsidR="00557E9E" w:rsidRPr="00BA50B0" w:rsidRDefault="00557E9E" w:rsidP="001B5645">
            <w:pPr>
              <w:pStyle w:val="BodyText"/>
            </w:pPr>
            <w:r w:rsidRPr="00BA50B0">
              <w:t>0.278</w:t>
            </w:r>
          </w:p>
        </w:tc>
      </w:tr>
      <w:tr w:rsidR="00557E9E" w:rsidTr="001B5645">
        <w:tc>
          <w:tcPr>
            <w:tcW w:w="1842" w:type="dxa"/>
          </w:tcPr>
          <w:p w:rsidR="00557E9E" w:rsidRPr="00C42C72" w:rsidRDefault="00557E9E" w:rsidP="001B5645">
            <w:pPr>
              <w:rPr>
                <w:b/>
              </w:rPr>
            </w:pPr>
            <w:r w:rsidRPr="00C42C72">
              <w:rPr>
                <w:b/>
              </w:rPr>
              <w:t>Total</w:t>
            </w:r>
          </w:p>
        </w:tc>
        <w:tc>
          <w:tcPr>
            <w:tcW w:w="1833" w:type="dxa"/>
          </w:tcPr>
          <w:p w:rsidR="00557E9E" w:rsidRPr="00BA50B0" w:rsidRDefault="00557E9E" w:rsidP="001B5645">
            <w:pPr>
              <w:pStyle w:val="BodyText"/>
            </w:pPr>
            <w:r w:rsidRPr="00BA50B0">
              <w:t>5.242</w:t>
            </w:r>
          </w:p>
        </w:tc>
        <w:tc>
          <w:tcPr>
            <w:tcW w:w="1834" w:type="dxa"/>
          </w:tcPr>
          <w:p w:rsidR="00557E9E" w:rsidRPr="00BA50B0" w:rsidRDefault="00557E9E" w:rsidP="001B5645">
            <w:pPr>
              <w:pStyle w:val="BodyText"/>
            </w:pPr>
            <w:r w:rsidRPr="00BA50B0">
              <w:t>5.242</w:t>
            </w:r>
          </w:p>
        </w:tc>
        <w:tc>
          <w:tcPr>
            <w:tcW w:w="1835" w:type="dxa"/>
          </w:tcPr>
          <w:p w:rsidR="00557E9E" w:rsidRPr="00BA50B0" w:rsidRDefault="00557E9E" w:rsidP="001B5645">
            <w:pPr>
              <w:pStyle w:val="BodyText"/>
            </w:pPr>
            <w:r w:rsidRPr="00BA50B0">
              <w:t>5.242</w:t>
            </w:r>
          </w:p>
        </w:tc>
        <w:tc>
          <w:tcPr>
            <w:tcW w:w="1835" w:type="dxa"/>
          </w:tcPr>
          <w:p w:rsidR="00557E9E" w:rsidRPr="00BA50B0" w:rsidRDefault="00557E9E" w:rsidP="001B5645">
            <w:pPr>
              <w:pStyle w:val="BodyText"/>
            </w:pPr>
            <w:r w:rsidRPr="00BA50B0">
              <w:t>5.242</w:t>
            </w:r>
          </w:p>
        </w:tc>
      </w:tr>
    </w:tbl>
    <w:p w:rsidR="00557E9E" w:rsidRDefault="00557E9E" w:rsidP="00557E9E">
      <w:pPr>
        <w:keepLines w:val="0"/>
      </w:pPr>
    </w:p>
    <w:p w:rsidR="00557E9E" w:rsidRDefault="00557E9E" w:rsidP="00557E9E">
      <w:pPr>
        <w:pStyle w:val="NumbersLevel1"/>
        <w:tabs>
          <w:tab w:val="clear" w:pos="709"/>
        </w:tabs>
        <w:rPr>
          <w:rFonts w:ascii="Calibri" w:hAnsi="Calibri"/>
          <w:sz w:val="24"/>
        </w:rPr>
      </w:pPr>
    </w:p>
    <w:p w:rsidR="00557E9E" w:rsidRDefault="00557E9E" w:rsidP="00557E9E">
      <w:pPr>
        <w:pStyle w:val="NumbersLevel1"/>
        <w:tabs>
          <w:tab w:val="clear" w:pos="709"/>
        </w:tabs>
        <w:rPr>
          <w:rFonts w:ascii="Calibri" w:hAnsi="Calibri"/>
          <w:sz w:val="24"/>
        </w:rPr>
      </w:pPr>
    </w:p>
    <w:p w:rsidR="00557E9E" w:rsidRDefault="00557E9E" w:rsidP="00557E9E">
      <w:pPr>
        <w:pStyle w:val="NumbersLevel1"/>
        <w:tabs>
          <w:tab w:val="clear" w:pos="709"/>
        </w:tabs>
        <w:rPr>
          <w:rFonts w:ascii="Calibri" w:hAnsi="Calibri"/>
          <w:sz w:val="24"/>
        </w:rPr>
      </w:pPr>
    </w:p>
    <w:p w:rsidR="00557E9E" w:rsidRPr="001362FC" w:rsidRDefault="00557E9E" w:rsidP="00557E9E">
      <w:pPr>
        <w:pStyle w:val="NumbersLevel1"/>
        <w:tabs>
          <w:tab w:val="clear" w:pos="709"/>
        </w:tabs>
        <w:rPr>
          <w:rFonts w:ascii="Calibri" w:hAnsi="Calibri"/>
          <w:sz w:val="24"/>
        </w:rPr>
      </w:pPr>
    </w:p>
    <w:p w:rsidR="00A004DA" w:rsidRDefault="00A004DA">
      <w:pPr>
        <w:keepLines w:val="0"/>
        <w:rPr>
          <w:b/>
        </w:rPr>
      </w:pPr>
    </w:p>
    <w:p w:rsidR="00D05A37" w:rsidRDefault="00D05A37">
      <w:pPr>
        <w:keepLines w:val="0"/>
      </w:pPr>
      <w:r>
        <w:br w:type="page"/>
      </w:r>
    </w:p>
    <w:p w:rsidR="00566F66" w:rsidRPr="00AF0485" w:rsidRDefault="00AF0485" w:rsidP="00AF0485">
      <w:pPr>
        <w:pStyle w:val="Heading1"/>
      </w:pPr>
      <w:bookmarkStart w:id="14" w:name="_Toc431563000"/>
      <w:r>
        <w:lastRenderedPageBreak/>
        <w:t xml:space="preserve">Appendix three: results of consultation on increases to class 4 </w:t>
      </w:r>
      <w:r w:rsidR="00D013DB">
        <w:t xml:space="preserve">gambling </w:t>
      </w:r>
      <w:r>
        <w:t>fees</w:t>
      </w:r>
      <w:bookmarkEnd w:id="14"/>
    </w:p>
    <w:p w:rsidR="00566F66" w:rsidRDefault="00566F66" w:rsidP="00566F66">
      <w:pPr>
        <w:pStyle w:val="Cabinetpaperparasubheading"/>
      </w:pPr>
      <w:r>
        <w:t>Societies identified risks to community funding and to the revenue base for fees</w:t>
      </w:r>
    </w:p>
    <w:p w:rsidR="00566F66" w:rsidRPr="00E70E57" w:rsidRDefault="00F843D4" w:rsidP="00C35128">
      <w:pPr>
        <w:pStyle w:val="Numberedpara3level1"/>
      </w:pPr>
      <w:r>
        <w:t>S</w:t>
      </w:r>
      <w:r w:rsidR="00566F66">
        <w:t xml:space="preserve">ubmitters from the </w:t>
      </w:r>
      <w:r w:rsidR="00566F66" w:rsidRPr="00E70E57">
        <w:t xml:space="preserve">class 4 sector were opposed to the fee increases or supported a small increase (in line with </w:t>
      </w:r>
      <w:r w:rsidR="00566F66">
        <w:t xml:space="preserve">inflation). In general </w:t>
      </w:r>
      <w:r w:rsidR="00566F66" w:rsidRPr="00E70E57">
        <w:t>the class 4 sector expressed concern about the sustainability of a regulatory framework where increasing costs are being imposed on a sect</w:t>
      </w:r>
      <w:r w:rsidR="00566F66">
        <w:t xml:space="preserve">or that is in decline. They were of the view that </w:t>
      </w:r>
      <w:r w:rsidR="00566F66" w:rsidRPr="00E70E57">
        <w:t xml:space="preserve">the Department should </w:t>
      </w:r>
      <w:r w:rsidR="00566F66">
        <w:t xml:space="preserve">first </w:t>
      </w:r>
      <w:r w:rsidR="00566F66" w:rsidRPr="00E70E57">
        <w:t xml:space="preserve">review </w:t>
      </w:r>
      <w:r w:rsidR="00566F66">
        <w:t xml:space="preserve">its </w:t>
      </w:r>
      <w:r w:rsidR="00566F66" w:rsidRPr="00E70E57">
        <w:t xml:space="preserve">activities and costs to ensure that it is operating effectively and efficiently. </w:t>
      </w:r>
    </w:p>
    <w:p w:rsidR="00566F66" w:rsidRDefault="00566F66" w:rsidP="00C35128">
      <w:pPr>
        <w:pStyle w:val="Numberedpara3level1"/>
      </w:pPr>
      <w:r>
        <w:t>S</w:t>
      </w:r>
      <w:r w:rsidRPr="008541F1">
        <w:t xml:space="preserve">ocieties noted that the </w:t>
      </w:r>
      <w:r>
        <w:t xml:space="preserve">proposed </w:t>
      </w:r>
      <w:r w:rsidRPr="008541F1">
        <w:t>fee increases are coming at a time of increasing cost pressure for the sector. Cost pressures commonly identified included</w:t>
      </w:r>
      <w:r>
        <w:t>:</w:t>
      </w:r>
    </w:p>
    <w:p w:rsidR="00566F66" w:rsidRDefault="00566F66" w:rsidP="00C35128">
      <w:pPr>
        <w:pStyle w:val="Bullet"/>
      </w:pPr>
      <w:r w:rsidRPr="008541F1">
        <w:t>replacing non-d</w:t>
      </w:r>
      <w:r>
        <w:t>ownloadable jackpot generators;</w:t>
      </w:r>
    </w:p>
    <w:p w:rsidR="00566F66" w:rsidRDefault="00566F66" w:rsidP="00C35128">
      <w:pPr>
        <w:pStyle w:val="Bullet"/>
      </w:pPr>
      <w:r w:rsidRPr="008541F1">
        <w:t>replacing bank note acceptors in gaming machines to accept the Reserve Bank’s new currency</w:t>
      </w:r>
      <w:r>
        <w:t>; and</w:t>
      </w:r>
    </w:p>
    <w:p w:rsidR="00566F66" w:rsidRDefault="00566F66" w:rsidP="00C35128">
      <w:pPr>
        <w:pStyle w:val="Bullet"/>
      </w:pPr>
      <w:r>
        <w:t>regulated</w:t>
      </w:r>
      <w:r w:rsidRPr="008541F1">
        <w:t xml:space="preserve"> increases in the minimum rate of return to </w:t>
      </w:r>
      <w:r w:rsidR="007511B5">
        <w:t>communities</w:t>
      </w:r>
      <w:r w:rsidRPr="008541F1">
        <w:t xml:space="preserve">. </w:t>
      </w:r>
    </w:p>
    <w:p w:rsidR="00566F66" w:rsidRDefault="00566F66" w:rsidP="00C35128">
      <w:pPr>
        <w:pStyle w:val="Numberedpara3level1"/>
      </w:pPr>
      <w:r>
        <w:t xml:space="preserve">Societies </w:t>
      </w:r>
      <w:r w:rsidRPr="008541F1">
        <w:t xml:space="preserve">noted </w:t>
      </w:r>
      <w:r>
        <w:t>the proposed fee increases may make venues with a lower turnover being seen by societies as financially unviable. They argued that increased fees may accelerate de-licensing of lower-turnover venues, as societies shed venues in order to meet the increased fees and increased minimum rate of return. The exit of lower turnover venues would also put further pressure on the revenue base for fees.</w:t>
      </w:r>
    </w:p>
    <w:p w:rsidR="00566F66" w:rsidRDefault="00566F66" w:rsidP="00C35128">
      <w:pPr>
        <w:pStyle w:val="Numberedpara3level1"/>
      </w:pPr>
      <w:r>
        <w:t xml:space="preserve">Societies argued that the total GMP available for grants to communities may subsequently fall, with the impact of this felt disproportionately on rural areas where the lower-turnover venues are situated. Societies whose policy was to return GMP to the area in which it was raised were concerned that rural communities will lose an opportunity for funding. </w:t>
      </w:r>
    </w:p>
    <w:p w:rsidR="00566F66" w:rsidRDefault="00566F66" w:rsidP="00C35128">
      <w:pPr>
        <w:pStyle w:val="Numberedpara3level1"/>
      </w:pPr>
      <w:r>
        <w:t>S</w:t>
      </w:r>
      <w:r w:rsidRPr="008541F1">
        <w:t xml:space="preserve">ubmissions </w:t>
      </w:r>
      <w:r w:rsidR="00F843D4">
        <w:t xml:space="preserve">from </w:t>
      </w:r>
      <w:r w:rsidRPr="008541F1">
        <w:t>funding recipients were opposed to the fee increases because of the risk of venues ceasing gambling operation, or closing, which would reduce the overall amount of funding available for grants.</w:t>
      </w:r>
      <w:r w:rsidRPr="0051433D">
        <w:t xml:space="preserve"> </w:t>
      </w:r>
    </w:p>
    <w:p w:rsidR="00566F66" w:rsidRDefault="00566F66" w:rsidP="00566F66">
      <w:pPr>
        <w:pStyle w:val="Cabinetpaperparasubheading"/>
      </w:pPr>
      <w:r>
        <w:t>Problem gambling groups supported the fee increases</w:t>
      </w:r>
    </w:p>
    <w:p w:rsidR="0088686D" w:rsidRPr="001C0C30" w:rsidRDefault="000B7949" w:rsidP="00C35128">
      <w:pPr>
        <w:pStyle w:val="Numberedpara3level1"/>
      </w:pPr>
      <w:r>
        <w:t>P</w:t>
      </w:r>
      <w:r w:rsidR="00566F66">
        <w:t xml:space="preserve">roblem gambling support groups supported the fee increases. They noted that more regulation of the sector was needed in order to help minimise the risk of gambling harm. These </w:t>
      </w:r>
      <w:r w:rsidR="00566F66" w:rsidRPr="00573FE9">
        <w:t>submitters pointed to the results of the Department’s ‘Mystery Shopper’ exercise</w:t>
      </w:r>
      <w:r w:rsidR="00566F66">
        <w:t xml:space="preserve"> conducted in 2014</w:t>
      </w:r>
      <w:r w:rsidR="00566F66" w:rsidRPr="00573FE9">
        <w:t xml:space="preserve">. </w:t>
      </w:r>
      <w:r w:rsidR="00566F66">
        <w:t>O</w:t>
      </w:r>
      <w:r w:rsidR="00566F66" w:rsidRPr="00573FE9">
        <w:t xml:space="preserve">f the 102 </w:t>
      </w:r>
      <w:r w:rsidR="00566F66">
        <w:t xml:space="preserve">class 4 </w:t>
      </w:r>
      <w:r w:rsidR="00566F66" w:rsidRPr="00573FE9">
        <w:t>venues</w:t>
      </w:r>
      <w:r w:rsidR="00566F66">
        <w:t xml:space="preserve"> visited by undercover gamblers who exhibited signs of harm</w:t>
      </w:r>
      <w:r w:rsidR="00566F66" w:rsidRPr="00573FE9">
        <w:t>, there was no</w:t>
      </w:r>
      <w:r w:rsidR="00C35128">
        <w:t xml:space="preserve"> intervention from staff</w:t>
      </w:r>
      <w:r w:rsidR="00F23554">
        <w:t xml:space="preserve"> in 101 venues.</w:t>
      </w:r>
      <w:r w:rsidR="00C35128">
        <w:t xml:space="preserve"> </w:t>
      </w:r>
    </w:p>
    <w:sectPr w:rsidR="0088686D" w:rsidRPr="001C0C30" w:rsidSect="00CE3996">
      <w:pgSz w:w="11907" w:h="16840" w:code="9"/>
      <w:pgMar w:top="1418" w:right="1418" w:bottom="992" w:left="1418"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E53" w:rsidRDefault="00932E53">
      <w:r>
        <w:separator/>
      </w:r>
    </w:p>
    <w:p w:rsidR="00932E53" w:rsidRDefault="00932E53"/>
    <w:p w:rsidR="00932E53" w:rsidRDefault="00932E53"/>
  </w:endnote>
  <w:endnote w:type="continuationSeparator" w:id="0">
    <w:p w:rsidR="00932E53" w:rsidRDefault="00932E53">
      <w:r>
        <w:continuationSeparator/>
      </w:r>
    </w:p>
    <w:p w:rsidR="00932E53" w:rsidRDefault="00932E53"/>
    <w:p w:rsidR="00932E53" w:rsidRDefault="00932E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DE" w:rsidRDefault="009850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B8" w:rsidRDefault="009C17B8" w:rsidP="00460B3F">
    <w:pPr>
      <w:pStyle w:val="Footer"/>
      <w:tabs>
        <w:tab w:val="center" w:pos="5103"/>
        <w:tab w:val="right" w:pos="9071"/>
      </w:tabs>
      <w:ind w:right="-1"/>
    </w:pPr>
    <w:r>
      <w:tab/>
    </w:r>
    <w:r>
      <w:tab/>
      <w:t xml:space="preserve">Page </w:t>
    </w:r>
    <w:r>
      <w:fldChar w:fldCharType="begin"/>
    </w:r>
    <w:r>
      <w:instrText xml:space="preserve"> PAGE  \* Arabic  \* MERGEFORMAT </w:instrText>
    </w:r>
    <w:r>
      <w:fldChar w:fldCharType="separate"/>
    </w:r>
    <w:r w:rsidR="009850DE">
      <w:rPr>
        <w:noProof/>
      </w:rPr>
      <w:t>17</w:t>
    </w:r>
    <w:r>
      <w:fldChar w:fldCharType="end"/>
    </w:r>
    <w:r>
      <w:t xml:space="preserve"> of </w:t>
    </w:r>
    <w:r w:rsidR="009850DE">
      <w:fldChar w:fldCharType="begin"/>
    </w:r>
    <w:r w:rsidR="009850DE">
      <w:instrText xml:space="preserve"> NUMPAGES   \* MERGEFORMAT </w:instrText>
    </w:r>
    <w:r w:rsidR="009850DE">
      <w:fldChar w:fldCharType="separate"/>
    </w:r>
    <w:r w:rsidR="009850DE">
      <w:rPr>
        <w:noProof/>
      </w:rPr>
      <w:t>17</w:t>
    </w:r>
    <w:r w:rsidR="009850D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B8" w:rsidRDefault="009C17B8" w:rsidP="001D5EC0">
    <w:pPr>
      <w:pStyle w:val="Footersecurityclassification"/>
      <w:tabs>
        <w:tab w:val="center" w:pos="4536"/>
      </w:tabs>
    </w:pPr>
    <w:r>
      <w:rPr>
        <w:rStyle w:val="Headersecurityclassification"/>
      </w:rPr>
      <w:tab/>
      <w:t>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E53" w:rsidRDefault="00932E53" w:rsidP="00F86809">
      <w:pPr>
        <w:pStyle w:val="Spacer"/>
      </w:pPr>
      <w:r>
        <w:separator/>
      </w:r>
    </w:p>
  </w:footnote>
  <w:footnote w:type="continuationSeparator" w:id="0">
    <w:p w:rsidR="00932E53" w:rsidRDefault="00932E53">
      <w:r>
        <w:continuationSeparator/>
      </w:r>
    </w:p>
    <w:p w:rsidR="00932E53" w:rsidRDefault="00932E53"/>
    <w:p w:rsidR="00932E53" w:rsidRDefault="00932E53"/>
  </w:footnote>
  <w:footnote w:id="1">
    <w:p w:rsidR="009C17B8" w:rsidRDefault="009C17B8">
      <w:pPr>
        <w:pStyle w:val="FootnoteText"/>
      </w:pPr>
      <w:r>
        <w:rPr>
          <w:rStyle w:val="FootnoteReference"/>
        </w:rPr>
        <w:footnoteRef/>
      </w:r>
      <w:r>
        <w:t xml:space="preserve"> Class 3 gambling is where prizes exceed $5000 (including housie and large raffles) and requires a licence from the Department.</w:t>
      </w:r>
    </w:p>
  </w:footnote>
  <w:footnote w:id="2">
    <w:p w:rsidR="009C17B8" w:rsidRDefault="009C17B8">
      <w:pPr>
        <w:pStyle w:val="FootnoteText"/>
      </w:pPr>
      <w:r>
        <w:rPr>
          <w:rStyle w:val="FootnoteReference"/>
        </w:rPr>
        <w:footnoteRef/>
      </w:r>
      <w:r>
        <w:t xml:space="preserve"> As required by the </w:t>
      </w:r>
      <w:r w:rsidRPr="00A661F2">
        <w:rPr>
          <w:i/>
        </w:rPr>
        <w:t>Minimum Technical Requirem</w:t>
      </w:r>
      <w:r>
        <w:rPr>
          <w:i/>
        </w:rPr>
        <w:t xml:space="preserve">ents for Class 4 Linked Jackpot </w:t>
      </w:r>
      <w:r w:rsidRPr="00A661F2">
        <w:rPr>
          <w:i/>
        </w:rPr>
        <w:t>Systems</w:t>
      </w:r>
      <w:r>
        <w:t>, which came into force in December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0DE" w:rsidRDefault="009850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B8" w:rsidRPr="001D5EC0" w:rsidRDefault="009C17B8" w:rsidP="001D5EC0">
    <w:pPr>
      <w:pStyle w:val="Header"/>
      <w:tabs>
        <w:tab w:val="center" w:pos="4536"/>
      </w:tabs>
    </w:pPr>
    <w:r>
      <w:rPr>
        <w:rStyle w:val="Headersecurityclassification"/>
      </w:rPr>
      <w:tab/>
      <w:t>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7B8" w:rsidRDefault="009C1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00A91472"/>
    <w:multiLevelType w:val="hybridMultilevel"/>
    <w:tmpl w:val="250EDF1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02BA46F3"/>
    <w:multiLevelType w:val="multilevel"/>
    <w:tmpl w:val="05224E6A"/>
    <w:lvl w:ilvl="0">
      <w:start w:val="1"/>
      <w:numFmt w:val="decimal"/>
      <w:lvlText w:val="%1."/>
      <w:lvlJc w:val="left"/>
      <w:pPr>
        <w:ind w:left="567" w:hanging="567"/>
      </w:pPr>
      <w:rPr>
        <w:b w:val="0"/>
      </w:rPr>
    </w:lvl>
    <w:lvl w:ilvl="1">
      <w:start w:val="1"/>
      <w:numFmt w:val="decimal"/>
      <w:lvlText w:val="%1.%2"/>
      <w:lvlJc w:val="left"/>
      <w:pPr>
        <w:ind w:left="1304" w:hanging="737"/>
      </w:pPr>
    </w:lvl>
    <w:lvl w:ilvl="2">
      <w:start w:val="1"/>
      <w:numFmt w:val="decimal"/>
      <w:lvlText w:val="%1.%2.%3"/>
      <w:lvlJc w:val="left"/>
      <w:pPr>
        <w:tabs>
          <w:tab w:val="num" w:pos="1304"/>
        </w:tabs>
        <w:ind w:left="2211" w:hanging="907"/>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B1F50FE"/>
    <w:multiLevelType w:val="hybridMultilevel"/>
    <w:tmpl w:val="1C0C4CB2"/>
    <w:lvl w:ilvl="0" w:tplc="F37A4368">
      <w:start w:val="1"/>
      <w:numFmt w:val="decimal"/>
      <w:pStyle w:val="Briefingtext"/>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22BD59BA"/>
    <w:multiLevelType w:val="hybridMultilevel"/>
    <w:tmpl w:val="331E918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368F5832"/>
    <w:multiLevelType w:val="multilevel"/>
    <w:tmpl w:val="8ACE7E44"/>
    <w:lvl w:ilvl="0">
      <w:start w:val="1"/>
      <w:numFmt w:val="upperLetter"/>
      <w:pStyle w:val="Headingappendix"/>
      <w:suff w:val="space"/>
      <w:lvlText w:val="Appendix %1:"/>
      <w:lvlJc w:val="left"/>
      <w:pPr>
        <w:ind w:left="0" w:firstLine="0"/>
      </w:pPr>
      <w:rPr>
        <w:rFonts w:hint="default"/>
        <w:color w:val="000000" w:themeColor="text1"/>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EF03781"/>
    <w:multiLevelType w:val="multilevel"/>
    <w:tmpl w:val="2DB2798C"/>
    <w:lvl w:ilvl="0">
      <w:start w:val="1"/>
      <w:numFmt w:val="decimal"/>
      <w:pStyle w:val="Numberedpara3level1"/>
      <w:lvlText w:val="%1."/>
      <w:lvlJc w:val="left"/>
      <w:pPr>
        <w:tabs>
          <w:tab w:val="num" w:pos="567"/>
        </w:tabs>
        <w:ind w:left="567" w:hanging="567"/>
      </w:pPr>
      <w:rPr>
        <w:rFonts w:ascii="Calibri" w:hAnsi="Calibri" w:hint="default"/>
        <w:caps w:val="0"/>
        <w:strike w:val="0"/>
        <w:dstrike w:val="0"/>
        <w:vanish w:val="0"/>
        <w:sz w:val="24"/>
        <w:vertAlign w:val="baseline"/>
      </w:rPr>
    </w:lvl>
    <w:lvl w:ilvl="1">
      <w:start w:val="1"/>
      <w:numFmt w:val="decimal"/>
      <w:pStyle w:val="Numberedpara3level211"/>
      <w:lvlText w:val="%1.%2"/>
      <w:lvlJc w:val="left"/>
      <w:pPr>
        <w:ind w:left="1247" w:hanging="680"/>
      </w:pPr>
      <w:rPr>
        <w:rFonts w:ascii="Calibri" w:hAnsi="Calibri" w:hint="default"/>
        <w:caps w:val="0"/>
        <w:strike w:val="0"/>
        <w:dstrike w:val="0"/>
        <w:vanish w:val="0"/>
        <w:vertAlign w:val="baseline"/>
      </w:rPr>
    </w:lvl>
    <w:lvl w:ilvl="2">
      <w:start w:val="1"/>
      <w:numFmt w:val="decimal"/>
      <w:pStyle w:val="Numberedpara3level3111"/>
      <w:lvlText w:val="%1.%2.%3"/>
      <w:lvlJc w:val="left"/>
      <w:pPr>
        <w:ind w:left="2155" w:hanging="908"/>
      </w:pPr>
      <w:rPr>
        <w:rFonts w:ascii="Calibri" w:hAnsi="Calibri" w:hint="default"/>
        <w:caps w:val="0"/>
        <w:strike w:val="0"/>
        <w:dstrike w:val="0"/>
        <w:vanish w:val="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2975339"/>
    <w:multiLevelType w:val="hybridMultilevel"/>
    <w:tmpl w:val="0FC08A5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0C31A8D"/>
    <w:multiLevelType w:val="hybridMultilevel"/>
    <w:tmpl w:val="90822EB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581679C9"/>
    <w:multiLevelType w:val="hybridMultilevel"/>
    <w:tmpl w:val="F30E1A72"/>
    <w:lvl w:ilvl="0" w:tplc="D80A994E">
      <w:start w:val="1"/>
      <w:numFmt w:val="decimal"/>
      <w:pStyle w:val="Recommendations"/>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98E6CEB"/>
    <w:multiLevelType w:val="multilevel"/>
    <w:tmpl w:val="B3147ED6"/>
    <w:lvl w:ilvl="0">
      <w:start w:val="1"/>
      <w:numFmt w:val="decimal"/>
      <w:pStyle w:val="Numberedpara2level1"/>
      <w:lvlText w:val="%1."/>
      <w:lvlJc w:val="left"/>
      <w:pPr>
        <w:tabs>
          <w:tab w:val="num" w:pos="567"/>
        </w:tabs>
        <w:ind w:left="567" w:hanging="567"/>
      </w:pPr>
      <w:rPr>
        <w:rFonts w:hint="default"/>
      </w:rPr>
    </w:lvl>
    <w:lvl w:ilvl="1">
      <w:start w:val="1"/>
      <w:numFmt w:val="decimal"/>
      <w:pStyle w:val="Numberedpara2level2a"/>
      <w:lvlText w:val="%1.%2"/>
      <w:lvlJc w:val="left"/>
      <w:pPr>
        <w:ind w:left="1247" w:hanging="680"/>
      </w:pPr>
      <w:rPr>
        <w:rFonts w:hint="default"/>
      </w:rPr>
    </w:lvl>
    <w:lvl w:ilvl="2">
      <w:start w:val="1"/>
      <w:numFmt w:val="decimal"/>
      <w:pStyle w:val="Numberedpara2level3i"/>
      <w:lvlText w:val="%1.%2.%3"/>
      <w:lvlJc w:val="left"/>
      <w:pPr>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nsid w:val="5FD40A31"/>
    <w:multiLevelType w:val="multilevel"/>
    <w:tmpl w:val="D7E882D2"/>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8">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0">
    <w:nsid w:val="6B2A7B0B"/>
    <w:multiLevelType w:val="multilevel"/>
    <w:tmpl w:val="F34E9048"/>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2">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4"/>
  </w:num>
  <w:num w:numId="11">
    <w:abstractNumId w:val="26"/>
  </w:num>
  <w:num w:numId="12">
    <w:abstractNumId w:val="18"/>
  </w:num>
  <w:num w:numId="13">
    <w:abstractNumId w:val="14"/>
  </w:num>
  <w:num w:numId="14">
    <w:abstractNumId w:val="15"/>
  </w:num>
  <w:num w:numId="15">
    <w:abstractNumId w:val="27"/>
  </w:num>
  <w:num w:numId="16">
    <w:abstractNumId w:val="29"/>
  </w:num>
  <w:num w:numId="17">
    <w:abstractNumId w:val="31"/>
  </w:num>
  <w:num w:numId="18">
    <w:abstractNumId w:val="11"/>
  </w:num>
  <w:num w:numId="19">
    <w:abstractNumId w:val="17"/>
  </w:num>
  <w:num w:numId="20">
    <w:abstractNumId w:val="32"/>
  </w:num>
  <w:num w:numId="21">
    <w:abstractNumId w:val="30"/>
  </w:num>
  <w:num w:numId="22">
    <w:abstractNumId w:val="28"/>
  </w:num>
  <w:num w:numId="23">
    <w:abstractNumId w:val="21"/>
  </w:num>
  <w:num w:numId="24">
    <w:abstractNumId w:val="13"/>
  </w:num>
  <w:num w:numId="25">
    <w:abstractNumId w:val="25"/>
  </w:num>
  <w:num w:numId="26">
    <w:abstractNumId w:val="19"/>
  </w:num>
  <w:num w:numId="27">
    <w:abstractNumId w:val="12"/>
  </w:num>
  <w:num w:numId="28">
    <w:abstractNumId w:val="23"/>
  </w:num>
  <w:num w:numId="29">
    <w:abstractNumId w:val="16"/>
  </w:num>
  <w:num w:numId="30">
    <w:abstractNumId w:val="20"/>
  </w:num>
  <w:num w:numId="31">
    <w:abstractNumId w:val="22"/>
  </w:num>
  <w:num w:numId="32">
    <w:abstractNumId w:val="9"/>
  </w:num>
  <w:num w:numId="33">
    <w:abstractNumId w:val="19"/>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9"/>
  </w:num>
  <w:num w:numId="37">
    <w:abstractNumId w:val="29"/>
  </w:num>
  <w:num w:numId="38">
    <w:abstractNumId w:val="29"/>
  </w:num>
  <w:num w:numId="39">
    <w:abstractNumId w:val="2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A7E"/>
    <w:rsid w:val="00001C00"/>
    <w:rsid w:val="000021E0"/>
    <w:rsid w:val="00002433"/>
    <w:rsid w:val="00002AA4"/>
    <w:rsid w:val="00002CD6"/>
    <w:rsid w:val="00003360"/>
    <w:rsid w:val="00004FA1"/>
    <w:rsid w:val="00005919"/>
    <w:rsid w:val="000079E8"/>
    <w:rsid w:val="00014346"/>
    <w:rsid w:val="000147F2"/>
    <w:rsid w:val="00015020"/>
    <w:rsid w:val="00015415"/>
    <w:rsid w:val="0001647B"/>
    <w:rsid w:val="00020010"/>
    <w:rsid w:val="00024349"/>
    <w:rsid w:val="00024DD6"/>
    <w:rsid w:val="0002774F"/>
    <w:rsid w:val="00031548"/>
    <w:rsid w:val="0003171F"/>
    <w:rsid w:val="00033B2A"/>
    <w:rsid w:val="00034673"/>
    <w:rsid w:val="00034B44"/>
    <w:rsid w:val="0003527A"/>
    <w:rsid w:val="0003609C"/>
    <w:rsid w:val="00036671"/>
    <w:rsid w:val="0003677C"/>
    <w:rsid w:val="00037226"/>
    <w:rsid w:val="000409E2"/>
    <w:rsid w:val="00042E30"/>
    <w:rsid w:val="00043214"/>
    <w:rsid w:val="00044EA1"/>
    <w:rsid w:val="00045517"/>
    <w:rsid w:val="00045586"/>
    <w:rsid w:val="0004634A"/>
    <w:rsid w:val="00050FB5"/>
    <w:rsid w:val="00051F77"/>
    <w:rsid w:val="00054443"/>
    <w:rsid w:val="0005453C"/>
    <w:rsid w:val="00054641"/>
    <w:rsid w:val="000556BA"/>
    <w:rsid w:val="0005649A"/>
    <w:rsid w:val="00057433"/>
    <w:rsid w:val="00061E16"/>
    <w:rsid w:val="00063BB2"/>
    <w:rsid w:val="00065F18"/>
    <w:rsid w:val="00067005"/>
    <w:rsid w:val="000673DC"/>
    <w:rsid w:val="00073D31"/>
    <w:rsid w:val="00074960"/>
    <w:rsid w:val="00074BC9"/>
    <w:rsid w:val="00075FF3"/>
    <w:rsid w:val="00076035"/>
    <w:rsid w:val="00077013"/>
    <w:rsid w:val="000771BB"/>
    <w:rsid w:val="00077983"/>
    <w:rsid w:val="00083CE7"/>
    <w:rsid w:val="0008421C"/>
    <w:rsid w:val="000844CB"/>
    <w:rsid w:val="0008489A"/>
    <w:rsid w:val="00085C63"/>
    <w:rsid w:val="0008631E"/>
    <w:rsid w:val="000864D2"/>
    <w:rsid w:val="000876AF"/>
    <w:rsid w:val="00091C3A"/>
    <w:rsid w:val="0009288A"/>
    <w:rsid w:val="00093DFA"/>
    <w:rsid w:val="00094565"/>
    <w:rsid w:val="000A1108"/>
    <w:rsid w:val="000A1BEE"/>
    <w:rsid w:val="000A69C4"/>
    <w:rsid w:val="000A7764"/>
    <w:rsid w:val="000A7D59"/>
    <w:rsid w:val="000B0B73"/>
    <w:rsid w:val="000B22DB"/>
    <w:rsid w:val="000B2837"/>
    <w:rsid w:val="000B3D1F"/>
    <w:rsid w:val="000B449A"/>
    <w:rsid w:val="000B5FB3"/>
    <w:rsid w:val="000B7949"/>
    <w:rsid w:val="000C20B6"/>
    <w:rsid w:val="000C5D40"/>
    <w:rsid w:val="000C7B3C"/>
    <w:rsid w:val="000D0B79"/>
    <w:rsid w:val="000D2027"/>
    <w:rsid w:val="000D41A3"/>
    <w:rsid w:val="000D4C69"/>
    <w:rsid w:val="000D52F2"/>
    <w:rsid w:val="000D61F6"/>
    <w:rsid w:val="000D6AB0"/>
    <w:rsid w:val="000D6D8C"/>
    <w:rsid w:val="000D79C9"/>
    <w:rsid w:val="000E0F96"/>
    <w:rsid w:val="000E3240"/>
    <w:rsid w:val="000E5999"/>
    <w:rsid w:val="000E677B"/>
    <w:rsid w:val="000F1BB9"/>
    <w:rsid w:val="000F3152"/>
    <w:rsid w:val="000F3FC1"/>
    <w:rsid w:val="000F4ADF"/>
    <w:rsid w:val="000F4DA1"/>
    <w:rsid w:val="000F61AF"/>
    <w:rsid w:val="000F64A3"/>
    <w:rsid w:val="000F77D4"/>
    <w:rsid w:val="00100DB2"/>
    <w:rsid w:val="001013E0"/>
    <w:rsid w:val="0010171C"/>
    <w:rsid w:val="00102018"/>
    <w:rsid w:val="00102A0D"/>
    <w:rsid w:val="00102FAD"/>
    <w:rsid w:val="00103D8E"/>
    <w:rsid w:val="00104F55"/>
    <w:rsid w:val="0010524D"/>
    <w:rsid w:val="00106520"/>
    <w:rsid w:val="00110A1D"/>
    <w:rsid w:val="00111CAD"/>
    <w:rsid w:val="001124D2"/>
    <w:rsid w:val="001140CF"/>
    <w:rsid w:val="0011473C"/>
    <w:rsid w:val="00114F46"/>
    <w:rsid w:val="00115867"/>
    <w:rsid w:val="001168F1"/>
    <w:rsid w:val="00117A2C"/>
    <w:rsid w:val="001214BB"/>
    <w:rsid w:val="00121870"/>
    <w:rsid w:val="0012323A"/>
    <w:rsid w:val="00124FC4"/>
    <w:rsid w:val="00125506"/>
    <w:rsid w:val="00126307"/>
    <w:rsid w:val="00131607"/>
    <w:rsid w:val="001320E6"/>
    <w:rsid w:val="001335A9"/>
    <w:rsid w:val="0013459E"/>
    <w:rsid w:val="00135D4D"/>
    <w:rsid w:val="00135E63"/>
    <w:rsid w:val="00140ED2"/>
    <w:rsid w:val="00142802"/>
    <w:rsid w:val="00143354"/>
    <w:rsid w:val="00143E7C"/>
    <w:rsid w:val="00143FDF"/>
    <w:rsid w:val="00144CC8"/>
    <w:rsid w:val="001465EA"/>
    <w:rsid w:val="00150134"/>
    <w:rsid w:val="00152AD8"/>
    <w:rsid w:val="0015358E"/>
    <w:rsid w:val="00153A6C"/>
    <w:rsid w:val="00156078"/>
    <w:rsid w:val="00156749"/>
    <w:rsid w:val="0015741D"/>
    <w:rsid w:val="0015799E"/>
    <w:rsid w:val="00161139"/>
    <w:rsid w:val="001618D0"/>
    <w:rsid w:val="0016433D"/>
    <w:rsid w:val="00164499"/>
    <w:rsid w:val="0016737E"/>
    <w:rsid w:val="0017076F"/>
    <w:rsid w:val="001711BD"/>
    <w:rsid w:val="00174B24"/>
    <w:rsid w:val="001775C0"/>
    <w:rsid w:val="00180CAB"/>
    <w:rsid w:val="00180FC4"/>
    <w:rsid w:val="001834C9"/>
    <w:rsid w:val="001843FA"/>
    <w:rsid w:val="00184C0F"/>
    <w:rsid w:val="001906A5"/>
    <w:rsid w:val="00191ABE"/>
    <w:rsid w:val="00191D52"/>
    <w:rsid w:val="0019539D"/>
    <w:rsid w:val="0019626F"/>
    <w:rsid w:val="00197812"/>
    <w:rsid w:val="001A0562"/>
    <w:rsid w:val="001A3981"/>
    <w:rsid w:val="001A5600"/>
    <w:rsid w:val="001A5F55"/>
    <w:rsid w:val="001A66BD"/>
    <w:rsid w:val="001B1503"/>
    <w:rsid w:val="001B2F00"/>
    <w:rsid w:val="001B3F16"/>
    <w:rsid w:val="001B47C2"/>
    <w:rsid w:val="001B5645"/>
    <w:rsid w:val="001B7CAF"/>
    <w:rsid w:val="001C0031"/>
    <w:rsid w:val="001C0C30"/>
    <w:rsid w:val="001C0F55"/>
    <w:rsid w:val="001C4485"/>
    <w:rsid w:val="001D0111"/>
    <w:rsid w:val="001D0CB6"/>
    <w:rsid w:val="001D0FBB"/>
    <w:rsid w:val="001D1221"/>
    <w:rsid w:val="001D42BA"/>
    <w:rsid w:val="001D4CC1"/>
    <w:rsid w:val="001D5EC0"/>
    <w:rsid w:val="001E064F"/>
    <w:rsid w:val="001E21BB"/>
    <w:rsid w:val="001E22F2"/>
    <w:rsid w:val="001E64FC"/>
    <w:rsid w:val="001F0724"/>
    <w:rsid w:val="001F07B4"/>
    <w:rsid w:val="001F238D"/>
    <w:rsid w:val="001F55FD"/>
    <w:rsid w:val="001F5D8B"/>
    <w:rsid w:val="001F77C1"/>
    <w:rsid w:val="002007DF"/>
    <w:rsid w:val="0020165F"/>
    <w:rsid w:val="00201A99"/>
    <w:rsid w:val="00203FBE"/>
    <w:rsid w:val="00204677"/>
    <w:rsid w:val="00205FE8"/>
    <w:rsid w:val="00206B05"/>
    <w:rsid w:val="00206BA3"/>
    <w:rsid w:val="002075B7"/>
    <w:rsid w:val="002100F3"/>
    <w:rsid w:val="002113C2"/>
    <w:rsid w:val="00214F68"/>
    <w:rsid w:val="00215160"/>
    <w:rsid w:val="00215A74"/>
    <w:rsid w:val="00217243"/>
    <w:rsid w:val="002224B4"/>
    <w:rsid w:val="00224D45"/>
    <w:rsid w:val="00224E0E"/>
    <w:rsid w:val="00224E9E"/>
    <w:rsid w:val="00225371"/>
    <w:rsid w:val="00226D5E"/>
    <w:rsid w:val="00230294"/>
    <w:rsid w:val="002309CF"/>
    <w:rsid w:val="002320E4"/>
    <w:rsid w:val="00232AF4"/>
    <w:rsid w:val="002337C9"/>
    <w:rsid w:val="00237A3D"/>
    <w:rsid w:val="0024088F"/>
    <w:rsid w:val="00240E83"/>
    <w:rsid w:val="002420A7"/>
    <w:rsid w:val="0024239E"/>
    <w:rsid w:val="00246F47"/>
    <w:rsid w:val="002502D1"/>
    <w:rsid w:val="002512B4"/>
    <w:rsid w:val="00252E4C"/>
    <w:rsid w:val="002534ED"/>
    <w:rsid w:val="00253DDC"/>
    <w:rsid w:val="002545A3"/>
    <w:rsid w:val="00260A17"/>
    <w:rsid w:val="00262D3C"/>
    <w:rsid w:val="00264A01"/>
    <w:rsid w:val="00264E9B"/>
    <w:rsid w:val="00270DFC"/>
    <w:rsid w:val="00270EEC"/>
    <w:rsid w:val="0027389B"/>
    <w:rsid w:val="00273925"/>
    <w:rsid w:val="00273C4F"/>
    <w:rsid w:val="00275CF6"/>
    <w:rsid w:val="00277461"/>
    <w:rsid w:val="002806A2"/>
    <w:rsid w:val="002809A8"/>
    <w:rsid w:val="0028115B"/>
    <w:rsid w:val="00281720"/>
    <w:rsid w:val="002823BE"/>
    <w:rsid w:val="00287417"/>
    <w:rsid w:val="0029100C"/>
    <w:rsid w:val="00293BA0"/>
    <w:rsid w:val="00294369"/>
    <w:rsid w:val="002961EF"/>
    <w:rsid w:val="00297CC7"/>
    <w:rsid w:val="002A194F"/>
    <w:rsid w:val="002A3A7E"/>
    <w:rsid w:val="002A4BD9"/>
    <w:rsid w:val="002A4FE7"/>
    <w:rsid w:val="002B1C66"/>
    <w:rsid w:val="002B1CEB"/>
    <w:rsid w:val="002B39F7"/>
    <w:rsid w:val="002B5E7C"/>
    <w:rsid w:val="002B6115"/>
    <w:rsid w:val="002B6D8D"/>
    <w:rsid w:val="002C14C0"/>
    <w:rsid w:val="002C1B41"/>
    <w:rsid w:val="002C2F30"/>
    <w:rsid w:val="002C798D"/>
    <w:rsid w:val="002D0473"/>
    <w:rsid w:val="002D0A58"/>
    <w:rsid w:val="002D1104"/>
    <w:rsid w:val="002D3125"/>
    <w:rsid w:val="002D31AA"/>
    <w:rsid w:val="002D4F42"/>
    <w:rsid w:val="002D55D1"/>
    <w:rsid w:val="002D5B9E"/>
    <w:rsid w:val="002E05B6"/>
    <w:rsid w:val="002E14F5"/>
    <w:rsid w:val="002E1B3D"/>
    <w:rsid w:val="002E3094"/>
    <w:rsid w:val="002E3368"/>
    <w:rsid w:val="002E3587"/>
    <w:rsid w:val="002E41D4"/>
    <w:rsid w:val="002E516B"/>
    <w:rsid w:val="002E6A0D"/>
    <w:rsid w:val="002F0658"/>
    <w:rsid w:val="002F074C"/>
    <w:rsid w:val="002F0A2F"/>
    <w:rsid w:val="002F0F77"/>
    <w:rsid w:val="002F2100"/>
    <w:rsid w:val="002F2FB5"/>
    <w:rsid w:val="002F3E98"/>
    <w:rsid w:val="002F4033"/>
    <w:rsid w:val="002F553A"/>
    <w:rsid w:val="0030084C"/>
    <w:rsid w:val="00302B13"/>
    <w:rsid w:val="003039E1"/>
    <w:rsid w:val="00307E7F"/>
    <w:rsid w:val="0031004A"/>
    <w:rsid w:val="003107D9"/>
    <w:rsid w:val="00311500"/>
    <w:rsid w:val="003129BA"/>
    <w:rsid w:val="003148FC"/>
    <w:rsid w:val="00317DF0"/>
    <w:rsid w:val="003209CB"/>
    <w:rsid w:val="003260D7"/>
    <w:rsid w:val="003279B2"/>
    <w:rsid w:val="00330820"/>
    <w:rsid w:val="0033311E"/>
    <w:rsid w:val="003338AD"/>
    <w:rsid w:val="00334C78"/>
    <w:rsid w:val="003353FD"/>
    <w:rsid w:val="0033629D"/>
    <w:rsid w:val="00336769"/>
    <w:rsid w:val="00337B70"/>
    <w:rsid w:val="00340357"/>
    <w:rsid w:val="0034197C"/>
    <w:rsid w:val="00342A0E"/>
    <w:rsid w:val="003433B7"/>
    <w:rsid w:val="0034453A"/>
    <w:rsid w:val="00344C06"/>
    <w:rsid w:val="00345179"/>
    <w:rsid w:val="00346456"/>
    <w:rsid w:val="003465C8"/>
    <w:rsid w:val="003478DD"/>
    <w:rsid w:val="003520B3"/>
    <w:rsid w:val="00353A6E"/>
    <w:rsid w:val="0035575F"/>
    <w:rsid w:val="00355C37"/>
    <w:rsid w:val="00357956"/>
    <w:rsid w:val="00357D98"/>
    <w:rsid w:val="00357DCD"/>
    <w:rsid w:val="00360985"/>
    <w:rsid w:val="003609CF"/>
    <w:rsid w:val="00361FB6"/>
    <w:rsid w:val="003650FE"/>
    <w:rsid w:val="003657BC"/>
    <w:rsid w:val="00367E15"/>
    <w:rsid w:val="0037016B"/>
    <w:rsid w:val="00370406"/>
    <w:rsid w:val="00370988"/>
    <w:rsid w:val="00370FC0"/>
    <w:rsid w:val="00371E24"/>
    <w:rsid w:val="003727F0"/>
    <w:rsid w:val="0037298A"/>
    <w:rsid w:val="00373206"/>
    <w:rsid w:val="003737ED"/>
    <w:rsid w:val="003746C3"/>
    <w:rsid w:val="00374926"/>
    <w:rsid w:val="003758ED"/>
    <w:rsid w:val="00375B80"/>
    <w:rsid w:val="00376B75"/>
    <w:rsid w:val="00376D68"/>
    <w:rsid w:val="00377352"/>
    <w:rsid w:val="00381E8D"/>
    <w:rsid w:val="00385D87"/>
    <w:rsid w:val="0039302B"/>
    <w:rsid w:val="00396B33"/>
    <w:rsid w:val="003A10DA"/>
    <w:rsid w:val="003A12C8"/>
    <w:rsid w:val="003A3430"/>
    <w:rsid w:val="003A4045"/>
    <w:rsid w:val="003A4426"/>
    <w:rsid w:val="003A6FFE"/>
    <w:rsid w:val="003A7695"/>
    <w:rsid w:val="003A7C20"/>
    <w:rsid w:val="003B11D6"/>
    <w:rsid w:val="003B3519"/>
    <w:rsid w:val="003B3A23"/>
    <w:rsid w:val="003B45B4"/>
    <w:rsid w:val="003B57BA"/>
    <w:rsid w:val="003B5AFA"/>
    <w:rsid w:val="003B6592"/>
    <w:rsid w:val="003C2F47"/>
    <w:rsid w:val="003C39BB"/>
    <w:rsid w:val="003C47DE"/>
    <w:rsid w:val="003C560B"/>
    <w:rsid w:val="003C6F73"/>
    <w:rsid w:val="003C7649"/>
    <w:rsid w:val="003C76FB"/>
    <w:rsid w:val="003C772C"/>
    <w:rsid w:val="003D0809"/>
    <w:rsid w:val="003D0DA8"/>
    <w:rsid w:val="003D1E2B"/>
    <w:rsid w:val="003D50E3"/>
    <w:rsid w:val="003E1600"/>
    <w:rsid w:val="003E43A6"/>
    <w:rsid w:val="003E5407"/>
    <w:rsid w:val="003E54D4"/>
    <w:rsid w:val="003E67D4"/>
    <w:rsid w:val="003E7719"/>
    <w:rsid w:val="003F0F0C"/>
    <w:rsid w:val="003F1BEC"/>
    <w:rsid w:val="003F1D7A"/>
    <w:rsid w:val="003F2B58"/>
    <w:rsid w:val="003F5090"/>
    <w:rsid w:val="003F577A"/>
    <w:rsid w:val="003F5886"/>
    <w:rsid w:val="0040020C"/>
    <w:rsid w:val="00400DC8"/>
    <w:rsid w:val="00401CA0"/>
    <w:rsid w:val="00402B5D"/>
    <w:rsid w:val="00404D9A"/>
    <w:rsid w:val="0040555D"/>
    <w:rsid w:val="004058C6"/>
    <w:rsid w:val="0040700B"/>
    <w:rsid w:val="00407785"/>
    <w:rsid w:val="00407F54"/>
    <w:rsid w:val="00411341"/>
    <w:rsid w:val="00413966"/>
    <w:rsid w:val="004143DC"/>
    <w:rsid w:val="00415CDB"/>
    <w:rsid w:val="0041797E"/>
    <w:rsid w:val="00422F16"/>
    <w:rsid w:val="004231DC"/>
    <w:rsid w:val="00423403"/>
    <w:rsid w:val="00423570"/>
    <w:rsid w:val="0042551E"/>
    <w:rsid w:val="004256BA"/>
    <w:rsid w:val="0042606B"/>
    <w:rsid w:val="0042668C"/>
    <w:rsid w:val="00430B91"/>
    <w:rsid w:val="00431869"/>
    <w:rsid w:val="00432DDA"/>
    <w:rsid w:val="00433AD8"/>
    <w:rsid w:val="00433E14"/>
    <w:rsid w:val="004376A2"/>
    <w:rsid w:val="0044389E"/>
    <w:rsid w:val="00444B5B"/>
    <w:rsid w:val="00445144"/>
    <w:rsid w:val="004452AE"/>
    <w:rsid w:val="00445A7B"/>
    <w:rsid w:val="00447DC3"/>
    <w:rsid w:val="00447EAA"/>
    <w:rsid w:val="00450847"/>
    <w:rsid w:val="00452B3B"/>
    <w:rsid w:val="004552A0"/>
    <w:rsid w:val="00455E59"/>
    <w:rsid w:val="00455FAF"/>
    <w:rsid w:val="00456010"/>
    <w:rsid w:val="00457E34"/>
    <w:rsid w:val="00460A83"/>
    <w:rsid w:val="00460B3F"/>
    <w:rsid w:val="0046259E"/>
    <w:rsid w:val="004627FC"/>
    <w:rsid w:val="00463EA1"/>
    <w:rsid w:val="00464752"/>
    <w:rsid w:val="00464FD7"/>
    <w:rsid w:val="004651A8"/>
    <w:rsid w:val="00466034"/>
    <w:rsid w:val="004703DC"/>
    <w:rsid w:val="0047059A"/>
    <w:rsid w:val="00470BF8"/>
    <w:rsid w:val="004736ED"/>
    <w:rsid w:val="00473AF4"/>
    <w:rsid w:val="00473E2F"/>
    <w:rsid w:val="00475CE8"/>
    <w:rsid w:val="00476068"/>
    <w:rsid w:val="004763B3"/>
    <w:rsid w:val="00477619"/>
    <w:rsid w:val="004776B6"/>
    <w:rsid w:val="0048054A"/>
    <w:rsid w:val="0048059C"/>
    <w:rsid w:val="004807D0"/>
    <w:rsid w:val="004817B3"/>
    <w:rsid w:val="00486E6E"/>
    <w:rsid w:val="00487264"/>
    <w:rsid w:val="004875DF"/>
    <w:rsid w:val="00487C1D"/>
    <w:rsid w:val="00487D7E"/>
    <w:rsid w:val="004923E8"/>
    <w:rsid w:val="004929F8"/>
    <w:rsid w:val="0049307C"/>
    <w:rsid w:val="00494C6F"/>
    <w:rsid w:val="00496A7E"/>
    <w:rsid w:val="00497498"/>
    <w:rsid w:val="004A05DB"/>
    <w:rsid w:val="004A21FB"/>
    <w:rsid w:val="004A35C2"/>
    <w:rsid w:val="004A3AA9"/>
    <w:rsid w:val="004A489B"/>
    <w:rsid w:val="004A5823"/>
    <w:rsid w:val="004A6566"/>
    <w:rsid w:val="004B0AAF"/>
    <w:rsid w:val="004B12B8"/>
    <w:rsid w:val="004B14FF"/>
    <w:rsid w:val="004B1E81"/>
    <w:rsid w:val="004B3924"/>
    <w:rsid w:val="004B5063"/>
    <w:rsid w:val="004B5DDF"/>
    <w:rsid w:val="004B68E7"/>
    <w:rsid w:val="004B747D"/>
    <w:rsid w:val="004C299F"/>
    <w:rsid w:val="004C35DA"/>
    <w:rsid w:val="004C4C72"/>
    <w:rsid w:val="004C4DDD"/>
    <w:rsid w:val="004C6693"/>
    <w:rsid w:val="004C6953"/>
    <w:rsid w:val="004C7001"/>
    <w:rsid w:val="004D1706"/>
    <w:rsid w:val="004D23E4"/>
    <w:rsid w:val="004D243F"/>
    <w:rsid w:val="004D4303"/>
    <w:rsid w:val="004D44ED"/>
    <w:rsid w:val="004D56F0"/>
    <w:rsid w:val="004D664E"/>
    <w:rsid w:val="004D7473"/>
    <w:rsid w:val="004D7BF6"/>
    <w:rsid w:val="004E2856"/>
    <w:rsid w:val="004E2AF0"/>
    <w:rsid w:val="004E4E1A"/>
    <w:rsid w:val="004E700D"/>
    <w:rsid w:val="004F1895"/>
    <w:rsid w:val="004F26F0"/>
    <w:rsid w:val="004F2740"/>
    <w:rsid w:val="004F2E4B"/>
    <w:rsid w:val="004F3205"/>
    <w:rsid w:val="004F4E9E"/>
    <w:rsid w:val="004F5DEF"/>
    <w:rsid w:val="004F6B2A"/>
    <w:rsid w:val="004F79AF"/>
    <w:rsid w:val="004F7FE0"/>
    <w:rsid w:val="00501C4B"/>
    <w:rsid w:val="00502667"/>
    <w:rsid w:val="00506D65"/>
    <w:rsid w:val="0050777A"/>
    <w:rsid w:val="00507DF3"/>
    <w:rsid w:val="00510B5B"/>
    <w:rsid w:val="00510D73"/>
    <w:rsid w:val="005117D7"/>
    <w:rsid w:val="00512ACB"/>
    <w:rsid w:val="005171E9"/>
    <w:rsid w:val="00520FB6"/>
    <w:rsid w:val="0052216D"/>
    <w:rsid w:val="0052284F"/>
    <w:rsid w:val="00522A16"/>
    <w:rsid w:val="00524663"/>
    <w:rsid w:val="00524679"/>
    <w:rsid w:val="00524F33"/>
    <w:rsid w:val="00525E3B"/>
    <w:rsid w:val="00526115"/>
    <w:rsid w:val="005327B8"/>
    <w:rsid w:val="00533FAF"/>
    <w:rsid w:val="00534B74"/>
    <w:rsid w:val="005366B6"/>
    <w:rsid w:val="00536BE4"/>
    <w:rsid w:val="00542BDA"/>
    <w:rsid w:val="0054558B"/>
    <w:rsid w:val="0054787D"/>
    <w:rsid w:val="00547AD0"/>
    <w:rsid w:val="00547FCB"/>
    <w:rsid w:val="00550DBB"/>
    <w:rsid w:val="00551CC3"/>
    <w:rsid w:val="005521F7"/>
    <w:rsid w:val="00553885"/>
    <w:rsid w:val="00554BCD"/>
    <w:rsid w:val="00557E9E"/>
    <w:rsid w:val="00561A97"/>
    <w:rsid w:val="005626E4"/>
    <w:rsid w:val="00563DAC"/>
    <w:rsid w:val="005647B1"/>
    <w:rsid w:val="00565902"/>
    <w:rsid w:val="00565E67"/>
    <w:rsid w:val="00566F66"/>
    <w:rsid w:val="005675E0"/>
    <w:rsid w:val="00570858"/>
    <w:rsid w:val="00570A71"/>
    <w:rsid w:val="00570C00"/>
    <w:rsid w:val="005815F7"/>
    <w:rsid w:val="0058206B"/>
    <w:rsid w:val="00585690"/>
    <w:rsid w:val="005911D0"/>
    <w:rsid w:val="005920EA"/>
    <w:rsid w:val="0059426A"/>
    <w:rsid w:val="00595B33"/>
    <w:rsid w:val="0059662F"/>
    <w:rsid w:val="005976FB"/>
    <w:rsid w:val="00597DF6"/>
    <w:rsid w:val="005A151E"/>
    <w:rsid w:val="005A3B7C"/>
    <w:rsid w:val="005A44F1"/>
    <w:rsid w:val="005A57FF"/>
    <w:rsid w:val="005A65AE"/>
    <w:rsid w:val="005B00B3"/>
    <w:rsid w:val="005B50D0"/>
    <w:rsid w:val="005B52EE"/>
    <w:rsid w:val="005B6105"/>
    <w:rsid w:val="005B6680"/>
    <w:rsid w:val="005B7531"/>
    <w:rsid w:val="005C44A4"/>
    <w:rsid w:val="005C4A2B"/>
    <w:rsid w:val="005C5557"/>
    <w:rsid w:val="005C696F"/>
    <w:rsid w:val="005C6EF8"/>
    <w:rsid w:val="005D0613"/>
    <w:rsid w:val="005D3066"/>
    <w:rsid w:val="005D31CB"/>
    <w:rsid w:val="005E2239"/>
    <w:rsid w:val="005E3F1E"/>
    <w:rsid w:val="005E4B13"/>
    <w:rsid w:val="005E4C02"/>
    <w:rsid w:val="005E53A3"/>
    <w:rsid w:val="005E5B1A"/>
    <w:rsid w:val="005E6D6B"/>
    <w:rsid w:val="005E75BB"/>
    <w:rsid w:val="005F01DF"/>
    <w:rsid w:val="005F1548"/>
    <w:rsid w:val="005F1BF5"/>
    <w:rsid w:val="005F47C4"/>
    <w:rsid w:val="005F61C7"/>
    <w:rsid w:val="005F627E"/>
    <w:rsid w:val="005F6E43"/>
    <w:rsid w:val="005F76CC"/>
    <w:rsid w:val="005F7FF8"/>
    <w:rsid w:val="006004C4"/>
    <w:rsid w:val="0060077F"/>
    <w:rsid w:val="00600CA4"/>
    <w:rsid w:val="00601656"/>
    <w:rsid w:val="00601846"/>
    <w:rsid w:val="00602416"/>
    <w:rsid w:val="006025CE"/>
    <w:rsid w:val="006041F2"/>
    <w:rsid w:val="00605414"/>
    <w:rsid w:val="00605940"/>
    <w:rsid w:val="00605D01"/>
    <w:rsid w:val="006064F5"/>
    <w:rsid w:val="0060662F"/>
    <w:rsid w:val="00607B29"/>
    <w:rsid w:val="00614020"/>
    <w:rsid w:val="00614929"/>
    <w:rsid w:val="00616C0A"/>
    <w:rsid w:val="00617298"/>
    <w:rsid w:val="006205F8"/>
    <w:rsid w:val="0062075D"/>
    <w:rsid w:val="0062701F"/>
    <w:rsid w:val="00627553"/>
    <w:rsid w:val="00630352"/>
    <w:rsid w:val="006323F6"/>
    <w:rsid w:val="006358F6"/>
    <w:rsid w:val="00636A4F"/>
    <w:rsid w:val="00637753"/>
    <w:rsid w:val="00642E3F"/>
    <w:rsid w:val="00644273"/>
    <w:rsid w:val="00646F26"/>
    <w:rsid w:val="00647092"/>
    <w:rsid w:val="00647E10"/>
    <w:rsid w:val="00647F5B"/>
    <w:rsid w:val="0065219F"/>
    <w:rsid w:val="006537AE"/>
    <w:rsid w:val="0065416C"/>
    <w:rsid w:val="00656967"/>
    <w:rsid w:val="00662410"/>
    <w:rsid w:val="00662716"/>
    <w:rsid w:val="0066593B"/>
    <w:rsid w:val="00665D87"/>
    <w:rsid w:val="006668FC"/>
    <w:rsid w:val="006670E8"/>
    <w:rsid w:val="00670874"/>
    <w:rsid w:val="006715F8"/>
    <w:rsid w:val="00671801"/>
    <w:rsid w:val="006733AF"/>
    <w:rsid w:val="00676C9F"/>
    <w:rsid w:val="00677B13"/>
    <w:rsid w:val="00677E8A"/>
    <w:rsid w:val="00677F4E"/>
    <w:rsid w:val="00681A08"/>
    <w:rsid w:val="00681D1B"/>
    <w:rsid w:val="0068278F"/>
    <w:rsid w:val="00682D34"/>
    <w:rsid w:val="00685155"/>
    <w:rsid w:val="00685ECF"/>
    <w:rsid w:val="00686D61"/>
    <w:rsid w:val="006875B8"/>
    <w:rsid w:val="00687CEA"/>
    <w:rsid w:val="006927EC"/>
    <w:rsid w:val="00693683"/>
    <w:rsid w:val="00693EE6"/>
    <w:rsid w:val="00694E01"/>
    <w:rsid w:val="00695161"/>
    <w:rsid w:val="00695171"/>
    <w:rsid w:val="006953B9"/>
    <w:rsid w:val="00695B75"/>
    <w:rsid w:val="00696605"/>
    <w:rsid w:val="006A1A95"/>
    <w:rsid w:val="006A38B7"/>
    <w:rsid w:val="006A4DA0"/>
    <w:rsid w:val="006A53DB"/>
    <w:rsid w:val="006A5545"/>
    <w:rsid w:val="006A5C31"/>
    <w:rsid w:val="006B0E2E"/>
    <w:rsid w:val="006B1CB2"/>
    <w:rsid w:val="006B1DD1"/>
    <w:rsid w:val="006B22EC"/>
    <w:rsid w:val="006B2D05"/>
    <w:rsid w:val="006B3396"/>
    <w:rsid w:val="006B3A3E"/>
    <w:rsid w:val="006B4034"/>
    <w:rsid w:val="006B46DF"/>
    <w:rsid w:val="006B525F"/>
    <w:rsid w:val="006B6D68"/>
    <w:rsid w:val="006B7D31"/>
    <w:rsid w:val="006B7D4C"/>
    <w:rsid w:val="006C195E"/>
    <w:rsid w:val="006C31EA"/>
    <w:rsid w:val="006C39E2"/>
    <w:rsid w:val="006C4FB6"/>
    <w:rsid w:val="006C5F81"/>
    <w:rsid w:val="006C6B86"/>
    <w:rsid w:val="006D01E2"/>
    <w:rsid w:val="006D03D8"/>
    <w:rsid w:val="006D2071"/>
    <w:rsid w:val="006D30CE"/>
    <w:rsid w:val="006D355B"/>
    <w:rsid w:val="006D3882"/>
    <w:rsid w:val="006D38A7"/>
    <w:rsid w:val="006D38A9"/>
    <w:rsid w:val="006D40E2"/>
    <w:rsid w:val="006D52AF"/>
    <w:rsid w:val="006D638F"/>
    <w:rsid w:val="006D67F9"/>
    <w:rsid w:val="006D7CC2"/>
    <w:rsid w:val="006E0046"/>
    <w:rsid w:val="006E13FE"/>
    <w:rsid w:val="006E14A6"/>
    <w:rsid w:val="006E2D0C"/>
    <w:rsid w:val="006E4ED5"/>
    <w:rsid w:val="006E516B"/>
    <w:rsid w:val="006E5676"/>
    <w:rsid w:val="006E7BF7"/>
    <w:rsid w:val="006F1227"/>
    <w:rsid w:val="006F3D63"/>
    <w:rsid w:val="006F3E3D"/>
    <w:rsid w:val="006F6D9E"/>
    <w:rsid w:val="0070252F"/>
    <w:rsid w:val="0070306C"/>
    <w:rsid w:val="00703198"/>
    <w:rsid w:val="00705597"/>
    <w:rsid w:val="00706319"/>
    <w:rsid w:val="007068C8"/>
    <w:rsid w:val="00715B8F"/>
    <w:rsid w:val="007167FF"/>
    <w:rsid w:val="00716F05"/>
    <w:rsid w:val="00722BB6"/>
    <w:rsid w:val="00726269"/>
    <w:rsid w:val="0073106E"/>
    <w:rsid w:val="0073329C"/>
    <w:rsid w:val="00735F8D"/>
    <w:rsid w:val="007361D6"/>
    <w:rsid w:val="00736760"/>
    <w:rsid w:val="007374F4"/>
    <w:rsid w:val="00741482"/>
    <w:rsid w:val="00743FC1"/>
    <w:rsid w:val="00744031"/>
    <w:rsid w:val="00745D0C"/>
    <w:rsid w:val="007467F5"/>
    <w:rsid w:val="00746951"/>
    <w:rsid w:val="007471AE"/>
    <w:rsid w:val="00747A6E"/>
    <w:rsid w:val="00750361"/>
    <w:rsid w:val="00750D13"/>
    <w:rsid w:val="007511B5"/>
    <w:rsid w:val="007547F5"/>
    <w:rsid w:val="00755142"/>
    <w:rsid w:val="007556BD"/>
    <w:rsid w:val="007556ED"/>
    <w:rsid w:val="00756BB7"/>
    <w:rsid w:val="007572B7"/>
    <w:rsid w:val="0075764B"/>
    <w:rsid w:val="007576B8"/>
    <w:rsid w:val="00760903"/>
    <w:rsid w:val="00760C01"/>
    <w:rsid w:val="00761293"/>
    <w:rsid w:val="00761A8E"/>
    <w:rsid w:val="00761D6B"/>
    <w:rsid w:val="0076224F"/>
    <w:rsid w:val="00765C28"/>
    <w:rsid w:val="00767C04"/>
    <w:rsid w:val="00770B5B"/>
    <w:rsid w:val="007730AD"/>
    <w:rsid w:val="007736A2"/>
    <w:rsid w:val="00774564"/>
    <w:rsid w:val="00774D81"/>
    <w:rsid w:val="007757B4"/>
    <w:rsid w:val="00775BEB"/>
    <w:rsid w:val="00776088"/>
    <w:rsid w:val="007773B1"/>
    <w:rsid w:val="00777DB8"/>
    <w:rsid w:val="00781C20"/>
    <w:rsid w:val="0078446F"/>
    <w:rsid w:val="00785B55"/>
    <w:rsid w:val="007927DF"/>
    <w:rsid w:val="00794501"/>
    <w:rsid w:val="0079472F"/>
    <w:rsid w:val="007A1A7A"/>
    <w:rsid w:val="007A42BD"/>
    <w:rsid w:val="007A4464"/>
    <w:rsid w:val="007A6226"/>
    <w:rsid w:val="007B23F6"/>
    <w:rsid w:val="007B3C61"/>
    <w:rsid w:val="007B4502"/>
    <w:rsid w:val="007B571C"/>
    <w:rsid w:val="007B5E32"/>
    <w:rsid w:val="007C4082"/>
    <w:rsid w:val="007C448C"/>
    <w:rsid w:val="007C50CB"/>
    <w:rsid w:val="007C5944"/>
    <w:rsid w:val="007C68CE"/>
    <w:rsid w:val="007C6961"/>
    <w:rsid w:val="007D0249"/>
    <w:rsid w:val="007D08FB"/>
    <w:rsid w:val="007D1918"/>
    <w:rsid w:val="007D5397"/>
    <w:rsid w:val="007D6515"/>
    <w:rsid w:val="007D6EC8"/>
    <w:rsid w:val="007D7586"/>
    <w:rsid w:val="007D784D"/>
    <w:rsid w:val="007E15DC"/>
    <w:rsid w:val="007E280B"/>
    <w:rsid w:val="007E350A"/>
    <w:rsid w:val="007E6258"/>
    <w:rsid w:val="007E64DE"/>
    <w:rsid w:val="007E73BD"/>
    <w:rsid w:val="007F03F2"/>
    <w:rsid w:val="007F049D"/>
    <w:rsid w:val="007F211D"/>
    <w:rsid w:val="007F2167"/>
    <w:rsid w:val="007F39D6"/>
    <w:rsid w:val="007F42BF"/>
    <w:rsid w:val="007F4C76"/>
    <w:rsid w:val="007F4D12"/>
    <w:rsid w:val="007F5C25"/>
    <w:rsid w:val="007F5F4D"/>
    <w:rsid w:val="007F657A"/>
    <w:rsid w:val="007F65DF"/>
    <w:rsid w:val="00802D66"/>
    <w:rsid w:val="00805CAC"/>
    <w:rsid w:val="008065D7"/>
    <w:rsid w:val="00806BD8"/>
    <w:rsid w:val="00807E0F"/>
    <w:rsid w:val="0081038B"/>
    <w:rsid w:val="008111D9"/>
    <w:rsid w:val="008132D2"/>
    <w:rsid w:val="00813F94"/>
    <w:rsid w:val="00816398"/>
    <w:rsid w:val="00816E30"/>
    <w:rsid w:val="00820D16"/>
    <w:rsid w:val="0082264B"/>
    <w:rsid w:val="00824EC3"/>
    <w:rsid w:val="008272AD"/>
    <w:rsid w:val="008275E6"/>
    <w:rsid w:val="0082765B"/>
    <w:rsid w:val="008278D3"/>
    <w:rsid w:val="00830899"/>
    <w:rsid w:val="00832732"/>
    <w:rsid w:val="00832829"/>
    <w:rsid w:val="00832DEE"/>
    <w:rsid w:val="00834363"/>
    <w:rsid w:val="00834388"/>
    <w:rsid w:val="008344F0"/>
    <w:rsid w:val="008352B1"/>
    <w:rsid w:val="00835629"/>
    <w:rsid w:val="00835BD7"/>
    <w:rsid w:val="00835D7E"/>
    <w:rsid w:val="00836500"/>
    <w:rsid w:val="008366AC"/>
    <w:rsid w:val="008376F9"/>
    <w:rsid w:val="00837BBF"/>
    <w:rsid w:val="00840229"/>
    <w:rsid w:val="00841856"/>
    <w:rsid w:val="008428E8"/>
    <w:rsid w:val="008437FC"/>
    <w:rsid w:val="00843D71"/>
    <w:rsid w:val="008440E7"/>
    <w:rsid w:val="00844686"/>
    <w:rsid w:val="00845EA8"/>
    <w:rsid w:val="00846F11"/>
    <w:rsid w:val="0084745A"/>
    <w:rsid w:val="008502AA"/>
    <w:rsid w:val="00854271"/>
    <w:rsid w:val="008545C1"/>
    <w:rsid w:val="00855CBF"/>
    <w:rsid w:val="00855D68"/>
    <w:rsid w:val="008563C7"/>
    <w:rsid w:val="008602D2"/>
    <w:rsid w:val="00860687"/>
    <w:rsid w:val="00861F6C"/>
    <w:rsid w:val="00862F19"/>
    <w:rsid w:val="0086732C"/>
    <w:rsid w:val="00870045"/>
    <w:rsid w:val="00871466"/>
    <w:rsid w:val="00872A05"/>
    <w:rsid w:val="00873574"/>
    <w:rsid w:val="008741F8"/>
    <w:rsid w:val="008747EB"/>
    <w:rsid w:val="008763DE"/>
    <w:rsid w:val="00876E5F"/>
    <w:rsid w:val="00880F10"/>
    <w:rsid w:val="00884A12"/>
    <w:rsid w:val="00884E15"/>
    <w:rsid w:val="00885ACB"/>
    <w:rsid w:val="0088686D"/>
    <w:rsid w:val="0088737F"/>
    <w:rsid w:val="0089001A"/>
    <w:rsid w:val="00890CE4"/>
    <w:rsid w:val="008918FE"/>
    <w:rsid w:val="00891ED7"/>
    <w:rsid w:val="00893C4E"/>
    <w:rsid w:val="00893D68"/>
    <w:rsid w:val="008949FA"/>
    <w:rsid w:val="00895DCE"/>
    <w:rsid w:val="00896A44"/>
    <w:rsid w:val="00896EBF"/>
    <w:rsid w:val="008A0A3F"/>
    <w:rsid w:val="008A0D18"/>
    <w:rsid w:val="008A3091"/>
    <w:rsid w:val="008A3E0B"/>
    <w:rsid w:val="008A6445"/>
    <w:rsid w:val="008A78A1"/>
    <w:rsid w:val="008B7B54"/>
    <w:rsid w:val="008B7B70"/>
    <w:rsid w:val="008B7C7D"/>
    <w:rsid w:val="008C072D"/>
    <w:rsid w:val="008C283E"/>
    <w:rsid w:val="008C2D6D"/>
    <w:rsid w:val="008C3187"/>
    <w:rsid w:val="008C42AB"/>
    <w:rsid w:val="008C5E4F"/>
    <w:rsid w:val="008C62B3"/>
    <w:rsid w:val="008D01A1"/>
    <w:rsid w:val="008D0D8D"/>
    <w:rsid w:val="008D1044"/>
    <w:rsid w:val="008D3AB7"/>
    <w:rsid w:val="008D5252"/>
    <w:rsid w:val="008D5D56"/>
    <w:rsid w:val="008D63B7"/>
    <w:rsid w:val="008D6A03"/>
    <w:rsid w:val="008D6CA7"/>
    <w:rsid w:val="008D7BB4"/>
    <w:rsid w:val="008E13B2"/>
    <w:rsid w:val="008E17A1"/>
    <w:rsid w:val="008E23A4"/>
    <w:rsid w:val="008E2A31"/>
    <w:rsid w:val="008E2C98"/>
    <w:rsid w:val="008E4698"/>
    <w:rsid w:val="008E547D"/>
    <w:rsid w:val="008E5E9F"/>
    <w:rsid w:val="008E6DD0"/>
    <w:rsid w:val="008E7FEE"/>
    <w:rsid w:val="008F2150"/>
    <w:rsid w:val="008F21D0"/>
    <w:rsid w:val="008F3148"/>
    <w:rsid w:val="008F31F5"/>
    <w:rsid w:val="008F43C2"/>
    <w:rsid w:val="008F4794"/>
    <w:rsid w:val="008F5C43"/>
    <w:rsid w:val="008F5DAD"/>
    <w:rsid w:val="008F67F5"/>
    <w:rsid w:val="008F6BCE"/>
    <w:rsid w:val="00900D4B"/>
    <w:rsid w:val="0090144B"/>
    <w:rsid w:val="0090246E"/>
    <w:rsid w:val="00902568"/>
    <w:rsid w:val="0090370A"/>
    <w:rsid w:val="00904389"/>
    <w:rsid w:val="00904544"/>
    <w:rsid w:val="00905F9B"/>
    <w:rsid w:val="00907381"/>
    <w:rsid w:val="009104F9"/>
    <w:rsid w:val="00911D1D"/>
    <w:rsid w:val="00912C4F"/>
    <w:rsid w:val="00912ED4"/>
    <w:rsid w:val="009170B9"/>
    <w:rsid w:val="00920AB5"/>
    <w:rsid w:val="00921F92"/>
    <w:rsid w:val="00923A87"/>
    <w:rsid w:val="00924C9F"/>
    <w:rsid w:val="00925ED4"/>
    <w:rsid w:val="009268DF"/>
    <w:rsid w:val="009273A2"/>
    <w:rsid w:val="00927482"/>
    <w:rsid w:val="00932C1B"/>
    <w:rsid w:val="00932E53"/>
    <w:rsid w:val="00933D81"/>
    <w:rsid w:val="00934986"/>
    <w:rsid w:val="00934CA9"/>
    <w:rsid w:val="00934D62"/>
    <w:rsid w:val="00936FF5"/>
    <w:rsid w:val="00940504"/>
    <w:rsid w:val="009417B3"/>
    <w:rsid w:val="009422E0"/>
    <w:rsid w:val="00943263"/>
    <w:rsid w:val="00943FFE"/>
    <w:rsid w:val="0094591B"/>
    <w:rsid w:val="00945C21"/>
    <w:rsid w:val="00946B14"/>
    <w:rsid w:val="00946EF5"/>
    <w:rsid w:val="009477AF"/>
    <w:rsid w:val="00951001"/>
    <w:rsid w:val="0095112B"/>
    <w:rsid w:val="009517C1"/>
    <w:rsid w:val="00952D8A"/>
    <w:rsid w:val="00953638"/>
    <w:rsid w:val="009555BE"/>
    <w:rsid w:val="0095712A"/>
    <w:rsid w:val="00960F4E"/>
    <w:rsid w:val="00961196"/>
    <w:rsid w:val="00962641"/>
    <w:rsid w:val="00962F49"/>
    <w:rsid w:val="00965F3B"/>
    <w:rsid w:val="009677AD"/>
    <w:rsid w:val="00967B25"/>
    <w:rsid w:val="0097185D"/>
    <w:rsid w:val="00972935"/>
    <w:rsid w:val="00973949"/>
    <w:rsid w:val="00973A6D"/>
    <w:rsid w:val="00973C9E"/>
    <w:rsid w:val="00974E3D"/>
    <w:rsid w:val="00974EFB"/>
    <w:rsid w:val="00976C72"/>
    <w:rsid w:val="00982650"/>
    <w:rsid w:val="009850DE"/>
    <w:rsid w:val="009865AA"/>
    <w:rsid w:val="009869DE"/>
    <w:rsid w:val="00987080"/>
    <w:rsid w:val="0098765A"/>
    <w:rsid w:val="0099013D"/>
    <w:rsid w:val="0099050A"/>
    <w:rsid w:val="00992BCD"/>
    <w:rsid w:val="009968B0"/>
    <w:rsid w:val="00996AB1"/>
    <w:rsid w:val="009A2D43"/>
    <w:rsid w:val="009A672A"/>
    <w:rsid w:val="009A6CB2"/>
    <w:rsid w:val="009A6F94"/>
    <w:rsid w:val="009A735E"/>
    <w:rsid w:val="009A778C"/>
    <w:rsid w:val="009B0982"/>
    <w:rsid w:val="009B41FB"/>
    <w:rsid w:val="009B4436"/>
    <w:rsid w:val="009B4C99"/>
    <w:rsid w:val="009B4E5D"/>
    <w:rsid w:val="009B6BA2"/>
    <w:rsid w:val="009B7E2C"/>
    <w:rsid w:val="009C06B6"/>
    <w:rsid w:val="009C0E52"/>
    <w:rsid w:val="009C13FB"/>
    <w:rsid w:val="009C17B8"/>
    <w:rsid w:val="009C1D95"/>
    <w:rsid w:val="009C2A20"/>
    <w:rsid w:val="009C2A83"/>
    <w:rsid w:val="009C48ED"/>
    <w:rsid w:val="009C7601"/>
    <w:rsid w:val="009C7C86"/>
    <w:rsid w:val="009C7F12"/>
    <w:rsid w:val="009D28CF"/>
    <w:rsid w:val="009D44B3"/>
    <w:rsid w:val="009D565F"/>
    <w:rsid w:val="009D6001"/>
    <w:rsid w:val="009D66EA"/>
    <w:rsid w:val="009D76A2"/>
    <w:rsid w:val="009E0454"/>
    <w:rsid w:val="009E25D0"/>
    <w:rsid w:val="009E26D2"/>
    <w:rsid w:val="009E3695"/>
    <w:rsid w:val="009E5D36"/>
    <w:rsid w:val="009E6375"/>
    <w:rsid w:val="009E7CA0"/>
    <w:rsid w:val="009F15D6"/>
    <w:rsid w:val="009F39AC"/>
    <w:rsid w:val="009F3BE7"/>
    <w:rsid w:val="009F418C"/>
    <w:rsid w:val="009F419F"/>
    <w:rsid w:val="009F53BD"/>
    <w:rsid w:val="009F5B70"/>
    <w:rsid w:val="009F7263"/>
    <w:rsid w:val="00A0024A"/>
    <w:rsid w:val="00A004DA"/>
    <w:rsid w:val="00A00DA9"/>
    <w:rsid w:val="00A02B8D"/>
    <w:rsid w:val="00A04392"/>
    <w:rsid w:val="00A069CE"/>
    <w:rsid w:val="00A109D8"/>
    <w:rsid w:val="00A1126E"/>
    <w:rsid w:val="00A11E4F"/>
    <w:rsid w:val="00A13B2E"/>
    <w:rsid w:val="00A146C4"/>
    <w:rsid w:val="00A14A70"/>
    <w:rsid w:val="00A16003"/>
    <w:rsid w:val="00A167B5"/>
    <w:rsid w:val="00A167D7"/>
    <w:rsid w:val="00A1753C"/>
    <w:rsid w:val="00A21535"/>
    <w:rsid w:val="00A2213A"/>
    <w:rsid w:val="00A23D39"/>
    <w:rsid w:val="00A23EC2"/>
    <w:rsid w:val="00A248F8"/>
    <w:rsid w:val="00A24FBB"/>
    <w:rsid w:val="00A257DA"/>
    <w:rsid w:val="00A3040B"/>
    <w:rsid w:val="00A31858"/>
    <w:rsid w:val="00A31D7E"/>
    <w:rsid w:val="00A33BEF"/>
    <w:rsid w:val="00A34511"/>
    <w:rsid w:val="00A3453E"/>
    <w:rsid w:val="00A35318"/>
    <w:rsid w:val="00A400C3"/>
    <w:rsid w:val="00A42ED2"/>
    <w:rsid w:val="00A4453B"/>
    <w:rsid w:val="00A44B33"/>
    <w:rsid w:val="00A4571F"/>
    <w:rsid w:val="00A45FE3"/>
    <w:rsid w:val="00A501B7"/>
    <w:rsid w:val="00A503DD"/>
    <w:rsid w:val="00A504AC"/>
    <w:rsid w:val="00A50E00"/>
    <w:rsid w:val="00A52529"/>
    <w:rsid w:val="00A5302B"/>
    <w:rsid w:val="00A53624"/>
    <w:rsid w:val="00A54E44"/>
    <w:rsid w:val="00A5592E"/>
    <w:rsid w:val="00A55EAF"/>
    <w:rsid w:val="00A560E4"/>
    <w:rsid w:val="00A5766B"/>
    <w:rsid w:val="00A650AB"/>
    <w:rsid w:val="00A65505"/>
    <w:rsid w:val="00A661F2"/>
    <w:rsid w:val="00A66AB2"/>
    <w:rsid w:val="00A700FB"/>
    <w:rsid w:val="00A7019C"/>
    <w:rsid w:val="00A703FA"/>
    <w:rsid w:val="00A70E46"/>
    <w:rsid w:val="00A72178"/>
    <w:rsid w:val="00A72BD5"/>
    <w:rsid w:val="00A7368C"/>
    <w:rsid w:val="00A74A09"/>
    <w:rsid w:val="00A75C81"/>
    <w:rsid w:val="00A75D0A"/>
    <w:rsid w:val="00A77512"/>
    <w:rsid w:val="00A80DB3"/>
    <w:rsid w:val="00A8286E"/>
    <w:rsid w:val="00A829D8"/>
    <w:rsid w:val="00A83E92"/>
    <w:rsid w:val="00A863E3"/>
    <w:rsid w:val="00A86F3E"/>
    <w:rsid w:val="00A903B1"/>
    <w:rsid w:val="00A90422"/>
    <w:rsid w:val="00A91CB1"/>
    <w:rsid w:val="00A93687"/>
    <w:rsid w:val="00A93DFF"/>
    <w:rsid w:val="00A94211"/>
    <w:rsid w:val="00A9497E"/>
    <w:rsid w:val="00A94F60"/>
    <w:rsid w:val="00A9587D"/>
    <w:rsid w:val="00A95DE8"/>
    <w:rsid w:val="00A96275"/>
    <w:rsid w:val="00A9682D"/>
    <w:rsid w:val="00A97BFB"/>
    <w:rsid w:val="00AA0F25"/>
    <w:rsid w:val="00AA293E"/>
    <w:rsid w:val="00AA39BF"/>
    <w:rsid w:val="00AA4551"/>
    <w:rsid w:val="00AA5754"/>
    <w:rsid w:val="00AA62B2"/>
    <w:rsid w:val="00AA77F2"/>
    <w:rsid w:val="00AB0BBC"/>
    <w:rsid w:val="00AB1492"/>
    <w:rsid w:val="00AB161A"/>
    <w:rsid w:val="00AB271B"/>
    <w:rsid w:val="00AB283A"/>
    <w:rsid w:val="00AB3A92"/>
    <w:rsid w:val="00AB478B"/>
    <w:rsid w:val="00AB47AC"/>
    <w:rsid w:val="00AB4AD9"/>
    <w:rsid w:val="00AB754F"/>
    <w:rsid w:val="00AC2E72"/>
    <w:rsid w:val="00AC4D26"/>
    <w:rsid w:val="00AC4FDE"/>
    <w:rsid w:val="00AC5F85"/>
    <w:rsid w:val="00AC7160"/>
    <w:rsid w:val="00AD0D2A"/>
    <w:rsid w:val="00AD109A"/>
    <w:rsid w:val="00AD28C8"/>
    <w:rsid w:val="00AD3080"/>
    <w:rsid w:val="00AD5094"/>
    <w:rsid w:val="00AD5620"/>
    <w:rsid w:val="00AD65FF"/>
    <w:rsid w:val="00AD6E77"/>
    <w:rsid w:val="00AD7A25"/>
    <w:rsid w:val="00AE0335"/>
    <w:rsid w:val="00AE22F3"/>
    <w:rsid w:val="00AE2666"/>
    <w:rsid w:val="00AE32C5"/>
    <w:rsid w:val="00AE4C87"/>
    <w:rsid w:val="00AE59A2"/>
    <w:rsid w:val="00AE6D02"/>
    <w:rsid w:val="00AE7408"/>
    <w:rsid w:val="00AE74C4"/>
    <w:rsid w:val="00AF0485"/>
    <w:rsid w:val="00AF115F"/>
    <w:rsid w:val="00AF2389"/>
    <w:rsid w:val="00AF2670"/>
    <w:rsid w:val="00AF2AD3"/>
    <w:rsid w:val="00AF3A5A"/>
    <w:rsid w:val="00AF3E15"/>
    <w:rsid w:val="00AF5218"/>
    <w:rsid w:val="00B01341"/>
    <w:rsid w:val="00B01DEA"/>
    <w:rsid w:val="00B0480E"/>
    <w:rsid w:val="00B061DA"/>
    <w:rsid w:val="00B07657"/>
    <w:rsid w:val="00B1026A"/>
    <w:rsid w:val="00B1056F"/>
    <w:rsid w:val="00B12546"/>
    <w:rsid w:val="00B12663"/>
    <w:rsid w:val="00B1318D"/>
    <w:rsid w:val="00B137A6"/>
    <w:rsid w:val="00B140F1"/>
    <w:rsid w:val="00B146C3"/>
    <w:rsid w:val="00B14A70"/>
    <w:rsid w:val="00B15953"/>
    <w:rsid w:val="00B20C4B"/>
    <w:rsid w:val="00B21166"/>
    <w:rsid w:val="00B21D77"/>
    <w:rsid w:val="00B23627"/>
    <w:rsid w:val="00B24887"/>
    <w:rsid w:val="00B25040"/>
    <w:rsid w:val="00B263AE"/>
    <w:rsid w:val="00B27670"/>
    <w:rsid w:val="00B27776"/>
    <w:rsid w:val="00B3025F"/>
    <w:rsid w:val="00B302E6"/>
    <w:rsid w:val="00B31945"/>
    <w:rsid w:val="00B3390E"/>
    <w:rsid w:val="00B33A6C"/>
    <w:rsid w:val="00B343BC"/>
    <w:rsid w:val="00B35BE5"/>
    <w:rsid w:val="00B36A52"/>
    <w:rsid w:val="00B379AC"/>
    <w:rsid w:val="00B40052"/>
    <w:rsid w:val="00B443A2"/>
    <w:rsid w:val="00B47091"/>
    <w:rsid w:val="00B501F2"/>
    <w:rsid w:val="00B50948"/>
    <w:rsid w:val="00B516A4"/>
    <w:rsid w:val="00B53020"/>
    <w:rsid w:val="00B53520"/>
    <w:rsid w:val="00B547D0"/>
    <w:rsid w:val="00B56534"/>
    <w:rsid w:val="00B57A21"/>
    <w:rsid w:val="00B62C3E"/>
    <w:rsid w:val="00B6302A"/>
    <w:rsid w:val="00B63685"/>
    <w:rsid w:val="00B638E3"/>
    <w:rsid w:val="00B63FE5"/>
    <w:rsid w:val="00B645DE"/>
    <w:rsid w:val="00B65857"/>
    <w:rsid w:val="00B66698"/>
    <w:rsid w:val="00B668D1"/>
    <w:rsid w:val="00B71376"/>
    <w:rsid w:val="00B72756"/>
    <w:rsid w:val="00B74283"/>
    <w:rsid w:val="00B745DC"/>
    <w:rsid w:val="00B75C8C"/>
    <w:rsid w:val="00B84350"/>
    <w:rsid w:val="00B84B08"/>
    <w:rsid w:val="00B84E9B"/>
    <w:rsid w:val="00B851E6"/>
    <w:rsid w:val="00B855A6"/>
    <w:rsid w:val="00B85645"/>
    <w:rsid w:val="00B86693"/>
    <w:rsid w:val="00B87971"/>
    <w:rsid w:val="00B909C3"/>
    <w:rsid w:val="00B91098"/>
    <w:rsid w:val="00B91904"/>
    <w:rsid w:val="00B922F7"/>
    <w:rsid w:val="00B926B1"/>
    <w:rsid w:val="00B92735"/>
    <w:rsid w:val="00B94370"/>
    <w:rsid w:val="00B94DA5"/>
    <w:rsid w:val="00B9675E"/>
    <w:rsid w:val="00B969ED"/>
    <w:rsid w:val="00BA0DED"/>
    <w:rsid w:val="00BA2278"/>
    <w:rsid w:val="00BA2A6C"/>
    <w:rsid w:val="00BA3D05"/>
    <w:rsid w:val="00BA3E07"/>
    <w:rsid w:val="00BA4FE2"/>
    <w:rsid w:val="00BA608C"/>
    <w:rsid w:val="00BA72C4"/>
    <w:rsid w:val="00BA76E8"/>
    <w:rsid w:val="00BA77F1"/>
    <w:rsid w:val="00BB0D90"/>
    <w:rsid w:val="00BB0F05"/>
    <w:rsid w:val="00BB20A4"/>
    <w:rsid w:val="00BB60C6"/>
    <w:rsid w:val="00BB7984"/>
    <w:rsid w:val="00BB7E39"/>
    <w:rsid w:val="00BC04B2"/>
    <w:rsid w:val="00BC08A8"/>
    <w:rsid w:val="00BC0E73"/>
    <w:rsid w:val="00BC12FD"/>
    <w:rsid w:val="00BC2C09"/>
    <w:rsid w:val="00BC6A06"/>
    <w:rsid w:val="00BD0F10"/>
    <w:rsid w:val="00BD137C"/>
    <w:rsid w:val="00BD21BD"/>
    <w:rsid w:val="00BD312C"/>
    <w:rsid w:val="00BD3E22"/>
    <w:rsid w:val="00BE07DF"/>
    <w:rsid w:val="00BE0F28"/>
    <w:rsid w:val="00BE3BC7"/>
    <w:rsid w:val="00BE51C6"/>
    <w:rsid w:val="00BE5731"/>
    <w:rsid w:val="00BE65A5"/>
    <w:rsid w:val="00BE7E64"/>
    <w:rsid w:val="00BF1AB7"/>
    <w:rsid w:val="00BF1FCB"/>
    <w:rsid w:val="00BF2AC7"/>
    <w:rsid w:val="00BF53B6"/>
    <w:rsid w:val="00BF5883"/>
    <w:rsid w:val="00BF59EF"/>
    <w:rsid w:val="00BF7245"/>
    <w:rsid w:val="00BF7779"/>
    <w:rsid w:val="00BF7FE9"/>
    <w:rsid w:val="00C014B2"/>
    <w:rsid w:val="00C01D5C"/>
    <w:rsid w:val="00C03596"/>
    <w:rsid w:val="00C04630"/>
    <w:rsid w:val="00C05EEC"/>
    <w:rsid w:val="00C0731D"/>
    <w:rsid w:val="00C076CA"/>
    <w:rsid w:val="00C1142C"/>
    <w:rsid w:val="00C1159E"/>
    <w:rsid w:val="00C15A13"/>
    <w:rsid w:val="00C20DAC"/>
    <w:rsid w:val="00C21CDF"/>
    <w:rsid w:val="00C2256C"/>
    <w:rsid w:val="00C2318A"/>
    <w:rsid w:val="00C238D9"/>
    <w:rsid w:val="00C239E8"/>
    <w:rsid w:val="00C243EB"/>
    <w:rsid w:val="00C24A9D"/>
    <w:rsid w:val="00C25A4F"/>
    <w:rsid w:val="00C25D08"/>
    <w:rsid w:val="00C263C2"/>
    <w:rsid w:val="00C2677E"/>
    <w:rsid w:val="00C26FC1"/>
    <w:rsid w:val="00C30A97"/>
    <w:rsid w:val="00C30ABC"/>
    <w:rsid w:val="00C31542"/>
    <w:rsid w:val="00C33617"/>
    <w:rsid w:val="00C33E0E"/>
    <w:rsid w:val="00C34372"/>
    <w:rsid w:val="00C35128"/>
    <w:rsid w:val="00C40445"/>
    <w:rsid w:val="00C407F9"/>
    <w:rsid w:val="00C4225A"/>
    <w:rsid w:val="00C42B8F"/>
    <w:rsid w:val="00C438DD"/>
    <w:rsid w:val="00C43FB6"/>
    <w:rsid w:val="00C44A6D"/>
    <w:rsid w:val="00C44F30"/>
    <w:rsid w:val="00C458D3"/>
    <w:rsid w:val="00C45FA3"/>
    <w:rsid w:val="00C47340"/>
    <w:rsid w:val="00C47E08"/>
    <w:rsid w:val="00C5115D"/>
    <w:rsid w:val="00C52C69"/>
    <w:rsid w:val="00C53011"/>
    <w:rsid w:val="00C53070"/>
    <w:rsid w:val="00C53C23"/>
    <w:rsid w:val="00C54301"/>
    <w:rsid w:val="00C57CC7"/>
    <w:rsid w:val="00C57F74"/>
    <w:rsid w:val="00C601B6"/>
    <w:rsid w:val="00C6078D"/>
    <w:rsid w:val="00C60CFE"/>
    <w:rsid w:val="00C61541"/>
    <w:rsid w:val="00C62828"/>
    <w:rsid w:val="00C63D17"/>
    <w:rsid w:val="00C644C5"/>
    <w:rsid w:val="00C657CF"/>
    <w:rsid w:val="00C662EC"/>
    <w:rsid w:val="00C664B9"/>
    <w:rsid w:val="00C67ADD"/>
    <w:rsid w:val="00C67F27"/>
    <w:rsid w:val="00C7129F"/>
    <w:rsid w:val="00C724F5"/>
    <w:rsid w:val="00C809A1"/>
    <w:rsid w:val="00C80D62"/>
    <w:rsid w:val="00C8388B"/>
    <w:rsid w:val="00C84944"/>
    <w:rsid w:val="00C87758"/>
    <w:rsid w:val="00C90699"/>
    <w:rsid w:val="00C909D9"/>
    <w:rsid w:val="00C90F86"/>
    <w:rsid w:val="00C93255"/>
    <w:rsid w:val="00C95823"/>
    <w:rsid w:val="00C96BFD"/>
    <w:rsid w:val="00C96C98"/>
    <w:rsid w:val="00C97105"/>
    <w:rsid w:val="00CA3A59"/>
    <w:rsid w:val="00CA436C"/>
    <w:rsid w:val="00CA4515"/>
    <w:rsid w:val="00CA46A6"/>
    <w:rsid w:val="00CA5358"/>
    <w:rsid w:val="00CA5564"/>
    <w:rsid w:val="00CA6056"/>
    <w:rsid w:val="00CA7B10"/>
    <w:rsid w:val="00CB1DCA"/>
    <w:rsid w:val="00CB3153"/>
    <w:rsid w:val="00CB4CFF"/>
    <w:rsid w:val="00CB5C26"/>
    <w:rsid w:val="00CB7EFE"/>
    <w:rsid w:val="00CC0A16"/>
    <w:rsid w:val="00CC1C00"/>
    <w:rsid w:val="00CC1F7F"/>
    <w:rsid w:val="00CC2269"/>
    <w:rsid w:val="00CC5922"/>
    <w:rsid w:val="00CC5B28"/>
    <w:rsid w:val="00CD004A"/>
    <w:rsid w:val="00CD1C88"/>
    <w:rsid w:val="00CD48F1"/>
    <w:rsid w:val="00CD502A"/>
    <w:rsid w:val="00CD523B"/>
    <w:rsid w:val="00CD64A6"/>
    <w:rsid w:val="00CE12CA"/>
    <w:rsid w:val="00CE1805"/>
    <w:rsid w:val="00CE2BD9"/>
    <w:rsid w:val="00CE3860"/>
    <w:rsid w:val="00CE3996"/>
    <w:rsid w:val="00CE6A24"/>
    <w:rsid w:val="00CE7141"/>
    <w:rsid w:val="00CF093D"/>
    <w:rsid w:val="00CF1283"/>
    <w:rsid w:val="00CF12CF"/>
    <w:rsid w:val="00CF4056"/>
    <w:rsid w:val="00CF4BE3"/>
    <w:rsid w:val="00CF6F9F"/>
    <w:rsid w:val="00CF76CF"/>
    <w:rsid w:val="00CF76FA"/>
    <w:rsid w:val="00D0019E"/>
    <w:rsid w:val="00D0060A"/>
    <w:rsid w:val="00D006E4"/>
    <w:rsid w:val="00D013DB"/>
    <w:rsid w:val="00D03D00"/>
    <w:rsid w:val="00D03E52"/>
    <w:rsid w:val="00D041C5"/>
    <w:rsid w:val="00D05A37"/>
    <w:rsid w:val="00D05E15"/>
    <w:rsid w:val="00D060D2"/>
    <w:rsid w:val="00D1124E"/>
    <w:rsid w:val="00D11445"/>
    <w:rsid w:val="00D12F68"/>
    <w:rsid w:val="00D1302F"/>
    <w:rsid w:val="00D13E2D"/>
    <w:rsid w:val="00D14394"/>
    <w:rsid w:val="00D146CE"/>
    <w:rsid w:val="00D16E8C"/>
    <w:rsid w:val="00D1754C"/>
    <w:rsid w:val="00D21A65"/>
    <w:rsid w:val="00D23FC7"/>
    <w:rsid w:val="00D242CD"/>
    <w:rsid w:val="00D266E3"/>
    <w:rsid w:val="00D31315"/>
    <w:rsid w:val="00D313B4"/>
    <w:rsid w:val="00D31BC3"/>
    <w:rsid w:val="00D336FB"/>
    <w:rsid w:val="00D33968"/>
    <w:rsid w:val="00D341C3"/>
    <w:rsid w:val="00D3446B"/>
    <w:rsid w:val="00D36F9E"/>
    <w:rsid w:val="00D37903"/>
    <w:rsid w:val="00D40AF1"/>
    <w:rsid w:val="00D42843"/>
    <w:rsid w:val="00D4493E"/>
    <w:rsid w:val="00D46DB0"/>
    <w:rsid w:val="00D478D4"/>
    <w:rsid w:val="00D5152A"/>
    <w:rsid w:val="00D52EF5"/>
    <w:rsid w:val="00D548BB"/>
    <w:rsid w:val="00D54B17"/>
    <w:rsid w:val="00D553B3"/>
    <w:rsid w:val="00D55D2C"/>
    <w:rsid w:val="00D55ECE"/>
    <w:rsid w:val="00D57057"/>
    <w:rsid w:val="00D5788E"/>
    <w:rsid w:val="00D57AFD"/>
    <w:rsid w:val="00D57B6A"/>
    <w:rsid w:val="00D612B8"/>
    <w:rsid w:val="00D65145"/>
    <w:rsid w:val="00D65EB5"/>
    <w:rsid w:val="00D676CB"/>
    <w:rsid w:val="00D70A18"/>
    <w:rsid w:val="00D70EC6"/>
    <w:rsid w:val="00D71C22"/>
    <w:rsid w:val="00D71D29"/>
    <w:rsid w:val="00D74314"/>
    <w:rsid w:val="00D75B4D"/>
    <w:rsid w:val="00D75E6C"/>
    <w:rsid w:val="00D75EA5"/>
    <w:rsid w:val="00D77995"/>
    <w:rsid w:val="00D8117F"/>
    <w:rsid w:val="00D81410"/>
    <w:rsid w:val="00D81F6D"/>
    <w:rsid w:val="00D82605"/>
    <w:rsid w:val="00D82CAE"/>
    <w:rsid w:val="00D8393E"/>
    <w:rsid w:val="00D84C73"/>
    <w:rsid w:val="00D85EE5"/>
    <w:rsid w:val="00D877FB"/>
    <w:rsid w:val="00D90871"/>
    <w:rsid w:val="00D92505"/>
    <w:rsid w:val="00D94EF9"/>
    <w:rsid w:val="00D94FEC"/>
    <w:rsid w:val="00D95E16"/>
    <w:rsid w:val="00DA097E"/>
    <w:rsid w:val="00DA20AE"/>
    <w:rsid w:val="00DA21E8"/>
    <w:rsid w:val="00DA267C"/>
    <w:rsid w:val="00DA3688"/>
    <w:rsid w:val="00DA5101"/>
    <w:rsid w:val="00DA5172"/>
    <w:rsid w:val="00DA72BE"/>
    <w:rsid w:val="00DA79EF"/>
    <w:rsid w:val="00DA7A88"/>
    <w:rsid w:val="00DB0110"/>
    <w:rsid w:val="00DB0313"/>
    <w:rsid w:val="00DB0BDA"/>
    <w:rsid w:val="00DB0C0B"/>
    <w:rsid w:val="00DB29F1"/>
    <w:rsid w:val="00DB3B74"/>
    <w:rsid w:val="00DB5492"/>
    <w:rsid w:val="00DB7698"/>
    <w:rsid w:val="00DC1B66"/>
    <w:rsid w:val="00DC1B7D"/>
    <w:rsid w:val="00DC4997"/>
    <w:rsid w:val="00DC4EF4"/>
    <w:rsid w:val="00DC5870"/>
    <w:rsid w:val="00DC5EB0"/>
    <w:rsid w:val="00DC6D63"/>
    <w:rsid w:val="00DD0363"/>
    <w:rsid w:val="00DD0384"/>
    <w:rsid w:val="00DD0901"/>
    <w:rsid w:val="00DD09C3"/>
    <w:rsid w:val="00DD09CA"/>
    <w:rsid w:val="00DD22EC"/>
    <w:rsid w:val="00DD341E"/>
    <w:rsid w:val="00DD54E5"/>
    <w:rsid w:val="00DD6728"/>
    <w:rsid w:val="00DD688F"/>
    <w:rsid w:val="00DE09FB"/>
    <w:rsid w:val="00DE16B6"/>
    <w:rsid w:val="00DE2DB7"/>
    <w:rsid w:val="00DE3323"/>
    <w:rsid w:val="00DE36CA"/>
    <w:rsid w:val="00DE3EAE"/>
    <w:rsid w:val="00DE545D"/>
    <w:rsid w:val="00DE58FE"/>
    <w:rsid w:val="00DE6DA1"/>
    <w:rsid w:val="00DE7930"/>
    <w:rsid w:val="00DE7E63"/>
    <w:rsid w:val="00DF26D5"/>
    <w:rsid w:val="00DF34F9"/>
    <w:rsid w:val="00DF3785"/>
    <w:rsid w:val="00DF5D6D"/>
    <w:rsid w:val="00DF6843"/>
    <w:rsid w:val="00DF77A2"/>
    <w:rsid w:val="00E00B2A"/>
    <w:rsid w:val="00E01092"/>
    <w:rsid w:val="00E05C02"/>
    <w:rsid w:val="00E07E8E"/>
    <w:rsid w:val="00E10FE8"/>
    <w:rsid w:val="00E13DE4"/>
    <w:rsid w:val="00E14E19"/>
    <w:rsid w:val="00E14E3C"/>
    <w:rsid w:val="00E1528D"/>
    <w:rsid w:val="00E175A6"/>
    <w:rsid w:val="00E17E09"/>
    <w:rsid w:val="00E21E62"/>
    <w:rsid w:val="00E21F3B"/>
    <w:rsid w:val="00E227E9"/>
    <w:rsid w:val="00E229DB"/>
    <w:rsid w:val="00E22FFA"/>
    <w:rsid w:val="00E25893"/>
    <w:rsid w:val="00E25A1F"/>
    <w:rsid w:val="00E25EBF"/>
    <w:rsid w:val="00E261F5"/>
    <w:rsid w:val="00E30C57"/>
    <w:rsid w:val="00E31D1D"/>
    <w:rsid w:val="00E367C5"/>
    <w:rsid w:val="00E37D81"/>
    <w:rsid w:val="00E37E71"/>
    <w:rsid w:val="00E42486"/>
    <w:rsid w:val="00E42847"/>
    <w:rsid w:val="00E448E3"/>
    <w:rsid w:val="00E45F82"/>
    <w:rsid w:val="00E46064"/>
    <w:rsid w:val="00E469A9"/>
    <w:rsid w:val="00E47AFE"/>
    <w:rsid w:val="00E50CD0"/>
    <w:rsid w:val="00E512BD"/>
    <w:rsid w:val="00E51575"/>
    <w:rsid w:val="00E52276"/>
    <w:rsid w:val="00E53294"/>
    <w:rsid w:val="00E54378"/>
    <w:rsid w:val="00E604A1"/>
    <w:rsid w:val="00E60CAD"/>
    <w:rsid w:val="00E64066"/>
    <w:rsid w:val="00E6455D"/>
    <w:rsid w:val="00E66207"/>
    <w:rsid w:val="00E724FF"/>
    <w:rsid w:val="00E73AA8"/>
    <w:rsid w:val="00E73F63"/>
    <w:rsid w:val="00E748D4"/>
    <w:rsid w:val="00E75D64"/>
    <w:rsid w:val="00E760B7"/>
    <w:rsid w:val="00E77D92"/>
    <w:rsid w:val="00E80228"/>
    <w:rsid w:val="00E8374A"/>
    <w:rsid w:val="00E84F32"/>
    <w:rsid w:val="00E85A8A"/>
    <w:rsid w:val="00E86D2A"/>
    <w:rsid w:val="00E87D10"/>
    <w:rsid w:val="00E90188"/>
    <w:rsid w:val="00E90EC3"/>
    <w:rsid w:val="00E9110E"/>
    <w:rsid w:val="00E923C3"/>
    <w:rsid w:val="00E93FD6"/>
    <w:rsid w:val="00E957C7"/>
    <w:rsid w:val="00EA0533"/>
    <w:rsid w:val="00EA1AEE"/>
    <w:rsid w:val="00EA1C1F"/>
    <w:rsid w:val="00EA2D67"/>
    <w:rsid w:val="00EA2ED4"/>
    <w:rsid w:val="00EA3B29"/>
    <w:rsid w:val="00EA491A"/>
    <w:rsid w:val="00EB1583"/>
    <w:rsid w:val="00EB1DC8"/>
    <w:rsid w:val="00EB3BA7"/>
    <w:rsid w:val="00EB4D1C"/>
    <w:rsid w:val="00EB54A9"/>
    <w:rsid w:val="00EB6BFC"/>
    <w:rsid w:val="00EB781B"/>
    <w:rsid w:val="00EB782E"/>
    <w:rsid w:val="00EC0D8C"/>
    <w:rsid w:val="00EC1E9F"/>
    <w:rsid w:val="00EC23FB"/>
    <w:rsid w:val="00EC4925"/>
    <w:rsid w:val="00EC616B"/>
    <w:rsid w:val="00EC6FD7"/>
    <w:rsid w:val="00ED24A5"/>
    <w:rsid w:val="00ED4B96"/>
    <w:rsid w:val="00ED7681"/>
    <w:rsid w:val="00EE1577"/>
    <w:rsid w:val="00EE1C69"/>
    <w:rsid w:val="00EE243C"/>
    <w:rsid w:val="00EE3273"/>
    <w:rsid w:val="00EE35F3"/>
    <w:rsid w:val="00EE5C1A"/>
    <w:rsid w:val="00EE6267"/>
    <w:rsid w:val="00EF0609"/>
    <w:rsid w:val="00EF2C9C"/>
    <w:rsid w:val="00EF3890"/>
    <w:rsid w:val="00EF3C58"/>
    <w:rsid w:val="00EF49FE"/>
    <w:rsid w:val="00EF4AC4"/>
    <w:rsid w:val="00EF52EB"/>
    <w:rsid w:val="00EF63C6"/>
    <w:rsid w:val="00EF6627"/>
    <w:rsid w:val="00EF6B92"/>
    <w:rsid w:val="00EF6C28"/>
    <w:rsid w:val="00EF7166"/>
    <w:rsid w:val="00F01A09"/>
    <w:rsid w:val="00F02F5A"/>
    <w:rsid w:val="00F034FB"/>
    <w:rsid w:val="00F0406B"/>
    <w:rsid w:val="00F04747"/>
    <w:rsid w:val="00F05606"/>
    <w:rsid w:val="00F05BB2"/>
    <w:rsid w:val="00F05E2D"/>
    <w:rsid w:val="00F105F5"/>
    <w:rsid w:val="00F1075A"/>
    <w:rsid w:val="00F11C1F"/>
    <w:rsid w:val="00F16926"/>
    <w:rsid w:val="00F16FCC"/>
    <w:rsid w:val="00F22E82"/>
    <w:rsid w:val="00F23554"/>
    <w:rsid w:val="00F246F8"/>
    <w:rsid w:val="00F2483A"/>
    <w:rsid w:val="00F25470"/>
    <w:rsid w:val="00F25764"/>
    <w:rsid w:val="00F25D8D"/>
    <w:rsid w:val="00F27930"/>
    <w:rsid w:val="00F27E0A"/>
    <w:rsid w:val="00F32B09"/>
    <w:rsid w:val="00F3336A"/>
    <w:rsid w:val="00F337BF"/>
    <w:rsid w:val="00F33D14"/>
    <w:rsid w:val="00F34F39"/>
    <w:rsid w:val="00F3785F"/>
    <w:rsid w:val="00F4234A"/>
    <w:rsid w:val="00F43797"/>
    <w:rsid w:val="00F43EB5"/>
    <w:rsid w:val="00F4402E"/>
    <w:rsid w:val="00F45EA8"/>
    <w:rsid w:val="00F473B6"/>
    <w:rsid w:val="00F47D1F"/>
    <w:rsid w:val="00F52E57"/>
    <w:rsid w:val="00F532F5"/>
    <w:rsid w:val="00F53694"/>
    <w:rsid w:val="00F53E06"/>
    <w:rsid w:val="00F53FD6"/>
    <w:rsid w:val="00F54188"/>
    <w:rsid w:val="00F54CC0"/>
    <w:rsid w:val="00F57A4F"/>
    <w:rsid w:val="00F60A4E"/>
    <w:rsid w:val="00F612C4"/>
    <w:rsid w:val="00F62FC8"/>
    <w:rsid w:val="00F644E5"/>
    <w:rsid w:val="00F64C2E"/>
    <w:rsid w:val="00F675C4"/>
    <w:rsid w:val="00F71055"/>
    <w:rsid w:val="00F71371"/>
    <w:rsid w:val="00F7264A"/>
    <w:rsid w:val="00F727A5"/>
    <w:rsid w:val="00F7392E"/>
    <w:rsid w:val="00F73B12"/>
    <w:rsid w:val="00F743EE"/>
    <w:rsid w:val="00F751DF"/>
    <w:rsid w:val="00F764AF"/>
    <w:rsid w:val="00F76568"/>
    <w:rsid w:val="00F801DB"/>
    <w:rsid w:val="00F802F6"/>
    <w:rsid w:val="00F827D7"/>
    <w:rsid w:val="00F83885"/>
    <w:rsid w:val="00F83ED1"/>
    <w:rsid w:val="00F843D4"/>
    <w:rsid w:val="00F847A9"/>
    <w:rsid w:val="00F86809"/>
    <w:rsid w:val="00F87461"/>
    <w:rsid w:val="00F90BF2"/>
    <w:rsid w:val="00F92B91"/>
    <w:rsid w:val="00F95123"/>
    <w:rsid w:val="00F95806"/>
    <w:rsid w:val="00F95C17"/>
    <w:rsid w:val="00F97511"/>
    <w:rsid w:val="00FA1881"/>
    <w:rsid w:val="00FA3AD4"/>
    <w:rsid w:val="00FA5549"/>
    <w:rsid w:val="00FA5B40"/>
    <w:rsid w:val="00FA5FE9"/>
    <w:rsid w:val="00FA67D2"/>
    <w:rsid w:val="00FA710F"/>
    <w:rsid w:val="00FA71EF"/>
    <w:rsid w:val="00FB0E14"/>
    <w:rsid w:val="00FB302F"/>
    <w:rsid w:val="00FB312D"/>
    <w:rsid w:val="00FB3867"/>
    <w:rsid w:val="00FB5A92"/>
    <w:rsid w:val="00FC12BA"/>
    <w:rsid w:val="00FC14FD"/>
    <w:rsid w:val="00FC1C69"/>
    <w:rsid w:val="00FC1EEC"/>
    <w:rsid w:val="00FC3739"/>
    <w:rsid w:val="00FC670D"/>
    <w:rsid w:val="00FD0873"/>
    <w:rsid w:val="00FD28AC"/>
    <w:rsid w:val="00FD29AA"/>
    <w:rsid w:val="00FD6DC1"/>
    <w:rsid w:val="00FD7311"/>
    <w:rsid w:val="00FD7BAF"/>
    <w:rsid w:val="00FE2433"/>
    <w:rsid w:val="00FE2E78"/>
    <w:rsid w:val="00FE441C"/>
    <w:rsid w:val="00FE5806"/>
    <w:rsid w:val="00FE5AD9"/>
    <w:rsid w:val="00FE74C3"/>
    <w:rsid w:val="00FE7A33"/>
    <w:rsid w:val="00FF0ED3"/>
    <w:rsid w:val="00FF110F"/>
    <w:rsid w:val="00FF2053"/>
    <w:rsid w:val="00FF2286"/>
    <w:rsid w:val="00FF2CE1"/>
    <w:rsid w:val="00FF346C"/>
    <w:rsid w:val="00FF431B"/>
    <w:rsid w:val="00FF4872"/>
    <w:rsid w:val="00FF5B22"/>
    <w:rsid w:val="00FF5FB7"/>
    <w:rsid w:val="00FF7F4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76"/>
    <w:pPr>
      <w:keepLines/>
    </w:pPr>
    <w:rPr>
      <w:rFonts w:eastAsiaTheme="minorHAnsi"/>
      <w:lang w:eastAsia="en-US"/>
    </w:rPr>
  </w:style>
  <w:style w:type="paragraph" w:styleId="Heading1">
    <w:name w:val="heading 1"/>
    <w:basedOn w:val="Normal"/>
    <w:next w:val="Numberedpara3level1"/>
    <w:link w:val="Heading1Char"/>
    <w:qFormat/>
    <w:rsid w:val="003E54D4"/>
    <w:pPr>
      <w:keepNext/>
      <w:spacing w:before="240" w:after="120"/>
      <w:outlineLvl w:val="0"/>
    </w:pPr>
    <w:rPr>
      <w:b/>
      <w:sz w:val="28"/>
    </w:rPr>
  </w:style>
  <w:style w:type="paragraph" w:styleId="Heading2">
    <w:name w:val="heading 2"/>
    <w:basedOn w:val="Normal"/>
    <w:next w:val="Numberedpara3level1"/>
    <w:link w:val="Heading2Char"/>
    <w:qFormat/>
    <w:rsid w:val="00E52276"/>
    <w:pPr>
      <w:keepNext/>
      <w:spacing w:before="240" w:after="120"/>
      <w:outlineLvl w:val="1"/>
    </w:pPr>
    <w:rPr>
      <w:b/>
      <w:i/>
      <w:sz w:val="26"/>
    </w:rPr>
  </w:style>
  <w:style w:type="paragraph" w:styleId="Heading3">
    <w:name w:val="heading 3"/>
    <w:basedOn w:val="Normal"/>
    <w:next w:val="Normal"/>
    <w:link w:val="Heading3Char"/>
    <w:qFormat/>
    <w:rsid w:val="00E52276"/>
    <w:pPr>
      <w:keepNext/>
      <w:spacing w:before="240" w:after="120"/>
      <w:contextualSpacing/>
      <w:outlineLvl w:val="2"/>
    </w:pPr>
    <w:rPr>
      <w:rFonts w:cs="Arial"/>
      <w:bCs/>
      <w:i/>
      <w:sz w:val="26"/>
      <w:szCs w:val="26"/>
    </w:rPr>
  </w:style>
  <w:style w:type="paragraph" w:styleId="Heading4">
    <w:name w:val="heading 4"/>
    <w:basedOn w:val="Normal"/>
    <w:next w:val="Normal"/>
    <w:link w:val="Heading4Char"/>
    <w:semiHidden/>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E54D4"/>
    <w:rPr>
      <w:rFonts w:eastAsiaTheme="minorHAnsi"/>
      <w:b/>
      <w:sz w:val="28"/>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4"/>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4"/>
      </w:numPr>
      <w:outlineLvl w:val="5"/>
    </w:pPr>
  </w:style>
  <w:style w:type="paragraph" w:customStyle="1" w:styleId="Headingnumbered2">
    <w:name w:val="Heading numbered 2"/>
    <w:basedOn w:val="Heading2"/>
    <w:next w:val="Normal"/>
    <w:uiPriority w:val="1"/>
    <w:semiHidden/>
    <w:rsid w:val="00065F18"/>
    <w:pPr>
      <w:numPr>
        <w:ilvl w:val="1"/>
        <w:numId w:val="14"/>
      </w:numPr>
      <w:outlineLvl w:val="6"/>
    </w:pPr>
  </w:style>
  <w:style w:type="paragraph" w:customStyle="1" w:styleId="Headingnumbered3">
    <w:name w:val="Heading numbered 3"/>
    <w:basedOn w:val="Normal"/>
    <w:next w:val="Normal"/>
    <w:uiPriority w:val="1"/>
    <w:semiHidden/>
    <w:rsid w:val="00065F18"/>
    <w:pPr>
      <w:numPr>
        <w:ilvl w:val="2"/>
        <w:numId w:val="14"/>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4"/>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unhideWhenUsed/>
    <w:rsid w:val="00065F18"/>
    <w:pPr>
      <w:numPr>
        <w:ilvl w:val="2"/>
        <w:numId w:val="24"/>
      </w:numPr>
      <w:spacing w:after="120"/>
    </w:pPr>
  </w:style>
  <w:style w:type="paragraph" w:customStyle="1" w:styleId="Numberedpara1level4i">
    <w:name w:val="Numbered para (1) level 4 (i)"/>
    <w:basedOn w:val="Normal"/>
    <w:semiHidden/>
    <w:unhideWhenUsed/>
    <w:rsid w:val="00065F18"/>
    <w:pPr>
      <w:numPr>
        <w:ilvl w:val="3"/>
        <w:numId w:val="24"/>
      </w:numPr>
      <w:spacing w:after="120"/>
    </w:pPr>
  </w:style>
  <w:style w:type="paragraph" w:customStyle="1" w:styleId="Bullet">
    <w:name w:val="Bullet"/>
    <w:basedOn w:val="Normal"/>
    <w:rsid w:val="00065F18"/>
    <w:pPr>
      <w:numPr>
        <w:numId w:val="15"/>
      </w:numPr>
      <w:spacing w:before="80" w:after="80"/>
    </w:pPr>
    <w:rPr>
      <w:noProof/>
    </w:rPr>
  </w:style>
  <w:style w:type="paragraph" w:customStyle="1" w:styleId="Bulletlevel2">
    <w:name w:val="Bullet level 2"/>
    <w:basedOn w:val="Normal"/>
    <w:uiPriority w:val="1"/>
    <w:semiHidden/>
    <w:rsid w:val="00065F18"/>
    <w:pPr>
      <w:numPr>
        <w:ilvl w:val="1"/>
        <w:numId w:val="15"/>
      </w:numPr>
      <w:spacing w:before="80" w:after="80"/>
    </w:pPr>
  </w:style>
  <w:style w:type="paragraph" w:customStyle="1" w:styleId="Bulletlevel3">
    <w:name w:val="Bullet level 3"/>
    <w:basedOn w:val="Normal"/>
    <w:uiPriority w:val="1"/>
    <w:semiHidden/>
    <w:rsid w:val="00065F18"/>
    <w:pPr>
      <w:numPr>
        <w:ilvl w:val="2"/>
        <w:numId w:val="15"/>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0"/>
      </w:numPr>
      <w:spacing w:before="80" w:after="80"/>
    </w:pPr>
  </w:style>
  <w:style w:type="paragraph" w:customStyle="1" w:styleId="List123">
    <w:name w:val="List 1 2 3"/>
    <w:basedOn w:val="Normal"/>
    <w:rsid w:val="00065F18"/>
    <w:pPr>
      <w:numPr>
        <w:numId w:val="21"/>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37298A"/>
    <w:pPr>
      <w:tabs>
        <w:tab w:val="right" w:leader="dot" w:pos="9072"/>
      </w:tabs>
      <w:spacing w:before="200" w:after="60"/>
      <w:ind w:right="567"/>
    </w:pPr>
    <w:rPr>
      <w:color w:val="000000" w:themeColor="text1"/>
    </w:rPr>
  </w:style>
  <w:style w:type="paragraph" w:styleId="TOC2">
    <w:name w:val="toc 2"/>
    <w:basedOn w:val="Normal"/>
    <w:next w:val="Normal"/>
    <w:uiPriority w:val="39"/>
    <w:rsid w:val="00473E2F"/>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rsid w:val="00E52276"/>
    <w:rPr>
      <w:rFonts w:eastAsiaTheme="minorHAnsi"/>
      <w:b/>
      <w:i/>
      <w:sz w:val="26"/>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9D66EA"/>
    <w:pPr>
      <w:numPr>
        <w:numId w:val="16"/>
      </w:numPr>
    </w:pPr>
  </w:style>
  <w:style w:type="paragraph" w:customStyle="1" w:styleId="Tablebulletlevel2">
    <w:name w:val="Table bullet level 2"/>
    <w:basedOn w:val="Tablenormal0"/>
    <w:uiPriority w:val="99"/>
    <w:semiHidden/>
    <w:rsid w:val="00065F18"/>
    <w:pPr>
      <w:numPr>
        <w:ilvl w:val="1"/>
        <w:numId w:val="16"/>
      </w:numPr>
    </w:pPr>
  </w:style>
  <w:style w:type="paragraph" w:customStyle="1" w:styleId="TableBulletListLevel3">
    <w:name w:val="Table Bullet List Level 3"/>
    <w:basedOn w:val="BodyTextTable"/>
    <w:uiPriority w:val="11"/>
    <w:semiHidden/>
    <w:rsid w:val="00065F18"/>
    <w:pPr>
      <w:numPr>
        <w:ilvl w:val="2"/>
        <w:numId w:val="16"/>
      </w:numPr>
      <w:spacing w:before="60" w:after="60"/>
    </w:pPr>
  </w:style>
  <w:style w:type="paragraph" w:customStyle="1" w:styleId="Tablelist123">
    <w:name w:val="Table list 1 2 3"/>
    <w:basedOn w:val="Tablenormal0"/>
    <w:rsid w:val="00065F18"/>
    <w:pPr>
      <w:numPr>
        <w:numId w:val="18"/>
      </w:numPr>
    </w:pPr>
  </w:style>
  <w:style w:type="paragraph" w:customStyle="1" w:styleId="Tablelist123level2">
    <w:name w:val="Table list 1 2 3 level 2"/>
    <w:basedOn w:val="Tablenormal0"/>
    <w:semiHidden/>
    <w:rsid w:val="00065F18"/>
    <w:pPr>
      <w:numPr>
        <w:ilvl w:val="1"/>
        <w:numId w:val="18"/>
      </w:numPr>
    </w:pPr>
  </w:style>
  <w:style w:type="character" w:customStyle="1" w:styleId="Heading4Char">
    <w:name w:val="Heading 4 Char"/>
    <w:basedOn w:val="DefaultParagraphFont"/>
    <w:link w:val="Heading4"/>
    <w:semiHidden/>
    <w:rsid w:val="00264E9B"/>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7"/>
      </w:numPr>
    </w:pPr>
  </w:style>
  <w:style w:type="paragraph" w:customStyle="1" w:styleId="BodyTextTableLevel2">
    <w:name w:val="Body Text Table Level 2"/>
    <w:basedOn w:val="BodyTextTable"/>
    <w:uiPriority w:val="11"/>
    <w:semiHidden/>
    <w:rsid w:val="00065F18"/>
    <w:pPr>
      <w:numPr>
        <w:ilvl w:val="1"/>
        <w:numId w:val="17"/>
      </w:numPr>
    </w:pPr>
  </w:style>
  <w:style w:type="paragraph" w:customStyle="1" w:styleId="BodyTextTableLevel3">
    <w:name w:val="Body Text Table Level 3"/>
    <w:basedOn w:val="BodyTextTable"/>
    <w:uiPriority w:val="11"/>
    <w:semiHidden/>
    <w:rsid w:val="00065F18"/>
    <w:pPr>
      <w:numPr>
        <w:ilvl w:val="3"/>
        <w:numId w:val="18"/>
      </w:numPr>
    </w:pPr>
  </w:style>
  <w:style w:type="paragraph" w:styleId="Caption">
    <w:name w:val="caption"/>
    <w:basedOn w:val="Normal"/>
    <w:next w:val="Normal"/>
    <w:qFormat/>
    <w:rsid w:val="00662410"/>
    <w:pPr>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rsid w:val="001D5EC0"/>
    <w:pPr>
      <w:pageBreakBefore/>
      <w:numPr>
        <w:numId w:val="19"/>
      </w:numPr>
      <w:tabs>
        <w:tab w:val="left" w:pos="2268"/>
      </w:tabs>
      <w:spacing w:before="0"/>
      <w:outlineLvl w:val="7"/>
    </w:pPr>
    <w:rPr>
      <w:color w:val="000000" w:themeColor="text1"/>
    </w:rPr>
  </w:style>
  <w:style w:type="paragraph" w:customStyle="1" w:styleId="NotforContentsheading1">
    <w:name w:val="Not for Contents heading 1"/>
    <w:basedOn w:val="Normal"/>
    <w:next w:val="Normal"/>
    <w:rsid w:val="008C2D6D"/>
    <w:pPr>
      <w:spacing w:before="400"/>
    </w:pPr>
    <w:rPr>
      <w:b/>
      <w:color w:val="000000" w:themeColor="text1"/>
      <w:sz w:val="48"/>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20"/>
      </w:numPr>
      <w:spacing w:before="80" w:after="80"/>
    </w:pPr>
  </w:style>
  <w:style w:type="paragraph" w:customStyle="1" w:styleId="NotforContentsheading2">
    <w:name w:val="Not for Contents heading 2"/>
    <w:basedOn w:val="Normal"/>
    <w:next w:val="Normal"/>
    <w:rsid w:val="00C53C23"/>
    <w:pPr>
      <w:spacing w:after="120"/>
    </w:pPr>
    <w:rPr>
      <w:b/>
    </w:rPr>
  </w:style>
  <w:style w:type="character" w:customStyle="1" w:styleId="Heading3Char">
    <w:name w:val="Heading 3 Char"/>
    <w:link w:val="Heading3"/>
    <w:rsid w:val="00E52276"/>
    <w:rPr>
      <w:rFonts w:eastAsiaTheme="minorHAnsi" w:cs="Arial"/>
      <w:bCs/>
      <w:i/>
      <w:sz w:val="26"/>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Bullet"/>
    <w:uiPriority w:val="34"/>
    <w:qFormat/>
    <w:rsid w:val="00065F18"/>
    <w:pPr>
      <w:numPr>
        <w:numId w:val="13"/>
      </w:numPr>
    </w:pPr>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Footersecurityclassification">
    <w:name w:val="Footer security classification"/>
    <w:basedOn w:val="Footer"/>
    <w:qFormat/>
    <w:rsid w:val="001D5EC0"/>
    <w:rPr>
      <w:i w:val="0"/>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20"/>
      </w:numPr>
      <w:spacing w:before="80" w:after="80"/>
    </w:pPr>
  </w:style>
  <w:style w:type="paragraph" w:customStyle="1" w:styleId="List123level2">
    <w:name w:val="List 1 2 3 level 2"/>
    <w:basedOn w:val="Normal"/>
    <w:uiPriority w:val="1"/>
    <w:semiHidden/>
    <w:qFormat/>
    <w:rsid w:val="00065F18"/>
    <w:pPr>
      <w:numPr>
        <w:ilvl w:val="1"/>
        <w:numId w:val="21"/>
      </w:numPr>
    </w:pPr>
  </w:style>
  <w:style w:type="paragraph" w:customStyle="1" w:styleId="List123level3">
    <w:name w:val="List 1 2 3 level 3"/>
    <w:basedOn w:val="Normal"/>
    <w:uiPriority w:val="1"/>
    <w:semiHidden/>
    <w:qFormat/>
    <w:rsid w:val="00065F18"/>
    <w:pPr>
      <w:numPr>
        <w:ilvl w:val="2"/>
        <w:numId w:val="21"/>
      </w:numPr>
    </w:pPr>
  </w:style>
  <w:style w:type="paragraph" w:customStyle="1" w:styleId="Legislationsection">
    <w:name w:val="Legislation section"/>
    <w:basedOn w:val="Normal"/>
    <w:semiHidden/>
    <w:qFormat/>
    <w:rsid w:val="00065F18"/>
    <w:pPr>
      <w:numPr>
        <w:numId w:val="23"/>
      </w:numPr>
      <w:tabs>
        <w:tab w:val="left" w:pos="567"/>
      </w:tabs>
      <w:spacing w:after="60"/>
    </w:pPr>
    <w:rPr>
      <w:b/>
      <w:sz w:val="22"/>
    </w:rPr>
  </w:style>
  <w:style w:type="paragraph" w:customStyle="1" w:styleId="Legislationnumber">
    <w:name w:val="Legislation number"/>
    <w:basedOn w:val="Normal"/>
    <w:semiHidden/>
    <w:qFormat/>
    <w:rsid w:val="00065F18"/>
    <w:pPr>
      <w:numPr>
        <w:numId w:val="22"/>
      </w:numPr>
      <w:tabs>
        <w:tab w:val="left" w:pos="567"/>
      </w:tabs>
      <w:spacing w:before="60" w:after="60"/>
    </w:pPr>
    <w:rPr>
      <w:sz w:val="22"/>
    </w:rPr>
  </w:style>
  <w:style w:type="paragraph" w:customStyle="1" w:styleId="Legislationa">
    <w:name w:val="Legislation (a)"/>
    <w:basedOn w:val="Normal"/>
    <w:semiHidden/>
    <w:qFormat/>
    <w:rsid w:val="00065F18"/>
    <w:pPr>
      <w:numPr>
        <w:ilvl w:val="2"/>
        <w:numId w:val="23"/>
      </w:numPr>
      <w:spacing w:before="60" w:after="60"/>
    </w:pPr>
    <w:rPr>
      <w:sz w:val="22"/>
    </w:rPr>
  </w:style>
  <w:style w:type="paragraph" w:customStyle="1" w:styleId="Legislationi">
    <w:name w:val="Legislation (i)"/>
    <w:basedOn w:val="Normal"/>
    <w:semiHidden/>
    <w:qFormat/>
    <w:rsid w:val="00065F18"/>
    <w:pPr>
      <w:numPr>
        <w:ilvl w:val="3"/>
        <w:numId w:val="23"/>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level1">
    <w:name w:val="Numbered para (2) level 1"/>
    <w:basedOn w:val="Normal"/>
    <w:semiHidden/>
    <w:qFormat/>
    <w:rsid w:val="00065F18"/>
    <w:pPr>
      <w:numPr>
        <w:numId w:val="25"/>
      </w:numPr>
      <w:spacing w:after="120"/>
    </w:pPr>
  </w:style>
  <w:style w:type="paragraph" w:customStyle="1" w:styleId="Numberedpara2level2a">
    <w:name w:val="Numbered para (2) level 2 (a)"/>
    <w:basedOn w:val="Normal"/>
    <w:semiHidden/>
    <w:qFormat/>
    <w:rsid w:val="00065F18"/>
    <w:pPr>
      <w:numPr>
        <w:ilvl w:val="1"/>
        <w:numId w:val="25"/>
      </w:numPr>
      <w:spacing w:after="120"/>
    </w:pPr>
  </w:style>
  <w:style w:type="paragraph" w:customStyle="1" w:styleId="Numberedpara2level3i">
    <w:name w:val="Numbered para (2) level 3 (i)"/>
    <w:basedOn w:val="Normal"/>
    <w:semiHidden/>
    <w:qFormat/>
    <w:rsid w:val="00065F18"/>
    <w:pPr>
      <w:numPr>
        <w:ilvl w:val="2"/>
        <w:numId w:val="25"/>
      </w:numPr>
      <w:spacing w:after="120"/>
    </w:pPr>
  </w:style>
  <w:style w:type="paragraph" w:customStyle="1" w:styleId="Title2">
    <w:name w:val="Title 2"/>
    <w:basedOn w:val="Title"/>
    <w:semiHidden/>
    <w:qFormat/>
    <w:rsid w:val="00065F18"/>
    <w:rPr>
      <w:sz w:val="52"/>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Headersecurityclassification">
    <w:name w:val="Header security classification"/>
    <w:basedOn w:val="DefaultParagraphFont"/>
    <w:uiPriority w:val="1"/>
    <w:qFormat/>
    <w:rsid w:val="001D5EC0"/>
    <w:rPr>
      <w:rFonts w:ascii="Calibri" w:hAnsi="Calibri"/>
      <w:b/>
      <w:i w:val="0"/>
      <w:caps/>
      <w:smallCaps w:val="0"/>
      <w:color w:val="000000" w:themeColor="text1"/>
      <w:sz w:val="22"/>
    </w:rPr>
  </w:style>
  <w:style w:type="paragraph" w:customStyle="1" w:styleId="Numberedpara1level211">
    <w:name w:val="Numbered para (1) level 2 (1.1)"/>
    <w:basedOn w:val="Normal"/>
    <w:unhideWhenUsed/>
    <w:rsid w:val="00065F18"/>
    <w:pPr>
      <w:numPr>
        <w:ilvl w:val="1"/>
        <w:numId w:val="24"/>
      </w:numPr>
      <w:spacing w:after="120"/>
    </w:pPr>
  </w:style>
  <w:style w:type="paragraph" w:customStyle="1" w:styleId="Numberedpara11headingwithnumber">
    <w:name w:val="Numbered para (1) 1 (heading with number)"/>
    <w:basedOn w:val="Normal"/>
    <w:unhideWhenUsed/>
    <w:qFormat/>
    <w:rsid w:val="00065F18"/>
    <w:pPr>
      <w:numPr>
        <w:numId w:val="24"/>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FinancialtableLHC">
    <w:name w:val="Financial table LHC"/>
    <w:basedOn w:val="Normal"/>
    <w:qFormat/>
    <w:rsid w:val="00A5302B"/>
    <w:pPr>
      <w:spacing w:before="0" w:after="0"/>
      <w:contextualSpacing/>
    </w:pPr>
    <w:rPr>
      <w:sz w:val="22"/>
    </w:rPr>
  </w:style>
  <w:style w:type="paragraph" w:customStyle="1" w:styleId="Financialtablefigures">
    <w:name w:val="Financial table figures"/>
    <w:basedOn w:val="FinancialtableLHC"/>
    <w:qFormat/>
    <w:rsid w:val="00A5302B"/>
    <w:pPr>
      <w:jc w:val="right"/>
    </w:pPr>
  </w:style>
  <w:style w:type="paragraph" w:customStyle="1" w:styleId="Financialtableyears">
    <w:name w:val="Financial table years"/>
    <w:basedOn w:val="Financialtablefigures"/>
    <w:qFormat/>
    <w:rsid w:val="00A5302B"/>
    <w:pPr>
      <w:jc w:val="center"/>
    </w:pPr>
    <w:rPr>
      <w:b/>
      <w:sz w:val="20"/>
    </w:rPr>
  </w:style>
  <w:style w:type="paragraph" w:customStyle="1" w:styleId="Tablesource">
    <w:name w:val="Table source"/>
    <w:basedOn w:val="Normal"/>
    <w:qFormat/>
    <w:rsid w:val="00662410"/>
    <w:pPr>
      <w:spacing w:before="80" w:after="120"/>
      <w:ind w:left="567"/>
    </w:pPr>
    <w:rPr>
      <w:sz w:val="22"/>
    </w:rPr>
  </w:style>
  <w:style w:type="paragraph" w:customStyle="1" w:styleId="Numberedpara3subheading">
    <w:name w:val="Numbered para (3) subheading"/>
    <w:basedOn w:val="Normal"/>
    <w:next w:val="Normal"/>
    <w:semiHidden/>
    <w:qFormat/>
    <w:rsid w:val="0088686D"/>
    <w:pPr>
      <w:spacing w:before="240" w:after="120"/>
    </w:pPr>
    <w:rPr>
      <w:b/>
      <w:i/>
    </w:rPr>
  </w:style>
  <w:style w:type="paragraph" w:customStyle="1" w:styleId="Numberedpara3level1">
    <w:name w:val="Numbered para (3) level 1"/>
    <w:basedOn w:val="Normal"/>
    <w:qFormat/>
    <w:rsid w:val="0088686D"/>
    <w:pPr>
      <w:numPr>
        <w:numId w:val="26"/>
      </w:numPr>
      <w:spacing w:after="120"/>
    </w:pPr>
  </w:style>
  <w:style w:type="paragraph" w:customStyle="1" w:styleId="Numberedpara3level211">
    <w:name w:val="Numbered para (3) level 2 (1.1)"/>
    <w:basedOn w:val="Normal"/>
    <w:qFormat/>
    <w:rsid w:val="0088686D"/>
    <w:pPr>
      <w:numPr>
        <w:ilvl w:val="1"/>
        <w:numId w:val="26"/>
      </w:numPr>
      <w:spacing w:after="120"/>
    </w:pPr>
  </w:style>
  <w:style w:type="paragraph" w:customStyle="1" w:styleId="Numberedpara3level3111">
    <w:name w:val="Numbered para (3) level 3 (1.1.1)"/>
    <w:basedOn w:val="Normal"/>
    <w:qFormat/>
    <w:rsid w:val="0088686D"/>
    <w:pPr>
      <w:numPr>
        <w:ilvl w:val="2"/>
        <w:numId w:val="26"/>
      </w:numPr>
      <w:spacing w:after="120"/>
    </w:pPr>
  </w:style>
  <w:style w:type="paragraph" w:customStyle="1" w:styleId="Numberedpara3heading">
    <w:name w:val="Numbered para (3) heading"/>
    <w:basedOn w:val="Normal"/>
    <w:semiHidden/>
    <w:qFormat/>
    <w:rsid w:val="0088686D"/>
    <w:pPr>
      <w:keepNext/>
      <w:spacing w:before="200" w:after="120"/>
    </w:pPr>
    <w:rPr>
      <w:b/>
    </w:rPr>
  </w:style>
  <w:style w:type="table" w:customStyle="1" w:styleId="RIS">
    <w:name w:val="__RIS"/>
    <w:basedOn w:val="TableNormal"/>
    <w:uiPriority w:val="99"/>
    <w:rsid w:val="00FB0E14"/>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customStyle="1" w:styleId="Crossreferences">
    <w:name w:val="Cross references"/>
    <w:basedOn w:val="DefaultParagraphFont"/>
    <w:uiPriority w:val="1"/>
    <w:qFormat/>
    <w:rsid w:val="00E52276"/>
    <w:rPr>
      <w:i/>
      <w:u w:val="single"/>
    </w:rPr>
  </w:style>
  <w:style w:type="paragraph" w:customStyle="1" w:styleId="Briefingtext">
    <w:name w:val="Briefing text"/>
    <w:basedOn w:val="Normal"/>
    <w:rsid w:val="00264A01"/>
    <w:pPr>
      <w:keepLines w:val="0"/>
      <w:numPr>
        <w:numId w:val="27"/>
      </w:numPr>
      <w:tabs>
        <w:tab w:val="left" w:pos="567"/>
      </w:tabs>
      <w:spacing w:before="0" w:after="120"/>
      <w:jc w:val="both"/>
    </w:pPr>
    <w:rPr>
      <w:rFonts w:ascii="Arial Mäori" w:eastAsia="Times New Roman" w:hAnsi="Arial Mäori"/>
    </w:rPr>
  </w:style>
  <w:style w:type="table" w:customStyle="1" w:styleId="DIATable">
    <w:name w:val="_DIA Table"/>
    <w:basedOn w:val="TableNormal"/>
    <w:uiPriority w:val="99"/>
    <w:rsid w:val="00B23627"/>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customStyle="1" w:styleId="HeadingTable">
    <w:name w:val="Heading Table"/>
    <w:basedOn w:val="Normal"/>
    <w:rsid w:val="00B23627"/>
    <w:pPr>
      <w:keepLines w:val="0"/>
      <w:spacing w:before="0" w:after="0" w:line="260" w:lineRule="atLeast"/>
    </w:pPr>
    <w:rPr>
      <w:rFonts w:ascii="Arial" w:eastAsia="Times New Roman" w:hAnsi="Arial"/>
      <w:b/>
      <w:sz w:val="20"/>
    </w:rPr>
  </w:style>
  <w:style w:type="character" w:customStyle="1" w:styleId="FootnoteTextChar">
    <w:name w:val="Footnote Text Char"/>
    <w:link w:val="FootnoteText"/>
    <w:rsid w:val="00A93DFF"/>
    <w:rPr>
      <w:rFonts w:eastAsiaTheme="minorHAnsi"/>
      <w:sz w:val="20"/>
      <w:szCs w:val="20"/>
      <w:lang w:eastAsia="en-US"/>
    </w:rPr>
  </w:style>
  <w:style w:type="paragraph" w:customStyle="1" w:styleId="Recommendations">
    <w:name w:val="Recommendations"/>
    <w:basedOn w:val="Normal"/>
    <w:semiHidden/>
    <w:qFormat/>
    <w:rsid w:val="00A93DFF"/>
    <w:pPr>
      <w:keepLines w:val="0"/>
      <w:numPr>
        <w:numId w:val="28"/>
      </w:numPr>
      <w:ind w:left="567" w:hanging="567"/>
    </w:pPr>
  </w:style>
  <w:style w:type="paragraph" w:customStyle="1" w:styleId="NumbersLevel1">
    <w:name w:val="Numbers Level 1"/>
    <w:basedOn w:val="BodyText"/>
    <w:rsid w:val="004F4E9E"/>
    <w:pPr>
      <w:keepLines w:val="0"/>
      <w:tabs>
        <w:tab w:val="num" w:pos="709"/>
      </w:tabs>
      <w:spacing w:before="0" w:line="280" w:lineRule="atLeast"/>
      <w:ind w:left="709" w:hanging="709"/>
      <w:jc w:val="both"/>
    </w:pPr>
    <w:rPr>
      <w:rFonts w:ascii="Arial" w:eastAsia="Times New Roman" w:hAnsi="Arial"/>
      <w:sz w:val="22"/>
    </w:rPr>
  </w:style>
  <w:style w:type="paragraph" w:customStyle="1" w:styleId="Cabinetpaperparasubheading">
    <w:name w:val="Cabinet paper para subheading"/>
    <w:basedOn w:val="Normal"/>
    <w:next w:val="Numberedpara3level1"/>
    <w:qFormat/>
    <w:rsid w:val="00E84F32"/>
    <w:pPr>
      <w:keepNext/>
      <w:spacing w:before="240" w:after="120"/>
    </w:pPr>
    <w:rPr>
      <w:b/>
      <w:i/>
    </w:rPr>
  </w:style>
  <w:style w:type="paragraph" w:customStyle="1" w:styleId="Cabinetpaperparaheading">
    <w:name w:val="Cabinet paper para heading"/>
    <w:basedOn w:val="Normal"/>
    <w:next w:val="Numberedpara3level1"/>
    <w:qFormat/>
    <w:rsid w:val="00566F66"/>
    <w:pPr>
      <w:keepNext/>
      <w:spacing w:before="200" w:after="120"/>
    </w:pPr>
    <w:rPr>
      <w:b/>
      <w:sz w:val="26"/>
    </w:rPr>
  </w:style>
  <w:style w:type="paragraph" w:styleId="CommentText">
    <w:name w:val="annotation text"/>
    <w:basedOn w:val="Normal"/>
    <w:link w:val="CommentTextChar"/>
    <w:uiPriority w:val="99"/>
    <w:semiHidden/>
    <w:unhideWhenUsed/>
    <w:rsid w:val="00D65EB5"/>
    <w:rPr>
      <w:sz w:val="20"/>
      <w:szCs w:val="20"/>
    </w:rPr>
  </w:style>
  <w:style w:type="character" w:customStyle="1" w:styleId="CommentTextChar">
    <w:name w:val="Comment Text Char"/>
    <w:basedOn w:val="DefaultParagraphFont"/>
    <w:link w:val="CommentText"/>
    <w:uiPriority w:val="99"/>
    <w:semiHidden/>
    <w:rsid w:val="00D65EB5"/>
    <w:rPr>
      <w:rFonts w:eastAsiaTheme="minorHAns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76"/>
    <w:pPr>
      <w:keepLines/>
    </w:pPr>
    <w:rPr>
      <w:rFonts w:eastAsiaTheme="minorHAnsi"/>
      <w:lang w:eastAsia="en-US"/>
    </w:rPr>
  </w:style>
  <w:style w:type="paragraph" w:styleId="Heading1">
    <w:name w:val="heading 1"/>
    <w:basedOn w:val="Normal"/>
    <w:next w:val="Numberedpara3level1"/>
    <w:link w:val="Heading1Char"/>
    <w:qFormat/>
    <w:rsid w:val="003E54D4"/>
    <w:pPr>
      <w:keepNext/>
      <w:spacing w:before="240" w:after="120"/>
      <w:outlineLvl w:val="0"/>
    </w:pPr>
    <w:rPr>
      <w:b/>
      <w:sz w:val="28"/>
    </w:rPr>
  </w:style>
  <w:style w:type="paragraph" w:styleId="Heading2">
    <w:name w:val="heading 2"/>
    <w:basedOn w:val="Normal"/>
    <w:next w:val="Numberedpara3level1"/>
    <w:link w:val="Heading2Char"/>
    <w:qFormat/>
    <w:rsid w:val="00E52276"/>
    <w:pPr>
      <w:keepNext/>
      <w:spacing w:before="240" w:after="120"/>
      <w:outlineLvl w:val="1"/>
    </w:pPr>
    <w:rPr>
      <w:b/>
      <w:i/>
      <w:sz w:val="26"/>
    </w:rPr>
  </w:style>
  <w:style w:type="paragraph" w:styleId="Heading3">
    <w:name w:val="heading 3"/>
    <w:basedOn w:val="Normal"/>
    <w:next w:val="Normal"/>
    <w:link w:val="Heading3Char"/>
    <w:qFormat/>
    <w:rsid w:val="00E52276"/>
    <w:pPr>
      <w:keepNext/>
      <w:spacing w:before="240" w:after="120"/>
      <w:contextualSpacing/>
      <w:outlineLvl w:val="2"/>
    </w:pPr>
    <w:rPr>
      <w:rFonts w:cs="Arial"/>
      <w:bCs/>
      <w:i/>
      <w:sz w:val="26"/>
      <w:szCs w:val="26"/>
    </w:rPr>
  </w:style>
  <w:style w:type="paragraph" w:styleId="Heading4">
    <w:name w:val="heading 4"/>
    <w:basedOn w:val="Normal"/>
    <w:next w:val="Normal"/>
    <w:link w:val="Heading4Char"/>
    <w:semiHidden/>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3E54D4"/>
    <w:rPr>
      <w:rFonts w:eastAsiaTheme="minorHAnsi"/>
      <w:b/>
      <w:sz w:val="28"/>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4"/>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4"/>
      </w:numPr>
      <w:outlineLvl w:val="5"/>
    </w:pPr>
  </w:style>
  <w:style w:type="paragraph" w:customStyle="1" w:styleId="Headingnumbered2">
    <w:name w:val="Heading numbered 2"/>
    <w:basedOn w:val="Heading2"/>
    <w:next w:val="Normal"/>
    <w:uiPriority w:val="1"/>
    <w:semiHidden/>
    <w:rsid w:val="00065F18"/>
    <w:pPr>
      <w:numPr>
        <w:ilvl w:val="1"/>
        <w:numId w:val="14"/>
      </w:numPr>
      <w:outlineLvl w:val="6"/>
    </w:pPr>
  </w:style>
  <w:style w:type="paragraph" w:customStyle="1" w:styleId="Headingnumbered3">
    <w:name w:val="Heading numbered 3"/>
    <w:basedOn w:val="Normal"/>
    <w:next w:val="Normal"/>
    <w:uiPriority w:val="1"/>
    <w:semiHidden/>
    <w:rsid w:val="00065F18"/>
    <w:pPr>
      <w:numPr>
        <w:ilvl w:val="2"/>
        <w:numId w:val="14"/>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4"/>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unhideWhenUsed/>
    <w:rsid w:val="00065F18"/>
    <w:pPr>
      <w:numPr>
        <w:ilvl w:val="2"/>
        <w:numId w:val="24"/>
      </w:numPr>
      <w:spacing w:after="120"/>
    </w:pPr>
  </w:style>
  <w:style w:type="paragraph" w:customStyle="1" w:styleId="Numberedpara1level4i">
    <w:name w:val="Numbered para (1) level 4 (i)"/>
    <w:basedOn w:val="Normal"/>
    <w:semiHidden/>
    <w:unhideWhenUsed/>
    <w:rsid w:val="00065F18"/>
    <w:pPr>
      <w:numPr>
        <w:ilvl w:val="3"/>
        <w:numId w:val="24"/>
      </w:numPr>
      <w:spacing w:after="120"/>
    </w:pPr>
  </w:style>
  <w:style w:type="paragraph" w:customStyle="1" w:styleId="Bullet">
    <w:name w:val="Bullet"/>
    <w:basedOn w:val="Normal"/>
    <w:rsid w:val="00065F18"/>
    <w:pPr>
      <w:numPr>
        <w:numId w:val="15"/>
      </w:numPr>
      <w:spacing w:before="80" w:after="80"/>
    </w:pPr>
    <w:rPr>
      <w:noProof/>
    </w:rPr>
  </w:style>
  <w:style w:type="paragraph" w:customStyle="1" w:styleId="Bulletlevel2">
    <w:name w:val="Bullet level 2"/>
    <w:basedOn w:val="Normal"/>
    <w:uiPriority w:val="1"/>
    <w:semiHidden/>
    <w:rsid w:val="00065F18"/>
    <w:pPr>
      <w:numPr>
        <w:ilvl w:val="1"/>
        <w:numId w:val="15"/>
      </w:numPr>
      <w:spacing w:before="80" w:after="80"/>
    </w:pPr>
  </w:style>
  <w:style w:type="paragraph" w:customStyle="1" w:styleId="Bulletlevel3">
    <w:name w:val="Bullet level 3"/>
    <w:basedOn w:val="Normal"/>
    <w:uiPriority w:val="1"/>
    <w:semiHidden/>
    <w:rsid w:val="00065F18"/>
    <w:pPr>
      <w:numPr>
        <w:ilvl w:val="2"/>
        <w:numId w:val="15"/>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0"/>
      </w:numPr>
      <w:spacing w:before="80" w:after="80"/>
    </w:pPr>
  </w:style>
  <w:style w:type="paragraph" w:customStyle="1" w:styleId="List123">
    <w:name w:val="List 1 2 3"/>
    <w:basedOn w:val="Normal"/>
    <w:rsid w:val="00065F18"/>
    <w:pPr>
      <w:numPr>
        <w:numId w:val="21"/>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37298A"/>
    <w:pPr>
      <w:tabs>
        <w:tab w:val="right" w:leader="dot" w:pos="9072"/>
      </w:tabs>
      <w:spacing w:before="200" w:after="60"/>
      <w:ind w:right="567"/>
    </w:pPr>
    <w:rPr>
      <w:color w:val="000000" w:themeColor="text1"/>
    </w:rPr>
  </w:style>
  <w:style w:type="paragraph" w:styleId="TOC2">
    <w:name w:val="toc 2"/>
    <w:basedOn w:val="Normal"/>
    <w:next w:val="Normal"/>
    <w:uiPriority w:val="39"/>
    <w:rsid w:val="00473E2F"/>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rsid w:val="00E52276"/>
    <w:rPr>
      <w:rFonts w:eastAsiaTheme="minorHAnsi"/>
      <w:b/>
      <w:i/>
      <w:sz w:val="26"/>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9D66EA"/>
    <w:pPr>
      <w:numPr>
        <w:numId w:val="16"/>
      </w:numPr>
    </w:pPr>
  </w:style>
  <w:style w:type="paragraph" w:customStyle="1" w:styleId="Tablebulletlevel2">
    <w:name w:val="Table bullet level 2"/>
    <w:basedOn w:val="Tablenormal0"/>
    <w:uiPriority w:val="99"/>
    <w:semiHidden/>
    <w:rsid w:val="00065F18"/>
    <w:pPr>
      <w:numPr>
        <w:ilvl w:val="1"/>
        <w:numId w:val="16"/>
      </w:numPr>
    </w:pPr>
  </w:style>
  <w:style w:type="paragraph" w:customStyle="1" w:styleId="TableBulletListLevel3">
    <w:name w:val="Table Bullet List Level 3"/>
    <w:basedOn w:val="BodyTextTable"/>
    <w:uiPriority w:val="11"/>
    <w:semiHidden/>
    <w:rsid w:val="00065F18"/>
    <w:pPr>
      <w:numPr>
        <w:ilvl w:val="2"/>
        <w:numId w:val="16"/>
      </w:numPr>
      <w:spacing w:before="60" w:after="60"/>
    </w:pPr>
  </w:style>
  <w:style w:type="paragraph" w:customStyle="1" w:styleId="Tablelist123">
    <w:name w:val="Table list 1 2 3"/>
    <w:basedOn w:val="Tablenormal0"/>
    <w:rsid w:val="00065F18"/>
    <w:pPr>
      <w:numPr>
        <w:numId w:val="18"/>
      </w:numPr>
    </w:pPr>
  </w:style>
  <w:style w:type="paragraph" w:customStyle="1" w:styleId="Tablelist123level2">
    <w:name w:val="Table list 1 2 3 level 2"/>
    <w:basedOn w:val="Tablenormal0"/>
    <w:semiHidden/>
    <w:rsid w:val="00065F18"/>
    <w:pPr>
      <w:numPr>
        <w:ilvl w:val="1"/>
        <w:numId w:val="18"/>
      </w:numPr>
    </w:pPr>
  </w:style>
  <w:style w:type="character" w:customStyle="1" w:styleId="Heading4Char">
    <w:name w:val="Heading 4 Char"/>
    <w:basedOn w:val="DefaultParagraphFont"/>
    <w:link w:val="Heading4"/>
    <w:semiHidden/>
    <w:rsid w:val="00264E9B"/>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7"/>
      </w:numPr>
    </w:pPr>
  </w:style>
  <w:style w:type="paragraph" w:customStyle="1" w:styleId="BodyTextTableLevel2">
    <w:name w:val="Body Text Table Level 2"/>
    <w:basedOn w:val="BodyTextTable"/>
    <w:uiPriority w:val="11"/>
    <w:semiHidden/>
    <w:rsid w:val="00065F18"/>
    <w:pPr>
      <w:numPr>
        <w:ilvl w:val="1"/>
        <w:numId w:val="17"/>
      </w:numPr>
    </w:pPr>
  </w:style>
  <w:style w:type="paragraph" w:customStyle="1" w:styleId="BodyTextTableLevel3">
    <w:name w:val="Body Text Table Level 3"/>
    <w:basedOn w:val="BodyTextTable"/>
    <w:uiPriority w:val="11"/>
    <w:semiHidden/>
    <w:rsid w:val="00065F18"/>
    <w:pPr>
      <w:numPr>
        <w:ilvl w:val="3"/>
        <w:numId w:val="18"/>
      </w:numPr>
    </w:pPr>
  </w:style>
  <w:style w:type="paragraph" w:styleId="Caption">
    <w:name w:val="caption"/>
    <w:basedOn w:val="Normal"/>
    <w:next w:val="Normal"/>
    <w:qFormat/>
    <w:rsid w:val="00662410"/>
    <w:pPr>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rsid w:val="001D5EC0"/>
    <w:pPr>
      <w:pageBreakBefore/>
      <w:numPr>
        <w:numId w:val="19"/>
      </w:numPr>
      <w:tabs>
        <w:tab w:val="left" w:pos="2268"/>
      </w:tabs>
      <w:spacing w:before="0"/>
      <w:outlineLvl w:val="7"/>
    </w:pPr>
    <w:rPr>
      <w:color w:val="000000" w:themeColor="text1"/>
    </w:rPr>
  </w:style>
  <w:style w:type="paragraph" w:customStyle="1" w:styleId="NotforContentsheading1">
    <w:name w:val="Not for Contents heading 1"/>
    <w:basedOn w:val="Normal"/>
    <w:next w:val="Normal"/>
    <w:rsid w:val="008C2D6D"/>
    <w:pPr>
      <w:spacing w:before="400"/>
    </w:pPr>
    <w:rPr>
      <w:b/>
      <w:color w:val="000000" w:themeColor="text1"/>
      <w:sz w:val="48"/>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20"/>
      </w:numPr>
      <w:spacing w:before="80" w:after="80"/>
    </w:pPr>
  </w:style>
  <w:style w:type="paragraph" w:customStyle="1" w:styleId="NotforContentsheading2">
    <w:name w:val="Not for Contents heading 2"/>
    <w:basedOn w:val="Normal"/>
    <w:next w:val="Normal"/>
    <w:rsid w:val="00C53C23"/>
    <w:pPr>
      <w:spacing w:after="120"/>
    </w:pPr>
    <w:rPr>
      <w:b/>
    </w:rPr>
  </w:style>
  <w:style w:type="character" w:customStyle="1" w:styleId="Heading3Char">
    <w:name w:val="Heading 3 Char"/>
    <w:link w:val="Heading3"/>
    <w:rsid w:val="00E52276"/>
    <w:rPr>
      <w:rFonts w:eastAsiaTheme="minorHAnsi" w:cs="Arial"/>
      <w:bCs/>
      <w:i/>
      <w:sz w:val="26"/>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Bullet"/>
    <w:uiPriority w:val="34"/>
    <w:qFormat/>
    <w:rsid w:val="00065F18"/>
    <w:pPr>
      <w:numPr>
        <w:numId w:val="13"/>
      </w:numPr>
    </w:pPr>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Footersecurityclassification">
    <w:name w:val="Footer security classification"/>
    <w:basedOn w:val="Footer"/>
    <w:qFormat/>
    <w:rsid w:val="001D5EC0"/>
    <w:rPr>
      <w:i w:val="0"/>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20"/>
      </w:numPr>
      <w:spacing w:before="80" w:after="80"/>
    </w:pPr>
  </w:style>
  <w:style w:type="paragraph" w:customStyle="1" w:styleId="List123level2">
    <w:name w:val="List 1 2 3 level 2"/>
    <w:basedOn w:val="Normal"/>
    <w:uiPriority w:val="1"/>
    <w:semiHidden/>
    <w:qFormat/>
    <w:rsid w:val="00065F18"/>
    <w:pPr>
      <w:numPr>
        <w:ilvl w:val="1"/>
        <w:numId w:val="21"/>
      </w:numPr>
    </w:pPr>
  </w:style>
  <w:style w:type="paragraph" w:customStyle="1" w:styleId="List123level3">
    <w:name w:val="List 1 2 3 level 3"/>
    <w:basedOn w:val="Normal"/>
    <w:uiPriority w:val="1"/>
    <w:semiHidden/>
    <w:qFormat/>
    <w:rsid w:val="00065F18"/>
    <w:pPr>
      <w:numPr>
        <w:ilvl w:val="2"/>
        <w:numId w:val="21"/>
      </w:numPr>
    </w:pPr>
  </w:style>
  <w:style w:type="paragraph" w:customStyle="1" w:styleId="Legislationsection">
    <w:name w:val="Legislation section"/>
    <w:basedOn w:val="Normal"/>
    <w:semiHidden/>
    <w:qFormat/>
    <w:rsid w:val="00065F18"/>
    <w:pPr>
      <w:numPr>
        <w:numId w:val="23"/>
      </w:numPr>
      <w:tabs>
        <w:tab w:val="left" w:pos="567"/>
      </w:tabs>
      <w:spacing w:after="60"/>
    </w:pPr>
    <w:rPr>
      <w:b/>
      <w:sz w:val="22"/>
    </w:rPr>
  </w:style>
  <w:style w:type="paragraph" w:customStyle="1" w:styleId="Legislationnumber">
    <w:name w:val="Legislation number"/>
    <w:basedOn w:val="Normal"/>
    <w:semiHidden/>
    <w:qFormat/>
    <w:rsid w:val="00065F18"/>
    <w:pPr>
      <w:numPr>
        <w:numId w:val="22"/>
      </w:numPr>
      <w:tabs>
        <w:tab w:val="left" w:pos="567"/>
      </w:tabs>
      <w:spacing w:before="60" w:after="60"/>
    </w:pPr>
    <w:rPr>
      <w:sz w:val="22"/>
    </w:rPr>
  </w:style>
  <w:style w:type="paragraph" w:customStyle="1" w:styleId="Legislationa">
    <w:name w:val="Legislation (a)"/>
    <w:basedOn w:val="Normal"/>
    <w:semiHidden/>
    <w:qFormat/>
    <w:rsid w:val="00065F18"/>
    <w:pPr>
      <w:numPr>
        <w:ilvl w:val="2"/>
        <w:numId w:val="23"/>
      </w:numPr>
      <w:spacing w:before="60" w:after="60"/>
    </w:pPr>
    <w:rPr>
      <w:sz w:val="22"/>
    </w:rPr>
  </w:style>
  <w:style w:type="paragraph" w:customStyle="1" w:styleId="Legislationi">
    <w:name w:val="Legislation (i)"/>
    <w:basedOn w:val="Normal"/>
    <w:semiHidden/>
    <w:qFormat/>
    <w:rsid w:val="00065F18"/>
    <w:pPr>
      <w:numPr>
        <w:ilvl w:val="3"/>
        <w:numId w:val="23"/>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level1">
    <w:name w:val="Numbered para (2) level 1"/>
    <w:basedOn w:val="Normal"/>
    <w:semiHidden/>
    <w:qFormat/>
    <w:rsid w:val="00065F18"/>
    <w:pPr>
      <w:numPr>
        <w:numId w:val="25"/>
      </w:numPr>
      <w:spacing w:after="120"/>
    </w:pPr>
  </w:style>
  <w:style w:type="paragraph" w:customStyle="1" w:styleId="Numberedpara2level2a">
    <w:name w:val="Numbered para (2) level 2 (a)"/>
    <w:basedOn w:val="Normal"/>
    <w:semiHidden/>
    <w:qFormat/>
    <w:rsid w:val="00065F18"/>
    <w:pPr>
      <w:numPr>
        <w:ilvl w:val="1"/>
        <w:numId w:val="25"/>
      </w:numPr>
      <w:spacing w:after="120"/>
    </w:pPr>
  </w:style>
  <w:style w:type="paragraph" w:customStyle="1" w:styleId="Numberedpara2level3i">
    <w:name w:val="Numbered para (2) level 3 (i)"/>
    <w:basedOn w:val="Normal"/>
    <w:semiHidden/>
    <w:qFormat/>
    <w:rsid w:val="00065F18"/>
    <w:pPr>
      <w:numPr>
        <w:ilvl w:val="2"/>
        <w:numId w:val="25"/>
      </w:numPr>
      <w:spacing w:after="120"/>
    </w:pPr>
  </w:style>
  <w:style w:type="paragraph" w:customStyle="1" w:styleId="Title2">
    <w:name w:val="Title 2"/>
    <w:basedOn w:val="Title"/>
    <w:semiHidden/>
    <w:qFormat/>
    <w:rsid w:val="00065F18"/>
    <w:rPr>
      <w:sz w:val="52"/>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Headersecurityclassification">
    <w:name w:val="Header security classification"/>
    <w:basedOn w:val="DefaultParagraphFont"/>
    <w:uiPriority w:val="1"/>
    <w:qFormat/>
    <w:rsid w:val="001D5EC0"/>
    <w:rPr>
      <w:rFonts w:ascii="Calibri" w:hAnsi="Calibri"/>
      <w:b/>
      <w:i w:val="0"/>
      <w:caps/>
      <w:smallCaps w:val="0"/>
      <w:color w:val="000000" w:themeColor="text1"/>
      <w:sz w:val="22"/>
    </w:rPr>
  </w:style>
  <w:style w:type="paragraph" w:customStyle="1" w:styleId="Numberedpara1level211">
    <w:name w:val="Numbered para (1) level 2 (1.1)"/>
    <w:basedOn w:val="Normal"/>
    <w:unhideWhenUsed/>
    <w:rsid w:val="00065F18"/>
    <w:pPr>
      <w:numPr>
        <w:ilvl w:val="1"/>
        <w:numId w:val="24"/>
      </w:numPr>
      <w:spacing w:after="120"/>
    </w:pPr>
  </w:style>
  <w:style w:type="paragraph" w:customStyle="1" w:styleId="Numberedpara11headingwithnumber">
    <w:name w:val="Numbered para (1) 1 (heading with number)"/>
    <w:basedOn w:val="Normal"/>
    <w:unhideWhenUsed/>
    <w:qFormat/>
    <w:rsid w:val="00065F18"/>
    <w:pPr>
      <w:numPr>
        <w:numId w:val="24"/>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FinancialtableLHC">
    <w:name w:val="Financial table LHC"/>
    <w:basedOn w:val="Normal"/>
    <w:qFormat/>
    <w:rsid w:val="00A5302B"/>
    <w:pPr>
      <w:spacing w:before="0" w:after="0"/>
      <w:contextualSpacing/>
    </w:pPr>
    <w:rPr>
      <w:sz w:val="22"/>
    </w:rPr>
  </w:style>
  <w:style w:type="paragraph" w:customStyle="1" w:styleId="Financialtablefigures">
    <w:name w:val="Financial table figures"/>
    <w:basedOn w:val="FinancialtableLHC"/>
    <w:qFormat/>
    <w:rsid w:val="00A5302B"/>
    <w:pPr>
      <w:jc w:val="right"/>
    </w:pPr>
  </w:style>
  <w:style w:type="paragraph" w:customStyle="1" w:styleId="Financialtableyears">
    <w:name w:val="Financial table years"/>
    <w:basedOn w:val="Financialtablefigures"/>
    <w:qFormat/>
    <w:rsid w:val="00A5302B"/>
    <w:pPr>
      <w:jc w:val="center"/>
    </w:pPr>
    <w:rPr>
      <w:b/>
      <w:sz w:val="20"/>
    </w:rPr>
  </w:style>
  <w:style w:type="paragraph" w:customStyle="1" w:styleId="Tablesource">
    <w:name w:val="Table source"/>
    <w:basedOn w:val="Normal"/>
    <w:qFormat/>
    <w:rsid w:val="00662410"/>
    <w:pPr>
      <w:spacing w:before="80" w:after="120"/>
      <w:ind w:left="567"/>
    </w:pPr>
    <w:rPr>
      <w:sz w:val="22"/>
    </w:rPr>
  </w:style>
  <w:style w:type="paragraph" w:customStyle="1" w:styleId="Numberedpara3subheading">
    <w:name w:val="Numbered para (3) subheading"/>
    <w:basedOn w:val="Normal"/>
    <w:next w:val="Normal"/>
    <w:semiHidden/>
    <w:qFormat/>
    <w:rsid w:val="0088686D"/>
    <w:pPr>
      <w:spacing w:before="240" w:after="120"/>
    </w:pPr>
    <w:rPr>
      <w:b/>
      <w:i/>
    </w:rPr>
  </w:style>
  <w:style w:type="paragraph" w:customStyle="1" w:styleId="Numberedpara3level1">
    <w:name w:val="Numbered para (3) level 1"/>
    <w:basedOn w:val="Normal"/>
    <w:qFormat/>
    <w:rsid w:val="0088686D"/>
    <w:pPr>
      <w:numPr>
        <w:numId w:val="26"/>
      </w:numPr>
      <w:spacing w:after="120"/>
    </w:pPr>
  </w:style>
  <w:style w:type="paragraph" w:customStyle="1" w:styleId="Numberedpara3level211">
    <w:name w:val="Numbered para (3) level 2 (1.1)"/>
    <w:basedOn w:val="Normal"/>
    <w:qFormat/>
    <w:rsid w:val="0088686D"/>
    <w:pPr>
      <w:numPr>
        <w:ilvl w:val="1"/>
        <w:numId w:val="26"/>
      </w:numPr>
      <w:spacing w:after="120"/>
    </w:pPr>
  </w:style>
  <w:style w:type="paragraph" w:customStyle="1" w:styleId="Numberedpara3level3111">
    <w:name w:val="Numbered para (3) level 3 (1.1.1)"/>
    <w:basedOn w:val="Normal"/>
    <w:qFormat/>
    <w:rsid w:val="0088686D"/>
    <w:pPr>
      <w:numPr>
        <w:ilvl w:val="2"/>
        <w:numId w:val="26"/>
      </w:numPr>
      <w:spacing w:after="120"/>
    </w:pPr>
  </w:style>
  <w:style w:type="paragraph" w:customStyle="1" w:styleId="Numberedpara3heading">
    <w:name w:val="Numbered para (3) heading"/>
    <w:basedOn w:val="Normal"/>
    <w:semiHidden/>
    <w:qFormat/>
    <w:rsid w:val="0088686D"/>
    <w:pPr>
      <w:keepNext/>
      <w:spacing w:before="200" w:after="120"/>
    </w:pPr>
    <w:rPr>
      <w:b/>
    </w:rPr>
  </w:style>
  <w:style w:type="table" w:customStyle="1" w:styleId="RIS">
    <w:name w:val="__RIS"/>
    <w:basedOn w:val="TableNormal"/>
    <w:uiPriority w:val="99"/>
    <w:rsid w:val="00FB0E14"/>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customStyle="1" w:styleId="Crossreferences">
    <w:name w:val="Cross references"/>
    <w:basedOn w:val="DefaultParagraphFont"/>
    <w:uiPriority w:val="1"/>
    <w:qFormat/>
    <w:rsid w:val="00E52276"/>
    <w:rPr>
      <w:i/>
      <w:u w:val="single"/>
    </w:rPr>
  </w:style>
  <w:style w:type="paragraph" w:customStyle="1" w:styleId="Briefingtext">
    <w:name w:val="Briefing text"/>
    <w:basedOn w:val="Normal"/>
    <w:rsid w:val="00264A01"/>
    <w:pPr>
      <w:keepLines w:val="0"/>
      <w:numPr>
        <w:numId w:val="27"/>
      </w:numPr>
      <w:tabs>
        <w:tab w:val="left" w:pos="567"/>
      </w:tabs>
      <w:spacing w:before="0" w:after="120"/>
      <w:jc w:val="both"/>
    </w:pPr>
    <w:rPr>
      <w:rFonts w:ascii="Arial Mäori" w:eastAsia="Times New Roman" w:hAnsi="Arial Mäori"/>
    </w:rPr>
  </w:style>
  <w:style w:type="table" w:customStyle="1" w:styleId="DIATable">
    <w:name w:val="_DIA Table"/>
    <w:basedOn w:val="TableNormal"/>
    <w:uiPriority w:val="99"/>
    <w:rsid w:val="00B23627"/>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customStyle="1" w:styleId="HeadingTable">
    <w:name w:val="Heading Table"/>
    <w:basedOn w:val="Normal"/>
    <w:rsid w:val="00B23627"/>
    <w:pPr>
      <w:keepLines w:val="0"/>
      <w:spacing w:before="0" w:after="0" w:line="260" w:lineRule="atLeast"/>
    </w:pPr>
    <w:rPr>
      <w:rFonts w:ascii="Arial" w:eastAsia="Times New Roman" w:hAnsi="Arial"/>
      <w:b/>
      <w:sz w:val="20"/>
    </w:rPr>
  </w:style>
  <w:style w:type="character" w:customStyle="1" w:styleId="FootnoteTextChar">
    <w:name w:val="Footnote Text Char"/>
    <w:link w:val="FootnoteText"/>
    <w:rsid w:val="00A93DFF"/>
    <w:rPr>
      <w:rFonts w:eastAsiaTheme="minorHAnsi"/>
      <w:sz w:val="20"/>
      <w:szCs w:val="20"/>
      <w:lang w:eastAsia="en-US"/>
    </w:rPr>
  </w:style>
  <w:style w:type="paragraph" w:customStyle="1" w:styleId="Recommendations">
    <w:name w:val="Recommendations"/>
    <w:basedOn w:val="Normal"/>
    <w:semiHidden/>
    <w:qFormat/>
    <w:rsid w:val="00A93DFF"/>
    <w:pPr>
      <w:keepLines w:val="0"/>
      <w:numPr>
        <w:numId w:val="28"/>
      </w:numPr>
      <w:ind w:left="567" w:hanging="567"/>
    </w:pPr>
  </w:style>
  <w:style w:type="paragraph" w:customStyle="1" w:styleId="NumbersLevel1">
    <w:name w:val="Numbers Level 1"/>
    <w:basedOn w:val="BodyText"/>
    <w:rsid w:val="004F4E9E"/>
    <w:pPr>
      <w:keepLines w:val="0"/>
      <w:tabs>
        <w:tab w:val="num" w:pos="709"/>
      </w:tabs>
      <w:spacing w:before="0" w:line="280" w:lineRule="atLeast"/>
      <w:ind w:left="709" w:hanging="709"/>
      <w:jc w:val="both"/>
    </w:pPr>
    <w:rPr>
      <w:rFonts w:ascii="Arial" w:eastAsia="Times New Roman" w:hAnsi="Arial"/>
      <w:sz w:val="22"/>
    </w:rPr>
  </w:style>
  <w:style w:type="paragraph" w:customStyle="1" w:styleId="Cabinetpaperparasubheading">
    <w:name w:val="Cabinet paper para subheading"/>
    <w:basedOn w:val="Normal"/>
    <w:next w:val="Numberedpara3level1"/>
    <w:qFormat/>
    <w:rsid w:val="00E84F32"/>
    <w:pPr>
      <w:keepNext/>
      <w:spacing w:before="240" w:after="120"/>
    </w:pPr>
    <w:rPr>
      <w:b/>
      <w:i/>
    </w:rPr>
  </w:style>
  <w:style w:type="paragraph" w:customStyle="1" w:styleId="Cabinetpaperparaheading">
    <w:name w:val="Cabinet paper para heading"/>
    <w:basedOn w:val="Normal"/>
    <w:next w:val="Numberedpara3level1"/>
    <w:qFormat/>
    <w:rsid w:val="00566F66"/>
    <w:pPr>
      <w:keepNext/>
      <w:spacing w:before="200" w:after="120"/>
    </w:pPr>
    <w:rPr>
      <w:b/>
      <w:sz w:val="26"/>
    </w:rPr>
  </w:style>
  <w:style w:type="paragraph" w:styleId="CommentText">
    <w:name w:val="annotation text"/>
    <w:basedOn w:val="Normal"/>
    <w:link w:val="CommentTextChar"/>
    <w:uiPriority w:val="99"/>
    <w:semiHidden/>
    <w:unhideWhenUsed/>
    <w:rsid w:val="00D65EB5"/>
    <w:rPr>
      <w:sz w:val="20"/>
      <w:szCs w:val="20"/>
    </w:rPr>
  </w:style>
  <w:style w:type="character" w:customStyle="1" w:styleId="CommentTextChar">
    <w:name w:val="Comment Text Char"/>
    <w:basedOn w:val="DefaultParagraphFont"/>
    <w:link w:val="CommentText"/>
    <w:uiPriority w:val="99"/>
    <w:semiHidden/>
    <w:rsid w:val="00D65EB5"/>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68114">
      <w:bodyDiv w:val="1"/>
      <w:marLeft w:val="0"/>
      <w:marRight w:val="0"/>
      <w:marTop w:val="0"/>
      <w:marBottom w:val="0"/>
      <w:divBdr>
        <w:top w:val="none" w:sz="0" w:space="0" w:color="auto"/>
        <w:left w:val="none" w:sz="0" w:space="0" w:color="auto"/>
        <w:bottom w:val="none" w:sz="0" w:space="0" w:color="auto"/>
        <w:right w:val="none" w:sz="0" w:space="0" w:color="auto"/>
      </w:divBdr>
      <w:divsChild>
        <w:div w:id="1531409287">
          <w:marLeft w:val="547"/>
          <w:marRight w:val="0"/>
          <w:marTop w:val="0"/>
          <w:marBottom w:val="0"/>
          <w:divBdr>
            <w:top w:val="none" w:sz="0" w:space="0" w:color="auto"/>
            <w:left w:val="none" w:sz="0" w:space="0" w:color="auto"/>
            <w:bottom w:val="none" w:sz="0" w:space="0" w:color="auto"/>
            <w:right w:val="none" w:sz="0" w:space="0" w:color="auto"/>
          </w:divBdr>
        </w:div>
      </w:divsChild>
    </w:div>
    <w:div w:id="948200429">
      <w:bodyDiv w:val="1"/>
      <w:marLeft w:val="0"/>
      <w:marRight w:val="0"/>
      <w:marTop w:val="0"/>
      <w:marBottom w:val="0"/>
      <w:divBdr>
        <w:top w:val="none" w:sz="0" w:space="0" w:color="auto"/>
        <w:left w:val="none" w:sz="0" w:space="0" w:color="auto"/>
        <w:bottom w:val="none" w:sz="0" w:space="0" w:color="auto"/>
        <w:right w:val="none" w:sz="0" w:space="0" w:color="auto"/>
      </w:divBdr>
    </w:div>
    <w:div w:id="1480146418">
      <w:bodyDiv w:val="1"/>
      <w:marLeft w:val="0"/>
      <w:marRight w:val="0"/>
      <w:marTop w:val="0"/>
      <w:marBottom w:val="0"/>
      <w:divBdr>
        <w:top w:val="none" w:sz="0" w:space="0" w:color="auto"/>
        <w:left w:val="none" w:sz="0" w:space="0" w:color="auto"/>
        <w:bottom w:val="none" w:sz="0" w:space="0" w:color="auto"/>
        <w:right w:val="none" w:sz="0" w:space="0" w:color="auto"/>
      </w:divBdr>
    </w:div>
    <w:div w:id="155380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ganaan\AppData\Roaming\Microsoft\Windows\Network%20Shortcu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lgprdfapn02\home$\wellington\naganaan\Gambling%20Fees\Copy%20of%2019-11%2011-27-56%203819664DA%20-%203817075DA%20-%20A3%20Gambling%20Fees%20Review%202013%20-%2014%20Nov%202013%20(post%20Minist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Sheet1!$B$5:$B$9</c:f>
              <c:strCache>
                <c:ptCount val="5"/>
                <c:pt idx="0">
                  <c:v>Minimum rate of return</c:v>
                </c:pt>
                <c:pt idx="1">
                  <c:v>Other costs (including venue expenses)</c:v>
                </c:pt>
                <c:pt idx="2">
                  <c:v>Gaming duty</c:v>
                </c:pt>
                <c:pt idx="3">
                  <c:v>Problem gambling levy</c:v>
                </c:pt>
                <c:pt idx="4">
                  <c:v>Gambling fees</c:v>
                </c:pt>
              </c:strCache>
            </c:strRef>
          </c:cat>
          <c:val>
            <c:numRef>
              <c:f>Sheet1!$C$5:$C$9</c:f>
              <c:numCache>
                <c:formatCode>0.00%</c:formatCode>
                <c:ptCount val="5"/>
                <c:pt idx="0">
                  <c:v>0.4</c:v>
                </c:pt>
                <c:pt idx="1">
                  <c:v>0.33429999999999999</c:v>
                </c:pt>
                <c:pt idx="2">
                  <c:v>0.23</c:v>
                </c:pt>
                <c:pt idx="3">
                  <c:v>1.5100000000000001E-2</c:v>
                </c:pt>
                <c:pt idx="4">
                  <c:v>2.06E-2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'Graphs and tables'!$C$102</c:f>
              <c:strCache>
                <c:ptCount val="1"/>
                <c:pt idx="0">
                  <c:v>Cost breakdown</c:v>
                </c:pt>
              </c:strCache>
            </c:strRef>
          </c:tx>
          <c:dLbls>
            <c:dLbl>
              <c:idx val="0"/>
              <c:layout>
                <c:manualLayout>
                  <c:x val="6.9841395770113123E-4"/>
                  <c:y val="2.3473783334335115E-3"/>
                </c:manualLayout>
              </c:layout>
              <c:showLegendKey val="0"/>
              <c:showVal val="0"/>
              <c:showCatName val="1"/>
              <c:showSerName val="0"/>
              <c:showPercent val="0"/>
              <c:showBubbleSize val="0"/>
            </c:dLbl>
            <c:dLbl>
              <c:idx val="2"/>
              <c:layout>
                <c:manualLayout>
                  <c:x val="-8.8969420991050815E-3"/>
                  <c:y val="1.0710664983670935E-2"/>
                </c:manualLayout>
              </c:layout>
              <c:showLegendKey val="0"/>
              <c:showVal val="0"/>
              <c:showCatName val="1"/>
              <c:showSerName val="0"/>
              <c:showPercent val="0"/>
              <c:showBubbleSize val="0"/>
            </c:dLbl>
            <c:dLbl>
              <c:idx val="3"/>
              <c:layout>
                <c:manualLayout>
                  <c:x val="-8.3969262878284875E-3"/>
                  <c:y val="-5.0110396505780287E-2"/>
                </c:manualLayout>
              </c:layout>
              <c:showLegendKey val="0"/>
              <c:showVal val="0"/>
              <c:showCatName val="1"/>
              <c:showSerName val="0"/>
              <c:showPercent val="0"/>
              <c:showBubbleSize val="0"/>
            </c:dLbl>
            <c:dLbl>
              <c:idx val="6"/>
              <c:layout>
                <c:manualLayout>
                  <c:x val="4.5166692358179682E-2"/>
                  <c:y val="1.6305423654104305E-2"/>
                </c:manualLayout>
              </c:layout>
              <c:tx>
                <c:rich>
                  <a:bodyPr/>
                  <a:lstStyle/>
                  <a:p>
                    <a:r>
                      <a:rPr lang="en-US"/>
                      <a:t>Electronic monitoring of </a:t>
                    </a:r>
                    <a:r>
                      <a:rPr lang="en-US" sz="1000" b="0" i="0" u="none" strike="noStrike" baseline="0">
                        <a:effectLst/>
                      </a:rPr>
                      <a:t>Class 4 Venues </a:t>
                    </a:r>
                    <a:endParaRPr lang="en-US"/>
                  </a:p>
                </c:rich>
              </c:tx>
              <c:showLegendKey val="0"/>
              <c:showVal val="0"/>
              <c:showCatName val="1"/>
              <c:showSerName val="0"/>
              <c:showPercent val="0"/>
              <c:showBubbleSize val="0"/>
            </c:dLbl>
            <c:dLbl>
              <c:idx val="7"/>
              <c:layout>
                <c:manualLayout>
                  <c:x val="-6.1273197273514616E-4"/>
                  <c:y val="-2.5256957384143775E-3"/>
                </c:manualLayout>
              </c:layout>
              <c:showLegendKey val="0"/>
              <c:showVal val="0"/>
              <c:showCatName val="1"/>
              <c:showSerName val="0"/>
              <c:showPercent val="0"/>
              <c:showBubbleSize val="0"/>
            </c:dLbl>
            <c:showLegendKey val="0"/>
            <c:showVal val="0"/>
            <c:showCatName val="1"/>
            <c:showSerName val="0"/>
            <c:showPercent val="0"/>
            <c:showBubbleSize val="0"/>
            <c:showLeaderLines val="0"/>
          </c:dLbls>
          <c:cat>
            <c:strRef>
              <c:f>'Graphs and tables'!$B$103:$B$110</c:f>
              <c:strCache>
                <c:ptCount val="8"/>
                <c:pt idx="0">
                  <c:v>Info, advice and education</c:v>
                </c:pt>
                <c:pt idx="1">
                  <c:v>Maintaining framework</c:v>
                </c:pt>
                <c:pt idx="2">
                  <c:v>Licensing</c:v>
                </c:pt>
                <c:pt idx="3">
                  <c:v>Audits and investigations</c:v>
                </c:pt>
                <c:pt idx="4">
                  <c:v>Sanctions &amp; prosecutions</c:v>
                </c:pt>
                <c:pt idx="5">
                  <c:v>Gambling Commission</c:v>
                </c:pt>
                <c:pt idx="6">
                  <c:v>Electronic monitoring</c:v>
                </c:pt>
                <c:pt idx="7">
                  <c:v>Other</c:v>
                </c:pt>
              </c:strCache>
            </c:strRef>
          </c:cat>
          <c:val>
            <c:numRef>
              <c:f>'Graphs and tables'!$C$103:$C$110</c:f>
              <c:numCache>
                <c:formatCode>General</c:formatCode>
                <c:ptCount val="8"/>
                <c:pt idx="0">
                  <c:v>1.6199999999999999</c:v>
                </c:pt>
                <c:pt idx="1">
                  <c:v>2.17</c:v>
                </c:pt>
                <c:pt idx="2">
                  <c:v>2.57</c:v>
                </c:pt>
                <c:pt idx="3">
                  <c:v>4.7500000000000009</c:v>
                </c:pt>
                <c:pt idx="4">
                  <c:v>0.96000000000000008</c:v>
                </c:pt>
                <c:pt idx="5">
                  <c:v>1.54</c:v>
                </c:pt>
                <c:pt idx="6">
                  <c:v>7.59</c:v>
                </c:pt>
                <c:pt idx="7">
                  <c:v>0.43000000000000005</c:v>
                </c:pt>
              </c:numCache>
            </c:numRef>
          </c:val>
        </c:ser>
        <c:dLbls>
          <c:showLegendKey val="0"/>
          <c:showVal val="0"/>
          <c:showCatName val="1"/>
          <c:showSerName val="0"/>
          <c:showPercent val="0"/>
          <c:showBubbleSize val="0"/>
          <c:showLeaderLines val="0"/>
        </c:dLbls>
        <c:firstSliceAng val="98"/>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971A"/>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1CD8-EDBB-4DD2-B180-1DCC0347C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B4362EE5</Template>
  <TotalTime>0</TotalTime>
  <Pages>17</Pages>
  <Words>5386</Words>
  <Characters>30701</Characters>
  <Application>Microsoft Office Word</Application>
  <DocSecurity>0</DocSecurity>
  <Lines>255</Lines>
  <Paragraphs>72</Paragraphs>
  <ScaleCrop>false</ScaleCrop>
  <Company/>
  <LinksUpToDate>false</LinksUpToDate>
  <CharactersWithSpaces>36015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2015-10-06T03:31:00Z</dcterms:created>
  <dcterms:modified xsi:type="dcterms:W3CDTF">2015-10-06T03:31:00Z</dcterms:modified>
</cp:coreProperties>
</file>