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020" w:rsidRDefault="00C15436" w:rsidP="001C0C30">
      <w:bookmarkStart w:id="0" w:name="_GoBack"/>
      <w:bookmarkEnd w:id="0"/>
      <w:r>
        <w:t xml:space="preserve">Office of the Minister of </w:t>
      </w:r>
      <w:r w:rsidR="00F24040">
        <w:t>Internal Affairs</w:t>
      </w:r>
    </w:p>
    <w:p w:rsidR="00C265B4" w:rsidRDefault="00C265B4" w:rsidP="001C0C30"/>
    <w:p w:rsidR="00C64BA9" w:rsidRDefault="00C15436" w:rsidP="001C0C30">
      <w:r>
        <w:t xml:space="preserve">Cabinet </w:t>
      </w:r>
      <w:r w:rsidR="00F24040">
        <w:t>Economic Growth and Infrastructure</w:t>
      </w:r>
      <w:r w:rsidR="00385C33">
        <w:t xml:space="preserve"> </w:t>
      </w:r>
      <w:r>
        <w:t>C</w:t>
      </w:r>
      <w:r w:rsidRPr="00E4405F">
        <w:t>ommitt</w:t>
      </w:r>
      <w:r>
        <w:t>ee</w:t>
      </w:r>
    </w:p>
    <w:p w:rsidR="00C15436" w:rsidRDefault="00604DF8" w:rsidP="00C15436">
      <w:pPr>
        <w:pStyle w:val="Headingpage"/>
      </w:pPr>
      <w:r>
        <w:t xml:space="preserve">Fees under the Gambling Act 2003: </w:t>
      </w:r>
      <w:r w:rsidR="007F3E1D">
        <w:t>r</w:t>
      </w:r>
      <w:r>
        <w:t>esults of consultation</w:t>
      </w:r>
      <w:r w:rsidR="00AE0C48">
        <w:t xml:space="preserve"> and further decisions</w:t>
      </w:r>
    </w:p>
    <w:p w:rsidR="00C15436" w:rsidRDefault="00C15436" w:rsidP="00FA6558">
      <w:pPr>
        <w:pStyle w:val="Cabinetpaperparaheading"/>
      </w:pPr>
      <w:r>
        <w:t>Proposal</w:t>
      </w:r>
    </w:p>
    <w:p w:rsidR="00B16962" w:rsidRDefault="000B0A6E" w:rsidP="001579FD">
      <w:pPr>
        <w:pStyle w:val="Numberedpara3level1"/>
      </w:pPr>
      <w:r>
        <w:t xml:space="preserve">This paper </w:t>
      </w:r>
      <w:r w:rsidR="00AB301A">
        <w:t xml:space="preserve">is the </w:t>
      </w:r>
      <w:r w:rsidR="00914E0E">
        <w:t>second</w:t>
      </w:r>
      <w:r w:rsidR="00AB301A">
        <w:t xml:space="preserve"> of two papers about gambling. This </w:t>
      </w:r>
      <w:r w:rsidR="007F3E1D">
        <w:t xml:space="preserve">fees </w:t>
      </w:r>
      <w:r w:rsidR="00AB301A">
        <w:t xml:space="preserve">paper </w:t>
      </w:r>
      <w:r>
        <w:t xml:space="preserve">reports back on the results of public consultation on </w:t>
      </w:r>
      <w:r w:rsidR="002324DD">
        <w:t>increases</w:t>
      </w:r>
      <w:r>
        <w:t xml:space="preserve"> to gambling fees under the Gambling Act 2003</w:t>
      </w:r>
      <w:r w:rsidR="00EA234D">
        <w:t xml:space="preserve"> (the Act)</w:t>
      </w:r>
      <w:r w:rsidR="00B16962">
        <w:t xml:space="preserve"> </w:t>
      </w:r>
      <w:r w:rsidR="007F3E1D">
        <w:t>and seeks approval to</w:t>
      </w:r>
      <w:r w:rsidR="00B16962">
        <w:t>:</w:t>
      </w:r>
    </w:p>
    <w:p w:rsidR="00BF0BE0" w:rsidRDefault="00B16962" w:rsidP="00B16962">
      <w:pPr>
        <w:pStyle w:val="Bullet"/>
      </w:pPr>
      <w:r>
        <w:t>issue drafting instructions for new fee regulations</w:t>
      </w:r>
      <w:r w:rsidR="00AE68EF">
        <w:t xml:space="preserve"> to give effect to the </w:t>
      </w:r>
      <w:r w:rsidR="008D5F9F">
        <w:t>proposed</w:t>
      </w:r>
      <w:r w:rsidR="00AE68EF">
        <w:t xml:space="preserve"> </w:t>
      </w:r>
      <w:r w:rsidR="00F96E22">
        <w:t>schedule of gambling fees</w:t>
      </w:r>
      <w:r>
        <w:t>;</w:t>
      </w:r>
      <w:r w:rsidR="002324DD">
        <w:t xml:space="preserve"> and</w:t>
      </w:r>
    </w:p>
    <w:p w:rsidR="00E812CF" w:rsidRDefault="00B16962" w:rsidP="00F96E22">
      <w:pPr>
        <w:pStyle w:val="Bullet"/>
      </w:pPr>
      <w:r>
        <w:t>the release of the at</w:t>
      </w:r>
      <w:r w:rsidR="004C3ABB">
        <w:t xml:space="preserve">tached consultation document </w:t>
      </w:r>
      <w:r w:rsidR="00E812CF">
        <w:t>on options for changing the increases in the minimum rate of return to authorised community purposes .</w:t>
      </w:r>
    </w:p>
    <w:p w:rsidR="00F96E22" w:rsidRDefault="00F96E22" w:rsidP="00E812CF">
      <w:pPr>
        <w:pStyle w:val="Numberedpara3level1"/>
      </w:pPr>
      <w:r>
        <w:t xml:space="preserve">The </w:t>
      </w:r>
      <w:r w:rsidR="00656848">
        <w:t xml:space="preserve">first </w:t>
      </w:r>
      <w:r>
        <w:t xml:space="preserve">paper </w:t>
      </w:r>
      <w:r w:rsidR="00736500" w:rsidRPr="00E812CF">
        <w:rPr>
          <w:i/>
        </w:rPr>
        <w:t xml:space="preserve">Review of the regulatory regime for </w:t>
      </w:r>
      <w:r w:rsidR="003367E6" w:rsidRPr="00E812CF">
        <w:rPr>
          <w:i/>
        </w:rPr>
        <w:t>class 4 gambling</w:t>
      </w:r>
      <w:r w:rsidR="003367E6">
        <w:t xml:space="preserve"> </w:t>
      </w:r>
      <w:r w:rsidR="00E421E9">
        <w:t xml:space="preserve">seeks Cabinet approval </w:t>
      </w:r>
      <w:r w:rsidR="00293A91">
        <w:t xml:space="preserve">to </w:t>
      </w:r>
      <w:r w:rsidR="00516178">
        <w:t>a</w:t>
      </w:r>
      <w:r w:rsidR="008024AC">
        <w:t xml:space="preserve"> fit-for-purpose review of the class 4 gambling</w:t>
      </w:r>
      <w:r w:rsidR="00736500">
        <w:t xml:space="preserve"> sector</w:t>
      </w:r>
      <w:r w:rsidR="00854F4A">
        <w:t>.</w:t>
      </w:r>
    </w:p>
    <w:p w:rsidR="00C15436" w:rsidRDefault="00C15436" w:rsidP="00FA6558">
      <w:pPr>
        <w:pStyle w:val="Cabinetpaperparaheading"/>
      </w:pPr>
      <w:r w:rsidRPr="00E526FD">
        <w:t>Executive summary</w:t>
      </w:r>
    </w:p>
    <w:p w:rsidR="00C92BF8" w:rsidRPr="00C92BF8" w:rsidRDefault="00EF299E" w:rsidP="00C92BF8">
      <w:pPr>
        <w:pStyle w:val="Numberedpara3level1"/>
        <w:numPr>
          <w:ilvl w:val="0"/>
          <w:numId w:val="19"/>
        </w:numPr>
        <w:rPr>
          <w:lang w:val="en-AU"/>
        </w:rPr>
      </w:pPr>
      <w:r w:rsidRPr="00C92BF8">
        <w:rPr>
          <w:lang w:val="en-AU"/>
        </w:rPr>
        <w:t xml:space="preserve">Gambling regulatory functions undertaken by the Department of Internal Affairs (the Department) and the Gambling Commission are funded through fees paid by gambling operators. </w:t>
      </w:r>
      <w:r w:rsidR="006A43FA" w:rsidRPr="00C92BF8">
        <w:rPr>
          <w:lang w:val="en-AU"/>
        </w:rPr>
        <w:t>T</w:t>
      </w:r>
      <w:r w:rsidR="00862C40" w:rsidRPr="00C92BF8">
        <w:rPr>
          <w:lang w:val="en-AU"/>
        </w:rPr>
        <w:t>he</w:t>
      </w:r>
      <w:r w:rsidR="00E664C7" w:rsidRPr="00C92BF8">
        <w:rPr>
          <w:lang w:val="en-AU"/>
        </w:rPr>
        <w:t xml:space="preserve"> current and forecast costs </w:t>
      </w:r>
      <w:r w:rsidR="00862C40" w:rsidRPr="00C92BF8">
        <w:rPr>
          <w:lang w:val="en-AU"/>
        </w:rPr>
        <w:t xml:space="preserve">to regulate the gambling sector </w:t>
      </w:r>
      <w:r w:rsidR="00E664C7" w:rsidRPr="00C92BF8">
        <w:rPr>
          <w:lang w:val="en-AU"/>
        </w:rPr>
        <w:t xml:space="preserve">exceed the revenue derived from fees. </w:t>
      </w:r>
      <w:r w:rsidR="00C92BF8" w:rsidRPr="00C92BF8">
        <w:rPr>
          <w:lang w:val="en-AU"/>
        </w:rPr>
        <w:t>The Department is now carrying in its gambling memorandum account an annual operating deficit of $</w:t>
      </w:r>
      <w:r w:rsidR="00C92BF8">
        <w:rPr>
          <w:lang w:val="en-AU"/>
        </w:rPr>
        <w:t>3.8</w:t>
      </w:r>
      <w:r w:rsidR="00C92BF8" w:rsidRPr="00C92BF8">
        <w:rPr>
          <w:lang w:val="en-AU"/>
        </w:rPr>
        <w:t xml:space="preserve"> million. At 30 June</w:t>
      </w:r>
      <w:r w:rsidR="00C92BF8">
        <w:rPr>
          <w:lang w:val="en-AU"/>
        </w:rPr>
        <w:t xml:space="preserve"> 2015 the account deficit was $12.9</w:t>
      </w:r>
      <w:r w:rsidR="00C92BF8" w:rsidRPr="00C92BF8">
        <w:rPr>
          <w:lang w:val="en-AU"/>
        </w:rPr>
        <w:t xml:space="preserve"> million.</w:t>
      </w:r>
    </w:p>
    <w:p w:rsidR="008F7332" w:rsidRPr="00C92BF8" w:rsidRDefault="000F67C3" w:rsidP="00BF5F28">
      <w:pPr>
        <w:pStyle w:val="Numberedpara3level1"/>
        <w:numPr>
          <w:ilvl w:val="0"/>
          <w:numId w:val="19"/>
        </w:numPr>
        <w:rPr>
          <w:lang w:val="en-AU"/>
        </w:rPr>
      </w:pPr>
      <w:r w:rsidRPr="00C92BF8">
        <w:rPr>
          <w:lang w:val="en-AU"/>
        </w:rPr>
        <w:t xml:space="preserve">Fees have not increased since 2008. </w:t>
      </w:r>
      <w:r w:rsidR="00E8798F">
        <w:t xml:space="preserve">The Department has contained costs as far as possible and </w:t>
      </w:r>
      <w:r w:rsidR="00E8798F" w:rsidRPr="00A00970">
        <w:t>is</w:t>
      </w:r>
      <w:r w:rsidR="00E8798F">
        <w:t xml:space="preserve"> currently</w:t>
      </w:r>
      <w:r w:rsidR="00E8798F" w:rsidRPr="00A00970">
        <w:t xml:space="preserve"> operating at the lowest number of staff </w:t>
      </w:r>
      <w:r w:rsidR="002F23FB">
        <w:t xml:space="preserve">employed in gambling regulatory work </w:t>
      </w:r>
      <w:r w:rsidR="00E8798F" w:rsidRPr="00A00970">
        <w:t>since</w:t>
      </w:r>
      <w:r w:rsidR="00E8798F">
        <w:t xml:space="preserve"> 2004.</w:t>
      </w:r>
    </w:p>
    <w:p w:rsidR="0074252E" w:rsidRPr="00970284" w:rsidRDefault="009A77CB" w:rsidP="00970284">
      <w:pPr>
        <w:pStyle w:val="Numberedpara3level1"/>
        <w:rPr>
          <w:lang w:val="en-AU"/>
        </w:rPr>
      </w:pPr>
      <w:r>
        <w:t xml:space="preserve">On 16 February 2015 Cabinet approved the release of the consultation document </w:t>
      </w:r>
      <w:r w:rsidRPr="00E664C7">
        <w:rPr>
          <w:i/>
        </w:rPr>
        <w:t>Proposed changes to gambling fees</w:t>
      </w:r>
      <w:r>
        <w:t xml:space="preserve"> for the</w:t>
      </w:r>
      <w:r w:rsidR="002A61A2">
        <w:t xml:space="preserve"> non-casino gaming machine sector</w:t>
      </w:r>
      <w:r>
        <w:t xml:space="preserve"> </w:t>
      </w:r>
      <w:r w:rsidR="002A61A2">
        <w:t xml:space="preserve">(the </w:t>
      </w:r>
      <w:r>
        <w:t>class 4</w:t>
      </w:r>
      <w:r w:rsidR="00EA234D">
        <w:t xml:space="preserve"> sector</w:t>
      </w:r>
      <w:r w:rsidR="002A61A2">
        <w:t>)</w:t>
      </w:r>
      <w:r>
        <w:t xml:space="preserve"> and</w:t>
      </w:r>
      <w:r w:rsidR="00EA234D">
        <w:t xml:space="preserve"> the</w:t>
      </w:r>
      <w:r w:rsidR="002A61A2">
        <w:t xml:space="preserve"> casino sector </w:t>
      </w:r>
      <w:r>
        <w:t>[CAB Min (15) 4/3 refers].</w:t>
      </w:r>
      <w:r w:rsidR="00862C40">
        <w:t xml:space="preserve"> </w:t>
      </w:r>
      <w:r w:rsidR="0074252E" w:rsidRPr="008541F1">
        <w:t xml:space="preserve">The Department received 41 submissions on the </w:t>
      </w:r>
      <w:r w:rsidR="00EE1935">
        <w:t>consultation document</w:t>
      </w:r>
      <w:r w:rsidR="0074252E" w:rsidRPr="008541F1">
        <w:t xml:space="preserve"> from the class 4 sector, funding recipients, the casino sector, problem gambling help providers and an individual submitter. </w:t>
      </w:r>
      <w:r w:rsidR="00F96E22">
        <w:t xml:space="preserve">The majority of submitters opposed </w:t>
      </w:r>
      <w:r w:rsidR="00696482">
        <w:t>any increases in fees.</w:t>
      </w:r>
    </w:p>
    <w:p w:rsidR="00F96E22" w:rsidRDefault="0074252E" w:rsidP="0074252E">
      <w:pPr>
        <w:pStyle w:val="Numberedpara3level1"/>
      </w:pPr>
      <w:r w:rsidRPr="008541F1">
        <w:t xml:space="preserve">The class 4 </w:t>
      </w:r>
      <w:r w:rsidR="0016292F">
        <w:t xml:space="preserve">gambling </w:t>
      </w:r>
      <w:r w:rsidRPr="008541F1">
        <w:t>sector contend</w:t>
      </w:r>
      <w:r w:rsidR="00784A7B">
        <w:t>ed</w:t>
      </w:r>
      <w:r w:rsidRPr="008541F1">
        <w:t xml:space="preserve"> that</w:t>
      </w:r>
      <w:r w:rsidR="00F96E22">
        <w:t>:</w:t>
      </w:r>
    </w:p>
    <w:p w:rsidR="00696482" w:rsidRDefault="00A40D5E" w:rsidP="00F96E22">
      <w:pPr>
        <w:pStyle w:val="Bullet"/>
      </w:pPr>
      <w:r>
        <w:t xml:space="preserve">the proposed </w:t>
      </w:r>
      <w:r w:rsidR="00696482">
        <w:t>f</w:t>
      </w:r>
      <w:r w:rsidR="0074252E" w:rsidRPr="008541F1">
        <w:t>ee</w:t>
      </w:r>
      <w:r w:rsidR="00696482">
        <w:t xml:space="preserve"> increases</w:t>
      </w:r>
      <w:r w:rsidR="0074252E" w:rsidRPr="008541F1">
        <w:t xml:space="preserve"> are unaffordable, especially in combination with </w:t>
      </w:r>
      <w:r w:rsidR="00395FD0">
        <w:t xml:space="preserve">scheduled </w:t>
      </w:r>
      <w:r w:rsidR="0074252E" w:rsidRPr="008541F1">
        <w:t>increases to the minimum rate of return</w:t>
      </w:r>
      <w:r w:rsidR="00696482">
        <w:t xml:space="preserve"> to authorised community purposes</w:t>
      </w:r>
      <w:r w:rsidR="00DC3F0C">
        <w:t xml:space="preserve"> </w:t>
      </w:r>
      <w:r w:rsidR="00DC3F0C" w:rsidRPr="008541F1">
        <w:t>(from 40 per cent currently to 42 per cent in 2018)</w:t>
      </w:r>
      <w:r w:rsidR="00114645">
        <w:t xml:space="preserve"> and other </w:t>
      </w:r>
      <w:r w:rsidR="009227D9">
        <w:t>operational requirements that involve a cost</w:t>
      </w:r>
      <w:r w:rsidR="00DC3F0C">
        <w:t>;</w:t>
      </w:r>
    </w:p>
    <w:p w:rsidR="00696482" w:rsidRDefault="0074252E" w:rsidP="00F96E22">
      <w:pPr>
        <w:pStyle w:val="Bullet"/>
      </w:pPr>
      <w:r w:rsidRPr="008541F1">
        <w:t>in order to pay the</w:t>
      </w:r>
      <w:r w:rsidR="0075772E">
        <w:t xml:space="preserve"> proposed </w:t>
      </w:r>
      <w:r w:rsidRPr="008541F1">
        <w:t xml:space="preserve">fees and still meet the </w:t>
      </w:r>
      <w:r w:rsidR="00A7675C">
        <w:t xml:space="preserve">regulated </w:t>
      </w:r>
      <w:r w:rsidRPr="008541F1">
        <w:t>minimum rate of return</w:t>
      </w:r>
      <w:r w:rsidR="00134FAE">
        <w:t>,</w:t>
      </w:r>
      <w:r w:rsidRPr="008541F1">
        <w:t xml:space="preserve"> they will be forced to close </w:t>
      </w:r>
      <w:r w:rsidR="00A7675C">
        <w:t>low</w:t>
      </w:r>
      <w:r w:rsidR="00835216">
        <w:t>-</w:t>
      </w:r>
      <w:r w:rsidR="0051433D">
        <w:t>turnover</w:t>
      </w:r>
      <w:r w:rsidRPr="008541F1">
        <w:t xml:space="preserve"> gaming venues</w:t>
      </w:r>
      <w:r w:rsidR="00696482">
        <w:t>;</w:t>
      </w:r>
      <w:r w:rsidR="00134FAE">
        <w:t xml:space="preserve"> and</w:t>
      </w:r>
    </w:p>
    <w:p w:rsidR="00696482" w:rsidRDefault="00696482" w:rsidP="00F96E22">
      <w:pPr>
        <w:pStyle w:val="Bullet"/>
      </w:pPr>
      <w:r>
        <w:t>t</w:t>
      </w:r>
      <w:r w:rsidR="0074252E">
        <w:t xml:space="preserve">his would </w:t>
      </w:r>
      <w:r w:rsidR="0074252E" w:rsidRPr="008541F1">
        <w:t>reduc</w:t>
      </w:r>
      <w:r w:rsidR="0074252E">
        <w:t>e</w:t>
      </w:r>
      <w:r w:rsidR="0074252E" w:rsidRPr="008541F1">
        <w:t xml:space="preserve"> the aggregate amount of funding available to be returned to communities. </w:t>
      </w:r>
    </w:p>
    <w:p w:rsidR="0074252E" w:rsidRPr="008541F1" w:rsidRDefault="00620A6E" w:rsidP="00696482">
      <w:pPr>
        <w:pStyle w:val="Numberedpara3level1"/>
      </w:pPr>
      <w:r>
        <w:lastRenderedPageBreak/>
        <w:t xml:space="preserve">The few funding recipients who made submissions were also opposed to the </w:t>
      </w:r>
      <w:r w:rsidR="000B3695">
        <w:t xml:space="preserve">class 4 </w:t>
      </w:r>
      <w:r>
        <w:t>fee increases because of the risks to community funding</w:t>
      </w:r>
      <w:r w:rsidR="002E4014">
        <w:t>.</w:t>
      </w:r>
      <w:r w:rsidR="00835216">
        <w:t xml:space="preserve"> </w:t>
      </w:r>
      <w:r w:rsidR="00EB52D1">
        <w:t xml:space="preserve">Submitters in support of </w:t>
      </w:r>
      <w:r w:rsidR="000B3695">
        <w:t xml:space="preserve">increases in class 4 fees </w:t>
      </w:r>
      <w:r w:rsidR="00835216">
        <w:t xml:space="preserve">noted that </w:t>
      </w:r>
      <w:r w:rsidR="00EB52D1">
        <w:t>more regulat</w:t>
      </w:r>
      <w:r w:rsidR="00696482">
        <w:t>ion of the sector was needed</w:t>
      </w:r>
      <w:r w:rsidR="00860687">
        <w:t xml:space="preserve"> to help</w:t>
      </w:r>
      <w:r w:rsidR="009A57A4">
        <w:t xml:space="preserve"> minimise the risk of gambling harm.</w:t>
      </w:r>
    </w:p>
    <w:p w:rsidR="00447EF7" w:rsidRDefault="009A57A4" w:rsidP="003B7C31">
      <w:pPr>
        <w:pStyle w:val="Numberedpara3level1"/>
      </w:pPr>
      <w:r>
        <w:t xml:space="preserve">Despite </w:t>
      </w:r>
      <w:r w:rsidR="002D258A">
        <w:t xml:space="preserve">the objections </w:t>
      </w:r>
      <w:r w:rsidR="00550A94">
        <w:t xml:space="preserve">raised by submitters </w:t>
      </w:r>
      <w:r w:rsidR="002D258A">
        <w:t xml:space="preserve">to the </w:t>
      </w:r>
      <w:r w:rsidR="00550A94">
        <w:t xml:space="preserve">proposed </w:t>
      </w:r>
      <w:r w:rsidR="002D258A">
        <w:t>fee</w:t>
      </w:r>
      <w:r w:rsidR="00550A94">
        <w:t>s</w:t>
      </w:r>
      <w:r w:rsidR="004E6EE9">
        <w:t xml:space="preserve">, </w:t>
      </w:r>
      <w:r w:rsidR="00D77370">
        <w:t>I propose to progress the changes to class 4 fees as set out in the consultation document. T</w:t>
      </w:r>
      <w:r w:rsidR="002D258A">
        <w:t>he proposed f</w:t>
      </w:r>
      <w:r w:rsidR="00784A7B" w:rsidRPr="008541F1">
        <w:t>ee</w:t>
      </w:r>
      <w:r w:rsidR="00785836">
        <w:t xml:space="preserve">s </w:t>
      </w:r>
      <w:r w:rsidR="00784A7B" w:rsidRPr="008541F1">
        <w:t xml:space="preserve">are essential </w:t>
      </w:r>
      <w:r w:rsidR="00AB30B1">
        <w:t xml:space="preserve">now. </w:t>
      </w:r>
      <w:r w:rsidR="00D260C2">
        <w:t xml:space="preserve">The current fees </w:t>
      </w:r>
      <w:r w:rsidR="00804A64">
        <w:t>have not covered the Department’s regulatory costs for some years. I</w:t>
      </w:r>
      <w:r w:rsidR="00AB30B1">
        <w:t xml:space="preserve">f </w:t>
      </w:r>
      <w:r w:rsidR="003B7C31">
        <w:t>consideration of fee increases are delaye</w:t>
      </w:r>
      <w:r w:rsidR="00447EF7">
        <w:t>d:</w:t>
      </w:r>
    </w:p>
    <w:p w:rsidR="003B7C31" w:rsidRDefault="00447EF7" w:rsidP="00447EF7">
      <w:pPr>
        <w:pStyle w:val="Bullet"/>
      </w:pPr>
      <w:r>
        <w:t xml:space="preserve">the </w:t>
      </w:r>
      <w:r w:rsidR="003B7C31">
        <w:t xml:space="preserve">memorandum account deficit will increase </w:t>
      </w:r>
      <w:r w:rsidR="00EA3F11">
        <w:t xml:space="preserve">(a forecast deficit of </w:t>
      </w:r>
      <w:r w:rsidR="003B7C31">
        <w:t xml:space="preserve">just under </w:t>
      </w:r>
      <w:r w:rsidR="00CA0C76">
        <w:t>40</w:t>
      </w:r>
      <w:r w:rsidR="003B7C31">
        <w:t xml:space="preserve"> million by 20</w:t>
      </w:r>
      <w:r>
        <w:t>1</w:t>
      </w:r>
      <w:r w:rsidR="00CA0C76">
        <w:t>8</w:t>
      </w:r>
      <w:r>
        <w:t>/</w:t>
      </w:r>
      <w:r w:rsidR="00CA0C76">
        <w:t>19</w:t>
      </w:r>
      <w:r w:rsidR="00EA3F11">
        <w:t>)</w:t>
      </w:r>
      <w:r>
        <w:t>;</w:t>
      </w:r>
      <w:r w:rsidR="00225DC3">
        <w:t xml:space="preserve"> and</w:t>
      </w:r>
    </w:p>
    <w:p w:rsidR="00447EF7" w:rsidRDefault="00225DC3" w:rsidP="00447EF7">
      <w:pPr>
        <w:pStyle w:val="Bullet"/>
      </w:pPr>
      <w:r>
        <w:t>Departmental costs would need to be cut through significant staff reductions, leading to reduced</w:t>
      </w:r>
      <w:r w:rsidR="00C23CF9">
        <w:t xml:space="preserve"> levels of regulatory ov</w:t>
      </w:r>
      <w:r w:rsidR="00DE731A">
        <w:t>ersight</w:t>
      </w:r>
      <w:r w:rsidR="00E65660">
        <w:t>.</w:t>
      </w:r>
    </w:p>
    <w:p w:rsidR="00A103DC" w:rsidRDefault="009227D9" w:rsidP="00A103DC">
      <w:pPr>
        <w:pStyle w:val="Numberedpara3level1"/>
        <w:numPr>
          <w:ilvl w:val="0"/>
          <w:numId w:val="19"/>
        </w:numPr>
        <w:tabs>
          <w:tab w:val="clear" w:pos="567"/>
        </w:tabs>
      </w:pPr>
      <w:r>
        <w:t xml:space="preserve">Some societies </w:t>
      </w:r>
      <w:r w:rsidR="00825AD9">
        <w:t>could</w:t>
      </w:r>
      <w:r>
        <w:t xml:space="preserve"> find it hard to adjust to the combination of rate of return increases, fee increases, and other cost pressures</w:t>
      </w:r>
      <w:r w:rsidR="00DE731A">
        <w:t xml:space="preserve"> with possible impacts on community funding. </w:t>
      </w:r>
      <w:r>
        <w:t xml:space="preserve"> </w:t>
      </w:r>
      <w:r w:rsidR="0082565D">
        <w:t>I therefore</w:t>
      </w:r>
      <w:r w:rsidR="002A1C88">
        <w:t xml:space="preserve"> </w:t>
      </w:r>
      <w:r w:rsidR="00DE731A">
        <w:t xml:space="preserve">propose </w:t>
      </w:r>
      <w:r w:rsidR="002A1C88">
        <w:t xml:space="preserve">a rethink of the </w:t>
      </w:r>
      <w:r w:rsidR="00F71D88">
        <w:t xml:space="preserve">rate of return </w:t>
      </w:r>
      <w:r w:rsidR="002A1C88">
        <w:t>increases and s</w:t>
      </w:r>
      <w:r w:rsidR="00A64534">
        <w:t xml:space="preserve">eek agreement to </w:t>
      </w:r>
      <w:r w:rsidR="00FB23E9">
        <w:t xml:space="preserve">the </w:t>
      </w:r>
      <w:r w:rsidR="00A64534">
        <w:t>releas</w:t>
      </w:r>
      <w:r w:rsidR="00904BF4">
        <w:t>e of</w:t>
      </w:r>
      <w:r w:rsidR="00A64534">
        <w:t xml:space="preserve"> </w:t>
      </w:r>
      <w:r w:rsidR="002A1C88">
        <w:t>the attached discussion document</w:t>
      </w:r>
      <w:r w:rsidR="00A105DC">
        <w:t xml:space="preserve"> </w:t>
      </w:r>
      <w:r w:rsidR="00A105DC" w:rsidRPr="00A105DC">
        <w:rPr>
          <w:i/>
        </w:rPr>
        <w:t>Consultation on proposed changes to the minimum rate of return to authorised purposes</w:t>
      </w:r>
      <w:r w:rsidR="00A103DC">
        <w:t xml:space="preserve">.  </w:t>
      </w:r>
    </w:p>
    <w:p w:rsidR="00C23CF9" w:rsidRDefault="00D77370" w:rsidP="00C23CF9">
      <w:pPr>
        <w:pStyle w:val="Numberedpara3level1"/>
        <w:numPr>
          <w:ilvl w:val="0"/>
          <w:numId w:val="19"/>
        </w:numPr>
        <w:tabs>
          <w:tab w:val="clear" w:pos="567"/>
        </w:tabs>
      </w:pPr>
      <w:r>
        <w:t xml:space="preserve">The </w:t>
      </w:r>
      <w:r w:rsidR="00C23CF9">
        <w:t xml:space="preserve">proposed </w:t>
      </w:r>
      <w:r>
        <w:t xml:space="preserve">fee increases </w:t>
      </w:r>
      <w:r w:rsidR="007F7A32">
        <w:t xml:space="preserve">will </w:t>
      </w:r>
      <w:r w:rsidR="0044012D">
        <w:t xml:space="preserve">address the Department’s annual operating deficit and reduce the memorandum account deficit. </w:t>
      </w:r>
      <w:r w:rsidR="00C23CF9">
        <w:t xml:space="preserve">The proposed rethink of the rate of return </w:t>
      </w:r>
      <w:r w:rsidR="008B0BDD">
        <w:t xml:space="preserve">requirements aims to help </w:t>
      </w:r>
      <w:r w:rsidR="00C23CF9">
        <w:t>alleviate pressure on societies until the broader class 4 review can comprehensively identify regulatory design and pricing options that are more fit-for-purpose than current arrangements. These issues are discussed in my accompanying paper</w:t>
      </w:r>
      <w:r w:rsidR="00C23CF9" w:rsidRPr="001B323C">
        <w:rPr>
          <w:i/>
        </w:rPr>
        <w:t xml:space="preserve"> </w:t>
      </w:r>
      <w:r w:rsidR="006909E7" w:rsidRPr="00736500">
        <w:rPr>
          <w:i/>
        </w:rPr>
        <w:t>Review of the regulatory regime for</w:t>
      </w:r>
      <w:r w:rsidR="006909E7">
        <w:t xml:space="preserve"> </w:t>
      </w:r>
      <w:r w:rsidR="006909E7" w:rsidRPr="003367E6">
        <w:rPr>
          <w:i/>
        </w:rPr>
        <w:t>class 4 gambling</w:t>
      </w:r>
      <w:r w:rsidR="006909E7">
        <w:t>.</w:t>
      </w:r>
    </w:p>
    <w:p w:rsidR="00E664C7" w:rsidRPr="00450B82" w:rsidRDefault="00963044" w:rsidP="00450B82">
      <w:pPr>
        <w:pStyle w:val="Numberedpara3level1"/>
        <w:rPr>
          <w:lang w:val="en-AU"/>
        </w:rPr>
      </w:pPr>
      <w:r>
        <w:t>I propose</w:t>
      </w:r>
      <w:r w:rsidR="00702E8D">
        <w:t xml:space="preserve"> to progress the changes to the annual licence fees</w:t>
      </w:r>
      <w:r w:rsidR="00450B82">
        <w:t xml:space="preserve"> </w:t>
      </w:r>
      <w:r w:rsidR="00F21570">
        <w:t>for the six casinos</w:t>
      </w:r>
      <w:r w:rsidR="00450B82">
        <w:t xml:space="preserve"> set out in the consultation document. </w:t>
      </w:r>
      <w:r w:rsidR="00810E9D">
        <w:t xml:space="preserve">The shift to using the numbers of machines and tables is a more objective basis for setting the annual licence fees for each casino than the current split based on estimated activity. </w:t>
      </w:r>
      <w:r w:rsidR="00EE1935">
        <w:t xml:space="preserve">The Department has reassessed the fees for </w:t>
      </w:r>
      <w:r w:rsidR="00AC39B7" w:rsidRPr="008541F1">
        <w:t>certificates of approval and associated person approvals</w:t>
      </w:r>
      <w:r w:rsidR="00AC39B7">
        <w:t xml:space="preserve"> for casino staf</w:t>
      </w:r>
      <w:r w:rsidR="000612D9">
        <w:t xml:space="preserve">f. Following this reassessment </w:t>
      </w:r>
      <w:r w:rsidR="009E18E4">
        <w:t xml:space="preserve">I </w:t>
      </w:r>
      <w:r w:rsidR="00EE1935">
        <w:t>propose a smaller increase to the</w:t>
      </w:r>
      <w:r w:rsidR="00AC39B7">
        <w:t>se</w:t>
      </w:r>
      <w:r w:rsidR="00EE1935">
        <w:t xml:space="preserve"> </w:t>
      </w:r>
      <w:r w:rsidR="009E18E4" w:rsidRPr="008541F1">
        <w:t xml:space="preserve">fees </w:t>
      </w:r>
      <w:r w:rsidR="00AC39B7">
        <w:t>than set out in the consultation document</w:t>
      </w:r>
      <w:r w:rsidR="00026A20">
        <w:t>.</w:t>
      </w:r>
    </w:p>
    <w:p w:rsidR="00572649" w:rsidRPr="00D77370" w:rsidRDefault="00572649" w:rsidP="00D77370">
      <w:pPr>
        <w:pStyle w:val="Numberedpara3level1"/>
      </w:pPr>
      <w:r>
        <w:t xml:space="preserve">It is intended that new gambling fees regulations come into effect by 1 </w:t>
      </w:r>
      <w:r w:rsidR="000577E7">
        <w:t>December</w:t>
      </w:r>
      <w:r>
        <w:t xml:space="preserve"> 201</w:t>
      </w:r>
      <w:r w:rsidR="000577E7">
        <w:t>5</w:t>
      </w:r>
      <w:r>
        <w:t>.</w:t>
      </w:r>
    </w:p>
    <w:p w:rsidR="002B5F9A" w:rsidRDefault="002B5F9A" w:rsidP="00FA6558">
      <w:pPr>
        <w:pStyle w:val="Cabinetpaperparaheading"/>
      </w:pPr>
      <w:r>
        <w:t>Background</w:t>
      </w:r>
    </w:p>
    <w:p w:rsidR="009523A9" w:rsidRDefault="009559CD" w:rsidP="009523A9">
      <w:pPr>
        <w:pStyle w:val="Numberedpara3level1"/>
      </w:pPr>
      <w:r>
        <w:t xml:space="preserve">The Department </w:t>
      </w:r>
      <w:r w:rsidR="009523A9">
        <w:t>(</w:t>
      </w:r>
      <w:r w:rsidR="006A43FA">
        <w:t xml:space="preserve">and </w:t>
      </w:r>
      <w:r>
        <w:t>the Gambling Commission</w:t>
      </w:r>
      <w:r w:rsidR="009523A9">
        <w:t>)</w:t>
      </w:r>
      <w:r>
        <w:t xml:space="preserve"> </w:t>
      </w:r>
      <w:r w:rsidR="006A43FA">
        <w:t>are</w:t>
      </w:r>
      <w:r>
        <w:t xml:space="preserve"> responsible for the regulation of gambling activities. The costs associated with these regulatory activities are met by charging fees to gambling operators. </w:t>
      </w:r>
      <w:r w:rsidR="009523A9">
        <w:t>The fees are set in regulations made by Order in Council under section 370 of the Act. The fees were last reviewed in 2007.</w:t>
      </w:r>
    </w:p>
    <w:p w:rsidR="009559CD" w:rsidRDefault="009559CD" w:rsidP="009559CD">
      <w:pPr>
        <w:pStyle w:val="Numberedpara3level1"/>
      </w:pPr>
      <w:r w:rsidRPr="00313699">
        <w:t xml:space="preserve">The operators </w:t>
      </w:r>
      <w:r w:rsidR="009523A9">
        <w:t xml:space="preserve">that fund gambling regulatory activity </w:t>
      </w:r>
      <w:r w:rsidRPr="00313699">
        <w:t xml:space="preserve">are </w:t>
      </w:r>
      <w:r>
        <w:t>c</w:t>
      </w:r>
      <w:r w:rsidRPr="00313699">
        <w:t xml:space="preserve">lass 4 gambling societies (those that </w:t>
      </w:r>
      <w:r>
        <w:t xml:space="preserve">operate </w:t>
      </w:r>
      <w:r w:rsidRPr="00313699">
        <w:t xml:space="preserve">gaming machines in pubs and clubs), </w:t>
      </w:r>
      <w:r w:rsidR="00AD2AED">
        <w:t xml:space="preserve">the six </w:t>
      </w:r>
      <w:r w:rsidRPr="00313699">
        <w:t>casino</w:t>
      </w:r>
      <w:r w:rsidR="0070213D">
        <w:t>s</w:t>
      </w:r>
      <w:r w:rsidRPr="00313699">
        <w:t xml:space="preserve">, and </w:t>
      </w:r>
      <w:r w:rsidR="00AD2AED">
        <w:t xml:space="preserve">organisations that conduct </w:t>
      </w:r>
      <w:r w:rsidR="009523A9">
        <w:t xml:space="preserve">class 3 gambling </w:t>
      </w:r>
      <w:r>
        <w:t xml:space="preserve">(where prizes exceed $5000). </w:t>
      </w:r>
    </w:p>
    <w:p w:rsidR="00400ED4" w:rsidRDefault="009D2391" w:rsidP="009D2391">
      <w:pPr>
        <w:pStyle w:val="Numberedpara3level1"/>
      </w:pPr>
      <w:r>
        <w:t xml:space="preserve">On 16 February 2015 Cabinet approved the release of the consultation document </w:t>
      </w:r>
      <w:r w:rsidRPr="009D2391">
        <w:rPr>
          <w:i/>
        </w:rPr>
        <w:t xml:space="preserve">Proposed changes to gambling fees </w:t>
      </w:r>
      <w:r>
        <w:t xml:space="preserve">[CAB Min (15) 4/3 refers]. The consultation document proposed a significant increase to some of the fees paid by class 4 operators. Some fee increases and decreases were proposed for the casino sector. No changes were proposed to class 3 fees. </w:t>
      </w:r>
    </w:p>
    <w:p w:rsidR="00134A6D" w:rsidRDefault="00134A6D" w:rsidP="00134A6D">
      <w:pPr>
        <w:pStyle w:val="Briefingparasubheading"/>
      </w:pPr>
      <w:r>
        <w:lastRenderedPageBreak/>
        <w:t xml:space="preserve">Overall context of gambling fees amongst societies’ overall costs </w:t>
      </w:r>
    </w:p>
    <w:p w:rsidR="009D2391" w:rsidRDefault="009D2391" w:rsidP="00134A6D">
      <w:pPr>
        <w:pStyle w:val="Numberedpara3level1"/>
      </w:pPr>
      <w:r>
        <w:t xml:space="preserve">Two-thirds of the </w:t>
      </w:r>
      <w:r w:rsidRPr="00415F52">
        <w:t>Department’s fee</w:t>
      </w:r>
      <w:r>
        <w:t>s</w:t>
      </w:r>
      <w:r w:rsidRPr="00415F52">
        <w:t xml:space="preserve"> revenue comes from </w:t>
      </w:r>
      <w:r>
        <w:t xml:space="preserve">fees tied to the number of gaming machines in </w:t>
      </w:r>
      <w:r w:rsidRPr="00415F52">
        <w:t xml:space="preserve">the </w:t>
      </w:r>
      <w:r>
        <w:t>c</w:t>
      </w:r>
      <w:r w:rsidR="009D22B5">
        <w:t xml:space="preserve">lass 4 </w:t>
      </w:r>
      <w:r w:rsidRPr="00415F52">
        <w:t>sector</w:t>
      </w:r>
      <w:r>
        <w:t xml:space="preserve">. </w:t>
      </w:r>
      <w:r w:rsidRPr="00415F52">
        <w:t>The 200</w:t>
      </w:r>
      <w:r w:rsidR="00CD014B">
        <w:t>8</w:t>
      </w:r>
      <w:r w:rsidRPr="00415F52">
        <w:t xml:space="preserve"> fees were set on the basis that machine numbers would not reduce from approximately 20,000 gaming machines.  At </w:t>
      </w:r>
      <w:r>
        <w:t>June 2015</w:t>
      </w:r>
      <w:r w:rsidRPr="00415F52">
        <w:t xml:space="preserve"> there were 1</w:t>
      </w:r>
      <w:r>
        <w:t>6, 579 machines. The result is that revenue from gaming machines has decreased by 20 per cent since 2008 and the</w:t>
      </w:r>
      <w:r w:rsidR="006306FB">
        <w:t xml:space="preserve"> class 4</w:t>
      </w:r>
      <w:r>
        <w:t xml:space="preserve"> sector has effectively experienced a reduction in fee payments over time. </w:t>
      </w:r>
    </w:p>
    <w:p w:rsidR="00134A6D" w:rsidRDefault="00134A6D" w:rsidP="009A41A7">
      <w:pPr>
        <w:pStyle w:val="Numberedpara3level1"/>
      </w:pPr>
      <w:r>
        <w:t>The figure below shows the current allocation of class 4 gaming machine proceeds (excluding GST). Gambling fees are a society cost, amongst the other costs involved in conducting gambling.</w:t>
      </w:r>
      <w:r w:rsidR="009A41A7" w:rsidRPr="009A41A7">
        <w:t xml:space="preserve"> </w:t>
      </w:r>
      <w:r w:rsidR="009A41A7" w:rsidRPr="00F00CD5">
        <w:t xml:space="preserve">Class 4 fees currently account for approximately 2.06 per cent of societies’ GST-exclusive gross </w:t>
      </w:r>
      <w:r w:rsidR="009A41A7">
        <w:t>gaming machine proceeds (</w:t>
      </w:r>
      <w:r w:rsidR="009A41A7" w:rsidRPr="00F00CD5">
        <w:t>GMP</w:t>
      </w:r>
      <w:r w:rsidR="009A41A7">
        <w:t>)</w:t>
      </w:r>
      <w:r w:rsidR="009A41A7" w:rsidRPr="00F00CD5">
        <w:t xml:space="preserve">. With the proposed fees this is forecast to increase to 3.16 per cent in 2016/17 (a 54 per cent increase in fees). </w:t>
      </w:r>
    </w:p>
    <w:p w:rsidR="00134A6D" w:rsidRDefault="00134A6D" w:rsidP="00134A6D">
      <w:pPr>
        <w:pStyle w:val="Caption"/>
      </w:pPr>
      <w:r>
        <w:t xml:space="preserve">Figure </w:t>
      </w:r>
      <w:r w:rsidR="00F75DEB">
        <w:fldChar w:fldCharType="begin"/>
      </w:r>
      <w:r w:rsidR="00F75DEB">
        <w:instrText xml:space="preserve"> SEQ Figure \* ARABIC </w:instrText>
      </w:r>
      <w:r w:rsidR="00F75DEB">
        <w:fldChar w:fldCharType="separate"/>
      </w:r>
      <w:r w:rsidR="00825AD9">
        <w:rPr>
          <w:noProof/>
        </w:rPr>
        <w:t>1</w:t>
      </w:r>
      <w:r w:rsidR="00F75DEB">
        <w:rPr>
          <w:noProof/>
        </w:rPr>
        <w:fldChar w:fldCharType="end"/>
      </w:r>
      <w:r>
        <w:t xml:space="preserve">: Current allocation of class 4 gaming machine </w:t>
      </w:r>
      <w:r w:rsidR="00C8789F">
        <w:t>proceeds</w:t>
      </w:r>
      <w:r>
        <w:t xml:space="preserve"> (excluding GST)</w:t>
      </w:r>
    </w:p>
    <w:p w:rsidR="00134A6D" w:rsidRDefault="00134A6D" w:rsidP="00134A6D">
      <w:pPr>
        <w:pStyle w:val="Numberedpara3level1"/>
        <w:numPr>
          <w:ilvl w:val="0"/>
          <w:numId w:val="0"/>
        </w:numPr>
        <w:ind w:left="567"/>
        <w:jc w:val="center"/>
      </w:pPr>
      <w:r>
        <w:rPr>
          <w:noProof/>
          <w:lang w:eastAsia="en-NZ"/>
        </w:rPr>
        <w:drawing>
          <wp:inline distT="0" distB="0" distL="0" distR="0" wp14:anchorId="154CC99D" wp14:editId="3DDF50AC">
            <wp:extent cx="4572000" cy="2128838"/>
            <wp:effectExtent l="0" t="0" r="19050" b="241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34A6D" w:rsidRDefault="00134A6D" w:rsidP="00C8789F">
      <w:pPr>
        <w:pStyle w:val="Numberedpara3level1"/>
        <w:numPr>
          <w:ilvl w:val="0"/>
          <w:numId w:val="19"/>
        </w:numPr>
      </w:pPr>
      <w:r>
        <w:t xml:space="preserve">Societies are </w:t>
      </w:r>
      <w:r w:rsidR="004A7CE7">
        <w:t xml:space="preserve">now </w:t>
      </w:r>
      <w:r>
        <w:t>required by the Gambling (Class 4 Net Proceeds) Regulations 2004 to distribute at least 40 per cent of their GST-exclusive gross pro</w:t>
      </w:r>
      <w:r w:rsidR="0036215F">
        <w:t xml:space="preserve">ceeds to community </w:t>
      </w:r>
      <w:r>
        <w:t xml:space="preserve">purposes. A priority of the previous Minister of Internal Affairs was to increase returns to the community from class 4 gambling. In 2013, the decision was made to </w:t>
      </w:r>
      <w:r w:rsidRPr="00766B81">
        <w:rPr>
          <w:spacing w:val="-2"/>
        </w:rPr>
        <w:t xml:space="preserve">progressively </w:t>
      </w:r>
      <w:r>
        <w:t>increase the minimum rate of return [EGI Min (14) 7/16 refers]. The rate increased to 40 per cent in September 2014 and will increase to 41 per cent in 2016 and 42 per cent in 2018</w:t>
      </w:r>
      <w:r w:rsidRPr="00766B81">
        <w:rPr>
          <w:spacing w:val="-2"/>
        </w:rPr>
        <w:t xml:space="preserve">. </w:t>
      </w:r>
    </w:p>
    <w:p w:rsidR="00C15436" w:rsidRDefault="00CE5393" w:rsidP="00FA6558">
      <w:pPr>
        <w:pStyle w:val="Cabinetpaperparaheading"/>
      </w:pPr>
      <w:r>
        <w:t xml:space="preserve">Fee increases are needed to fund the </w:t>
      </w:r>
      <w:r w:rsidR="006306FB">
        <w:t>c</w:t>
      </w:r>
      <w:r>
        <w:t xml:space="preserve">ost of regulating the class 4 </w:t>
      </w:r>
      <w:r w:rsidR="00BD2AFF">
        <w:t xml:space="preserve">gambling </w:t>
      </w:r>
      <w:r>
        <w:t>sector</w:t>
      </w:r>
    </w:p>
    <w:p w:rsidR="006306FB" w:rsidRDefault="006306FB" w:rsidP="006306FB">
      <w:pPr>
        <w:pStyle w:val="Cabinetpaperparasubheading"/>
      </w:pPr>
      <w:r>
        <w:t>Declining revenue leading to under-recovery of costs</w:t>
      </w:r>
    </w:p>
    <w:p w:rsidR="0004516C" w:rsidRDefault="004B1E65" w:rsidP="00484FA0">
      <w:pPr>
        <w:pStyle w:val="Numberedpara3level1"/>
      </w:pPr>
      <w:r w:rsidRPr="0004516C">
        <w:rPr>
          <w:rFonts w:eastAsia="Calibri"/>
          <w:lang w:val="en-AU"/>
        </w:rPr>
        <w:t>T</w:t>
      </w:r>
      <w:r w:rsidR="006306FB" w:rsidRPr="0004516C">
        <w:rPr>
          <w:rFonts w:eastAsia="Calibri"/>
          <w:lang w:val="en-AU"/>
        </w:rPr>
        <w:t>he Department is under-recovering its costs for regulati</w:t>
      </w:r>
      <w:r w:rsidR="00BD2AFF">
        <w:rPr>
          <w:rFonts w:eastAsia="Calibri"/>
          <w:lang w:val="en-AU"/>
        </w:rPr>
        <w:t>ng</w:t>
      </w:r>
      <w:r w:rsidR="006306FB" w:rsidRPr="0004516C">
        <w:rPr>
          <w:rFonts w:eastAsia="Calibri"/>
          <w:lang w:val="en-AU"/>
        </w:rPr>
        <w:t xml:space="preserve"> the class 4 </w:t>
      </w:r>
      <w:r w:rsidR="00BD2AFF">
        <w:rPr>
          <w:rFonts w:eastAsia="Calibri"/>
          <w:lang w:val="en-AU"/>
        </w:rPr>
        <w:t xml:space="preserve">gambling </w:t>
      </w:r>
      <w:r w:rsidR="006306FB" w:rsidRPr="0004516C">
        <w:rPr>
          <w:rFonts w:eastAsia="Calibri"/>
          <w:lang w:val="en-AU"/>
        </w:rPr>
        <w:t xml:space="preserve">sector and is projected to continue to under-recover for the foreseeable future.  The under-recovery over the last five years has resulted in an annual operating deficit, which increased to $3.8 million at 30 June 2015. This operating deficit is being met from within the Department’s overall balance sheet. </w:t>
      </w:r>
      <w:r w:rsidR="0004516C">
        <w:t xml:space="preserve">The Act </w:t>
      </w:r>
      <w:r w:rsidR="00016F70">
        <w:t xml:space="preserve">enables the </w:t>
      </w:r>
      <w:r w:rsidR="0004516C">
        <w:t xml:space="preserve">cost of regulation </w:t>
      </w:r>
      <w:r w:rsidR="00016F70">
        <w:t xml:space="preserve">to be </w:t>
      </w:r>
      <w:r w:rsidR="00BD2AFF">
        <w:t>met by the sector</w:t>
      </w:r>
      <w:r w:rsidR="0004516C">
        <w:t xml:space="preserve">.  </w:t>
      </w:r>
    </w:p>
    <w:p w:rsidR="00484FA0" w:rsidRPr="00415F52" w:rsidRDefault="00E16460" w:rsidP="0004516C">
      <w:pPr>
        <w:pStyle w:val="Cabinetpaperparasubheading"/>
      </w:pPr>
      <w:r>
        <w:lastRenderedPageBreak/>
        <w:t>C</w:t>
      </w:r>
      <w:r w:rsidR="00484FA0">
        <w:t>ost pressures on the Department</w:t>
      </w:r>
    </w:p>
    <w:p w:rsidR="0004516C" w:rsidRDefault="00484FA0" w:rsidP="0004516C">
      <w:pPr>
        <w:pStyle w:val="Numberedpara3level1"/>
        <w:rPr>
          <w:rFonts w:eastAsia="Calibri"/>
          <w:lang w:val="en-AU"/>
        </w:rPr>
      </w:pPr>
      <w:r>
        <w:t xml:space="preserve">Declining machine numbers have not led to a decline in the demand for regulatory compliance activity. </w:t>
      </w:r>
      <w:r w:rsidRPr="008B06C7">
        <w:rPr>
          <w:rFonts w:eastAsia="Calibri"/>
          <w:lang w:val="en-AU"/>
        </w:rPr>
        <w:t xml:space="preserve">Nearly 80 per cent of the Department’s costs of regulation are driven by work associated with the class 4 </w:t>
      </w:r>
      <w:r w:rsidR="00276C6A">
        <w:rPr>
          <w:rFonts w:eastAsia="Calibri"/>
          <w:lang w:val="en-AU"/>
        </w:rPr>
        <w:t xml:space="preserve">gambling </w:t>
      </w:r>
      <w:r w:rsidRPr="008B06C7">
        <w:rPr>
          <w:rFonts w:eastAsia="Calibri"/>
          <w:lang w:val="en-AU"/>
        </w:rPr>
        <w:t xml:space="preserve">sector. </w:t>
      </w:r>
      <w:r>
        <w:t xml:space="preserve">The Department’s regulatory activities in the sector include efforts to reduce theft and fraud, as well as activities to minimise gambling harm and maximise community returns. </w:t>
      </w:r>
    </w:p>
    <w:p w:rsidR="0004516C" w:rsidRPr="0004516C" w:rsidRDefault="0004516C" w:rsidP="0004516C">
      <w:pPr>
        <w:pStyle w:val="Numberedpara3level1"/>
        <w:rPr>
          <w:rFonts w:eastAsia="Calibri"/>
          <w:lang w:val="en-AU"/>
        </w:rPr>
      </w:pPr>
      <w:r>
        <w:t xml:space="preserve">Cost increases are driven by the need to maintain the Department’s levels of regulatory activity in the class 4 </w:t>
      </w:r>
      <w:r w:rsidR="00276C6A">
        <w:t xml:space="preserve">gambling </w:t>
      </w:r>
      <w:r>
        <w:t>sector (despite the reducing size of the sector) and because of fixed cost pressures such as:</w:t>
      </w:r>
    </w:p>
    <w:p w:rsidR="0004516C" w:rsidRDefault="0004516C" w:rsidP="0004516C">
      <w:pPr>
        <w:pStyle w:val="Bullet"/>
      </w:pPr>
      <w:r>
        <w:t>the ongoing costs for operating and maintaining the Electronic Monitoring System (EMS) for class 4 gaming machines; and</w:t>
      </w:r>
    </w:p>
    <w:p w:rsidR="0004516C" w:rsidRDefault="0004516C" w:rsidP="0004516C">
      <w:pPr>
        <w:pStyle w:val="Bullet"/>
      </w:pPr>
      <w:r>
        <w:t>development, depreciation and maintenance costs for the Integrated Gambling Platform system (IGP) to assist with regulating the industry.</w:t>
      </w:r>
    </w:p>
    <w:p w:rsidR="0004516C" w:rsidRPr="0004516C" w:rsidRDefault="0004516C" w:rsidP="0004516C">
      <w:pPr>
        <w:pStyle w:val="Numberedpara3level1"/>
        <w:rPr>
          <w:rFonts w:eastAsia="Calibri"/>
          <w:lang w:val="en-AU"/>
        </w:rPr>
      </w:pPr>
      <w:r w:rsidRPr="0004516C">
        <w:rPr>
          <w:rFonts w:eastAsia="Calibri"/>
          <w:lang w:val="en-AU"/>
        </w:rPr>
        <w:t xml:space="preserve">General cost pressures include all consumer price index adjustments, increases in salary costs, contribution to corporate overhead and capital charges. </w:t>
      </w:r>
    </w:p>
    <w:p w:rsidR="00484FA0" w:rsidRDefault="00484FA0" w:rsidP="00484FA0">
      <w:pPr>
        <w:pStyle w:val="Numberedpara3level1"/>
        <w:rPr>
          <w:rFonts w:eastAsia="Calibri"/>
          <w:lang w:val="en-AU"/>
        </w:rPr>
      </w:pPr>
      <w:r>
        <w:rPr>
          <w:rFonts w:eastAsia="Calibri"/>
          <w:lang w:val="en-AU"/>
        </w:rPr>
        <w:t xml:space="preserve">The total cost in 2014/15 to run the Department’s gambling related compliance functions of the Department’s regulatory services group was $22.268 million. It is difficult to compare the Department’s costs of gambling regulation with other jurisdictions as New Zealand’s model for class 4 gambling as a ‘not-for-profit’ activity is unique. </w:t>
      </w:r>
    </w:p>
    <w:p w:rsidR="00484FA0" w:rsidRPr="00B031C1" w:rsidRDefault="00484FA0" w:rsidP="00484FA0">
      <w:pPr>
        <w:pStyle w:val="Numberedpara3level1"/>
        <w:rPr>
          <w:rFonts w:eastAsia="Calibri"/>
          <w:lang w:val="en-AU"/>
        </w:rPr>
      </w:pPr>
      <w:r>
        <w:rPr>
          <w:rFonts w:eastAsia="Calibri"/>
          <w:lang w:val="en-AU"/>
        </w:rPr>
        <w:t>N</w:t>
      </w:r>
      <w:r w:rsidRPr="00522402">
        <w:rPr>
          <w:rFonts w:eastAsia="Calibri"/>
          <w:lang w:val="en-AU"/>
        </w:rPr>
        <w:t xml:space="preserve">on-commercial societies </w:t>
      </w:r>
      <w:r>
        <w:rPr>
          <w:rFonts w:eastAsia="Calibri"/>
          <w:lang w:val="en-AU"/>
        </w:rPr>
        <w:t xml:space="preserve">are licensed to </w:t>
      </w:r>
      <w:r w:rsidRPr="00522402">
        <w:rPr>
          <w:rFonts w:eastAsia="Calibri"/>
          <w:lang w:val="en-AU"/>
        </w:rPr>
        <w:t>operat</w:t>
      </w:r>
      <w:r>
        <w:rPr>
          <w:rFonts w:eastAsia="Calibri"/>
          <w:lang w:val="en-AU"/>
        </w:rPr>
        <w:t>e</w:t>
      </w:r>
      <w:r w:rsidRPr="00522402">
        <w:rPr>
          <w:rFonts w:eastAsia="Calibri"/>
          <w:lang w:val="en-AU"/>
        </w:rPr>
        <w:t xml:space="preserve"> gaming machines solely to distribute funds to community purposes. </w:t>
      </w:r>
      <w:r w:rsidRPr="00B031C1">
        <w:rPr>
          <w:rFonts w:eastAsia="Calibri"/>
          <w:lang w:val="en-AU"/>
        </w:rPr>
        <w:t>In most other comparable jurisdictions, gaming machine gambling is often conduct</w:t>
      </w:r>
      <w:r>
        <w:rPr>
          <w:rFonts w:eastAsia="Calibri"/>
          <w:lang w:val="en-AU"/>
        </w:rPr>
        <w:t xml:space="preserve">ed as a “for profit” activity. Therefore </w:t>
      </w:r>
      <w:r w:rsidRPr="00B031C1">
        <w:rPr>
          <w:rFonts w:eastAsia="Calibri"/>
          <w:lang w:val="en-AU"/>
        </w:rPr>
        <w:t>there is no requirement in other jurisdictions to enforce regulation</w:t>
      </w:r>
      <w:r>
        <w:rPr>
          <w:rFonts w:eastAsia="Calibri"/>
          <w:lang w:val="en-AU"/>
        </w:rPr>
        <w:t>s</w:t>
      </w:r>
      <w:r w:rsidRPr="00B031C1">
        <w:rPr>
          <w:rFonts w:eastAsia="Calibri"/>
          <w:lang w:val="en-AU"/>
        </w:rPr>
        <w:t xml:space="preserve"> aimed at maximising gambling profits for distribution and ensur</w:t>
      </w:r>
      <w:r w:rsidR="00FA738C">
        <w:rPr>
          <w:rFonts w:eastAsia="Calibri"/>
          <w:lang w:val="en-AU"/>
        </w:rPr>
        <w:t>ing</w:t>
      </w:r>
      <w:r w:rsidRPr="00B031C1">
        <w:rPr>
          <w:rFonts w:eastAsia="Calibri"/>
          <w:lang w:val="en-AU"/>
        </w:rPr>
        <w:t xml:space="preserve"> the integrity of grant distribution processes.  </w:t>
      </w:r>
    </w:p>
    <w:p w:rsidR="00AD5742" w:rsidRDefault="00A87325" w:rsidP="00AD5742">
      <w:pPr>
        <w:pStyle w:val="Cabinetpaperparasubheading"/>
      </w:pPr>
      <w:r>
        <w:t>Forecast costs cannot be absorbed within baseline</w:t>
      </w:r>
      <w:r w:rsidR="00546ACE">
        <w:t>s</w:t>
      </w:r>
    </w:p>
    <w:p w:rsidR="00715975" w:rsidRDefault="00A70F82" w:rsidP="00A00970">
      <w:pPr>
        <w:pStyle w:val="Numberedpara3level1"/>
      </w:pPr>
      <w:r>
        <w:t xml:space="preserve">My accompanying paper </w:t>
      </w:r>
      <w:r w:rsidR="00673DB2" w:rsidRPr="00673DB2">
        <w:rPr>
          <w:i/>
        </w:rPr>
        <w:t>Initiating a review of class 4 gambling</w:t>
      </w:r>
      <w:r w:rsidR="00B344E3">
        <w:t xml:space="preserve"> </w:t>
      </w:r>
      <w:r w:rsidR="00B70193">
        <w:t xml:space="preserve">describes the scope of the current regulatory framework for </w:t>
      </w:r>
      <w:r w:rsidR="006B6D93">
        <w:t xml:space="preserve">this type of </w:t>
      </w:r>
      <w:r w:rsidR="00B70193">
        <w:t>gambling</w:t>
      </w:r>
      <w:r w:rsidR="00715975">
        <w:t xml:space="preserve">, which requires the Department to </w:t>
      </w:r>
      <w:r w:rsidR="005376AA">
        <w:t xml:space="preserve">provide high levels of regulatory oversight. </w:t>
      </w:r>
      <w:r w:rsidR="00BB0069">
        <w:t xml:space="preserve">The highly prescriptive </w:t>
      </w:r>
      <w:r w:rsidR="00915A18">
        <w:t xml:space="preserve">regulatory </w:t>
      </w:r>
      <w:r w:rsidR="008F516F">
        <w:t xml:space="preserve">regime has implications for the cost of the Department’s </w:t>
      </w:r>
      <w:r w:rsidR="008B3307">
        <w:t xml:space="preserve">stewardship of the regulation. </w:t>
      </w:r>
      <w:r w:rsidR="00A00970">
        <w:t xml:space="preserve"> </w:t>
      </w:r>
    </w:p>
    <w:p w:rsidR="00673DB2" w:rsidRDefault="00A00970" w:rsidP="008B3307">
      <w:pPr>
        <w:pStyle w:val="Numberedpara3level1"/>
      </w:pPr>
      <w:r w:rsidRPr="00A00970">
        <w:t xml:space="preserve">The Department </w:t>
      </w:r>
      <w:r w:rsidR="008B3307">
        <w:t xml:space="preserve">has contained costs as </w:t>
      </w:r>
      <w:r w:rsidR="006B6D93">
        <w:t>much</w:t>
      </w:r>
      <w:r w:rsidR="008B3307">
        <w:t xml:space="preserve"> as possible and </w:t>
      </w:r>
      <w:r w:rsidRPr="00A00970">
        <w:t>is</w:t>
      </w:r>
      <w:r>
        <w:t xml:space="preserve"> currently</w:t>
      </w:r>
      <w:r w:rsidRPr="00A00970">
        <w:t xml:space="preserve"> operating at the lowest number of staff </w:t>
      </w:r>
      <w:r w:rsidR="00673DB2">
        <w:t xml:space="preserve">employed in gambling regulatory work </w:t>
      </w:r>
      <w:r w:rsidRPr="00A00970">
        <w:t>since</w:t>
      </w:r>
      <w:r>
        <w:t xml:space="preserve"> 2004. </w:t>
      </w:r>
      <w:r w:rsidR="00A87325">
        <w:t>However</w:t>
      </w:r>
      <w:r w:rsidR="006B6D93">
        <w:t>,</w:t>
      </w:r>
      <w:r w:rsidR="00A87325">
        <w:t xml:space="preserve"> </w:t>
      </w:r>
      <w:r w:rsidR="00CE77D8">
        <w:t>the cost pressures described above can no longer be absorbed within current baselines. Cost e</w:t>
      </w:r>
      <w:r w:rsidR="00E33E89">
        <w:t xml:space="preserve">xpenditure is projected to increase by </w:t>
      </w:r>
      <w:r w:rsidR="00A87325">
        <w:t>$</w:t>
      </w:r>
      <w:r w:rsidR="00E33E89">
        <w:t xml:space="preserve">3.2 million over the next five years. </w:t>
      </w:r>
      <w:r>
        <w:t>Without a change in fees</w:t>
      </w:r>
      <w:r w:rsidR="00EB568B">
        <w:t>,</w:t>
      </w:r>
      <w:r w:rsidR="00546ACE">
        <w:t xml:space="preserve"> </w:t>
      </w:r>
      <w:r>
        <w:t>the gap between revenue and costs will grow</w:t>
      </w:r>
      <w:r w:rsidR="00DD780F">
        <w:t>.</w:t>
      </w:r>
      <w:r>
        <w:t xml:space="preserve"> </w:t>
      </w:r>
    </w:p>
    <w:p w:rsidR="00E16E5F" w:rsidRDefault="00B93A8E" w:rsidP="00673DB2">
      <w:pPr>
        <w:pStyle w:val="Cabinetpaperparasubheading"/>
      </w:pPr>
      <w:r>
        <w:t>Department’s memorandum account deficit</w:t>
      </w:r>
    </w:p>
    <w:p w:rsidR="00B93A8E" w:rsidRDefault="00B93A8E" w:rsidP="00B93A8E">
      <w:pPr>
        <w:pStyle w:val="Numberedpara3level1"/>
      </w:pPr>
      <w:r>
        <w:t xml:space="preserve">The outcome of lower revenue and increased costs is a deficit in the Department’s memorandum account for gambling fees ($12.9 million as at 30 June 2015). Without increases in fees to fund current regulatory levels, the Department’s memorandum account deficit </w:t>
      </w:r>
      <w:r w:rsidR="00E80045">
        <w:t>will</w:t>
      </w:r>
      <w:r>
        <w:t xml:space="preserve"> increase substantially (see table</w:t>
      </w:r>
      <w:r w:rsidR="00D873CF">
        <w:t xml:space="preserve"> 1</w:t>
      </w:r>
      <w:r>
        <w:t xml:space="preserve"> below</w:t>
      </w:r>
      <w:r w:rsidR="00A73A7E">
        <w:t>)</w:t>
      </w:r>
      <w:r w:rsidR="008879C8">
        <w:t>.</w:t>
      </w:r>
    </w:p>
    <w:p w:rsidR="00D873CF" w:rsidRDefault="00D873CF" w:rsidP="00D873CF">
      <w:pPr>
        <w:pStyle w:val="Caption"/>
      </w:pPr>
      <w:r>
        <w:lastRenderedPageBreak/>
        <w:t>Table 1:</w:t>
      </w:r>
      <w:r w:rsidR="006E08C5">
        <w:t xml:space="preserve"> </w:t>
      </w:r>
      <w:r>
        <w:t>Forecast memorandum account deficit if fees are not increased</w:t>
      </w:r>
      <w:r w:rsidR="006E08C5">
        <w:t xml:space="preserve"> ($million)</w:t>
      </w:r>
    </w:p>
    <w:tbl>
      <w:tblPr>
        <w:tblStyle w:val="DIATable"/>
        <w:tblW w:w="0" w:type="auto"/>
        <w:jc w:val="center"/>
        <w:tblLook w:val="04A0" w:firstRow="1" w:lastRow="0" w:firstColumn="1" w:lastColumn="0" w:noHBand="0" w:noVBand="1"/>
      </w:tblPr>
      <w:tblGrid>
        <w:gridCol w:w="2332"/>
        <w:gridCol w:w="963"/>
        <w:gridCol w:w="963"/>
        <w:gridCol w:w="963"/>
        <w:gridCol w:w="963"/>
        <w:gridCol w:w="963"/>
        <w:gridCol w:w="963"/>
      </w:tblGrid>
      <w:tr w:rsidR="00D873CF" w:rsidTr="00E26D66">
        <w:trPr>
          <w:cnfStyle w:val="100000000000" w:firstRow="1" w:lastRow="0" w:firstColumn="0" w:lastColumn="0" w:oddVBand="0" w:evenVBand="0" w:oddHBand="0" w:evenHBand="0" w:firstRowFirstColumn="0" w:firstRowLastColumn="0" w:lastRowFirstColumn="0" w:lastRowLastColumn="0"/>
          <w:jc w:val="center"/>
        </w:trPr>
        <w:tc>
          <w:tcPr>
            <w:tcW w:w="0" w:type="auto"/>
          </w:tcPr>
          <w:p w:rsidR="00A73A7E" w:rsidRDefault="00A73A7E">
            <w:pPr>
              <w:pStyle w:val="FinancialtableLHC"/>
              <w:keepNext/>
            </w:pPr>
          </w:p>
        </w:tc>
        <w:tc>
          <w:tcPr>
            <w:tcW w:w="0" w:type="auto"/>
            <w:hideMark/>
          </w:tcPr>
          <w:p w:rsidR="00A73A7E" w:rsidRDefault="00A73A7E">
            <w:pPr>
              <w:pStyle w:val="Financialtableyears"/>
              <w:keepNext/>
            </w:pPr>
            <w:r>
              <w:t>2014/15</w:t>
            </w:r>
          </w:p>
        </w:tc>
        <w:tc>
          <w:tcPr>
            <w:tcW w:w="0" w:type="auto"/>
            <w:hideMark/>
          </w:tcPr>
          <w:p w:rsidR="00A73A7E" w:rsidRDefault="00A73A7E">
            <w:pPr>
              <w:pStyle w:val="Financialtableyears"/>
              <w:keepNext/>
            </w:pPr>
            <w:r>
              <w:t>2015/16</w:t>
            </w:r>
          </w:p>
        </w:tc>
        <w:tc>
          <w:tcPr>
            <w:tcW w:w="0" w:type="auto"/>
            <w:hideMark/>
          </w:tcPr>
          <w:p w:rsidR="00A73A7E" w:rsidRDefault="00A73A7E">
            <w:pPr>
              <w:pStyle w:val="Financialtableyears"/>
              <w:keepNext/>
            </w:pPr>
            <w:r>
              <w:t>2016/17</w:t>
            </w:r>
          </w:p>
        </w:tc>
        <w:tc>
          <w:tcPr>
            <w:tcW w:w="0" w:type="auto"/>
            <w:hideMark/>
          </w:tcPr>
          <w:p w:rsidR="00A73A7E" w:rsidRDefault="00A73A7E">
            <w:pPr>
              <w:pStyle w:val="Financialtableyears"/>
              <w:keepNext/>
            </w:pPr>
            <w:r>
              <w:t>2017/18</w:t>
            </w:r>
          </w:p>
        </w:tc>
        <w:tc>
          <w:tcPr>
            <w:tcW w:w="0" w:type="auto"/>
            <w:hideMark/>
          </w:tcPr>
          <w:p w:rsidR="00A73A7E" w:rsidRDefault="00A73A7E">
            <w:pPr>
              <w:pStyle w:val="Financialtableyears"/>
              <w:keepNext/>
            </w:pPr>
            <w:r>
              <w:t>2018/19</w:t>
            </w:r>
          </w:p>
        </w:tc>
        <w:tc>
          <w:tcPr>
            <w:tcW w:w="0" w:type="auto"/>
            <w:hideMark/>
          </w:tcPr>
          <w:p w:rsidR="00A73A7E" w:rsidRDefault="00A73A7E">
            <w:pPr>
              <w:pStyle w:val="Financialtableyears"/>
              <w:keepNext/>
            </w:pPr>
            <w:r>
              <w:t>2019/20</w:t>
            </w:r>
          </w:p>
        </w:tc>
      </w:tr>
      <w:tr w:rsidR="00DC3F0C" w:rsidTr="00E26D66">
        <w:trPr>
          <w:jc w:val="center"/>
        </w:trPr>
        <w:tc>
          <w:tcPr>
            <w:tcW w:w="0" w:type="auto"/>
            <w:hideMark/>
          </w:tcPr>
          <w:p w:rsidR="00DC3F0C" w:rsidRDefault="00DC3F0C">
            <w:pPr>
              <w:pStyle w:val="FinancialtableLHC"/>
              <w:keepNext/>
            </w:pPr>
            <w:r>
              <w:t>Memo a/c opening</w:t>
            </w:r>
          </w:p>
        </w:tc>
        <w:tc>
          <w:tcPr>
            <w:tcW w:w="0" w:type="auto"/>
          </w:tcPr>
          <w:p w:rsidR="00DC3F0C" w:rsidRDefault="006E08C5">
            <w:pPr>
              <w:pStyle w:val="Financialtablefigures"/>
              <w:keepNext/>
            </w:pPr>
            <w:r>
              <w:rPr>
                <w:color w:val="000000"/>
                <w:lang w:eastAsia="en-NZ"/>
              </w:rPr>
              <w:t>(9.</w:t>
            </w:r>
            <w:r w:rsidR="00DC3F0C">
              <w:rPr>
                <w:color w:val="000000"/>
                <w:lang w:eastAsia="en-NZ"/>
              </w:rPr>
              <w:t>173)</w:t>
            </w:r>
          </w:p>
        </w:tc>
        <w:tc>
          <w:tcPr>
            <w:tcW w:w="0" w:type="auto"/>
          </w:tcPr>
          <w:p w:rsidR="00DC3F0C" w:rsidRDefault="00DC3F0C" w:rsidP="006E08C5">
            <w:pPr>
              <w:jc w:val="right"/>
              <w:rPr>
                <w:color w:val="000000"/>
                <w:szCs w:val="22"/>
                <w:lang w:eastAsia="en-NZ"/>
              </w:rPr>
            </w:pPr>
            <w:r>
              <w:rPr>
                <w:color w:val="000000"/>
                <w:lang w:eastAsia="en-NZ"/>
              </w:rPr>
              <w:t>(12</w:t>
            </w:r>
            <w:r w:rsidR="006E08C5">
              <w:rPr>
                <w:color w:val="000000"/>
                <w:lang w:eastAsia="en-NZ"/>
              </w:rPr>
              <w:t>.</w:t>
            </w:r>
            <w:r>
              <w:rPr>
                <w:color w:val="000000"/>
                <w:lang w:eastAsia="en-NZ"/>
              </w:rPr>
              <w:t>982)</w:t>
            </w:r>
          </w:p>
        </w:tc>
        <w:tc>
          <w:tcPr>
            <w:tcW w:w="0" w:type="auto"/>
          </w:tcPr>
          <w:p w:rsidR="00DC3F0C" w:rsidRDefault="006E08C5">
            <w:pPr>
              <w:jc w:val="right"/>
              <w:rPr>
                <w:color w:val="000000"/>
                <w:szCs w:val="22"/>
                <w:lang w:eastAsia="en-NZ"/>
              </w:rPr>
            </w:pPr>
            <w:r>
              <w:rPr>
                <w:color w:val="000000"/>
                <w:lang w:eastAsia="en-NZ"/>
              </w:rPr>
              <w:t>(17.</w:t>
            </w:r>
            <w:r w:rsidR="00DC3F0C">
              <w:rPr>
                <w:color w:val="000000"/>
                <w:lang w:eastAsia="en-NZ"/>
              </w:rPr>
              <w:t>064)</w:t>
            </w:r>
          </w:p>
        </w:tc>
        <w:tc>
          <w:tcPr>
            <w:tcW w:w="0" w:type="auto"/>
          </w:tcPr>
          <w:p w:rsidR="00DC3F0C" w:rsidRDefault="006E08C5">
            <w:pPr>
              <w:jc w:val="right"/>
              <w:rPr>
                <w:color w:val="000000"/>
                <w:szCs w:val="22"/>
                <w:lang w:eastAsia="en-NZ"/>
              </w:rPr>
            </w:pPr>
            <w:r>
              <w:rPr>
                <w:color w:val="000000"/>
                <w:lang w:eastAsia="en-NZ"/>
              </w:rPr>
              <w:t>(23.</w:t>
            </w:r>
            <w:r w:rsidR="00DC3F0C">
              <w:rPr>
                <w:color w:val="000000"/>
                <w:lang w:eastAsia="en-NZ"/>
              </w:rPr>
              <w:t>101)</w:t>
            </w:r>
          </w:p>
        </w:tc>
        <w:tc>
          <w:tcPr>
            <w:tcW w:w="0" w:type="auto"/>
          </w:tcPr>
          <w:p w:rsidR="00DC3F0C" w:rsidRDefault="006E08C5">
            <w:pPr>
              <w:jc w:val="right"/>
              <w:rPr>
                <w:color w:val="000000"/>
                <w:szCs w:val="22"/>
                <w:lang w:eastAsia="en-NZ"/>
              </w:rPr>
            </w:pPr>
            <w:r>
              <w:rPr>
                <w:color w:val="000000"/>
                <w:lang w:eastAsia="en-NZ"/>
              </w:rPr>
              <w:t>(30.</w:t>
            </w:r>
            <w:r w:rsidR="00DC3F0C">
              <w:rPr>
                <w:color w:val="000000"/>
                <w:lang w:eastAsia="en-NZ"/>
              </w:rPr>
              <w:t>718)</w:t>
            </w:r>
          </w:p>
        </w:tc>
        <w:tc>
          <w:tcPr>
            <w:tcW w:w="0" w:type="auto"/>
          </w:tcPr>
          <w:p w:rsidR="00DC3F0C" w:rsidRDefault="006E08C5">
            <w:pPr>
              <w:jc w:val="right"/>
              <w:rPr>
                <w:color w:val="000000"/>
                <w:szCs w:val="22"/>
                <w:lang w:eastAsia="en-NZ"/>
              </w:rPr>
            </w:pPr>
            <w:r>
              <w:rPr>
                <w:color w:val="000000"/>
                <w:lang w:eastAsia="en-NZ"/>
              </w:rPr>
              <w:t>(39.</w:t>
            </w:r>
            <w:r w:rsidR="00DC3F0C">
              <w:rPr>
                <w:color w:val="000000"/>
                <w:lang w:eastAsia="en-NZ"/>
              </w:rPr>
              <w:t>417)</w:t>
            </w:r>
          </w:p>
        </w:tc>
      </w:tr>
      <w:tr w:rsidR="00DC3F0C" w:rsidTr="00E26D66">
        <w:trPr>
          <w:jc w:val="center"/>
        </w:trPr>
        <w:tc>
          <w:tcPr>
            <w:tcW w:w="0" w:type="auto"/>
            <w:hideMark/>
          </w:tcPr>
          <w:p w:rsidR="00DC3F0C" w:rsidRDefault="00DC3F0C">
            <w:pPr>
              <w:pStyle w:val="FinancialtableLHC"/>
              <w:keepNext/>
            </w:pPr>
            <w:r>
              <w:t>Memo a/c closing</w:t>
            </w:r>
          </w:p>
        </w:tc>
        <w:tc>
          <w:tcPr>
            <w:tcW w:w="0" w:type="auto"/>
          </w:tcPr>
          <w:p w:rsidR="00DC3F0C" w:rsidRDefault="006E08C5">
            <w:pPr>
              <w:jc w:val="right"/>
              <w:rPr>
                <w:color w:val="000000"/>
                <w:szCs w:val="22"/>
                <w:lang w:eastAsia="en-NZ"/>
              </w:rPr>
            </w:pPr>
            <w:r>
              <w:rPr>
                <w:color w:val="000000"/>
                <w:lang w:eastAsia="en-NZ"/>
              </w:rPr>
              <w:t>(12.</w:t>
            </w:r>
            <w:r w:rsidR="00DC3F0C">
              <w:rPr>
                <w:color w:val="000000"/>
                <w:lang w:eastAsia="en-NZ"/>
              </w:rPr>
              <w:t>807)</w:t>
            </w:r>
          </w:p>
        </w:tc>
        <w:tc>
          <w:tcPr>
            <w:tcW w:w="0" w:type="auto"/>
          </w:tcPr>
          <w:p w:rsidR="00DC3F0C" w:rsidRDefault="006E08C5">
            <w:pPr>
              <w:jc w:val="right"/>
              <w:rPr>
                <w:color w:val="000000"/>
                <w:szCs w:val="22"/>
                <w:lang w:eastAsia="en-NZ"/>
              </w:rPr>
            </w:pPr>
            <w:r>
              <w:rPr>
                <w:color w:val="000000"/>
                <w:lang w:eastAsia="en-NZ"/>
              </w:rPr>
              <w:t>(15.</w:t>
            </w:r>
            <w:r w:rsidR="00DC3F0C">
              <w:rPr>
                <w:color w:val="000000"/>
                <w:lang w:eastAsia="en-NZ"/>
              </w:rPr>
              <w:t>725)</w:t>
            </w:r>
          </w:p>
        </w:tc>
        <w:tc>
          <w:tcPr>
            <w:tcW w:w="0" w:type="auto"/>
          </w:tcPr>
          <w:p w:rsidR="00DC3F0C" w:rsidRDefault="006E08C5">
            <w:pPr>
              <w:jc w:val="right"/>
              <w:rPr>
                <w:color w:val="000000"/>
                <w:szCs w:val="22"/>
                <w:lang w:eastAsia="en-NZ"/>
              </w:rPr>
            </w:pPr>
            <w:r>
              <w:rPr>
                <w:color w:val="000000"/>
                <w:lang w:eastAsia="en-NZ"/>
              </w:rPr>
              <w:t>(21.</w:t>
            </w:r>
            <w:r w:rsidR="00DC3F0C">
              <w:rPr>
                <w:color w:val="000000"/>
                <w:lang w:eastAsia="en-NZ"/>
              </w:rPr>
              <w:t>219)</w:t>
            </w:r>
          </w:p>
        </w:tc>
        <w:tc>
          <w:tcPr>
            <w:tcW w:w="0" w:type="auto"/>
          </w:tcPr>
          <w:p w:rsidR="00DC3F0C" w:rsidRDefault="006E08C5">
            <w:pPr>
              <w:jc w:val="right"/>
              <w:rPr>
                <w:color w:val="000000"/>
                <w:szCs w:val="22"/>
                <w:lang w:eastAsia="en-NZ"/>
              </w:rPr>
            </w:pPr>
            <w:r>
              <w:rPr>
                <w:color w:val="000000"/>
                <w:lang w:eastAsia="en-NZ"/>
              </w:rPr>
              <w:t>(28.</w:t>
            </w:r>
            <w:r w:rsidR="00DC3F0C">
              <w:rPr>
                <w:color w:val="000000"/>
                <w:lang w:eastAsia="en-NZ"/>
              </w:rPr>
              <w:t>186)</w:t>
            </w:r>
          </w:p>
        </w:tc>
        <w:tc>
          <w:tcPr>
            <w:tcW w:w="0" w:type="auto"/>
          </w:tcPr>
          <w:p w:rsidR="00DC3F0C" w:rsidRDefault="006E08C5">
            <w:pPr>
              <w:jc w:val="right"/>
              <w:rPr>
                <w:color w:val="000000"/>
                <w:szCs w:val="22"/>
                <w:lang w:eastAsia="en-NZ"/>
              </w:rPr>
            </w:pPr>
            <w:r>
              <w:rPr>
                <w:color w:val="000000"/>
                <w:lang w:eastAsia="en-NZ"/>
              </w:rPr>
              <w:t>(36.</w:t>
            </w:r>
            <w:r w:rsidR="00DC3F0C">
              <w:rPr>
                <w:color w:val="000000"/>
                <w:lang w:eastAsia="en-NZ"/>
              </w:rPr>
              <w:t>385)</w:t>
            </w:r>
          </w:p>
        </w:tc>
        <w:tc>
          <w:tcPr>
            <w:tcW w:w="0" w:type="auto"/>
          </w:tcPr>
          <w:p w:rsidR="00DC3F0C" w:rsidRDefault="006E08C5">
            <w:pPr>
              <w:jc w:val="right"/>
              <w:rPr>
                <w:color w:val="000000"/>
                <w:szCs w:val="22"/>
                <w:lang w:eastAsia="en-NZ"/>
              </w:rPr>
            </w:pPr>
            <w:r>
              <w:rPr>
                <w:color w:val="000000"/>
                <w:lang w:eastAsia="en-NZ"/>
              </w:rPr>
              <w:t>(45.</w:t>
            </w:r>
            <w:r w:rsidR="00DC3F0C">
              <w:rPr>
                <w:color w:val="000000"/>
                <w:lang w:eastAsia="en-NZ"/>
              </w:rPr>
              <w:t>967)</w:t>
            </w:r>
          </w:p>
        </w:tc>
      </w:tr>
      <w:tr w:rsidR="00DC3F0C" w:rsidTr="00E26D66">
        <w:trPr>
          <w:jc w:val="center"/>
        </w:trPr>
        <w:tc>
          <w:tcPr>
            <w:tcW w:w="0" w:type="auto"/>
            <w:hideMark/>
          </w:tcPr>
          <w:p w:rsidR="00DC3F0C" w:rsidRDefault="00DC3F0C">
            <w:pPr>
              <w:pStyle w:val="FinancialtableLHC"/>
              <w:keepNext/>
            </w:pPr>
            <w:r>
              <w:t>Capital charge</w:t>
            </w:r>
          </w:p>
        </w:tc>
        <w:tc>
          <w:tcPr>
            <w:tcW w:w="0" w:type="auto"/>
          </w:tcPr>
          <w:p w:rsidR="00DC3F0C" w:rsidRDefault="00DC3F0C">
            <w:pPr>
              <w:jc w:val="right"/>
              <w:rPr>
                <w:color w:val="000000"/>
                <w:szCs w:val="22"/>
                <w:lang w:eastAsia="en-NZ"/>
              </w:rPr>
            </w:pPr>
            <w:r>
              <w:rPr>
                <w:color w:val="000000"/>
                <w:lang w:eastAsia="en-NZ"/>
              </w:rPr>
              <w:t>(</w:t>
            </w:r>
            <w:r w:rsidR="006E08C5">
              <w:rPr>
                <w:color w:val="000000"/>
                <w:lang w:eastAsia="en-NZ"/>
              </w:rPr>
              <w:t>0.</w:t>
            </w:r>
            <w:r>
              <w:rPr>
                <w:color w:val="000000"/>
                <w:lang w:eastAsia="en-NZ"/>
              </w:rPr>
              <w:t>175)</w:t>
            </w:r>
          </w:p>
        </w:tc>
        <w:tc>
          <w:tcPr>
            <w:tcW w:w="0" w:type="auto"/>
          </w:tcPr>
          <w:p w:rsidR="00DC3F0C" w:rsidRDefault="006E08C5">
            <w:pPr>
              <w:jc w:val="right"/>
              <w:rPr>
                <w:color w:val="000000"/>
                <w:szCs w:val="22"/>
                <w:lang w:eastAsia="en-NZ"/>
              </w:rPr>
            </w:pPr>
            <w:r>
              <w:rPr>
                <w:color w:val="000000"/>
                <w:lang w:eastAsia="en-NZ"/>
              </w:rPr>
              <w:t>(1.</w:t>
            </w:r>
            <w:r w:rsidR="00DC3F0C">
              <w:rPr>
                <w:color w:val="000000"/>
                <w:lang w:eastAsia="en-NZ"/>
              </w:rPr>
              <w:t>339)</w:t>
            </w:r>
          </w:p>
        </w:tc>
        <w:tc>
          <w:tcPr>
            <w:tcW w:w="0" w:type="auto"/>
          </w:tcPr>
          <w:p w:rsidR="00DC3F0C" w:rsidRDefault="006E08C5">
            <w:pPr>
              <w:jc w:val="right"/>
              <w:rPr>
                <w:color w:val="000000"/>
                <w:szCs w:val="22"/>
                <w:lang w:eastAsia="en-NZ"/>
              </w:rPr>
            </w:pPr>
            <w:r>
              <w:rPr>
                <w:color w:val="000000"/>
                <w:lang w:eastAsia="en-NZ"/>
              </w:rPr>
              <w:t>(1.</w:t>
            </w:r>
            <w:r w:rsidR="00DC3F0C">
              <w:rPr>
                <w:color w:val="000000"/>
                <w:lang w:eastAsia="en-NZ"/>
              </w:rPr>
              <w:t>883)</w:t>
            </w:r>
          </w:p>
        </w:tc>
        <w:tc>
          <w:tcPr>
            <w:tcW w:w="0" w:type="auto"/>
          </w:tcPr>
          <w:p w:rsidR="00DC3F0C" w:rsidRDefault="006E08C5">
            <w:pPr>
              <w:jc w:val="right"/>
              <w:rPr>
                <w:color w:val="000000"/>
                <w:szCs w:val="22"/>
                <w:lang w:eastAsia="en-NZ"/>
              </w:rPr>
            </w:pPr>
            <w:r>
              <w:rPr>
                <w:color w:val="000000"/>
                <w:lang w:eastAsia="en-NZ"/>
              </w:rPr>
              <w:t>(2.</w:t>
            </w:r>
            <w:r w:rsidR="00DC3F0C">
              <w:rPr>
                <w:color w:val="000000"/>
                <w:lang w:eastAsia="en-NZ"/>
              </w:rPr>
              <w:t>532)</w:t>
            </w:r>
          </w:p>
        </w:tc>
        <w:tc>
          <w:tcPr>
            <w:tcW w:w="0" w:type="auto"/>
          </w:tcPr>
          <w:p w:rsidR="00DC3F0C" w:rsidRDefault="006E08C5">
            <w:pPr>
              <w:jc w:val="right"/>
              <w:rPr>
                <w:color w:val="000000"/>
                <w:szCs w:val="22"/>
                <w:lang w:eastAsia="en-NZ"/>
              </w:rPr>
            </w:pPr>
            <w:r>
              <w:rPr>
                <w:color w:val="000000"/>
                <w:lang w:eastAsia="en-NZ"/>
              </w:rPr>
              <w:t>(3.</w:t>
            </w:r>
            <w:r w:rsidR="00DC3F0C">
              <w:rPr>
                <w:color w:val="000000"/>
                <w:lang w:eastAsia="en-NZ"/>
              </w:rPr>
              <w:t>032)</w:t>
            </w:r>
          </w:p>
        </w:tc>
        <w:tc>
          <w:tcPr>
            <w:tcW w:w="0" w:type="auto"/>
          </w:tcPr>
          <w:p w:rsidR="00DC3F0C" w:rsidRDefault="006E08C5">
            <w:pPr>
              <w:jc w:val="right"/>
              <w:rPr>
                <w:color w:val="000000"/>
                <w:szCs w:val="22"/>
                <w:lang w:eastAsia="en-NZ"/>
              </w:rPr>
            </w:pPr>
            <w:r>
              <w:rPr>
                <w:color w:val="000000"/>
                <w:lang w:eastAsia="en-NZ"/>
              </w:rPr>
              <w:t>(3.</w:t>
            </w:r>
            <w:r w:rsidR="00DC3F0C">
              <w:rPr>
                <w:color w:val="000000"/>
                <w:lang w:eastAsia="en-NZ"/>
              </w:rPr>
              <w:t>644)</w:t>
            </w:r>
          </w:p>
        </w:tc>
      </w:tr>
      <w:tr w:rsidR="00DC3F0C" w:rsidTr="00E26D66">
        <w:trPr>
          <w:jc w:val="center"/>
        </w:trPr>
        <w:tc>
          <w:tcPr>
            <w:tcW w:w="0" w:type="auto"/>
            <w:hideMark/>
          </w:tcPr>
          <w:p w:rsidR="00DC3F0C" w:rsidRDefault="00DC3F0C">
            <w:pPr>
              <w:pStyle w:val="FinancialtableLHC"/>
              <w:keepNext/>
              <w:rPr>
                <w:b/>
              </w:rPr>
            </w:pPr>
            <w:r>
              <w:rPr>
                <w:b/>
              </w:rPr>
              <w:t>Memo a/c closing (net)</w:t>
            </w:r>
          </w:p>
        </w:tc>
        <w:tc>
          <w:tcPr>
            <w:tcW w:w="0" w:type="auto"/>
          </w:tcPr>
          <w:p w:rsidR="00DC3F0C" w:rsidRDefault="006E08C5">
            <w:pPr>
              <w:jc w:val="right"/>
              <w:rPr>
                <w:color w:val="000000"/>
                <w:szCs w:val="22"/>
                <w:lang w:eastAsia="en-NZ"/>
              </w:rPr>
            </w:pPr>
            <w:r>
              <w:rPr>
                <w:color w:val="000000"/>
                <w:lang w:eastAsia="en-NZ"/>
              </w:rPr>
              <w:t>(12.</w:t>
            </w:r>
            <w:r w:rsidR="00DC3F0C">
              <w:rPr>
                <w:color w:val="000000"/>
                <w:lang w:eastAsia="en-NZ"/>
              </w:rPr>
              <w:t>982)</w:t>
            </w:r>
          </w:p>
        </w:tc>
        <w:tc>
          <w:tcPr>
            <w:tcW w:w="0" w:type="auto"/>
          </w:tcPr>
          <w:p w:rsidR="00DC3F0C" w:rsidRDefault="006E08C5">
            <w:pPr>
              <w:jc w:val="right"/>
              <w:rPr>
                <w:color w:val="000000"/>
                <w:szCs w:val="22"/>
                <w:lang w:eastAsia="en-NZ"/>
              </w:rPr>
            </w:pPr>
            <w:r>
              <w:rPr>
                <w:color w:val="000000"/>
                <w:lang w:eastAsia="en-NZ"/>
              </w:rPr>
              <w:t>(17.</w:t>
            </w:r>
            <w:r w:rsidR="00DC3F0C">
              <w:rPr>
                <w:color w:val="000000"/>
                <w:lang w:eastAsia="en-NZ"/>
              </w:rPr>
              <w:t>064)</w:t>
            </w:r>
          </w:p>
        </w:tc>
        <w:tc>
          <w:tcPr>
            <w:tcW w:w="0" w:type="auto"/>
          </w:tcPr>
          <w:p w:rsidR="00DC3F0C" w:rsidRDefault="006E08C5">
            <w:pPr>
              <w:jc w:val="right"/>
              <w:rPr>
                <w:color w:val="000000"/>
                <w:szCs w:val="22"/>
                <w:lang w:eastAsia="en-NZ"/>
              </w:rPr>
            </w:pPr>
            <w:r>
              <w:rPr>
                <w:color w:val="000000"/>
                <w:lang w:eastAsia="en-NZ"/>
              </w:rPr>
              <w:t>(23.</w:t>
            </w:r>
            <w:r w:rsidR="00DC3F0C">
              <w:rPr>
                <w:color w:val="000000"/>
                <w:lang w:eastAsia="en-NZ"/>
              </w:rPr>
              <w:t>101)</w:t>
            </w:r>
          </w:p>
        </w:tc>
        <w:tc>
          <w:tcPr>
            <w:tcW w:w="0" w:type="auto"/>
          </w:tcPr>
          <w:p w:rsidR="00DC3F0C" w:rsidRDefault="006E08C5">
            <w:pPr>
              <w:jc w:val="right"/>
              <w:rPr>
                <w:color w:val="000000"/>
                <w:szCs w:val="22"/>
                <w:lang w:eastAsia="en-NZ"/>
              </w:rPr>
            </w:pPr>
            <w:r>
              <w:rPr>
                <w:color w:val="000000"/>
                <w:lang w:eastAsia="en-NZ"/>
              </w:rPr>
              <w:t>(30.</w:t>
            </w:r>
            <w:r w:rsidR="00DC3F0C">
              <w:rPr>
                <w:color w:val="000000"/>
                <w:lang w:eastAsia="en-NZ"/>
              </w:rPr>
              <w:t>718)</w:t>
            </w:r>
          </w:p>
        </w:tc>
        <w:tc>
          <w:tcPr>
            <w:tcW w:w="0" w:type="auto"/>
          </w:tcPr>
          <w:p w:rsidR="00DC3F0C" w:rsidRDefault="006E08C5">
            <w:pPr>
              <w:jc w:val="right"/>
              <w:rPr>
                <w:color w:val="000000"/>
                <w:szCs w:val="22"/>
                <w:lang w:eastAsia="en-NZ"/>
              </w:rPr>
            </w:pPr>
            <w:r>
              <w:rPr>
                <w:color w:val="000000"/>
                <w:lang w:eastAsia="en-NZ"/>
              </w:rPr>
              <w:t>(39.</w:t>
            </w:r>
            <w:r w:rsidR="00DC3F0C">
              <w:rPr>
                <w:color w:val="000000"/>
                <w:lang w:eastAsia="en-NZ"/>
              </w:rPr>
              <w:t>417)</w:t>
            </w:r>
          </w:p>
        </w:tc>
        <w:tc>
          <w:tcPr>
            <w:tcW w:w="0" w:type="auto"/>
          </w:tcPr>
          <w:p w:rsidR="00DC3F0C" w:rsidRDefault="006E08C5">
            <w:pPr>
              <w:jc w:val="right"/>
              <w:rPr>
                <w:color w:val="000000"/>
                <w:szCs w:val="22"/>
                <w:lang w:eastAsia="en-NZ"/>
              </w:rPr>
            </w:pPr>
            <w:r>
              <w:rPr>
                <w:color w:val="000000"/>
                <w:lang w:eastAsia="en-NZ"/>
              </w:rPr>
              <w:t>(49.</w:t>
            </w:r>
            <w:r w:rsidR="00DC3F0C">
              <w:rPr>
                <w:color w:val="000000"/>
                <w:lang w:eastAsia="en-NZ"/>
              </w:rPr>
              <w:t>610)</w:t>
            </w:r>
          </w:p>
        </w:tc>
      </w:tr>
    </w:tbl>
    <w:p w:rsidR="00831C4E" w:rsidRDefault="00A87325" w:rsidP="000D0917">
      <w:pPr>
        <w:pStyle w:val="Cabinetpaperparasubheading"/>
      </w:pPr>
      <w:r>
        <w:t>E</w:t>
      </w:r>
      <w:r w:rsidR="00831C4E">
        <w:t xml:space="preserve">xpenditure cuts by the Department to offset deficit </w:t>
      </w:r>
      <w:r w:rsidR="0097792C">
        <w:t xml:space="preserve">would pose serious </w:t>
      </w:r>
      <w:r w:rsidR="00831C4E">
        <w:t>risk</w:t>
      </w:r>
      <w:r w:rsidR="0097792C">
        <w:t>s</w:t>
      </w:r>
      <w:r w:rsidR="00831C4E">
        <w:t xml:space="preserve"> </w:t>
      </w:r>
    </w:p>
    <w:p w:rsidR="004460DB" w:rsidRDefault="004460DB" w:rsidP="00DC3F0C">
      <w:pPr>
        <w:pStyle w:val="Numberedpara3level1"/>
      </w:pPr>
      <w:r>
        <w:t xml:space="preserve">Significant </w:t>
      </w:r>
      <w:r w:rsidRPr="000006C6">
        <w:t xml:space="preserve">cuts would </w:t>
      </w:r>
      <w:r>
        <w:t xml:space="preserve">be required </w:t>
      </w:r>
      <w:r w:rsidRPr="000006C6">
        <w:t xml:space="preserve">in </w:t>
      </w:r>
      <w:r>
        <w:t xml:space="preserve">Departmental </w:t>
      </w:r>
      <w:r w:rsidRPr="000006C6">
        <w:t>expenditure</w:t>
      </w:r>
      <w:r>
        <w:t xml:space="preserve"> to offset further increases in the deficit</w:t>
      </w:r>
      <w:r w:rsidR="00A87325">
        <w:t xml:space="preserve">. </w:t>
      </w:r>
      <w:r w:rsidRPr="00A87325">
        <w:t>Further reductions in staff and a reduction in other operational costs would limit the Department’s ability to fulfil its responsibilities under the Act. Some examples of the service-related impacts that would occur include:</w:t>
      </w:r>
    </w:p>
    <w:p w:rsidR="004460DB" w:rsidRDefault="003B1CEA" w:rsidP="004460DB">
      <w:pPr>
        <w:pStyle w:val="Bullet"/>
      </w:pPr>
      <w:r>
        <w:t xml:space="preserve">reduced </w:t>
      </w:r>
      <w:r w:rsidR="004460DB">
        <w:t>ability to detect fraud in the sector</w:t>
      </w:r>
      <w:r w:rsidR="00B10465">
        <w:t xml:space="preserve"> leading to reduced community returns</w:t>
      </w:r>
      <w:r w:rsidR="004460DB">
        <w:t>;</w:t>
      </w:r>
    </w:p>
    <w:p w:rsidR="004460DB" w:rsidRDefault="003B1CEA" w:rsidP="004460DB">
      <w:pPr>
        <w:pStyle w:val="Bullet"/>
      </w:pPr>
      <w:r>
        <w:t xml:space="preserve">reduced </w:t>
      </w:r>
      <w:r w:rsidR="004460DB">
        <w:t xml:space="preserve">ability to work cooperatively with societies </w:t>
      </w:r>
      <w:r w:rsidR="00B10465">
        <w:t>to improve</w:t>
      </w:r>
      <w:r w:rsidR="004460DB">
        <w:t xml:space="preserve"> compliance</w:t>
      </w:r>
      <w:r w:rsidR="00B10465">
        <w:t xml:space="preserve"> and reduce gambling harm</w:t>
      </w:r>
      <w:r w:rsidR="004460DB">
        <w:t xml:space="preserve">; </w:t>
      </w:r>
    </w:p>
    <w:p w:rsidR="004460DB" w:rsidRDefault="004460DB" w:rsidP="004460DB">
      <w:pPr>
        <w:pStyle w:val="Bullet"/>
      </w:pPr>
      <w:r>
        <w:t xml:space="preserve">a significant reduction in audits of societies and venue inspections with </w:t>
      </w:r>
      <w:r w:rsidR="005B79F9">
        <w:t>reduced</w:t>
      </w:r>
      <w:r>
        <w:t xml:space="preserve"> ability to follow up </w:t>
      </w:r>
      <w:r w:rsidR="00111C1A">
        <w:t>compliance issues</w:t>
      </w:r>
      <w:r>
        <w:t>; and</w:t>
      </w:r>
    </w:p>
    <w:p w:rsidR="004460DB" w:rsidRDefault="004460DB" w:rsidP="004460DB">
      <w:pPr>
        <w:pStyle w:val="Bullet"/>
      </w:pPr>
      <w:r>
        <w:t>an eroding ability to perform basic tasks required under the Act like assessing new licence and licence renewal applications, eventually culminating in a total loss of capacity.</w:t>
      </w:r>
    </w:p>
    <w:p w:rsidR="00F551EF" w:rsidRDefault="004460DB" w:rsidP="00E00948">
      <w:pPr>
        <w:pStyle w:val="Numberedpara3level1"/>
      </w:pPr>
      <w:r>
        <w:t>As a result</w:t>
      </w:r>
      <w:r w:rsidR="005B3756">
        <w:t xml:space="preserve"> </w:t>
      </w:r>
      <w:r>
        <w:t>n</w:t>
      </w:r>
      <w:r w:rsidRPr="00D73E95">
        <w:t xml:space="preserve">on-compliance with the </w:t>
      </w:r>
      <w:r>
        <w:t xml:space="preserve">Act’s </w:t>
      </w:r>
      <w:r w:rsidRPr="00D73E95">
        <w:t xml:space="preserve">requirements </w:t>
      </w:r>
      <w:r w:rsidR="00ED0BEE">
        <w:t>could</w:t>
      </w:r>
      <w:r w:rsidRPr="00D73E95">
        <w:t xml:space="preserve"> result in less money being returned to communities and loss of public confidence in the regulator and the gambling system. </w:t>
      </w:r>
      <w:r w:rsidR="0063779B">
        <w:t xml:space="preserve">There is </w:t>
      </w:r>
      <w:r w:rsidR="00E00948">
        <w:t xml:space="preserve">currently no potential for any shortfall of gaming machine funding to the community </w:t>
      </w:r>
      <w:r w:rsidR="005B3756">
        <w:t xml:space="preserve">to be filled by central government. </w:t>
      </w:r>
    </w:p>
    <w:p w:rsidR="008D4A4D" w:rsidRDefault="00636446" w:rsidP="00E8738A">
      <w:pPr>
        <w:pStyle w:val="Cabinetpaperparaheading"/>
      </w:pPr>
      <w:r>
        <w:t>The Department has consu</w:t>
      </w:r>
      <w:r w:rsidR="00E8738A">
        <w:t>lted on proposed changes to fees</w:t>
      </w:r>
    </w:p>
    <w:p w:rsidR="009D22B5" w:rsidRDefault="009D22B5" w:rsidP="009D22B5">
      <w:pPr>
        <w:pStyle w:val="Numberedpara3level1"/>
      </w:pPr>
      <w:r>
        <w:t>The fees proposed in the consultation document were the minimum possible to</w:t>
      </w:r>
      <w:r w:rsidRPr="00A35282">
        <w:t xml:space="preserve"> cover increasing cost pressures, maintain current regulatory levels and </w:t>
      </w:r>
      <w:r w:rsidR="001074CD">
        <w:t>reduce</w:t>
      </w:r>
      <w:r w:rsidRPr="00042AF0">
        <w:rPr>
          <w:i/>
        </w:rPr>
        <w:t xml:space="preserve"> </w:t>
      </w:r>
      <w:r w:rsidRPr="00A35282">
        <w:t>the Department’s memorandum account deficit</w:t>
      </w:r>
      <w:r>
        <w:t>.</w:t>
      </w:r>
    </w:p>
    <w:p w:rsidR="00521023" w:rsidRPr="00521023" w:rsidRDefault="009559CD" w:rsidP="00B74625">
      <w:pPr>
        <w:pStyle w:val="Numberedpara3level1"/>
      </w:pPr>
      <w:r>
        <w:t xml:space="preserve">The consultation period ran from 4 March to 24 April 2015. </w:t>
      </w:r>
      <w:r w:rsidR="00142262">
        <w:rPr>
          <w:spacing w:val="-2"/>
        </w:rPr>
        <w:t xml:space="preserve">The Department </w:t>
      </w:r>
      <w:r w:rsidR="004D1A90">
        <w:rPr>
          <w:spacing w:val="-2"/>
        </w:rPr>
        <w:t xml:space="preserve">received </w:t>
      </w:r>
      <w:r w:rsidR="00BC488B">
        <w:t>41 submissions</w:t>
      </w:r>
      <w:r w:rsidR="003323BE">
        <w:t xml:space="preserve"> on the proposed changes to fees</w:t>
      </w:r>
      <w:r w:rsidR="004A5318">
        <w:t xml:space="preserve"> from</w:t>
      </w:r>
      <w:r w:rsidR="00EF53B1" w:rsidRPr="008541F1">
        <w:rPr>
          <w:spacing w:val="-2"/>
        </w:rPr>
        <w:t xml:space="preserve"> the class 4 </w:t>
      </w:r>
      <w:r w:rsidR="00F52450">
        <w:rPr>
          <w:spacing w:val="-2"/>
        </w:rPr>
        <w:t xml:space="preserve">gambling </w:t>
      </w:r>
      <w:r w:rsidR="00EF53B1" w:rsidRPr="008541F1">
        <w:rPr>
          <w:spacing w:val="-2"/>
        </w:rPr>
        <w:t>sector</w:t>
      </w:r>
      <w:r w:rsidR="00EF53B1">
        <w:rPr>
          <w:spacing w:val="-2"/>
        </w:rPr>
        <w:t>,</w:t>
      </w:r>
      <w:r w:rsidR="00EF53B1" w:rsidRPr="008541F1">
        <w:rPr>
          <w:spacing w:val="-2"/>
        </w:rPr>
        <w:t xml:space="preserve"> funding recipients</w:t>
      </w:r>
      <w:r w:rsidR="00EF53B1">
        <w:rPr>
          <w:spacing w:val="-2"/>
        </w:rPr>
        <w:t>,</w:t>
      </w:r>
      <w:r w:rsidR="00EF53B1" w:rsidRPr="008541F1">
        <w:rPr>
          <w:spacing w:val="-2"/>
        </w:rPr>
        <w:t xml:space="preserve"> the casino sector</w:t>
      </w:r>
      <w:r w:rsidR="00EF53B1">
        <w:rPr>
          <w:spacing w:val="-2"/>
        </w:rPr>
        <w:t>,</w:t>
      </w:r>
      <w:r w:rsidR="00EF53B1" w:rsidRPr="008541F1">
        <w:rPr>
          <w:spacing w:val="-2"/>
        </w:rPr>
        <w:t xml:space="preserve"> problem gambling help providers</w:t>
      </w:r>
      <w:r w:rsidR="00EF53B1">
        <w:rPr>
          <w:spacing w:val="-2"/>
        </w:rPr>
        <w:t>,</w:t>
      </w:r>
      <w:r w:rsidR="00EF53B1" w:rsidRPr="008541F1">
        <w:rPr>
          <w:spacing w:val="-2"/>
        </w:rPr>
        <w:t xml:space="preserve"> and an individual submitter.</w:t>
      </w:r>
      <w:r w:rsidR="00664F84">
        <w:rPr>
          <w:spacing w:val="-2"/>
        </w:rPr>
        <w:t xml:space="preserve"> </w:t>
      </w:r>
      <w:r w:rsidR="004D1A90" w:rsidRPr="00B74625">
        <w:rPr>
          <w:spacing w:val="-2"/>
        </w:rPr>
        <w:t xml:space="preserve">The Department </w:t>
      </w:r>
      <w:r w:rsidR="00664F84" w:rsidRPr="00B74625">
        <w:rPr>
          <w:spacing w:val="-2"/>
        </w:rPr>
        <w:t>engaged directl</w:t>
      </w:r>
      <w:r w:rsidR="005E3D30" w:rsidRPr="00B74625">
        <w:rPr>
          <w:spacing w:val="-2"/>
        </w:rPr>
        <w:t>y with the class 4</w:t>
      </w:r>
      <w:r w:rsidR="00F52450">
        <w:rPr>
          <w:spacing w:val="-2"/>
        </w:rPr>
        <w:t xml:space="preserve"> gambling</w:t>
      </w:r>
      <w:r w:rsidR="005E3D30" w:rsidRPr="00B74625">
        <w:rPr>
          <w:spacing w:val="-2"/>
        </w:rPr>
        <w:t xml:space="preserve"> sector through meetings with the class 4 working party (appointed by the sector to engage with the Dep</w:t>
      </w:r>
      <w:r w:rsidR="006175BA">
        <w:rPr>
          <w:spacing w:val="-2"/>
        </w:rPr>
        <w:t>artment on the fee proposals). I</w:t>
      </w:r>
      <w:r w:rsidR="005E3D30" w:rsidRPr="00B74625">
        <w:rPr>
          <w:spacing w:val="-2"/>
        </w:rPr>
        <w:t xml:space="preserve">n response to requests for more information, further detail on the Department’s costs was released on the Department’s website. </w:t>
      </w:r>
    </w:p>
    <w:p w:rsidR="00F25EBA" w:rsidRPr="008541F1" w:rsidRDefault="00521023" w:rsidP="00EA1B88">
      <w:pPr>
        <w:pStyle w:val="Numberedpara3level1"/>
      </w:pPr>
      <w:r>
        <w:rPr>
          <w:spacing w:val="-2"/>
        </w:rPr>
        <w:t>The majority of submitters were opposed to the fee increases</w:t>
      </w:r>
      <w:r w:rsidR="00EA1B88">
        <w:rPr>
          <w:spacing w:val="-2"/>
        </w:rPr>
        <w:t xml:space="preserve"> </w:t>
      </w:r>
      <w:r w:rsidR="00E80045">
        <w:rPr>
          <w:spacing w:val="-2"/>
        </w:rPr>
        <w:t xml:space="preserve">and expressed </w:t>
      </w:r>
      <w:r w:rsidR="00E80045">
        <w:t>concerns</w:t>
      </w:r>
      <w:r w:rsidR="00F25EBA">
        <w:t xml:space="preserve"> about the impact on community funding</w:t>
      </w:r>
      <w:r w:rsidR="00E80045">
        <w:t xml:space="preserve"> </w:t>
      </w:r>
      <w:r w:rsidR="00E80045">
        <w:rPr>
          <w:spacing w:val="-2"/>
        </w:rPr>
        <w:t xml:space="preserve">(see </w:t>
      </w:r>
      <w:r w:rsidR="003A03F8" w:rsidRPr="0060393A">
        <w:rPr>
          <w:b/>
          <w:spacing w:val="-2"/>
        </w:rPr>
        <w:t>A</w:t>
      </w:r>
      <w:r w:rsidR="00E80045" w:rsidRPr="0060393A">
        <w:rPr>
          <w:b/>
          <w:spacing w:val="-2"/>
        </w:rPr>
        <w:t>ppendix</w:t>
      </w:r>
      <w:r w:rsidR="00E80045">
        <w:rPr>
          <w:spacing w:val="-2"/>
        </w:rPr>
        <w:t xml:space="preserve"> </w:t>
      </w:r>
      <w:r w:rsidR="0060393A" w:rsidRPr="0060393A">
        <w:rPr>
          <w:b/>
          <w:spacing w:val="-2"/>
        </w:rPr>
        <w:t>A</w:t>
      </w:r>
      <w:r w:rsidR="00E80045">
        <w:rPr>
          <w:spacing w:val="-2"/>
        </w:rPr>
        <w:t>)</w:t>
      </w:r>
      <w:r w:rsidR="00F25EBA">
        <w:t>. Societies contended</w:t>
      </w:r>
      <w:r w:rsidR="00F25EBA" w:rsidRPr="008541F1">
        <w:t xml:space="preserve"> that in order to pay their fees and still m</w:t>
      </w:r>
      <w:r w:rsidR="00E80045">
        <w:t>eet the minimum rate of return</w:t>
      </w:r>
      <w:r w:rsidR="00F25EBA">
        <w:t>,</w:t>
      </w:r>
      <w:r w:rsidR="00F25EBA" w:rsidRPr="008541F1">
        <w:t xml:space="preserve"> they will be forced to close </w:t>
      </w:r>
      <w:r w:rsidR="00F52450">
        <w:t>low-turnover</w:t>
      </w:r>
      <w:r w:rsidR="00F25EBA" w:rsidRPr="008541F1">
        <w:t xml:space="preserve"> </w:t>
      </w:r>
      <w:r w:rsidR="005A6EB2">
        <w:t>gambling</w:t>
      </w:r>
      <w:r w:rsidR="00F25EBA" w:rsidRPr="008541F1">
        <w:t xml:space="preserve"> venues</w:t>
      </w:r>
      <w:r w:rsidR="002D5B92">
        <w:t>, particularly in rural areas</w:t>
      </w:r>
      <w:r w:rsidR="00F25EBA">
        <w:t xml:space="preserve">. This </w:t>
      </w:r>
      <w:r w:rsidR="00567834">
        <w:t>could have an impact on the a</w:t>
      </w:r>
      <w:r w:rsidR="00F25EBA" w:rsidRPr="008541F1">
        <w:t xml:space="preserve">ggregate amount of funding available to be returned to communities. </w:t>
      </w:r>
    </w:p>
    <w:p w:rsidR="00EA1B88" w:rsidRDefault="00EA1B88" w:rsidP="00EA1B88">
      <w:pPr>
        <w:pStyle w:val="Cabinetpaperparaheading"/>
      </w:pPr>
      <w:r>
        <w:lastRenderedPageBreak/>
        <w:t>Preferred option for class 4 fees: increase fees and re</w:t>
      </w:r>
      <w:r w:rsidR="00020921">
        <w:t>think</w:t>
      </w:r>
      <w:r>
        <w:t xml:space="preserve"> the requirements for the minimum rate of return to authorised purposes </w:t>
      </w:r>
    </w:p>
    <w:p w:rsidR="0013638D" w:rsidRPr="008541F1" w:rsidRDefault="0013638D" w:rsidP="00BF5F28">
      <w:pPr>
        <w:pStyle w:val="Numberedpara3level1"/>
        <w:numPr>
          <w:ilvl w:val="0"/>
          <w:numId w:val="19"/>
        </w:numPr>
      </w:pPr>
      <w:r>
        <w:t xml:space="preserve">Many societies were of the view that if fee increases </w:t>
      </w:r>
      <w:r w:rsidR="00987E09">
        <w:t xml:space="preserve">are to be </w:t>
      </w:r>
      <w:r>
        <w:t xml:space="preserve">implemented, </w:t>
      </w:r>
      <w:r w:rsidR="00987E09">
        <w:t xml:space="preserve">then </w:t>
      </w:r>
      <w:r>
        <w:t xml:space="preserve">the minimum rate of return </w:t>
      </w:r>
      <w:r w:rsidR="00E80045">
        <w:t xml:space="preserve">to authorised purposes </w:t>
      </w:r>
      <w:r>
        <w:t>should either decrease, or not increas</w:t>
      </w:r>
      <w:r w:rsidR="00AC467D">
        <w:t xml:space="preserve">e beyond the current </w:t>
      </w:r>
      <w:r w:rsidR="003327A6">
        <w:t>rate.</w:t>
      </w:r>
      <w:r w:rsidR="00DB0EAC">
        <w:t xml:space="preserve"> </w:t>
      </w:r>
    </w:p>
    <w:p w:rsidR="00E80045" w:rsidRDefault="00A95C8C" w:rsidP="00A95C8C">
      <w:pPr>
        <w:pStyle w:val="Numberedpara3level1"/>
      </w:pPr>
      <w:r w:rsidRPr="008F32F9">
        <w:rPr>
          <w:spacing w:val="-2"/>
        </w:rPr>
        <w:t>The Department has modelled the cumulative effects of the fee increases</w:t>
      </w:r>
      <w:r w:rsidR="00585B16">
        <w:rPr>
          <w:spacing w:val="-2"/>
        </w:rPr>
        <w:t>,</w:t>
      </w:r>
      <w:r w:rsidRPr="008F32F9">
        <w:rPr>
          <w:spacing w:val="-2"/>
        </w:rPr>
        <w:t xml:space="preserve"> and all other current and forecast cost pressures</w:t>
      </w:r>
      <w:r w:rsidR="00585B16">
        <w:rPr>
          <w:spacing w:val="-2"/>
        </w:rPr>
        <w:t>,</w:t>
      </w:r>
      <w:r w:rsidRPr="008F32F9">
        <w:rPr>
          <w:spacing w:val="-2"/>
        </w:rPr>
        <w:t xml:space="preserve"> on the ability of societies to meet future increases in the minimum rate of return</w:t>
      </w:r>
      <w:r w:rsidR="00270E18">
        <w:t xml:space="preserve">. </w:t>
      </w:r>
    </w:p>
    <w:p w:rsidR="00A95C8C" w:rsidRPr="008541F1" w:rsidRDefault="00CC6AD0" w:rsidP="00A95C8C">
      <w:pPr>
        <w:pStyle w:val="Numberedpara3level1"/>
      </w:pPr>
      <w:r>
        <w:rPr>
          <w:spacing w:val="-2"/>
        </w:rPr>
        <w:t>As d</w:t>
      </w:r>
      <w:r w:rsidR="00A95C8C" w:rsidRPr="00A95C8C">
        <w:rPr>
          <w:spacing w:val="-2"/>
        </w:rPr>
        <w:t xml:space="preserve">ifferent societies have different cost structures, operating models and types of venues, it is difficult to </w:t>
      </w:r>
      <w:r w:rsidR="00FB28EC">
        <w:rPr>
          <w:spacing w:val="-2"/>
        </w:rPr>
        <w:t>predict</w:t>
      </w:r>
      <w:r w:rsidR="00A95C8C" w:rsidRPr="00A95C8C">
        <w:rPr>
          <w:spacing w:val="-2"/>
        </w:rPr>
        <w:t xml:space="preserve"> precisely how the sector will adapt. It is also difficult to be certain of exactly how many societies will choose to cease operat</w:t>
      </w:r>
      <w:r w:rsidR="00AC467D">
        <w:rPr>
          <w:spacing w:val="-2"/>
        </w:rPr>
        <w:t>ing at</w:t>
      </w:r>
      <w:r w:rsidR="000612D9">
        <w:rPr>
          <w:spacing w:val="-2"/>
        </w:rPr>
        <w:t xml:space="preserve"> rural</w:t>
      </w:r>
      <w:r w:rsidR="00AC467D">
        <w:rPr>
          <w:spacing w:val="-2"/>
        </w:rPr>
        <w:t xml:space="preserve"> low</w:t>
      </w:r>
      <w:r w:rsidR="000612D9">
        <w:rPr>
          <w:spacing w:val="-2"/>
        </w:rPr>
        <w:t>-</w:t>
      </w:r>
      <w:r w:rsidR="00AC467D">
        <w:rPr>
          <w:spacing w:val="-2"/>
        </w:rPr>
        <w:t xml:space="preserve"> turnover venues, </w:t>
      </w:r>
      <w:r w:rsidR="00496EF9">
        <w:rPr>
          <w:spacing w:val="-2"/>
        </w:rPr>
        <w:t xml:space="preserve">or </w:t>
      </w:r>
      <w:r w:rsidR="00A95C8C" w:rsidRPr="00A95C8C">
        <w:rPr>
          <w:spacing w:val="-2"/>
        </w:rPr>
        <w:t xml:space="preserve">how many </w:t>
      </w:r>
      <w:r w:rsidR="00496EF9">
        <w:rPr>
          <w:spacing w:val="-2"/>
        </w:rPr>
        <w:t xml:space="preserve">societies </w:t>
      </w:r>
      <w:r w:rsidR="00A95C8C" w:rsidRPr="00A95C8C">
        <w:rPr>
          <w:spacing w:val="-2"/>
        </w:rPr>
        <w:t>will exit the sector entirely</w:t>
      </w:r>
      <w:r w:rsidR="00E80045">
        <w:rPr>
          <w:spacing w:val="-2"/>
        </w:rPr>
        <w:t>.</w:t>
      </w:r>
    </w:p>
    <w:p w:rsidR="00A95C8C" w:rsidRDefault="00E80045" w:rsidP="00A95C8C">
      <w:pPr>
        <w:pStyle w:val="Numberedpara3level1"/>
      </w:pPr>
      <w:r>
        <w:t xml:space="preserve">A </w:t>
      </w:r>
      <w:r w:rsidR="00A95C8C">
        <w:t xml:space="preserve">decline in venues due to fee increases </w:t>
      </w:r>
      <w:r w:rsidR="00DB0EAC">
        <w:t>and rate of return requirements</w:t>
      </w:r>
      <w:r w:rsidR="00BC6676">
        <w:t xml:space="preserve"> </w:t>
      </w:r>
      <w:r w:rsidR="00585B16">
        <w:t xml:space="preserve">would </w:t>
      </w:r>
      <w:r>
        <w:t xml:space="preserve">not necessarily result in </w:t>
      </w:r>
      <w:r w:rsidR="00A95C8C">
        <w:t xml:space="preserve">a reduction in community funding. </w:t>
      </w:r>
      <w:r w:rsidR="00E25131">
        <w:t xml:space="preserve">A comparison of </w:t>
      </w:r>
      <w:r w:rsidR="00A95C8C">
        <w:t>turnover from venues and gaming machines between April 2012 and March 2015</w:t>
      </w:r>
      <w:r w:rsidR="00E25131">
        <w:t xml:space="preserve"> shows </w:t>
      </w:r>
      <w:r w:rsidR="00A95C8C">
        <w:t xml:space="preserve">a drop of only 1.2 per cent in </w:t>
      </w:r>
      <w:r w:rsidR="0055240F">
        <w:t>gaming machine proceeds (</w:t>
      </w:r>
      <w:r w:rsidR="00A95C8C">
        <w:t>GMP</w:t>
      </w:r>
      <w:r w:rsidR="0055240F">
        <w:t>)</w:t>
      </w:r>
      <w:r w:rsidR="00A95C8C">
        <w:t xml:space="preserve"> despite a 5 per cent drop in venues and gaming machine numbers</w:t>
      </w:r>
      <w:r w:rsidR="00E25131">
        <w:t xml:space="preserve">. The data </w:t>
      </w:r>
      <w:r w:rsidR="00A95C8C">
        <w:t>suggest</w:t>
      </w:r>
      <w:r w:rsidR="00E25131">
        <w:t>s</w:t>
      </w:r>
      <w:r w:rsidR="00A95C8C">
        <w:t xml:space="preserve"> that losing lower-turnover venues will not necessarily impact on available GMP.</w:t>
      </w:r>
    </w:p>
    <w:p w:rsidR="006646D8" w:rsidRDefault="00DA2800" w:rsidP="006646D8">
      <w:pPr>
        <w:pStyle w:val="Numberedpara3level1"/>
      </w:pPr>
      <w:r>
        <w:t>Further</w:t>
      </w:r>
      <w:r w:rsidR="006646D8">
        <w:t>, should rural low-turnover venues close, surrounding communities can still benefit from society grants. Societies are still free to support national causes or make grants to regions other than where the GMP was generated</w:t>
      </w:r>
      <w:r w:rsidR="000612D9">
        <w:t>,</w:t>
      </w:r>
      <w:r w:rsidR="006646D8">
        <w:t xml:space="preserve"> if they wish</w:t>
      </w:r>
      <w:r w:rsidR="00E25131">
        <w:t xml:space="preserve"> (although there is little incentive for societies to do so)</w:t>
      </w:r>
      <w:r w:rsidR="006646D8">
        <w:t>.</w:t>
      </w:r>
    </w:p>
    <w:p w:rsidR="00A24268" w:rsidRPr="008541F1" w:rsidRDefault="00FC2130" w:rsidP="006245ED">
      <w:pPr>
        <w:pStyle w:val="Numberedpara3level1"/>
      </w:pPr>
      <w:r>
        <w:t>T</w:t>
      </w:r>
      <w:r w:rsidR="00906DC7">
        <w:t xml:space="preserve">here is a risk, however, </w:t>
      </w:r>
      <w:r w:rsidR="00A24268" w:rsidRPr="008541F1">
        <w:t>that even after shedding low-GMP venues, some societie</w:t>
      </w:r>
      <w:r w:rsidR="00906DC7">
        <w:t xml:space="preserve">s could exit the sector </w:t>
      </w:r>
      <w:r w:rsidR="00906DC7" w:rsidRPr="008541F1">
        <w:t xml:space="preserve">due to the cumulative impact of all costs (including fees) and increases in the rate of return. </w:t>
      </w:r>
      <w:r w:rsidR="007012BA">
        <w:t xml:space="preserve"> The impact on funding available to communities is difficult to estimate.</w:t>
      </w:r>
    </w:p>
    <w:p w:rsidR="00746BB3" w:rsidRDefault="007012BA" w:rsidP="00746BB3">
      <w:pPr>
        <w:pStyle w:val="Cabinetpaperparasubheading"/>
      </w:pPr>
      <w:r>
        <w:t>Rethinking the minimum rate of return requirements to offset risks to community funding</w:t>
      </w:r>
    </w:p>
    <w:p w:rsidR="00152014" w:rsidRPr="00AC467D" w:rsidRDefault="00420626" w:rsidP="00536DD2">
      <w:pPr>
        <w:pStyle w:val="Numberedpara3level1"/>
      </w:pPr>
      <w:r>
        <w:t>I have considered a range of options in response to submissions on the proposed fee increases for the class 4 sector.</w:t>
      </w:r>
      <w:r w:rsidR="00536DD2">
        <w:t xml:space="preserve"> </w:t>
      </w:r>
      <w:r w:rsidR="001A5C31">
        <w:t>I consider that c</w:t>
      </w:r>
      <w:r w:rsidR="00536DD2">
        <w:t>ost p</w:t>
      </w:r>
      <w:r w:rsidR="00F35022" w:rsidRPr="008541F1">
        <w:t xml:space="preserve">ressure on the sector </w:t>
      </w:r>
      <w:r w:rsidR="00F35022">
        <w:t xml:space="preserve">could be eased </w:t>
      </w:r>
      <w:r w:rsidR="00F35022" w:rsidRPr="008541F1">
        <w:t xml:space="preserve">through changes to the regulated minimum rate of return. </w:t>
      </w:r>
      <w:r w:rsidR="00152014" w:rsidRPr="008541F1">
        <w:t xml:space="preserve">The rate </w:t>
      </w:r>
      <w:r w:rsidR="00CC33C2">
        <w:t xml:space="preserve">is </w:t>
      </w:r>
      <w:r w:rsidR="00152014" w:rsidRPr="008541F1">
        <w:t xml:space="preserve">scheduled to increase to 42 per cent over the next three years. If this increase were to be delayed or cancelled, this </w:t>
      </w:r>
      <w:r w:rsidR="00086B12">
        <w:t>c</w:t>
      </w:r>
      <w:r w:rsidR="00152014" w:rsidRPr="008541F1">
        <w:t xml:space="preserve">ould offset risks </w:t>
      </w:r>
      <w:r w:rsidR="00274B17">
        <w:t xml:space="preserve">to community funding </w:t>
      </w:r>
      <w:r w:rsidR="00152014" w:rsidRPr="008541F1">
        <w:t xml:space="preserve">involved with increasing fees. </w:t>
      </w:r>
      <w:r w:rsidR="00572649">
        <w:t xml:space="preserve">It </w:t>
      </w:r>
      <w:r w:rsidR="00086B12">
        <w:t>c</w:t>
      </w:r>
      <w:r w:rsidR="00BC6676" w:rsidRPr="00536DD2">
        <w:rPr>
          <w:lang w:val="en-AU"/>
        </w:rPr>
        <w:t xml:space="preserve">ould </w:t>
      </w:r>
      <w:r w:rsidR="00572649" w:rsidRPr="00536DD2">
        <w:rPr>
          <w:lang w:val="en-AU"/>
        </w:rPr>
        <w:t xml:space="preserve">also </w:t>
      </w:r>
      <w:r w:rsidR="00BC6676" w:rsidRPr="00536DD2">
        <w:rPr>
          <w:lang w:val="en-AU"/>
        </w:rPr>
        <w:t xml:space="preserve">prevent </w:t>
      </w:r>
      <w:r w:rsidR="00BD6972">
        <w:rPr>
          <w:lang w:val="en-AU"/>
        </w:rPr>
        <w:t xml:space="preserve">a </w:t>
      </w:r>
      <w:r w:rsidR="00BC6676" w:rsidRPr="00536DD2">
        <w:rPr>
          <w:lang w:val="en-AU"/>
        </w:rPr>
        <w:t xml:space="preserve">proportion of societies breaching the </w:t>
      </w:r>
      <w:r w:rsidR="00F54C67" w:rsidRPr="00536DD2">
        <w:rPr>
          <w:lang w:val="en-AU"/>
        </w:rPr>
        <w:t xml:space="preserve">required </w:t>
      </w:r>
      <w:r w:rsidR="00BC6676" w:rsidRPr="00536DD2">
        <w:rPr>
          <w:lang w:val="en-AU"/>
        </w:rPr>
        <w:t>minimum rate of return</w:t>
      </w:r>
      <w:r w:rsidR="00684427">
        <w:rPr>
          <w:lang w:val="en-AU"/>
        </w:rPr>
        <w:t xml:space="preserve">. </w:t>
      </w:r>
      <w:r w:rsidR="00C6363C" w:rsidRPr="00536DD2">
        <w:rPr>
          <w:spacing w:val="-2"/>
        </w:rPr>
        <w:t xml:space="preserve">The Department </w:t>
      </w:r>
      <w:r w:rsidR="00572649" w:rsidRPr="00536DD2">
        <w:rPr>
          <w:spacing w:val="-2"/>
        </w:rPr>
        <w:t>will</w:t>
      </w:r>
      <w:r w:rsidR="00C6363C" w:rsidRPr="00536DD2">
        <w:rPr>
          <w:spacing w:val="-2"/>
        </w:rPr>
        <w:t xml:space="preserve"> </w:t>
      </w:r>
      <w:r w:rsidRPr="00536DD2">
        <w:rPr>
          <w:spacing w:val="-2"/>
        </w:rPr>
        <w:t xml:space="preserve">closely </w:t>
      </w:r>
      <w:r w:rsidR="00C6363C" w:rsidRPr="00536DD2">
        <w:rPr>
          <w:spacing w:val="-2"/>
        </w:rPr>
        <w:t>monitor the effects of any increases in fees on the sector.</w:t>
      </w:r>
    </w:p>
    <w:p w:rsidR="00D96F2A" w:rsidRDefault="00420626" w:rsidP="00585CE1">
      <w:pPr>
        <w:pStyle w:val="Numberedpara3level1"/>
      </w:pPr>
      <w:r>
        <w:t xml:space="preserve">An </w:t>
      </w:r>
      <w:r w:rsidR="00E6065B" w:rsidRPr="008541F1">
        <w:t xml:space="preserve">amendment </w:t>
      </w:r>
      <w:r>
        <w:t xml:space="preserve">to </w:t>
      </w:r>
      <w:r w:rsidR="00C03106">
        <w:t>the Gambling (Class 4 Net Proceeds) Regulations 2004</w:t>
      </w:r>
      <w:r>
        <w:t xml:space="preserve"> would be required </w:t>
      </w:r>
      <w:r w:rsidR="00E6065B" w:rsidRPr="008541F1">
        <w:t xml:space="preserve">to effect any concessions around the minimum rate of return. </w:t>
      </w:r>
      <w:r w:rsidR="00E6065B">
        <w:t xml:space="preserve">Section 372 of the Act provides that those substantially affected by proposed regulations be consulted. To fulfil this </w:t>
      </w:r>
      <w:r w:rsidR="00A31C09">
        <w:t xml:space="preserve">requirement, I seek Cabinet agreement to the release of the attached </w:t>
      </w:r>
      <w:r w:rsidR="00E6065B">
        <w:t xml:space="preserve">discussion document </w:t>
      </w:r>
      <w:r w:rsidR="00D96F2A" w:rsidRPr="00A105DC">
        <w:rPr>
          <w:i/>
        </w:rPr>
        <w:t>Consultation on proposed changes to the minimum rate of return to authorised purposes</w:t>
      </w:r>
      <w:r w:rsidR="00376E72">
        <w:t>.</w:t>
      </w:r>
    </w:p>
    <w:p w:rsidR="00585CE1" w:rsidRPr="008541F1" w:rsidRDefault="00585CE1" w:rsidP="00D96F2A">
      <w:pPr>
        <w:pStyle w:val="Cabinetpaperparasubheading"/>
      </w:pPr>
      <w:r w:rsidRPr="008541F1">
        <w:lastRenderedPageBreak/>
        <w:t>Club societies with low GMP may become unviable</w:t>
      </w:r>
    </w:p>
    <w:p w:rsidR="00585CE1" w:rsidRDefault="00585CE1" w:rsidP="00585CE1">
      <w:pPr>
        <w:pStyle w:val="Numberedpara3level1"/>
      </w:pPr>
      <w:r>
        <w:t>While the impact of increased fees on non-club societies can be mitigated by changing the minimum rate of return, this is not the case for club societies.</w:t>
      </w:r>
      <w:r w:rsidRPr="00585CE1">
        <w:rPr>
          <w:spacing w:val="-2"/>
        </w:rPr>
        <w:t xml:space="preserve"> </w:t>
      </w:r>
      <w:r>
        <w:t>C</w:t>
      </w:r>
      <w:r w:rsidRPr="001D1330">
        <w:t>lub societies are not required to meet the minimum rate of return requirements</w:t>
      </w:r>
      <w:r w:rsidR="00585B16">
        <w:t>, but can</w:t>
      </w:r>
      <w:r w:rsidRPr="001D1330">
        <w:t xml:space="preserve"> apply proceeds to their own purposes. Club</w:t>
      </w:r>
      <w:r w:rsidR="00FC2130">
        <w:t xml:space="preserve"> </w:t>
      </w:r>
      <w:r w:rsidRPr="001D1330">
        <w:t>s</w:t>
      </w:r>
      <w:r w:rsidR="00FC2130">
        <w:t>ocieties</w:t>
      </w:r>
      <w:r w:rsidRPr="001D1330">
        <w:t xml:space="preserve"> also do not pay venue costs.</w:t>
      </w:r>
      <w:r>
        <w:t xml:space="preserve"> </w:t>
      </w:r>
    </w:p>
    <w:p w:rsidR="00585CE1" w:rsidRDefault="00585CE1" w:rsidP="00585CE1">
      <w:pPr>
        <w:pStyle w:val="Numberedpara3level1"/>
      </w:pPr>
      <w:r w:rsidRPr="008541F1">
        <w:t>Many clubs with ageing and declining membership rely on gaming machines to maintain facilities. However</w:t>
      </w:r>
      <w:r w:rsidR="00863096">
        <w:t>,</w:t>
      </w:r>
      <w:r w:rsidRPr="008541F1">
        <w:t xml:space="preserve"> the number of club societies has declined</w:t>
      </w:r>
      <w:r>
        <w:t xml:space="preserve"> over time and </w:t>
      </w:r>
      <w:r w:rsidRPr="008541F1">
        <w:t>many clubs generate low GMP</w:t>
      </w:r>
      <w:r>
        <w:t>. Many of</w:t>
      </w:r>
      <w:r w:rsidRPr="008541F1">
        <w:t xml:space="preserve"> these </w:t>
      </w:r>
      <w:r>
        <w:t xml:space="preserve">small club societies </w:t>
      </w:r>
      <w:r w:rsidRPr="008541F1">
        <w:t xml:space="preserve">(e.g. bowling clubs) do not have enough members, and do not generate enough revenue for their machines to be viable. </w:t>
      </w:r>
      <w:r>
        <w:t xml:space="preserve">There are likely to be a number of reasons for this including demographic changes and changes in consumer behaviour. </w:t>
      </w:r>
    </w:p>
    <w:p w:rsidR="00585CE1" w:rsidRDefault="00585CE1" w:rsidP="00585CE1">
      <w:pPr>
        <w:pStyle w:val="Numberedpara3level1"/>
      </w:pPr>
      <w:r w:rsidRPr="008541F1">
        <w:t>The impact of the proposed fee</w:t>
      </w:r>
      <w:r>
        <w:t>s</w:t>
      </w:r>
      <w:r w:rsidRPr="008541F1">
        <w:t xml:space="preserve"> on club societies is highly variable. </w:t>
      </w:r>
      <w:r>
        <w:t>The annual compliance fee for small club societies is proposed to decrease, but small clubs will still be required to pay higher machine monitoring fees. For small clubs that generate low GMP, the fixed costs of operating gaming machines takes up a relatively high proportion of their revenue. Conversely for large clubs with high GMP, gaming machine costs take up a smaller proportion of revenue.</w:t>
      </w:r>
    </w:p>
    <w:p w:rsidR="00717BDE" w:rsidRPr="008541F1" w:rsidRDefault="00585CE1" w:rsidP="00585CE1">
      <w:pPr>
        <w:pStyle w:val="Numberedpara3level1"/>
      </w:pPr>
      <w:r w:rsidRPr="008541F1">
        <w:t>The proposed changes to fees are therefore likely to have an impact on the ongoing viability of some club operations. However these clubs have the option of merging and restoring their viabili</w:t>
      </w:r>
      <w:r>
        <w:t>ty.</w:t>
      </w:r>
    </w:p>
    <w:p w:rsidR="00B83641" w:rsidRDefault="002B2BD3" w:rsidP="00E063B4">
      <w:pPr>
        <w:pStyle w:val="Cabinetpaperparaheading"/>
      </w:pPr>
      <w:r w:rsidRPr="000809AD">
        <w:t xml:space="preserve">Fees review has highlighted the </w:t>
      </w:r>
      <w:r w:rsidR="000F75BC" w:rsidRPr="000809AD">
        <w:t>need f</w:t>
      </w:r>
      <w:r w:rsidR="001017EC" w:rsidRPr="000809AD">
        <w:t xml:space="preserve">or </w:t>
      </w:r>
      <w:r w:rsidR="004E7A51">
        <w:t xml:space="preserve">a </w:t>
      </w:r>
      <w:r w:rsidR="001017EC" w:rsidRPr="000809AD">
        <w:t>wider re</w:t>
      </w:r>
      <w:r w:rsidR="004E7A51">
        <w:t>view of</w:t>
      </w:r>
      <w:r w:rsidR="00FC73EE" w:rsidRPr="000809AD">
        <w:t xml:space="preserve"> class 4 </w:t>
      </w:r>
      <w:r w:rsidR="004E7A51">
        <w:t>gambling</w:t>
      </w:r>
      <w:r w:rsidR="001017EC">
        <w:t xml:space="preserve"> </w:t>
      </w:r>
    </w:p>
    <w:p w:rsidR="001B1108" w:rsidRDefault="001B1108" w:rsidP="001B1108">
      <w:pPr>
        <w:pStyle w:val="Numberedpara3level1"/>
      </w:pPr>
      <w:r>
        <w:t xml:space="preserve">The gambling fees review has shown that the class 4 </w:t>
      </w:r>
      <w:r w:rsidR="00A40D53">
        <w:t xml:space="preserve">gambling </w:t>
      </w:r>
      <w:r>
        <w:t>sector is under increasing pressure to maintain funding streams for community purposes, financially support the necessary level of regulation and absorb other costs.</w:t>
      </w:r>
      <w:r w:rsidRPr="001B1108">
        <w:t xml:space="preserve"> </w:t>
      </w:r>
      <w:r>
        <w:t xml:space="preserve">The review also indicates significant </w:t>
      </w:r>
      <w:r w:rsidRPr="00171E81">
        <w:t xml:space="preserve">pricing and </w:t>
      </w:r>
      <w:r>
        <w:t>regulatory regime</w:t>
      </w:r>
      <w:r w:rsidRPr="00171E81">
        <w:t xml:space="preserve"> </w:t>
      </w:r>
      <w:r>
        <w:t xml:space="preserve">design </w:t>
      </w:r>
      <w:r w:rsidRPr="00171E81">
        <w:t>problems.</w:t>
      </w:r>
    </w:p>
    <w:p w:rsidR="003C54DC" w:rsidRDefault="001B1108" w:rsidP="003C54DC">
      <w:pPr>
        <w:pStyle w:val="Numberedpara3level1"/>
      </w:pPr>
      <w:r>
        <w:t>The proposed level of fee increases</w:t>
      </w:r>
      <w:r w:rsidR="008823F7">
        <w:t xml:space="preserve"> w</w:t>
      </w:r>
      <w:r>
        <w:t>ill not fully repay the memorandum account deficit,</w:t>
      </w:r>
      <w:r w:rsidR="00996B6A">
        <w:t xml:space="preserve"> but they make the deficit more manageable than if the fee increases did not occur. With no fee increases the deficit is forecast to increase to </w:t>
      </w:r>
      <w:r>
        <w:t xml:space="preserve">just under </w:t>
      </w:r>
      <w:r w:rsidR="00996B6A">
        <w:t>$</w:t>
      </w:r>
      <w:r>
        <w:t>40</w:t>
      </w:r>
      <w:r w:rsidR="00996B6A">
        <w:t xml:space="preserve"> million</w:t>
      </w:r>
      <w:r w:rsidR="008D4A4D">
        <w:t xml:space="preserve"> by 20</w:t>
      </w:r>
      <w:r>
        <w:t>18/19</w:t>
      </w:r>
      <w:r w:rsidR="00070D50">
        <w:t xml:space="preserve"> instead of </w:t>
      </w:r>
      <w:r w:rsidR="008D4A4D">
        <w:t>reduced to $</w:t>
      </w:r>
      <w:r>
        <w:t xml:space="preserve">7 million by the same year </w:t>
      </w:r>
      <w:r w:rsidR="008D4A4D">
        <w:t>under the proposed fees.</w:t>
      </w:r>
      <w:r w:rsidR="00116D7C" w:rsidRPr="00116D7C">
        <w:t xml:space="preserve"> </w:t>
      </w:r>
      <w:r w:rsidR="00D8795D">
        <w:t>To fully address the deficit</w:t>
      </w:r>
      <w:r w:rsidR="00863096">
        <w:t>,</w:t>
      </w:r>
      <w:r w:rsidR="00D8795D">
        <w:t xml:space="preserve"> higher fee increases would be required</w:t>
      </w:r>
      <w:r w:rsidR="00116D7C">
        <w:t xml:space="preserve">, but </w:t>
      </w:r>
      <w:r w:rsidR="00D8795D">
        <w:t xml:space="preserve">these are unlikely to be </w:t>
      </w:r>
      <w:r w:rsidR="004F108F">
        <w:t xml:space="preserve">able to be </w:t>
      </w:r>
      <w:r w:rsidR="00D8795D">
        <w:t xml:space="preserve">sustained by </w:t>
      </w:r>
      <w:r w:rsidR="00376E72">
        <w:t xml:space="preserve">a shrinking sector. </w:t>
      </w:r>
      <w:r w:rsidR="000F388A">
        <w:t>This means that some government subsidisation of gambling regulation will be requ</w:t>
      </w:r>
      <w:r w:rsidR="00A8228F">
        <w:t>ired for the foreseeable future, which is contrary to the intent of the Act.</w:t>
      </w:r>
    </w:p>
    <w:p w:rsidR="0094021D" w:rsidRPr="0094021D" w:rsidRDefault="00A8228F" w:rsidP="00F029E8">
      <w:pPr>
        <w:pStyle w:val="Numberedpara3level1"/>
        <w:numPr>
          <w:ilvl w:val="0"/>
          <w:numId w:val="19"/>
        </w:numPr>
        <w:rPr>
          <w:lang w:val="en-AU"/>
        </w:rPr>
      </w:pPr>
      <w:r>
        <w:t>As I have set out in my accompanying paper</w:t>
      </w:r>
      <w:r w:rsidR="00F32971">
        <w:t xml:space="preserve">, </w:t>
      </w:r>
      <w:r w:rsidR="00BB3CA2">
        <w:t xml:space="preserve">I consider that a wider and more fundamental </w:t>
      </w:r>
      <w:r w:rsidR="00754720">
        <w:t>review</w:t>
      </w:r>
      <w:r w:rsidR="00BB3CA2">
        <w:t xml:space="preserve"> of the sector is required</w:t>
      </w:r>
      <w:r w:rsidR="00EB4DB6">
        <w:t xml:space="preserve"> to</w:t>
      </w:r>
      <w:r w:rsidR="0094021D">
        <w:t>:</w:t>
      </w:r>
      <w:r w:rsidR="00EB4DB6">
        <w:t xml:space="preserve"> </w:t>
      </w:r>
    </w:p>
    <w:p w:rsidR="00B2184F" w:rsidRDefault="0045732F" w:rsidP="00B2184F">
      <w:pPr>
        <w:pStyle w:val="Bullet"/>
      </w:pPr>
      <w:r>
        <w:t xml:space="preserve">understand </w:t>
      </w:r>
      <w:r w:rsidR="00534A26">
        <w:t xml:space="preserve">the </w:t>
      </w:r>
      <w:r>
        <w:t xml:space="preserve">dynamics in the </w:t>
      </w:r>
      <w:r w:rsidR="00B2184F">
        <w:t>class 4 sector</w:t>
      </w:r>
      <w:r>
        <w:t>,</w:t>
      </w:r>
      <w:r w:rsidR="00B2184F">
        <w:t xml:space="preserve"> including in the context of the wider gambling framework and total returns to the community;</w:t>
      </w:r>
    </w:p>
    <w:p w:rsidR="00B2184F" w:rsidRDefault="00B2184F" w:rsidP="00B2184F">
      <w:pPr>
        <w:pStyle w:val="Bullet"/>
      </w:pPr>
      <w:r>
        <w:t>assess whether</w:t>
      </w:r>
      <w:r w:rsidR="00863096">
        <w:t xml:space="preserve"> the objectives of the </w:t>
      </w:r>
      <w:r>
        <w:t>Act are being met; and</w:t>
      </w:r>
    </w:p>
    <w:p w:rsidR="00B2184F" w:rsidRDefault="00B2184F" w:rsidP="00B2184F">
      <w:pPr>
        <w:pStyle w:val="Bullet"/>
      </w:pPr>
      <w:r>
        <w:t>consider whether there are alternative ways to structure the sector to reduce pressure points and tensions.</w:t>
      </w:r>
    </w:p>
    <w:p w:rsidR="00B2184F" w:rsidRDefault="00B2184F" w:rsidP="00B2184F">
      <w:pPr>
        <w:pStyle w:val="Numberedpara3level1"/>
        <w:numPr>
          <w:ilvl w:val="0"/>
          <w:numId w:val="19"/>
        </w:numPr>
      </w:pPr>
      <w:r w:rsidRPr="004A4D0B">
        <w:t>The aim is to</w:t>
      </w:r>
      <w:r>
        <w:t xml:space="preserve"> identify regulatory design and pricing options that are more fit-for-purpose than current arrangements.</w:t>
      </w:r>
    </w:p>
    <w:p w:rsidR="00F029E8" w:rsidRPr="0094021D" w:rsidRDefault="00F029E8" w:rsidP="00F029E8">
      <w:pPr>
        <w:pStyle w:val="Numberedpara3level1"/>
        <w:numPr>
          <w:ilvl w:val="0"/>
          <w:numId w:val="19"/>
        </w:numPr>
        <w:rPr>
          <w:lang w:val="en-AU"/>
        </w:rPr>
      </w:pPr>
      <w:r w:rsidRPr="00272C3E">
        <w:t xml:space="preserve">While the </w:t>
      </w:r>
      <w:r w:rsidR="00B2184F">
        <w:t xml:space="preserve">review </w:t>
      </w:r>
      <w:r w:rsidR="00AB157D">
        <w:t>i</w:t>
      </w:r>
      <w:r w:rsidRPr="00272C3E">
        <w:t>s necessary to ensure the regime i</w:t>
      </w:r>
      <w:r w:rsidR="002871C1">
        <w:t>s</w:t>
      </w:r>
      <w:r w:rsidRPr="00272C3E">
        <w:t xml:space="preserve"> fit for purpose, fees increases are required now to </w:t>
      </w:r>
      <w:r w:rsidR="00863096">
        <w:t>manage down the deficit in the Depar</w:t>
      </w:r>
      <w:r w:rsidR="00863096" w:rsidRPr="00272C3E">
        <w:t xml:space="preserve">tment’s memorandum account </w:t>
      </w:r>
      <w:r w:rsidR="00863096">
        <w:t xml:space="preserve">and </w:t>
      </w:r>
      <w:r w:rsidRPr="00272C3E">
        <w:t>enable the current regulatory framework to ke</w:t>
      </w:r>
      <w:r w:rsidR="00267979">
        <w:t>ep operating as it is intended</w:t>
      </w:r>
      <w:r w:rsidR="00863096">
        <w:t>.</w:t>
      </w:r>
      <w:r w:rsidR="00267979">
        <w:t xml:space="preserve"> </w:t>
      </w:r>
    </w:p>
    <w:p w:rsidR="00546ACE" w:rsidRDefault="00546ACE" w:rsidP="00546ACE">
      <w:pPr>
        <w:pStyle w:val="Cabinetpaperparaheading"/>
      </w:pPr>
      <w:r>
        <w:lastRenderedPageBreak/>
        <w:t>Preferred option for casino fees</w:t>
      </w:r>
    </w:p>
    <w:p w:rsidR="00546ACE" w:rsidRDefault="00C43EB2" w:rsidP="00572649">
      <w:pPr>
        <w:pStyle w:val="Numberedpara3level1"/>
        <w:tabs>
          <w:tab w:val="clear" w:pos="567"/>
        </w:tabs>
      </w:pPr>
      <w:r>
        <w:t xml:space="preserve">I propose to progress the changes to the annual licence fees for the six casinos set out in the consultation document. </w:t>
      </w:r>
      <w:r w:rsidR="00546ACE">
        <w:t>The changes to the casino fee system involves shifting the basis of the split of the annual fee from estimated activity to a more objective basis, being the number of machines and tables in each casino.  The fees for each casino are based on implementing a cost formula that takes into account an overhead for each small entity, the number of machines and tables in each casino and an increase in machines and tables resulting from the New Zealand International Convention Centre.</w:t>
      </w:r>
    </w:p>
    <w:p w:rsidR="008F6E62" w:rsidRPr="00C43EB2" w:rsidRDefault="00C43EB2" w:rsidP="00C43EB2">
      <w:pPr>
        <w:pStyle w:val="Numberedpara3level1"/>
        <w:rPr>
          <w:lang w:val="en-AU"/>
        </w:rPr>
      </w:pPr>
      <w:r>
        <w:t xml:space="preserve">The Department has reassessed the fees for </w:t>
      </w:r>
      <w:r w:rsidRPr="008541F1">
        <w:t>certificates of approval and associated person approvals</w:t>
      </w:r>
      <w:r>
        <w:t xml:space="preserve"> for casino staff. Following this reassessment I propose a smaller increase to these </w:t>
      </w:r>
      <w:r w:rsidRPr="008541F1">
        <w:t xml:space="preserve">fees </w:t>
      </w:r>
      <w:r>
        <w:t>(to $512.44 (excluding GST) than set out in the consultation document.</w:t>
      </w:r>
      <w:r>
        <w:rPr>
          <w:lang w:val="en-AU"/>
        </w:rPr>
        <w:t xml:space="preserve"> </w:t>
      </w:r>
      <w:r w:rsidR="00A11D31" w:rsidRPr="00A11D31">
        <w:t xml:space="preserve">The adjustment reflects time savings in processing these applications and the cost of police background checks no longer being charged to the Department. </w:t>
      </w:r>
    </w:p>
    <w:p w:rsidR="00C15436" w:rsidRDefault="00C15436" w:rsidP="00FA6558">
      <w:pPr>
        <w:pStyle w:val="Cabinetpaperparaheading"/>
      </w:pPr>
      <w:r>
        <w:t>Consultation</w:t>
      </w:r>
    </w:p>
    <w:p w:rsidR="00DA27AA" w:rsidRDefault="00C55129" w:rsidP="00A708D2">
      <w:pPr>
        <w:pStyle w:val="Numberedpara3level1"/>
        <w:numPr>
          <w:ilvl w:val="0"/>
          <w:numId w:val="19"/>
        </w:numPr>
      </w:pPr>
      <w:r>
        <w:t>The Treasury, Ministries of Health, Business, Innovation and Employment, Pacific Island Affairs, Ministries for Women and Culture and Heritage, Te Puni Kōkiri, and Sport New Zealand, have been consulted on this paper. The Department of the Prime Minister and Cabinet has been informed.</w:t>
      </w:r>
      <w:r w:rsidR="00A708D2" w:rsidRPr="00A708D2">
        <w:t xml:space="preserve"> </w:t>
      </w:r>
    </w:p>
    <w:p w:rsidR="00C15436" w:rsidRDefault="00C15436" w:rsidP="00FA6558">
      <w:pPr>
        <w:pStyle w:val="Cabinetpaperparaheading"/>
      </w:pPr>
      <w:r>
        <w:t>Financial implications</w:t>
      </w:r>
    </w:p>
    <w:p w:rsidR="00653F24" w:rsidRDefault="006027B5" w:rsidP="00736677">
      <w:pPr>
        <w:pStyle w:val="Numberedpara3level1"/>
      </w:pPr>
      <w:r>
        <w:t>The tables below show</w:t>
      </w:r>
      <w:r w:rsidR="00736677">
        <w:t xml:space="preserve"> the Department’s forecast revenue and expenditure for all gambling regulatory </w:t>
      </w:r>
      <w:r>
        <w:t>functions and the proposed changes to the Department’s output expenses for gambling regulation based on the proposed new schedule of fees</w:t>
      </w:r>
      <w:r w:rsidR="0064538A">
        <w:t>.</w:t>
      </w:r>
    </w:p>
    <w:p w:rsidR="00653F24" w:rsidRDefault="00653F24" w:rsidP="00653F24">
      <w:pPr>
        <w:pStyle w:val="Caption"/>
      </w:pPr>
      <w:r>
        <w:t xml:space="preserve">Table </w:t>
      </w:r>
      <w:r w:rsidR="005C581F">
        <w:t>2</w:t>
      </w:r>
      <w:r>
        <w:t>: Forecast revenue and costs based on new fees ($million)</w:t>
      </w:r>
    </w:p>
    <w:tbl>
      <w:tblPr>
        <w:tblStyle w:val="DIATable"/>
        <w:tblW w:w="0" w:type="auto"/>
        <w:tblLook w:val="04A0" w:firstRow="1" w:lastRow="0" w:firstColumn="1" w:lastColumn="0" w:noHBand="0" w:noVBand="1"/>
      </w:tblPr>
      <w:tblGrid>
        <w:gridCol w:w="2460"/>
        <w:gridCol w:w="963"/>
        <w:gridCol w:w="963"/>
        <w:gridCol w:w="963"/>
        <w:gridCol w:w="902"/>
        <w:gridCol w:w="902"/>
        <w:gridCol w:w="902"/>
        <w:gridCol w:w="222"/>
        <w:gridCol w:w="902"/>
      </w:tblGrid>
      <w:tr w:rsidR="00CF6E76" w:rsidTr="00CF6E76">
        <w:trPr>
          <w:cnfStyle w:val="100000000000" w:firstRow="1" w:lastRow="0" w:firstColumn="0" w:lastColumn="0" w:oddVBand="0" w:evenVBand="0" w:oddHBand="0" w:evenHBand="0" w:firstRowFirstColumn="0" w:firstRowLastColumn="0" w:lastRowFirstColumn="0" w:lastRowLastColumn="0"/>
        </w:trPr>
        <w:tc>
          <w:tcPr>
            <w:tcW w:w="0" w:type="auto"/>
          </w:tcPr>
          <w:p w:rsidR="00CF6E76" w:rsidRPr="00A75078" w:rsidRDefault="00CF6E76" w:rsidP="00572649">
            <w:pPr>
              <w:pStyle w:val="FinancialtableLHC"/>
              <w:keepNext/>
            </w:pPr>
          </w:p>
        </w:tc>
        <w:tc>
          <w:tcPr>
            <w:tcW w:w="0" w:type="auto"/>
          </w:tcPr>
          <w:p w:rsidR="00CF6E76" w:rsidRDefault="00CF6E76" w:rsidP="00572649">
            <w:pPr>
              <w:pStyle w:val="Financialtableyears"/>
              <w:keepNext/>
            </w:pPr>
            <w:r>
              <w:t>2014/15</w:t>
            </w:r>
          </w:p>
        </w:tc>
        <w:tc>
          <w:tcPr>
            <w:tcW w:w="0" w:type="auto"/>
          </w:tcPr>
          <w:p w:rsidR="00CF6E76" w:rsidRPr="00A75078" w:rsidRDefault="00CF6E76" w:rsidP="00572649">
            <w:pPr>
              <w:pStyle w:val="Financialtableyears"/>
              <w:keepNext/>
            </w:pPr>
            <w:r>
              <w:t>2015</w:t>
            </w:r>
            <w:r w:rsidRPr="00A75078">
              <w:t>/1</w:t>
            </w:r>
            <w:r>
              <w:t>6</w:t>
            </w:r>
          </w:p>
        </w:tc>
        <w:tc>
          <w:tcPr>
            <w:tcW w:w="0" w:type="auto"/>
          </w:tcPr>
          <w:p w:rsidR="00CF6E76" w:rsidRPr="00A75078" w:rsidRDefault="00CF6E76" w:rsidP="00572649">
            <w:pPr>
              <w:pStyle w:val="Financialtableyears"/>
              <w:keepNext/>
            </w:pPr>
            <w:r>
              <w:t>2016</w:t>
            </w:r>
            <w:r w:rsidRPr="00A75078">
              <w:t>/1</w:t>
            </w:r>
            <w:r>
              <w:t>7</w:t>
            </w:r>
          </w:p>
        </w:tc>
        <w:tc>
          <w:tcPr>
            <w:tcW w:w="0" w:type="auto"/>
          </w:tcPr>
          <w:p w:rsidR="00CF6E76" w:rsidRPr="00A75078" w:rsidRDefault="00CF6E76" w:rsidP="00572649">
            <w:pPr>
              <w:pStyle w:val="Financialtableyears"/>
              <w:keepNext/>
            </w:pPr>
            <w:r>
              <w:t>2017</w:t>
            </w:r>
            <w:r w:rsidRPr="00A75078">
              <w:t>/1</w:t>
            </w:r>
            <w:r>
              <w:t>8</w:t>
            </w:r>
          </w:p>
        </w:tc>
        <w:tc>
          <w:tcPr>
            <w:tcW w:w="0" w:type="auto"/>
          </w:tcPr>
          <w:p w:rsidR="00CF6E76" w:rsidRPr="00A75078" w:rsidRDefault="00CF6E76" w:rsidP="00572649">
            <w:pPr>
              <w:pStyle w:val="Financialtableyears"/>
              <w:keepNext/>
            </w:pPr>
            <w:r>
              <w:t>2018/19</w:t>
            </w:r>
          </w:p>
        </w:tc>
        <w:tc>
          <w:tcPr>
            <w:tcW w:w="0" w:type="auto"/>
          </w:tcPr>
          <w:p w:rsidR="00CF6E76" w:rsidRDefault="00CF6E76" w:rsidP="00572649">
            <w:pPr>
              <w:pStyle w:val="Financialtableyears"/>
              <w:keepNext/>
            </w:pPr>
            <w:r>
              <w:t>2019/20</w:t>
            </w:r>
          </w:p>
        </w:tc>
        <w:tc>
          <w:tcPr>
            <w:tcW w:w="0" w:type="auto"/>
          </w:tcPr>
          <w:p w:rsidR="00CF6E76" w:rsidRDefault="00CF6E76" w:rsidP="00572649">
            <w:pPr>
              <w:pStyle w:val="Financialtableyears"/>
              <w:keepNext/>
            </w:pPr>
          </w:p>
        </w:tc>
        <w:tc>
          <w:tcPr>
            <w:tcW w:w="0" w:type="auto"/>
          </w:tcPr>
          <w:p w:rsidR="00CF6E76" w:rsidRDefault="00CF6E76" w:rsidP="00A57393">
            <w:pPr>
              <w:pStyle w:val="Financialtableyears"/>
              <w:keepNext/>
            </w:pPr>
            <w:r>
              <w:t>202</w:t>
            </w:r>
            <w:r w:rsidR="00A57393">
              <w:t>3</w:t>
            </w:r>
            <w:r>
              <w:t>/2</w:t>
            </w:r>
            <w:r w:rsidR="00A57393">
              <w:t>4</w:t>
            </w:r>
          </w:p>
        </w:tc>
      </w:tr>
      <w:tr w:rsidR="00CF6E76" w:rsidTr="00CF6E76">
        <w:tc>
          <w:tcPr>
            <w:tcW w:w="0" w:type="auto"/>
          </w:tcPr>
          <w:p w:rsidR="00CF6E76" w:rsidRPr="004A25A3" w:rsidRDefault="00CF6E76" w:rsidP="00572649">
            <w:pPr>
              <w:pStyle w:val="FinancialtableLHC"/>
              <w:keepNext/>
            </w:pPr>
            <w:r w:rsidRPr="004A25A3">
              <w:t>Revenue</w:t>
            </w:r>
          </w:p>
        </w:tc>
        <w:tc>
          <w:tcPr>
            <w:tcW w:w="0" w:type="auto"/>
          </w:tcPr>
          <w:p w:rsidR="00CF6E76" w:rsidRPr="00BB122F" w:rsidRDefault="00CF6E76" w:rsidP="00572649">
            <w:pPr>
              <w:pStyle w:val="Financialtablefigures"/>
              <w:keepNext/>
            </w:pPr>
            <w:r>
              <w:t>18.459</w:t>
            </w:r>
          </w:p>
        </w:tc>
        <w:tc>
          <w:tcPr>
            <w:tcW w:w="0" w:type="auto"/>
          </w:tcPr>
          <w:p w:rsidR="00CF6E76" w:rsidRPr="00BB122F" w:rsidRDefault="00CF6E76" w:rsidP="00572649">
            <w:pPr>
              <w:pStyle w:val="Financialtablefigures"/>
              <w:keepNext/>
            </w:pPr>
            <w:r>
              <w:t>23.278</w:t>
            </w:r>
          </w:p>
        </w:tc>
        <w:tc>
          <w:tcPr>
            <w:tcW w:w="0" w:type="auto"/>
          </w:tcPr>
          <w:p w:rsidR="00CF6E76" w:rsidRPr="00BB122F" w:rsidRDefault="00CF6E76" w:rsidP="00572649">
            <w:pPr>
              <w:pStyle w:val="Financialtablefigures"/>
              <w:keepNext/>
            </w:pPr>
            <w:r>
              <w:t>26.950</w:t>
            </w:r>
          </w:p>
        </w:tc>
        <w:tc>
          <w:tcPr>
            <w:tcW w:w="0" w:type="auto"/>
          </w:tcPr>
          <w:p w:rsidR="00CF6E76" w:rsidRPr="00BB122F" w:rsidRDefault="00CF6E76" w:rsidP="00572649">
            <w:pPr>
              <w:pStyle w:val="Financialtablefigures"/>
              <w:keepNext/>
            </w:pPr>
            <w:r>
              <w:t>26.836</w:t>
            </w:r>
          </w:p>
        </w:tc>
        <w:tc>
          <w:tcPr>
            <w:tcW w:w="0" w:type="auto"/>
          </w:tcPr>
          <w:p w:rsidR="00CF6E76" w:rsidRPr="00BB122F" w:rsidRDefault="00CF6E76" w:rsidP="00572649">
            <w:pPr>
              <w:pStyle w:val="Financialtablefigures"/>
              <w:keepNext/>
            </w:pPr>
            <w:r>
              <w:t>26.726</w:t>
            </w:r>
          </w:p>
        </w:tc>
        <w:tc>
          <w:tcPr>
            <w:tcW w:w="0" w:type="auto"/>
          </w:tcPr>
          <w:p w:rsidR="00CF6E76" w:rsidRDefault="00CF6E76" w:rsidP="00572649">
            <w:pPr>
              <w:pStyle w:val="Financialtablefigures"/>
              <w:keepNext/>
            </w:pPr>
            <w:r>
              <w:t>26.620</w:t>
            </w:r>
          </w:p>
        </w:tc>
        <w:tc>
          <w:tcPr>
            <w:tcW w:w="0" w:type="auto"/>
          </w:tcPr>
          <w:p w:rsidR="00CF6E76" w:rsidRDefault="00CF6E76" w:rsidP="00572649">
            <w:pPr>
              <w:pStyle w:val="Financialtablefigures"/>
              <w:keepNext/>
            </w:pPr>
          </w:p>
        </w:tc>
        <w:tc>
          <w:tcPr>
            <w:tcW w:w="0" w:type="auto"/>
          </w:tcPr>
          <w:p w:rsidR="00CF6E76" w:rsidRDefault="00A57393" w:rsidP="00572649">
            <w:pPr>
              <w:pStyle w:val="Financialtablefigures"/>
              <w:keepNext/>
            </w:pPr>
            <w:r>
              <w:t>26.237</w:t>
            </w:r>
          </w:p>
        </w:tc>
      </w:tr>
      <w:tr w:rsidR="00CF6E76" w:rsidTr="00CF6E76">
        <w:tc>
          <w:tcPr>
            <w:tcW w:w="0" w:type="auto"/>
          </w:tcPr>
          <w:p w:rsidR="00CF6E76" w:rsidRPr="004A25A3" w:rsidRDefault="00CF6E76" w:rsidP="00572649">
            <w:pPr>
              <w:pStyle w:val="FinancialtableLHC"/>
              <w:keepNext/>
            </w:pPr>
            <w:r w:rsidRPr="004A25A3">
              <w:t>Expenditure</w:t>
            </w:r>
          </w:p>
        </w:tc>
        <w:tc>
          <w:tcPr>
            <w:tcW w:w="0" w:type="auto"/>
          </w:tcPr>
          <w:p w:rsidR="00CF6E76" w:rsidRPr="00BB122F" w:rsidRDefault="00CF6E76" w:rsidP="00572649">
            <w:pPr>
              <w:pStyle w:val="Financialtablefigures"/>
              <w:keepNext/>
            </w:pPr>
            <w:r>
              <w:t>22.268</w:t>
            </w:r>
          </w:p>
        </w:tc>
        <w:tc>
          <w:tcPr>
            <w:tcW w:w="0" w:type="auto"/>
          </w:tcPr>
          <w:p w:rsidR="00CF6E76" w:rsidRPr="00BB122F" w:rsidRDefault="00CF6E76" w:rsidP="00572649">
            <w:pPr>
              <w:pStyle w:val="Financialtablefigures"/>
              <w:keepNext/>
            </w:pPr>
            <w:r>
              <w:t>23.528</w:t>
            </w:r>
          </w:p>
        </w:tc>
        <w:tc>
          <w:tcPr>
            <w:tcW w:w="0" w:type="auto"/>
          </w:tcPr>
          <w:p w:rsidR="00CF6E76" w:rsidRPr="00BB122F" w:rsidRDefault="00CF6E76" w:rsidP="00572649">
            <w:pPr>
              <w:pStyle w:val="Financialtablefigures"/>
              <w:keepNext/>
            </w:pPr>
            <w:r>
              <w:t>24.687</w:t>
            </w:r>
          </w:p>
        </w:tc>
        <w:tc>
          <w:tcPr>
            <w:tcW w:w="0" w:type="auto"/>
          </w:tcPr>
          <w:p w:rsidR="00CF6E76" w:rsidRPr="00BB122F" w:rsidRDefault="00CF6E76" w:rsidP="00572649">
            <w:pPr>
              <w:pStyle w:val="Financialtablefigures"/>
              <w:keepNext/>
            </w:pPr>
            <w:r>
              <w:t>25.213</w:t>
            </w:r>
          </w:p>
        </w:tc>
        <w:tc>
          <w:tcPr>
            <w:tcW w:w="0" w:type="auto"/>
          </w:tcPr>
          <w:p w:rsidR="00CF6E76" w:rsidRPr="00BB122F" w:rsidRDefault="00CF6E76" w:rsidP="00572649">
            <w:pPr>
              <w:pStyle w:val="Financialtablefigures"/>
              <w:keepNext/>
            </w:pPr>
            <w:r>
              <w:t>25.167</w:t>
            </w:r>
          </w:p>
        </w:tc>
        <w:tc>
          <w:tcPr>
            <w:tcW w:w="0" w:type="auto"/>
          </w:tcPr>
          <w:p w:rsidR="00CF6E76" w:rsidRDefault="00CF6E76" w:rsidP="00572649">
            <w:pPr>
              <w:pStyle w:val="Financialtablefigures"/>
              <w:keepNext/>
            </w:pPr>
            <w:r>
              <w:t>25.452</w:t>
            </w:r>
          </w:p>
        </w:tc>
        <w:tc>
          <w:tcPr>
            <w:tcW w:w="0" w:type="auto"/>
          </w:tcPr>
          <w:p w:rsidR="00CF6E76" w:rsidRDefault="00CF6E76" w:rsidP="00572649">
            <w:pPr>
              <w:pStyle w:val="Financialtablefigures"/>
              <w:keepNext/>
            </w:pPr>
          </w:p>
        </w:tc>
        <w:tc>
          <w:tcPr>
            <w:tcW w:w="0" w:type="auto"/>
          </w:tcPr>
          <w:p w:rsidR="00CF6E76" w:rsidRDefault="002A104B" w:rsidP="00572649">
            <w:pPr>
              <w:pStyle w:val="Financialtablefigures"/>
              <w:keepNext/>
            </w:pPr>
            <w:r>
              <w:t>25.995</w:t>
            </w:r>
          </w:p>
        </w:tc>
      </w:tr>
      <w:tr w:rsidR="00CF6E76" w:rsidTr="00CF6E76">
        <w:tc>
          <w:tcPr>
            <w:tcW w:w="0" w:type="auto"/>
          </w:tcPr>
          <w:p w:rsidR="00CF6E76" w:rsidRPr="004A25A3" w:rsidRDefault="00CF6E76" w:rsidP="00572649">
            <w:pPr>
              <w:pStyle w:val="FinancialtableLHC"/>
              <w:keepNext/>
            </w:pPr>
            <w:r w:rsidRPr="004A25A3">
              <w:t>Surplus/(Deficit)</w:t>
            </w:r>
          </w:p>
        </w:tc>
        <w:tc>
          <w:tcPr>
            <w:tcW w:w="0" w:type="auto"/>
          </w:tcPr>
          <w:p w:rsidR="00CF6E76" w:rsidRPr="00BB122F" w:rsidRDefault="00CF6E76" w:rsidP="00572649">
            <w:pPr>
              <w:pStyle w:val="Financialtablefigures"/>
              <w:keepNext/>
            </w:pPr>
            <w:r>
              <w:t>(3.809)</w:t>
            </w:r>
          </w:p>
        </w:tc>
        <w:tc>
          <w:tcPr>
            <w:tcW w:w="0" w:type="auto"/>
          </w:tcPr>
          <w:p w:rsidR="00CF6E76" w:rsidRPr="00BB122F" w:rsidRDefault="00CF6E76" w:rsidP="00572649">
            <w:pPr>
              <w:pStyle w:val="Financialtablefigures"/>
              <w:keepNext/>
            </w:pPr>
            <w:r>
              <w:t>(0.250)</w:t>
            </w:r>
          </w:p>
        </w:tc>
        <w:tc>
          <w:tcPr>
            <w:tcW w:w="0" w:type="auto"/>
          </w:tcPr>
          <w:p w:rsidR="00CF6E76" w:rsidRPr="00BB122F" w:rsidRDefault="00CF6E76" w:rsidP="00572649">
            <w:pPr>
              <w:pStyle w:val="Financialtablefigures"/>
              <w:keepNext/>
            </w:pPr>
            <w:r>
              <w:t>2.264</w:t>
            </w:r>
          </w:p>
        </w:tc>
        <w:tc>
          <w:tcPr>
            <w:tcW w:w="0" w:type="auto"/>
          </w:tcPr>
          <w:p w:rsidR="00CF6E76" w:rsidRPr="00BB122F" w:rsidRDefault="00CF6E76" w:rsidP="00572649">
            <w:pPr>
              <w:pStyle w:val="Financialtablefigures"/>
              <w:keepNext/>
            </w:pPr>
            <w:r>
              <w:t>1.624</w:t>
            </w:r>
          </w:p>
        </w:tc>
        <w:tc>
          <w:tcPr>
            <w:tcW w:w="0" w:type="auto"/>
          </w:tcPr>
          <w:p w:rsidR="00CF6E76" w:rsidRPr="00BB122F" w:rsidRDefault="00CF6E76" w:rsidP="00572649">
            <w:pPr>
              <w:pStyle w:val="Financialtablefigures"/>
              <w:keepNext/>
            </w:pPr>
            <w:r>
              <w:t>1.560</w:t>
            </w:r>
          </w:p>
        </w:tc>
        <w:tc>
          <w:tcPr>
            <w:tcW w:w="0" w:type="auto"/>
          </w:tcPr>
          <w:p w:rsidR="00CF6E76" w:rsidRDefault="00CF6E76" w:rsidP="00572649">
            <w:pPr>
              <w:pStyle w:val="Financialtablefigures"/>
              <w:keepNext/>
            </w:pPr>
            <w:r>
              <w:t>1.168</w:t>
            </w:r>
          </w:p>
        </w:tc>
        <w:tc>
          <w:tcPr>
            <w:tcW w:w="0" w:type="auto"/>
          </w:tcPr>
          <w:p w:rsidR="00CF6E76" w:rsidRDefault="00CF6E76" w:rsidP="00572649">
            <w:pPr>
              <w:pStyle w:val="Financialtablefigures"/>
              <w:keepNext/>
            </w:pPr>
          </w:p>
        </w:tc>
        <w:tc>
          <w:tcPr>
            <w:tcW w:w="0" w:type="auto"/>
          </w:tcPr>
          <w:p w:rsidR="00CF6E76" w:rsidRDefault="00CF6E76" w:rsidP="002A104B">
            <w:pPr>
              <w:pStyle w:val="Financialtablefigures"/>
              <w:keepNext/>
            </w:pPr>
            <w:r>
              <w:t>0.</w:t>
            </w:r>
            <w:r w:rsidR="002A104B">
              <w:t>241</w:t>
            </w:r>
          </w:p>
        </w:tc>
      </w:tr>
      <w:tr w:rsidR="00CF6E76" w:rsidTr="00CF6E76">
        <w:tc>
          <w:tcPr>
            <w:tcW w:w="0" w:type="auto"/>
          </w:tcPr>
          <w:p w:rsidR="00CF6E76" w:rsidRPr="004A25A3" w:rsidRDefault="00CF6E76" w:rsidP="00572649">
            <w:pPr>
              <w:pStyle w:val="FinancialtableLHC"/>
            </w:pPr>
            <w:r w:rsidRPr="004A25A3">
              <w:t xml:space="preserve">Memo </w:t>
            </w:r>
            <w:r>
              <w:t>account</w:t>
            </w:r>
            <w:r w:rsidRPr="004A25A3">
              <w:t xml:space="preserve"> </w:t>
            </w:r>
            <w:r>
              <w:t>c</w:t>
            </w:r>
            <w:r w:rsidRPr="004A25A3">
              <w:t>losing</w:t>
            </w:r>
            <w:r>
              <w:t xml:space="preserve"> (including capital charges) </w:t>
            </w:r>
          </w:p>
        </w:tc>
        <w:tc>
          <w:tcPr>
            <w:tcW w:w="0" w:type="auto"/>
          </w:tcPr>
          <w:p w:rsidR="00CF6E76" w:rsidRPr="00E72E0B" w:rsidRDefault="00CF6E76" w:rsidP="00572649">
            <w:pPr>
              <w:pStyle w:val="Financialtablefigures"/>
            </w:pPr>
            <w:r>
              <w:t>(12.982)</w:t>
            </w:r>
          </w:p>
        </w:tc>
        <w:tc>
          <w:tcPr>
            <w:tcW w:w="0" w:type="auto"/>
          </w:tcPr>
          <w:p w:rsidR="00CF6E76" w:rsidRPr="00E72E0B" w:rsidRDefault="00CF6E76" w:rsidP="00572649">
            <w:pPr>
              <w:pStyle w:val="Financialtablefigures"/>
            </w:pPr>
            <w:r>
              <w:t>(13.232)</w:t>
            </w:r>
          </w:p>
        </w:tc>
        <w:tc>
          <w:tcPr>
            <w:tcW w:w="0" w:type="auto"/>
          </w:tcPr>
          <w:p w:rsidR="00CF6E76" w:rsidRPr="00E72E0B" w:rsidRDefault="00CF6E76" w:rsidP="00572649">
            <w:pPr>
              <w:pStyle w:val="Financialtablefigures"/>
            </w:pPr>
            <w:r>
              <w:t>(10.969)</w:t>
            </w:r>
          </w:p>
        </w:tc>
        <w:tc>
          <w:tcPr>
            <w:tcW w:w="0" w:type="auto"/>
          </w:tcPr>
          <w:p w:rsidR="00CF6E76" w:rsidRPr="007635B5" w:rsidRDefault="00CF6E76" w:rsidP="00572649">
            <w:pPr>
              <w:pStyle w:val="Financialtablefigures"/>
            </w:pPr>
            <w:r>
              <w:t>(9.345)</w:t>
            </w:r>
          </w:p>
        </w:tc>
        <w:tc>
          <w:tcPr>
            <w:tcW w:w="0" w:type="auto"/>
          </w:tcPr>
          <w:p w:rsidR="00CF6E76" w:rsidRPr="00E72E0B" w:rsidRDefault="00CF6E76" w:rsidP="00572649">
            <w:pPr>
              <w:pStyle w:val="Financialtablefigures"/>
            </w:pPr>
            <w:r>
              <w:t>(7.785)</w:t>
            </w:r>
          </w:p>
        </w:tc>
        <w:tc>
          <w:tcPr>
            <w:tcW w:w="0" w:type="auto"/>
          </w:tcPr>
          <w:p w:rsidR="00CF6E76" w:rsidRDefault="00CF6E76" w:rsidP="00572649">
            <w:pPr>
              <w:pStyle w:val="Financialtablefigures"/>
            </w:pPr>
            <w:r>
              <w:t>(6.617)</w:t>
            </w:r>
          </w:p>
        </w:tc>
        <w:tc>
          <w:tcPr>
            <w:tcW w:w="0" w:type="auto"/>
          </w:tcPr>
          <w:p w:rsidR="00CF6E76" w:rsidRDefault="00CF6E76" w:rsidP="00572649">
            <w:pPr>
              <w:pStyle w:val="Financialtablefigures"/>
            </w:pPr>
          </w:p>
        </w:tc>
        <w:tc>
          <w:tcPr>
            <w:tcW w:w="0" w:type="auto"/>
          </w:tcPr>
          <w:p w:rsidR="00CF6E76" w:rsidRDefault="00CF6E76" w:rsidP="00572649">
            <w:pPr>
              <w:pStyle w:val="Financialtablefigures"/>
            </w:pPr>
            <w:r>
              <w:t>(</w:t>
            </w:r>
            <w:r w:rsidR="00905E3B">
              <w:t>4.900)</w:t>
            </w:r>
          </w:p>
        </w:tc>
      </w:tr>
    </w:tbl>
    <w:p w:rsidR="00736677" w:rsidRDefault="00736677" w:rsidP="00736677">
      <w:pPr>
        <w:pStyle w:val="Caption"/>
      </w:pPr>
      <w:r>
        <w:t xml:space="preserve">Table </w:t>
      </w:r>
      <w:r w:rsidR="005C581F">
        <w:t>3</w:t>
      </w:r>
      <w:r>
        <w:t xml:space="preserve">: </w:t>
      </w:r>
      <w:r w:rsidRPr="00736677">
        <w:t>Proposed changes to the Department’s Output Expenses related to gambling regulation</w:t>
      </w:r>
      <w:r w:rsidR="00C710C7">
        <w:t xml:space="preserve"> based on new fees</w:t>
      </w:r>
      <w:r w:rsidRPr="00736677">
        <w:t xml:space="preserve"> ($million)</w:t>
      </w:r>
    </w:p>
    <w:tbl>
      <w:tblPr>
        <w:tblStyle w:val="DIATable"/>
        <w:tblW w:w="0" w:type="auto"/>
        <w:tblLook w:val="04A0" w:firstRow="1" w:lastRow="0" w:firstColumn="1" w:lastColumn="0" w:noHBand="0" w:noVBand="1"/>
      </w:tblPr>
      <w:tblGrid>
        <w:gridCol w:w="3767"/>
        <w:gridCol w:w="902"/>
        <w:gridCol w:w="902"/>
        <w:gridCol w:w="902"/>
        <w:gridCol w:w="902"/>
        <w:gridCol w:w="902"/>
        <w:gridCol w:w="902"/>
      </w:tblGrid>
      <w:tr w:rsidR="00FF2F7C" w:rsidTr="00E26D66">
        <w:trPr>
          <w:cnfStyle w:val="100000000000" w:firstRow="1" w:lastRow="0" w:firstColumn="0" w:lastColumn="0" w:oddVBand="0" w:evenVBand="0" w:oddHBand="0" w:evenHBand="0" w:firstRowFirstColumn="0" w:firstRowLastColumn="0" w:lastRowFirstColumn="0" w:lastRowLastColumn="0"/>
        </w:trPr>
        <w:tc>
          <w:tcPr>
            <w:tcW w:w="0" w:type="auto"/>
          </w:tcPr>
          <w:p w:rsidR="00FF2F7C" w:rsidRPr="00A75078" w:rsidRDefault="00FF2F7C" w:rsidP="00572649">
            <w:pPr>
              <w:pStyle w:val="FinancialtableLHC"/>
            </w:pPr>
          </w:p>
        </w:tc>
        <w:tc>
          <w:tcPr>
            <w:tcW w:w="0" w:type="auto"/>
          </w:tcPr>
          <w:p w:rsidR="00FF2F7C" w:rsidRDefault="00FF2F7C" w:rsidP="00572649">
            <w:pPr>
              <w:pStyle w:val="Financialtableyears"/>
            </w:pPr>
            <w:r>
              <w:t>2014/15</w:t>
            </w:r>
          </w:p>
        </w:tc>
        <w:tc>
          <w:tcPr>
            <w:tcW w:w="0" w:type="auto"/>
          </w:tcPr>
          <w:p w:rsidR="00FF2F7C" w:rsidRDefault="00FF2F7C" w:rsidP="00572649">
            <w:pPr>
              <w:pStyle w:val="Financialtableyears"/>
            </w:pPr>
            <w:r>
              <w:t>2015/16</w:t>
            </w:r>
          </w:p>
        </w:tc>
        <w:tc>
          <w:tcPr>
            <w:tcW w:w="0" w:type="auto"/>
          </w:tcPr>
          <w:p w:rsidR="00FF2F7C" w:rsidRPr="00A75078" w:rsidRDefault="00FF2F7C" w:rsidP="00572649">
            <w:pPr>
              <w:pStyle w:val="Financialtableyears"/>
            </w:pPr>
            <w:r>
              <w:t>2016</w:t>
            </w:r>
            <w:r w:rsidRPr="00A75078">
              <w:t>/1</w:t>
            </w:r>
            <w:r>
              <w:t>7</w:t>
            </w:r>
          </w:p>
        </w:tc>
        <w:tc>
          <w:tcPr>
            <w:tcW w:w="0" w:type="auto"/>
          </w:tcPr>
          <w:p w:rsidR="00FF2F7C" w:rsidRPr="00A75078" w:rsidRDefault="00FF2F7C" w:rsidP="00572649">
            <w:pPr>
              <w:pStyle w:val="Financialtableyears"/>
            </w:pPr>
            <w:r>
              <w:t>2017</w:t>
            </w:r>
            <w:r w:rsidRPr="00A75078">
              <w:t>/1</w:t>
            </w:r>
            <w:r>
              <w:t>8</w:t>
            </w:r>
          </w:p>
        </w:tc>
        <w:tc>
          <w:tcPr>
            <w:tcW w:w="0" w:type="auto"/>
          </w:tcPr>
          <w:p w:rsidR="00FF2F7C" w:rsidRPr="00A75078" w:rsidRDefault="00FF2F7C" w:rsidP="00572649">
            <w:pPr>
              <w:pStyle w:val="Financialtableyears"/>
            </w:pPr>
            <w:r>
              <w:t>2018</w:t>
            </w:r>
            <w:r w:rsidRPr="00A75078">
              <w:t>/1</w:t>
            </w:r>
            <w:r>
              <w:t>9</w:t>
            </w:r>
          </w:p>
        </w:tc>
        <w:tc>
          <w:tcPr>
            <w:tcW w:w="0" w:type="auto"/>
          </w:tcPr>
          <w:p w:rsidR="00FF2F7C" w:rsidRPr="00A75078" w:rsidRDefault="00FF2F7C" w:rsidP="00572649">
            <w:pPr>
              <w:pStyle w:val="Financialtableyears"/>
            </w:pPr>
            <w:r>
              <w:t>2019/20</w:t>
            </w:r>
          </w:p>
        </w:tc>
      </w:tr>
      <w:tr w:rsidR="00FF2F7C" w:rsidTr="00E26D66">
        <w:tc>
          <w:tcPr>
            <w:tcW w:w="0" w:type="auto"/>
          </w:tcPr>
          <w:p w:rsidR="00FF2F7C" w:rsidRPr="003D4926" w:rsidRDefault="00FF2F7C" w:rsidP="00572649">
            <w:pPr>
              <w:pStyle w:val="FinancialtableLHC"/>
              <w:rPr>
                <w:b/>
              </w:rPr>
            </w:pPr>
            <w:r>
              <w:rPr>
                <w:b/>
              </w:rPr>
              <w:t>Base expenditure</w:t>
            </w:r>
          </w:p>
        </w:tc>
        <w:tc>
          <w:tcPr>
            <w:tcW w:w="0" w:type="auto"/>
          </w:tcPr>
          <w:p w:rsidR="00FF2F7C" w:rsidRPr="000C638E" w:rsidRDefault="00FF2F7C" w:rsidP="00572649">
            <w:pPr>
              <w:pStyle w:val="Financialtablefigures"/>
            </w:pPr>
            <w:r>
              <w:t>20.061</w:t>
            </w:r>
          </w:p>
        </w:tc>
        <w:tc>
          <w:tcPr>
            <w:tcW w:w="0" w:type="auto"/>
          </w:tcPr>
          <w:p w:rsidR="00FF2F7C" w:rsidRPr="000C638E" w:rsidRDefault="00FF2F7C" w:rsidP="00572649">
            <w:pPr>
              <w:pStyle w:val="Financialtablefigures"/>
            </w:pPr>
            <w:r>
              <w:t>20.061</w:t>
            </w:r>
          </w:p>
        </w:tc>
        <w:tc>
          <w:tcPr>
            <w:tcW w:w="0" w:type="auto"/>
          </w:tcPr>
          <w:p w:rsidR="00FF2F7C" w:rsidRPr="000C638E" w:rsidRDefault="00FF2F7C" w:rsidP="00572649">
            <w:pPr>
              <w:pStyle w:val="Financialtablefigures"/>
            </w:pPr>
            <w:r>
              <w:t>20.061</w:t>
            </w:r>
          </w:p>
        </w:tc>
        <w:tc>
          <w:tcPr>
            <w:tcW w:w="0" w:type="auto"/>
          </w:tcPr>
          <w:p w:rsidR="00FF2F7C" w:rsidRPr="00366112" w:rsidRDefault="00FF2F7C" w:rsidP="00572649">
            <w:pPr>
              <w:pStyle w:val="Financialtablefigures"/>
            </w:pPr>
            <w:r>
              <w:t>20.061</w:t>
            </w:r>
          </w:p>
        </w:tc>
        <w:tc>
          <w:tcPr>
            <w:tcW w:w="0" w:type="auto"/>
          </w:tcPr>
          <w:p w:rsidR="00FF2F7C" w:rsidRPr="00366112" w:rsidRDefault="00FF2F7C" w:rsidP="00572649">
            <w:pPr>
              <w:pStyle w:val="Financialtablefigures"/>
            </w:pPr>
            <w:r>
              <w:t>20.061</w:t>
            </w:r>
          </w:p>
        </w:tc>
        <w:tc>
          <w:tcPr>
            <w:tcW w:w="0" w:type="auto"/>
          </w:tcPr>
          <w:p w:rsidR="00FF2F7C" w:rsidRPr="00366112" w:rsidRDefault="00FF2F7C" w:rsidP="00572649">
            <w:pPr>
              <w:pStyle w:val="Financialtablefigures"/>
            </w:pPr>
            <w:r>
              <w:t>20.061</w:t>
            </w:r>
          </w:p>
        </w:tc>
      </w:tr>
      <w:tr w:rsidR="00FF2F7C" w:rsidTr="00E26D66">
        <w:tc>
          <w:tcPr>
            <w:tcW w:w="0" w:type="auto"/>
          </w:tcPr>
          <w:p w:rsidR="00FF2F7C" w:rsidRPr="00C229CC" w:rsidRDefault="00FF2F7C" w:rsidP="00572649">
            <w:pPr>
              <w:pStyle w:val="FinancialtableLHC"/>
            </w:pPr>
            <w:r>
              <w:t>2014/15 Year-end Provisions</w:t>
            </w:r>
          </w:p>
        </w:tc>
        <w:tc>
          <w:tcPr>
            <w:tcW w:w="0" w:type="auto"/>
          </w:tcPr>
          <w:p w:rsidR="00FF2F7C" w:rsidRPr="00C229CC" w:rsidRDefault="00FF2F7C" w:rsidP="00572649">
            <w:pPr>
              <w:pStyle w:val="Financialtablefigures"/>
            </w:pPr>
            <w:r>
              <w:t>0.396</w:t>
            </w: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p>
        </w:tc>
        <w:tc>
          <w:tcPr>
            <w:tcW w:w="0" w:type="auto"/>
          </w:tcPr>
          <w:p w:rsidR="00FF2F7C" w:rsidRPr="00D70D57" w:rsidRDefault="00FF2F7C" w:rsidP="00572649">
            <w:pPr>
              <w:pStyle w:val="Financialtablefigures"/>
            </w:pPr>
          </w:p>
        </w:tc>
      </w:tr>
      <w:tr w:rsidR="00FF2F7C" w:rsidTr="00E26D66">
        <w:tc>
          <w:tcPr>
            <w:tcW w:w="0" w:type="auto"/>
          </w:tcPr>
          <w:p w:rsidR="00FF2F7C" w:rsidRDefault="00FF2F7C" w:rsidP="00572649">
            <w:pPr>
              <w:pStyle w:val="FinancialtableLHC"/>
            </w:pPr>
            <w:r>
              <w:t>2014/15 IGP Impairment</w:t>
            </w:r>
          </w:p>
        </w:tc>
        <w:tc>
          <w:tcPr>
            <w:tcW w:w="0" w:type="auto"/>
          </w:tcPr>
          <w:p w:rsidR="00FF2F7C" w:rsidRDefault="00FF2F7C" w:rsidP="00572649">
            <w:pPr>
              <w:pStyle w:val="Financialtablefigures"/>
            </w:pPr>
            <w:r>
              <w:t>0.270</w:t>
            </w: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p>
        </w:tc>
        <w:tc>
          <w:tcPr>
            <w:tcW w:w="0" w:type="auto"/>
          </w:tcPr>
          <w:p w:rsidR="00FF2F7C" w:rsidRPr="00D70D57" w:rsidRDefault="00FF2F7C" w:rsidP="00572649">
            <w:pPr>
              <w:pStyle w:val="Financialtablefigures"/>
            </w:pPr>
          </w:p>
        </w:tc>
      </w:tr>
      <w:tr w:rsidR="00FF2F7C" w:rsidTr="00E26D66">
        <w:tc>
          <w:tcPr>
            <w:tcW w:w="0" w:type="auto"/>
          </w:tcPr>
          <w:p w:rsidR="00FF2F7C" w:rsidRPr="00C229CC" w:rsidRDefault="00FF2F7C" w:rsidP="00572649">
            <w:pPr>
              <w:pStyle w:val="FinancialtableLHC"/>
            </w:pPr>
            <w:r>
              <w:t>Operation Chestnut</w:t>
            </w:r>
          </w:p>
        </w:tc>
        <w:tc>
          <w:tcPr>
            <w:tcW w:w="0" w:type="auto"/>
          </w:tcPr>
          <w:p w:rsidR="00FF2F7C" w:rsidRPr="00C229CC" w:rsidRDefault="00FF2F7C" w:rsidP="00572649">
            <w:pPr>
              <w:pStyle w:val="Financialtablefigures"/>
            </w:pPr>
            <w:r>
              <w:t>0.513</w:t>
            </w: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r>
      <w:tr w:rsidR="00FF2F7C" w:rsidTr="00E26D66">
        <w:tc>
          <w:tcPr>
            <w:tcW w:w="0" w:type="auto"/>
          </w:tcPr>
          <w:p w:rsidR="00FF2F7C" w:rsidRDefault="00FF2F7C" w:rsidP="00572649">
            <w:pPr>
              <w:pStyle w:val="FinancialtableLHC"/>
            </w:pPr>
            <w:r>
              <w:t xml:space="preserve">2014/15 Certificate of approval costs </w:t>
            </w:r>
          </w:p>
        </w:tc>
        <w:tc>
          <w:tcPr>
            <w:tcW w:w="0" w:type="auto"/>
          </w:tcPr>
          <w:p w:rsidR="00FF2F7C" w:rsidRDefault="00FF2F7C" w:rsidP="00572649">
            <w:pPr>
              <w:pStyle w:val="Financialtablefigures"/>
            </w:pPr>
            <w:r>
              <w:t>0.046</w:t>
            </w: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p>
        </w:tc>
      </w:tr>
      <w:tr w:rsidR="00FF2F7C" w:rsidTr="00E26D66">
        <w:tc>
          <w:tcPr>
            <w:tcW w:w="0" w:type="auto"/>
          </w:tcPr>
          <w:p w:rsidR="00FF2F7C" w:rsidRDefault="00FF2F7C" w:rsidP="00572649">
            <w:pPr>
              <w:pStyle w:val="FinancialtableLHC"/>
            </w:pPr>
            <w:r>
              <w:t>IGP depreciation</w:t>
            </w:r>
          </w:p>
        </w:tc>
        <w:tc>
          <w:tcPr>
            <w:tcW w:w="0" w:type="auto"/>
          </w:tcPr>
          <w:p w:rsidR="00FF2F7C" w:rsidRDefault="00FF2F7C" w:rsidP="00572649">
            <w:pPr>
              <w:pStyle w:val="Financialtablefigures"/>
            </w:pPr>
            <w:r>
              <w:t>0.807</w:t>
            </w:r>
          </w:p>
        </w:tc>
        <w:tc>
          <w:tcPr>
            <w:tcW w:w="0" w:type="auto"/>
          </w:tcPr>
          <w:p w:rsidR="00FF2F7C" w:rsidRDefault="00FF2F7C" w:rsidP="00572649">
            <w:pPr>
              <w:pStyle w:val="Financialtablefigures"/>
            </w:pPr>
            <w:r>
              <w:t>1.003</w:t>
            </w:r>
          </w:p>
        </w:tc>
        <w:tc>
          <w:tcPr>
            <w:tcW w:w="0" w:type="auto"/>
          </w:tcPr>
          <w:p w:rsidR="00FF2F7C" w:rsidRDefault="00FF2F7C" w:rsidP="00572649">
            <w:pPr>
              <w:pStyle w:val="Financialtablefigures"/>
            </w:pPr>
            <w:r>
              <w:t>1.506</w:t>
            </w:r>
          </w:p>
        </w:tc>
        <w:tc>
          <w:tcPr>
            <w:tcW w:w="0" w:type="auto"/>
          </w:tcPr>
          <w:p w:rsidR="00FF2F7C" w:rsidRDefault="00FF2F7C" w:rsidP="00572649">
            <w:pPr>
              <w:pStyle w:val="Financialtablefigures"/>
            </w:pPr>
            <w:r>
              <w:t>1.552</w:t>
            </w:r>
          </w:p>
        </w:tc>
        <w:tc>
          <w:tcPr>
            <w:tcW w:w="0" w:type="auto"/>
          </w:tcPr>
          <w:p w:rsidR="00FF2F7C" w:rsidRDefault="00FF2F7C" w:rsidP="00572649">
            <w:pPr>
              <w:pStyle w:val="Financialtablefigures"/>
            </w:pPr>
            <w:r>
              <w:t>1.251</w:t>
            </w:r>
          </w:p>
        </w:tc>
        <w:tc>
          <w:tcPr>
            <w:tcW w:w="0" w:type="auto"/>
          </w:tcPr>
          <w:p w:rsidR="00FF2F7C" w:rsidRDefault="00FF2F7C" w:rsidP="00572649">
            <w:pPr>
              <w:pStyle w:val="Financialtablefigures"/>
            </w:pPr>
            <w:r>
              <w:t>1.251</w:t>
            </w:r>
          </w:p>
        </w:tc>
      </w:tr>
      <w:tr w:rsidR="00FF2F7C" w:rsidTr="00E26D66">
        <w:tc>
          <w:tcPr>
            <w:tcW w:w="0" w:type="auto"/>
          </w:tcPr>
          <w:p w:rsidR="00FF2F7C" w:rsidRDefault="00FF2F7C" w:rsidP="00572649">
            <w:pPr>
              <w:pStyle w:val="FinancialtableLHC"/>
            </w:pPr>
            <w:r>
              <w:t>IGP m</w:t>
            </w:r>
            <w:r w:rsidR="000E7EE3">
              <w:t>odifications</w:t>
            </w:r>
          </w:p>
        </w:tc>
        <w:tc>
          <w:tcPr>
            <w:tcW w:w="0" w:type="auto"/>
          </w:tcPr>
          <w:p w:rsidR="00FF2F7C" w:rsidRDefault="00FF2F7C" w:rsidP="00572649">
            <w:pPr>
              <w:pStyle w:val="Financialtablefigures"/>
            </w:pPr>
          </w:p>
        </w:tc>
        <w:tc>
          <w:tcPr>
            <w:tcW w:w="0" w:type="auto"/>
          </w:tcPr>
          <w:p w:rsidR="00FF2F7C" w:rsidRDefault="00FF2F7C" w:rsidP="00572649">
            <w:pPr>
              <w:pStyle w:val="Financialtablefigures"/>
            </w:pPr>
            <w:r>
              <w:t>0.200</w:t>
            </w:r>
          </w:p>
        </w:tc>
        <w:tc>
          <w:tcPr>
            <w:tcW w:w="0" w:type="auto"/>
          </w:tcPr>
          <w:p w:rsidR="00FF2F7C" w:rsidRDefault="00FF2F7C" w:rsidP="00572649">
            <w:pPr>
              <w:pStyle w:val="Financialtablefigures"/>
            </w:pPr>
            <w:r>
              <w:t>0.200</w:t>
            </w:r>
          </w:p>
        </w:tc>
        <w:tc>
          <w:tcPr>
            <w:tcW w:w="0" w:type="auto"/>
          </w:tcPr>
          <w:p w:rsidR="00FF2F7C" w:rsidRDefault="00FF2F7C" w:rsidP="00572649">
            <w:pPr>
              <w:pStyle w:val="Financialtablefigures"/>
            </w:pPr>
            <w:r>
              <w:t>0.200</w:t>
            </w:r>
          </w:p>
        </w:tc>
        <w:tc>
          <w:tcPr>
            <w:tcW w:w="0" w:type="auto"/>
          </w:tcPr>
          <w:p w:rsidR="00FF2F7C" w:rsidRDefault="00FF2F7C" w:rsidP="00572649">
            <w:pPr>
              <w:pStyle w:val="Financialtablefigures"/>
            </w:pPr>
            <w:r>
              <w:t>0.200</w:t>
            </w:r>
          </w:p>
        </w:tc>
        <w:tc>
          <w:tcPr>
            <w:tcW w:w="0" w:type="auto"/>
          </w:tcPr>
          <w:p w:rsidR="00FF2F7C" w:rsidRDefault="00FF2F7C" w:rsidP="00572649">
            <w:pPr>
              <w:pStyle w:val="Financialtablefigures"/>
            </w:pPr>
            <w:r>
              <w:t>0.200</w:t>
            </w:r>
          </w:p>
        </w:tc>
      </w:tr>
      <w:tr w:rsidR="00FF2F7C" w:rsidTr="00E26D66">
        <w:tc>
          <w:tcPr>
            <w:tcW w:w="0" w:type="auto"/>
          </w:tcPr>
          <w:p w:rsidR="00FF2F7C" w:rsidRPr="00C229CC" w:rsidRDefault="00FF2F7C" w:rsidP="00572649">
            <w:pPr>
              <w:pStyle w:val="FinancialtableLHC"/>
            </w:pPr>
            <w:r>
              <w:t>General cost pressures (e.g. remuneration, CPI)</w:t>
            </w:r>
          </w:p>
        </w:tc>
        <w:tc>
          <w:tcPr>
            <w:tcW w:w="0" w:type="auto"/>
          </w:tcPr>
          <w:p w:rsidR="00FF2F7C" w:rsidRPr="00C229CC" w:rsidRDefault="00FF2F7C" w:rsidP="00572649">
            <w:pPr>
              <w:pStyle w:val="Financialtablefigures"/>
            </w:pPr>
          </w:p>
        </w:tc>
        <w:tc>
          <w:tcPr>
            <w:tcW w:w="0" w:type="auto"/>
          </w:tcPr>
          <w:p w:rsidR="00FF2F7C" w:rsidRPr="00C229CC" w:rsidRDefault="00FF2F7C" w:rsidP="00572649">
            <w:pPr>
              <w:pStyle w:val="Financialtablefigures"/>
            </w:pPr>
            <w:r>
              <w:t>0.500</w:t>
            </w:r>
          </w:p>
        </w:tc>
        <w:tc>
          <w:tcPr>
            <w:tcW w:w="0" w:type="auto"/>
          </w:tcPr>
          <w:p w:rsidR="00FF2F7C" w:rsidRPr="00C229CC" w:rsidRDefault="00FF2F7C" w:rsidP="00572649">
            <w:pPr>
              <w:pStyle w:val="Financialtablefigures"/>
            </w:pPr>
            <w:r>
              <w:t>1.000</w:t>
            </w:r>
          </w:p>
        </w:tc>
        <w:tc>
          <w:tcPr>
            <w:tcW w:w="0" w:type="auto"/>
          </w:tcPr>
          <w:p w:rsidR="00FF2F7C" w:rsidRPr="00C229CC" w:rsidRDefault="00FF2F7C" w:rsidP="00572649">
            <w:pPr>
              <w:pStyle w:val="Financialtablefigures"/>
            </w:pPr>
            <w:r>
              <w:t>1.500</w:t>
            </w:r>
          </w:p>
        </w:tc>
        <w:tc>
          <w:tcPr>
            <w:tcW w:w="0" w:type="auto"/>
          </w:tcPr>
          <w:p w:rsidR="00FF2F7C" w:rsidRPr="00C229CC" w:rsidRDefault="00FF2F7C" w:rsidP="00572649">
            <w:pPr>
              <w:pStyle w:val="Financialtablefigures"/>
            </w:pPr>
            <w:r>
              <w:t>2.000</w:t>
            </w:r>
          </w:p>
        </w:tc>
        <w:tc>
          <w:tcPr>
            <w:tcW w:w="0" w:type="auto"/>
          </w:tcPr>
          <w:p w:rsidR="00FF2F7C" w:rsidRPr="00D70D57" w:rsidRDefault="00FF2F7C" w:rsidP="00572649">
            <w:pPr>
              <w:pStyle w:val="Financialtablefigures"/>
            </w:pPr>
            <w:r>
              <w:t>2.500</w:t>
            </w:r>
          </w:p>
        </w:tc>
      </w:tr>
      <w:tr w:rsidR="00FF2F7C" w:rsidTr="00E26D66">
        <w:tc>
          <w:tcPr>
            <w:tcW w:w="0" w:type="auto"/>
          </w:tcPr>
          <w:p w:rsidR="00FF2F7C" w:rsidRDefault="00FF2F7C" w:rsidP="00572649">
            <w:pPr>
              <w:pStyle w:val="FinancialtableLHC"/>
            </w:pPr>
            <w:r>
              <w:t>Contribution to Corporate Cost Pressures</w:t>
            </w:r>
          </w:p>
        </w:tc>
        <w:tc>
          <w:tcPr>
            <w:tcW w:w="0" w:type="auto"/>
          </w:tcPr>
          <w:p w:rsidR="00FF2F7C" w:rsidRPr="00C229CC" w:rsidRDefault="00FF2F7C" w:rsidP="00572649">
            <w:pPr>
              <w:pStyle w:val="Financialtablefigures"/>
            </w:pPr>
          </w:p>
        </w:tc>
        <w:tc>
          <w:tcPr>
            <w:tcW w:w="0" w:type="auto"/>
          </w:tcPr>
          <w:p w:rsidR="00FF2F7C" w:rsidRDefault="00FF2F7C" w:rsidP="00572649">
            <w:pPr>
              <w:pStyle w:val="Financialtablefigures"/>
            </w:pPr>
            <w:r>
              <w:t>0.500</w:t>
            </w:r>
          </w:p>
        </w:tc>
        <w:tc>
          <w:tcPr>
            <w:tcW w:w="0" w:type="auto"/>
          </w:tcPr>
          <w:p w:rsidR="00FF2F7C" w:rsidRDefault="00FF2F7C" w:rsidP="00572649">
            <w:pPr>
              <w:pStyle w:val="Financialtablefigures"/>
            </w:pPr>
            <w:r>
              <w:t>0.500</w:t>
            </w:r>
          </w:p>
        </w:tc>
        <w:tc>
          <w:tcPr>
            <w:tcW w:w="0" w:type="auto"/>
          </w:tcPr>
          <w:p w:rsidR="00FF2F7C" w:rsidRDefault="00FF2F7C" w:rsidP="00572649">
            <w:pPr>
              <w:pStyle w:val="Financialtablefigures"/>
            </w:pPr>
            <w:r>
              <w:t>0.500</w:t>
            </w:r>
          </w:p>
        </w:tc>
        <w:tc>
          <w:tcPr>
            <w:tcW w:w="0" w:type="auto"/>
          </w:tcPr>
          <w:p w:rsidR="00FF2F7C" w:rsidRDefault="00FF2F7C" w:rsidP="00572649">
            <w:pPr>
              <w:pStyle w:val="Financialtablefigures"/>
            </w:pPr>
            <w:r>
              <w:t>0.500</w:t>
            </w:r>
          </w:p>
        </w:tc>
        <w:tc>
          <w:tcPr>
            <w:tcW w:w="0" w:type="auto"/>
          </w:tcPr>
          <w:p w:rsidR="00FF2F7C" w:rsidRDefault="00FF2F7C" w:rsidP="00572649">
            <w:pPr>
              <w:pStyle w:val="Financialtablefigures"/>
            </w:pPr>
            <w:r>
              <w:t>0.500</w:t>
            </w:r>
          </w:p>
        </w:tc>
      </w:tr>
      <w:tr w:rsidR="00FF2F7C" w:rsidTr="00E26D66">
        <w:tc>
          <w:tcPr>
            <w:tcW w:w="0" w:type="auto"/>
          </w:tcPr>
          <w:p w:rsidR="00FF2F7C" w:rsidRDefault="00FF2F7C" w:rsidP="00572649">
            <w:pPr>
              <w:pStyle w:val="FinancialtableLHC"/>
            </w:pPr>
            <w:r>
              <w:t>Capital charge IGP</w:t>
            </w:r>
          </w:p>
        </w:tc>
        <w:tc>
          <w:tcPr>
            <w:tcW w:w="0" w:type="auto"/>
          </w:tcPr>
          <w:p w:rsidR="00FF2F7C" w:rsidRPr="00C229CC" w:rsidRDefault="00FF2F7C" w:rsidP="00572649">
            <w:pPr>
              <w:pStyle w:val="Financialtablefigures"/>
            </w:pPr>
            <w:r>
              <w:t>0.175</w:t>
            </w:r>
          </w:p>
        </w:tc>
        <w:tc>
          <w:tcPr>
            <w:tcW w:w="0" w:type="auto"/>
          </w:tcPr>
          <w:p w:rsidR="00FF2F7C" w:rsidRPr="00C229CC" w:rsidRDefault="00FF2F7C" w:rsidP="00572649">
            <w:pPr>
              <w:pStyle w:val="Financialtablefigures"/>
            </w:pPr>
            <w:r>
              <w:t>0.240</w:t>
            </w:r>
          </w:p>
        </w:tc>
        <w:tc>
          <w:tcPr>
            <w:tcW w:w="0" w:type="auto"/>
          </w:tcPr>
          <w:p w:rsidR="00FF2F7C" w:rsidRPr="00C229CC" w:rsidRDefault="00FF2F7C" w:rsidP="00572649">
            <w:pPr>
              <w:pStyle w:val="Financialtablefigures"/>
            </w:pPr>
            <w:r>
              <w:t>0.426</w:t>
            </w:r>
          </w:p>
        </w:tc>
        <w:tc>
          <w:tcPr>
            <w:tcW w:w="0" w:type="auto"/>
          </w:tcPr>
          <w:p w:rsidR="00FF2F7C" w:rsidRPr="00C229CC" w:rsidRDefault="00FF2F7C" w:rsidP="00572649">
            <w:pPr>
              <w:pStyle w:val="Financialtablefigures"/>
            </w:pPr>
            <w:r>
              <w:t>0.571</w:t>
            </w:r>
          </w:p>
        </w:tc>
        <w:tc>
          <w:tcPr>
            <w:tcW w:w="0" w:type="auto"/>
          </w:tcPr>
          <w:p w:rsidR="00FF2F7C" w:rsidRPr="00C229CC" w:rsidRDefault="00FF2F7C" w:rsidP="00572649">
            <w:pPr>
              <w:pStyle w:val="Financialtablefigures"/>
            </w:pPr>
            <w:r>
              <w:t>0.452</w:t>
            </w:r>
          </w:p>
        </w:tc>
        <w:tc>
          <w:tcPr>
            <w:tcW w:w="0" w:type="auto"/>
          </w:tcPr>
          <w:p w:rsidR="00FF2F7C" w:rsidRPr="00D70D57" w:rsidRDefault="00FF2F7C" w:rsidP="00572649">
            <w:pPr>
              <w:pStyle w:val="Financialtablefigures"/>
            </w:pPr>
            <w:r>
              <w:t>0.352</w:t>
            </w:r>
          </w:p>
        </w:tc>
      </w:tr>
      <w:tr w:rsidR="00FF2F7C" w:rsidTr="00E26D66">
        <w:tc>
          <w:tcPr>
            <w:tcW w:w="0" w:type="auto"/>
          </w:tcPr>
          <w:p w:rsidR="00FF2F7C" w:rsidRPr="003D4926" w:rsidRDefault="00FF2F7C" w:rsidP="00572649">
            <w:pPr>
              <w:pStyle w:val="FinancialtableLHC"/>
              <w:rPr>
                <w:b/>
              </w:rPr>
            </w:pPr>
            <w:r w:rsidRPr="003D4926">
              <w:rPr>
                <w:b/>
              </w:rPr>
              <w:lastRenderedPageBreak/>
              <w:t xml:space="preserve">Subtotal </w:t>
            </w:r>
            <w:r>
              <w:rPr>
                <w:b/>
              </w:rPr>
              <w:t xml:space="preserve">revenue </w:t>
            </w:r>
            <w:r w:rsidRPr="003D4926">
              <w:rPr>
                <w:b/>
              </w:rPr>
              <w:t>requirement</w:t>
            </w:r>
          </w:p>
        </w:tc>
        <w:tc>
          <w:tcPr>
            <w:tcW w:w="0" w:type="auto"/>
          </w:tcPr>
          <w:p w:rsidR="00FF2F7C" w:rsidRPr="00C229CC" w:rsidRDefault="00FF2F7C" w:rsidP="00572649">
            <w:pPr>
              <w:pStyle w:val="Financialtablefigures"/>
            </w:pPr>
            <w:r>
              <w:t>22.268</w:t>
            </w:r>
          </w:p>
        </w:tc>
        <w:tc>
          <w:tcPr>
            <w:tcW w:w="0" w:type="auto"/>
          </w:tcPr>
          <w:p w:rsidR="00FF2F7C" w:rsidRDefault="00FF2F7C" w:rsidP="00572649">
            <w:pPr>
              <w:pStyle w:val="Financialtablefigures"/>
            </w:pPr>
            <w:r>
              <w:t>22.505</w:t>
            </w:r>
          </w:p>
        </w:tc>
        <w:tc>
          <w:tcPr>
            <w:tcW w:w="0" w:type="auto"/>
          </w:tcPr>
          <w:p w:rsidR="00FF2F7C" w:rsidRDefault="00FF2F7C" w:rsidP="00572649">
            <w:pPr>
              <w:pStyle w:val="Financialtablefigures"/>
            </w:pPr>
            <w:r>
              <w:t>23.693</w:t>
            </w:r>
          </w:p>
        </w:tc>
        <w:tc>
          <w:tcPr>
            <w:tcW w:w="0" w:type="auto"/>
          </w:tcPr>
          <w:p w:rsidR="00FF2F7C" w:rsidRDefault="00FF2F7C" w:rsidP="00572649">
            <w:pPr>
              <w:pStyle w:val="Financialtablefigures"/>
            </w:pPr>
            <w:r>
              <w:t>24.384</w:t>
            </w:r>
          </w:p>
        </w:tc>
        <w:tc>
          <w:tcPr>
            <w:tcW w:w="0" w:type="auto"/>
          </w:tcPr>
          <w:p w:rsidR="00FF2F7C" w:rsidRDefault="00FF2F7C" w:rsidP="00572649">
            <w:pPr>
              <w:pStyle w:val="Financialtablefigures"/>
            </w:pPr>
            <w:r>
              <w:t>24.464</w:t>
            </w:r>
          </w:p>
        </w:tc>
        <w:tc>
          <w:tcPr>
            <w:tcW w:w="0" w:type="auto"/>
          </w:tcPr>
          <w:p w:rsidR="00FF2F7C" w:rsidRDefault="00FF2F7C" w:rsidP="00572649">
            <w:pPr>
              <w:pStyle w:val="Financialtablefigures"/>
            </w:pPr>
            <w:r>
              <w:t>24.864</w:t>
            </w:r>
          </w:p>
        </w:tc>
      </w:tr>
      <w:tr w:rsidR="00FF2F7C" w:rsidTr="00E26D66">
        <w:tc>
          <w:tcPr>
            <w:tcW w:w="0" w:type="auto"/>
          </w:tcPr>
          <w:p w:rsidR="00FF2F7C" w:rsidRPr="00465015" w:rsidRDefault="00FF2F7C" w:rsidP="00572649">
            <w:pPr>
              <w:pStyle w:val="FinancialtableLHC"/>
            </w:pPr>
            <w:r>
              <w:t>Capital charge on memorandum account deficit</w:t>
            </w:r>
          </w:p>
        </w:tc>
        <w:tc>
          <w:tcPr>
            <w:tcW w:w="0" w:type="auto"/>
          </w:tcPr>
          <w:p w:rsidR="00FF2F7C" w:rsidRPr="000C638E" w:rsidRDefault="00FF2F7C" w:rsidP="00572649">
            <w:pPr>
              <w:pStyle w:val="Financialtablefigures"/>
            </w:pPr>
          </w:p>
        </w:tc>
        <w:tc>
          <w:tcPr>
            <w:tcW w:w="0" w:type="auto"/>
          </w:tcPr>
          <w:p w:rsidR="00FF2F7C" w:rsidRPr="000C638E" w:rsidRDefault="00FF2F7C" w:rsidP="00572649">
            <w:pPr>
              <w:pStyle w:val="Financialtablefigures"/>
            </w:pPr>
            <w:r>
              <w:t>1.023</w:t>
            </w:r>
          </w:p>
        </w:tc>
        <w:tc>
          <w:tcPr>
            <w:tcW w:w="0" w:type="auto"/>
          </w:tcPr>
          <w:p w:rsidR="00FF2F7C" w:rsidRPr="000C638E" w:rsidRDefault="00FF2F7C" w:rsidP="00572649">
            <w:pPr>
              <w:pStyle w:val="Financialtablefigures"/>
            </w:pPr>
            <w:r>
              <w:t>0.993</w:t>
            </w:r>
          </w:p>
        </w:tc>
        <w:tc>
          <w:tcPr>
            <w:tcW w:w="0" w:type="auto"/>
          </w:tcPr>
          <w:p w:rsidR="00FF2F7C" w:rsidRPr="000C638E" w:rsidRDefault="00FF2F7C" w:rsidP="00572649">
            <w:pPr>
              <w:pStyle w:val="Financialtablefigures"/>
            </w:pPr>
            <w:r>
              <w:t>0.828</w:t>
            </w:r>
          </w:p>
        </w:tc>
        <w:tc>
          <w:tcPr>
            <w:tcW w:w="0" w:type="auto"/>
          </w:tcPr>
          <w:p w:rsidR="00FF2F7C" w:rsidRPr="000C638E" w:rsidRDefault="00FF2F7C" w:rsidP="00572649">
            <w:pPr>
              <w:pStyle w:val="Financialtablefigures"/>
            </w:pPr>
            <w:r>
              <w:t>0.702</w:t>
            </w:r>
          </w:p>
        </w:tc>
        <w:tc>
          <w:tcPr>
            <w:tcW w:w="0" w:type="auto"/>
          </w:tcPr>
          <w:p w:rsidR="00FF2F7C" w:rsidRPr="000C638E" w:rsidRDefault="00FF2F7C" w:rsidP="00572649">
            <w:pPr>
              <w:pStyle w:val="Financialtablefigures"/>
            </w:pPr>
            <w:r>
              <w:t>0.587</w:t>
            </w:r>
          </w:p>
        </w:tc>
      </w:tr>
      <w:tr w:rsidR="00FF2F7C" w:rsidTr="00E26D66">
        <w:tc>
          <w:tcPr>
            <w:tcW w:w="0" w:type="auto"/>
          </w:tcPr>
          <w:p w:rsidR="00FF2F7C" w:rsidRPr="003D4926" w:rsidRDefault="00FF2F7C" w:rsidP="00572649">
            <w:pPr>
              <w:pStyle w:val="FinancialtableLHC"/>
              <w:rPr>
                <w:b/>
              </w:rPr>
            </w:pPr>
            <w:r>
              <w:rPr>
                <w:b/>
              </w:rPr>
              <w:t>Total revenue requirement</w:t>
            </w:r>
          </w:p>
        </w:tc>
        <w:tc>
          <w:tcPr>
            <w:tcW w:w="0" w:type="auto"/>
          </w:tcPr>
          <w:p w:rsidR="00FF2F7C" w:rsidRPr="00C229CC" w:rsidRDefault="00FF2F7C" w:rsidP="00572649">
            <w:pPr>
              <w:pStyle w:val="Financialtablefigures"/>
            </w:pPr>
            <w:r>
              <w:t>22.268</w:t>
            </w:r>
          </w:p>
        </w:tc>
        <w:tc>
          <w:tcPr>
            <w:tcW w:w="0" w:type="auto"/>
          </w:tcPr>
          <w:p w:rsidR="00FF2F7C" w:rsidRPr="00C229CC" w:rsidRDefault="00FF2F7C" w:rsidP="00572649">
            <w:pPr>
              <w:pStyle w:val="Financialtablefigures"/>
            </w:pPr>
            <w:r>
              <w:t>23.528</w:t>
            </w:r>
          </w:p>
        </w:tc>
        <w:tc>
          <w:tcPr>
            <w:tcW w:w="0" w:type="auto"/>
          </w:tcPr>
          <w:p w:rsidR="00FF2F7C" w:rsidRPr="00C229CC" w:rsidRDefault="00FF2F7C" w:rsidP="00572649">
            <w:pPr>
              <w:pStyle w:val="Financialtablefigures"/>
            </w:pPr>
            <w:r>
              <w:t>24.687</w:t>
            </w:r>
          </w:p>
        </w:tc>
        <w:tc>
          <w:tcPr>
            <w:tcW w:w="0" w:type="auto"/>
          </w:tcPr>
          <w:p w:rsidR="00FF2F7C" w:rsidRPr="00C229CC" w:rsidRDefault="00FF2F7C" w:rsidP="00572649">
            <w:pPr>
              <w:pStyle w:val="Financialtablefigures"/>
            </w:pPr>
            <w:r>
              <w:t>25.213</w:t>
            </w:r>
          </w:p>
        </w:tc>
        <w:tc>
          <w:tcPr>
            <w:tcW w:w="0" w:type="auto"/>
          </w:tcPr>
          <w:p w:rsidR="00FF2F7C" w:rsidRPr="00C229CC" w:rsidRDefault="00FF2F7C" w:rsidP="00572649">
            <w:pPr>
              <w:pStyle w:val="Financialtablefigures"/>
            </w:pPr>
            <w:r>
              <w:t>25.167</w:t>
            </w:r>
          </w:p>
        </w:tc>
        <w:tc>
          <w:tcPr>
            <w:tcW w:w="0" w:type="auto"/>
          </w:tcPr>
          <w:p w:rsidR="00FF2F7C" w:rsidRPr="00D70D57" w:rsidRDefault="00FF2F7C" w:rsidP="00572649">
            <w:pPr>
              <w:pStyle w:val="Financialtablefigures"/>
            </w:pPr>
            <w:r>
              <w:t>25.452</w:t>
            </w:r>
          </w:p>
        </w:tc>
      </w:tr>
      <w:tr w:rsidR="00FF2F7C" w:rsidTr="00E26D66">
        <w:tc>
          <w:tcPr>
            <w:tcW w:w="0" w:type="auto"/>
          </w:tcPr>
          <w:p w:rsidR="00FF2F7C" w:rsidRDefault="00FF2F7C" w:rsidP="00572649">
            <w:pPr>
              <w:pStyle w:val="FinancialtableLHC"/>
              <w:rPr>
                <w:b/>
              </w:rPr>
            </w:pPr>
            <w:r>
              <w:rPr>
                <w:b/>
              </w:rPr>
              <w:t>Forecast revenue</w:t>
            </w:r>
            <w:r w:rsidR="00F46A66">
              <w:rPr>
                <w:b/>
              </w:rPr>
              <w:t xml:space="preserve"> from new fees</w:t>
            </w:r>
          </w:p>
        </w:tc>
        <w:tc>
          <w:tcPr>
            <w:tcW w:w="0" w:type="auto"/>
          </w:tcPr>
          <w:p w:rsidR="00FF2F7C" w:rsidRDefault="00FF2F7C" w:rsidP="00572649">
            <w:pPr>
              <w:pStyle w:val="Financialtablefigures"/>
            </w:pPr>
            <w:r>
              <w:t>18.459</w:t>
            </w:r>
          </w:p>
        </w:tc>
        <w:tc>
          <w:tcPr>
            <w:tcW w:w="0" w:type="auto"/>
          </w:tcPr>
          <w:p w:rsidR="00FF2F7C" w:rsidRDefault="00FF2F7C" w:rsidP="00572649">
            <w:pPr>
              <w:pStyle w:val="Financialtablefigures"/>
            </w:pPr>
            <w:r>
              <w:t>23.278</w:t>
            </w:r>
          </w:p>
        </w:tc>
        <w:tc>
          <w:tcPr>
            <w:tcW w:w="0" w:type="auto"/>
          </w:tcPr>
          <w:p w:rsidR="00FF2F7C" w:rsidRDefault="00FF2F7C" w:rsidP="00572649">
            <w:pPr>
              <w:pStyle w:val="Financialtablefigures"/>
            </w:pPr>
            <w:r>
              <w:t>26.950</w:t>
            </w:r>
          </w:p>
        </w:tc>
        <w:tc>
          <w:tcPr>
            <w:tcW w:w="0" w:type="auto"/>
          </w:tcPr>
          <w:p w:rsidR="00FF2F7C" w:rsidRDefault="00FF2F7C" w:rsidP="00572649">
            <w:pPr>
              <w:pStyle w:val="Financialtablefigures"/>
            </w:pPr>
            <w:r>
              <w:t>26.836</w:t>
            </w:r>
          </w:p>
        </w:tc>
        <w:tc>
          <w:tcPr>
            <w:tcW w:w="0" w:type="auto"/>
          </w:tcPr>
          <w:p w:rsidR="00FF2F7C" w:rsidRDefault="00FF2F7C" w:rsidP="00572649">
            <w:pPr>
              <w:pStyle w:val="Financialtablefigures"/>
            </w:pPr>
            <w:r>
              <w:t>26.726</w:t>
            </w:r>
          </w:p>
        </w:tc>
        <w:tc>
          <w:tcPr>
            <w:tcW w:w="0" w:type="auto"/>
          </w:tcPr>
          <w:p w:rsidR="00FF2F7C" w:rsidRDefault="00FF2F7C" w:rsidP="00572649">
            <w:pPr>
              <w:pStyle w:val="Financialtablefigures"/>
            </w:pPr>
            <w:r>
              <w:t>26.620</w:t>
            </w:r>
          </w:p>
        </w:tc>
      </w:tr>
    </w:tbl>
    <w:p w:rsidR="00921B38" w:rsidRPr="001C0C30" w:rsidRDefault="00921B38" w:rsidP="00FA6558">
      <w:pPr>
        <w:pStyle w:val="Cabinetpaperparaheading"/>
      </w:pPr>
      <w:r>
        <w:t>Legislative implications</w:t>
      </w:r>
    </w:p>
    <w:p w:rsidR="00E214FE" w:rsidRPr="001C0C30" w:rsidRDefault="001701F1" w:rsidP="00F0528C">
      <w:pPr>
        <w:pStyle w:val="Numberedpara3level1"/>
      </w:pPr>
      <w:r>
        <w:t>D</w:t>
      </w:r>
      <w:r w:rsidR="00E214FE">
        <w:t xml:space="preserve">rafting instructions will be issued for a new schedule of </w:t>
      </w:r>
      <w:r w:rsidR="00F12F5F">
        <w:t xml:space="preserve">GST-exclusive </w:t>
      </w:r>
      <w:r w:rsidR="00E214FE">
        <w:t>fees under the Act</w:t>
      </w:r>
      <w:r w:rsidR="007B6EE1">
        <w:t xml:space="preserve"> (attached as </w:t>
      </w:r>
      <w:r w:rsidR="000345D9" w:rsidRPr="0060393A">
        <w:rPr>
          <w:b/>
        </w:rPr>
        <w:t>A</w:t>
      </w:r>
      <w:r w:rsidR="007B6EE1" w:rsidRPr="0060393A">
        <w:rPr>
          <w:b/>
        </w:rPr>
        <w:t xml:space="preserve">ppendix </w:t>
      </w:r>
      <w:r w:rsidR="0060393A">
        <w:rPr>
          <w:b/>
        </w:rPr>
        <w:t>B</w:t>
      </w:r>
      <w:r w:rsidR="007B6EE1">
        <w:t>)</w:t>
      </w:r>
      <w:r w:rsidR="00A463C9">
        <w:t xml:space="preserve">. </w:t>
      </w:r>
      <w:r w:rsidR="00E214FE">
        <w:t xml:space="preserve">If changes to the minimum rate of return are proposed following the public consultation process, a further paper will be submitted </w:t>
      </w:r>
      <w:r w:rsidR="00B30732">
        <w:t>to Cabinet seeking final policy decisions.</w:t>
      </w:r>
    </w:p>
    <w:p w:rsidR="00C15436" w:rsidRDefault="00921B38" w:rsidP="00FA6558">
      <w:pPr>
        <w:pStyle w:val="Cabinetpaperparaheading"/>
      </w:pPr>
      <w:r>
        <w:t xml:space="preserve">Regulatory impact analysis </w:t>
      </w:r>
    </w:p>
    <w:p w:rsidR="009F0BC0" w:rsidRPr="00A23860" w:rsidRDefault="001E7EEE" w:rsidP="00F874C3">
      <w:pPr>
        <w:pStyle w:val="Numberedpara3level1"/>
      </w:pPr>
      <w:r>
        <w:t xml:space="preserve">Regulatory impact analysis requirements apply to the proposals in this paper </w:t>
      </w:r>
      <w:r w:rsidR="00D60F8E">
        <w:t>as new regulations are proposed. A Regulatory Impact Statement (RIS) has been prepared and is attached to this paper.</w:t>
      </w:r>
      <w:r w:rsidR="00F0528C">
        <w:t xml:space="preserve"> </w:t>
      </w:r>
      <w:r w:rsidR="009F0BC0">
        <w:t>The Department’s RIS panel has reviewed the RIS prepared by the Department and found that it meets the quality assu</w:t>
      </w:r>
      <w:r w:rsidR="00F874C3">
        <w:t>rance criteria.</w:t>
      </w:r>
    </w:p>
    <w:p w:rsidR="00921B38" w:rsidRDefault="00921B38" w:rsidP="00FA6558">
      <w:pPr>
        <w:pStyle w:val="Cabinetpaperparaheading"/>
      </w:pPr>
      <w:r>
        <w:t>Publicity</w:t>
      </w:r>
      <w:r w:rsidR="00D86CA3">
        <w:t xml:space="preserve"> and timing</w:t>
      </w:r>
    </w:p>
    <w:p w:rsidR="00D86CA3" w:rsidRDefault="00D86CA3" w:rsidP="00BF5F28">
      <w:pPr>
        <w:pStyle w:val="Numberedpara3level1"/>
        <w:numPr>
          <w:ilvl w:val="0"/>
          <w:numId w:val="27"/>
        </w:numPr>
      </w:pPr>
      <w:r>
        <w:t xml:space="preserve">I intend to issue a media release to publicise the proposed new fees </w:t>
      </w:r>
      <w:r w:rsidR="00D922C0">
        <w:t>regulations</w:t>
      </w:r>
      <w:r w:rsidR="007D2926">
        <w:t>;</w:t>
      </w:r>
      <w:r>
        <w:t xml:space="preserve"> </w:t>
      </w:r>
      <w:r w:rsidR="004F30A2">
        <w:t xml:space="preserve">and </w:t>
      </w:r>
      <w:r>
        <w:t xml:space="preserve">the release of the </w:t>
      </w:r>
      <w:r w:rsidR="00D922C0">
        <w:t xml:space="preserve">attached </w:t>
      </w:r>
      <w:r>
        <w:t xml:space="preserve">consultation document on </w:t>
      </w:r>
      <w:r w:rsidR="00D922C0">
        <w:t>options for amending the Gambling (Class 4 net proceeds) Regulations</w:t>
      </w:r>
      <w:r w:rsidR="007E68DC">
        <w:t xml:space="preserve"> 2004</w:t>
      </w:r>
      <w:r w:rsidR="00D922C0">
        <w:t xml:space="preserve"> </w:t>
      </w:r>
      <w:r>
        <w:t>following Cabinet agreement to the recommendations</w:t>
      </w:r>
      <w:r w:rsidR="00D922C0">
        <w:t>.</w:t>
      </w:r>
    </w:p>
    <w:p w:rsidR="004811EB" w:rsidRDefault="004811EB" w:rsidP="00BF5F28">
      <w:pPr>
        <w:pStyle w:val="Numberedpara3level1"/>
        <w:numPr>
          <w:ilvl w:val="0"/>
          <w:numId w:val="27"/>
        </w:numPr>
      </w:pPr>
      <w:r>
        <w:t>I also intend to proactively publish this Cabinet paper and related Cabinet decisions online, subject to consideration of any deletions that would be justified if the information had been requested under the Official Information Act 1982.</w:t>
      </w:r>
    </w:p>
    <w:p w:rsidR="00D86CA3" w:rsidRDefault="009F0BC0" w:rsidP="00BF5F28">
      <w:pPr>
        <w:pStyle w:val="Numberedpara3level1"/>
        <w:numPr>
          <w:ilvl w:val="0"/>
          <w:numId w:val="27"/>
        </w:numPr>
      </w:pPr>
      <w:r>
        <w:t>I</w:t>
      </w:r>
      <w:r w:rsidR="006B2C52">
        <w:t xml:space="preserve">t is intended that new gambling fees regulations come into effect by 1 </w:t>
      </w:r>
      <w:r w:rsidR="00F61F42">
        <w:t>December 2015</w:t>
      </w:r>
      <w:r w:rsidR="006B2C52">
        <w:t>.</w:t>
      </w:r>
    </w:p>
    <w:p w:rsidR="00EF62A9" w:rsidRPr="00EF62A9" w:rsidRDefault="00921B38" w:rsidP="00FA6558">
      <w:pPr>
        <w:pStyle w:val="Cabinetpaperparaheading"/>
      </w:pPr>
      <w:r>
        <w:t>Recommendations</w:t>
      </w:r>
    </w:p>
    <w:p w:rsidR="00921B38" w:rsidRDefault="00921B38" w:rsidP="00881257">
      <w:pPr>
        <w:pStyle w:val="Numberedpara3level1"/>
        <w:keepNext/>
      </w:pPr>
      <w:r>
        <w:t xml:space="preserve">The Minister of </w:t>
      </w:r>
      <w:r w:rsidR="00D922C0">
        <w:t>Internal Affairs</w:t>
      </w:r>
      <w:r w:rsidR="00FA6558">
        <w:t xml:space="preserve"> </w:t>
      </w:r>
      <w:r>
        <w:t>recommends that the Committee:</w:t>
      </w:r>
    </w:p>
    <w:p w:rsidR="00931650" w:rsidRDefault="006F0789" w:rsidP="00931650">
      <w:pPr>
        <w:pStyle w:val="List123"/>
      </w:pPr>
      <w:r w:rsidRPr="008574B8">
        <w:rPr>
          <w:b/>
        </w:rPr>
        <w:t>n</w:t>
      </w:r>
      <w:r w:rsidR="00E55FF7" w:rsidRPr="008574B8">
        <w:rPr>
          <w:b/>
        </w:rPr>
        <w:t>ote</w:t>
      </w:r>
      <w:r w:rsidR="00E55FF7">
        <w:t xml:space="preserve"> that Cabinet</w:t>
      </w:r>
      <w:r w:rsidR="00E8662B">
        <w:t xml:space="preserve"> </w:t>
      </w:r>
      <w:r w:rsidR="00012070">
        <w:t xml:space="preserve">agreed to the release of </w:t>
      </w:r>
      <w:r w:rsidR="00E55FF7">
        <w:t xml:space="preserve">a consultation document </w:t>
      </w:r>
      <w:r w:rsidR="00E8662B" w:rsidRPr="00BC488B">
        <w:rPr>
          <w:i/>
        </w:rPr>
        <w:t>Proposed changes to gambling fees</w:t>
      </w:r>
      <w:r w:rsidR="00E8662B">
        <w:t xml:space="preserve"> proposing </w:t>
      </w:r>
      <w:r>
        <w:t>changes</w:t>
      </w:r>
      <w:r w:rsidR="00E8662B">
        <w:t xml:space="preserve"> to fees </w:t>
      </w:r>
      <w:r>
        <w:t xml:space="preserve">under the Gambling Act 2003 </w:t>
      </w:r>
      <w:r w:rsidR="00E8662B">
        <w:t>for the non-casino gaming machine sector (class 4) and casino sector</w:t>
      </w:r>
      <w:r>
        <w:t xml:space="preserve"> </w:t>
      </w:r>
      <w:r w:rsidR="00E55FF7">
        <w:t>[CAB Min</w:t>
      </w:r>
      <w:r>
        <w:t>[CAB Min (15) 4/3 refers];</w:t>
      </w:r>
    </w:p>
    <w:p w:rsidR="006F0789" w:rsidRDefault="006F0789" w:rsidP="00931650">
      <w:pPr>
        <w:pStyle w:val="List123"/>
      </w:pPr>
      <w:r w:rsidRPr="008574B8">
        <w:rPr>
          <w:b/>
        </w:rPr>
        <w:t>note</w:t>
      </w:r>
      <w:r>
        <w:t xml:space="preserve"> that the consultation process resulted in 41 submissions being received on </w:t>
      </w:r>
      <w:r w:rsidR="00012070">
        <w:t xml:space="preserve">the </w:t>
      </w:r>
      <w:r>
        <w:t>proposed fees and that the majority of submitters are opposed to fee increases;</w:t>
      </w:r>
    </w:p>
    <w:p w:rsidR="0054502C" w:rsidRDefault="0054502C" w:rsidP="0054502C">
      <w:pPr>
        <w:pStyle w:val="List123"/>
      </w:pPr>
      <w:r w:rsidRPr="008574B8">
        <w:rPr>
          <w:b/>
        </w:rPr>
        <w:t xml:space="preserve">note </w:t>
      </w:r>
      <w:r>
        <w:t>that the proposed fee increases are required immediately to fund the ongoing costs of regulating the gambling sector effectively;</w:t>
      </w:r>
    </w:p>
    <w:p w:rsidR="00012070" w:rsidRDefault="00012070" w:rsidP="00012070">
      <w:pPr>
        <w:pStyle w:val="List123"/>
      </w:pPr>
      <w:r w:rsidRPr="00012070">
        <w:rPr>
          <w:b/>
        </w:rPr>
        <w:t>note</w:t>
      </w:r>
      <w:r>
        <w:t xml:space="preserve"> that the proposed increases in fees for the class 4 sector </w:t>
      </w:r>
      <w:r w:rsidR="00CE38F6">
        <w:t xml:space="preserve">(and other cost pressures) </w:t>
      </w:r>
      <w:r>
        <w:t xml:space="preserve">could reduce the amount of funding returned to </w:t>
      </w:r>
      <w:r w:rsidR="00D14EB4">
        <w:t xml:space="preserve">authorised </w:t>
      </w:r>
      <w:r>
        <w:t>purposes under the current minimum rate of return</w:t>
      </w:r>
      <w:r w:rsidR="006513AB">
        <w:t xml:space="preserve"> requirements in the Gambling (Class </w:t>
      </w:r>
      <w:r w:rsidR="00985AFA">
        <w:t>4 Net Proceeds) Regulations 2004</w:t>
      </w:r>
      <w:r>
        <w:t>;</w:t>
      </w:r>
    </w:p>
    <w:p w:rsidR="00847E3C" w:rsidRDefault="00847E3C" w:rsidP="00012070">
      <w:pPr>
        <w:pStyle w:val="List123"/>
      </w:pPr>
      <w:r>
        <w:rPr>
          <w:b/>
        </w:rPr>
        <w:t xml:space="preserve">note </w:t>
      </w:r>
      <w:r>
        <w:t>that the risks to community funding from increased fees c</w:t>
      </w:r>
      <w:r w:rsidR="00D14EB4">
        <w:t>ould</w:t>
      </w:r>
      <w:r>
        <w:t xml:space="preserve"> be offset </w:t>
      </w:r>
      <w:r w:rsidR="00134401">
        <w:t xml:space="preserve">by </w:t>
      </w:r>
      <w:r w:rsidR="00D14EB4">
        <w:t xml:space="preserve">reconsidering the current </w:t>
      </w:r>
      <w:r>
        <w:t>minimum rate of return</w:t>
      </w:r>
      <w:r w:rsidR="00D14EB4">
        <w:t xml:space="preserve"> requirements</w:t>
      </w:r>
      <w:r>
        <w:t>;</w:t>
      </w:r>
    </w:p>
    <w:p w:rsidR="004C06C2" w:rsidRDefault="006513AB" w:rsidP="00381E53">
      <w:pPr>
        <w:pStyle w:val="List123"/>
      </w:pPr>
      <w:r w:rsidRPr="00847E3C">
        <w:rPr>
          <w:b/>
        </w:rPr>
        <w:lastRenderedPageBreak/>
        <w:t>agree</w:t>
      </w:r>
      <w:r w:rsidR="00012070">
        <w:t xml:space="preserve"> </w:t>
      </w:r>
      <w:r>
        <w:t xml:space="preserve">to the new schedule of </w:t>
      </w:r>
      <w:r w:rsidR="0074313E">
        <w:t xml:space="preserve">GST-exclusive </w:t>
      </w:r>
      <w:r w:rsidR="001018F7">
        <w:t xml:space="preserve">gambling </w:t>
      </w:r>
      <w:r w:rsidR="00086283">
        <w:t xml:space="preserve">fees </w:t>
      </w:r>
      <w:r>
        <w:t xml:space="preserve">at </w:t>
      </w:r>
      <w:r w:rsidR="004C06C2" w:rsidRPr="00894112">
        <w:rPr>
          <w:b/>
        </w:rPr>
        <w:t>A</w:t>
      </w:r>
      <w:r w:rsidRPr="00894112">
        <w:rPr>
          <w:b/>
        </w:rPr>
        <w:t xml:space="preserve">ppendix </w:t>
      </w:r>
      <w:r w:rsidR="00894112">
        <w:rPr>
          <w:b/>
        </w:rPr>
        <w:t>B</w:t>
      </w:r>
      <w:r>
        <w:t xml:space="preserve"> to this paper</w:t>
      </w:r>
    </w:p>
    <w:p w:rsidR="00381E53" w:rsidRDefault="004C06C2" w:rsidP="00381E53">
      <w:pPr>
        <w:pStyle w:val="List123"/>
      </w:pPr>
      <w:r>
        <w:rPr>
          <w:b/>
        </w:rPr>
        <w:t xml:space="preserve">note </w:t>
      </w:r>
      <w:r>
        <w:t xml:space="preserve">the new schedule of fees is </w:t>
      </w:r>
      <w:r w:rsidR="00E70BF8">
        <w:t>proposed to come into effect by 1 December 2015</w:t>
      </w:r>
      <w:r w:rsidR="00847E3C">
        <w:t>;</w:t>
      </w:r>
    </w:p>
    <w:p w:rsidR="00F13185" w:rsidRDefault="00F13185" w:rsidP="00931650">
      <w:pPr>
        <w:pStyle w:val="List123"/>
      </w:pPr>
      <w:r>
        <w:rPr>
          <w:b/>
        </w:rPr>
        <w:t xml:space="preserve">invite </w:t>
      </w:r>
      <w:r>
        <w:t xml:space="preserve">the Minister of Internal Affairs to issue drafting instructions to implement the amendments to fees under the Gambling Act 2003; </w:t>
      </w:r>
    </w:p>
    <w:p w:rsidR="00847E3C" w:rsidRDefault="00847E3C" w:rsidP="00847E3C">
      <w:pPr>
        <w:pStyle w:val="List123"/>
      </w:pPr>
      <w:r w:rsidRPr="00F21A9F">
        <w:rPr>
          <w:b/>
        </w:rPr>
        <w:t>agree</w:t>
      </w:r>
      <w:r>
        <w:t xml:space="preserve"> to the release of the attached consultation document </w:t>
      </w:r>
      <w:r w:rsidRPr="00847E3C">
        <w:rPr>
          <w:i/>
        </w:rPr>
        <w:t>Proposed changes to the minimum rate of return to authorised purposes</w:t>
      </w:r>
      <w:r w:rsidR="00E231D8">
        <w:rPr>
          <w:i/>
        </w:rPr>
        <w:t xml:space="preserve"> </w:t>
      </w:r>
      <w:r w:rsidR="00E231D8">
        <w:t xml:space="preserve">(subject to minor editing) which seeks feedback on options to change the </w:t>
      </w:r>
      <w:r w:rsidR="00865F34">
        <w:t xml:space="preserve">current </w:t>
      </w:r>
      <w:r w:rsidR="00E231D8">
        <w:t>minimum rate of return requirements</w:t>
      </w:r>
      <w:r w:rsidR="00F6279C">
        <w:t>;</w:t>
      </w:r>
    </w:p>
    <w:p w:rsidR="003A3642" w:rsidRDefault="003A3642" w:rsidP="004B20A8">
      <w:pPr>
        <w:pStyle w:val="List123"/>
      </w:pPr>
      <w:r w:rsidRPr="00AA6CD8">
        <w:rPr>
          <w:b/>
        </w:rPr>
        <w:t>note</w:t>
      </w:r>
      <w:r>
        <w:t xml:space="preserve"> the accompanying Cabinet paper seeking agreement</w:t>
      </w:r>
      <w:r w:rsidR="00A823C3">
        <w:t xml:space="preserve"> to a fit-for-purpose review of the regulatory regime for </w:t>
      </w:r>
      <w:r>
        <w:t>class 4 ga</w:t>
      </w:r>
      <w:r w:rsidR="00A823C3">
        <w:t xml:space="preserve">mbling, </w:t>
      </w:r>
      <w:r>
        <w:t xml:space="preserve">which would evaluate the </w:t>
      </w:r>
      <w:r w:rsidR="00325AAB">
        <w:t xml:space="preserve">current regime </w:t>
      </w:r>
      <w:r>
        <w:t xml:space="preserve">based on the level at which </w:t>
      </w:r>
      <w:r w:rsidR="00325AAB">
        <w:t xml:space="preserve">the regime </w:t>
      </w:r>
      <w:r>
        <w:t>is achieving the purpos</w:t>
      </w:r>
      <w:r w:rsidR="00F40C6A">
        <w:t xml:space="preserve">es of the Gambling Act 2003; </w:t>
      </w:r>
      <w:r w:rsidR="00E62938">
        <w:t>and</w:t>
      </w:r>
    </w:p>
    <w:p w:rsidR="004B20A8" w:rsidRDefault="004B20A8" w:rsidP="004B20A8">
      <w:pPr>
        <w:pStyle w:val="List123"/>
      </w:pPr>
      <w:r>
        <w:rPr>
          <w:b/>
        </w:rPr>
        <w:t>note</w:t>
      </w:r>
      <w:r>
        <w:t xml:space="preserve"> that I intend to proactively publish this Cabinet paper and related Cabinet decisions online subject to consideration of any deletions that would be justified if the information had been requested under th</w:t>
      </w:r>
      <w:r w:rsidR="00F40C6A">
        <w:t>e Official Information Act 1982</w:t>
      </w:r>
      <w:r w:rsidR="00E62938">
        <w:t>.</w:t>
      </w:r>
    </w:p>
    <w:p w:rsidR="00F40C6A" w:rsidRDefault="00F40C6A" w:rsidP="00F40C6A">
      <w:pPr>
        <w:pStyle w:val="List123"/>
        <w:numPr>
          <w:ilvl w:val="0"/>
          <w:numId w:val="0"/>
        </w:numPr>
        <w:ind w:left="1134"/>
      </w:pPr>
    </w:p>
    <w:p w:rsidR="00F6279C" w:rsidRDefault="00F6279C" w:rsidP="004B20A8">
      <w:pPr>
        <w:pStyle w:val="List123"/>
        <w:numPr>
          <w:ilvl w:val="0"/>
          <w:numId w:val="0"/>
        </w:numPr>
        <w:ind w:left="1134"/>
      </w:pPr>
    </w:p>
    <w:tbl>
      <w:tblPr>
        <w:tblStyle w:val="Blanktable"/>
        <w:tblW w:w="0" w:type="auto"/>
        <w:tblLayout w:type="fixed"/>
        <w:tblLook w:val="04A0" w:firstRow="1" w:lastRow="0" w:firstColumn="1" w:lastColumn="0" w:noHBand="0" w:noVBand="1"/>
      </w:tblPr>
      <w:tblGrid>
        <w:gridCol w:w="8358"/>
      </w:tblGrid>
      <w:tr w:rsidR="005E509F" w:rsidRPr="00934303" w:rsidTr="00D45DDD">
        <w:trPr>
          <w:cantSplit/>
          <w:trHeight w:val="1418"/>
        </w:trPr>
        <w:tc>
          <w:tcPr>
            <w:tcW w:w="8358" w:type="dxa"/>
          </w:tcPr>
          <w:p w:rsidR="005E509F" w:rsidRPr="00934303" w:rsidRDefault="005E509F" w:rsidP="00D45DDD">
            <w:pPr>
              <w:keepNext/>
            </w:pPr>
          </w:p>
        </w:tc>
      </w:tr>
      <w:tr w:rsidR="005E509F" w:rsidRPr="00934303" w:rsidTr="00D45DDD">
        <w:trPr>
          <w:cantSplit/>
        </w:trPr>
        <w:tc>
          <w:tcPr>
            <w:tcW w:w="8358" w:type="dxa"/>
            <w:tcMar>
              <w:left w:w="0" w:type="dxa"/>
            </w:tcMar>
          </w:tcPr>
          <w:p w:rsidR="005E509F" w:rsidRPr="00934303" w:rsidRDefault="005E509F" w:rsidP="00D45DDD">
            <w:pPr>
              <w:pStyle w:val="Spacer"/>
            </w:pPr>
            <w:r>
              <w:t>Hon Peter Dunne</w:t>
            </w:r>
          </w:p>
        </w:tc>
      </w:tr>
      <w:tr w:rsidR="005E509F" w:rsidRPr="00934303" w:rsidTr="00D45DDD">
        <w:trPr>
          <w:cantSplit/>
        </w:trPr>
        <w:tc>
          <w:tcPr>
            <w:tcW w:w="8358" w:type="dxa"/>
            <w:tcMar>
              <w:left w:w="0" w:type="dxa"/>
            </w:tcMar>
          </w:tcPr>
          <w:p w:rsidR="005E509F" w:rsidRPr="00934303" w:rsidRDefault="005E509F" w:rsidP="00D45DDD">
            <w:pPr>
              <w:pStyle w:val="Spacer"/>
            </w:pPr>
            <w:r>
              <w:t>Minister of Internal Affairs</w:t>
            </w:r>
          </w:p>
        </w:tc>
      </w:tr>
    </w:tbl>
    <w:p w:rsidR="00F13185" w:rsidRDefault="00F13185" w:rsidP="00F13185">
      <w:pPr>
        <w:pStyle w:val="List123"/>
        <w:numPr>
          <w:ilvl w:val="0"/>
          <w:numId w:val="0"/>
        </w:numPr>
      </w:pPr>
    </w:p>
    <w:p w:rsidR="00F731FC" w:rsidRDefault="00F731FC">
      <w:pPr>
        <w:keepLines w:val="0"/>
      </w:pPr>
      <w:r>
        <w:br w:type="page"/>
      </w:r>
    </w:p>
    <w:p w:rsidR="00CF43A7" w:rsidRDefault="00C978ED" w:rsidP="003D26F3">
      <w:pPr>
        <w:pStyle w:val="Briefingparaheading"/>
      </w:pPr>
      <w:r>
        <w:lastRenderedPageBreak/>
        <w:t xml:space="preserve">Appendix </w:t>
      </w:r>
      <w:r w:rsidR="00894112">
        <w:t>A</w:t>
      </w:r>
      <w:r>
        <w:t xml:space="preserve">: </w:t>
      </w:r>
      <w:r w:rsidR="00546ACE">
        <w:t>I</w:t>
      </w:r>
      <w:r w:rsidR="009E4238">
        <w:t>ssues raised by submitters</w:t>
      </w:r>
    </w:p>
    <w:p w:rsidR="00CF43A7" w:rsidRDefault="00CF43A7" w:rsidP="00CF43A7">
      <w:pPr>
        <w:pStyle w:val="Cabinetpaperparaheading"/>
      </w:pPr>
      <w:r>
        <w:t>The majority of submitters are opposed to fee increases</w:t>
      </w:r>
    </w:p>
    <w:p w:rsidR="00CF43A7" w:rsidRDefault="00CF43A7" w:rsidP="00CF43A7">
      <w:pPr>
        <w:pStyle w:val="Caption"/>
        <w:jc w:val="center"/>
      </w:pPr>
      <w:r>
        <w:t xml:space="preserve">Figure </w:t>
      </w:r>
      <w:r w:rsidR="005E6561">
        <w:t>2</w:t>
      </w:r>
      <w:r>
        <w:t>: Submitters overall support or opposition to the fee increases</w:t>
      </w:r>
    </w:p>
    <w:p w:rsidR="00CF43A7" w:rsidRDefault="00CF43A7" w:rsidP="00CF43A7">
      <w:pPr>
        <w:pStyle w:val="Numberedpara3level1"/>
        <w:numPr>
          <w:ilvl w:val="0"/>
          <w:numId w:val="0"/>
        </w:numPr>
        <w:ind w:left="567"/>
        <w:jc w:val="center"/>
      </w:pPr>
      <w:r>
        <w:rPr>
          <w:noProof/>
          <w:lang w:eastAsia="en-NZ"/>
        </w:rPr>
        <w:drawing>
          <wp:inline distT="0" distB="0" distL="0" distR="0" wp14:anchorId="41FEAE8B" wp14:editId="627ADF77">
            <wp:extent cx="4572000" cy="2398143"/>
            <wp:effectExtent l="0" t="0" r="19050" b="215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43A7" w:rsidRDefault="00CF43A7" w:rsidP="00CF43A7">
      <w:pPr>
        <w:pStyle w:val="Cabinetpaperparasubheading"/>
      </w:pPr>
      <w:r>
        <w:t>Societies identified risks to community funding and to the revenue base for fees</w:t>
      </w:r>
    </w:p>
    <w:p w:rsidR="00546ACE" w:rsidRPr="00E70E57" w:rsidRDefault="00CF43A7" w:rsidP="00667680">
      <w:pPr>
        <w:pStyle w:val="Numberedpara3level1"/>
        <w:numPr>
          <w:ilvl w:val="0"/>
          <w:numId w:val="19"/>
        </w:numPr>
      </w:pPr>
      <w:r>
        <w:t xml:space="preserve">Thirty submitters from the </w:t>
      </w:r>
      <w:r w:rsidRPr="00E70E57">
        <w:t xml:space="preserve">class 4 sector were opposed to the fee increases or supported a small increase (in line with </w:t>
      </w:r>
      <w:r>
        <w:t xml:space="preserve">inflation). In general </w:t>
      </w:r>
      <w:r w:rsidRPr="00E70E57">
        <w:t>the class 4 sector expressed concern about the sustainability of a regulatory framework where increasing costs are being imposed on a sect</w:t>
      </w:r>
      <w:r>
        <w:t xml:space="preserve">or that is in decline. </w:t>
      </w:r>
      <w:r w:rsidR="00546ACE">
        <w:t xml:space="preserve">They were of the view that </w:t>
      </w:r>
      <w:r w:rsidR="00546ACE" w:rsidRPr="00E70E57">
        <w:t xml:space="preserve">the Department should </w:t>
      </w:r>
      <w:r w:rsidR="00546ACE">
        <w:t xml:space="preserve">first </w:t>
      </w:r>
      <w:r w:rsidR="00546ACE" w:rsidRPr="00E70E57">
        <w:t xml:space="preserve">review </w:t>
      </w:r>
      <w:r w:rsidR="00546ACE">
        <w:t xml:space="preserve">its </w:t>
      </w:r>
      <w:r w:rsidR="00546ACE" w:rsidRPr="00E70E57">
        <w:t xml:space="preserve">activities and costs to ensure that it is operating effectively and efficiently. </w:t>
      </w:r>
    </w:p>
    <w:p w:rsidR="00CF43A7" w:rsidRDefault="00CF43A7" w:rsidP="00BF5F28">
      <w:pPr>
        <w:pStyle w:val="Numberedpara3level1"/>
        <w:numPr>
          <w:ilvl w:val="0"/>
          <w:numId w:val="19"/>
        </w:numPr>
      </w:pPr>
      <w:r>
        <w:t>S</w:t>
      </w:r>
      <w:r w:rsidRPr="008541F1">
        <w:t xml:space="preserve">ocieties noted that the </w:t>
      </w:r>
      <w:r>
        <w:t xml:space="preserve">proposed </w:t>
      </w:r>
      <w:r w:rsidRPr="008541F1">
        <w:t>fee increases are coming at a time of increasing cost pressure for the sector. Cost pressures commonly identified included</w:t>
      </w:r>
      <w:r>
        <w:t>:</w:t>
      </w:r>
    </w:p>
    <w:p w:rsidR="00CF43A7" w:rsidRDefault="00CF43A7" w:rsidP="00CF43A7">
      <w:pPr>
        <w:pStyle w:val="Bullet"/>
      </w:pPr>
      <w:r w:rsidRPr="008541F1">
        <w:t>replacing non-d</w:t>
      </w:r>
      <w:r>
        <w:t>ownloadable jackpot generators;</w:t>
      </w:r>
    </w:p>
    <w:p w:rsidR="00CF43A7" w:rsidRDefault="00CF43A7" w:rsidP="00CF43A7">
      <w:pPr>
        <w:pStyle w:val="Bullet"/>
      </w:pPr>
      <w:r w:rsidRPr="008541F1">
        <w:t>replacing bank note acceptors in gaming machines to accept the Reserve Bank’s new currency</w:t>
      </w:r>
      <w:r>
        <w:t>; and</w:t>
      </w:r>
    </w:p>
    <w:p w:rsidR="00CF43A7" w:rsidRDefault="00CF43A7" w:rsidP="0013638D">
      <w:pPr>
        <w:pStyle w:val="Bullet"/>
      </w:pPr>
      <w:r>
        <w:t>regulated</w:t>
      </w:r>
      <w:r w:rsidRPr="008541F1">
        <w:t xml:space="preserve"> increases in the minimum rate of return to authorised purposes. </w:t>
      </w:r>
    </w:p>
    <w:p w:rsidR="00CF43A7" w:rsidRDefault="00CF43A7" w:rsidP="00BF5F28">
      <w:pPr>
        <w:pStyle w:val="Numberedpara3level1"/>
        <w:numPr>
          <w:ilvl w:val="0"/>
          <w:numId w:val="19"/>
        </w:numPr>
      </w:pPr>
      <w:r>
        <w:t xml:space="preserve">Societies </w:t>
      </w:r>
      <w:r w:rsidRPr="008541F1">
        <w:t xml:space="preserve">noted </w:t>
      </w:r>
      <w:r>
        <w:t>the proposed fee increases may make venues with a lower turnover being seen by societies as financially unviable. They argued that increased fees may accelerate de-licensing of lower-turnover venues, as societies shed venues in order to meet the increased fees and increased minimum rate of return. The exit of lower turnover venues would also put further pressure on the revenue base for fees.</w:t>
      </w:r>
    </w:p>
    <w:p w:rsidR="0013638D" w:rsidRDefault="00CF43A7" w:rsidP="00BF5F28">
      <w:pPr>
        <w:pStyle w:val="Numberedpara3level1"/>
        <w:numPr>
          <w:ilvl w:val="0"/>
          <w:numId w:val="19"/>
        </w:numPr>
      </w:pPr>
      <w:r>
        <w:t xml:space="preserve">Societies argued that the total GMP available for grants to communities may subsequently fall, with the impact of this felt disproportionately on rural areas where the lower-turnover venues are situated. Societies whose policy was to return GMP to the area in which it was raised were concerned that rural communities will lose an opportunity for funding. </w:t>
      </w:r>
    </w:p>
    <w:p w:rsidR="00CF43A7" w:rsidRDefault="00CF43A7" w:rsidP="00BF5F28">
      <w:pPr>
        <w:pStyle w:val="Numberedpara3level1"/>
        <w:numPr>
          <w:ilvl w:val="0"/>
          <w:numId w:val="19"/>
        </w:numPr>
      </w:pPr>
      <w:r>
        <w:t>S</w:t>
      </w:r>
      <w:r w:rsidRPr="008541F1">
        <w:t xml:space="preserve">ubmissions </w:t>
      </w:r>
      <w:r>
        <w:t>from t</w:t>
      </w:r>
      <w:r w:rsidRPr="008541F1">
        <w:t>he f</w:t>
      </w:r>
      <w:r>
        <w:t>our</w:t>
      </w:r>
      <w:r w:rsidRPr="008541F1">
        <w:t xml:space="preserve"> funding recipients were opposed to the fee increases because of the risk of venues ceasing gambling operation, or closing, which would reduce the overall amount of funding available for grants.</w:t>
      </w:r>
      <w:r w:rsidRPr="0051433D">
        <w:t xml:space="preserve"> </w:t>
      </w:r>
    </w:p>
    <w:p w:rsidR="00CF43A7" w:rsidRDefault="00CF43A7" w:rsidP="00CF43A7">
      <w:pPr>
        <w:pStyle w:val="Cabinetpaperparasubheading"/>
      </w:pPr>
      <w:r>
        <w:lastRenderedPageBreak/>
        <w:t>Problem gambling groups supported the fee increases</w:t>
      </w:r>
    </w:p>
    <w:p w:rsidR="00CF43A7" w:rsidRPr="00573FE9" w:rsidRDefault="00CF43A7" w:rsidP="00BF5F28">
      <w:pPr>
        <w:pStyle w:val="Numberedpara3level1"/>
        <w:numPr>
          <w:ilvl w:val="0"/>
          <w:numId w:val="19"/>
        </w:numPr>
      </w:pPr>
      <w:r>
        <w:t xml:space="preserve">Three problem gambling support groups and one individual supported the fee increases. They noted that more regulation of the sector was needed in order to help minimise the risk of gambling harm. These </w:t>
      </w:r>
      <w:r w:rsidRPr="00573FE9">
        <w:t>submitters pointed to the results of the Department’s ‘Mystery Shopper’ exercise</w:t>
      </w:r>
      <w:r>
        <w:t xml:space="preserve"> conducted in 2014</w:t>
      </w:r>
      <w:r w:rsidRPr="00573FE9">
        <w:t xml:space="preserve">. </w:t>
      </w:r>
      <w:r>
        <w:t>O</w:t>
      </w:r>
      <w:r w:rsidRPr="00573FE9">
        <w:t xml:space="preserve">f the 102 </w:t>
      </w:r>
      <w:r>
        <w:t xml:space="preserve">class 4 </w:t>
      </w:r>
      <w:r w:rsidRPr="00573FE9">
        <w:t>venues</w:t>
      </w:r>
      <w:r>
        <w:t xml:space="preserve"> visited by undercover gamblers who exhibited signs of harm</w:t>
      </w:r>
      <w:r w:rsidRPr="00573FE9">
        <w:t>, there was no intervention from staff in 101</w:t>
      </w:r>
      <w:r>
        <w:t xml:space="preserve"> venues</w:t>
      </w:r>
      <w:r w:rsidRPr="00573FE9">
        <w:t>.</w:t>
      </w:r>
    </w:p>
    <w:p w:rsidR="00CF43A7" w:rsidRPr="008541F1" w:rsidRDefault="00CF43A7" w:rsidP="00CF43A7">
      <w:pPr>
        <w:pStyle w:val="Cabinetpaperparasubheading"/>
      </w:pPr>
      <w:r>
        <w:t>Submitters from the casino sector did not support fee increases</w:t>
      </w:r>
    </w:p>
    <w:p w:rsidR="00CF43A7" w:rsidRPr="008541F1" w:rsidRDefault="00CF43A7" w:rsidP="00BF5F28">
      <w:pPr>
        <w:pStyle w:val="Numberedpara3level1"/>
        <w:numPr>
          <w:ilvl w:val="0"/>
          <w:numId w:val="19"/>
        </w:numPr>
      </w:pPr>
      <w:r w:rsidRPr="008541F1">
        <w:t>Proposed changes to casino licence fees reflected the Department’s estimated costs in regulating each casino</w:t>
      </w:r>
      <w:r>
        <w:t xml:space="preserve"> using a new method based on their relative size</w:t>
      </w:r>
      <w:r w:rsidRPr="008541F1">
        <w:t>. The consultation document proposed an increase in the annual licensing fee for SkyCity Auckland, Queenstown SkyCity, and Queenstown Wharf and a reduction in the fee for Hamilton, Christchurch and Dunedin. An increased fee was proposed for associated person approvals and certificates of approval</w:t>
      </w:r>
      <w:r>
        <w:t xml:space="preserve"> for casino staff</w:t>
      </w:r>
      <w:r w:rsidRPr="008541F1">
        <w:t>.</w:t>
      </w:r>
    </w:p>
    <w:p w:rsidR="00CF43A7" w:rsidRDefault="00CF43A7" w:rsidP="00BF5F28">
      <w:pPr>
        <w:pStyle w:val="Numberedpara3level1"/>
        <w:numPr>
          <w:ilvl w:val="0"/>
          <w:numId w:val="19"/>
        </w:numPr>
      </w:pPr>
      <w:r>
        <w:t>The three submitters from the casino sector</w:t>
      </w:r>
      <w:r w:rsidRPr="008541F1">
        <w:t xml:space="preserve"> expressed concern about the basis for the changes</w:t>
      </w:r>
      <w:r>
        <w:t xml:space="preserve"> to annual licence fees. </w:t>
      </w:r>
      <w:r w:rsidRPr="008541F1">
        <w:t>They also opposed the increase</w:t>
      </w:r>
      <w:r>
        <w:t>s in</w:t>
      </w:r>
      <w:r w:rsidRPr="008541F1">
        <w:t xml:space="preserve"> </w:t>
      </w:r>
      <w:r w:rsidR="003527E3">
        <w:t xml:space="preserve">the fees for </w:t>
      </w:r>
      <w:r w:rsidR="00F40CD1">
        <w:t>certificate</w:t>
      </w:r>
      <w:r w:rsidR="003527E3">
        <w:t>s</w:t>
      </w:r>
      <w:r w:rsidR="00F40CD1">
        <w:t xml:space="preserve"> of approval</w:t>
      </w:r>
      <w:r>
        <w:t xml:space="preserve"> and </w:t>
      </w:r>
      <w:r w:rsidRPr="008541F1">
        <w:t>associated person approval</w:t>
      </w:r>
      <w:r w:rsidR="003527E3">
        <w:t>s.</w:t>
      </w:r>
      <w:r w:rsidRPr="008541F1">
        <w:t xml:space="preserve"> </w:t>
      </w:r>
    </w:p>
    <w:p w:rsidR="00546ACE" w:rsidRDefault="00546ACE" w:rsidP="00546ACE">
      <w:pPr>
        <w:pStyle w:val="Numberedpara3level1"/>
        <w:numPr>
          <w:ilvl w:val="0"/>
          <w:numId w:val="0"/>
        </w:numPr>
        <w:ind w:left="567" w:hanging="567"/>
      </w:pPr>
    </w:p>
    <w:p w:rsidR="00457DDE" w:rsidRDefault="00457DDE">
      <w:pPr>
        <w:keepLines w:val="0"/>
      </w:pPr>
      <w:r>
        <w:br w:type="page"/>
      </w:r>
    </w:p>
    <w:p w:rsidR="001A754E" w:rsidRPr="00C970A6" w:rsidRDefault="001A754E" w:rsidP="001A754E">
      <w:pPr>
        <w:pStyle w:val="Cabinetpaperparaheading"/>
      </w:pPr>
      <w:bookmarkStart w:id="1" w:name="_Toc410217733"/>
      <w:r>
        <w:lastRenderedPageBreak/>
        <w:t xml:space="preserve">Appendix </w:t>
      </w:r>
      <w:r w:rsidR="00894112">
        <w:t>B</w:t>
      </w:r>
      <w:r>
        <w:t>: Schedule of proposed gambling fees</w:t>
      </w:r>
      <w:bookmarkEnd w:id="1"/>
      <w:r w:rsidR="000444EE">
        <w:t xml:space="preserve"> (GST-exclusive)</w:t>
      </w:r>
    </w:p>
    <w:tbl>
      <w:tblPr>
        <w:tblStyle w:val="DIATable"/>
        <w:tblW w:w="8681" w:type="dxa"/>
        <w:jc w:val="center"/>
        <w:tblLook w:val="04A0" w:firstRow="1" w:lastRow="0" w:firstColumn="1" w:lastColumn="0" w:noHBand="0" w:noVBand="1"/>
      </w:tblPr>
      <w:tblGrid>
        <w:gridCol w:w="2127"/>
        <w:gridCol w:w="1302"/>
        <w:gridCol w:w="1313"/>
        <w:gridCol w:w="1313"/>
        <w:gridCol w:w="1313"/>
        <w:gridCol w:w="1313"/>
      </w:tblGrid>
      <w:tr w:rsidR="001A754E" w:rsidTr="004E68D1">
        <w:trPr>
          <w:cnfStyle w:val="100000000000" w:firstRow="1" w:lastRow="0" w:firstColumn="0" w:lastColumn="0" w:oddVBand="0" w:evenVBand="0" w:oddHBand="0" w:evenHBand="0" w:firstRowFirstColumn="0" w:firstRowLastColumn="0" w:lastRowFirstColumn="0" w:lastRowLastColumn="0"/>
          <w:tblHeader/>
          <w:jc w:val="center"/>
        </w:trPr>
        <w:tc>
          <w:tcPr>
            <w:tcW w:w="2127" w:type="dxa"/>
            <w:tcBorders>
              <w:bottom w:val="single" w:sz="6" w:space="0" w:color="1F546B" w:themeColor="text2"/>
            </w:tcBorders>
          </w:tcPr>
          <w:p w:rsidR="001A754E" w:rsidRPr="002C1E1B" w:rsidRDefault="001A754E" w:rsidP="004E68D1">
            <w:pPr>
              <w:rPr>
                <w:sz w:val="16"/>
                <w:szCs w:val="16"/>
              </w:rPr>
            </w:pPr>
            <w:r w:rsidRPr="002C1E1B">
              <w:rPr>
                <w:sz w:val="16"/>
                <w:szCs w:val="16"/>
              </w:rPr>
              <w:t>Fee type</w:t>
            </w:r>
          </w:p>
        </w:tc>
        <w:tc>
          <w:tcPr>
            <w:tcW w:w="1302" w:type="dxa"/>
            <w:tcBorders>
              <w:bottom w:val="single" w:sz="6" w:space="0" w:color="1F546B" w:themeColor="text2"/>
            </w:tcBorders>
          </w:tcPr>
          <w:p w:rsidR="001A754E" w:rsidRPr="002C1E1B" w:rsidRDefault="001A754E" w:rsidP="004E68D1">
            <w:pPr>
              <w:rPr>
                <w:sz w:val="16"/>
                <w:szCs w:val="16"/>
              </w:rPr>
            </w:pPr>
            <w:r w:rsidRPr="002C1E1B">
              <w:rPr>
                <w:sz w:val="16"/>
                <w:szCs w:val="16"/>
              </w:rPr>
              <w:t>Current fee ($)</w:t>
            </w:r>
          </w:p>
        </w:tc>
        <w:tc>
          <w:tcPr>
            <w:tcW w:w="1313" w:type="dxa"/>
            <w:tcBorders>
              <w:bottom w:val="single" w:sz="6" w:space="0" w:color="1F546B" w:themeColor="text2"/>
            </w:tcBorders>
          </w:tcPr>
          <w:p w:rsidR="001A754E" w:rsidRPr="002C1E1B" w:rsidRDefault="001A754E" w:rsidP="004E68D1">
            <w:pPr>
              <w:rPr>
                <w:sz w:val="16"/>
                <w:szCs w:val="16"/>
              </w:rPr>
            </w:pPr>
            <w:r w:rsidRPr="002C1E1B">
              <w:rPr>
                <w:sz w:val="16"/>
                <w:szCs w:val="16"/>
              </w:rPr>
              <w:t>Proposed fee 2015/16 ($)</w:t>
            </w:r>
          </w:p>
        </w:tc>
        <w:tc>
          <w:tcPr>
            <w:tcW w:w="1313" w:type="dxa"/>
            <w:tcBorders>
              <w:bottom w:val="single" w:sz="6" w:space="0" w:color="1F546B" w:themeColor="text2"/>
            </w:tcBorders>
          </w:tcPr>
          <w:p w:rsidR="001A754E" w:rsidRPr="002C1E1B" w:rsidRDefault="001A754E" w:rsidP="004E68D1">
            <w:pPr>
              <w:rPr>
                <w:sz w:val="16"/>
                <w:szCs w:val="16"/>
              </w:rPr>
            </w:pPr>
            <w:r w:rsidRPr="002C1E1B">
              <w:rPr>
                <w:sz w:val="16"/>
                <w:szCs w:val="16"/>
              </w:rPr>
              <w:t>Proposed fee 2016/17 ($)</w:t>
            </w:r>
          </w:p>
        </w:tc>
        <w:tc>
          <w:tcPr>
            <w:tcW w:w="1313" w:type="dxa"/>
            <w:tcBorders>
              <w:bottom w:val="single" w:sz="6" w:space="0" w:color="1F546B" w:themeColor="text2"/>
            </w:tcBorders>
          </w:tcPr>
          <w:p w:rsidR="001A754E" w:rsidRPr="002C1E1B" w:rsidRDefault="001A754E" w:rsidP="004E68D1">
            <w:pPr>
              <w:rPr>
                <w:sz w:val="16"/>
                <w:szCs w:val="16"/>
              </w:rPr>
            </w:pPr>
            <w:r w:rsidRPr="002C1E1B">
              <w:rPr>
                <w:sz w:val="16"/>
                <w:szCs w:val="16"/>
              </w:rPr>
              <w:t>Proposed fee 2017/18 ($)</w:t>
            </w:r>
          </w:p>
        </w:tc>
        <w:tc>
          <w:tcPr>
            <w:tcW w:w="1313" w:type="dxa"/>
            <w:tcBorders>
              <w:bottom w:val="single" w:sz="6" w:space="0" w:color="1F546B" w:themeColor="text2"/>
            </w:tcBorders>
          </w:tcPr>
          <w:p w:rsidR="001A754E" w:rsidRPr="002C1E1B" w:rsidRDefault="001A754E" w:rsidP="004E68D1">
            <w:pPr>
              <w:rPr>
                <w:sz w:val="16"/>
                <w:szCs w:val="16"/>
              </w:rPr>
            </w:pPr>
            <w:r w:rsidRPr="002C1E1B">
              <w:rPr>
                <w:sz w:val="16"/>
                <w:szCs w:val="16"/>
              </w:rPr>
              <w:t>Proposed fee Out</w:t>
            </w:r>
            <w:r>
              <w:rPr>
                <w:sz w:val="16"/>
                <w:szCs w:val="16"/>
              </w:rPr>
              <w:t xml:space="preserve"> </w:t>
            </w:r>
            <w:r w:rsidRPr="002C1E1B">
              <w:rPr>
                <w:sz w:val="16"/>
                <w:szCs w:val="16"/>
              </w:rPr>
              <w:t>years</w:t>
            </w:r>
          </w:p>
          <w:p w:rsidR="001A754E" w:rsidRPr="002C1E1B" w:rsidRDefault="001A754E" w:rsidP="004E68D1">
            <w:pPr>
              <w:rPr>
                <w:sz w:val="16"/>
                <w:szCs w:val="16"/>
              </w:rPr>
            </w:pPr>
            <w:r w:rsidRPr="002C1E1B">
              <w:rPr>
                <w:sz w:val="16"/>
                <w:szCs w:val="16"/>
              </w:rPr>
              <w:t>202</w:t>
            </w:r>
            <w:r>
              <w:rPr>
                <w:sz w:val="16"/>
                <w:szCs w:val="16"/>
              </w:rPr>
              <w:t>4</w:t>
            </w:r>
            <w:r w:rsidRPr="002C1E1B">
              <w:rPr>
                <w:sz w:val="16"/>
                <w:szCs w:val="16"/>
              </w:rPr>
              <w:t>/2</w:t>
            </w:r>
            <w:r>
              <w:rPr>
                <w:sz w:val="16"/>
                <w:szCs w:val="16"/>
              </w:rPr>
              <w:t>5</w:t>
            </w:r>
            <w:r w:rsidRPr="002C1E1B">
              <w:rPr>
                <w:sz w:val="16"/>
                <w:szCs w:val="16"/>
              </w:rPr>
              <w:t xml:space="preserve"> ($)</w:t>
            </w:r>
          </w:p>
        </w:tc>
      </w:tr>
      <w:tr w:rsidR="001A754E" w:rsidTr="004E68D1">
        <w:trPr>
          <w:jc w:val="center"/>
        </w:trPr>
        <w:tc>
          <w:tcPr>
            <w:tcW w:w="2127" w:type="dxa"/>
            <w:tcBorders>
              <w:top w:val="single" w:sz="6" w:space="0" w:color="1F546B" w:themeColor="text2"/>
            </w:tcBorders>
          </w:tcPr>
          <w:p w:rsidR="001A754E" w:rsidRPr="00CD0FCC" w:rsidRDefault="001A754E" w:rsidP="004E68D1">
            <w:pPr>
              <w:pStyle w:val="BodyText"/>
              <w:spacing w:after="0"/>
              <w:rPr>
                <w:b/>
                <w:sz w:val="16"/>
                <w:szCs w:val="16"/>
              </w:rPr>
            </w:pPr>
            <w:r w:rsidRPr="00CD0FCC">
              <w:rPr>
                <w:b/>
                <w:sz w:val="16"/>
                <w:szCs w:val="16"/>
              </w:rPr>
              <w:t>Class 3 Operator Licence</w:t>
            </w:r>
          </w:p>
          <w:p w:rsidR="001A754E" w:rsidRDefault="001A754E" w:rsidP="004E68D1">
            <w:pPr>
              <w:pStyle w:val="BodyText"/>
              <w:spacing w:after="0"/>
              <w:rPr>
                <w:sz w:val="16"/>
                <w:szCs w:val="16"/>
              </w:rPr>
            </w:pPr>
            <w:r w:rsidRPr="00BA189B">
              <w:rPr>
                <w:sz w:val="16"/>
                <w:szCs w:val="16"/>
              </w:rPr>
              <w:t>New or renewal (prizes $50,000 or less)</w:t>
            </w:r>
          </w:p>
          <w:p w:rsidR="001A754E" w:rsidRPr="00BA189B" w:rsidRDefault="001A754E" w:rsidP="004E68D1">
            <w:pPr>
              <w:pStyle w:val="BodyText"/>
              <w:spacing w:after="0"/>
              <w:rPr>
                <w:sz w:val="16"/>
                <w:szCs w:val="16"/>
              </w:rPr>
            </w:pPr>
          </w:p>
          <w:p w:rsidR="001A754E" w:rsidRDefault="001A754E" w:rsidP="004E68D1">
            <w:pPr>
              <w:pStyle w:val="BodyText"/>
              <w:spacing w:after="0"/>
              <w:rPr>
                <w:sz w:val="16"/>
                <w:szCs w:val="16"/>
              </w:rPr>
            </w:pPr>
            <w:r w:rsidRPr="00BA189B">
              <w:rPr>
                <w:sz w:val="16"/>
                <w:szCs w:val="16"/>
              </w:rPr>
              <w:t>New or renewal (prizes more than $50,000)</w:t>
            </w:r>
          </w:p>
          <w:p w:rsidR="001A754E" w:rsidRPr="00BA189B" w:rsidRDefault="001A754E" w:rsidP="004E68D1">
            <w:pPr>
              <w:pStyle w:val="BodyText"/>
              <w:spacing w:after="0"/>
              <w:rPr>
                <w:sz w:val="16"/>
                <w:szCs w:val="16"/>
              </w:rPr>
            </w:pPr>
          </w:p>
          <w:p w:rsidR="001A754E" w:rsidRPr="00BA189B" w:rsidRDefault="001A754E" w:rsidP="004E68D1">
            <w:pPr>
              <w:pStyle w:val="BodyText"/>
              <w:spacing w:after="0"/>
              <w:rPr>
                <w:sz w:val="16"/>
                <w:szCs w:val="16"/>
              </w:rPr>
            </w:pPr>
            <w:r w:rsidRPr="001362FC">
              <w:rPr>
                <w:sz w:val="16"/>
                <w:szCs w:val="16"/>
              </w:rPr>
              <w:t>Amendment</w:t>
            </w:r>
          </w:p>
        </w:tc>
        <w:tc>
          <w:tcPr>
            <w:tcW w:w="1302" w:type="dxa"/>
            <w:tcBorders>
              <w:top w:val="single" w:sz="6" w:space="0" w:color="1F546B" w:themeColor="text2"/>
            </w:tcBorders>
          </w:tcPr>
          <w:p w:rsidR="001A754E" w:rsidRPr="00BA189B" w:rsidRDefault="001A754E" w:rsidP="004E68D1">
            <w:pPr>
              <w:pStyle w:val="BodyText"/>
              <w:spacing w:after="0"/>
              <w:jc w:val="right"/>
              <w:rPr>
                <w:sz w:val="16"/>
                <w:szCs w:val="16"/>
              </w:rPr>
            </w:pPr>
          </w:p>
          <w:p w:rsidR="001A754E" w:rsidRPr="00BA189B" w:rsidRDefault="001A754E" w:rsidP="004E68D1">
            <w:pPr>
              <w:pStyle w:val="BodyText"/>
              <w:spacing w:after="0"/>
              <w:jc w:val="right"/>
              <w:rPr>
                <w:sz w:val="16"/>
                <w:szCs w:val="16"/>
              </w:rPr>
            </w:pPr>
            <w:r w:rsidRPr="00BA189B">
              <w:rPr>
                <w:sz w:val="16"/>
                <w:szCs w:val="16"/>
              </w:rPr>
              <w:t>89</w:t>
            </w:r>
          </w:p>
          <w:p w:rsidR="001A754E" w:rsidRPr="00BA189B"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189B" w:rsidRDefault="001A754E" w:rsidP="004E68D1">
            <w:pPr>
              <w:pStyle w:val="BodyText"/>
              <w:spacing w:after="0"/>
              <w:jc w:val="right"/>
              <w:rPr>
                <w:sz w:val="16"/>
                <w:szCs w:val="16"/>
              </w:rPr>
            </w:pPr>
            <w:r w:rsidRPr="00BA189B">
              <w:rPr>
                <w:sz w:val="16"/>
                <w:szCs w:val="16"/>
              </w:rPr>
              <w:t>628</w:t>
            </w:r>
          </w:p>
          <w:p w:rsidR="001A754E" w:rsidRPr="00BA189B" w:rsidRDefault="001A754E" w:rsidP="004E68D1">
            <w:pPr>
              <w:pStyle w:val="BodyText"/>
              <w:spacing w:after="0"/>
              <w:jc w:val="right"/>
              <w:rPr>
                <w:sz w:val="16"/>
                <w:szCs w:val="16"/>
              </w:rPr>
            </w:pPr>
          </w:p>
          <w:p w:rsidR="001A754E" w:rsidRPr="00BA189B" w:rsidRDefault="001A754E" w:rsidP="004E68D1">
            <w:pPr>
              <w:pStyle w:val="BodyText"/>
              <w:spacing w:after="0"/>
              <w:jc w:val="right"/>
              <w:rPr>
                <w:sz w:val="16"/>
                <w:szCs w:val="16"/>
              </w:rPr>
            </w:pPr>
            <w:r w:rsidRPr="00BA189B">
              <w:rPr>
                <w:sz w:val="16"/>
                <w:szCs w:val="16"/>
              </w:rPr>
              <w:t>306</w:t>
            </w:r>
          </w:p>
        </w:tc>
        <w:tc>
          <w:tcPr>
            <w:tcW w:w="1313" w:type="dxa"/>
            <w:tcBorders>
              <w:top w:val="single" w:sz="6" w:space="0" w:color="1F546B" w:themeColor="text2"/>
            </w:tcBorders>
          </w:tcPr>
          <w:p w:rsidR="001A754E" w:rsidRPr="00BA189B" w:rsidRDefault="001A754E" w:rsidP="004E68D1">
            <w:pPr>
              <w:pStyle w:val="BodyText"/>
              <w:spacing w:after="0"/>
              <w:jc w:val="right"/>
              <w:rPr>
                <w:sz w:val="16"/>
                <w:szCs w:val="16"/>
              </w:rPr>
            </w:pPr>
          </w:p>
          <w:p w:rsidR="001A754E" w:rsidRPr="00BA189B" w:rsidRDefault="001A754E" w:rsidP="004E68D1">
            <w:pPr>
              <w:pStyle w:val="BodyText"/>
              <w:spacing w:after="0"/>
              <w:jc w:val="right"/>
              <w:rPr>
                <w:sz w:val="16"/>
                <w:szCs w:val="16"/>
              </w:rPr>
            </w:pPr>
            <w:r w:rsidRPr="00BA189B">
              <w:rPr>
                <w:sz w:val="16"/>
                <w:szCs w:val="16"/>
              </w:rPr>
              <w:t>89</w:t>
            </w:r>
          </w:p>
          <w:p w:rsidR="001A754E" w:rsidRPr="00BA189B"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189B" w:rsidRDefault="001A754E" w:rsidP="004E68D1">
            <w:pPr>
              <w:pStyle w:val="BodyText"/>
              <w:spacing w:after="0"/>
              <w:jc w:val="right"/>
              <w:rPr>
                <w:sz w:val="16"/>
                <w:szCs w:val="16"/>
              </w:rPr>
            </w:pPr>
            <w:r w:rsidRPr="00BA189B">
              <w:rPr>
                <w:sz w:val="16"/>
                <w:szCs w:val="16"/>
              </w:rPr>
              <w:t>628</w:t>
            </w:r>
          </w:p>
          <w:p w:rsidR="001A754E" w:rsidRPr="00BA189B" w:rsidRDefault="001A754E" w:rsidP="004E68D1">
            <w:pPr>
              <w:pStyle w:val="BodyText"/>
              <w:spacing w:after="0"/>
              <w:jc w:val="right"/>
              <w:rPr>
                <w:sz w:val="16"/>
                <w:szCs w:val="16"/>
              </w:rPr>
            </w:pPr>
          </w:p>
          <w:p w:rsidR="001A754E" w:rsidRPr="00BA189B" w:rsidRDefault="001A754E" w:rsidP="004E68D1">
            <w:pPr>
              <w:pStyle w:val="BodyText"/>
              <w:spacing w:after="0"/>
              <w:jc w:val="right"/>
              <w:rPr>
                <w:sz w:val="16"/>
                <w:szCs w:val="16"/>
              </w:rPr>
            </w:pPr>
            <w:r w:rsidRPr="00BA189B">
              <w:rPr>
                <w:sz w:val="16"/>
                <w:szCs w:val="16"/>
              </w:rPr>
              <w:t>0</w:t>
            </w:r>
          </w:p>
        </w:tc>
        <w:tc>
          <w:tcPr>
            <w:tcW w:w="1313" w:type="dxa"/>
            <w:tcBorders>
              <w:top w:val="single" w:sz="6" w:space="0" w:color="1F546B" w:themeColor="text2"/>
            </w:tcBorders>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89</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628</w:t>
            </w:r>
          </w:p>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0</w:t>
            </w:r>
          </w:p>
        </w:tc>
        <w:tc>
          <w:tcPr>
            <w:tcW w:w="1313" w:type="dxa"/>
            <w:tcBorders>
              <w:top w:val="single" w:sz="6" w:space="0" w:color="1F546B" w:themeColor="text2"/>
            </w:tcBorders>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89</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628</w:t>
            </w:r>
          </w:p>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0</w:t>
            </w:r>
          </w:p>
        </w:tc>
        <w:tc>
          <w:tcPr>
            <w:tcW w:w="1313" w:type="dxa"/>
            <w:tcBorders>
              <w:top w:val="single" w:sz="6" w:space="0" w:color="1F546B" w:themeColor="text2"/>
            </w:tcBorders>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89</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628</w:t>
            </w:r>
          </w:p>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0</w:t>
            </w:r>
          </w:p>
        </w:tc>
      </w:tr>
      <w:tr w:rsidR="001A754E" w:rsidTr="004E68D1">
        <w:trPr>
          <w:jc w:val="center"/>
        </w:trPr>
        <w:tc>
          <w:tcPr>
            <w:tcW w:w="2127" w:type="dxa"/>
          </w:tcPr>
          <w:p w:rsidR="001A754E" w:rsidRPr="00BA50B0" w:rsidRDefault="001A754E" w:rsidP="004E68D1">
            <w:pPr>
              <w:pStyle w:val="BodyText"/>
              <w:spacing w:after="0"/>
              <w:rPr>
                <w:b/>
                <w:sz w:val="16"/>
                <w:szCs w:val="16"/>
              </w:rPr>
            </w:pPr>
            <w:r w:rsidRPr="00BA50B0">
              <w:rPr>
                <w:b/>
                <w:sz w:val="16"/>
                <w:szCs w:val="16"/>
              </w:rPr>
              <w:t>Class 4 Operator Licences</w:t>
            </w:r>
          </w:p>
          <w:p w:rsidR="001A754E" w:rsidRDefault="001A754E" w:rsidP="004E68D1">
            <w:pPr>
              <w:pStyle w:val="BodyText"/>
              <w:spacing w:after="0"/>
              <w:rPr>
                <w:sz w:val="16"/>
                <w:szCs w:val="16"/>
              </w:rPr>
            </w:pPr>
            <w:r w:rsidRPr="00BA50B0">
              <w:rPr>
                <w:sz w:val="16"/>
                <w:szCs w:val="16"/>
              </w:rPr>
              <w:t>New (club societies)</w:t>
            </w:r>
          </w:p>
          <w:p w:rsidR="001A754E" w:rsidRPr="00BA50B0"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New (non-club societies)</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Amendment or notification (key person)</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Amendment or notification (other)</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Renewal (club societies)</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Renewal (non-club societies)</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103788">
              <w:rPr>
                <w:sz w:val="16"/>
                <w:szCs w:val="16"/>
              </w:rPr>
              <w:t>O</w:t>
            </w:r>
            <w:r>
              <w:rPr>
                <w:sz w:val="16"/>
                <w:szCs w:val="16"/>
              </w:rPr>
              <w:t>perator’s annual fee (non-clubs)</w:t>
            </w:r>
          </w:p>
        </w:tc>
        <w:tc>
          <w:tcPr>
            <w:tcW w:w="1302"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w:t>
            </w:r>
            <w:r>
              <w:rPr>
                <w:sz w:val="16"/>
                <w:szCs w:val="16"/>
              </w:rPr>
              <w:t>,</w:t>
            </w:r>
            <w:r w:rsidRPr="00BA50B0">
              <w:rPr>
                <w:sz w:val="16"/>
                <w:szCs w:val="16"/>
              </w:rPr>
              <w:t>616</w:t>
            </w:r>
          </w:p>
          <w:p w:rsidR="001A754E" w:rsidRDefault="001A754E" w:rsidP="004E68D1">
            <w:pPr>
              <w:pStyle w:val="BodyText"/>
              <w:spacing w:after="0"/>
              <w:jc w:val="right"/>
              <w:rPr>
                <w:sz w:val="16"/>
                <w:szCs w:val="16"/>
              </w:rPr>
            </w:pPr>
            <w:r>
              <w:rPr>
                <w:sz w:val="16"/>
                <w:szCs w:val="16"/>
              </w:rPr>
              <w:t xml:space="preserve">          </w:t>
            </w:r>
          </w:p>
          <w:p w:rsidR="001A754E" w:rsidRPr="00BA50B0" w:rsidRDefault="001A754E" w:rsidP="004E68D1">
            <w:pPr>
              <w:pStyle w:val="BodyText"/>
              <w:spacing w:after="0"/>
              <w:jc w:val="right"/>
              <w:rPr>
                <w:sz w:val="16"/>
                <w:szCs w:val="16"/>
              </w:rPr>
            </w:pPr>
            <w:r>
              <w:rPr>
                <w:sz w:val="16"/>
                <w:szCs w:val="16"/>
              </w:rPr>
              <w:t xml:space="preserve"> </w:t>
            </w:r>
            <w:r w:rsidRPr="00BA50B0">
              <w:rPr>
                <w:sz w:val="16"/>
                <w:szCs w:val="16"/>
              </w:rPr>
              <w:t>565</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226</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r w:rsidRPr="00BA50B0">
              <w:rPr>
                <w:sz w:val="16"/>
                <w:szCs w:val="16"/>
              </w:rPr>
              <w:t>1,130</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r w:rsidRPr="00BA50B0">
              <w:rPr>
                <w:sz w:val="16"/>
                <w:szCs w:val="16"/>
              </w:rPr>
              <w:t>2,261</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3,612</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15,795</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565</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169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1,130</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10,246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3,612</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15,795</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565</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169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1,130</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10,246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3,612</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15,795</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565</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169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1,130</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10,246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3,612</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15,795</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565</w:t>
            </w:r>
          </w:p>
          <w:p w:rsidR="001A754E" w:rsidRPr="00BA50B0"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169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1,130</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10,246</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3,612</w:t>
            </w:r>
          </w:p>
        </w:tc>
      </w:tr>
      <w:tr w:rsidR="001A754E" w:rsidTr="004E68D1">
        <w:trPr>
          <w:jc w:val="center"/>
        </w:trPr>
        <w:tc>
          <w:tcPr>
            <w:tcW w:w="2127" w:type="dxa"/>
          </w:tcPr>
          <w:p w:rsidR="001A754E" w:rsidRPr="00BA50B0" w:rsidRDefault="001A754E" w:rsidP="004E68D1">
            <w:pPr>
              <w:pStyle w:val="BodyText"/>
              <w:spacing w:after="0"/>
              <w:rPr>
                <w:b/>
                <w:sz w:val="16"/>
                <w:szCs w:val="16"/>
              </w:rPr>
            </w:pPr>
            <w:r w:rsidRPr="00BA50B0">
              <w:rPr>
                <w:b/>
                <w:sz w:val="16"/>
                <w:szCs w:val="16"/>
              </w:rPr>
              <w:t>Class 4 venue licences</w:t>
            </w:r>
          </w:p>
          <w:p w:rsidR="001A754E" w:rsidRPr="00BA50B0" w:rsidRDefault="001A754E" w:rsidP="004E68D1">
            <w:pPr>
              <w:pStyle w:val="BodyText"/>
              <w:spacing w:after="0"/>
              <w:rPr>
                <w:sz w:val="16"/>
                <w:szCs w:val="16"/>
              </w:rPr>
            </w:pPr>
            <w:r w:rsidRPr="00BA50B0">
              <w:rPr>
                <w:sz w:val="16"/>
                <w:szCs w:val="16"/>
              </w:rPr>
              <w:t>New venue licence (club)</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New venue licence (non-club)</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Renewed venue licence (club)</w:t>
            </w:r>
          </w:p>
          <w:p w:rsidR="001A754E" w:rsidRDefault="001A754E" w:rsidP="004E68D1">
            <w:pPr>
              <w:pStyle w:val="BodyText"/>
              <w:spacing w:after="0"/>
              <w:rPr>
                <w:sz w:val="16"/>
                <w:szCs w:val="16"/>
              </w:rPr>
            </w:pPr>
          </w:p>
          <w:p w:rsidR="001A754E" w:rsidRPr="00BA50B0" w:rsidRDefault="001A754E" w:rsidP="004E68D1">
            <w:pPr>
              <w:pStyle w:val="BodyText"/>
              <w:spacing w:after="0"/>
              <w:rPr>
                <w:sz w:val="16"/>
                <w:szCs w:val="16"/>
              </w:rPr>
            </w:pPr>
            <w:r w:rsidRPr="00BA50B0">
              <w:rPr>
                <w:sz w:val="16"/>
                <w:szCs w:val="16"/>
              </w:rPr>
              <w:t>Renewed venue licence (non-club)</w:t>
            </w:r>
          </w:p>
          <w:p w:rsidR="001A754E" w:rsidRPr="00BA50B0" w:rsidRDefault="001A754E" w:rsidP="004E68D1">
            <w:pPr>
              <w:pStyle w:val="BodyText"/>
              <w:spacing w:after="0"/>
              <w:rPr>
                <w:sz w:val="16"/>
                <w:szCs w:val="16"/>
              </w:rPr>
            </w:pPr>
          </w:p>
        </w:tc>
        <w:tc>
          <w:tcPr>
            <w:tcW w:w="1302"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678</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904</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r>
              <w:rPr>
                <w:sz w:val="16"/>
                <w:szCs w:val="16"/>
              </w:rPr>
              <w:t>112.89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Pr>
                <w:sz w:val="16"/>
                <w:szCs w:val="16"/>
              </w:rPr>
              <w:t>169.78</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2,054</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r>
              <w:rPr>
                <w:sz w:val="16"/>
                <w:szCs w:val="16"/>
              </w:rPr>
              <w:t>112.89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Pr>
                <w:sz w:val="16"/>
                <w:szCs w:val="16"/>
              </w:rPr>
              <w:t>169.78</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2,054</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r>
              <w:rPr>
                <w:sz w:val="16"/>
                <w:szCs w:val="16"/>
              </w:rPr>
              <w:t>112.89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Pr>
                <w:sz w:val="16"/>
                <w:szCs w:val="16"/>
              </w:rPr>
              <w:t>169.78</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2,054</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r>
              <w:rPr>
                <w:sz w:val="16"/>
                <w:szCs w:val="16"/>
              </w:rPr>
              <w:t>112.89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Pr>
                <w:sz w:val="16"/>
                <w:szCs w:val="16"/>
              </w:rPr>
              <w:t>169.78</w:t>
            </w:r>
          </w:p>
        </w:tc>
        <w:tc>
          <w:tcPr>
            <w:tcW w:w="1313" w:type="dxa"/>
          </w:tcPr>
          <w:p w:rsidR="001A754E" w:rsidRPr="00BA50B0"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2,054</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Pr>
                <w:sz w:val="16"/>
                <w:szCs w:val="16"/>
              </w:rPr>
              <w:t>112.89</w:t>
            </w:r>
          </w:p>
          <w:p w:rsidR="001A754E" w:rsidRDefault="001A754E" w:rsidP="004E68D1">
            <w:pPr>
              <w:pStyle w:val="BodyText"/>
              <w:spacing w:after="0"/>
              <w:jc w:val="right"/>
              <w:rPr>
                <w:sz w:val="16"/>
                <w:szCs w:val="16"/>
              </w:rPr>
            </w:pP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Pr>
                <w:sz w:val="16"/>
                <w:szCs w:val="16"/>
              </w:rPr>
              <w:t>169.78</w:t>
            </w:r>
          </w:p>
        </w:tc>
      </w:tr>
      <w:tr w:rsidR="001A754E"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Daily monitoring fee</w:t>
            </w:r>
          </w:p>
        </w:tc>
        <w:tc>
          <w:tcPr>
            <w:tcW w:w="1302" w:type="dxa"/>
          </w:tcPr>
          <w:p w:rsidR="001A754E" w:rsidRPr="00BA50B0" w:rsidRDefault="001A754E" w:rsidP="004E68D1">
            <w:pPr>
              <w:pStyle w:val="BodyText"/>
              <w:jc w:val="right"/>
              <w:rPr>
                <w:sz w:val="16"/>
                <w:szCs w:val="16"/>
              </w:rPr>
            </w:pPr>
            <w:r w:rsidRPr="00BA50B0">
              <w:rPr>
                <w:sz w:val="16"/>
                <w:szCs w:val="16"/>
              </w:rPr>
              <w:t>1.20</w:t>
            </w:r>
          </w:p>
        </w:tc>
        <w:tc>
          <w:tcPr>
            <w:tcW w:w="1313" w:type="dxa"/>
          </w:tcPr>
          <w:p w:rsidR="001A754E" w:rsidRPr="00BA50B0" w:rsidRDefault="001A754E" w:rsidP="004E68D1">
            <w:pPr>
              <w:pStyle w:val="BodyText"/>
              <w:jc w:val="right"/>
              <w:rPr>
                <w:sz w:val="16"/>
                <w:szCs w:val="16"/>
              </w:rPr>
            </w:pPr>
            <w:r w:rsidRPr="00BA50B0">
              <w:rPr>
                <w:sz w:val="16"/>
                <w:szCs w:val="16"/>
              </w:rPr>
              <w:t>1.90</w:t>
            </w:r>
          </w:p>
        </w:tc>
        <w:tc>
          <w:tcPr>
            <w:tcW w:w="1313" w:type="dxa"/>
          </w:tcPr>
          <w:p w:rsidR="001A754E" w:rsidRPr="00BA50B0" w:rsidRDefault="001A754E" w:rsidP="004E68D1">
            <w:pPr>
              <w:pStyle w:val="BodyText"/>
              <w:jc w:val="right"/>
              <w:rPr>
                <w:sz w:val="16"/>
                <w:szCs w:val="16"/>
              </w:rPr>
            </w:pPr>
            <w:r w:rsidRPr="00BA50B0">
              <w:rPr>
                <w:sz w:val="16"/>
                <w:szCs w:val="16"/>
              </w:rPr>
              <w:t>1.90</w:t>
            </w:r>
          </w:p>
        </w:tc>
        <w:tc>
          <w:tcPr>
            <w:tcW w:w="1313" w:type="dxa"/>
          </w:tcPr>
          <w:p w:rsidR="001A754E" w:rsidRPr="00BA50B0" w:rsidRDefault="001A754E" w:rsidP="004E68D1">
            <w:pPr>
              <w:pStyle w:val="BodyText"/>
              <w:jc w:val="right"/>
              <w:rPr>
                <w:sz w:val="16"/>
                <w:szCs w:val="16"/>
              </w:rPr>
            </w:pPr>
            <w:r w:rsidRPr="00BA50B0">
              <w:rPr>
                <w:sz w:val="16"/>
                <w:szCs w:val="16"/>
              </w:rPr>
              <w:t>1.90</w:t>
            </w:r>
          </w:p>
        </w:tc>
        <w:tc>
          <w:tcPr>
            <w:tcW w:w="1313" w:type="dxa"/>
          </w:tcPr>
          <w:p w:rsidR="001A754E" w:rsidRPr="00BA50B0" w:rsidRDefault="001A754E" w:rsidP="004E68D1">
            <w:pPr>
              <w:pStyle w:val="BodyText"/>
              <w:jc w:val="right"/>
              <w:rPr>
                <w:sz w:val="16"/>
                <w:szCs w:val="16"/>
                <w:highlight w:val="yellow"/>
              </w:rPr>
            </w:pPr>
            <w:r w:rsidRPr="00BA50B0">
              <w:rPr>
                <w:sz w:val="16"/>
                <w:szCs w:val="16"/>
              </w:rPr>
              <w:t>1.90</w:t>
            </w:r>
          </w:p>
        </w:tc>
      </w:tr>
      <w:tr w:rsidR="001A754E"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Certificate of Approval (casino staff)</w:t>
            </w:r>
          </w:p>
        </w:tc>
        <w:tc>
          <w:tcPr>
            <w:tcW w:w="1302" w:type="dxa"/>
          </w:tcPr>
          <w:p w:rsidR="001A754E" w:rsidRPr="00BA50B0" w:rsidRDefault="001A754E" w:rsidP="004E68D1">
            <w:pPr>
              <w:pStyle w:val="BodyText"/>
              <w:jc w:val="right"/>
              <w:rPr>
                <w:sz w:val="16"/>
                <w:szCs w:val="16"/>
              </w:rPr>
            </w:pPr>
            <w:r w:rsidRPr="00BA50B0">
              <w:rPr>
                <w:sz w:val="16"/>
                <w:szCs w:val="16"/>
              </w:rPr>
              <w:t>292</w:t>
            </w:r>
          </w:p>
        </w:tc>
        <w:tc>
          <w:tcPr>
            <w:tcW w:w="1313" w:type="dxa"/>
          </w:tcPr>
          <w:p w:rsidR="001A754E" w:rsidRPr="00BA50B0" w:rsidRDefault="001A754E" w:rsidP="004E68D1">
            <w:pPr>
              <w:pStyle w:val="BodyText"/>
              <w:jc w:val="right"/>
              <w:rPr>
                <w:sz w:val="16"/>
                <w:szCs w:val="16"/>
              </w:rPr>
            </w:pPr>
            <w:r>
              <w:rPr>
                <w:sz w:val="16"/>
                <w:szCs w:val="16"/>
              </w:rPr>
              <w:t>512.44</w:t>
            </w:r>
          </w:p>
        </w:tc>
        <w:tc>
          <w:tcPr>
            <w:tcW w:w="1313" w:type="dxa"/>
          </w:tcPr>
          <w:p w:rsidR="001A754E" w:rsidRPr="00BA50B0" w:rsidRDefault="001A754E" w:rsidP="004E68D1">
            <w:pPr>
              <w:pStyle w:val="BodyText"/>
              <w:jc w:val="right"/>
              <w:rPr>
                <w:sz w:val="16"/>
                <w:szCs w:val="16"/>
              </w:rPr>
            </w:pPr>
            <w:r>
              <w:rPr>
                <w:sz w:val="16"/>
                <w:szCs w:val="16"/>
              </w:rPr>
              <w:t>512.44</w:t>
            </w:r>
          </w:p>
        </w:tc>
        <w:tc>
          <w:tcPr>
            <w:tcW w:w="1313" w:type="dxa"/>
          </w:tcPr>
          <w:p w:rsidR="001A754E" w:rsidRPr="00BA50B0" w:rsidRDefault="001A754E" w:rsidP="004E68D1">
            <w:pPr>
              <w:pStyle w:val="BodyText"/>
              <w:jc w:val="right"/>
              <w:rPr>
                <w:sz w:val="16"/>
                <w:szCs w:val="16"/>
              </w:rPr>
            </w:pPr>
            <w:r>
              <w:rPr>
                <w:sz w:val="16"/>
                <w:szCs w:val="16"/>
              </w:rPr>
              <w:t>512.44</w:t>
            </w:r>
          </w:p>
        </w:tc>
        <w:tc>
          <w:tcPr>
            <w:tcW w:w="1313" w:type="dxa"/>
          </w:tcPr>
          <w:p w:rsidR="001A754E" w:rsidRPr="00BA50B0" w:rsidRDefault="001A754E" w:rsidP="004E68D1">
            <w:pPr>
              <w:pStyle w:val="BodyText"/>
              <w:jc w:val="right"/>
              <w:rPr>
                <w:sz w:val="16"/>
                <w:szCs w:val="16"/>
              </w:rPr>
            </w:pPr>
            <w:r>
              <w:rPr>
                <w:sz w:val="16"/>
                <w:szCs w:val="16"/>
              </w:rPr>
              <w:t>512.44</w:t>
            </w:r>
          </w:p>
        </w:tc>
      </w:tr>
      <w:tr w:rsidR="001A754E"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Associated person approval</w:t>
            </w:r>
          </w:p>
        </w:tc>
        <w:tc>
          <w:tcPr>
            <w:tcW w:w="1302" w:type="dxa"/>
          </w:tcPr>
          <w:p w:rsidR="001A754E" w:rsidRPr="00BA50B0" w:rsidRDefault="001A754E" w:rsidP="004E68D1">
            <w:pPr>
              <w:pStyle w:val="BodyText"/>
              <w:jc w:val="right"/>
              <w:rPr>
                <w:sz w:val="16"/>
                <w:szCs w:val="16"/>
              </w:rPr>
            </w:pPr>
            <w:r w:rsidRPr="00BA50B0">
              <w:rPr>
                <w:sz w:val="16"/>
                <w:szCs w:val="16"/>
              </w:rPr>
              <w:t>293</w:t>
            </w:r>
          </w:p>
        </w:tc>
        <w:tc>
          <w:tcPr>
            <w:tcW w:w="1313" w:type="dxa"/>
          </w:tcPr>
          <w:p w:rsidR="001A754E" w:rsidRPr="00BA50B0" w:rsidRDefault="001A754E" w:rsidP="004E68D1">
            <w:pPr>
              <w:pStyle w:val="BodyText"/>
              <w:jc w:val="right"/>
              <w:rPr>
                <w:sz w:val="16"/>
                <w:szCs w:val="16"/>
              </w:rPr>
            </w:pPr>
            <w:r>
              <w:rPr>
                <w:sz w:val="16"/>
                <w:szCs w:val="16"/>
              </w:rPr>
              <w:t>512.44</w:t>
            </w:r>
          </w:p>
        </w:tc>
        <w:tc>
          <w:tcPr>
            <w:tcW w:w="1313" w:type="dxa"/>
          </w:tcPr>
          <w:p w:rsidR="001A754E" w:rsidRPr="00BA50B0" w:rsidRDefault="001A754E" w:rsidP="004E68D1">
            <w:pPr>
              <w:pStyle w:val="BodyText"/>
              <w:jc w:val="right"/>
              <w:rPr>
                <w:sz w:val="16"/>
                <w:szCs w:val="16"/>
              </w:rPr>
            </w:pPr>
            <w:r>
              <w:rPr>
                <w:sz w:val="16"/>
                <w:szCs w:val="16"/>
              </w:rPr>
              <w:t>512.44</w:t>
            </w:r>
          </w:p>
        </w:tc>
        <w:tc>
          <w:tcPr>
            <w:tcW w:w="1313" w:type="dxa"/>
          </w:tcPr>
          <w:p w:rsidR="001A754E" w:rsidRPr="00BA50B0" w:rsidRDefault="001A754E" w:rsidP="004E68D1">
            <w:pPr>
              <w:pStyle w:val="BodyText"/>
              <w:jc w:val="right"/>
              <w:rPr>
                <w:sz w:val="16"/>
                <w:szCs w:val="16"/>
              </w:rPr>
            </w:pPr>
            <w:r>
              <w:rPr>
                <w:sz w:val="16"/>
                <w:szCs w:val="16"/>
              </w:rPr>
              <w:t>512.44</w:t>
            </w:r>
          </w:p>
        </w:tc>
        <w:tc>
          <w:tcPr>
            <w:tcW w:w="1313" w:type="dxa"/>
          </w:tcPr>
          <w:p w:rsidR="001A754E" w:rsidRPr="00BA50B0" w:rsidRDefault="001A754E" w:rsidP="004E68D1">
            <w:pPr>
              <w:pStyle w:val="BodyText"/>
              <w:jc w:val="right"/>
              <w:rPr>
                <w:sz w:val="16"/>
                <w:szCs w:val="16"/>
              </w:rPr>
            </w:pPr>
            <w:r>
              <w:rPr>
                <w:sz w:val="16"/>
                <w:szCs w:val="16"/>
              </w:rPr>
              <w:t>512.44</w:t>
            </w:r>
          </w:p>
        </w:tc>
      </w:tr>
      <w:tr w:rsidR="001A754E"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 xml:space="preserve">New casino operator’s licence </w:t>
            </w:r>
          </w:p>
        </w:tc>
        <w:tc>
          <w:tcPr>
            <w:tcW w:w="1302" w:type="dxa"/>
          </w:tcPr>
          <w:p w:rsidR="001A754E" w:rsidRPr="00BA50B0" w:rsidRDefault="001A754E" w:rsidP="004E68D1">
            <w:pPr>
              <w:pStyle w:val="BodyText"/>
              <w:jc w:val="right"/>
              <w:rPr>
                <w:sz w:val="16"/>
                <w:szCs w:val="16"/>
              </w:rPr>
            </w:pPr>
            <w:r w:rsidRPr="00BA50B0">
              <w:rPr>
                <w:sz w:val="16"/>
                <w:szCs w:val="16"/>
              </w:rPr>
              <w:t>340,000</w:t>
            </w:r>
          </w:p>
        </w:tc>
        <w:tc>
          <w:tcPr>
            <w:tcW w:w="1313" w:type="dxa"/>
          </w:tcPr>
          <w:p w:rsidR="001A754E" w:rsidRPr="00BA50B0" w:rsidRDefault="001A754E" w:rsidP="004E68D1">
            <w:pPr>
              <w:pStyle w:val="BodyText"/>
              <w:jc w:val="right"/>
              <w:rPr>
                <w:sz w:val="16"/>
                <w:szCs w:val="16"/>
              </w:rPr>
            </w:pPr>
            <w:r w:rsidRPr="00BA50B0">
              <w:rPr>
                <w:sz w:val="16"/>
                <w:szCs w:val="16"/>
              </w:rPr>
              <w:t>340,000</w:t>
            </w:r>
          </w:p>
        </w:tc>
        <w:tc>
          <w:tcPr>
            <w:tcW w:w="1313" w:type="dxa"/>
          </w:tcPr>
          <w:p w:rsidR="001A754E" w:rsidRPr="00BA50B0" w:rsidRDefault="001A754E" w:rsidP="004E68D1">
            <w:pPr>
              <w:pStyle w:val="BodyText"/>
              <w:jc w:val="right"/>
              <w:rPr>
                <w:sz w:val="16"/>
                <w:szCs w:val="16"/>
              </w:rPr>
            </w:pPr>
            <w:r w:rsidRPr="00BA50B0">
              <w:rPr>
                <w:sz w:val="16"/>
                <w:szCs w:val="16"/>
              </w:rPr>
              <w:t>340,000</w:t>
            </w:r>
          </w:p>
        </w:tc>
        <w:tc>
          <w:tcPr>
            <w:tcW w:w="1313" w:type="dxa"/>
          </w:tcPr>
          <w:p w:rsidR="001A754E" w:rsidRPr="00BA50B0" w:rsidRDefault="001A754E" w:rsidP="004E68D1">
            <w:pPr>
              <w:pStyle w:val="BodyText"/>
              <w:jc w:val="right"/>
              <w:rPr>
                <w:sz w:val="16"/>
                <w:szCs w:val="16"/>
              </w:rPr>
            </w:pPr>
            <w:r w:rsidRPr="00BA50B0">
              <w:rPr>
                <w:sz w:val="16"/>
                <w:szCs w:val="16"/>
              </w:rPr>
              <w:t>340,000</w:t>
            </w:r>
          </w:p>
        </w:tc>
        <w:tc>
          <w:tcPr>
            <w:tcW w:w="1313" w:type="dxa"/>
          </w:tcPr>
          <w:p w:rsidR="001A754E" w:rsidRPr="00BA50B0" w:rsidRDefault="001A754E" w:rsidP="004E68D1">
            <w:pPr>
              <w:pStyle w:val="BodyText"/>
              <w:jc w:val="right"/>
              <w:rPr>
                <w:sz w:val="16"/>
                <w:szCs w:val="16"/>
              </w:rPr>
            </w:pPr>
            <w:r w:rsidRPr="00BA50B0">
              <w:rPr>
                <w:sz w:val="16"/>
                <w:szCs w:val="16"/>
              </w:rPr>
              <w:t>340,000</w:t>
            </w:r>
          </w:p>
        </w:tc>
      </w:tr>
      <w:tr w:rsidR="001A754E"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New casino venue agreement</w:t>
            </w:r>
          </w:p>
        </w:tc>
        <w:tc>
          <w:tcPr>
            <w:tcW w:w="1302" w:type="dxa"/>
          </w:tcPr>
          <w:p w:rsidR="001A754E" w:rsidRPr="00BA50B0" w:rsidRDefault="001A754E" w:rsidP="004E68D1">
            <w:pPr>
              <w:pStyle w:val="BodyText"/>
              <w:jc w:val="right"/>
              <w:rPr>
                <w:sz w:val="16"/>
                <w:szCs w:val="16"/>
              </w:rPr>
            </w:pPr>
            <w:r w:rsidRPr="00BA50B0">
              <w:rPr>
                <w:sz w:val="16"/>
                <w:szCs w:val="16"/>
              </w:rPr>
              <w:t>23,000</w:t>
            </w:r>
          </w:p>
        </w:tc>
        <w:tc>
          <w:tcPr>
            <w:tcW w:w="1313" w:type="dxa"/>
          </w:tcPr>
          <w:p w:rsidR="001A754E" w:rsidRPr="00BA50B0" w:rsidRDefault="001A754E" w:rsidP="004E68D1">
            <w:pPr>
              <w:pStyle w:val="BodyText"/>
              <w:jc w:val="right"/>
              <w:rPr>
                <w:sz w:val="16"/>
                <w:szCs w:val="16"/>
              </w:rPr>
            </w:pPr>
            <w:r w:rsidRPr="00BA50B0">
              <w:rPr>
                <w:sz w:val="16"/>
                <w:szCs w:val="16"/>
              </w:rPr>
              <w:t>23,000</w:t>
            </w:r>
          </w:p>
        </w:tc>
        <w:tc>
          <w:tcPr>
            <w:tcW w:w="1313" w:type="dxa"/>
          </w:tcPr>
          <w:p w:rsidR="001A754E" w:rsidRPr="00BA50B0" w:rsidRDefault="001A754E" w:rsidP="004E68D1">
            <w:pPr>
              <w:pStyle w:val="BodyText"/>
              <w:jc w:val="right"/>
              <w:rPr>
                <w:sz w:val="16"/>
                <w:szCs w:val="16"/>
              </w:rPr>
            </w:pPr>
            <w:r w:rsidRPr="00BA50B0">
              <w:rPr>
                <w:sz w:val="16"/>
                <w:szCs w:val="16"/>
              </w:rPr>
              <w:t>23,000</w:t>
            </w:r>
          </w:p>
        </w:tc>
        <w:tc>
          <w:tcPr>
            <w:tcW w:w="1313" w:type="dxa"/>
          </w:tcPr>
          <w:p w:rsidR="001A754E" w:rsidRPr="00BA50B0" w:rsidRDefault="001A754E" w:rsidP="004E68D1">
            <w:pPr>
              <w:pStyle w:val="BodyText"/>
              <w:jc w:val="right"/>
              <w:rPr>
                <w:sz w:val="16"/>
                <w:szCs w:val="16"/>
              </w:rPr>
            </w:pPr>
            <w:r w:rsidRPr="00BA50B0">
              <w:rPr>
                <w:sz w:val="16"/>
                <w:szCs w:val="16"/>
              </w:rPr>
              <w:t>23,000</w:t>
            </w:r>
          </w:p>
        </w:tc>
        <w:tc>
          <w:tcPr>
            <w:tcW w:w="1313" w:type="dxa"/>
          </w:tcPr>
          <w:p w:rsidR="001A754E" w:rsidRPr="00BA50B0" w:rsidRDefault="001A754E" w:rsidP="004E68D1">
            <w:pPr>
              <w:pStyle w:val="BodyText"/>
              <w:jc w:val="right"/>
              <w:rPr>
                <w:sz w:val="16"/>
                <w:szCs w:val="16"/>
              </w:rPr>
            </w:pPr>
            <w:r w:rsidRPr="00BA50B0">
              <w:rPr>
                <w:sz w:val="16"/>
                <w:szCs w:val="16"/>
              </w:rPr>
              <w:t>23,000</w:t>
            </w:r>
          </w:p>
        </w:tc>
      </w:tr>
      <w:tr w:rsidR="001A754E"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Amendment to casino operator’s licence, venue agreement and venue licence</w:t>
            </w:r>
          </w:p>
        </w:tc>
        <w:tc>
          <w:tcPr>
            <w:tcW w:w="1302" w:type="dxa"/>
          </w:tcPr>
          <w:p w:rsidR="001A754E" w:rsidRPr="00BA50B0" w:rsidRDefault="001A754E" w:rsidP="004E68D1">
            <w:pPr>
              <w:pStyle w:val="BodyText"/>
              <w:jc w:val="right"/>
              <w:rPr>
                <w:sz w:val="16"/>
                <w:szCs w:val="16"/>
              </w:rPr>
            </w:pPr>
            <w:r w:rsidRPr="00BA50B0">
              <w:rPr>
                <w:sz w:val="16"/>
                <w:szCs w:val="16"/>
              </w:rPr>
              <w:t>888</w:t>
            </w:r>
          </w:p>
        </w:tc>
        <w:tc>
          <w:tcPr>
            <w:tcW w:w="1313" w:type="dxa"/>
          </w:tcPr>
          <w:p w:rsidR="001A754E" w:rsidRPr="00BA50B0" w:rsidRDefault="001A754E" w:rsidP="004E68D1">
            <w:pPr>
              <w:pStyle w:val="BodyText"/>
              <w:jc w:val="right"/>
              <w:rPr>
                <w:sz w:val="16"/>
                <w:szCs w:val="16"/>
              </w:rPr>
            </w:pPr>
            <w:r w:rsidRPr="00BA50B0">
              <w:rPr>
                <w:sz w:val="16"/>
                <w:szCs w:val="16"/>
              </w:rPr>
              <w:t>888</w:t>
            </w:r>
          </w:p>
        </w:tc>
        <w:tc>
          <w:tcPr>
            <w:tcW w:w="1313" w:type="dxa"/>
          </w:tcPr>
          <w:p w:rsidR="001A754E" w:rsidRPr="00BA50B0" w:rsidRDefault="001A754E" w:rsidP="004E68D1">
            <w:pPr>
              <w:pStyle w:val="BodyText"/>
              <w:jc w:val="right"/>
              <w:rPr>
                <w:sz w:val="16"/>
                <w:szCs w:val="16"/>
              </w:rPr>
            </w:pPr>
            <w:r w:rsidRPr="00BA50B0">
              <w:rPr>
                <w:sz w:val="16"/>
                <w:szCs w:val="16"/>
              </w:rPr>
              <w:t>888</w:t>
            </w:r>
          </w:p>
        </w:tc>
        <w:tc>
          <w:tcPr>
            <w:tcW w:w="1313" w:type="dxa"/>
          </w:tcPr>
          <w:p w:rsidR="001A754E" w:rsidRPr="00BA50B0" w:rsidRDefault="001A754E" w:rsidP="004E68D1">
            <w:pPr>
              <w:pStyle w:val="BodyText"/>
              <w:jc w:val="right"/>
              <w:rPr>
                <w:sz w:val="16"/>
                <w:szCs w:val="16"/>
              </w:rPr>
            </w:pPr>
            <w:r w:rsidRPr="00BA50B0">
              <w:rPr>
                <w:sz w:val="16"/>
                <w:szCs w:val="16"/>
              </w:rPr>
              <w:t>888</w:t>
            </w:r>
          </w:p>
        </w:tc>
        <w:tc>
          <w:tcPr>
            <w:tcW w:w="1313" w:type="dxa"/>
          </w:tcPr>
          <w:p w:rsidR="001A754E" w:rsidRPr="00BA50B0" w:rsidRDefault="001A754E" w:rsidP="004E68D1">
            <w:pPr>
              <w:pStyle w:val="BodyText"/>
              <w:jc w:val="right"/>
              <w:rPr>
                <w:sz w:val="16"/>
                <w:szCs w:val="16"/>
              </w:rPr>
            </w:pPr>
            <w:r w:rsidRPr="00BA50B0">
              <w:rPr>
                <w:sz w:val="16"/>
                <w:szCs w:val="16"/>
              </w:rPr>
              <w:t>888</w:t>
            </w:r>
          </w:p>
        </w:tc>
      </w:tr>
      <w:tr w:rsidR="001A754E" w:rsidTr="004E68D1">
        <w:trPr>
          <w:jc w:val="center"/>
        </w:trPr>
        <w:tc>
          <w:tcPr>
            <w:tcW w:w="2127" w:type="dxa"/>
          </w:tcPr>
          <w:p w:rsidR="001A754E" w:rsidRPr="00BA50B0" w:rsidRDefault="001A754E" w:rsidP="004E68D1">
            <w:pPr>
              <w:pStyle w:val="BodyText"/>
              <w:spacing w:after="0"/>
              <w:rPr>
                <w:b/>
                <w:sz w:val="16"/>
                <w:szCs w:val="16"/>
              </w:rPr>
            </w:pPr>
            <w:r w:rsidRPr="00BA50B0">
              <w:rPr>
                <w:b/>
                <w:sz w:val="16"/>
                <w:szCs w:val="16"/>
              </w:rPr>
              <w:t>New or renewed promoters’ licence</w:t>
            </w:r>
          </w:p>
          <w:p w:rsidR="001A754E" w:rsidRPr="00BA50B0" w:rsidRDefault="001A754E" w:rsidP="004E68D1">
            <w:pPr>
              <w:pStyle w:val="BodyText"/>
              <w:rPr>
                <w:b/>
                <w:sz w:val="16"/>
                <w:szCs w:val="16"/>
              </w:rPr>
            </w:pPr>
            <w:r w:rsidRPr="00BA50B0">
              <w:rPr>
                <w:b/>
                <w:sz w:val="16"/>
                <w:szCs w:val="16"/>
              </w:rPr>
              <w:t>Temp licensed promoter authority</w:t>
            </w:r>
          </w:p>
        </w:tc>
        <w:tc>
          <w:tcPr>
            <w:tcW w:w="1302" w:type="dxa"/>
          </w:tcPr>
          <w:p w:rsidR="001A754E" w:rsidRPr="00BA50B0" w:rsidRDefault="001A754E" w:rsidP="004E68D1">
            <w:pPr>
              <w:pStyle w:val="BodyText"/>
              <w:spacing w:after="0"/>
              <w:jc w:val="right"/>
              <w:rPr>
                <w:sz w:val="16"/>
                <w:szCs w:val="16"/>
              </w:rPr>
            </w:pPr>
            <w:r w:rsidRPr="00BA50B0">
              <w:rPr>
                <w:sz w:val="16"/>
                <w:szCs w:val="16"/>
              </w:rPr>
              <w:t>1,375</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100</w:t>
            </w:r>
          </w:p>
        </w:tc>
        <w:tc>
          <w:tcPr>
            <w:tcW w:w="1313" w:type="dxa"/>
          </w:tcPr>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100</w:t>
            </w:r>
          </w:p>
        </w:tc>
        <w:tc>
          <w:tcPr>
            <w:tcW w:w="1313" w:type="dxa"/>
          </w:tcPr>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100</w:t>
            </w:r>
          </w:p>
        </w:tc>
        <w:tc>
          <w:tcPr>
            <w:tcW w:w="1313" w:type="dxa"/>
          </w:tcPr>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100</w:t>
            </w:r>
          </w:p>
        </w:tc>
        <w:tc>
          <w:tcPr>
            <w:tcW w:w="1313" w:type="dxa"/>
          </w:tcPr>
          <w:p w:rsidR="001A754E" w:rsidRPr="00BA50B0" w:rsidRDefault="001A754E" w:rsidP="004E68D1">
            <w:pPr>
              <w:pStyle w:val="BodyText"/>
              <w:spacing w:after="0"/>
              <w:jc w:val="right"/>
              <w:rPr>
                <w:sz w:val="16"/>
                <w:szCs w:val="16"/>
              </w:rPr>
            </w:pPr>
            <w:r w:rsidRPr="00BA50B0">
              <w:rPr>
                <w:sz w:val="16"/>
                <w:szCs w:val="16"/>
              </w:rPr>
              <w:t>2,567</w:t>
            </w:r>
          </w:p>
          <w:p w:rsidR="001A754E" w:rsidRDefault="001A754E" w:rsidP="004E68D1">
            <w:pPr>
              <w:pStyle w:val="BodyText"/>
              <w:spacing w:after="0"/>
              <w:jc w:val="right"/>
              <w:rPr>
                <w:sz w:val="16"/>
                <w:szCs w:val="16"/>
              </w:rPr>
            </w:pPr>
          </w:p>
          <w:p w:rsidR="001A754E" w:rsidRPr="00BA50B0" w:rsidRDefault="001A754E" w:rsidP="004E68D1">
            <w:pPr>
              <w:pStyle w:val="BodyText"/>
              <w:spacing w:after="0"/>
              <w:jc w:val="right"/>
              <w:rPr>
                <w:sz w:val="16"/>
                <w:szCs w:val="16"/>
              </w:rPr>
            </w:pPr>
            <w:r w:rsidRPr="00BA50B0">
              <w:rPr>
                <w:sz w:val="16"/>
                <w:szCs w:val="16"/>
              </w:rPr>
              <w:t>100</w:t>
            </w:r>
          </w:p>
        </w:tc>
      </w:tr>
      <w:tr w:rsidR="001A754E" w:rsidRPr="00BA50B0" w:rsidTr="004E68D1">
        <w:trPr>
          <w:jc w:val="center"/>
        </w:trPr>
        <w:tc>
          <w:tcPr>
            <w:tcW w:w="2127" w:type="dxa"/>
          </w:tcPr>
          <w:p w:rsidR="001A754E" w:rsidRPr="00BA50B0" w:rsidRDefault="001A754E" w:rsidP="004E68D1">
            <w:pPr>
              <w:pStyle w:val="BodyText"/>
              <w:rPr>
                <w:b/>
                <w:sz w:val="16"/>
                <w:szCs w:val="16"/>
              </w:rPr>
            </w:pPr>
            <w:r w:rsidRPr="00BA50B0">
              <w:rPr>
                <w:b/>
                <w:sz w:val="16"/>
                <w:szCs w:val="16"/>
              </w:rPr>
              <w:lastRenderedPageBreak/>
              <w:t>Filing appeal with Gambling Commission</w:t>
            </w:r>
          </w:p>
        </w:tc>
        <w:tc>
          <w:tcPr>
            <w:tcW w:w="1302" w:type="dxa"/>
          </w:tcPr>
          <w:p w:rsidR="001A754E" w:rsidRPr="00BA50B0" w:rsidRDefault="001A754E" w:rsidP="004E68D1">
            <w:pPr>
              <w:pStyle w:val="BodyText"/>
              <w:jc w:val="right"/>
              <w:rPr>
                <w:sz w:val="16"/>
                <w:szCs w:val="16"/>
              </w:rPr>
            </w:pPr>
            <w:r w:rsidRPr="00BA50B0">
              <w:rPr>
                <w:sz w:val="16"/>
                <w:szCs w:val="16"/>
              </w:rPr>
              <w:t>255</w:t>
            </w:r>
          </w:p>
        </w:tc>
        <w:tc>
          <w:tcPr>
            <w:tcW w:w="1313" w:type="dxa"/>
          </w:tcPr>
          <w:p w:rsidR="001A754E" w:rsidRPr="00BA50B0" w:rsidRDefault="001A754E" w:rsidP="004E68D1">
            <w:pPr>
              <w:pStyle w:val="BodyText"/>
              <w:jc w:val="right"/>
              <w:rPr>
                <w:sz w:val="16"/>
                <w:szCs w:val="16"/>
              </w:rPr>
            </w:pPr>
            <w:r w:rsidRPr="00BA50B0">
              <w:rPr>
                <w:sz w:val="16"/>
                <w:szCs w:val="16"/>
              </w:rPr>
              <w:t>255</w:t>
            </w:r>
          </w:p>
        </w:tc>
        <w:tc>
          <w:tcPr>
            <w:tcW w:w="1313" w:type="dxa"/>
          </w:tcPr>
          <w:p w:rsidR="001A754E" w:rsidRPr="00BA50B0" w:rsidRDefault="001A754E" w:rsidP="004E68D1">
            <w:pPr>
              <w:pStyle w:val="BodyText"/>
              <w:jc w:val="right"/>
              <w:rPr>
                <w:sz w:val="16"/>
                <w:szCs w:val="16"/>
              </w:rPr>
            </w:pPr>
            <w:r w:rsidRPr="00BA50B0">
              <w:rPr>
                <w:sz w:val="16"/>
                <w:szCs w:val="16"/>
              </w:rPr>
              <w:t>255</w:t>
            </w:r>
          </w:p>
        </w:tc>
        <w:tc>
          <w:tcPr>
            <w:tcW w:w="1313" w:type="dxa"/>
          </w:tcPr>
          <w:p w:rsidR="001A754E" w:rsidRPr="00BA50B0" w:rsidRDefault="001A754E" w:rsidP="004E68D1">
            <w:pPr>
              <w:pStyle w:val="BodyText"/>
              <w:jc w:val="right"/>
              <w:rPr>
                <w:sz w:val="16"/>
                <w:szCs w:val="16"/>
              </w:rPr>
            </w:pPr>
            <w:r w:rsidRPr="00BA50B0">
              <w:rPr>
                <w:sz w:val="16"/>
                <w:szCs w:val="16"/>
              </w:rPr>
              <w:t>255</w:t>
            </w:r>
          </w:p>
        </w:tc>
        <w:tc>
          <w:tcPr>
            <w:tcW w:w="1313" w:type="dxa"/>
          </w:tcPr>
          <w:p w:rsidR="001A754E" w:rsidRPr="00BA50B0" w:rsidRDefault="001A754E" w:rsidP="004E68D1">
            <w:pPr>
              <w:pStyle w:val="BodyText"/>
              <w:jc w:val="right"/>
              <w:rPr>
                <w:sz w:val="16"/>
                <w:szCs w:val="16"/>
              </w:rPr>
            </w:pPr>
            <w:r w:rsidRPr="00BA50B0">
              <w:rPr>
                <w:sz w:val="16"/>
                <w:szCs w:val="16"/>
              </w:rPr>
              <w:t>255</w:t>
            </w:r>
          </w:p>
        </w:tc>
      </w:tr>
      <w:tr w:rsidR="001A754E" w:rsidRPr="00BA50B0" w:rsidTr="004E68D1">
        <w:trPr>
          <w:jc w:val="center"/>
        </w:trPr>
        <w:tc>
          <w:tcPr>
            <w:tcW w:w="2127" w:type="dxa"/>
          </w:tcPr>
          <w:p w:rsidR="001A754E" w:rsidRPr="00BA50B0" w:rsidRDefault="001A754E" w:rsidP="004E68D1">
            <w:pPr>
              <w:pStyle w:val="BodyText"/>
              <w:rPr>
                <w:b/>
                <w:sz w:val="16"/>
                <w:szCs w:val="16"/>
              </w:rPr>
            </w:pPr>
            <w:r w:rsidRPr="00BA50B0">
              <w:rPr>
                <w:b/>
                <w:sz w:val="16"/>
                <w:szCs w:val="16"/>
              </w:rPr>
              <w:t>1-day, half day and part half day hearing</w:t>
            </w:r>
          </w:p>
        </w:tc>
        <w:tc>
          <w:tcPr>
            <w:tcW w:w="1302" w:type="dxa"/>
          </w:tcPr>
          <w:p w:rsidR="001A754E" w:rsidRPr="00BA50B0" w:rsidRDefault="001A754E" w:rsidP="004E68D1">
            <w:pPr>
              <w:pStyle w:val="BodyText"/>
              <w:jc w:val="right"/>
              <w:rPr>
                <w:sz w:val="16"/>
                <w:szCs w:val="16"/>
              </w:rPr>
            </w:pPr>
            <w:r w:rsidRPr="00BA50B0">
              <w:rPr>
                <w:sz w:val="16"/>
                <w:szCs w:val="16"/>
              </w:rPr>
              <w:t>460</w:t>
            </w:r>
          </w:p>
        </w:tc>
        <w:tc>
          <w:tcPr>
            <w:tcW w:w="1313" w:type="dxa"/>
          </w:tcPr>
          <w:p w:rsidR="001A754E" w:rsidRPr="00BA50B0" w:rsidRDefault="001A754E" w:rsidP="004E68D1">
            <w:pPr>
              <w:pStyle w:val="BodyText"/>
              <w:jc w:val="right"/>
              <w:rPr>
                <w:sz w:val="16"/>
                <w:szCs w:val="16"/>
              </w:rPr>
            </w:pPr>
            <w:r w:rsidRPr="00BA50B0">
              <w:rPr>
                <w:sz w:val="16"/>
                <w:szCs w:val="16"/>
              </w:rPr>
              <w:t>460</w:t>
            </w:r>
          </w:p>
        </w:tc>
        <w:tc>
          <w:tcPr>
            <w:tcW w:w="1313" w:type="dxa"/>
          </w:tcPr>
          <w:p w:rsidR="001A754E" w:rsidRPr="00BA50B0" w:rsidRDefault="001A754E" w:rsidP="004E68D1">
            <w:pPr>
              <w:pStyle w:val="BodyText"/>
              <w:jc w:val="right"/>
              <w:rPr>
                <w:sz w:val="16"/>
                <w:szCs w:val="16"/>
              </w:rPr>
            </w:pPr>
            <w:r w:rsidRPr="00BA50B0">
              <w:rPr>
                <w:sz w:val="16"/>
                <w:szCs w:val="16"/>
              </w:rPr>
              <w:t>460</w:t>
            </w:r>
          </w:p>
        </w:tc>
        <w:tc>
          <w:tcPr>
            <w:tcW w:w="1313" w:type="dxa"/>
          </w:tcPr>
          <w:p w:rsidR="001A754E" w:rsidRPr="00BA50B0" w:rsidRDefault="001A754E" w:rsidP="004E68D1">
            <w:pPr>
              <w:pStyle w:val="BodyText"/>
              <w:jc w:val="right"/>
              <w:rPr>
                <w:sz w:val="16"/>
                <w:szCs w:val="16"/>
              </w:rPr>
            </w:pPr>
            <w:r w:rsidRPr="00BA50B0">
              <w:rPr>
                <w:sz w:val="16"/>
                <w:szCs w:val="16"/>
              </w:rPr>
              <w:t>460</w:t>
            </w:r>
          </w:p>
        </w:tc>
        <w:tc>
          <w:tcPr>
            <w:tcW w:w="1313" w:type="dxa"/>
          </w:tcPr>
          <w:p w:rsidR="001A754E" w:rsidRPr="00BA50B0" w:rsidRDefault="001A754E" w:rsidP="004E68D1">
            <w:pPr>
              <w:pStyle w:val="BodyText"/>
              <w:jc w:val="right"/>
              <w:rPr>
                <w:sz w:val="16"/>
                <w:szCs w:val="16"/>
              </w:rPr>
            </w:pPr>
            <w:r w:rsidRPr="00BA50B0">
              <w:rPr>
                <w:sz w:val="16"/>
                <w:szCs w:val="16"/>
              </w:rPr>
              <w:t>460</w:t>
            </w:r>
          </w:p>
        </w:tc>
      </w:tr>
    </w:tbl>
    <w:p w:rsidR="001A754E" w:rsidRDefault="001A754E" w:rsidP="001A754E"/>
    <w:tbl>
      <w:tblPr>
        <w:tblStyle w:val="DIATable"/>
        <w:tblW w:w="10916" w:type="dxa"/>
        <w:tblInd w:w="-743" w:type="dxa"/>
        <w:tblLayout w:type="fixed"/>
        <w:tblLook w:val="04A0" w:firstRow="1" w:lastRow="0" w:firstColumn="1" w:lastColumn="0" w:noHBand="0" w:noVBand="1"/>
      </w:tblPr>
      <w:tblGrid>
        <w:gridCol w:w="1418"/>
        <w:gridCol w:w="851"/>
        <w:gridCol w:w="850"/>
        <w:gridCol w:w="851"/>
        <w:gridCol w:w="850"/>
        <w:gridCol w:w="851"/>
        <w:gridCol w:w="850"/>
        <w:gridCol w:w="851"/>
        <w:gridCol w:w="850"/>
        <w:gridCol w:w="993"/>
        <w:gridCol w:w="850"/>
        <w:gridCol w:w="851"/>
      </w:tblGrid>
      <w:tr w:rsidR="001A754E" w:rsidTr="004E68D1">
        <w:trPr>
          <w:cnfStyle w:val="100000000000" w:firstRow="1" w:lastRow="0" w:firstColumn="0" w:lastColumn="0" w:oddVBand="0" w:evenVBand="0" w:oddHBand="0" w:evenHBand="0" w:firstRowFirstColumn="0" w:firstRowLastColumn="0" w:lastRowFirstColumn="0" w:lastRowLastColumn="0"/>
        </w:trPr>
        <w:tc>
          <w:tcPr>
            <w:tcW w:w="1418" w:type="dxa"/>
          </w:tcPr>
          <w:p w:rsidR="001A754E" w:rsidRPr="006272E4" w:rsidRDefault="001A754E" w:rsidP="004E68D1">
            <w:pPr>
              <w:rPr>
                <w:sz w:val="16"/>
                <w:szCs w:val="16"/>
              </w:rPr>
            </w:pPr>
            <w:r w:rsidRPr="006272E4">
              <w:rPr>
                <w:sz w:val="16"/>
                <w:szCs w:val="16"/>
              </w:rPr>
              <w:t>Fee type</w:t>
            </w:r>
          </w:p>
        </w:tc>
        <w:tc>
          <w:tcPr>
            <w:tcW w:w="851" w:type="dxa"/>
          </w:tcPr>
          <w:p w:rsidR="001A754E" w:rsidRPr="006272E4" w:rsidRDefault="001A754E" w:rsidP="004E68D1">
            <w:pPr>
              <w:rPr>
                <w:sz w:val="16"/>
                <w:szCs w:val="16"/>
              </w:rPr>
            </w:pPr>
            <w:r>
              <w:rPr>
                <w:sz w:val="16"/>
                <w:szCs w:val="16"/>
              </w:rPr>
              <w:t>Current fee ($)</w:t>
            </w:r>
          </w:p>
        </w:tc>
        <w:tc>
          <w:tcPr>
            <w:tcW w:w="850"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2015/16</w:t>
            </w:r>
          </w:p>
        </w:tc>
        <w:tc>
          <w:tcPr>
            <w:tcW w:w="851" w:type="dxa"/>
          </w:tcPr>
          <w:p w:rsidR="001A754E" w:rsidRDefault="001A754E" w:rsidP="004E68D1">
            <w:pPr>
              <w:rPr>
                <w:sz w:val="16"/>
                <w:szCs w:val="16"/>
              </w:rPr>
            </w:pPr>
            <w:r>
              <w:rPr>
                <w:sz w:val="16"/>
                <w:szCs w:val="16"/>
              </w:rPr>
              <w:t xml:space="preserve">Proposed fee </w:t>
            </w:r>
          </w:p>
          <w:p w:rsidR="001A754E" w:rsidRPr="006272E4" w:rsidRDefault="001A754E" w:rsidP="004E68D1">
            <w:pPr>
              <w:rPr>
                <w:sz w:val="16"/>
                <w:szCs w:val="16"/>
              </w:rPr>
            </w:pPr>
            <w:r>
              <w:rPr>
                <w:sz w:val="16"/>
                <w:szCs w:val="16"/>
              </w:rPr>
              <w:t>2016/17</w:t>
            </w:r>
          </w:p>
        </w:tc>
        <w:tc>
          <w:tcPr>
            <w:tcW w:w="850"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2017/18</w:t>
            </w:r>
          </w:p>
        </w:tc>
        <w:tc>
          <w:tcPr>
            <w:tcW w:w="851"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2018/19</w:t>
            </w:r>
          </w:p>
        </w:tc>
        <w:tc>
          <w:tcPr>
            <w:tcW w:w="850"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2019/20</w:t>
            </w:r>
          </w:p>
        </w:tc>
        <w:tc>
          <w:tcPr>
            <w:tcW w:w="851"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2020/21</w:t>
            </w:r>
          </w:p>
        </w:tc>
        <w:tc>
          <w:tcPr>
            <w:tcW w:w="850"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2021/22</w:t>
            </w:r>
          </w:p>
        </w:tc>
        <w:tc>
          <w:tcPr>
            <w:tcW w:w="993" w:type="dxa"/>
          </w:tcPr>
          <w:p w:rsidR="001A754E" w:rsidRDefault="001A754E" w:rsidP="004E68D1">
            <w:pPr>
              <w:rPr>
                <w:sz w:val="16"/>
                <w:szCs w:val="16"/>
              </w:rPr>
            </w:pPr>
            <w:r>
              <w:rPr>
                <w:sz w:val="16"/>
                <w:szCs w:val="16"/>
              </w:rPr>
              <w:t>Proposed fee</w:t>
            </w:r>
          </w:p>
          <w:p w:rsidR="001A754E" w:rsidRPr="006272E4" w:rsidRDefault="001A754E" w:rsidP="004E68D1">
            <w:pPr>
              <w:rPr>
                <w:sz w:val="16"/>
                <w:szCs w:val="16"/>
              </w:rPr>
            </w:pPr>
            <w:r>
              <w:rPr>
                <w:sz w:val="16"/>
                <w:szCs w:val="16"/>
              </w:rPr>
              <w:t>2022/23</w:t>
            </w:r>
          </w:p>
        </w:tc>
        <w:tc>
          <w:tcPr>
            <w:tcW w:w="850" w:type="dxa"/>
          </w:tcPr>
          <w:p w:rsidR="001A754E" w:rsidRDefault="001A754E" w:rsidP="004E68D1">
            <w:pPr>
              <w:rPr>
                <w:sz w:val="16"/>
                <w:szCs w:val="16"/>
              </w:rPr>
            </w:pPr>
            <w:r>
              <w:rPr>
                <w:sz w:val="16"/>
                <w:szCs w:val="16"/>
              </w:rPr>
              <w:t>Proposed fee</w:t>
            </w:r>
          </w:p>
          <w:p w:rsidR="001A754E" w:rsidRDefault="001A754E" w:rsidP="004E68D1">
            <w:pPr>
              <w:rPr>
                <w:sz w:val="16"/>
                <w:szCs w:val="16"/>
              </w:rPr>
            </w:pPr>
            <w:r>
              <w:rPr>
                <w:sz w:val="16"/>
                <w:szCs w:val="16"/>
              </w:rPr>
              <w:t>2023/24</w:t>
            </w:r>
          </w:p>
        </w:tc>
        <w:tc>
          <w:tcPr>
            <w:tcW w:w="851" w:type="dxa"/>
          </w:tcPr>
          <w:p w:rsidR="001A754E" w:rsidRDefault="001A754E" w:rsidP="004E68D1">
            <w:pPr>
              <w:rPr>
                <w:sz w:val="16"/>
                <w:szCs w:val="16"/>
              </w:rPr>
            </w:pPr>
            <w:r>
              <w:rPr>
                <w:sz w:val="16"/>
                <w:szCs w:val="16"/>
              </w:rPr>
              <w:t>Proposed fee</w:t>
            </w:r>
          </w:p>
          <w:p w:rsidR="001A754E" w:rsidRDefault="001A754E" w:rsidP="004E68D1">
            <w:pPr>
              <w:rPr>
                <w:sz w:val="16"/>
                <w:szCs w:val="16"/>
              </w:rPr>
            </w:pPr>
            <w:r>
              <w:rPr>
                <w:sz w:val="16"/>
                <w:szCs w:val="16"/>
              </w:rPr>
              <w:t>2024/25</w:t>
            </w:r>
          </w:p>
        </w:tc>
      </w:tr>
      <w:tr w:rsidR="001A754E" w:rsidTr="004E68D1">
        <w:tc>
          <w:tcPr>
            <w:tcW w:w="1418" w:type="dxa"/>
          </w:tcPr>
          <w:p w:rsidR="001A754E" w:rsidRPr="006272E4" w:rsidRDefault="001A754E" w:rsidP="004E68D1">
            <w:pPr>
              <w:rPr>
                <w:sz w:val="16"/>
                <w:szCs w:val="16"/>
              </w:rPr>
            </w:pPr>
            <w:r w:rsidRPr="00BA50B0">
              <w:rPr>
                <w:b/>
                <w:sz w:val="16"/>
                <w:szCs w:val="16"/>
              </w:rPr>
              <w:t>Annual compliance fee (per gaming machine) – non-clubs and larger clubs</w:t>
            </w:r>
          </w:p>
        </w:tc>
        <w:tc>
          <w:tcPr>
            <w:tcW w:w="851" w:type="dxa"/>
            <w:vAlign w:val="center"/>
          </w:tcPr>
          <w:p w:rsidR="001A754E" w:rsidRPr="006272E4" w:rsidRDefault="001A754E" w:rsidP="004E68D1">
            <w:pPr>
              <w:jc w:val="center"/>
              <w:rPr>
                <w:sz w:val="16"/>
                <w:szCs w:val="16"/>
              </w:rPr>
            </w:pPr>
            <w:r w:rsidRPr="00BA50B0">
              <w:rPr>
                <w:sz w:val="16"/>
                <w:szCs w:val="16"/>
              </w:rPr>
              <w:t>378</w:t>
            </w:r>
          </w:p>
        </w:tc>
        <w:tc>
          <w:tcPr>
            <w:tcW w:w="850" w:type="dxa"/>
            <w:vAlign w:val="center"/>
          </w:tcPr>
          <w:p w:rsidR="001A754E" w:rsidRPr="006272E4" w:rsidRDefault="001A754E" w:rsidP="004E68D1">
            <w:pPr>
              <w:jc w:val="center"/>
              <w:rPr>
                <w:sz w:val="16"/>
                <w:szCs w:val="16"/>
              </w:rPr>
            </w:pPr>
            <w:r>
              <w:rPr>
                <w:sz w:val="16"/>
                <w:szCs w:val="16"/>
              </w:rPr>
              <w:t>595.77</w:t>
            </w:r>
          </w:p>
        </w:tc>
        <w:tc>
          <w:tcPr>
            <w:tcW w:w="851" w:type="dxa"/>
            <w:vAlign w:val="center"/>
          </w:tcPr>
          <w:p w:rsidR="001A754E" w:rsidRPr="006272E4" w:rsidRDefault="001A754E" w:rsidP="004E68D1">
            <w:pPr>
              <w:jc w:val="center"/>
              <w:rPr>
                <w:sz w:val="16"/>
                <w:szCs w:val="16"/>
              </w:rPr>
            </w:pPr>
            <w:r>
              <w:rPr>
                <w:sz w:val="16"/>
                <w:szCs w:val="16"/>
              </w:rPr>
              <w:t>627.27</w:t>
            </w:r>
          </w:p>
        </w:tc>
        <w:tc>
          <w:tcPr>
            <w:tcW w:w="850" w:type="dxa"/>
            <w:vAlign w:val="center"/>
          </w:tcPr>
          <w:p w:rsidR="001A754E" w:rsidRPr="006272E4" w:rsidRDefault="001A754E" w:rsidP="004E68D1">
            <w:pPr>
              <w:jc w:val="center"/>
              <w:rPr>
                <w:sz w:val="16"/>
                <w:szCs w:val="16"/>
              </w:rPr>
            </w:pPr>
            <w:r>
              <w:rPr>
                <w:sz w:val="16"/>
                <w:szCs w:val="16"/>
              </w:rPr>
              <w:t>661.13</w:t>
            </w:r>
          </w:p>
        </w:tc>
        <w:tc>
          <w:tcPr>
            <w:tcW w:w="851" w:type="dxa"/>
            <w:vAlign w:val="center"/>
          </w:tcPr>
          <w:p w:rsidR="001A754E" w:rsidRPr="006272E4" w:rsidRDefault="001A754E" w:rsidP="004E68D1">
            <w:pPr>
              <w:jc w:val="center"/>
              <w:rPr>
                <w:sz w:val="16"/>
                <w:szCs w:val="16"/>
              </w:rPr>
            </w:pPr>
            <w:r>
              <w:rPr>
                <w:sz w:val="16"/>
                <w:szCs w:val="16"/>
              </w:rPr>
              <w:t>697.58</w:t>
            </w:r>
          </w:p>
        </w:tc>
        <w:tc>
          <w:tcPr>
            <w:tcW w:w="850" w:type="dxa"/>
            <w:vAlign w:val="center"/>
          </w:tcPr>
          <w:p w:rsidR="001A754E" w:rsidRPr="006272E4" w:rsidRDefault="001A754E" w:rsidP="004E68D1">
            <w:pPr>
              <w:jc w:val="center"/>
              <w:rPr>
                <w:sz w:val="16"/>
                <w:szCs w:val="16"/>
              </w:rPr>
            </w:pPr>
            <w:r>
              <w:rPr>
                <w:sz w:val="16"/>
                <w:szCs w:val="16"/>
              </w:rPr>
              <w:t>736.92</w:t>
            </w:r>
          </w:p>
        </w:tc>
        <w:tc>
          <w:tcPr>
            <w:tcW w:w="851" w:type="dxa"/>
            <w:vAlign w:val="center"/>
          </w:tcPr>
          <w:p w:rsidR="001A754E" w:rsidRPr="006272E4" w:rsidRDefault="001A754E" w:rsidP="004E68D1">
            <w:pPr>
              <w:jc w:val="center"/>
              <w:rPr>
                <w:sz w:val="16"/>
                <w:szCs w:val="16"/>
              </w:rPr>
            </w:pPr>
            <w:r>
              <w:rPr>
                <w:sz w:val="16"/>
                <w:szCs w:val="16"/>
              </w:rPr>
              <w:t>779.47</w:t>
            </w:r>
          </w:p>
        </w:tc>
        <w:tc>
          <w:tcPr>
            <w:tcW w:w="850" w:type="dxa"/>
            <w:vAlign w:val="center"/>
          </w:tcPr>
          <w:p w:rsidR="001A754E" w:rsidRPr="006272E4" w:rsidRDefault="001A754E" w:rsidP="004E68D1">
            <w:pPr>
              <w:jc w:val="center"/>
              <w:rPr>
                <w:sz w:val="16"/>
                <w:szCs w:val="16"/>
              </w:rPr>
            </w:pPr>
            <w:r>
              <w:rPr>
                <w:sz w:val="16"/>
                <w:szCs w:val="16"/>
              </w:rPr>
              <w:t>825.59</w:t>
            </w:r>
          </w:p>
        </w:tc>
        <w:tc>
          <w:tcPr>
            <w:tcW w:w="993" w:type="dxa"/>
            <w:vAlign w:val="center"/>
          </w:tcPr>
          <w:p w:rsidR="001A754E" w:rsidRPr="006272E4" w:rsidRDefault="001A754E" w:rsidP="004E68D1">
            <w:pPr>
              <w:jc w:val="center"/>
              <w:rPr>
                <w:sz w:val="16"/>
                <w:szCs w:val="16"/>
              </w:rPr>
            </w:pPr>
            <w:r>
              <w:rPr>
                <w:sz w:val="16"/>
                <w:szCs w:val="16"/>
              </w:rPr>
              <w:t>875.71</w:t>
            </w:r>
          </w:p>
        </w:tc>
        <w:tc>
          <w:tcPr>
            <w:tcW w:w="850" w:type="dxa"/>
            <w:vAlign w:val="center"/>
          </w:tcPr>
          <w:p w:rsidR="001A754E" w:rsidRPr="006272E4" w:rsidRDefault="001A754E" w:rsidP="004E68D1">
            <w:pPr>
              <w:jc w:val="center"/>
              <w:rPr>
                <w:sz w:val="16"/>
                <w:szCs w:val="16"/>
              </w:rPr>
            </w:pPr>
            <w:r>
              <w:rPr>
                <w:sz w:val="16"/>
                <w:szCs w:val="16"/>
              </w:rPr>
              <w:t>930.35</w:t>
            </w:r>
          </w:p>
        </w:tc>
        <w:tc>
          <w:tcPr>
            <w:tcW w:w="851" w:type="dxa"/>
            <w:vAlign w:val="center"/>
          </w:tcPr>
          <w:p w:rsidR="001A754E" w:rsidRPr="006272E4" w:rsidRDefault="001A754E" w:rsidP="004E68D1">
            <w:pPr>
              <w:jc w:val="center"/>
              <w:rPr>
                <w:sz w:val="16"/>
                <w:szCs w:val="16"/>
              </w:rPr>
            </w:pPr>
            <w:r>
              <w:rPr>
                <w:sz w:val="16"/>
                <w:szCs w:val="16"/>
              </w:rPr>
              <w:t>986.17</w:t>
            </w:r>
          </w:p>
        </w:tc>
      </w:tr>
      <w:tr w:rsidR="001A754E" w:rsidTr="004E68D1">
        <w:tc>
          <w:tcPr>
            <w:tcW w:w="1418" w:type="dxa"/>
          </w:tcPr>
          <w:p w:rsidR="001A754E" w:rsidRPr="006272E4" w:rsidRDefault="001A754E" w:rsidP="004E68D1">
            <w:pPr>
              <w:rPr>
                <w:sz w:val="16"/>
                <w:szCs w:val="16"/>
              </w:rPr>
            </w:pPr>
            <w:r w:rsidRPr="00BA50B0">
              <w:rPr>
                <w:b/>
                <w:sz w:val="16"/>
                <w:szCs w:val="16"/>
              </w:rPr>
              <w:t xml:space="preserve">Annual compliance fee (per </w:t>
            </w:r>
            <w:r>
              <w:rPr>
                <w:b/>
                <w:sz w:val="16"/>
                <w:szCs w:val="16"/>
              </w:rPr>
              <w:t>gaming machine)</w:t>
            </w:r>
            <w:r w:rsidRPr="00BA50B0">
              <w:rPr>
                <w:b/>
                <w:sz w:val="16"/>
                <w:szCs w:val="16"/>
              </w:rPr>
              <w:t xml:space="preserve"> – small clubs</w:t>
            </w:r>
          </w:p>
        </w:tc>
        <w:tc>
          <w:tcPr>
            <w:tcW w:w="851" w:type="dxa"/>
            <w:vAlign w:val="center"/>
          </w:tcPr>
          <w:p w:rsidR="001A754E" w:rsidRPr="006272E4" w:rsidRDefault="001A754E" w:rsidP="004E68D1">
            <w:pPr>
              <w:jc w:val="center"/>
              <w:rPr>
                <w:sz w:val="16"/>
                <w:szCs w:val="16"/>
              </w:rPr>
            </w:pPr>
            <w:r w:rsidRPr="00BA50B0">
              <w:rPr>
                <w:sz w:val="16"/>
                <w:szCs w:val="16"/>
              </w:rPr>
              <w:t>378</w:t>
            </w:r>
          </w:p>
        </w:tc>
        <w:tc>
          <w:tcPr>
            <w:tcW w:w="850" w:type="dxa"/>
            <w:vAlign w:val="center"/>
          </w:tcPr>
          <w:p w:rsidR="001A754E" w:rsidRPr="006272E4" w:rsidRDefault="001A754E" w:rsidP="004E68D1">
            <w:pPr>
              <w:jc w:val="center"/>
              <w:rPr>
                <w:sz w:val="16"/>
                <w:szCs w:val="16"/>
              </w:rPr>
            </w:pPr>
            <w:r>
              <w:rPr>
                <w:sz w:val="16"/>
                <w:szCs w:val="16"/>
              </w:rPr>
              <w:t>295.50</w:t>
            </w:r>
          </w:p>
        </w:tc>
        <w:tc>
          <w:tcPr>
            <w:tcW w:w="851" w:type="dxa"/>
            <w:vAlign w:val="center"/>
          </w:tcPr>
          <w:p w:rsidR="001A754E" w:rsidRPr="006272E4" w:rsidRDefault="001A754E" w:rsidP="004E68D1">
            <w:pPr>
              <w:jc w:val="center"/>
              <w:rPr>
                <w:sz w:val="16"/>
                <w:szCs w:val="16"/>
              </w:rPr>
            </w:pPr>
            <w:r>
              <w:rPr>
                <w:sz w:val="16"/>
                <w:szCs w:val="16"/>
              </w:rPr>
              <w:t>304.50</w:t>
            </w:r>
          </w:p>
        </w:tc>
        <w:tc>
          <w:tcPr>
            <w:tcW w:w="850" w:type="dxa"/>
            <w:vAlign w:val="center"/>
          </w:tcPr>
          <w:p w:rsidR="001A754E" w:rsidRPr="006272E4" w:rsidRDefault="001A754E" w:rsidP="004E68D1">
            <w:pPr>
              <w:jc w:val="center"/>
              <w:rPr>
                <w:sz w:val="16"/>
                <w:szCs w:val="16"/>
              </w:rPr>
            </w:pPr>
            <w:r>
              <w:rPr>
                <w:sz w:val="16"/>
                <w:szCs w:val="16"/>
              </w:rPr>
              <w:t>313.50</w:t>
            </w:r>
          </w:p>
        </w:tc>
        <w:tc>
          <w:tcPr>
            <w:tcW w:w="851" w:type="dxa"/>
            <w:vAlign w:val="center"/>
          </w:tcPr>
          <w:p w:rsidR="001A754E" w:rsidRPr="006272E4" w:rsidRDefault="001A754E" w:rsidP="004E68D1">
            <w:pPr>
              <w:jc w:val="center"/>
              <w:rPr>
                <w:sz w:val="16"/>
                <w:szCs w:val="16"/>
              </w:rPr>
            </w:pPr>
            <w:r>
              <w:rPr>
                <w:sz w:val="16"/>
                <w:szCs w:val="16"/>
              </w:rPr>
              <w:t>323.00</w:t>
            </w:r>
          </w:p>
        </w:tc>
        <w:tc>
          <w:tcPr>
            <w:tcW w:w="850" w:type="dxa"/>
            <w:vAlign w:val="center"/>
          </w:tcPr>
          <w:p w:rsidR="001A754E" w:rsidRPr="006272E4" w:rsidRDefault="001A754E" w:rsidP="004E68D1">
            <w:pPr>
              <w:jc w:val="center"/>
              <w:rPr>
                <w:sz w:val="16"/>
                <w:szCs w:val="16"/>
              </w:rPr>
            </w:pPr>
            <w:r>
              <w:rPr>
                <w:sz w:val="16"/>
                <w:szCs w:val="16"/>
              </w:rPr>
              <w:t>331.90</w:t>
            </w:r>
          </w:p>
        </w:tc>
        <w:tc>
          <w:tcPr>
            <w:tcW w:w="851" w:type="dxa"/>
            <w:vAlign w:val="center"/>
          </w:tcPr>
          <w:p w:rsidR="001A754E" w:rsidRPr="006272E4" w:rsidRDefault="001A754E" w:rsidP="004E68D1">
            <w:pPr>
              <w:jc w:val="center"/>
              <w:rPr>
                <w:sz w:val="16"/>
                <w:szCs w:val="16"/>
              </w:rPr>
            </w:pPr>
            <w:r>
              <w:rPr>
                <w:sz w:val="16"/>
                <w:szCs w:val="16"/>
              </w:rPr>
              <w:t>341.00</w:t>
            </w:r>
          </w:p>
        </w:tc>
        <w:tc>
          <w:tcPr>
            <w:tcW w:w="850" w:type="dxa"/>
            <w:vAlign w:val="center"/>
          </w:tcPr>
          <w:p w:rsidR="001A754E" w:rsidRPr="006272E4" w:rsidRDefault="001A754E" w:rsidP="004E68D1">
            <w:pPr>
              <w:jc w:val="center"/>
              <w:rPr>
                <w:sz w:val="16"/>
                <w:szCs w:val="16"/>
              </w:rPr>
            </w:pPr>
            <w:r>
              <w:rPr>
                <w:sz w:val="16"/>
                <w:szCs w:val="16"/>
              </w:rPr>
              <w:t>350.10</w:t>
            </w:r>
          </w:p>
        </w:tc>
        <w:tc>
          <w:tcPr>
            <w:tcW w:w="993" w:type="dxa"/>
            <w:vAlign w:val="center"/>
          </w:tcPr>
          <w:p w:rsidR="001A754E" w:rsidRPr="006272E4" w:rsidRDefault="001A754E" w:rsidP="004E68D1">
            <w:pPr>
              <w:jc w:val="center"/>
              <w:rPr>
                <w:sz w:val="16"/>
                <w:szCs w:val="16"/>
              </w:rPr>
            </w:pPr>
            <w:r>
              <w:rPr>
                <w:sz w:val="16"/>
                <w:szCs w:val="16"/>
              </w:rPr>
              <w:t>359.20</w:t>
            </w:r>
          </w:p>
        </w:tc>
        <w:tc>
          <w:tcPr>
            <w:tcW w:w="850" w:type="dxa"/>
            <w:vAlign w:val="center"/>
          </w:tcPr>
          <w:p w:rsidR="001A754E" w:rsidRPr="006272E4" w:rsidRDefault="001A754E" w:rsidP="004E68D1">
            <w:pPr>
              <w:jc w:val="center"/>
              <w:rPr>
                <w:sz w:val="16"/>
                <w:szCs w:val="16"/>
              </w:rPr>
            </w:pPr>
            <w:r>
              <w:rPr>
                <w:sz w:val="16"/>
                <w:szCs w:val="16"/>
              </w:rPr>
              <w:t>368.30</w:t>
            </w:r>
          </w:p>
        </w:tc>
        <w:tc>
          <w:tcPr>
            <w:tcW w:w="851" w:type="dxa"/>
            <w:vAlign w:val="center"/>
          </w:tcPr>
          <w:p w:rsidR="001A754E" w:rsidRPr="006272E4" w:rsidRDefault="001A754E" w:rsidP="004E68D1">
            <w:pPr>
              <w:jc w:val="center"/>
              <w:rPr>
                <w:sz w:val="16"/>
                <w:szCs w:val="16"/>
              </w:rPr>
            </w:pPr>
            <w:r>
              <w:rPr>
                <w:sz w:val="16"/>
                <w:szCs w:val="16"/>
              </w:rPr>
              <w:t>377.00</w:t>
            </w:r>
          </w:p>
        </w:tc>
      </w:tr>
    </w:tbl>
    <w:p w:rsidR="001A754E" w:rsidRDefault="001A754E" w:rsidP="001A754E"/>
    <w:tbl>
      <w:tblPr>
        <w:tblStyle w:val="DIATable"/>
        <w:tblW w:w="0" w:type="auto"/>
        <w:tblLook w:val="04A0" w:firstRow="1" w:lastRow="0" w:firstColumn="1" w:lastColumn="0" w:noHBand="0" w:noVBand="1"/>
      </w:tblPr>
      <w:tblGrid>
        <w:gridCol w:w="1842"/>
        <w:gridCol w:w="1833"/>
        <w:gridCol w:w="1834"/>
        <w:gridCol w:w="1835"/>
        <w:gridCol w:w="1835"/>
      </w:tblGrid>
      <w:tr w:rsidR="001A754E" w:rsidTr="004E68D1">
        <w:trPr>
          <w:cnfStyle w:val="100000000000" w:firstRow="1" w:lastRow="0" w:firstColumn="0" w:lastColumn="0" w:oddVBand="0" w:evenVBand="0" w:oddHBand="0" w:evenHBand="0" w:firstRowFirstColumn="0" w:firstRowLastColumn="0" w:lastRowFirstColumn="0" w:lastRowLastColumn="0"/>
        </w:trPr>
        <w:tc>
          <w:tcPr>
            <w:tcW w:w="1842" w:type="dxa"/>
            <w:tcBorders>
              <w:bottom w:val="single" w:sz="6" w:space="0" w:color="1F546B" w:themeColor="text2"/>
            </w:tcBorders>
          </w:tcPr>
          <w:p w:rsidR="001A754E" w:rsidRDefault="001A754E" w:rsidP="004E68D1">
            <w:pPr>
              <w:jc w:val="center"/>
            </w:pPr>
            <w:r>
              <w:t>Casino fees</w:t>
            </w:r>
          </w:p>
        </w:tc>
        <w:tc>
          <w:tcPr>
            <w:tcW w:w="1833" w:type="dxa"/>
            <w:tcBorders>
              <w:bottom w:val="single" w:sz="6" w:space="0" w:color="1F546B" w:themeColor="text2"/>
            </w:tcBorders>
          </w:tcPr>
          <w:p w:rsidR="001A754E" w:rsidRDefault="001A754E" w:rsidP="004E68D1">
            <w:pPr>
              <w:jc w:val="center"/>
            </w:pPr>
            <w:r>
              <w:t>Current fee ($million)</w:t>
            </w:r>
          </w:p>
        </w:tc>
        <w:tc>
          <w:tcPr>
            <w:tcW w:w="1834" w:type="dxa"/>
            <w:tcBorders>
              <w:bottom w:val="single" w:sz="6" w:space="0" w:color="1F546B" w:themeColor="text2"/>
            </w:tcBorders>
          </w:tcPr>
          <w:p w:rsidR="001A754E" w:rsidRDefault="001A754E" w:rsidP="004E68D1">
            <w:pPr>
              <w:jc w:val="center"/>
            </w:pPr>
            <w:r>
              <w:t>Proposed fee 2015/16 ($million)</w:t>
            </w:r>
          </w:p>
        </w:tc>
        <w:tc>
          <w:tcPr>
            <w:tcW w:w="1835" w:type="dxa"/>
            <w:tcBorders>
              <w:bottom w:val="single" w:sz="6" w:space="0" w:color="1F546B" w:themeColor="text2"/>
            </w:tcBorders>
          </w:tcPr>
          <w:p w:rsidR="001A754E" w:rsidRDefault="001A754E" w:rsidP="004E68D1">
            <w:pPr>
              <w:jc w:val="center"/>
            </w:pPr>
            <w:r>
              <w:t>Proposed fee 2016/17 ($million)</w:t>
            </w:r>
          </w:p>
        </w:tc>
        <w:tc>
          <w:tcPr>
            <w:tcW w:w="1835" w:type="dxa"/>
            <w:tcBorders>
              <w:bottom w:val="single" w:sz="6" w:space="0" w:color="1F546B" w:themeColor="text2"/>
            </w:tcBorders>
          </w:tcPr>
          <w:p w:rsidR="001A754E" w:rsidRDefault="001A754E" w:rsidP="004E68D1">
            <w:pPr>
              <w:jc w:val="center"/>
            </w:pPr>
            <w:r>
              <w:t>Proposed fee 2017/18 ($million)</w:t>
            </w:r>
          </w:p>
        </w:tc>
      </w:tr>
      <w:tr w:rsidR="001A754E" w:rsidTr="004E68D1">
        <w:tc>
          <w:tcPr>
            <w:tcW w:w="1842" w:type="dxa"/>
            <w:tcBorders>
              <w:top w:val="single" w:sz="6" w:space="0" w:color="1F546B" w:themeColor="text2"/>
            </w:tcBorders>
          </w:tcPr>
          <w:p w:rsidR="001A754E" w:rsidRPr="00C42C72" w:rsidRDefault="001A754E" w:rsidP="004E68D1">
            <w:pPr>
              <w:rPr>
                <w:b/>
              </w:rPr>
            </w:pPr>
            <w:r w:rsidRPr="00C42C72">
              <w:rPr>
                <w:b/>
              </w:rPr>
              <w:t>Auckland</w:t>
            </w:r>
          </w:p>
        </w:tc>
        <w:tc>
          <w:tcPr>
            <w:tcW w:w="1833" w:type="dxa"/>
            <w:tcBorders>
              <w:top w:val="single" w:sz="6" w:space="0" w:color="1F546B" w:themeColor="text2"/>
            </w:tcBorders>
          </w:tcPr>
          <w:p w:rsidR="001A754E" w:rsidRPr="00BA50B0" w:rsidRDefault="001A754E" w:rsidP="004E68D1">
            <w:pPr>
              <w:pStyle w:val="BodyText"/>
            </w:pPr>
            <w:r w:rsidRPr="00BA50B0">
              <w:t>2.573</w:t>
            </w:r>
          </w:p>
        </w:tc>
        <w:tc>
          <w:tcPr>
            <w:tcW w:w="1834" w:type="dxa"/>
            <w:tcBorders>
              <w:top w:val="single" w:sz="6" w:space="0" w:color="1F546B" w:themeColor="text2"/>
            </w:tcBorders>
          </w:tcPr>
          <w:p w:rsidR="001A754E" w:rsidRPr="00BA50B0" w:rsidRDefault="001A754E" w:rsidP="004E68D1">
            <w:pPr>
              <w:pStyle w:val="BodyText"/>
            </w:pPr>
            <w:r w:rsidRPr="00BA50B0">
              <w:t>2.852</w:t>
            </w:r>
          </w:p>
        </w:tc>
        <w:tc>
          <w:tcPr>
            <w:tcW w:w="1835" w:type="dxa"/>
            <w:tcBorders>
              <w:top w:val="single" w:sz="6" w:space="0" w:color="1F546B" w:themeColor="text2"/>
            </w:tcBorders>
          </w:tcPr>
          <w:p w:rsidR="001A754E" w:rsidRPr="00BA50B0" w:rsidRDefault="001A754E" w:rsidP="004E68D1">
            <w:pPr>
              <w:pStyle w:val="BodyText"/>
            </w:pPr>
            <w:r w:rsidRPr="00BA50B0">
              <w:t>2.852</w:t>
            </w:r>
          </w:p>
        </w:tc>
        <w:tc>
          <w:tcPr>
            <w:tcW w:w="1835" w:type="dxa"/>
            <w:tcBorders>
              <w:top w:val="single" w:sz="6" w:space="0" w:color="1F546B" w:themeColor="text2"/>
            </w:tcBorders>
          </w:tcPr>
          <w:p w:rsidR="001A754E" w:rsidRPr="00BA50B0" w:rsidRDefault="001A754E" w:rsidP="004E68D1">
            <w:pPr>
              <w:pStyle w:val="BodyText"/>
            </w:pPr>
            <w:r w:rsidRPr="00BA50B0">
              <w:t>2.852</w:t>
            </w:r>
          </w:p>
        </w:tc>
      </w:tr>
      <w:tr w:rsidR="001A754E" w:rsidTr="004E68D1">
        <w:tc>
          <w:tcPr>
            <w:tcW w:w="1842" w:type="dxa"/>
          </w:tcPr>
          <w:p w:rsidR="001A754E" w:rsidRPr="00C42C72" w:rsidRDefault="001A754E" w:rsidP="004E68D1">
            <w:pPr>
              <w:rPr>
                <w:b/>
              </w:rPr>
            </w:pPr>
            <w:r w:rsidRPr="00C42C72">
              <w:rPr>
                <w:b/>
              </w:rPr>
              <w:t>Hamilton</w:t>
            </w:r>
          </w:p>
        </w:tc>
        <w:tc>
          <w:tcPr>
            <w:tcW w:w="1833" w:type="dxa"/>
          </w:tcPr>
          <w:p w:rsidR="001A754E" w:rsidRPr="00BA50B0" w:rsidRDefault="001A754E" w:rsidP="004E68D1">
            <w:pPr>
              <w:pStyle w:val="BodyText"/>
            </w:pPr>
            <w:r w:rsidRPr="00BA50B0">
              <w:t>0.652</w:t>
            </w:r>
          </w:p>
        </w:tc>
        <w:tc>
          <w:tcPr>
            <w:tcW w:w="1834" w:type="dxa"/>
          </w:tcPr>
          <w:p w:rsidR="001A754E" w:rsidRPr="00BA50B0" w:rsidRDefault="001A754E" w:rsidP="004E68D1">
            <w:pPr>
              <w:pStyle w:val="BodyText"/>
            </w:pPr>
            <w:r w:rsidRPr="00BA50B0">
              <w:t>0.550</w:t>
            </w:r>
          </w:p>
        </w:tc>
        <w:tc>
          <w:tcPr>
            <w:tcW w:w="1835" w:type="dxa"/>
          </w:tcPr>
          <w:p w:rsidR="001A754E" w:rsidRPr="00BA50B0" w:rsidRDefault="001A754E" w:rsidP="004E68D1">
            <w:pPr>
              <w:pStyle w:val="BodyText"/>
            </w:pPr>
            <w:r w:rsidRPr="00BA50B0">
              <w:t>0.550</w:t>
            </w:r>
          </w:p>
        </w:tc>
        <w:tc>
          <w:tcPr>
            <w:tcW w:w="1835" w:type="dxa"/>
          </w:tcPr>
          <w:p w:rsidR="001A754E" w:rsidRPr="00BA50B0" w:rsidRDefault="001A754E" w:rsidP="004E68D1">
            <w:pPr>
              <w:pStyle w:val="BodyText"/>
            </w:pPr>
            <w:r w:rsidRPr="00BA50B0">
              <w:t>0.550</w:t>
            </w:r>
          </w:p>
        </w:tc>
      </w:tr>
      <w:tr w:rsidR="001A754E" w:rsidTr="004E68D1">
        <w:tc>
          <w:tcPr>
            <w:tcW w:w="1842" w:type="dxa"/>
          </w:tcPr>
          <w:p w:rsidR="001A754E" w:rsidRPr="00C42C72" w:rsidRDefault="001A754E" w:rsidP="004E68D1">
            <w:pPr>
              <w:rPr>
                <w:b/>
              </w:rPr>
            </w:pPr>
            <w:r w:rsidRPr="00C42C72">
              <w:rPr>
                <w:b/>
              </w:rPr>
              <w:t>Christchurch</w:t>
            </w:r>
          </w:p>
        </w:tc>
        <w:tc>
          <w:tcPr>
            <w:tcW w:w="1833" w:type="dxa"/>
          </w:tcPr>
          <w:p w:rsidR="001A754E" w:rsidRPr="00BA50B0" w:rsidRDefault="001A754E" w:rsidP="004E68D1">
            <w:pPr>
              <w:pStyle w:val="BodyText"/>
            </w:pPr>
            <w:r w:rsidRPr="00BA50B0">
              <w:t>1.114</w:t>
            </w:r>
          </w:p>
        </w:tc>
        <w:tc>
          <w:tcPr>
            <w:tcW w:w="1834" w:type="dxa"/>
          </w:tcPr>
          <w:p w:rsidR="001A754E" w:rsidRPr="00BA50B0" w:rsidRDefault="001A754E" w:rsidP="004E68D1">
            <w:pPr>
              <w:pStyle w:val="BodyText"/>
            </w:pPr>
            <w:r w:rsidRPr="00BA50B0">
              <w:t>0.813</w:t>
            </w:r>
          </w:p>
        </w:tc>
        <w:tc>
          <w:tcPr>
            <w:tcW w:w="1835" w:type="dxa"/>
          </w:tcPr>
          <w:p w:rsidR="001A754E" w:rsidRPr="00BA50B0" w:rsidRDefault="001A754E" w:rsidP="004E68D1">
            <w:pPr>
              <w:pStyle w:val="BodyText"/>
            </w:pPr>
            <w:r w:rsidRPr="00BA50B0">
              <w:t>0.813</w:t>
            </w:r>
          </w:p>
        </w:tc>
        <w:tc>
          <w:tcPr>
            <w:tcW w:w="1835" w:type="dxa"/>
          </w:tcPr>
          <w:p w:rsidR="001A754E" w:rsidRPr="00BA50B0" w:rsidRDefault="001A754E" w:rsidP="004E68D1">
            <w:pPr>
              <w:pStyle w:val="BodyText"/>
            </w:pPr>
            <w:r w:rsidRPr="00BA50B0">
              <w:t>0.813</w:t>
            </w:r>
          </w:p>
        </w:tc>
      </w:tr>
      <w:tr w:rsidR="001A754E" w:rsidTr="004E68D1">
        <w:tc>
          <w:tcPr>
            <w:tcW w:w="1842" w:type="dxa"/>
          </w:tcPr>
          <w:p w:rsidR="001A754E" w:rsidRPr="00C42C72" w:rsidRDefault="001A754E" w:rsidP="004E68D1">
            <w:pPr>
              <w:rPr>
                <w:b/>
              </w:rPr>
            </w:pPr>
            <w:r w:rsidRPr="00C42C72">
              <w:rPr>
                <w:b/>
              </w:rPr>
              <w:t>Dunedin</w:t>
            </w:r>
          </w:p>
        </w:tc>
        <w:tc>
          <w:tcPr>
            <w:tcW w:w="1833" w:type="dxa"/>
          </w:tcPr>
          <w:p w:rsidR="001A754E" w:rsidRPr="00BA50B0" w:rsidRDefault="001A754E" w:rsidP="004E68D1">
            <w:pPr>
              <w:pStyle w:val="BodyText"/>
            </w:pPr>
            <w:r w:rsidRPr="00BA50B0">
              <w:t>0.495</w:t>
            </w:r>
          </w:p>
        </w:tc>
        <w:tc>
          <w:tcPr>
            <w:tcW w:w="1834" w:type="dxa"/>
          </w:tcPr>
          <w:p w:rsidR="001A754E" w:rsidRPr="00BA50B0" w:rsidRDefault="001A754E" w:rsidP="004E68D1">
            <w:pPr>
              <w:pStyle w:val="BodyText"/>
            </w:pPr>
            <w:r w:rsidRPr="00BA50B0">
              <w:t>0.446</w:t>
            </w:r>
          </w:p>
        </w:tc>
        <w:tc>
          <w:tcPr>
            <w:tcW w:w="1835" w:type="dxa"/>
          </w:tcPr>
          <w:p w:rsidR="001A754E" w:rsidRPr="00BA50B0" w:rsidRDefault="001A754E" w:rsidP="004E68D1">
            <w:pPr>
              <w:pStyle w:val="BodyText"/>
            </w:pPr>
            <w:r w:rsidRPr="00BA50B0">
              <w:t>0.446</w:t>
            </w:r>
          </w:p>
        </w:tc>
        <w:tc>
          <w:tcPr>
            <w:tcW w:w="1835" w:type="dxa"/>
          </w:tcPr>
          <w:p w:rsidR="001A754E" w:rsidRPr="00BA50B0" w:rsidRDefault="001A754E" w:rsidP="004E68D1">
            <w:pPr>
              <w:pStyle w:val="BodyText"/>
            </w:pPr>
            <w:r w:rsidRPr="00BA50B0">
              <w:t>0.446</w:t>
            </w:r>
          </w:p>
        </w:tc>
      </w:tr>
      <w:tr w:rsidR="001A754E" w:rsidTr="004E68D1">
        <w:tc>
          <w:tcPr>
            <w:tcW w:w="1842" w:type="dxa"/>
          </w:tcPr>
          <w:p w:rsidR="001A754E" w:rsidRPr="00C42C72" w:rsidRDefault="001A754E" w:rsidP="004E68D1">
            <w:pPr>
              <w:rPr>
                <w:b/>
              </w:rPr>
            </w:pPr>
            <w:r w:rsidRPr="00C42C72">
              <w:rPr>
                <w:b/>
              </w:rPr>
              <w:t>Queenstown Sky City</w:t>
            </w:r>
          </w:p>
        </w:tc>
        <w:tc>
          <w:tcPr>
            <w:tcW w:w="1833" w:type="dxa"/>
          </w:tcPr>
          <w:p w:rsidR="001A754E" w:rsidRPr="00BA50B0" w:rsidRDefault="001A754E" w:rsidP="004E68D1">
            <w:pPr>
              <w:pStyle w:val="BodyText"/>
            </w:pPr>
            <w:r w:rsidRPr="00BA50B0">
              <w:t>0.211</w:t>
            </w:r>
          </w:p>
        </w:tc>
        <w:tc>
          <w:tcPr>
            <w:tcW w:w="1834" w:type="dxa"/>
          </w:tcPr>
          <w:p w:rsidR="001A754E" w:rsidRPr="00BA50B0" w:rsidRDefault="001A754E" w:rsidP="004E68D1">
            <w:pPr>
              <w:pStyle w:val="BodyText"/>
            </w:pPr>
            <w:r w:rsidRPr="00BA50B0">
              <w:t>0.304</w:t>
            </w:r>
          </w:p>
        </w:tc>
        <w:tc>
          <w:tcPr>
            <w:tcW w:w="1835" w:type="dxa"/>
          </w:tcPr>
          <w:p w:rsidR="001A754E" w:rsidRPr="00BA50B0" w:rsidRDefault="001A754E" w:rsidP="004E68D1">
            <w:pPr>
              <w:pStyle w:val="BodyText"/>
            </w:pPr>
            <w:r w:rsidRPr="00BA50B0">
              <w:t>0.304</w:t>
            </w:r>
          </w:p>
        </w:tc>
        <w:tc>
          <w:tcPr>
            <w:tcW w:w="1835" w:type="dxa"/>
          </w:tcPr>
          <w:p w:rsidR="001A754E" w:rsidRPr="00BA50B0" w:rsidRDefault="001A754E" w:rsidP="004E68D1">
            <w:pPr>
              <w:pStyle w:val="BodyText"/>
            </w:pPr>
            <w:r w:rsidRPr="00BA50B0">
              <w:t>0.304</w:t>
            </w:r>
          </w:p>
        </w:tc>
      </w:tr>
      <w:tr w:rsidR="001A754E" w:rsidTr="004E68D1">
        <w:tc>
          <w:tcPr>
            <w:tcW w:w="1842" w:type="dxa"/>
          </w:tcPr>
          <w:p w:rsidR="001A754E" w:rsidRPr="00C42C72" w:rsidRDefault="001A754E" w:rsidP="004E68D1">
            <w:pPr>
              <w:rPr>
                <w:b/>
              </w:rPr>
            </w:pPr>
            <w:r w:rsidRPr="00C42C72">
              <w:rPr>
                <w:b/>
              </w:rPr>
              <w:t>Queenstown wharf</w:t>
            </w:r>
          </w:p>
        </w:tc>
        <w:tc>
          <w:tcPr>
            <w:tcW w:w="1833" w:type="dxa"/>
          </w:tcPr>
          <w:p w:rsidR="001A754E" w:rsidRPr="00BA50B0" w:rsidRDefault="001A754E" w:rsidP="004E68D1">
            <w:pPr>
              <w:pStyle w:val="BodyText"/>
            </w:pPr>
            <w:r w:rsidRPr="00BA50B0">
              <w:t>0.197</w:t>
            </w:r>
          </w:p>
        </w:tc>
        <w:tc>
          <w:tcPr>
            <w:tcW w:w="1834" w:type="dxa"/>
          </w:tcPr>
          <w:p w:rsidR="001A754E" w:rsidRPr="00BA50B0" w:rsidRDefault="001A754E" w:rsidP="004E68D1">
            <w:pPr>
              <w:pStyle w:val="BodyText"/>
            </w:pPr>
            <w:r w:rsidRPr="00BA50B0">
              <w:t>0.278</w:t>
            </w:r>
          </w:p>
        </w:tc>
        <w:tc>
          <w:tcPr>
            <w:tcW w:w="1835" w:type="dxa"/>
          </w:tcPr>
          <w:p w:rsidR="001A754E" w:rsidRPr="00BA50B0" w:rsidRDefault="001A754E" w:rsidP="004E68D1">
            <w:pPr>
              <w:pStyle w:val="BodyText"/>
            </w:pPr>
            <w:r w:rsidRPr="00BA50B0">
              <w:t>0.278</w:t>
            </w:r>
          </w:p>
        </w:tc>
        <w:tc>
          <w:tcPr>
            <w:tcW w:w="1835" w:type="dxa"/>
          </w:tcPr>
          <w:p w:rsidR="001A754E" w:rsidRPr="00BA50B0" w:rsidRDefault="001A754E" w:rsidP="004E68D1">
            <w:pPr>
              <w:pStyle w:val="BodyText"/>
            </w:pPr>
            <w:r w:rsidRPr="00BA50B0">
              <w:t>0.278</w:t>
            </w:r>
          </w:p>
        </w:tc>
      </w:tr>
      <w:tr w:rsidR="001A754E" w:rsidTr="004E68D1">
        <w:tc>
          <w:tcPr>
            <w:tcW w:w="1842" w:type="dxa"/>
          </w:tcPr>
          <w:p w:rsidR="001A754E" w:rsidRPr="00C42C72" w:rsidRDefault="001A754E" w:rsidP="004E68D1">
            <w:pPr>
              <w:rPr>
                <w:b/>
              </w:rPr>
            </w:pPr>
            <w:r w:rsidRPr="00C42C72">
              <w:rPr>
                <w:b/>
              </w:rPr>
              <w:t>Total</w:t>
            </w:r>
          </w:p>
        </w:tc>
        <w:tc>
          <w:tcPr>
            <w:tcW w:w="1833" w:type="dxa"/>
          </w:tcPr>
          <w:p w:rsidR="001A754E" w:rsidRPr="00BA50B0" w:rsidRDefault="001A754E" w:rsidP="004E68D1">
            <w:pPr>
              <w:pStyle w:val="BodyText"/>
            </w:pPr>
            <w:r w:rsidRPr="00BA50B0">
              <w:t>5.242</w:t>
            </w:r>
          </w:p>
        </w:tc>
        <w:tc>
          <w:tcPr>
            <w:tcW w:w="1834" w:type="dxa"/>
          </w:tcPr>
          <w:p w:rsidR="001A754E" w:rsidRPr="00BA50B0" w:rsidRDefault="001A754E" w:rsidP="004E68D1">
            <w:pPr>
              <w:pStyle w:val="BodyText"/>
            </w:pPr>
            <w:r w:rsidRPr="00BA50B0">
              <w:t>5.242</w:t>
            </w:r>
          </w:p>
        </w:tc>
        <w:tc>
          <w:tcPr>
            <w:tcW w:w="1835" w:type="dxa"/>
          </w:tcPr>
          <w:p w:rsidR="001A754E" w:rsidRPr="00BA50B0" w:rsidRDefault="001A754E" w:rsidP="004E68D1">
            <w:pPr>
              <w:pStyle w:val="BodyText"/>
            </w:pPr>
            <w:r w:rsidRPr="00BA50B0">
              <w:t>5.242</w:t>
            </w:r>
          </w:p>
        </w:tc>
        <w:tc>
          <w:tcPr>
            <w:tcW w:w="1835" w:type="dxa"/>
          </w:tcPr>
          <w:p w:rsidR="001A754E" w:rsidRPr="00BA50B0" w:rsidRDefault="001A754E" w:rsidP="004E68D1">
            <w:pPr>
              <w:pStyle w:val="BodyText"/>
            </w:pPr>
            <w:r w:rsidRPr="00BA50B0">
              <w:t>5.242</w:t>
            </w:r>
          </w:p>
        </w:tc>
      </w:tr>
    </w:tbl>
    <w:p w:rsidR="001A754E" w:rsidRDefault="001A754E" w:rsidP="001A754E">
      <w:pPr>
        <w:keepLines w:val="0"/>
      </w:pPr>
    </w:p>
    <w:p w:rsidR="00457DDE" w:rsidRDefault="00457DDE" w:rsidP="00457DDE">
      <w:pPr>
        <w:keepLines w:val="0"/>
      </w:pPr>
    </w:p>
    <w:sectPr w:rsidR="00457DDE" w:rsidSect="002D38AA">
      <w:headerReference w:type="even" r:id="rId11"/>
      <w:headerReference w:type="default" r:id="rId12"/>
      <w:footerReference w:type="even" r:id="rId13"/>
      <w:footerReference w:type="default" r:id="rId14"/>
      <w:headerReference w:type="first" r:id="rId15"/>
      <w:footerReference w:type="first" r:id="rId16"/>
      <w:pgSz w:w="11907" w:h="16840" w:code="9"/>
      <w:pgMar w:top="1021" w:right="1418" w:bottom="992" w:left="1418" w:header="425" w:footer="3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195" w:rsidRDefault="001B2195">
      <w:r>
        <w:separator/>
      </w:r>
    </w:p>
    <w:p w:rsidR="001B2195" w:rsidRDefault="001B2195"/>
    <w:p w:rsidR="001B2195" w:rsidRDefault="001B2195"/>
  </w:endnote>
  <w:endnote w:type="continuationSeparator" w:id="0">
    <w:p w:rsidR="001B2195" w:rsidRDefault="001B2195">
      <w:r>
        <w:continuationSeparator/>
      </w:r>
    </w:p>
    <w:p w:rsidR="001B2195" w:rsidRDefault="001B2195"/>
    <w:p w:rsidR="001B2195" w:rsidRDefault="001B2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1" w:rsidRDefault="001A5C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1" w:rsidRDefault="001A5C31" w:rsidP="002D38AA">
    <w:pPr>
      <w:pStyle w:val="Footer"/>
      <w:tabs>
        <w:tab w:val="right" w:pos="9071"/>
      </w:tabs>
      <w:ind w:right="-1"/>
    </w:pPr>
    <w:r>
      <w:tab/>
      <w:t xml:space="preserve">Page </w:t>
    </w:r>
    <w:r>
      <w:fldChar w:fldCharType="begin"/>
    </w:r>
    <w:r>
      <w:instrText xml:space="preserve"> PAGE  \* Arabic  \* MERGEFORMAT </w:instrText>
    </w:r>
    <w:r>
      <w:fldChar w:fldCharType="separate"/>
    </w:r>
    <w:r w:rsidR="00F75DEB">
      <w:rPr>
        <w:noProof/>
      </w:rPr>
      <w:t>1</w:t>
    </w:r>
    <w:r>
      <w:fldChar w:fldCharType="end"/>
    </w:r>
    <w:r>
      <w:t xml:space="preserve"> of </w:t>
    </w:r>
    <w:r w:rsidR="00F75DEB">
      <w:fldChar w:fldCharType="begin"/>
    </w:r>
    <w:r w:rsidR="00F75DEB">
      <w:instrText xml:space="preserve"> NUMPAGES   \* MERGEFORMAT </w:instrText>
    </w:r>
    <w:r w:rsidR="00F75DEB">
      <w:fldChar w:fldCharType="separate"/>
    </w:r>
    <w:r w:rsidR="00F75DEB">
      <w:rPr>
        <w:noProof/>
      </w:rPr>
      <w:t>14</w:t>
    </w:r>
    <w:r w:rsidR="00F75DEB">
      <w:rPr>
        <w:noProof/>
      </w:rPr>
      <w:fldChar w:fldCharType="end"/>
    </w:r>
  </w:p>
  <w:p w:rsidR="001A5C31" w:rsidRDefault="001A5C31" w:rsidP="00A0279D">
    <w:pPr>
      <w:pStyle w:val="Footer"/>
      <w:tabs>
        <w:tab w:val="right" w:pos="9071"/>
      </w:tabs>
      <w:ind w:right="-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1" w:rsidRDefault="001A5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195" w:rsidRDefault="001B2195" w:rsidP="00C347BF">
      <w:pPr>
        <w:pStyle w:val="Spacer"/>
      </w:pPr>
      <w:r>
        <w:separator/>
      </w:r>
    </w:p>
  </w:footnote>
  <w:footnote w:type="continuationSeparator" w:id="0">
    <w:p w:rsidR="001B2195" w:rsidRDefault="001B2195">
      <w:r>
        <w:continuationSeparator/>
      </w:r>
    </w:p>
    <w:p w:rsidR="001B2195" w:rsidRDefault="001B2195"/>
    <w:p w:rsidR="001B2195" w:rsidRDefault="001B21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1" w:rsidRDefault="001A5C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1" w:rsidRPr="002D38AA" w:rsidRDefault="00F75DEB" w:rsidP="002D38AA">
    <w:pPr>
      <w:pStyle w:val="Headerforcabinetpapers"/>
    </w:pPr>
    <w:sdt>
      <w:sdtPr>
        <w:id w:val="-1466349609"/>
        <w:docPartObj>
          <w:docPartGallery w:val="Watermarks"/>
          <w:docPartUnique/>
        </w:docPartObj>
      </w:sdtPr>
      <w:sdtEndPr/>
      <w:sdtContent>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A5C31">
      <w:t>Draft, in-confidence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C31" w:rsidRPr="00C64BA9" w:rsidRDefault="001A5C31" w:rsidP="00C64BA9">
    <w:pPr>
      <w:pStyle w:val="Header"/>
      <w:tabs>
        <w:tab w:val="center" w:pos="4536"/>
      </w:tabs>
      <w:rPr>
        <w:rStyle w:val="Footersecurityclassification"/>
        <w:i/>
      </w:rPr>
    </w:pPr>
    <w:r>
      <w:rPr>
        <w:rStyle w:val="Footersecurityclassification"/>
        <w:i/>
      </w:rPr>
      <w:tab/>
    </w:r>
    <w:r w:rsidRPr="00C64BA9">
      <w:rPr>
        <w:rStyle w:val="Footersecurityclassification"/>
      </w:rPr>
      <w:t>&lt;insert security classification&gt;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02BA46F3"/>
    <w:multiLevelType w:val="multilevel"/>
    <w:tmpl w:val="05224E6A"/>
    <w:lvl w:ilvl="0">
      <w:start w:val="1"/>
      <w:numFmt w:val="decimal"/>
      <w:lvlText w:val="%1."/>
      <w:lvlJc w:val="left"/>
      <w:pPr>
        <w:ind w:left="567" w:hanging="567"/>
      </w:pPr>
      <w:rPr>
        <w:rFonts w:hint="default"/>
        <w:b w:val="0"/>
      </w:rPr>
    </w:lvl>
    <w:lvl w:ilvl="1">
      <w:start w:val="1"/>
      <w:numFmt w:val="decimal"/>
      <w:lvlText w:val="%1.%2"/>
      <w:lvlJc w:val="left"/>
      <w:pPr>
        <w:ind w:left="1304" w:hanging="737"/>
      </w:pPr>
      <w:rPr>
        <w:rFonts w:hint="default"/>
      </w:rPr>
    </w:lvl>
    <w:lvl w:ilvl="2">
      <w:start w:val="1"/>
      <w:numFmt w:val="decimal"/>
      <w:lvlText w:val="%1.%2.%3"/>
      <w:lvlJc w:val="left"/>
      <w:pPr>
        <w:tabs>
          <w:tab w:val="num" w:pos="1304"/>
        </w:tabs>
        <w:ind w:left="2211" w:hanging="90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1">
    <w:nsid w:val="0B1F50FE"/>
    <w:multiLevelType w:val="hybridMultilevel"/>
    <w:tmpl w:val="981C0D56"/>
    <w:lvl w:ilvl="0" w:tplc="F37A4368">
      <w:start w:val="1"/>
      <w:numFmt w:val="decimal"/>
      <w:pStyle w:val="Briefingtext"/>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4AB1E4D"/>
    <w:multiLevelType w:val="hybridMultilevel"/>
    <w:tmpl w:val="9EBE6E60"/>
    <w:lvl w:ilvl="0" w:tplc="EA88F252">
      <w:start w:val="1"/>
      <w:numFmt w:val="decimal"/>
      <w:pStyle w:val="NormalArial"/>
      <w:lvlText w:val="%1."/>
      <w:lvlJc w:val="left"/>
      <w:pPr>
        <w:tabs>
          <w:tab w:val="num" w:pos="720"/>
        </w:tabs>
        <w:ind w:left="720" w:hanging="360"/>
      </w:pPr>
      <w:rPr>
        <w:b w:val="0"/>
        <w:i w:val="0"/>
      </w:rPr>
    </w:lvl>
    <w:lvl w:ilvl="1" w:tplc="F3FA6B84">
      <w:start w:val="1"/>
      <w:numFmt w:val="bullet"/>
      <w:lvlText w:val=""/>
      <w:lvlJc w:val="left"/>
      <w:pPr>
        <w:tabs>
          <w:tab w:val="num" w:pos="1505"/>
        </w:tabs>
        <w:ind w:left="1505" w:hanging="425"/>
      </w:pPr>
      <w:rPr>
        <w:rFonts w:ascii="Symbol" w:hAnsi="Symbol" w:hint="default"/>
      </w:rPr>
    </w:lvl>
    <w:lvl w:ilvl="2" w:tplc="682AAA66">
      <w:start w:val="1"/>
      <w:numFmt w:val="lowerRoman"/>
      <w:lvlText w:val="%3)"/>
      <w:lvlJc w:val="left"/>
      <w:pPr>
        <w:tabs>
          <w:tab w:val="num" w:pos="2700"/>
        </w:tabs>
        <w:ind w:left="2700" w:hanging="72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368F5832"/>
    <w:multiLevelType w:val="multilevel"/>
    <w:tmpl w:val="DBFC12C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nsid w:val="374F1B62"/>
    <w:multiLevelType w:val="multilevel"/>
    <w:tmpl w:val="C5EC6DBA"/>
    <w:lvl w:ilvl="0">
      <w:start w:val="1"/>
      <w:numFmt w:val="decimal"/>
      <w:pStyle w:val="Numberedpara3level1"/>
      <w:lvlText w:val="%1."/>
      <w:lvlJc w:val="left"/>
      <w:pPr>
        <w:tabs>
          <w:tab w:val="num" w:pos="567"/>
        </w:tabs>
        <w:ind w:left="567" w:hanging="567"/>
      </w:pPr>
      <w:rPr>
        <w:rFonts w:hint="default"/>
      </w:rPr>
    </w:lvl>
    <w:lvl w:ilvl="1">
      <w:start w:val="1"/>
      <w:numFmt w:val="decimal"/>
      <w:pStyle w:val="Numberedpara3level211"/>
      <w:lvlText w:val="%1.%2"/>
      <w:lvlJc w:val="left"/>
      <w:pPr>
        <w:ind w:left="924" w:hanging="357"/>
      </w:pPr>
      <w:rPr>
        <w:rFonts w:hint="default"/>
      </w:rPr>
    </w:lvl>
    <w:lvl w:ilvl="2">
      <w:start w:val="1"/>
      <w:numFmt w:val="decimal"/>
      <w:pStyle w:val="Numberedpara3level3111"/>
      <w:lvlText w:val="%1.%2.%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EF03781"/>
    <w:multiLevelType w:val="multilevel"/>
    <w:tmpl w:val="2DB2798C"/>
    <w:lvl w:ilvl="0">
      <w:start w:val="1"/>
      <w:numFmt w:val="decimal"/>
      <w:lvlText w:val="%1."/>
      <w:lvlJc w:val="left"/>
      <w:pPr>
        <w:tabs>
          <w:tab w:val="num" w:pos="567"/>
        </w:tabs>
        <w:ind w:left="567" w:hanging="567"/>
      </w:pPr>
      <w:rPr>
        <w:rFonts w:ascii="Calibri" w:hAnsi="Calibri" w:hint="default"/>
        <w:caps w:val="0"/>
        <w:strike w:val="0"/>
        <w:dstrike w:val="0"/>
        <w:vanish w:val="0"/>
        <w:sz w:val="24"/>
        <w:vertAlign w:val="baseline"/>
      </w:rPr>
    </w:lvl>
    <w:lvl w:ilvl="1">
      <w:start w:val="1"/>
      <w:numFmt w:val="decimal"/>
      <w:lvlText w:val="%1.%2"/>
      <w:lvlJc w:val="left"/>
      <w:pPr>
        <w:ind w:left="1247" w:hanging="680"/>
      </w:pPr>
      <w:rPr>
        <w:rFonts w:ascii="Calibri" w:hAnsi="Calibri" w:hint="default"/>
        <w:caps w:val="0"/>
        <w:strike w:val="0"/>
        <w:dstrike w:val="0"/>
        <w:vanish w:val="0"/>
        <w:vertAlign w:val="baseline"/>
      </w:rPr>
    </w:lvl>
    <w:lvl w:ilvl="2">
      <w:start w:val="1"/>
      <w:numFmt w:val="decimal"/>
      <w:lvlText w:val="%1.%2.%3"/>
      <w:lvlJc w:val="left"/>
      <w:pPr>
        <w:ind w:left="2155" w:hanging="908"/>
      </w:pPr>
      <w:rPr>
        <w:rFonts w:ascii="Calibri" w:hAnsi="Calibri" w:hint="default"/>
        <w:caps w:val="0"/>
        <w:strike w:val="0"/>
        <w:dstrike w:val="0"/>
        <w:vanish w:val="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nsid w:val="6B2A7B0B"/>
    <w:multiLevelType w:val="multilevel"/>
    <w:tmpl w:val="807EF708"/>
    <w:lvl w:ilvl="0">
      <w:start w:val="1"/>
      <w:numFmt w:val="decimal"/>
      <w:pStyle w:val="List123"/>
      <w:lvlText w:val="%1."/>
      <w:lvlJc w:val="left"/>
      <w:pPr>
        <w:ind w:left="1134" w:hanging="567"/>
      </w:pPr>
      <w:rPr>
        <w:rFonts w:hint="default"/>
      </w:rPr>
    </w:lvl>
    <w:lvl w:ilvl="1">
      <w:start w:val="1"/>
      <w:numFmt w:val="decimal"/>
      <w:pStyle w:val="List123level2"/>
      <w:lvlText w:val="%1.%2"/>
      <w:lvlJc w:val="left"/>
      <w:pPr>
        <w:tabs>
          <w:tab w:val="num" w:pos="1304"/>
        </w:tabs>
        <w:ind w:left="1871" w:hanging="737"/>
      </w:pPr>
      <w:rPr>
        <w:rFonts w:hint="default"/>
      </w:rPr>
    </w:lvl>
    <w:lvl w:ilvl="2">
      <w:start w:val="1"/>
      <w:numFmt w:val="decimal"/>
      <w:pStyle w:val="List123level3"/>
      <w:lvlText w:val="%1.%2.%3"/>
      <w:lvlJc w:val="left"/>
      <w:pPr>
        <w:ind w:left="2778" w:hanging="90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8">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1"/>
  </w:num>
  <w:num w:numId="11">
    <w:abstractNumId w:val="22"/>
  </w:num>
  <w:num w:numId="12">
    <w:abstractNumId w:val="18"/>
  </w:num>
  <w:num w:numId="13">
    <w:abstractNumId w:val="15"/>
  </w:num>
  <w:num w:numId="14">
    <w:abstractNumId w:val="23"/>
  </w:num>
  <w:num w:numId="15">
    <w:abstractNumId w:val="25"/>
  </w:num>
  <w:num w:numId="16">
    <w:abstractNumId w:val="27"/>
  </w:num>
  <w:num w:numId="17">
    <w:abstractNumId w:val="10"/>
  </w:num>
  <w:num w:numId="18">
    <w:abstractNumId w:val="16"/>
  </w:num>
  <w:num w:numId="19">
    <w:abstractNumId w:val="17"/>
  </w:num>
  <w:num w:numId="20">
    <w:abstractNumId w:val="14"/>
  </w:num>
  <w:num w:numId="21">
    <w:abstractNumId w:val="28"/>
  </w:num>
  <w:num w:numId="22">
    <w:abstractNumId w:val="26"/>
  </w:num>
  <w:num w:numId="23">
    <w:abstractNumId w:val="24"/>
  </w:num>
  <w:num w:numId="24">
    <w:abstractNumId w:val="20"/>
  </w:num>
  <w:num w:numId="25">
    <w:abstractNumId w:val="17"/>
  </w:num>
  <w:num w:numId="26">
    <w:abstractNumId w:val="12"/>
  </w:num>
  <w:num w:numId="27">
    <w:abstractNumId w:val="17"/>
    <w:lvlOverride w:ilvl="0">
      <w:lvl w:ilvl="0">
        <w:start w:val="1"/>
        <w:numFmt w:val="decimal"/>
        <w:pStyle w:val="Numberedpara3level1"/>
        <w:lvlText w:val="%1."/>
        <w:lvlJc w:val="left"/>
        <w:pPr>
          <w:tabs>
            <w:tab w:val="num" w:pos="567"/>
          </w:tabs>
          <w:ind w:left="567" w:hanging="567"/>
        </w:pPr>
        <w:rPr>
          <w:rFonts w:hint="default"/>
        </w:rPr>
      </w:lvl>
    </w:lvlOverride>
    <w:lvlOverride w:ilvl="1">
      <w:lvl w:ilvl="1">
        <w:start w:val="1"/>
        <w:numFmt w:val="decimal"/>
        <w:pStyle w:val="Numberedpara3level211"/>
        <w:lvlText w:val="%1.%2"/>
        <w:lvlJc w:val="left"/>
        <w:pPr>
          <w:ind w:left="1304" w:hanging="737"/>
        </w:pPr>
        <w:rPr>
          <w:rFonts w:hint="default"/>
        </w:rPr>
      </w:lvl>
    </w:lvlOverride>
    <w:lvlOverride w:ilvl="2">
      <w:lvl w:ilvl="2">
        <w:start w:val="1"/>
        <w:numFmt w:val="decimal"/>
        <w:pStyle w:val="Numberedpara3level3111"/>
        <w:lvlText w:val="%1.%2.%3"/>
        <w:lvlJc w:val="left"/>
        <w:pPr>
          <w:ind w:left="2211" w:hanging="90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9"/>
  </w:num>
  <w:num w:numId="29">
    <w:abstractNumId w:val="11"/>
  </w:num>
  <w:num w:numId="3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F1C"/>
    <w:rsid w:val="000006C6"/>
    <w:rsid w:val="00001002"/>
    <w:rsid w:val="00002BDD"/>
    <w:rsid w:val="00003360"/>
    <w:rsid w:val="00005919"/>
    <w:rsid w:val="000102BD"/>
    <w:rsid w:val="00012070"/>
    <w:rsid w:val="000130DD"/>
    <w:rsid w:val="00013AC5"/>
    <w:rsid w:val="00015020"/>
    <w:rsid w:val="0001647B"/>
    <w:rsid w:val="00016F70"/>
    <w:rsid w:val="000178FE"/>
    <w:rsid w:val="00020010"/>
    <w:rsid w:val="00020685"/>
    <w:rsid w:val="00020921"/>
    <w:rsid w:val="000229E5"/>
    <w:rsid w:val="00025E45"/>
    <w:rsid w:val="000268DD"/>
    <w:rsid w:val="00026A20"/>
    <w:rsid w:val="00027907"/>
    <w:rsid w:val="00031491"/>
    <w:rsid w:val="00031C70"/>
    <w:rsid w:val="00033BEF"/>
    <w:rsid w:val="000345D9"/>
    <w:rsid w:val="00034673"/>
    <w:rsid w:val="00035205"/>
    <w:rsid w:val="00036671"/>
    <w:rsid w:val="00036C43"/>
    <w:rsid w:val="00037226"/>
    <w:rsid w:val="000373CF"/>
    <w:rsid w:val="000409E2"/>
    <w:rsid w:val="00042470"/>
    <w:rsid w:val="00042AF0"/>
    <w:rsid w:val="000444EE"/>
    <w:rsid w:val="00044845"/>
    <w:rsid w:val="00044EA1"/>
    <w:rsid w:val="0004516C"/>
    <w:rsid w:val="00045403"/>
    <w:rsid w:val="0004686E"/>
    <w:rsid w:val="00050C87"/>
    <w:rsid w:val="0005649A"/>
    <w:rsid w:val="000577E7"/>
    <w:rsid w:val="00060E17"/>
    <w:rsid w:val="000612D9"/>
    <w:rsid w:val="000614CC"/>
    <w:rsid w:val="00063BB2"/>
    <w:rsid w:val="00065F18"/>
    <w:rsid w:val="000660C4"/>
    <w:rsid w:val="0006669F"/>
    <w:rsid w:val="00067005"/>
    <w:rsid w:val="00070D50"/>
    <w:rsid w:val="00076035"/>
    <w:rsid w:val="000769BB"/>
    <w:rsid w:val="00077013"/>
    <w:rsid w:val="000802B1"/>
    <w:rsid w:val="000807AE"/>
    <w:rsid w:val="000809AD"/>
    <w:rsid w:val="00086176"/>
    <w:rsid w:val="00086283"/>
    <w:rsid w:val="00086B12"/>
    <w:rsid w:val="00091C3A"/>
    <w:rsid w:val="00092F8A"/>
    <w:rsid w:val="000953BA"/>
    <w:rsid w:val="0009550E"/>
    <w:rsid w:val="000A0816"/>
    <w:rsid w:val="000A0F1E"/>
    <w:rsid w:val="000B0A6E"/>
    <w:rsid w:val="000B3695"/>
    <w:rsid w:val="000C0D02"/>
    <w:rsid w:val="000C2C38"/>
    <w:rsid w:val="000C6803"/>
    <w:rsid w:val="000D0917"/>
    <w:rsid w:val="000D25BC"/>
    <w:rsid w:val="000D61F6"/>
    <w:rsid w:val="000D761D"/>
    <w:rsid w:val="000E12FE"/>
    <w:rsid w:val="000E3240"/>
    <w:rsid w:val="000E3AFA"/>
    <w:rsid w:val="000E3FC5"/>
    <w:rsid w:val="000E411A"/>
    <w:rsid w:val="000E523B"/>
    <w:rsid w:val="000E604E"/>
    <w:rsid w:val="000E677B"/>
    <w:rsid w:val="000E7EE3"/>
    <w:rsid w:val="000F040C"/>
    <w:rsid w:val="000F37A9"/>
    <w:rsid w:val="000F388A"/>
    <w:rsid w:val="000F4ADF"/>
    <w:rsid w:val="000F61AF"/>
    <w:rsid w:val="000F67C3"/>
    <w:rsid w:val="000F75BC"/>
    <w:rsid w:val="000F7798"/>
    <w:rsid w:val="0010171C"/>
    <w:rsid w:val="001017EC"/>
    <w:rsid w:val="001018F7"/>
    <w:rsid w:val="00102FAD"/>
    <w:rsid w:val="001053B8"/>
    <w:rsid w:val="00105D9A"/>
    <w:rsid w:val="001074CD"/>
    <w:rsid w:val="001118E5"/>
    <w:rsid w:val="00111C1A"/>
    <w:rsid w:val="00114645"/>
    <w:rsid w:val="00116D7C"/>
    <w:rsid w:val="001212C9"/>
    <w:rsid w:val="00121870"/>
    <w:rsid w:val="00121CC9"/>
    <w:rsid w:val="0012601E"/>
    <w:rsid w:val="00127B80"/>
    <w:rsid w:val="00134401"/>
    <w:rsid w:val="00134A6D"/>
    <w:rsid w:val="00134FAE"/>
    <w:rsid w:val="0013638D"/>
    <w:rsid w:val="001409D5"/>
    <w:rsid w:val="00140ED2"/>
    <w:rsid w:val="00141DEA"/>
    <w:rsid w:val="00142262"/>
    <w:rsid w:val="00142795"/>
    <w:rsid w:val="00143E7C"/>
    <w:rsid w:val="0014581C"/>
    <w:rsid w:val="001465F6"/>
    <w:rsid w:val="00150DB3"/>
    <w:rsid w:val="00152014"/>
    <w:rsid w:val="00152DF6"/>
    <w:rsid w:val="00154FF7"/>
    <w:rsid w:val="00157395"/>
    <w:rsid w:val="001579FD"/>
    <w:rsid w:val="0016292F"/>
    <w:rsid w:val="00163581"/>
    <w:rsid w:val="00164117"/>
    <w:rsid w:val="0016433D"/>
    <w:rsid w:val="00164A59"/>
    <w:rsid w:val="00167BE6"/>
    <w:rsid w:val="001701F1"/>
    <w:rsid w:val="0017100F"/>
    <w:rsid w:val="0017456D"/>
    <w:rsid w:val="001769C3"/>
    <w:rsid w:val="0018414E"/>
    <w:rsid w:val="00184C0F"/>
    <w:rsid w:val="001858A7"/>
    <w:rsid w:val="0018617B"/>
    <w:rsid w:val="00192E61"/>
    <w:rsid w:val="001A5C31"/>
    <w:rsid w:val="001A5F55"/>
    <w:rsid w:val="001A6F62"/>
    <w:rsid w:val="001A740F"/>
    <w:rsid w:val="001A754E"/>
    <w:rsid w:val="001A75AE"/>
    <w:rsid w:val="001B1108"/>
    <w:rsid w:val="001B2195"/>
    <w:rsid w:val="001B28D1"/>
    <w:rsid w:val="001B323C"/>
    <w:rsid w:val="001B369D"/>
    <w:rsid w:val="001B788C"/>
    <w:rsid w:val="001C0031"/>
    <w:rsid w:val="001C0C30"/>
    <w:rsid w:val="001C0DF0"/>
    <w:rsid w:val="001C4050"/>
    <w:rsid w:val="001C5667"/>
    <w:rsid w:val="001D0111"/>
    <w:rsid w:val="001D26B4"/>
    <w:rsid w:val="001D2911"/>
    <w:rsid w:val="001D3C85"/>
    <w:rsid w:val="001D50D9"/>
    <w:rsid w:val="001E3E77"/>
    <w:rsid w:val="001E64FC"/>
    <w:rsid w:val="001E7475"/>
    <w:rsid w:val="001E7EEE"/>
    <w:rsid w:val="001F25E9"/>
    <w:rsid w:val="001F3047"/>
    <w:rsid w:val="002007DF"/>
    <w:rsid w:val="002059F8"/>
    <w:rsid w:val="00205FE8"/>
    <w:rsid w:val="00206BA3"/>
    <w:rsid w:val="002112F6"/>
    <w:rsid w:val="00211A72"/>
    <w:rsid w:val="00212475"/>
    <w:rsid w:val="00212F28"/>
    <w:rsid w:val="0021379A"/>
    <w:rsid w:val="002142B7"/>
    <w:rsid w:val="00214A0C"/>
    <w:rsid w:val="00215160"/>
    <w:rsid w:val="00215426"/>
    <w:rsid w:val="002164AE"/>
    <w:rsid w:val="00217E1E"/>
    <w:rsid w:val="00217F4C"/>
    <w:rsid w:val="002224B4"/>
    <w:rsid w:val="002242D0"/>
    <w:rsid w:val="00225DC3"/>
    <w:rsid w:val="00226D5E"/>
    <w:rsid w:val="002324DD"/>
    <w:rsid w:val="00233B3C"/>
    <w:rsid w:val="00236C02"/>
    <w:rsid w:val="00237A3D"/>
    <w:rsid w:val="00240135"/>
    <w:rsid w:val="002401CD"/>
    <w:rsid w:val="00240E83"/>
    <w:rsid w:val="002430D6"/>
    <w:rsid w:val="0024569D"/>
    <w:rsid w:val="002479D2"/>
    <w:rsid w:val="002502D1"/>
    <w:rsid w:val="002504CD"/>
    <w:rsid w:val="00252FF7"/>
    <w:rsid w:val="0025695E"/>
    <w:rsid w:val="002602BC"/>
    <w:rsid w:val="002605E9"/>
    <w:rsid w:val="00260A17"/>
    <w:rsid w:val="00267979"/>
    <w:rsid w:val="00270E18"/>
    <w:rsid w:val="00270EEC"/>
    <w:rsid w:val="00272C3E"/>
    <w:rsid w:val="00273217"/>
    <w:rsid w:val="00274B17"/>
    <w:rsid w:val="00276C6A"/>
    <w:rsid w:val="00280021"/>
    <w:rsid w:val="002805FF"/>
    <w:rsid w:val="002806A2"/>
    <w:rsid w:val="002806F3"/>
    <w:rsid w:val="00282E91"/>
    <w:rsid w:val="00284059"/>
    <w:rsid w:val="002842A3"/>
    <w:rsid w:val="00286EC0"/>
    <w:rsid w:val="00286F08"/>
    <w:rsid w:val="002871C1"/>
    <w:rsid w:val="00293A91"/>
    <w:rsid w:val="002941DC"/>
    <w:rsid w:val="00297CC7"/>
    <w:rsid w:val="002A104B"/>
    <w:rsid w:val="002A194F"/>
    <w:rsid w:val="002A1C88"/>
    <w:rsid w:val="002A45F1"/>
    <w:rsid w:val="002A4BD9"/>
    <w:rsid w:val="002A4FE7"/>
    <w:rsid w:val="002A61A2"/>
    <w:rsid w:val="002A6BE0"/>
    <w:rsid w:val="002B1CEB"/>
    <w:rsid w:val="002B2BD3"/>
    <w:rsid w:val="002B5F9A"/>
    <w:rsid w:val="002B78FD"/>
    <w:rsid w:val="002C41BE"/>
    <w:rsid w:val="002D0179"/>
    <w:rsid w:val="002D135A"/>
    <w:rsid w:val="002D20D9"/>
    <w:rsid w:val="002D258A"/>
    <w:rsid w:val="002D3125"/>
    <w:rsid w:val="002D38AA"/>
    <w:rsid w:val="002D3D6A"/>
    <w:rsid w:val="002D4F42"/>
    <w:rsid w:val="002D5B92"/>
    <w:rsid w:val="002D6770"/>
    <w:rsid w:val="002D741D"/>
    <w:rsid w:val="002E4014"/>
    <w:rsid w:val="002E45E0"/>
    <w:rsid w:val="002E579F"/>
    <w:rsid w:val="002E59DC"/>
    <w:rsid w:val="002E6F58"/>
    <w:rsid w:val="002F12AB"/>
    <w:rsid w:val="002F23FB"/>
    <w:rsid w:val="002F24A4"/>
    <w:rsid w:val="0030084C"/>
    <w:rsid w:val="00301BBD"/>
    <w:rsid w:val="00302C91"/>
    <w:rsid w:val="003039E1"/>
    <w:rsid w:val="00303B56"/>
    <w:rsid w:val="00304D85"/>
    <w:rsid w:val="00305E80"/>
    <w:rsid w:val="003117B2"/>
    <w:rsid w:val="003129BA"/>
    <w:rsid w:val="00313699"/>
    <w:rsid w:val="0031447C"/>
    <w:rsid w:val="003148FC"/>
    <w:rsid w:val="00315E4A"/>
    <w:rsid w:val="00320E1C"/>
    <w:rsid w:val="003256DE"/>
    <w:rsid w:val="00325AAB"/>
    <w:rsid w:val="00326668"/>
    <w:rsid w:val="00330820"/>
    <w:rsid w:val="003323BE"/>
    <w:rsid w:val="003327A6"/>
    <w:rsid w:val="00335ED7"/>
    <w:rsid w:val="003367E6"/>
    <w:rsid w:val="00336DFD"/>
    <w:rsid w:val="003465C8"/>
    <w:rsid w:val="00350827"/>
    <w:rsid w:val="0035272A"/>
    <w:rsid w:val="003527E3"/>
    <w:rsid w:val="00355EAF"/>
    <w:rsid w:val="00360107"/>
    <w:rsid w:val="003601E4"/>
    <w:rsid w:val="00360D9E"/>
    <w:rsid w:val="00361A9B"/>
    <w:rsid w:val="0036215F"/>
    <w:rsid w:val="003661D1"/>
    <w:rsid w:val="0037016B"/>
    <w:rsid w:val="0037070C"/>
    <w:rsid w:val="00370FC0"/>
    <w:rsid w:val="00373183"/>
    <w:rsid w:val="00373206"/>
    <w:rsid w:val="003737ED"/>
    <w:rsid w:val="00374150"/>
    <w:rsid w:val="00375B80"/>
    <w:rsid w:val="00376E72"/>
    <w:rsid w:val="00377352"/>
    <w:rsid w:val="003809AE"/>
    <w:rsid w:val="00381E53"/>
    <w:rsid w:val="00382B7C"/>
    <w:rsid w:val="0038559D"/>
    <w:rsid w:val="00385C33"/>
    <w:rsid w:val="00385C3E"/>
    <w:rsid w:val="00391075"/>
    <w:rsid w:val="00392D0D"/>
    <w:rsid w:val="00395FD0"/>
    <w:rsid w:val="003A03F8"/>
    <w:rsid w:val="003A10DA"/>
    <w:rsid w:val="003A12C8"/>
    <w:rsid w:val="003A3642"/>
    <w:rsid w:val="003A6FFE"/>
    <w:rsid w:val="003A7695"/>
    <w:rsid w:val="003B1CEA"/>
    <w:rsid w:val="003B2170"/>
    <w:rsid w:val="003B366D"/>
    <w:rsid w:val="003B3A23"/>
    <w:rsid w:val="003B5A57"/>
    <w:rsid w:val="003B6592"/>
    <w:rsid w:val="003B7C31"/>
    <w:rsid w:val="003C1719"/>
    <w:rsid w:val="003C54DC"/>
    <w:rsid w:val="003C772C"/>
    <w:rsid w:val="003C7EB8"/>
    <w:rsid w:val="003D26F3"/>
    <w:rsid w:val="003D3E9B"/>
    <w:rsid w:val="003D77B2"/>
    <w:rsid w:val="003E3106"/>
    <w:rsid w:val="003E387D"/>
    <w:rsid w:val="003F2B58"/>
    <w:rsid w:val="003F5886"/>
    <w:rsid w:val="003F722D"/>
    <w:rsid w:val="0040020C"/>
    <w:rsid w:val="00400AB3"/>
    <w:rsid w:val="00400ED4"/>
    <w:rsid w:val="00401CA0"/>
    <w:rsid w:val="00401F69"/>
    <w:rsid w:val="00402961"/>
    <w:rsid w:val="00403DC9"/>
    <w:rsid w:val="00403EB2"/>
    <w:rsid w:val="004064D3"/>
    <w:rsid w:val="00406895"/>
    <w:rsid w:val="00406EEA"/>
    <w:rsid w:val="0040700B"/>
    <w:rsid w:val="00407F54"/>
    <w:rsid w:val="00411341"/>
    <w:rsid w:val="00413966"/>
    <w:rsid w:val="00413E7F"/>
    <w:rsid w:val="00415102"/>
    <w:rsid w:val="00415CDB"/>
    <w:rsid w:val="00420626"/>
    <w:rsid w:val="004231DC"/>
    <w:rsid w:val="0042551E"/>
    <w:rsid w:val="00426C75"/>
    <w:rsid w:val="00430165"/>
    <w:rsid w:val="00433AD8"/>
    <w:rsid w:val="0044012D"/>
    <w:rsid w:val="00440D56"/>
    <w:rsid w:val="00443AB6"/>
    <w:rsid w:val="00444454"/>
    <w:rsid w:val="004460DB"/>
    <w:rsid w:val="00446893"/>
    <w:rsid w:val="00446AFC"/>
    <w:rsid w:val="00447EF7"/>
    <w:rsid w:val="00450AAB"/>
    <w:rsid w:val="00450B82"/>
    <w:rsid w:val="004538BA"/>
    <w:rsid w:val="00454567"/>
    <w:rsid w:val="00454B49"/>
    <w:rsid w:val="004552A0"/>
    <w:rsid w:val="004567F7"/>
    <w:rsid w:val="0045732F"/>
    <w:rsid w:val="00457AF8"/>
    <w:rsid w:val="00457DDE"/>
    <w:rsid w:val="00457E34"/>
    <w:rsid w:val="00460A83"/>
    <w:rsid w:val="00460B3F"/>
    <w:rsid w:val="00461336"/>
    <w:rsid w:val="00461BAF"/>
    <w:rsid w:val="00461E00"/>
    <w:rsid w:val="00461EA3"/>
    <w:rsid w:val="00462716"/>
    <w:rsid w:val="00463DC8"/>
    <w:rsid w:val="00464752"/>
    <w:rsid w:val="00465007"/>
    <w:rsid w:val="00465BA9"/>
    <w:rsid w:val="0047241B"/>
    <w:rsid w:val="00474EA8"/>
    <w:rsid w:val="00475610"/>
    <w:rsid w:val="00475F24"/>
    <w:rsid w:val="00476068"/>
    <w:rsid w:val="004763B3"/>
    <w:rsid w:val="00477619"/>
    <w:rsid w:val="00477D34"/>
    <w:rsid w:val="00477F5B"/>
    <w:rsid w:val="0048016F"/>
    <w:rsid w:val="004811EB"/>
    <w:rsid w:val="00482138"/>
    <w:rsid w:val="004825DB"/>
    <w:rsid w:val="00484044"/>
    <w:rsid w:val="00484FA0"/>
    <w:rsid w:val="0048555F"/>
    <w:rsid w:val="00486E6E"/>
    <w:rsid w:val="004875DF"/>
    <w:rsid w:val="00487C1D"/>
    <w:rsid w:val="0049034E"/>
    <w:rsid w:val="00491E32"/>
    <w:rsid w:val="004922B3"/>
    <w:rsid w:val="00494C6F"/>
    <w:rsid w:val="00496409"/>
    <w:rsid w:val="00496EF9"/>
    <w:rsid w:val="004A2BA7"/>
    <w:rsid w:val="004A5318"/>
    <w:rsid w:val="004A5513"/>
    <w:rsid w:val="004A5823"/>
    <w:rsid w:val="004A5FC4"/>
    <w:rsid w:val="004A7CE7"/>
    <w:rsid w:val="004B0AAF"/>
    <w:rsid w:val="004B1E65"/>
    <w:rsid w:val="004B20A8"/>
    <w:rsid w:val="004B3924"/>
    <w:rsid w:val="004B77EA"/>
    <w:rsid w:val="004C06C2"/>
    <w:rsid w:val="004C2570"/>
    <w:rsid w:val="004C3ABB"/>
    <w:rsid w:val="004C4DDD"/>
    <w:rsid w:val="004C6953"/>
    <w:rsid w:val="004C7001"/>
    <w:rsid w:val="004D1706"/>
    <w:rsid w:val="004D1A90"/>
    <w:rsid w:val="004D1E4C"/>
    <w:rsid w:val="004D243F"/>
    <w:rsid w:val="004D3D2E"/>
    <w:rsid w:val="004D4BB5"/>
    <w:rsid w:val="004D6474"/>
    <w:rsid w:val="004D7001"/>
    <w:rsid w:val="004D7473"/>
    <w:rsid w:val="004E04B5"/>
    <w:rsid w:val="004E1544"/>
    <w:rsid w:val="004E3670"/>
    <w:rsid w:val="004E4621"/>
    <w:rsid w:val="004E4876"/>
    <w:rsid w:val="004E6DF8"/>
    <w:rsid w:val="004E6EE9"/>
    <w:rsid w:val="004E76B1"/>
    <w:rsid w:val="004E7A51"/>
    <w:rsid w:val="004F108F"/>
    <w:rsid w:val="004F30A2"/>
    <w:rsid w:val="004F3B02"/>
    <w:rsid w:val="00501C4B"/>
    <w:rsid w:val="00501EF4"/>
    <w:rsid w:val="00502159"/>
    <w:rsid w:val="00505DB2"/>
    <w:rsid w:val="005074C8"/>
    <w:rsid w:val="00510B35"/>
    <w:rsid w:val="00510D73"/>
    <w:rsid w:val="005127F6"/>
    <w:rsid w:val="00512ACB"/>
    <w:rsid w:val="0051380D"/>
    <w:rsid w:val="0051433D"/>
    <w:rsid w:val="00516178"/>
    <w:rsid w:val="00521023"/>
    <w:rsid w:val="0052216D"/>
    <w:rsid w:val="00522402"/>
    <w:rsid w:val="005237F9"/>
    <w:rsid w:val="00524161"/>
    <w:rsid w:val="00525550"/>
    <w:rsid w:val="00526115"/>
    <w:rsid w:val="005325B4"/>
    <w:rsid w:val="00533FAF"/>
    <w:rsid w:val="0053401E"/>
    <w:rsid w:val="00534A26"/>
    <w:rsid w:val="00534AE5"/>
    <w:rsid w:val="00534DC2"/>
    <w:rsid w:val="00535CFC"/>
    <w:rsid w:val="005366B6"/>
    <w:rsid w:val="00536DD2"/>
    <w:rsid w:val="005371D7"/>
    <w:rsid w:val="00537325"/>
    <w:rsid w:val="005376AA"/>
    <w:rsid w:val="00537B1A"/>
    <w:rsid w:val="005433B3"/>
    <w:rsid w:val="005436A8"/>
    <w:rsid w:val="00544D91"/>
    <w:rsid w:val="0054502C"/>
    <w:rsid w:val="00546ACE"/>
    <w:rsid w:val="00546F89"/>
    <w:rsid w:val="005476DB"/>
    <w:rsid w:val="00550A94"/>
    <w:rsid w:val="0055240F"/>
    <w:rsid w:val="00553A6C"/>
    <w:rsid w:val="00554BCD"/>
    <w:rsid w:val="00561A97"/>
    <w:rsid w:val="005627E5"/>
    <w:rsid w:val="00563DAC"/>
    <w:rsid w:val="00565A98"/>
    <w:rsid w:val="005675E0"/>
    <w:rsid w:val="00567834"/>
    <w:rsid w:val="00570A71"/>
    <w:rsid w:val="00570C00"/>
    <w:rsid w:val="00572649"/>
    <w:rsid w:val="00577824"/>
    <w:rsid w:val="0058206B"/>
    <w:rsid w:val="005837F0"/>
    <w:rsid w:val="00585690"/>
    <w:rsid w:val="00585B16"/>
    <w:rsid w:val="00585CE1"/>
    <w:rsid w:val="00591630"/>
    <w:rsid w:val="00592A52"/>
    <w:rsid w:val="00595015"/>
    <w:rsid w:val="00595909"/>
    <w:rsid w:val="00595A96"/>
    <w:rsid w:val="00595B33"/>
    <w:rsid w:val="0059662F"/>
    <w:rsid w:val="005967CF"/>
    <w:rsid w:val="005A2FF4"/>
    <w:rsid w:val="005A6EB2"/>
    <w:rsid w:val="005B3756"/>
    <w:rsid w:val="005B76B3"/>
    <w:rsid w:val="005B79F9"/>
    <w:rsid w:val="005C49E2"/>
    <w:rsid w:val="005C581F"/>
    <w:rsid w:val="005C6632"/>
    <w:rsid w:val="005D06F2"/>
    <w:rsid w:val="005D149C"/>
    <w:rsid w:val="005D1C82"/>
    <w:rsid w:val="005D1F96"/>
    <w:rsid w:val="005D3066"/>
    <w:rsid w:val="005D5AD3"/>
    <w:rsid w:val="005E2566"/>
    <w:rsid w:val="005E2E49"/>
    <w:rsid w:val="005E3D30"/>
    <w:rsid w:val="005E4B13"/>
    <w:rsid w:val="005E4C02"/>
    <w:rsid w:val="005E509F"/>
    <w:rsid w:val="005E6561"/>
    <w:rsid w:val="005F01DF"/>
    <w:rsid w:val="005F7081"/>
    <w:rsid w:val="005F76CC"/>
    <w:rsid w:val="005F7FF8"/>
    <w:rsid w:val="006004C4"/>
    <w:rsid w:val="00600C8F"/>
    <w:rsid w:val="00600CA4"/>
    <w:rsid w:val="00602416"/>
    <w:rsid w:val="006025CE"/>
    <w:rsid w:val="006027B5"/>
    <w:rsid w:val="0060393A"/>
    <w:rsid w:val="006041F2"/>
    <w:rsid w:val="006049E5"/>
    <w:rsid w:val="00604DF8"/>
    <w:rsid w:val="006064F5"/>
    <w:rsid w:val="00612894"/>
    <w:rsid w:val="0061562E"/>
    <w:rsid w:val="00616BD5"/>
    <w:rsid w:val="00617298"/>
    <w:rsid w:val="006175BA"/>
    <w:rsid w:val="00617F97"/>
    <w:rsid w:val="00620A6E"/>
    <w:rsid w:val="0062157F"/>
    <w:rsid w:val="006217DC"/>
    <w:rsid w:val="00621949"/>
    <w:rsid w:val="006231A3"/>
    <w:rsid w:val="006234EA"/>
    <w:rsid w:val="00623DE2"/>
    <w:rsid w:val="006245ED"/>
    <w:rsid w:val="006253C8"/>
    <w:rsid w:val="00627BD2"/>
    <w:rsid w:val="00630273"/>
    <w:rsid w:val="006306FB"/>
    <w:rsid w:val="00630728"/>
    <w:rsid w:val="00631319"/>
    <w:rsid w:val="006315B1"/>
    <w:rsid w:val="00631736"/>
    <w:rsid w:val="00636446"/>
    <w:rsid w:val="00637753"/>
    <w:rsid w:val="0063779B"/>
    <w:rsid w:val="00644FCC"/>
    <w:rsid w:val="0064538A"/>
    <w:rsid w:val="0064596D"/>
    <w:rsid w:val="00646A3D"/>
    <w:rsid w:val="00646C83"/>
    <w:rsid w:val="006513AB"/>
    <w:rsid w:val="0065186A"/>
    <w:rsid w:val="00652CFA"/>
    <w:rsid w:val="00653F24"/>
    <w:rsid w:val="0065564B"/>
    <w:rsid w:val="00656848"/>
    <w:rsid w:val="0065689F"/>
    <w:rsid w:val="00660471"/>
    <w:rsid w:val="006606B8"/>
    <w:rsid w:val="00662280"/>
    <w:rsid w:val="00662716"/>
    <w:rsid w:val="00662D23"/>
    <w:rsid w:val="006646D8"/>
    <w:rsid w:val="00664F84"/>
    <w:rsid w:val="006674F3"/>
    <w:rsid w:val="00667680"/>
    <w:rsid w:val="00672477"/>
    <w:rsid w:val="00673DB2"/>
    <w:rsid w:val="00676C9F"/>
    <w:rsid w:val="00677B13"/>
    <w:rsid w:val="00677F4E"/>
    <w:rsid w:val="0068123A"/>
    <w:rsid w:val="00681A08"/>
    <w:rsid w:val="00683C00"/>
    <w:rsid w:val="00684427"/>
    <w:rsid w:val="006846DD"/>
    <w:rsid w:val="0068541B"/>
    <w:rsid w:val="00685ECF"/>
    <w:rsid w:val="006875B8"/>
    <w:rsid w:val="00687633"/>
    <w:rsid w:val="00687C45"/>
    <w:rsid w:val="00687CEA"/>
    <w:rsid w:val="006909E7"/>
    <w:rsid w:val="00694E01"/>
    <w:rsid w:val="00695171"/>
    <w:rsid w:val="00695B75"/>
    <w:rsid w:val="00696482"/>
    <w:rsid w:val="006A1A95"/>
    <w:rsid w:val="006A38B7"/>
    <w:rsid w:val="006A3B97"/>
    <w:rsid w:val="006A43FA"/>
    <w:rsid w:val="006A477A"/>
    <w:rsid w:val="006A5C31"/>
    <w:rsid w:val="006B09AB"/>
    <w:rsid w:val="006B1B79"/>
    <w:rsid w:val="006B1CB2"/>
    <w:rsid w:val="006B1DD1"/>
    <w:rsid w:val="006B2024"/>
    <w:rsid w:val="006B2C52"/>
    <w:rsid w:val="006B3396"/>
    <w:rsid w:val="006B3FA2"/>
    <w:rsid w:val="006B5CB7"/>
    <w:rsid w:val="006B6CA4"/>
    <w:rsid w:val="006B6D93"/>
    <w:rsid w:val="006B7174"/>
    <w:rsid w:val="006B7B54"/>
    <w:rsid w:val="006B7D98"/>
    <w:rsid w:val="006C195E"/>
    <w:rsid w:val="006C4762"/>
    <w:rsid w:val="006C5A00"/>
    <w:rsid w:val="006C7C88"/>
    <w:rsid w:val="006D183C"/>
    <w:rsid w:val="006D1BD4"/>
    <w:rsid w:val="006D4FED"/>
    <w:rsid w:val="006D638F"/>
    <w:rsid w:val="006D63CB"/>
    <w:rsid w:val="006D6C6B"/>
    <w:rsid w:val="006D7B40"/>
    <w:rsid w:val="006E08C5"/>
    <w:rsid w:val="006E0B2C"/>
    <w:rsid w:val="006E1ACE"/>
    <w:rsid w:val="006E276B"/>
    <w:rsid w:val="006E4043"/>
    <w:rsid w:val="006E7BF7"/>
    <w:rsid w:val="006F0789"/>
    <w:rsid w:val="006F0BDC"/>
    <w:rsid w:val="006F2EC3"/>
    <w:rsid w:val="006F59F0"/>
    <w:rsid w:val="007012BA"/>
    <w:rsid w:val="0070213D"/>
    <w:rsid w:val="00702E8D"/>
    <w:rsid w:val="007068C8"/>
    <w:rsid w:val="00706A33"/>
    <w:rsid w:val="0071391F"/>
    <w:rsid w:val="00714A1F"/>
    <w:rsid w:val="00715975"/>
    <w:rsid w:val="00715B8F"/>
    <w:rsid w:val="00717BDE"/>
    <w:rsid w:val="00720854"/>
    <w:rsid w:val="007208ED"/>
    <w:rsid w:val="00722CBD"/>
    <w:rsid w:val="00726ED9"/>
    <w:rsid w:val="0073106E"/>
    <w:rsid w:val="00731506"/>
    <w:rsid w:val="00734923"/>
    <w:rsid w:val="007349E9"/>
    <w:rsid w:val="00734EFE"/>
    <w:rsid w:val="00734F07"/>
    <w:rsid w:val="00736500"/>
    <w:rsid w:val="00736677"/>
    <w:rsid w:val="00736ABC"/>
    <w:rsid w:val="0073764C"/>
    <w:rsid w:val="0074252E"/>
    <w:rsid w:val="0074313E"/>
    <w:rsid w:val="007431F0"/>
    <w:rsid w:val="0074492A"/>
    <w:rsid w:val="007464D7"/>
    <w:rsid w:val="00746BB3"/>
    <w:rsid w:val="007536AC"/>
    <w:rsid w:val="007538AD"/>
    <w:rsid w:val="007541D2"/>
    <w:rsid w:val="00754720"/>
    <w:rsid w:val="00755142"/>
    <w:rsid w:val="00756BB7"/>
    <w:rsid w:val="00756E91"/>
    <w:rsid w:val="0075764B"/>
    <w:rsid w:val="0075772E"/>
    <w:rsid w:val="00757B9A"/>
    <w:rsid w:val="00760C01"/>
    <w:rsid w:val="00761293"/>
    <w:rsid w:val="0076176B"/>
    <w:rsid w:val="00766B81"/>
    <w:rsid w:val="00767C04"/>
    <w:rsid w:val="00770CF3"/>
    <w:rsid w:val="007731D4"/>
    <w:rsid w:val="00773639"/>
    <w:rsid w:val="007736A2"/>
    <w:rsid w:val="00774B97"/>
    <w:rsid w:val="00774BD9"/>
    <w:rsid w:val="007753CE"/>
    <w:rsid w:val="00776D8E"/>
    <w:rsid w:val="007778BD"/>
    <w:rsid w:val="00784A7B"/>
    <w:rsid w:val="00785836"/>
    <w:rsid w:val="007869A3"/>
    <w:rsid w:val="0078724D"/>
    <w:rsid w:val="0079152F"/>
    <w:rsid w:val="00791870"/>
    <w:rsid w:val="00795E15"/>
    <w:rsid w:val="007A109C"/>
    <w:rsid w:val="007A250D"/>
    <w:rsid w:val="007A6226"/>
    <w:rsid w:val="007B07F6"/>
    <w:rsid w:val="007B296F"/>
    <w:rsid w:val="007B2F82"/>
    <w:rsid w:val="007B3C61"/>
    <w:rsid w:val="007B4AF2"/>
    <w:rsid w:val="007B56AC"/>
    <w:rsid w:val="007B6EE1"/>
    <w:rsid w:val="007B6F08"/>
    <w:rsid w:val="007B7FBB"/>
    <w:rsid w:val="007C1062"/>
    <w:rsid w:val="007C2769"/>
    <w:rsid w:val="007C62F1"/>
    <w:rsid w:val="007D1918"/>
    <w:rsid w:val="007D1FBE"/>
    <w:rsid w:val="007D2926"/>
    <w:rsid w:val="007D7BB5"/>
    <w:rsid w:val="007E4319"/>
    <w:rsid w:val="007E68DC"/>
    <w:rsid w:val="007E7DB1"/>
    <w:rsid w:val="007F004C"/>
    <w:rsid w:val="007F03F2"/>
    <w:rsid w:val="007F165A"/>
    <w:rsid w:val="007F2ECC"/>
    <w:rsid w:val="007F3DD1"/>
    <w:rsid w:val="007F3E1D"/>
    <w:rsid w:val="007F5863"/>
    <w:rsid w:val="007F7A32"/>
    <w:rsid w:val="00800C2F"/>
    <w:rsid w:val="008024AC"/>
    <w:rsid w:val="00804A64"/>
    <w:rsid w:val="0080589B"/>
    <w:rsid w:val="008065D7"/>
    <w:rsid w:val="00810E9D"/>
    <w:rsid w:val="00812854"/>
    <w:rsid w:val="00812DB8"/>
    <w:rsid w:val="00816E30"/>
    <w:rsid w:val="008200C5"/>
    <w:rsid w:val="0082264B"/>
    <w:rsid w:val="008251FB"/>
    <w:rsid w:val="0082565D"/>
    <w:rsid w:val="00825AD9"/>
    <w:rsid w:val="00826AD9"/>
    <w:rsid w:val="0082765B"/>
    <w:rsid w:val="00831C4E"/>
    <w:rsid w:val="0083508F"/>
    <w:rsid w:val="00835216"/>
    <w:rsid w:val="008352B1"/>
    <w:rsid w:val="00835BD7"/>
    <w:rsid w:val="008371AB"/>
    <w:rsid w:val="00837810"/>
    <w:rsid w:val="00841674"/>
    <w:rsid w:val="00841D8C"/>
    <w:rsid w:val="008428E8"/>
    <w:rsid w:val="00843D71"/>
    <w:rsid w:val="00846F11"/>
    <w:rsid w:val="0084745A"/>
    <w:rsid w:val="00847473"/>
    <w:rsid w:val="00847E3C"/>
    <w:rsid w:val="00847F83"/>
    <w:rsid w:val="00850C6C"/>
    <w:rsid w:val="00851604"/>
    <w:rsid w:val="0085359C"/>
    <w:rsid w:val="00854F4A"/>
    <w:rsid w:val="008574B8"/>
    <w:rsid w:val="00860687"/>
    <w:rsid w:val="00862C40"/>
    <w:rsid w:val="00863096"/>
    <w:rsid w:val="00865403"/>
    <w:rsid w:val="00865F34"/>
    <w:rsid w:val="00866E60"/>
    <w:rsid w:val="00867E31"/>
    <w:rsid w:val="00870045"/>
    <w:rsid w:val="00871A0F"/>
    <w:rsid w:val="00872088"/>
    <w:rsid w:val="00875D9B"/>
    <w:rsid w:val="00876C24"/>
    <w:rsid w:val="00876E5F"/>
    <w:rsid w:val="00877EC9"/>
    <w:rsid w:val="00880740"/>
    <w:rsid w:val="00881257"/>
    <w:rsid w:val="00882312"/>
    <w:rsid w:val="008823F7"/>
    <w:rsid w:val="008831C7"/>
    <w:rsid w:val="00884A12"/>
    <w:rsid w:val="00884D9F"/>
    <w:rsid w:val="0088770F"/>
    <w:rsid w:val="008879C8"/>
    <w:rsid w:val="00890CE4"/>
    <w:rsid w:val="00891ED7"/>
    <w:rsid w:val="0089214F"/>
    <w:rsid w:val="00894112"/>
    <w:rsid w:val="00897030"/>
    <w:rsid w:val="00897BA6"/>
    <w:rsid w:val="008A0CC8"/>
    <w:rsid w:val="008A16B4"/>
    <w:rsid w:val="008A29D3"/>
    <w:rsid w:val="008A455F"/>
    <w:rsid w:val="008A6996"/>
    <w:rsid w:val="008B06C7"/>
    <w:rsid w:val="008B0BDD"/>
    <w:rsid w:val="008B3307"/>
    <w:rsid w:val="008B4767"/>
    <w:rsid w:val="008B6953"/>
    <w:rsid w:val="008B7B54"/>
    <w:rsid w:val="008C0939"/>
    <w:rsid w:val="008C1282"/>
    <w:rsid w:val="008C3187"/>
    <w:rsid w:val="008C5E4F"/>
    <w:rsid w:val="008D2765"/>
    <w:rsid w:val="008D4A4D"/>
    <w:rsid w:val="008D4B86"/>
    <w:rsid w:val="008D5F9F"/>
    <w:rsid w:val="008D63B7"/>
    <w:rsid w:val="008D6A03"/>
    <w:rsid w:val="008D6CA7"/>
    <w:rsid w:val="008E0798"/>
    <w:rsid w:val="008E0E5F"/>
    <w:rsid w:val="008E4092"/>
    <w:rsid w:val="008E7ECC"/>
    <w:rsid w:val="008E7FEE"/>
    <w:rsid w:val="008F096B"/>
    <w:rsid w:val="008F1640"/>
    <w:rsid w:val="008F1DE0"/>
    <w:rsid w:val="008F31F5"/>
    <w:rsid w:val="008F32F9"/>
    <w:rsid w:val="008F516F"/>
    <w:rsid w:val="008F5CBE"/>
    <w:rsid w:val="008F67F5"/>
    <w:rsid w:val="008F6BCE"/>
    <w:rsid w:val="008F6E62"/>
    <w:rsid w:val="008F7332"/>
    <w:rsid w:val="008F7CF1"/>
    <w:rsid w:val="009001F0"/>
    <w:rsid w:val="00900D4B"/>
    <w:rsid w:val="00904937"/>
    <w:rsid w:val="00904BF4"/>
    <w:rsid w:val="00904CD3"/>
    <w:rsid w:val="00905E3B"/>
    <w:rsid w:val="00905F9B"/>
    <w:rsid w:val="00906DC7"/>
    <w:rsid w:val="00906FC9"/>
    <w:rsid w:val="0091045D"/>
    <w:rsid w:val="00914E0E"/>
    <w:rsid w:val="00915A18"/>
    <w:rsid w:val="009170B9"/>
    <w:rsid w:val="00917397"/>
    <w:rsid w:val="00917B88"/>
    <w:rsid w:val="00921838"/>
    <w:rsid w:val="00921B38"/>
    <w:rsid w:val="009227D9"/>
    <w:rsid w:val="00923A87"/>
    <w:rsid w:val="00924217"/>
    <w:rsid w:val="0092458D"/>
    <w:rsid w:val="00925120"/>
    <w:rsid w:val="00925838"/>
    <w:rsid w:val="009269A8"/>
    <w:rsid w:val="00926E2A"/>
    <w:rsid w:val="00927482"/>
    <w:rsid w:val="00931038"/>
    <w:rsid w:val="00931394"/>
    <w:rsid w:val="00931650"/>
    <w:rsid w:val="00932735"/>
    <w:rsid w:val="00934303"/>
    <w:rsid w:val="009360E5"/>
    <w:rsid w:val="00936FF5"/>
    <w:rsid w:val="0094021D"/>
    <w:rsid w:val="009427D3"/>
    <w:rsid w:val="00944028"/>
    <w:rsid w:val="0095112B"/>
    <w:rsid w:val="009523A9"/>
    <w:rsid w:val="009559CD"/>
    <w:rsid w:val="0095712A"/>
    <w:rsid w:val="00962C68"/>
    <w:rsid w:val="0096303B"/>
    <w:rsid w:val="00963044"/>
    <w:rsid w:val="00966517"/>
    <w:rsid w:val="00966A6A"/>
    <w:rsid w:val="009674E9"/>
    <w:rsid w:val="0096787E"/>
    <w:rsid w:val="00970284"/>
    <w:rsid w:val="00971A9D"/>
    <w:rsid w:val="00972EDE"/>
    <w:rsid w:val="00973A6D"/>
    <w:rsid w:val="0097792C"/>
    <w:rsid w:val="009816E4"/>
    <w:rsid w:val="00984177"/>
    <w:rsid w:val="00985AFA"/>
    <w:rsid w:val="009865AA"/>
    <w:rsid w:val="0098664C"/>
    <w:rsid w:val="00987080"/>
    <w:rsid w:val="0098765A"/>
    <w:rsid w:val="00987E09"/>
    <w:rsid w:val="00990CA4"/>
    <w:rsid w:val="009916F1"/>
    <w:rsid w:val="009917BA"/>
    <w:rsid w:val="00992E53"/>
    <w:rsid w:val="0099526E"/>
    <w:rsid w:val="009962AA"/>
    <w:rsid w:val="009968B0"/>
    <w:rsid w:val="00996B6A"/>
    <w:rsid w:val="009A41A7"/>
    <w:rsid w:val="009A5553"/>
    <w:rsid w:val="009A57A4"/>
    <w:rsid w:val="009A6CB2"/>
    <w:rsid w:val="009A77CB"/>
    <w:rsid w:val="009B0982"/>
    <w:rsid w:val="009B40E4"/>
    <w:rsid w:val="009B4ABC"/>
    <w:rsid w:val="009B4C99"/>
    <w:rsid w:val="009B6D69"/>
    <w:rsid w:val="009C13FB"/>
    <w:rsid w:val="009C209C"/>
    <w:rsid w:val="009C6231"/>
    <w:rsid w:val="009D22B5"/>
    <w:rsid w:val="009D2391"/>
    <w:rsid w:val="009D28CF"/>
    <w:rsid w:val="009D4D9C"/>
    <w:rsid w:val="009E18E4"/>
    <w:rsid w:val="009E4238"/>
    <w:rsid w:val="009E5D36"/>
    <w:rsid w:val="009E6375"/>
    <w:rsid w:val="009E7CA0"/>
    <w:rsid w:val="009F0BC0"/>
    <w:rsid w:val="009F0E88"/>
    <w:rsid w:val="009F2911"/>
    <w:rsid w:val="009F3968"/>
    <w:rsid w:val="009F4CCF"/>
    <w:rsid w:val="009F4EAF"/>
    <w:rsid w:val="00A00970"/>
    <w:rsid w:val="00A0279D"/>
    <w:rsid w:val="00A04392"/>
    <w:rsid w:val="00A052CB"/>
    <w:rsid w:val="00A069CE"/>
    <w:rsid w:val="00A07088"/>
    <w:rsid w:val="00A103DC"/>
    <w:rsid w:val="00A105DC"/>
    <w:rsid w:val="00A109D8"/>
    <w:rsid w:val="00A11D31"/>
    <w:rsid w:val="00A16003"/>
    <w:rsid w:val="00A167D7"/>
    <w:rsid w:val="00A17F24"/>
    <w:rsid w:val="00A23860"/>
    <w:rsid w:val="00A23D39"/>
    <w:rsid w:val="00A23EC2"/>
    <w:rsid w:val="00A24268"/>
    <w:rsid w:val="00A24FBB"/>
    <w:rsid w:val="00A31C09"/>
    <w:rsid w:val="00A32485"/>
    <w:rsid w:val="00A32807"/>
    <w:rsid w:val="00A33ABA"/>
    <w:rsid w:val="00A3453E"/>
    <w:rsid w:val="00A35282"/>
    <w:rsid w:val="00A3648A"/>
    <w:rsid w:val="00A40D53"/>
    <w:rsid w:val="00A40D5E"/>
    <w:rsid w:val="00A41329"/>
    <w:rsid w:val="00A413A8"/>
    <w:rsid w:val="00A42592"/>
    <w:rsid w:val="00A42ED2"/>
    <w:rsid w:val="00A4331A"/>
    <w:rsid w:val="00A44B33"/>
    <w:rsid w:val="00A44B8B"/>
    <w:rsid w:val="00A463C9"/>
    <w:rsid w:val="00A50E00"/>
    <w:rsid w:val="00A52529"/>
    <w:rsid w:val="00A53624"/>
    <w:rsid w:val="00A55EAF"/>
    <w:rsid w:val="00A572A4"/>
    <w:rsid w:val="00A57393"/>
    <w:rsid w:val="00A5766B"/>
    <w:rsid w:val="00A61892"/>
    <w:rsid w:val="00A64534"/>
    <w:rsid w:val="00A7059D"/>
    <w:rsid w:val="00A708D2"/>
    <w:rsid w:val="00A70F82"/>
    <w:rsid w:val="00A71F8D"/>
    <w:rsid w:val="00A7203F"/>
    <w:rsid w:val="00A73A7E"/>
    <w:rsid w:val="00A75078"/>
    <w:rsid w:val="00A757C5"/>
    <w:rsid w:val="00A75B42"/>
    <w:rsid w:val="00A76466"/>
    <w:rsid w:val="00A7675C"/>
    <w:rsid w:val="00A76FED"/>
    <w:rsid w:val="00A77512"/>
    <w:rsid w:val="00A8162B"/>
    <w:rsid w:val="00A8228F"/>
    <w:rsid w:val="00A823C3"/>
    <w:rsid w:val="00A835F9"/>
    <w:rsid w:val="00A85075"/>
    <w:rsid w:val="00A863E3"/>
    <w:rsid w:val="00A87325"/>
    <w:rsid w:val="00A87E1A"/>
    <w:rsid w:val="00A903B1"/>
    <w:rsid w:val="00A92E46"/>
    <w:rsid w:val="00A936F8"/>
    <w:rsid w:val="00A946E4"/>
    <w:rsid w:val="00A95C8C"/>
    <w:rsid w:val="00A97BFB"/>
    <w:rsid w:val="00AA00AA"/>
    <w:rsid w:val="00AA02F4"/>
    <w:rsid w:val="00AA2574"/>
    <w:rsid w:val="00AA6CD8"/>
    <w:rsid w:val="00AB0BBC"/>
    <w:rsid w:val="00AB157D"/>
    <w:rsid w:val="00AB301A"/>
    <w:rsid w:val="00AB30B1"/>
    <w:rsid w:val="00AB3133"/>
    <w:rsid w:val="00AB3A92"/>
    <w:rsid w:val="00AB478B"/>
    <w:rsid w:val="00AB47AC"/>
    <w:rsid w:val="00AB4AD9"/>
    <w:rsid w:val="00AB6CBB"/>
    <w:rsid w:val="00AB763F"/>
    <w:rsid w:val="00AC39B7"/>
    <w:rsid w:val="00AC4601"/>
    <w:rsid w:val="00AC467D"/>
    <w:rsid w:val="00AC5B0E"/>
    <w:rsid w:val="00AD0050"/>
    <w:rsid w:val="00AD2AED"/>
    <w:rsid w:val="00AD4F06"/>
    <w:rsid w:val="00AD5742"/>
    <w:rsid w:val="00AD646A"/>
    <w:rsid w:val="00AD6E77"/>
    <w:rsid w:val="00AD7A25"/>
    <w:rsid w:val="00AE0C48"/>
    <w:rsid w:val="00AE25A4"/>
    <w:rsid w:val="00AE2666"/>
    <w:rsid w:val="00AE68EF"/>
    <w:rsid w:val="00AF3A5A"/>
    <w:rsid w:val="00AF3E15"/>
    <w:rsid w:val="00AF5218"/>
    <w:rsid w:val="00AF646B"/>
    <w:rsid w:val="00AF64F1"/>
    <w:rsid w:val="00B018B1"/>
    <w:rsid w:val="00B01F47"/>
    <w:rsid w:val="00B02A53"/>
    <w:rsid w:val="00B031C1"/>
    <w:rsid w:val="00B0480E"/>
    <w:rsid w:val="00B1026A"/>
    <w:rsid w:val="00B10465"/>
    <w:rsid w:val="00B16962"/>
    <w:rsid w:val="00B21166"/>
    <w:rsid w:val="00B2184F"/>
    <w:rsid w:val="00B247B1"/>
    <w:rsid w:val="00B249C3"/>
    <w:rsid w:val="00B25B65"/>
    <w:rsid w:val="00B263AE"/>
    <w:rsid w:val="00B304AA"/>
    <w:rsid w:val="00B30732"/>
    <w:rsid w:val="00B31854"/>
    <w:rsid w:val="00B33A6C"/>
    <w:rsid w:val="00B3433F"/>
    <w:rsid w:val="00B344E3"/>
    <w:rsid w:val="00B372D3"/>
    <w:rsid w:val="00B415EA"/>
    <w:rsid w:val="00B43CE8"/>
    <w:rsid w:val="00B458F6"/>
    <w:rsid w:val="00B45DC8"/>
    <w:rsid w:val="00B464F8"/>
    <w:rsid w:val="00B47091"/>
    <w:rsid w:val="00B52F8A"/>
    <w:rsid w:val="00B56534"/>
    <w:rsid w:val="00B57A21"/>
    <w:rsid w:val="00B62C3E"/>
    <w:rsid w:val="00B6436C"/>
    <w:rsid w:val="00B645DE"/>
    <w:rsid w:val="00B65857"/>
    <w:rsid w:val="00B66698"/>
    <w:rsid w:val="00B70193"/>
    <w:rsid w:val="00B74211"/>
    <w:rsid w:val="00B745DC"/>
    <w:rsid w:val="00B74625"/>
    <w:rsid w:val="00B74835"/>
    <w:rsid w:val="00B77D09"/>
    <w:rsid w:val="00B83641"/>
    <w:rsid w:val="00B84350"/>
    <w:rsid w:val="00B855A6"/>
    <w:rsid w:val="00B91098"/>
    <w:rsid w:val="00B91904"/>
    <w:rsid w:val="00B92735"/>
    <w:rsid w:val="00B93A8E"/>
    <w:rsid w:val="00B942DC"/>
    <w:rsid w:val="00B961A5"/>
    <w:rsid w:val="00B969ED"/>
    <w:rsid w:val="00BA157F"/>
    <w:rsid w:val="00BA1E8C"/>
    <w:rsid w:val="00BA36E1"/>
    <w:rsid w:val="00BA4042"/>
    <w:rsid w:val="00BA4832"/>
    <w:rsid w:val="00BA77F1"/>
    <w:rsid w:val="00BB0069"/>
    <w:rsid w:val="00BB0D90"/>
    <w:rsid w:val="00BB122B"/>
    <w:rsid w:val="00BB1D90"/>
    <w:rsid w:val="00BB3CA2"/>
    <w:rsid w:val="00BB60C6"/>
    <w:rsid w:val="00BB7984"/>
    <w:rsid w:val="00BB7C65"/>
    <w:rsid w:val="00BC363F"/>
    <w:rsid w:val="00BC488B"/>
    <w:rsid w:val="00BC5FAE"/>
    <w:rsid w:val="00BC6676"/>
    <w:rsid w:val="00BC6A06"/>
    <w:rsid w:val="00BD137C"/>
    <w:rsid w:val="00BD2AFF"/>
    <w:rsid w:val="00BD3F5B"/>
    <w:rsid w:val="00BD557F"/>
    <w:rsid w:val="00BD6972"/>
    <w:rsid w:val="00BD6C95"/>
    <w:rsid w:val="00BE1E95"/>
    <w:rsid w:val="00BE3BC7"/>
    <w:rsid w:val="00BE4EC5"/>
    <w:rsid w:val="00BE6FDF"/>
    <w:rsid w:val="00BE7137"/>
    <w:rsid w:val="00BF092B"/>
    <w:rsid w:val="00BF0BE0"/>
    <w:rsid w:val="00BF1AB7"/>
    <w:rsid w:val="00BF4D8C"/>
    <w:rsid w:val="00BF5D2E"/>
    <w:rsid w:val="00BF5F28"/>
    <w:rsid w:val="00BF5F6F"/>
    <w:rsid w:val="00BF6794"/>
    <w:rsid w:val="00BF7C48"/>
    <w:rsid w:val="00BF7FE9"/>
    <w:rsid w:val="00C00101"/>
    <w:rsid w:val="00C0039F"/>
    <w:rsid w:val="00C01031"/>
    <w:rsid w:val="00C03106"/>
    <w:rsid w:val="00C03596"/>
    <w:rsid w:val="00C05EEC"/>
    <w:rsid w:val="00C076B6"/>
    <w:rsid w:val="00C123A6"/>
    <w:rsid w:val="00C137AC"/>
    <w:rsid w:val="00C15436"/>
    <w:rsid w:val="00C15A13"/>
    <w:rsid w:val="00C177D9"/>
    <w:rsid w:val="00C238D9"/>
    <w:rsid w:val="00C23CF9"/>
    <w:rsid w:val="00C24A9D"/>
    <w:rsid w:val="00C2639E"/>
    <w:rsid w:val="00C265B4"/>
    <w:rsid w:val="00C2677E"/>
    <w:rsid w:val="00C31542"/>
    <w:rsid w:val="00C33624"/>
    <w:rsid w:val="00C347BF"/>
    <w:rsid w:val="00C352F3"/>
    <w:rsid w:val="00C40163"/>
    <w:rsid w:val="00C43EB2"/>
    <w:rsid w:val="00C53209"/>
    <w:rsid w:val="00C54DCB"/>
    <w:rsid w:val="00C55129"/>
    <w:rsid w:val="00C564B4"/>
    <w:rsid w:val="00C6035A"/>
    <w:rsid w:val="00C6078D"/>
    <w:rsid w:val="00C633AF"/>
    <w:rsid w:val="00C6363C"/>
    <w:rsid w:val="00C64BA9"/>
    <w:rsid w:val="00C6549E"/>
    <w:rsid w:val="00C657CF"/>
    <w:rsid w:val="00C66DE7"/>
    <w:rsid w:val="00C70819"/>
    <w:rsid w:val="00C710C7"/>
    <w:rsid w:val="00C71135"/>
    <w:rsid w:val="00C7373D"/>
    <w:rsid w:val="00C75952"/>
    <w:rsid w:val="00C80D62"/>
    <w:rsid w:val="00C82EB6"/>
    <w:rsid w:val="00C8355E"/>
    <w:rsid w:val="00C8388B"/>
    <w:rsid w:val="00C844C6"/>
    <w:rsid w:val="00C8485B"/>
    <w:rsid w:val="00C84944"/>
    <w:rsid w:val="00C86552"/>
    <w:rsid w:val="00C8789F"/>
    <w:rsid w:val="00C90888"/>
    <w:rsid w:val="00C92BF8"/>
    <w:rsid w:val="00C95435"/>
    <w:rsid w:val="00C96BFD"/>
    <w:rsid w:val="00C96C98"/>
    <w:rsid w:val="00C96D2C"/>
    <w:rsid w:val="00C978ED"/>
    <w:rsid w:val="00CA0C76"/>
    <w:rsid w:val="00CA1F9E"/>
    <w:rsid w:val="00CA2A04"/>
    <w:rsid w:val="00CA35FA"/>
    <w:rsid w:val="00CA5358"/>
    <w:rsid w:val="00CA5C91"/>
    <w:rsid w:val="00CB1DCA"/>
    <w:rsid w:val="00CB5388"/>
    <w:rsid w:val="00CB7E1E"/>
    <w:rsid w:val="00CC28F6"/>
    <w:rsid w:val="00CC33C2"/>
    <w:rsid w:val="00CC52D3"/>
    <w:rsid w:val="00CC6AD0"/>
    <w:rsid w:val="00CD014B"/>
    <w:rsid w:val="00CD26F4"/>
    <w:rsid w:val="00CD2BEB"/>
    <w:rsid w:val="00CD3AF7"/>
    <w:rsid w:val="00CD3F99"/>
    <w:rsid w:val="00CD502A"/>
    <w:rsid w:val="00CE38F6"/>
    <w:rsid w:val="00CE4A29"/>
    <w:rsid w:val="00CE538D"/>
    <w:rsid w:val="00CE5393"/>
    <w:rsid w:val="00CE75B0"/>
    <w:rsid w:val="00CE77D8"/>
    <w:rsid w:val="00CE7C1A"/>
    <w:rsid w:val="00CF12CF"/>
    <w:rsid w:val="00CF321D"/>
    <w:rsid w:val="00CF43A7"/>
    <w:rsid w:val="00CF481E"/>
    <w:rsid w:val="00CF4BE3"/>
    <w:rsid w:val="00CF6E76"/>
    <w:rsid w:val="00D005F6"/>
    <w:rsid w:val="00D04517"/>
    <w:rsid w:val="00D060D2"/>
    <w:rsid w:val="00D105B4"/>
    <w:rsid w:val="00D1368F"/>
    <w:rsid w:val="00D13E2D"/>
    <w:rsid w:val="00D14394"/>
    <w:rsid w:val="00D14EB4"/>
    <w:rsid w:val="00D22BEA"/>
    <w:rsid w:val="00D23AEF"/>
    <w:rsid w:val="00D240E9"/>
    <w:rsid w:val="00D242CD"/>
    <w:rsid w:val="00D260C2"/>
    <w:rsid w:val="00D33526"/>
    <w:rsid w:val="00D341C3"/>
    <w:rsid w:val="00D37822"/>
    <w:rsid w:val="00D40493"/>
    <w:rsid w:val="00D41CC6"/>
    <w:rsid w:val="00D42843"/>
    <w:rsid w:val="00D45DDD"/>
    <w:rsid w:val="00D47BDA"/>
    <w:rsid w:val="00D5152A"/>
    <w:rsid w:val="00D519CA"/>
    <w:rsid w:val="00D5369D"/>
    <w:rsid w:val="00D5470D"/>
    <w:rsid w:val="00D54754"/>
    <w:rsid w:val="00D54FE5"/>
    <w:rsid w:val="00D574EF"/>
    <w:rsid w:val="00D60F8E"/>
    <w:rsid w:val="00D62942"/>
    <w:rsid w:val="00D65145"/>
    <w:rsid w:val="00D65DF8"/>
    <w:rsid w:val="00D65FDD"/>
    <w:rsid w:val="00D67432"/>
    <w:rsid w:val="00D70D57"/>
    <w:rsid w:val="00D718E8"/>
    <w:rsid w:val="00D73E95"/>
    <w:rsid w:val="00D74314"/>
    <w:rsid w:val="00D7481B"/>
    <w:rsid w:val="00D77370"/>
    <w:rsid w:val="00D81410"/>
    <w:rsid w:val="00D81E4B"/>
    <w:rsid w:val="00D81EA6"/>
    <w:rsid w:val="00D824AD"/>
    <w:rsid w:val="00D852A8"/>
    <w:rsid w:val="00D85488"/>
    <w:rsid w:val="00D85BFC"/>
    <w:rsid w:val="00D86CA3"/>
    <w:rsid w:val="00D871CF"/>
    <w:rsid w:val="00D873CF"/>
    <w:rsid w:val="00D8795D"/>
    <w:rsid w:val="00D9089F"/>
    <w:rsid w:val="00D90CAB"/>
    <w:rsid w:val="00D91139"/>
    <w:rsid w:val="00D91498"/>
    <w:rsid w:val="00D922C0"/>
    <w:rsid w:val="00D92505"/>
    <w:rsid w:val="00D93585"/>
    <w:rsid w:val="00D96B7A"/>
    <w:rsid w:val="00D96F2A"/>
    <w:rsid w:val="00DA016D"/>
    <w:rsid w:val="00DA0D3A"/>
    <w:rsid w:val="00DA267C"/>
    <w:rsid w:val="00DA2754"/>
    <w:rsid w:val="00DA27AA"/>
    <w:rsid w:val="00DA2800"/>
    <w:rsid w:val="00DA2D2E"/>
    <w:rsid w:val="00DA5101"/>
    <w:rsid w:val="00DA547A"/>
    <w:rsid w:val="00DA79EF"/>
    <w:rsid w:val="00DB0570"/>
    <w:rsid w:val="00DB0C0B"/>
    <w:rsid w:val="00DB0EAC"/>
    <w:rsid w:val="00DB3B74"/>
    <w:rsid w:val="00DB4537"/>
    <w:rsid w:val="00DB5AE1"/>
    <w:rsid w:val="00DC0048"/>
    <w:rsid w:val="00DC3608"/>
    <w:rsid w:val="00DC3F0C"/>
    <w:rsid w:val="00DC4591"/>
    <w:rsid w:val="00DC5870"/>
    <w:rsid w:val="00DD0384"/>
    <w:rsid w:val="00DD0901"/>
    <w:rsid w:val="00DD1A56"/>
    <w:rsid w:val="00DD2431"/>
    <w:rsid w:val="00DD4C01"/>
    <w:rsid w:val="00DD5D02"/>
    <w:rsid w:val="00DD780F"/>
    <w:rsid w:val="00DE16B6"/>
    <w:rsid w:val="00DE3323"/>
    <w:rsid w:val="00DE36CA"/>
    <w:rsid w:val="00DE5F39"/>
    <w:rsid w:val="00DE731A"/>
    <w:rsid w:val="00DE7C9F"/>
    <w:rsid w:val="00DE7E63"/>
    <w:rsid w:val="00DF0BD9"/>
    <w:rsid w:val="00DF4DF0"/>
    <w:rsid w:val="00DF534F"/>
    <w:rsid w:val="00DF6055"/>
    <w:rsid w:val="00DF77A2"/>
    <w:rsid w:val="00DF7A9C"/>
    <w:rsid w:val="00E00948"/>
    <w:rsid w:val="00E009B0"/>
    <w:rsid w:val="00E02066"/>
    <w:rsid w:val="00E02890"/>
    <w:rsid w:val="00E057EC"/>
    <w:rsid w:val="00E063B4"/>
    <w:rsid w:val="00E14D21"/>
    <w:rsid w:val="00E15314"/>
    <w:rsid w:val="00E16460"/>
    <w:rsid w:val="00E16B4C"/>
    <w:rsid w:val="00E16E5F"/>
    <w:rsid w:val="00E214FE"/>
    <w:rsid w:val="00E231D8"/>
    <w:rsid w:val="00E25131"/>
    <w:rsid w:val="00E26D66"/>
    <w:rsid w:val="00E31B5E"/>
    <w:rsid w:val="00E33E89"/>
    <w:rsid w:val="00E351F4"/>
    <w:rsid w:val="00E367BB"/>
    <w:rsid w:val="00E367C5"/>
    <w:rsid w:val="00E3777F"/>
    <w:rsid w:val="00E37E71"/>
    <w:rsid w:val="00E4098B"/>
    <w:rsid w:val="00E421E9"/>
    <w:rsid w:val="00E42486"/>
    <w:rsid w:val="00E42847"/>
    <w:rsid w:val="00E4405F"/>
    <w:rsid w:val="00E44F46"/>
    <w:rsid w:val="00E46064"/>
    <w:rsid w:val="00E503F1"/>
    <w:rsid w:val="00E5142A"/>
    <w:rsid w:val="00E526FD"/>
    <w:rsid w:val="00E5348F"/>
    <w:rsid w:val="00E53797"/>
    <w:rsid w:val="00E559DD"/>
    <w:rsid w:val="00E55FF7"/>
    <w:rsid w:val="00E604A1"/>
    <w:rsid w:val="00E6065B"/>
    <w:rsid w:val="00E6145A"/>
    <w:rsid w:val="00E62938"/>
    <w:rsid w:val="00E638EE"/>
    <w:rsid w:val="00E65660"/>
    <w:rsid w:val="00E65F74"/>
    <w:rsid w:val="00E664C7"/>
    <w:rsid w:val="00E66C41"/>
    <w:rsid w:val="00E67F20"/>
    <w:rsid w:val="00E70BF8"/>
    <w:rsid w:val="00E73AA8"/>
    <w:rsid w:val="00E74898"/>
    <w:rsid w:val="00E762C1"/>
    <w:rsid w:val="00E76602"/>
    <w:rsid w:val="00E80045"/>
    <w:rsid w:val="00E80228"/>
    <w:rsid w:val="00E808E9"/>
    <w:rsid w:val="00E812CF"/>
    <w:rsid w:val="00E81E4D"/>
    <w:rsid w:val="00E81EE6"/>
    <w:rsid w:val="00E83790"/>
    <w:rsid w:val="00E8388F"/>
    <w:rsid w:val="00E83CEE"/>
    <w:rsid w:val="00E8662B"/>
    <w:rsid w:val="00E86D2A"/>
    <w:rsid w:val="00E8738A"/>
    <w:rsid w:val="00E8798F"/>
    <w:rsid w:val="00E87B1E"/>
    <w:rsid w:val="00E9227D"/>
    <w:rsid w:val="00E95D35"/>
    <w:rsid w:val="00E96FE5"/>
    <w:rsid w:val="00EA0211"/>
    <w:rsid w:val="00EA0513"/>
    <w:rsid w:val="00EA130D"/>
    <w:rsid w:val="00EA1B88"/>
    <w:rsid w:val="00EA234D"/>
    <w:rsid w:val="00EA2ED4"/>
    <w:rsid w:val="00EA382E"/>
    <w:rsid w:val="00EA3F11"/>
    <w:rsid w:val="00EA491A"/>
    <w:rsid w:val="00EA5F1C"/>
    <w:rsid w:val="00EB1583"/>
    <w:rsid w:val="00EB1D2F"/>
    <w:rsid w:val="00EB22D2"/>
    <w:rsid w:val="00EB4DB6"/>
    <w:rsid w:val="00EB4DDF"/>
    <w:rsid w:val="00EB4E81"/>
    <w:rsid w:val="00EB4EED"/>
    <w:rsid w:val="00EB52D1"/>
    <w:rsid w:val="00EB54A9"/>
    <w:rsid w:val="00EB568B"/>
    <w:rsid w:val="00EC048C"/>
    <w:rsid w:val="00EC0A32"/>
    <w:rsid w:val="00EC101B"/>
    <w:rsid w:val="00EC23FB"/>
    <w:rsid w:val="00EC3050"/>
    <w:rsid w:val="00EC6386"/>
    <w:rsid w:val="00EC6F7C"/>
    <w:rsid w:val="00ED0BEE"/>
    <w:rsid w:val="00ED4416"/>
    <w:rsid w:val="00ED7681"/>
    <w:rsid w:val="00ED7DF3"/>
    <w:rsid w:val="00EE1935"/>
    <w:rsid w:val="00EE1B47"/>
    <w:rsid w:val="00EE243C"/>
    <w:rsid w:val="00EF1045"/>
    <w:rsid w:val="00EF1874"/>
    <w:rsid w:val="00EF299E"/>
    <w:rsid w:val="00EF53B1"/>
    <w:rsid w:val="00EF62A9"/>
    <w:rsid w:val="00EF63C6"/>
    <w:rsid w:val="00F00CD5"/>
    <w:rsid w:val="00F029E8"/>
    <w:rsid w:val="00F02BE2"/>
    <w:rsid w:val="00F034FB"/>
    <w:rsid w:val="00F0528C"/>
    <w:rsid w:val="00F05606"/>
    <w:rsid w:val="00F065CF"/>
    <w:rsid w:val="00F105F5"/>
    <w:rsid w:val="00F1075A"/>
    <w:rsid w:val="00F12398"/>
    <w:rsid w:val="00F12F5F"/>
    <w:rsid w:val="00F13185"/>
    <w:rsid w:val="00F21290"/>
    <w:rsid w:val="00F21570"/>
    <w:rsid w:val="00F21A9F"/>
    <w:rsid w:val="00F22556"/>
    <w:rsid w:val="00F22B5D"/>
    <w:rsid w:val="00F22E82"/>
    <w:rsid w:val="00F23D18"/>
    <w:rsid w:val="00F24040"/>
    <w:rsid w:val="00F2483A"/>
    <w:rsid w:val="00F25EBA"/>
    <w:rsid w:val="00F32971"/>
    <w:rsid w:val="00F337BF"/>
    <w:rsid w:val="00F33D14"/>
    <w:rsid w:val="00F33DF8"/>
    <w:rsid w:val="00F34BDD"/>
    <w:rsid w:val="00F35022"/>
    <w:rsid w:val="00F36C54"/>
    <w:rsid w:val="00F40C6A"/>
    <w:rsid w:val="00F40CD1"/>
    <w:rsid w:val="00F43F84"/>
    <w:rsid w:val="00F46A66"/>
    <w:rsid w:val="00F47348"/>
    <w:rsid w:val="00F473B6"/>
    <w:rsid w:val="00F509D5"/>
    <w:rsid w:val="00F52450"/>
    <w:rsid w:val="00F52E57"/>
    <w:rsid w:val="00F53E06"/>
    <w:rsid w:val="00F54188"/>
    <w:rsid w:val="00F54C67"/>
    <w:rsid w:val="00F54CC0"/>
    <w:rsid w:val="00F551EF"/>
    <w:rsid w:val="00F60F4C"/>
    <w:rsid w:val="00F61F42"/>
    <w:rsid w:val="00F6226D"/>
    <w:rsid w:val="00F6279C"/>
    <w:rsid w:val="00F635D9"/>
    <w:rsid w:val="00F64E7E"/>
    <w:rsid w:val="00F6517D"/>
    <w:rsid w:val="00F66CDD"/>
    <w:rsid w:val="00F701EE"/>
    <w:rsid w:val="00F71D88"/>
    <w:rsid w:val="00F727A5"/>
    <w:rsid w:val="00F731FC"/>
    <w:rsid w:val="00F7445E"/>
    <w:rsid w:val="00F75699"/>
    <w:rsid w:val="00F75DEB"/>
    <w:rsid w:val="00F80640"/>
    <w:rsid w:val="00F847A9"/>
    <w:rsid w:val="00F85D50"/>
    <w:rsid w:val="00F85E6F"/>
    <w:rsid w:val="00F874C3"/>
    <w:rsid w:val="00F92C3E"/>
    <w:rsid w:val="00F92F4F"/>
    <w:rsid w:val="00F93FF6"/>
    <w:rsid w:val="00F942BA"/>
    <w:rsid w:val="00F952D1"/>
    <w:rsid w:val="00F95CEC"/>
    <w:rsid w:val="00F96E22"/>
    <w:rsid w:val="00F97441"/>
    <w:rsid w:val="00F97820"/>
    <w:rsid w:val="00FA47F0"/>
    <w:rsid w:val="00FA5FE9"/>
    <w:rsid w:val="00FA6558"/>
    <w:rsid w:val="00FA67D2"/>
    <w:rsid w:val="00FA68DA"/>
    <w:rsid w:val="00FA738C"/>
    <w:rsid w:val="00FB23E9"/>
    <w:rsid w:val="00FB28EC"/>
    <w:rsid w:val="00FB302F"/>
    <w:rsid w:val="00FB40B6"/>
    <w:rsid w:val="00FB4760"/>
    <w:rsid w:val="00FB5A92"/>
    <w:rsid w:val="00FC17B8"/>
    <w:rsid w:val="00FC1C69"/>
    <w:rsid w:val="00FC1EB6"/>
    <w:rsid w:val="00FC2130"/>
    <w:rsid w:val="00FC3739"/>
    <w:rsid w:val="00FC45E6"/>
    <w:rsid w:val="00FC51D9"/>
    <w:rsid w:val="00FC73EE"/>
    <w:rsid w:val="00FD1A1E"/>
    <w:rsid w:val="00FD59E9"/>
    <w:rsid w:val="00FD6C85"/>
    <w:rsid w:val="00FD79DD"/>
    <w:rsid w:val="00FE0C24"/>
    <w:rsid w:val="00FE0D1F"/>
    <w:rsid w:val="00FE273E"/>
    <w:rsid w:val="00FE5AD9"/>
    <w:rsid w:val="00FE5AFE"/>
    <w:rsid w:val="00FE7A33"/>
    <w:rsid w:val="00FF2F7C"/>
    <w:rsid w:val="00FF3860"/>
    <w:rsid w:val="00FF3C77"/>
    <w:rsid w:val="00FF4E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5F"/>
    <w:pPr>
      <w:keepLines/>
    </w:pPr>
    <w:rPr>
      <w:rFonts w:eastAsiaTheme="minorHAnsi"/>
      <w:lang w:eastAsia="en-US"/>
    </w:rPr>
  </w:style>
  <w:style w:type="paragraph" w:styleId="Heading1">
    <w:name w:val="heading 1"/>
    <w:basedOn w:val="Normal"/>
    <w:next w:val="Normal"/>
    <w:link w:val="Heading1Char"/>
    <w:semiHidden/>
    <w:qFormat/>
    <w:rsid w:val="00FA6558"/>
    <w:pPr>
      <w:keepNext/>
      <w:spacing w:before="48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FA6558"/>
    <w:pPr>
      <w:keepNext/>
      <w:spacing w:before="36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FA6558"/>
    <w:pPr>
      <w:keepNext/>
      <w:spacing w:before="36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FA6558"/>
    <w:pPr>
      <w:keepNext/>
      <w:spacing w:before="36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FA6558"/>
    <w:pPr>
      <w:keepNext/>
      <w:spacing w:before="360"/>
      <w:outlineLvl w:val="4"/>
    </w:pPr>
    <w:rPr>
      <w:b/>
      <w:bCs/>
      <w:iCs/>
      <w:szCs w:val="26"/>
    </w:rPr>
  </w:style>
  <w:style w:type="paragraph" w:styleId="Heading6">
    <w:name w:val="heading 6"/>
    <w:basedOn w:val="Normal"/>
    <w:next w:val="Normal"/>
    <w:link w:val="Heading6Char"/>
    <w:uiPriority w:val="1"/>
    <w:semiHidden/>
    <w:qFormat/>
    <w:rsid w:val="00FA6558"/>
    <w:pPr>
      <w:spacing w:before="360"/>
      <w:outlineLvl w:val="5"/>
    </w:pPr>
    <w:rPr>
      <w:b/>
      <w:bCs/>
      <w:i/>
      <w:szCs w:val="22"/>
    </w:rPr>
  </w:style>
  <w:style w:type="paragraph" w:styleId="Heading7">
    <w:name w:val="heading 7"/>
    <w:basedOn w:val="Normal"/>
    <w:next w:val="Normal"/>
    <w:uiPriority w:val="99"/>
    <w:semiHidden/>
    <w:qFormat/>
    <w:rsid w:val="00FA6558"/>
    <w:pPr>
      <w:spacing w:after="60"/>
      <w:outlineLvl w:val="6"/>
    </w:pPr>
  </w:style>
  <w:style w:type="paragraph" w:styleId="Heading8">
    <w:name w:val="heading 8"/>
    <w:basedOn w:val="Normal"/>
    <w:next w:val="Normal"/>
    <w:uiPriority w:val="99"/>
    <w:semiHidden/>
    <w:qFormat/>
    <w:rsid w:val="00FA6558"/>
    <w:pPr>
      <w:spacing w:after="60"/>
      <w:outlineLvl w:val="7"/>
    </w:pPr>
    <w:rPr>
      <w:i/>
      <w:iCs/>
    </w:rPr>
  </w:style>
  <w:style w:type="paragraph" w:styleId="Heading9">
    <w:name w:val="heading 9"/>
    <w:basedOn w:val="Normal"/>
    <w:next w:val="Normal"/>
    <w:uiPriority w:val="99"/>
    <w:semiHidden/>
    <w:qFormat/>
    <w:rsid w:val="00FA655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FA655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semiHidden/>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semiHidden/>
    <w:rsid w:val="00FA6558"/>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FA6558"/>
    <w:rPr>
      <w:b/>
      <w:bCs/>
    </w:rPr>
  </w:style>
  <w:style w:type="paragraph" w:styleId="Subtitle">
    <w:name w:val="Subtitle"/>
    <w:basedOn w:val="Normal"/>
    <w:uiPriority w:val="1"/>
    <w:semiHidden/>
    <w:qFormat/>
    <w:rsid w:val="00FA655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FA655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FA6558"/>
    <w:pPr>
      <w:spacing w:before="0" w:after="0"/>
    </w:pPr>
    <w:rPr>
      <w:sz w:val="8"/>
    </w:rPr>
  </w:style>
  <w:style w:type="paragraph" w:customStyle="1" w:styleId="Numberedpara1level3a">
    <w:name w:val="Numbered para (1) level 3 (a)"/>
    <w:basedOn w:val="Normal"/>
    <w:semiHidden/>
    <w:rsid w:val="00065F18"/>
    <w:pPr>
      <w:numPr>
        <w:ilvl w:val="2"/>
        <w:numId w:val="26"/>
      </w:numPr>
    </w:pPr>
  </w:style>
  <w:style w:type="paragraph" w:customStyle="1" w:styleId="Numberedpara1level4i">
    <w:name w:val="Numbered para (1) level 4 (i)"/>
    <w:basedOn w:val="Normal"/>
    <w:semiHidden/>
    <w:rsid w:val="00065F18"/>
    <w:pPr>
      <w:numPr>
        <w:ilvl w:val="3"/>
        <w:numId w:val="26"/>
      </w:numPr>
    </w:pPr>
  </w:style>
  <w:style w:type="paragraph" w:customStyle="1" w:styleId="Bullet">
    <w:name w:val="Bullet"/>
    <w:basedOn w:val="Normal"/>
    <w:rsid w:val="00065F18"/>
    <w:pPr>
      <w:numPr>
        <w:numId w:val="14"/>
      </w:numPr>
      <w:spacing w:before="80" w:after="80"/>
    </w:pPr>
    <w:rPr>
      <w:noProof/>
    </w:r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1B369D"/>
    <w:pPr>
      <w:numPr>
        <w:numId w:val="22"/>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FA655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semiHidden/>
    <w:rsid w:val="00FA655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FA6558"/>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065F18"/>
    <w:pPr>
      <w:pageBreakBefore/>
      <w:numPr>
        <w:numId w:val="18"/>
      </w:numPr>
      <w:tabs>
        <w:tab w:val="left" w:pos="2268"/>
      </w:tabs>
      <w:spacing w:before="0"/>
      <w:outlineLvl w:val="7"/>
    </w:p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FA6558"/>
    <w:pPr>
      <w:numPr>
        <w:ilvl w:val="1"/>
        <w:numId w:val="21"/>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link w:val="Heading3"/>
    <w:semiHidden/>
    <w:rsid w:val="00FA6558"/>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Cabinetpaper">
    <w:name w:val="_Cabinet paper"/>
    <w:basedOn w:val="TableNormal"/>
    <w:uiPriority w:val="99"/>
    <w:rsid w:val="00BF0BE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styleId="SubtleEmphasis">
    <w:name w:val="Subtle Emphasis"/>
    <w:basedOn w:val="DefaultParagraphFont"/>
    <w:uiPriority w:val="99"/>
    <w:semiHidden/>
    <w:qFormat/>
    <w:rsid w:val="00FA6558"/>
    <w:rPr>
      <w:i/>
      <w:iCs/>
    </w:rPr>
  </w:style>
  <w:style w:type="character" w:styleId="IntenseEmphasis">
    <w:name w:val="Intense Emphasis"/>
    <w:uiPriority w:val="99"/>
    <w:semiHidden/>
    <w:qFormat/>
    <w:rsid w:val="00FA6558"/>
    <w:rPr>
      <w:b/>
      <w:i/>
    </w:rPr>
  </w:style>
  <w:style w:type="paragraph" w:styleId="ListParagraph">
    <w:name w:val="List Paragraph"/>
    <w:basedOn w:val="Bullet"/>
    <w:uiPriority w:val="34"/>
    <w:qFormat/>
    <w:rsid w:val="00FA6558"/>
    <w:pPr>
      <w:numPr>
        <w:numId w:val="20"/>
      </w:numPr>
    </w:pPr>
  </w:style>
  <w:style w:type="character" w:customStyle="1" w:styleId="Heading5Char">
    <w:name w:val="Heading 5 Char"/>
    <w:basedOn w:val="DefaultParagraphFont"/>
    <w:link w:val="Heading5"/>
    <w:uiPriority w:val="1"/>
    <w:semiHidden/>
    <w:rsid w:val="00FA6558"/>
    <w:rPr>
      <w:rFonts w:eastAsiaTheme="minorHAnsi"/>
      <w:b/>
      <w:bCs/>
      <w:iCs/>
      <w:szCs w:val="26"/>
      <w:lang w:eastAsia="en-US"/>
    </w:rPr>
  </w:style>
  <w:style w:type="character" w:styleId="SubtleReference">
    <w:name w:val="Subtle Reference"/>
    <w:basedOn w:val="DefaultParagraphFont"/>
    <w:uiPriority w:val="99"/>
    <w:semiHidden/>
    <w:qFormat/>
    <w:rsid w:val="00FA6558"/>
    <w:rPr>
      <w:rFonts w:ascii="Calibri" w:hAnsi="Calibri"/>
      <w:smallCaps/>
      <w:color w:val="A42F13" w:themeColor="accent2"/>
      <w:u w:val="single"/>
    </w:rPr>
  </w:style>
  <w:style w:type="character" w:styleId="BookTitle">
    <w:name w:val="Book Title"/>
    <w:basedOn w:val="DefaultParagraphFont"/>
    <w:uiPriority w:val="33"/>
    <w:semiHidden/>
    <w:qFormat/>
    <w:rsid w:val="00FA6558"/>
    <w:rPr>
      <w:rFonts w:ascii="Calibri" w:hAnsi="Calibri"/>
      <w:b/>
      <w:bCs/>
      <w:smallCaps/>
      <w:spacing w:val="5"/>
    </w:rPr>
  </w:style>
  <w:style w:type="character" w:styleId="IntenseReference">
    <w:name w:val="Intense Reference"/>
    <w:basedOn w:val="DefaultParagraphFont"/>
    <w:uiPriority w:val="99"/>
    <w:semiHidden/>
    <w:qFormat/>
    <w:rsid w:val="00FA655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rsid w:val="00065F18"/>
    <w:rPr>
      <w:rFonts w:eastAsiaTheme="minorHAnsi"/>
      <w:lang w:eastAsia="en-US"/>
    </w:rPr>
  </w:style>
  <w:style w:type="paragraph" w:styleId="IntenseQuote">
    <w:name w:val="Intense Quote"/>
    <w:basedOn w:val="Normal"/>
    <w:next w:val="Normal"/>
    <w:link w:val="IntenseQuoteChar"/>
    <w:uiPriority w:val="99"/>
    <w:semiHidden/>
    <w:qFormat/>
    <w:rsid w:val="00FA655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FA6558"/>
    <w:rPr>
      <w:rFonts w:eastAsiaTheme="minorHAnsi"/>
      <w:b/>
      <w:bCs/>
      <w:i/>
      <w:iCs/>
      <w:color w:val="1F546B" w:themeColor="text2"/>
      <w:lang w:eastAsia="en-US"/>
    </w:rPr>
  </w:style>
  <w:style w:type="paragraph" w:customStyle="1" w:styleId="Headingpage">
    <w:name w:val="Heading page"/>
    <w:basedOn w:val="Normal"/>
    <w:next w:val="Normal"/>
    <w:rsid w:val="00484044"/>
    <w:pPr>
      <w:spacing w:before="400"/>
    </w:pPr>
    <w:rPr>
      <w:b/>
      <w:color w:val="000000" w:themeColor="text1"/>
      <w:sz w:val="28"/>
    </w:rPr>
  </w:style>
  <w:style w:type="paragraph" w:customStyle="1" w:styleId="Tablenormal0">
    <w:name w:val="Table normal"/>
    <w:basedOn w:val="Normal"/>
    <w:qFormat/>
    <w:rsid w:val="00FA6558"/>
    <w:pPr>
      <w:spacing w:before="40" w:after="40"/>
    </w:pPr>
    <w:rPr>
      <w:sz w:val="22"/>
    </w:rPr>
  </w:style>
  <w:style w:type="character" w:customStyle="1" w:styleId="Heading6Char">
    <w:name w:val="Heading 6 Char"/>
    <w:basedOn w:val="DefaultParagraphFont"/>
    <w:link w:val="Heading6"/>
    <w:uiPriority w:val="1"/>
    <w:semiHidden/>
    <w:rsid w:val="00FA6558"/>
    <w:rPr>
      <w:rFonts w:eastAsiaTheme="minorHAnsi"/>
      <w:b/>
      <w:bCs/>
      <w:i/>
      <w:szCs w:val="22"/>
      <w:lang w:eastAsia="en-US"/>
    </w:rPr>
  </w:style>
  <w:style w:type="paragraph" w:customStyle="1" w:styleId="ListABClevel3">
    <w:name w:val="List A B C level 3"/>
    <w:basedOn w:val="Normal"/>
    <w:uiPriority w:val="1"/>
    <w:semiHidden/>
    <w:qFormat/>
    <w:rsid w:val="00FA6558"/>
    <w:pPr>
      <w:numPr>
        <w:ilvl w:val="2"/>
        <w:numId w:val="21"/>
      </w:numPr>
      <w:spacing w:before="80" w:after="80"/>
    </w:pPr>
  </w:style>
  <w:style w:type="paragraph" w:customStyle="1" w:styleId="List123level2">
    <w:name w:val="List 1 2 3 level 2"/>
    <w:basedOn w:val="Normal"/>
    <w:uiPriority w:val="1"/>
    <w:semiHidden/>
    <w:qFormat/>
    <w:rsid w:val="001B369D"/>
    <w:pPr>
      <w:numPr>
        <w:ilvl w:val="1"/>
        <w:numId w:val="22"/>
      </w:numPr>
      <w:spacing w:before="80" w:after="80"/>
    </w:pPr>
  </w:style>
  <w:style w:type="paragraph" w:customStyle="1" w:styleId="List123level3">
    <w:name w:val="List 1 2 3 level 3"/>
    <w:basedOn w:val="Normal"/>
    <w:uiPriority w:val="1"/>
    <w:semiHidden/>
    <w:qFormat/>
    <w:rsid w:val="001B369D"/>
    <w:pPr>
      <w:numPr>
        <w:ilvl w:val="2"/>
        <w:numId w:val="22"/>
      </w:numPr>
    </w:pPr>
  </w:style>
  <w:style w:type="paragraph" w:customStyle="1" w:styleId="Legislationsection">
    <w:name w:val="Legislation section"/>
    <w:basedOn w:val="Normal"/>
    <w:semiHidden/>
    <w:qFormat/>
    <w:rsid w:val="00FA6558"/>
    <w:pPr>
      <w:numPr>
        <w:numId w:val="24"/>
      </w:numPr>
      <w:tabs>
        <w:tab w:val="left" w:pos="567"/>
      </w:tabs>
      <w:spacing w:after="60"/>
    </w:pPr>
    <w:rPr>
      <w:b/>
      <w:sz w:val="22"/>
    </w:rPr>
  </w:style>
  <w:style w:type="paragraph" w:customStyle="1" w:styleId="Legislationnumber">
    <w:name w:val="Legislation number"/>
    <w:basedOn w:val="Normal"/>
    <w:semiHidden/>
    <w:qFormat/>
    <w:rsid w:val="00FA6558"/>
    <w:pPr>
      <w:numPr>
        <w:numId w:val="23"/>
      </w:numPr>
      <w:tabs>
        <w:tab w:val="left" w:pos="567"/>
      </w:tabs>
      <w:spacing w:before="60" w:after="60"/>
    </w:pPr>
    <w:rPr>
      <w:sz w:val="22"/>
    </w:rPr>
  </w:style>
  <w:style w:type="paragraph" w:customStyle="1" w:styleId="Legislationa">
    <w:name w:val="Legislation (a)"/>
    <w:basedOn w:val="Normal"/>
    <w:semiHidden/>
    <w:qFormat/>
    <w:rsid w:val="00FA6558"/>
    <w:pPr>
      <w:numPr>
        <w:ilvl w:val="2"/>
        <w:numId w:val="24"/>
      </w:numPr>
      <w:spacing w:before="60" w:after="60"/>
    </w:pPr>
    <w:rPr>
      <w:sz w:val="22"/>
    </w:rPr>
  </w:style>
  <w:style w:type="paragraph" w:customStyle="1" w:styleId="Legislationi">
    <w:name w:val="Legislation (i)"/>
    <w:basedOn w:val="Normal"/>
    <w:semiHidden/>
    <w:qFormat/>
    <w:rsid w:val="00FA6558"/>
    <w:pPr>
      <w:numPr>
        <w:ilvl w:val="3"/>
        <w:numId w:val="24"/>
      </w:numPr>
      <w:spacing w:before="60" w:after="60"/>
    </w:pPr>
    <w:rPr>
      <w:sz w:val="22"/>
    </w:rPr>
  </w:style>
  <w:style w:type="paragraph" w:customStyle="1" w:styleId="Numberedparaindentonly">
    <w:name w:val="Numbered para indent only"/>
    <w:basedOn w:val="Normal"/>
    <w:qFormat/>
    <w:rsid w:val="00FA6558"/>
    <w:pPr>
      <w:ind w:left="567"/>
    </w:pPr>
  </w:style>
  <w:style w:type="paragraph" w:customStyle="1" w:styleId="Spacer">
    <w:name w:val="Spacer"/>
    <w:basedOn w:val="Normal"/>
    <w:qFormat/>
    <w:rsid w:val="00FA6558"/>
    <w:pPr>
      <w:spacing w:before="0" w:after="0"/>
    </w:pPr>
  </w:style>
  <w:style w:type="paragraph" w:customStyle="1" w:styleId="Page">
    <w:name w:val="Page"/>
    <w:basedOn w:val="Spacer"/>
    <w:semiHidden/>
    <w:qFormat/>
    <w:rsid w:val="00FA655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FA6558"/>
    <w:rPr>
      <w:sz w:val="24"/>
    </w:rPr>
  </w:style>
  <w:style w:type="paragraph" w:customStyle="1" w:styleId="Tableheading12pt">
    <w:name w:val="Table heading 12pt"/>
    <w:basedOn w:val="Tableheading"/>
    <w:semiHidden/>
    <w:qFormat/>
    <w:rsid w:val="00FA6558"/>
    <w:rPr>
      <w:sz w:val="24"/>
    </w:rPr>
  </w:style>
  <w:style w:type="paragraph" w:customStyle="1" w:styleId="Documentationpageheading">
    <w:name w:val="Documentation page heading"/>
    <w:basedOn w:val="Normal"/>
    <w:semiHidden/>
    <w:qFormat/>
    <w:rsid w:val="00FA6558"/>
    <w:pPr>
      <w:spacing w:after="0"/>
    </w:pPr>
    <w:rPr>
      <w:b/>
      <w:color w:val="1F546B" w:themeColor="text2"/>
      <w:sz w:val="36"/>
    </w:rPr>
  </w:style>
  <w:style w:type="paragraph" w:customStyle="1" w:styleId="Documentationpagesubheading">
    <w:name w:val="Documentation page subheading"/>
    <w:basedOn w:val="Documentationpageheading"/>
    <w:semiHidden/>
    <w:qFormat/>
    <w:rsid w:val="00FA6558"/>
    <w:rPr>
      <w:sz w:val="28"/>
    </w:rPr>
  </w:style>
  <w:style w:type="paragraph" w:customStyle="1" w:styleId="Documentationpagetable">
    <w:name w:val="Documentation page table"/>
    <w:basedOn w:val="Normal"/>
    <w:semiHidden/>
    <w:qFormat/>
    <w:rsid w:val="00FA6558"/>
    <w:pPr>
      <w:spacing w:before="44" w:after="24"/>
    </w:pPr>
    <w:rPr>
      <w:rFonts w:cstheme="minorBidi"/>
      <w:sz w:val="20"/>
    </w:rPr>
  </w:style>
  <w:style w:type="paragraph" w:customStyle="1" w:styleId="Documentationpagetableheading">
    <w:name w:val="Documentation page table heading"/>
    <w:basedOn w:val="Normal"/>
    <w:semiHidden/>
    <w:qFormat/>
    <w:rsid w:val="00FA6558"/>
    <w:pPr>
      <w:spacing w:before="40" w:after="40"/>
    </w:pPr>
    <w:rPr>
      <w:rFonts w:cstheme="minorBidi"/>
      <w:b/>
      <w:color w:val="FFFFFF" w:themeColor="background1"/>
      <w:sz w:val="20"/>
    </w:rPr>
  </w:style>
  <w:style w:type="paragraph" w:customStyle="1" w:styleId="Numberedpara3subheading">
    <w:name w:val="Numbered para (3) subheading"/>
    <w:basedOn w:val="Normal"/>
    <w:next w:val="Normal"/>
    <w:semiHidden/>
    <w:rsid w:val="00065F18"/>
    <w:pPr>
      <w:spacing w:before="240"/>
    </w:pPr>
    <w:rPr>
      <w:b/>
      <w:i/>
    </w:rPr>
  </w:style>
  <w:style w:type="paragraph" w:customStyle="1" w:styleId="Numberedpara3level1">
    <w:name w:val="Numbered para (3) level 1"/>
    <w:basedOn w:val="Normal"/>
    <w:qFormat/>
    <w:rsid w:val="00A75B42"/>
    <w:pPr>
      <w:numPr>
        <w:numId w:val="25"/>
      </w:numPr>
    </w:pPr>
  </w:style>
  <w:style w:type="paragraph" w:customStyle="1" w:styleId="Numberedpara3level211">
    <w:name w:val="Numbered para (3) level 2 (1.1)"/>
    <w:basedOn w:val="Normal"/>
    <w:qFormat/>
    <w:rsid w:val="00A75B42"/>
    <w:pPr>
      <w:numPr>
        <w:ilvl w:val="1"/>
        <w:numId w:val="25"/>
      </w:numPr>
      <w:ind w:left="1304" w:hanging="737"/>
    </w:pPr>
  </w:style>
  <w:style w:type="paragraph" w:customStyle="1" w:styleId="Numberedpara3level3111">
    <w:name w:val="Numbered para (3) level 3 (1.1.1)"/>
    <w:basedOn w:val="Normal"/>
    <w:qFormat/>
    <w:rsid w:val="00A75B42"/>
    <w:pPr>
      <w:numPr>
        <w:ilvl w:val="2"/>
        <w:numId w:val="25"/>
      </w:numPr>
      <w:ind w:left="2211" w:hanging="907"/>
    </w:pPr>
  </w:style>
  <w:style w:type="paragraph" w:customStyle="1" w:styleId="Title2">
    <w:name w:val="Title 2"/>
    <w:basedOn w:val="Title"/>
    <w:semiHidden/>
    <w:qFormat/>
    <w:rsid w:val="00FA6558"/>
    <w:rPr>
      <w:sz w:val="52"/>
    </w:rPr>
  </w:style>
  <w:style w:type="paragraph" w:customStyle="1" w:styleId="Numberedpara3heading">
    <w:name w:val="Numbered para (3) heading"/>
    <w:basedOn w:val="Normal"/>
    <w:semiHidden/>
    <w:qFormat/>
    <w:rsid w:val="002D38AA"/>
    <w:pPr>
      <w:keepNext/>
      <w:spacing w:before="200"/>
    </w:pPr>
    <w:rPr>
      <w:b/>
    </w:rPr>
  </w:style>
  <w:style w:type="character" w:customStyle="1" w:styleId="HeaderChar">
    <w:name w:val="Header Char"/>
    <w:basedOn w:val="DefaultParagraphFont"/>
    <w:link w:val="Header"/>
    <w:semiHidden/>
    <w:rsid w:val="002D38AA"/>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FA6558"/>
    <w:rPr>
      <w:b/>
      <w:i w:val="0"/>
      <w:caps/>
      <w:smallCaps w:val="0"/>
      <w:sz w:val="22"/>
    </w:rPr>
  </w:style>
  <w:style w:type="paragraph" w:customStyle="1" w:styleId="Numberedpara1level211">
    <w:name w:val="Numbered para (1) level 2 (1.1)"/>
    <w:basedOn w:val="Normal"/>
    <w:semiHidden/>
    <w:rsid w:val="00065F18"/>
    <w:pPr>
      <w:numPr>
        <w:ilvl w:val="1"/>
        <w:numId w:val="26"/>
      </w:numPr>
    </w:pPr>
  </w:style>
  <w:style w:type="paragraph" w:customStyle="1" w:styleId="Numberedpara11headingwithnumber">
    <w:name w:val="Numbered para (1) 1 (heading with number)"/>
    <w:basedOn w:val="Normal"/>
    <w:qFormat/>
    <w:rsid w:val="00FA6558"/>
    <w:pPr>
      <w:numPr>
        <w:numId w:val="26"/>
      </w:numPr>
      <w:spacing w:before="240"/>
    </w:pPr>
    <w:rPr>
      <w:b/>
      <w:sz w:val="28"/>
    </w:rPr>
  </w:style>
  <w:style w:type="paragraph" w:customStyle="1" w:styleId="Crossreference">
    <w:name w:val="Cross reference"/>
    <w:basedOn w:val="Normal"/>
    <w:link w:val="CrossreferenceChar"/>
    <w:semiHidden/>
    <w:qFormat/>
    <w:rsid w:val="00BF0BE0"/>
    <w:rPr>
      <w:i/>
      <w:color w:val="000000" w:themeColor="text1"/>
      <w:u w:val="single"/>
    </w:rPr>
  </w:style>
  <w:style w:type="paragraph" w:customStyle="1" w:styleId="Headerforcabinetpapers">
    <w:name w:val="Header for cabinet papers"/>
    <w:basedOn w:val="Normal"/>
    <w:qFormat/>
    <w:rsid w:val="00FA6558"/>
    <w:pPr>
      <w:tabs>
        <w:tab w:val="center" w:pos="4536"/>
      </w:tabs>
      <w:jc w:val="center"/>
    </w:pPr>
    <w:rPr>
      <w:b/>
      <w:caps/>
    </w:rPr>
  </w:style>
  <w:style w:type="paragraph" w:customStyle="1" w:styleId="FinancialtableLHC">
    <w:name w:val="Financial table LHC"/>
    <w:basedOn w:val="Normal"/>
    <w:qFormat/>
    <w:rsid w:val="00FA6558"/>
    <w:pPr>
      <w:spacing w:before="0" w:after="0"/>
      <w:contextualSpacing/>
    </w:pPr>
    <w:rPr>
      <w:sz w:val="22"/>
    </w:rPr>
  </w:style>
  <w:style w:type="paragraph" w:customStyle="1" w:styleId="Financialtablefigures">
    <w:name w:val="Financial table figures"/>
    <w:basedOn w:val="FinancialtableLHC"/>
    <w:qFormat/>
    <w:rsid w:val="00FA6558"/>
    <w:pPr>
      <w:jc w:val="right"/>
    </w:pPr>
  </w:style>
  <w:style w:type="paragraph" w:customStyle="1" w:styleId="Financialtableyears">
    <w:name w:val="Financial table years"/>
    <w:basedOn w:val="Financialtablefigures"/>
    <w:qFormat/>
    <w:rsid w:val="00FA6558"/>
    <w:pPr>
      <w:jc w:val="center"/>
    </w:pPr>
    <w:rPr>
      <w:b/>
      <w:sz w:val="20"/>
    </w:rPr>
  </w:style>
  <w:style w:type="paragraph" w:customStyle="1" w:styleId="Tablesource">
    <w:name w:val="Table source"/>
    <w:basedOn w:val="Normal"/>
    <w:next w:val="Numberedpara3level1"/>
    <w:qFormat/>
    <w:rsid w:val="00FA6558"/>
    <w:pPr>
      <w:spacing w:before="40"/>
      <w:ind w:left="567"/>
    </w:pPr>
    <w:rPr>
      <w:sz w:val="22"/>
    </w:rPr>
  </w:style>
  <w:style w:type="paragraph" w:customStyle="1" w:styleId="Cabinetpaperparasubheading">
    <w:name w:val="Cabinet paper para subheading"/>
    <w:basedOn w:val="Normal"/>
    <w:next w:val="Numberedpara3level1"/>
    <w:qFormat/>
    <w:rsid w:val="00385C33"/>
    <w:pPr>
      <w:keepNext/>
      <w:spacing w:before="240"/>
    </w:pPr>
    <w:rPr>
      <w:b/>
      <w:i/>
    </w:rPr>
  </w:style>
  <w:style w:type="paragraph" w:customStyle="1" w:styleId="Cabinetpaperparaheading">
    <w:name w:val="Cabinet paper para heading"/>
    <w:basedOn w:val="Normal"/>
    <w:next w:val="Numberedpara3level1"/>
    <w:qFormat/>
    <w:rsid w:val="00BF0BE0"/>
    <w:pPr>
      <w:keepNext/>
      <w:spacing w:before="200"/>
    </w:pPr>
    <w:rPr>
      <w:b/>
      <w:sz w:val="26"/>
    </w:rPr>
  </w:style>
  <w:style w:type="paragraph" w:customStyle="1" w:styleId="Cabinetpaperparasubsubheading">
    <w:name w:val="Cabinet paper para subsubheading"/>
    <w:basedOn w:val="Normal"/>
    <w:next w:val="Numberedpara3level1"/>
    <w:qFormat/>
    <w:rsid w:val="00BF0BE0"/>
    <w:pPr>
      <w:keepNext/>
      <w:keepLines w:val="0"/>
      <w:spacing w:before="240"/>
    </w:pPr>
    <w:rPr>
      <w:i/>
    </w:rPr>
  </w:style>
  <w:style w:type="character" w:customStyle="1" w:styleId="CrossreferenceChar">
    <w:name w:val="Cross reference Char"/>
    <w:basedOn w:val="DefaultParagraphFont"/>
    <w:link w:val="Crossreference"/>
    <w:semiHidden/>
    <w:rsid w:val="00E4405F"/>
    <w:rPr>
      <w:rFonts w:eastAsiaTheme="minorHAnsi"/>
      <w:i/>
      <w:color w:val="000000" w:themeColor="text1"/>
      <w:u w:val="single"/>
      <w:lang w:eastAsia="en-US"/>
    </w:rPr>
  </w:style>
  <w:style w:type="character" w:customStyle="1" w:styleId="Crossreferences">
    <w:name w:val="Cross references"/>
    <w:basedOn w:val="DefaultParagraphFont"/>
    <w:uiPriority w:val="1"/>
    <w:qFormat/>
    <w:rsid w:val="00E4405F"/>
    <w:rPr>
      <w:i/>
      <w:u w:val="single"/>
    </w:rPr>
  </w:style>
  <w:style w:type="paragraph" w:customStyle="1" w:styleId="Briefingparasubheading">
    <w:name w:val="Briefing para subheading"/>
    <w:basedOn w:val="Normal"/>
    <w:next w:val="Numberedpara3level1"/>
    <w:qFormat/>
    <w:rsid w:val="00966517"/>
    <w:pPr>
      <w:keepNext/>
      <w:keepLines w:val="0"/>
      <w:spacing w:before="240"/>
    </w:pPr>
    <w:rPr>
      <w:b/>
      <w:i/>
    </w:rPr>
  </w:style>
  <w:style w:type="paragraph" w:customStyle="1" w:styleId="Briefingparaheading">
    <w:name w:val="Briefing para heading"/>
    <w:basedOn w:val="Normal"/>
    <w:next w:val="Numberedpara3level1"/>
    <w:qFormat/>
    <w:rsid w:val="006D1BD4"/>
    <w:pPr>
      <w:keepNext/>
      <w:keepLines w:val="0"/>
      <w:spacing w:before="240"/>
    </w:pPr>
    <w:rPr>
      <w:b/>
      <w:sz w:val="26"/>
    </w:rPr>
  </w:style>
  <w:style w:type="table" w:customStyle="1" w:styleId="Ministerial">
    <w:name w:val="_Ministerial"/>
    <w:basedOn w:val="TableNormal"/>
    <w:uiPriority w:val="99"/>
    <w:rsid w:val="005B76B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styleId="CommentText">
    <w:name w:val="annotation text"/>
    <w:basedOn w:val="Normal"/>
    <w:link w:val="CommentTextChar"/>
    <w:uiPriority w:val="99"/>
    <w:semiHidden/>
    <w:unhideWhenUsed/>
    <w:rsid w:val="00302C91"/>
    <w:rPr>
      <w:sz w:val="20"/>
      <w:szCs w:val="20"/>
    </w:rPr>
  </w:style>
  <w:style w:type="character" w:customStyle="1" w:styleId="CommentTextChar">
    <w:name w:val="Comment Text Char"/>
    <w:basedOn w:val="DefaultParagraphFont"/>
    <w:link w:val="CommentText"/>
    <w:uiPriority w:val="99"/>
    <w:semiHidden/>
    <w:rsid w:val="00302C9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02C91"/>
    <w:rPr>
      <w:b/>
      <w:bCs/>
    </w:rPr>
  </w:style>
  <w:style w:type="character" w:customStyle="1" w:styleId="CommentSubjectChar">
    <w:name w:val="Comment Subject Char"/>
    <w:basedOn w:val="CommentTextChar"/>
    <w:link w:val="CommentSubject"/>
    <w:uiPriority w:val="99"/>
    <w:semiHidden/>
    <w:rsid w:val="00302C91"/>
    <w:rPr>
      <w:rFonts w:eastAsiaTheme="minorHAnsi"/>
      <w:b/>
      <w:bCs/>
      <w:sz w:val="20"/>
      <w:szCs w:val="20"/>
      <w:lang w:eastAsia="en-US"/>
    </w:rPr>
  </w:style>
  <w:style w:type="paragraph" w:customStyle="1" w:styleId="Briefingtext">
    <w:name w:val="Briefing text"/>
    <w:basedOn w:val="Normal"/>
    <w:rsid w:val="006B1B79"/>
    <w:pPr>
      <w:keepLines w:val="0"/>
      <w:numPr>
        <w:numId w:val="29"/>
      </w:numPr>
      <w:tabs>
        <w:tab w:val="left" w:pos="567"/>
      </w:tabs>
      <w:spacing w:before="0"/>
      <w:jc w:val="both"/>
    </w:pPr>
    <w:rPr>
      <w:rFonts w:ascii="Arial Mäori" w:eastAsia="Times New Roman" w:hAnsi="Arial Mäori"/>
    </w:rPr>
  </w:style>
  <w:style w:type="table" w:customStyle="1" w:styleId="DIATable">
    <w:name w:val="_DIA Table"/>
    <w:basedOn w:val="TableNormal"/>
    <w:uiPriority w:val="99"/>
    <w:rsid w:val="00401F69"/>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customStyle="1" w:styleId="NormalArialChar">
    <w:name w:val="Normal + Arial Char"/>
    <w:aliases w:val="Justified Char"/>
    <w:link w:val="NormalArial"/>
    <w:locked/>
    <w:rsid w:val="00CE5393"/>
    <w:rPr>
      <w:rFonts w:ascii="Arial" w:hAnsi="Arial" w:cs="Arial"/>
      <w:lang w:val="en-GB" w:eastAsia="en-US"/>
    </w:rPr>
  </w:style>
  <w:style w:type="paragraph" w:customStyle="1" w:styleId="NormalArial">
    <w:name w:val="Normal + Arial"/>
    <w:aliases w:val="Justified"/>
    <w:basedOn w:val="Normal"/>
    <w:link w:val="NormalArialChar"/>
    <w:rsid w:val="00CE5393"/>
    <w:pPr>
      <w:keepLines w:val="0"/>
      <w:numPr>
        <w:numId w:val="30"/>
      </w:numPr>
      <w:overflowPunct w:val="0"/>
      <w:autoSpaceDE w:val="0"/>
      <w:autoSpaceDN w:val="0"/>
      <w:adjustRightInd w:val="0"/>
      <w:spacing w:before="0" w:after="0"/>
      <w:jc w:val="both"/>
    </w:pPr>
    <w:rPr>
      <w:rFonts w:ascii="Arial" w:eastAsia="Times New Roman" w:hAnsi="Arial" w:cs="Arial"/>
      <w:lang w:val="en-GB"/>
    </w:rPr>
  </w:style>
  <w:style w:type="paragraph" w:customStyle="1" w:styleId="NumbersLevel1">
    <w:name w:val="Numbers Level 1"/>
    <w:basedOn w:val="BodyText"/>
    <w:rsid w:val="0071391F"/>
    <w:pPr>
      <w:keepLines w:val="0"/>
      <w:tabs>
        <w:tab w:val="num" w:pos="709"/>
      </w:tabs>
      <w:spacing w:before="0" w:line="280" w:lineRule="atLeast"/>
      <w:ind w:left="709" w:hanging="709"/>
      <w:jc w:val="both"/>
    </w:pPr>
    <w:rPr>
      <w:rFonts w:ascii="Arial" w:eastAsia="Times New Roman" w:hAnsi="Arial"/>
      <w:sz w:val="22"/>
    </w:rPr>
  </w:style>
  <w:style w:type="paragraph" w:customStyle="1" w:styleId="NumbersLevel2">
    <w:name w:val="Numbers Level 2"/>
    <w:basedOn w:val="BodyText"/>
    <w:rsid w:val="0071391F"/>
    <w:pPr>
      <w:keepLines w:val="0"/>
      <w:tabs>
        <w:tab w:val="num" w:pos="709"/>
      </w:tabs>
      <w:spacing w:before="0" w:line="280" w:lineRule="atLeast"/>
      <w:ind w:left="709" w:hanging="709"/>
    </w:pPr>
    <w:rPr>
      <w:rFonts w:ascii="Arial" w:eastAsia="Times New Roman" w:hAnsi="Arial"/>
      <w:sz w:val="22"/>
    </w:rPr>
  </w:style>
  <w:style w:type="paragraph" w:customStyle="1" w:styleId="NumbersLevel3">
    <w:name w:val="Numbers Level 3"/>
    <w:basedOn w:val="BodyText"/>
    <w:rsid w:val="0071391F"/>
    <w:pPr>
      <w:keepLines w:val="0"/>
      <w:tabs>
        <w:tab w:val="num" w:pos="1276"/>
      </w:tabs>
      <w:spacing w:before="0" w:line="280" w:lineRule="atLeast"/>
      <w:ind w:left="1276" w:hanging="567"/>
    </w:pPr>
    <w:rPr>
      <w:rFonts w:ascii="Arial" w:eastAsia="Times New Roman" w:hAnsi="Arial"/>
      <w:sz w:val="22"/>
    </w:rPr>
  </w:style>
  <w:style w:type="paragraph" w:customStyle="1" w:styleId="NumbersLevel4">
    <w:name w:val="Numbers Level 4"/>
    <w:basedOn w:val="BodyText"/>
    <w:rsid w:val="0071391F"/>
    <w:pPr>
      <w:keepLines w:val="0"/>
      <w:tabs>
        <w:tab w:val="num" w:pos="1843"/>
      </w:tabs>
      <w:spacing w:before="0" w:line="280" w:lineRule="atLeast"/>
      <w:ind w:left="1843" w:hanging="567"/>
    </w:pPr>
    <w:rPr>
      <w:rFonts w:ascii="Arial" w:eastAsia="Times New Roman" w:hAnsi="Arial"/>
      <w:sz w:val="22"/>
    </w:rPr>
  </w:style>
  <w:style w:type="paragraph" w:customStyle="1" w:styleId="Numberedpara2level1">
    <w:name w:val="Numbered para (2) level 1"/>
    <w:basedOn w:val="Normal"/>
    <w:semiHidden/>
    <w:qFormat/>
    <w:rsid w:val="00CF43A7"/>
    <w:pPr>
      <w:tabs>
        <w:tab w:val="num" w:pos="567"/>
      </w:tabs>
      <w:ind w:left="567" w:hanging="567"/>
    </w:pPr>
  </w:style>
  <w:style w:type="paragraph" w:customStyle="1" w:styleId="Numberedpara2level2a">
    <w:name w:val="Numbered para (2) level 2 (a)"/>
    <w:basedOn w:val="Normal"/>
    <w:semiHidden/>
    <w:qFormat/>
    <w:rsid w:val="00CF43A7"/>
    <w:pPr>
      <w:ind w:left="924" w:hanging="357"/>
    </w:pPr>
  </w:style>
  <w:style w:type="paragraph" w:customStyle="1" w:styleId="Numberedpara2level3i">
    <w:name w:val="Numbered para (2) level 3 (i)"/>
    <w:basedOn w:val="Normal"/>
    <w:semiHidden/>
    <w:qFormat/>
    <w:rsid w:val="00CF43A7"/>
    <w:pPr>
      <w:ind w:left="1298" w:hanging="37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05F"/>
    <w:pPr>
      <w:keepLines/>
    </w:pPr>
    <w:rPr>
      <w:rFonts w:eastAsiaTheme="minorHAnsi"/>
      <w:lang w:eastAsia="en-US"/>
    </w:rPr>
  </w:style>
  <w:style w:type="paragraph" w:styleId="Heading1">
    <w:name w:val="heading 1"/>
    <w:basedOn w:val="Normal"/>
    <w:next w:val="Normal"/>
    <w:link w:val="Heading1Char"/>
    <w:semiHidden/>
    <w:qFormat/>
    <w:rsid w:val="00FA6558"/>
    <w:pPr>
      <w:keepNext/>
      <w:spacing w:before="480"/>
      <w:contextualSpacing/>
      <w:outlineLvl w:val="0"/>
    </w:pPr>
    <w:rPr>
      <w:rFonts w:cs="Arial"/>
      <w:b/>
      <w:bCs/>
      <w:color w:val="1F546B" w:themeColor="text2"/>
      <w:kern w:val="32"/>
      <w:sz w:val="52"/>
      <w:szCs w:val="32"/>
    </w:rPr>
  </w:style>
  <w:style w:type="paragraph" w:styleId="Heading2">
    <w:name w:val="heading 2"/>
    <w:basedOn w:val="Normal"/>
    <w:next w:val="Normal"/>
    <w:link w:val="Heading2Char"/>
    <w:semiHidden/>
    <w:qFormat/>
    <w:rsid w:val="00FA6558"/>
    <w:pPr>
      <w:keepNext/>
      <w:spacing w:before="360"/>
      <w:contextualSpacing/>
      <w:outlineLvl w:val="1"/>
    </w:pPr>
    <w:rPr>
      <w:rFonts w:cs="Arial"/>
      <w:b/>
      <w:bCs/>
      <w:iCs/>
      <w:color w:val="1F546B"/>
      <w:sz w:val="36"/>
      <w:szCs w:val="28"/>
    </w:rPr>
  </w:style>
  <w:style w:type="paragraph" w:styleId="Heading3">
    <w:name w:val="heading 3"/>
    <w:basedOn w:val="Normal"/>
    <w:next w:val="Normal"/>
    <w:link w:val="Heading3Char"/>
    <w:semiHidden/>
    <w:qFormat/>
    <w:rsid w:val="00FA6558"/>
    <w:pPr>
      <w:keepNext/>
      <w:spacing w:before="360"/>
      <w:contextualSpacing/>
      <w:outlineLvl w:val="2"/>
    </w:pPr>
    <w:rPr>
      <w:rFonts w:cs="Arial"/>
      <w:b/>
      <w:bCs/>
      <w:color w:val="1F546B"/>
      <w:sz w:val="28"/>
      <w:szCs w:val="26"/>
    </w:rPr>
  </w:style>
  <w:style w:type="paragraph" w:styleId="Heading4">
    <w:name w:val="heading 4"/>
    <w:basedOn w:val="Normal"/>
    <w:next w:val="Normal"/>
    <w:link w:val="Heading4Char"/>
    <w:semiHidden/>
    <w:qFormat/>
    <w:rsid w:val="00FA6558"/>
    <w:pPr>
      <w:keepNext/>
      <w:spacing w:before="36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FA6558"/>
    <w:pPr>
      <w:keepNext/>
      <w:spacing w:before="360"/>
      <w:outlineLvl w:val="4"/>
    </w:pPr>
    <w:rPr>
      <w:b/>
      <w:bCs/>
      <w:iCs/>
      <w:szCs w:val="26"/>
    </w:rPr>
  </w:style>
  <w:style w:type="paragraph" w:styleId="Heading6">
    <w:name w:val="heading 6"/>
    <w:basedOn w:val="Normal"/>
    <w:next w:val="Normal"/>
    <w:link w:val="Heading6Char"/>
    <w:uiPriority w:val="1"/>
    <w:semiHidden/>
    <w:qFormat/>
    <w:rsid w:val="00FA6558"/>
    <w:pPr>
      <w:spacing w:before="360"/>
      <w:outlineLvl w:val="5"/>
    </w:pPr>
    <w:rPr>
      <w:b/>
      <w:bCs/>
      <w:i/>
      <w:szCs w:val="22"/>
    </w:rPr>
  </w:style>
  <w:style w:type="paragraph" w:styleId="Heading7">
    <w:name w:val="heading 7"/>
    <w:basedOn w:val="Normal"/>
    <w:next w:val="Normal"/>
    <w:uiPriority w:val="99"/>
    <w:semiHidden/>
    <w:qFormat/>
    <w:rsid w:val="00FA6558"/>
    <w:pPr>
      <w:spacing w:after="60"/>
      <w:outlineLvl w:val="6"/>
    </w:pPr>
  </w:style>
  <w:style w:type="paragraph" w:styleId="Heading8">
    <w:name w:val="heading 8"/>
    <w:basedOn w:val="Normal"/>
    <w:next w:val="Normal"/>
    <w:uiPriority w:val="99"/>
    <w:semiHidden/>
    <w:qFormat/>
    <w:rsid w:val="00FA6558"/>
    <w:pPr>
      <w:spacing w:after="60"/>
      <w:outlineLvl w:val="7"/>
    </w:pPr>
    <w:rPr>
      <w:i/>
      <w:iCs/>
    </w:rPr>
  </w:style>
  <w:style w:type="paragraph" w:styleId="Heading9">
    <w:name w:val="heading 9"/>
    <w:basedOn w:val="Normal"/>
    <w:next w:val="Normal"/>
    <w:uiPriority w:val="99"/>
    <w:semiHidden/>
    <w:qFormat/>
    <w:rsid w:val="00FA655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1"/>
      </w:numPr>
    </w:pPr>
  </w:style>
  <w:style w:type="paragraph" w:styleId="BodyText">
    <w:name w:val="Body Text"/>
    <w:basedOn w:val="Normal"/>
    <w:link w:val="BodyTextChar"/>
    <w:rsid w:val="00065F18"/>
    <w:pPr>
      <w:spacing w:after="200"/>
    </w:pPr>
  </w:style>
  <w:style w:type="numbering" w:styleId="1ai">
    <w:name w:val="Outline List 1"/>
    <w:basedOn w:val="NoList"/>
    <w:semiHidden/>
    <w:rsid w:val="00065F18"/>
    <w:pPr>
      <w:numPr>
        <w:numId w:val="10"/>
      </w:numPr>
    </w:pPr>
  </w:style>
  <w:style w:type="numbering" w:styleId="ArticleSection">
    <w:name w:val="Outline List 3"/>
    <w:basedOn w:val="NoList"/>
    <w:semiHidden/>
    <w:rsid w:val="00065F18"/>
    <w:pPr>
      <w:numPr>
        <w:numId w:val="12"/>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FA655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semiHidden/>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2"/>
      </w:numPr>
    </w:pPr>
  </w:style>
  <w:style w:type="paragraph" w:styleId="ListBullet3">
    <w:name w:val="List Bullet 3"/>
    <w:basedOn w:val="Normal"/>
    <w:uiPriority w:val="99"/>
    <w:semiHidden/>
    <w:rsid w:val="00065F18"/>
    <w:pPr>
      <w:numPr>
        <w:numId w:val="3"/>
      </w:numPr>
    </w:pPr>
  </w:style>
  <w:style w:type="paragraph" w:styleId="ListBullet4">
    <w:name w:val="List Bullet 4"/>
    <w:basedOn w:val="Normal"/>
    <w:uiPriority w:val="99"/>
    <w:semiHidden/>
    <w:rsid w:val="00065F18"/>
    <w:pPr>
      <w:numPr>
        <w:numId w:val="4"/>
      </w:numPr>
    </w:pPr>
  </w:style>
  <w:style w:type="paragraph" w:styleId="ListBullet5">
    <w:name w:val="List Bullet 5"/>
    <w:basedOn w:val="Normal"/>
    <w:uiPriority w:val="99"/>
    <w:semiHidden/>
    <w:rsid w:val="00065F18"/>
    <w:pPr>
      <w:numPr>
        <w:numId w:val="5"/>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1"/>
      </w:numPr>
    </w:pPr>
  </w:style>
  <w:style w:type="paragraph" w:styleId="ListNumber2">
    <w:name w:val="List Number 2"/>
    <w:basedOn w:val="Normal"/>
    <w:uiPriority w:val="99"/>
    <w:semiHidden/>
    <w:rsid w:val="00065F18"/>
    <w:pPr>
      <w:numPr>
        <w:numId w:val="6"/>
      </w:numPr>
    </w:pPr>
  </w:style>
  <w:style w:type="paragraph" w:styleId="ListNumber3">
    <w:name w:val="List Number 3"/>
    <w:basedOn w:val="Normal"/>
    <w:uiPriority w:val="99"/>
    <w:semiHidden/>
    <w:rsid w:val="00065F18"/>
    <w:pPr>
      <w:numPr>
        <w:numId w:val="7"/>
      </w:numPr>
    </w:pPr>
  </w:style>
  <w:style w:type="paragraph" w:styleId="ListNumber4">
    <w:name w:val="List Number 4"/>
    <w:basedOn w:val="Normal"/>
    <w:uiPriority w:val="99"/>
    <w:semiHidden/>
    <w:rsid w:val="00065F18"/>
    <w:pPr>
      <w:numPr>
        <w:numId w:val="8"/>
      </w:numPr>
    </w:pPr>
  </w:style>
  <w:style w:type="paragraph" w:styleId="ListNumber5">
    <w:name w:val="List Number 5"/>
    <w:basedOn w:val="Normal"/>
    <w:uiPriority w:val="99"/>
    <w:semiHidden/>
    <w:rsid w:val="00065F18"/>
    <w:pPr>
      <w:numPr>
        <w:numId w:val="9"/>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semiHidden/>
    <w:rsid w:val="00FA6558"/>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FA6558"/>
    <w:rPr>
      <w:b/>
      <w:bCs/>
    </w:rPr>
  </w:style>
  <w:style w:type="paragraph" w:styleId="Subtitle">
    <w:name w:val="Subtitle"/>
    <w:basedOn w:val="Normal"/>
    <w:uiPriority w:val="1"/>
    <w:semiHidden/>
    <w:qFormat/>
    <w:rsid w:val="00FA655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FA655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3"/>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3"/>
      </w:numPr>
      <w:outlineLvl w:val="5"/>
    </w:pPr>
  </w:style>
  <w:style w:type="paragraph" w:customStyle="1" w:styleId="Headingnumbered2">
    <w:name w:val="Heading numbered 2"/>
    <w:basedOn w:val="Heading2"/>
    <w:next w:val="Normal"/>
    <w:uiPriority w:val="1"/>
    <w:semiHidden/>
    <w:rsid w:val="00065F18"/>
    <w:pPr>
      <w:numPr>
        <w:ilvl w:val="1"/>
        <w:numId w:val="13"/>
      </w:numPr>
      <w:outlineLvl w:val="6"/>
    </w:pPr>
  </w:style>
  <w:style w:type="paragraph" w:customStyle="1" w:styleId="Headingnumbered3">
    <w:name w:val="Heading numbered 3"/>
    <w:basedOn w:val="Normal"/>
    <w:next w:val="Normal"/>
    <w:uiPriority w:val="1"/>
    <w:semiHidden/>
    <w:rsid w:val="00065F18"/>
    <w:pPr>
      <w:numPr>
        <w:ilvl w:val="2"/>
        <w:numId w:val="13"/>
      </w:numPr>
      <w:spacing w:before="36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3"/>
      </w:numPr>
      <w:spacing w:before="360"/>
      <w:contextualSpacing/>
    </w:pPr>
    <w:rPr>
      <w:b/>
      <w:i/>
      <w:color w:val="1F546B"/>
    </w:rPr>
  </w:style>
  <w:style w:type="paragraph" w:customStyle="1" w:styleId="Tinyline">
    <w:name w:val="Tiny line"/>
    <w:basedOn w:val="Normal"/>
    <w:qFormat/>
    <w:rsid w:val="00FA6558"/>
    <w:pPr>
      <w:spacing w:before="0" w:after="0"/>
    </w:pPr>
    <w:rPr>
      <w:sz w:val="8"/>
    </w:rPr>
  </w:style>
  <w:style w:type="paragraph" w:customStyle="1" w:styleId="Numberedpara1level3a">
    <w:name w:val="Numbered para (1) level 3 (a)"/>
    <w:basedOn w:val="Normal"/>
    <w:semiHidden/>
    <w:rsid w:val="00065F18"/>
    <w:pPr>
      <w:numPr>
        <w:ilvl w:val="2"/>
        <w:numId w:val="26"/>
      </w:numPr>
    </w:pPr>
  </w:style>
  <w:style w:type="paragraph" w:customStyle="1" w:styleId="Numberedpara1level4i">
    <w:name w:val="Numbered para (1) level 4 (i)"/>
    <w:basedOn w:val="Normal"/>
    <w:semiHidden/>
    <w:rsid w:val="00065F18"/>
    <w:pPr>
      <w:numPr>
        <w:ilvl w:val="3"/>
        <w:numId w:val="26"/>
      </w:numPr>
    </w:pPr>
  </w:style>
  <w:style w:type="paragraph" w:customStyle="1" w:styleId="Bullet">
    <w:name w:val="Bullet"/>
    <w:basedOn w:val="Normal"/>
    <w:rsid w:val="00065F18"/>
    <w:pPr>
      <w:numPr>
        <w:numId w:val="14"/>
      </w:numPr>
      <w:spacing w:before="80" w:after="80"/>
    </w:pPr>
    <w:rPr>
      <w:noProof/>
    </w:rPr>
  </w:style>
  <w:style w:type="paragraph" w:customStyle="1" w:styleId="Bulletlevel2">
    <w:name w:val="Bullet level 2"/>
    <w:basedOn w:val="Normal"/>
    <w:uiPriority w:val="1"/>
    <w:semiHidden/>
    <w:rsid w:val="00065F18"/>
    <w:pPr>
      <w:numPr>
        <w:ilvl w:val="1"/>
        <w:numId w:val="14"/>
      </w:numPr>
      <w:spacing w:before="80" w:after="80"/>
    </w:pPr>
  </w:style>
  <w:style w:type="paragraph" w:customStyle="1" w:styleId="Bulletlevel3">
    <w:name w:val="Bullet level 3"/>
    <w:basedOn w:val="Normal"/>
    <w:uiPriority w:val="1"/>
    <w:semiHidden/>
    <w:rsid w:val="00065F18"/>
    <w:pPr>
      <w:numPr>
        <w:ilvl w:val="2"/>
        <w:numId w:val="14"/>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1B369D"/>
    <w:pPr>
      <w:numPr>
        <w:numId w:val="22"/>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semiHidden/>
    <w:rsid w:val="00FA655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5"/>
      </w:numPr>
    </w:pPr>
  </w:style>
  <w:style w:type="paragraph" w:customStyle="1" w:styleId="Tablebulletlevel2">
    <w:name w:val="Table bullet level 2"/>
    <w:basedOn w:val="Tablenormal0"/>
    <w:uiPriority w:val="99"/>
    <w:semiHidden/>
    <w:rsid w:val="00065F18"/>
    <w:pPr>
      <w:numPr>
        <w:ilvl w:val="1"/>
        <w:numId w:val="15"/>
      </w:numPr>
    </w:pPr>
  </w:style>
  <w:style w:type="paragraph" w:customStyle="1" w:styleId="TableBulletListLevel3">
    <w:name w:val="Table Bullet List Level 3"/>
    <w:basedOn w:val="BodyTextTable"/>
    <w:uiPriority w:val="11"/>
    <w:semiHidden/>
    <w:rsid w:val="00065F18"/>
    <w:pPr>
      <w:numPr>
        <w:ilvl w:val="2"/>
        <w:numId w:val="15"/>
      </w:numPr>
      <w:spacing w:before="60" w:after="60"/>
    </w:pPr>
  </w:style>
  <w:style w:type="paragraph" w:customStyle="1" w:styleId="Tablelist123">
    <w:name w:val="Table list 1 2 3"/>
    <w:basedOn w:val="Tablenormal0"/>
    <w:rsid w:val="00065F18"/>
    <w:pPr>
      <w:numPr>
        <w:numId w:val="17"/>
      </w:numPr>
    </w:pPr>
  </w:style>
  <w:style w:type="paragraph" w:customStyle="1" w:styleId="Tablelist123level2">
    <w:name w:val="Table list 1 2 3 level 2"/>
    <w:basedOn w:val="Tablenormal0"/>
    <w:semiHidden/>
    <w:rsid w:val="00065F18"/>
    <w:pPr>
      <w:numPr>
        <w:ilvl w:val="1"/>
        <w:numId w:val="17"/>
      </w:numPr>
    </w:pPr>
  </w:style>
  <w:style w:type="character" w:customStyle="1" w:styleId="Heading4Char">
    <w:name w:val="Heading 4 Char"/>
    <w:basedOn w:val="DefaultParagraphFont"/>
    <w:link w:val="Heading4"/>
    <w:semiHidden/>
    <w:rsid w:val="00FA655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6"/>
      </w:numPr>
    </w:pPr>
  </w:style>
  <w:style w:type="paragraph" w:customStyle="1" w:styleId="BodyTextTableLevel2">
    <w:name w:val="Body Text Table Level 2"/>
    <w:basedOn w:val="BodyTextTable"/>
    <w:uiPriority w:val="11"/>
    <w:semiHidden/>
    <w:rsid w:val="00065F18"/>
    <w:pPr>
      <w:numPr>
        <w:ilvl w:val="1"/>
        <w:numId w:val="16"/>
      </w:numPr>
    </w:pPr>
  </w:style>
  <w:style w:type="paragraph" w:customStyle="1" w:styleId="BodyTextTableLevel3">
    <w:name w:val="Body Text Table Level 3"/>
    <w:basedOn w:val="BodyTextTable"/>
    <w:uiPriority w:val="11"/>
    <w:semiHidden/>
    <w:rsid w:val="00065F18"/>
    <w:pPr>
      <w:numPr>
        <w:ilvl w:val="3"/>
        <w:numId w:val="17"/>
      </w:numPr>
    </w:pPr>
  </w:style>
  <w:style w:type="paragraph" w:styleId="Caption">
    <w:name w:val="caption"/>
    <w:basedOn w:val="Normal"/>
    <w:next w:val="Normal"/>
    <w:qFormat/>
    <w:rsid w:val="00FA6558"/>
    <w:pPr>
      <w:keepNext/>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065F18"/>
    <w:pPr>
      <w:pageBreakBefore/>
      <w:numPr>
        <w:numId w:val="18"/>
      </w:numPr>
      <w:tabs>
        <w:tab w:val="left" w:pos="2268"/>
      </w:tabs>
      <w:spacing w:before="0"/>
      <w:outlineLvl w:val="7"/>
    </w:pPr>
  </w:style>
  <w:style w:type="paragraph" w:customStyle="1" w:styleId="NotforContentsheading1">
    <w:name w:val="Not for Contents heading 1"/>
    <w:basedOn w:val="Normal"/>
    <w:next w:val="Normal"/>
    <w:semiHidden/>
    <w:rsid w:val="00065F18"/>
    <w:pPr>
      <w:keepNext/>
      <w:spacing w:before="48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FA6558"/>
    <w:pPr>
      <w:numPr>
        <w:ilvl w:val="1"/>
        <w:numId w:val="21"/>
      </w:numPr>
      <w:spacing w:before="80" w:after="80"/>
    </w:pPr>
  </w:style>
  <w:style w:type="paragraph" w:customStyle="1" w:styleId="NotforContentsheading2">
    <w:name w:val="Not for Contents heading 2"/>
    <w:basedOn w:val="Normal"/>
    <w:next w:val="Normal"/>
    <w:semiHidden/>
    <w:rsid w:val="00065F18"/>
    <w:pPr>
      <w:keepNext/>
      <w:spacing w:before="360"/>
      <w:contextualSpacing/>
    </w:pPr>
    <w:rPr>
      <w:b/>
      <w:color w:val="1F546B"/>
      <w:sz w:val="36"/>
    </w:rPr>
  </w:style>
  <w:style w:type="character" w:customStyle="1" w:styleId="Heading3Char">
    <w:name w:val="Heading 3 Char"/>
    <w:link w:val="Heading3"/>
    <w:semiHidden/>
    <w:rsid w:val="00FA6558"/>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Cabinetpaper">
    <w:name w:val="_Cabinet paper"/>
    <w:basedOn w:val="TableNormal"/>
    <w:uiPriority w:val="99"/>
    <w:rsid w:val="00BF0BE0"/>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styleId="SubtleEmphasis">
    <w:name w:val="Subtle Emphasis"/>
    <w:basedOn w:val="DefaultParagraphFont"/>
    <w:uiPriority w:val="99"/>
    <w:semiHidden/>
    <w:qFormat/>
    <w:rsid w:val="00FA6558"/>
    <w:rPr>
      <w:i/>
      <w:iCs/>
    </w:rPr>
  </w:style>
  <w:style w:type="character" w:styleId="IntenseEmphasis">
    <w:name w:val="Intense Emphasis"/>
    <w:uiPriority w:val="99"/>
    <w:semiHidden/>
    <w:qFormat/>
    <w:rsid w:val="00FA6558"/>
    <w:rPr>
      <w:b/>
      <w:i/>
    </w:rPr>
  </w:style>
  <w:style w:type="paragraph" w:styleId="ListParagraph">
    <w:name w:val="List Paragraph"/>
    <w:basedOn w:val="Bullet"/>
    <w:uiPriority w:val="34"/>
    <w:qFormat/>
    <w:rsid w:val="00FA6558"/>
    <w:pPr>
      <w:numPr>
        <w:numId w:val="20"/>
      </w:numPr>
    </w:pPr>
  </w:style>
  <w:style w:type="character" w:customStyle="1" w:styleId="Heading5Char">
    <w:name w:val="Heading 5 Char"/>
    <w:basedOn w:val="DefaultParagraphFont"/>
    <w:link w:val="Heading5"/>
    <w:uiPriority w:val="1"/>
    <w:semiHidden/>
    <w:rsid w:val="00FA6558"/>
    <w:rPr>
      <w:rFonts w:eastAsiaTheme="minorHAnsi"/>
      <w:b/>
      <w:bCs/>
      <w:iCs/>
      <w:szCs w:val="26"/>
      <w:lang w:eastAsia="en-US"/>
    </w:rPr>
  </w:style>
  <w:style w:type="character" w:styleId="SubtleReference">
    <w:name w:val="Subtle Reference"/>
    <w:basedOn w:val="DefaultParagraphFont"/>
    <w:uiPriority w:val="99"/>
    <w:semiHidden/>
    <w:qFormat/>
    <w:rsid w:val="00FA6558"/>
    <w:rPr>
      <w:rFonts w:ascii="Calibri" w:hAnsi="Calibri"/>
      <w:smallCaps/>
      <w:color w:val="A42F13" w:themeColor="accent2"/>
      <w:u w:val="single"/>
    </w:rPr>
  </w:style>
  <w:style w:type="character" w:styleId="BookTitle">
    <w:name w:val="Book Title"/>
    <w:basedOn w:val="DefaultParagraphFont"/>
    <w:uiPriority w:val="33"/>
    <w:semiHidden/>
    <w:qFormat/>
    <w:rsid w:val="00FA6558"/>
    <w:rPr>
      <w:rFonts w:ascii="Calibri" w:hAnsi="Calibri"/>
      <w:b/>
      <w:bCs/>
      <w:smallCaps/>
      <w:spacing w:val="5"/>
    </w:rPr>
  </w:style>
  <w:style w:type="character" w:styleId="IntenseReference">
    <w:name w:val="Intense Reference"/>
    <w:basedOn w:val="DefaultParagraphFont"/>
    <w:uiPriority w:val="99"/>
    <w:semiHidden/>
    <w:qFormat/>
    <w:rsid w:val="00FA655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rsid w:val="00065F18"/>
    <w:rPr>
      <w:rFonts w:eastAsiaTheme="minorHAnsi"/>
      <w:lang w:eastAsia="en-US"/>
    </w:rPr>
  </w:style>
  <w:style w:type="paragraph" w:styleId="IntenseQuote">
    <w:name w:val="Intense Quote"/>
    <w:basedOn w:val="Normal"/>
    <w:next w:val="Normal"/>
    <w:link w:val="IntenseQuoteChar"/>
    <w:uiPriority w:val="99"/>
    <w:semiHidden/>
    <w:qFormat/>
    <w:rsid w:val="00FA655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FA6558"/>
    <w:rPr>
      <w:rFonts w:eastAsiaTheme="minorHAnsi"/>
      <w:b/>
      <w:bCs/>
      <w:i/>
      <w:iCs/>
      <w:color w:val="1F546B" w:themeColor="text2"/>
      <w:lang w:eastAsia="en-US"/>
    </w:rPr>
  </w:style>
  <w:style w:type="paragraph" w:customStyle="1" w:styleId="Headingpage">
    <w:name w:val="Heading page"/>
    <w:basedOn w:val="Normal"/>
    <w:next w:val="Normal"/>
    <w:rsid w:val="00484044"/>
    <w:pPr>
      <w:spacing w:before="400"/>
    </w:pPr>
    <w:rPr>
      <w:b/>
      <w:color w:val="000000" w:themeColor="text1"/>
      <w:sz w:val="28"/>
    </w:rPr>
  </w:style>
  <w:style w:type="paragraph" w:customStyle="1" w:styleId="Tablenormal0">
    <w:name w:val="Table normal"/>
    <w:basedOn w:val="Normal"/>
    <w:qFormat/>
    <w:rsid w:val="00FA6558"/>
    <w:pPr>
      <w:spacing w:before="40" w:after="40"/>
    </w:pPr>
    <w:rPr>
      <w:sz w:val="22"/>
    </w:rPr>
  </w:style>
  <w:style w:type="character" w:customStyle="1" w:styleId="Heading6Char">
    <w:name w:val="Heading 6 Char"/>
    <w:basedOn w:val="DefaultParagraphFont"/>
    <w:link w:val="Heading6"/>
    <w:uiPriority w:val="1"/>
    <w:semiHidden/>
    <w:rsid w:val="00FA6558"/>
    <w:rPr>
      <w:rFonts w:eastAsiaTheme="minorHAnsi"/>
      <w:b/>
      <w:bCs/>
      <w:i/>
      <w:szCs w:val="22"/>
      <w:lang w:eastAsia="en-US"/>
    </w:rPr>
  </w:style>
  <w:style w:type="paragraph" w:customStyle="1" w:styleId="ListABClevel3">
    <w:name w:val="List A B C level 3"/>
    <w:basedOn w:val="Normal"/>
    <w:uiPriority w:val="1"/>
    <w:semiHidden/>
    <w:qFormat/>
    <w:rsid w:val="00FA6558"/>
    <w:pPr>
      <w:numPr>
        <w:ilvl w:val="2"/>
        <w:numId w:val="21"/>
      </w:numPr>
      <w:spacing w:before="80" w:after="80"/>
    </w:pPr>
  </w:style>
  <w:style w:type="paragraph" w:customStyle="1" w:styleId="List123level2">
    <w:name w:val="List 1 2 3 level 2"/>
    <w:basedOn w:val="Normal"/>
    <w:uiPriority w:val="1"/>
    <w:semiHidden/>
    <w:qFormat/>
    <w:rsid w:val="001B369D"/>
    <w:pPr>
      <w:numPr>
        <w:ilvl w:val="1"/>
        <w:numId w:val="22"/>
      </w:numPr>
      <w:spacing w:before="80" w:after="80"/>
    </w:pPr>
  </w:style>
  <w:style w:type="paragraph" w:customStyle="1" w:styleId="List123level3">
    <w:name w:val="List 1 2 3 level 3"/>
    <w:basedOn w:val="Normal"/>
    <w:uiPriority w:val="1"/>
    <w:semiHidden/>
    <w:qFormat/>
    <w:rsid w:val="001B369D"/>
    <w:pPr>
      <w:numPr>
        <w:ilvl w:val="2"/>
        <w:numId w:val="22"/>
      </w:numPr>
    </w:pPr>
  </w:style>
  <w:style w:type="paragraph" w:customStyle="1" w:styleId="Legislationsection">
    <w:name w:val="Legislation section"/>
    <w:basedOn w:val="Normal"/>
    <w:semiHidden/>
    <w:qFormat/>
    <w:rsid w:val="00FA6558"/>
    <w:pPr>
      <w:numPr>
        <w:numId w:val="24"/>
      </w:numPr>
      <w:tabs>
        <w:tab w:val="left" w:pos="567"/>
      </w:tabs>
      <w:spacing w:after="60"/>
    </w:pPr>
    <w:rPr>
      <w:b/>
      <w:sz w:val="22"/>
    </w:rPr>
  </w:style>
  <w:style w:type="paragraph" w:customStyle="1" w:styleId="Legislationnumber">
    <w:name w:val="Legislation number"/>
    <w:basedOn w:val="Normal"/>
    <w:semiHidden/>
    <w:qFormat/>
    <w:rsid w:val="00FA6558"/>
    <w:pPr>
      <w:numPr>
        <w:numId w:val="23"/>
      </w:numPr>
      <w:tabs>
        <w:tab w:val="left" w:pos="567"/>
      </w:tabs>
      <w:spacing w:before="60" w:after="60"/>
    </w:pPr>
    <w:rPr>
      <w:sz w:val="22"/>
    </w:rPr>
  </w:style>
  <w:style w:type="paragraph" w:customStyle="1" w:styleId="Legislationa">
    <w:name w:val="Legislation (a)"/>
    <w:basedOn w:val="Normal"/>
    <w:semiHidden/>
    <w:qFormat/>
    <w:rsid w:val="00FA6558"/>
    <w:pPr>
      <w:numPr>
        <w:ilvl w:val="2"/>
        <w:numId w:val="24"/>
      </w:numPr>
      <w:spacing w:before="60" w:after="60"/>
    </w:pPr>
    <w:rPr>
      <w:sz w:val="22"/>
    </w:rPr>
  </w:style>
  <w:style w:type="paragraph" w:customStyle="1" w:styleId="Legislationi">
    <w:name w:val="Legislation (i)"/>
    <w:basedOn w:val="Normal"/>
    <w:semiHidden/>
    <w:qFormat/>
    <w:rsid w:val="00FA6558"/>
    <w:pPr>
      <w:numPr>
        <w:ilvl w:val="3"/>
        <w:numId w:val="24"/>
      </w:numPr>
      <w:spacing w:before="60" w:after="60"/>
    </w:pPr>
    <w:rPr>
      <w:sz w:val="22"/>
    </w:rPr>
  </w:style>
  <w:style w:type="paragraph" w:customStyle="1" w:styleId="Numberedparaindentonly">
    <w:name w:val="Numbered para indent only"/>
    <w:basedOn w:val="Normal"/>
    <w:qFormat/>
    <w:rsid w:val="00FA6558"/>
    <w:pPr>
      <w:ind w:left="567"/>
    </w:pPr>
  </w:style>
  <w:style w:type="paragraph" w:customStyle="1" w:styleId="Spacer">
    <w:name w:val="Spacer"/>
    <w:basedOn w:val="Normal"/>
    <w:qFormat/>
    <w:rsid w:val="00FA6558"/>
    <w:pPr>
      <w:spacing w:before="0" w:after="0"/>
    </w:pPr>
  </w:style>
  <w:style w:type="paragraph" w:customStyle="1" w:styleId="Page">
    <w:name w:val="Page"/>
    <w:basedOn w:val="Spacer"/>
    <w:semiHidden/>
    <w:qFormat/>
    <w:rsid w:val="00FA655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FA6558"/>
    <w:rPr>
      <w:sz w:val="24"/>
    </w:rPr>
  </w:style>
  <w:style w:type="paragraph" w:customStyle="1" w:styleId="Tableheading12pt">
    <w:name w:val="Table heading 12pt"/>
    <w:basedOn w:val="Tableheading"/>
    <w:semiHidden/>
    <w:qFormat/>
    <w:rsid w:val="00FA6558"/>
    <w:rPr>
      <w:sz w:val="24"/>
    </w:rPr>
  </w:style>
  <w:style w:type="paragraph" w:customStyle="1" w:styleId="Documentationpageheading">
    <w:name w:val="Documentation page heading"/>
    <w:basedOn w:val="Normal"/>
    <w:semiHidden/>
    <w:qFormat/>
    <w:rsid w:val="00FA6558"/>
    <w:pPr>
      <w:spacing w:after="0"/>
    </w:pPr>
    <w:rPr>
      <w:b/>
      <w:color w:val="1F546B" w:themeColor="text2"/>
      <w:sz w:val="36"/>
    </w:rPr>
  </w:style>
  <w:style w:type="paragraph" w:customStyle="1" w:styleId="Documentationpagesubheading">
    <w:name w:val="Documentation page subheading"/>
    <w:basedOn w:val="Documentationpageheading"/>
    <w:semiHidden/>
    <w:qFormat/>
    <w:rsid w:val="00FA6558"/>
    <w:rPr>
      <w:sz w:val="28"/>
    </w:rPr>
  </w:style>
  <w:style w:type="paragraph" w:customStyle="1" w:styleId="Documentationpagetable">
    <w:name w:val="Documentation page table"/>
    <w:basedOn w:val="Normal"/>
    <w:semiHidden/>
    <w:qFormat/>
    <w:rsid w:val="00FA6558"/>
    <w:pPr>
      <w:spacing w:before="44" w:after="24"/>
    </w:pPr>
    <w:rPr>
      <w:rFonts w:cstheme="minorBidi"/>
      <w:sz w:val="20"/>
    </w:rPr>
  </w:style>
  <w:style w:type="paragraph" w:customStyle="1" w:styleId="Documentationpagetableheading">
    <w:name w:val="Documentation page table heading"/>
    <w:basedOn w:val="Normal"/>
    <w:semiHidden/>
    <w:qFormat/>
    <w:rsid w:val="00FA6558"/>
    <w:pPr>
      <w:spacing w:before="40" w:after="40"/>
    </w:pPr>
    <w:rPr>
      <w:rFonts w:cstheme="minorBidi"/>
      <w:b/>
      <w:color w:val="FFFFFF" w:themeColor="background1"/>
      <w:sz w:val="20"/>
    </w:rPr>
  </w:style>
  <w:style w:type="paragraph" w:customStyle="1" w:styleId="Numberedpara3subheading">
    <w:name w:val="Numbered para (3) subheading"/>
    <w:basedOn w:val="Normal"/>
    <w:next w:val="Normal"/>
    <w:semiHidden/>
    <w:rsid w:val="00065F18"/>
    <w:pPr>
      <w:spacing w:before="240"/>
    </w:pPr>
    <w:rPr>
      <w:b/>
      <w:i/>
    </w:rPr>
  </w:style>
  <w:style w:type="paragraph" w:customStyle="1" w:styleId="Numberedpara3level1">
    <w:name w:val="Numbered para (3) level 1"/>
    <w:basedOn w:val="Normal"/>
    <w:qFormat/>
    <w:rsid w:val="00A75B42"/>
    <w:pPr>
      <w:numPr>
        <w:numId w:val="25"/>
      </w:numPr>
    </w:pPr>
  </w:style>
  <w:style w:type="paragraph" w:customStyle="1" w:styleId="Numberedpara3level211">
    <w:name w:val="Numbered para (3) level 2 (1.1)"/>
    <w:basedOn w:val="Normal"/>
    <w:qFormat/>
    <w:rsid w:val="00A75B42"/>
    <w:pPr>
      <w:numPr>
        <w:ilvl w:val="1"/>
        <w:numId w:val="25"/>
      </w:numPr>
      <w:ind w:left="1304" w:hanging="737"/>
    </w:pPr>
  </w:style>
  <w:style w:type="paragraph" w:customStyle="1" w:styleId="Numberedpara3level3111">
    <w:name w:val="Numbered para (3) level 3 (1.1.1)"/>
    <w:basedOn w:val="Normal"/>
    <w:qFormat/>
    <w:rsid w:val="00A75B42"/>
    <w:pPr>
      <w:numPr>
        <w:ilvl w:val="2"/>
        <w:numId w:val="25"/>
      </w:numPr>
      <w:ind w:left="2211" w:hanging="907"/>
    </w:pPr>
  </w:style>
  <w:style w:type="paragraph" w:customStyle="1" w:styleId="Title2">
    <w:name w:val="Title 2"/>
    <w:basedOn w:val="Title"/>
    <w:semiHidden/>
    <w:qFormat/>
    <w:rsid w:val="00FA6558"/>
    <w:rPr>
      <w:sz w:val="52"/>
    </w:rPr>
  </w:style>
  <w:style w:type="paragraph" w:customStyle="1" w:styleId="Numberedpara3heading">
    <w:name w:val="Numbered para (3) heading"/>
    <w:basedOn w:val="Normal"/>
    <w:semiHidden/>
    <w:qFormat/>
    <w:rsid w:val="002D38AA"/>
    <w:pPr>
      <w:keepNext/>
      <w:spacing w:before="200"/>
    </w:pPr>
    <w:rPr>
      <w:b/>
    </w:rPr>
  </w:style>
  <w:style w:type="character" w:customStyle="1" w:styleId="HeaderChar">
    <w:name w:val="Header Char"/>
    <w:basedOn w:val="DefaultParagraphFont"/>
    <w:link w:val="Header"/>
    <w:semiHidden/>
    <w:rsid w:val="002D38AA"/>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FA6558"/>
    <w:rPr>
      <w:b/>
      <w:i w:val="0"/>
      <w:caps/>
      <w:smallCaps w:val="0"/>
      <w:sz w:val="22"/>
    </w:rPr>
  </w:style>
  <w:style w:type="paragraph" w:customStyle="1" w:styleId="Numberedpara1level211">
    <w:name w:val="Numbered para (1) level 2 (1.1)"/>
    <w:basedOn w:val="Normal"/>
    <w:semiHidden/>
    <w:rsid w:val="00065F18"/>
    <w:pPr>
      <w:numPr>
        <w:ilvl w:val="1"/>
        <w:numId w:val="26"/>
      </w:numPr>
    </w:pPr>
  </w:style>
  <w:style w:type="paragraph" w:customStyle="1" w:styleId="Numberedpara11headingwithnumber">
    <w:name w:val="Numbered para (1) 1 (heading with number)"/>
    <w:basedOn w:val="Normal"/>
    <w:qFormat/>
    <w:rsid w:val="00FA6558"/>
    <w:pPr>
      <w:numPr>
        <w:numId w:val="26"/>
      </w:numPr>
      <w:spacing w:before="240"/>
    </w:pPr>
    <w:rPr>
      <w:b/>
      <w:sz w:val="28"/>
    </w:rPr>
  </w:style>
  <w:style w:type="paragraph" w:customStyle="1" w:styleId="Crossreference">
    <w:name w:val="Cross reference"/>
    <w:basedOn w:val="Normal"/>
    <w:link w:val="CrossreferenceChar"/>
    <w:semiHidden/>
    <w:qFormat/>
    <w:rsid w:val="00BF0BE0"/>
    <w:rPr>
      <w:i/>
      <w:color w:val="000000" w:themeColor="text1"/>
      <w:u w:val="single"/>
    </w:rPr>
  </w:style>
  <w:style w:type="paragraph" w:customStyle="1" w:styleId="Headerforcabinetpapers">
    <w:name w:val="Header for cabinet papers"/>
    <w:basedOn w:val="Normal"/>
    <w:qFormat/>
    <w:rsid w:val="00FA6558"/>
    <w:pPr>
      <w:tabs>
        <w:tab w:val="center" w:pos="4536"/>
      </w:tabs>
      <w:jc w:val="center"/>
    </w:pPr>
    <w:rPr>
      <w:b/>
      <w:caps/>
    </w:rPr>
  </w:style>
  <w:style w:type="paragraph" w:customStyle="1" w:styleId="FinancialtableLHC">
    <w:name w:val="Financial table LHC"/>
    <w:basedOn w:val="Normal"/>
    <w:qFormat/>
    <w:rsid w:val="00FA6558"/>
    <w:pPr>
      <w:spacing w:before="0" w:after="0"/>
      <w:contextualSpacing/>
    </w:pPr>
    <w:rPr>
      <w:sz w:val="22"/>
    </w:rPr>
  </w:style>
  <w:style w:type="paragraph" w:customStyle="1" w:styleId="Financialtablefigures">
    <w:name w:val="Financial table figures"/>
    <w:basedOn w:val="FinancialtableLHC"/>
    <w:qFormat/>
    <w:rsid w:val="00FA6558"/>
    <w:pPr>
      <w:jc w:val="right"/>
    </w:pPr>
  </w:style>
  <w:style w:type="paragraph" w:customStyle="1" w:styleId="Financialtableyears">
    <w:name w:val="Financial table years"/>
    <w:basedOn w:val="Financialtablefigures"/>
    <w:qFormat/>
    <w:rsid w:val="00FA6558"/>
    <w:pPr>
      <w:jc w:val="center"/>
    </w:pPr>
    <w:rPr>
      <w:b/>
      <w:sz w:val="20"/>
    </w:rPr>
  </w:style>
  <w:style w:type="paragraph" w:customStyle="1" w:styleId="Tablesource">
    <w:name w:val="Table source"/>
    <w:basedOn w:val="Normal"/>
    <w:next w:val="Numberedpara3level1"/>
    <w:qFormat/>
    <w:rsid w:val="00FA6558"/>
    <w:pPr>
      <w:spacing w:before="40"/>
      <w:ind w:left="567"/>
    </w:pPr>
    <w:rPr>
      <w:sz w:val="22"/>
    </w:rPr>
  </w:style>
  <w:style w:type="paragraph" w:customStyle="1" w:styleId="Cabinetpaperparasubheading">
    <w:name w:val="Cabinet paper para subheading"/>
    <w:basedOn w:val="Normal"/>
    <w:next w:val="Numberedpara3level1"/>
    <w:qFormat/>
    <w:rsid w:val="00385C33"/>
    <w:pPr>
      <w:keepNext/>
      <w:spacing w:before="240"/>
    </w:pPr>
    <w:rPr>
      <w:b/>
      <w:i/>
    </w:rPr>
  </w:style>
  <w:style w:type="paragraph" w:customStyle="1" w:styleId="Cabinetpaperparaheading">
    <w:name w:val="Cabinet paper para heading"/>
    <w:basedOn w:val="Normal"/>
    <w:next w:val="Numberedpara3level1"/>
    <w:qFormat/>
    <w:rsid w:val="00BF0BE0"/>
    <w:pPr>
      <w:keepNext/>
      <w:spacing w:before="200"/>
    </w:pPr>
    <w:rPr>
      <w:b/>
      <w:sz w:val="26"/>
    </w:rPr>
  </w:style>
  <w:style w:type="paragraph" w:customStyle="1" w:styleId="Cabinetpaperparasubsubheading">
    <w:name w:val="Cabinet paper para subsubheading"/>
    <w:basedOn w:val="Normal"/>
    <w:next w:val="Numberedpara3level1"/>
    <w:qFormat/>
    <w:rsid w:val="00BF0BE0"/>
    <w:pPr>
      <w:keepNext/>
      <w:keepLines w:val="0"/>
      <w:spacing w:before="240"/>
    </w:pPr>
    <w:rPr>
      <w:i/>
    </w:rPr>
  </w:style>
  <w:style w:type="character" w:customStyle="1" w:styleId="CrossreferenceChar">
    <w:name w:val="Cross reference Char"/>
    <w:basedOn w:val="DefaultParagraphFont"/>
    <w:link w:val="Crossreference"/>
    <w:semiHidden/>
    <w:rsid w:val="00E4405F"/>
    <w:rPr>
      <w:rFonts w:eastAsiaTheme="minorHAnsi"/>
      <w:i/>
      <w:color w:val="000000" w:themeColor="text1"/>
      <w:u w:val="single"/>
      <w:lang w:eastAsia="en-US"/>
    </w:rPr>
  </w:style>
  <w:style w:type="character" w:customStyle="1" w:styleId="Crossreferences">
    <w:name w:val="Cross references"/>
    <w:basedOn w:val="DefaultParagraphFont"/>
    <w:uiPriority w:val="1"/>
    <w:qFormat/>
    <w:rsid w:val="00E4405F"/>
    <w:rPr>
      <w:i/>
      <w:u w:val="single"/>
    </w:rPr>
  </w:style>
  <w:style w:type="paragraph" w:customStyle="1" w:styleId="Briefingparasubheading">
    <w:name w:val="Briefing para subheading"/>
    <w:basedOn w:val="Normal"/>
    <w:next w:val="Numberedpara3level1"/>
    <w:qFormat/>
    <w:rsid w:val="00966517"/>
    <w:pPr>
      <w:keepNext/>
      <w:keepLines w:val="0"/>
      <w:spacing w:before="240"/>
    </w:pPr>
    <w:rPr>
      <w:b/>
      <w:i/>
    </w:rPr>
  </w:style>
  <w:style w:type="paragraph" w:customStyle="1" w:styleId="Briefingparaheading">
    <w:name w:val="Briefing para heading"/>
    <w:basedOn w:val="Normal"/>
    <w:next w:val="Numberedpara3level1"/>
    <w:qFormat/>
    <w:rsid w:val="006D1BD4"/>
    <w:pPr>
      <w:keepNext/>
      <w:keepLines w:val="0"/>
      <w:spacing w:before="240"/>
    </w:pPr>
    <w:rPr>
      <w:b/>
      <w:sz w:val="26"/>
    </w:rPr>
  </w:style>
  <w:style w:type="table" w:customStyle="1" w:styleId="Ministerial">
    <w:name w:val="_Ministerial"/>
    <w:basedOn w:val="TableNormal"/>
    <w:uiPriority w:val="99"/>
    <w:rsid w:val="005B76B3"/>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paragraph" w:styleId="CommentText">
    <w:name w:val="annotation text"/>
    <w:basedOn w:val="Normal"/>
    <w:link w:val="CommentTextChar"/>
    <w:uiPriority w:val="99"/>
    <w:semiHidden/>
    <w:unhideWhenUsed/>
    <w:rsid w:val="00302C91"/>
    <w:rPr>
      <w:sz w:val="20"/>
      <w:szCs w:val="20"/>
    </w:rPr>
  </w:style>
  <w:style w:type="character" w:customStyle="1" w:styleId="CommentTextChar">
    <w:name w:val="Comment Text Char"/>
    <w:basedOn w:val="DefaultParagraphFont"/>
    <w:link w:val="CommentText"/>
    <w:uiPriority w:val="99"/>
    <w:semiHidden/>
    <w:rsid w:val="00302C9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302C91"/>
    <w:rPr>
      <w:b/>
      <w:bCs/>
    </w:rPr>
  </w:style>
  <w:style w:type="character" w:customStyle="1" w:styleId="CommentSubjectChar">
    <w:name w:val="Comment Subject Char"/>
    <w:basedOn w:val="CommentTextChar"/>
    <w:link w:val="CommentSubject"/>
    <w:uiPriority w:val="99"/>
    <w:semiHidden/>
    <w:rsid w:val="00302C91"/>
    <w:rPr>
      <w:rFonts w:eastAsiaTheme="minorHAnsi"/>
      <w:b/>
      <w:bCs/>
      <w:sz w:val="20"/>
      <w:szCs w:val="20"/>
      <w:lang w:eastAsia="en-US"/>
    </w:rPr>
  </w:style>
  <w:style w:type="paragraph" w:customStyle="1" w:styleId="Briefingtext">
    <w:name w:val="Briefing text"/>
    <w:basedOn w:val="Normal"/>
    <w:rsid w:val="006B1B79"/>
    <w:pPr>
      <w:keepLines w:val="0"/>
      <w:numPr>
        <w:numId w:val="29"/>
      </w:numPr>
      <w:tabs>
        <w:tab w:val="left" w:pos="567"/>
      </w:tabs>
      <w:spacing w:before="0"/>
      <w:jc w:val="both"/>
    </w:pPr>
    <w:rPr>
      <w:rFonts w:ascii="Arial Mäori" w:eastAsia="Times New Roman" w:hAnsi="Arial Mäori"/>
    </w:rPr>
  </w:style>
  <w:style w:type="table" w:customStyle="1" w:styleId="DIATable">
    <w:name w:val="_DIA Table"/>
    <w:basedOn w:val="TableNormal"/>
    <w:uiPriority w:val="99"/>
    <w:rsid w:val="00401F69"/>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customStyle="1" w:styleId="NormalArialChar">
    <w:name w:val="Normal + Arial Char"/>
    <w:aliases w:val="Justified Char"/>
    <w:link w:val="NormalArial"/>
    <w:locked/>
    <w:rsid w:val="00CE5393"/>
    <w:rPr>
      <w:rFonts w:ascii="Arial" w:hAnsi="Arial" w:cs="Arial"/>
      <w:lang w:val="en-GB" w:eastAsia="en-US"/>
    </w:rPr>
  </w:style>
  <w:style w:type="paragraph" w:customStyle="1" w:styleId="NormalArial">
    <w:name w:val="Normal + Arial"/>
    <w:aliases w:val="Justified"/>
    <w:basedOn w:val="Normal"/>
    <w:link w:val="NormalArialChar"/>
    <w:rsid w:val="00CE5393"/>
    <w:pPr>
      <w:keepLines w:val="0"/>
      <w:numPr>
        <w:numId w:val="30"/>
      </w:numPr>
      <w:overflowPunct w:val="0"/>
      <w:autoSpaceDE w:val="0"/>
      <w:autoSpaceDN w:val="0"/>
      <w:adjustRightInd w:val="0"/>
      <w:spacing w:before="0" w:after="0"/>
      <w:jc w:val="both"/>
    </w:pPr>
    <w:rPr>
      <w:rFonts w:ascii="Arial" w:eastAsia="Times New Roman" w:hAnsi="Arial" w:cs="Arial"/>
      <w:lang w:val="en-GB"/>
    </w:rPr>
  </w:style>
  <w:style w:type="paragraph" w:customStyle="1" w:styleId="NumbersLevel1">
    <w:name w:val="Numbers Level 1"/>
    <w:basedOn w:val="BodyText"/>
    <w:rsid w:val="0071391F"/>
    <w:pPr>
      <w:keepLines w:val="0"/>
      <w:tabs>
        <w:tab w:val="num" w:pos="709"/>
      </w:tabs>
      <w:spacing w:before="0" w:line="280" w:lineRule="atLeast"/>
      <w:ind w:left="709" w:hanging="709"/>
      <w:jc w:val="both"/>
    </w:pPr>
    <w:rPr>
      <w:rFonts w:ascii="Arial" w:eastAsia="Times New Roman" w:hAnsi="Arial"/>
      <w:sz w:val="22"/>
    </w:rPr>
  </w:style>
  <w:style w:type="paragraph" w:customStyle="1" w:styleId="NumbersLevel2">
    <w:name w:val="Numbers Level 2"/>
    <w:basedOn w:val="BodyText"/>
    <w:rsid w:val="0071391F"/>
    <w:pPr>
      <w:keepLines w:val="0"/>
      <w:tabs>
        <w:tab w:val="num" w:pos="709"/>
      </w:tabs>
      <w:spacing w:before="0" w:line="280" w:lineRule="atLeast"/>
      <w:ind w:left="709" w:hanging="709"/>
    </w:pPr>
    <w:rPr>
      <w:rFonts w:ascii="Arial" w:eastAsia="Times New Roman" w:hAnsi="Arial"/>
      <w:sz w:val="22"/>
    </w:rPr>
  </w:style>
  <w:style w:type="paragraph" w:customStyle="1" w:styleId="NumbersLevel3">
    <w:name w:val="Numbers Level 3"/>
    <w:basedOn w:val="BodyText"/>
    <w:rsid w:val="0071391F"/>
    <w:pPr>
      <w:keepLines w:val="0"/>
      <w:tabs>
        <w:tab w:val="num" w:pos="1276"/>
      </w:tabs>
      <w:spacing w:before="0" w:line="280" w:lineRule="atLeast"/>
      <w:ind w:left="1276" w:hanging="567"/>
    </w:pPr>
    <w:rPr>
      <w:rFonts w:ascii="Arial" w:eastAsia="Times New Roman" w:hAnsi="Arial"/>
      <w:sz w:val="22"/>
    </w:rPr>
  </w:style>
  <w:style w:type="paragraph" w:customStyle="1" w:styleId="NumbersLevel4">
    <w:name w:val="Numbers Level 4"/>
    <w:basedOn w:val="BodyText"/>
    <w:rsid w:val="0071391F"/>
    <w:pPr>
      <w:keepLines w:val="0"/>
      <w:tabs>
        <w:tab w:val="num" w:pos="1843"/>
      </w:tabs>
      <w:spacing w:before="0" w:line="280" w:lineRule="atLeast"/>
      <w:ind w:left="1843" w:hanging="567"/>
    </w:pPr>
    <w:rPr>
      <w:rFonts w:ascii="Arial" w:eastAsia="Times New Roman" w:hAnsi="Arial"/>
      <w:sz w:val="22"/>
    </w:rPr>
  </w:style>
  <w:style w:type="paragraph" w:customStyle="1" w:styleId="Numberedpara2level1">
    <w:name w:val="Numbered para (2) level 1"/>
    <w:basedOn w:val="Normal"/>
    <w:semiHidden/>
    <w:qFormat/>
    <w:rsid w:val="00CF43A7"/>
    <w:pPr>
      <w:tabs>
        <w:tab w:val="num" w:pos="567"/>
      </w:tabs>
      <w:ind w:left="567" w:hanging="567"/>
    </w:pPr>
  </w:style>
  <w:style w:type="paragraph" w:customStyle="1" w:styleId="Numberedpara2level2a">
    <w:name w:val="Numbered para (2) level 2 (a)"/>
    <w:basedOn w:val="Normal"/>
    <w:semiHidden/>
    <w:qFormat/>
    <w:rsid w:val="00CF43A7"/>
    <w:pPr>
      <w:ind w:left="924" w:hanging="357"/>
    </w:pPr>
  </w:style>
  <w:style w:type="paragraph" w:customStyle="1" w:styleId="Numberedpara2level3i">
    <w:name w:val="Numbered para (2) level 3 (i)"/>
    <w:basedOn w:val="Normal"/>
    <w:semiHidden/>
    <w:qFormat/>
    <w:rsid w:val="00CF43A7"/>
    <w:pPr>
      <w:ind w:left="1298" w:hanging="37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57452">
      <w:bodyDiv w:val="1"/>
      <w:marLeft w:val="0"/>
      <w:marRight w:val="0"/>
      <w:marTop w:val="0"/>
      <w:marBottom w:val="0"/>
      <w:divBdr>
        <w:top w:val="none" w:sz="0" w:space="0" w:color="auto"/>
        <w:left w:val="none" w:sz="0" w:space="0" w:color="auto"/>
        <w:bottom w:val="none" w:sz="0" w:space="0" w:color="auto"/>
        <w:right w:val="none" w:sz="0" w:space="0" w:color="auto"/>
      </w:divBdr>
    </w:div>
    <w:div w:id="463697495">
      <w:bodyDiv w:val="1"/>
      <w:marLeft w:val="0"/>
      <w:marRight w:val="0"/>
      <w:marTop w:val="0"/>
      <w:marBottom w:val="0"/>
      <w:divBdr>
        <w:top w:val="none" w:sz="0" w:space="0" w:color="auto"/>
        <w:left w:val="none" w:sz="0" w:space="0" w:color="auto"/>
        <w:bottom w:val="none" w:sz="0" w:space="0" w:color="auto"/>
        <w:right w:val="none" w:sz="0" w:space="0" w:color="auto"/>
      </w:divBdr>
    </w:div>
    <w:div w:id="712655960">
      <w:bodyDiv w:val="1"/>
      <w:marLeft w:val="0"/>
      <w:marRight w:val="0"/>
      <w:marTop w:val="0"/>
      <w:marBottom w:val="0"/>
      <w:divBdr>
        <w:top w:val="none" w:sz="0" w:space="0" w:color="auto"/>
        <w:left w:val="none" w:sz="0" w:space="0" w:color="auto"/>
        <w:bottom w:val="none" w:sz="0" w:space="0" w:color="auto"/>
        <w:right w:val="none" w:sz="0" w:space="0" w:color="auto"/>
      </w:divBdr>
    </w:div>
    <w:div w:id="862862117">
      <w:bodyDiv w:val="1"/>
      <w:marLeft w:val="0"/>
      <w:marRight w:val="0"/>
      <w:marTop w:val="0"/>
      <w:marBottom w:val="0"/>
      <w:divBdr>
        <w:top w:val="none" w:sz="0" w:space="0" w:color="auto"/>
        <w:left w:val="none" w:sz="0" w:space="0" w:color="auto"/>
        <w:bottom w:val="none" w:sz="0" w:space="0" w:color="auto"/>
        <w:right w:val="none" w:sz="0" w:space="0" w:color="auto"/>
      </w:divBdr>
    </w:div>
    <w:div w:id="876745321">
      <w:bodyDiv w:val="1"/>
      <w:marLeft w:val="0"/>
      <w:marRight w:val="0"/>
      <w:marTop w:val="0"/>
      <w:marBottom w:val="0"/>
      <w:divBdr>
        <w:top w:val="none" w:sz="0" w:space="0" w:color="auto"/>
        <w:left w:val="none" w:sz="0" w:space="0" w:color="auto"/>
        <w:bottom w:val="none" w:sz="0" w:space="0" w:color="auto"/>
        <w:right w:val="none" w:sz="0" w:space="0" w:color="auto"/>
      </w:divBdr>
    </w:div>
    <w:div w:id="923535618">
      <w:bodyDiv w:val="1"/>
      <w:marLeft w:val="0"/>
      <w:marRight w:val="0"/>
      <w:marTop w:val="0"/>
      <w:marBottom w:val="0"/>
      <w:divBdr>
        <w:top w:val="none" w:sz="0" w:space="0" w:color="auto"/>
        <w:left w:val="none" w:sz="0" w:space="0" w:color="auto"/>
        <w:bottom w:val="none" w:sz="0" w:space="0" w:color="auto"/>
        <w:right w:val="none" w:sz="0" w:space="0" w:color="auto"/>
      </w:divBdr>
    </w:div>
    <w:div w:id="1152286131">
      <w:bodyDiv w:val="1"/>
      <w:marLeft w:val="0"/>
      <w:marRight w:val="0"/>
      <w:marTop w:val="0"/>
      <w:marBottom w:val="0"/>
      <w:divBdr>
        <w:top w:val="none" w:sz="0" w:space="0" w:color="auto"/>
        <w:left w:val="none" w:sz="0" w:space="0" w:color="auto"/>
        <w:bottom w:val="none" w:sz="0" w:space="0" w:color="auto"/>
        <w:right w:val="none" w:sz="0" w:space="0" w:color="auto"/>
      </w:divBdr>
    </w:div>
    <w:div w:id="1282683047">
      <w:bodyDiv w:val="1"/>
      <w:marLeft w:val="0"/>
      <w:marRight w:val="0"/>
      <w:marTop w:val="0"/>
      <w:marBottom w:val="0"/>
      <w:divBdr>
        <w:top w:val="none" w:sz="0" w:space="0" w:color="auto"/>
        <w:left w:val="none" w:sz="0" w:space="0" w:color="auto"/>
        <w:bottom w:val="none" w:sz="0" w:space="0" w:color="auto"/>
        <w:right w:val="none" w:sz="0" w:space="0" w:color="auto"/>
      </w:divBdr>
    </w:div>
    <w:div w:id="1404450888">
      <w:bodyDiv w:val="1"/>
      <w:marLeft w:val="0"/>
      <w:marRight w:val="0"/>
      <w:marTop w:val="0"/>
      <w:marBottom w:val="0"/>
      <w:divBdr>
        <w:top w:val="none" w:sz="0" w:space="0" w:color="auto"/>
        <w:left w:val="none" w:sz="0" w:space="0" w:color="auto"/>
        <w:bottom w:val="none" w:sz="0" w:space="0" w:color="auto"/>
        <w:right w:val="none" w:sz="0" w:space="0" w:color="auto"/>
      </w:divBdr>
    </w:div>
    <w:div w:id="1456486689">
      <w:bodyDiv w:val="1"/>
      <w:marLeft w:val="0"/>
      <w:marRight w:val="0"/>
      <w:marTop w:val="0"/>
      <w:marBottom w:val="0"/>
      <w:divBdr>
        <w:top w:val="none" w:sz="0" w:space="0" w:color="auto"/>
        <w:left w:val="none" w:sz="0" w:space="0" w:color="auto"/>
        <w:bottom w:val="none" w:sz="0" w:space="0" w:color="auto"/>
        <w:right w:val="none" w:sz="0" w:space="0" w:color="auto"/>
      </w:divBdr>
    </w:div>
    <w:div w:id="1533376111">
      <w:bodyDiv w:val="1"/>
      <w:marLeft w:val="0"/>
      <w:marRight w:val="0"/>
      <w:marTop w:val="0"/>
      <w:marBottom w:val="0"/>
      <w:divBdr>
        <w:top w:val="none" w:sz="0" w:space="0" w:color="auto"/>
        <w:left w:val="none" w:sz="0" w:space="0" w:color="auto"/>
        <w:bottom w:val="none" w:sz="0" w:space="0" w:color="auto"/>
        <w:right w:val="none" w:sz="0" w:space="0" w:color="auto"/>
      </w:divBdr>
    </w:div>
    <w:div w:id="1698266826">
      <w:bodyDiv w:val="1"/>
      <w:marLeft w:val="0"/>
      <w:marRight w:val="0"/>
      <w:marTop w:val="0"/>
      <w:marBottom w:val="0"/>
      <w:divBdr>
        <w:top w:val="none" w:sz="0" w:space="0" w:color="auto"/>
        <w:left w:val="none" w:sz="0" w:space="0" w:color="auto"/>
        <w:bottom w:val="none" w:sz="0" w:space="0" w:color="auto"/>
        <w:right w:val="none" w:sz="0" w:space="0" w:color="auto"/>
      </w:divBdr>
      <w:divsChild>
        <w:div w:id="972829922">
          <w:marLeft w:val="547"/>
          <w:marRight w:val="0"/>
          <w:marTop w:val="0"/>
          <w:marBottom w:val="0"/>
          <w:divBdr>
            <w:top w:val="none" w:sz="0" w:space="0" w:color="auto"/>
            <w:left w:val="none" w:sz="0" w:space="0" w:color="auto"/>
            <w:bottom w:val="none" w:sz="0" w:space="0" w:color="auto"/>
            <w:right w:val="none" w:sz="0" w:space="0" w:color="auto"/>
          </w:divBdr>
        </w:div>
      </w:divsChild>
    </w:div>
    <w:div w:id="1715420418">
      <w:bodyDiv w:val="1"/>
      <w:marLeft w:val="0"/>
      <w:marRight w:val="0"/>
      <w:marTop w:val="0"/>
      <w:marBottom w:val="0"/>
      <w:divBdr>
        <w:top w:val="none" w:sz="0" w:space="0" w:color="auto"/>
        <w:left w:val="none" w:sz="0" w:space="0" w:color="auto"/>
        <w:bottom w:val="none" w:sz="0" w:space="0" w:color="auto"/>
        <w:right w:val="none" w:sz="0" w:space="0" w:color="auto"/>
      </w:divBdr>
    </w:div>
    <w:div w:id="1917587088">
      <w:bodyDiv w:val="1"/>
      <w:marLeft w:val="0"/>
      <w:marRight w:val="0"/>
      <w:marTop w:val="0"/>
      <w:marBottom w:val="0"/>
      <w:divBdr>
        <w:top w:val="none" w:sz="0" w:space="0" w:color="auto"/>
        <w:left w:val="none" w:sz="0" w:space="0" w:color="auto"/>
        <w:bottom w:val="none" w:sz="0" w:space="0" w:color="auto"/>
        <w:right w:val="none" w:sz="0" w:space="0" w:color="auto"/>
      </w:divBdr>
    </w:div>
    <w:div w:id="1928731561">
      <w:bodyDiv w:val="1"/>
      <w:marLeft w:val="0"/>
      <w:marRight w:val="0"/>
      <w:marTop w:val="0"/>
      <w:marBottom w:val="0"/>
      <w:divBdr>
        <w:top w:val="none" w:sz="0" w:space="0" w:color="auto"/>
        <w:left w:val="none" w:sz="0" w:space="0" w:color="auto"/>
        <w:bottom w:val="none" w:sz="0" w:space="0" w:color="auto"/>
        <w:right w:val="none" w:sz="0" w:space="0" w:color="auto"/>
      </w:divBdr>
    </w:div>
    <w:div w:id="203877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ganaan\AppData\Roaming\Microsoft\Windows\Network%20Shortcuts\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lgprdfapn02\home$\wellington\naganaan\fees%20submissions%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Sheet1!$B$5:$B$9</c:f>
              <c:strCache>
                <c:ptCount val="5"/>
                <c:pt idx="0">
                  <c:v>Minimum rate of return</c:v>
                </c:pt>
                <c:pt idx="1">
                  <c:v>Other costs (including venue expenses)</c:v>
                </c:pt>
                <c:pt idx="2">
                  <c:v>Gambling fees</c:v>
                </c:pt>
                <c:pt idx="3">
                  <c:v>Gaming duty</c:v>
                </c:pt>
                <c:pt idx="4">
                  <c:v>Problem gambling levy</c:v>
                </c:pt>
              </c:strCache>
            </c:strRef>
          </c:cat>
          <c:val>
            <c:numRef>
              <c:f>Sheet1!$C$5:$C$9</c:f>
              <c:numCache>
                <c:formatCode>0.00%</c:formatCode>
                <c:ptCount val="5"/>
                <c:pt idx="0">
                  <c:v>0.4</c:v>
                </c:pt>
                <c:pt idx="1">
                  <c:v>0.33429999999999999</c:v>
                </c:pt>
                <c:pt idx="2">
                  <c:v>2.06E-2</c:v>
                </c:pt>
                <c:pt idx="3">
                  <c:v>0.23</c:v>
                </c:pt>
                <c:pt idx="4">
                  <c:v>1.5100000000000001E-2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howLegendKey val="0"/>
            <c:showVal val="0"/>
            <c:showCatName val="0"/>
            <c:showSerName val="0"/>
            <c:showPercent val="1"/>
            <c:showBubbleSize val="0"/>
            <c:showLeaderLines val="1"/>
          </c:dLbls>
          <c:cat>
            <c:strRef>
              <c:f>Sheet1!$B$10:$B$12</c:f>
              <c:strCache>
                <c:ptCount val="3"/>
                <c:pt idx="0">
                  <c:v>Oppose the proposed increases</c:v>
                </c:pt>
                <c:pt idx="1">
                  <c:v>Support a small increase</c:v>
                </c:pt>
                <c:pt idx="2">
                  <c:v>Support the proposed increases</c:v>
                </c:pt>
              </c:strCache>
            </c:strRef>
          </c:cat>
          <c:val>
            <c:numRef>
              <c:f>Sheet1!$C$10:$C$12</c:f>
              <c:numCache>
                <c:formatCode>General</c:formatCode>
                <c:ptCount val="3"/>
                <c:pt idx="0">
                  <c:v>28</c:v>
                </c:pt>
                <c:pt idx="1">
                  <c:v>9</c:v>
                </c:pt>
                <c:pt idx="2">
                  <c:v>4</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7F040-A1EB-4F2E-B9C6-503DE78C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81FADD6B</Template>
  <TotalTime>0</TotalTime>
  <Pages>14</Pages>
  <Words>4895</Words>
  <Characters>27905</Characters>
  <Application>Microsoft Office Word</Application>
  <DocSecurity>0</DocSecurity>
  <Lines>232</Lines>
  <Paragraphs>65</Paragraphs>
  <ScaleCrop>false</ScaleCrop>
  <Company/>
  <LinksUpToDate>false</LinksUpToDate>
  <CharactersWithSpaces>32735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2015-10-06T03:31:00Z</dcterms:created>
  <dcterms:modified xsi:type="dcterms:W3CDTF">2015-10-06T03:31:00Z</dcterms:modified>
</cp:coreProperties>
</file>