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80" w:rsidRDefault="00AF7F80" w:rsidP="00AF7F80">
      <w:bookmarkStart w:id="0" w:name="_GoBack"/>
      <w:bookmarkEnd w:id="0"/>
      <w:r>
        <w:t>Office of the Minister of Internal Affairs</w:t>
      </w:r>
    </w:p>
    <w:p w:rsidR="00AF7F80" w:rsidRDefault="00AF7F80" w:rsidP="00AF7F80"/>
    <w:p w:rsidR="00AF7F80" w:rsidRDefault="00AF7F80" w:rsidP="00AF7F80">
      <w:r>
        <w:t>Cabinet Economic Growth and Infrastructure C</w:t>
      </w:r>
      <w:r w:rsidRPr="00E4405F">
        <w:t>ommitt</w:t>
      </w:r>
      <w:r>
        <w:t>ee</w:t>
      </w:r>
    </w:p>
    <w:p w:rsidR="00AF7F80" w:rsidRDefault="00AF7F80" w:rsidP="00AF7F80">
      <w:pPr>
        <w:pStyle w:val="Headingpage"/>
      </w:pPr>
      <w:r>
        <w:t xml:space="preserve">Gambling Act 2003: </w:t>
      </w:r>
      <w:r w:rsidR="00510475">
        <w:t xml:space="preserve">Review of </w:t>
      </w:r>
      <w:r>
        <w:t>the regulatory regime for class 4 gambling</w:t>
      </w:r>
    </w:p>
    <w:p w:rsidR="00AF7F80" w:rsidRDefault="00AF7F80" w:rsidP="00AF7F80">
      <w:pPr>
        <w:pStyle w:val="Cabinetpaperparaheading"/>
      </w:pPr>
      <w:r>
        <w:t>Proposal</w:t>
      </w:r>
    </w:p>
    <w:p w:rsidR="002128DB" w:rsidRDefault="00AF7F80" w:rsidP="00AF7F80">
      <w:pPr>
        <w:pStyle w:val="Numberedpara3level1"/>
        <w:numPr>
          <w:ilvl w:val="0"/>
          <w:numId w:val="19"/>
        </w:numPr>
      </w:pPr>
      <w:r>
        <w:t xml:space="preserve">This paper is the first of two papers about gambling being considered by the Committee. This paper </w:t>
      </w:r>
      <w:r w:rsidR="00510475">
        <w:t>proposes Cabinet agreement to a</w:t>
      </w:r>
      <w:r>
        <w:t xml:space="preserve"> </w:t>
      </w:r>
      <w:r w:rsidR="00510475">
        <w:t xml:space="preserve">review </w:t>
      </w:r>
      <w:r>
        <w:t>of the regulatory regime for the class 4 gambling sector</w:t>
      </w:r>
      <w:r w:rsidR="009A0CF7">
        <w:t xml:space="preserve"> (gambling on gaming machines in pubs and clubs)</w:t>
      </w:r>
      <w:r>
        <w:t xml:space="preserve">. </w:t>
      </w:r>
    </w:p>
    <w:p w:rsidR="00AF7F80" w:rsidRDefault="004F3ADE" w:rsidP="00AF7F80">
      <w:pPr>
        <w:pStyle w:val="Numberedpara3level1"/>
        <w:numPr>
          <w:ilvl w:val="0"/>
          <w:numId w:val="19"/>
        </w:numPr>
      </w:pPr>
      <w:r>
        <w:t xml:space="preserve">The second paper seeks approval for increases to gambling fees under the Gambling Act 2003 (the Act). This </w:t>
      </w:r>
      <w:r w:rsidR="00B679D0">
        <w:t xml:space="preserve">review </w:t>
      </w:r>
      <w:r w:rsidR="00AF7F80">
        <w:t>paper is linked to the gambling fees paper because the fees review has highlighted sustainability issues emerging in the class 4 sector.</w:t>
      </w:r>
    </w:p>
    <w:p w:rsidR="00AF7F80" w:rsidRDefault="00AF7F80" w:rsidP="00AF7F80">
      <w:pPr>
        <w:pStyle w:val="Cabinetpaperparaheading"/>
      </w:pPr>
      <w:r>
        <w:t xml:space="preserve">Executive </w:t>
      </w:r>
      <w:r w:rsidRPr="00C15436">
        <w:t>summary</w:t>
      </w:r>
    </w:p>
    <w:p w:rsidR="00AF7F80" w:rsidRDefault="00AF7F80" w:rsidP="00AF7F80">
      <w:pPr>
        <w:pStyle w:val="Numberedpara3level1"/>
        <w:numPr>
          <w:ilvl w:val="0"/>
          <w:numId w:val="19"/>
        </w:numPr>
      </w:pPr>
      <w:r w:rsidRPr="00171E81">
        <w:rPr>
          <w:lang w:val="en-AU"/>
        </w:rPr>
        <w:t>Class 4 gambling provides important funding to a range of community purposes, particularly sport.</w:t>
      </w:r>
      <w:r>
        <w:rPr>
          <w:lang w:val="en-AU"/>
        </w:rPr>
        <w:t xml:space="preserve"> </w:t>
      </w:r>
      <w:r>
        <w:t xml:space="preserve">Currently the Gambling Amendment Bill (No 3) is before the House, which makes a small number of more minor but useful improvements to class 4 gambling. </w:t>
      </w:r>
    </w:p>
    <w:p w:rsidR="00AF7F80" w:rsidRDefault="00AF7F80" w:rsidP="00AF7F80">
      <w:pPr>
        <w:pStyle w:val="Numberedpara3level1"/>
        <w:numPr>
          <w:ilvl w:val="0"/>
          <w:numId w:val="19"/>
        </w:numPr>
      </w:pPr>
      <w:r>
        <w:t>The gambling fees review has shown that the class 4 sector is under increasing pressure to maintain funding streams for community purposes, financially support the necessary level of regulation and absorb other costs.</w:t>
      </w:r>
    </w:p>
    <w:p w:rsidR="00AF7F80" w:rsidRDefault="00AF7F80" w:rsidP="00AF7F80">
      <w:pPr>
        <w:pStyle w:val="Numberedpara3level1"/>
        <w:numPr>
          <w:ilvl w:val="0"/>
          <w:numId w:val="19"/>
        </w:numPr>
      </w:pPr>
      <w:r>
        <w:t xml:space="preserve">The issues that are impacting most significantly on the sector are a </w:t>
      </w:r>
      <w:r w:rsidRPr="00292E96">
        <w:t>complex</w:t>
      </w:r>
      <w:r>
        <w:t xml:space="preserve"> </w:t>
      </w:r>
      <w:r w:rsidRPr="00292E96">
        <w:t>regulatory regime</w:t>
      </w:r>
      <w:r>
        <w:t xml:space="preserve">, and a sector </w:t>
      </w:r>
      <w:r w:rsidRPr="00292E96">
        <w:t>scale down</w:t>
      </w:r>
      <w:r>
        <w:t>, where venues and machine numbers are continuing to decline</w:t>
      </w:r>
      <w:r w:rsidRPr="00292E96">
        <w:t>.</w:t>
      </w:r>
    </w:p>
    <w:p w:rsidR="00AF7F80" w:rsidRPr="003445FD" w:rsidRDefault="00AF7F80" w:rsidP="00AF7F80">
      <w:pPr>
        <w:pStyle w:val="Numberedpara3level1"/>
        <w:numPr>
          <w:ilvl w:val="0"/>
          <w:numId w:val="19"/>
        </w:numPr>
        <w:rPr>
          <w:lang w:val="en-AU"/>
        </w:rPr>
      </w:pPr>
      <w:r w:rsidRPr="003445FD">
        <w:t xml:space="preserve">I am seeking Cabinet agreement to a broad </w:t>
      </w:r>
      <w:r w:rsidR="00510475">
        <w:t>review</w:t>
      </w:r>
      <w:r w:rsidRPr="003445FD">
        <w:t xml:space="preserve"> of the regulatory regime for class 4 gambling to determine if it remains fit-for-purpose. I want an assurance that </w:t>
      </w:r>
      <w:r>
        <w:t xml:space="preserve">the objectives of the Act are being met, and that </w:t>
      </w:r>
      <w:r w:rsidRPr="003445FD">
        <w:t xml:space="preserve">the maximum benefits are being delivered to communities from </w:t>
      </w:r>
      <w:r w:rsidR="00CC73D7">
        <w:t xml:space="preserve">class 4 </w:t>
      </w:r>
      <w:r w:rsidRPr="003445FD">
        <w:t xml:space="preserve">gambling funding. </w:t>
      </w:r>
    </w:p>
    <w:p w:rsidR="00AF7F80" w:rsidRDefault="00AF7F80" w:rsidP="00AF7F80">
      <w:pPr>
        <w:pStyle w:val="Numberedpara3level1"/>
        <w:numPr>
          <w:ilvl w:val="0"/>
          <w:numId w:val="19"/>
        </w:numPr>
      </w:pPr>
      <w:r>
        <w:t xml:space="preserve">One driver for the </w:t>
      </w:r>
      <w:r w:rsidR="00510475">
        <w:t>review</w:t>
      </w:r>
      <w:r w:rsidRPr="00171E81">
        <w:t xml:space="preserve"> is </w:t>
      </w:r>
      <w:r w:rsidRPr="00171E81">
        <w:rPr>
          <w:lang w:val="en-AU"/>
        </w:rPr>
        <w:t xml:space="preserve">the </w:t>
      </w:r>
      <w:r>
        <w:rPr>
          <w:lang w:val="en-AU"/>
        </w:rPr>
        <w:t xml:space="preserve">sizable </w:t>
      </w:r>
      <w:r w:rsidRPr="00171E81">
        <w:rPr>
          <w:lang w:val="en-AU"/>
        </w:rPr>
        <w:t xml:space="preserve">shortfall between </w:t>
      </w:r>
      <w:r>
        <w:rPr>
          <w:lang w:val="en-AU"/>
        </w:rPr>
        <w:t xml:space="preserve">gambling </w:t>
      </w:r>
      <w:r w:rsidRPr="00171E81">
        <w:rPr>
          <w:lang w:val="en-AU"/>
        </w:rPr>
        <w:t xml:space="preserve">fees revenue and regulatory costs, which means </w:t>
      </w:r>
      <w:r>
        <w:rPr>
          <w:lang w:val="en-AU"/>
        </w:rPr>
        <w:t xml:space="preserve">some </w:t>
      </w:r>
      <w:r w:rsidRPr="00171E81">
        <w:t xml:space="preserve">government subsidisation of the sector. My proposals for gambling fees </w:t>
      </w:r>
      <w:r>
        <w:t xml:space="preserve">increases </w:t>
      </w:r>
      <w:r w:rsidRPr="00171E81">
        <w:t xml:space="preserve">(set out in my </w:t>
      </w:r>
      <w:r>
        <w:t>accompanying</w:t>
      </w:r>
      <w:r w:rsidRPr="00171E81">
        <w:t xml:space="preserve"> paper) </w:t>
      </w:r>
      <w:r>
        <w:t>are required immediately</w:t>
      </w:r>
      <w:r w:rsidR="002128DB">
        <w:t xml:space="preserve"> to </w:t>
      </w:r>
      <w:r w:rsidR="002128DB" w:rsidRPr="00171E81">
        <w:t>address this issue</w:t>
      </w:r>
      <w:r>
        <w:t xml:space="preserve">. </w:t>
      </w:r>
    </w:p>
    <w:p w:rsidR="00AF7F80" w:rsidRPr="00794FCB" w:rsidRDefault="00AF7F80" w:rsidP="00AF7F80">
      <w:pPr>
        <w:pStyle w:val="Numberedpara3level1"/>
        <w:numPr>
          <w:ilvl w:val="0"/>
          <w:numId w:val="19"/>
        </w:numPr>
      </w:pPr>
      <w:r w:rsidRPr="00794FCB">
        <w:t xml:space="preserve">However, </w:t>
      </w:r>
      <w:r w:rsidR="00CD2EC0" w:rsidRPr="00794FCB">
        <w:t xml:space="preserve">because </w:t>
      </w:r>
      <w:r w:rsidR="002172E0" w:rsidRPr="00794FCB">
        <w:t>the number of feasible options is limited</w:t>
      </w:r>
      <w:r w:rsidR="00CD2EC0" w:rsidRPr="00794FCB">
        <w:t xml:space="preserve">, </w:t>
      </w:r>
      <w:r w:rsidRPr="00794FCB">
        <w:t>the significant proposed increases only partially</w:t>
      </w:r>
      <w:r w:rsidR="00CD2EC0" w:rsidRPr="00794FCB">
        <w:t xml:space="preserve"> </w:t>
      </w:r>
      <w:r w:rsidR="00B679D0">
        <w:t>address</w:t>
      </w:r>
      <w:r w:rsidR="00CD2EC0" w:rsidRPr="00794FCB">
        <w:t xml:space="preserve"> the problem</w:t>
      </w:r>
      <w:r w:rsidRPr="00794FCB">
        <w:t xml:space="preserve">. The large memorandum account deficit </w:t>
      </w:r>
      <w:r w:rsidR="00B679D0">
        <w:t>will</w:t>
      </w:r>
      <w:r w:rsidRPr="00794FCB">
        <w:t xml:space="preserve"> not be fully recovered and considerable pressure </w:t>
      </w:r>
      <w:r w:rsidR="00B679D0">
        <w:t xml:space="preserve">will </w:t>
      </w:r>
      <w:r w:rsidRPr="00794FCB">
        <w:t xml:space="preserve">remain on the </w:t>
      </w:r>
      <w:r w:rsidRPr="00794FCB">
        <w:rPr>
          <w:rFonts w:eastAsia="Calibri"/>
          <w:lang w:val="en-AU"/>
        </w:rPr>
        <w:t>Department of Internal Affairs’ (the Department)</w:t>
      </w:r>
      <w:r w:rsidRPr="00794FCB">
        <w:t xml:space="preserve"> balance sheet for the foreseeable future. </w:t>
      </w:r>
    </w:p>
    <w:p w:rsidR="00AF7F80" w:rsidRPr="000D7C06" w:rsidRDefault="00AF7F80" w:rsidP="00AF7F80">
      <w:pPr>
        <w:pStyle w:val="Numberedpara3level1"/>
        <w:numPr>
          <w:ilvl w:val="0"/>
          <w:numId w:val="19"/>
        </w:numPr>
        <w:rPr>
          <w:lang w:val="en-AU"/>
        </w:rPr>
      </w:pPr>
      <w:r>
        <w:t xml:space="preserve">This indicates significant </w:t>
      </w:r>
      <w:r w:rsidRPr="00171E81">
        <w:t xml:space="preserve">pricing and </w:t>
      </w:r>
      <w:r>
        <w:t>regulatory regime</w:t>
      </w:r>
      <w:r w:rsidRPr="00171E81">
        <w:t xml:space="preserve"> </w:t>
      </w:r>
      <w:r>
        <w:t xml:space="preserve">design </w:t>
      </w:r>
      <w:r w:rsidRPr="00171E81">
        <w:t xml:space="preserve">problems. </w:t>
      </w:r>
      <w:r>
        <w:t xml:space="preserve">The proposed </w:t>
      </w:r>
      <w:r w:rsidR="00510475">
        <w:t>review</w:t>
      </w:r>
      <w:r>
        <w:t xml:space="preserve"> will look at the alignment between the sector, the regulator and the sustainability of the regime. The</w:t>
      </w:r>
      <w:r w:rsidR="00B679D0">
        <w:t>se aspects</w:t>
      </w:r>
      <w:r>
        <w:t xml:space="preserve"> are interlocked, and we need to make sure we have the best framework in place if we want continued funding to the community over the longer term. Legislative changes could therefore result</w:t>
      </w:r>
      <w:r w:rsidR="00B679D0">
        <w:t xml:space="preserve"> from the review</w:t>
      </w:r>
      <w:r>
        <w:t>.</w:t>
      </w:r>
    </w:p>
    <w:p w:rsidR="00AF7F80" w:rsidRPr="00C34952" w:rsidRDefault="00AF7F80" w:rsidP="00AF7F80">
      <w:pPr>
        <w:pStyle w:val="Numberedpara3level1"/>
        <w:numPr>
          <w:ilvl w:val="0"/>
          <w:numId w:val="19"/>
        </w:numPr>
        <w:rPr>
          <w:lang w:val="en-AU"/>
        </w:rPr>
      </w:pPr>
      <w:r>
        <w:lastRenderedPageBreak/>
        <w:t xml:space="preserve">The </w:t>
      </w:r>
      <w:r w:rsidR="00510475">
        <w:t>review</w:t>
      </w:r>
      <w:r>
        <w:t xml:space="preserve"> will help fulfil </w:t>
      </w:r>
      <w:r>
        <w:rPr>
          <w:rFonts w:eastAsia="Calibri"/>
          <w:lang w:val="en-AU"/>
        </w:rPr>
        <w:t>the Department’s</w:t>
      </w:r>
      <w:r>
        <w:t xml:space="preserve"> obligation to </w:t>
      </w:r>
      <w:r w:rsidRPr="009D05E0">
        <w:t xml:space="preserve">thoroughly assess the performance and condition of the regulatory regime </w:t>
      </w:r>
      <w:r>
        <w:t xml:space="preserve">for class 4 gambling, in the exercise of its regulatory stewardship role. It will look at the level at which the current regime is achieving the purposes of the Act. The </w:t>
      </w:r>
      <w:r w:rsidR="00510475">
        <w:t>review</w:t>
      </w:r>
      <w:r>
        <w:t xml:space="preserve"> will also consider the costs of regulating the sector.</w:t>
      </w:r>
    </w:p>
    <w:p w:rsidR="00AF7F80" w:rsidRPr="006E72A4" w:rsidRDefault="00AF7F80" w:rsidP="00AF7F80">
      <w:pPr>
        <w:pStyle w:val="Numberedpara3level1"/>
        <w:numPr>
          <w:ilvl w:val="0"/>
          <w:numId w:val="19"/>
        </w:numPr>
        <w:rPr>
          <w:lang w:val="en-AU"/>
        </w:rPr>
      </w:pPr>
      <w:r>
        <w:t xml:space="preserve">I have also asked officials to look </w:t>
      </w:r>
      <w:r w:rsidR="007222EE">
        <w:t xml:space="preserve">at </w:t>
      </w:r>
      <w:r>
        <w:t xml:space="preserve">how we currently approach online gambling in New Zealand. This work is on a longer timeframe as there is currently little evidence that online gambling, particularly overseas-based gambling, is presenting a significant issue. However, this situation could change quickly. </w:t>
      </w:r>
      <w:r w:rsidR="00B679D0">
        <w:t>T</w:t>
      </w:r>
      <w:r>
        <w:t>he findings of the Offshore Racing and Sports B</w:t>
      </w:r>
      <w:r w:rsidR="00F22F89">
        <w:t xml:space="preserve">etting Working Group, </w:t>
      </w:r>
      <w:r>
        <w:t xml:space="preserve">due </w:t>
      </w:r>
      <w:r w:rsidR="00632A4D">
        <w:t xml:space="preserve">later this year, will </w:t>
      </w:r>
      <w:r w:rsidR="00B679D0">
        <w:t xml:space="preserve">also </w:t>
      </w:r>
      <w:r>
        <w:t xml:space="preserve">be relevant to this work and give more of an indication of the size and nature of any </w:t>
      </w:r>
      <w:r w:rsidR="00B679D0">
        <w:t>developments in this area of the gambling sector</w:t>
      </w:r>
      <w:r>
        <w:t>.</w:t>
      </w:r>
    </w:p>
    <w:p w:rsidR="00AF7F80" w:rsidRPr="009C00B6" w:rsidRDefault="00AF7F80" w:rsidP="00AF7F80">
      <w:pPr>
        <w:pStyle w:val="Numberedpara3level1"/>
        <w:numPr>
          <w:ilvl w:val="0"/>
          <w:numId w:val="19"/>
        </w:numPr>
        <w:rPr>
          <w:lang w:val="en-AU"/>
        </w:rPr>
      </w:pPr>
      <w:r>
        <w:t xml:space="preserve">I intend to seek a Cabinet decision to release a public discussion document on the outcome of the </w:t>
      </w:r>
      <w:r w:rsidR="00510475">
        <w:t>review</w:t>
      </w:r>
      <w:r>
        <w:t xml:space="preserve"> of the regulatory regime in the first quarter of 2016. I will also update Cabinet on the progress of the online gambling research.</w:t>
      </w:r>
    </w:p>
    <w:p w:rsidR="00AF7F80" w:rsidRPr="00E664C7" w:rsidRDefault="00AF7F80" w:rsidP="00AF7F80">
      <w:pPr>
        <w:pStyle w:val="Cabinetpaperparaheading"/>
        <w:rPr>
          <w:lang w:val="en-AU"/>
        </w:rPr>
      </w:pPr>
      <w:r>
        <w:t>Background</w:t>
      </w:r>
    </w:p>
    <w:p w:rsidR="00AF7F80" w:rsidRPr="00E664C7" w:rsidRDefault="00AF7F80" w:rsidP="00AF7F80">
      <w:pPr>
        <w:pStyle w:val="Cabinetpaperparasubheading"/>
        <w:rPr>
          <w:lang w:val="en-AU"/>
        </w:rPr>
      </w:pPr>
      <w:r>
        <w:t>Class 4 gambling provides millions of dollars annually to various community purposes</w:t>
      </w:r>
    </w:p>
    <w:p w:rsidR="00AF7F80" w:rsidRDefault="00AF7F80" w:rsidP="00AF7F80">
      <w:pPr>
        <w:pStyle w:val="Numberedpara3level1"/>
        <w:numPr>
          <w:ilvl w:val="0"/>
          <w:numId w:val="19"/>
        </w:numPr>
      </w:pPr>
      <w:r w:rsidRPr="004C5A0D">
        <w:t xml:space="preserve">Corporate societies are licensed to operate </w:t>
      </w:r>
      <w:r>
        <w:t xml:space="preserve">class 4 </w:t>
      </w:r>
      <w:r w:rsidRPr="004C5A0D">
        <w:t>gaming machines in clubs and pubs (venues) and distribute the proceeds to a non-commercial community purpose</w:t>
      </w:r>
      <w:r>
        <w:t>.</w:t>
      </w:r>
      <w:r>
        <w:rPr>
          <w:rStyle w:val="FootnoteReference"/>
        </w:rPr>
        <w:footnoteReference w:id="1"/>
      </w:r>
    </w:p>
    <w:p w:rsidR="00DC5398" w:rsidRPr="00DC5398" w:rsidRDefault="007F0704" w:rsidP="00DC5398">
      <w:pPr>
        <w:pStyle w:val="Numberedpara3level1"/>
        <w:numPr>
          <w:ilvl w:val="0"/>
          <w:numId w:val="19"/>
        </w:numPr>
      </w:pPr>
      <w:r>
        <w:t xml:space="preserve">In </w:t>
      </w:r>
      <w:r w:rsidR="009C5FAE" w:rsidRPr="00DC5398">
        <w:t>20</w:t>
      </w:r>
      <w:r w:rsidRPr="00DC5398">
        <w:t>14</w:t>
      </w:r>
      <w:r>
        <w:t>, on turnover of $8.783 billion,</w:t>
      </w:r>
      <w:r w:rsidRPr="00DC5398">
        <w:rPr>
          <w:vertAlign w:val="superscript"/>
        </w:rPr>
        <w:footnoteReference w:id="2"/>
      </w:r>
      <w:r>
        <w:t xml:space="preserve"> $806 million (including GST) was lost by gamblers on these machines, with </w:t>
      </w:r>
      <w:r w:rsidR="00BD1606">
        <w:t xml:space="preserve">approximately </w:t>
      </w:r>
      <w:r>
        <w:t>$</w:t>
      </w:r>
      <w:r w:rsidR="00AE166D">
        <w:t>300</w:t>
      </w:r>
      <w:r>
        <w:t xml:space="preserve"> million being </w:t>
      </w:r>
      <w:r w:rsidR="00AE166D">
        <w:t xml:space="preserve">distributed or applied </w:t>
      </w:r>
      <w:r>
        <w:t>to community purposes.</w:t>
      </w:r>
      <w:r w:rsidR="00AE166D">
        <w:t xml:space="preserve"> About $256 million of the $300 million was </w:t>
      </w:r>
      <w:r w:rsidR="00794FCB">
        <w:t xml:space="preserve">distributed </w:t>
      </w:r>
      <w:r w:rsidR="00AE166D">
        <w:t xml:space="preserve">in the form of grants. </w:t>
      </w:r>
    </w:p>
    <w:p w:rsidR="007F0704" w:rsidRPr="00DC5398" w:rsidRDefault="007F0704" w:rsidP="00DC5398">
      <w:pPr>
        <w:pStyle w:val="Numberedpara3level1"/>
        <w:numPr>
          <w:ilvl w:val="0"/>
          <w:numId w:val="19"/>
        </w:numPr>
      </w:pPr>
      <w:r>
        <w:t>The remainder (</w:t>
      </w:r>
      <w:r w:rsidR="00BD1606">
        <w:t xml:space="preserve">roughly </w:t>
      </w:r>
      <w:r>
        <w:t>$5</w:t>
      </w:r>
      <w:r w:rsidR="00AE166D">
        <w:t>06</w:t>
      </w:r>
      <w:r>
        <w:t xml:space="preserve"> million) paid GST, the gaming duty, the problem gambling levy, and societies’ costs (including payments to venues), as shown in Figure 1.</w:t>
      </w:r>
      <w:r w:rsidRPr="00DC5398">
        <w:rPr>
          <w:vertAlign w:val="superscript"/>
        </w:rPr>
        <w:footnoteReference w:id="3"/>
      </w:r>
      <w:r w:rsidR="009C5FAE">
        <w:t xml:space="preserve"> </w:t>
      </w:r>
      <w:r w:rsidR="00DC5398">
        <w:t>T</w:t>
      </w:r>
      <w:r w:rsidR="00DC5398" w:rsidRPr="00DC5398">
        <w:t>he Department’s fees are</w:t>
      </w:r>
      <w:r w:rsidR="005D08E0" w:rsidRPr="00DC5398">
        <w:t xml:space="preserve"> a proportion of s</w:t>
      </w:r>
      <w:r w:rsidR="009C5FAE" w:rsidRPr="00DC5398">
        <w:t>ocieties</w:t>
      </w:r>
      <w:r w:rsidR="005D08E0" w:rsidRPr="00DC5398">
        <w:t>’ costs, represent</w:t>
      </w:r>
      <w:r w:rsidR="00DC5398" w:rsidRPr="00DC5398">
        <w:t>ing</w:t>
      </w:r>
      <w:r w:rsidR="005D08E0" w:rsidRPr="00DC5398">
        <w:t xml:space="preserve"> about 2 per cent annually of GST-exclusive total gross proceeds </w:t>
      </w:r>
      <w:r w:rsidR="00DC5398" w:rsidRPr="00DC5398">
        <w:t>(</w:t>
      </w:r>
      <w:r w:rsidR="005D08E0" w:rsidRPr="00DC5398">
        <w:t xml:space="preserve">$14.44 million </w:t>
      </w:r>
      <w:r w:rsidR="00DC5398" w:rsidRPr="00DC5398">
        <w:t xml:space="preserve">in the example in </w:t>
      </w:r>
      <w:r w:rsidR="005D08E0" w:rsidRPr="00DC5398">
        <w:t>Figure 1</w:t>
      </w:r>
      <w:r w:rsidR="00DC5398" w:rsidRPr="00DC5398">
        <w:t>)</w:t>
      </w:r>
      <w:r w:rsidR="005D08E0" w:rsidRPr="00DC5398">
        <w:t>.</w:t>
      </w:r>
    </w:p>
    <w:p w:rsidR="007F0704" w:rsidRPr="007F0704" w:rsidRDefault="00BD1606" w:rsidP="007F0704">
      <w:pPr>
        <w:jc w:val="center"/>
      </w:pPr>
      <w:r>
        <w:rPr>
          <w:noProof/>
          <w:lang w:eastAsia="en-NZ"/>
        </w:rPr>
        <w:lastRenderedPageBreak/>
        <w:drawing>
          <wp:inline distT="0" distB="0" distL="0" distR="0" wp14:anchorId="123CC94E" wp14:editId="410371A7">
            <wp:extent cx="5212080" cy="3030583"/>
            <wp:effectExtent l="0" t="0" r="2667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7F80" w:rsidRDefault="00AF7F80" w:rsidP="00AF7F80">
      <w:pPr>
        <w:pStyle w:val="Numberedpara3level1"/>
        <w:numPr>
          <w:ilvl w:val="0"/>
          <w:numId w:val="19"/>
        </w:numPr>
      </w:pPr>
      <w:r>
        <w:t>Analysis of grant-making from 2004 to 2012 showed that 44 per cent of grants by value were allocated to sport, excluding racing, with rugby in particular receiving significant funding. Other purposes that receive funding include general community purposes, education, emergency services, racing, community services, arts, health, and childcare.</w:t>
      </w:r>
    </w:p>
    <w:p w:rsidR="00AF7F80" w:rsidRDefault="00AF7F80" w:rsidP="00AF7F80">
      <w:pPr>
        <w:pStyle w:val="Cabinetpaperparasubheading"/>
      </w:pPr>
      <w:r>
        <w:t>Recent amendments to the Act are useful improvements rather than major changes</w:t>
      </w:r>
    </w:p>
    <w:p w:rsidR="00AF7F80" w:rsidRDefault="00AF7F80" w:rsidP="00AF7F80">
      <w:pPr>
        <w:pStyle w:val="Numberedpara3level1"/>
        <w:numPr>
          <w:ilvl w:val="0"/>
          <w:numId w:val="19"/>
        </w:numPr>
      </w:pPr>
      <w:r>
        <w:t xml:space="preserve">The Gambling Amendment Bill (No 3) (the Bill) originated from a narrowly-scoped review of class 4 gambling that was undertaken in 2012, in conjunction with the development of the Government position on a Māori Party gambling amendment bill [CAB Min (13) 14/8 refers]. </w:t>
      </w:r>
    </w:p>
    <w:p w:rsidR="00AF7F80" w:rsidRPr="00925FAA" w:rsidRDefault="00AF7F80" w:rsidP="00AF7F80">
      <w:pPr>
        <w:pStyle w:val="Numberedpara3level1"/>
        <w:numPr>
          <w:ilvl w:val="0"/>
          <w:numId w:val="19"/>
        </w:numPr>
      </w:pPr>
      <w:r w:rsidRPr="00925FAA">
        <w:t xml:space="preserve">The Bill is awaiting the </w:t>
      </w:r>
      <w:r w:rsidRPr="00DC5398">
        <w:t>committee of the whole House stage</w:t>
      </w:r>
      <w:r w:rsidRPr="00925FAA">
        <w:t>. The Bill focuses on a small number of useful improvements to class 4 gambling. These include:</w:t>
      </w:r>
    </w:p>
    <w:p w:rsidR="00AF7F80" w:rsidRPr="00E96B41" w:rsidRDefault="00AF7F80" w:rsidP="00AF7F80">
      <w:pPr>
        <w:pStyle w:val="Bullet"/>
        <w:rPr>
          <w:lang w:val="en-AU"/>
        </w:rPr>
      </w:pPr>
      <w:r w:rsidRPr="00E96B41">
        <w:rPr>
          <w:lang w:val="en-AU"/>
        </w:rPr>
        <w:t>increased transparency surrounding grants made from class 4 gambling proceeds; and</w:t>
      </w:r>
    </w:p>
    <w:p w:rsidR="00AF7F80" w:rsidRPr="00E96B41" w:rsidRDefault="00AF7F80" w:rsidP="00AF7F80">
      <w:pPr>
        <w:pStyle w:val="Bullet"/>
        <w:rPr>
          <w:lang w:val="en-AU"/>
        </w:rPr>
      </w:pPr>
      <w:r w:rsidRPr="00E96B41">
        <w:rPr>
          <w:lang w:val="en-AU"/>
        </w:rPr>
        <w:t>greater administrative simplicity in the payments to venues for their costs, to reduce compliance costs.</w:t>
      </w:r>
    </w:p>
    <w:p w:rsidR="00AF7F80" w:rsidRDefault="00AF7F80" w:rsidP="00AF7F80">
      <w:pPr>
        <w:pStyle w:val="Cabinetpaperparaheading"/>
      </w:pPr>
      <w:r>
        <w:t xml:space="preserve">More serious issues are apparent with </w:t>
      </w:r>
      <w:r w:rsidR="00CC73D7">
        <w:t xml:space="preserve">the </w:t>
      </w:r>
      <w:r>
        <w:t>class 4 gambling</w:t>
      </w:r>
      <w:r w:rsidR="00CC73D7">
        <w:t xml:space="preserve"> sector</w:t>
      </w:r>
    </w:p>
    <w:p w:rsidR="00AF7F80" w:rsidRDefault="00AF7F80" w:rsidP="00AF7F80">
      <w:pPr>
        <w:pStyle w:val="Numberedpara3level1"/>
        <w:numPr>
          <w:ilvl w:val="0"/>
          <w:numId w:val="19"/>
        </w:numPr>
      </w:pPr>
      <w:r w:rsidRPr="008E4BB7">
        <w:t xml:space="preserve">I expect </w:t>
      </w:r>
      <w:r>
        <w:t xml:space="preserve">the </w:t>
      </w:r>
      <w:r w:rsidRPr="008E4BB7">
        <w:t>Bill</w:t>
      </w:r>
      <w:r>
        <w:t xml:space="preserve"> to make some improvements to the way the sector is operating. However, I am aware the sector is under increasing pressure to maintain funding streams for community purposes, financially support the necessary level of regulation and absorb other costs.</w:t>
      </w:r>
    </w:p>
    <w:p w:rsidR="00AF7F80" w:rsidRDefault="00AF7F80" w:rsidP="00AF7F80">
      <w:pPr>
        <w:pStyle w:val="Numberedpara3level1"/>
        <w:numPr>
          <w:ilvl w:val="0"/>
          <w:numId w:val="19"/>
        </w:numPr>
      </w:pPr>
      <w:r>
        <w:t xml:space="preserve">I consider the issues can be categorised as a </w:t>
      </w:r>
      <w:r w:rsidRPr="00292E96">
        <w:t>complex</w:t>
      </w:r>
      <w:r>
        <w:t xml:space="preserve"> </w:t>
      </w:r>
      <w:r w:rsidRPr="00292E96">
        <w:t>regulatory regime</w:t>
      </w:r>
      <w:r>
        <w:t xml:space="preserve"> that drives costs, which is also impacted by the </w:t>
      </w:r>
      <w:r w:rsidRPr="00292E96">
        <w:t>scale down of the sector.</w:t>
      </w:r>
    </w:p>
    <w:p w:rsidR="00AF7F80" w:rsidRDefault="00AF7F80" w:rsidP="00AF7F80">
      <w:pPr>
        <w:pStyle w:val="Numberedpara3level1"/>
        <w:numPr>
          <w:ilvl w:val="0"/>
          <w:numId w:val="19"/>
        </w:numPr>
      </w:pPr>
      <w:r>
        <w:t>I want to look at the alignment between the sector, the regulator and the sustainability of the regime. The</w:t>
      </w:r>
      <w:r w:rsidR="00B679D0">
        <w:t>se</w:t>
      </w:r>
      <w:r>
        <w:t xml:space="preserve"> </w:t>
      </w:r>
      <w:r w:rsidR="00B679D0">
        <w:t xml:space="preserve">aspects </w:t>
      </w:r>
      <w:r>
        <w:t>are interlocked, and we need to make sure we have the best framework in place if we want continued funding to the community over the longer term.</w:t>
      </w:r>
    </w:p>
    <w:p w:rsidR="00AF7F80" w:rsidRDefault="00AF7F80" w:rsidP="00AF7F80">
      <w:pPr>
        <w:pStyle w:val="Cabinetpaperparasubheading"/>
      </w:pPr>
      <w:r>
        <w:lastRenderedPageBreak/>
        <w:t>A complex regulatory regime</w:t>
      </w:r>
    </w:p>
    <w:p w:rsidR="00AF7F80" w:rsidRDefault="00AF7F80" w:rsidP="00AF7F80">
      <w:pPr>
        <w:pStyle w:val="Numberedpara3level1"/>
        <w:numPr>
          <w:ilvl w:val="0"/>
          <w:numId w:val="19"/>
        </w:numPr>
      </w:pPr>
      <w:r>
        <w:t>Class 4 gambling has high risk features that need to be carefully managed from a regulatory design perspective. It is a</w:t>
      </w:r>
      <w:r w:rsidRPr="005E369F">
        <w:t xml:space="preserve">n $800 million cash-based industry </w:t>
      </w:r>
      <w:r>
        <w:t xml:space="preserve">and is associated with higher numbers of problem gamblers than other forms of gambling. </w:t>
      </w:r>
    </w:p>
    <w:p w:rsidR="00AF7F80" w:rsidRPr="00794FCB" w:rsidRDefault="00AF7F80" w:rsidP="00AF7F80">
      <w:pPr>
        <w:pStyle w:val="Numberedpara3level1"/>
        <w:numPr>
          <w:ilvl w:val="0"/>
          <w:numId w:val="19"/>
        </w:numPr>
      </w:pPr>
      <w:r w:rsidRPr="00794FCB">
        <w:rPr>
          <w:lang w:val="en-AU"/>
        </w:rPr>
        <w:t>The Act provides a very prescriptive and inputs-focused regime in response to these features. In addition to the risks presented by the form of gambling itself, the regime also has inherent structural problems. The structural problems relate to the requirement for not-for-profits to operate in a commercial setting</w:t>
      </w:r>
      <w:r w:rsidR="00AA6CE5" w:rsidRPr="00794FCB">
        <w:rPr>
          <w:lang w:val="en-AU"/>
        </w:rPr>
        <w:t>, in combination with the following features of the gaming machine market</w:t>
      </w:r>
      <w:r w:rsidR="00CC73D7">
        <w:rPr>
          <w:lang w:val="en-AU"/>
        </w:rPr>
        <w:t>:</w:t>
      </w:r>
    </w:p>
    <w:p w:rsidR="00AF7F80" w:rsidRPr="00AA6CE5" w:rsidRDefault="00CC73D7" w:rsidP="00AA6CE5">
      <w:pPr>
        <w:pStyle w:val="Bullet"/>
        <w:rPr>
          <w:lang w:val="en-AU"/>
        </w:rPr>
      </w:pPr>
      <w:r>
        <w:rPr>
          <w:lang w:val="en-AU"/>
        </w:rPr>
        <w:t>t</w:t>
      </w:r>
      <w:r w:rsidR="00AF7F80">
        <w:rPr>
          <w:lang w:val="en-AU"/>
        </w:rPr>
        <w:t xml:space="preserve">hirty-nine </w:t>
      </w:r>
      <w:r w:rsidR="00AF7F80" w:rsidRPr="00343140">
        <w:rPr>
          <w:lang w:val="en-AU"/>
        </w:rPr>
        <w:t>n</w:t>
      </w:r>
      <w:r w:rsidR="00AF7F80" w:rsidRPr="00AA6CE5">
        <w:rPr>
          <w:lang w:val="en-AU"/>
        </w:rPr>
        <w:t xml:space="preserve">ot-for-profit societies compete for the </w:t>
      </w:r>
      <w:r w:rsidR="00DC5398">
        <w:rPr>
          <w:lang w:val="en-AU"/>
        </w:rPr>
        <w:t xml:space="preserve">significant </w:t>
      </w:r>
      <w:r w:rsidR="00AF7F80" w:rsidRPr="00AA6CE5">
        <w:rPr>
          <w:lang w:val="en-AU"/>
        </w:rPr>
        <w:t>gambling revenue generated in 987 commercial venues. Societies contract with venues for the hosting of their gaming machines, with societies’ ability to reimburse venues for their costs being strictly regulated</w:t>
      </w:r>
      <w:r>
        <w:rPr>
          <w:lang w:val="en-AU"/>
        </w:rPr>
        <w:t>; and</w:t>
      </w:r>
      <w:r w:rsidR="00AF7F80" w:rsidRPr="00AA6CE5">
        <w:rPr>
          <w:lang w:val="en-AU"/>
        </w:rPr>
        <w:t xml:space="preserve">  </w:t>
      </w:r>
    </w:p>
    <w:p w:rsidR="00AA6CE5" w:rsidRPr="00AA6CE5" w:rsidRDefault="00CC73D7" w:rsidP="00AA6CE5">
      <w:pPr>
        <w:pStyle w:val="Bullet"/>
        <w:rPr>
          <w:lang w:val="en-AU"/>
        </w:rPr>
      </w:pPr>
      <w:r>
        <w:rPr>
          <w:lang w:val="en-AU"/>
        </w:rPr>
        <w:t>c</w:t>
      </w:r>
      <w:r w:rsidR="00AF7F80" w:rsidRPr="00AA6CE5">
        <w:rPr>
          <w:lang w:val="en-AU"/>
        </w:rPr>
        <w:t xml:space="preserve">ompetition by societies for venues, especially high revenue venues, is intense because of the limited and declining number of machines. The ability to establish new venues is also limited by territorial authority consent requirements. </w:t>
      </w:r>
    </w:p>
    <w:p w:rsidR="00AF7F80" w:rsidRPr="00343140" w:rsidRDefault="00AF7F80" w:rsidP="00AF7F80">
      <w:pPr>
        <w:pStyle w:val="Numberedpara3level1"/>
        <w:numPr>
          <w:ilvl w:val="0"/>
          <w:numId w:val="19"/>
        </w:numPr>
      </w:pPr>
      <w:r>
        <w:t>In the context of this</w:t>
      </w:r>
      <w:r w:rsidRPr="00343140">
        <w:t xml:space="preserve"> competition</w:t>
      </w:r>
      <w:r w:rsidR="00CC73D7">
        <w:t>,</w:t>
      </w:r>
      <w:r w:rsidRPr="00343140">
        <w:t xml:space="preserve"> </w:t>
      </w:r>
      <w:r>
        <w:t xml:space="preserve">the Department has uncovered some cases of </w:t>
      </w:r>
      <w:r w:rsidRPr="00343140">
        <w:t xml:space="preserve">venue costs fraud and grant capture (where venue operators </w:t>
      </w:r>
      <w:r>
        <w:t xml:space="preserve">utilise their market power to </w:t>
      </w:r>
      <w:r w:rsidRPr="00343140">
        <w:t>illegally influence societies’ grant decision-making)</w:t>
      </w:r>
      <w:r>
        <w:t>.</w:t>
      </w:r>
      <w:r>
        <w:rPr>
          <w:rStyle w:val="FootnoteReference"/>
        </w:rPr>
        <w:footnoteReference w:id="4"/>
      </w:r>
    </w:p>
    <w:p w:rsidR="00AF7F80" w:rsidRDefault="00AF7F80" w:rsidP="00AF7F80">
      <w:pPr>
        <w:pStyle w:val="Numberedpara3level1"/>
        <w:numPr>
          <w:ilvl w:val="0"/>
          <w:numId w:val="19"/>
        </w:numPr>
      </w:pPr>
      <w:r>
        <w:t>Regulatory costs are therefore driven by:</w:t>
      </w:r>
    </w:p>
    <w:p w:rsidR="00AF7F80" w:rsidRPr="005E369F" w:rsidRDefault="00AF7F80" w:rsidP="00AF7F80">
      <w:pPr>
        <w:pStyle w:val="Bullet"/>
        <w:rPr>
          <w:lang w:val="en-AU"/>
        </w:rPr>
      </w:pPr>
      <w:r w:rsidRPr="005E369F">
        <w:rPr>
          <w:lang w:val="en-AU"/>
        </w:rPr>
        <w:t>the prescriptive features of the regime</w:t>
      </w:r>
      <w:r>
        <w:rPr>
          <w:lang w:val="en-AU"/>
        </w:rPr>
        <w:t>;</w:t>
      </w:r>
      <w:r w:rsidRPr="005E369F">
        <w:rPr>
          <w:lang w:val="en-AU"/>
        </w:rPr>
        <w:t xml:space="preserve"> and </w:t>
      </w:r>
    </w:p>
    <w:p w:rsidR="00AF7F80" w:rsidRDefault="00AF7F80" w:rsidP="00AF7F80">
      <w:pPr>
        <w:pStyle w:val="Bullet"/>
        <w:rPr>
          <w:lang w:val="en-AU"/>
        </w:rPr>
      </w:pPr>
      <w:r>
        <w:t xml:space="preserve">the </w:t>
      </w:r>
      <w:r w:rsidRPr="00850EC3">
        <w:rPr>
          <w:lang w:val="en-AU"/>
        </w:rPr>
        <w:t>high levels of regulatory oversight</w:t>
      </w:r>
      <w:r w:rsidRPr="005E369F">
        <w:rPr>
          <w:lang w:val="en-AU"/>
        </w:rPr>
        <w:t xml:space="preserve"> </w:t>
      </w:r>
      <w:r>
        <w:rPr>
          <w:lang w:val="en-AU"/>
        </w:rPr>
        <w:t xml:space="preserve">and </w:t>
      </w:r>
      <w:r w:rsidRPr="005E369F">
        <w:rPr>
          <w:lang w:val="en-AU"/>
        </w:rPr>
        <w:t>complexity that attempt to dampen down the inherent conflicts in the structure</w:t>
      </w:r>
      <w:r>
        <w:rPr>
          <w:lang w:val="en-AU"/>
        </w:rPr>
        <w:t>, and address illegal competition</w:t>
      </w:r>
      <w:r w:rsidRPr="005E369F">
        <w:rPr>
          <w:lang w:val="en-AU"/>
        </w:rPr>
        <w:t xml:space="preserve">. </w:t>
      </w:r>
    </w:p>
    <w:p w:rsidR="00AF7F80" w:rsidRDefault="00AF7F80" w:rsidP="00AF7F80">
      <w:pPr>
        <w:pStyle w:val="Cabinetpaperparasubheading"/>
        <w:rPr>
          <w:lang w:val="en-AU"/>
        </w:rPr>
      </w:pPr>
      <w:r>
        <w:rPr>
          <w:lang w:val="en-AU"/>
        </w:rPr>
        <w:t>Scale down of the class 4 sector</w:t>
      </w:r>
    </w:p>
    <w:p w:rsidR="00AF7F80" w:rsidRDefault="00AF7F80" w:rsidP="00AF7F80">
      <w:pPr>
        <w:pStyle w:val="Numberedpara3level1"/>
        <w:numPr>
          <w:ilvl w:val="0"/>
          <w:numId w:val="19"/>
        </w:numPr>
      </w:pPr>
      <w:r>
        <w:t xml:space="preserve">Class 4 gambling remains by far the largest of the four main gambling sectors in New Zealand. However, the number of operator societies, venues, and gaming machines has steadily declined since the Act was passed. Since 2012 gaming machine proceeds have also experienced a decline, although not as marked (see </w:t>
      </w:r>
      <w:r w:rsidR="00CC73D7" w:rsidRPr="00CC73D7">
        <w:rPr>
          <w:b/>
        </w:rPr>
        <w:t>A</w:t>
      </w:r>
      <w:r w:rsidRPr="00CC73D7">
        <w:rPr>
          <w:b/>
        </w:rPr>
        <w:t>ppendix A</w:t>
      </w:r>
      <w:r>
        <w:t>).</w:t>
      </w:r>
    </w:p>
    <w:p w:rsidR="00AF7F80" w:rsidRPr="00E73267" w:rsidRDefault="00AF7F80" w:rsidP="00AF7F80">
      <w:pPr>
        <w:pStyle w:val="Numberedpara3level1"/>
        <w:numPr>
          <w:ilvl w:val="0"/>
          <w:numId w:val="19"/>
        </w:numPr>
        <w:rPr>
          <w:lang w:val="en-AU"/>
        </w:rPr>
      </w:pPr>
      <w:r>
        <w:t>During the fees review the sector expressed concern about the sustainability of a regulatory framework where future increasing costs are being imposed on a sector that is in decline.</w:t>
      </w:r>
    </w:p>
    <w:p w:rsidR="00AF7F80" w:rsidRPr="009A244F" w:rsidRDefault="00AF7F80" w:rsidP="00AF7F80">
      <w:pPr>
        <w:pStyle w:val="Numberedpara3level1"/>
        <w:numPr>
          <w:ilvl w:val="0"/>
          <w:numId w:val="19"/>
        </w:numPr>
      </w:pPr>
      <w:r>
        <w:rPr>
          <w:lang w:val="en-AU"/>
        </w:rPr>
        <w:t>T</w:t>
      </w:r>
      <w:r w:rsidRPr="003E3D68">
        <w:rPr>
          <w:lang w:val="en-AU"/>
        </w:rPr>
        <w:t>he reasons for th</w:t>
      </w:r>
      <w:r>
        <w:rPr>
          <w:lang w:val="en-AU"/>
        </w:rPr>
        <w:t>e</w:t>
      </w:r>
      <w:r w:rsidRPr="003E3D68">
        <w:rPr>
          <w:lang w:val="en-AU"/>
        </w:rPr>
        <w:t xml:space="preserve"> </w:t>
      </w:r>
      <w:r>
        <w:rPr>
          <w:lang w:val="en-AU"/>
        </w:rPr>
        <w:t xml:space="preserve">shrinking sector </w:t>
      </w:r>
      <w:r w:rsidRPr="003E3D68">
        <w:rPr>
          <w:lang w:val="en-AU"/>
        </w:rPr>
        <w:t xml:space="preserve">need further analysis. </w:t>
      </w:r>
      <w:r>
        <w:rPr>
          <w:lang w:val="en-AU"/>
        </w:rPr>
        <w:t xml:space="preserve">One purpose of the Act is to control the growth of gambling, in response to the rapid expansion (and likely oversupply) of gaming machine numbers during the 1990s and early 2000s. Dropping machine numbers could be a correction after this oversupply. </w:t>
      </w:r>
    </w:p>
    <w:p w:rsidR="00AF7F80" w:rsidRDefault="00AF7F80" w:rsidP="00AF7F80">
      <w:pPr>
        <w:pStyle w:val="Numberedpara3level1"/>
        <w:numPr>
          <w:ilvl w:val="0"/>
          <w:numId w:val="19"/>
        </w:numPr>
      </w:pPr>
      <w:r>
        <w:rPr>
          <w:lang w:val="en-AU"/>
        </w:rPr>
        <w:t>Since the Act was passed t</w:t>
      </w:r>
      <w:r w:rsidRPr="003E3D68">
        <w:rPr>
          <w:lang w:val="en-AU"/>
        </w:rPr>
        <w:t xml:space="preserve">he limitations on </w:t>
      </w:r>
      <w:r>
        <w:rPr>
          <w:lang w:val="en-AU"/>
        </w:rPr>
        <w:t xml:space="preserve">venues and </w:t>
      </w:r>
      <w:r w:rsidRPr="003E3D68">
        <w:rPr>
          <w:lang w:val="en-AU"/>
        </w:rPr>
        <w:t>machine numbers in the market</w:t>
      </w:r>
      <w:r>
        <w:rPr>
          <w:lang w:val="en-AU"/>
        </w:rPr>
        <w:t>, as a result of territorial authority class 4 venue policies, are likely to have had an impact</w:t>
      </w:r>
      <w:r w:rsidRPr="003E3D68">
        <w:rPr>
          <w:lang w:val="en-AU"/>
        </w:rPr>
        <w:t>.</w:t>
      </w:r>
      <w:r w:rsidRPr="004C15E8">
        <w:t xml:space="preserve"> </w:t>
      </w:r>
      <w:r>
        <w:t>There may be other contributing factors, such as changing consumer preferences and behaviour.</w:t>
      </w:r>
      <w:r w:rsidR="00AA6CE5">
        <w:t xml:space="preserve"> </w:t>
      </w:r>
    </w:p>
    <w:p w:rsidR="00AF7F80" w:rsidRPr="00BB1D8F" w:rsidRDefault="00AF7F80" w:rsidP="00AF7F80">
      <w:pPr>
        <w:pStyle w:val="Numberedpara3level1"/>
        <w:numPr>
          <w:ilvl w:val="0"/>
          <w:numId w:val="19"/>
        </w:numPr>
      </w:pPr>
      <w:r w:rsidRPr="00BB1D8F">
        <w:rPr>
          <w:lang w:val="en-AU"/>
        </w:rPr>
        <w:lastRenderedPageBreak/>
        <w:t xml:space="preserve">The issues of regime affordability are linked to the fees model, because recovery of some of the regulatory costs </w:t>
      </w:r>
      <w:r>
        <w:rPr>
          <w:lang w:val="en-AU"/>
        </w:rPr>
        <w:t>relies on</w:t>
      </w:r>
      <w:r w:rsidRPr="00BB1D8F">
        <w:rPr>
          <w:lang w:val="en-AU"/>
        </w:rPr>
        <w:t xml:space="preserve"> machine numbers, which are dropping</w:t>
      </w:r>
      <w:r>
        <w:rPr>
          <w:lang w:val="en-AU"/>
        </w:rPr>
        <w:t xml:space="preserve"> (25,221 in 2003, now 16,579)</w:t>
      </w:r>
      <w:r w:rsidRPr="00BB1D8F">
        <w:rPr>
          <w:lang w:val="en-AU"/>
        </w:rPr>
        <w:t>. Alternatives on which to base fees such as gaming machine proceeds, venue numbers and ris</w:t>
      </w:r>
      <w:r>
        <w:rPr>
          <w:lang w:val="en-AU"/>
        </w:rPr>
        <w:t>k profiling have been explored, and have not, to date, provided a compelling argument for change.</w:t>
      </w:r>
    </w:p>
    <w:p w:rsidR="00AF7F80" w:rsidRPr="00016514" w:rsidRDefault="00AF7F80" w:rsidP="00AF7F80">
      <w:pPr>
        <w:pStyle w:val="Numberedpara3level1"/>
        <w:numPr>
          <w:ilvl w:val="0"/>
          <w:numId w:val="19"/>
        </w:numPr>
      </w:pPr>
      <w:r>
        <w:rPr>
          <w:lang w:val="en-AU"/>
        </w:rPr>
        <w:t xml:space="preserve">Despite their drawbacks, </w:t>
      </w:r>
      <w:r w:rsidR="007F0704">
        <w:rPr>
          <w:lang w:val="en-AU"/>
        </w:rPr>
        <w:t xml:space="preserve">fees based predominantly on </w:t>
      </w:r>
      <w:r>
        <w:rPr>
          <w:lang w:val="en-AU"/>
        </w:rPr>
        <w:t>m</w:t>
      </w:r>
      <w:r w:rsidRPr="004725C8">
        <w:rPr>
          <w:lang w:val="en-AU"/>
        </w:rPr>
        <w:t xml:space="preserve">achine numbers are currently preferred for reasons of certainty, transparency and administrative ease. However, the option of using gaming machine proceeds could be considered </w:t>
      </w:r>
      <w:r>
        <w:rPr>
          <w:lang w:val="en-AU"/>
        </w:rPr>
        <w:t>as a part of my proposed response to the issues occurring in the sector</w:t>
      </w:r>
      <w:r w:rsidRPr="004725C8">
        <w:rPr>
          <w:lang w:val="en-AU"/>
        </w:rPr>
        <w:t xml:space="preserve">. </w:t>
      </w:r>
    </w:p>
    <w:p w:rsidR="00AF7F80" w:rsidRPr="00974C6B" w:rsidRDefault="00AF7F80" w:rsidP="00AF7F80">
      <w:pPr>
        <w:pStyle w:val="Numberedpara3level1"/>
        <w:numPr>
          <w:ilvl w:val="0"/>
          <w:numId w:val="19"/>
        </w:numPr>
      </w:pPr>
      <w:r w:rsidRPr="00ED743F">
        <w:rPr>
          <w:lang w:val="en-AU"/>
        </w:rPr>
        <w:t xml:space="preserve">More immediately, the shortfall between fees revenue and regulatory costs needs to be resolved. </w:t>
      </w:r>
      <w:r>
        <w:t>As noted in my accompanying paper on gambling fees, n</w:t>
      </w:r>
      <w:r w:rsidRPr="00ED743F">
        <w:rPr>
          <w:rFonts w:eastAsia="Calibri"/>
          <w:lang w:val="en-AU"/>
        </w:rPr>
        <w:t xml:space="preserve">early 80 per cent of the Department’s regulatory gambling costs are driven by work connected to the class 4 sector. </w:t>
      </w:r>
      <w:r w:rsidRPr="00ED743F">
        <w:rPr>
          <w:lang w:val="en-AU"/>
        </w:rPr>
        <w:t xml:space="preserve">The widening shortfall has grown into an annual operating deficit of $3.8 million and a gambling memorandum account deficit of $12.9 million at 30 June 2015. As a result government is part-subsidising the regulation of the sector. </w:t>
      </w:r>
    </w:p>
    <w:p w:rsidR="00AF7F80" w:rsidRDefault="00AF7F80" w:rsidP="00AF7F80">
      <w:pPr>
        <w:pStyle w:val="Numberedpara3level1"/>
        <w:numPr>
          <w:ilvl w:val="0"/>
          <w:numId w:val="19"/>
        </w:numPr>
      </w:pPr>
      <w:r w:rsidRPr="00974C6B">
        <w:rPr>
          <w:lang w:val="en-AU"/>
        </w:rPr>
        <w:t>This is why advancing the fees proposals is one of my high priorities.</w:t>
      </w:r>
      <w:r>
        <w:rPr>
          <w:lang w:val="en-AU"/>
        </w:rPr>
        <w:t xml:space="preserve"> However, </w:t>
      </w:r>
      <w:r w:rsidR="00B679D0">
        <w:rPr>
          <w:lang w:val="en-AU"/>
        </w:rPr>
        <w:t>this is only part of the solution. T</w:t>
      </w:r>
      <w:r>
        <w:t xml:space="preserve">he proposed class 4 fee increases of about 50 per cent are the minimum possible to maintain current regulatory levels. </w:t>
      </w:r>
      <w:r w:rsidR="00B679D0">
        <w:t xml:space="preserve">An increase of this size will </w:t>
      </w:r>
      <w:r>
        <w:t xml:space="preserve">also only reduce the deficit over a ten year period, with a significant deficit forecast to remain at the end of that time. </w:t>
      </w:r>
    </w:p>
    <w:p w:rsidR="00AF7F80" w:rsidRPr="005C0A19" w:rsidRDefault="00B679D0" w:rsidP="00AF7F80">
      <w:pPr>
        <w:pStyle w:val="Numberedpara3level1"/>
        <w:numPr>
          <w:ilvl w:val="0"/>
          <w:numId w:val="19"/>
        </w:numPr>
      </w:pPr>
      <w:r>
        <w:t>If approved, t</w:t>
      </w:r>
      <w:r w:rsidR="00AF7F80" w:rsidRPr="005C0A19">
        <w:t xml:space="preserve">he increases </w:t>
      </w:r>
      <w:r>
        <w:t xml:space="preserve">will </w:t>
      </w:r>
      <w:r w:rsidR="00AF7F80" w:rsidRPr="005C0A19">
        <w:t xml:space="preserve">alleviate some of the immediate pressure, although considerable strain will remain on the Department’s balance sheet. Clearly </w:t>
      </w:r>
      <w:r w:rsidR="00AF7F80">
        <w:t xml:space="preserve">this </w:t>
      </w:r>
      <w:r w:rsidR="00AF7F80" w:rsidRPr="005C0A19">
        <w:t>point</w:t>
      </w:r>
      <w:r w:rsidR="00AF7F80">
        <w:t>s</w:t>
      </w:r>
      <w:r w:rsidR="00AF7F80" w:rsidRPr="005C0A19">
        <w:t xml:space="preserve"> strongly to </w:t>
      </w:r>
      <w:r w:rsidR="00AC04A7" w:rsidRPr="00171E81">
        <w:t xml:space="preserve">pricing and </w:t>
      </w:r>
      <w:r w:rsidR="00AC04A7">
        <w:t xml:space="preserve">regulatory regime design </w:t>
      </w:r>
      <w:r w:rsidR="00AC04A7" w:rsidRPr="00171E81">
        <w:t>problems</w:t>
      </w:r>
      <w:r w:rsidR="00AF7F80" w:rsidRPr="005C0A19">
        <w:t>. Future fee increases are unavoidable (as the class 4 sector declines in size) and costs for the regulator and the sector will be difficult to contain, raising doubts about the fundamental viability of the sector and the future of the community funding it generates.</w:t>
      </w:r>
    </w:p>
    <w:p w:rsidR="00AF7F80" w:rsidRDefault="00AF7F80" w:rsidP="00AF7F80">
      <w:pPr>
        <w:pStyle w:val="Cabinetpaperparaheading"/>
      </w:pPr>
      <w:r>
        <w:t xml:space="preserve">Proposal to undertake a fit-for-purpose </w:t>
      </w:r>
      <w:r w:rsidR="00510475">
        <w:t>review</w:t>
      </w:r>
      <w:r>
        <w:t xml:space="preserve"> of the regime to understand whether the class 4 sector is sustainable</w:t>
      </w:r>
    </w:p>
    <w:p w:rsidR="00AF7F80" w:rsidRPr="000171B7" w:rsidRDefault="00B679D0" w:rsidP="00AF7F80">
      <w:pPr>
        <w:pStyle w:val="Numberedpara3level1"/>
        <w:numPr>
          <w:ilvl w:val="0"/>
          <w:numId w:val="19"/>
        </w:numPr>
      </w:pPr>
      <w:r>
        <w:t>While m</w:t>
      </w:r>
      <w:r w:rsidR="00AF7F80" w:rsidRPr="000171B7">
        <w:t xml:space="preserve">y </w:t>
      </w:r>
      <w:r>
        <w:t xml:space="preserve">immediate </w:t>
      </w:r>
      <w:r w:rsidR="00AF7F80" w:rsidRPr="000171B7">
        <w:t xml:space="preserve">priorities are to pass the Bill and </w:t>
      </w:r>
      <w:r w:rsidR="00AC04A7">
        <w:t>to at least partially</w:t>
      </w:r>
      <w:r w:rsidR="00AC04A7" w:rsidRPr="000171B7">
        <w:t xml:space="preserve"> </w:t>
      </w:r>
      <w:r w:rsidR="00AF7F80" w:rsidRPr="000171B7">
        <w:t>address the fees</w:t>
      </w:r>
      <w:r w:rsidR="00AF7F80">
        <w:t xml:space="preserve"> shortfall</w:t>
      </w:r>
      <w:r>
        <w:t>,</w:t>
      </w:r>
      <w:r w:rsidR="00AF7F80" w:rsidRPr="000171B7">
        <w:t xml:space="preserve"> </w:t>
      </w:r>
      <w:r>
        <w:t>it</w:t>
      </w:r>
      <w:r w:rsidR="00AF7F80" w:rsidRPr="000171B7">
        <w:t xml:space="preserve"> </w:t>
      </w:r>
      <w:r>
        <w:t xml:space="preserve">is also </w:t>
      </w:r>
      <w:r w:rsidR="00AF7F80" w:rsidRPr="000171B7">
        <w:t xml:space="preserve">timely to consider whether the Act is delivering as it should. </w:t>
      </w:r>
    </w:p>
    <w:p w:rsidR="00AF7F80" w:rsidRDefault="00AF7F80" w:rsidP="00AF7F80">
      <w:pPr>
        <w:pStyle w:val="Numberedpara3level1"/>
        <w:numPr>
          <w:ilvl w:val="0"/>
          <w:numId w:val="19"/>
        </w:numPr>
      </w:pPr>
      <w:r>
        <w:t>C</w:t>
      </w:r>
      <w:r w:rsidRPr="004C5A0D">
        <w:t xml:space="preserve">lass 4 gambling is </w:t>
      </w:r>
      <w:r>
        <w:t xml:space="preserve">based on </w:t>
      </w:r>
      <w:r w:rsidRPr="004C5A0D">
        <w:t xml:space="preserve">a community funding model. </w:t>
      </w:r>
      <w:r>
        <w:t>The levels of funding from class 4 gambling to community purposes have been dropping, from approximately $300 million in 2010, to $256 million in 2014.</w:t>
      </w:r>
      <w:r>
        <w:rPr>
          <w:rStyle w:val="FootnoteReference"/>
        </w:rPr>
        <w:footnoteReference w:id="5"/>
      </w:r>
      <w:r>
        <w:t xml:space="preserve"> </w:t>
      </w:r>
    </w:p>
    <w:p w:rsidR="00AF7F80" w:rsidRPr="00E063F1" w:rsidRDefault="00AF7F80" w:rsidP="00AF7F80">
      <w:pPr>
        <w:pStyle w:val="Numberedpara3level1"/>
        <w:numPr>
          <w:ilvl w:val="0"/>
          <w:numId w:val="19"/>
        </w:numPr>
      </w:pPr>
      <w:r w:rsidRPr="00E063F1">
        <w:t xml:space="preserve">Because of the impact on community purposes, </w:t>
      </w:r>
      <w:r w:rsidR="00B679D0">
        <w:t xml:space="preserve">I want </w:t>
      </w:r>
      <w:r w:rsidRPr="00E063F1">
        <w:t xml:space="preserve">to evaluate the regulatory regime for class 4 gambling to ensure that is </w:t>
      </w:r>
      <w:r>
        <w:t xml:space="preserve">remains fit-for-purpose. </w:t>
      </w:r>
      <w:r w:rsidRPr="00E063F1">
        <w:t xml:space="preserve">From a system perspective, I want to see that the maximum benefits are being provided to communities from the money generated by class 4 gambling. </w:t>
      </w:r>
    </w:p>
    <w:p w:rsidR="002172E0" w:rsidRPr="00794FCB" w:rsidRDefault="008F4123" w:rsidP="00AF7F80">
      <w:pPr>
        <w:pStyle w:val="Numberedpara3level1"/>
        <w:numPr>
          <w:ilvl w:val="0"/>
          <w:numId w:val="19"/>
        </w:numPr>
      </w:pPr>
      <w:r w:rsidRPr="00794FCB">
        <w:t xml:space="preserve">The </w:t>
      </w:r>
      <w:r w:rsidR="00FA1AA5" w:rsidRPr="00794FCB">
        <w:t xml:space="preserve">market for class 4 </w:t>
      </w:r>
      <w:r w:rsidRPr="00794FCB">
        <w:t xml:space="preserve">gambling </w:t>
      </w:r>
      <w:r w:rsidR="00FA1AA5" w:rsidRPr="00794FCB">
        <w:t xml:space="preserve">is </w:t>
      </w:r>
      <w:r w:rsidR="00956FFC" w:rsidRPr="00794FCB">
        <w:t xml:space="preserve">entirely statute based and the policy settings provide limited opportunities for growth. There is no intention to </w:t>
      </w:r>
      <w:r w:rsidR="002172E0" w:rsidRPr="00794FCB">
        <w:t xml:space="preserve">look for ways to actively </w:t>
      </w:r>
      <w:r w:rsidR="00956FFC" w:rsidRPr="00794FCB">
        <w:t xml:space="preserve">reverse the decline and drive higher consumption in the market. </w:t>
      </w:r>
    </w:p>
    <w:p w:rsidR="00AF7F80" w:rsidRPr="002172E0" w:rsidRDefault="00956FFC" w:rsidP="00AF7F80">
      <w:pPr>
        <w:pStyle w:val="Numberedpara3level1"/>
        <w:numPr>
          <w:ilvl w:val="0"/>
          <w:numId w:val="19"/>
        </w:numPr>
      </w:pPr>
      <w:r w:rsidRPr="002172E0">
        <w:lastRenderedPageBreak/>
        <w:t>However, w</w:t>
      </w:r>
      <w:r w:rsidR="00AF7F80" w:rsidRPr="002172E0">
        <w:t>e need to determine if class 4 gambling is sustainable in the longer term</w:t>
      </w:r>
      <w:r w:rsidR="00B679D0">
        <w:t>.</w:t>
      </w:r>
      <w:r w:rsidR="00AF7F80" w:rsidRPr="002172E0">
        <w:t xml:space="preserve"> </w:t>
      </w:r>
      <w:r w:rsidR="00B679D0">
        <w:t>I</w:t>
      </w:r>
      <w:r w:rsidR="00AF7F80" w:rsidRPr="002172E0">
        <w:t>f the current decline continues</w:t>
      </w:r>
      <w:r w:rsidRPr="002172E0">
        <w:t>,</w:t>
      </w:r>
      <w:r w:rsidR="00AF7F80" w:rsidRPr="002172E0">
        <w:t xml:space="preserve"> community funds </w:t>
      </w:r>
      <w:r w:rsidR="00B679D0">
        <w:t xml:space="preserve">may be </w:t>
      </w:r>
      <w:r w:rsidR="00AF7F80" w:rsidRPr="002172E0">
        <w:t>seriously impacted. Therefore fully understanding the reasons for the decline</w:t>
      </w:r>
      <w:r w:rsidR="008F4123" w:rsidRPr="002172E0">
        <w:t>,</w:t>
      </w:r>
      <w:r w:rsidR="00AF7F80" w:rsidRPr="002172E0">
        <w:t xml:space="preserve"> </w:t>
      </w:r>
      <w:r w:rsidR="00B679D0">
        <w:t xml:space="preserve">based </w:t>
      </w:r>
      <w:r w:rsidR="008F4123" w:rsidRPr="002172E0">
        <w:t xml:space="preserve">on the available information, </w:t>
      </w:r>
      <w:r w:rsidR="00AF7F80" w:rsidRPr="002172E0">
        <w:t xml:space="preserve">is important. </w:t>
      </w:r>
    </w:p>
    <w:p w:rsidR="00AF7F80" w:rsidRDefault="00AF7F80" w:rsidP="00AF7F80">
      <w:pPr>
        <w:pStyle w:val="Numberedpara3level1"/>
        <w:numPr>
          <w:ilvl w:val="0"/>
          <w:numId w:val="19"/>
        </w:numPr>
      </w:pPr>
      <w:r>
        <w:t xml:space="preserve">I intend </w:t>
      </w:r>
      <w:r w:rsidRPr="00933046">
        <w:t xml:space="preserve">to </w:t>
      </w:r>
      <w:r>
        <w:t>examine</w:t>
      </w:r>
      <w:r w:rsidRPr="00933046">
        <w:t xml:space="preserve"> these issues through </w:t>
      </w:r>
      <w:r>
        <w:t xml:space="preserve">a </w:t>
      </w:r>
      <w:r w:rsidR="00510475">
        <w:t>review</w:t>
      </w:r>
      <w:r>
        <w:t xml:space="preserve"> </w:t>
      </w:r>
      <w:r w:rsidRPr="00933046">
        <w:t xml:space="preserve">of the </w:t>
      </w:r>
      <w:r>
        <w:t>c</w:t>
      </w:r>
      <w:r w:rsidRPr="00933046">
        <w:t xml:space="preserve">lass 4 sector. </w:t>
      </w:r>
      <w:r>
        <w:t>I</w:t>
      </w:r>
      <w:r w:rsidR="00B679D0">
        <w:t xml:space="preserve"> consider it is desirable to </w:t>
      </w:r>
      <w:r>
        <w:t>improv</w:t>
      </w:r>
      <w:r w:rsidR="00B679D0">
        <w:t>e</w:t>
      </w:r>
      <w:r w:rsidRPr="00933046">
        <w:t xml:space="preserve"> the integri</w:t>
      </w:r>
      <w:r w:rsidR="00B679D0">
        <w:t>ty of the sector and simplify</w:t>
      </w:r>
      <w:r w:rsidRPr="00933046">
        <w:t xml:space="preserve"> the regulatory framework. </w:t>
      </w:r>
      <w:r>
        <w:t>These aspects are closely linked</w:t>
      </w:r>
      <w:r w:rsidR="00B679D0">
        <w:t>.</w:t>
      </w:r>
      <w:r>
        <w:t xml:space="preserve"> </w:t>
      </w:r>
      <w:r w:rsidR="00B679D0">
        <w:t>A</w:t>
      </w:r>
      <w:r>
        <w:t xml:space="preserve">ddressing the fundamental structural problems </w:t>
      </w:r>
      <w:r w:rsidR="00B679D0">
        <w:t>will</w:t>
      </w:r>
      <w:r>
        <w:t xml:space="preserve"> enable simplification of the framework. In that case legislative changes </w:t>
      </w:r>
      <w:r w:rsidR="00B679D0">
        <w:t>will be required</w:t>
      </w:r>
      <w:r>
        <w:t xml:space="preserve">. </w:t>
      </w:r>
    </w:p>
    <w:p w:rsidR="00467477" w:rsidRDefault="00467477" w:rsidP="00AF7F80">
      <w:pPr>
        <w:pStyle w:val="Numberedpara3level1"/>
        <w:numPr>
          <w:ilvl w:val="0"/>
          <w:numId w:val="19"/>
        </w:numPr>
      </w:pPr>
      <w:r>
        <w:t>A</w:t>
      </w:r>
      <w:r w:rsidRPr="00933046">
        <w:t xml:space="preserve"> simplified regulatory framework</w:t>
      </w:r>
      <w:r>
        <w:t xml:space="preserve"> could mean less regulatory oversight is required </w:t>
      </w:r>
      <w:r w:rsidR="002B6F21">
        <w:t xml:space="preserve">and </w:t>
      </w:r>
      <w:r>
        <w:t>potentially reduce the costs of regulation. The role and functions of the regulator, and a fresh look at the subsequent costs of regulating the sector, will therefore necessarily be included as part of this analysis.</w:t>
      </w:r>
    </w:p>
    <w:p w:rsidR="00AF7F80" w:rsidRDefault="00AF7F80" w:rsidP="00AF7F80">
      <w:pPr>
        <w:pStyle w:val="Cabinetpaperparaheading"/>
      </w:pPr>
      <w:r>
        <w:t xml:space="preserve">The fit-for-purpose </w:t>
      </w:r>
      <w:r w:rsidR="00510475">
        <w:t>review</w:t>
      </w:r>
      <w:r>
        <w:t xml:space="preserve"> supports the fulfilment of regulatory stewardship</w:t>
      </w:r>
    </w:p>
    <w:p w:rsidR="00AF7F80" w:rsidRDefault="00AF7F80" w:rsidP="00AF7F80">
      <w:pPr>
        <w:pStyle w:val="Numberedpara3level1"/>
        <w:numPr>
          <w:ilvl w:val="0"/>
          <w:numId w:val="19"/>
        </w:numPr>
      </w:pPr>
      <w:r>
        <w:t xml:space="preserve">The </w:t>
      </w:r>
      <w:r w:rsidR="00510475">
        <w:t>review</w:t>
      </w:r>
      <w:r>
        <w:t xml:space="preserve"> </w:t>
      </w:r>
      <w:r w:rsidR="00B679D0">
        <w:t>will</w:t>
      </w:r>
      <w:r>
        <w:t xml:space="preserve"> help fulfil the Department’s obligation to </w:t>
      </w:r>
      <w:r w:rsidRPr="009D05E0">
        <w:t xml:space="preserve">thoroughly assess the performance and condition of the regulatory regime </w:t>
      </w:r>
      <w:r>
        <w:t xml:space="preserve">for class 4 gambling. </w:t>
      </w:r>
    </w:p>
    <w:p w:rsidR="00AF7F80" w:rsidRDefault="00AF7F80" w:rsidP="00AF7F80">
      <w:pPr>
        <w:pStyle w:val="Numberedpara3level1"/>
        <w:numPr>
          <w:ilvl w:val="0"/>
          <w:numId w:val="19"/>
        </w:numPr>
      </w:pPr>
      <w:r>
        <w:t xml:space="preserve">Consistent with the Treasury’s guidance to departments on the exercise of their stewardship role, the work </w:t>
      </w:r>
      <w:r w:rsidR="00B679D0">
        <w:t>will</w:t>
      </w:r>
      <w:r>
        <w:t xml:space="preserve"> need to </w:t>
      </w:r>
      <w:r w:rsidRPr="009D05E0">
        <w:t xml:space="preserve">clearly articulate what the </w:t>
      </w:r>
      <w:r>
        <w:t xml:space="preserve">class 4 gambling </w:t>
      </w:r>
      <w:r w:rsidRPr="009D05E0">
        <w:t>regime is trying to achieve, what types of costs and other impacts it impose</w:t>
      </w:r>
      <w:r>
        <w:t>s</w:t>
      </w:r>
      <w:r w:rsidRPr="009D05E0">
        <w:t xml:space="preserve">, and what factors pose the greatest risks to good regulatory performance. </w:t>
      </w:r>
    </w:p>
    <w:p w:rsidR="00AF7F80" w:rsidRDefault="00AF7F80" w:rsidP="00AF7F80">
      <w:pPr>
        <w:pStyle w:val="Briefingparaheading"/>
      </w:pPr>
      <w:r>
        <w:t xml:space="preserve">The </w:t>
      </w:r>
      <w:r w:rsidR="00510475">
        <w:t>review</w:t>
      </w:r>
      <w:r>
        <w:t xml:space="preserve"> </w:t>
      </w:r>
      <w:r w:rsidR="00B679D0">
        <w:t>will</w:t>
      </w:r>
      <w:r>
        <w:t xml:space="preserve"> consider how the regime is performing against the purposes of the Gambling Act</w:t>
      </w:r>
      <w:r w:rsidR="00CC73D7">
        <w:t xml:space="preserve"> 2003</w:t>
      </w:r>
    </w:p>
    <w:p w:rsidR="00AF7F80" w:rsidRDefault="00B3209D" w:rsidP="00AF7F80">
      <w:pPr>
        <w:pStyle w:val="Numberedpara3level1"/>
        <w:numPr>
          <w:ilvl w:val="0"/>
          <w:numId w:val="19"/>
        </w:numPr>
      </w:pPr>
      <w:r>
        <w:t>Should it be approved, t</w:t>
      </w:r>
      <w:r w:rsidR="00AF7F80">
        <w:t xml:space="preserve">he </w:t>
      </w:r>
      <w:r w:rsidR="00510475">
        <w:t>review</w:t>
      </w:r>
      <w:r w:rsidR="00AF7F80">
        <w:t xml:space="preserve"> </w:t>
      </w:r>
      <w:r w:rsidR="00B679D0">
        <w:t>will</w:t>
      </w:r>
      <w:r w:rsidR="00AF7F80">
        <w:t xml:space="preserve"> be a fundamental review, broadly evaluating the class 4 gambling sector based on the level at which the current regime is achieving the purposes of the Act. The Act’s purposes include: </w:t>
      </w:r>
    </w:p>
    <w:p w:rsidR="00AF7F80" w:rsidRPr="00D008CE" w:rsidRDefault="00AF7F80" w:rsidP="00AF7F80">
      <w:pPr>
        <w:pStyle w:val="Bullet"/>
        <w:rPr>
          <w:lang w:val="en-AU"/>
        </w:rPr>
      </w:pPr>
      <w:r w:rsidRPr="00D008CE">
        <w:rPr>
          <w:lang w:val="en-AU"/>
        </w:rPr>
        <w:t xml:space="preserve">controlling the growth of gambling; </w:t>
      </w:r>
    </w:p>
    <w:p w:rsidR="00AF7F80" w:rsidRPr="00D008CE" w:rsidRDefault="00AF7F80" w:rsidP="00AF7F80">
      <w:pPr>
        <w:pStyle w:val="Bullet"/>
        <w:rPr>
          <w:lang w:val="en-AU"/>
        </w:rPr>
      </w:pPr>
      <w:r w:rsidRPr="00D008CE">
        <w:rPr>
          <w:lang w:val="en-AU"/>
        </w:rPr>
        <w:t xml:space="preserve">preventing and minimising the harm caused by gambling, including problem gambling; </w:t>
      </w:r>
    </w:p>
    <w:p w:rsidR="00AF7F80" w:rsidRPr="00D008CE" w:rsidRDefault="00AF7F80" w:rsidP="00AF7F80">
      <w:pPr>
        <w:pStyle w:val="Bullet"/>
        <w:rPr>
          <w:lang w:val="en-AU"/>
        </w:rPr>
      </w:pPr>
      <w:r w:rsidRPr="00D008CE">
        <w:rPr>
          <w:lang w:val="en-AU"/>
        </w:rPr>
        <w:t xml:space="preserve">facilitating responsible gambling; </w:t>
      </w:r>
    </w:p>
    <w:p w:rsidR="00AF7F80" w:rsidRPr="00D008CE" w:rsidRDefault="00AF7F80" w:rsidP="00AF7F80">
      <w:pPr>
        <w:pStyle w:val="Bullet"/>
        <w:rPr>
          <w:lang w:val="en-AU"/>
        </w:rPr>
      </w:pPr>
      <w:r w:rsidRPr="00D008CE">
        <w:rPr>
          <w:lang w:val="en-AU"/>
        </w:rPr>
        <w:t xml:space="preserve">limiting opportunities for crime or dishonesty associated with gambling and the conduct of gambling; </w:t>
      </w:r>
    </w:p>
    <w:p w:rsidR="00AF7F80" w:rsidRPr="00D008CE" w:rsidRDefault="00AF7F80" w:rsidP="00AF7F80">
      <w:pPr>
        <w:pStyle w:val="Bullet"/>
        <w:rPr>
          <w:lang w:val="en-AU"/>
        </w:rPr>
      </w:pPr>
      <w:r w:rsidRPr="00D008CE">
        <w:rPr>
          <w:lang w:val="en-AU"/>
        </w:rPr>
        <w:t>ensuring that money from gambling benefits the community; and</w:t>
      </w:r>
    </w:p>
    <w:p w:rsidR="00AF7F80" w:rsidRPr="00D008CE" w:rsidRDefault="00AF7F80" w:rsidP="00AF7F80">
      <w:pPr>
        <w:pStyle w:val="Bullet"/>
        <w:rPr>
          <w:lang w:val="en-AU"/>
        </w:rPr>
      </w:pPr>
      <w:r w:rsidRPr="00D008CE">
        <w:rPr>
          <w:lang w:val="en-AU"/>
        </w:rPr>
        <w:t>facilitating community involvement in decisions about the provision of gambling.</w:t>
      </w:r>
    </w:p>
    <w:p w:rsidR="00AF7F80" w:rsidRDefault="00AF7F80" w:rsidP="00AF7F80">
      <w:pPr>
        <w:pStyle w:val="Numberedpara3level1"/>
        <w:numPr>
          <w:ilvl w:val="0"/>
          <w:numId w:val="19"/>
        </w:numPr>
      </w:pPr>
      <w:r>
        <w:t xml:space="preserve">I consider the purposes of the Act to be valid criteria for the </w:t>
      </w:r>
      <w:r w:rsidR="00510475">
        <w:t>review</w:t>
      </w:r>
      <w:r>
        <w:t xml:space="preserve">. They represent the balance of competing interests in the provision of gambling, and the stream of net benefits expected to be delivered by the gambling regulatory regime over time. </w:t>
      </w:r>
    </w:p>
    <w:p w:rsidR="00AF7F80" w:rsidRPr="00933046" w:rsidRDefault="00AF7F80" w:rsidP="00AF7F80">
      <w:pPr>
        <w:pStyle w:val="Briefingparaheading"/>
      </w:pPr>
      <w:r>
        <w:t xml:space="preserve">The scope of the </w:t>
      </w:r>
      <w:r w:rsidR="00510475">
        <w:t>review</w:t>
      </w:r>
      <w:r>
        <w:t xml:space="preserve"> is broad </w:t>
      </w:r>
    </w:p>
    <w:p w:rsidR="00AF7F80" w:rsidRDefault="00AF7F80" w:rsidP="00AF7F80">
      <w:pPr>
        <w:pStyle w:val="Numberedpara3level1"/>
        <w:numPr>
          <w:ilvl w:val="0"/>
          <w:numId w:val="19"/>
        </w:numPr>
      </w:pPr>
      <w:r>
        <w:t xml:space="preserve">The proposed broad scope of the </w:t>
      </w:r>
      <w:r w:rsidR="00510475">
        <w:t>review</w:t>
      </w:r>
      <w:r>
        <w:t xml:space="preserve"> of the class 4 </w:t>
      </w:r>
      <w:r w:rsidR="00CC73D7">
        <w:t xml:space="preserve">gambling </w:t>
      </w:r>
      <w:r>
        <w:t xml:space="preserve">sector is shown in </w:t>
      </w:r>
      <w:r w:rsidRPr="00CC73D7">
        <w:rPr>
          <w:b/>
        </w:rPr>
        <w:t>Appendix B</w:t>
      </w:r>
      <w:r>
        <w:t>, based on two work streams that respond to the key issues in the sector</w:t>
      </w:r>
      <w:r w:rsidR="00CC73D7">
        <w:t>.</w:t>
      </w:r>
      <w:r>
        <w:t xml:space="preserve"> </w:t>
      </w:r>
      <w:r w:rsidR="00CC73D7">
        <w:t>P</w:t>
      </w:r>
      <w:r>
        <w:t xml:space="preserve">art one </w:t>
      </w:r>
      <w:r w:rsidR="00B679D0">
        <w:t>will</w:t>
      </w:r>
      <w:r>
        <w:t xml:space="preserve"> be an environmental scan to consider the reasons for the sector scale down, and part two </w:t>
      </w:r>
      <w:r w:rsidR="00B679D0">
        <w:t>will</w:t>
      </w:r>
      <w:r>
        <w:t xml:space="preserve"> be the evaluation of the regime against the objectives of the Act.</w:t>
      </w:r>
    </w:p>
    <w:p w:rsidR="00AF7F80" w:rsidRDefault="00AF7F80" w:rsidP="00AF7F80">
      <w:pPr>
        <w:pStyle w:val="Briefingparaheading"/>
      </w:pPr>
      <w:r>
        <w:lastRenderedPageBreak/>
        <w:t xml:space="preserve">The </w:t>
      </w:r>
      <w:r w:rsidR="00B3209D">
        <w:t xml:space="preserve">proposed </w:t>
      </w:r>
      <w:r>
        <w:t xml:space="preserve">scope of the </w:t>
      </w:r>
      <w:r w:rsidR="00510475">
        <w:t>review</w:t>
      </w:r>
      <w:r>
        <w:t xml:space="preserve"> </w:t>
      </w:r>
      <w:r w:rsidR="00B679D0">
        <w:t>will</w:t>
      </w:r>
      <w:r>
        <w:t xml:space="preserve"> not cover casinos but may extend to other aspects of gambling in New Zealand</w:t>
      </w:r>
    </w:p>
    <w:p w:rsidR="00AF7F80" w:rsidRDefault="00AF7F80" w:rsidP="00AF7F80">
      <w:pPr>
        <w:pStyle w:val="Numberedpara3level1"/>
        <w:numPr>
          <w:ilvl w:val="0"/>
          <w:numId w:val="19"/>
        </w:numPr>
      </w:pPr>
      <w:r>
        <w:t xml:space="preserve">I do not intend the </w:t>
      </w:r>
      <w:r w:rsidRPr="00A54EBA">
        <w:t xml:space="preserve">scope </w:t>
      </w:r>
      <w:r>
        <w:t xml:space="preserve">of the proposed </w:t>
      </w:r>
      <w:r w:rsidR="00510475">
        <w:t>review</w:t>
      </w:r>
      <w:r>
        <w:t xml:space="preserve"> to extend to gaming machines in casinos. Casinos operate in a commercial environment that is structured and regulated in a different way to class 4 gambling.</w:t>
      </w:r>
    </w:p>
    <w:p w:rsidR="00AF7F80" w:rsidRPr="007F4E05" w:rsidRDefault="00AF7F80" w:rsidP="00AF7F80">
      <w:pPr>
        <w:pStyle w:val="Numberedpara3level1"/>
        <w:numPr>
          <w:ilvl w:val="0"/>
          <w:numId w:val="19"/>
        </w:numPr>
      </w:pPr>
      <w:r w:rsidRPr="007F4E05">
        <w:t>Other forms of gambling may be considered, to the extent in which these impact on class 4 and may be attracting gamblers away from gaming machine use. One example is gambling on a wider range and availability of Lotto products.</w:t>
      </w:r>
    </w:p>
    <w:p w:rsidR="00AF7F80" w:rsidRDefault="00AF7F80" w:rsidP="00AF7F80">
      <w:pPr>
        <w:pStyle w:val="Briefingparaheading"/>
      </w:pPr>
      <w:r>
        <w:t>Other work will examine online gambling, on a longer timeframe</w:t>
      </w:r>
    </w:p>
    <w:p w:rsidR="00AF7F80" w:rsidRDefault="00AF7F80" w:rsidP="00AF7F80">
      <w:pPr>
        <w:pStyle w:val="Numberedpara3level1"/>
        <w:numPr>
          <w:ilvl w:val="0"/>
          <w:numId w:val="19"/>
        </w:numPr>
      </w:pPr>
      <w:r w:rsidRPr="00933046">
        <w:t xml:space="preserve">The scope of the </w:t>
      </w:r>
      <w:r>
        <w:t xml:space="preserve">analysis </w:t>
      </w:r>
      <w:r w:rsidR="009F28B4">
        <w:t xml:space="preserve">is focused on </w:t>
      </w:r>
      <w:r w:rsidRPr="00933046">
        <w:t xml:space="preserve">the </w:t>
      </w:r>
      <w:r>
        <w:t>c</w:t>
      </w:r>
      <w:r w:rsidRPr="00933046">
        <w:t>lass 4 gambling sector</w:t>
      </w:r>
      <w:r>
        <w:t>. However, w</w:t>
      </w:r>
      <w:r w:rsidRPr="00933046">
        <w:t>ithin my gambling</w:t>
      </w:r>
      <w:r>
        <w:t xml:space="preserve"> work </w:t>
      </w:r>
      <w:r w:rsidRPr="00933046">
        <w:t xml:space="preserve">programme, I have also asked </w:t>
      </w:r>
      <w:r>
        <w:t xml:space="preserve">the Department </w:t>
      </w:r>
      <w:r w:rsidRPr="00933046">
        <w:t>to look at the government’</w:t>
      </w:r>
      <w:r>
        <w:t>s position on online gambling. I</w:t>
      </w:r>
      <w:r w:rsidRPr="00933046">
        <w:t>t is now over ten years since this area was las</w:t>
      </w:r>
      <w:r>
        <w:t>t reviewed.</w:t>
      </w:r>
    </w:p>
    <w:p w:rsidR="00AF7F80" w:rsidRDefault="00AF7F80" w:rsidP="00AF7F80">
      <w:pPr>
        <w:pStyle w:val="Numberedpara3level1"/>
        <w:numPr>
          <w:ilvl w:val="0"/>
          <w:numId w:val="19"/>
        </w:numPr>
      </w:pPr>
      <w:r>
        <w:t>Research indicates that gambling on overseas websites is not currently a significant area of concern for New Zealand and this work is therefore on a longer term timeframe. However</w:t>
      </w:r>
      <w:r w:rsidR="00CC73D7">
        <w:t>,</w:t>
      </w:r>
      <w:r>
        <w:t xml:space="preserve"> I note the findings of the Offshore Racing and Sports Betting Working Group (established by the Minister for Racing</w:t>
      </w:r>
      <w:r w:rsidR="0079542A">
        <w:t>,</w:t>
      </w:r>
      <w:r>
        <w:t xml:space="preserve"> Hon Nathan Guy) </w:t>
      </w:r>
      <w:r w:rsidR="0079542A">
        <w:t xml:space="preserve">are due later this year. </w:t>
      </w:r>
      <w:r>
        <w:t xml:space="preserve">While the scope of the Group’s work is narrower than my proposed review of online gambling, the Group’s findings could be relevant to the Department’s work and give more of an indication of the size and nature of any problems. </w:t>
      </w:r>
    </w:p>
    <w:p w:rsidR="00AF7F80" w:rsidRDefault="00AF7F80" w:rsidP="00AF7F80">
      <w:pPr>
        <w:pStyle w:val="Numberedpara3level1"/>
        <w:numPr>
          <w:ilvl w:val="0"/>
          <w:numId w:val="19"/>
        </w:numPr>
      </w:pPr>
      <w:r>
        <w:t>I see it as important to progress f</w:t>
      </w:r>
      <w:r w:rsidRPr="00933046">
        <w:t xml:space="preserve">urther research and investigation </w:t>
      </w:r>
      <w:r>
        <w:t xml:space="preserve">in this area because it </w:t>
      </w:r>
      <w:r w:rsidRPr="00933046">
        <w:t xml:space="preserve">is an area </w:t>
      </w:r>
      <w:r>
        <w:t>where change can occur rapidly. I will report back to Cabinet next year on the progress of this work. I expect no decisions will need to be sought on our approach to online gambling until 2017.</w:t>
      </w:r>
    </w:p>
    <w:p w:rsidR="00AF7F80" w:rsidRPr="00C05FB3" w:rsidRDefault="00AF7F80" w:rsidP="00AF7F80">
      <w:pPr>
        <w:pStyle w:val="Briefingparaheading"/>
      </w:pPr>
      <w:r w:rsidRPr="00C05FB3">
        <w:t>Views of the sector and community groups on</w:t>
      </w:r>
      <w:r>
        <w:t xml:space="preserve"> the proposal</w:t>
      </w:r>
    </w:p>
    <w:p w:rsidR="00AF7F80" w:rsidRDefault="00B3209D" w:rsidP="00AF7F80">
      <w:pPr>
        <w:pStyle w:val="Numberedpara3level1"/>
        <w:numPr>
          <w:ilvl w:val="0"/>
          <w:numId w:val="19"/>
        </w:numPr>
      </w:pPr>
      <w:r>
        <w:t>I believe m</w:t>
      </w:r>
      <w:r w:rsidR="00AF7F80" w:rsidRPr="00C05FB3">
        <w:t xml:space="preserve">any sector </w:t>
      </w:r>
      <w:r w:rsidR="00AF7F80">
        <w:t xml:space="preserve">participants </w:t>
      </w:r>
      <w:r w:rsidR="00AF7F80" w:rsidRPr="00C05FB3">
        <w:t xml:space="preserve">and community groups </w:t>
      </w:r>
      <w:r w:rsidR="00B679D0">
        <w:t>will</w:t>
      </w:r>
      <w:r w:rsidR="00AF7F80" w:rsidRPr="00C05FB3">
        <w:t xml:space="preserve"> welcome</w:t>
      </w:r>
      <w:r w:rsidR="00AF7F80">
        <w:t xml:space="preserve"> the </w:t>
      </w:r>
      <w:r w:rsidR="00510475">
        <w:t>review</w:t>
      </w:r>
      <w:r w:rsidR="00AF7F80">
        <w:t xml:space="preserve"> of the regulatory regime and the sustainability of the sector</w:t>
      </w:r>
      <w:r w:rsidR="00AF7F80" w:rsidRPr="00C05FB3">
        <w:t xml:space="preserve">, although they may have </w:t>
      </w:r>
      <w:r w:rsidR="00AF7F80">
        <w:t>differing</w:t>
      </w:r>
      <w:r w:rsidR="00AF7F80" w:rsidRPr="00C05FB3">
        <w:t xml:space="preserve"> views on w</w:t>
      </w:r>
      <w:r w:rsidR="00AF7F80">
        <w:t xml:space="preserve">hat changes should be made. </w:t>
      </w:r>
    </w:p>
    <w:p w:rsidR="00AF7F80" w:rsidRDefault="00AF7F80" w:rsidP="00AF7F80">
      <w:pPr>
        <w:pStyle w:val="Numberedpara3level1"/>
        <w:numPr>
          <w:ilvl w:val="0"/>
          <w:numId w:val="19"/>
        </w:numPr>
      </w:pPr>
      <w:r>
        <w:t>During the gambling fees consultation</w:t>
      </w:r>
      <w:r w:rsidRPr="00C05FB3">
        <w:t xml:space="preserve"> </w:t>
      </w:r>
      <w:r w:rsidRPr="00554ABB">
        <w:rPr>
          <w:spacing w:val="-2"/>
        </w:rPr>
        <w:t xml:space="preserve">the class 4 working party (appointed by the sector to engage with the Department on the fee proposals) </w:t>
      </w:r>
      <w:r w:rsidRPr="00C05FB3">
        <w:t xml:space="preserve">raised the issue of </w:t>
      </w:r>
      <w:r>
        <w:t xml:space="preserve">whether some of the compliance costs in the regime could be stripped out. </w:t>
      </w:r>
    </w:p>
    <w:p w:rsidR="00AF7F80" w:rsidRDefault="00AF7F80" w:rsidP="00AF7F80">
      <w:pPr>
        <w:pStyle w:val="Numberedpara3level1"/>
        <w:numPr>
          <w:ilvl w:val="0"/>
          <w:numId w:val="19"/>
        </w:numPr>
      </w:pPr>
      <w:r>
        <w:t>Representatives from problem gambling groups submitted on the Gambling Amendment Bill (No 3) that greater harm minimisation measures should be incorporated into the Act</w:t>
      </w:r>
      <w:r w:rsidRPr="00C05FB3">
        <w:t>.</w:t>
      </w:r>
    </w:p>
    <w:p w:rsidR="00AF7F80" w:rsidRDefault="00AF7F80" w:rsidP="00AF7F80">
      <w:pPr>
        <w:pStyle w:val="Cabinetpaperparaheading"/>
      </w:pPr>
      <w:r>
        <w:t xml:space="preserve">Next steps and timing of the </w:t>
      </w:r>
      <w:r w:rsidR="00510475">
        <w:t>review</w:t>
      </w:r>
      <w:r>
        <w:t xml:space="preserve"> project</w:t>
      </w:r>
    </w:p>
    <w:p w:rsidR="00AF7F80" w:rsidRDefault="00AF7F80" w:rsidP="00AF7F80">
      <w:pPr>
        <w:pStyle w:val="Numberedpara3level1"/>
        <w:numPr>
          <w:ilvl w:val="0"/>
          <w:numId w:val="19"/>
        </w:numPr>
      </w:pPr>
      <w:r>
        <w:t xml:space="preserve">I seek Cabinet agreement to initiating this </w:t>
      </w:r>
      <w:r w:rsidR="00510475">
        <w:t>review</w:t>
      </w:r>
      <w:r>
        <w:t xml:space="preserve"> of the regulatory regime and the sector. </w:t>
      </w:r>
      <w:r w:rsidR="00B3209D">
        <w:t>Should you agree, p</w:t>
      </w:r>
      <w:r>
        <w:t>olicy options development</w:t>
      </w:r>
      <w:r w:rsidR="00200508">
        <w:t xml:space="preserve"> </w:t>
      </w:r>
      <w:r w:rsidR="00B679D0">
        <w:t>will</w:t>
      </w:r>
      <w:r w:rsidR="00200508">
        <w:t xml:space="preserve"> begin shortly, with </w:t>
      </w:r>
      <w:r w:rsidR="00B3209D">
        <w:t xml:space="preserve">those </w:t>
      </w:r>
      <w:r>
        <w:t>options form</w:t>
      </w:r>
      <w:r w:rsidR="00200508">
        <w:t>ing</w:t>
      </w:r>
      <w:r>
        <w:t xml:space="preserve"> the basis for a public discussion document. I plan to seek Cabinet’s approval to release this public discussion document in the </w:t>
      </w:r>
      <w:r w:rsidR="007656D6">
        <w:t>second</w:t>
      </w:r>
      <w:r>
        <w:t xml:space="preserve"> quarter of 2016.  </w:t>
      </w:r>
    </w:p>
    <w:p w:rsidR="00AF7F80" w:rsidRDefault="00AF7F80" w:rsidP="00AF7F80">
      <w:pPr>
        <w:pStyle w:val="Numberedpara3level1"/>
        <w:numPr>
          <w:ilvl w:val="0"/>
          <w:numId w:val="19"/>
        </w:numPr>
      </w:pPr>
      <w:r>
        <w:t xml:space="preserve">Following public feedback on the discussion document, I intend </w:t>
      </w:r>
      <w:r w:rsidR="00CC73D7">
        <w:t>to report</w:t>
      </w:r>
      <w:r>
        <w:t xml:space="preserve"> back to Cabinet on policy proposals by </w:t>
      </w:r>
      <w:r w:rsidR="005807BB">
        <w:t>September</w:t>
      </w:r>
      <w:r>
        <w:t xml:space="preserve"> 2016. </w:t>
      </w:r>
    </w:p>
    <w:p w:rsidR="00AF7F80" w:rsidRDefault="00AF7F80" w:rsidP="00AF7F80">
      <w:pPr>
        <w:pStyle w:val="Cabinetpaperparaheading"/>
      </w:pPr>
      <w:r>
        <w:lastRenderedPageBreak/>
        <w:t>Consultation</w:t>
      </w:r>
    </w:p>
    <w:p w:rsidR="00AF7F80" w:rsidRDefault="00AF7F80" w:rsidP="00AF7F80">
      <w:pPr>
        <w:pStyle w:val="Numberedpara3level1"/>
        <w:numPr>
          <w:ilvl w:val="0"/>
          <w:numId w:val="19"/>
        </w:numPr>
      </w:pPr>
      <w:r>
        <w:t xml:space="preserve">The Treasury, Ministries of Health, Business, Innovation and Employment, Pacific Island Affairs, </w:t>
      </w:r>
      <w:r w:rsidR="00AC04A7">
        <w:t xml:space="preserve">Ministries for Women </w:t>
      </w:r>
      <w:r>
        <w:t xml:space="preserve">and </w:t>
      </w:r>
      <w:r w:rsidR="00AC04A7">
        <w:t xml:space="preserve">Culture and Heritage, </w:t>
      </w:r>
      <w:r>
        <w:t>Te Puni Kōkiri, and Sport New Zealand, have been consulted on this paper. The Department of the Prime Minister and Cabinet has been informed.</w:t>
      </w:r>
      <w:r w:rsidR="008F1844" w:rsidRPr="008F1844">
        <w:t xml:space="preserve"> </w:t>
      </w:r>
      <w:r w:rsidR="008F1844">
        <w:t xml:space="preserve">The Ministry of Justice has assessed the Bill of Rights and Human Rights implications.  </w:t>
      </w:r>
    </w:p>
    <w:p w:rsidR="00AF7F80" w:rsidRDefault="00AF7F80" w:rsidP="00AF7F80">
      <w:pPr>
        <w:pStyle w:val="Cabinetpaperparaheading"/>
      </w:pPr>
      <w:r>
        <w:t>Financial implications</w:t>
      </w:r>
    </w:p>
    <w:p w:rsidR="00AF7F80" w:rsidRDefault="00AF7F80" w:rsidP="00AF7F80">
      <w:pPr>
        <w:pStyle w:val="Numberedpara3level1"/>
        <w:numPr>
          <w:ilvl w:val="0"/>
          <w:numId w:val="19"/>
        </w:numPr>
      </w:pPr>
      <w:r w:rsidRPr="000F0B66">
        <w:t>There are no financial implications arising from this paper</w:t>
      </w:r>
      <w:r>
        <w:t xml:space="preserve">. The </w:t>
      </w:r>
      <w:r w:rsidR="00510475">
        <w:t>review</w:t>
      </w:r>
      <w:r>
        <w:t xml:space="preserve"> work will be undertaken by officials within existing </w:t>
      </w:r>
      <w:r w:rsidR="00CC73D7">
        <w:t>D</w:t>
      </w:r>
      <w:r>
        <w:t xml:space="preserve">epartmental baselines. </w:t>
      </w:r>
      <w:r w:rsidRPr="000F0B66">
        <w:t xml:space="preserve">Policy proposals regarding </w:t>
      </w:r>
      <w:r>
        <w:t xml:space="preserve">class 4 gambling </w:t>
      </w:r>
      <w:r w:rsidRPr="000F0B66">
        <w:t xml:space="preserve">are expected to be presented to Ministers next year.  </w:t>
      </w:r>
    </w:p>
    <w:p w:rsidR="00AF7F80" w:rsidRPr="001C0C30" w:rsidRDefault="00AF7F80" w:rsidP="00AF7F80">
      <w:pPr>
        <w:pStyle w:val="Cabinetpaperparaheading"/>
      </w:pPr>
      <w:r>
        <w:t>Legislative implications</w:t>
      </w:r>
    </w:p>
    <w:p w:rsidR="00AF7F80" w:rsidRPr="001C0C30" w:rsidRDefault="00AF7F80" w:rsidP="00AF7F80">
      <w:pPr>
        <w:pStyle w:val="Numberedpara3level1"/>
        <w:numPr>
          <w:ilvl w:val="0"/>
          <w:numId w:val="19"/>
        </w:numPr>
      </w:pPr>
      <w:r>
        <w:t xml:space="preserve">There are no legislative implications associated with the recommendations of this paper.  As noted above, </w:t>
      </w:r>
      <w:r>
        <w:rPr>
          <w:iCs/>
          <w:color w:val="000000"/>
        </w:rPr>
        <w:t>p</w:t>
      </w:r>
      <w:r w:rsidRPr="00060CA4">
        <w:rPr>
          <w:iCs/>
          <w:color w:val="000000"/>
        </w:rPr>
        <w:t>olicy proposals regarding</w:t>
      </w:r>
      <w:r>
        <w:rPr>
          <w:iCs/>
          <w:color w:val="000000"/>
        </w:rPr>
        <w:t xml:space="preserve"> the class 4 gambling sector </w:t>
      </w:r>
      <w:r w:rsidRPr="000F0B66">
        <w:rPr>
          <w:iCs/>
          <w:color w:val="000000"/>
        </w:rPr>
        <w:t>are expected to be presented to Ministers next year. T</w:t>
      </w:r>
      <w:r w:rsidR="00CC73D7">
        <w:rPr>
          <w:iCs/>
          <w:color w:val="000000"/>
        </w:rPr>
        <w:t>his</w:t>
      </w:r>
      <w:r w:rsidRPr="000F0B66">
        <w:rPr>
          <w:iCs/>
          <w:color w:val="000000"/>
        </w:rPr>
        <w:t xml:space="preserve"> may involve change proposals</w:t>
      </w:r>
      <w:r w:rsidR="00CC73D7">
        <w:rPr>
          <w:iCs/>
          <w:color w:val="000000"/>
        </w:rPr>
        <w:t xml:space="preserve"> that could have</w:t>
      </w:r>
      <w:r w:rsidRPr="000F0B66">
        <w:rPr>
          <w:iCs/>
          <w:color w:val="000000"/>
        </w:rPr>
        <w:t xml:space="preserve"> legislative implications</w:t>
      </w:r>
      <w:r>
        <w:rPr>
          <w:iCs/>
          <w:color w:val="000000"/>
        </w:rPr>
        <w:t>.</w:t>
      </w:r>
    </w:p>
    <w:p w:rsidR="00AF7F80" w:rsidRDefault="00AF7F80" w:rsidP="00AF7F80">
      <w:pPr>
        <w:pStyle w:val="Cabinetpaperparaheading"/>
      </w:pPr>
      <w:r>
        <w:t xml:space="preserve">Gender implications, disability perspective, and human rights </w:t>
      </w:r>
    </w:p>
    <w:p w:rsidR="00AF7F80" w:rsidRPr="001C0C30" w:rsidRDefault="00AF7F80" w:rsidP="00AF7F80">
      <w:pPr>
        <w:pStyle w:val="Numberedpara3level1"/>
        <w:numPr>
          <w:ilvl w:val="0"/>
          <w:numId w:val="19"/>
        </w:numPr>
      </w:pPr>
      <w:r>
        <w:t xml:space="preserve">This proposal has neither gender implications, nor a need for disability perspectives.  No potential inconsistencies exist between the proposal and the New Zealand Bill of Rights Act 1990, or the Human Rights Act 1993.   </w:t>
      </w:r>
    </w:p>
    <w:p w:rsidR="00AF7F80" w:rsidRDefault="00AF7F80" w:rsidP="00AF7F80">
      <w:pPr>
        <w:pStyle w:val="Cabinetpaperparaheading"/>
      </w:pPr>
      <w:r>
        <w:t>Publicity</w:t>
      </w:r>
    </w:p>
    <w:p w:rsidR="00AF7F80" w:rsidRDefault="00AF7F80" w:rsidP="00AF7F80">
      <w:pPr>
        <w:pStyle w:val="Numberedpara3level1"/>
        <w:numPr>
          <w:ilvl w:val="0"/>
          <w:numId w:val="27"/>
        </w:numPr>
      </w:pPr>
      <w:r w:rsidRPr="00DC446F">
        <w:t xml:space="preserve">I intend to issue a press release about the </w:t>
      </w:r>
      <w:r w:rsidR="00510475">
        <w:t>review</w:t>
      </w:r>
      <w:r w:rsidRPr="00DC446F">
        <w:t xml:space="preserve"> </w:t>
      </w:r>
      <w:r>
        <w:t>of the class 4 sector</w:t>
      </w:r>
      <w:r w:rsidRPr="00DC446F">
        <w:t xml:space="preserve"> at the same time as the fees decisions are announced.</w:t>
      </w:r>
    </w:p>
    <w:p w:rsidR="00AF7F80" w:rsidRPr="00DC446F" w:rsidRDefault="00AF7F80" w:rsidP="00AF7F80">
      <w:pPr>
        <w:pStyle w:val="Numberedpara3level1"/>
        <w:numPr>
          <w:ilvl w:val="0"/>
          <w:numId w:val="27"/>
        </w:numPr>
      </w:pPr>
      <w:r>
        <w:t>I also intend to proactively publish this Cabinet paper and related Cabinet decisions on the Department’s website</w:t>
      </w:r>
      <w:r w:rsidR="00200508">
        <w:t xml:space="preserve"> after the media announcement has been made</w:t>
      </w:r>
      <w:r>
        <w:t xml:space="preserve">, subject to consideration of any deletions that </w:t>
      </w:r>
      <w:r w:rsidR="00B679D0">
        <w:t>would</w:t>
      </w:r>
      <w:r>
        <w:t xml:space="preserve"> be justified if the information had been requested under the Official Information Act 1982.</w:t>
      </w:r>
    </w:p>
    <w:p w:rsidR="00AF7F80" w:rsidRPr="00EF62A9" w:rsidRDefault="00AF7F80" w:rsidP="00AF7F80">
      <w:pPr>
        <w:pStyle w:val="Cabinetpaperparaheading"/>
      </w:pPr>
      <w:r>
        <w:t>Recommendations</w:t>
      </w:r>
    </w:p>
    <w:p w:rsidR="00AF7F80" w:rsidRDefault="00AF7F80" w:rsidP="00AF7F80">
      <w:pPr>
        <w:pStyle w:val="Numberedpara3level1"/>
        <w:keepNext/>
        <w:numPr>
          <w:ilvl w:val="0"/>
          <w:numId w:val="19"/>
        </w:numPr>
      </w:pPr>
      <w:r>
        <w:t>The Minister of Internal Affairs recommends that the Committee:</w:t>
      </w:r>
    </w:p>
    <w:p w:rsidR="00AF7F80" w:rsidRDefault="00AF7F80" w:rsidP="00AF7F80">
      <w:pPr>
        <w:pStyle w:val="List123"/>
      </w:pPr>
      <w:r w:rsidRPr="0000063F">
        <w:rPr>
          <w:b/>
        </w:rPr>
        <w:t>note</w:t>
      </w:r>
      <w:r>
        <w:t xml:space="preserve"> that while the class 4 gambling sector remains the largest gambling sector in New Zealand, the sector is in a steady decline, is regulated under a regime that is </w:t>
      </w:r>
      <w:r w:rsidRPr="00292E96">
        <w:t>complex</w:t>
      </w:r>
      <w:r>
        <w:t xml:space="preserve"> and therefore costly, and is under increasing pressure to maintain funding streams for community purposes, financially support the necessary level of regulation and absorb other costs;    </w:t>
      </w:r>
    </w:p>
    <w:p w:rsidR="00AF7F80" w:rsidRDefault="00AF7F80" w:rsidP="00AF7F80">
      <w:pPr>
        <w:pStyle w:val="List123"/>
      </w:pPr>
      <w:r w:rsidRPr="00525F08">
        <w:rPr>
          <w:b/>
        </w:rPr>
        <w:t xml:space="preserve">note </w:t>
      </w:r>
      <w:r>
        <w:t>that</w:t>
      </w:r>
      <w:r w:rsidRPr="001B35E2">
        <w:t xml:space="preserve"> </w:t>
      </w:r>
      <w:r>
        <w:t xml:space="preserve">decisions are being sought from </w:t>
      </w:r>
      <w:r w:rsidRPr="001B35E2">
        <w:t>Cabinet to partially address</w:t>
      </w:r>
      <w:r w:rsidRPr="00525F08">
        <w:rPr>
          <w:b/>
        </w:rPr>
        <w:t xml:space="preserve"> </w:t>
      </w:r>
      <w:r w:rsidRPr="001B35E2">
        <w:t>the significant gap that currently exists between the fees the class 4 sector pays and the costs of regulating the sector, and reduce the current part-subsidisation by government</w:t>
      </w:r>
      <w:r>
        <w:t>;</w:t>
      </w:r>
    </w:p>
    <w:p w:rsidR="00AF7F80" w:rsidRDefault="00AF7F80" w:rsidP="00AF7F80">
      <w:pPr>
        <w:pStyle w:val="List123"/>
      </w:pPr>
      <w:r w:rsidRPr="00525F08">
        <w:rPr>
          <w:b/>
        </w:rPr>
        <w:t>note</w:t>
      </w:r>
      <w:r>
        <w:t xml:space="preserve"> that despite </w:t>
      </w:r>
      <w:r w:rsidRPr="001B35E2">
        <w:t xml:space="preserve">the proposed </w:t>
      </w:r>
      <w:r>
        <w:t xml:space="preserve">significant </w:t>
      </w:r>
      <w:r w:rsidRPr="001B35E2">
        <w:t>class 4 fee increase</w:t>
      </w:r>
      <w:r>
        <w:t>,</w:t>
      </w:r>
      <w:r w:rsidRPr="001B35E2">
        <w:t xml:space="preserve"> </w:t>
      </w:r>
      <w:r>
        <w:t xml:space="preserve">the current </w:t>
      </w:r>
      <w:r w:rsidRPr="001B35E2">
        <w:t xml:space="preserve">large </w:t>
      </w:r>
      <w:r w:rsidR="00CC73D7">
        <w:t>D</w:t>
      </w:r>
      <w:r>
        <w:t xml:space="preserve">epartmental </w:t>
      </w:r>
      <w:r w:rsidRPr="001B35E2">
        <w:t xml:space="preserve">memorandum account deficit </w:t>
      </w:r>
      <w:r w:rsidR="00B679D0">
        <w:t>will</w:t>
      </w:r>
      <w:r>
        <w:t xml:space="preserve"> not be fully recovered</w:t>
      </w:r>
      <w:r w:rsidR="00CC73D7">
        <w:t>,</w:t>
      </w:r>
      <w:r>
        <w:t xml:space="preserve"> </w:t>
      </w:r>
      <w:r w:rsidRPr="001B35E2">
        <w:t xml:space="preserve">and considerable pressure </w:t>
      </w:r>
      <w:r w:rsidR="00B679D0">
        <w:t>will</w:t>
      </w:r>
      <w:r w:rsidRPr="001B35E2">
        <w:t xml:space="preserve"> remain on the </w:t>
      </w:r>
      <w:r w:rsidRPr="00525F08">
        <w:rPr>
          <w:rFonts w:eastAsia="Calibri"/>
          <w:lang w:val="en-AU"/>
        </w:rPr>
        <w:t xml:space="preserve">Department of Internal Affairs’ </w:t>
      </w:r>
      <w:r w:rsidRPr="001B35E2">
        <w:t>balance sheet</w:t>
      </w:r>
      <w:r>
        <w:t>;</w:t>
      </w:r>
    </w:p>
    <w:p w:rsidR="00AF7F80" w:rsidRPr="001B35E2" w:rsidRDefault="00AF7F80" w:rsidP="00AF7F80">
      <w:pPr>
        <w:pStyle w:val="List123"/>
      </w:pPr>
      <w:r>
        <w:rPr>
          <w:b/>
        </w:rPr>
        <w:lastRenderedPageBreak/>
        <w:t xml:space="preserve">note </w:t>
      </w:r>
      <w:r w:rsidRPr="00525F08">
        <w:t>that</w:t>
      </w:r>
      <w:r>
        <w:rPr>
          <w:b/>
        </w:rPr>
        <w:t xml:space="preserve"> </w:t>
      </w:r>
      <w:r>
        <w:t xml:space="preserve">the issues indicate significant </w:t>
      </w:r>
      <w:r w:rsidRPr="00171E81">
        <w:t xml:space="preserve">pricing and </w:t>
      </w:r>
      <w:r>
        <w:t xml:space="preserve">regulatory regime design </w:t>
      </w:r>
      <w:r w:rsidRPr="00171E81">
        <w:t xml:space="preserve">problems </w:t>
      </w:r>
      <w:r>
        <w:t>that require a more fundamental consideration, to look at the alignment between the sector, the regulator and the sustainability of the regime;</w:t>
      </w:r>
    </w:p>
    <w:p w:rsidR="00AF7F80" w:rsidRDefault="00AF7F80" w:rsidP="00AF7F80">
      <w:pPr>
        <w:pStyle w:val="List123"/>
      </w:pPr>
      <w:r w:rsidRPr="00525F08">
        <w:rPr>
          <w:b/>
        </w:rPr>
        <w:t xml:space="preserve">agree </w:t>
      </w:r>
      <w:r w:rsidRPr="001316D1">
        <w:t>that</w:t>
      </w:r>
      <w:r w:rsidRPr="00525F08">
        <w:rPr>
          <w:b/>
        </w:rPr>
        <w:t xml:space="preserve"> </w:t>
      </w:r>
      <w:r>
        <w:t xml:space="preserve">a </w:t>
      </w:r>
      <w:r w:rsidR="00510475">
        <w:t>review</w:t>
      </w:r>
      <w:r>
        <w:t xml:space="preserve"> is undertaken to determine if the regulatory regime for class 4 gambling remains fit-for-purpose, which </w:t>
      </w:r>
      <w:r w:rsidR="00B679D0">
        <w:t>will</w:t>
      </w:r>
      <w:r>
        <w:t xml:space="preserve"> evaluate the class 4 gambling sector based on the level at which the current regime is achieving the purposes of the Gambling Act 2003;</w:t>
      </w:r>
    </w:p>
    <w:p w:rsidR="00AF7F80" w:rsidRDefault="00AF7F80" w:rsidP="00AF7F80">
      <w:pPr>
        <w:pStyle w:val="List123"/>
      </w:pPr>
      <w:r>
        <w:rPr>
          <w:b/>
        </w:rPr>
        <w:t xml:space="preserve">note </w:t>
      </w:r>
      <w:r>
        <w:t xml:space="preserve">that a further Cabinet decision to release a public discussion document on the outcome of the </w:t>
      </w:r>
      <w:r w:rsidR="00510475">
        <w:t>review</w:t>
      </w:r>
      <w:r>
        <w:t xml:space="preserve"> </w:t>
      </w:r>
      <w:r w:rsidR="00B679D0">
        <w:t>will</w:t>
      </w:r>
      <w:r>
        <w:t xml:space="preserve"> be sought in the </w:t>
      </w:r>
      <w:r w:rsidR="007656D6">
        <w:t>second</w:t>
      </w:r>
      <w:r>
        <w:t xml:space="preserve"> quarter of 2016; </w:t>
      </w:r>
    </w:p>
    <w:p w:rsidR="00AF7F80" w:rsidRDefault="00AF7F80" w:rsidP="00AF7F80">
      <w:pPr>
        <w:pStyle w:val="List123"/>
      </w:pPr>
      <w:r>
        <w:rPr>
          <w:b/>
        </w:rPr>
        <w:t xml:space="preserve">note </w:t>
      </w:r>
      <w:r w:rsidRPr="00D7434C">
        <w:t xml:space="preserve">that a report back will be provided </w:t>
      </w:r>
      <w:r>
        <w:t xml:space="preserve">at that time </w:t>
      </w:r>
      <w:r w:rsidRPr="00D7434C">
        <w:t xml:space="preserve">on the progress of work examining our approach to online gambling in New Zealand, which is on a longer timeframe; </w:t>
      </w:r>
    </w:p>
    <w:p w:rsidR="00AF7F80" w:rsidRDefault="00AF7F80" w:rsidP="00AF7F80">
      <w:pPr>
        <w:pStyle w:val="List123"/>
      </w:pPr>
      <w:r>
        <w:rPr>
          <w:b/>
        </w:rPr>
        <w:t>note</w:t>
      </w:r>
      <w:r>
        <w:t xml:space="preserve"> that </w:t>
      </w:r>
      <w:r w:rsidRPr="00DC446F">
        <w:t xml:space="preserve">a press release about the </w:t>
      </w:r>
      <w:r w:rsidR="00510475">
        <w:t>review</w:t>
      </w:r>
      <w:r w:rsidRPr="00DC446F">
        <w:t xml:space="preserve"> </w:t>
      </w:r>
      <w:r>
        <w:t>of the class 4 sector</w:t>
      </w:r>
      <w:r w:rsidRPr="00DC446F">
        <w:t xml:space="preserve"> </w:t>
      </w:r>
      <w:r w:rsidR="00B679D0">
        <w:t>will</w:t>
      </w:r>
      <w:r>
        <w:t xml:space="preserve"> be announced </w:t>
      </w:r>
      <w:r w:rsidRPr="00DC446F">
        <w:t xml:space="preserve">at the same time as the </w:t>
      </w:r>
      <w:r>
        <w:t xml:space="preserve">gambling </w:t>
      </w:r>
      <w:r w:rsidRPr="00DC446F">
        <w:t>fees decisions</w:t>
      </w:r>
      <w:r>
        <w:t>; and</w:t>
      </w:r>
    </w:p>
    <w:p w:rsidR="00AF7F80" w:rsidRDefault="00AF7F80" w:rsidP="00AF7F80">
      <w:pPr>
        <w:pStyle w:val="List123"/>
      </w:pPr>
      <w:r>
        <w:rPr>
          <w:b/>
        </w:rPr>
        <w:t>note</w:t>
      </w:r>
      <w:r>
        <w:t xml:space="preserve"> that I intend to proactively publish this Cabinet paper and related Cabinet decisions online </w:t>
      </w:r>
      <w:r w:rsidR="00200508">
        <w:t>after the media announcement has been made</w:t>
      </w:r>
      <w:r>
        <w:t>, subject to consideration of any deletions that would be justified if the information had been requested under the Official Information Act 1982.</w:t>
      </w:r>
    </w:p>
    <w:p w:rsidR="00AF7F80" w:rsidRDefault="00AF7F80" w:rsidP="00AF7F80">
      <w:pPr>
        <w:pStyle w:val="List123level2"/>
        <w:numPr>
          <w:ilvl w:val="0"/>
          <w:numId w:val="0"/>
        </w:numPr>
        <w:ind w:left="1871"/>
      </w:pPr>
    </w:p>
    <w:tbl>
      <w:tblPr>
        <w:tblStyle w:val="Blanktable"/>
        <w:tblW w:w="0" w:type="auto"/>
        <w:tblLayout w:type="fixed"/>
        <w:tblLook w:val="04A0" w:firstRow="1" w:lastRow="0" w:firstColumn="1" w:lastColumn="0" w:noHBand="0" w:noVBand="1"/>
      </w:tblPr>
      <w:tblGrid>
        <w:gridCol w:w="8358"/>
      </w:tblGrid>
      <w:tr w:rsidR="00AF7F80" w:rsidRPr="00934303" w:rsidTr="00314C73">
        <w:trPr>
          <w:cantSplit/>
          <w:trHeight w:val="750"/>
        </w:trPr>
        <w:tc>
          <w:tcPr>
            <w:tcW w:w="8358" w:type="dxa"/>
          </w:tcPr>
          <w:p w:rsidR="00AF7F80" w:rsidRDefault="00AF7F80" w:rsidP="00314C73">
            <w:pPr>
              <w:keepNext/>
            </w:pPr>
          </w:p>
          <w:p w:rsidR="00AF7F80" w:rsidRDefault="00AF7F80" w:rsidP="00314C73">
            <w:pPr>
              <w:keepNext/>
            </w:pPr>
          </w:p>
          <w:p w:rsidR="00AF7F80" w:rsidRPr="00934303" w:rsidRDefault="00AF7F80" w:rsidP="00314C73">
            <w:pPr>
              <w:keepNext/>
            </w:pPr>
          </w:p>
        </w:tc>
      </w:tr>
      <w:tr w:rsidR="00AF7F80" w:rsidRPr="00934303" w:rsidTr="00314C73">
        <w:trPr>
          <w:cantSplit/>
        </w:trPr>
        <w:tc>
          <w:tcPr>
            <w:tcW w:w="8358" w:type="dxa"/>
            <w:tcMar>
              <w:left w:w="0" w:type="dxa"/>
            </w:tcMar>
          </w:tcPr>
          <w:p w:rsidR="00AF7F80" w:rsidRPr="00934303" w:rsidRDefault="00AF7F80" w:rsidP="00314C73">
            <w:pPr>
              <w:pStyle w:val="Spacer"/>
            </w:pPr>
            <w:r>
              <w:t>Hon Peter Dunne</w:t>
            </w:r>
          </w:p>
        </w:tc>
      </w:tr>
      <w:tr w:rsidR="00AF7F80" w:rsidRPr="00934303" w:rsidTr="00314C73">
        <w:trPr>
          <w:cantSplit/>
        </w:trPr>
        <w:tc>
          <w:tcPr>
            <w:tcW w:w="8358" w:type="dxa"/>
            <w:tcMar>
              <w:left w:w="0" w:type="dxa"/>
            </w:tcMar>
          </w:tcPr>
          <w:p w:rsidR="00AF7F80" w:rsidRPr="00934303" w:rsidRDefault="00AF7F80" w:rsidP="00314C73">
            <w:pPr>
              <w:pStyle w:val="Spacer"/>
            </w:pPr>
            <w:r>
              <w:t>Minister of Internal Affairs</w:t>
            </w:r>
          </w:p>
        </w:tc>
      </w:tr>
    </w:tbl>
    <w:p w:rsidR="00AF7F80" w:rsidRDefault="00AF7F80" w:rsidP="00AF7F80">
      <w:pPr>
        <w:pStyle w:val="List123"/>
        <w:numPr>
          <w:ilvl w:val="0"/>
          <w:numId w:val="0"/>
        </w:numPr>
      </w:pPr>
    </w:p>
    <w:p w:rsidR="00AF7F80" w:rsidRDefault="00AF7F80" w:rsidP="00AF7F80">
      <w:pPr>
        <w:keepLines w:val="0"/>
        <w:rPr>
          <w:b/>
          <w:sz w:val="26"/>
        </w:rPr>
      </w:pPr>
      <w:r>
        <w:br w:type="page"/>
      </w:r>
    </w:p>
    <w:p w:rsidR="00AF7F80" w:rsidRDefault="00AF7F80" w:rsidP="00AF7F80">
      <w:pPr>
        <w:pStyle w:val="Briefingparaheading"/>
      </w:pPr>
      <w:r>
        <w:lastRenderedPageBreak/>
        <w:t xml:space="preserve">Appendix A – Numbers of class 4 gaming machines, societies, venues, and gaming machine expenditure, 2004 to 2014, showing impact on community funding </w:t>
      </w:r>
    </w:p>
    <w:p w:rsidR="00AF7F80" w:rsidRPr="00E468C1" w:rsidRDefault="00AF7F80" w:rsidP="00AF7F80">
      <w:pPr>
        <w:pStyle w:val="Numberedpara3level1"/>
        <w:numPr>
          <w:ilvl w:val="0"/>
          <w:numId w:val="0"/>
        </w:numPr>
        <w:ind w:left="567" w:hanging="567"/>
        <w:jc w:val="center"/>
      </w:pPr>
      <w:r>
        <w:rPr>
          <w:noProof/>
          <w:lang w:eastAsia="en-NZ"/>
        </w:rPr>
        <w:drawing>
          <wp:inline distT="0" distB="0" distL="0" distR="0" wp14:anchorId="436F6D17" wp14:editId="24B8E964">
            <wp:extent cx="4417454" cy="1893194"/>
            <wp:effectExtent l="0" t="0" r="21590" b="1206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7F80" w:rsidRPr="00E468C1" w:rsidRDefault="00AF7F80" w:rsidP="00AF7F80">
      <w:pPr>
        <w:jc w:val="center"/>
      </w:pPr>
      <w:r w:rsidRPr="00E468C1">
        <w:rPr>
          <w:noProof/>
          <w:lang w:eastAsia="en-NZ"/>
        </w:rPr>
        <w:drawing>
          <wp:inline distT="0" distB="0" distL="0" distR="0" wp14:anchorId="64DE7997" wp14:editId="45EB9502">
            <wp:extent cx="4430332" cy="2086378"/>
            <wp:effectExtent l="0" t="0" r="27940"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7F80" w:rsidRPr="00440403" w:rsidRDefault="00AF7F80" w:rsidP="00AF7F80">
      <w:pPr>
        <w:pStyle w:val="Numberedpara3level1"/>
        <w:numPr>
          <w:ilvl w:val="0"/>
          <w:numId w:val="0"/>
        </w:numPr>
        <w:ind w:left="567" w:hanging="567"/>
        <w:jc w:val="center"/>
      </w:pPr>
      <w:r>
        <w:rPr>
          <w:noProof/>
          <w:lang w:eastAsia="en-NZ"/>
        </w:rPr>
        <w:drawing>
          <wp:inline distT="0" distB="0" distL="0" distR="0" wp14:anchorId="79C050EE" wp14:editId="61EDA72E">
            <wp:extent cx="4468969" cy="2099256"/>
            <wp:effectExtent l="0" t="0" r="27305" b="1587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7F80" w:rsidRDefault="00AF7F80" w:rsidP="00AF7F80">
      <w:pPr>
        <w:pStyle w:val="List123"/>
        <w:numPr>
          <w:ilvl w:val="0"/>
          <w:numId w:val="0"/>
        </w:numPr>
        <w:jc w:val="center"/>
      </w:pPr>
      <w:r>
        <w:rPr>
          <w:noProof/>
          <w:lang w:eastAsia="en-NZ"/>
        </w:rPr>
        <w:drawing>
          <wp:inline distT="0" distB="0" distL="0" distR="0" wp14:anchorId="75337F20" wp14:editId="53A0F2A6">
            <wp:extent cx="4430332" cy="2395471"/>
            <wp:effectExtent l="0" t="0" r="27940" b="2413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7F80" w:rsidRDefault="00AF7F80" w:rsidP="00AF7F80">
      <w:pPr>
        <w:pStyle w:val="Briefingparaheading"/>
      </w:pPr>
      <w:r>
        <w:lastRenderedPageBreak/>
        <w:t xml:space="preserve">Appendix B – Two work streams of the proposed </w:t>
      </w:r>
      <w:r w:rsidR="00510475">
        <w:t>review</w:t>
      </w:r>
      <w:r>
        <w:t xml:space="preserve"> of the class 4 gambling sector </w:t>
      </w:r>
    </w:p>
    <w:p w:rsidR="00AF7F80" w:rsidRDefault="00AF7F80" w:rsidP="00BA5A97">
      <w:pPr>
        <w:rPr>
          <w:b/>
          <w:i/>
        </w:rPr>
      </w:pPr>
      <w:r w:rsidRPr="00BA5A97">
        <w:rPr>
          <w:noProof/>
          <w:lang w:eastAsia="en-NZ"/>
        </w:rPr>
        <w:drawing>
          <wp:inline distT="0" distB="0" distL="0" distR="0" wp14:anchorId="59DBA5C7" wp14:editId="5A73B688">
            <wp:extent cx="5762625" cy="6600825"/>
            <wp:effectExtent l="57150" t="19050" r="6667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F7F80" w:rsidRPr="00F36F48" w:rsidRDefault="00AF7F80" w:rsidP="00AF7F80"/>
    <w:p w:rsidR="00440403" w:rsidRPr="00AF7F80" w:rsidRDefault="00440403" w:rsidP="00AF7F80"/>
    <w:sectPr w:rsidR="00440403" w:rsidRPr="00AF7F80" w:rsidSect="002D38AA">
      <w:headerReference w:type="even" r:id="rId19"/>
      <w:headerReference w:type="default" r:id="rId20"/>
      <w:footerReference w:type="even" r:id="rId21"/>
      <w:footerReference w:type="default" r:id="rId22"/>
      <w:headerReference w:type="first" r:id="rId23"/>
      <w:footerReference w:type="first" r:id="rId24"/>
      <w:pgSz w:w="11907" w:h="16840" w:code="9"/>
      <w:pgMar w:top="1021" w:right="1418" w:bottom="992" w:left="1418" w:header="425"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24" w:rsidRDefault="00D45A24">
      <w:r>
        <w:separator/>
      </w:r>
    </w:p>
    <w:p w:rsidR="00D45A24" w:rsidRDefault="00D45A24"/>
    <w:p w:rsidR="00D45A24" w:rsidRDefault="00D45A24"/>
  </w:endnote>
  <w:endnote w:type="continuationSeparator" w:id="0">
    <w:p w:rsidR="00D45A24" w:rsidRDefault="00D45A24">
      <w:r>
        <w:continuationSeparator/>
      </w:r>
    </w:p>
    <w:p w:rsidR="00D45A24" w:rsidRDefault="00D45A24"/>
    <w:p w:rsidR="00D45A24" w:rsidRDefault="00D45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B8" w:rsidRDefault="00353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F7" w:rsidRDefault="001018F7" w:rsidP="002D38AA">
    <w:pPr>
      <w:pStyle w:val="Footer"/>
      <w:tabs>
        <w:tab w:val="right" w:pos="9071"/>
      </w:tabs>
      <w:ind w:right="-1"/>
    </w:pPr>
    <w:r>
      <w:tab/>
      <w:t xml:space="preserve">Page </w:t>
    </w:r>
    <w:r>
      <w:fldChar w:fldCharType="begin"/>
    </w:r>
    <w:r>
      <w:instrText xml:space="preserve"> PAGE  \* Arabic  \* MERGEFORMAT </w:instrText>
    </w:r>
    <w:r>
      <w:fldChar w:fldCharType="separate"/>
    </w:r>
    <w:r w:rsidR="00BA3FE2">
      <w:rPr>
        <w:noProof/>
      </w:rPr>
      <w:t>1</w:t>
    </w:r>
    <w:r>
      <w:fldChar w:fldCharType="end"/>
    </w:r>
    <w:r>
      <w:t xml:space="preserve"> of </w:t>
    </w:r>
    <w:r w:rsidR="00BA3FE2">
      <w:fldChar w:fldCharType="begin"/>
    </w:r>
    <w:r w:rsidR="00BA3FE2">
      <w:instrText xml:space="preserve"> NUMPAGES   \* MERGEFORMAT </w:instrText>
    </w:r>
    <w:r w:rsidR="00BA3FE2">
      <w:fldChar w:fldCharType="separate"/>
    </w:r>
    <w:r w:rsidR="00BA3FE2">
      <w:rPr>
        <w:noProof/>
      </w:rPr>
      <w:t>11</w:t>
    </w:r>
    <w:r w:rsidR="00BA3FE2">
      <w:rPr>
        <w:noProof/>
      </w:rPr>
      <w:fldChar w:fldCharType="end"/>
    </w:r>
  </w:p>
  <w:p w:rsidR="001018F7" w:rsidRDefault="001018F7" w:rsidP="00A0279D">
    <w:pPr>
      <w:pStyle w:val="Footer"/>
      <w:tabs>
        <w:tab w:val="right" w:pos="9071"/>
      </w:tabs>
      <w:ind w:right="-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B8" w:rsidRDefault="00353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24" w:rsidRDefault="00D45A24" w:rsidP="00C347BF">
      <w:pPr>
        <w:pStyle w:val="Spacer"/>
      </w:pPr>
      <w:r>
        <w:separator/>
      </w:r>
    </w:p>
  </w:footnote>
  <w:footnote w:type="continuationSeparator" w:id="0">
    <w:p w:rsidR="00D45A24" w:rsidRDefault="00D45A24">
      <w:r>
        <w:continuationSeparator/>
      </w:r>
    </w:p>
    <w:p w:rsidR="00D45A24" w:rsidRDefault="00D45A24"/>
    <w:p w:rsidR="00D45A24" w:rsidRDefault="00D45A24"/>
  </w:footnote>
  <w:footnote w:id="1">
    <w:p w:rsidR="00AF7F80" w:rsidRDefault="00AF7F80" w:rsidP="00AF7F80">
      <w:pPr>
        <w:pStyle w:val="FootnoteText"/>
      </w:pPr>
      <w:r>
        <w:rPr>
          <w:rStyle w:val="FootnoteReference"/>
        </w:rPr>
        <w:footnoteRef/>
      </w:r>
      <w:r>
        <w:t xml:space="preserve"> As at 30 June 2015, there were </w:t>
      </w:r>
      <w:r w:rsidRPr="000B2C1B">
        <w:t>16,579 gaming machines located in 1266 licensed venues</w:t>
      </w:r>
      <w:r>
        <w:t>.</w:t>
      </w:r>
    </w:p>
  </w:footnote>
  <w:footnote w:id="2">
    <w:p w:rsidR="007F0704" w:rsidRDefault="007F0704" w:rsidP="007F0704">
      <w:pPr>
        <w:pStyle w:val="FootnoteText"/>
      </w:pPr>
      <w:r>
        <w:rPr>
          <w:rStyle w:val="FootnoteReference"/>
        </w:rPr>
        <w:footnoteRef/>
      </w:r>
      <w:r>
        <w:t xml:space="preserve"> Turnover is the total amount wagered by gamblers before prizes are paid and includes a re-investment factor where the same dollar is counted more than once. This is particularly relevant to continuous forms of gambling like gaming machines where winnings can be reinvested immediately.</w:t>
      </w:r>
    </w:p>
  </w:footnote>
  <w:footnote w:id="3">
    <w:p w:rsidR="007F0704" w:rsidRDefault="007F0704">
      <w:pPr>
        <w:pStyle w:val="FootnoteText"/>
      </w:pPr>
      <w:r>
        <w:rPr>
          <w:rStyle w:val="FootnoteReference"/>
        </w:rPr>
        <w:footnoteRef/>
      </w:r>
      <w:r>
        <w:t xml:space="preserve"> </w:t>
      </w:r>
      <w:r w:rsidR="00EF2DF4">
        <w:t xml:space="preserve">The </w:t>
      </w:r>
      <w:r w:rsidR="00AE166D">
        <w:t xml:space="preserve">amounts </w:t>
      </w:r>
      <w:r w:rsidR="00EF2DF4">
        <w:t xml:space="preserve">are estimates </w:t>
      </w:r>
      <w:r w:rsidR="00AE166D">
        <w:t xml:space="preserve">as </w:t>
      </w:r>
      <w:r w:rsidR="00EF2DF4">
        <w:t xml:space="preserve">societies </w:t>
      </w:r>
      <w:r w:rsidR="00AE166D">
        <w:t>report th</w:t>
      </w:r>
      <w:r w:rsidR="009C5FAE">
        <w:t>eir</w:t>
      </w:r>
      <w:r w:rsidR="00AE166D">
        <w:t xml:space="preserve"> information based on </w:t>
      </w:r>
      <w:r w:rsidR="00BD1606" w:rsidRPr="00BD1606">
        <w:t>different financial years</w:t>
      </w:r>
      <w:r w:rsidR="00AE166D">
        <w:t xml:space="preserve"> rather than by calendar year</w:t>
      </w:r>
      <w:r w:rsidR="00EF2DF4">
        <w:t xml:space="preserve">. The rate of return </w:t>
      </w:r>
      <w:r w:rsidR="00AE166D">
        <w:t xml:space="preserve">to authorised purposes </w:t>
      </w:r>
      <w:r w:rsidR="00EF2DF4" w:rsidRPr="002277ED">
        <w:rPr>
          <w:i/>
        </w:rPr>
        <w:t>for societies that distribute funds</w:t>
      </w:r>
      <w:r w:rsidR="00EF2DF4">
        <w:t xml:space="preserve"> has been </w:t>
      </w:r>
      <w:r w:rsidR="00AE166D">
        <w:t xml:space="preserve">calculated as </w:t>
      </w:r>
      <w:r w:rsidR="005D6018">
        <w:t xml:space="preserve">41.77 </w:t>
      </w:r>
      <w:r w:rsidR="00EF2DF4">
        <w:t>per cent</w:t>
      </w:r>
      <w:r w:rsidR="00AE166D">
        <w:t xml:space="preserve"> (of GST</w:t>
      </w:r>
      <w:r w:rsidR="005D08E0">
        <w:t>-</w:t>
      </w:r>
      <w:r w:rsidR="00AE166D">
        <w:t>exclusive total gross proceeds), based on the average return for the respective 2014 financial years</w:t>
      </w:r>
      <w:r w:rsidR="00EF2DF4">
        <w:t>.</w:t>
      </w:r>
    </w:p>
  </w:footnote>
  <w:footnote w:id="4">
    <w:p w:rsidR="00AF7F80" w:rsidRDefault="00AF7F80" w:rsidP="00AF7F80">
      <w:pPr>
        <w:pStyle w:val="FootnoteText"/>
      </w:pPr>
      <w:r>
        <w:rPr>
          <w:rStyle w:val="FootnoteReference"/>
        </w:rPr>
        <w:footnoteRef/>
      </w:r>
      <w:r>
        <w:t xml:space="preserve"> </w:t>
      </w:r>
      <w:r w:rsidRPr="00F36F48">
        <w:t xml:space="preserve">One example of fraud is seen in the recent investigation by the Department, in partnership with the Serious Fraud Office and Organised Financial Crime Agency of New Zealand, which has led to charges being </w:t>
      </w:r>
      <w:r w:rsidR="007F0704">
        <w:t>filed</w:t>
      </w:r>
      <w:r>
        <w:t>.</w:t>
      </w:r>
    </w:p>
  </w:footnote>
  <w:footnote w:id="5">
    <w:p w:rsidR="00AF7F80" w:rsidRDefault="00AF7F80" w:rsidP="00AF7F80">
      <w:pPr>
        <w:pStyle w:val="FootnoteText"/>
      </w:pPr>
      <w:r>
        <w:rPr>
          <w:rStyle w:val="FootnoteReference"/>
        </w:rPr>
        <w:footnoteRef/>
      </w:r>
      <w:r>
        <w:t xml:space="preserve"> Societies have differing financial years so figures are approximate.  The estimates for the remaining years in that period were: 2011, $300 million; 2012, $314 million; and 2013, $290 million.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B8" w:rsidRDefault="00353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F7" w:rsidRPr="002D38AA" w:rsidRDefault="001018F7" w:rsidP="002D38AA">
    <w:pPr>
      <w:pStyle w:val="Headerforcabinetpapers"/>
    </w:pPr>
    <w:r>
      <w:t>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F7" w:rsidRPr="00C64BA9" w:rsidRDefault="001018F7" w:rsidP="00C64BA9">
    <w:pPr>
      <w:pStyle w:val="Header"/>
      <w:tabs>
        <w:tab w:val="center" w:pos="4536"/>
      </w:tabs>
      <w:rPr>
        <w:rStyle w:val="Footersecurityclassification"/>
        <w:i/>
      </w:rPr>
    </w:pPr>
    <w:r>
      <w:rPr>
        <w:rStyle w:val="Footersecurityclassification"/>
        <w:i/>
      </w:rPr>
      <w:tab/>
    </w:r>
    <w:r w:rsidRPr="00C64BA9">
      <w:rPr>
        <w:rStyle w:val="Footersecurityclassification"/>
      </w:rPr>
      <w:t>&lt;insert security classification&gt;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02BA46F3"/>
    <w:multiLevelType w:val="multilevel"/>
    <w:tmpl w:val="DE282D76"/>
    <w:lvl w:ilvl="0">
      <w:start w:val="1"/>
      <w:numFmt w:val="decimal"/>
      <w:lvlText w:val="%1."/>
      <w:lvlJc w:val="left"/>
      <w:pPr>
        <w:ind w:left="567" w:hanging="567"/>
      </w:pPr>
    </w:lvl>
    <w:lvl w:ilvl="1">
      <w:start w:val="1"/>
      <w:numFmt w:val="decimal"/>
      <w:lvlText w:val="%1.%2"/>
      <w:lvlJc w:val="left"/>
      <w:pPr>
        <w:ind w:left="1304" w:hanging="737"/>
      </w:pPr>
    </w:lvl>
    <w:lvl w:ilvl="2">
      <w:start w:val="1"/>
      <w:numFmt w:val="decimal"/>
      <w:lvlText w:val="%1.%2.%3"/>
      <w:lvlJc w:val="left"/>
      <w:pPr>
        <w:tabs>
          <w:tab w:val="num" w:pos="1304"/>
        </w:tabs>
        <w:ind w:left="2211" w:hanging="90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2F6590E"/>
    <w:multiLevelType w:val="hybridMultilevel"/>
    <w:tmpl w:val="454ABCA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720"/>
        </w:tabs>
        <w:ind w:left="720" w:hanging="360"/>
      </w:pPr>
    </w:lvl>
    <w:lvl w:ilvl="2" w:tplc="0809000F">
      <w:start w:val="1"/>
      <w:numFmt w:val="decimal"/>
      <w:lvlText w:val="%3."/>
      <w:lvlJc w:val="left"/>
      <w:pPr>
        <w:tabs>
          <w:tab w:val="num" w:pos="720"/>
        </w:tabs>
        <w:ind w:left="720" w:hanging="36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9662C80"/>
    <w:multiLevelType w:val="hybridMultilevel"/>
    <w:tmpl w:val="769EE7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0B1F50FE"/>
    <w:multiLevelType w:val="hybridMultilevel"/>
    <w:tmpl w:val="981C0D56"/>
    <w:lvl w:ilvl="0" w:tplc="F37A4368">
      <w:start w:val="1"/>
      <w:numFmt w:val="decimal"/>
      <w:pStyle w:val="Briefingtext"/>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5">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6">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nsid w:val="24D81B37"/>
    <w:multiLevelType w:val="hybridMultilevel"/>
    <w:tmpl w:val="95380C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25BA794F"/>
    <w:multiLevelType w:val="hybridMultilevel"/>
    <w:tmpl w:val="577EF5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368F5832"/>
    <w:multiLevelType w:val="multilevel"/>
    <w:tmpl w:val="DBFC12C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74F1B62"/>
    <w:multiLevelType w:val="multilevel"/>
    <w:tmpl w:val="C5EC6DBA"/>
    <w:lvl w:ilvl="0">
      <w:start w:val="1"/>
      <w:numFmt w:val="decimal"/>
      <w:pStyle w:val="Numberedpara3level1"/>
      <w:lvlText w:val="%1."/>
      <w:lvlJc w:val="left"/>
      <w:pPr>
        <w:tabs>
          <w:tab w:val="num" w:pos="567"/>
        </w:tabs>
        <w:ind w:left="567" w:hanging="567"/>
      </w:pPr>
      <w:rPr>
        <w:rFonts w:hint="default"/>
      </w:rPr>
    </w:lvl>
    <w:lvl w:ilvl="1">
      <w:start w:val="1"/>
      <w:numFmt w:val="decimal"/>
      <w:pStyle w:val="Numberedpara3level211"/>
      <w:lvlText w:val="%1.%2"/>
      <w:lvlJc w:val="left"/>
      <w:pPr>
        <w:ind w:left="924" w:hanging="357"/>
      </w:pPr>
      <w:rPr>
        <w:rFonts w:hint="default"/>
      </w:rPr>
    </w:lvl>
    <w:lvl w:ilvl="2">
      <w:start w:val="1"/>
      <w:numFmt w:val="decimal"/>
      <w:pStyle w:val="Numberedpara3level3111"/>
      <w:lvlText w:val="%1.%2.%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4250609"/>
    <w:multiLevelType w:val="hybridMultilevel"/>
    <w:tmpl w:val="871E1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D40A31"/>
    <w:multiLevelType w:val="multilevel"/>
    <w:tmpl w:val="D7E882D2"/>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nsid w:val="615B29DA"/>
    <w:multiLevelType w:val="hybridMultilevel"/>
    <w:tmpl w:val="93A22E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0">
    <w:nsid w:val="6B2A7B0B"/>
    <w:multiLevelType w:val="multilevel"/>
    <w:tmpl w:val="807EF708"/>
    <w:lvl w:ilvl="0">
      <w:start w:val="1"/>
      <w:numFmt w:val="decimal"/>
      <w:pStyle w:val="List123"/>
      <w:lvlText w:val="%1."/>
      <w:lvlJc w:val="left"/>
      <w:pPr>
        <w:ind w:left="1134" w:hanging="567"/>
      </w:pPr>
      <w:rPr>
        <w:rFonts w:hint="default"/>
      </w:rPr>
    </w:lvl>
    <w:lvl w:ilvl="1">
      <w:start w:val="1"/>
      <w:numFmt w:val="decimal"/>
      <w:pStyle w:val="List123level2"/>
      <w:lvlText w:val="%1.%2"/>
      <w:lvlJc w:val="left"/>
      <w:pPr>
        <w:tabs>
          <w:tab w:val="num" w:pos="1304"/>
        </w:tabs>
        <w:ind w:left="1871" w:hanging="737"/>
      </w:pPr>
      <w:rPr>
        <w:rFonts w:hint="default"/>
      </w:rPr>
    </w:lvl>
    <w:lvl w:ilvl="2">
      <w:start w:val="1"/>
      <w:numFmt w:val="decimal"/>
      <w:pStyle w:val="List123level3"/>
      <w:lvlText w:val="%1.%2.%3"/>
      <w:lvlJc w:val="left"/>
      <w:pPr>
        <w:ind w:left="2778" w:hanging="90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4"/>
  </w:num>
  <w:num w:numId="11">
    <w:abstractNumId w:val="25"/>
  </w:num>
  <w:num w:numId="12">
    <w:abstractNumId w:val="21"/>
  </w:num>
  <w:num w:numId="13">
    <w:abstractNumId w:val="16"/>
  </w:num>
  <w:num w:numId="14">
    <w:abstractNumId w:val="26"/>
  </w:num>
  <w:num w:numId="15">
    <w:abstractNumId w:val="29"/>
  </w:num>
  <w:num w:numId="16">
    <w:abstractNumId w:val="31"/>
  </w:num>
  <w:num w:numId="17">
    <w:abstractNumId w:val="11"/>
  </w:num>
  <w:num w:numId="18">
    <w:abstractNumId w:val="19"/>
  </w:num>
  <w:num w:numId="19">
    <w:abstractNumId w:val="20"/>
  </w:num>
  <w:num w:numId="20">
    <w:abstractNumId w:val="15"/>
  </w:num>
  <w:num w:numId="21">
    <w:abstractNumId w:val="32"/>
  </w:num>
  <w:num w:numId="22">
    <w:abstractNumId w:val="30"/>
  </w:num>
  <w:num w:numId="23">
    <w:abstractNumId w:val="28"/>
  </w:num>
  <w:num w:numId="24">
    <w:abstractNumId w:val="23"/>
  </w:num>
  <w:num w:numId="25">
    <w:abstractNumId w:val="20"/>
  </w:num>
  <w:num w:numId="26">
    <w:abstractNumId w:val="14"/>
  </w:num>
  <w:num w:numId="27">
    <w:abstractNumId w:val="20"/>
    <w:lvlOverride w:ilvl="0">
      <w:lvl w:ilvl="0">
        <w:start w:val="1"/>
        <w:numFmt w:val="decimal"/>
        <w:pStyle w:val="Numberedpara3level1"/>
        <w:lvlText w:val="%1."/>
        <w:lvlJc w:val="left"/>
        <w:pPr>
          <w:tabs>
            <w:tab w:val="num" w:pos="567"/>
          </w:tabs>
          <w:ind w:left="567" w:hanging="567"/>
        </w:pPr>
        <w:rPr>
          <w:rFonts w:hint="default"/>
        </w:rPr>
      </w:lvl>
    </w:lvlOverride>
    <w:lvlOverride w:ilvl="1">
      <w:lvl w:ilvl="1">
        <w:start w:val="1"/>
        <w:numFmt w:val="decimal"/>
        <w:pStyle w:val="Numberedpara3level211"/>
        <w:lvlText w:val="%1.%2"/>
        <w:lvlJc w:val="left"/>
        <w:pPr>
          <w:ind w:left="1304" w:hanging="737"/>
        </w:pPr>
        <w:rPr>
          <w:rFonts w:hint="default"/>
        </w:rPr>
      </w:lvl>
    </w:lvlOverride>
    <w:lvlOverride w:ilvl="2">
      <w:lvl w:ilvl="2">
        <w:start w:val="1"/>
        <w:numFmt w:val="decimal"/>
        <w:pStyle w:val="Numberedpara3level3111"/>
        <w:lvlText w:val="%1.%2.%3"/>
        <w:lvlJc w:val="left"/>
        <w:pPr>
          <w:ind w:left="2211" w:hanging="90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3"/>
  </w:num>
  <w:num w:numId="29">
    <w:abstractNumId w:val="18"/>
  </w:num>
  <w:num w:numId="30">
    <w:abstractNumId w:val="27"/>
  </w:num>
  <w:num w:numId="31">
    <w:abstractNumId w:val="20"/>
  </w:num>
  <w:num w:numId="32">
    <w:abstractNumId w:val="20"/>
  </w:num>
  <w:num w:numId="33">
    <w:abstractNumId w:val="26"/>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num>
  <w:num w:numId="38">
    <w:abstractNumId w:val="12"/>
  </w:num>
  <w:num w:numId="39">
    <w:abstractNumId w:val="26"/>
  </w:num>
  <w:num w:numId="40">
    <w:abstractNumId w:val="26"/>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6"/>
  </w:num>
  <w:num w:numId="44">
    <w:abstractNumId w:val="17"/>
  </w:num>
  <w:num w:numId="45">
    <w:abstractNumId w:val="26"/>
  </w:num>
  <w:num w:numId="4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1C"/>
    <w:rsid w:val="000006C6"/>
    <w:rsid w:val="00002BDD"/>
    <w:rsid w:val="00003360"/>
    <w:rsid w:val="000052B7"/>
    <w:rsid w:val="00005919"/>
    <w:rsid w:val="0000786E"/>
    <w:rsid w:val="00011D42"/>
    <w:rsid w:val="00012070"/>
    <w:rsid w:val="00012F10"/>
    <w:rsid w:val="00015020"/>
    <w:rsid w:val="0001647B"/>
    <w:rsid w:val="00016514"/>
    <w:rsid w:val="000171B7"/>
    <w:rsid w:val="00020010"/>
    <w:rsid w:val="00025E45"/>
    <w:rsid w:val="00031C70"/>
    <w:rsid w:val="00033BEF"/>
    <w:rsid w:val="00034673"/>
    <w:rsid w:val="00035205"/>
    <w:rsid w:val="00036671"/>
    <w:rsid w:val="00036C43"/>
    <w:rsid w:val="00037226"/>
    <w:rsid w:val="000409E2"/>
    <w:rsid w:val="00042470"/>
    <w:rsid w:val="00043795"/>
    <w:rsid w:val="00044EA1"/>
    <w:rsid w:val="0005649A"/>
    <w:rsid w:val="000573CF"/>
    <w:rsid w:val="00063BB2"/>
    <w:rsid w:val="00065F18"/>
    <w:rsid w:val="0006669F"/>
    <w:rsid w:val="00067005"/>
    <w:rsid w:val="00076035"/>
    <w:rsid w:val="00077013"/>
    <w:rsid w:val="00091C3A"/>
    <w:rsid w:val="000A7441"/>
    <w:rsid w:val="000B0A6E"/>
    <w:rsid w:val="000B2C1B"/>
    <w:rsid w:val="000C5859"/>
    <w:rsid w:val="000C6803"/>
    <w:rsid w:val="000D61F6"/>
    <w:rsid w:val="000D7C06"/>
    <w:rsid w:val="000E04C4"/>
    <w:rsid w:val="000E12FE"/>
    <w:rsid w:val="000E3240"/>
    <w:rsid w:val="000E677B"/>
    <w:rsid w:val="000E6FD2"/>
    <w:rsid w:val="000F0B66"/>
    <w:rsid w:val="000F2220"/>
    <w:rsid w:val="000F4ADF"/>
    <w:rsid w:val="000F61AF"/>
    <w:rsid w:val="000F75BC"/>
    <w:rsid w:val="00100D3A"/>
    <w:rsid w:val="0010171C"/>
    <w:rsid w:val="001017EC"/>
    <w:rsid w:val="001018F7"/>
    <w:rsid w:val="00102FAD"/>
    <w:rsid w:val="001212C9"/>
    <w:rsid w:val="00121870"/>
    <w:rsid w:val="00121CC9"/>
    <w:rsid w:val="00127B80"/>
    <w:rsid w:val="001316D1"/>
    <w:rsid w:val="00134401"/>
    <w:rsid w:val="00136D9C"/>
    <w:rsid w:val="00140ED2"/>
    <w:rsid w:val="00142262"/>
    <w:rsid w:val="00143E7C"/>
    <w:rsid w:val="001444F2"/>
    <w:rsid w:val="001465F6"/>
    <w:rsid w:val="00152014"/>
    <w:rsid w:val="001535D7"/>
    <w:rsid w:val="001539BE"/>
    <w:rsid w:val="00155769"/>
    <w:rsid w:val="001579FD"/>
    <w:rsid w:val="00161141"/>
    <w:rsid w:val="0016433D"/>
    <w:rsid w:val="00165558"/>
    <w:rsid w:val="001701F1"/>
    <w:rsid w:val="00171728"/>
    <w:rsid w:val="00171E81"/>
    <w:rsid w:val="00174979"/>
    <w:rsid w:val="00184C0F"/>
    <w:rsid w:val="001A0364"/>
    <w:rsid w:val="001A2744"/>
    <w:rsid w:val="001A5F55"/>
    <w:rsid w:val="001A6F62"/>
    <w:rsid w:val="001B369D"/>
    <w:rsid w:val="001B7B0F"/>
    <w:rsid w:val="001C0031"/>
    <w:rsid w:val="001C0C30"/>
    <w:rsid w:val="001C4E22"/>
    <w:rsid w:val="001D0111"/>
    <w:rsid w:val="001D13CA"/>
    <w:rsid w:val="001D179C"/>
    <w:rsid w:val="001D26B4"/>
    <w:rsid w:val="001D401B"/>
    <w:rsid w:val="001D460F"/>
    <w:rsid w:val="001E07F0"/>
    <w:rsid w:val="001E64FC"/>
    <w:rsid w:val="001E7A61"/>
    <w:rsid w:val="001E7EEE"/>
    <w:rsid w:val="001F61A0"/>
    <w:rsid w:val="00200508"/>
    <w:rsid w:val="002007DF"/>
    <w:rsid w:val="002058D4"/>
    <w:rsid w:val="00205FE8"/>
    <w:rsid w:val="00206BA3"/>
    <w:rsid w:val="00211A72"/>
    <w:rsid w:val="002128DB"/>
    <w:rsid w:val="00212F28"/>
    <w:rsid w:val="00214A0C"/>
    <w:rsid w:val="00215160"/>
    <w:rsid w:val="0021557C"/>
    <w:rsid w:val="00215648"/>
    <w:rsid w:val="002172E0"/>
    <w:rsid w:val="00217A1E"/>
    <w:rsid w:val="002224B4"/>
    <w:rsid w:val="002242D0"/>
    <w:rsid w:val="00226D5E"/>
    <w:rsid w:val="002277ED"/>
    <w:rsid w:val="002339EB"/>
    <w:rsid w:val="00236C02"/>
    <w:rsid w:val="00237A3D"/>
    <w:rsid w:val="00240E83"/>
    <w:rsid w:val="002502D1"/>
    <w:rsid w:val="002561FF"/>
    <w:rsid w:val="00260A17"/>
    <w:rsid w:val="00270EEC"/>
    <w:rsid w:val="002806A2"/>
    <w:rsid w:val="0029216E"/>
    <w:rsid w:val="00292E96"/>
    <w:rsid w:val="00293D37"/>
    <w:rsid w:val="00297CC7"/>
    <w:rsid w:val="002A03A6"/>
    <w:rsid w:val="002A16A7"/>
    <w:rsid w:val="002A194F"/>
    <w:rsid w:val="002A4BD9"/>
    <w:rsid w:val="002A4FE7"/>
    <w:rsid w:val="002B1CEB"/>
    <w:rsid w:val="002B2BD3"/>
    <w:rsid w:val="002B309F"/>
    <w:rsid w:val="002B4AEB"/>
    <w:rsid w:val="002B6F21"/>
    <w:rsid w:val="002C41BE"/>
    <w:rsid w:val="002C5E95"/>
    <w:rsid w:val="002D267E"/>
    <w:rsid w:val="002D3125"/>
    <w:rsid w:val="002D38AA"/>
    <w:rsid w:val="002D4F42"/>
    <w:rsid w:val="002D4F99"/>
    <w:rsid w:val="002E5774"/>
    <w:rsid w:val="002E59DC"/>
    <w:rsid w:val="002E5D35"/>
    <w:rsid w:val="002E6F58"/>
    <w:rsid w:val="002F34EB"/>
    <w:rsid w:val="0030084C"/>
    <w:rsid w:val="003011CE"/>
    <w:rsid w:val="00302C91"/>
    <w:rsid w:val="003039E1"/>
    <w:rsid w:val="00312314"/>
    <w:rsid w:val="003129BA"/>
    <w:rsid w:val="003148FC"/>
    <w:rsid w:val="00321FCF"/>
    <w:rsid w:val="00324988"/>
    <w:rsid w:val="00326668"/>
    <w:rsid w:val="00330820"/>
    <w:rsid w:val="003323BE"/>
    <w:rsid w:val="0033776C"/>
    <w:rsid w:val="00337EFC"/>
    <w:rsid w:val="00343140"/>
    <w:rsid w:val="003445FD"/>
    <w:rsid w:val="003465C8"/>
    <w:rsid w:val="0035272A"/>
    <w:rsid w:val="003531B8"/>
    <w:rsid w:val="003562A1"/>
    <w:rsid w:val="003601E4"/>
    <w:rsid w:val="003606E5"/>
    <w:rsid w:val="0037016B"/>
    <w:rsid w:val="0037070C"/>
    <w:rsid w:val="00370FC0"/>
    <w:rsid w:val="00371765"/>
    <w:rsid w:val="00373206"/>
    <w:rsid w:val="003737ED"/>
    <w:rsid w:val="00375B80"/>
    <w:rsid w:val="00377352"/>
    <w:rsid w:val="00382B7C"/>
    <w:rsid w:val="003852B5"/>
    <w:rsid w:val="0038559D"/>
    <w:rsid w:val="00385C33"/>
    <w:rsid w:val="00392DF5"/>
    <w:rsid w:val="00396EF1"/>
    <w:rsid w:val="003A10DA"/>
    <w:rsid w:val="003A12C8"/>
    <w:rsid w:val="003A6FFE"/>
    <w:rsid w:val="003A7695"/>
    <w:rsid w:val="003B071E"/>
    <w:rsid w:val="003B2170"/>
    <w:rsid w:val="003B3A23"/>
    <w:rsid w:val="003B4DA7"/>
    <w:rsid w:val="003B6592"/>
    <w:rsid w:val="003C30C9"/>
    <w:rsid w:val="003C6223"/>
    <w:rsid w:val="003C65FC"/>
    <w:rsid w:val="003C772C"/>
    <w:rsid w:val="003D77B2"/>
    <w:rsid w:val="003E3106"/>
    <w:rsid w:val="003E387D"/>
    <w:rsid w:val="003E3D68"/>
    <w:rsid w:val="003E5BB9"/>
    <w:rsid w:val="003E5C53"/>
    <w:rsid w:val="003F2B58"/>
    <w:rsid w:val="003F5886"/>
    <w:rsid w:val="0040020C"/>
    <w:rsid w:val="00401CA0"/>
    <w:rsid w:val="00403DC9"/>
    <w:rsid w:val="0040700B"/>
    <w:rsid w:val="00407331"/>
    <w:rsid w:val="00407F54"/>
    <w:rsid w:val="00411341"/>
    <w:rsid w:val="00413966"/>
    <w:rsid w:val="00414C8D"/>
    <w:rsid w:val="00415CDB"/>
    <w:rsid w:val="00416710"/>
    <w:rsid w:val="004231DC"/>
    <w:rsid w:val="0042551E"/>
    <w:rsid w:val="0042642C"/>
    <w:rsid w:val="00431174"/>
    <w:rsid w:val="00433AD8"/>
    <w:rsid w:val="00440403"/>
    <w:rsid w:val="00440429"/>
    <w:rsid w:val="00446893"/>
    <w:rsid w:val="0045292D"/>
    <w:rsid w:val="004552A0"/>
    <w:rsid w:val="00457AF8"/>
    <w:rsid w:val="00457E34"/>
    <w:rsid w:val="00460A83"/>
    <w:rsid w:val="00460B3F"/>
    <w:rsid w:val="00460FC6"/>
    <w:rsid w:val="00461BAF"/>
    <w:rsid w:val="00464752"/>
    <w:rsid w:val="00467477"/>
    <w:rsid w:val="004725C8"/>
    <w:rsid w:val="00474EA8"/>
    <w:rsid w:val="00476068"/>
    <w:rsid w:val="004763B3"/>
    <w:rsid w:val="00477619"/>
    <w:rsid w:val="00484044"/>
    <w:rsid w:val="00485D65"/>
    <w:rsid w:val="00486E6E"/>
    <w:rsid w:val="004875DF"/>
    <w:rsid w:val="00487C1D"/>
    <w:rsid w:val="00492B0F"/>
    <w:rsid w:val="00494C6F"/>
    <w:rsid w:val="004963C3"/>
    <w:rsid w:val="004A5823"/>
    <w:rsid w:val="004B0AAF"/>
    <w:rsid w:val="004B0E86"/>
    <w:rsid w:val="004B1DAA"/>
    <w:rsid w:val="004B3924"/>
    <w:rsid w:val="004C15E8"/>
    <w:rsid w:val="004C3ABB"/>
    <w:rsid w:val="004C4DDD"/>
    <w:rsid w:val="004C5778"/>
    <w:rsid w:val="004C5A0D"/>
    <w:rsid w:val="004C6953"/>
    <w:rsid w:val="004C7001"/>
    <w:rsid w:val="004D1706"/>
    <w:rsid w:val="004D1A90"/>
    <w:rsid w:val="004D243F"/>
    <w:rsid w:val="004D59AD"/>
    <w:rsid w:val="004D6474"/>
    <w:rsid w:val="004D724F"/>
    <w:rsid w:val="004D7473"/>
    <w:rsid w:val="004E3CBF"/>
    <w:rsid w:val="004E64BC"/>
    <w:rsid w:val="004E6CB2"/>
    <w:rsid w:val="004E6DF8"/>
    <w:rsid w:val="004F3ADE"/>
    <w:rsid w:val="004F4DB9"/>
    <w:rsid w:val="00501C4B"/>
    <w:rsid w:val="00502841"/>
    <w:rsid w:val="005031A0"/>
    <w:rsid w:val="00505DB2"/>
    <w:rsid w:val="005074C8"/>
    <w:rsid w:val="00510475"/>
    <w:rsid w:val="00510D73"/>
    <w:rsid w:val="00512ACB"/>
    <w:rsid w:val="00514CA1"/>
    <w:rsid w:val="00514D75"/>
    <w:rsid w:val="0052216D"/>
    <w:rsid w:val="005237F9"/>
    <w:rsid w:val="00525550"/>
    <w:rsid w:val="00526115"/>
    <w:rsid w:val="00533FAF"/>
    <w:rsid w:val="00534C17"/>
    <w:rsid w:val="005366B6"/>
    <w:rsid w:val="005433B3"/>
    <w:rsid w:val="005476DB"/>
    <w:rsid w:val="005531F5"/>
    <w:rsid w:val="00553A54"/>
    <w:rsid w:val="00554ABB"/>
    <w:rsid w:val="00554BCD"/>
    <w:rsid w:val="005554FC"/>
    <w:rsid w:val="00561A97"/>
    <w:rsid w:val="00563DAC"/>
    <w:rsid w:val="005648F7"/>
    <w:rsid w:val="005675AF"/>
    <w:rsid w:val="005675E0"/>
    <w:rsid w:val="00570A71"/>
    <w:rsid w:val="00570C00"/>
    <w:rsid w:val="00572AEA"/>
    <w:rsid w:val="00577824"/>
    <w:rsid w:val="005807BB"/>
    <w:rsid w:val="0058206B"/>
    <w:rsid w:val="00585690"/>
    <w:rsid w:val="00586CBA"/>
    <w:rsid w:val="00591630"/>
    <w:rsid w:val="00591CD8"/>
    <w:rsid w:val="00595015"/>
    <w:rsid w:val="00595141"/>
    <w:rsid w:val="00595909"/>
    <w:rsid w:val="00595B33"/>
    <w:rsid w:val="0059662F"/>
    <w:rsid w:val="005B76B3"/>
    <w:rsid w:val="005C0A19"/>
    <w:rsid w:val="005C49E2"/>
    <w:rsid w:val="005C582F"/>
    <w:rsid w:val="005C6632"/>
    <w:rsid w:val="005D08E0"/>
    <w:rsid w:val="005D149C"/>
    <w:rsid w:val="005D3066"/>
    <w:rsid w:val="005D6018"/>
    <w:rsid w:val="005E369F"/>
    <w:rsid w:val="005E3D30"/>
    <w:rsid w:val="005E4B13"/>
    <w:rsid w:val="005E4C02"/>
    <w:rsid w:val="005E509F"/>
    <w:rsid w:val="005E7D5D"/>
    <w:rsid w:val="005F01DF"/>
    <w:rsid w:val="005F43BB"/>
    <w:rsid w:val="005F723C"/>
    <w:rsid w:val="005F76CC"/>
    <w:rsid w:val="005F7FF8"/>
    <w:rsid w:val="006004C4"/>
    <w:rsid w:val="00600CA4"/>
    <w:rsid w:val="00602416"/>
    <w:rsid w:val="006025CE"/>
    <w:rsid w:val="006041F2"/>
    <w:rsid w:val="006049E5"/>
    <w:rsid w:val="00604DF8"/>
    <w:rsid w:val="006064F5"/>
    <w:rsid w:val="00607606"/>
    <w:rsid w:val="00607659"/>
    <w:rsid w:val="00610366"/>
    <w:rsid w:val="00612894"/>
    <w:rsid w:val="00614A19"/>
    <w:rsid w:val="00617298"/>
    <w:rsid w:val="00621AFE"/>
    <w:rsid w:val="00622D46"/>
    <w:rsid w:val="006231A3"/>
    <w:rsid w:val="006253C8"/>
    <w:rsid w:val="00632A4D"/>
    <w:rsid w:val="00632A4E"/>
    <w:rsid w:val="006363B3"/>
    <w:rsid w:val="00637753"/>
    <w:rsid w:val="006507D1"/>
    <w:rsid w:val="006513AB"/>
    <w:rsid w:val="00651573"/>
    <w:rsid w:val="00652CFA"/>
    <w:rsid w:val="00653F24"/>
    <w:rsid w:val="00655036"/>
    <w:rsid w:val="00660471"/>
    <w:rsid w:val="00662716"/>
    <w:rsid w:val="00664F84"/>
    <w:rsid w:val="00666890"/>
    <w:rsid w:val="006674F3"/>
    <w:rsid w:val="00676C9F"/>
    <w:rsid w:val="00677B13"/>
    <w:rsid w:val="00677F4E"/>
    <w:rsid w:val="00681A08"/>
    <w:rsid w:val="0068592E"/>
    <w:rsid w:val="00685ECF"/>
    <w:rsid w:val="006875B8"/>
    <w:rsid w:val="00687CEA"/>
    <w:rsid w:val="006920CD"/>
    <w:rsid w:val="00692F6A"/>
    <w:rsid w:val="00694E01"/>
    <w:rsid w:val="00695171"/>
    <w:rsid w:val="0069592A"/>
    <w:rsid w:val="00695B75"/>
    <w:rsid w:val="006A0791"/>
    <w:rsid w:val="006A1A95"/>
    <w:rsid w:val="006A38B7"/>
    <w:rsid w:val="006A5C31"/>
    <w:rsid w:val="006B1B79"/>
    <w:rsid w:val="006B1CB2"/>
    <w:rsid w:val="006B1DD1"/>
    <w:rsid w:val="006B2024"/>
    <w:rsid w:val="006B3396"/>
    <w:rsid w:val="006B7A81"/>
    <w:rsid w:val="006C195E"/>
    <w:rsid w:val="006C5A00"/>
    <w:rsid w:val="006D06D6"/>
    <w:rsid w:val="006D1BD4"/>
    <w:rsid w:val="006D45E9"/>
    <w:rsid w:val="006D638F"/>
    <w:rsid w:val="006D6C6B"/>
    <w:rsid w:val="006E0B2C"/>
    <w:rsid w:val="006E227F"/>
    <w:rsid w:val="006E4043"/>
    <w:rsid w:val="006E539C"/>
    <w:rsid w:val="006E72A4"/>
    <w:rsid w:val="006E7BF7"/>
    <w:rsid w:val="006F0789"/>
    <w:rsid w:val="00705564"/>
    <w:rsid w:val="007068C8"/>
    <w:rsid w:val="007130C1"/>
    <w:rsid w:val="00715B8F"/>
    <w:rsid w:val="007222EE"/>
    <w:rsid w:val="0073106E"/>
    <w:rsid w:val="00736677"/>
    <w:rsid w:val="00736ABC"/>
    <w:rsid w:val="0073764C"/>
    <w:rsid w:val="0074252E"/>
    <w:rsid w:val="00742C7D"/>
    <w:rsid w:val="007431F0"/>
    <w:rsid w:val="007440CF"/>
    <w:rsid w:val="007505D6"/>
    <w:rsid w:val="007536AC"/>
    <w:rsid w:val="00755142"/>
    <w:rsid w:val="00755E0A"/>
    <w:rsid w:val="00756BB7"/>
    <w:rsid w:val="0075764B"/>
    <w:rsid w:val="00757B9A"/>
    <w:rsid w:val="00760C01"/>
    <w:rsid w:val="00761293"/>
    <w:rsid w:val="00761D06"/>
    <w:rsid w:val="007633F3"/>
    <w:rsid w:val="007656D6"/>
    <w:rsid w:val="00767980"/>
    <w:rsid w:val="00767C04"/>
    <w:rsid w:val="00770CF3"/>
    <w:rsid w:val="00771AE3"/>
    <w:rsid w:val="007731D4"/>
    <w:rsid w:val="00773639"/>
    <w:rsid w:val="007736A2"/>
    <w:rsid w:val="00776D8E"/>
    <w:rsid w:val="00776E4D"/>
    <w:rsid w:val="00776FD3"/>
    <w:rsid w:val="00780ABA"/>
    <w:rsid w:val="0078266A"/>
    <w:rsid w:val="007869A3"/>
    <w:rsid w:val="007913E7"/>
    <w:rsid w:val="00791418"/>
    <w:rsid w:val="00794FCB"/>
    <w:rsid w:val="0079542A"/>
    <w:rsid w:val="0079634E"/>
    <w:rsid w:val="00797C77"/>
    <w:rsid w:val="007A250D"/>
    <w:rsid w:val="007A6226"/>
    <w:rsid w:val="007B07F6"/>
    <w:rsid w:val="007B13FB"/>
    <w:rsid w:val="007B27BC"/>
    <w:rsid w:val="007B3C61"/>
    <w:rsid w:val="007C62F1"/>
    <w:rsid w:val="007C64AC"/>
    <w:rsid w:val="007D1918"/>
    <w:rsid w:val="007D1FBE"/>
    <w:rsid w:val="007D2926"/>
    <w:rsid w:val="007D5973"/>
    <w:rsid w:val="007E230F"/>
    <w:rsid w:val="007E4319"/>
    <w:rsid w:val="007E7DB1"/>
    <w:rsid w:val="007E7DF9"/>
    <w:rsid w:val="007F03F2"/>
    <w:rsid w:val="007F0704"/>
    <w:rsid w:val="007F165A"/>
    <w:rsid w:val="00800C2F"/>
    <w:rsid w:val="0080154C"/>
    <w:rsid w:val="0080589B"/>
    <w:rsid w:val="00805CBC"/>
    <w:rsid w:val="008065D7"/>
    <w:rsid w:val="0081235F"/>
    <w:rsid w:val="00816E30"/>
    <w:rsid w:val="00821B86"/>
    <w:rsid w:val="0082264B"/>
    <w:rsid w:val="008251FB"/>
    <w:rsid w:val="00826AD9"/>
    <w:rsid w:val="0082765B"/>
    <w:rsid w:val="00830C60"/>
    <w:rsid w:val="00832050"/>
    <w:rsid w:val="008352B1"/>
    <w:rsid w:val="00835BD7"/>
    <w:rsid w:val="00837810"/>
    <w:rsid w:val="0084132E"/>
    <w:rsid w:val="00841674"/>
    <w:rsid w:val="008428E8"/>
    <w:rsid w:val="00843D71"/>
    <w:rsid w:val="00846F11"/>
    <w:rsid w:val="0084745A"/>
    <w:rsid w:val="00847E3C"/>
    <w:rsid w:val="00850EC3"/>
    <w:rsid w:val="008574B8"/>
    <w:rsid w:val="00862C40"/>
    <w:rsid w:val="008633AA"/>
    <w:rsid w:val="008649D4"/>
    <w:rsid w:val="00867E31"/>
    <w:rsid w:val="00870045"/>
    <w:rsid w:val="00872088"/>
    <w:rsid w:val="00876C24"/>
    <w:rsid w:val="00876E5F"/>
    <w:rsid w:val="00881257"/>
    <w:rsid w:val="00883588"/>
    <w:rsid w:val="008838BA"/>
    <w:rsid w:val="00883CEA"/>
    <w:rsid w:val="00884A12"/>
    <w:rsid w:val="00890CE4"/>
    <w:rsid w:val="00891ED7"/>
    <w:rsid w:val="0089214F"/>
    <w:rsid w:val="00897030"/>
    <w:rsid w:val="008A16B4"/>
    <w:rsid w:val="008A4233"/>
    <w:rsid w:val="008A6996"/>
    <w:rsid w:val="008A71BC"/>
    <w:rsid w:val="008B27F2"/>
    <w:rsid w:val="008B4767"/>
    <w:rsid w:val="008B76E1"/>
    <w:rsid w:val="008B7B54"/>
    <w:rsid w:val="008C3187"/>
    <w:rsid w:val="008C5E2E"/>
    <w:rsid w:val="008C5E4F"/>
    <w:rsid w:val="008D1BB7"/>
    <w:rsid w:val="008D5015"/>
    <w:rsid w:val="008D63B7"/>
    <w:rsid w:val="008D6A03"/>
    <w:rsid w:val="008D6CA7"/>
    <w:rsid w:val="008E4092"/>
    <w:rsid w:val="008E7ECC"/>
    <w:rsid w:val="008E7FEE"/>
    <w:rsid w:val="008F1844"/>
    <w:rsid w:val="008F31F5"/>
    <w:rsid w:val="008F32F9"/>
    <w:rsid w:val="008F4123"/>
    <w:rsid w:val="008F67F5"/>
    <w:rsid w:val="008F6BCE"/>
    <w:rsid w:val="008F7332"/>
    <w:rsid w:val="009001F0"/>
    <w:rsid w:val="00900D4B"/>
    <w:rsid w:val="00905F9B"/>
    <w:rsid w:val="00913BD3"/>
    <w:rsid w:val="00913C66"/>
    <w:rsid w:val="009170B9"/>
    <w:rsid w:val="00920A4E"/>
    <w:rsid w:val="00921B38"/>
    <w:rsid w:val="00923A87"/>
    <w:rsid w:val="00925FAA"/>
    <w:rsid w:val="00927482"/>
    <w:rsid w:val="00931038"/>
    <w:rsid w:val="00931650"/>
    <w:rsid w:val="00934303"/>
    <w:rsid w:val="00936FF5"/>
    <w:rsid w:val="009429F6"/>
    <w:rsid w:val="00943844"/>
    <w:rsid w:val="0095112B"/>
    <w:rsid w:val="009526EB"/>
    <w:rsid w:val="00953732"/>
    <w:rsid w:val="00956FFC"/>
    <w:rsid w:val="0095712A"/>
    <w:rsid w:val="00962036"/>
    <w:rsid w:val="00966517"/>
    <w:rsid w:val="00966A6A"/>
    <w:rsid w:val="009674E9"/>
    <w:rsid w:val="00972A73"/>
    <w:rsid w:val="00973A6D"/>
    <w:rsid w:val="00974C6B"/>
    <w:rsid w:val="009816E4"/>
    <w:rsid w:val="00983D2B"/>
    <w:rsid w:val="0098649D"/>
    <w:rsid w:val="009865AA"/>
    <w:rsid w:val="0098664C"/>
    <w:rsid w:val="00987080"/>
    <w:rsid w:val="0098765A"/>
    <w:rsid w:val="009917BA"/>
    <w:rsid w:val="00992E53"/>
    <w:rsid w:val="009930B8"/>
    <w:rsid w:val="009934FA"/>
    <w:rsid w:val="009946FD"/>
    <w:rsid w:val="00994CF5"/>
    <w:rsid w:val="0099526E"/>
    <w:rsid w:val="009968B0"/>
    <w:rsid w:val="009A0CF7"/>
    <w:rsid w:val="009A1533"/>
    <w:rsid w:val="009A244F"/>
    <w:rsid w:val="009A6CB2"/>
    <w:rsid w:val="009A77CB"/>
    <w:rsid w:val="009B0982"/>
    <w:rsid w:val="009B47ED"/>
    <w:rsid w:val="009B4C99"/>
    <w:rsid w:val="009C00B6"/>
    <w:rsid w:val="009C0FB4"/>
    <w:rsid w:val="009C13FB"/>
    <w:rsid w:val="009C371D"/>
    <w:rsid w:val="009C5FAE"/>
    <w:rsid w:val="009D05E0"/>
    <w:rsid w:val="009D28CF"/>
    <w:rsid w:val="009D2E02"/>
    <w:rsid w:val="009E5D36"/>
    <w:rsid w:val="009E6375"/>
    <w:rsid w:val="009E7CA0"/>
    <w:rsid w:val="009F0BC0"/>
    <w:rsid w:val="009F28B4"/>
    <w:rsid w:val="009F3968"/>
    <w:rsid w:val="009F4CCF"/>
    <w:rsid w:val="00A0279D"/>
    <w:rsid w:val="00A04392"/>
    <w:rsid w:val="00A069CE"/>
    <w:rsid w:val="00A06A9D"/>
    <w:rsid w:val="00A109D8"/>
    <w:rsid w:val="00A16003"/>
    <w:rsid w:val="00A167D7"/>
    <w:rsid w:val="00A227B5"/>
    <w:rsid w:val="00A23860"/>
    <w:rsid w:val="00A23D39"/>
    <w:rsid w:val="00A23EC2"/>
    <w:rsid w:val="00A24268"/>
    <w:rsid w:val="00A24FBB"/>
    <w:rsid w:val="00A25609"/>
    <w:rsid w:val="00A31083"/>
    <w:rsid w:val="00A313C3"/>
    <w:rsid w:val="00A31C09"/>
    <w:rsid w:val="00A32535"/>
    <w:rsid w:val="00A3453E"/>
    <w:rsid w:val="00A35282"/>
    <w:rsid w:val="00A357D0"/>
    <w:rsid w:val="00A42592"/>
    <w:rsid w:val="00A42ED2"/>
    <w:rsid w:val="00A4331A"/>
    <w:rsid w:val="00A44B33"/>
    <w:rsid w:val="00A44B8B"/>
    <w:rsid w:val="00A50975"/>
    <w:rsid w:val="00A50E00"/>
    <w:rsid w:val="00A5114A"/>
    <w:rsid w:val="00A52529"/>
    <w:rsid w:val="00A53624"/>
    <w:rsid w:val="00A54EBA"/>
    <w:rsid w:val="00A55EAF"/>
    <w:rsid w:val="00A5766B"/>
    <w:rsid w:val="00A7059D"/>
    <w:rsid w:val="00A75078"/>
    <w:rsid w:val="00A75B42"/>
    <w:rsid w:val="00A77277"/>
    <w:rsid w:val="00A77512"/>
    <w:rsid w:val="00A835F9"/>
    <w:rsid w:val="00A863E3"/>
    <w:rsid w:val="00A910FE"/>
    <w:rsid w:val="00A95898"/>
    <w:rsid w:val="00A97BFB"/>
    <w:rsid w:val="00AA4A53"/>
    <w:rsid w:val="00AA6CE5"/>
    <w:rsid w:val="00AA7874"/>
    <w:rsid w:val="00AB0BBC"/>
    <w:rsid w:val="00AB3A92"/>
    <w:rsid w:val="00AB478B"/>
    <w:rsid w:val="00AB47AC"/>
    <w:rsid w:val="00AB4AD9"/>
    <w:rsid w:val="00AB618B"/>
    <w:rsid w:val="00AC04A7"/>
    <w:rsid w:val="00AC4601"/>
    <w:rsid w:val="00AD3747"/>
    <w:rsid w:val="00AD4F06"/>
    <w:rsid w:val="00AD6E77"/>
    <w:rsid w:val="00AD7A25"/>
    <w:rsid w:val="00AE166D"/>
    <w:rsid w:val="00AE2666"/>
    <w:rsid w:val="00AE6272"/>
    <w:rsid w:val="00AF3A5A"/>
    <w:rsid w:val="00AF3E15"/>
    <w:rsid w:val="00AF5218"/>
    <w:rsid w:val="00AF7F80"/>
    <w:rsid w:val="00B0480E"/>
    <w:rsid w:val="00B1026A"/>
    <w:rsid w:val="00B12802"/>
    <w:rsid w:val="00B15B7E"/>
    <w:rsid w:val="00B16962"/>
    <w:rsid w:val="00B21166"/>
    <w:rsid w:val="00B24971"/>
    <w:rsid w:val="00B263AE"/>
    <w:rsid w:val="00B30732"/>
    <w:rsid w:val="00B3209D"/>
    <w:rsid w:val="00B3210E"/>
    <w:rsid w:val="00B33A6C"/>
    <w:rsid w:val="00B36EE0"/>
    <w:rsid w:val="00B45DC8"/>
    <w:rsid w:val="00B464F8"/>
    <w:rsid w:val="00B47091"/>
    <w:rsid w:val="00B4724A"/>
    <w:rsid w:val="00B50651"/>
    <w:rsid w:val="00B52F8A"/>
    <w:rsid w:val="00B56534"/>
    <w:rsid w:val="00B5705C"/>
    <w:rsid w:val="00B57A21"/>
    <w:rsid w:val="00B62C3E"/>
    <w:rsid w:val="00B645DE"/>
    <w:rsid w:val="00B65857"/>
    <w:rsid w:val="00B66698"/>
    <w:rsid w:val="00B679D0"/>
    <w:rsid w:val="00B745DC"/>
    <w:rsid w:val="00B74625"/>
    <w:rsid w:val="00B7682C"/>
    <w:rsid w:val="00B83641"/>
    <w:rsid w:val="00B84350"/>
    <w:rsid w:val="00B855A6"/>
    <w:rsid w:val="00B91098"/>
    <w:rsid w:val="00B91904"/>
    <w:rsid w:val="00B92735"/>
    <w:rsid w:val="00B96275"/>
    <w:rsid w:val="00B969ED"/>
    <w:rsid w:val="00BA1E8C"/>
    <w:rsid w:val="00BA20E5"/>
    <w:rsid w:val="00BA3FE2"/>
    <w:rsid w:val="00BA4170"/>
    <w:rsid w:val="00BA5A97"/>
    <w:rsid w:val="00BA77F1"/>
    <w:rsid w:val="00BB0D90"/>
    <w:rsid w:val="00BB1D8F"/>
    <w:rsid w:val="00BB1D90"/>
    <w:rsid w:val="00BB60C6"/>
    <w:rsid w:val="00BB7984"/>
    <w:rsid w:val="00BC248A"/>
    <w:rsid w:val="00BC488B"/>
    <w:rsid w:val="00BC6A06"/>
    <w:rsid w:val="00BD137C"/>
    <w:rsid w:val="00BD1606"/>
    <w:rsid w:val="00BD38A7"/>
    <w:rsid w:val="00BD6C95"/>
    <w:rsid w:val="00BE3BC7"/>
    <w:rsid w:val="00BF092B"/>
    <w:rsid w:val="00BF0BE0"/>
    <w:rsid w:val="00BF0D88"/>
    <w:rsid w:val="00BF1AB7"/>
    <w:rsid w:val="00BF423A"/>
    <w:rsid w:val="00BF4D8C"/>
    <w:rsid w:val="00BF6794"/>
    <w:rsid w:val="00BF701E"/>
    <w:rsid w:val="00BF7FE9"/>
    <w:rsid w:val="00C00B7F"/>
    <w:rsid w:val="00C03596"/>
    <w:rsid w:val="00C04849"/>
    <w:rsid w:val="00C05EEC"/>
    <w:rsid w:val="00C05FB3"/>
    <w:rsid w:val="00C11F63"/>
    <w:rsid w:val="00C137AC"/>
    <w:rsid w:val="00C15436"/>
    <w:rsid w:val="00C15A13"/>
    <w:rsid w:val="00C16C79"/>
    <w:rsid w:val="00C238D9"/>
    <w:rsid w:val="00C24A9D"/>
    <w:rsid w:val="00C25CB5"/>
    <w:rsid w:val="00C26038"/>
    <w:rsid w:val="00C265B4"/>
    <w:rsid w:val="00C2677E"/>
    <w:rsid w:val="00C31542"/>
    <w:rsid w:val="00C33624"/>
    <w:rsid w:val="00C347BF"/>
    <w:rsid w:val="00C34952"/>
    <w:rsid w:val="00C37A82"/>
    <w:rsid w:val="00C40D6B"/>
    <w:rsid w:val="00C515E0"/>
    <w:rsid w:val="00C53209"/>
    <w:rsid w:val="00C6078D"/>
    <w:rsid w:val="00C633AF"/>
    <w:rsid w:val="00C6363C"/>
    <w:rsid w:val="00C64BA9"/>
    <w:rsid w:val="00C65781"/>
    <w:rsid w:val="00C657CF"/>
    <w:rsid w:val="00C80D62"/>
    <w:rsid w:val="00C8388B"/>
    <w:rsid w:val="00C844C6"/>
    <w:rsid w:val="00C8485B"/>
    <w:rsid w:val="00C84944"/>
    <w:rsid w:val="00C96BFD"/>
    <w:rsid w:val="00C96C98"/>
    <w:rsid w:val="00CA5358"/>
    <w:rsid w:val="00CA6340"/>
    <w:rsid w:val="00CA6881"/>
    <w:rsid w:val="00CB1DCA"/>
    <w:rsid w:val="00CB45C7"/>
    <w:rsid w:val="00CC0677"/>
    <w:rsid w:val="00CC52D3"/>
    <w:rsid w:val="00CC73D7"/>
    <w:rsid w:val="00CD2BEB"/>
    <w:rsid w:val="00CD2EC0"/>
    <w:rsid w:val="00CD502A"/>
    <w:rsid w:val="00CD66E9"/>
    <w:rsid w:val="00CD6DC7"/>
    <w:rsid w:val="00CF12CF"/>
    <w:rsid w:val="00CF4BE3"/>
    <w:rsid w:val="00D00372"/>
    <w:rsid w:val="00D008CE"/>
    <w:rsid w:val="00D01638"/>
    <w:rsid w:val="00D04517"/>
    <w:rsid w:val="00D060D2"/>
    <w:rsid w:val="00D07E39"/>
    <w:rsid w:val="00D07F52"/>
    <w:rsid w:val="00D13E2D"/>
    <w:rsid w:val="00D14394"/>
    <w:rsid w:val="00D242CD"/>
    <w:rsid w:val="00D261BE"/>
    <w:rsid w:val="00D26FDE"/>
    <w:rsid w:val="00D27E16"/>
    <w:rsid w:val="00D33F73"/>
    <w:rsid w:val="00D341C3"/>
    <w:rsid w:val="00D34B2D"/>
    <w:rsid w:val="00D41C3A"/>
    <w:rsid w:val="00D42843"/>
    <w:rsid w:val="00D45A24"/>
    <w:rsid w:val="00D5152A"/>
    <w:rsid w:val="00D519CA"/>
    <w:rsid w:val="00D574EF"/>
    <w:rsid w:val="00D60F8E"/>
    <w:rsid w:val="00D64CA9"/>
    <w:rsid w:val="00D65145"/>
    <w:rsid w:val="00D66F6C"/>
    <w:rsid w:val="00D70D57"/>
    <w:rsid w:val="00D73E95"/>
    <w:rsid w:val="00D74314"/>
    <w:rsid w:val="00D7434C"/>
    <w:rsid w:val="00D81410"/>
    <w:rsid w:val="00D81CB6"/>
    <w:rsid w:val="00D81EA6"/>
    <w:rsid w:val="00D86CA3"/>
    <w:rsid w:val="00D922C0"/>
    <w:rsid w:val="00D92505"/>
    <w:rsid w:val="00D93585"/>
    <w:rsid w:val="00D94971"/>
    <w:rsid w:val="00D95076"/>
    <w:rsid w:val="00DA267C"/>
    <w:rsid w:val="00DA27AA"/>
    <w:rsid w:val="00DA5101"/>
    <w:rsid w:val="00DA79EF"/>
    <w:rsid w:val="00DB0C0B"/>
    <w:rsid w:val="00DB146E"/>
    <w:rsid w:val="00DB383D"/>
    <w:rsid w:val="00DB3B74"/>
    <w:rsid w:val="00DB4537"/>
    <w:rsid w:val="00DB47CE"/>
    <w:rsid w:val="00DB5887"/>
    <w:rsid w:val="00DC0048"/>
    <w:rsid w:val="00DC3EAF"/>
    <w:rsid w:val="00DC446F"/>
    <w:rsid w:val="00DC4591"/>
    <w:rsid w:val="00DC4D8F"/>
    <w:rsid w:val="00DC5398"/>
    <w:rsid w:val="00DC5870"/>
    <w:rsid w:val="00DC68D3"/>
    <w:rsid w:val="00DD0384"/>
    <w:rsid w:val="00DD0901"/>
    <w:rsid w:val="00DD3B72"/>
    <w:rsid w:val="00DE0F92"/>
    <w:rsid w:val="00DE16B6"/>
    <w:rsid w:val="00DE3323"/>
    <w:rsid w:val="00DE36CA"/>
    <w:rsid w:val="00DE7E63"/>
    <w:rsid w:val="00DF35FB"/>
    <w:rsid w:val="00DF77A2"/>
    <w:rsid w:val="00E049BA"/>
    <w:rsid w:val="00E0523F"/>
    <w:rsid w:val="00E057EC"/>
    <w:rsid w:val="00E057FD"/>
    <w:rsid w:val="00E063B4"/>
    <w:rsid w:val="00E063F1"/>
    <w:rsid w:val="00E16B4C"/>
    <w:rsid w:val="00E171A6"/>
    <w:rsid w:val="00E214FE"/>
    <w:rsid w:val="00E25528"/>
    <w:rsid w:val="00E32261"/>
    <w:rsid w:val="00E33764"/>
    <w:rsid w:val="00E367C5"/>
    <w:rsid w:val="00E37E71"/>
    <w:rsid w:val="00E42486"/>
    <w:rsid w:val="00E42847"/>
    <w:rsid w:val="00E4405F"/>
    <w:rsid w:val="00E44F46"/>
    <w:rsid w:val="00E46064"/>
    <w:rsid w:val="00E468C1"/>
    <w:rsid w:val="00E55FF7"/>
    <w:rsid w:val="00E604A1"/>
    <w:rsid w:val="00E6065B"/>
    <w:rsid w:val="00E638EE"/>
    <w:rsid w:val="00E64023"/>
    <w:rsid w:val="00E664C7"/>
    <w:rsid w:val="00E67F20"/>
    <w:rsid w:val="00E7161D"/>
    <w:rsid w:val="00E73267"/>
    <w:rsid w:val="00E73A11"/>
    <w:rsid w:val="00E73AA8"/>
    <w:rsid w:val="00E80228"/>
    <w:rsid w:val="00E824B2"/>
    <w:rsid w:val="00E83790"/>
    <w:rsid w:val="00E83CEE"/>
    <w:rsid w:val="00E85CE4"/>
    <w:rsid w:val="00E8662B"/>
    <w:rsid w:val="00E86D2A"/>
    <w:rsid w:val="00E90FCD"/>
    <w:rsid w:val="00E96B41"/>
    <w:rsid w:val="00EA0211"/>
    <w:rsid w:val="00EA234D"/>
    <w:rsid w:val="00EA2ED4"/>
    <w:rsid w:val="00EA491A"/>
    <w:rsid w:val="00EA5F1C"/>
    <w:rsid w:val="00EA71DF"/>
    <w:rsid w:val="00EB036E"/>
    <w:rsid w:val="00EB1583"/>
    <w:rsid w:val="00EB4EED"/>
    <w:rsid w:val="00EB545A"/>
    <w:rsid w:val="00EB54A9"/>
    <w:rsid w:val="00EB7CCC"/>
    <w:rsid w:val="00EC048C"/>
    <w:rsid w:val="00EC23FB"/>
    <w:rsid w:val="00ED7681"/>
    <w:rsid w:val="00EE0DE5"/>
    <w:rsid w:val="00EE243C"/>
    <w:rsid w:val="00EE489E"/>
    <w:rsid w:val="00EF1497"/>
    <w:rsid w:val="00EF2828"/>
    <w:rsid w:val="00EF299E"/>
    <w:rsid w:val="00EF2DF4"/>
    <w:rsid w:val="00EF53B1"/>
    <w:rsid w:val="00EF62A9"/>
    <w:rsid w:val="00EF63C6"/>
    <w:rsid w:val="00EF7C33"/>
    <w:rsid w:val="00F023AE"/>
    <w:rsid w:val="00F034FB"/>
    <w:rsid w:val="00F05606"/>
    <w:rsid w:val="00F105F5"/>
    <w:rsid w:val="00F1075A"/>
    <w:rsid w:val="00F13185"/>
    <w:rsid w:val="00F21A9F"/>
    <w:rsid w:val="00F22E82"/>
    <w:rsid w:val="00F22F89"/>
    <w:rsid w:val="00F24040"/>
    <w:rsid w:val="00F2483A"/>
    <w:rsid w:val="00F337BF"/>
    <w:rsid w:val="00F33D14"/>
    <w:rsid w:val="00F35C49"/>
    <w:rsid w:val="00F42312"/>
    <w:rsid w:val="00F473B6"/>
    <w:rsid w:val="00F52090"/>
    <w:rsid w:val="00F52E57"/>
    <w:rsid w:val="00F53E06"/>
    <w:rsid w:val="00F54188"/>
    <w:rsid w:val="00F54CC0"/>
    <w:rsid w:val="00F60F4C"/>
    <w:rsid w:val="00F660A0"/>
    <w:rsid w:val="00F701EE"/>
    <w:rsid w:val="00F7181B"/>
    <w:rsid w:val="00F727A5"/>
    <w:rsid w:val="00F836DD"/>
    <w:rsid w:val="00F847A9"/>
    <w:rsid w:val="00F93D24"/>
    <w:rsid w:val="00F97441"/>
    <w:rsid w:val="00FA1AA5"/>
    <w:rsid w:val="00FA45BB"/>
    <w:rsid w:val="00FA5FE9"/>
    <w:rsid w:val="00FA6558"/>
    <w:rsid w:val="00FA67D2"/>
    <w:rsid w:val="00FA7757"/>
    <w:rsid w:val="00FA7925"/>
    <w:rsid w:val="00FB302F"/>
    <w:rsid w:val="00FB5A92"/>
    <w:rsid w:val="00FC17B8"/>
    <w:rsid w:val="00FC1C69"/>
    <w:rsid w:val="00FC2726"/>
    <w:rsid w:val="00FC3739"/>
    <w:rsid w:val="00FC73EE"/>
    <w:rsid w:val="00FD18D1"/>
    <w:rsid w:val="00FD1A1E"/>
    <w:rsid w:val="00FD79DD"/>
    <w:rsid w:val="00FE0D1F"/>
    <w:rsid w:val="00FE5AD9"/>
    <w:rsid w:val="00FE5AFE"/>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0"/>
    <w:lsdException w:name="footer" w:uiPriority="0"/>
    <w:lsdException w:name="caption" w:uiPriority="0" w:qFormat="1"/>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80"/>
    <w:pPr>
      <w:keepLines/>
    </w:pPr>
    <w:rPr>
      <w:rFonts w:eastAsiaTheme="minorHAnsi"/>
      <w:lang w:eastAsia="en-US"/>
    </w:rPr>
  </w:style>
  <w:style w:type="paragraph" w:styleId="Heading1">
    <w:name w:val="heading 1"/>
    <w:basedOn w:val="Normal"/>
    <w:next w:val="Normal"/>
    <w:link w:val="Heading1Char"/>
    <w:semiHidden/>
    <w:qFormat/>
    <w:rsid w:val="00FA6558"/>
    <w:pPr>
      <w:keepNext/>
      <w:spacing w:before="480"/>
      <w:contextualSpacing/>
      <w:outlineLvl w:val="0"/>
    </w:pPr>
    <w:rPr>
      <w:rFonts w:cs="Arial"/>
      <w:b/>
      <w:bCs/>
      <w:color w:val="1F546B" w:themeColor="text2"/>
      <w:kern w:val="32"/>
      <w:sz w:val="52"/>
      <w:szCs w:val="32"/>
    </w:rPr>
  </w:style>
  <w:style w:type="paragraph" w:styleId="Heading2">
    <w:name w:val="heading 2"/>
    <w:basedOn w:val="Normal"/>
    <w:next w:val="Normal"/>
    <w:link w:val="Heading2Char"/>
    <w:semiHidden/>
    <w:qFormat/>
    <w:rsid w:val="00FA6558"/>
    <w:pPr>
      <w:keepNext/>
      <w:spacing w:before="360"/>
      <w:contextualSpacing/>
      <w:outlineLvl w:val="1"/>
    </w:pPr>
    <w:rPr>
      <w:rFonts w:cs="Arial"/>
      <w:b/>
      <w:bCs/>
      <w:iCs/>
      <w:color w:val="1F546B"/>
      <w:sz w:val="36"/>
      <w:szCs w:val="28"/>
    </w:rPr>
  </w:style>
  <w:style w:type="paragraph" w:styleId="Heading3">
    <w:name w:val="heading 3"/>
    <w:basedOn w:val="Normal"/>
    <w:next w:val="Normal"/>
    <w:link w:val="Heading3Char"/>
    <w:semiHidden/>
    <w:qFormat/>
    <w:rsid w:val="00FA6558"/>
    <w:pPr>
      <w:keepNext/>
      <w:spacing w:before="360"/>
      <w:contextualSpacing/>
      <w:outlineLvl w:val="2"/>
    </w:pPr>
    <w:rPr>
      <w:rFonts w:cs="Arial"/>
      <w:b/>
      <w:bCs/>
      <w:color w:val="1F546B"/>
      <w:sz w:val="28"/>
      <w:szCs w:val="26"/>
    </w:rPr>
  </w:style>
  <w:style w:type="paragraph" w:styleId="Heading4">
    <w:name w:val="heading 4"/>
    <w:basedOn w:val="Normal"/>
    <w:next w:val="Normal"/>
    <w:link w:val="Heading4Char"/>
    <w:semiHidden/>
    <w:qFormat/>
    <w:rsid w:val="00FA6558"/>
    <w:pPr>
      <w:keepNext/>
      <w:spacing w:before="36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FA6558"/>
    <w:pPr>
      <w:keepNext/>
      <w:spacing w:before="360"/>
      <w:outlineLvl w:val="4"/>
    </w:pPr>
    <w:rPr>
      <w:b/>
      <w:bCs/>
      <w:iCs/>
      <w:szCs w:val="26"/>
    </w:rPr>
  </w:style>
  <w:style w:type="paragraph" w:styleId="Heading6">
    <w:name w:val="heading 6"/>
    <w:basedOn w:val="Normal"/>
    <w:next w:val="Normal"/>
    <w:link w:val="Heading6Char"/>
    <w:uiPriority w:val="1"/>
    <w:semiHidden/>
    <w:qFormat/>
    <w:rsid w:val="00FA6558"/>
    <w:pPr>
      <w:spacing w:before="360"/>
      <w:outlineLvl w:val="5"/>
    </w:pPr>
    <w:rPr>
      <w:b/>
      <w:bCs/>
      <w:i/>
      <w:szCs w:val="22"/>
    </w:rPr>
  </w:style>
  <w:style w:type="paragraph" w:styleId="Heading7">
    <w:name w:val="heading 7"/>
    <w:basedOn w:val="Normal"/>
    <w:next w:val="Normal"/>
    <w:uiPriority w:val="99"/>
    <w:semiHidden/>
    <w:qFormat/>
    <w:rsid w:val="00FA6558"/>
    <w:pPr>
      <w:spacing w:after="60"/>
      <w:outlineLvl w:val="6"/>
    </w:pPr>
  </w:style>
  <w:style w:type="paragraph" w:styleId="Heading8">
    <w:name w:val="heading 8"/>
    <w:basedOn w:val="Normal"/>
    <w:next w:val="Normal"/>
    <w:uiPriority w:val="99"/>
    <w:semiHidden/>
    <w:qFormat/>
    <w:rsid w:val="00FA6558"/>
    <w:pPr>
      <w:spacing w:after="60"/>
      <w:outlineLvl w:val="7"/>
    </w:pPr>
    <w:rPr>
      <w:i/>
      <w:iCs/>
    </w:rPr>
  </w:style>
  <w:style w:type="paragraph" w:styleId="Heading9">
    <w:name w:val="heading 9"/>
    <w:basedOn w:val="Normal"/>
    <w:next w:val="Normal"/>
    <w:uiPriority w:val="99"/>
    <w:semiHidden/>
    <w:qFormat/>
    <w:rsid w:val="00FA655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semiHidden/>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FA655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semiHidden/>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semiHidden/>
    <w:rsid w:val="00FA6558"/>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FA6558"/>
    <w:rPr>
      <w:b/>
      <w:bCs/>
    </w:rPr>
  </w:style>
  <w:style w:type="paragraph" w:styleId="Subtitle">
    <w:name w:val="Subtitle"/>
    <w:basedOn w:val="Normal"/>
    <w:uiPriority w:val="1"/>
    <w:semiHidden/>
    <w:qFormat/>
    <w:rsid w:val="00FA655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FA655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3"/>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3"/>
      </w:numPr>
      <w:outlineLvl w:val="5"/>
    </w:pPr>
  </w:style>
  <w:style w:type="paragraph" w:customStyle="1" w:styleId="Headingnumbered2">
    <w:name w:val="Heading numbered 2"/>
    <w:basedOn w:val="Heading2"/>
    <w:next w:val="Normal"/>
    <w:uiPriority w:val="1"/>
    <w:semiHidden/>
    <w:rsid w:val="00065F18"/>
    <w:pPr>
      <w:numPr>
        <w:ilvl w:val="1"/>
        <w:numId w:val="13"/>
      </w:numPr>
      <w:outlineLvl w:val="6"/>
    </w:pPr>
  </w:style>
  <w:style w:type="paragraph" w:customStyle="1" w:styleId="Headingnumbered3">
    <w:name w:val="Heading numbered 3"/>
    <w:basedOn w:val="Normal"/>
    <w:next w:val="Normal"/>
    <w:uiPriority w:val="1"/>
    <w:semiHidden/>
    <w:rsid w:val="00065F18"/>
    <w:pPr>
      <w:numPr>
        <w:ilvl w:val="2"/>
        <w:numId w:val="13"/>
      </w:numPr>
      <w:spacing w:before="36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3"/>
      </w:numPr>
      <w:spacing w:before="360"/>
      <w:contextualSpacing/>
    </w:pPr>
    <w:rPr>
      <w:b/>
      <w:i/>
      <w:color w:val="1F546B"/>
    </w:rPr>
  </w:style>
  <w:style w:type="paragraph" w:customStyle="1" w:styleId="Tinyline">
    <w:name w:val="Tiny line"/>
    <w:basedOn w:val="Normal"/>
    <w:qFormat/>
    <w:rsid w:val="00FA6558"/>
    <w:pPr>
      <w:spacing w:before="0" w:after="0"/>
    </w:pPr>
    <w:rPr>
      <w:sz w:val="8"/>
    </w:rPr>
  </w:style>
  <w:style w:type="paragraph" w:customStyle="1" w:styleId="Numberedpara1level3a">
    <w:name w:val="Numbered para (1) level 3 (a)"/>
    <w:basedOn w:val="Normal"/>
    <w:semiHidden/>
    <w:rsid w:val="00065F18"/>
    <w:pPr>
      <w:numPr>
        <w:ilvl w:val="2"/>
        <w:numId w:val="26"/>
      </w:numPr>
    </w:pPr>
  </w:style>
  <w:style w:type="paragraph" w:customStyle="1" w:styleId="Numberedpara1level4i">
    <w:name w:val="Numbered para (1) level 4 (i)"/>
    <w:basedOn w:val="Normal"/>
    <w:semiHidden/>
    <w:rsid w:val="00065F18"/>
    <w:pPr>
      <w:numPr>
        <w:ilvl w:val="3"/>
        <w:numId w:val="26"/>
      </w:numPr>
    </w:pPr>
  </w:style>
  <w:style w:type="paragraph" w:customStyle="1" w:styleId="Bullet">
    <w:name w:val="Bullet"/>
    <w:basedOn w:val="Normal"/>
    <w:rsid w:val="00065F18"/>
    <w:pPr>
      <w:numPr>
        <w:numId w:val="14"/>
      </w:numPr>
      <w:spacing w:before="80" w:after="80"/>
    </w:pPr>
    <w:rPr>
      <w:noProof/>
    </w:rPr>
  </w:style>
  <w:style w:type="paragraph" w:customStyle="1" w:styleId="Bulletlevel2">
    <w:name w:val="Bullet level 2"/>
    <w:basedOn w:val="Normal"/>
    <w:uiPriority w:val="1"/>
    <w:semiHidden/>
    <w:rsid w:val="00065F18"/>
    <w:pPr>
      <w:numPr>
        <w:ilvl w:val="1"/>
        <w:numId w:val="14"/>
      </w:numPr>
      <w:spacing w:before="80" w:after="80"/>
    </w:pPr>
  </w:style>
  <w:style w:type="paragraph" w:customStyle="1" w:styleId="Bulletlevel3">
    <w:name w:val="Bullet level 3"/>
    <w:basedOn w:val="Normal"/>
    <w:uiPriority w:val="1"/>
    <w:semiHidden/>
    <w:rsid w:val="00065F18"/>
    <w:pPr>
      <w:numPr>
        <w:ilvl w:val="2"/>
        <w:numId w:val="14"/>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1"/>
      </w:numPr>
      <w:spacing w:before="80" w:after="80"/>
    </w:pPr>
  </w:style>
  <w:style w:type="paragraph" w:customStyle="1" w:styleId="List123">
    <w:name w:val="List 1 2 3"/>
    <w:basedOn w:val="Normal"/>
    <w:rsid w:val="001B369D"/>
    <w:pPr>
      <w:numPr>
        <w:numId w:val="22"/>
      </w:numPr>
      <w:spacing w:before="80" w:after="80"/>
    </w:pPr>
  </w:style>
  <w:style w:type="paragraph" w:styleId="FootnoteText">
    <w:name w:val="footnote text"/>
    <w:basedOn w:val="Normal"/>
    <w:link w:val="FootnoteTextChar"/>
    <w:uiPriority w:val="99"/>
    <w:semiHidden/>
    <w:rsid w:val="00065F18"/>
    <w:pPr>
      <w:spacing w:before="60" w:after="60" w:line="192" w:lineRule="auto"/>
      <w:ind w:left="130" w:hanging="130"/>
    </w:pPr>
    <w:rPr>
      <w:sz w:val="20"/>
      <w:szCs w:val="20"/>
    </w:rPr>
  </w:style>
  <w:style w:type="character" w:styleId="FootnoteReference">
    <w:name w:val="footnote reference"/>
    <w:uiPriority w:val="99"/>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semiHidden/>
    <w:rsid w:val="00FA655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5"/>
      </w:numPr>
    </w:pPr>
  </w:style>
  <w:style w:type="paragraph" w:customStyle="1" w:styleId="Tablebulletlevel2">
    <w:name w:val="Table bullet level 2"/>
    <w:basedOn w:val="Tablenormal0"/>
    <w:uiPriority w:val="99"/>
    <w:semiHidden/>
    <w:rsid w:val="00065F18"/>
    <w:pPr>
      <w:numPr>
        <w:ilvl w:val="1"/>
        <w:numId w:val="15"/>
      </w:numPr>
    </w:pPr>
  </w:style>
  <w:style w:type="paragraph" w:customStyle="1" w:styleId="TableBulletListLevel3">
    <w:name w:val="Table Bullet List Level 3"/>
    <w:basedOn w:val="BodyTextTable"/>
    <w:uiPriority w:val="11"/>
    <w:semiHidden/>
    <w:rsid w:val="00065F18"/>
    <w:pPr>
      <w:numPr>
        <w:ilvl w:val="2"/>
        <w:numId w:val="15"/>
      </w:numPr>
      <w:spacing w:before="60" w:after="60"/>
    </w:pPr>
  </w:style>
  <w:style w:type="paragraph" w:customStyle="1" w:styleId="Tablelist123">
    <w:name w:val="Table list 1 2 3"/>
    <w:basedOn w:val="Tablenormal0"/>
    <w:rsid w:val="00065F18"/>
    <w:pPr>
      <w:numPr>
        <w:numId w:val="17"/>
      </w:numPr>
    </w:pPr>
  </w:style>
  <w:style w:type="paragraph" w:customStyle="1" w:styleId="Tablelist123level2">
    <w:name w:val="Table list 1 2 3 level 2"/>
    <w:basedOn w:val="Tablenormal0"/>
    <w:semiHidden/>
    <w:rsid w:val="00065F18"/>
    <w:pPr>
      <w:numPr>
        <w:ilvl w:val="1"/>
        <w:numId w:val="17"/>
      </w:numPr>
    </w:pPr>
  </w:style>
  <w:style w:type="character" w:customStyle="1" w:styleId="Heading4Char">
    <w:name w:val="Heading 4 Char"/>
    <w:basedOn w:val="DefaultParagraphFont"/>
    <w:link w:val="Heading4"/>
    <w:semiHidden/>
    <w:rsid w:val="00FA655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6"/>
      </w:numPr>
    </w:pPr>
  </w:style>
  <w:style w:type="paragraph" w:customStyle="1" w:styleId="BodyTextTableLevel2">
    <w:name w:val="Body Text Table Level 2"/>
    <w:basedOn w:val="BodyTextTable"/>
    <w:uiPriority w:val="11"/>
    <w:semiHidden/>
    <w:rsid w:val="00065F18"/>
    <w:pPr>
      <w:numPr>
        <w:ilvl w:val="1"/>
        <w:numId w:val="16"/>
      </w:numPr>
    </w:pPr>
  </w:style>
  <w:style w:type="paragraph" w:customStyle="1" w:styleId="BodyTextTableLevel3">
    <w:name w:val="Body Text Table Level 3"/>
    <w:basedOn w:val="BodyTextTable"/>
    <w:uiPriority w:val="11"/>
    <w:semiHidden/>
    <w:rsid w:val="00065F18"/>
    <w:pPr>
      <w:numPr>
        <w:ilvl w:val="3"/>
        <w:numId w:val="17"/>
      </w:numPr>
    </w:pPr>
  </w:style>
  <w:style w:type="paragraph" w:styleId="Caption">
    <w:name w:val="caption"/>
    <w:basedOn w:val="Normal"/>
    <w:next w:val="Normal"/>
    <w:qFormat/>
    <w:rsid w:val="00FA6558"/>
    <w:pPr>
      <w:keepNext/>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semiHidden/>
    <w:rsid w:val="00065F18"/>
    <w:pPr>
      <w:pageBreakBefore/>
      <w:numPr>
        <w:numId w:val="18"/>
      </w:numPr>
      <w:tabs>
        <w:tab w:val="left" w:pos="2268"/>
      </w:tabs>
      <w:spacing w:before="0"/>
      <w:outlineLvl w:val="7"/>
    </w:pPr>
  </w:style>
  <w:style w:type="paragraph" w:customStyle="1" w:styleId="NotforContentsheading1">
    <w:name w:val="Not for Contents heading 1"/>
    <w:basedOn w:val="Normal"/>
    <w:next w:val="Normal"/>
    <w:semiHidden/>
    <w:rsid w:val="00065F18"/>
    <w:pPr>
      <w:keepNext/>
      <w:spacing w:before="48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FA6558"/>
    <w:pPr>
      <w:numPr>
        <w:ilvl w:val="1"/>
        <w:numId w:val="21"/>
      </w:numPr>
      <w:spacing w:before="80" w:after="80"/>
    </w:pPr>
  </w:style>
  <w:style w:type="paragraph" w:customStyle="1" w:styleId="NotforContentsheading2">
    <w:name w:val="Not for Contents heading 2"/>
    <w:basedOn w:val="Normal"/>
    <w:next w:val="Normal"/>
    <w:semiHidden/>
    <w:rsid w:val="00065F18"/>
    <w:pPr>
      <w:keepNext/>
      <w:spacing w:before="360"/>
      <w:contextualSpacing/>
    </w:pPr>
    <w:rPr>
      <w:b/>
      <w:color w:val="1F546B"/>
      <w:sz w:val="36"/>
    </w:rPr>
  </w:style>
  <w:style w:type="character" w:customStyle="1" w:styleId="Heading3Char">
    <w:name w:val="Heading 3 Char"/>
    <w:link w:val="Heading3"/>
    <w:semiHidden/>
    <w:rsid w:val="00FA6558"/>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Cabinetpaper">
    <w:name w:val="_Cabinet paper"/>
    <w:basedOn w:val="TableNormal"/>
    <w:uiPriority w:val="99"/>
    <w:rsid w:val="00BF0BE0"/>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styleId="SubtleEmphasis">
    <w:name w:val="Subtle Emphasis"/>
    <w:basedOn w:val="DefaultParagraphFont"/>
    <w:uiPriority w:val="99"/>
    <w:semiHidden/>
    <w:qFormat/>
    <w:rsid w:val="00FA6558"/>
    <w:rPr>
      <w:i/>
      <w:iCs/>
    </w:rPr>
  </w:style>
  <w:style w:type="character" w:styleId="IntenseEmphasis">
    <w:name w:val="Intense Emphasis"/>
    <w:uiPriority w:val="99"/>
    <w:semiHidden/>
    <w:qFormat/>
    <w:rsid w:val="00FA6558"/>
    <w:rPr>
      <w:b/>
      <w:i/>
    </w:rPr>
  </w:style>
  <w:style w:type="paragraph" w:styleId="ListParagraph">
    <w:name w:val="List Paragraph"/>
    <w:basedOn w:val="Bullet"/>
    <w:uiPriority w:val="34"/>
    <w:qFormat/>
    <w:rsid w:val="00FA6558"/>
    <w:pPr>
      <w:numPr>
        <w:numId w:val="20"/>
      </w:numPr>
    </w:pPr>
  </w:style>
  <w:style w:type="character" w:customStyle="1" w:styleId="Heading5Char">
    <w:name w:val="Heading 5 Char"/>
    <w:basedOn w:val="DefaultParagraphFont"/>
    <w:link w:val="Heading5"/>
    <w:uiPriority w:val="1"/>
    <w:semiHidden/>
    <w:rsid w:val="00FA6558"/>
    <w:rPr>
      <w:rFonts w:eastAsiaTheme="minorHAnsi"/>
      <w:b/>
      <w:bCs/>
      <w:iCs/>
      <w:szCs w:val="26"/>
      <w:lang w:eastAsia="en-US"/>
    </w:rPr>
  </w:style>
  <w:style w:type="character" w:styleId="SubtleReference">
    <w:name w:val="Subtle Reference"/>
    <w:basedOn w:val="DefaultParagraphFont"/>
    <w:uiPriority w:val="99"/>
    <w:semiHidden/>
    <w:qFormat/>
    <w:rsid w:val="00FA6558"/>
    <w:rPr>
      <w:rFonts w:ascii="Calibri" w:hAnsi="Calibri"/>
      <w:smallCaps/>
      <w:color w:val="A42F13" w:themeColor="accent2"/>
      <w:u w:val="single"/>
    </w:rPr>
  </w:style>
  <w:style w:type="character" w:styleId="BookTitle">
    <w:name w:val="Book Title"/>
    <w:basedOn w:val="DefaultParagraphFont"/>
    <w:uiPriority w:val="33"/>
    <w:semiHidden/>
    <w:qFormat/>
    <w:rsid w:val="00FA6558"/>
    <w:rPr>
      <w:rFonts w:ascii="Calibri" w:hAnsi="Calibri"/>
      <w:b/>
      <w:bCs/>
      <w:smallCaps/>
      <w:spacing w:val="5"/>
    </w:rPr>
  </w:style>
  <w:style w:type="character" w:styleId="IntenseReference">
    <w:name w:val="Intense Reference"/>
    <w:basedOn w:val="DefaultParagraphFont"/>
    <w:uiPriority w:val="99"/>
    <w:semiHidden/>
    <w:qFormat/>
    <w:rsid w:val="00FA655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FA655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FA6558"/>
    <w:rPr>
      <w:rFonts w:eastAsiaTheme="minorHAnsi"/>
      <w:b/>
      <w:bCs/>
      <w:i/>
      <w:iCs/>
      <w:color w:val="1F546B" w:themeColor="text2"/>
      <w:lang w:eastAsia="en-US"/>
    </w:rPr>
  </w:style>
  <w:style w:type="paragraph" w:customStyle="1" w:styleId="Headingpage">
    <w:name w:val="Heading page"/>
    <w:basedOn w:val="Normal"/>
    <w:next w:val="Normal"/>
    <w:rsid w:val="00484044"/>
    <w:pPr>
      <w:spacing w:before="400"/>
    </w:pPr>
    <w:rPr>
      <w:b/>
      <w:color w:val="000000" w:themeColor="text1"/>
      <w:sz w:val="28"/>
    </w:rPr>
  </w:style>
  <w:style w:type="paragraph" w:customStyle="1" w:styleId="Tablenormal0">
    <w:name w:val="Table normal"/>
    <w:basedOn w:val="Normal"/>
    <w:qFormat/>
    <w:rsid w:val="00FA6558"/>
    <w:pPr>
      <w:spacing w:before="40" w:after="40"/>
    </w:pPr>
    <w:rPr>
      <w:sz w:val="22"/>
    </w:rPr>
  </w:style>
  <w:style w:type="character" w:customStyle="1" w:styleId="Heading6Char">
    <w:name w:val="Heading 6 Char"/>
    <w:basedOn w:val="DefaultParagraphFont"/>
    <w:link w:val="Heading6"/>
    <w:uiPriority w:val="1"/>
    <w:semiHidden/>
    <w:rsid w:val="00FA6558"/>
    <w:rPr>
      <w:rFonts w:eastAsiaTheme="minorHAnsi"/>
      <w:b/>
      <w:bCs/>
      <w:i/>
      <w:szCs w:val="22"/>
      <w:lang w:eastAsia="en-US"/>
    </w:rPr>
  </w:style>
  <w:style w:type="paragraph" w:customStyle="1" w:styleId="ListABClevel3">
    <w:name w:val="List A B C level 3"/>
    <w:basedOn w:val="Normal"/>
    <w:uiPriority w:val="1"/>
    <w:semiHidden/>
    <w:qFormat/>
    <w:rsid w:val="00FA6558"/>
    <w:pPr>
      <w:numPr>
        <w:ilvl w:val="2"/>
        <w:numId w:val="21"/>
      </w:numPr>
      <w:spacing w:before="80" w:after="80"/>
    </w:pPr>
  </w:style>
  <w:style w:type="paragraph" w:customStyle="1" w:styleId="List123level2">
    <w:name w:val="List 1 2 3 level 2"/>
    <w:basedOn w:val="Normal"/>
    <w:uiPriority w:val="1"/>
    <w:semiHidden/>
    <w:qFormat/>
    <w:rsid w:val="001B369D"/>
    <w:pPr>
      <w:numPr>
        <w:ilvl w:val="1"/>
        <w:numId w:val="22"/>
      </w:numPr>
      <w:spacing w:before="80" w:after="80"/>
    </w:pPr>
  </w:style>
  <w:style w:type="paragraph" w:customStyle="1" w:styleId="List123level3">
    <w:name w:val="List 1 2 3 level 3"/>
    <w:basedOn w:val="Normal"/>
    <w:uiPriority w:val="1"/>
    <w:semiHidden/>
    <w:qFormat/>
    <w:rsid w:val="001B369D"/>
    <w:pPr>
      <w:numPr>
        <w:ilvl w:val="2"/>
        <w:numId w:val="22"/>
      </w:numPr>
    </w:pPr>
  </w:style>
  <w:style w:type="paragraph" w:customStyle="1" w:styleId="Legislationsection">
    <w:name w:val="Legislation section"/>
    <w:basedOn w:val="Normal"/>
    <w:semiHidden/>
    <w:qFormat/>
    <w:rsid w:val="00FA6558"/>
    <w:pPr>
      <w:numPr>
        <w:numId w:val="24"/>
      </w:numPr>
      <w:tabs>
        <w:tab w:val="left" w:pos="567"/>
      </w:tabs>
      <w:spacing w:after="60"/>
    </w:pPr>
    <w:rPr>
      <w:b/>
      <w:sz w:val="22"/>
    </w:rPr>
  </w:style>
  <w:style w:type="paragraph" w:customStyle="1" w:styleId="Legislationnumber">
    <w:name w:val="Legislation number"/>
    <w:basedOn w:val="Normal"/>
    <w:semiHidden/>
    <w:qFormat/>
    <w:rsid w:val="00FA6558"/>
    <w:pPr>
      <w:numPr>
        <w:numId w:val="23"/>
      </w:numPr>
      <w:tabs>
        <w:tab w:val="left" w:pos="567"/>
      </w:tabs>
      <w:spacing w:before="60" w:after="60"/>
    </w:pPr>
    <w:rPr>
      <w:sz w:val="22"/>
    </w:rPr>
  </w:style>
  <w:style w:type="paragraph" w:customStyle="1" w:styleId="Legislationa">
    <w:name w:val="Legislation (a)"/>
    <w:basedOn w:val="Normal"/>
    <w:semiHidden/>
    <w:qFormat/>
    <w:rsid w:val="00FA6558"/>
    <w:pPr>
      <w:numPr>
        <w:ilvl w:val="2"/>
        <w:numId w:val="24"/>
      </w:numPr>
      <w:spacing w:before="60" w:after="60"/>
    </w:pPr>
    <w:rPr>
      <w:sz w:val="22"/>
    </w:rPr>
  </w:style>
  <w:style w:type="paragraph" w:customStyle="1" w:styleId="Legislationi">
    <w:name w:val="Legislation (i)"/>
    <w:basedOn w:val="Normal"/>
    <w:semiHidden/>
    <w:qFormat/>
    <w:rsid w:val="00FA6558"/>
    <w:pPr>
      <w:numPr>
        <w:ilvl w:val="3"/>
        <w:numId w:val="24"/>
      </w:numPr>
      <w:spacing w:before="60" w:after="60"/>
    </w:pPr>
    <w:rPr>
      <w:sz w:val="22"/>
    </w:rPr>
  </w:style>
  <w:style w:type="paragraph" w:customStyle="1" w:styleId="Numberedparaindentonly">
    <w:name w:val="Numbered para indent only"/>
    <w:basedOn w:val="Normal"/>
    <w:qFormat/>
    <w:rsid w:val="00FA6558"/>
    <w:pPr>
      <w:ind w:left="567"/>
    </w:pPr>
  </w:style>
  <w:style w:type="paragraph" w:customStyle="1" w:styleId="Spacer">
    <w:name w:val="Spacer"/>
    <w:basedOn w:val="Normal"/>
    <w:qFormat/>
    <w:rsid w:val="00FA6558"/>
    <w:pPr>
      <w:spacing w:before="0" w:after="0"/>
    </w:pPr>
  </w:style>
  <w:style w:type="paragraph" w:customStyle="1" w:styleId="Page">
    <w:name w:val="Page"/>
    <w:basedOn w:val="Spacer"/>
    <w:semiHidden/>
    <w:qFormat/>
    <w:rsid w:val="00FA655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FA6558"/>
    <w:rPr>
      <w:sz w:val="24"/>
    </w:rPr>
  </w:style>
  <w:style w:type="paragraph" w:customStyle="1" w:styleId="Tableheading12pt">
    <w:name w:val="Table heading 12pt"/>
    <w:basedOn w:val="Tableheading"/>
    <w:semiHidden/>
    <w:qFormat/>
    <w:rsid w:val="00FA6558"/>
    <w:rPr>
      <w:sz w:val="24"/>
    </w:rPr>
  </w:style>
  <w:style w:type="paragraph" w:customStyle="1" w:styleId="Documentationpageheading">
    <w:name w:val="Documentation page heading"/>
    <w:basedOn w:val="Normal"/>
    <w:semiHidden/>
    <w:qFormat/>
    <w:rsid w:val="00FA6558"/>
    <w:pPr>
      <w:spacing w:after="0"/>
    </w:pPr>
    <w:rPr>
      <w:b/>
      <w:color w:val="1F546B" w:themeColor="text2"/>
      <w:sz w:val="36"/>
    </w:rPr>
  </w:style>
  <w:style w:type="paragraph" w:customStyle="1" w:styleId="Documentationpagesubheading">
    <w:name w:val="Documentation page subheading"/>
    <w:basedOn w:val="Documentationpageheading"/>
    <w:semiHidden/>
    <w:qFormat/>
    <w:rsid w:val="00FA6558"/>
    <w:rPr>
      <w:sz w:val="28"/>
    </w:rPr>
  </w:style>
  <w:style w:type="paragraph" w:customStyle="1" w:styleId="Documentationpagetable">
    <w:name w:val="Documentation page table"/>
    <w:basedOn w:val="Normal"/>
    <w:semiHidden/>
    <w:qFormat/>
    <w:rsid w:val="00FA6558"/>
    <w:pPr>
      <w:spacing w:before="44" w:after="24"/>
    </w:pPr>
    <w:rPr>
      <w:rFonts w:cstheme="minorBidi"/>
      <w:sz w:val="20"/>
    </w:rPr>
  </w:style>
  <w:style w:type="paragraph" w:customStyle="1" w:styleId="Documentationpagetableheading">
    <w:name w:val="Documentation page table heading"/>
    <w:basedOn w:val="Normal"/>
    <w:semiHidden/>
    <w:qFormat/>
    <w:rsid w:val="00FA6558"/>
    <w:pPr>
      <w:spacing w:before="40" w:after="40"/>
    </w:pPr>
    <w:rPr>
      <w:rFonts w:cstheme="minorBidi"/>
      <w:b/>
      <w:color w:val="FFFFFF" w:themeColor="background1"/>
      <w:sz w:val="20"/>
    </w:rPr>
  </w:style>
  <w:style w:type="paragraph" w:customStyle="1" w:styleId="Numberedpara3subheading">
    <w:name w:val="Numbered para (3) subheading"/>
    <w:basedOn w:val="Normal"/>
    <w:next w:val="Normal"/>
    <w:semiHidden/>
    <w:rsid w:val="00065F18"/>
    <w:pPr>
      <w:spacing w:before="240"/>
    </w:pPr>
    <w:rPr>
      <w:b/>
      <w:i/>
    </w:rPr>
  </w:style>
  <w:style w:type="paragraph" w:customStyle="1" w:styleId="Numberedpara3level1">
    <w:name w:val="Numbered para (3) level 1"/>
    <w:basedOn w:val="Normal"/>
    <w:qFormat/>
    <w:rsid w:val="00A75B42"/>
    <w:pPr>
      <w:numPr>
        <w:numId w:val="25"/>
      </w:numPr>
    </w:pPr>
  </w:style>
  <w:style w:type="paragraph" w:customStyle="1" w:styleId="Numberedpara3level211">
    <w:name w:val="Numbered para (3) level 2 (1.1)"/>
    <w:basedOn w:val="Normal"/>
    <w:qFormat/>
    <w:rsid w:val="00A75B42"/>
    <w:pPr>
      <w:numPr>
        <w:ilvl w:val="1"/>
        <w:numId w:val="25"/>
      </w:numPr>
      <w:ind w:left="1304" w:hanging="737"/>
    </w:pPr>
  </w:style>
  <w:style w:type="paragraph" w:customStyle="1" w:styleId="Numberedpara3level3111">
    <w:name w:val="Numbered para (3) level 3 (1.1.1)"/>
    <w:basedOn w:val="Normal"/>
    <w:qFormat/>
    <w:rsid w:val="00A75B42"/>
    <w:pPr>
      <w:numPr>
        <w:ilvl w:val="2"/>
        <w:numId w:val="25"/>
      </w:numPr>
      <w:ind w:left="2211" w:hanging="907"/>
    </w:pPr>
  </w:style>
  <w:style w:type="paragraph" w:customStyle="1" w:styleId="Title2">
    <w:name w:val="Title 2"/>
    <w:basedOn w:val="Title"/>
    <w:semiHidden/>
    <w:qFormat/>
    <w:rsid w:val="00FA6558"/>
    <w:rPr>
      <w:sz w:val="52"/>
    </w:rPr>
  </w:style>
  <w:style w:type="paragraph" w:customStyle="1" w:styleId="Numberedpara3heading">
    <w:name w:val="Numbered para (3) heading"/>
    <w:basedOn w:val="Normal"/>
    <w:semiHidden/>
    <w:qFormat/>
    <w:rsid w:val="002D38AA"/>
    <w:pPr>
      <w:keepNext/>
      <w:spacing w:before="200"/>
    </w:pPr>
    <w:rPr>
      <w:b/>
    </w:rPr>
  </w:style>
  <w:style w:type="character" w:customStyle="1" w:styleId="HeaderChar">
    <w:name w:val="Header Char"/>
    <w:basedOn w:val="DefaultParagraphFont"/>
    <w:link w:val="Header"/>
    <w:semiHidden/>
    <w:rsid w:val="002D38AA"/>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FA6558"/>
    <w:rPr>
      <w:b/>
      <w:i w:val="0"/>
      <w:caps/>
      <w:smallCaps w:val="0"/>
      <w:sz w:val="22"/>
    </w:rPr>
  </w:style>
  <w:style w:type="paragraph" w:customStyle="1" w:styleId="Numberedpara1level211">
    <w:name w:val="Numbered para (1) level 2 (1.1)"/>
    <w:basedOn w:val="Normal"/>
    <w:semiHidden/>
    <w:rsid w:val="00065F18"/>
    <w:pPr>
      <w:numPr>
        <w:ilvl w:val="1"/>
        <w:numId w:val="26"/>
      </w:numPr>
    </w:pPr>
  </w:style>
  <w:style w:type="paragraph" w:customStyle="1" w:styleId="Numberedpara11headingwithnumber">
    <w:name w:val="Numbered para (1) 1 (heading with number)"/>
    <w:basedOn w:val="Normal"/>
    <w:semiHidden/>
    <w:qFormat/>
    <w:rsid w:val="00FA6558"/>
    <w:pPr>
      <w:numPr>
        <w:numId w:val="26"/>
      </w:numPr>
      <w:spacing w:before="240"/>
    </w:pPr>
    <w:rPr>
      <w:b/>
      <w:sz w:val="28"/>
    </w:rPr>
  </w:style>
  <w:style w:type="paragraph" w:customStyle="1" w:styleId="Crossreference">
    <w:name w:val="Cross reference"/>
    <w:basedOn w:val="Normal"/>
    <w:link w:val="CrossreferenceChar"/>
    <w:semiHidden/>
    <w:qFormat/>
    <w:rsid w:val="00BF0BE0"/>
    <w:rPr>
      <w:i/>
      <w:color w:val="000000" w:themeColor="text1"/>
      <w:u w:val="single"/>
    </w:rPr>
  </w:style>
  <w:style w:type="paragraph" w:customStyle="1" w:styleId="Headerforcabinetpapers">
    <w:name w:val="Header for cabinet papers"/>
    <w:basedOn w:val="Normal"/>
    <w:qFormat/>
    <w:rsid w:val="00FA6558"/>
    <w:pPr>
      <w:tabs>
        <w:tab w:val="center" w:pos="4536"/>
      </w:tabs>
      <w:jc w:val="center"/>
    </w:pPr>
    <w:rPr>
      <w:b/>
      <w:caps/>
    </w:rPr>
  </w:style>
  <w:style w:type="paragraph" w:customStyle="1" w:styleId="FinancialtableLHC">
    <w:name w:val="Financial table LHC"/>
    <w:basedOn w:val="Normal"/>
    <w:semiHidden/>
    <w:qFormat/>
    <w:rsid w:val="00FA6558"/>
    <w:pPr>
      <w:spacing w:before="0" w:after="0"/>
      <w:contextualSpacing/>
    </w:pPr>
    <w:rPr>
      <w:sz w:val="22"/>
    </w:rPr>
  </w:style>
  <w:style w:type="paragraph" w:customStyle="1" w:styleId="Financialtablefigures">
    <w:name w:val="Financial table figures"/>
    <w:basedOn w:val="FinancialtableLHC"/>
    <w:semiHidden/>
    <w:qFormat/>
    <w:rsid w:val="00FA6558"/>
    <w:pPr>
      <w:jc w:val="right"/>
    </w:pPr>
  </w:style>
  <w:style w:type="paragraph" w:customStyle="1" w:styleId="Financialtableyears">
    <w:name w:val="Financial table years"/>
    <w:basedOn w:val="Financialtablefigures"/>
    <w:semiHidden/>
    <w:qFormat/>
    <w:rsid w:val="00FA6558"/>
    <w:pPr>
      <w:jc w:val="center"/>
    </w:pPr>
    <w:rPr>
      <w:b/>
      <w:sz w:val="20"/>
    </w:rPr>
  </w:style>
  <w:style w:type="paragraph" w:customStyle="1" w:styleId="Tablesource">
    <w:name w:val="Table source"/>
    <w:basedOn w:val="Normal"/>
    <w:next w:val="Numberedpara3level1"/>
    <w:qFormat/>
    <w:rsid w:val="00FA6558"/>
    <w:pPr>
      <w:spacing w:before="40"/>
      <w:ind w:left="567"/>
    </w:pPr>
    <w:rPr>
      <w:sz w:val="22"/>
    </w:rPr>
  </w:style>
  <w:style w:type="paragraph" w:customStyle="1" w:styleId="Cabinetpaperparasubheading">
    <w:name w:val="Cabinet paper para subheading"/>
    <w:basedOn w:val="Normal"/>
    <w:next w:val="Numberedpara3level1"/>
    <w:qFormat/>
    <w:rsid w:val="00385C33"/>
    <w:pPr>
      <w:keepNext/>
      <w:spacing w:before="240"/>
    </w:pPr>
    <w:rPr>
      <w:b/>
      <w:i/>
    </w:rPr>
  </w:style>
  <w:style w:type="paragraph" w:customStyle="1" w:styleId="Cabinetpaperparaheading">
    <w:name w:val="Cabinet paper para heading"/>
    <w:basedOn w:val="Normal"/>
    <w:next w:val="Numberedpara3level1"/>
    <w:qFormat/>
    <w:rsid w:val="00BF0BE0"/>
    <w:pPr>
      <w:keepNext/>
      <w:spacing w:before="200"/>
    </w:pPr>
    <w:rPr>
      <w:b/>
      <w:sz w:val="26"/>
    </w:rPr>
  </w:style>
  <w:style w:type="paragraph" w:customStyle="1" w:styleId="Cabinetpaperparasubsubheading">
    <w:name w:val="Cabinet paper para subsubheading"/>
    <w:basedOn w:val="Normal"/>
    <w:next w:val="Numberedpara3level1"/>
    <w:qFormat/>
    <w:rsid w:val="00BF0BE0"/>
    <w:pPr>
      <w:keepNext/>
      <w:keepLines w:val="0"/>
      <w:spacing w:before="240"/>
    </w:pPr>
    <w:rPr>
      <w:i/>
    </w:rPr>
  </w:style>
  <w:style w:type="character" w:customStyle="1" w:styleId="CrossreferenceChar">
    <w:name w:val="Cross reference Char"/>
    <w:basedOn w:val="DefaultParagraphFont"/>
    <w:link w:val="Crossreference"/>
    <w:semiHidden/>
    <w:rsid w:val="00E4405F"/>
    <w:rPr>
      <w:rFonts w:eastAsiaTheme="minorHAnsi"/>
      <w:i/>
      <w:color w:val="000000" w:themeColor="text1"/>
      <w:u w:val="single"/>
      <w:lang w:eastAsia="en-US"/>
    </w:rPr>
  </w:style>
  <w:style w:type="character" w:customStyle="1" w:styleId="Crossreferences">
    <w:name w:val="Cross references"/>
    <w:basedOn w:val="DefaultParagraphFont"/>
    <w:uiPriority w:val="1"/>
    <w:qFormat/>
    <w:rsid w:val="00E4405F"/>
    <w:rPr>
      <w:i/>
      <w:u w:val="single"/>
    </w:rPr>
  </w:style>
  <w:style w:type="paragraph" w:customStyle="1" w:styleId="Briefingparasubheading">
    <w:name w:val="Briefing para subheading"/>
    <w:basedOn w:val="Normal"/>
    <w:next w:val="Numberedpara3level1"/>
    <w:qFormat/>
    <w:rsid w:val="00966517"/>
    <w:pPr>
      <w:keepNext/>
      <w:keepLines w:val="0"/>
      <w:spacing w:before="240"/>
    </w:pPr>
    <w:rPr>
      <w:b/>
      <w:i/>
    </w:rPr>
  </w:style>
  <w:style w:type="paragraph" w:customStyle="1" w:styleId="Briefingparaheading">
    <w:name w:val="Briefing para heading"/>
    <w:basedOn w:val="Normal"/>
    <w:next w:val="Numberedpara3level1"/>
    <w:qFormat/>
    <w:rsid w:val="006D1BD4"/>
    <w:pPr>
      <w:keepNext/>
      <w:keepLines w:val="0"/>
      <w:spacing w:before="240"/>
    </w:pPr>
    <w:rPr>
      <w:b/>
      <w:sz w:val="26"/>
    </w:rPr>
  </w:style>
  <w:style w:type="table" w:customStyle="1" w:styleId="Ministerial">
    <w:name w:val="_Ministerial"/>
    <w:basedOn w:val="TableNormal"/>
    <w:uiPriority w:val="99"/>
    <w:rsid w:val="005B76B3"/>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styleId="CommentText">
    <w:name w:val="annotation text"/>
    <w:basedOn w:val="Normal"/>
    <w:link w:val="CommentTextChar"/>
    <w:uiPriority w:val="99"/>
    <w:semiHidden/>
    <w:unhideWhenUsed/>
    <w:rsid w:val="00302C91"/>
    <w:rPr>
      <w:sz w:val="20"/>
      <w:szCs w:val="20"/>
    </w:rPr>
  </w:style>
  <w:style w:type="character" w:customStyle="1" w:styleId="CommentTextChar">
    <w:name w:val="Comment Text Char"/>
    <w:basedOn w:val="DefaultParagraphFont"/>
    <w:link w:val="CommentText"/>
    <w:uiPriority w:val="99"/>
    <w:semiHidden/>
    <w:rsid w:val="00302C9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02C91"/>
    <w:rPr>
      <w:b/>
      <w:bCs/>
    </w:rPr>
  </w:style>
  <w:style w:type="character" w:customStyle="1" w:styleId="CommentSubjectChar">
    <w:name w:val="Comment Subject Char"/>
    <w:basedOn w:val="CommentTextChar"/>
    <w:link w:val="CommentSubject"/>
    <w:uiPriority w:val="99"/>
    <w:semiHidden/>
    <w:rsid w:val="00302C91"/>
    <w:rPr>
      <w:rFonts w:eastAsiaTheme="minorHAnsi"/>
      <w:b/>
      <w:bCs/>
      <w:sz w:val="20"/>
      <w:szCs w:val="20"/>
      <w:lang w:eastAsia="en-US"/>
    </w:rPr>
  </w:style>
  <w:style w:type="paragraph" w:customStyle="1" w:styleId="Briefingtext">
    <w:name w:val="Briefing text"/>
    <w:basedOn w:val="Normal"/>
    <w:rsid w:val="006B1B79"/>
    <w:pPr>
      <w:keepLines w:val="0"/>
      <w:numPr>
        <w:numId w:val="28"/>
      </w:numPr>
      <w:tabs>
        <w:tab w:val="left" w:pos="567"/>
      </w:tabs>
      <w:spacing w:before="0"/>
      <w:jc w:val="both"/>
    </w:pPr>
    <w:rPr>
      <w:rFonts w:ascii="Arial Mäori" w:eastAsia="Times New Roman" w:hAnsi="Arial Mäori"/>
    </w:rPr>
  </w:style>
  <w:style w:type="character" w:customStyle="1" w:styleId="FootnoteTextChar">
    <w:name w:val="Footnote Text Char"/>
    <w:basedOn w:val="DefaultParagraphFont"/>
    <w:link w:val="FootnoteText"/>
    <w:uiPriority w:val="99"/>
    <w:semiHidden/>
    <w:rsid w:val="0079634E"/>
    <w:rPr>
      <w:rFonts w:eastAsiaTheme="minorHAnsi"/>
      <w:sz w:val="20"/>
      <w:szCs w:val="20"/>
      <w:lang w:eastAsia="en-US"/>
    </w:rPr>
  </w:style>
  <w:style w:type="paragraph" w:customStyle="1" w:styleId="Tableheading2">
    <w:name w:val="Table heading 2"/>
    <w:basedOn w:val="Normal"/>
    <w:rsid w:val="002E5774"/>
    <w:pPr>
      <w:spacing w:before="44" w:after="24"/>
    </w:pPr>
    <w:rPr>
      <w:rFonts w:cstheme="minorBid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0"/>
    <w:lsdException w:name="footer" w:uiPriority="0"/>
    <w:lsdException w:name="caption" w:uiPriority="0" w:qFormat="1"/>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80"/>
    <w:pPr>
      <w:keepLines/>
    </w:pPr>
    <w:rPr>
      <w:rFonts w:eastAsiaTheme="minorHAnsi"/>
      <w:lang w:eastAsia="en-US"/>
    </w:rPr>
  </w:style>
  <w:style w:type="paragraph" w:styleId="Heading1">
    <w:name w:val="heading 1"/>
    <w:basedOn w:val="Normal"/>
    <w:next w:val="Normal"/>
    <w:link w:val="Heading1Char"/>
    <w:semiHidden/>
    <w:qFormat/>
    <w:rsid w:val="00FA6558"/>
    <w:pPr>
      <w:keepNext/>
      <w:spacing w:before="480"/>
      <w:contextualSpacing/>
      <w:outlineLvl w:val="0"/>
    </w:pPr>
    <w:rPr>
      <w:rFonts w:cs="Arial"/>
      <w:b/>
      <w:bCs/>
      <w:color w:val="1F546B" w:themeColor="text2"/>
      <w:kern w:val="32"/>
      <w:sz w:val="52"/>
      <w:szCs w:val="32"/>
    </w:rPr>
  </w:style>
  <w:style w:type="paragraph" w:styleId="Heading2">
    <w:name w:val="heading 2"/>
    <w:basedOn w:val="Normal"/>
    <w:next w:val="Normal"/>
    <w:link w:val="Heading2Char"/>
    <w:semiHidden/>
    <w:qFormat/>
    <w:rsid w:val="00FA6558"/>
    <w:pPr>
      <w:keepNext/>
      <w:spacing w:before="360"/>
      <w:contextualSpacing/>
      <w:outlineLvl w:val="1"/>
    </w:pPr>
    <w:rPr>
      <w:rFonts w:cs="Arial"/>
      <w:b/>
      <w:bCs/>
      <w:iCs/>
      <w:color w:val="1F546B"/>
      <w:sz w:val="36"/>
      <w:szCs w:val="28"/>
    </w:rPr>
  </w:style>
  <w:style w:type="paragraph" w:styleId="Heading3">
    <w:name w:val="heading 3"/>
    <w:basedOn w:val="Normal"/>
    <w:next w:val="Normal"/>
    <w:link w:val="Heading3Char"/>
    <w:semiHidden/>
    <w:qFormat/>
    <w:rsid w:val="00FA6558"/>
    <w:pPr>
      <w:keepNext/>
      <w:spacing w:before="360"/>
      <w:contextualSpacing/>
      <w:outlineLvl w:val="2"/>
    </w:pPr>
    <w:rPr>
      <w:rFonts w:cs="Arial"/>
      <w:b/>
      <w:bCs/>
      <w:color w:val="1F546B"/>
      <w:sz w:val="28"/>
      <w:szCs w:val="26"/>
    </w:rPr>
  </w:style>
  <w:style w:type="paragraph" w:styleId="Heading4">
    <w:name w:val="heading 4"/>
    <w:basedOn w:val="Normal"/>
    <w:next w:val="Normal"/>
    <w:link w:val="Heading4Char"/>
    <w:semiHidden/>
    <w:qFormat/>
    <w:rsid w:val="00FA6558"/>
    <w:pPr>
      <w:keepNext/>
      <w:spacing w:before="36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FA6558"/>
    <w:pPr>
      <w:keepNext/>
      <w:spacing w:before="360"/>
      <w:outlineLvl w:val="4"/>
    </w:pPr>
    <w:rPr>
      <w:b/>
      <w:bCs/>
      <w:iCs/>
      <w:szCs w:val="26"/>
    </w:rPr>
  </w:style>
  <w:style w:type="paragraph" w:styleId="Heading6">
    <w:name w:val="heading 6"/>
    <w:basedOn w:val="Normal"/>
    <w:next w:val="Normal"/>
    <w:link w:val="Heading6Char"/>
    <w:uiPriority w:val="1"/>
    <w:semiHidden/>
    <w:qFormat/>
    <w:rsid w:val="00FA6558"/>
    <w:pPr>
      <w:spacing w:before="360"/>
      <w:outlineLvl w:val="5"/>
    </w:pPr>
    <w:rPr>
      <w:b/>
      <w:bCs/>
      <w:i/>
      <w:szCs w:val="22"/>
    </w:rPr>
  </w:style>
  <w:style w:type="paragraph" w:styleId="Heading7">
    <w:name w:val="heading 7"/>
    <w:basedOn w:val="Normal"/>
    <w:next w:val="Normal"/>
    <w:uiPriority w:val="99"/>
    <w:semiHidden/>
    <w:qFormat/>
    <w:rsid w:val="00FA6558"/>
    <w:pPr>
      <w:spacing w:after="60"/>
      <w:outlineLvl w:val="6"/>
    </w:pPr>
  </w:style>
  <w:style w:type="paragraph" w:styleId="Heading8">
    <w:name w:val="heading 8"/>
    <w:basedOn w:val="Normal"/>
    <w:next w:val="Normal"/>
    <w:uiPriority w:val="99"/>
    <w:semiHidden/>
    <w:qFormat/>
    <w:rsid w:val="00FA6558"/>
    <w:pPr>
      <w:spacing w:after="60"/>
      <w:outlineLvl w:val="7"/>
    </w:pPr>
    <w:rPr>
      <w:i/>
      <w:iCs/>
    </w:rPr>
  </w:style>
  <w:style w:type="paragraph" w:styleId="Heading9">
    <w:name w:val="heading 9"/>
    <w:basedOn w:val="Normal"/>
    <w:next w:val="Normal"/>
    <w:uiPriority w:val="99"/>
    <w:semiHidden/>
    <w:qFormat/>
    <w:rsid w:val="00FA655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semiHidden/>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FA655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semiHidden/>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semiHidden/>
    <w:rsid w:val="00FA6558"/>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FA6558"/>
    <w:rPr>
      <w:b/>
      <w:bCs/>
    </w:rPr>
  </w:style>
  <w:style w:type="paragraph" w:styleId="Subtitle">
    <w:name w:val="Subtitle"/>
    <w:basedOn w:val="Normal"/>
    <w:uiPriority w:val="1"/>
    <w:semiHidden/>
    <w:qFormat/>
    <w:rsid w:val="00FA655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FA655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3"/>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3"/>
      </w:numPr>
      <w:outlineLvl w:val="5"/>
    </w:pPr>
  </w:style>
  <w:style w:type="paragraph" w:customStyle="1" w:styleId="Headingnumbered2">
    <w:name w:val="Heading numbered 2"/>
    <w:basedOn w:val="Heading2"/>
    <w:next w:val="Normal"/>
    <w:uiPriority w:val="1"/>
    <w:semiHidden/>
    <w:rsid w:val="00065F18"/>
    <w:pPr>
      <w:numPr>
        <w:ilvl w:val="1"/>
        <w:numId w:val="13"/>
      </w:numPr>
      <w:outlineLvl w:val="6"/>
    </w:pPr>
  </w:style>
  <w:style w:type="paragraph" w:customStyle="1" w:styleId="Headingnumbered3">
    <w:name w:val="Heading numbered 3"/>
    <w:basedOn w:val="Normal"/>
    <w:next w:val="Normal"/>
    <w:uiPriority w:val="1"/>
    <w:semiHidden/>
    <w:rsid w:val="00065F18"/>
    <w:pPr>
      <w:numPr>
        <w:ilvl w:val="2"/>
        <w:numId w:val="13"/>
      </w:numPr>
      <w:spacing w:before="36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3"/>
      </w:numPr>
      <w:spacing w:before="360"/>
      <w:contextualSpacing/>
    </w:pPr>
    <w:rPr>
      <w:b/>
      <w:i/>
      <w:color w:val="1F546B"/>
    </w:rPr>
  </w:style>
  <w:style w:type="paragraph" w:customStyle="1" w:styleId="Tinyline">
    <w:name w:val="Tiny line"/>
    <w:basedOn w:val="Normal"/>
    <w:qFormat/>
    <w:rsid w:val="00FA6558"/>
    <w:pPr>
      <w:spacing w:before="0" w:after="0"/>
    </w:pPr>
    <w:rPr>
      <w:sz w:val="8"/>
    </w:rPr>
  </w:style>
  <w:style w:type="paragraph" w:customStyle="1" w:styleId="Numberedpara1level3a">
    <w:name w:val="Numbered para (1) level 3 (a)"/>
    <w:basedOn w:val="Normal"/>
    <w:semiHidden/>
    <w:rsid w:val="00065F18"/>
    <w:pPr>
      <w:numPr>
        <w:ilvl w:val="2"/>
        <w:numId w:val="26"/>
      </w:numPr>
    </w:pPr>
  </w:style>
  <w:style w:type="paragraph" w:customStyle="1" w:styleId="Numberedpara1level4i">
    <w:name w:val="Numbered para (1) level 4 (i)"/>
    <w:basedOn w:val="Normal"/>
    <w:semiHidden/>
    <w:rsid w:val="00065F18"/>
    <w:pPr>
      <w:numPr>
        <w:ilvl w:val="3"/>
        <w:numId w:val="26"/>
      </w:numPr>
    </w:pPr>
  </w:style>
  <w:style w:type="paragraph" w:customStyle="1" w:styleId="Bullet">
    <w:name w:val="Bullet"/>
    <w:basedOn w:val="Normal"/>
    <w:rsid w:val="00065F18"/>
    <w:pPr>
      <w:numPr>
        <w:numId w:val="14"/>
      </w:numPr>
      <w:spacing w:before="80" w:after="80"/>
    </w:pPr>
    <w:rPr>
      <w:noProof/>
    </w:rPr>
  </w:style>
  <w:style w:type="paragraph" w:customStyle="1" w:styleId="Bulletlevel2">
    <w:name w:val="Bullet level 2"/>
    <w:basedOn w:val="Normal"/>
    <w:uiPriority w:val="1"/>
    <w:semiHidden/>
    <w:rsid w:val="00065F18"/>
    <w:pPr>
      <w:numPr>
        <w:ilvl w:val="1"/>
        <w:numId w:val="14"/>
      </w:numPr>
      <w:spacing w:before="80" w:after="80"/>
    </w:pPr>
  </w:style>
  <w:style w:type="paragraph" w:customStyle="1" w:styleId="Bulletlevel3">
    <w:name w:val="Bullet level 3"/>
    <w:basedOn w:val="Normal"/>
    <w:uiPriority w:val="1"/>
    <w:semiHidden/>
    <w:rsid w:val="00065F18"/>
    <w:pPr>
      <w:numPr>
        <w:ilvl w:val="2"/>
        <w:numId w:val="14"/>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1"/>
      </w:numPr>
      <w:spacing w:before="80" w:after="80"/>
    </w:pPr>
  </w:style>
  <w:style w:type="paragraph" w:customStyle="1" w:styleId="List123">
    <w:name w:val="List 1 2 3"/>
    <w:basedOn w:val="Normal"/>
    <w:rsid w:val="001B369D"/>
    <w:pPr>
      <w:numPr>
        <w:numId w:val="22"/>
      </w:numPr>
      <w:spacing w:before="80" w:after="80"/>
    </w:pPr>
  </w:style>
  <w:style w:type="paragraph" w:styleId="FootnoteText">
    <w:name w:val="footnote text"/>
    <w:basedOn w:val="Normal"/>
    <w:link w:val="FootnoteTextChar"/>
    <w:uiPriority w:val="99"/>
    <w:semiHidden/>
    <w:rsid w:val="00065F18"/>
    <w:pPr>
      <w:spacing w:before="60" w:after="60" w:line="192" w:lineRule="auto"/>
      <w:ind w:left="130" w:hanging="130"/>
    </w:pPr>
    <w:rPr>
      <w:sz w:val="20"/>
      <w:szCs w:val="20"/>
    </w:rPr>
  </w:style>
  <w:style w:type="character" w:styleId="FootnoteReference">
    <w:name w:val="footnote reference"/>
    <w:uiPriority w:val="99"/>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semiHidden/>
    <w:rsid w:val="00FA655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5"/>
      </w:numPr>
    </w:pPr>
  </w:style>
  <w:style w:type="paragraph" w:customStyle="1" w:styleId="Tablebulletlevel2">
    <w:name w:val="Table bullet level 2"/>
    <w:basedOn w:val="Tablenormal0"/>
    <w:uiPriority w:val="99"/>
    <w:semiHidden/>
    <w:rsid w:val="00065F18"/>
    <w:pPr>
      <w:numPr>
        <w:ilvl w:val="1"/>
        <w:numId w:val="15"/>
      </w:numPr>
    </w:pPr>
  </w:style>
  <w:style w:type="paragraph" w:customStyle="1" w:styleId="TableBulletListLevel3">
    <w:name w:val="Table Bullet List Level 3"/>
    <w:basedOn w:val="BodyTextTable"/>
    <w:uiPriority w:val="11"/>
    <w:semiHidden/>
    <w:rsid w:val="00065F18"/>
    <w:pPr>
      <w:numPr>
        <w:ilvl w:val="2"/>
        <w:numId w:val="15"/>
      </w:numPr>
      <w:spacing w:before="60" w:after="60"/>
    </w:pPr>
  </w:style>
  <w:style w:type="paragraph" w:customStyle="1" w:styleId="Tablelist123">
    <w:name w:val="Table list 1 2 3"/>
    <w:basedOn w:val="Tablenormal0"/>
    <w:rsid w:val="00065F18"/>
    <w:pPr>
      <w:numPr>
        <w:numId w:val="17"/>
      </w:numPr>
    </w:pPr>
  </w:style>
  <w:style w:type="paragraph" w:customStyle="1" w:styleId="Tablelist123level2">
    <w:name w:val="Table list 1 2 3 level 2"/>
    <w:basedOn w:val="Tablenormal0"/>
    <w:semiHidden/>
    <w:rsid w:val="00065F18"/>
    <w:pPr>
      <w:numPr>
        <w:ilvl w:val="1"/>
        <w:numId w:val="17"/>
      </w:numPr>
    </w:pPr>
  </w:style>
  <w:style w:type="character" w:customStyle="1" w:styleId="Heading4Char">
    <w:name w:val="Heading 4 Char"/>
    <w:basedOn w:val="DefaultParagraphFont"/>
    <w:link w:val="Heading4"/>
    <w:semiHidden/>
    <w:rsid w:val="00FA655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6"/>
      </w:numPr>
    </w:pPr>
  </w:style>
  <w:style w:type="paragraph" w:customStyle="1" w:styleId="BodyTextTableLevel2">
    <w:name w:val="Body Text Table Level 2"/>
    <w:basedOn w:val="BodyTextTable"/>
    <w:uiPriority w:val="11"/>
    <w:semiHidden/>
    <w:rsid w:val="00065F18"/>
    <w:pPr>
      <w:numPr>
        <w:ilvl w:val="1"/>
        <w:numId w:val="16"/>
      </w:numPr>
    </w:pPr>
  </w:style>
  <w:style w:type="paragraph" w:customStyle="1" w:styleId="BodyTextTableLevel3">
    <w:name w:val="Body Text Table Level 3"/>
    <w:basedOn w:val="BodyTextTable"/>
    <w:uiPriority w:val="11"/>
    <w:semiHidden/>
    <w:rsid w:val="00065F18"/>
    <w:pPr>
      <w:numPr>
        <w:ilvl w:val="3"/>
        <w:numId w:val="17"/>
      </w:numPr>
    </w:pPr>
  </w:style>
  <w:style w:type="paragraph" w:styleId="Caption">
    <w:name w:val="caption"/>
    <w:basedOn w:val="Normal"/>
    <w:next w:val="Normal"/>
    <w:qFormat/>
    <w:rsid w:val="00FA6558"/>
    <w:pPr>
      <w:keepNext/>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semiHidden/>
    <w:rsid w:val="00065F18"/>
    <w:pPr>
      <w:pageBreakBefore/>
      <w:numPr>
        <w:numId w:val="18"/>
      </w:numPr>
      <w:tabs>
        <w:tab w:val="left" w:pos="2268"/>
      </w:tabs>
      <w:spacing w:before="0"/>
      <w:outlineLvl w:val="7"/>
    </w:pPr>
  </w:style>
  <w:style w:type="paragraph" w:customStyle="1" w:styleId="NotforContentsheading1">
    <w:name w:val="Not for Contents heading 1"/>
    <w:basedOn w:val="Normal"/>
    <w:next w:val="Normal"/>
    <w:semiHidden/>
    <w:rsid w:val="00065F18"/>
    <w:pPr>
      <w:keepNext/>
      <w:spacing w:before="48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FA6558"/>
    <w:pPr>
      <w:numPr>
        <w:ilvl w:val="1"/>
        <w:numId w:val="21"/>
      </w:numPr>
      <w:spacing w:before="80" w:after="80"/>
    </w:pPr>
  </w:style>
  <w:style w:type="paragraph" w:customStyle="1" w:styleId="NotforContentsheading2">
    <w:name w:val="Not for Contents heading 2"/>
    <w:basedOn w:val="Normal"/>
    <w:next w:val="Normal"/>
    <w:semiHidden/>
    <w:rsid w:val="00065F18"/>
    <w:pPr>
      <w:keepNext/>
      <w:spacing w:before="360"/>
      <w:contextualSpacing/>
    </w:pPr>
    <w:rPr>
      <w:b/>
      <w:color w:val="1F546B"/>
      <w:sz w:val="36"/>
    </w:rPr>
  </w:style>
  <w:style w:type="character" w:customStyle="1" w:styleId="Heading3Char">
    <w:name w:val="Heading 3 Char"/>
    <w:link w:val="Heading3"/>
    <w:semiHidden/>
    <w:rsid w:val="00FA6558"/>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Cabinetpaper">
    <w:name w:val="_Cabinet paper"/>
    <w:basedOn w:val="TableNormal"/>
    <w:uiPriority w:val="99"/>
    <w:rsid w:val="00BF0BE0"/>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styleId="SubtleEmphasis">
    <w:name w:val="Subtle Emphasis"/>
    <w:basedOn w:val="DefaultParagraphFont"/>
    <w:uiPriority w:val="99"/>
    <w:semiHidden/>
    <w:qFormat/>
    <w:rsid w:val="00FA6558"/>
    <w:rPr>
      <w:i/>
      <w:iCs/>
    </w:rPr>
  </w:style>
  <w:style w:type="character" w:styleId="IntenseEmphasis">
    <w:name w:val="Intense Emphasis"/>
    <w:uiPriority w:val="99"/>
    <w:semiHidden/>
    <w:qFormat/>
    <w:rsid w:val="00FA6558"/>
    <w:rPr>
      <w:b/>
      <w:i/>
    </w:rPr>
  </w:style>
  <w:style w:type="paragraph" w:styleId="ListParagraph">
    <w:name w:val="List Paragraph"/>
    <w:basedOn w:val="Bullet"/>
    <w:uiPriority w:val="34"/>
    <w:qFormat/>
    <w:rsid w:val="00FA6558"/>
    <w:pPr>
      <w:numPr>
        <w:numId w:val="20"/>
      </w:numPr>
    </w:pPr>
  </w:style>
  <w:style w:type="character" w:customStyle="1" w:styleId="Heading5Char">
    <w:name w:val="Heading 5 Char"/>
    <w:basedOn w:val="DefaultParagraphFont"/>
    <w:link w:val="Heading5"/>
    <w:uiPriority w:val="1"/>
    <w:semiHidden/>
    <w:rsid w:val="00FA6558"/>
    <w:rPr>
      <w:rFonts w:eastAsiaTheme="minorHAnsi"/>
      <w:b/>
      <w:bCs/>
      <w:iCs/>
      <w:szCs w:val="26"/>
      <w:lang w:eastAsia="en-US"/>
    </w:rPr>
  </w:style>
  <w:style w:type="character" w:styleId="SubtleReference">
    <w:name w:val="Subtle Reference"/>
    <w:basedOn w:val="DefaultParagraphFont"/>
    <w:uiPriority w:val="99"/>
    <w:semiHidden/>
    <w:qFormat/>
    <w:rsid w:val="00FA6558"/>
    <w:rPr>
      <w:rFonts w:ascii="Calibri" w:hAnsi="Calibri"/>
      <w:smallCaps/>
      <w:color w:val="A42F13" w:themeColor="accent2"/>
      <w:u w:val="single"/>
    </w:rPr>
  </w:style>
  <w:style w:type="character" w:styleId="BookTitle">
    <w:name w:val="Book Title"/>
    <w:basedOn w:val="DefaultParagraphFont"/>
    <w:uiPriority w:val="33"/>
    <w:semiHidden/>
    <w:qFormat/>
    <w:rsid w:val="00FA6558"/>
    <w:rPr>
      <w:rFonts w:ascii="Calibri" w:hAnsi="Calibri"/>
      <w:b/>
      <w:bCs/>
      <w:smallCaps/>
      <w:spacing w:val="5"/>
    </w:rPr>
  </w:style>
  <w:style w:type="character" w:styleId="IntenseReference">
    <w:name w:val="Intense Reference"/>
    <w:basedOn w:val="DefaultParagraphFont"/>
    <w:uiPriority w:val="99"/>
    <w:semiHidden/>
    <w:qFormat/>
    <w:rsid w:val="00FA655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FA655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FA6558"/>
    <w:rPr>
      <w:rFonts w:eastAsiaTheme="minorHAnsi"/>
      <w:b/>
      <w:bCs/>
      <w:i/>
      <w:iCs/>
      <w:color w:val="1F546B" w:themeColor="text2"/>
      <w:lang w:eastAsia="en-US"/>
    </w:rPr>
  </w:style>
  <w:style w:type="paragraph" w:customStyle="1" w:styleId="Headingpage">
    <w:name w:val="Heading page"/>
    <w:basedOn w:val="Normal"/>
    <w:next w:val="Normal"/>
    <w:rsid w:val="00484044"/>
    <w:pPr>
      <w:spacing w:before="400"/>
    </w:pPr>
    <w:rPr>
      <w:b/>
      <w:color w:val="000000" w:themeColor="text1"/>
      <w:sz w:val="28"/>
    </w:rPr>
  </w:style>
  <w:style w:type="paragraph" w:customStyle="1" w:styleId="Tablenormal0">
    <w:name w:val="Table normal"/>
    <w:basedOn w:val="Normal"/>
    <w:qFormat/>
    <w:rsid w:val="00FA6558"/>
    <w:pPr>
      <w:spacing w:before="40" w:after="40"/>
    </w:pPr>
    <w:rPr>
      <w:sz w:val="22"/>
    </w:rPr>
  </w:style>
  <w:style w:type="character" w:customStyle="1" w:styleId="Heading6Char">
    <w:name w:val="Heading 6 Char"/>
    <w:basedOn w:val="DefaultParagraphFont"/>
    <w:link w:val="Heading6"/>
    <w:uiPriority w:val="1"/>
    <w:semiHidden/>
    <w:rsid w:val="00FA6558"/>
    <w:rPr>
      <w:rFonts w:eastAsiaTheme="minorHAnsi"/>
      <w:b/>
      <w:bCs/>
      <w:i/>
      <w:szCs w:val="22"/>
      <w:lang w:eastAsia="en-US"/>
    </w:rPr>
  </w:style>
  <w:style w:type="paragraph" w:customStyle="1" w:styleId="ListABClevel3">
    <w:name w:val="List A B C level 3"/>
    <w:basedOn w:val="Normal"/>
    <w:uiPriority w:val="1"/>
    <w:semiHidden/>
    <w:qFormat/>
    <w:rsid w:val="00FA6558"/>
    <w:pPr>
      <w:numPr>
        <w:ilvl w:val="2"/>
        <w:numId w:val="21"/>
      </w:numPr>
      <w:spacing w:before="80" w:after="80"/>
    </w:pPr>
  </w:style>
  <w:style w:type="paragraph" w:customStyle="1" w:styleId="List123level2">
    <w:name w:val="List 1 2 3 level 2"/>
    <w:basedOn w:val="Normal"/>
    <w:uiPriority w:val="1"/>
    <w:semiHidden/>
    <w:qFormat/>
    <w:rsid w:val="001B369D"/>
    <w:pPr>
      <w:numPr>
        <w:ilvl w:val="1"/>
        <w:numId w:val="22"/>
      </w:numPr>
      <w:spacing w:before="80" w:after="80"/>
    </w:pPr>
  </w:style>
  <w:style w:type="paragraph" w:customStyle="1" w:styleId="List123level3">
    <w:name w:val="List 1 2 3 level 3"/>
    <w:basedOn w:val="Normal"/>
    <w:uiPriority w:val="1"/>
    <w:semiHidden/>
    <w:qFormat/>
    <w:rsid w:val="001B369D"/>
    <w:pPr>
      <w:numPr>
        <w:ilvl w:val="2"/>
        <w:numId w:val="22"/>
      </w:numPr>
    </w:pPr>
  </w:style>
  <w:style w:type="paragraph" w:customStyle="1" w:styleId="Legislationsection">
    <w:name w:val="Legislation section"/>
    <w:basedOn w:val="Normal"/>
    <w:semiHidden/>
    <w:qFormat/>
    <w:rsid w:val="00FA6558"/>
    <w:pPr>
      <w:numPr>
        <w:numId w:val="24"/>
      </w:numPr>
      <w:tabs>
        <w:tab w:val="left" w:pos="567"/>
      </w:tabs>
      <w:spacing w:after="60"/>
    </w:pPr>
    <w:rPr>
      <w:b/>
      <w:sz w:val="22"/>
    </w:rPr>
  </w:style>
  <w:style w:type="paragraph" w:customStyle="1" w:styleId="Legislationnumber">
    <w:name w:val="Legislation number"/>
    <w:basedOn w:val="Normal"/>
    <w:semiHidden/>
    <w:qFormat/>
    <w:rsid w:val="00FA6558"/>
    <w:pPr>
      <w:numPr>
        <w:numId w:val="23"/>
      </w:numPr>
      <w:tabs>
        <w:tab w:val="left" w:pos="567"/>
      </w:tabs>
      <w:spacing w:before="60" w:after="60"/>
    </w:pPr>
    <w:rPr>
      <w:sz w:val="22"/>
    </w:rPr>
  </w:style>
  <w:style w:type="paragraph" w:customStyle="1" w:styleId="Legislationa">
    <w:name w:val="Legislation (a)"/>
    <w:basedOn w:val="Normal"/>
    <w:semiHidden/>
    <w:qFormat/>
    <w:rsid w:val="00FA6558"/>
    <w:pPr>
      <w:numPr>
        <w:ilvl w:val="2"/>
        <w:numId w:val="24"/>
      </w:numPr>
      <w:spacing w:before="60" w:after="60"/>
    </w:pPr>
    <w:rPr>
      <w:sz w:val="22"/>
    </w:rPr>
  </w:style>
  <w:style w:type="paragraph" w:customStyle="1" w:styleId="Legislationi">
    <w:name w:val="Legislation (i)"/>
    <w:basedOn w:val="Normal"/>
    <w:semiHidden/>
    <w:qFormat/>
    <w:rsid w:val="00FA6558"/>
    <w:pPr>
      <w:numPr>
        <w:ilvl w:val="3"/>
        <w:numId w:val="24"/>
      </w:numPr>
      <w:spacing w:before="60" w:after="60"/>
    </w:pPr>
    <w:rPr>
      <w:sz w:val="22"/>
    </w:rPr>
  </w:style>
  <w:style w:type="paragraph" w:customStyle="1" w:styleId="Numberedparaindentonly">
    <w:name w:val="Numbered para indent only"/>
    <w:basedOn w:val="Normal"/>
    <w:qFormat/>
    <w:rsid w:val="00FA6558"/>
    <w:pPr>
      <w:ind w:left="567"/>
    </w:pPr>
  </w:style>
  <w:style w:type="paragraph" w:customStyle="1" w:styleId="Spacer">
    <w:name w:val="Spacer"/>
    <w:basedOn w:val="Normal"/>
    <w:qFormat/>
    <w:rsid w:val="00FA6558"/>
    <w:pPr>
      <w:spacing w:before="0" w:after="0"/>
    </w:pPr>
  </w:style>
  <w:style w:type="paragraph" w:customStyle="1" w:styleId="Page">
    <w:name w:val="Page"/>
    <w:basedOn w:val="Spacer"/>
    <w:semiHidden/>
    <w:qFormat/>
    <w:rsid w:val="00FA655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FA6558"/>
    <w:rPr>
      <w:sz w:val="24"/>
    </w:rPr>
  </w:style>
  <w:style w:type="paragraph" w:customStyle="1" w:styleId="Tableheading12pt">
    <w:name w:val="Table heading 12pt"/>
    <w:basedOn w:val="Tableheading"/>
    <w:semiHidden/>
    <w:qFormat/>
    <w:rsid w:val="00FA6558"/>
    <w:rPr>
      <w:sz w:val="24"/>
    </w:rPr>
  </w:style>
  <w:style w:type="paragraph" w:customStyle="1" w:styleId="Documentationpageheading">
    <w:name w:val="Documentation page heading"/>
    <w:basedOn w:val="Normal"/>
    <w:semiHidden/>
    <w:qFormat/>
    <w:rsid w:val="00FA6558"/>
    <w:pPr>
      <w:spacing w:after="0"/>
    </w:pPr>
    <w:rPr>
      <w:b/>
      <w:color w:val="1F546B" w:themeColor="text2"/>
      <w:sz w:val="36"/>
    </w:rPr>
  </w:style>
  <w:style w:type="paragraph" w:customStyle="1" w:styleId="Documentationpagesubheading">
    <w:name w:val="Documentation page subheading"/>
    <w:basedOn w:val="Documentationpageheading"/>
    <w:semiHidden/>
    <w:qFormat/>
    <w:rsid w:val="00FA6558"/>
    <w:rPr>
      <w:sz w:val="28"/>
    </w:rPr>
  </w:style>
  <w:style w:type="paragraph" w:customStyle="1" w:styleId="Documentationpagetable">
    <w:name w:val="Documentation page table"/>
    <w:basedOn w:val="Normal"/>
    <w:semiHidden/>
    <w:qFormat/>
    <w:rsid w:val="00FA6558"/>
    <w:pPr>
      <w:spacing w:before="44" w:after="24"/>
    </w:pPr>
    <w:rPr>
      <w:rFonts w:cstheme="minorBidi"/>
      <w:sz w:val="20"/>
    </w:rPr>
  </w:style>
  <w:style w:type="paragraph" w:customStyle="1" w:styleId="Documentationpagetableheading">
    <w:name w:val="Documentation page table heading"/>
    <w:basedOn w:val="Normal"/>
    <w:semiHidden/>
    <w:qFormat/>
    <w:rsid w:val="00FA6558"/>
    <w:pPr>
      <w:spacing w:before="40" w:after="40"/>
    </w:pPr>
    <w:rPr>
      <w:rFonts w:cstheme="minorBidi"/>
      <w:b/>
      <w:color w:val="FFFFFF" w:themeColor="background1"/>
      <w:sz w:val="20"/>
    </w:rPr>
  </w:style>
  <w:style w:type="paragraph" w:customStyle="1" w:styleId="Numberedpara3subheading">
    <w:name w:val="Numbered para (3) subheading"/>
    <w:basedOn w:val="Normal"/>
    <w:next w:val="Normal"/>
    <w:semiHidden/>
    <w:rsid w:val="00065F18"/>
    <w:pPr>
      <w:spacing w:before="240"/>
    </w:pPr>
    <w:rPr>
      <w:b/>
      <w:i/>
    </w:rPr>
  </w:style>
  <w:style w:type="paragraph" w:customStyle="1" w:styleId="Numberedpara3level1">
    <w:name w:val="Numbered para (3) level 1"/>
    <w:basedOn w:val="Normal"/>
    <w:qFormat/>
    <w:rsid w:val="00A75B42"/>
    <w:pPr>
      <w:numPr>
        <w:numId w:val="25"/>
      </w:numPr>
    </w:pPr>
  </w:style>
  <w:style w:type="paragraph" w:customStyle="1" w:styleId="Numberedpara3level211">
    <w:name w:val="Numbered para (3) level 2 (1.1)"/>
    <w:basedOn w:val="Normal"/>
    <w:qFormat/>
    <w:rsid w:val="00A75B42"/>
    <w:pPr>
      <w:numPr>
        <w:ilvl w:val="1"/>
        <w:numId w:val="25"/>
      </w:numPr>
      <w:ind w:left="1304" w:hanging="737"/>
    </w:pPr>
  </w:style>
  <w:style w:type="paragraph" w:customStyle="1" w:styleId="Numberedpara3level3111">
    <w:name w:val="Numbered para (3) level 3 (1.1.1)"/>
    <w:basedOn w:val="Normal"/>
    <w:qFormat/>
    <w:rsid w:val="00A75B42"/>
    <w:pPr>
      <w:numPr>
        <w:ilvl w:val="2"/>
        <w:numId w:val="25"/>
      </w:numPr>
      <w:ind w:left="2211" w:hanging="907"/>
    </w:pPr>
  </w:style>
  <w:style w:type="paragraph" w:customStyle="1" w:styleId="Title2">
    <w:name w:val="Title 2"/>
    <w:basedOn w:val="Title"/>
    <w:semiHidden/>
    <w:qFormat/>
    <w:rsid w:val="00FA6558"/>
    <w:rPr>
      <w:sz w:val="52"/>
    </w:rPr>
  </w:style>
  <w:style w:type="paragraph" w:customStyle="1" w:styleId="Numberedpara3heading">
    <w:name w:val="Numbered para (3) heading"/>
    <w:basedOn w:val="Normal"/>
    <w:semiHidden/>
    <w:qFormat/>
    <w:rsid w:val="002D38AA"/>
    <w:pPr>
      <w:keepNext/>
      <w:spacing w:before="200"/>
    </w:pPr>
    <w:rPr>
      <w:b/>
    </w:rPr>
  </w:style>
  <w:style w:type="character" w:customStyle="1" w:styleId="HeaderChar">
    <w:name w:val="Header Char"/>
    <w:basedOn w:val="DefaultParagraphFont"/>
    <w:link w:val="Header"/>
    <w:semiHidden/>
    <w:rsid w:val="002D38AA"/>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FA6558"/>
    <w:rPr>
      <w:b/>
      <w:i w:val="0"/>
      <w:caps/>
      <w:smallCaps w:val="0"/>
      <w:sz w:val="22"/>
    </w:rPr>
  </w:style>
  <w:style w:type="paragraph" w:customStyle="1" w:styleId="Numberedpara1level211">
    <w:name w:val="Numbered para (1) level 2 (1.1)"/>
    <w:basedOn w:val="Normal"/>
    <w:semiHidden/>
    <w:rsid w:val="00065F18"/>
    <w:pPr>
      <w:numPr>
        <w:ilvl w:val="1"/>
        <w:numId w:val="26"/>
      </w:numPr>
    </w:pPr>
  </w:style>
  <w:style w:type="paragraph" w:customStyle="1" w:styleId="Numberedpara11headingwithnumber">
    <w:name w:val="Numbered para (1) 1 (heading with number)"/>
    <w:basedOn w:val="Normal"/>
    <w:semiHidden/>
    <w:qFormat/>
    <w:rsid w:val="00FA6558"/>
    <w:pPr>
      <w:numPr>
        <w:numId w:val="26"/>
      </w:numPr>
      <w:spacing w:before="240"/>
    </w:pPr>
    <w:rPr>
      <w:b/>
      <w:sz w:val="28"/>
    </w:rPr>
  </w:style>
  <w:style w:type="paragraph" w:customStyle="1" w:styleId="Crossreference">
    <w:name w:val="Cross reference"/>
    <w:basedOn w:val="Normal"/>
    <w:link w:val="CrossreferenceChar"/>
    <w:semiHidden/>
    <w:qFormat/>
    <w:rsid w:val="00BF0BE0"/>
    <w:rPr>
      <w:i/>
      <w:color w:val="000000" w:themeColor="text1"/>
      <w:u w:val="single"/>
    </w:rPr>
  </w:style>
  <w:style w:type="paragraph" w:customStyle="1" w:styleId="Headerforcabinetpapers">
    <w:name w:val="Header for cabinet papers"/>
    <w:basedOn w:val="Normal"/>
    <w:qFormat/>
    <w:rsid w:val="00FA6558"/>
    <w:pPr>
      <w:tabs>
        <w:tab w:val="center" w:pos="4536"/>
      </w:tabs>
      <w:jc w:val="center"/>
    </w:pPr>
    <w:rPr>
      <w:b/>
      <w:caps/>
    </w:rPr>
  </w:style>
  <w:style w:type="paragraph" w:customStyle="1" w:styleId="FinancialtableLHC">
    <w:name w:val="Financial table LHC"/>
    <w:basedOn w:val="Normal"/>
    <w:semiHidden/>
    <w:qFormat/>
    <w:rsid w:val="00FA6558"/>
    <w:pPr>
      <w:spacing w:before="0" w:after="0"/>
      <w:contextualSpacing/>
    </w:pPr>
    <w:rPr>
      <w:sz w:val="22"/>
    </w:rPr>
  </w:style>
  <w:style w:type="paragraph" w:customStyle="1" w:styleId="Financialtablefigures">
    <w:name w:val="Financial table figures"/>
    <w:basedOn w:val="FinancialtableLHC"/>
    <w:semiHidden/>
    <w:qFormat/>
    <w:rsid w:val="00FA6558"/>
    <w:pPr>
      <w:jc w:val="right"/>
    </w:pPr>
  </w:style>
  <w:style w:type="paragraph" w:customStyle="1" w:styleId="Financialtableyears">
    <w:name w:val="Financial table years"/>
    <w:basedOn w:val="Financialtablefigures"/>
    <w:semiHidden/>
    <w:qFormat/>
    <w:rsid w:val="00FA6558"/>
    <w:pPr>
      <w:jc w:val="center"/>
    </w:pPr>
    <w:rPr>
      <w:b/>
      <w:sz w:val="20"/>
    </w:rPr>
  </w:style>
  <w:style w:type="paragraph" w:customStyle="1" w:styleId="Tablesource">
    <w:name w:val="Table source"/>
    <w:basedOn w:val="Normal"/>
    <w:next w:val="Numberedpara3level1"/>
    <w:qFormat/>
    <w:rsid w:val="00FA6558"/>
    <w:pPr>
      <w:spacing w:before="40"/>
      <w:ind w:left="567"/>
    </w:pPr>
    <w:rPr>
      <w:sz w:val="22"/>
    </w:rPr>
  </w:style>
  <w:style w:type="paragraph" w:customStyle="1" w:styleId="Cabinetpaperparasubheading">
    <w:name w:val="Cabinet paper para subheading"/>
    <w:basedOn w:val="Normal"/>
    <w:next w:val="Numberedpara3level1"/>
    <w:qFormat/>
    <w:rsid w:val="00385C33"/>
    <w:pPr>
      <w:keepNext/>
      <w:spacing w:before="240"/>
    </w:pPr>
    <w:rPr>
      <w:b/>
      <w:i/>
    </w:rPr>
  </w:style>
  <w:style w:type="paragraph" w:customStyle="1" w:styleId="Cabinetpaperparaheading">
    <w:name w:val="Cabinet paper para heading"/>
    <w:basedOn w:val="Normal"/>
    <w:next w:val="Numberedpara3level1"/>
    <w:qFormat/>
    <w:rsid w:val="00BF0BE0"/>
    <w:pPr>
      <w:keepNext/>
      <w:spacing w:before="200"/>
    </w:pPr>
    <w:rPr>
      <w:b/>
      <w:sz w:val="26"/>
    </w:rPr>
  </w:style>
  <w:style w:type="paragraph" w:customStyle="1" w:styleId="Cabinetpaperparasubsubheading">
    <w:name w:val="Cabinet paper para subsubheading"/>
    <w:basedOn w:val="Normal"/>
    <w:next w:val="Numberedpara3level1"/>
    <w:qFormat/>
    <w:rsid w:val="00BF0BE0"/>
    <w:pPr>
      <w:keepNext/>
      <w:keepLines w:val="0"/>
      <w:spacing w:before="240"/>
    </w:pPr>
    <w:rPr>
      <w:i/>
    </w:rPr>
  </w:style>
  <w:style w:type="character" w:customStyle="1" w:styleId="CrossreferenceChar">
    <w:name w:val="Cross reference Char"/>
    <w:basedOn w:val="DefaultParagraphFont"/>
    <w:link w:val="Crossreference"/>
    <w:semiHidden/>
    <w:rsid w:val="00E4405F"/>
    <w:rPr>
      <w:rFonts w:eastAsiaTheme="minorHAnsi"/>
      <w:i/>
      <w:color w:val="000000" w:themeColor="text1"/>
      <w:u w:val="single"/>
      <w:lang w:eastAsia="en-US"/>
    </w:rPr>
  </w:style>
  <w:style w:type="character" w:customStyle="1" w:styleId="Crossreferences">
    <w:name w:val="Cross references"/>
    <w:basedOn w:val="DefaultParagraphFont"/>
    <w:uiPriority w:val="1"/>
    <w:qFormat/>
    <w:rsid w:val="00E4405F"/>
    <w:rPr>
      <w:i/>
      <w:u w:val="single"/>
    </w:rPr>
  </w:style>
  <w:style w:type="paragraph" w:customStyle="1" w:styleId="Briefingparasubheading">
    <w:name w:val="Briefing para subheading"/>
    <w:basedOn w:val="Normal"/>
    <w:next w:val="Numberedpara3level1"/>
    <w:qFormat/>
    <w:rsid w:val="00966517"/>
    <w:pPr>
      <w:keepNext/>
      <w:keepLines w:val="0"/>
      <w:spacing w:before="240"/>
    </w:pPr>
    <w:rPr>
      <w:b/>
      <w:i/>
    </w:rPr>
  </w:style>
  <w:style w:type="paragraph" w:customStyle="1" w:styleId="Briefingparaheading">
    <w:name w:val="Briefing para heading"/>
    <w:basedOn w:val="Normal"/>
    <w:next w:val="Numberedpara3level1"/>
    <w:qFormat/>
    <w:rsid w:val="006D1BD4"/>
    <w:pPr>
      <w:keepNext/>
      <w:keepLines w:val="0"/>
      <w:spacing w:before="240"/>
    </w:pPr>
    <w:rPr>
      <w:b/>
      <w:sz w:val="26"/>
    </w:rPr>
  </w:style>
  <w:style w:type="table" w:customStyle="1" w:styleId="Ministerial">
    <w:name w:val="_Ministerial"/>
    <w:basedOn w:val="TableNormal"/>
    <w:uiPriority w:val="99"/>
    <w:rsid w:val="005B76B3"/>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styleId="CommentText">
    <w:name w:val="annotation text"/>
    <w:basedOn w:val="Normal"/>
    <w:link w:val="CommentTextChar"/>
    <w:uiPriority w:val="99"/>
    <w:semiHidden/>
    <w:unhideWhenUsed/>
    <w:rsid w:val="00302C91"/>
    <w:rPr>
      <w:sz w:val="20"/>
      <w:szCs w:val="20"/>
    </w:rPr>
  </w:style>
  <w:style w:type="character" w:customStyle="1" w:styleId="CommentTextChar">
    <w:name w:val="Comment Text Char"/>
    <w:basedOn w:val="DefaultParagraphFont"/>
    <w:link w:val="CommentText"/>
    <w:uiPriority w:val="99"/>
    <w:semiHidden/>
    <w:rsid w:val="00302C9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02C91"/>
    <w:rPr>
      <w:b/>
      <w:bCs/>
    </w:rPr>
  </w:style>
  <w:style w:type="character" w:customStyle="1" w:styleId="CommentSubjectChar">
    <w:name w:val="Comment Subject Char"/>
    <w:basedOn w:val="CommentTextChar"/>
    <w:link w:val="CommentSubject"/>
    <w:uiPriority w:val="99"/>
    <w:semiHidden/>
    <w:rsid w:val="00302C91"/>
    <w:rPr>
      <w:rFonts w:eastAsiaTheme="minorHAnsi"/>
      <w:b/>
      <w:bCs/>
      <w:sz w:val="20"/>
      <w:szCs w:val="20"/>
      <w:lang w:eastAsia="en-US"/>
    </w:rPr>
  </w:style>
  <w:style w:type="paragraph" w:customStyle="1" w:styleId="Briefingtext">
    <w:name w:val="Briefing text"/>
    <w:basedOn w:val="Normal"/>
    <w:rsid w:val="006B1B79"/>
    <w:pPr>
      <w:keepLines w:val="0"/>
      <w:numPr>
        <w:numId w:val="28"/>
      </w:numPr>
      <w:tabs>
        <w:tab w:val="left" w:pos="567"/>
      </w:tabs>
      <w:spacing w:before="0"/>
      <w:jc w:val="both"/>
    </w:pPr>
    <w:rPr>
      <w:rFonts w:ascii="Arial Mäori" w:eastAsia="Times New Roman" w:hAnsi="Arial Mäori"/>
    </w:rPr>
  </w:style>
  <w:style w:type="character" w:customStyle="1" w:styleId="FootnoteTextChar">
    <w:name w:val="Footnote Text Char"/>
    <w:basedOn w:val="DefaultParagraphFont"/>
    <w:link w:val="FootnoteText"/>
    <w:uiPriority w:val="99"/>
    <w:semiHidden/>
    <w:rsid w:val="0079634E"/>
    <w:rPr>
      <w:rFonts w:eastAsiaTheme="minorHAnsi"/>
      <w:sz w:val="20"/>
      <w:szCs w:val="20"/>
      <w:lang w:eastAsia="en-US"/>
    </w:rPr>
  </w:style>
  <w:style w:type="paragraph" w:customStyle="1" w:styleId="Tableheading2">
    <w:name w:val="Table heading 2"/>
    <w:basedOn w:val="Normal"/>
    <w:rsid w:val="002E5774"/>
    <w:pPr>
      <w:spacing w:before="44" w:after="24"/>
    </w:pPr>
    <w:rPr>
      <w:rFonts w:cstheme="minorBid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21468">
      <w:bodyDiv w:val="1"/>
      <w:marLeft w:val="0"/>
      <w:marRight w:val="0"/>
      <w:marTop w:val="0"/>
      <w:marBottom w:val="0"/>
      <w:divBdr>
        <w:top w:val="none" w:sz="0" w:space="0" w:color="auto"/>
        <w:left w:val="none" w:sz="0" w:space="0" w:color="auto"/>
        <w:bottom w:val="none" w:sz="0" w:space="0" w:color="auto"/>
        <w:right w:val="none" w:sz="0" w:space="0" w:color="auto"/>
      </w:divBdr>
    </w:div>
    <w:div w:id="235357452">
      <w:bodyDiv w:val="1"/>
      <w:marLeft w:val="0"/>
      <w:marRight w:val="0"/>
      <w:marTop w:val="0"/>
      <w:marBottom w:val="0"/>
      <w:divBdr>
        <w:top w:val="none" w:sz="0" w:space="0" w:color="auto"/>
        <w:left w:val="none" w:sz="0" w:space="0" w:color="auto"/>
        <w:bottom w:val="none" w:sz="0" w:space="0" w:color="auto"/>
        <w:right w:val="none" w:sz="0" w:space="0" w:color="auto"/>
      </w:divBdr>
    </w:div>
    <w:div w:id="288976965">
      <w:bodyDiv w:val="1"/>
      <w:marLeft w:val="0"/>
      <w:marRight w:val="0"/>
      <w:marTop w:val="0"/>
      <w:marBottom w:val="0"/>
      <w:divBdr>
        <w:top w:val="none" w:sz="0" w:space="0" w:color="auto"/>
        <w:left w:val="none" w:sz="0" w:space="0" w:color="auto"/>
        <w:bottom w:val="none" w:sz="0" w:space="0" w:color="auto"/>
        <w:right w:val="none" w:sz="0" w:space="0" w:color="auto"/>
      </w:divBdr>
    </w:div>
    <w:div w:id="560678507">
      <w:bodyDiv w:val="1"/>
      <w:marLeft w:val="0"/>
      <w:marRight w:val="0"/>
      <w:marTop w:val="0"/>
      <w:marBottom w:val="0"/>
      <w:divBdr>
        <w:top w:val="none" w:sz="0" w:space="0" w:color="auto"/>
        <w:left w:val="none" w:sz="0" w:space="0" w:color="auto"/>
        <w:bottom w:val="none" w:sz="0" w:space="0" w:color="auto"/>
        <w:right w:val="none" w:sz="0" w:space="0" w:color="auto"/>
      </w:divBdr>
    </w:div>
    <w:div w:id="575095201">
      <w:bodyDiv w:val="1"/>
      <w:marLeft w:val="0"/>
      <w:marRight w:val="0"/>
      <w:marTop w:val="0"/>
      <w:marBottom w:val="0"/>
      <w:divBdr>
        <w:top w:val="none" w:sz="0" w:space="0" w:color="auto"/>
        <w:left w:val="none" w:sz="0" w:space="0" w:color="auto"/>
        <w:bottom w:val="none" w:sz="0" w:space="0" w:color="auto"/>
        <w:right w:val="none" w:sz="0" w:space="0" w:color="auto"/>
      </w:divBdr>
    </w:div>
    <w:div w:id="651372420">
      <w:bodyDiv w:val="1"/>
      <w:marLeft w:val="0"/>
      <w:marRight w:val="0"/>
      <w:marTop w:val="0"/>
      <w:marBottom w:val="0"/>
      <w:divBdr>
        <w:top w:val="none" w:sz="0" w:space="0" w:color="auto"/>
        <w:left w:val="none" w:sz="0" w:space="0" w:color="auto"/>
        <w:bottom w:val="none" w:sz="0" w:space="0" w:color="auto"/>
        <w:right w:val="none" w:sz="0" w:space="0" w:color="auto"/>
      </w:divBdr>
    </w:div>
    <w:div w:id="664090126">
      <w:bodyDiv w:val="1"/>
      <w:marLeft w:val="0"/>
      <w:marRight w:val="0"/>
      <w:marTop w:val="0"/>
      <w:marBottom w:val="0"/>
      <w:divBdr>
        <w:top w:val="none" w:sz="0" w:space="0" w:color="auto"/>
        <w:left w:val="none" w:sz="0" w:space="0" w:color="auto"/>
        <w:bottom w:val="none" w:sz="0" w:space="0" w:color="auto"/>
        <w:right w:val="none" w:sz="0" w:space="0" w:color="auto"/>
      </w:divBdr>
    </w:div>
    <w:div w:id="712655960">
      <w:bodyDiv w:val="1"/>
      <w:marLeft w:val="0"/>
      <w:marRight w:val="0"/>
      <w:marTop w:val="0"/>
      <w:marBottom w:val="0"/>
      <w:divBdr>
        <w:top w:val="none" w:sz="0" w:space="0" w:color="auto"/>
        <w:left w:val="none" w:sz="0" w:space="0" w:color="auto"/>
        <w:bottom w:val="none" w:sz="0" w:space="0" w:color="auto"/>
        <w:right w:val="none" w:sz="0" w:space="0" w:color="auto"/>
      </w:divBdr>
    </w:div>
    <w:div w:id="1015882722">
      <w:bodyDiv w:val="1"/>
      <w:marLeft w:val="0"/>
      <w:marRight w:val="0"/>
      <w:marTop w:val="0"/>
      <w:marBottom w:val="0"/>
      <w:divBdr>
        <w:top w:val="none" w:sz="0" w:space="0" w:color="auto"/>
        <w:left w:val="none" w:sz="0" w:space="0" w:color="auto"/>
        <w:bottom w:val="none" w:sz="0" w:space="0" w:color="auto"/>
        <w:right w:val="none" w:sz="0" w:space="0" w:color="auto"/>
      </w:divBdr>
    </w:div>
    <w:div w:id="1254239707">
      <w:bodyDiv w:val="1"/>
      <w:marLeft w:val="0"/>
      <w:marRight w:val="0"/>
      <w:marTop w:val="0"/>
      <w:marBottom w:val="0"/>
      <w:divBdr>
        <w:top w:val="none" w:sz="0" w:space="0" w:color="auto"/>
        <w:left w:val="none" w:sz="0" w:space="0" w:color="auto"/>
        <w:bottom w:val="none" w:sz="0" w:space="0" w:color="auto"/>
        <w:right w:val="none" w:sz="0" w:space="0" w:color="auto"/>
      </w:divBdr>
    </w:div>
    <w:div w:id="1440225204">
      <w:bodyDiv w:val="1"/>
      <w:marLeft w:val="0"/>
      <w:marRight w:val="0"/>
      <w:marTop w:val="0"/>
      <w:marBottom w:val="0"/>
      <w:divBdr>
        <w:top w:val="none" w:sz="0" w:space="0" w:color="auto"/>
        <w:left w:val="none" w:sz="0" w:space="0" w:color="auto"/>
        <w:bottom w:val="none" w:sz="0" w:space="0" w:color="auto"/>
        <w:right w:val="none" w:sz="0" w:space="0" w:color="auto"/>
      </w:divBdr>
    </w:div>
    <w:div w:id="1549534539">
      <w:bodyDiv w:val="1"/>
      <w:marLeft w:val="0"/>
      <w:marRight w:val="0"/>
      <w:marTop w:val="0"/>
      <w:marBottom w:val="0"/>
      <w:divBdr>
        <w:top w:val="none" w:sz="0" w:space="0" w:color="auto"/>
        <w:left w:val="none" w:sz="0" w:space="0" w:color="auto"/>
        <w:bottom w:val="none" w:sz="0" w:space="0" w:color="auto"/>
        <w:right w:val="none" w:sz="0" w:space="0" w:color="auto"/>
      </w:divBdr>
    </w:div>
    <w:div w:id="1664429258">
      <w:bodyDiv w:val="1"/>
      <w:marLeft w:val="0"/>
      <w:marRight w:val="0"/>
      <w:marTop w:val="0"/>
      <w:marBottom w:val="0"/>
      <w:divBdr>
        <w:top w:val="none" w:sz="0" w:space="0" w:color="auto"/>
        <w:left w:val="none" w:sz="0" w:space="0" w:color="auto"/>
        <w:bottom w:val="none" w:sz="0" w:space="0" w:color="auto"/>
        <w:right w:val="none" w:sz="0" w:space="0" w:color="auto"/>
      </w:divBdr>
    </w:div>
    <w:div w:id="1698266826">
      <w:bodyDiv w:val="1"/>
      <w:marLeft w:val="0"/>
      <w:marRight w:val="0"/>
      <w:marTop w:val="0"/>
      <w:marBottom w:val="0"/>
      <w:divBdr>
        <w:top w:val="none" w:sz="0" w:space="0" w:color="auto"/>
        <w:left w:val="none" w:sz="0" w:space="0" w:color="auto"/>
        <w:bottom w:val="none" w:sz="0" w:space="0" w:color="auto"/>
        <w:right w:val="none" w:sz="0" w:space="0" w:color="auto"/>
      </w:divBdr>
      <w:divsChild>
        <w:div w:id="972829922">
          <w:marLeft w:val="547"/>
          <w:marRight w:val="0"/>
          <w:marTop w:val="0"/>
          <w:marBottom w:val="0"/>
          <w:divBdr>
            <w:top w:val="none" w:sz="0" w:space="0" w:color="auto"/>
            <w:left w:val="none" w:sz="0" w:space="0" w:color="auto"/>
            <w:bottom w:val="none" w:sz="0" w:space="0" w:color="auto"/>
            <w:right w:val="none" w:sz="0" w:space="0" w:color="auto"/>
          </w:divBdr>
        </w:div>
      </w:divsChild>
    </w:div>
    <w:div w:id="1847599462">
      <w:bodyDiv w:val="1"/>
      <w:marLeft w:val="0"/>
      <w:marRight w:val="0"/>
      <w:marTop w:val="0"/>
      <w:marBottom w:val="0"/>
      <w:divBdr>
        <w:top w:val="none" w:sz="0" w:space="0" w:color="auto"/>
        <w:left w:val="none" w:sz="0" w:space="0" w:color="auto"/>
        <w:bottom w:val="none" w:sz="0" w:space="0" w:color="auto"/>
        <w:right w:val="none" w:sz="0" w:space="0" w:color="auto"/>
      </w:divBdr>
    </w:div>
    <w:div w:id="2009214962">
      <w:bodyDiv w:val="1"/>
      <w:marLeft w:val="0"/>
      <w:marRight w:val="0"/>
      <w:marTop w:val="0"/>
      <w:marBottom w:val="0"/>
      <w:divBdr>
        <w:top w:val="none" w:sz="0" w:space="0" w:color="auto"/>
        <w:left w:val="none" w:sz="0" w:space="0" w:color="auto"/>
        <w:bottom w:val="none" w:sz="0" w:space="0" w:color="auto"/>
        <w:right w:val="none" w:sz="0" w:space="0" w:color="auto"/>
      </w:divBdr>
    </w:div>
    <w:div w:id="20387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Data" Target="diagrams/data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wlgprdfapn02\home$\wellington\dearslju\Class%204%20review\allocation%20of%20C4%20gross%20proceeds%20for%20Cab%20pap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lgprdfapn02\home$\wellington\woodsmi\My%20Documents\A3%20Non-Casino%20Gambling%20-%20Oct%2020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lgprdfapn02\home$\wellington\woodsmi\My%20Documents\A3%20Non-Casino%20Gambling%20-%20Oct%2020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NZ" sz="1200"/>
              <a:t>Figure 1: Estimated</a:t>
            </a:r>
            <a:r>
              <a:rPr lang="en-NZ" sz="1200" baseline="0"/>
              <a:t> a</a:t>
            </a:r>
            <a:r>
              <a:rPr lang="en-NZ" sz="1200"/>
              <a:t>llocation of total class 4 gaming machine gross proceeds for 2014, $806 million (millions)</a:t>
            </a:r>
          </a:p>
        </c:rich>
      </c:tx>
      <c:layout>
        <c:manualLayout>
          <c:xMode val="edge"/>
          <c:yMode val="edge"/>
          <c:x val="0.16869439171442532"/>
          <c:y val="2.6911309800609733E-2"/>
        </c:manualLayout>
      </c:layout>
      <c:overlay val="1"/>
    </c:title>
    <c:autoTitleDeleted val="0"/>
    <c:plotArea>
      <c:layout>
        <c:manualLayout>
          <c:layoutTarget val="inner"/>
          <c:xMode val="edge"/>
          <c:yMode val="edge"/>
          <c:x val="0.28294308959264292"/>
          <c:y val="0.24711382463072559"/>
          <c:w val="0.46636454826209783"/>
          <c:h val="0.66831319447842341"/>
        </c:manualLayout>
      </c:layout>
      <c:pieChart>
        <c:varyColors val="1"/>
        <c:ser>
          <c:idx val="0"/>
          <c:order val="0"/>
          <c:dLbls>
            <c:dLbl>
              <c:idx val="0"/>
              <c:layout>
                <c:manualLayout>
                  <c:x val="-0.11344971681171433"/>
                  <c:y val="0.17105883587415358"/>
                </c:manualLayout>
              </c:layout>
              <c:tx>
                <c:rich>
                  <a:bodyPr/>
                  <a:lstStyle/>
                  <a:p>
                    <a:r>
                      <a:rPr lang="en-US"/>
                      <a:t>Gaming Duty,  $161.20 </a:t>
                    </a:r>
                  </a:p>
                </c:rich>
              </c:tx>
              <c:showLegendKey val="0"/>
              <c:showVal val="1"/>
              <c:showCatName val="1"/>
              <c:showSerName val="0"/>
              <c:showPercent val="0"/>
              <c:showBubbleSize val="0"/>
            </c:dLbl>
            <c:dLbl>
              <c:idx val="2"/>
              <c:layout>
                <c:manualLayout>
                  <c:x val="-0.14453999171156237"/>
                  <c:y val="-0.17625288599586278"/>
                </c:manualLayout>
              </c:layout>
              <c:showLegendKey val="0"/>
              <c:showVal val="1"/>
              <c:showCatName val="1"/>
              <c:showSerName val="0"/>
              <c:showPercent val="0"/>
              <c:showBubbleSize val="0"/>
            </c:dLbl>
            <c:dLbl>
              <c:idx val="3"/>
              <c:layout>
                <c:manualLayout>
                  <c:x val="0.15580363309849421"/>
                  <c:y val="-0.10085089238605245"/>
                </c:manualLayout>
              </c:layout>
              <c:showLegendKey val="0"/>
              <c:showVal val="1"/>
              <c:showCatName val="1"/>
              <c:showSerName val="0"/>
              <c:showPercent val="0"/>
              <c:showBubbleSize val="0"/>
            </c:dLbl>
            <c:dLbl>
              <c:idx val="4"/>
              <c:layout>
                <c:manualLayout>
                  <c:x val="8.5953187957670804E-2"/>
                  <c:y val="0.12758542173701815"/>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Sheet1!$A$12:$A$16</c:f>
              <c:strCache>
                <c:ptCount val="5"/>
                <c:pt idx="0">
                  <c:v>Gaming Duty </c:v>
                </c:pt>
                <c:pt idx="1">
                  <c:v>Problem Gambling Levy</c:v>
                </c:pt>
                <c:pt idx="2">
                  <c:v>Operator Costs (incl Venues)</c:v>
                </c:pt>
                <c:pt idx="3">
                  <c:v>Authorised purposes</c:v>
                </c:pt>
                <c:pt idx="4">
                  <c:v>GST</c:v>
                </c:pt>
              </c:strCache>
            </c:strRef>
          </c:cat>
          <c:val>
            <c:numRef>
              <c:f>Sheet1!$B$12:$B$16</c:f>
              <c:numCache>
                <c:formatCode>_("$"* #,##0.00_);_("$"* \(#,##0.00\);_("$"* "-"??_);_(@_)</c:formatCode>
                <c:ptCount val="5"/>
                <c:pt idx="0">
                  <c:v>161.20000000000002</c:v>
                </c:pt>
                <c:pt idx="1">
                  <c:v>10.583130434782611</c:v>
                </c:pt>
                <c:pt idx="2">
                  <c:v>228.8299447520935</c:v>
                </c:pt>
                <c:pt idx="3">
                  <c:v>300.25649003051524</c:v>
                </c:pt>
                <c:pt idx="4">
                  <c:v>105.1304347826086</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Figure 1: Number of class 4 gaming machines,</a:t>
            </a:r>
            <a:r>
              <a:rPr lang="en-US" sz="1000" baseline="0"/>
              <a:t> 2004 - 2014</a:t>
            </a:r>
            <a:endParaRPr lang="en-US" sz="1000"/>
          </a:p>
        </c:rich>
      </c:tx>
      <c:layout>
        <c:manualLayout>
          <c:xMode val="edge"/>
          <c:yMode val="edge"/>
          <c:x val="0.15853207719470927"/>
          <c:y val="4.1260265143811065E-2"/>
        </c:manualLayout>
      </c:layout>
      <c:overlay val="0"/>
    </c:title>
    <c:autoTitleDeleted val="0"/>
    <c:plotArea>
      <c:layout/>
      <c:lineChart>
        <c:grouping val="standard"/>
        <c:varyColors val="0"/>
        <c:ser>
          <c:idx val="1"/>
          <c:order val="0"/>
          <c:tx>
            <c:strRef>
              <c:f>Sheet1!$C$1</c:f>
              <c:strCache>
                <c:ptCount val="1"/>
                <c:pt idx="0">
                  <c:v>No of Gaming Machines</c:v>
                </c:pt>
              </c:strCache>
            </c:strRef>
          </c:tx>
          <c:marker>
            <c:symbol val="none"/>
          </c:marker>
          <c:cat>
            <c:numRef>
              <c:f>Sheet1!$B$2:$B$12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Sheet1!$C$2:$C$12</c:f>
              <c:numCache>
                <c:formatCode>#,##0</c:formatCode>
                <c:ptCount val="11"/>
                <c:pt idx="0">
                  <c:v>22231</c:v>
                </c:pt>
                <c:pt idx="1">
                  <c:v>21343</c:v>
                </c:pt>
                <c:pt idx="2">
                  <c:v>20518</c:v>
                </c:pt>
                <c:pt idx="3">
                  <c:v>20182</c:v>
                </c:pt>
                <c:pt idx="4">
                  <c:v>19879</c:v>
                </c:pt>
                <c:pt idx="5">
                  <c:v>19359</c:v>
                </c:pt>
                <c:pt idx="6">
                  <c:v>18681</c:v>
                </c:pt>
                <c:pt idx="7">
                  <c:v>18133</c:v>
                </c:pt>
                <c:pt idx="8">
                  <c:v>17670</c:v>
                </c:pt>
                <c:pt idx="9">
                  <c:v>17266</c:v>
                </c:pt>
                <c:pt idx="10">
                  <c:v>16717</c:v>
                </c:pt>
              </c:numCache>
            </c:numRef>
          </c:val>
          <c:smooth val="0"/>
        </c:ser>
        <c:dLbls>
          <c:showLegendKey val="0"/>
          <c:showVal val="0"/>
          <c:showCatName val="0"/>
          <c:showSerName val="0"/>
          <c:showPercent val="0"/>
          <c:showBubbleSize val="0"/>
        </c:dLbls>
        <c:marker val="1"/>
        <c:smooth val="0"/>
        <c:axId val="139251072"/>
        <c:axId val="139256960"/>
      </c:lineChart>
      <c:catAx>
        <c:axId val="139251072"/>
        <c:scaling>
          <c:orientation val="minMax"/>
        </c:scaling>
        <c:delete val="0"/>
        <c:axPos val="b"/>
        <c:numFmt formatCode="General" sourceLinked="1"/>
        <c:majorTickMark val="none"/>
        <c:minorTickMark val="none"/>
        <c:tickLblPos val="nextTo"/>
        <c:crossAx val="139256960"/>
        <c:crosses val="autoZero"/>
        <c:auto val="1"/>
        <c:lblAlgn val="ctr"/>
        <c:lblOffset val="100"/>
        <c:noMultiLvlLbl val="0"/>
      </c:catAx>
      <c:valAx>
        <c:axId val="139256960"/>
        <c:scaling>
          <c:orientation val="minMax"/>
          <c:min val="15000"/>
        </c:scaling>
        <c:delete val="0"/>
        <c:axPos val="l"/>
        <c:majorGridlines/>
        <c:numFmt formatCode="#,##0" sourceLinked="1"/>
        <c:majorTickMark val="none"/>
        <c:minorTickMark val="none"/>
        <c:tickLblPos val="nextTo"/>
        <c:spPr>
          <a:ln w="9525">
            <a:noFill/>
          </a:ln>
        </c:spPr>
        <c:crossAx val="1392510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NZ" sz="1000"/>
              <a:t>Figure 2: Number of licensed</a:t>
            </a:r>
            <a:r>
              <a:rPr lang="en-NZ" sz="1000" baseline="0"/>
              <a:t> c</a:t>
            </a:r>
            <a:r>
              <a:rPr lang="en-NZ" sz="1000"/>
              <a:t>lub societies (top)</a:t>
            </a:r>
            <a:r>
              <a:rPr lang="en-NZ" sz="1000" baseline="0"/>
              <a:t> and non-club societies (bottom), 2004 - 2014</a:t>
            </a:r>
            <a:endParaRPr lang="en-NZ" sz="1000"/>
          </a:p>
        </c:rich>
      </c:tx>
      <c:overlay val="0"/>
    </c:title>
    <c:autoTitleDeleted val="0"/>
    <c:plotArea>
      <c:layout/>
      <c:lineChart>
        <c:grouping val="standard"/>
        <c:varyColors val="0"/>
        <c:ser>
          <c:idx val="1"/>
          <c:order val="0"/>
          <c:tx>
            <c:strRef>
              <c:f>'Society Nos'!$B$3</c:f>
              <c:strCache>
                <c:ptCount val="1"/>
                <c:pt idx="0">
                  <c:v>Club</c:v>
                </c:pt>
              </c:strCache>
            </c:strRef>
          </c:tx>
          <c:marker>
            <c:symbol val="none"/>
          </c:marker>
          <c:cat>
            <c:numRef>
              <c:f>'Society Nos'!$C$2:$M$2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'Society Nos'!$C$3:$M$3</c:f>
              <c:numCache>
                <c:formatCode>General</c:formatCode>
                <c:ptCount val="11"/>
                <c:pt idx="0">
                  <c:v>534</c:v>
                </c:pt>
                <c:pt idx="1">
                  <c:v>465</c:v>
                </c:pt>
                <c:pt idx="2">
                  <c:v>423</c:v>
                </c:pt>
                <c:pt idx="3">
                  <c:v>375</c:v>
                </c:pt>
                <c:pt idx="4">
                  <c:v>360</c:v>
                </c:pt>
                <c:pt idx="5">
                  <c:v>334</c:v>
                </c:pt>
                <c:pt idx="6">
                  <c:v>321</c:v>
                </c:pt>
                <c:pt idx="7">
                  <c:v>315</c:v>
                </c:pt>
                <c:pt idx="8">
                  <c:v>311</c:v>
                </c:pt>
                <c:pt idx="9">
                  <c:v>304</c:v>
                </c:pt>
                <c:pt idx="10">
                  <c:v>286</c:v>
                </c:pt>
              </c:numCache>
            </c:numRef>
          </c:val>
          <c:smooth val="0"/>
        </c:ser>
        <c:ser>
          <c:idx val="2"/>
          <c:order val="1"/>
          <c:tx>
            <c:strRef>
              <c:f>'Society Nos'!$B$4</c:f>
              <c:strCache>
                <c:ptCount val="1"/>
                <c:pt idx="0">
                  <c:v>Non-club</c:v>
                </c:pt>
              </c:strCache>
            </c:strRef>
          </c:tx>
          <c:marker>
            <c:symbol val="none"/>
          </c:marker>
          <c:cat>
            <c:numRef>
              <c:f>'Society Nos'!$C$2:$M$2</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'Society Nos'!$C$4:$M$4</c:f>
              <c:numCache>
                <c:formatCode>General</c:formatCode>
                <c:ptCount val="11"/>
                <c:pt idx="0">
                  <c:v>107</c:v>
                </c:pt>
                <c:pt idx="1">
                  <c:v>88</c:v>
                </c:pt>
                <c:pt idx="2">
                  <c:v>73</c:v>
                </c:pt>
                <c:pt idx="3">
                  <c:v>64</c:v>
                </c:pt>
                <c:pt idx="4">
                  <c:v>55</c:v>
                </c:pt>
                <c:pt idx="5">
                  <c:v>50</c:v>
                </c:pt>
                <c:pt idx="6">
                  <c:v>49</c:v>
                </c:pt>
                <c:pt idx="7">
                  <c:v>49</c:v>
                </c:pt>
                <c:pt idx="8">
                  <c:v>50</c:v>
                </c:pt>
                <c:pt idx="9">
                  <c:v>47</c:v>
                </c:pt>
                <c:pt idx="10">
                  <c:v>43</c:v>
                </c:pt>
              </c:numCache>
            </c:numRef>
          </c:val>
          <c:smooth val="0"/>
        </c:ser>
        <c:dLbls>
          <c:showLegendKey val="0"/>
          <c:showVal val="0"/>
          <c:showCatName val="0"/>
          <c:showSerName val="0"/>
          <c:showPercent val="0"/>
          <c:showBubbleSize val="0"/>
        </c:dLbls>
        <c:marker val="1"/>
        <c:smooth val="0"/>
        <c:axId val="136791552"/>
        <c:axId val="136793088"/>
      </c:lineChart>
      <c:dateAx>
        <c:axId val="136791552"/>
        <c:scaling>
          <c:orientation val="minMax"/>
        </c:scaling>
        <c:delete val="0"/>
        <c:axPos val="b"/>
        <c:numFmt formatCode="General" sourceLinked="1"/>
        <c:majorTickMark val="out"/>
        <c:minorTickMark val="none"/>
        <c:tickLblPos val="nextTo"/>
        <c:txPr>
          <a:bodyPr rot="0"/>
          <a:lstStyle/>
          <a:p>
            <a:pPr>
              <a:defRPr/>
            </a:pPr>
            <a:endParaRPr lang="en-US"/>
          </a:p>
        </c:txPr>
        <c:crossAx val="136793088"/>
        <c:crosses val="autoZero"/>
        <c:auto val="0"/>
        <c:lblOffset val="100"/>
        <c:baseTimeUnit val="days"/>
        <c:majorUnit val="2"/>
        <c:majorTimeUnit val="days"/>
      </c:dateAx>
      <c:valAx>
        <c:axId val="136793088"/>
        <c:scaling>
          <c:orientation val="minMax"/>
          <c:min val="0"/>
        </c:scaling>
        <c:delete val="0"/>
        <c:axPos val="l"/>
        <c:majorGridlines/>
        <c:numFmt formatCode="General" sourceLinked="1"/>
        <c:majorTickMark val="out"/>
        <c:minorTickMark val="none"/>
        <c:tickLblPos val="nextTo"/>
        <c:spPr>
          <a:ln>
            <a:noFill/>
          </a:ln>
        </c:spPr>
        <c:crossAx val="1367915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  Figure 3:</a:t>
            </a:r>
            <a:r>
              <a:rPr lang="en-US" sz="1000" baseline="0"/>
              <a:t> Number of non-c</a:t>
            </a:r>
            <a:r>
              <a:rPr lang="en-US" sz="1000"/>
              <a:t>lub (top)</a:t>
            </a:r>
            <a:r>
              <a:rPr lang="en-US" sz="1000" baseline="0"/>
              <a:t> and club (bottom</a:t>
            </a:r>
            <a:r>
              <a:rPr lang="en-US" sz="1050" baseline="0"/>
              <a:t>)</a:t>
            </a:r>
            <a:br>
              <a:rPr lang="en-US" sz="1050" baseline="0"/>
            </a:br>
            <a:r>
              <a:rPr lang="en-US" sz="1050" baseline="0"/>
              <a:t>class 4 venues, 2004 - 2014</a:t>
            </a:r>
            <a:endParaRPr lang="en-US" sz="1400"/>
          </a:p>
        </c:rich>
      </c:tx>
      <c:overlay val="0"/>
    </c:title>
    <c:autoTitleDeleted val="0"/>
    <c:plotArea>
      <c:layout/>
      <c:lineChart>
        <c:grouping val="standard"/>
        <c:varyColors val="0"/>
        <c:ser>
          <c:idx val="2"/>
          <c:order val="0"/>
          <c:tx>
            <c:strRef>
              <c:f>'Venue numbers'!$C$3</c:f>
              <c:strCache>
                <c:ptCount val="1"/>
                <c:pt idx="0">
                  <c:v>Club venues</c:v>
                </c:pt>
              </c:strCache>
            </c:strRef>
          </c:tx>
          <c:marker>
            <c:symbol val="none"/>
          </c:marker>
          <c:cat>
            <c:numRef>
              <c:f>'Venue numbers'!$B$4:$B$14</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'Venue numbers'!$C$4:$C$14</c:f>
              <c:numCache>
                <c:formatCode>General</c:formatCode>
                <c:ptCount val="11"/>
                <c:pt idx="0">
                  <c:v>1430</c:v>
                </c:pt>
                <c:pt idx="1">
                  <c:v>1329</c:v>
                </c:pt>
                <c:pt idx="2">
                  <c:v>1273</c:v>
                </c:pt>
                <c:pt idx="3">
                  <c:v>1217</c:v>
                </c:pt>
                <c:pt idx="4">
                  <c:v>1180</c:v>
                </c:pt>
                <c:pt idx="5">
                  <c:v>1158</c:v>
                </c:pt>
                <c:pt idx="6">
                  <c:v>1126</c:v>
                </c:pt>
                <c:pt idx="7">
                  <c:v>1098</c:v>
                </c:pt>
                <c:pt idx="8">
                  <c:v>1081</c:v>
                </c:pt>
                <c:pt idx="9">
                  <c:v>1043</c:v>
                </c:pt>
                <c:pt idx="10">
                  <c:v>1027</c:v>
                </c:pt>
              </c:numCache>
            </c:numRef>
          </c:val>
          <c:smooth val="0"/>
        </c:ser>
        <c:ser>
          <c:idx val="3"/>
          <c:order val="1"/>
          <c:tx>
            <c:strRef>
              <c:f>'Venue numbers'!$D$3</c:f>
              <c:strCache>
                <c:ptCount val="1"/>
                <c:pt idx="0">
                  <c:v>Non-Club Venues</c:v>
                </c:pt>
              </c:strCache>
            </c:strRef>
          </c:tx>
          <c:marker>
            <c:symbol val="none"/>
          </c:marker>
          <c:cat>
            <c:numRef>
              <c:f>'Venue numbers'!$B$4:$B$14</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'Venue numbers'!$D$4:$D$14</c:f>
              <c:numCache>
                <c:formatCode>General</c:formatCode>
                <c:ptCount val="11"/>
                <c:pt idx="0">
                  <c:v>540</c:v>
                </c:pt>
                <c:pt idx="1">
                  <c:v>472</c:v>
                </c:pt>
                <c:pt idx="2">
                  <c:v>428</c:v>
                </c:pt>
                <c:pt idx="3">
                  <c:v>381</c:v>
                </c:pt>
                <c:pt idx="4">
                  <c:v>372</c:v>
                </c:pt>
                <c:pt idx="5">
                  <c:v>343</c:v>
                </c:pt>
                <c:pt idx="6">
                  <c:v>329</c:v>
                </c:pt>
                <c:pt idx="7">
                  <c:v>323</c:v>
                </c:pt>
                <c:pt idx="8">
                  <c:v>319</c:v>
                </c:pt>
                <c:pt idx="9">
                  <c:v>313</c:v>
                </c:pt>
                <c:pt idx="10">
                  <c:v>294</c:v>
                </c:pt>
              </c:numCache>
            </c:numRef>
          </c:val>
          <c:smooth val="0"/>
        </c:ser>
        <c:dLbls>
          <c:showLegendKey val="0"/>
          <c:showVal val="0"/>
          <c:showCatName val="0"/>
          <c:showSerName val="0"/>
          <c:showPercent val="0"/>
          <c:showBubbleSize val="0"/>
        </c:dLbls>
        <c:marker val="1"/>
        <c:smooth val="0"/>
        <c:axId val="136813952"/>
        <c:axId val="136815744"/>
      </c:lineChart>
      <c:dateAx>
        <c:axId val="136813952"/>
        <c:scaling>
          <c:orientation val="minMax"/>
        </c:scaling>
        <c:delete val="0"/>
        <c:axPos val="b"/>
        <c:numFmt formatCode="General" sourceLinked="1"/>
        <c:majorTickMark val="out"/>
        <c:minorTickMark val="none"/>
        <c:tickLblPos val="nextTo"/>
        <c:txPr>
          <a:bodyPr rot="0"/>
          <a:lstStyle/>
          <a:p>
            <a:pPr>
              <a:defRPr/>
            </a:pPr>
            <a:endParaRPr lang="en-US"/>
          </a:p>
        </c:txPr>
        <c:crossAx val="136815744"/>
        <c:crosses val="autoZero"/>
        <c:auto val="0"/>
        <c:lblOffset val="100"/>
        <c:baseTimeUnit val="days"/>
        <c:majorUnit val="2"/>
        <c:majorTimeUnit val="days"/>
      </c:dateAx>
      <c:valAx>
        <c:axId val="136815744"/>
        <c:scaling>
          <c:orientation val="minMax"/>
          <c:min val="200"/>
        </c:scaling>
        <c:delete val="0"/>
        <c:axPos val="l"/>
        <c:majorGridlines/>
        <c:numFmt formatCode="General" sourceLinked="1"/>
        <c:majorTickMark val="out"/>
        <c:minorTickMark val="none"/>
        <c:tickLblPos val="nextTo"/>
        <c:spPr>
          <a:ln>
            <a:noFill/>
          </a:ln>
        </c:spPr>
        <c:crossAx val="13681395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Figure 4: Class 4 gaming machine expenditure ($m), 2004 to 2014</a:t>
            </a:r>
          </a:p>
        </c:rich>
      </c:tx>
      <c:overlay val="0"/>
    </c:title>
    <c:autoTitleDeleted val="0"/>
    <c:plotArea>
      <c:layout/>
      <c:lineChart>
        <c:grouping val="standard"/>
        <c:varyColors val="0"/>
        <c:ser>
          <c:idx val="1"/>
          <c:order val="0"/>
          <c:tx>
            <c:strRef>
              <c:f>Sheet1!$C$33</c:f>
              <c:strCache>
                <c:ptCount val="1"/>
                <c:pt idx="0">
                  <c:v>Gaming Machine Proceeds</c:v>
                </c:pt>
              </c:strCache>
            </c:strRef>
          </c:tx>
          <c:marker>
            <c:symbol val="none"/>
          </c:marker>
          <c:cat>
            <c:numRef>
              <c:f>Sheet1!$B$34:$B$44</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Sheet1!$C$34:$C$44</c:f>
              <c:numCache>
                <c:formatCode>0</c:formatCode>
                <c:ptCount val="11"/>
                <c:pt idx="0">
                  <c:v>1035</c:v>
                </c:pt>
                <c:pt idx="1">
                  <c:v>1027</c:v>
                </c:pt>
                <c:pt idx="2">
                  <c:v>905.57899999999995</c:v>
                </c:pt>
                <c:pt idx="3">
                  <c:v>950.46199999999999</c:v>
                </c:pt>
                <c:pt idx="4">
                  <c:v>938.31500000000005</c:v>
                </c:pt>
                <c:pt idx="5">
                  <c:v>889.09947499999998</c:v>
                </c:pt>
                <c:pt idx="6">
                  <c:v>849.16251699999998</c:v>
                </c:pt>
                <c:pt idx="7">
                  <c:v>856.19639199999995</c:v>
                </c:pt>
                <c:pt idx="8">
                  <c:v>853.95445552000001</c:v>
                </c:pt>
                <c:pt idx="9">
                  <c:v>825.99563701000068</c:v>
                </c:pt>
                <c:pt idx="10">
                  <c:v>808</c:v>
                </c:pt>
              </c:numCache>
            </c:numRef>
          </c:val>
          <c:smooth val="0"/>
        </c:ser>
        <c:dLbls>
          <c:showLegendKey val="0"/>
          <c:showVal val="0"/>
          <c:showCatName val="0"/>
          <c:showSerName val="0"/>
          <c:showPercent val="0"/>
          <c:showBubbleSize val="0"/>
        </c:dLbls>
        <c:marker val="1"/>
        <c:smooth val="0"/>
        <c:axId val="139912320"/>
        <c:axId val="139913856"/>
      </c:lineChart>
      <c:catAx>
        <c:axId val="139912320"/>
        <c:scaling>
          <c:orientation val="minMax"/>
        </c:scaling>
        <c:delete val="0"/>
        <c:axPos val="b"/>
        <c:numFmt formatCode="General" sourceLinked="1"/>
        <c:majorTickMark val="none"/>
        <c:minorTickMark val="none"/>
        <c:tickLblPos val="nextTo"/>
        <c:crossAx val="139913856"/>
        <c:crosses val="autoZero"/>
        <c:auto val="1"/>
        <c:lblAlgn val="ctr"/>
        <c:lblOffset val="100"/>
        <c:tickLblSkip val="2"/>
        <c:noMultiLvlLbl val="0"/>
      </c:catAx>
      <c:valAx>
        <c:axId val="139913856"/>
        <c:scaling>
          <c:orientation val="minMax"/>
          <c:min val="700"/>
        </c:scaling>
        <c:delete val="0"/>
        <c:axPos val="l"/>
        <c:majorGridlines/>
        <c:numFmt formatCode="0" sourceLinked="1"/>
        <c:majorTickMark val="none"/>
        <c:minorTickMark val="none"/>
        <c:tickLblPos val="nextTo"/>
        <c:spPr>
          <a:ln w="9525">
            <a:noFill/>
          </a:ln>
        </c:spPr>
        <c:crossAx val="139912320"/>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6EE096-72D8-4B34-941E-8ED650508A21}" type="doc">
      <dgm:prSet loTypeId="urn:microsoft.com/office/officeart/2005/8/layout/hList1" loCatId="list" qsTypeId="urn:microsoft.com/office/officeart/2005/8/quickstyle/simple4" qsCatId="simple" csTypeId="urn:microsoft.com/office/officeart/2005/8/colors/accent1_2" csCatId="accent1" phldr="1"/>
      <dgm:spPr/>
      <dgm:t>
        <a:bodyPr/>
        <a:lstStyle/>
        <a:p>
          <a:endParaRPr lang="en-NZ"/>
        </a:p>
      </dgm:t>
    </dgm:pt>
    <dgm:pt modelId="{14FDA194-BC78-4533-9133-601FA807A4A6}">
      <dgm:prSet phldrT="[Text]" custT="1"/>
      <dgm:spPr/>
      <dgm:t>
        <a:bodyPr/>
        <a:lstStyle/>
        <a:p>
          <a:r>
            <a:rPr lang="en-NZ" sz="1400"/>
            <a:t>Part 1: Sector scale down</a:t>
          </a:r>
        </a:p>
      </dgm:t>
    </dgm:pt>
    <dgm:pt modelId="{FD38E43E-C77C-4D5A-8C2A-3408A43636D1}" type="parTrans" cxnId="{B343394E-DA47-4BB6-93B2-F4F54BBCA746}">
      <dgm:prSet/>
      <dgm:spPr/>
      <dgm:t>
        <a:bodyPr/>
        <a:lstStyle/>
        <a:p>
          <a:endParaRPr lang="en-NZ"/>
        </a:p>
      </dgm:t>
    </dgm:pt>
    <dgm:pt modelId="{D131B4A2-5C27-4A1C-95E2-8D974736A553}" type="sibTrans" cxnId="{B343394E-DA47-4BB6-93B2-F4F54BBCA746}">
      <dgm:prSet/>
      <dgm:spPr/>
      <dgm:t>
        <a:bodyPr/>
        <a:lstStyle/>
        <a:p>
          <a:endParaRPr lang="en-NZ"/>
        </a:p>
      </dgm:t>
    </dgm:pt>
    <dgm:pt modelId="{11477F9C-B70C-4877-86D2-C8BC1465C197}">
      <dgm:prSet phldrT="[Text]" custT="1"/>
      <dgm:spPr/>
      <dgm:t>
        <a:bodyPr/>
        <a:lstStyle/>
        <a:p>
          <a:r>
            <a:rPr lang="en-NZ" sz="1400"/>
            <a:t>Part 2: Regulatory regime design</a:t>
          </a:r>
        </a:p>
      </dgm:t>
    </dgm:pt>
    <dgm:pt modelId="{5EB0B275-B716-45D7-A678-93163F1AF08F}" type="parTrans" cxnId="{7605BA51-C8FF-432D-95D2-A6E6BDE35CD4}">
      <dgm:prSet/>
      <dgm:spPr/>
      <dgm:t>
        <a:bodyPr/>
        <a:lstStyle/>
        <a:p>
          <a:endParaRPr lang="en-NZ"/>
        </a:p>
      </dgm:t>
    </dgm:pt>
    <dgm:pt modelId="{6F787EF0-FFB1-4504-84C4-6EA9A6AC9D57}" type="sibTrans" cxnId="{7605BA51-C8FF-432D-95D2-A6E6BDE35CD4}">
      <dgm:prSet/>
      <dgm:spPr/>
      <dgm:t>
        <a:bodyPr/>
        <a:lstStyle/>
        <a:p>
          <a:endParaRPr lang="en-NZ"/>
        </a:p>
      </dgm:t>
    </dgm:pt>
    <dgm:pt modelId="{88EEF4D6-B689-4D22-8A16-1842227E6F70}">
      <dgm:prSet/>
      <dgm:spPr/>
      <dgm:t>
        <a:bodyPr/>
        <a:lstStyle/>
        <a:p>
          <a:endParaRPr lang="en-NZ"/>
        </a:p>
      </dgm:t>
    </dgm:pt>
    <dgm:pt modelId="{78952966-A4FF-42AF-8804-35D1111B7323}" type="parTrans" cxnId="{85F3315A-68C6-42AC-86FB-2ED31D4CA67F}">
      <dgm:prSet/>
      <dgm:spPr/>
      <dgm:t>
        <a:bodyPr/>
        <a:lstStyle/>
        <a:p>
          <a:endParaRPr lang="en-NZ"/>
        </a:p>
      </dgm:t>
    </dgm:pt>
    <dgm:pt modelId="{2F029D2F-F178-4FFB-AF8D-CA4623DFC6D7}" type="sibTrans" cxnId="{85F3315A-68C6-42AC-86FB-2ED31D4CA67F}">
      <dgm:prSet/>
      <dgm:spPr/>
      <dgm:t>
        <a:bodyPr/>
        <a:lstStyle/>
        <a:p>
          <a:endParaRPr lang="en-NZ"/>
        </a:p>
      </dgm:t>
    </dgm:pt>
    <dgm:pt modelId="{DB671E85-7A6E-41E4-A8ED-221E4D8C8CA1}">
      <dgm:prSet phldrT="[Text]"/>
      <dgm:spPr/>
      <dgm:t>
        <a:bodyPr/>
        <a:lstStyle/>
        <a:p>
          <a:r>
            <a:rPr lang="en-NZ"/>
            <a:t> Describe the general scale down:</a:t>
          </a:r>
          <a:br>
            <a:rPr lang="en-NZ"/>
          </a:br>
          <a:r>
            <a:rPr lang="en-NZ"/>
            <a:t>- diminishing numbers of gaming machines </a:t>
          </a:r>
          <a:br>
            <a:rPr lang="en-NZ"/>
          </a:br>
          <a:r>
            <a:rPr lang="en-NZ"/>
            <a:t>- diminishing numbers of gaming machine venues</a:t>
          </a:r>
        </a:p>
      </dgm:t>
    </dgm:pt>
    <dgm:pt modelId="{D0B9A6C1-FD5A-4C55-896D-751A61B841C9}" type="parTrans" cxnId="{C9073E8F-DA86-4DC5-A05E-CAB9DDC22566}">
      <dgm:prSet/>
      <dgm:spPr/>
      <dgm:t>
        <a:bodyPr/>
        <a:lstStyle/>
        <a:p>
          <a:endParaRPr lang="en-NZ"/>
        </a:p>
      </dgm:t>
    </dgm:pt>
    <dgm:pt modelId="{54E9BD5D-542D-4F93-B25F-28EA59DA5849}" type="sibTrans" cxnId="{C9073E8F-DA86-4DC5-A05E-CAB9DDC22566}">
      <dgm:prSet/>
      <dgm:spPr/>
      <dgm:t>
        <a:bodyPr/>
        <a:lstStyle/>
        <a:p>
          <a:endParaRPr lang="en-NZ"/>
        </a:p>
      </dgm:t>
    </dgm:pt>
    <dgm:pt modelId="{BD95F2A1-BC21-471B-A557-567AB4006AB3}">
      <dgm:prSet phldrT="[Text]"/>
      <dgm:spPr/>
      <dgm:t>
        <a:bodyPr/>
        <a:lstStyle/>
        <a:p>
          <a:pPr indent="-72000"/>
          <a:r>
            <a:rPr lang="en-NZ"/>
            <a:t> Is the regime fit for purpose?</a:t>
          </a:r>
          <a:br>
            <a:rPr lang="en-NZ"/>
          </a:br>
          <a:r>
            <a:rPr lang="en-NZ"/>
            <a:t>- how do the current outcomes measure against the objectives?</a:t>
          </a:r>
          <a:br>
            <a:rPr lang="en-NZ"/>
          </a:br>
          <a:r>
            <a:rPr lang="en-NZ"/>
            <a:t>- is the regime efficient and how much does the regulatory framework cost?</a:t>
          </a:r>
          <a:br>
            <a:rPr lang="en-NZ"/>
          </a:br>
          <a:r>
            <a:rPr lang="en-NZ"/>
            <a:t>- what are the areas of strong/poor regulatory performance?</a:t>
          </a:r>
        </a:p>
      </dgm:t>
    </dgm:pt>
    <dgm:pt modelId="{C5F3A549-ECBA-476A-B87E-603B7BDCE65C}" type="parTrans" cxnId="{ACD827FE-E4E9-4B60-B7CB-BF10EAB36143}">
      <dgm:prSet/>
      <dgm:spPr/>
      <dgm:t>
        <a:bodyPr/>
        <a:lstStyle/>
        <a:p>
          <a:endParaRPr lang="en-NZ"/>
        </a:p>
      </dgm:t>
    </dgm:pt>
    <dgm:pt modelId="{1C7643D6-151B-4749-8A22-1365F9ECA458}" type="sibTrans" cxnId="{ACD827FE-E4E9-4B60-B7CB-BF10EAB36143}">
      <dgm:prSet/>
      <dgm:spPr/>
      <dgm:t>
        <a:bodyPr/>
        <a:lstStyle/>
        <a:p>
          <a:endParaRPr lang="en-NZ"/>
        </a:p>
      </dgm:t>
    </dgm:pt>
    <dgm:pt modelId="{819432E8-1E4A-4ABD-AD2B-C86E1123B611}">
      <dgm:prSet/>
      <dgm:spPr/>
      <dgm:t>
        <a:bodyPr/>
        <a:lstStyle/>
        <a:p>
          <a:r>
            <a:rPr lang="en-NZ"/>
            <a:t>What is the impact of territorial authority venue policies and consent processes?</a:t>
          </a:r>
        </a:p>
      </dgm:t>
    </dgm:pt>
    <dgm:pt modelId="{09DDC273-85AD-4BBD-9CE9-9810A5BD1257}" type="parTrans" cxnId="{C066F60D-037A-47E5-8E3E-816F1B515C51}">
      <dgm:prSet/>
      <dgm:spPr/>
      <dgm:t>
        <a:bodyPr/>
        <a:lstStyle/>
        <a:p>
          <a:endParaRPr lang="en-NZ"/>
        </a:p>
      </dgm:t>
    </dgm:pt>
    <dgm:pt modelId="{1F4AC1AB-C078-40BE-94D8-FA85D54E0760}" type="sibTrans" cxnId="{C066F60D-037A-47E5-8E3E-816F1B515C51}">
      <dgm:prSet/>
      <dgm:spPr/>
      <dgm:t>
        <a:bodyPr/>
        <a:lstStyle/>
        <a:p>
          <a:endParaRPr lang="en-NZ"/>
        </a:p>
      </dgm:t>
    </dgm:pt>
    <dgm:pt modelId="{C320D94A-8AD8-4B04-8901-C322B89BE8E4}">
      <dgm:prSet/>
      <dgm:spPr/>
      <dgm:t>
        <a:bodyPr/>
        <a:lstStyle/>
        <a:p>
          <a:r>
            <a:rPr lang="en-NZ"/>
            <a:t>What is the impact of the statutory limit of nine gaming machines?</a:t>
          </a:r>
        </a:p>
      </dgm:t>
    </dgm:pt>
    <dgm:pt modelId="{1B62E61F-0F3C-480A-B950-AA541C436B9B}" type="parTrans" cxnId="{C2DA8167-C28E-45AF-8CAD-3EEABFC9166A}">
      <dgm:prSet/>
      <dgm:spPr/>
      <dgm:t>
        <a:bodyPr/>
        <a:lstStyle/>
        <a:p>
          <a:endParaRPr lang="en-NZ"/>
        </a:p>
      </dgm:t>
    </dgm:pt>
    <dgm:pt modelId="{60DDAB55-D532-4CF2-9008-86F4AD0D6D3F}" type="sibTrans" cxnId="{C2DA8167-C28E-45AF-8CAD-3EEABFC9166A}">
      <dgm:prSet/>
      <dgm:spPr/>
      <dgm:t>
        <a:bodyPr/>
        <a:lstStyle/>
        <a:p>
          <a:endParaRPr lang="en-NZ"/>
        </a:p>
      </dgm:t>
    </dgm:pt>
    <dgm:pt modelId="{68EC584C-C2AA-4AD2-A558-9AEB4D784473}">
      <dgm:prSet/>
      <dgm:spPr/>
      <dgm:t>
        <a:bodyPr/>
        <a:lstStyle/>
        <a:p>
          <a:r>
            <a:rPr lang="en-NZ"/>
            <a:t> Is competition occurring in the sector? Is it positive or negative ?</a:t>
          </a:r>
        </a:p>
      </dgm:t>
    </dgm:pt>
    <dgm:pt modelId="{C03815AC-7452-4DD9-A9C3-9D7612ECE8D2}" type="parTrans" cxnId="{7A027667-077D-40AD-97BB-1F62B6682E80}">
      <dgm:prSet/>
      <dgm:spPr/>
      <dgm:t>
        <a:bodyPr/>
        <a:lstStyle/>
        <a:p>
          <a:endParaRPr lang="en-NZ"/>
        </a:p>
      </dgm:t>
    </dgm:pt>
    <dgm:pt modelId="{0A7EFDA4-BA5E-4CDE-90D9-FE26DB328B1E}" type="sibTrans" cxnId="{7A027667-077D-40AD-97BB-1F62B6682E80}">
      <dgm:prSet/>
      <dgm:spPr/>
      <dgm:t>
        <a:bodyPr/>
        <a:lstStyle/>
        <a:p>
          <a:endParaRPr lang="en-NZ"/>
        </a:p>
      </dgm:t>
    </dgm:pt>
    <dgm:pt modelId="{1FB4D421-A3BB-4211-ACEA-05CB6F47AED3}">
      <dgm:prSet/>
      <dgm:spPr/>
      <dgm:t>
        <a:bodyPr/>
        <a:lstStyle/>
        <a:p>
          <a:r>
            <a:rPr lang="en-NZ"/>
            <a:t>What is the impact of the New Zealand Racing Board (as a more recent licensed operator) on other societies?</a:t>
          </a:r>
        </a:p>
      </dgm:t>
    </dgm:pt>
    <dgm:pt modelId="{F73D02F6-A31E-4C45-90FF-B650BF927C51}" type="parTrans" cxnId="{0832C4C6-F265-42CB-BDC4-4D208472E33E}">
      <dgm:prSet/>
      <dgm:spPr/>
      <dgm:t>
        <a:bodyPr/>
        <a:lstStyle/>
        <a:p>
          <a:endParaRPr lang="en-NZ"/>
        </a:p>
      </dgm:t>
    </dgm:pt>
    <dgm:pt modelId="{04E3C757-61E2-4A0B-B2D3-539BD15256E4}" type="sibTrans" cxnId="{0832C4C6-F265-42CB-BDC4-4D208472E33E}">
      <dgm:prSet/>
      <dgm:spPr/>
      <dgm:t>
        <a:bodyPr/>
        <a:lstStyle/>
        <a:p>
          <a:endParaRPr lang="en-NZ"/>
        </a:p>
      </dgm:t>
    </dgm:pt>
    <dgm:pt modelId="{248507D2-3F45-47AE-9025-537190EA88A4}">
      <dgm:prSet/>
      <dgm:spPr/>
      <dgm:t>
        <a:bodyPr/>
        <a:lstStyle/>
        <a:p>
          <a:r>
            <a:rPr lang="en-NZ"/>
            <a:t>Has the economic environment or competition with other forms of gambling impacted on the sector?</a:t>
          </a:r>
        </a:p>
      </dgm:t>
    </dgm:pt>
    <dgm:pt modelId="{9B8A63BA-0A00-400F-BDE0-7FBF41E32E67}" type="parTrans" cxnId="{F9809CA0-90C1-4252-9786-E68DE6DAC6B6}">
      <dgm:prSet/>
      <dgm:spPr/>
      <dgm:t>
        <a:bodyPr/>
        <a:lstStyle/>
        <a:p>
          <a:endParaRPr lang="en-NZ"/>
        </a:p>
      </dgm:t>
    </dgm:pt>
    <dgm:pt modelId="{1CB1CC06-8107-4333-9456-8EF1F0388607}" type="sibTrans" cxnId="{F9809CA0-90C1-4252-9786-E68DE6DAC6B6}">
      <dgm:prSet/>
      <dgm:spPr/>
      <dgm:t>
        <a:bodyPr/>
        <a:lstStyle/>
        <a:p>
          <a:endParaRPr lang="en-NZ"/>
        </a:p>
      </dgm:t>
    </dgm:pt>
    <dgm:pt modelId="{CAC708C4-75A6-48A1-83DF-55D29C52C1A1}">
      <dgm:prSet/>
      <dgm:spPr/>
      <dgm:t>
        <a:bodyPr/>
        <a:lstStyle/>
        <a:p>
          <a:r>
            <a:rPr lang="en-NZ"/>
            <a:t>What is the current research showing about people’s participation in class 4 gambling? For example:</a:t>
          </a:r>
          <a:br>
            <a:rPr lang="en-NZ"/>
          </a:br>
          <a:r>
            <a:rPr lang="en-NZ"/>
            <a:t>- are the demographics of players changing (e.g. age, ethnicity)?</a:t>
          </a:r>
          <a:br>
            <a:rPr lang="en-NZ"/>
          </a:br>
          <a:r>
            <a:rPr lang="en-NZ"/>
            <a:t>- do venue locations impact on participation?</a:t>
          </a:r>
          <a:br>
            <a:rPr lang="en-NZ"/>
          </a:br>
          <a:r>
            <a:rPr lang="en-NZ"/>
            <a:t>- do changes in the hospitality sector (venues' primary purpose )impact on participation? </a:t>
          </a:r>
        </a:p>
      </dgm:t>
    </dgm:pt>
    <dgm:pt modelId="{0D73709F-C6BA-4DE2-91BC-0FDD61467A08}" type="parTrans" cxnId="{11DFCF5B-6378-4D74-A8B9-35C11C014D48}">
      <dgm:prSet/>
      <dgm:spPr/>
      <dgm:t>
        <a:bodyPr/>
        <a:lstStyle/>
        <a:p>
          <a:endParaRPr lang="en-NZ"/>
        </a:p>
      </dgm:t>
    </dgm:pt>
    <dgm:pt modelId="{EC96D8F6-5E7D-44D4-BEE2-AF9CC0836C78}" type="sibTrans" cxnId="{11DFCF5B-6378-4D74-A8B9-35C11C014D48}">
      <dgm:prSet/>
      <dgm:spPr/>
      <dgm:t>
        <a:bodyPr/>
        <a:lstStyle/>
        <a:p>
          <a:endParaRPr lang="en-NZ"/>
        </a:p>
      </dgm:t>
    </dgm:pt>
    <dgm:pt modelId="{5250D127-9AB5-4469-9132-390068341D43}">
      <dgm:prSet/>
      <dgm:spPr/>
      <dgm:t>
        <a:bodyPr/>
        <a:lstStyle/>
        <a:p>
          <a:r>
            <a:rPr lang="en-NZ"/>
            <a:t>Does game design impact on participation or competition? For example:</a:t>
          </a:r>
          <a:br>
            <a:rPr lang="en-NZ"/>
          </a:br>
          <a:r>
            <a:rPr lang="en-NZ"/>
            <a:t>- can the sector make use of emerging technology?</a:t>
          </a:r>
          <a:br>
            <a:rPr lang="en-NZ"/>
          </a:br>
          <a:r>
            <a:rPr lang="en-NZ"/>
            <a:t>- can the sector adapt to changing consumer demands?</a:t>
          </a:r>
        </a:p>
      </dgm:t>
    </dgm:pt>
    <dgm:pt modelId="{44DE4A81-FF73-4D4F-B5E3-CC0A1AB1AE44}" type="parTrans" cxnId="{1BA83D04-C115-495F-9D56-C56D10BDD04D}">
      <dgm:prSet/>
      <dgm:spPr/>
      <dgm:t>
        <a:bodyPr/>
        <a:lstStyle/>
        <a:p>
          <a:endParaRPr lang="en-NZ"/>
        </a:p>
      </dgm:t>
    </dgm:pt>
    <dgm:pt modelId="{C36DCA0D-5665-4B6E-90E1-33D0E40BEF07}" type="sibTrans" cxnId="{1BA83D04-C115-495F-9D56-C56D10BDD04D}">
      <dgm:prSet/>
      <dgm:spPr/>
      <dgm:t>
        <a:bodyPr/>
        <a:lstStyle/>
        <a:p>
          <a:endParaRPr lang="en-NZ"/>
        </a:p>
      </dgm:t>
    </dgm:pt>
    <dgm:pt modelId="{6DA29568-B3E2-4ED0-AA2F-4DBF6B9FEAEB}">
      <dgm:prSet/>
      <dgm:spPr/>
      <dgm:t>
        <a:bodyPr/>
        <a:lstStyle/>
        <a:p>
          <a:r>
            <a:rPr lang="en-NZ"/>
            <a:t>What is the impact of competition between clubs and commercial class 4 and/or non-class 4 venues?</a:t>
          </a:r>
        </a:p>
      </dgm:t>
    </dgm:pt>
    <dgm:pt modelId="{5A995ED7-663A-4DB0-9DD9-10D90FC4ECA2}" type="parTrans" cxnId="{D460B072-2D90-4CC2-BED5-D41A63048CF2}">
      <dgm:prSet/>
      <dgm:spPr/>
      <dgm:t>
        <a:bodyPr/>
        <a:lstStyle/>
        <a:p>
          <a:endParaRPr lang="en-NZ"/>
        </a:p>
      </dgm:t>
    </dgm:pt>
    <dgm:pt modelId="{CEEFD92A-288D-4E46-A30F-92926966B66B}" type="sibTrans" cxnId="{D460B072-2D90-4CC2-BED5-D41A63048CF2}">
      <dgm:prSet/>
      <dgm:spPr/>
      <dgm:t>
        <a:bodyPr/>
        <a:lstStyle/>
        <a:p>
          <a:endParaRPr lang="en-NZ"/>
        </a:p>
      </dgm:t>
    </dgm:pt>
    <dgm:pt modelId="{295168BC-2429-4F9B-93E9-BB8C6408708D}">
      <dgm:prSet/>
      <dgm:spPr/>
      <dgm:t>
        <a:bodyPr/>
        <a:lstStyle/>
        <a:p>
          <a:r>
            <a:rPr lang="en-NZ"/>
            <a:t> What incentives does the regime provide to operators to:</a:t>
          </a:r>
          <a:br>
            <a:rPr lang="en-NZ"/>
          </a:br>
          <a:r>
            <a:rPr lang="en-NZ"/>
            <a:t>- maintain integrity?</a:t>
          </a:r>
          <a:br>
            <a:rPr lang="en-NZ"/>
          </a:br>
          <a:r>
            <a:rPr lang="en-NZ"/>
            <a:t>- maximise community benefit from returns?</a:t>
          </a:r>
          <a:br>
            <a:rPr lang="en-NZ"/>
          </a:br>
          <a:r>
            <a:rPr lang="en-NZ"/>
            <a:t>- prevent and minimise harm?</a:t>
          </a:r>
        </a:p>
      </dgm:t>
    </dgm:pt>
    <dgm:pt modelId="{0E585E2D-79CA-4FFF-9490-9DBF3FDF1C13}" type="parTrans" cxnId="{A2161BBE-53CD-4D89-B5A1-D9CF8E3ABDA6}">
      <dgm:prSet/>
      <dgm:spPr/>
      <dgm:t>
        <a:bodyPr/>
        <a:lstStyle/>
        <a:p>
          <a:endParaRPr lang="en-NZ"/>
        </a:p>
      </dgm:t>
    </dgm:pt>
    <dgm:pt modelId="{DCC99B42-E085-4590-AC7F-02E1C6DEAD01}" type="sibTrans" cxnId="{A2161BBE-53CD-4D89-B5A1-D9CF8E3ABDA6}">
      <dgm:prSet/>
      <dgm:spPr/>
      <dgm:t>
        <a:bodyPr/>
        <a:lstStyle/>
        <a:p>
          <a:endParaRPr lang="en-NZ"/>
        </a:p>
      </dgm:t>
    </dgm:pt>
    <dgm:pt modelId="{7C34DBCF-F7C1-4B50-B25F-AF0AB4BB6EAE}">
      <dgm:prSet/>
      <dgm:spPr/>
      <dgm:t>
        <a:bodyPr/>
        <a:lstStyle/>
        <a:p>
          <a:r>
            <a:rPr lang="en-NZ"/>
            <a:t> What features of the sector (revenue generation, venue management, grants decision-making) drive the complexity? </a:t>
          </a:r>
        </a:p>
      </dgm:t>
    </dgm:pt>
    <dgm:pt modelId="{7768737B-ED63-4067-ABFB-A5922E7150CF}" type="parTrans" cxnId="{049D98C8-4AE4-44BE-9534-A35DAD461923}">
      <dgm:prSet/>
      <dgm:spPr/>
      <dgm:t>
        <a:bodyPr/>
        <a:lstStyle/>
        <a:p>
          <a:endParaRPr lang="en-NZ"/>
        </a:p>
      </dgm:t>
    </dgm:pt>
    <dgm:pt modelId="{D2DEEA31-FC4F-4EC9-BCD7-DDC664123277}" type="sibTrans" cxnId="{049D98C8-4AE4-44BE-9534-A35DAD461923}">
      <dgm:prSet/>
      <dgm:spPr/>
      <dgm:t>
        <a:bodyPr/>
        <a:lstStyle/>
        <a:p>
          <a:endParaRPr lang="en-NZ"/>
        </a:p>
      </dgm:t>
    </dgm:pt>
    <dgm:pt modelId="{1F50B60B-CC0E-4FC7-A654-EDBDC62EA7BA}">
      <dgm:prSet/>
      <dgm:spPr/>
      <dgm:t>
        <a:bodyPr/>
        <a:lstStyle/>
        <a:p>
          <a:r>
            <a:rPr lang="en-NZ"/>
            <a:t> How effectively does the regime prevent and minimise harm?</a:t>
          </a:r>
        </a:p>
      </dgm:t>
    </dgm:pt>
    <dgm:pt modelId="{9BF113EE-DB2C-48E9-82AE-4117D7515100}" type="parTrans" cxnId="{103B625D-01EC-41F3-A13F-8754DC830B4C}">
      <dgm:prSet/>
      <dgm:spPr/>
      <dgm:t>
        <a:bodyPr/>
        <a:lstStyle/>
        <a:p>
          <a:endParaRPr lang="en-NZ"/>
        </a:p>
      </dgm:t>
    </dgm:pt>
    <dgm:pt modelId="{E8C4CF8B-58A5-45AE-80CF-12D8DF07DF25}" type="sibTrans" cxnId="{103B625D-01EC-41F3-A13F-8754DC830B4C}">
      <dgm:prSet/>
      <dgm:spPr/>
      <dgm:t>
        <a:bodyPr/>
        <a:lstStyle/>
        <a:p>
          <a:endParaRPr lang="en-NZ"/>
        </a:p>
      </dgm:t>
    </dgm:pt>
    <dgm:pt modelId="{4089A02C-1E95-4F58-9897-30FAFBF09224}">
      <dgm:prSet/>
      <dgm:spPr/>
      <dgm:t>
        <a:bodyPr/>
        <a:lstStyle/>
        <a:p>
          <a:r>
            <a:rPr lang="en-NZ"/>
            <a:t> How effectively does the regime manage the identified risks? For example, through the:</a:t>
          </a:r>
          <a:br>
            <a:rPr lang="en-NZ"/>
          </a:br>
          <a:r>
            <a:rPr lang="en-NZ"/>
            <a:t>-  licensing system? </a:t>
          </a:r>
          <a:br>
            <a:rPr lang="en-NZ"/>
          </a:br>
          <a:r>
            <a:rPr lang="en-NZ"/>
            <a:t>- technological controls (e.g. electronic monitoring system)?</a:t>
          </a:r>
          <a:br>
            <a:rPr lang="en-NZ"/>
          </a:br>
          <a:r>
            <a:rPr lang="en-NZ"/>
            <a:t>- conflicts of interest provisions?</a:t>
          </a:r>
        </a:p>
      </dgm:t>
    </dgm:pt>
    <dgm:pt modelId="{D79F041A-AE51-417C-98F0-11DC759D8C5B}" type="parTrans" cxnId="{DB568987-26B9-4CE3-81D4-13EAD1C60622}">
      <dgm:prSet/>
      <dgm:spPr/>
      <dgm:t>
        <a:bodyPr/>
        <a:lstStyle/>
        <a:p>
          <a:endParaRPr lang="en-NZ"/>
        </a:p>
      </dgm:t>
    </dgm:pt>
    <dgm:pt modelId="{225744B5-153A-4BB3-AFD8-497077C99D57}" type="sibTrans" cxnId="{DB568987-26B9-4CE3-81D4-13EAD1C60622}">
      <dgm:prSet/>
      <dgm:spPr/>
      <dgm:t>
        <a:bodyPr/>
        <a:lstStyle/>
        <a:p>
          <a:endParaRPr lang="en-NZ"/>
        </a:p>
      </dgm:t>
    </dgm:pt>
    <dgm:pt modelId="{36D67EEB-F341-42F5-B545-930B7227D48E}">
      <dgm:prSet/>
      <dgm:spPr/>
      <dgm:t>
        <a:bodyPr/>
        <a:lstStyle/>
        <a:p>
          <a:r>
            <a:rPr lang="en-NZ"/>
            <a:t> Is the funding model:</a:t>
          </a:r>
          <a:br>
            <a:rPr lang="en-NZ"/>
          </a:br>
          <a:r>
            <a:rPr lang="en-NZ"/>
            <a:t>- transparent?</a:t>
          </a:r>
          <a:br>
            <a:rPr lang="en-NZ"/>
          </a:br>
          <a:r>
            <a:rPr lang="en-NZ"/>
            <a:t>- effective in supporting the objectives?</a:t>
          </a:r>
          <a:br>
            <a:rPr lang="en-NZ"/>
          </a:br>
          <a:r>
            <a:rPr lang="en-NZ"/>
            <a:t>- efficient?</a:t>
          </a:r>
        </a:p>
      </dgm:t>
    </dgm:pt>
    <dgm:pt modelId="{2A8F8AB3-781F-42D1-BDA0-76BD4EFBAA54}" type="parTrans" cxnId="{9C86DB52-2220-418A-AB7B-2F6C0ED378CA}">
      <dgm:prSet/>
      <dgm:spPr/>
      <dgm:t>
        <a:bodyPr/>
        <a:lstStyle/>
        <a:p>
          <a:endParaRPr lang="en-NZ"/>
        </a:p>
      </dgm:t>
    </dgm:pt>
    <dgm:pt modelId="{5684ADF2-6651-40AC-8675-C17E789BDDF7}" type="sibTrans" cxnId="{9C86DB52-2220-418A-AB7B-2F6C0ED378CA}">
      <dgm:prSet/>
      <dgm:spPr/>
      <dgm:t>
        <a:bodyPr/>
        <a:lstStyle/>
        <a:p>
          <a:endParaRPr lang="en-NZ"/>
        </a:p>
      </dgm:t>
    </dgm:pt>
    <dgm:pt modelId="{1103AF3D-81D0-4D23-A84E-32EE1BEEB3CA}">
      <dgm:prSet/>
      <dgm:spPr/>
      <dgm:t>
        <a:bodyPr/>
        <a:lstStyle/>
        <a:p>
          <a:r>
            <a:rPr lang="en-NZ"/>
            <a:t>Are other forms of gambling offsetting the decline in the community funding from class 4 gambling?</a:t>
          </a:r>
        </a:p>
      </dgm:t>
    </dgm:pt>
    <dgm:pt modelId="{B7B75C15-E08E-4360-A5DA-6DA238C01E85}" type="parTrans" cxnId="{8D4FFAB8-FC12-4FD4-A377-17BD20F9A5BC}">
      <dgm:prSet/>
      <dgm:spPr/>
      <dgm:t>
        <a:bodyPr/>
        <a:lstStyle/>
        <a:p>
          <a:endParaRPr lang="en-NZ"/>
        </a:p>
      </dgm:t>
    </dgm:pt>
    <dgm:pt modelId="{7016DCC5-2467-4F1D-926E-D919C39AB6BB}" type="sibTrans" cxnId="{8D4FFAB8-FC12-4FD4-A377-17BD20F9A5BC}">
      <dgm:prSet/>
      <dgm:spPr/>
      <dgm:t>
        <a:bodyPr/>
        <a:lstStyle/>
        <a:p>
          <a:endParaRPr lang="en-NZ"/>
        </a:p>
      </dgm:t>
    </dgm:pt>
    <dgm:pt modelId="{A07023BE-D48B-411E-8CC0-6CDC5AB9C69F}" type="pres">
      <dgm:prSet presAssocID="{0B6EE096-72D8-4B34-941E-8ED650508A21}" presName="Name0" presStyleCnt="0">
        <dgm:presLayoutVars>
          <dgm:dir/>
          <dgm:animLvl val="lvl"/>
          <dgm:resizeHandles val="exact"/>
        </dgm:presLayoutVars>
      </dgm:prSet>
      <dgm:spPr/>
      <dgm:t>
        <a:bodyPr/>
        <a:lstStyle/>
        <a:p>
          <a:endParaRPr lang="en-NZ"/>
        </a:p>
      </dgm:t>
    </dgm:pt>
    <dgm:pt modelId="{B25AC313-7A36-4F56-87CF-C483973CC420}" type="pres">
      <dgm:prSet presAssocID="{14FDA194-BC78-4533-9133-601FA807A4A6}" presName="composite" presStyleCnt="0"/>
      <dgm:spPr/>
      <dgm:t>
        <a:bodyPr/>
        <a:lstStyle/>
        <a:p>
          <a:endParaRPr lang="en-NZ"/>
        </a:p>
      </dgm:t>
    </dgm:pt>
    <dgm:pt modelId="{F4FC7B14-43AD-493B-A57A-70EBB149CC4B}" type="pres">
      <dgm:prSet presAssocID="{14FDA194-BC78-4533-9133-601FA807A4A6}" presName="parTx" presStyleLbl="alignNode1" presStyleIdx="0" presStyleCnt="2">
        <dgm:presLayoutVars>
          <dgm:chMax val="0"/>
          <dgm:chPref val="0"/>
          <dgm:bulletEnabled val="1"/>
        </dgm:presLayoutVars>
      </dgm:prSet>
      <dgm:spPr/>
      <dgm:t>
        <a:bodyPr/>
        <a:lstStyle/>
        <a:p>
          <a:endParaRPr lang="en-NZ"/>
        </a:p>
      </dgm:t>
    </dgm:pt>
    <dgm:pt modelId="{723C1F0C-C0EB-4077-8A59-F857A352B69A}" type="pres">
      <dgm:prSet presAssocID="{14FDA194-BC78-4533-9133-601FA807A4A6}" presName="desTx" presStyleLbl="alignAccFollowNode1" presStyleIdx="0" presStyleCnt="2">
        <dgm:presLayoutVars>
          <dgm:bulletEnabled val="1"/>
        </dgm:presLayoutVars>
      </dgm:prSet>
      <dgm:spPr/>
      <dgm:t>
        <a:bodyPr/>
        <a:lstStyle/>
        <a:p>
          <a:endParaRPr lang="en-NZ"/>
        </a:p>
      </dgm:t>
    </dgm:pt>
    <dgm:pt modelId="{6C5B20EB-B614-4C05-9306-DC0EED583E61}" type="pres">
      <dgm:prSet presAssocID="{D131B4A2-5C27-4A1C-95E2-8D974736A553}" presName="space" presStyleCnt="0"/>
      <dgm:spPr/>
      <dgm:t>
        <a:bodyPr/>
        <a:lstStyle/>
        <a:p>
          <a:endParaRPr lang="en-NZ"/>
        </a:p>
      </dgm:t>
    </dgm:pt>
    <dgm:pt modelId="{C1E8520D-4A36-4540-A468-E5AAEEFE4D3B}" type="pres">
      <dgm:prSet presAssocID="{11477F9C-B70C-4877-86D2-C8BC1465C197}" presName="composite" presStyleCnt="0"/>
      <dgm:spPr/>
      <dgm:t>
        <a:bodyPr/>
        <a:lstStyle/>
        <a:p>
          <a:endParaRPr lang="en-NZ"/>
        </a:p>
      </dgm:t>
    </dgm:pt>
    <dgm:pt modelId="{04DD42A3-926D-438B-B891-9976521E729B}" type="pres">
      <dgm:prSet presAssocID="{11477F9C-B70C-4877-86D2-C8BC1465C197}" presName="parTx" presStyleLbl="alignNode1" presStyleIdx="1" presStyleCnt="2">
        <dgm:presLayoutVars>
          <dgm:chMax val="0"/>
          <dgm:chPref val="0"/>
          <dgm:bulletEnabled val="1"/>
        </dgm:presLayoutVars>
      </dgm:prSet>
      <dgm:spPr/>
      <dgm:t>
        <a:bodyPr/>
        <a:lstStyle/>
        <a:p>
          <a:endParaRPr lang="en-NZ"/>
        </a:p>
      </dgm:t>
    </dgm:pt>
    <dgm:pt modelId="{8448BA9B-4870-4D80-BAA8-BBA7FA6E6005}" type="pres">
      <dgm:prSet presAssocID="{11477F9C-B70C-4877-86D2-C8BC1465C197}" presName="desTx" presStyleLbl="alignAccFollowNode1" presStyleIdx="1" presStyleCnt="2">
        <dgm:presLayoutVars>
          <dgm:bulletEnabled val="1"/>
        </dgm:presLayoutVars>
      </dgm:prSet>
      <dgm:spPr/>
      <dgm:t>
        <a:bodyPr/>
        <a:lstStyle/>
        <a:p>
          <a:endParaRPr lang="en-NZ"/>
        </a:p>
      </dgm:t>
    </dgm:pt>
  </dgm:ptLst>
  <dgm:cxnLst>
    <dgm:cxn modelId="{639A4A6E-256F-4615-AD94-7F89EE594EA1}" type="presOf" srcId="{1103AF3D-81D0-4D23-A84E-32EE1BEEB3CA}" destId="{723C1F0C-C0EB-4077-8A59-F857A352B69A}" srcOrd="0" destOrd="6" presId="urn:microsoft.com/office/officeart/2005/8/layout/hList1"/>
    <dgm:cxn modelId="{DB568987-26B9-4CE3-81D4-13EAD1C60622}" srcId="{11477F9C-B70C-4877-86D2-C8BC1465C197}" destId="{4089A02C-1E95-4F58-9897-30FAFBF09224}" srcOrd="3" destOrd="0" parTransId="{D79F041A-AE51-417C-98F0-11DC759D8C5B}" sibTransId="{225744B5-153A-4BB3-AFD8-497077C99D57}"/>
    <dgm:cxn modelId="{F9809CA0-90C1-4252-9786-E68DE6DAC6B6}" srcId="{14FDA194-BC78-4533-9133-601FA807A4A6}" destId="{248507D2-3F45-47AE-9025-537190EA88A4}" srcOrd="5" destOrd="0" parTransId="{9B8A63BA-0A00-400F-BDE0-7FBF41E32E67}" sibTransId="{1CB1CC06-8107-4333-9456-8EF1F0388607}"/>
    <dgm:cxn modelId="{11DFCF5B-6378-4D74-A8B9-35C11C014D48}" srcId="{14FDA194-BC78-4533-9133-601FA807A4A6}" destId="{CAC708C4-75A6-48A1-83DF-55D29C52C1A1}" srcOrd="7" destOrd="0" parTransId="{0D73709F-C6BA-4DE2-91BC-0FDD61467A08}" sibTransId="{EC96D8F6-5E7D-44D4-BEE2-AF9CC0836C78}"/>
    <dgm:cxn modelId="{A2161BBE-53CD-4D89-B5A1-D9CF8E3ABDA6}" srcId="{11477F9C-B70C-4877-86D2-C8BC1465C197}" destId="{295168BC-2429-4F9B-93E9-BB8C6408708D}" srcOrd="1" destOrd="0" parTransId="{0E585E2D-79CA-4FFF-9490-9DBF3FDF1C13}" sibTransId="{DCC99B42-E085-4590-AC7F-02E1C6DEAD01}"/>
    <dgm:cxn modelId="{B343394E-DA47-4BB6-93B2-F4F54BBCA746}" srcId="{0B6EE096-72D8-4B34-941E-8ED650508A21}" destId="{14FDA194-BC78-4533-9133-601FA807A4A6}" srcOrd="0" destOrd="0" parTransId="{FD38E43E-C77C-4D5A-8C2A-3408A43636D1}" sibTransId="{D131B4A2-5C27-4A1C-95E2-8D974736A553}"/>
    <dgm:cxn modelId="{103B625D-01EC-41F3-A13F-8754DC830B4C}" srcId="{11477F9C-B70C-4877-86D2-C8BC1465C197}" destId="{1F50B60B-CC0E-4FC7-A654-EDBDC62EA7BA}" srcOrd="5" destOrd="0" parTransId="{9BF113EE-DB2C-48E9-82AE-4117D7515100}" sibTransId="{E8C4CF8B-58A5-45AE-80CF-12D8DF07DF25}"/>
    <dgm:cxn modelId="{280F34F0-1695-4A0F-88A9-11D522834F4D}" type="presOf" srcId="{DB671E85-7A6E-41E4-A8ED-221E4D8C8CA1}" destId="{723C1F0C-C0EB-4077-8A59-F857A352B69A}" srcOrd="0" destOrd="0" presId="urn:microsoft.com/office/officeart/2005/8/layout/hList1"/>
    <dgm:cxn modelId="{F8B3F98A-9EE4-4678-B347-F33CF8AA3A25}" type="presOf" srcId="{88EEF4D6-B689-4D22-8A16-1842227E6F70}" destId="{8448BA9B-4870-4D80-BAA8-BBA7FA6E6005}" srcOrd="0" destOrd="6" presId="urn:microsoft.com/office/officeart/2005/8/layout/hList1"/>
    <dgm:cxn modelId="{9C86DB52-2220-418A-AB7B-2F6C0ED378CA}" srcId="{11477F9C-B70C-4877-86D2-C8BC1465C197}" destId="{36D67EEB-F341-42F5-B545-930B7227D48E}" srcOrd="4" destOrd="0" parTransId="{2A8F8AB3-781F-42D1-BDA0-76BD4EFBAA54}" sibTransId="{5684ADF2-6651-40AC-8675-C17E789BDDF7}"/>
    <dgm:cxn modelId="{ACD827FE-E4E9-4B60-B7CB-BF10EAB36143}" srcId="{11477F9C-B70C-4877-86D2-C8BC1465C197}" destId="{BD95F2A1-BC21-471B-A557-567AB4006AB3}" srcOrd="0" destOrd="0" parTransId="{C5F3A549-ECBA-476A-B87E-603B7BDCE65C}" sibTransId="{1C7643D6-151B-4749-8A22-1365F9ECA458}"/>
    <dgm:cxn modelId="{BB7C45C9-7A08-4545-B836-F85CAC3974EA}" type="presOf" srcId="{295168BC-2429-4F9B-93E9-BB8C6408708D}" destId="{8448BA9B-4870-4D80-BAA8-BBA7FA6E6005}" srcOrd="0" destOrd="1" presId="urn:microsoft.com/office/officeart/2005/8/layout/hList1"/>
    <dgm:cxn modelId="{47AC84F3-D5E7-422C-92FE-BE962D92DB58}" type="presOf" srcId="{819432E8-1E4A-4ABD-AD2B-C86E1123B611}" destId="{723C1F0C-C0EB-4077-8A59-F857A352B69A}" srcOrd="0" destOrd="1" presId="urn:microsoft.com/office/officeart/2005/8/layout/hList1"/>
    <dgm:cxn modelId="{49EA8711-9E3E-43E8-A093-4C3699D43601}" type="presOf" srcId="{1F50B60B-CC0E-4FC7-A654-EDBDC62EA7BA}" destId="{8448BA9B-4870-4D80-BAA8-BBA7FA6E6005}" srcOrd="0" destOrd="5" presId="urn:microsoft.com/office/officeart/2005/8/layout/hList1"/>
    <dgm:cxn modelId="{AB0BFB78-5525-4F32-A322-91DCA5837959}" type="presOf" srcId="{14FDA194-BC78-4533-9133-601FA807A4A6}" destId="{F4FC7B14-43AD-493B-A57A-70EBB149CC4B}" srcOrd="0" destOrd="0" presId="urn:microsoft.com/office/officeart/2005/8/layout/hList1"/>
    <dgm:cxn modelId="{CF1DA2C9-81BD-45F9-B213-DFBD29526BCA}" type="presOf" srcId="{7C34DBCF-F7C1-4B50-B25F-AF0AB4BB6EAE}" destId="{8448BA9B-4870-4D80-BAA8-BBA7FA6E6005}" srcOrd="0" destOrd="2" presId="urn:microsoft.com/office/officeart/2005/8/layout/hList1"/>
    <dgm:cxn modelId="{7A027667-077D-40AD-97BB-1F62B6682E80}" srcId="{14FDA194-BC78-4533-9133-601FA807A4A6}" destId="{68EC584C-C2AA-4AD2-A558-9AEB4D784473}" srcOrd="3" destOrd="0" parTransId="{C03815AC-7452-4DD9-A9C3-9D7612ECE8D2}" sibTransId="{0A7EFDA4-BA5E-4CDE-90D9-FE26DB328B1E}"/>
    <dgm:cxn modelId="{88BA9085-9718-467A-94F5-4A3C890F30BD}" type="presOf" srcId="{C320D94A-8AD8-4B04-8901-C322B89BE8E4}" destId="{723C1F0C-C0EB-4077-8A59-F857A352B69A}" srcOrd="0" destOrd="2" presId="urn:microsoft.com/office/officeart/2005/8/layout/hList1"/>
    <dgm:cxn modelId="{049D98C8-4AE4-44BE-9534-A35DAD461923}" srcId="{11477F9C-B70C-4877-86D2-C8BC1465C197}" destId="{7C34DBCF-F7C1-4B50-B25F-AF0AB4BB6EAE}" srcOrd="2" destOrd="0" parTransId="{7768737B-ED63-4067-ABFB-A5922E7150CF}" sibTransId="{D2DEEA31-FC4F-4EC9-BCD7-DDC664123277}"/>
    <dgm:cxn modelId="{D1403D5F-88FC-4D7F-9BA6-A8FA454C3BBF}" type="presOf" srcId="{11477F9C-B70C-4877-86D2-C8BC1465C197}" destId="{04DD42A3-926D-438B-B891-9976521E729B}" srcOrd="0" destOrd="0" presId="urn:microsoft.com/office/officeart/2005/8/layout/hList1"/>
    <dgm:cxn modelId="{D14FA49C-36D9-4F3C-AF22-334F008032DD}" type="presOf" srcId="{CAC708C4-75A6-48A1-83DF-55D29C52C1A1}" destId="{723C1F0C-C0EB-4077-8A59-F857A352B69A}" srcOrd="0" destOrd="7" presId="urn:microsoft.com/office/officeart/2005/8/layout/hList1"/>
    <dgm:cxn modelId="{C17E2007-98FC-4C10-93A4-C6C2AA061357}" type="presOf" srcId="{68EC584C-C2AA-4AD2-A558-9AEB4D784473}" destId="{723C1F0C-C0EB-4077-8A59-F857A352B69A}" srcOrd="0" destOrd="3" presId="urn:microsoft.com/office/officeart/2005/8/layout/hList1"/>
    <dgm:cxn modelId="{D39A1C4A-00EF-43CD-8137-C1612A2E1A29}" type="presOf" srcId="{BD95F2A1-BC21-471B-A557-567AB4006AB3}" destId="{8448BA9B-4870-4D80-BAA8-BBA7FA6E6005}" srcOrd="0" destOrd="0" presId="urn:microsoft.com/office/officeart/2005/8/layout/hList1"/>
    <dgm:cxn modelId="{DBC5C809-1A02-43A4-B3FD-8D02A929A311}" type="presOf" srcId="{1FB4D421-A3BB-4211-ACEA-05CB6F47AED3}" destId="{723C1F0C-C0EB-4077-8A59-F857A352B69A}" srcOrd="0" destOrd="4" presId="urn:microsoft.com/office/officeart/2005/8/layout/hList1"/>
    <dgm:cxn modelId="{C2DA8167-C28E-45AF-8CAD-3EEABFC9166A}" srcId="{14FDA194-BC78-4533-9133-601FA807A4A6}" destId="{C320D94A-8AD8-4B04-8901-C322B89BE8E4}" srcOrd="2" destOrd="0" parTransId="{1B62E61F-0F3C-480A-B950-AA541C436B9B}" sibTransId="{60DDAB55-D532-4CF2-9008-86F4AD0D6D3F}"/>
    <dgm:cxn modelId="{94BE8D82-BF03-462E-AFDE-FF2BA3597964}" type="presOf" srcId="{5250D127-9AB5-4469-9132-390068341D43}" destId="{723C1F0C-C0EB-4077-8A59-F857A352B69A}" srcOrd="0" destOrd="8" presId="urn:microsoft.com/office/officeart/2005/8/layout/hList1"/>
    <dgm:cxn modelId="{C066F60D-037A-47E5-8E3E-816F1B515C51}" srcId="{14FDA194-BC78-4533-9133-601FA807A4A6}" destId="{819432E8-1E4A-4ABD-AD2B-C86E1123B611}" srcOrd="1" destOrd="0" parTransId="{09DDC273-85AD-4BBD-9CE9-9810A5BD1257}" sibTransId="{1F4AC1AB-C078-40BE-94D8-FA85D54E0760}"/>
    <dgm:cxn modelId="{0832C4C6-F265-42CB-BDC4-4D208472E33E}" srcId="{14FDA194-BC78-4533-9133-601FA807A4A6}" destId="{1FB4D421-A3BB-4211-ACEA-05CB6F47AED3}" srcOrd="4" destOrd="0" parTransId="{F73D02F6-A31E-4C45-90FF-B650BF927C51}" sibTransId="{04E3C757-61E2-4A0B-B2D3-539BD15256E4}"/>
    <dgm:cxn modelId="{412B8324-BCF6-484E-8500-1BB258E9FCC1}" type="presOf" srcId="{36D67EEB-F341-42F5-B545-930B7227D48E}" destId="{8448BA9B-4870-4D80-BAA8-BBA7FA6E6005}" srcOrd="0" destOrd="4" presId="urn:microsoft.com/office/officeart/2005/8/layout/hList1"/>
    <dgm:cxn modelId="{85F3315A-68C6-42AC-86FB-2ED31D4CA67F}" srcId="{11477F9C-B70C-4877-86D2-C8BC1465C197}" destId="{88EEF4D6-B689-4D22-8A16-1842227E6F70}" srcOrd="6" destOrd="0" parTransId="{78952966-A4FF-42AF-8804-35D1111B7323}" sibTransId="{2F029D2F-F178-4FFB-AF8D-CA4623DFC6D7}"/>
    <dgm:cxn modelId="{C9073E8F-DA86-4DC5-A05E-CAB9DDC22566}" srcId="{14FDA194-BC78-4533-9133-601FA807A4A6}" destId="{DB671E85-7A6E-41E4-A8ED-221E4D8C8CA1}" srcOrd="0" destOrd="0" parTransId="{D0B9A6C1-FD5A-4C55-896D-751A61B841C9}" sibTransId="{54E9BD5D-542D-4F93-B25F-28EA59DA5849}"/>
    <dgm:cxn modelId="{7605BA51-C8FF-432D-95D2-A6E6BDE35CD4}" srcId="{0B6EE096-72D8-4B34-941E-8ED650508A21}" destId="{11477F9C-B70C-4877-86D2-C8BC1465C197}" srcOrd="1" destOrd="0" parTransId="{5EB0B275-B716-45D7-A678-93163F1AF08F}" sibTransId="{6F787EF0-FFB1-4504-84C4-6EA9A6AC9D57}"/>
    <dgm:cxn modelId="{8D4FFAB8-FC12-4FD4-A377-17BD20F9A5BC}" srcId="{14FDA194-BC78-4533-9133-601FA807A4A6}" destId="{1103AF3D-81D0-4D23-A84E-32EE1BEEB3CA}" srcOrd="6" destOrd="0" parTransId="{B7B75C15-E08E-4360-A5DA-6DA238C01E85}" sibTransId="{7016DCC5-2467-4F1D-926E-D919C39AB6BB}"/>
    <dgm:cxn modelId="{06F524CF-9EB5-4B5B-843B-FFB5D49A64E2}" type="presOf" srcId="{0B6EE096-72D8-4B34-941E-8ED650508A21}" destId="{A07023BE-D48B-411E-8CC0-6CDC5AB9C69F}" srcOrd="0" destOrd="0" presId="urn:microsoft.com/office/officeart/2005/8/layout/hList1"/>
    <dgm:cxn modelId="{1BA83D04-C115-495F-9D56-C56D10BDD04D}" srcId="{14FDA194-BC78-4533-9133-601FA807A4A6}" destId="{5250D127-9AB5-4469-9132-390068341D43}" srcOrd="8" destOrd="0" parTransId="{44DE4A81-FF73-4D4F-B5E3-CC0A1AB1AE44}" sibTransId="{C36DCA0D-5665-4B6E-90E1-33D0E40BEF07}"/>
    <dgm:cxn modelId="{335EA462-EEA1-4FDE-8D27-A1F08B3FD71C}" type="presOf" srcId="{248507D2-3F45-47AE-9025-537190EA88A4}" destId="{723C1F0C-C0EB-4077-8A59-F857A352B69A}" srcOrd="0" destOrd="5" presId="urn:microsoft.com/office/officeart/2005/8/layout/hList1"/>
    <dgm:cxn modelId="{EF608194-79C2-4012-946F-3457946E1EE6}" type="presOf" srcId="{6DA29568-B3E2-4ED0-AA2F-4DBF6B9FEAEB}" destId="{723C1F0C-C0EB-4077-8A59-F857A352B69A}" srcOrd="0" destOrd="9" presId="urn:microsoft.com/office/officeart/2005/8/layout/hList1"/>
    <dgm:cxn modelId="{2631FE8C-D7DC-45EC-A0B0-B51A118ECB36}" type="presOf" srcId="{4089A02C-1E95-4F58-9897-30FAFBF09224}" destId="{8448BA9B-4870-4D80-BAA8-BBA7FA6E6005}" srcOrd="0" destOrd="3" presId="urn:microsoft.com/office/officeart/2005/8/layout/hList1"/>
    <dgm:cxn modelId="{D460B072-2D90-4CC2-BED5-D41A63048CF2}" srcId="{14FDA194-BC78-4533-9133-601FA807A4A6}" destId="{6DA29568-B3E2-4ED0-AA2F-4DBF6B9FEAEB}" srcOrd="9" destOrd="0" parTransId="{5A995ED7-663A-4DB0-9DD9-10D90FC4ECA2}" sibTransId="{CEEFD92A-288D-4E46-A30F-92926966B66B}"/>
    <dgm:cxn modelId="{8F49A35C-6B9F-4AD9-9262-7A1225C3795A}" type="presParOf" srcId="{A07023BE-D48B-411E-8CC0-6CDC5AB9C69F}" destId="{B25AC313-7A36-4F56-87CF-C483973CC420}" srcOrd="0" destOrd="0" presId="urn:microsoft.com/office/officeart/2005/8/layout/hList1"/>
    <dgm:cxn modelId="{D36DBB36-9481-4C56-A3D5-15F29A6D8795}" type="presParOf" srcId="{B25AC313-7A36-4F56-87CF-C483973CC420}" destId="{F4FC7B14-43AD-493B-A57A-70EBB149CC4B}" srcOrd="0" destOrd="0" presId="urn:microsoft.com/office/officeart/2005/8/layout/hList1"/>
    <dgm:cxn modelId="{0260BDED-B5C1-40FD-852B-10B4FEA35D98}" type="presParOf" srcId="{B25AC313-7A36-4F56-87CF-C483973CC420}" destId="{723C1F0C-C0EB-4077-8A59-F857A352B69A}" srcOrd="1" destOrd="0" presId="urn:microsoft.com/office/officeart/2005/8/layout/hList1"/>
    <dgm:cxn modelId="{BBA9991E-55B1-42EF-A016-AD1945F770EE}" type="presParOf" srcId="{A07023BE-D48B-411E-8CC0-6CDC5AB9C69F}" destId="{6C5B20EB-B614-4C05-9306-DC0EED583E61}" srcOrd="1" destOrd="0" presId="urn:microsoft.com/office/officeart/2005/8/layout/hList1"/>
    <dgm:cxn modelId="{387FF64D-403F-45A3-BE53-1F0A4C07A4AF}" type="presParOf" srcId="{A07023BE-D48B-411E-8CC0-6CDC5AB9C69F}" destId="{C1E8520D-4A36-4540-A468-E5AAEEFE4D3B}" srcOrd="2" destOrd="0" presId="urn:microsoft.com/office/officeart/2005/8/layout/hList1"/>
    <dgm:cxn modelId="{B8603241-9D39-4E52-A9B7-484C41F25560}" type="presParOf" srcId="{C1E8520D-4A36-4540-A468-E5AAEEFE4D3B}" destId="{04DD42A3-926D-438B-B891-9976521E729B}" srcOrd="0" destOrd="0" presId="urn:microsoft.com/office/officeart/2005/8/layout/hList1"/>
    <dgm:cxn modelId="{2D32A733-05B6-4277-8789-9FEC3D37C21D}" type="presParOf" srcId="{C1E8520D-4A36-4540-A468-E5AAEEFE4D3B}" destId="{8448BA9B-4870-4D80-BAA8-BBA7FA6E6005}"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C7B14-43AD-493B-A57A-70EBB149CC4B}">
      <dsp:nvSpPr>
        <dsp:cNvPr id="0" name=""/>
        <dsp:cNvSpPr/>
      </dsp:nvSpPr>
      <dsp:spPr>
        <a:xfrm>
          <a:off x="28" y="1732"/>
          <a:ext cx="2692789" cy="3168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NZ" sz="1400" kern="1200"/>
            <a:t>Part 1: Sector scale down</a:t>
          </a:r>
        </a:p>
      </dsp:txBody>
      <dsp:txXfrm>
        <a:off x="28" y="1732"/>
        <a:ext cx="2692789" cy="316800"/>
      </dsp:txXfrm>
    </dsp:sp>
    <dsp:sp modelId="{723C1F0C-C0EB-4077-8A59-F857A352B69A}">
      <dsp:nvSpPr>
        <dsp:cNvPr id="0" name=""/>
        <dsp:cNvSpPr/>
      </dsp:nvSpPr>
      <dsp:spPr>
        <a:xfrm>
          <a:off x="28" y="318532"/>
          <a:ext cx="2692789" cy="62805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NZ" sz="1100" kern="1200"/>
            <a:t> Describe the general scale down:</a:t>
          </a:r>
          <a:br>
            <a:rPr lang="en-NZ" sz="1100" kern="1200"/>
          </a:br>
          <a:r>
            <a:rPr lang="en-NZ" sz="1100" kern="1200"/>
            <a:t>- diminishing numbers of gaming machines </a:t>
          </a:r>
          <a:br>
            <a:rPr lang="en-NZ" sz="1100" kern="1200"/>
          </a:br>
          <a:r>
            <a:rPr lang="en-NZ" sz="1100" kern="1200"/>
            <a:t>- diminishing numbers of gaming machine venues</a:t>
          </a:r>
        </a:p>
        <a:p>
          <a:pPr marL="57150" lvl="1" indent="-57150" algn="l" defTabSz="488950">
            <a:lnSpc>
              <a:spcPct val="90000"/>
            </a:lnSpc>
            <a:spcBef>
              <a:spcPct val="0"/>
            </a:spcBef>
            <a:spcAft>
              <a:spcPct val="15000"/>
            </a:spcAft>
            <a:buChar char="••"/>
          </a:pPr>
          <a:r>
            <a:rPr lang="en-NZ" sz="1100" kern="1200"/>
            <a:t>What is the impact of territorial authority venue policies and consent processes?</a:t>
          </a:r>
        </a:p>
        <a:p>
          <a:pPr marL="57150" lvl="1" indent="-57150" algn="l" defTabSz="488950">
            <a:lnSpc>
              <a:spcPct val="90000"/>
            </a:lnSpc>
            <a:spcBef>
              <a:spcPct val="0"/>
            </a:spcBef>
            <a:spcAft>
              <a:spcPct val="15000"/>
            </a:spcAft>
            <a:buChar char="••"/>
          </a:pPr>
          <a:r>
            <a:rPr lang="en-NZ" sz="1100" kern="1200"/>
            <a:t>What is the impact of the statutory limit of nine gaming machines?</a:t>
          </a:r>
        </a:p>
        <a:p>
          <a:pPr marL="57150" lvl="1" indent="-57150" algn="l" defTabSz="488950">
            <a:lnSpc>
              <a:spcPct val="90000"/>
            </a:lnSpc>
            <a:spcBef>
              <a:spcPct val="0"/>
            </a:spcBef>
            <a:spcAft>
              <a:spcPct val="15000"/>
            </a:spcAft>
            <a:buChar char="••"/>
          </a:pPr>
          <a:r>
            <a:rPr lang="en-NZ" sz="1100" kern="1200"/>
            <a:t> Is competition occurring in the sector? Is it positive or negative ?</a:t>
          </a:r>
        </a:p>
        <a:p>
          <a:pPr marL="57150" lvl="1" indent="-57150" algn="l" defTabSz="488950">
            <a:lnSpc>
              <a:spcPct val="90000"/>
            </a:lnSpc>
            <a:spcBef>
              <a:spcPct val="0"/>
            </a:spcBef>
            <a:spcAft>
              <a:spcPct val="15000"/>
            </a:spcAft>
            <a:buChar char="••"/>
          </a:pPr>
          <a:r>
            <a:rPr lang="en-NZ" sz="1100" kern="1200"/>
            <a:t>What is the impact of the New Zealand Racing Board (as a more recent licensed operator) on other societies?</a:t>
          </a:r>
        </a:p>
        <a:p>
          <a:pPr marL="57150" lvl="1" indent="-57150" algn="l" defTabSz="488950">
            <a:lnSpc>
              <a:spcPct val="90000"/>
            </a:lnSpc>
            <a:spcBef>
              <a:spcPct val="0"/>
            </a:spcBef>
            <a:spcAft>
              <a:spcPct val="15000"/>
            </a:spcAft>
            <a:buChar char="••"/>
          </a:pPr>
          <a:r>
            <a:rPr lang="en-NZ" sz="1100" kern="1200"/>
            <a:t>Has the economic environment or competition with other forms of gambling impacted on the sector?</a:t>
          </a:r>
        </a:p>
        <a:p>
          <a:pPr marL="57150" lvl="1" indent="-57150" algn="l" defTabSz="488950">
            <a:lnSpc>
              <a:spcPct val="90000"/>
            </a:lnSpc>
            <a:spcBef>
              <a:spcPct val="0"/>
            </a:spcBef>
            <a:spcAft>
              <a:spcPct val="15000"/>
            </a:spcAft>
            <a:buChar char="••"/>
          </a:pPr>
          <a:r>
            <a:rPr lang="en-NZ" sz="1100" kern="1200"/>
            <a:t>Are other forms of gambling offsetting the decline in the community funding from class 4 gambling?</a:t>
          </a:r>
        </a:p>
        <a:p>
          <a:pPr marL="57150" lvl="1" indent="-57150" algn="l" defTabSz="488950">
            <a:lnSpc>
              <a:spcPct val="90000"/>
            </a:lnSpc>
            <a:spcBef>
              <a:spcPct val="0"/>
            </a:spcBef>
            <a:spcAft>
              <a:spcPct val="15000"/>
            </a:spcAft>
            <a:buChar char="••"/>
          </a:pPr>
          <a:r>
            <a:rPr lang="en-NZ" sz="1100" kern="1200"/>
            <a:t>What is the current research showing about people’s participation in class 4 gambling? For example:</a:t>
          </a:r>
          <a:br>
            <a:rPr lang="en-NZ" sz="1100" kern="1200"/>
          </a:br>
          <a:r>
            <a:rPr lang="en-NZ" sz="1100" kern="1200"/>
            <a:t>- are the demographics of players changing (e.g. age, ethnicity)?</a:t>
          </a:r>
          <a:br>
            <a:rPr lang="en-NZ" sz="1100" kern="1200"/>
          </a:br>
          <a:r>
            <a:rPr lang="en-NZ" sz="1100" kern="1200"/>
            <a:t>- do venue locations impact on participation?</a:t>
          </a:r>
          <a:br>
            <a:rPr lang="en-NZ" sz="1100" kern="1200"/>
          </a:br>
          <a:r>
            <a:rPr lang="en-NZ" sz="1100" kern="1200"/>
            <a:t>- do changes in the hospitality sector (venues' primary purpose )impact on participation? </a:t>
          </a:r>
        </a:p>
        <a:p>
          <a:pPr marL="57150" lvl="1" indent="-57150" algn="l" defTabSz="488950">
            <a:lnSpc>
              <a:spcPct val="90000"/>
            </a:lnSpc>
            <a:spcBef>
              <a:spcPct val="0"/>
            </a:spcBef>
            <a:spcAft>
              <a:spcPct val="15000"/>
            </a:spcAft>
            <a:buChar char="••"/>
          </a:pPr>
          <a:r>
            <a:rPr lang="en-NZ" sz="1100" kern="1200"/>
            <a:t>Does game design impact on participation or competition? For example:</a:t>
          </a:r>
          <a:br>
            <a:rPr lang="en-NZ" sz="1100" kern="1200"/>
          </a:br>
          <a:r>
            <a:rPr lang="en-NZ" sz="1100" kern="1200"/>
            <a:t>- can the sector make use of emerging technology?</a:t>
          </a:r>
          <a:br>
            <a:rPr lang="en-NZ" sz="1100" kern="1200"/>
          </a:br>
          <a:r>
            <a:rPr lang="en-NZ" sz="1100" kern="1200"/>
            <a:t>- can the sector adapt to changing consumer demands?</a:t>
          </a:r>
        </a:p>
        <a:p>
          <a:pPr marL="57150" lvl="1" indent="-57150" algn="l" defTabSz="488950">
            <a:lnSpc>
              <a:spcPct val="90000"/>
            </a:lnSpc>
            <a:spcBef>
              <a:spcPct val="0"/>
            </a:spcBef>
            <a:spcAft>
              <a:spcPct val="15000"/>
            </a:spcAft>
            <a:buChar char="••"/>
          </a:pPr>
          <a:r>
            <a:rPr lang="en-NZ" sz="1100" kern="1200"/>
            <a:t>What is the impact of competition between clubs and commercial class 4 and/or non-class 4 venues?</a:t>
          </a:r>
        </a:p>
      </dsp:txBody>
      <dsp:txXfrm>
        <a:off x="28" y="318532"/>
        <a:ext cx="2692789" cy="6280560"/>
      </dsp:txXfrm>
    </dsp:sp>
    <dsp:sp modelId="{04DD42A3-926D-438B-B891-9976521E729B}">
      <dsp:nvSpPr>
        <dsp:cNvPr id="0" name=""/>
        <dsp:cNvSpPr/>
      </dsp:nvSpPr>
      <dsp:spPr>
        <a:xfrm>
          <a:off x="3069807" y="1732"/>
          <a:ext cx="2692789" cy="3168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NZ" sz="1400" kern="1200"/>
            <a:t>Part 2: Regulatory regime design</a:t>
          </a:r>
        </a:p>
      </dsp:txBody>
      <dsp:txXfrm>
        <a:off x="3069807" y="1732"/>
        <a:ext cx="2692789" cy="316800"/>
      </dsp:txXfrm>
    </dsp:sp>
    <dsp:sp modelId="{8448BA9B-4870-4D80-BAA8-BBA7FA6E6005}">
      <dsp:nvSpPr>
        <dsp:cNvPr id="0" name=""/>
        <dsp:cNvSpPr/>
      </dsp:nvSpPr>
      <dsp:spPr>
        <a:xfrm>
          <a:off x="3069807" y="318532"/>
          <a:ext cx="2692789" cy="62805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72000" algn="l" defTabSz="488950">
            <a:lnSpc>
              <a:spcPct val="90000"/>
            </a:lnSpc>
            <a:spcBef>
              <a:spcPct val="0"/>
            </a:spcBef>
            <a:spcAft>
              <a:spcPct val="15000"/>
            </a:spcAft>
            <a:buChar char="••"/>
          </a:pPr>
          <a:r>
            <a:rPr lang="en-NZ" sz="1100" kern="1200"/>
            <a:t> Is the regime fit for purpose?</a:t>
          </a:r>
          <a:br>
            <a:rPr lang="en-NZ" sz="1100" kern="1200"/>
          </a:br>
          <a:r>
            <a:rPr lang="en-NZ" sz="1100" kern="1200"/>
            <a:t>- how do the current outcomes measure against the objectives?</a:t>
          </a:r>
          <a:br>
            <a:rPr lang="en-NZ" sz="1100" kern="1200"/>
          </a:br>
          <a:r>
            <a:rPr lang="en-NZ" sz="1100" kern="1200"/>
            <a:t>- is the regime efficient and how much does the regulatory framework cost?</a:t>
          </a:r>
          <a:br>
            <a:rPr lang="en-NZ" sz="1100" kern="1200"/>
          </a:br>
          <a:r>
            <a:rPr lang="en-NZ" sz="1100" kern="1200"/>
            <a:t>- what are the areas of strong/poor regulatory performance?</a:t>
          </a:r>
        </a:p>
        <a:p>
          <a:pPr marL="57150" lvl="1" indent="-57150" algn="l" defTabSz="488950">
            <a:lnSpc>
              <a:spcPct val="90000"/>
            </a:lnSpc>
            <a:spcBef>
              <a:spcPct val="0"/>
            </a:spcBef>
            <a:spcAft>
              <a:spcPct val="15000"/>
            </a:spcAft>
            <a:buChar char="••"/>
          </a:pPr>
          <a:r>
            <a:rPr lang="en-NZ" sz="1100" kern="1200"/>
            <a:t> What incentives does the regime provide to operators to:</a:t>
          </a:r>
          <a:br>
            <a:rPr lang="en-NZ" sz="1100" kern="1200"/>
          </a:br>
          <a:r>
            <a:rPr lang="en-NZ" sz="1100" kern="1200"/>
            <a:t>- maintain integrity?</a:t>
          </a:r>
          <a:br>
            <a:rPr lang="en-NZ" sz="1100" kern="1200"/>
          </a:br>
          <a:r>
            <a:rPr lang="en-NZ" sz="1100" kern="1200"/>
            <a:t>- maximise community benefit from returns?</a:t>
          </a:r>
          <a:br>
            <a:rPr lang="en-NZ" sz="1100" kern="1200"/>
          </a:br>
          <a:r>
            <a:rPr lang="en-NZ" sz="1100" kern="1200"/>
            <a:t>- prevent and minimise harm?</a:t>
          </a:r>
        </a:p>
        <a:p>
          <a:pPr marL="57150" lvl="1" indent="-57150" algn="l" defTabSz="488950">
            <a:lnSpc>
              <a:spcPct val="90000"/>
            </a:lnSpc>
            <a:spcBef>
              <a:spcPct val="0"/>
            </a:spcBef>
            <a:spcAft>
              <a:spcPct val="15000"/>
            </a:spcAft>
            <a:buChar char="••"/>
          </a:pPr>
          <a:r>
            <a:rPr lang="en-NZ" sz="1100" kern="1200"/>
            <a:t> What features of the sector (revenue generation, venue management, grants decision-making) drive the complexity? </a:t>
          </a:r>
        </a:p>
        <a:p>
          <a:pPr marL="57150" lvl="1" indent="-57150" algn="l" defTabSz="488950">
            <a:lnSpc>
              <a:spcPct val="90000"/>
            </a:lnSpc>
            <a:spcBef>
              <a:spcPct val="0"/>
            </a:spcBef>
            <a:spcAft>
              <a:spcPct val="15000"/>
            </a:spcAft>
            <a:buChar char="••"/>
          </a:pPr>
          <a:r>
            <a:rPr lang="en-NZ" sz="1100" kern="1200"/>
            <a:t> How effectively does the regime manage the identified risks? For example, through the:</a:t>
          </a:r>
          <a:br>
            <a:rPr lang="en-NZ" sz="1100" kern="1200"/>
          </a:br>
          <a:r>
            <a:rPr lang="en-NZ" sz="1100" kern="1200"/>
            <a:t>-  licensing system? </a:t>
          </a:r>
          <a:br>
            <a:rPr lang="en-NZ" sz="1100" kern="1200"/>
          </a:br>
          <a:r>
            <a:rPr lang="en-NZ" sz="1100" kern="1200"/>
            <a:t>- technological controls (e.g. electronic monitoring system)?</a:t>
          </a:r>
          <a:br>
            <a:rPr lang="en-NZ" sz="1100" kern="1200"/>
          </a:br>
          <a:r>
            <a:rPr lang="en-NZ" sz="1100" kern="1200"/>
            <a:t>- conflicts of interest provisions?</a:t>
          </a:r>
        </a:p>
        <a:p>
          <a:pPr marL="57150" lvl="1" indent="-57150" algn="l" defTabSz="488950">
            <a:lnSpc>
              <a:spcPct val="90000"/>
            </a:lnSpc>
            <a:spcBef>
              <a:spcPct val="0"/>
            </a:spcBef>
            <a:spcAft>
              <a:spcPct val="15000"/>
            </a:spcAft>
            <a:buChar char="••"/>
          </a:pPr>
          <a:r>
            <a:rPr lang="en-NZ" sz="1100" kern="1200"/>
            <a:t> Is the funding model:</a:t>
          </a:r>
          <a:br>
            <a:rPr lang="en-NZ" sz="1100" kern="1200"/>
          </a:br>
          <a:r>
            <a:rPr lang="en-NZ" sz="1100" kern="1200"/>
            <a:t>- transparent?</a:t>
          </a:r>
          <a:br>
            <a:rPr lang="en-NZ" sz="1100" kern="1200"/>
          </a:br>
          <a:r>
            <a:rPr lang="en-NZ" sz="1100" kern="1200"/>
            <a:t>- effective in supporting the objectives?</a:t>
          </a:r>
          <a:br>
            <a:rPr lang="en-NZ" sz="1100" kern="1200"/>
          </a:br>
          <a:r>
            <a:rPr lang="en-NZ" sz="1100" kern="1200"/>
            <a:t>- efficient?</a:t>
          </a:r>
        </a:p>
        <a:p>
          <a:pPr marL="57150" lvl="1" indent="-57150" algn="l" defTabSz="488950">
            <a:lnSpc>
              <a:spcPct val="90000"/>
            </a:lnSpc>
            <a:spcBef>
              <a:spcPct val="0"/>
            </a:spcBef>
            <a:spcAft>
              <a:spcPct val="15000"/>
            </a:spcAft>
            <a:buChar char="••"/>
          </a:pPr>
          <a:r>
            <a:rPr lang="en-NZ" sz="1100" kern="1200"/>
            <a:t> How effectively does the regime prevent and minimise harm?</a:t>
          </a:r>
        </a:p>
        <a:p>
          <a:pPr marL="57150" lvl="1" indent="-57150" algn="l" defTabSz="488950">
            <a:lnSpc>
              <a:spcPct val="90000"/>
            </a:lnSpc>
            <a:spcBef>
              <a:spcPct val="0"/>
            </a:spcBef>
            <a:spcAft>
              <a:spcPct val="15000"/>
            </a:spcAft>
            <a:buChar char="••"/>
          </a:pPr>
          <a:endParaRPr lang="en-NZ" sz="1100" kern="1200"/>
        </a:p>
      </dsp:txBody>
      <dsp:txXfrm>
        <a:off x="3069807" y="318532"/>
        <a:ext cx="2692789" cy="62805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971A"/>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CFCF-EC2F-4FF8-8FE1-64A294E6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F21DCF3D</Template>
  <TotalTime>0</TotalTime>
  <Pages>11</Pages>
  <Words>3613</Words>
  <Characters>18711</Characters>
  <Application>Microsoft Office Word</Application>
  <DocSecurity>0</DocSecurity>
  <Lines>155</Lines>
  <Paragraphs>44</Paragraphs>
  <ScaleCrop>false</ScaleCrop>
  <Company/>
  <LinksUpToDate>false</LinksUpToDate>
  <CharactersWithSpaces>22280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2015-10-06T03:31:00Z</dcterms:created>
  <dcterms:modified xsi:type="dcterms:W3CDTF">2015-10-06T03:31:00Z</dcterms:modified>
</cp:coreProperties>
</file>