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309" w:rsidRDefault="00A36309" w:rsidP="00A36309"/>
    <w:tbl>
      <w:tblPr>
        <w:tblStyle w:val="Blanktable"/>
        <w:tblW w:w="0" w:type="auto"/>
        <w:tblLook w:val="04A0" w:firstRow="1" w:lastRow="0" w:firstColumn="1" w:lastColumn="0" w:noHBand="0" w:noVBand="1"/>
        <w:tblDescription w:val="This table is for layout only."/>
      </w:tblPr>
      <w:tblGrid>
        <w:gridCol w:w="8819"/>
      </w:tblGrid>
      <w:tr w:rsidR="00E65832" w:rsidTr="00342DBF">
        <w:trPr>
          <w:trHeight w:hRule="exact" w:val="5897"/>
        </w:trPr>
        <w:tc>
          <w:tcPr>
            <w:tcW w:w="8819" w:type="dxa"/>
            <w:vAlign w:val="bottom"/>
          </w:tcPr>
          <w:p w:rsidR="00A36309" w:rsidRPr="00E65832" w:rsidRDefault="00E65832" w:rsidP="00762F5B">
            <w:pPr>
              <w:pStyle w:val="Title"/>
              <w:rPr>
                <w:sz w:val="56"/>
                <w:szCs w:val="56"/>
              </w:rPr>
            </w:pPr>
            <w:r w:rsidRPr="00E65832">
              <w:rPr>
                <w:sz w:val="56"/>
                <w:szCs w:val="56"/>
              </w:rPr>
              <w:t>Gambling Act 2003</w:t>
            </w:r>
            <w:r w:rsidR="00A36309" w:rsidRPr="00E65832">
              <w:rPr>
                <w:sz w:val="56"/>
                <w:szCs w:val="56"/>
              </w:rPr>
              <w:t>:</w:t>
            </w:r>
          </w:p>
          <w:p w:rsidR="00A36309" w:rsidRPr="00E65832" w:rsidRDefault="00A36309" w:rsidP="00762F5B">
            <w:pPr>
              <w:pStyle w:val="Title"/>
              <w:rPr>
                <w:sz w:val="56"/>
                <w:szCs w:val="56"/>
              </w:rPr>
            </w:pPr>
            <w:r w:rsidRPr="00E65832">
              <w:rPr>
                <w:sz w:val="56"/>
                <w:szCs w:val="56"/>
              </w:rPr>
              <w:t xml:space="preserve"> </w:t>
            </w:r>
            <w:r w:rsidR="00E65832" w:rsidRPr="00E65832">
              <w:rPr>
                <w:sz w:val="56"/>
                <w:szCs w:val="56"/>
              </w:rPr>
              <w:t>Consultation on proposed changes to the minimum rate of return to authorised purposes</w:t>
            </w:r>
          </w:p>
          <w:p w:rsidR="00773F2E" w:rsidRPr="00E65832" w:rsidRDefault="00E65832" w:rsidP="00773F2E">
            <w:pPr>
              <w:pStyle w:val="Title2"/>
              <w:rPr>
                <w:sz w:val="44"/>
                <w:szCs w:val="44"/>
              </w:rPr>
            </w:pPr>
            <w:r w:rsidRPr="00E65832">
              <w:rPr>
                <w:sz w:val="44"/>
                <w:szCs w:val="44"/>
              </w:rPr>
              <w:t>Department of Internal Affairs</w:t>
            </w:r>
            <w:r w:rsidR="00143173" w:rsidRPr="00E65832">
              <w:rPr>
                <w:sz w:val="44"/>
                <w:szCs w:val="44"/>
              </w:rPr>
              <w:t xml:space="preserve"> </w:t>
            </w:r>
          </w:p>
          <w:p w:rsidR="006B0386" w:rsidRDefault="00094DE9" w:rsidP="006B0386">
            <w:pPr>
              <w:pStyle w:val="Title2"/>
            </w:pPr>
            <w:r>
              <w:rPr>
                <w:sz w:val="44"/>
                <w:szCs w:val="44"/>
              </w:rPr>
              <w:t>October</w:t>
            </w:r>
            <w:r w:rsidR="00E65832" w:rsidRPr="00E65832">
              <w:rPr>
                <w:sz w:val="44"/>
                <w:szCs w:val="44"/>
              </w:rPr>
              <w:t xml:space="preserve"> 2015</w:t>
            </w:r>
          </w:p>
        </w:tc>
      </w:tr>
      <w:tr w:rsidR="00E65832" w:rsidTr="007D3469">
        <w:trPr>
          <w:trHeight w:val="7258"/>
        </w:trPr>
        <w:tc>
          <w:tcPr>
            <w:tcW w:w="8819" w:type="dxa"/>
            <w:vAlign w:val="bottom"/>
          </w:tcPr>
          <w:p w:rsidR="00A36309" w:rsidRDefault="00E65832" w:rsidP="00E65832">
            <w:pPr>
              <w:pStyle w:val="Coverimage"/>
            </w:pPr>
            <w:r>
              <w:rPr>
                <w:noProof/>
                <w:lang w:eastAsia="en-NZ"/>
              </w:rPr>
              <w:drawing>
                <wp:inline distT="0" distB="0" distL="0" distR="0" wp14:anchorId="4D72605F" wp14:editId="37E7F7A0">
                  <wp:extent cx="2238375" cy="3600450"/>
                  <wp:effectExtent l="0" t="0" r="9525" b="0"/>
                  <wp:docPr id="3" name="Picture 3" descr="\\officetemplates.dia.govt.nz\diatemplates$\Templates\Images\Cover-f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templates.dia.govt.nz\diatemplates$\Templates\Images\Cover-fer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3600450"/>
                          </a:xfrm>
                          <a:prstGeom prst="rect">
                            <a:avLst/>
                          </a:prstGeom>
                          <a:noFill/>
                          <a:ln>
                            <a:noFill/>
                          </a:ln>
                        </pic:spPr>
                      </pic:pic>
                    </a:graphicData>
                  </a:graphic>
                </wp:inline>
              </w:drawing>
            </w:r>
            <w:r w:rsidRPr="00E65832">
              <w:t xml:space="preserve"> </w:t>
            </w:r>
          </w:p>
        </w:tc>
      </w:tr>
    </w:tbl>
    <w:p w:rsidR="00B62134" w:rsidRPr="00B62134" w:rsidRDefault="00B62134" w:rsidP="00B62134"/>
    <w:p w:rsidR="00B62134" w:rsidRDefault="00B62134" w:rsidP="00B62134">
      <w:pPr>
        <w:sectPr w:rsidR="00B62134" w:rsidSect="00B456E6">
          <w:headerReference w:type="even" r:id="rId10"/>
          <w:headerReference w:type="default" r:id="rId11"/>
          <w:footerReference w:type="even" r:id="rId12"/>
          <w:footerReference w:type="default" r:id="rId13"/>
          <w:headerReference w:type="first" r:id="rId14"/>
          <w:footerReference w:type="first" r:id="rId15"/>
          <w:pgSz w:w="11907" w:h="16840" w:code="9"/>
          <w:pgMar w:top="1134" w:right="1418" w:bottom="992" w:left="1418" w:header="425" w:footer="397" w:gutter="0"/>
          <w:cols w:space="708"/>
          <w:docGrid w:linePitch="360"/>
        </w:sectPr>
      </w:pPr>
    </w:p>
    <w:p w:rsidR="000B76A4" w:rsidRPr="000B76A4" w:rsidRDefault="000E09DC" w:rsidP="000B76A4">
      <w:pPr>
        <w:pStyle w:val="NotforContentsheading1"/>
      </w:pPr>
      <w:r>
        <w:lastRenderedPageBreak/>
        <w:t>Contents</w:t>
      </w:r>
    </w:p>
    <w:p w:rsidR="006D38E7" w:rsidRDefault="00860B2B">
      <w:pPr>
        <w:pStyle w:val="TOC1"/>
        <w:rPr>
          <w:rFonts w:asciiTheme="minorHAnsi" w:eastAsiaTheme="minorEastAsia" w:hAnsiTheme="minorHAnsi" w:cstheme="minorBidi"/>
          <w:b w:val="0"/>
          <w:noProof/>
          <w:color w:val="auto"/>
          <w:sz w:val="22"/>
          <w:szCs w:val="22"/>
          <w:lang w:eastAsia="en-NZ"/>
        </w:rPr>
      </w:pPr>
      <w:r>
        <w:fldChar w:fldCharType="begin"/>
      </w:r>
      <w:r>
        <w:instrText xml:space="preserve"> TOC \o "1-2" \h \z \t "Heading appendix,1" </w:instrText>
      </w:r>
      <w:r>
        <w:fldChar w:fldCharType="separate"/>
      </w:r>
      <w:hyperlink w:anchor="_Toc431908610" w:history="1">
        <w:r w:rsidR="006D38E7" w:rsidRPr="006F5CD8">
          <w:rPr>
            <w:rStyle w:val="Hyperlink"/>
            <w:noProof/>
          </w:rPr>
          <w:t>Glossary of abbreviations and terms</w:t>
        </w:r>
        <w:r w:rsidR="006D38E7">
          <w:rPr>
            <w:noProof/>
            <w:webHidden/>
          </w:rPr>
          <w:tab/>
        </w:r>
        <w:r w:rsidR="006D38E7">
          <w:rPr>
            <w:noProof/>
            <w:webHidden/>
          </w:rPr>
          <w:fldChar w:fldCharType="begin"/>
        </w:r>
        <w:r w:rsidR="006D38E7">
          <w:rPr>
            <w:noProof/>
            <w:webHidden/>
          </w:rPr>
          <w:instrText xml:space="preserve"> PAGEREF _Toc431908610 \h </w:instrText>
        </w:r>
        <w:r w:rsidR="006D38E7">
          <w:rPr>
            <w:noProof/>
            <w:webHidden/>
          </w:rPr>
        </w:r>
        <w:r w:rsidR="006D38E7">
          <w:rPr>
            <w:noProof/>
            <w:webHidden/>
          </w:rPr>
          <w:fldChar w:fldCharType="separate"/>
        </w:r>
        <w:r w:rsidR="006D38E7">
          <w:rPr>
            <w:noProof/>
            <w:webHidden/>
          </w:rPr>
          <w:t>1</w:t>
        </w:r>
        <w:r w:rsidR="006D38E7">
          <w:rPr>
            <w:noProof/>
            <w:webHidden/>
          </w:rPr>
          <w:fldChar w:fldCharType="end"/>
        </w:r>
      </w:hyperlink>
    </w:p>
    <w:p w:rsidR="006D38E7" w:rsidRDefault="00757429">
      <w:pPr>
        <w:pStyle w:val="TOC1"/>
        <w:rPr>
          <w:rFonts w:asciiTheme="minorHAnsi" w:eastAsiaTheme="minorEastAsia" w:hAnsiTheme="minorHAnsi" w:cstheme="minorBidi"/>
          <w:b w:val="0"/>
          <w:noProof/>
          <w:color w:val="auto"/>
          <w:sz w:val="22"/>
          <w:szCs w:val="22"/>
          <w:lang w:eastAsia="en-NZ"/>
        </w:rPr>
      </w:pPr>
      <w:hyperlink w:anchor="_Toc431908611" w:history="1">
        <w:r w:rsidR="006D38E7" w:rsidRPr="006F5CD8">
          <w:rPr>
            <w:rStyle w:val="Hyperlink"/>
            <w:noProof/>
          </w:rPr>
          <w:t>What is this consultation document about?</w:t>
        </w:r>
        <w:r w:rsidR="006D38E7">
          <w:rPr>
            <w:noProof/>
            <w:webHidden/>
          </w:rPr>
          <w:tab/>
        </w:r>
        <w:r w:rsidR="006D38E7">
          <w:rPr>
            <w:noProof/>
            <w:webHidden/>
          </w:rPr>
          <w:fldChar w:fldCharType="begin"/>
        </w:r>
        <w:r w:rsidR="006D38E7">
          <w:rPr>
            <w:noProof/>
            <w:webHidden/>
          </w:rPr>
          <w:instrText xml:space="preserve"> PAGEREF _Toc431908611 \h </w:instrText>
        </w:r>
        <w:r w:rsidR="006D38E7">
          <w:rPr>
            <w:noProof/>
            <w:webHidden/>
          </w:rPr>
        </w:r>
        <w:r w:rsidR="006D38E7">
          <w:rPr>
            <w:noProof/>
            <w:webHidden/>
          </w:rPr>
          <w:fldChar w:fldCharType="separate"/>
        </w:r>
        <w:r w:rsidR="006D38E7">
          <w:rPr>
            <w:noProof/>
            <w:webHidden/>
          </w:rPr>
          <w:t>3</w:t>
        </w:r>
        <w:r w:rsidR="006D38E7">
          <w:rPr>
            <w:noProof/>
            <w:webHidden/>
          </w:rPr>
          <w:fldChar w:fldCharType="end"/>
        </w:r>
      </w:hyperlink>
    </w:p>
    <w:p w:rsidR="006D38E7" w:rsidRDefault="00757429">
      <w:pPr>
        <w:pStyle w:val="TOC2"/>
        <w:rPr>
          <w:rFonts w:asciiTheme="minorHAnsi" w:eastAsiaTheme="minorEastAsia" w:hAnsiTheme="minorHAnsi" w:cstheme="minorBidi"/>
          <w:sz w:val="22"/>
          <w:szCs w:val="22"/>
          <w:lang w:eastAsia="en-NZ"/>
        </w:rPr>
      </w:pPr>
      <w:hyperlink w:anchor="_Toc431908612" w:history="1">
        <w:r w:rsidR="006D38E7" w:rsidRPr="006F5CD8">
          <w:rPr>
            <w:rStyle w:val="Hyperlink"/>
          </w:rPr>
          <w:t>Consultation requirements</w:t>
        </w:r>
        <w:r w:rsidR="006D38E7">
          <w:rPr>
            <w:webHidden/>
          </w:rPr>
          <w:tab/>
        </w:r>
        <w:r w:rsidR="006D38E7">
          <w:rPr>
            <w:webHidden/>
          </w:rPr>
          <w:fldChar w:fldCharType="begin"/>
        </w:r>
        <w:r w:rsidR="006D38E7">
          <w:rPr>
            <w:webHidden/>
          </w:rPr>
          <w:instrText xml:space="preserve"> PAGEREF _Toc431908612 \h </w:instrText>
        </w:r>
        <w:r w:rsidR="006D38E7">
          <w:rPr>
            <w:webHidden/>
          </w:rPr>
        </w:r>
        <w:r w:rsidR="006D38E7">
          <w:rPr>
            <w:webHidden/>
          </w:rPr>
          <w:fldChar w:fldCharType="separate"/>
        </w:r>
        <w:r w:rsidR="006D38E7">
          <w:rPr>
            <w:webHidden/>
          </w:rPr>
          <w:t>3</w:t>
        </w:r>
        <w:r w:rsidR="006D38E7">
          <w:rPr>
            <w:webHidden/>
          </w:rPr>
          <w:fldChar w:fldCharType="end"/>
        </w:r>
      </w:hyperlink>
    </w:p>
    <w:p w:rsidR="006D38E7" w:rsidRDefault="00757429">
      <w:pPr>
        <w:pStyle w:val="TOC2"/>
        <w:rPr>
          <w:rFonts w:asciiTheme="minorHAnsi" w:eastAsiaTheme="minorEastAsia" w:hAnsiTheme="minorHAnsi" w:cstheme="minorBidi"/>
          <w:sz w:val="22"/>
          <w:szCs w:val="22"/>
          <w:lang w:eastAsia="en-NZ"/>
        </w:rPr>
      </w:pPr>
      <w:hyperlink w:anchor="_Toc431908613" w:history="1">
        <w:r w:rsidR="006D38E7" w:rsidRPr="006F5CD8">
          <w:rPr>
            <w:rStyle w:val="Hyperlink"/>
          </w:rPr>
          <w:t>Sending us your submission</w:t>
        </w:r>
        <w:r w:rsidR="006D38E7">
          <w:rPr>
            <w:webHidden/>
          </w:rPr>
          <w:tab/>
        </w:r>
        <w:r w:rsidR="006D38E7">
          <w:rPr>
            <w:webHidden/>
          </w:rPr>
          <w:fldChar w:fldCharType="begin"/>
        </w:r>
        <w:r w:rsidR="006D38E7">
          <w:rPr>
            <w:webHidden/>
          </w:rPr>
          <w:instrText xml:space="preserve"> PAGEREF _Toc431908613 \h </w:instrText>
        </w:r>
        <w:r w:rsidR="006D38E7">
          <w:rPr>
            <w:webHidden/>
          </w:rPr>
        </w:r>
        <w:r w:rsidR="006D38E7">
          <w:rPr>
            <w:webHidden/>
          </w:rPr>
          <w:fldChar w:fldCharType="separate"/>
        </w:r>
        <w:r w:rsidR="006D38E7">
          <w:rPr>
            <w:webHidden/>
          </w:rPr>
          <w:t>3</w:t>
        </w:r>
        <w:r w:rsidR="006D38E7">
          <w:rPr>
            <w:webHidden/>
          </w:rPr>
          <w:fldChar w:fldCharType="end"/>
        </w:r>
      </w:hyperlink>
    </w:p>
    <w:p w:rsidR="006D38E7" w:rsidRDefault="00757429">
      <w:pPr>
        <w:pStyle w:val="TOC1"/>
        <w:rPr>
          <w:rFonts w:asciiTheme="minorHAnsi" w:eastAsiaTheme="minorEastAsia" w:hAnsiTheme="minorHAnsi" w:cstheme="minorBidi"/>
          <w:b w:val="0"/>
          <w:noProof/>
          <w:color w:val="auto"/>
          <w:sz w:val="22"/>
          <w:szCs w:val="22"/>
          <w:lang w:eastAsia="en-NZ"/>
        </w:rPr>
      </w:pPr>
      <w:hyperlink w:anchor="_Toc431908614" w:history="1">
        <w:r w:rsidR="006D38E7" w:rsidRPr="006F5CD8">
          <w:rPr>
            <w:rStyle w:val="Hyperlink"/>
            <w:noProof/>
          </w:rPr>
          <w:t>Introduction</w:t>
        </w:r>
        <w:r w:rsidR="006D38E7">
          <w:rPr>
            <w:noProof/>
            <w:webHidden/>
          </w:rPr>
          <w:tab/>
        </w:r>
        <w:r w:rsidR="006D38E7">
          <w:rPr>
            <w:noProof/>
            <w:webHidden/>
          </w:rPr>
          <w:fldChar w:fldCharType="begin"/>
        </w:r>
        <w:r w:rsidR="006D38E7">
          <w:rPr>
            <w:noProof/>
            <w:webHidden/>
          </w:rPr>
          <w:instrText xml:space="preserve"> PAGEREF _Toc431908614 \h </w:instrText>
        </w:r>
        <w:r w:rsidR="006D38E7">
          <w:rPr>
            <w:noProof/>
            <w:webHidden/>
          </w:rPr>
        </w:r>
        <w:r w:rsidR="006D38E7">
          <w:rPr>
            <w:noProof/>
            <w:webHidden/>
          </w:rPr>
          <w:fldChar w:fldCharType="separate"/>
        </w:r>
        <w:r w:rsidR="006D38E7">
          <w:rPr>
            <w:noProof/>
            <w:webHidden/>
          </w:rPr>
          <w:t>4</w:t>
        </w:r>
        <w:r w:rsidR="006D38E7">
          <w:rPr>
            <w:noProof/>
            <w:webHidden/>
          </w:rPr>
          <w:fldChar w:fldCharType="end"/>
        </w:r>
      </w:hyperlink>
    </w:p>
    <w:p w:rsidR="006D38E7" w:rsidRDefault="00757429">
      <w:pPr>
        <w:pStyle w:val="TOC2"/>
        <w:rPr>
          <w:rFonts w:asciiTheme="minorHAnsi" w:eastAsiaTheme="minorEastAsia" w:hAnsiTheme="minorHAnsi" w:cstheme="minorBidi"/>
          <w:sz w:val="22"/>
          <w:szCs w:val="22"/>
          <w:lang w:eastAsia="en-NZ"/>
        </w:rPr>
      </w:pPr>
      <w:hyperlink w:anchor="_Toc431908615" w:history="1">
        <w:r w:rsidR="006D38E7" w:rsidRPr="006F5CD8">
          <w:rPr>
            <w:rStyle w:val="Hyperlink"/>
          </w:rPr>
          <w:t>Class 4 gambling</w:t>
        </w:r>
        <w:r w:rsidR="006D38E7">
          <w:rPr>
            <w:webHidden/>
          </w:rPr>
          <w:tab/>
        </w:r>
        <w:r w:rsidR="006D38E7">
          <w:rPr>
            <w:webHidden/>
          </w:rPr>
          <w:fldChar w:fldCharType="begin"/>
        </w:r>
        <w:r w:rsidR="006D38E7">
          <w:rPr>
            <w:webHidden/>
          </w:rPr>
          <w:instrText xml:space="preserve"> PAGEREF _Toc431908615 \h </w:instrText>
        </w:r>
        <w:r w:rsidR="006D38E7">
          <w:rPr>
            <w:webHidden/>
          </w:rPr>
        </w:r>
        <w:r w:rsidR="006D38E7">
          <w:rPr>
            <w:webHidden/>
          </w:rPr>
          <w:fldChar w:fldCharType="separate"/>
        </w:r>
        <w:r w:rsidR="006D38E7">
          <w:rPr>
            <w:webHidden/>
          </w:rPr>
          <w:t>4</w:t>
        </w:r>
        <w:r w:rsidR="006D38E7">
          <w:rPr>
            <w:webHidden/>
          </w:rPr>
          <w:fldChar w:fldCharType="end"/>
        </w:r>
      </w:hyperlink>
    </w:p>
    <w:p w:rsidR="006D38E7" w:rsidRDefault="00757429">
      <w:pPr>
        <w:pStyle w:val="TOC2"/>
        <w:rPr>
          <w:rFonts w:asciiTheme="minorHAnsi" w:eastAsiaTheme="minorEastAsia" w:hAnsiTheme="minorHAnsi" w:cstheme="minorBidi"/>
          <w:sz w:val="22"/>
          <w:szCs w:val="22"/>
          <w:lang w:eastAsia="en-NZ"/>
        </w:rPr>
      </w:pPr>
      <w:hyperlink w:anchor="_Toc431908616" w:history="1">
        <w:r w:rsidR="006D38E7" w:rsidRPr="006F5CD8">
          <w:rPr>
            <w:rStyle w:val="Hyperlink"/>
          </w:rPr>
          <w:t>Differences between societies and their impact on the ability to meet the minimum rate</w:t>
        </w:r>
        <w:r w:rsidR="006D38E7">
          <w:rPr>
            <w:webHidden/>
          </w:rPr>
          <w:tab/>
        </w:r>
        <w:r w:rsidR="006D38E7">
          <w:rPr>
            <w:webHidden/>
          </w:rPr>
          <w:fldChar w:fldCharType="begin"/>
        </w:r>
        <w:r w:rsidR="006D38E7">
          <w:rPr>
            <w:webHidden/>
          </w:rPr>
          <w:instrText xml:space="preserve"> PAGEREF _Toc431908616 \h </w:instrText>
        </w:r>
        <w:r w:rsidR="006D38E7">
          <w:rPr>
            <w:webHidden/>
          </w:rPr>
        </w:r>
        <w:r w:rsidR="006D38E7">
          <w:rPr>
            <w:webHidden/>
          </w:rPr>
          <w:fldChar w:fldCharType="separate"/>
        </w:r>
        <w:r w:rsidR="006D38E7">
          <w:rPr>
            <w:webHidden/>
          </w:rPr>
          <w:t>6</w:t>
        </w:r>
        <w:r w:rsidR="006D38E7">
          <w:rPr>
            <w:webHidden/>
          </w:rPr>
          <w:fldChar w:fldCharType="end"/>
        </w:r>
      </w:hyperlink>
    </w:p>
    <w:p w:rsidR="006D38E7" w:rsidRDefault="00757429">
      <w:pPr>
        <w:pStyle w:val="TOC1"/>
        <w:rPr>
          <w:rFonts w:asciiTheme="minorHAnsi" w:eastAsiaTheme="minorEastAsia" w:hAnsiTheme="minorHAnsi" w:cstheme="minorBidi"/>
          <w:b w:val="0"/>
          <w:noProof/>
          <w:color w:val="auto"/>
          <w:sz w:val="22"/>
          <w:szCs w:val="22"/>
          <w:lang w:eastAsia="en-NZ"/>
        </w:rPr>
      </w:pPr>
      <w:hyperlink w:anchor="_Toc431908617" w:history="1">
        <w:r w:rsidR="006D38E7" w:rsidRPr="006F5CD8">
          <w:rPr>
            <w:rStyle w:val="Hyperlink"/>
            <w:noProof/>
          </w:rPr>
          <w:t>Increases to the minimum rate and other cost pressures</w:t>
        </w:r>
        <w:r w:rsidR="006D38E7">
          <w:rPr>
            <w:noProof/>
            <w:webHidden/>
          </w:rPr>
          <w:tab/>
        </w:r>
        <w:r w:rsidR="006D38E7">
          <w:rPr>
            <w:noProof/>
            <w:webHidden/>
          </w:rPr>
          <w:fldChar w:fldCharType="begin"/>
        </w:r>
        <w:r w:rsidR="006D38E7">
          <w:rPr>
            <w:noProof/>
            <w:webHidden/>
          </w:rPr>
          <w:instrText xml:space="preserve"> PAGEREF _Toc431908617 \h </w:instrText>
        </w:r>
        <w:r w:rsidR="006D38E7">
          <w:rPr>
            <w:noProof/>
            <w:webHidden/>
          </w:rPr>
        </w:r>
        <w:r w:rsidR="006D38E7">
          <w:rPr>
            <w:noProof/>
            <w:webHidden/>
          </w:rPr>
          <w:fldChar w:fldCharType="separate"/>
        </w:r>
        <w:r w:rsidR="006D38E7">
          <w:rPr>
            <w:noProof/>
            <w:webHidden/>
          </w:rPr>
          <w:t>8</w:t>
        </w:r>
        <w:r w:rsidR="006D38E7">
          <w:rPr>
            <w:noProof/>
            <w:webHidden/>
          </w:rPr>
          <w:fldChar w:fldCharType="end"/>
        </w:r>
      </w:hyperlink>
    </w:p>
    <w:p w:rsidR="006D38E7" w:rsidRDefault="00757429">
      <w:pPr>
        <w:pStyle w:val="TOC2"/>
        <w:rPr>
          <w:rFonts w:asciiTheme="minorHAnsi" w:eastAsiaTheme="minorEastAsia" w:hAnsiTheme="minorHAnsi" w:cstheme="minorBidi"/>
          <w:sz w:val="22"/>
          <w:szCs w:val="22"/>
          <w:lang w:eastAsia="en-NZ"/>
        </w:rPr>
      </w:pPr>
      <w:hyperlink w:anchor="_Toc431908618" w:history="1">
        <w:r w:rsidR="006D38E7" w:rsidRPr="006F5CD8">
          <w:rPr>
            <w:rStyle w:val="Hyperlink"/>
          </w:rPr>
          <w:t>Previous decision to increase the minimum rate</w:t>
        </w:r>
        <w:r w:rsidR="006D38E7">
          <w:rPr>
            <w:webHidden/>
          </w:rPr>
          <w:tab/>
        </w:r>
        <w:r w:rsidR="006D38E7">
          <w:rPr>
            <w:webHidden/>
          </w:rPr>
          <w:fldChar w:fldCharType="begin"/>
        </w:r>
        <w:r w:rsidR="006D38E7">
          <w:rPr>
            <w:webHidden/>
          </w:rPr>
          <w:instrText xml:space="preserve"> PAGEREF _Toc431908618 \h </w:instrText>
        </w:r>
        <w:r w:rsidR="006D38E7">
          <w:rPr>
            <w:webHidden/>
          </w:rPr>
        </w:r>
        <w:r w:rsidR="006D38E7">
          <w:rPr>
            <w:webHidden/>
          </w:rPr>
          <w:fldChar w:fldCharType="separate"/>
        </w:r>
        <w:r w:rsidR="006D38E7">
          <w:rPr>
            <w:webHidden/>
          </w:rPr>
          <w:t>8</w:t>
        </w:r>
        <w:r w:rsidR="006D38E7">
          <w:rPr>
            <w:webHidden/>
          </w:rPr>
          <w:fldChar w:fldCharType="end"/>
        </w:r>
      </w:hyperlink>
    </w:p>
    <w:p w:rsidR="006D38E7" w:rsidRDefault="00757429">
      <w:pPr>
        <w:pStyle w:val="TOC2"/>
        <w:rPr>
          <w:rFonts w:asciiTheme="minorHAnsi" w:eastAsiaTheme="minorEastAsia" w:hAnsiTheme="minorHAnsi" w:cstheme="minorBidi"/>
          <w:sz w:val="22"/>
          <w:szCs w:val="22"/>
          <w:lang w:eastAsia="en-NZ"/>
        </w:rPr>
      </w:pPr>
      <w:hyperlink w:anchor="_Toc431908619" w:history="1">
        <w:r w:rsidR="006D38E7" w:rsidRPr="006F5CD8">
          <w:rPr>
            <w:rStyle w:val="Hyperlink"/>
          </w:rPr>
          <w:t>Additional cost pressures on the sector</w:t>
        </w:r>
        <w:r w:rsidR="006D38E7">
          <w:rPr>
            <w:webHidden/>
          </w:rPr>
          <w:tab/>
        </w:r>
        <w:r w:rsidR="006D38E7">
          <w:rPr>
            <w:webHidden/>
          </w:rPr>
          <w:fldChar w:fldCharType="begin"/>
        </w:r>
        <w:r w:rsidR="006D38E7">
          <w:rPr>
            <w:webHidden/>
          </w:rPr>
          <w:instrText xml:space="preserve"> PAGEREF _Toc431908619 \h </w:instrText>
        </w:r>
        <w:r w:rsidR="006D38E7">
          <w:rPr>
            <w:webHidden/>
          </w:rPr>
        </w:r>
        <w:r w:rsidR="006D38E7">
          <w:rPr>
            <w:webHidden/>
          </w:rPr>
          <w:fldChar w:fldCharType="separate"/>
        </w:r>
        <w:r w:rsidR="006D38E7">
          <w:rPr>
            <w:webHidden/>
          </w:rPr>
          <w:t>8</w:t>
        </w:r>
        <w:r w:rsidR="006D38E7">
          <w:rPr>
            <w:webHidden/>
          </w:rPr>
          <w:fldChar w:fldCharType="end"/>
        </w:r>
      </w:hyperlink>
    </w:p>
    <w:p w:rsidR="006D38E7" w:rsidRDefault="00757429">
      <w:pPr>
        <w:pStyle w:val="TOC1"/>
        <w:rPr>
          <w:rFonts w:asciiTheme="minorHAnsi" w:eastAsiaTheme="minorEastAsia" w:hAnsiTheme="minorHAnsi" w:cstheme="minorBidi"/>
          <w:b w:val="0"/>
          <w:noProof/>
          <w:color w:val="auto"/>
          <w:sz w:val="22"/>
          <w:szCs w:val="22"/>
          <w:lang w:eastAsia="en-NZ"/>
        </w:rPr>
      </w:pPr>
      <w:hyperlink w:anchor="_Toc431908620" w:history="1">
        <w:r w:rsidR="006D38E7" w:rsidRPr="006F5CD8">
          <w:rPr>
            <w:rStyle w:val="Hyperlink"/>
            <w:noProof/>
          </w:rPr>
          <w:t>Can societies meet the minimum rate and absorb costs?</w:t>
        </w:r>
        <w:r w:rsidR="006D38E7">
          <w:rPr>
            <w:noProof/>
            <w:webHidden/>
          </w:rPr>
          <w:tab/>
        </w:r>
        <w:r w:rsidR="006D38E7">
          <w:rPr>
            <w:noProof/>
            <w:webHidden/>
          </w:rPr>
          <w:fldChar w:fldCharType="begin"/>
        </w:r>
        <w:r w:rsidR="006D38E7">
          <w:rPr>
            <w:noProof/>
            <w:webHidden/>
          </w:rPr>
          <w:instrText xml:space="preserve"> PAGEREF _Toc431908620 \h </w:instrText>
        </w:r>
        <w:r w:rsidR="006D38E7">
          <w:rPr>
            <w:noProof/>
            <w:webHidden/>
          </w:rPr>
        </w:r>
        <w:r w:rsidR="006D38E7">
          <w:rPr>
            <w:noProof/>
            <w:webHidden/>
          </w:rPr>
          <w:fldChar w:fldCharType="separate"/>
        </w:r>
        <w:r w:rsidR="006D38E7">
          <w:rPr>
            <w:noProof/>
            <w:webHidden/>
          </w:rPr>
          <w:t>10</w:t>
        </w:r>
        <w:r w:rsidR="006D38E7">
          <w:rPr>
            <w:noProof/>
            <w:webHidden/>
          </w:rPr>
          <w:fldChar w:fldCharType="end"/>
        </w:r>
      </w:hyperlink>
    </w:p>
    <w:p w:rsidR="006D38E7" w:rsidRDefault="00757429">
      <w:pPr>
        <w:pStyle w:val="TOC2"/>
        <w:rPr>
          <w:rFonts w:asciiTheme="minorHAnsi" w:eastAsiaTheme="minorEastAsia" w:hAnsiTheme="minorHAnsi" w:cstheme="minorBidi"/>
          <w:sz w:val="22"/>
          <w:szCs w:val="22"/>
          <w:lang w:eastAsia="en-NZ"/>
        </w:rPr>
      </w:pPr>
      <w:hyperlink w:anchor="_Toc431908621" w:history="1">
        <w:r w:rsidR="006D38E7" w:rsidRPr="006F5CD8">
          <w:rPr>
            <w:rStyle w:val="Hyperlink"/>
          </w:rPr>
          <w:t>Consultation on gambling fees showed sector concerns about meeting costs and the minimum rate</w:t>
        </w:r>
        <w:r w:rsidR="006D38E7">
          <w:rPr>
            <w:webHidden/>
          </w:rPr>
          <w:tab/>
        </w:r>
        <w:r w:rsidR="006D38E7">
          <w:rPr>
            <w:webHidden/>
          </w:rPr>
          <w:fldChar w:fldCharType="begin"/>
        </w:r>
        <w:r w:rsidR="006D38E7">
          <w:rPr>
            <w:webHidden/>
          </w:rPr>
          <w:instrText xml:space="preserve"> PAGEREF _Toc431908621 \h </w:instrText>
        </w:r>
        <w:r w:rsidR="006D38E7">
          <w:rPr>
            <w:webHidden/>
          </w:rPr>
        </w:r>
        <w:r w:rsidR="006D38E7">
          <w:rPr>
            <w:webHidden/>
          </w:rPr>
          <w:fldChar w:fldCharType="separate"/>
        </w:r>
        <w:r w:rsidR="006D38E7">
          <w:rPr>
            <w:webHidden/>
          </w:rPr>
          <w:t>10</w:t>
        </w:r>
        <w:r w:rsidR="006D38E7">
          <w:rPr>
            <w:webHidden/>
          </w:rPr>
          <w:fldChar w:fldCharType="end"/>
        </w:r>
      </w:hyperlink>
    </w:p>
    <w:p w:rsidR="006D38E7" w:rsidRDefault="00757429">
      <w:pPr>
        <w:pStyle w:val="TOC2"/>
        <w:rPr>
          <w:rFonts w:asciiTheme="minorHAnsi" w:eastAsiaTheme="minorEastAsia" w:hAnsiTheme="minorHAnsi" w:cstheme="minorBidi"/>
          <w:sz w:val="22"/>
          <w:szCs w:val="22"/>
          <w:lang w:eastAsia="en-NZ"/>
        </w:rPr>
      </w:pPr>
      <w:hyperlink w:anchor="_Toc431908622" w:history="1">
        <w:r w:rsidR="006D38E7" w:rsidRPr="006F5CD8">
          <w:rPr>
            <w:rStyle w:val="Hyperlink"/>
          </w:rPr>
          <w:t>Is the class 4 sector meeting the current minimum rate?</w:t>
        </w:r>
        <w:r w:rsidR="006D38E7">
          <w:rPr>
            <w:webHidden/>
          </w:rPr>
          <w:tab/>
        </w:r>
        <w:r w:rsidR="006D38E7">
          <w:rPr>
            <w:webHidden/>
          </w:rPr>
          <w:fldChar w:fldCharType="begin"/>
        </w:r>
        <w:r w:rsidR="006D38E7">
          <w:rPr>
            <w:webHidden/>
          </w:rPr>
          <w:instrText xml:space="preserve"> PAGEREF _Toc431908622 \h </w:instrText>
        </w:r>
        <w:r w:rsidR="006D38E7">
          <w:rPr>
            <w:webHidden/>
          </w:rPr>
        </w:r>
        <w:r w:rsidR="006D38E7">
          <w:rPr>
            <w:webHidden/>
          </w:rPr>
          <w:fldChar w:fldCharType="separate"/>
        </w:r>
        <w:r w:rsidR="006D38E7">
          <w:rPr>
            <w:webHidden/>
          </w:rPr>
          <w:t>10</w:t>
        </w:r>
        <w:r w:rsidR="006D38E7">
          <w:rPr>
            <w:webHidden/>
          </w:rPr>
          <w:fldChar w:fldCharType="end"/>
        </w:r>
      </w:hyperlink>
    </w:p>
    <w:p w:rsidR="006D38E7" w:rsidRDefault="00757429">
      <w:pPr>
        <w:pStyle w:val="TOC2"/>
        <w:rPr>
          <w:rFonts w:asciiTheme="minorHAnsi" w:eastAsiaTheme="minorEastAsia" w:hAnsiTheme="minorHAnsi" w:cstheme="minorBidi"/>
          <w:sz w:val="22"/>
          <w:szCs w:val="22"/>
          <w:lang w:eastAsia="en-NZ"/>
        </w:rPr>
      </w:pPr>
      <w:hyperlink w:anchor="_Toc431908623" w:history="1">
        <w:r w:rsidR="006D38E7" w:rsidRPr="006F5CD8">
          <w:rPr>
            <w:rStyle w:val="Hyperlink"/>
          </w:rPr>
          <w:t>Uncertainty about the impact of recent cost pressures on societies</w:t>
        </w:r>
        <w:r w:rsidR="006D38E7">
          <w:rPr>
            <w:webHidden/>
          </w:rPr>
          <w:tab/>
        </w:r>
        <w:r w:rsidR="006D38E7">
          <w:rPr>
            <w:webHidden/>
          </w:rPr>
          <w:fldChar w:fldCharType="begin"/>
        </w:r>
        <w:r w:rsidR="006D38E7">
          <w:rPr>
            <w:webHidden/>
          </w:rPr>
          <w:instrText xml:space="preserve"> PAGEREF _Toc431908623 \h </w:instrText>
        </w:r>
        <w:r w:rsidR="006D38E7">
          <w:rPr>
            <w:webHidden/>
          </w:rPr>
        </w:r>
        <w:r w:rsidR="006D38E7">
          <w:rPr>
            <w:webHidden/>
          </w:rPr>
          <w:fldChar w:fldCharType="separate"/>
        </w:r>
        <w:r w:rsidR="006D38E7">
          <w:rPr>
            <w:webHidden/>
          </w:rPr>
          <w:t>10</w:t>
        </w:r>
        <w:r w:rsidR="006D38E7">
          <w:rPr>
            <w:webHidden/>
          </w:rPr>
          <w:fldChar w:fldCharType="end"/>
        </w:r>
      </w:hyperlink>
    </w:p>
    <w:p w:rsidR="006D38E7" w:rsidRDefault="00757429">
      <w:pPr>
        <w:pStyle w:val="TOC2"/>
        <w:rPr>
          <w:rFonts w:asciiTheme="minorHAnsi" w:eastAsiaTheme="minorEastAsia" w:hAnsiTheme="minorHAnsi" w:cstheme="minorBidi"/>
          <w:sz w:val="22"/>
          <w:szCs w:val="22"/>
          <w:lang w:eastAsia="en-NZ"/>
        </w:rPr>
      </w:pPr>
      <w:hyperlink w:anchor="_Toc431908624" w:history="1">
        <w:r w:rsidR="006D38E7" w:rsidRPr="006F5CD8">
          <w:rPr>
            <w:rStyle w:val="Hyperlink"/>
          </w:rPr>
          <w:t>Risks when the minimum rate and costs increase</w:t>
        </w:r>
        <w:r w:rsidR="006D38E7">
          <w:rPr>
            <w:webHidden/>
          </w:rPr>
          <w:tab/>
        </w:r>
        <w:r w:rsidR="006D38E7">
          <w:rPr>
            <w:webHidden/>
          </w:rPr>
          <w:fldChar w:fldCharType="begin"/>
        </w:r>
        <w:r w:rsidR="006D38E7">
          <w:rPr>
            <w:webHidden/>
          </w:rPr>
          <w:instrText xml:space="preserve"> PAGEREF _Toc431908624 \h </w:instrText>
        </w:r>
        <w:r w:rsidR="006D38E7">
          <w:rPr>
            <w:webHidden/>
          </w:rPr>
        </w:r>
        <w:r w:rsidR="006D38E7">
          <w:rPr>
            <w:webHidden/>
          </w:rPr>
          <w:fldChar w:fldCharType="separate"/>
        </w:r>
        <w:r w:rsidR="006D38E7">
          <w:rPr>
            <w:webHidden/>
          </w:rPr>
          <w:t>11</w:t>
        </w:r>
        <w:r w:rsidR="006D38E7">
          <w:rPr>
            <w:webHidden/>
          </w:rPr>
          <w:fldChar w:fldCharType="end"/>
        </w:r>
      </w:hyperlink>
    </w:p>
    <w:p w:rsidR="006D38E7" w:rsidRDefault="00757429">
      <w:pPr>
        <w:pStyle w:val="TOC1"/>
        <w:rPr>
          <w:rFonts w:asciiTheme="minorHAnsi" w:eastAsiaTheme="minorEastAsia" w:hAnsiTheme="minorHAnsi" w:cstheme="minorBidi"/>
          <w:b w:val="0"/>
          <w:noProof/>
          <w:color w:val="auto"/>
          <w:sz w:val="22"/>
          <w:szCs w:val="22"/>
          <w:lang w:eastAsia="en-NZ"/>
        </w:rPr>
      </w:pPr>
      <w:hyperlink w:anchor="_Toc431908625" w:history="1">
        <w:r w:rsidR="006D38E7" w:rsidRPr="006F5CD8">
          <w:rPr>
            <w:rStyle w:val="Hyperlink"/>
            <w:noProof/>
          </w:rPr>
          <w:t>Policy objectives, criteria and analysis</w:t>
        </w:r>
        <w:r w:rsidR="006D38E7">
          <w:rPr>
            <w:noProof/>
            <w:webHidden/>
          </w:rPr>
          <w:tab/>
        </w:r>
        <w:r w:rsidR="006D38E7">
          <w:rPr>
            <w:noProof/>
            <w:webHidden/>
          </w:rPr>
          <w:fldChar w:fldCharType="begin"/>
        </w:r>
        <w:r w:rsidR="006D38E7">
          <w:rPr>
            <w:noProof/>
            <w:webHidden/>
          </w:rPr>
          <w:instrText xml:space="preserve"> PAGEREF _Toc431908625 \h </w:instrText>
        </w:r>
        <w:r w:rsidR="006D38E7">
          <w:rPr>
            <w:noProof/>
            <w:webHidden/>
          </w:rPr>
        </w:r>
        <w:r w:rsidR="006D38E7">
          <w:rPr>
            <w:noProof/>
            <w:webHidden/>
          </w:rPr>
          <w:fldChar w:fldCharType="separate"/>
        </w:r>
        <w:r w:rsidR="006D38E7">
          <w:rPr>
            <w:noProof/>
            <w:webHidden/>
          </w:rPr>
          <w:t>14</w:t>
        </w:r>
        <w:r w:rsidR="006D38E7">
          <w:rPr>
            <w:noProof/>
            <w:webHidden/>
          </w:rPr>
          <w:fldChar w:fldCharType="end"/>
        </w:r>
      </w:hyperlink>
    </w:p>
    <w:p w:rsidR="006D38E7" w:rsidRDefault="00757429">
      <w:pPr>
        <w:pStyle w:val="TOC2"/>
        <w:rPr>
          <w:rFonts w:asciiTheme="minorHAnsi" w:eastAsiaTheme="minorEastAsia" w:hAnsiTheme="minorHAnsi" w:cstheme="minorBidi"/>
          <w:sz w:val="22"/>
          <w:szCs w:val="22"/>
          <w:lang w:eastAsia="en-NZ"/>
        </w:rPr>
      </w:pPr>
      <w:hyperlink w:anchor="_Toc431908626" w:history="1">
        <w:r w:rsidR="006D38E7" w:rsidRPr="006F5CD8">
          <w:rPr>
            <w:rStyle w:val="Hyperlink"/>
          </w:rPr>
          <w:t>Policy objective in reviewing the minimum rate</w:t>
        </w:r>
        <w:r w:rsidR="006D38E7">
          <w:rPr>
            <w:webHidden/>
          </w:rPr>
          <w:tab/>
        </w:r>
        <w:r w:rsidR="006D38E7">
          <w:rPr>
            <w:webHidden/>
          </w:rPr>
          <w:fldChar w:fldCharType="begin"/>
        </w:r>
        <w:r w:rsidR="006D38E7">
          <w:rPr>
            <w:webHidden/>
          </w:rPr>
          <w:instrText xml:space="preserve"> PAGEREF _Toc431908626 \h </w:instrText>
        </w:r>
        <w:r w:rsidR="006D38E7">
          <w:rPr>
            <w:webHidden/>
          </w:rPr>
        </w:r>
        <w:r w:rsidR="006D38E7">
          <w:rPr>
            <w:webHidden/>
          </w:rPr>
          <w:fldChar w:fldCharType="separate"/>
        </w:r>
        <w:r w:rsidR="006D38E7">
          <w:rPr>
            <w:webHidden/>
          </w:rPr>
          <w:t>14</w:t>
        </w:r>
        <w:r w:rsidR="006D38E7">
          <w:rPr>
            <w:webHidden/>
          </w:rPr>
          <w:fldChar w:fldCharType="end"/>
        </w:r>
      </w:hyperlink>
    </w:p>
    <w:p w:rsidR="006D38E7" w:rsidRDefault="00757429">
      <w:pPr>
        <w:pStyle w:val="TOC2"/>
        <w:rPr>
          <w:rFonts w:asciiTheme="minorHAnsi" w:eastAsiaTheme="minorEastAsia" w:hAnsiTheme="minorHAnsi" w:cstheme="minorBidi"/>
          <w:sz w:val="22"/>
          <w:szCs w:val="22"/>
          <w:lang w:eastAsia="en-NZ"/>
        </w:rPr>
      </w:pPr>
      <w:hyperlink w:anchor="_Toc431908627" w:history="1">
        <w:r w:rsidR="006D38E7" w:rsidRPr="006F5CD8">
          <w:rPr>
            <w:rStyle w:val="Hyperlink"/>
          </w:rPr>
          <w:t>Criteria for assessing options</w:t>
        </w:r>
        <w:r w:rsidR="006D38E7">
          <w:rPr>
            <w:webHidden/>
          </w:rPr>
          <w:tab/>
        </w:r>
        <w:r w:rsidR="006D38E7">
          <w:rPr>
            <w:webHidden/>
          </w:rPr>
          <w:fldChar w:fldCharType="begin"/>
        </w:r>
        <w:r w:rsidR="006D38E7">
          <w:rPr>
            <w:webHidden/>
          </w:rPr>
          <w:instrText xml:space="preserve"> PAGEREF _Toc431908627 \h </w:instrText>
        </w:r>
        <w:r w:rsidR="006D38E7">
          <w:rPr>
            <w:webHidden/>
          </w:rPr>
        </w:r>
        <w:r w:rsidR="006D38E7">
          <w:rPr>
            <w:webHidden/>
          </w:rPr>
          <w:fldChar w:fldCharType="separate"/>
        </w:r>
        <w:r w:rsidR="006D38E7">
          <w:rPr>
            <w:webHidden/>
          </w:rPr>
          <w:t>14</w:t>
        </w:r>
        <w:r w:rsidR="006D38E7">
          <w:rPr>
            <w:webHidden/>
          </w:rPr>
          <w:fldChar w:fldCharType="end"/>
        </w:r>
      </w:hyperlink>
    </w:p>
    <w:p w:rsidR="006D38E7" w:rsidRDefault="00757429">
      <w:pPr>
        <w:pStyle w:val="TOC2"/>
        <w:rPr>
          <w:rFonts w:asciiTheme="minorHAnsi" w:eastAsiaTheme="minorEastAsia" w:hAnsiTheme="minorHAnsi" w:cstheme="minorBidi"/>
          <w:sz w:val="22"/>
          <w:szCs w:val="22"/>
          <w:lang w:eastAsia="en-NZ"/>
        </w:rPr>
      </w:pPr>
      <w:hyperlink w:anchor="_Toc431908628" w:history="1">
        <w:r w:rsidR="006D38E7" w:rsidRPr="006F5CD8">
          <w:rPr>
            <w:rStyle w:val="Hyperlink"/>
          </w:rPr>
          <w:t>Options and impact analysis</w:t>
        </w:r>
        <w:r w:rsidR="006D38E7">
          <w:rPr>
            <w:webHidden/>
          </w:rPr>
          <w:tab/>
        </w:r>
        <w:r w:rsidR="006D38E7">
          <w:rPr>
            <w:webHidden/>
          </w:rPr>
          <w:fldChar w:fldCharType="begin"/>
        </w:r>
        <w:r w:rsidR="006D38E7">
          <w:rPr>
            <w:webHidden/>
          </w:rPr>
          <w:instrText xml:space="preserve"> PAGEREF _Toc431908628 \h </w:instrText>
        </w:r>
        <w:r w:rsidR="006D38E7">
          <w:rPr>
            <w:webHidden/>
          </w:rPr>
        </w:r>
        <w:r w:rsidR="006D38E7">
          <w:rPr>
            <w:webHidden/>
          </w:rPr>
          <w:fldChar w:fldCharType="separate"/>
        </w:r>
        <w:r w:rsidR="006D38E7">
          <w:rPr>
            <w:webHidden/>
          </w:rPr>
          <w:t>14</w:t>
        </w:r>
        <w:r w:rsidR="006D38E7">
          <w:rPr>
            <w:webHidden/>
          </w:rPr>
          <w:fldChar w:fldCharType="end"/>
        </w:r>
      </w:hyperlink>
    </w:p>
    <w:p w:rsidR="006D38E7" w:rsidRDefault="00757429">
      <w:pPr>
        <w:pStyle w:val="TOC1"/>
        <w:rPr>
          <w:rFonts w:asciiTheme="minorHAnsi" w:eastAsiaTheme="minorEastAsia" w:hAnsiTheme="minorHAnsi" w:cstheme="minorBidi"/>
          <w:b w:val="0"/>
          <w:noProof/>
          <w:color w:val="auto"/>
          <w:sz w:val="22"/>
          <w:szCs w:val="22"/>
          <w:lang w:eastAsia="en-NZ"/>
        </w:rPr>
      </w:pPr>
      <w:hyperlink w:anchor="_Toc431908629" w:history="1">
        <w:r w:rsidR="006D38E7" w:rsidRPr="006F5CD8">
          <w:rPr>
            <w:rStyle w:val="Hyperlink"/>
            <w:noProof/>
          </w:rPr>
          <w:t>Implementation, monitoring and review</w:t>
        </w:r>
        <w:r w:rsidR="006D38E7">
          <w:rPr>
            <w:noProof/>
            <w:webHidden/>
          </w:rPr>
          <w:tab/>
        </w:r>
        <w:r w:rsidR="006D38E7">
          <w:rPr>
            <w:noProof/>
            <w:webHidden/>
          </w:rPr>
          <w:fldChar w:fldCharType="begin"/>
        </w:r>
        <w:r w:rsidR="006D38E7">
          <w:rPr>
            <w:noProof/>
            <w:webHidden/>
          </w:rPr>
          <w:instrText xml:space="preserve"> PAGEREF _Toc431908629 \h </w:instrText>
        </w:r>
        <w:r w:rsidR="006D38E7">
          <w:rPr>
            <w:noProof/>
            <w:webHidden/>
          </w:rPr>
        </w:r>
        <w:r w:rsidR="006D38E7">
          <w:rPr>
            <w:noProof/>
            <w:webHidden/>
          </w:rPr>
          <w:fldChar w:fldCharType="separate"/>
        </w:r>
        <w:r w:rsidR="006D38E7">
          <w:rPr>
            <w:noProof/>
            <w:webHidden/>
          </w:rPr>
          <w:t>18</w:t>
        </w:r>
        <w:r w:rsidR="006D38E7">
          <w:rPr>
            <w:noProof/>
            <w:webHidden/>
          </w:rPr>
          <w:fldChar w:fldCharType="end"/>
        </w:r>
      </w:hyperlink>
    </w:p>
    <w:p w:rsidR="006D38E7" w:rsidRDefault="00757429">
      <w:pPr>
        <w:pStyle w:val="TOC2"/>
        <w:rPr>
          <w:rFonts w:asciiTheme="minorHAnsi" w:eastAsiaTheme="minorEastAsia" w:hAnsiTheme="minorHAnsi" w:cstheme="minorBidi"/>
          <w:sz w:val="22"/>
          <w:szCs w:val="22"/>
          <w:lang w:eastAsia="en-NZ"/>
        </w:rPr>
      </w:pPr>
      <w:hyperlink w:anchor="_Toc431908630" w:history="1">
        <w:r w:rsidR="006D38E7" w:rsidRPr="006F5CD8">
          <w:rPr>
            <w:rStyle w:val="Hyperlink"/>
          </w:rPr>
          <w:t>Questions for you</w:t>
        </w:r>
        <w:r w:rsidR="006D38E7">
          <w:rPr>
            <w:webHidden/>
          </w:rPr>
          <w:tab/>
        </w:r>
        <w:r w:rsidR="006D38E7">
          <w:rPr>
            <w:webHidden/>
          </w:rPr>
          <w:fldChar w:fldCharType="begin"/>
        </w:r>
        <w:r w:rsidR="006D38E7">
          <w:rPr>
            <w:webHidden/>
          </w:rPr>
          <w:instrText xml:space="preserve"> PAGEREF _Toc431908630 \h </w:instrText>
        </w:r>
        <w:r w:rsidR="006D38E7">
          <w:rPr>
            <w:webHidden/>
          </w:rPr>
        </w:r>
        <w:r w:rsidR="006D38E7">
          <w:rPr>
            <w:webHidden/>
          </w:rPr>
          <w:fldChar w:fldCharType="separate"/>
        </w:r>
        <w:r w:rsidR="006D38E7">
          <w:rPr>
            <w:webHidden/>
          </w:rPr>
          <w:t>18</w:t>
        </w:r>
        <w:r w:rsidR="006D38E7">
          <w:rPr>
            <w:webHidden/>
          </w:rPr>
          <w:fldChar w:fldCharType="end"/>
        </w:r>
      </w:hyperlink>
    </w:p>
    <w:p w:rsidR="009669CF" w:rsidRPr="007202D5" w:rsidRDefault="00860B2B" w:rsidP="007202D5">
      <w:r>
        <w:rPr>
          <w:color w:val="1F546B"/>
        </w:rPr>
        <w:fldChar w:fldCharType="end"/>
      </w:r>
    </w:p>
    <w:p w:rsidR="004518B7" w:rsidRPr="007202D5" w:rsidRDefault="004518B7" w:rsidP="007202D5"/>
    <w:p w:rsidR="004518B7" w:rsidRPr="007202D5" w:rsidRDefault="004518B7" w:rsidP="007202D5">
      <w:r w:rsidRPr="007202D5">
        <w:br w:type="page"/>
      </w:r>
    </w:p>
    <w:p w:rsidR="006871D3" w:rsidRDefault="006871D3" w:rsidP="001420E8">
      <w:pPr>
        <w:sectPr w:rsidR="006871D3" w:rsidSect="004518B7">
          <w:headerReference w:type="default" r:id="rId16"/>
          <w:footerReference w:type="default" r:id="rId17"/>
          <w:pgSz w:w="11907" w:h="16840" w:code="9"/>
          <w:pgMar w:top="1418" w:right="1418" w:bottom="992" w:left="1418" w:header="425" w:footer="641" w:gutter="0"/>
          <w:pgNumType w:start="1"/>
          <w:cols w:space="708"/>
          <w:docGrid w:linePitch="360"/>
        </w:sectPr>
      </w:pPr>
    </w:p>
    <w:p w:rsidR="00DF7FEE" w:rsidRDefault="00DF7FEE" w:rsidP="00DF7FEE">
      <w:pPr>
        <w:pStyle w:val="Heading1"/>
      </w:pPr>
      <w:bookmarkStart w:id="0" w:name="_Toc431908610"/>
      <w:r>
        <w:lastRenderedPageBreak/>
        <w:t>Glossary of abbreviations and terms</w:t>
      </w:r>
      <w:bookmarkEnd w:id="0"/>
    </w:p>
    <w:tbl>
      <w:tblPr>
        <w:tblW w:w="9911" w:type="dxa"/>
        <w:tblLayout w:type="fixed"/>
        <w:tblCellMar>
          <w:top w:w="57" w:type="dxa"/>
          <w:bottom w:w="57" w:type="dxa"/>
        </w:tblCellMar>
        <w:tblLook w:val="01C0" w:firstRow="0" w:lastRow="1" w:firstColumn="1" w:lastColumn="1" w:noHBand="0" w:noVBand="0"/>
      </w:tblPr>
      <w:tblGrid>
        <w:gridCol w:w="3038"/>
        <w:gridCol w:w="6873"/>
      </w:tblGrid>
      <w:tr w:rsidR="00DF7FEE" w:rsidRPr="00926630" w:rsidTr="00762F5B">
        <w:trPr>
          <w:cantSplit/>
        </w:trPr>
        <w:tc>
          <w:tcPr>
            <w:tcW w:w="3021" w:type="dxa"/>
            <w:shd w:val="clear" w:color="auto" w:fill="auto"/>
          </w:tcPr>
          <w:p w:rsidR="00DF7FEE" w:rsidRPr="004E3DCC" w:rsidRDefault="00DF7FEE" w:rsidP="00762F5B">
            <w:pPr>
              <w:pStyle w:val="SingleSpacedParagraph"/>
              <w:rPr>
                <w:b/>
              </w:rPr>
            </w:pPr>
            <w:r>
              <w:rPr>
                <w:b/>
              </w:rPr>
              <w:t>Actual, reasonable and necessary costs</w:t>
            </w:r>
          </w:p>
        </w:tc>
        <w:tc>
          <w:tcPr>
            <w:tcW w:w="6833" w:type="dxa"/>
            <w:shd w:val="clear" w:color="auto" w:fill="auto"/>
          </w:tcPr>
          <w:p w:rsidR="00DF7FEE" w:rsidRPr="00926630" w:rsidRDefault="00DF7FEE" w:rsidP="00762F5B">
            <w:pPr>
              <w:pStyle w:val="SingleSpacedParagraph"/>
            </w:pPr>
            <w:r w:rsidRPr="000D7C10">
              <w:rPr>
                <w:i/>
              </w:rPr>
              <w:t>Actual</w:t>
            </w:r>
            <w:r>
              <w:t xml:space="preserve"> – </w:t>
            </w:r>
            <w:r w:rsidRPr="000D7C10">
              <w:t>the society and venue operator must be able to show that the costs were actually incurred</w:t>
            </w:r>
            <w:r>
              <w:t xml:space="preserve">; </w:t>
            </w:r>
            <w:r w:rsidRPr="000D7C10">
              <w:rPr>
                <w:i/>
              </w:rPr>
              <w:t>Reasonable</w:t>
            </w:r>
            <w:r>
              <w:t xml:space="preserve"> - </w:t>
            </w:r>
            <w:r w:rsidRPr="000D7C10">
              <w:t>the costs must be in proportion to the size of the operation, and should take into</w:t>
            </w:r>
            <w:r>
              <w:t xml:space="preserve"> </w:t>
            </w:r>
            <w:r w:rsidRPr="000D7C10">
              <w:t>account normal market values or prices for the goods and services provided</w:t>
            </w:r>
            <w:r>
              <w:t xml:space="preserve">; </w:t>
            </w:r>
            <w:r w:rsidRPr="000D7C10">
              <w:rPr>
                <w:i/>
              </w:rPr>
              <w:t>Necessary</w:t>
            </w:r>
            <w:r>
              <w:t xml:space="preserve"> – t</w:t>
            </w:r>
            <w:r w:rsidRPr="000D7C10">
              <w:t>he costs must</w:t>
            </w:r>
            <w:r>
              <w:t xml:space="preserve"> be necessary to the conduct of g</w:t>
            </w:r>
            <w:r w:rsidRPr="000D7C10">
              <w:t>ambling and legal compliance</w:t>
            </w:r>
          </w:p>
        </w:tc>
      </w:tr>
      <w:tr w:rsidR="00F066F0" w:rsidRPr="00926630" w:rsidTr="00762F5B">
        <w:trPr>
          <w:cantSplit/>
        </w:trPr>
        <w:tc>
          <w:tcPr>
            <w:tcW w:w="3021" w:type="dxa"/>
            <w:shd w:val="clear" w:color="auto" w:fill="auto"/>
          </w:tcPr>
          <w:p w:rsidR="00F066F0" w:rsidRDefault="00F066F0" w:rsidP="00762F5B">
            <w:pPr>
              <w:pStyle w:val="SingleSpacedParagraph"/>
              <w:rPr>
                <w:b/>
              </w:rPr>
            </w:pPr>
            <w:r>
              <w:rPr>
                <w:b/>
              </w:rPr>
              <w:t>Apply</w:t>
            </w:r>
          </w:p>
        </w:tc>
        <w:tc>
          <w:tcPr>
            <w:tcW w:w="6833" w:type="dxa"/>
            <w:shd w:val="clear" w:color="auto" w:fill="auto"/>
          </w:tcPr>
          <w:p w:rsidR="00F066F0" w:rsidRPr="00F066F0" w:rsidRDefault="00F066F0" w:rsidP="00F066F0">
            <w:r>
              <w:t xml:space="preserve">Where a society </w:t>
            </w:r>
            <w:r w:rsidRPr="00F066F0">
              <w:t>spend</w:t>
            </w:r>
            <w:r>
              <w:t>s</w:t>
            </w:r>
            <w:r w:rsidRPr="00F066F0">
              <w:t xml:space="preserve"> </w:t>
            </w:r>
            <w:r>
              <w:t xml:space="preserve">its </w:t>
            </w:r>
            <w:r w:rsidRPr="00F066F0">
              <w:t>net proceeds directly on the society’s own authorised purpose</w:t>
            </w:r>
          </w:p>
        </w:tc>
      </w:tr>
      <w:tr w:rsidR="00DF7FEE" w:rsidRPr="00926630" w:rsidTr="00762F5B">
        <w:trPr>
          <w:cantSplit/>
        </w:trPr>
        <w:tc>
          <w:tcPr>
            <w:tcW w:w="3021" w:type="dxa"/>
            <w:shd w:val="clear" w:color="auto" w:fill="auto"/>
          </w:tcPr>
          <w:p w:rsidR="00DF7FEE" w:rsidRDefault="00DF7FEE" w:rsidP="00762F5B">
            <w:pPr>
              <w:pStyle w:val="SingleSpacedParagraph"/>
              <w:rPr>
                <w:b/>
              </w:rPr>
            </w:pPr>
            <w:r>
              <w:rPr>
                <w:b/>
              </w:rPr>
              <w:t>Authorised purpose</w:t>
            </w:r>
          </w:p>
        </w:tc>
        <w:tc>
          <w:tcPr>
            <w:tcW w:w="6833" w:type="dxa"/>
            <w:shd w:val="clear" w:color="auto" w:fill="auto"/>
          </w:tcPr>
          <w:p w:rsidR="00DF7FEE" w:rsidRPr="000D7C10" w:rsidRDefault="00DF7FEE" w:rsidP="00762F5B">
            <w:pPr>
              <w:pStyle w:val="SingleSpacedParagraph"/>
              <w:rPr>
                <w:i/>
              </w:rPr>
            </w:pPr>
            <w:r>
              <w:t>Means a charitable purpose, or a non-commercial purpose that is beneficial to the whole or a section of the community, or promoting, controlling and conducting race meetings under the Racing Act 2003, including the payment of stakes</w:t>
            </w:r>
          </w:p>
        </w:tc>
      </w:tr>
      <w:tr w:rsidR="00DF7FEE" w:rsidRPr="00926630" w:rsidTr="00762F5B">
        <w:trPr>
          <w:cantSplit/>
        </w:trPr>
        <w:tc>
          <w:tcPr>
            <w:tcW w:w="3021" w:type="dxa"/>
            <w:shd w:val="clear" w:color="auto" w:fill="auto"/>
          </w:tcPr>
          <w:p w:rsidR="00DF7FEE" w:rsidRPr="004E3DCC" w:rsidRDefault="00DF7FEE" w:rsidP="00762F5B">
            <w:pPr>
              <w:pStyle w:val="SingleSpacedParagraph"/>
              <w:rPr>
                <w:b/>
              </w:rPr>
            </w:pPr>
            <w:r w:rsidRPr="004E3DCC">
              <w:rPr>
                <w:b/>
              </w:rPr>
              <w:t>Class 4</w:t>
            </w:r>
            <w:r>
              <w:rPr>
                <w:b/>
              </w:rPr>
              <w:t xml:space="preserve"> gambling</w:t>
            </w:r>
          </w:p>
        </w:tc>
        <w:tc>
          <w:tcPr>
            <w:tcW w:w="6833" w:type="dxa"/>
            <w:shd w:val="clear" w:color="auto" w:fill="auto"/>
          </w:tcPr>
          <w:p w:rsidR="00DF7FEE" w:rsidRDefault="00DF7FEE" w:rsidP="00762F5B">
            <w:pPr>
              <w:pStyle w:val="SingleSpacedParagraph"/>
            </w:pPr>
            <w:r>
              <w:t>Gambling where the net proceeds are applied to or distributed for authorised purposes; where no commission is paid to, or received by, a person for conducting it; where it satisfies the relevant game rules; and it utilises a gaming machine</w:t>
            </w:r>
          </w:p>
        </w:tc>
      </w:tr>
      <w:tr w:rsidR="00DF7FEE" w:rsidRPr="00926630" w:rsidTr="00762F5B">
        <w:trPr>
          <w:cantSplit/>
        </w:trPr>
        <w:tc>
          <w:tcPr>
            <w:tcW w:w="3021" w:type="dxa"/>
            <w:shd w:val="clear" w:color="auto" w:fill="auto"/>
          </w:tcPr>
          <w:p w:rsidR="00DF7FEE" w:rsidRPr="004E3DCC" w:rsidRDefault="00DF7FEE" w:rsidP="00762F5B">
            <w:pPr>
              <w:pStyle w:val="SingleSpacedParagraph"/>
              <w:rPr>
                <w:b/>
              </w:rPr>
            </w:pPr>
            <w:r w:rsidRPr="004E3DCC">
              <w:rPr>
                <w:b/>
              </w:rPr>
              <w:t>Clubs</w:t>
            </w:r>
          </w:p>
        </w:tc>
        <w:tc>
          <w:tcPr>
            <w:tcW w:w="6833" w:type="dxa"/>
            <w:shd w:val="clear" w:color="auto" w:fill="auto"/>
          </w:tcPr>
          <w:p w:rsidR="00DF7FEE" w:rsidRDefault="00DF7FEE" w:rsidP="00762F5B">
            <w:pPr>
              <w:pStyle w:val="SingleSpacedParagraph"/>
            </w:pPr>
            <w:r>
              <w:t>Voluntary association of persons combined for a purpose other than personal gain</w:t>
            </w:r>
          </w:p>
        </w:tc>
      </w:tr>
      <w:tr w:rsidR="00F066F0" w:rsidRPr="00926630" w:rsidTr="00762F5B">
        <w:trPr>
          <w:cantSplit/>
        </w:trPr>
        <w:tc>
          <w:tcPr>
            <w:tcW w:w="3021" w:type="dxa"/>
            <w:shd w:val="clear" w:color="auto" w:fill="auto"/>
          </w:tcPr>
          <w:p w:rsidR="00F066F0" w:rsidRPr="004E3DCC" w:rsidRDefault="00F066F0" w:rsidP="00762F5B">
            <w:pPr>
              <w:pStyle w:val="SingleSpacedParagraph"/>
              <w:rPr>
                <w:b/>
              </w:rPr>
            </w:pPr>
            <w:r>
              <w:rPr>
                <w:b/>
              </w:rPr>
              <w:t>Distribute</w:t>
            </w:r>
          </w:p>
        </w:tc>
        <w:tc>
          <w:tcPr>
            <w:tcW w:w="6833" w:type="dxa"/>
            <w:shd w:val="clear" w:color="auto" w:fill="auto"/>
          </w:tcPr>
          <w:p w:rsidR="00F066F0" w:rsidRDefault="00F066F0" w:rsidP="00762F5B">
            <w:pPr>
              <w:pStyle w:val="SingleSpacedParagraph"/>
            </w:pPr>
            <w:r>
              <w:t>Where a society makes</w:t>
            </w:r>
            <w:r w:rsidRPr="00F066F0">
              <w:t xml:space="preserve"> a grant to another person for that person to spend on an authorised purpose</w:t>
            </w:r>
          </w:p>
        </w:tc>
      </w:tr>
      <w:tr w:rsidR="00DF7FEE" w:rsidRPr="00926630" w:rsidTr="00762F5B">
        <w:trPr>
          <w:cantSplit/>
        </w:trPr>
        <w:tc>
          <w:tcPr>
            <w:tcW w:w="3021" w:type="dxa"/>
            <w:shd w:val="clear" w:color="auto" w:fill="auto"/>
          </w:tcPr>
          <w:p w:rsidR="00DF7FEE" w:rsidRPr="004E3DCC" w:rsidRDefault="00DF7FEE" w:rsidP="004157B1">
            <w:pPr>
              <w:pStyle w:val="SingleSpacedParagraph"/>
              <w:rPr>
                <w:b/>
              </w:rPr>
            </w:pPr>
            <w:r w:rsidRPr="004E3DCC">
              <w:rPr>
                <w:b/>
              </w:rPr>
              <w:t>Dut</w:t>
            </w:r>
            <w:r w:rsidR="004157B1">
              <w:rPr>
                <w:b/>
              </w:rPr>
              <w:t>y</w:t>
            </w:r>
          </w:p>
        </w:tc>
        <w:tc>
          <w:tcPr>
            <w:tcW w:w="6833" w:type="dxa"/>
            <w:shd w:val="clear" w:color="auto" w:fill="auto"/>
          </w:tcPr>
          <w:p w:rsidR="00DF7FEE" w:rsidRDefault="004157B1" w:rsidP="004157B1">
            <w:pPr>
              <w:pStyle w:val="SingleSpacedParagraph"/>
            </w:pPr>
            <w:r>
              <w:t>Tax paid to the Crown</w:t>
            </w:r>
            <w:r w:rsidR="00DF7FEE">
              <w:t xml:space="preserve"> on gaming machine proceeds</w:t>
            </w:r>
            <w:r w:rsidR="00E164A7">
              <w:t xml:space="preserve"> </w:t>
            </w:r>
          </w:p>
        </w:tc>
      </w:tr>
      <w:tr w:rsidR="00DF7FEE" w:rsidRPr="00926630" w:rsidTr="00762F5B">
        <w:trPr>
          <w:cantSplit/>
        </w:trPr>
        <w:tc>
          <w:tcPr>
            <w:tcW w:w="3021" w:type="dxa"/>
            <w:shd w:val="clear" w:color="auto" w:fill="auto"/>
          </w:tcPr>
          <w:p w:rsidR="00DF7FEE" w:rsidRPr="004E3DCC" w:rsidRDefault="00DF7FEE" w:rsidP="00762F5B">
            <w:pPr>
              <w:pStyle w:val="SingleSpacedParagraph"/>
              <w:rPr>
                <w:b/>
              </w:rPr>
            </w:pPr>
            <w:r w:rsidRPr="004E3DCC">
              <w:rPr>
                <w:b/>
              </w:rPr>
              <w:t>Fees</w:t>
            </w:r>
          </w:p>
        </w:tc>
        <w:tc>
          <w:tcPr>
            <w:tcW w:w="6833" w:type="dxa"/>
            <w:shd w:val="clear" w:color="auto" w:fill="auto"/>
          </w:tcPr>
          <w:p w:rsidR="00DF7FEE" w:rsidRDefault="00DF7FEE" w:rsidP="00762F5B">
            <w:pPr>
              <w:pStyle w:val="SingleSpacedParagraph"/>
            </w:pPr>
            <w:r>
              <w:t>Fees paid by gambling operators to the Department of Internal Affairs</w:t>
            </w:r>
          </w:p>
        </w:tc>
      </w:tr>
      <w:tr w:rsidR="00DF7FEE" w:rsidRPr="00926630" w:rsidTr="00762F5B">
        <w:trPr>
          <w:cantSplit/>
        </w:trPr>
        <w:tc>
          <w:tcPr>
            <w:tcW w:w="3021" w:type="dxa"/>
            <w:shd w:val="clear" w:color="auto" w:fill="auto"/>
          </w:tcPr>
          <w:p w:rsidR="00DF7FEE" w:rsidRDefault="00DF7FEE" w:rsidP="00762F5B">
            <w:pPr>
              <w:pStyle w:val="SingleSpacedParagraph"/>
              <w:rPr>
                <w:b/>
              </w:rPr>
            </w:pPr>
            <w:r w:rsidRPr="004E3DCC">
              <w:rPr>
                <w:b/>
              </w:rPr>
              <w:t>GMP</w:t>
            </w:r>
          </w:p>
          <w:p w:rsidR="00600FF3" w:rsidRDefault="00600FF3" w:rsidP="00762F5B">
            <w:pPr>
              <w:pStyle w:val="SingleSpacedParagraph"/>
              <w:rPr>
                <w:b/>
              </w:rPr>
            </w:pPr>
          </w:p>
          <w:p w:rsidR="00600FF3" w:rsidRPr="004E3DCC" w:rsidRDefault="00600FF3" w:rsidP="00C430DE">
            <w:pPr>
              <w:pStyle w:val="SingleSpacedParagraph"/>
              <w:rPr>
                <w:b/>
              </w:rPr>
            </w:pPr>
            <w:r>
              <w:rPr>
                <w:b/>
              </w:rPr>
              <w:t xml:space="preserve">Gross </w:t>
            </w:r>
            <w:r w:rsidR="00C430DE">
              <w:rPr>
                <w:b/>
              </w:rPr>
              <w:t>p</w:t>
            </w:r>
            <w:r>
              <w:rPr>
                <w:b/>
              </w:rPr>
              <w:t>roceeds</w:t>
            </w:r>
          </w:p>
        </w:tc>
        <w:tc>
          <w:tcPr>
            <w:tcW w:w="6833" w:type="dxa"/>
            <w:shd w:val="clear" w:color="auto" w:fill="auto"/>
          </w:tcPr>
          <w:p w:rsidR="00DF7FEE" w:rsidRDefault="00DF7FEE" w:rsidP="008A2102">
            <w:pPr>
              <w:pStyle w:val="SingleSpacedParagraph"/>
            </w:pPr>
            <w:r>
              <w:t>Gaming machine proceeds</w:t>
            </w:r>
            <w:r w:rsidR="008A2102">
              <w:t xml:space="preserve">: the aggregate winnings, minus </w:t>
            </w:r>
            <w:proofErr w:type="spellStart"/>
            <w:r w:rsidR="008A2102">
              <w:t>payouts</w:t>
            </w:r>
            <w:proofErr w:type="spellEnd"/>
            <w:r w:rsidR="008A2102">
              <w:t>, from class 4 gaming machines</w:t>
            </w:r>
          </w:p>
          <w:p w:rsidR="008639B8" w:rsidRDefault="006648EC" w:rsidP="008A2102">
            <w:pPr>
              <w:pStyle w:val="SingleSpacedParagraph"/>
            </w:pPr>
            <w:r>
              <w:br/>
            </w:r>
            <w:r w:rsidR="008639B8">
              <w:t>The turnover of the gambling plus interest or other investment return on that turnover plus proceeds from the sale of fittings, chattels, and gambling equipment purchased from that turnover or investment return, less prizes</w:t>
            </w:r>
          </w:p>
        </w:tc>
      </w:tr>
      <w:tr w:rsidR="00DF7FEE" w:rsidRPr="00926630" w:rsidTr="00762F5B">
        <w:trPr>
          <w:cantSplit/>
        </w:trPr>
        <w:tc>
          <w:tcPr>
            <w:tcW w:w="3021" w:type="dxa"/>
            <w:shd w:val="clear" w:color="auto" w:fill="auto"/>
          </w:tcPr>
          <w:p w:rsidR="00DF7FEE" w:rsidRPr="004E3DCC" w:rsidRDefault="00DF7FEE" w:rsidP="00762F5B">
            <w:pPr>
              <w:pStyle w:val="SingleSpacedParagraph"/>
              <w:rPr>
                <w:b/>
              </w:rPr>
            </w:pPr>
            <w:r w:rsidRPr="004E3DCC">
              <w:rPr>
                <w:b/>
              </w:rPr>
              <w:lastRenderedPageBreak/>
              <w:t>Levy</w:t>
            </w:r>
          </w:p>
        </w:tc>
        <w:tc>
          <w:tcPr>
            <w:tcW w:w="6833" w:type="dxa"/>
            <w:shd w:val="clear" w:color="auto" w:fill="auto"/>
          </w:tcPr>
          <w:p w:rsidR="00DF7FEE" w:rsidRDefault="00DF7FEE" w:rsidP="00762F5B">
            <w:pPr>
              <w:pStyle w:val="SingleSpacedParagraph"/>
            </w:pPr>
            <w:r>
              <w:t xml:space="preserve">Problem gambling levy </w:t>
            </w:r>
          </w:p>
        </w:tc>
      </w:tr>
      <w:tr w:rsidR="00DF7FEE" w:rsidRPr="00926630" w:rsidTr="00762F5B">
        <w:trPr>
          <w:cantSplit/>
        </w:trPr>
        <w:tc>
          <w:tcPr>
            <w:tcW w:w="3021" w:type="dxa"/>
            <w:shd w:val="clear" w:color="auto" w:fill="auto"/>
          </w:tcPr>
          <w:p w:rsidR="00DF7FEE" w:rsidRPr="004E3DCC" w:rsidRDefault="00DF7FEE" w:rsidP="00762F5B">
            <w:pPr>
              <w:pStyle w:val="SingleSpacedParagraph"/>
              <w:rPr>
                <w:b/>
              </w:rPr>
            </w:pPr>
            <w:r>
              <w:rPr>
                <w:b/>
              </w:rPr>
              <w:t>Minimum rate of return</w:t>
            </w:r>
          </w:p>
        </w:tc>
        <w:tc>
          <w:tcPr>
            <w:tcW w:w="6833" w:type="dxa"/>
            <w:shd w:val="clear" w:color="auto" w:fill="auto"/>
          </w:tcPr>
          <w:p w:rsidR="00DF7FEE" w:rsidRDefault="00DF7FEE" w:rsidP="005D7FDC">
            <w:pPr>
              <w:pStyle w:val="SingleSpacedParagraph"/>
            </w:pPr>
            <w:r>
              <w:t xml:space="preserve">This is the minimum amount of proceeds that a licence holder must distribute for authorised purposes and is currently equivalent to </w:t>
            </w:r>
            <w:r w:rsidR="005D7FDC">
              <w:t>40 </w:t>
            </w:r>
            <w:r>
              <w:t>per cent of GST exclusive gross proceeds per financial year</w:t>
            </w:r>
          </w:p>
        </w:tc>
      </w:tr>
      <w:tr w:rsidR="00DF7FEE" w:rsidRPr="00926630" w:rsidTr="00762F5B">
        <w:trPr>
          <w:cantSplit/>
        </w:trPr>
        <w:tc>
          <w:tcPr>
            <w:tcW w:w="3021" w:type="dxa"/>
            <w:shd w:val="clear" w:color="auto" w:fill="auto"/>
          </w:tcPr>
          <w:p w:rsidR="00DF7FEE" w:rsidRDefault="00DF7FEE" w:rsidP="00762F5B">
            <w:pPr>
              <w:pStyle w:val="SingleSpacedParagraph"/>
              <w:rPr>
                <w:b/>
              </w:rPr>
            </w:pPr>
            <w:r>
              <w:rPr>
                <w:b/>
              </w:rPr>
              <w:t>Net proceeds</w:t>
            </w:r>
          </w:p>
          <w:p w:rsidR="00DF7FEE" w:rsidRDefault="00DF7FEE" w:rsidP="00762F5B">
            <w:pPr>
              <w:pStyle w:val="SingleSpacedParagraph"/>
              <w:rPr>
                <w:b/>
              </w:rPr>
            </w:pPr>
          </w:p>
        </w:tc>
        <w:tc>
          <w:tcPr>
            <w:tcW w:w="6833" w:type="dxa"/>
            <w:shd w:val="clear" w:color="auto" w:fill="auto"/>
          </w:tcPr>
          <w:p w:rsidR="00DF7FEE" w:rsidRPr="00390FA4" w:rsidRDefault="00DF7FEE" w:rsidP="002D04AE">
            <w:pPr>
              <w:pStyle w:val="SingleSpacedParagraph"/>
            </w:pPr>
            <w:r w:rsidRPr="00390FA4">
              <w:t>The amount remaining to be distributed to authorised purposes</w:t>
            </w:r>
            <w:r w:rsidR="00FB5280" w:rsidRPr="00390FA4">
              <w:t>, which is calculated by taking</w:t>
            </w:r>
            <w:r w:rsidRPr="00390FA4">
              <w:t xml:space="preserve"> </w:t>
            </w:r>
            <w:r w:rsidR="00FB5280" w:rsidRPr="00390FA4">
              <w:t xml:space="preserve">a society’s gambling turnover </w:t>
            </w:r>
            <w:r w:rsidR="000E463E">
              <w:t xml:space="preserve">(less prizes) </w:t>
            </w:r>
            <w:r w:rsidR="00FB5280" w:rsidRPr="00390FA4">
              <w:t xml:space="preserve">and </w:t>
            </w:r>
            <w:r w:rsidR="00FB5280" w:rsidRPr="00390FA4">
              <w:rPr>
                <w:i/>
              </w:rPr>
              <w:t>adding</w:t>
            </w:r>
            <w:r w:rsidR="00FB5280" w:rsidRPr="00390FA4">
              <w:t xml:space="preserve"> interest or other investment return, and </w:t>
            </w:r>
            <w:r w:rsidR="002D04AE" w:rsidRPr="00390FA4">
              <w:t xml:space="preserve">any </w:t>
            </w:r>
            <w:r w:rsidR="00FB5280" w:rsidRPr="00390FA4">
              <w:t xml:space="preserve">gains </w:t>
            </w:r>
            <w:r w:rsidR="002D04AE" w:rsidRPr="00390FA4">
              <w:t xml:space="preserve">from the sale of gambling assets above their book value, then </w:t>
            </w:r>
            <w:r w:rsidR="002D04AE" w:rsidRPr="00390FA4">
              <w:rPr>
                <w:i/>
              </w:rPr>
              <w:t>deducting</w:t>
            </w:r>
            <w:r w:rsidR="002D04AE" w:rsidRPr="00390FA4">
              <w:t xml:space="preserve"> </w:t>
            </w:r>
            <w:r w:rsidRPr="00390FA4">
              <w:t>costs, levies and taxes</w:t>
            </w:r>
            <w:r w:rsidR="00FB5280" w:rsidRPr="00390FA4">
              <w:t xml:space="preserve">, </w:t>
            </w:r>
            <w:r w:rsidR="002D04AE" w:rsidRPr="00390FA4">
              <w:t>asset</w:t>
            </w:r>
            <w:r w:rsidR="00FB5280" w:rsidRPr="00390FA4">
              <w:t xml:space="preserve"> depreciat</w:t>
            </w:r>
            <w:r w:rsidR="002D04AE" w:rsidRPr="00390FA4">
              <w:t>ion</w:t>
            </w:r>
            <w:r w:rsidR="00FB5280" w:rsidRPr="00390FA4">
              <w:t xml:space="preserve"> and </w:t>
            </w:r>
            <w:r w:rsidR="002D04AE" w:rsidRPr="00390FA4">
              <w:t xml:space="preserve">any loss from selling or disposing of gambling assets below their book value </w:t>
            </w:r>
          </w:p>
        </w:tc>
      </w:tr>
      <w:tr w:rsidR="00DF7FEE" w:rsidRPr="00926630" w:rsidTr="00762F5B">
        <w:trPr>
          <w:cantSplit/>
        </w:trPr>
        <w:tc>
          <w:tcPr>
            <w:tcW w:w="3021" w:type="dxa"/>
            <w:shd w:val="clear" w:color="auto" w:fill="auto"/>
          </w:tcPr>
          <w:p w:rsidR="00DF7FEE" w:rsidRDefault="00DF7FEE" w:rsidP="00762F5B">
            <w:pPr>
              <w:pStyle w:val="SingleSpacedParagraph"/>
              <w:rPr>
                <w:b/>
              </w:rPr>
            </w:pPr>
            <w:r>
              <w:rPr>
                <w:b/>
              </w:rPr>
              <w:t>Society</w:t>
            </w:r>
          </w:p>
        </w:tc>
        <w:tc>
          <w:tcPr>
            <w:tcW w:w="6833" w:type="dxa"/>
            <w:shd w:val="clear" w:color="auto" w:fill="auto"/>
          </w:tcPr>
          <w:p w:rsidR="00DF7FEE" w:rsidRPr="00DE4251" w:rsidRDefault="00DF7FEE" w:rsidP="00762F5B">
            <w:pPr>
              <w:pStyle w:val="SingleSpacedParagraph"/>
            </w:pPr>
            <w:r>
              <w:t>A society that is incorporated under the Incorporated Societies Act 1908, or incorporated as a board under the Charitable Trusts Act 1957, or a company incorporated under the Companies Act 1993 that does not have the power to make a profit and is incorporated solely for authorised purposes, or a working men’s club registered under the Friendly Societies and Credit Unions Act 1982</w:t>
            </w:r>
          </w:p>
        </w:tc>
      </w:tr>
    </w:tbl>
    <w:p w:rsidR="00DF7FEE" w:rsidRPr="00DF7FEE" w:rsidRDefault="00DF7FEE" w:rsidP="00DF7FEE"/>
    <w:p w:rsidR="00DF7FEE" w:rsidRDefault="00DF7FEE">
      <w:pPr>
        <w:keepLines w:val="0"/>
      </w:pPr>
      <w:r>
        <w:br w:type="page"/>
      </w:r>
    </w:p>
    <w:p w:rsidR="00FB5ADF" w:rsidRDefault="00FB5ADF" w:rsidP="00FB5ADF">
      <w:pPr>
        <w:pStyle w:val="Heading1"/>
      </w:pPr>
      <w:bookmarkStart w:id="1" w:name="_Toc422907455"/>
      <w:bookmarkStart w:id="2" w:name="_Toc431908611"/>
      <w:r>
        <w:lastRenderedPageBreak/>
        <w:t>What is this consultation document about?</w:t>
      </w:r>
      <w:bookmarkEnd w:id="1"/>
      <w:bookmarkEnd w:id="2"/>
    </w:p>
    <w:p w:rsidR="00FB5ADF" w:rsidRPr="00BA50B0" w:rsidRDefault="00FB5ADF" w:rsidP="00FB5ADF">
      <w:pPr>
        <w:pStyle w:val="BodyText"/>
      </w:pPr>
      <w:r w:rsidRPr="00BA50B0">
        <w:t xml:space="preserve">This document invites your comments about proposed changes to </w:t>
      </w:r>
      <w:r>
        <w:t xml:space="preserve">the Gambling (Class 4 Net Proceeds) </w:t>
      </w:r>
      <w:r w:rsidR="003B1358">
        <w:t>Regulations</w:t>
      </w:r>
      <w:r w:rsidRPr="00BA50B0">
        <w:t xml:space="preserve"> </w:t>
      </w:r>
      <w:r w:rsidR="00FB7AC5">
        <w:t xml:space="preserve">2004 </w:t>
      </w:r>
      <w:r w:rsidRPr="00BA50B0">
        <w:t xml:space="preserve">under the Gambling </w:t>
      </w:r>
      <w:r>
        <w:t xml:space="preserve">Act 2003. It proposes adjusting the minimum rate of return to authorised purposes in light of concerns about the impact of </w:t>
      </w:r>
      <w:r w:rsidR="00E5719D">
        <w:t xml:space="preserve">recent </w:t>
      </w:r>
      <w:r>
        <w:t>cost pressures on corporate societies.</w:t>
      </w:r>
    </w:p>
    <w:p w:rsidR="00FB5ADF" w:rsidRDefault="00FB5ADF" w:rsidP="00FB5ADF">
      <w:pPr>
        <w:pStyle w:val="Heading2"/>
      </w:pPr>
      <w:bookmarkStart w:id="3" w:name="_Toc422907456"/>
      <w:bookmarkStart w:id="4" w:name="_Toc431908612"/>
      <w:r>
        <w:t>Consultation requirements</w:t>
      </w:r>
      <w:bookmarkEnd w:id="3"/>
      <w:bookmarkEnd w:id="4"/>
    </w:p>
    <w:p w:rsidR="00FB5ADF" w:rsidRPr="00BA50B0" w:rsidRDefault="00FB5ADF" w:rsidP="00FB5ADF">
      <w:pPr>
        <w:pStyle w:val="BodyText"/>
      </w:pPr>
      <w:r w:rsidRPr="00BA50B0">
        <w:t xml:space="preserve">Section 372 of the Gambling Act 2003 requires that, before </w:t>
      </w:r>
      <w:r w:rsidR="003B1358">
        <w:t>Regulations</w:t>
      </w:r>
      <w:r w:rsidRPr="00BA50B0">
        <w:t xml:space="preserve"> are made, persons and organisations that are likely to be substantially affected by the </w:t>
      </w:r>
      <w:r w:rsidR="003B1358">
        <w:t>Regulations</w:t>
      </w:r>
      <w:r w:rsidRPr="00BA50B0">
        <w:t xml:space="preserve"> must be consulted and given a reasonable opportunity to respond.</w:t>
      </w:r>
      <w:r>
        <w:t xml:space="preserve"> Submissions on this discussion document will be given adequate and appropriate consideration.</w:t>
      </w:r>
    </w:p>
    <w:p w:rsidR="00FB5ADF" w:rsidRPr="00B02A64" w:rsidRDefault="00FB5ADF" w:rsidP="00FB5ADF">
      <w:pPr>
        <w:pStyle w:val="Heading2"/>
      </w:pPr>
      <w:bookmarkStart w:id="5" w:name="_Toc422907457"/>
      <w:bookmarkStart w:id="6" w:name="_Toc431908613"/>
      <w:r>
        <w:t>Sending us your submission</w:t>
      </w:r>
      <w:bookmarkEnd w:id="5"/>
      <w:bookmarkEnd w:id="6"/>
    </w:p>
    <w:p w:rsidR="00FB5ADF" w:rsidRPr="005A7545" w:rsidRDefault="00FB5ADF" w:rsidP="00FB5ADF">
      <w:pPr>
        <w:pStyle w:val="BodyText"/>
        <w:rPr>
          <w:b/>
        </w:rPr>
      </w:pPr>
      <w:r w:rsidRPr="005A7545">
        <w:rPr>
          <w:b/>
        </w:rPr>
        <w:t xml:space="preserve">Please send your submission to the Department of Internal Affairs by </w:t>
      </w:r>
      <w:r w:rsidR="00942F6C" w:rsidRPr="005A7545">
        <w:rPr>
          <w:b/>
        </w:rPr>
        <w:t>20 November</w:t>
      </w:r>
      <w:r w:rsidR="00361C02" w:rsidRPr="005A7545">
        <w:rPr>
          <w:b/>
        </w:rPr>
        <w:t xml:space="preserve"> </w:t>
      </w:r>
      <w:r w:rsidRPr="005A7545">
        <w:rPr>
          <w:b/>
        </w:rPr>
        <w:t>2015.</w:t>
      </w:r>
    </w:p>
    <w:p w:rsidR="00FB5ADF" w:rsidRPr="00BA50B0" w:rsidRDefault="00FB5ADF" w:rsidP="00FB5ADF">
      <w:pPr>
        <w:pStyle w:val="BodyText"/>
      </w:pPr>
      <w:r w:rsidRPr="00BA50B0">
        <w:t>Please note that all submissions may be made publicly available.  Even if you request confidentiality, we may have to release your submission at a later date if a request is made under the Official Information Act 1982.  In your submission please highlight the information you would prefer was withheld should a request be made.</w:t>
      </w:r>
      <w:r w:rsidRPr="00BA50B0">
        <w:rPr>
          <w:rStyle w:val="FootnoteReference"/>
        </w:rPr>
        <w:footnoteReference w:id="1"/>
      </w:r>
      <w:r w:rsidRPr="00BA50B0">
        <w:t xml:space="preserve">  </w:t>
      </w:r>
    </w:p>
    <w:p w:rsidR="00FB5ADF" w:rsidRPr="00BA50B0" w:rsidRDefault="00FB5ADF" w:rsidP="00FB5ADF">
      <w:pPr>
        <w:pStyle w:val="BodyText"/>
      </w:pPr>
      <w:r w:rsidRPr="00BA50B0">
        <w:t>Your submission can be sent in the following ways:</w:t>
      </w:r>
    </w:p>
    <w:p w:rsidR="00753BC9" w:rsidRDefault="00FB5ADF" w:rsidP="00FB5ADF">
      <w:pPr>
        <w:pStyle w:val="BodyText"/>
      </w:pPr>
      <w:r w:rsidRPr="00BA50B0">
        <w:t xml:space="preserve">Email: </w:t>
      </w:r>
      <w:hyperlink r:id="rId18" w:history="1">
        <w:r w:rsidR="00757429" w:rsidRPr="0021053A">
          <w:rPr>
            <w:rStyle w:val="Hyperlink"/>
          </w:rPr>
          <w:t>minimumrateofreturn@dia.govt.nz</w:t>
        </w:r>
      </w:hyperlink>
    </w:p>
    <w:p w:rsidR="00FB5ADF" w:rsidRPr="00BA50B0" w:rsidRDefault="00FB5ADF" w:rsidP="00FB5ADF">
      <w:pPr>
        <w:pStyle w:val="BodyText"/>
        <w:spacing w:after="0"/>
      </w:pPr>
      <w:bookmarkStart w:id="7" w:name="_GoBack"/>
      <w:bookmarkEnd w:id="7"/>
      <w:r w:rsidRPr="00BA50B0">
        <w:t>Post: Community Well-being Policy Team</w:t>
      </w:r>
    </w:p>
    <w:p w:rsidR="00FB5ADF" w:rsidRPr="00BA50B0" w:rsidRDefault="00FB5ADF" w:rsidP="00FB5ADF">
      <w:pPr>
        <w:pStyle w:val="BodyText"/>
        <w:spacing w:after="0"/>
        <w:ind w:firstLine="567"/>
      </w:pPr>
      <w:r w:rsidRPr="00BA50B0">
        <w:t>Policy Group</w:t>
      </w:r>
    </w:p>
    <w:p w:rsidR="00FB5ADF" w:rsidRPr="00BA50B0" w:rsidRDefault="00FB5ADF" w:rsidP="00FB5ADF">
      <w:pPr>
        <w:pStyle w:val="BodyText"/>
        <w:spacing w:after="0"/>
      </w:pPr>
      <w:r w:rsidRPr="00BA50B0">
        <w:tab/>
        <w:t>Department of Internal Affairs</w:t>
      </w:r>
    </w:p>
    <w:p w:rsidR="00FB5ADF" w:rsidRPr="00BA50B0" w:rsidRDefault="00FB5ADF" w:rsidP="00FB5ADF">
      <w:pPr>
        <w:pStyle w:val="BodyText"/>
        <w:spacing w:after="0"/>
      </w:pPr>
      <w:r w:rsidRPr="00BA50B0">
        <w:tab/>
        <w:t>PO Box 805</w:t>
      </w:r>
    </w:p>
    <w:p w:rsidR="00FB5ADF" w:rsidRPr="00BA50B0" w:rsidRDefault="00FB5ADF" w:rsidP="00FB5ADF">
      <w:pPr>
        <w:pStyle w:val="BodyText"/>
        <w:spacing w:after="0"/>
      </w:pPr>
      <w:r w:rsidRPr="00BA50B0">
        <w:tab/>
        <w:t>Wellington 6140</w:t>
      </w:r>
    </w:p>
    <w:p w:rsidR="00FB5ADF" w:rsidRPr="00BA50B0" w:rsidRDefault="00FB5ADF" w:rsidP="00FB5ADF">
      <w:pPr>
        <w:pStyle w:val="BodyText"/>
        <w:spacing w:after="0"/>
      </w:pPr>
    </w:p>
    <w:p w:rsidR="00FB5ADF" w:rsidRPr="00BA50B0" w:rsidRDefault="00FB5ADF" w:rsidP="00FB5ADF">
      <w:pPr>
        <w:pStyle w:val="BodyText"/>
        <w:spacing w:after="0"/>
      </w:pPr>
    </w:p>
    <w:p w:rsidR="00FB5ADF" w:rsidRPr="00BA50B0" w:rsidRDefault="00FB5ADF" w:rsidP="00FB5ADF">
      <w:pPr>
        <w:pStyle w:val="BodyText"/>
        <w:spacing w:after="0"/>
      </w:pPr>
    </w:p>
    <w:p w:rsidR="00FB5ADF" w:rsidRPr="005D3404" w:rsidRDefault="00FB5ADF" w:rsidP="00FB5ADF">
      <w:pPr>
        <w:pStyle w:val="BodyText"/>
      </w:pPr>
      <w:r w:rsidRPr="00421901">
        <w:t>Although all reasonable steps have been taken to ensure the accuracy of the information contained in this document, the Department of Internal Affairs disclaims responsibility for any inaccuracy in relation to the information; and fully excludes liability of any kind to any person or entity that chooses to rely upon the information.</w:t>
      </w:r>
      <w:r>
        <w:br w:type="page"/>
      </w:r>
    </w:p>
    <w:p w:rsidR="003148FC" w:rsidRDefault="00FB5ADF" w:rsidP="001420E8">
      <w:pPr>
        <w:pStyle w:val="Heading1"/>
      </w:pPr>
      <w:bookmarkStart w:id="8" w:name="_Toc431908614"/>
      <w:r>
        <w:lastRenderedPageBreak/>
        <w:t>Introduction</w:t>
      </w:r>
      <w:bookmarkEnd w:id="8"/>
    </w:p>
    <w:p w:rsidR="00FB5ADF" w:rsidRPr="007B6366" w:rsidRDefault="00FB5ADF" w:rsidP="00692512">
      <w:pPr>
        <w:pStyle w:val="ListParagraph"/>
        <w:numPr>
          <w:ilvl w:val="0"/>
          <w:numId w:val="27"/>
        </w:numPr>
        <w:ind w:left="567" w:hanging="567"/>
      </w:pPr>
      <w:r w:rsidRPr="007B6366">
        <w:t xml:space="preserve">The purpose of the </w:t>
      </w:r>
      <w:r w:rsidR="00BC47B1">
        <w:t xml:space="preserve">Gambling </w:t>
      </w:r>
      <w:r w:rsidRPr="007B6366">
        <w:t>Act</w:t>
      </w:r>
      <w:r w:rsidR="00BC47B1">
        <w:t xml:space="preserve"> 2003 (the Act)</w:t>
      </w:r>
      <w:r w:rsidRPr="007B6366">
        <w:t xml:space="preserve"> is to:</w:t>
      </w:r>
    </w:p>
    <w:p w:rsidR="00FB5ADF" w:rsidRPr="007B6366" w:rsidRDefault="00FB5ADF" w:rsidP="00692512">
      <w:pPr>
        <w:pStyle w:val="ListParagraph"/>
        <w:numPr>
          <w:ilvl w:val="0"/>
          <w:numId w:val="28"/>
        </w:numPr>
        <w:ind w:left="993" w:hanging="426"/>
      </w:pPr>
      <w:r w:rsidRPr="007B6366">
        <w:t>control the growth of gambling;</w:t>
      </w:r>
    </w:p>
    <w:p w:rsidR="00FB5ADF" w:rsidRPr="007B6366" w:rsidRDefault="00FB5ADF" w:rsidP="00692512">
      <w:pPr>
        <w:pStyle w:val="ListParagraph"/>
        <w:numPr>
          <w:ilvl w:val="0"/>
          <w:numId w:val="28"/>
        </w:numPr>
        <w:ind w:left="993" w:hanging="426"/>
      </w:pPr>
      <w:r w:rsidRPr="007B6366">
        <w:t xml:space="preserve">prevent and minimise harm </w:t>
      </w:r>
      <w:r w:rsidR="00BC47B1">
        <w:t>from</w:t>
      </w:r>
      <w:r w:rsidR="008E4F91">
        <w:t xml:space="preserve"> </w:t>
      </w:r>
      <w:r w:rsidRPr="007B6366">
        <w:t>gambling, including problem gambling;</w:t>
      </w:r>
    </w:p>
    <w:p w:rsidR="00FB5ADF" w:rsidRPr="007B6366" w:rsidRDefault="00FB5ADF" w:rsidP="00692512">
      <w:pPr>
        <w:pStyle w:val="ListParagraph"/>
        <w:numPr>
          <w:ilvl w:val="0"/>
          <w:numId w:val="28"/>
        </w:numPr>
        <w:ind w:left="993" w:hanging="426"/>
      </w:pPr>
      <w:r w:rsidRPr="007B6366">
        <w:t>authorise some gambling and prohibit the rest;</w:t>
      </w:r>
    </w:p>
    <w:p w:rsidR="00FB5ADF" w:rsidRPr="007B6366" w:rsidRDefault="00FB5ADF" w:rsidP="00692512">
      <w:pPr>
        <w:pStyle w:val="ListParagraph"/>
        <w:numPr>
          <w:ilvl w:val="0"/>
          <w:numId w:val="28"/>
        </w:numPr>
        <w:ind w:left="993" w:hanging="426"/>
      </w:pPr>
      <w:r w:rsidRPr="007B6366">
        <w:t>facilitate responsible gambling;</w:t>
      </w:r>
    </w:p>
    <w:p w:rsidR="00FB5ADF" w:rsidRPr="007B6366" w:rsidRDefault="00FB5ADF" w:rsidP="00692512">
      <w:pPr>
        <w:pStyle w:val="ListParagraph"/>
        <w:numPr>
          <w:ilvl w:val="0"/>
          <w:numId w:val="28"/>
        </w:numPr>
        <w:ind w:left="993" w:hanging="426"/>
      </w:pPr>
      <w:r w:rsidRPr="007B6366">
        <w:t>ensure the integrity and fairness of games;</w:t>
      </w:r>
    </w:p>
    <w:p w:rsidR="00FB5ADF" w:rsidRPr="007B6366" w:rsidRDefault="00FB5ADF" w:rsidP="00692512">
      <w:pPr>
        <w:pStyle w:val="ListParagraph"/>
        <w:numPr>
          <w:ilvl w:val="0"/>
          <w:numId w:val="28"/>
        </w:numPr>
        <w:ind w:left="993" w:hanging="426"/>
      </w:pPr>
      <w:r w:rsidRPr="007B6366">
        <w:t>limit opportunities for crime or dishonesty associated with gambling</w:t>
      </w:r>
      <w:r w:rsidR="008E4F91">
        <w:t xml:space="preserve"> and the conduct of gambling</w:t>
      </w:r>
      <w:r w:rsidRPr="007B6366">
        <w:t>;</w:t>
      </w:r>
    </w:p>
    <w:p w:rsidR="00FB5ADF" w:rsidRPr="007B6366" w:rsidRDefault="00FB5ADF" w:rsidP="00692512">
      <w:pPr>
        <w:pStyle w:val="ListParagraph"/>
        <w:numPr>
          <w:ilvl w:val="0"/>
          <w:numId w:val="28"/>
        </w:numPr>
        <w:ind w:left="993" w:hanging="426"/>
      </w:pPr>
      <w:r w:rsidRPr="007B6366">
        <w:t>ensure that money from gambling benefits the community; and</w:t>
      </w:r>
    </w:p>
    <w:p w:rsidR="00FB5ADF" w:rsidRPr="007B6366" w:rsidRDefault="00FB5ADF" w:rsidP="00692512">
      <w:pPr>
        <w:pStyle w:val="ListParagraph"/>
        <w:numPr>
          <w:ilvl w:val="0"/>
          <w:numId w:val="28"/>
        </w:numPr>
        <w:ind w:left="993" w:hanging="426"/>
      </w:pPr>
      <w:proofErr w:type="gramStart"/>
      <w:r w:rsidRPr="007B6366">
        <w:t>facilitate</w:t>
      </w:r>
      <w:proofErr w:type="gramEnd"/>
      <w:r w:rsidRPr="007B6366">
        <w:t xml:space="preserve"> community involvement in decisions about the provision of gambling.</w:t>
      </w:r>
    </w:p>
    <w:p w:rsidR="00FB5ADF" w:rsidRPr="007B6366" w:rsidRDefault="00FB5ADF" w:rsidP="00692512">
      <w:pPr>
        <w:pStyle w:val="ListParagraph"/>
        <w:numPr>
          <w:ilvl w:val="0"/>
          <w:numId w:val="27"/>
        </w:numPr>
        <w:ind w:left="567" w:hanging="567"/>
      </w:pPr>
      <w:r w:rsidRPr="007B6366">
        <w:t xml:space="preserve">In order to achieve these purposes, the Department undertakes gambling licensing, compliance and enforcement functions. These functions are funded through fees paid by gambling operators. </w:t>
      </w:r>
    </w:p>
    <w:p w:rsidR="00FB5ADF" w:rsidRPr="007B6366" w:rsidRDefault="00FB5ADF" w:rsidP="00FB5ADF">
      <w:pPr>
        <w:pStyle w:val="Heading2"/>
      </w:pPr>
      <w:bookmarkStart w:id="9" w:name="_Toc431908615"/>
      <w:r w:rsidRPr="007B6366">
        <w:t>Class 4 gambling</w:t>
      </w:r>
      <w:bookmarkEnd w:id="9"/>
    </w:p>
    <w:p w:rsidR="00FB5ADF" w:rsidRPr="007B6366" w:rsidRDefault="00FB5ADF" w:rsidP="00692512">
      <w:pPr>
        <w:pStyle w:val="ListParagraph"/>
        <w:numPr>
          <w:ilvl w:val="0"/>
          <w:numId w:val="27"/>
        </w:numPr>
        <w:ind w:left="567" w:hanging="567"/>
      </w:pPr>
      <w:r w:rsidRPr="007B6366">
        <w:t xml:space="preserve">Class 4 gambling is gambling using non-casino gaming machines, also known as pokies.  This type of gambling is operated by non-commercial societies (societies) that may operate machines in pubs and clubs that are licensed by the Department. </w:t>
      </w:r>
    </w:p>
    <w:p w:rsidR="00FB5ADF" w:rsidRPr="007B6366" w:rsidRDefault="00FB5ADF" w:rsidP="00692512">
      <w:pPr>
        <w:pStyle w:val="ListParagraph"/>
        <w:numPr>
          <w:ilvl w:val="0"/>
          <w:numId w:val="27"/>
        </w:numPr>
        <w:ind w:left="567" w:hanging="567"/>
      </w:pPr>
      <w:r w:rsidRPr="007B6366">
        <w:t xml:space="preserve">Societies must </w:t>
      </w:r>
      <w:r w:rsidRPr="00BF45A5">
        <w:rPr>
          <w:i/>
        </w:rPr>
        <w:t>apply</w:t>
      </w:r>
      <w:r w:rsidRPr="007B6366">
        <w:t xml:space="preserve"> or </w:t>
      </w:r>
      <w:r w:rsidRPr="00BF45A5">
        <w:rPr>
          <w:i/>
        </w:rPr>
        <w:t>distribute</w:t>
      </w:r>
      <w:r w:rsidRPr="007B6366">
        <w:t xml:space="preserve"> all net proceeds to authorised purposes. </w:t>
      </w:r>
      <w:r w:rsidR="00BF45A5">
        <w:t xml:space="preserve">Club societies, </w:t>
      </w:r>
      <w:r w:rsidR="00BF45A5" w:rsidRPr="00502EC9">
        <w:t xml:space="preserve">such as </w:t>
      </w:r>
      <w:r w:rsidR="00BF45A5">
        <w:t xml:space="preserve">RSAs, </w:t>
      </w:r>
      <w:r w:rsidR="00BF45A5" w:rsidRPr="00502EC9">
        <w:t>sporting clubs or cosmopolitan clubs</w:t>
      </w:r>
      <w:r w:rsidR="00BF45A5">
        <w:t>,</w:t>
      </w:r>
      <w:r w:rsidR="00BF45A5" w:rsidRPr="00502EC9">
        <w:t xml:space="preserve"> mainly apply the money raised from gambling to the club’s </w:t>
      </w:r>
      <w:r w:rsidR="00BF45A5">
        <w:t xml:space="preserve">authorised </w:t>
      </w:r>
      <w:r w:rsidR="00BF45A5" w:rsidRPr="00502EC9">
        <w:t>purpose.</w:t>
      </w:r>
      <w:r w:rsidR="00BF45A5">
        <w:t xml:space="preserve"> </w:t>
      </w:r>
      <w:r w:rsidR="00BF45A5" w:rsidRPr="00502EC9">
        <w:t xml:space="preserve">Non-club societies have gaming machines in </w:t>
      </w:r>
      <w:r w:rsidR="00BF45A5">
        <w:t xml:space="preserve">commercial </w:t>
      </w:r>
      <w:r w:rsidR="00BF45A5" w:rsidRPr="00502EC9">
        <w:t>pubs and bars</w:t>
      </w:r>
      <w:r w:rsidR="00BF45A5">
        <w:t xml:space="preserve"> and</w:t>
      </w:r>
      <w:r w:rsidR="00BF45A5" w:rsidRPr="00502EC9">
        <w:t xml:space="preserve"> mainly distribute </w:t>
      </w:r>
      <w:r w:rsidR="00BF45A5">
        <w:t xml:space="preserve">net proceeds </w:t>
      </w:r>
      <w:r w:rsidR="00BF45A5" w:rsidRPr="00502EC9">
        <w:t>to authorised purposes.</w:t>
      </w:r>
      <w:r w:rsidR="00BF45A5" w:rsidRPr="00654401">
        <w:rPr>
          <w:vertAlign w:val="superscript"/>
        </w:rPr>
        <w:footnoteReference w:id="2"/>
      </w:r>
      <w:r w:rsidR="00BF45A5" w:rsidRPr="00502EC9">
        <w:t xml:space="preserve">  </w:t>
      </w:r>
    </w:p>
    <w:p w:rsidR="00FB5ADF" w:rsidRDefault="00FB5ADF" w:rsidP="00692512">
      <w:pPr>
        <w:pStyle w:val="ListParagraph"/>
        <w:numPr>
          <w:ilvl w:val="0"/>
          <w:numId w:val="27"/>
        </w:numPr>
        <w:ind w:left="567" w:hanging="567"/>
      </w:pPr>
      <w:r w:rsidRPr="007B6366">
        <w:t>Table 1 shows a summary of the sector as at 30 June 2015.</w:t>
      </w:r>
    </w:p>
    <w:p w:rsidR="00FB5ADF" w:rsidRPr="007B6366" w:rsidRDefault="00FB5ADF" w:rsidP="00F066F0">
      <w:pPr>
        <w:pStyle w:val="Tableheading2"/>
      </w:pPr>
      <w:r>
        <w:t>Table</w:t>
      </w:r>
      <w:r w:rsidR="00654401">
        <w:t xml:space="preserve"> </w:t>
      </w:r>
      <w:r>
        <w:t>1: Class 4 gambling sector by societies, venues and gaming machines, as at 30 June 2015</w:t>
      </w:r>
    </w:p>
    <w:tbl>
      <w:tblPr>
        <w:tblStyle w:val="DIATable"/>
        <w:tblW w:w="0" w:type="auto"/>
        <w:tblLook w:val="04A0" w:firstRow="1" w:lastRow="0" w:firstColumn="1" w:lastColumn="0" w:noHBand="0" w:noVBand="1"/>
      </w:tblPr>
      <w:tblGrid>
        <w:gridCol w:w="2241"/>
        <w:gridCol w:w="2470"/>
        <w:gridCol w:w="2234"/>
        <w:gridCol w:w="2234"/>
      </w:tblGrid>
      <w:tr w:rsidR="00FB5ADF" w:rsidTr="00762F5B">
        <w:trPr>
          <w:cnfStyle w:val="100000000000" w:firstRow="1" w:lastRow="0" w:firstColumn="0" w:lastColumn="0" w:oddVBand="0" w:evenVBand="0" w:oddHBand="0" w:evenHBand="0" w:firstRowFirstColumn="0" w:firstRowLastColumn="0" w:lastRowFirstColumn="0" w:lastRowLastColumn="0"/>
        </w:trPr>
        <w:tc>
          <w:tcPr>
            <w:tcW w:w="2241" w:type="dxa"/>
          </w:tcPr>
          <w:p w:rsidR="00FB5ADF" w:rsidRDefault="00FB5ADF" w:rsidP="00762F5B">
            <w:r>
              <w:t>Type of society</w:t>
            </w:r>
          </w:p>
        </w:tc>
        <w:tc>
          <w:tcPr>
            <w:tcW w:w="2470" w:type="dxa"/>
          </w:tcPr>
          <w:p w:rsidR="00FB5ADF" w:rsidRDefault="00FB5ADF" w:rsidP="00762F5B">
            <w:r>
              <w:t>Number licensed</w:t>
            </w:r>
          </w:p>
        </w:tc>
        <w:tc>
          <w:tcPr>
            <w:tcW w:w="2234" w:type="dxa"/>
          </w:tcPr>
          <w:p w:rsidR="00FB5ADF" w:rsidRDefault="001E0CB6" w:rsidP="001E0CB6">
            <w:r>
              <w:t>Licensed v</w:t>
            </w:r>
            <w:r w:rsidR="00FB5ADF">
              <w:t>enues</w:t>
            </w:r>
          </w:p>
        </w:tc>
        <w:tc>
          <w:tcPr>
            <w:tcW w:w="2234" w:type="dxa"/>
          </w:tcPr>
          <w:p w:rsidR="00FB5ADF" w:rsidRDefault="00FB5ADF" w:rsidP="00762F5B">
            <w:r>
              <w:t>Gaming machines</w:t>
            </w:r>
          </w:p>
        </w:tc>
      </w:tr>
      <w:tr w:rsidR="00FB5ADF" w:rsidTr="00762F5B">
        <w:tc>
          <w:tcPr>
            <w:tcW w:w="2241" w:type="dxa"/>
          </w:tcPr>
          <w:p w:rsidR="00FB5ADF" w:rsidRDefault="00FB5ADF" w:rsidP="00762F5B">
            <w:r>
              <w:t xml:space="preserve">Non-club </w:t>
            </w:r>
          </w:p>
        </w:tc>
        <w:tc>
          <w:tcPr>
            <w:tcW w:w="2470" w:type="dxa"/>
          </w:tcPr>
          <w:p w:rsidR="00FB5ADF" w:rsidRDefault="00FB5ADF" w:rsidP="00762F5B">
            <w:r>
              <w:t>39</w:t>
            </w:r>
          </w:p>
        </w:tc>
        <w:tc>
          <w:tcPr>
            <w:tcW w:w="2234" w:type="dxa"/>
          </w:tcPr>
          <w:p w:rsidR="00FB5ADF" w:rsidRDefault="00FB5ADF" w:rsidP="00762F5B">
            <w:r>
              <w:t>987</w:t>
            </w:r>
          </w:p>
        </w:tc>
        <w:tc>
          <w:tcPr>
            <w:tcW w:w="2234" w:type="dxa"/>
          </w:tcPr>
          <w:p w:rsidR="00FB5ADF" w:rsidRDefault="00FB5ADF" w:rsidP="00762F5B">
            <w:r>
              <w:t>13,144</w:t>
            </w:r>
          </w:p>
        </w:tc>
      </w:tr>
      <w:tr w:rsidR="00FB5ADF" w:rsidTr="00762F5B">
        <w:tc>
          <w:tcPr>
            <w:tcW w:w="2241" w:type="dxa"/>
          </w:tcPr>
          <w:p w:rsidR="00FB5ADF" w:rsidRDefault="00FB5ADF" w:rsidP="00762F5B">
            <w:r>
              <w:t>Club</w:t>
            </w:r>
          </w:p>
        </w:tc>
        <w:tc>
          <w:tcPr>
            <w:tcW w:w="2470" w:type="dxa"/>
          </w:tcPr>
          <w:p w:rsidR="00FB5ADF" w:rsidRDefault="00FB5ADF" w:rsidP="00762F5B">
            <w:r>
              <w:t>270</w:t>
            </w:r>
          </w:p>
        </w:tc>
        <w:tc>
          <w:tcPr>
            <w:tcW w:w="2234" w:type="dxa"/>
          </w:tcPr>
          <w:p w:rsidR="00FB5ADF" w:rsidRDefault="00FB5ADF" w:rsidP="00762F5B">
            <w:r>
              <w:t>279</w:t>
            </w:r>
          </w:p>
        </w:tc>
        <w:tc>
          <w:tcPr>
            <w:tcW w:w="2234" w:type="dxa"/>
          </w:tcPr>
          <w:p w:rsidR="00FB5ADF" w:rsidRDefault="00FB5ADF" w:rsidP="00762F5B">
            <w:r>
              <w:t>3,435</w:t>
            </w:r>
          </w:p>
        </w:tc>
      </w:tr>
      <w:tr w:rsidR="00FB5ADF" w:rsidRPr="00B81519" w:rsidTr="00762F5B">
        <w:tc>
          <w:tcPr>
            <w:tcW w:w="2241" w:type="dxa"/>
          </w:tcPr>
          <w:p w:rsidR="00FB5ADF" w:rsidRPr="00B81519" w:rsidRDefault="00FB5ADF" w:rsidP="00762F5B">
            <w:pPr>
              <w:rPr>
                <w:b/>
              </w:rPr>
            </w:pPr>
            <w:r w:rsidRPr="00B81519">
              <w:rPr>
                <w:b/>
              </w:rPr>
              <w:t>Total</w:t>
            </w:r>
          </w:p>
        </w:tc>
        <w:tc>
          <w:tcPr>
            <w:tcW w:w="2470" w:type="dxa"/>
          </w:tcPr>
          <w:p w:rsidR="00FB5ADF" w:rsidRPr="00B81519" w:rsidRDefault="00FB5ADF" w:rsidP="00762F5B">
            <w:pPr>
              <w:rPr>
                <w:b/>
              </w:rPr>
            </w:pPr>
            <w:r w:rsidRPr="00B81519">
              <w:rPr>
                <w:b/>
              </w:rPr>
              <w:t>309</w:t>
            </w:r>
          </w:p>
        </w:tc>
        <w:tc>
          <w:tcPr>
            <w:tcW w:w="2234" w:type="dxa"/>
          </w:tcPr>
          <w:p w:rsidR="00FB5ADF" w:rsidRPr="00B81519" w:rsidRDefault="00FB5ADF" w:rsidP="00762F5B">
            <w:pPr>
              <w:rPr>
                <w:b/>
              </w:rPr>
            </w:pPr>
            <w:r w:rsidRPr="00B81519">
              <w:rPr>
                <w:b/>
              </w:rPr>
              <w:t>1266</w:t>
            </w:r>
          </w:p>
        </w:tc>
        <w:tc>
          <w:tcPr>
            <w:tcW w:w="2234" w:type="dxa"/>
          </w:tcPr>
          <w:p w:rsidR="00FB5ADF" w:rsidRPr="00B81519" w:rsidRDefault="00FB5ADF" w:rsidP="00762F5B">
            <w:pPr>
              <w:rPr>
                <w:b/>
              </w:rPr>
            </w:pPr>
            <w:r w:rsidRPr="00B81519">
              <w:rPr>
                <w:b/>
              </w:rPr>
              <w:t>16,579</w:t>
            </w:r>
          </w:p>
        </w:tc>
      </w:tr>
    </w:tbl>
    <w:p w:rsidR="00BF45A5" w:rsidRDefault="00BF45A5" w:rsidP="00692512">
      <w:pPr>
        <w:pStyle w:val="ListParagraph"/>
        <w:numPr>
          <w:ilvl w:val="0"/>
          <w:numId w:val="27"/>
        </w:numPr>
        <w:ind w:left="567" w:hanging="567"/>
      </w:pPr>
      <w:r>
        <w:t xml:space="preserve">In </w:t>
      </w:r>
      <w:r w:rsidR="008967BA">
        <w:t>20</w:t>
      </w:r>
      <w:r>
        <w:t>14, on turnover of $8.783 billion,</w:t>
      </w:r>
      <w:r>
        <w:rPr>
          <w:rStyle w:val="FootnoteReference"/>
        </w:rPr>
        <w:footnoteReference w:id="3"/>
      </w:r>
      <w:r>
        <w:t xml:space="preserve"> $806 million (including GST) was lost by gamblers on these machines, with approximately $300 million being distributed or applied to community purposes.</w:t>
      </w:r>
    </w:p>
    <w:p w:rsidR="00654401" w:rsidRDefault="00654401" w:rsidP="00692512">
      <w:pPr>
        <w:pStyle w:val="ListParagraph"/>
        <w:numPr>
          <w:ilvl w:val="0"/>
          <w:numId w:val="27"/>
        </w:numPr>
        <w:ind w:left="567" w:hanging="567"/>
      </w:pPr>
      <w:r>
        <w:lastRenderedPageBreak/>
        <w:t xml:space="preserve">As can be seen in Table 1 above, non-club societies have almost 80 per cent of the gaming machines. These societies also generate most of the gaming machine proceeds. </w:t>
      </w:r>
      <w:r w:rsidR="00361C02">
        <w:t>O</w:t>
      </w:r>
      <w:r>
        <w:t xml:space="preserve">f the $300 million </w:t>
      </w:r>
      <w:r w:rsidR="00361C02">
        <w:t xml:space="preserve">referred to above, about $256 million </w:t>
      </w:r>
      <w:r>
        <w:t>was in the form of grants.</w:t>
      </w:r>
      <w:r w:rsidR="001E0CB6">
        <w:rPr>
          <w:rStyle w:val="FootnoteReference"/>
        </w:rPr>
        <w:footnoteReference w:id="4"/>
      </w:r>
      <w:r>
        <w:t xml:space="preserve"> </w:t>
      </w:r>
    </w:p>
    <w:p w:rsidR="005E14D8" w:rsidRPr="005E14D8" w:rsidRDefault="005E14D8" w:rsidP="005E14D8">
      <w:pPr>
        <w:pStyle w:val="Heading3"/>
      </w:pPr>
      <w:r>
        <w:t>Minimum rate of return to authorised purposes</w:t>
      </w:r>
    </w:p>
    <w:p w:rsidR="00761B97" w:rsidRPr="00502EC9" w:rsidRDefault="00761B97" w:rsidP="00761B97">
      <w:pPr>
        <w:pStyle w:val="ListParagraph"/>
        <w:numPr>
          <w:ilvl w:val="0"/>
          <w:numId w:val="27"/>
        </w:numPr>
        <w:ind w:left="567" w:hanging="567"/>
      </w:pPr>
      <w:r w:rsidRPr="007B6366">
        <w:t>The legislative model for class 4 gambling is designed to raise money for authorised purposes in the community.</w:t>
      </w:r>
      <w:r w:rsidR="00EE141C">
        <w:t xml:space="preserve"> </w:t>
      </w:r>
      <w:r w:rsidRPr="00502EC9">
        <w:t xml:space="preserve">Figure 1 shows how </w:t>
      </w:r>
      <w:r>
        <w:t>non-club societies’ c</w:t>
      </w:r>
      <w:r w:rsidRPr="00502EC9">
        <w:t>lass 4 gaming machine p</w:t>
      </w:r>
      <w:r>
        <w:t>roceeds are currently allocated.</w:t>
      </w:r>
    </w:p>
    <w:p w:rsidR="00761B97" w:rsidRPr="008E36D8" w:rsidRDefault="00761B97" w:rsidP="00761B97">
      <w:pPr>
        <w:pStyle w:val="Tableheading2"/>
      </w:pPr>
      <w:r w:rsidRPr="008F5423">
        <w:t xml:space="preserve">Figure 1: </w:t>
      </w:r>
      <w:r>
        <w:t>Allocation of non-club societies’ c</w:t>
      </w:r>
      <w:r w:rsidRPr="008F5423">
        <w:t xml:space="preserve">lass 4 gaming machine </w:t>
      </w:r>
      <w:r>
        <w:t xml:space="preserve">GST-exclusive gross proceeds, </w:t>
      </w:r>
      <w:r w:rsidRPr="008F5423">
        <w:t>from 1 September 2014</w:t>
      </w:r>
    </w:p>
    <w:p w:rsidR="00761B97" w:rsidRPr="00DC6AF7" w:rsidRDefault="00800ED2" w:rsidP="00761B97">
      <w:pPr>
        <w:pStyle w:val="NumbersLevel1"/>
        <w:tabs>
          <w:tab w:val="clear" w:pos="709"/>
        </w:tabs>
        <w:ind w:left="0" w:firstLine="0"/>
        <w:jc w:val="center"/>
        <w:rPr>
          <w:rFonts w:ascii="Calibri" w:hAnsi="Calibri"/>
          <w:sz w:val="24"/>
        </w:rPr>
      </w:pPr>
      <w:r>
        <w:rPr>
          <w:rFonts w:ascii="Calibri" w:hAnsi="Calibri"/>
          <w:noProof/>
          <w:sz w:val="24"/>
          <w:lang w:eastAsia="en-NZ"/>
        </w:rPr>
        <w:drawing>
          <wp:inline distT="0" distB="0" distL="0" distR="0" wp14:anchorId="5FA53F67" wp14:editId="617E389E">
            <wp:extent cx="4584700" cy="21399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4700" cy="2139950"/>
                    </a:xfrm>
                    <a:prstGeom prst="rect">
                      <a:avLst/>
                    </a:prstGeom>
                    <a:noFill/>
                  </pic:spPr>
                </pic:pic>
              </a:graphicData>
            </a:graphic>
          </wp:inline>
        </w:drawing>
      </w:r>
    </w:p>
    <w:p w:rsidR="00C02E22" w:rsidRDefault="00361C02" w:rsidP="00692512">
      <w:pPr>
        <w:pStyle w:val="ListParagraph"/>
        <w:numPr>
          <w:ilvl w:val="0"/>
          <w:numId w:val="27"/>
        </w:numPr>
        <w:ind w:left="567" w:hanging="567"/>
      </w:pPr>
      <w:r>
        <w:t>The minimum rate of return to authorised purposes (the minimum rate) is a way to help a</w:t>
      </w:r>
      <w:r w:rsidR="0077680B">
        <w:t>chiev</w:t>
      </w:r>
      <w:r>
        <w:t>e</w:t>
      </w:r>
      <w:r w:rsidR="0077680B">
        <w:t xml:space="preserve"> this central </w:t>
      </w:r>
      <w:r w:rsidR="00B26FA0">
        <w:t>objective</w:t>
      </w:r>
      <w:r w:rsidR="0029572E">
        <w:t>, ensuring that a certain proportion of the money generated by gaming machines goes to community purposes</w:t>
      </w:r>
      <w:r w:rsidR="0077680B">
        <w:t xml:space="preserve">. </w:t>
      </w:r>
      <w:r>
        <w:t xml:space="preserve">The minimum </w:t>
      </w:r>
      <w:r w:rsidR="0077680B">
        <w:t xml:space="preserve">rate is prescribed under the </w:t>
      </w:r>
      <w:r w:rsidR="0077680B" w:rsidRPr="008C7ECF">
        <w:t>Gambling (Cl</w:t>
      </w:r>
      <w:r w:rsidR="00800ED2">
        <w:t xml:space="preserve">ass 4 Net Proceeds) </w:t>
      </w:r>
      <w:r w:rsidR="003B1358">
        <w:t>Regulations</w:t>
      </w:r>
      <w:r w:rsidR="00800ED2">
        <w:t xml:space="preserve"> </w:t>
      </w:r>
      <w:r w:rsidR="0077680B" w:rsidRPr="008C7ECF">
        <w:t>20</w:t>
      </w:r>
      <w:r w:rsidR="00AC0939">
        <w:t xml:space="preserve">04 (the </w:t>
      </w:r>
      <w:r w:rsidR="003B1358">
        <w:t>Regulations</w:t>
      </w:r>
      <w:r w:rsidR="00AC0939">
        <w:t>).</w:t>
      </w:r>
    </w:p>
    <w:p w:rsidR="00761B97" w:rsidRDefault="00761B97" w:rsidP="00761B97">
      <w:pPr>
        <w:pStyle w:val="ListParagraph"/>
        <w:numPr>
          <w:ilvl w:val="0"/>
          <w:numId w:val="27"/>
        </w:numPr>
        <w:ind w:left="567" w:hanging="567"/>
      </w:pPr>
      <w:r>
        <w:t>Currently the</w:t>
      </w:r>
      <w:r w:rsidRPr="008C7ECF">
        <w:t xml:space="preserve"> minimum rate </w:t>
      </w:r>
      <w:r>
        <w:t>is set at</w:t>
      </w:r>
      <w:r w:rsidRPr="008C7ECF">
        <w:t xml:space="preserve"> 40 per cent of GST</w:t>
      </w:r>
      <w:r>
        <w:t>-</w:t>
      </w:r>
      <w:r w:rsidRPr="008C7ECF">
        <w:t>exclusive gross proceeds</w:t>
      </w:r>
      <w:r>
        <w:t>.</w:t>
      </w:r>
      <w:r w:rsidRPr="008C7ECF">
        <w:t xml:space="preserve"> </w:t>
      </w:r>
      <w:r>
        <w:t xml:space="preserve">Societies that mainly distribute their net proceeds are required to meet this rate. Club societies that </w:t>
      </w:r>
      <w:r w:rsidRPr="008C7ECF">
        <w:t>mainly apply their net proceeds</w:t>
      </w:r>
      <w:r>
        <w:t xml:space="preserve"> </w:t>
      </w:r>
      <w:r w:rsidRPr="008C7ECF">
        <w:t xml:space="preserve">have </w:t>
      </w:r>
      <w:r w:rsidR="005B4331">
        <w:t xml:space="preserve">an agreed </w:t>
      </w:r>
      <w:r w:rsidRPr="008C7ECF">
        <w:t>minimum rate set as a licence condition</w:t>
      </w:r>
      <w:r>
        <w:t>.</w:t>
      </w:r>
    </w:p>
    <w:p w:rsidR="00D063BB" w:rsidRDefault="0077680B" w:rsidP="00692512">
      <w:pPr>
        <w:pStyle w:val="ListParagraph"/>
        <w:numPr>
          <w:ilvl w:val="0"/>
          <w:numId w:val="27"/>
        </w:numPr>
        <w:ind w:left="567" w:hanging="567"/>
      </w:pPr>
      <w:r>
        <w:t xml:space="preserve">The </w:t>
      </w:r>
      <w:r w:rsidR="00367E65">
        <w:t xml:space="preserve">minimum </w:t>
      </w:r>
      <w:r>
        <w:t xml:space="preserve">rate takes into account the amount of gaming machine proceeds </w:t>
      </w:r>
      <w:r w:rsidR="001E1FEE">
        <w:t xml:space="preserve">that must be paid for taxes, gaming duty, and levies. </w:t>
      </w:r>
      <w:r w:rsidR="00761B97">
        <w:t>S</w:t>
      </w:r>
      <w:r w:rsidR="001E1FEE">
        <w:t xml:space="preserve">ocieties are also permitted to deduct the </w:t>
      </w:r>
      <w:r w:rsidR="001E1FEE" w:rsidRPr="001E1FEE">
        <w:t>actual, reasonable, and necessary costs incurred in conducting the gambling</w:t>
      </w:r>
      <w:r w:rsidR="00761B97">
        <w:t>,</w:t>
      </w:r>
      <w:r w:rsidR="001E1FEE">
        <w:t xml:space="preserve"> </w:t>
      </w:r>
      <w:r w:rsidR="00761B97">
        <w:t xml:space="preserve">which for non-club societies </w:t>
      </w:r>
      <w:r w:rsidR="001E1FEE">
        <w:t>includ</w:t>
      </w:r>
      <w:r w:rsidR="00761B97">
        <w:t>es</w:t>
      </w:r>
      <w:r w:rsidR="001E1FEE">
        <w:t xml:space="preserve"> </w:t>
      </w:r>
      <w:r w:rsidR="00361C02">
        <w:t xml:space="preserve">payments to </w:t>
      </w:r>
      <w:r w:rsidR="001E1FEE">
        <w:t>venues (the bars and pubs that host their machines).</w:t>
      </w:r>
    </w:p>
    <w:p w:rsidR="00A40CF9" w:rsidRDefault="00A40CF9" w:rsidP="00692512">
      <w:pPr>
        <w:pStyle w:val="ListParagraph"/>
        <w:numPr>
          <w:ilvl w:val="0"/>
          <w:numId w:val="27"/>
        </w:numPr>
        <w:ind w:left="567" w:hanging="567"/>
      </w:pPr>
      <w:r>
        <w:t xml:space="preserve">All proceeds that remain after the deduction of </w:t>
      </w:r>
      <w:r w:rsidR="00C86728">
        <w:t xml:space="preserve">permitted </w:t>
      </w:r>
      <w:r>
        <w:t>costs are net proceeds and all net proceeds must be applied or distributed by societies</w:t>
      </w:r>
      <w:r w:rsidR="00C86728">
        <w:t xml:space="preserve"> to authorised purposes</w:t>
      </w:r>
      <w:r>
        <w:t>. It is an offence for societies not to do so.</w:t>
      </w:r>
      <w:r>
        <w:rPr>
          <w:rStyle w:val="FootnoteReference"/>
        </w:rPr>
        <w:footnoteReference w:id="5"/>
      </w:r>
      <w:r>
        <w:t xml:space="preserve"> </w:t>
      </w:r>
    </w:p>
    <w:p w:rsidR="00865B30" w:rsidRPr="00BD798F" w:rsidRDefault="00424BA6" w:rsidP="00692512">
      <w:pPr>
        <w:pStyle w:val="ListParagraph"/>
        <w:numPr>
          <w:ilvl w:val="0"/>
          <w:numId w:val="27"/>
        </w:numPr>
        <w:ind w:left="567" w:hanging="567"/>
      </w:pPr>
      <w:r>
        <w:lastRenderedPageBreak/>
        <w:t xml:space="preserve">It is important to note that the rate in the Regulation is a </w:t>
      </w:r>
      <w:r w:rsidRPr="00E70497">
        <w:rPr>
          <w:i/>
        </w:rPr>
        <w:t>minimum</w:t>
      </w:r>
      <w:r>
        <w:t xml:space="preserve">. </w:t>
      </w:r>
      <w:r w:rsidR="00865B30" w:rsidRPr="00BD798F">
        <w:t>The actual rate of return to authorised purp</w:t>
      </w:r>
      <w:r w:rsidR="00865B30">
        <w:t xml:space="preserve">oses varies between societies </w:t>
      </w:r>
      <w:r w:rsidR="00E70497">
        <w:t>and s</w:t>
      </w:r>
      <w:r>
        <w:t>ome societies exceed the minimum rate</w:t>
      </w:r>
      <w:r w:rsidR="00865B30">
        <w:t>.</w:t>
      </w:r>
      <w:r w:rsidR="00E70497">
        <w:t xml:space="preserve"> Those that do not meet the minimum rate are </w:t>
      </w:r>
      <w:r w:rsidR="00E70497" w:rsidRPr="00BD798F">
        <w:t>required to work with the Department to reconcile their performance</w:t>
      </w:r>
      <w:r w:rsidR="00E70497">
        <w:t>, or face losing their licence if the period of non-performance is sustained.</w:t>
      </w:r>
    </w:p>
    <w:p w:rsidR="00A40CF9" w:rsidRDefault="00A40CF9" w:rsidP="00692512">
      <w:pPr>
        <w:pStyle w:val="ListParagraph"/>
        <w:numPr>
          <w:ilvl w:val="0"/>
          <w:numId w:val="27"/>
        </w:numPr>
        <w:ind w:left="567" w:hanging="567"/>
      </w:pPr>
      <w:r>
        <w:t>Also, as a part of the licensing criteria in the Act, the Secretary for Internal Affairs must be satisfied that an applicant society will maxim</w:t>
      </w:r>
      <w:r w:rsidR="00F06820">
        <w:t>ise</w:t>
      </w:r>
      <w:r>
        <w:t xml:space="preserve"> their net proceeds and minimise their costs.</w:t>
      </w:r>
      <w:r w:rsidR="008646C7">
        <w:t xml:space="preserve"> Societies must be able to comply with applicable regulatory requirements (section 52(1</w:t>
      </w:r>
      <w:proofErr w:type="gramStart"/>
      <w:r w:rsidR="008646C7">
        <w:t>)(</w:t>
      </w:r>
      <w:proofErr w:type="gramEnd"/>
      <w:r w:rsidR="008646C7">
        <w:t>f) of the Act).</w:t>
      </w:r>
    </w:p>
    <w:p w:rsidR="001E1FEE" w:rsidRDefault="00236438" w:rsidP="00692512">
      <w:pPr>
        <w:pStyle w:val="ListParagraph"/>
        <w:numPr>
          <w:ilvl w:val="0"/>
          <w:numId w:val="27"/>
        </w:numPr>
        <w:ind w:left="567" w:hanging="567"/>
      </w:pPr>
      <w:r>
        <w:t xml:space="preserve">The proposals in this document do not relate to club societies because they apply rather than </w:t>
      </w:r>
      <w:r w:rsidR="005B5FC3">
        <w:t>mainly distribute their net proceeds</w:t>
      </w:r>
      <w:r w:rsidR="001E1FEE">
        <w:t>.</w:t>
      </w:r>
    </w:p>
    <w:p w:rsidR="003F69AB" w:rsidRDefault="00405346" w:rsidP="003F69AB">
      <w:pPr>
        <w:pStyle w:val="Heading2"/>
      </w:pPr>
      <w:bookmarkStart w:id="10" w:name="_Toc431908616"/>
      <w:r>
        <w:t>Differences between societies and their impact on the ability to meet the minimum rate</w:t>
      </w:r>
      <w:bookmarkEnd w:id="10"/>
    </w:p>
    <w:p w:rsidR="003F69AB" w:rsidRDefault="003F69AB" w:rsidP="003F69AB">
      <w:pPr>
        <w:pStyle w:val="ListParagraph"/>
        <w:numPr>
          <w:ilvl w:val="0"/>
          <w:numId w:val="27"/>
        </w:numPr>
        <w:ind w:left="567" w:hanging="567"/>
      </w:pPr>
      <w:r>
        <w:t>Along with the minimum rate, class 4 sector t</w:t>
      </w:r>
      <w:r w:rsidRPr="00BD798F">
        <w:t xml:space="preserve">axes, levies and fees are </w:t>
      </w:r>
      <w:r>
        <w:t xml:space="preserve">externally </w:t>
      </w:r>
      <w:r w:rsidRPr="00BD798F">
        <w:t>fixed</w:t>
      </w:r>
      <w:r>
        <w:t>. The remaining variable factors are those that affect societies’ ability to reach or exceed the minimum rate. These are:</w:t>
      </w:r>
    </w:p>
    <w:p w:rsidR="003F69AB" w:rsidRDefault="003F69AB" w:rsidP="003F69AB">
      <w:pPr>
        <w:pStyle w:val="ListParagraph"/>
        <w:numPr>
          <w:ilvl w:val="0"/>
          <w:numId w:val="28"/>
        </w:numPr>
        <w:ind w:left="993" w:hanging="426"/>
      </w:pPr>
      <w:r w:rsidRPr="00BD798F">
        <w:t>cost</w:t>
      </w:r>
      <w:r>
        <w:t xml:space="preserve">s incurred in operating the gambling, being societies’ </w:t>
      </w:r>
      <w:r w:rsidRPr="00BD798F">
        <w:t>payments to venues and other society expen</w:t>
      </w:r>
      <w:r>
        <w:t>ses; and</w:t>
      </w:r>
    </w:p>
    <w:p w:rsidR="003F69AB" w:rsidRDefault="003F69AB" w:rsidP="003F69AB">
      <w:pPr>
        <w:pStyle w:val="ListParagraph"/>
        <w:numPr>
          <w:ilvl w:val="0"/>
          <w:numId w:val="28"/>
        </w:numPr>
        <w:ind w:left="993" w:hanging="426"/>
      </w:pPr>
      <w:proofErr w:type="gramStart"/>
      <w:r>
        <w:t>the</w:t>
      </w:r>
      <w:proofErr w:type="gramEnd"/>
      <w:r>
        <w:t xml:space="preserve"> </w:t>
      </w:r>
      <w:r w:rsidR="00883A06">
        <w:t xml:space="preserve">amount of gross proceeds generated at the </w:t>
      </w:r>
      <w:r>
        <w:t>venue that hosts a society’s gaming machines.</w:t>
      </w:r>
    </w:p>
    <w:p w:rsidR="003F69AB" w:rsidRDefault="003F69AB" w:rsidP="00405346">
      <w:pPr>
        <w:pStyle w:val="Heading3"/>
      </w:pPr>
      <w:r>
        <w:t>Operating costs</w:t>
      </w:r>
    </w:p>
    <w:p w:rsidR="003F69AB" w:rsidRDefault="003F69AB" w:rsidP="003F69AB">
      <w:pPr>
        <w:pStyle w:val="ListParagraph"/>
        <w:numPr>
          <w:ilvl w:val="0"/>
          <w:numId w:val="27"/>
        </w:numPr>
        <w:ind w:left="567" w:hanging="567"/>
      </w:pPr>
      <w:r w:rsidRPr="00BD798F">
        <w:t xml:space="preserve">Labour is the most significant component of venue costs. </w:t>
      </w:r>
      <w:r w:rsidR="00904DB7">
        <w:t>A</w:t>
      </w:r>
      <w:r>
        <w:t xml:space="preserve"> society’s venue </w:t>
      </w:r>
      <w:r w:rsidR="00367E65">
        <w:t>expenses</w:t>
      </w:r>
      <w:r w:rsidRPr="00BD798F">
        <w:t xml:space="preserve"> </w:t>
      </w:r>
      <w:r w:rsidR="00904DB7">
        <w:t xml:space="preserve">are </w:t>
      </w:r>
      <w:r w:rsidRPr="00BD798F">
        <w:t>limit</w:t>
      </w:r>
      <w:r>
        <w:t>ed</w:t>
      </w:r>
      <w:r w:rsidRPr="00BD798F">
        <w:t xml:space="preserve"> </w:t>
      </w:r>
      <w:r>
        <w:t>to 16 per cent of its annual GST-</w:t>
      </w:r>
      <w:r w:rsidRPr="00BD798F">
        <w:t xml:space="preserve">exclusive gaming machine </w:t>
      </w:r>
      <w:r>
        <w:t>proceeds,</w:t>
      </w:r>
      <w:r w:rsidRPr="00BD798F">
        <w:t xml:space="preserve"> </w:t>
      </w:r>
      <w:r>
        <w:t>across all its venues (as shown in Figure 1)</w:t>
      </w:r>
      <w:r w:rsidRPr="00BD798F">
        <w:t>.</w:t>
      </w:r>
      <w:r>
        <w:rPr>
          <w:rStyle w:val="FootnoteReference"/>
        </w:rPr>
        <w:footnoteReference w:id="6"/>
      </w:r>
      <w:r w:rsidRPr="00BD798F">
        <w:t xml:space="preserve">   </w:t>
      </w:r>
    </w:p>
    <w:p w:rsidR="003F69AB" w:rsidRPr="00BD798F" w:rsidRDefault="003F69AB" w:rsidP="003F69AB">
      <w:pPr>
        <w:pStyle w:val="ListParagraph"/>
        <w:numPr>
          <w:ilvl w:val="0"/>
          <w:numId w:val="27"/>
        </w:numPr>
        <w:ind w:left="567" w:hanging="567"/>
      </w:pPr>
      <w:r>
        <w:t>Examples of why v</w:t>
      </w:r>
      <w:r w:rsidRPr="00BD798F">
        <w:t>enue costs can vary</w:t>
      </w:r>
      <w:r>
        <w:t xml:space="preserve"> include</w:t>
      </w:r>
      <w:r w:rsidRPr="00BD798F">
        <w:t>:</w:t>
      </w:r>
    </w:p>
    <w:p w:rsidR="003F69AB" w:rsidRPr="00BD798F" w:rsidRDefault="003F69AB" w:rsidP="003F69AB">
      <w:pPr>
        <w:pStyle w:val="ListParagraph"/>
        <w:numPr>
          <w:ilvl w:val="0"/>
          <w:numId w:val="28"/>
        </w:numPr>
        <w:ind w:left="993" w:hanging="426"/>
      </w:pPr>
      <w:r w:rsidRPr="00BD798F">
        <w:t>using volunteers or staff with different rates of pay;</w:t>
      </w:r>
    </w:p>
    <w:p w:rsidR="003F69AB" w:rsidRPr="00BD798F" w:rsidRDefault="003F69AB" w:rsidP="003F69AB">
      <w:pPr>
        <w:pStyle w:val="ListParagraph"/>
        <w:numPr>
          <w:ilvl w:val="0"/>
          <w:numId w:val="28"/>
        </w:numPr>
        <w:ind w:left="993" w:hanging="426"/>
      </w:pPr>
      <w:r w:rsidRPr="00BD798F">
        <w:t>managing ratios such as staff, management and contractor numbers per machine or per venue;</w:t>
      </w:r>
    </w:p>
    <w:p w:rsidR="003F69AB" w:rsidRPr="00BD798F" w:rsidRDefault="003F69AB" w:rsidP="003F69AB">
      <w:pPr>
        <w:pStyle w:val="ListParagraph"/>
        <w:numPr>
          <w:ilvl w:val="0"/>
          <w:numId w:val="28"/>
        </w:numPr>
        <w:ind w:left="993" w:hanging="426"/>
      </w:pPr>
      <w:r w:rsidRPr="00BD798F">
        <w:t>security requirements for protecting large sums of money;</w:t>
      </w:r>
    </w:p>
    <w:p w:rsidR="003F69AB" w:rsidRPr="00BD798F" w:rsidRDefault="003F69AB" w:rsidP="003F69AB">
      <w:pPr>
        <w:pStyle w:val="ListParagraph"/>
        <w:numPr>
          <w:ilvl w:val="0"/>
          <w:numId w:val="28"/>
        </w:numPr>
        <w:ind w:left="993" w:hanging="426"/>
      </w:pPr>
      <w:r w:rsidRPr="00BD798F">
        <w:t>managing cost drivers such as hours of operation and number of venues; and</w:t>
      </w:r>
    </w:p>
    <w:p w:rsidR="003F69AB" w:rsidRPr="00BD798F" w:rsidRDefault="003F69AB" w:rsidP="003F69AB">
      <w:pPr>
        <w:pStyle w:val="ListParagraph"/>
        <w:numPr>
          <w:ilvl w:val="0"/>
          <w:numId w:val="28"/>
        </w:numPr>
        <w:ind w:left="993" w:hanging="426"/>
      </w:pPr>
      <w:proofErr w:type="gramStart"/>
      <w:r w:rsidRPr="00BD798F">
        <w:t>characteristics</w:t>
      </w:r>
      <w:proofErr w:type="gramEnd"/>
      <w:r w:rsidRPr="00BD798F">
        <w:t xml:space="preserve"> peculiar to the venue (such as the venue being in a popular location).</w:t>
      </w:r>
    </w:p>
    <w:p w:rsidR="003F69AB" w:rsidRPr="00BD798F" w:rsidRDefault="003F69AB" w:rsidP="003F69AB">
      <w:pPr>
        <w:pStyle w:val="ListParagraph"/>
        <w:numPr>
          <w:ilvl w:val="0"/>
          <w:numId w:val="27"/>
        </w:numPr>
        <w:ind w:left="567" w:hanging="567"/>
      </w:pPr>
      <w:r>
        <w:t>S</w:t>
      </w:r>
      <w:r w:rsidRPr="00BD798F">
        <w:t>ociety costs can vary</w:t>
      </w:r>
      <w:r>
        <w:t xml:space="preserve"> because of different</w:t>
      </w:r>
      <w:r w:rsidRPr="00BD798F">
        <w:t>:</w:t>
      </w:r>
    </w:p>
    <w:p w:rsidR="003F69AB" w:rsidRPr="00BD798F" w:rsidRDefault="003F69AB" w:rsidP="003F69AB">
      <w:pPr>
        <w:pStyle w:val="ListParagraph"/>
        <w:numPr>
          <w:ilvl w:val="0"/>
          <w:numId w:val="28"/>
        </w:numPr>
        <w:ind w:left="993" w:hanging="426"/>
      </w:pPr>
      <w:r w:rsidRPr="00BD798F">
        <w:t>rent or lease payments;</w:t>
      </w:r>
    </w:p>
    <w:p w:rsidR="004D3BDF" w:rsidRDefault="004D3BDF" w:rsidP="003F69AB">
      <w:pPr>
        <w:pStyle w:val="ListParagraph"/>
        <w:numPr>
          <w:ilvl w:val="0"/>
          <w:numId w:val="28"/>
        </w:numPr>
        <w:ind w:left="993" w:hanging="426"/>
      </w:pPr>
      <w:r>
        <w:t xml:space="preserve">staff costs; </w:t>
      </w:r>
    </w:p>
    <w:p w:rsidR="003F69AB" w:rsidRPr="00BD798F" w:rsidRDefault="003F69AB" w:rsidP="003F69AB">
      <w:pPr>
        <w:pStyle w:val="ListParagraph"/>
        <w:numPr>
          <w:ilvl w:val="0"/>
          <w:numId w:val="28"/>
        </w:numPr>
        <w:ind w:left="993" w:hanging="426"/>
      </w:pPr>
      <w:r w:rsidRPr="00BD798F">
        <w:lastRenderedPageBreak/>
        <w:t>advertising and publishing costs;</w:t>
      </w:r>
    </w:p>
    <w:p w:rsidR="003F69AB" w:rsidRPr="00BD798F" w:rsidRDefault="003F69AB" w:rsidP="003F69AB">
      <w:pPr>
        <w:pStyle w:val="ListParagraph"/>
        <w:numPr>
          <w:ilvl w:val="0"/>
          <w:numId w:val="28"/>
        </w:numPr>
        <w:ind w:left="993" w:hanging="426"/>
      </w:pPr>
      <w:r w:rsidRPr="00BD798F">
        <w:t>depreciation of gambling assets; and</w:t>
      </w:r>
    </w:p>
    <w:p w:rsidR="003F69AB" w:rsidRPr="00BD798F" w:rsidRDefault="003F69AB" w:rsidP="003F69AB">
      <w:pPr>
        <w:pStyle w:val="ListParagraph"/>
        <w:numPr>
          <w:ilvl w:val="0"/>
          <w:numId w:val="28"/>
        </w:numPr>
        <w:ind w:left="993" w:hanging="426"/>
      </w:pPr>
      <w:proofErr w:type="gramStart"/>
      <w:r w:rsidRPr="00BD798F">
        <w:t>machine</w:t>
      </w:r>
      <w:proofErr w:type="gramEnd"/>
      <w:r w:rsidRPr="00BD798F">
        <w:t xml:space="preserve"> servicing costs.</w:t>
      </w:r>
    </w:p>
    <w:p w:rsidR="005F71C1" w:rsidRDefault="005F71C1" w:rsidP="005F71C1">
      <w:pPr>
        <w:pStyle w:val="Heading4"/>
      </w:pPr>
      <w:r>
        <w:t>Societies with low cost operating models</w:t>
      </w:r>
    </w:p>
    <w:p w:rsidR="005F71C1" w:rsidRPr="00E70497" w:rsidRDefault="005F71C1" w:rsidP="005F71C1">
      <w:pPr>
        <w:pStyle w:val="ListParagraph"/>
        <w:numPr>
          <w:ilvl w:val="0"/>
          <w:numId w:val="27"/>
        </w:numPr>
        <w:ind w:left="567" w:hanging="567"/>
      </w:pPr>
      <w:r>
        <w:t>A small number of societies have specific operating models that are associated with lower costs, influencing</w:t>
      </w:r>
      <w:r w:rsidRPr="00E70497">
        <w:t xml:space="preserve"> </w:t>
      </w:r>
      <w:r>
        <w:t>their rates of return</w:t>
      </w:r>
      <w:r w:rsidRPr="00E70497">
        <w:t>. For example, societies connected to licensing trusts may be able to leverage</w:t>
      </w:r>
      <w:r w:rsidR="00236438">
        <w:t xml:space="preserve"> off</w:t>
      </w:r>
      <w:r w:rsidRPr="00E70497">
        <w:t xml:space="preserve"> lower rental payments in order to reduce costs and increase the rate of return. Additionally, some of the smaller single venue trusts operate with the support of volunteers and the local community, resulting in a lower operating cost and thus a higher rate of return. </w:t>
      </w:r>
    </w:p>
    <w:p w:rsidR="003F69AB" w:rsidRPr="004B2F40" w:rsidRDefault="00883A06" w:rsidP="00320E26">
      <w:pPr>
        <w:pStyle w:val="Heading3"/>
      </w:pPr>
      <w:r>
        <w:t>Venues that generate different levels of gross proceeds</w:t>
      </w:r>
    </w:p>
    <w:p w:rsidR="003F69AB" w:rsidRDefault="003F69AB" w:rsidP="003F69AB">
      <w:pPr>
        <w:pStyle w:val="ListParagraph"/>
        <w:numPr>
          <w:ilvl w:val="0"/>
          <w:numId w:val="27"/>
        </w:numPr>
        <w:ind w:left="567" w:hanging="567"/>
      </w:pPr>
      <w:r>
        <w:t xml:space="preserve">Venues can be characterised as high or low in terms of </w:t>
      </w:r>
      <w:r w:rsidR="00883A06">
        <w:t>generating gross proceeds</w:t>
      </w:r>
      <w:r>
        <w:t xml:space="preserve">. </w:t>
      </w:r>
      <w:r w:rsidR="00367E65">
        <w:t xml:space="preserve">The amount of revenue generated at a society’s </w:t>
      </w:r>
      <w:r>
        <w:t>venue</w:t>
      </w:r>
      <w:r w:rsidR="00883A06">
        <w:t>s</w:t>
      </w:r>
      <w:r>
        <w:t xml:space="preserve"> </w:t>
      </w:r>
      <w:r w:rsidRPr="00E70497">
        <w:t>i</w:t>
      </w:r>
      <w:r>
        <w:t>nfluence</w:t>
      </w:r>
      <w:r w:rsidR="00367E65">
        <w:t>s</w:t>
      </w:r>
      <w:r>
        <w:t xml:space="preserve"> </w:t>
      </w:r>
      <w:r w:rsidR="00367E65">
        <w:t xml:space="preserve">its </w:t>
      </w:r>
      <w:r w:rsidR="00236438">
        <w:t>ratio</w:t>
      </w:r>
      <w:r>
        <w:t xml:space="preserve"> of </w:t>
      </w:r>
      <w:r w:rsidR="00236438">
        <w:t>gross proceeds</w:t>
      </w:r>
      <w:r>
        <w:t>-to-cost</w:t>
      </w:r>
      <w:r w:rsidR="00236438">
        <w:t>s</w:t>
      </w:r>
      <w:r w:rsidR="00883A06">
        <w:t>. The main reason</w:t>
      </w:r>
      <w:r>
        <w:t xml:space="preserve"> for this </w:t>
      </w:r>
      <w:r w:rsidR="00883A06">
        <w:t xml:space="preserve">is because </w:t>
      </w:r>
      <w:r w:rsidR="00883A06" w:rsidRPr="00E70497">
        <w:t xml:space="preserve">the </w:t>
      </w:r>
      <w:r w:rsidR="00883A06">
        <w:t xml:space="preserve">fixed </w:t>
      </w:r>
      <w:r w:rsidR="00883A06" w:rsidRPr="00E70497">
        <w:t>costs associated with hosting gaming machines (such as the cost of renting floor space)</w:t>
      </w:r>
      <w:r w:rsidR="00883A06">
        <w:t xml:space="preserve"> </w:t>
      </w:r>
      <w:r w:rsidR="00883A06" w:rsidRPr="00E70497">
        <w:t>will take up a smaller proportion of</w:t>
      </w:r>
      <w:r w:rsidR="00883A06">
        <w:t xml:space="preserve"> gross proceeds in a high revenue venue.</w:t>
      </w:r>
    </w:p>
    <w:p w:rsidR="00883A06" w:rsidRDefault="00883A06" w:rsidP="00883A06">
      <w:pPr>
        <w:pStyle w:val="ListParagraph"/>
        <w:numPr>
          <w:ilvl w:val="0"/>
          <w:numId w:val="27"/>
        </w:numPr>
        <w:ind w:left="567" w:hanging="567"/>
      </w:pPr>
      <w:r>
        <w:t>In low revenue venues the opposite can be true. T</w:t>
      </w:r>
      <w:r w:rsidR="003F69AB" w:rsidRPr="00E70497">
        <w:t xml:space="preserve">he costs of operating </w:t>
      </w:r>
      <w:r>
        <w:t xml:space="preserve">the </w:t>
      </w:r>
      <w:r w:rsidR="003F69AB" w:rsidRPr="00E70497">
        <w:t xml:space="preserve">gaming machines will take up a relatively high proportion of </w:t>
      </w:r>
      <w:r>
        <w:t xml:space="preserve">the revenue in a venue </w:t>
      </w:r>
      <w:r w:rsidR="003F69AB" w:rsidRPr="00E70497">
        <w:t>w</w:t>
      </w:r>
      <w:r>
        <w:t>h</w:t>
      </w:r>
      <w:r w:rsidR="003F69AB" w:rsidRPr="00E70497">
        <w:t xml:space="preserve">ere </w:t>
      </w:r>
      <w:r>
        <w:t>its gross proceeds are</w:t>
      </w:r>
      <w:r w:rsidR="003F69AB" w:rsidRPr="00E70497">
        <w:t xml:space="preserve"> low. </w:t>
      </w:r>
    </w:p>
    <w:p w:rsidR="003F69AB" w:rsidRPr="00502EC9" w:rsidRDefault="003F69AB" w:rsidP="003F69AB">
      <w:pPr>
        <w:pStyle w:val="ListParagraph"/>
        <w:numPr>
          <w:ilvl w:val="0"/>
          <w:numId w:val="27"/>
        </w:numPr>
        <w:ind w:left="567" w:hanging="567"/>
      </w:pPr>
      <w:r w:rsidRPr="00E70497">
        <w:t>Therefore, a society that operates mainly out of high</w:t>
      </w:r>
      <w:r w:rsidR="00883A06">
        <w:t xml:space="preserve"> revenue </w:t>
      </w:r>
      <w:r w:rsidRPr="00E70497">
        <w:t xml:space="preserve">venues would generally need to spend a lower proportion </w:t>
      </w:r>
      <w:r w:rsidR="00367E65">
        <w:t>o</w:t>
      </w:r>
      <w:r w:rsidRPr="00E70497">
        <w:t xml:space="preserve">f </w:t>
      </w:r>
      <w:r w:rsidR="00367E65">
        <w:t xml:space="preserve">its </w:t>
      </w:r>
      <w:r w:rsidR="00883A06">
        <w:t xml:space="preserve">gross proceeds </w:t>
      </w:r>
      <w:r w:rsidRPr="00E70497">
        <w:t>on venue expenses, leaving more to be returned to authorised purposes.</w:t>
      </w:r>
    </w:p>
    <w:p w:rsidR="00D063BB" w:rsidRDefault="00053BAA" w:rsidP="00D063BB">
      <w:pPr>
        <w:pStyle w:val="Heading1"/>
      </w:pPr>
      <w:bookmarkStart w:id="11" w:name="_Toc431908617"/>
      <w:r>
        <w:lastRenderedPageBreak/>
        <w:t>Increases to the minimum rate and other cost pressures</w:t>
      </w:r>
      <w:bookmarkEnd w:id="11"/>
    </w:p>
    <w:p w:rsidR="00876138" w:rsidRDefault="00876138" w:rsidP="00876138">
      <w:pPr>
        <w:pStyle w:val="Heading2"/>
      </w:pPr>
      <w:bookmarkStart w:id="12" w:name="_Toc431908618"/>
      <w:r>
        <w:t>Previous decision to increase the minimum rate</w:t>
      </w:r>
      <w:bookmarkEnd w:id="12"/>
    </w:p>
    <w:p w:rsidR="002145AD" w:rsidRPr="005C122D" w:rsidRDefault="00115121" w:rsidP="00692512">
      <w:pPr>
        <w:pStyle w:val="ListParagraph"/>
        <w:numPr>
          <w:ilvl w:val="0"/>
          <w:numId w:val="27"/>
        </w:numPr>
        <w:ind w:left="567" w:hanging="567"/>
      </w:pPr>
      <w:r>
        <w:t>C</w:t>
      </w:r>
      <w:r w:rsidR="002145AD" w:rsidRPr="000D4AE4">
        <w:t>lass 4 sector</w:t>
      </w:r>
      <w:r w:rsidR="00E70497">
        <w:t xml:space="preserve"> </w:t>
      </w:r>
      <w:r w:rsidR="00B23A1E">
        <w:t xml:space="preserve">reforms </w:t>
      </w:r>
      <w:r>
        <w:t xml:space="preserve">were </w:t>
      </w:r>
      <w:r w:rsidR="00B23A1E">
        <w:t xml:space="preserve">initiated in </w:t>
      </w:r>
      <w:r w:rsidR="00B23A1E" w:rsidRPr="000D4AE4">
        <w:t>2012</w:t>
      </w:r>
      <w:r>
        <w:t>. One of the priorities</w:t>
      </w:r>
      <w:r w:rsidR="00361C02">
        <w:t xml:space="preserve"> of these reforms</w:t>
      </w:r>
      <w:r w:rsidRPr="000D4AE4">
        <w:t xml:space="preserve"> </w:t>
      </w:r>
      <w:r w:rsidR="00B23A1E">
        <w:t xml:space="preserve">was to </w:t>
      </w:r>
      <w:r w:rsidR="002145AD" w:rsidRPr="000D4AE4">
        <w:t>increas</w:t>
      </w:r>
      <w:r w:rsidR="00B23A1E">
        <w:t>e</w:t>
      </w:r>
      <w:r w:rsidR="002145AD" w:rsidRPr="000D4AE4">
        <w:t xml:space="preserve"> the proportion of proceeds that the community receives from </w:t>
      </w:r>
      <w:r w:rsidR="007466F7">
        <w:t>c</w:t>
      </w:r>
      <w:r w:rsidR="002145AD" w:rsidRPr="000D4AE4">
        <w:t>lass 4 gambling</w:t>
      </w:r>
      <w:r w:rsidR="00E70497">
        <w:t>.</w:t>
      </w:r>
      <w:r w:rsidR="00B23A1E">
        <w:t xml:space="preserve"> </w:t>
      </w:r>
      <w:r w:rsidR="007466F7" w:rsidRPr="005C122D">
        <w:t xml:space="preserve">Since the Act was introduced </w:t>
      </w:r>
      <w:r w:rsidR="00E70497" w:rsidRPr="005C122D">
        <w:t xml:space="preserve">the minimum rate </w:t>
      </w:r>
      <w:r w:rsidR="00FD6899">
        <w:t xml:space="preserve">of return </w:t>
      </w:r>
      <w:r w:rsidR="007466F7" w:rsidRPr="005C122D">
        <w:t xml:space="preserve">had been </w:t>
      </w:r>
      <w:r w:rsidR="00E70497" w:rsidRPr="005C122D">
        <w:t>37.12 per cent of GST-exclusive gross proceeds.</w:t>
      </w:r>
    </w:p>
    <w:p w:rsidR="00BA0040" w:rsidRDefault="007466F7" w:rsidP="00692512">
      <w:pPr>
        <w:pStyle w:val="ListParagraph"/>
        <w:numPr>
          <w:ilvl w:val="0"/>
          <w:numId w:val="27"/>
        </w:numPr>
        <w:ind w:left="567" w:hanging="567"/>
      </w:pPr>
      <w:r>
        <w:t>The min</w:t>
      </w:r>
      <w:r w:rsidR="007E7A1F">
        <w:t>imum rate was reviewed in 2013</w:t>
      </w:r>
      <w:r w:rsidR="00115121">
        <w:t xml:space="preserve"> and</w:t>
      </w:r>
      <w:r w:rsidR="007E7A1F">
        <w:t xml:space="preserve"> </w:t>
      </w:r>
      <w:r w:rsidR="00115121">
        <w:t>t</w:t>
      </w:r>
      <w:r w:rsidR="00BA0040">
        <w:t xml:space="preserve">he decision was made </w:t>
      </w:r>
      <w:r w:rsidR="00361C02">
        <w:t xml:space="preserve">in 2014 </w:t>
      </w:r>
      <w:r w:rsidR="00BA0040">
        <w:t xml:space="preserve">to </w:t>
      </w:r>
      <w:r w:rsidR="00BA0040" w:rsidRPr="00E70497">
        <w:t xml:space="preserve">amend the </w:t>
      </w:r>
      <w:r w:rsidR="003B1358">
        <w:t>Regulations</w:t>
      </w:r>
      <w:r w:rsidR="00BA0040" w:rsidRPr="00E70497">
        <w:t xml:space="preserve"> to increase the minimum </w:t>
      </w:r>
      <w:r w:rsidR="00BA0040">
        <w:t>rate, as shown in Table 2.</w:t>
      </w:r>
    </w:p>
    <w:p w:rsidR="00BA0040" w:rsidRPr="00BD798F" w:rsidRDefault="00BA0040" w:rsidP="00BA0040">
      <w:pPr>
        <w:pStyle w:val="Tableheading2"/>
      </w:pPr>
      <w:r w:rsidRPr="00BD798F">
        <w:t xml:space="preserve">Table </w:t>
      </w:r>
      <w:r>
        <w:t>2</w:t>
      </w:r>
      <w:r w:rsidRPr="00BD798F">
        <w:t xml:space="preserve">: Minimum rate in </w:t>
      </w:r>
      <w:r>
        <w:t xml:space="preserve">the </w:t>
      </w:r>
      <w:r w:rsidR="003B1358">
        <w:t>Regulations</w:t>
      </w:r>
    </w:p>
    <w:tbl>
      <w:tblPr>
        <w:tblStyle w:val="DIATable"/>
        <w:tblW w:w="8946" w:type="dxa"/>
        <w:jc w:val="center"/>
        <w:tblInd w:w="-2702" w:type="dxa"/>
        <w:tblLook w:val="04A0" w:firstRow="1" w:lastRow="0" w:firstColumn="1" w:lastColumn="0" w:noHBand="0" w:noVBand="1"/>
      </w:tblPr>
      <w:tblGrid>
        <w:gridCol w:w="4711"/>
        <w:gridCol w:w="4235"/>
      </w:tblGrid>
      <w:tr w:rsidR="00BA0040" w:rsidRPr="00BD798F" w:rsidTr="00BA0040">
        <w:trPr>
          <w:cnfStyle w:val="100000000000" w:firstRow="1" w:lastRow="0" w:firstColumn="0" w:lastColumn="0" w:oddVBand="0" w:evenVBand="0" w:oddHBand="0" w:evenHBand="0" w:firstRowFirstColumn="0" w:firstRowLastColumn="0" w:lastRowFirstColumn="0" w:lastRowLastColumn="0"/>
          <w:jc w:val="center"/>
        </w:trPr>
        <w:tc>
          <w:tcPr>
            <w:tcW w:w="4711" w:type="dxa"/>
          </w:tcPr>
          <w:p w:rsidR="00BA0040" w:rsidRPr="00BD798F" w:rsidRDefault="00BA0040" w:rsidP="00BA0040">
            <w:r w:rsidRPr="00BD798F">
              <w:t>Minimum rate of return t</w:t>
            </w:r>
            <w:r>
              <w:t xml:space="preserve">o authorised purposes as a % of </w:t>
            </w:r>
            <w:r w:rsidRPr="00BD798F">
              <w:t>GST</w:t>
            </w:r>
            <w:r>
              <w:t>-e</w:t>
            </w:r>
            <w:r w:rsidRPr="00BD798F">
              <w:t>xclusive</w:t>
            </w:r>
            <w:r>
              <w:t xml:space="preserve"> gross proceeds</w:t>
            </w:r>
          </w:p>
        </w:tc>
        <w:tc>
          <w:tcPr>
            <w:tcW w:w="4235" w:type="dxa"/>
          </w:tcPr>
          <w:p w:rsidR="00BA0040" w:rsidRPr="00BD798F" w:rsidRDefault="00BA0040" w:rsidP="00762F5B">
            <w:pPr>
              <w:ind w:left="-1033" w:firstLine="1033"/>
            </w:pPr>
            <w:r w:rsidRPr="00BD798F">
              <w:t>Date</w:t>
            </w:r>
            <w:r>
              <w:t xml:space="preserve"> minimum rate is effective</w:t>
            </w:r>
          </w:p>
        </w:tc>
      </w:tr>
      <w:tr w:rsidR="00BA0040" w:rsidRPr="00BD798F" w:rsidTr="00BA0040">
        <w:trPr>
          <w:jc w:val="center"/>
        </w:trPr>
        <w:tc>
          <w:tcPr>
            <w:tcW w:w="4711" w:type="dxa"/>
          </w:tcPr>
          <w:p w:rsidR="00BA0040" w:rsidRPr="00BD798F" w:rsidRDefault="00BA0040" w:rsidP="00762F5B">
            <w:r w:rsidRPr="00BD798F">
              <w:t>40</w:t>
            </w:r>
            <w:r>
              <w:t xml:space="preserve"> per cent</w:t>
            </w:r>
          </w:p>
        </w:tc>
        <w:tc>
          <w:tcPr>
            <w:tcW w:w="4235" w:type="dxa"/>
          </w:tcPr>
          <w:p w:rsidR="00BA0040" w:rsidRPr="00BD798F" w:rsidRDefault="00BA0040" w:rsidP="00762F5B">
            <w:r w:rsidRPr="00BD798F">
              <w:t>From 1 September 2014</w:t>
            </w:r>
          </w:p>
        </w:tc>
      </w:tr>
      <w:tr w:rsidR="00BA0040" w:rsidRPr="00BD798F" w:rsidTr="00BA0040">
        <w:trPr>
          <w:jc w:val="center"/>
        </w:trPr>
        <w:tc>
          <w:tcPr>
            <w:tcW w:w="4711" w:type="dxa"/>
          </w:tcPr>
          <w:p w:rsidR="00BA0040" w:rsidRPr="00BD798F" w:rsidRDefault="00BA0040" w:rsidP="00762F5B">
            <w:r w:rsidRPr="00BD798F">
              <w:t>41</w:t>
            </w:r>
            <w:r>
              <w:t xml:space="preserve"> per cent</w:t>
            </w:r>
          </w:p>
        </w:tc>
        <w:tc>
          <w:tcPr>
            <w:tcW w:w="4235" w:type="dxa"/>
          </w:tcPr>
          <w:p w:rsidR="00BA0040" w:rsidRPr="00BD798F" w:rsidRDefault="00BA0040" w:rsidP="00762F5B">
            <w:r w:rsidRPr="00BD798F">
              <w:t>From 1 September 2016</w:t>
            </w:r>
          </w:p>
        </w:tc>
      </w:tr>
      <w:tr w:rsidR="00BA0040" w:rsidRPr="00BD798F" w:rsidTr="00BA0040">
        <w:trPr>
          <w:jc w:val="center"/>
        </w:trPr>
        <w:tc>
          <w:tcPr>
            <w:tcW w:w="4711" w:type="dxa"/>
          </w:tcPr>
          <w:p w:rsidR="00BA0040" w:rsidRPr="00BD798F" w:rsidRDefault="00BA0040" w:rsidP="00762F5B">
            <w:r w:rsidRPr="00BD798F">
              <w:t>42</w:t>
            </w:r>
            <w:r>
              <w:t xml:space="preserve"> per cent</w:t>
            </w:r>
          </w:p>
        </w:tc>
        <w:tc>
          <w:tcPr>
            <w:tcW w:w="4235" w:type="dxa"/>
          </w:tcPr>
          <w:p w:rsidR="00BA0040" w:rsidRPr="00BD798F" w:rsidRDefault="00BA0040" w:rsidP="00762F5B">
            <w:r w:rsidRPr="00BD798F">
              <w:t>From 1 September 2018</w:t>
            </w:r>
          </w:p>
        </w:tc>
      </w:tr>
    </w:tbl>
    <w:p w:rsidR="00B23A1E" w:rsidRDefault="00B23A1E" w:rsidP="00B23A1E">
      <w:pPr>
        <w:pStyle w:val="ListParagraph"/>
        <w:numPr>
          <w:ilvl w:val="0"/>
          <w:numId w:val="27"/>
        </w:numPr>
        <w:ind w:left="567" w:hanging="567"/>
      </w:pPr>
      <w:bookmarkStart w:id="13" w:name="_Toc422907464"/>
      <w:r>
        <w:t xml:space="preserve">The increased minimum rates will apply to societies </w:t>
      </w:r>
      <w:r w:rsidR="00367E65">
        <w:t xml:space="preserve">at the beginning of </w:t>
      </w:r>
      <w:r>
        <w:t>t</w:t>
      </w:r>
      <w:r w:rsidR="00367E65">
        <w:t xml:space="preserve">heir respective financial years, as these </w:t>
      </w:r>
      <w:r>
        <w:t>fall after the relevant date</w:t>
      </w:r>
      <w:r w:rsidR="00115121">
        <w:t xml:space="preserve"> that the new rate takes effect</w:t>
      </w:r>
      <w:r>
        <w:t>.</w:t>
      </w:r>
    </w:p>
    <w:p w:rsidR="007025A4" w:rsidRDefault="00236438" w:rsidP="007025A4">
      <w:pPr>
        <w:pStyle w:val="Heading2"/>
      </w:pPr>
      <w:bookmarkStart w:id="14" w:name="_Toc431908619"/>
      <w:r>
        <w:t xml:space="preserve">Additional </w:t>
      </w:r>
      <w:r w:rsidR="007025A4" w:rsidRPr="00BD798F">
        <w:t xml:space="preserve">cost pressures </w:t>
      </w:r>
      <w:bookmarkEnd w:id="13"/>
      <w:r w:rsidR="008967BA">
        <w:t>on the sector</w:t>
      </w:r>
      <w:bookmarkEnd w:id="14"/>
    </w:p>
    <w:p w:rsidR="00B27CE5" w:rsidRPr="00B27CE5" w:rsidRDefault="00B27CE5" w:rsidP="00B27CE5">
      <w:pPr>
        <w:pStyle w:val="ListParagraph"/>
        <w:numPr>
          <w:ilvl w:val="0"/>
          <w:numId w:val="27"/>
        </w:numPr>
        <w:ind w:left="567" w:hanging="567"/>
      </w:pPr>
      <w:r>
        <w:t xml:space="preserve">Since the decision was made to amend the </w:t>
      </w:r>
      <w:r w:rsidR="003B1358">
        <w:t>Regulations</w:t>
      </w:r>
      <w:r>
        <w:t>, there have been developments in the cost pressures impacting on the sector. These are described below.</w:t>
      </w:r>
    </w:p>
    <w:p w:rsidR="008967BA" w:rsidRPr="008967BA" w:rsidRDefault="008967BA" w:rsidP="008967BA">
      <w:pPr>
        <w:pStyle w:val="Heading3"/>
      </w:pPr>
      <w:r>
        <w:t>Gambling fees increases</w:t>
      </w:r>
    </w:p>
    <w:p w:rsidR="008967BA" w:rsidRDefault="007025A4" w:rsidP="00B23A1E">
      <w:pPr>
        <w:pStyle w:val="ListParagraph"/>
        <w:numPr>
          <w:ilvl w:val="0"/>
          <w:numId w:val="27"/>
        </w:numPr>
        <w:ind w:left="567" w:hanging="567"/>
      </w:pPr>
      <w:r w:rsidRPr="00BD798F">
        <w:t xml:space="preserve">The Government has </w:t>
      </w:r>
      <w:r w:rsidR="00B23A1E">
        <w:t xml:space="preserve">announced that the </w:t>
      </w:r>
      <w:r w:rsidR="00B65A07">
        <w:t xml:space="preserve">gambling </w:t>
      </w:r>
      <w:r w:rsidRPr="00BD798F">
        <w:t>fees</w:t>
      </w:r>
      <w:r w:rsidR="00B23A1E">
        <w:t xml:space="preserve"> that fund the </w:t>
      </w:r>
      <w:r w:rsidR="00B23A1E" w:rsidRPr="007B6366">
        <w:t>gambling licensing, compliance and enforcement functions</w:t>
      </w:r>
      <w:r w:rsidR="00B23A1E">
        <w:t xml:space="preserve"> of the Department will increase. </w:t>
      </w:r>
      <w:r w:rsidR="0077080E">
        <w:t>Information about t</w:t>
      </w:r>
      <w:r w:rsidR="008967BA">
        <w:t xml:space="preserve">he </w:t>
      </w:r>
      <w:r w:rsidR="0077080E">
        <w:t xml:space="preserve">fees </w:t>
      </w:r>
      <w:r w:rsidR="008967BA">
        <w:t xml:space="preserve">increase is </w:t>
      </w:r>
      <w:r w:rsidR="0077080E">
        <w:t>available on the Depar</w:t>
      </w:r>
      <w:r w:rsidR="00B27CE5">
        <w:t>tment’s website—www.dia.govt.nz.</w:t>
      </w:r>
    </w:p>
    <w:p w:rsidR="00B65A07" w:rsidRDefault="003E6DC6" w:rsidP="00B23A1E">
      <w:pPr>
        <w:pStyle w:val="ListParagraph"/>
        <w:numPr>
          <w:ilvl w:val="0"/>
          <w:numId w:val="27"/>
        </w:numPr>
        <w:ind w:left="567" w:hanging="567"/>
      </w:pPr>
      <w:r>
        <w:t xml:space="preserve">The </w:t>
      </w:r>
      <w:r w:rsidR="008967BA">
        <w:t xml:space="preserve">new fees are expected to take effect </w:t>
      </w:r>
      <w:r w:rsidR="002F274C">
        <w:t xml:space="preserve">in </w:t>
      </w:r>
      <w:r w:rsidR="00B27CE5">
        <w:t>December 2015.</w:t>
      </w:r>
    </w:p>
    <w:p w:rsidR="007025A4" w:rsidRDefault="007025A4" w:rsidP="007025A4">
      <w:pPr>
        <w:pStyle w:val="Heading3"/>
      </w:pPr>
      <w:r>
        <w:t>Other compliance-related costs</w:t>
      </w:r>
    </w:p>
    <w:p w:rsidR="008967BA" w:rsidRDefault="008967BA" w:rsidP="008967BA">
      <w:pPr>
        <w:pStyle w:val="ListParagraph"/>
        <w:numPr>
          <w:ilvl w:val="0"/>
          <w:numId w:val="27"/>
        </w:numPr>
        <w:ind w:left="567" w:hanging="567"/>
      </w:pPr>
      <w:r w:rsidRPr="00BD798F">
        <w:t xml:space="preserve">The sector also faces </w:t>
      </w:r>
      <w:r>
        <w:t xml:space="preserve">two short term but significant </w:t>
      </w:r>
      <w:r w:rsidRPr="00BD798F">
        <w:t>cost pressures</w:t>
      </w:r>
      <w:r>
        <w:t xml:space="preserve"> to meet new requirements </w:t>
      </w:r>
      <w:r w:rsidR="00361C02">
        <w:t xml:space="preserve">for their gambling operations </w:t>
      </w:r>
      <w:r>
        <w:t>relating to:</w:t>
      </w:r>
    </w:p>
    <w:p w:rsidR="008967BA" w:rsidRDefault="00C44C46" w:rsidP="008967BA">
      <w:pPr>
        <w:pStyle w:val="ListParagraph"/>
        <w:numPr>
          <w:ilvl w:val="0"/>
          <w:numId w:val="28"/>
        </w:numPr>
        <w:ind w:left="993" w:hanging="426"/>
      </w:pPr>
      <w:r>
        <w:t xml:space="preserve">bank </w:t>
      </w:r>
      <w:r w:rsidRPr="00BD798F">
        <w:t>note acceptors</w:t>
      </w:r>
      <w:r w:rsidR="00F0034A">
        <w:t xml:space="preserve"> on gaming machines</w:t>
      </w:r>
      <w:r w:rsidR="008967BA">
        <w:t>;</w:t>
      </w:r>
      <w:r w:rsidR="008967BA" w:rsidRPr="00BD798F">
        <w:t xml:space="preserve"> and </w:t>
      </w:r>
    </w:p>
    <w:p w:rsidR="008967BA" w:rsidRPr="00BD798F" w:rsidRDefault="00C44C46" w:rsidP="008967BA">
      <w:pPr>
        <w:pStyle w:val="ListParagraph"/>
        <w:numPr>
          <w:ilvl w:val="0"/>
          <w:numId w:val="28"/>
        </w:numPr>
        <w:ind w:left="993" w:hanging="426"/>
      </w:pPr>
      <w:proofErr w:type="gramStart"/>
      <w:r w:rsidRPr="00BD798F">
        <w:t>jackpot</w:t>
      </w:r>
      <w:proofErr w:type="gramEnd"/>
      <w:r w:rsidRPr="00BD798F">
        <w:t xml:space="preserve"> </w:t>
      </w:r>
      <w:r w:rsidR="00F0034A">
        <w:t>devices</w:t>
      </w:r>
      <w:r w:rsidR="008967BA" w:rsidRPr="00BD798F">
        <w:t>.</w:t>
      </w:r>
    </w:p>
    <w:p w:rsidR="00C44C46" w:rsidRDefault="00C44C46" w:rsidP="00C44C46">
      <w:pPr>
        <w:pStyle w:val="Heading4"/>
      </w:pPr>
      <w:r>
        <w:lastRenderedPageBreak/>
        <w:t>Introduction of new banknotes by the Reserve Bank of New Zealand</w:t>
      </w:r>
    </w:p>
    <w:p w:rsidR="005F71C1" w:rsidRDefault="004A26C9" w:rsidP="00C44C46">
      <w:pPr>
        <w:pStyle w:val="ListParagraph"/>
        <w:numPr>
          <w:ilvl w:val="0"/>
          <w:numId w:val="27"/>
        </w:numPr>
        <w:ind w:left="567" w:hanging="567"/>
      </w:pPr>
      <w:r>
        <w:t>Banknote acceptors are a device installed in gaming machines to rea</w:t>
      </w:r>
      <w:r w:rsidR="00751795">
        <w:t>d the banknote that has been fe</w:t>
      </w:r>
      <w:r>
        <w:t>d into the machine.</w:t>
      </w:r>
      <w:r w:rsidRPr="00BD798F">
        <w:t xml:space="preserve"> </w:t>
      </w:r>
      <w:r w:rsidR="00C44C46">
        <w:t xml:space="preserve">The Reserve Bank of </w:t>
      </w:r>
      <w:r w:rsidR="00C44C46" w:rsidRPr="00BD798F">
        <w:t xml:space="preserve">New Zealand </w:t>
      </w:r>
      <w:r w:rsidR="00C44C46">
        <w:t xml:space="preserve">is introducing new </w:t>
      </w:r>
      <w:r w:rsidR="00C44C46" w:rsidRPr="00BD798F">
        <w:t>banknotes</w:t>
      </w:r>
      <w:r w:rsidR="00C44C46">
        <w:t xml:space="preserve"> </w:t>
      </w:r>
      <w:r w:rsidR="00C44C46" w:rsidRPr="00BD798F">
        <w:t xml:space="preserve">into circulation </w:t>
      </w:r>
      <w:r>
        <w:t xml:space="preserve">from late 2015 that will require the replacement of about half </w:t>
      </w:r>
      <w:r w:rsidR="00C44C46" w:rsidRPr="00BD798F">
        <w:t xml:space="preserve">of </w:t>
      </w:r>
      <w:r w:rsidR="00C44C46">
        <w:t xml:space="preserve">the current </w:t>
      </w:r>
      <w:r w:rsidR="00C44C46" w:rsidRPr="00BD798F">
        <w:t>gaming machines</w:t>
      </w:r>
      <w:r>
        <w:t>’ bankn</w:t>
      </w:r>
      <w:r w:rsidRPr="00BD798F">
        <w:t xml:space="preserve">ote </w:t>
      </w:r>
      <w:r>
        <w:t>a</w:t>
      </w:r>
      <w:r w:rsidRPr="00BD798F">
        <w:t>cceptors</w:t>
      </w:r>
      <w:r w:rsidR="00C44C46" w:rsidRPr="00BD798F">
        <w:t xml:space="preserve">. </w:t>
      </w:r>
    </w:p>
    <w:p w:rsidR="00C44C46" w:rsidRPr="00BD798F" w:rsidRDefault="00C44C46" w:rsidP="00C44C46">
      <w:pPr>
        <w:pStyle w:val="ListParagraph"/>
        <w:numPr>
          <w:ilvl w:val="0"/>
          <w:numId w:val="27"/>
        </w:numPr>
        <w:ind w:left="567" w:hanging="567"/>
      </w:pPr>
      <w:r w:rsidRPr="00BD798F">
        <w:t xml:space="preserve">Almost all gaming machines will also require a </w:t>
      </w:r>
      <w:r>
        <w:t xml:space="preserve">software </w:t>
      </w:r>
      <w:r w:rsidRPr="00BD798F">
        <w:t xml:space="preserve">upgrade as a result of </w:t>
      </w:r>
      <w:r w:rsidR="004A26C9">
        <w:t>the new bank</w:t>
      </w:r>
      <w:r>
        <w:t xml:space="preserve">notes, </w:t>
      </w:r>
      <w:r w:rsidRPr="00BD798F">
        <w:t xml:space="preserve">regardless of </w:t>
      </w:r>
      <w:r>
        <w:t>whether a new b</w:t>
      </w:r>
      <w:r w:rsidR="004A26C9">
        <w:t>ank</w:t>
      </w:r>
      <w:r>
        <w:t>n</w:t>
      </w:r>
      <w:r w:rsidRPr="00BD798F">
        <w:t xml:space="preserve">ote </w:t>
      </w:r>
      <w:r>
        <w:t>acceptor has been installed in the gaming machine</w:t>
      </w:r>
      <w:r w:rsidRPr="00BD798F">
        <w:t xml:space="preserve">.  </w:t>
      </w:r>
    </w:p>
    <w:p w:rsidR="007025A4" w:rsidRDefault="007025A4" w:rsidP="007025A4">
      <w:pPr>
        <w:pStyle w:val="Heading4"/>
      </w:pPr>
      <w:r>
        <w:t>New technical requirements for gaming machine jackpots</w:t>
      </w:r>
    </w:p>
    <w:p w:rsidR="008967BA" w:rsidRPr="00BD798F" w:rsidRDefault="008967BA" w:rsidP="008967BA">
      <w:pPr>
        <w:pStyle w:val="ListParagraph"/>
        <w:numPr>
          <w:ilvl w:val="0"/>
          <w:numId w:val="27"/>
        </w:numPr>
        <w:ind w:left="567" w:hanging="567"/>
      </w:pPr>
      <w:r w:rsidRPr="008967BA">
        <w:t xml:space="preserve">A new version of the </w:t>
      </w:r>
      <w:r w:rsidRPr="004A26C9">
        <w:rPr>
          <w:i/>
        </w:rPr>
        <w:t>Minimum Technical Requirements for Class 4 Linked Jackpot Systems</w:t>
      </w:r>
      <w:r w:rsidRPr="008967BA">
        <w:t xml:space="preserve"> was notified in the </w:t>
      </w:r>
      <w:r w:rsidRPr="004A26C9">
        <w:rPr>
          <w:i/>
        </w:rPr>
        <w:t>New Zealand Gazette</w:t>
      </w:r>
      <w:r w:rsidRPr="008967BA">
        <w:t xml:space="preserve"> and took effect from 2 December 2010</w:t>
      </w:r>
      <w:r>
        <w:t xml:space="preserve">. </w:t>
      </w:r>
      <w:r w:rsidR="00B92110">
        <w:t>Under t</w:t>
      </w:r>
      <w:r>
        <w:t xml:space="preserve">his technical requirement </w:t>
      </w:r>
      <w:r w:rsidRPr="008967BA">
        <w:t xml:space="preserve">all </w:t>
      </w:r>
      <w:r w:rsidR="00B92110">
        <w:t xml:space="preserve">new jackpots must be ‘downloadable’. This means that when a </w:t>
      </w:r>
      <w:r>
        <w:t xml:space="preserve">jackpot </w:t>
      </w:r>
      <w:r w:rsidR="00B92110">
        <w:t xml:space="preserve">in a class 4 </w:t>
      </w:r>
      <w:proofErr w:type="gramStart"/>
      <w:r w:rsidR="00B92110">
        <w:t>venue</w:t>
      </w:r>
      <w:proofErr w:type="gramEnd"/>
      <w:r w:rsidR="00B92110">
        <w:t xml:space="preserve"> is </w:t>
      </w:r>
      <w:r w:rsidR="004A26C9">
        <w:t>struck</w:t>
      </w:r>
      <w:r w:rsidR="00B92110">
        <w:t xml:space="preserve">, </w:t>
      </w:r>
      <w:r w:rsidR="004A26C9">
        <w:t>the jackpot winnings are</w:t>
      </w:r>
      <w:r w:rsidR="00B92110">
        <w:t xml:space="preserve"> </w:t>
      </w:r>
      <w:r>
        <w:t xml:space="preserve">downloaded to the gaming machine that the gambler won the jackpot on, rather than </w:t>
      </w:r>
      <w:r w:rsidR="00B92110">
        <w:t>being separately paid out in cash by venue staff. E</w:t>
      </w:r>
      <w:r w:rsidRPr="008967BA">
        <w:t xml:space="preserve">xisting, licensed non-downloadable jackpots </w:t>
      </w:r>
      <w:r w:rsidR="00B92110">
        <w:t xml:space="preserve">are permitted to be </w:t>
      </w:r>
      <w:r w:rsidRPr="008967BA">
        <w:t>operate</w:t>
      </w:r>
      <w:r w:rsidR="00B92110">
        <w:t>d in class 4 venues</w:t>
      </w:r>
      <w:r w:rsidRPr="008967BA">
        <w:t xml:space="preserve"> until 1 December 2015</w:t>
      </w:r>
      <w:r w:rsidR="00B92110">
        <w:t>.</w:t>
      </w:r>
    </w:p>
    <w:p w:rsidR="0077080E" w:rsidRDefault="00CF428B" w:rsidP="0077080E">
      <w:pPr>
        <w:pStyle w:val="ListParagraph"/>
        <w:numPr>
          <w:ilvl w:val="0"/>
          <w:numId w:val="27"/>
        </w:numPr>
        <w:ind w:left="567" w:hanging="567"/>
      </w:pPr>
      <w:r w:rsidRPr="00BD798F">
        <w:t>This change has been foreshadowed for a number of years</w:t>
      </w:r>
      <w:r w:rsidR="00B92110">
        <w:t xml:space="preserve">. However </w:t>
      </w:r>
      <w:r w:rsidR="007025A4" w:rsidRPr="00BD798F">
        <w:t xml:space="preserve">around </w:t>
      </w:r>
      <w:r w:rsidR="0061158C">
        <w:t>111</w:t>
      </w:r>
      <w:r w:rsidR="007025A4" w:rsidRPr="00BD798F">
        <w:t xml:space="preserve"> non-downloadable jackpot machines </w:t>
      </w:r>
      <w:r w:rsidR="00B92110">
        <w:t xml:space="preserve">are still in operation </w:t>
      </w:r>
      <w:r w:rsidR="007025A4" w:rsidRPr="00BD798F">
        <w:t xml:space="preserve">by </w:t>
      </w:r>
      <w:r w:rsidR="0061158C">
        <w:t>72 club</w:t>
      </w:r>
      <w:r w:rsidR="00680851">
        <w:t xml:space="preserve"> and non-club </w:t>
      </w:r>
      <w:r w:rsidR="00B92110">
        <w:t xml:space="preserve">societies, and these will need to be removed </w:t>
      </w:r>
      <w:r w:rsidR="00751795">
        <w:t xml:space="preserve">and potentially replaced </w:t>
      </w:r>
      <w:r w:rsidR="007025A4" w:rsidRPr="00BD798F">
        <w:t>by 1 December 2015</w:t>
      </w:r>
      <w:r w:rsidR="00B92110">
        <w:t>.</w:t>
      </w:r>
    </w:p>
    <w:p w:rsidR="00EE6141" w:rsidRPr="00E70497" w:rsidRDefault="00EE6141" w:rsidP="003F69AB"/>
    <w:p w:rsidR="00B23A1E" w:rsidRPr="00BD798F" w:rsidRDefault="00B23A1E" w:rsidP="007025A4"/>
    <w:p w:rsidR="00D063BB" w:rsidRDefault="00053BAA" w:rsidP="007025A4">
      <w:pPr>
        <w:pStyle w:val="Heading1"/>
      </w:pPr>
      <w:bookmarkStart w:id="15" w:name="_Toc431908620"/>
      <w:r>
        <w:lastRenderedPageBreak/>
        <w:t>Can societies meet the minimum rate and absorb costs?</w:t>
      </w:r>
      <w:bookmarkEnd w:id="15"/>
    </w:p>
    <w:p w:rsidR="005F71C1" w:rsidRDefault="005F71C1" w:rsidP="005F71C1">
      <w:pPr>
        <w:pStyle w:val="Heading2"/>
      </w:pPr>
      <w:bookmarkStart w:id="16" w:name="_Toc431908621"/>
      <w:r>
        <w:t>Consultation on gambling fees showed sector concerns about meeting costs and the minimum rate</w:t>
      </w:r>
      <w:bookmarkEnd w:id="16"/>
    </w:p>
    <w:p w:rsidR="005F71C1" w:rsidRDefault="005F71C1" w:rsidP="005F71C1">
      <w:pPr>
        <w:pStyle w:val="ListParagraph"/>
        <w:numPr>
          <w:ilvl w:val="0"/>
          <w:numId w:val="27"/>
        </w:numPr>
        <w:ind w:left="567" w:hanging="567"/>
      </w:pPr>
      <w:r>
        <w:t xml:space="preserve">The Department consulted class 4 societies on proposed increases in gambling fees earlier this year, both in a submission process and in direct engagement through meetings with the class 4 working party (appointed by the sector to engage with the Department on the fee proposals). </w:t>
      </w:r>
    </w:p>
    <w:p w:rsidR="005F71C1" w:rsidRDefault="005F71C1" w:rsidP="005F71C1">
      <w:pPr>
        <w:pStyle w:val="ListParagraph"/>
        <w:numPr>
          <w:ilvl w:val="0"/>
          <w:numId w:val="27"/>
        </w:numPr>
        <w:ind w:left="567" w:hanging="567"/>
      </w:pPr>
      <w:r>
        <w:t xml:space="preserve">Overall, societies’ </w:t>
      </w:r>
      <w:r w:rsidRPr="00BD798F">
        <w:t xml:space="preserve">view </w:t>
      </w:r>
      <w:r>
        <w:t xml:space="preserve">was </w:t>
      </w:r>
      <w:r w:rsidRPr="00BD798F">
        <w:t>that if fees increased, the minimum rate should be adjusted</w:t>
      </w:r>
      <w:r>
        <w:t>, because</w:t>
      </w:r>
      <w:r w:rsidRPr="00BD798F">
        <w:t xml:space="preserve"> fees would have a significant impact on the</w:t>
      </w:r>
      <w:r>
        <w:t>ir</w:t>
      </w:r>
      <w:r w:rsidRPr="00BD798F">
        <w:t xml:space="preserve"> ability to meet </w:t>
      </w:r>
      <w:r>
        <w:t xml:space="preserve">future </w:t>
      </w:r>
      <w:r w:rsidRPr="00BD798F">
        <w:t>increases</w:t>
      </w:r>
      <w:r w:rsidR="003C2630">
        <w:t xml:space="preserve"> in</w:t>
      </w:r>
      <w:r w:rsidRPr="00BD798F">
        <w:t xml:space="preserve"> the minimum rate.</w:t>
      </w:r>
      <w:r>
        <w:t xml:space="preserve"> Societies contended that in order to pay their fees and still meet the minimum rate, they will be forced to </w:t>
      </w:r>
      <w:r w:rsidR="002C48D1">
        <w:t xml:space="preserve">remove their </w:t>
      </w:r>
      <w:r w:rsidR="00A833FA">
        <w:t xml:space="preserve">gaming </w:t>
      </w:r>
      <w:r w:rsidR="00177D50">
        <w:t xml:space="preserve">machines from </w:t>
      </w:r>
      <w:r>
        <w:t xml:space="preserve">high cost venues. This would reduce the </w:t>
      </w:r>
      <w:r w:rsidR="003C2630">
        <w:t xml:space="preserve">overall </w:t>
      </w:r>
      <w:r>
        <w:t xml:space="preserve">amount of funding available to be returned to communities. </w:t>
      </w:r>
    </w:p>
    <w:p w:rsidR="00FA504D" w:rsidRDefault="00FA504D" w:rsidP="00FA504D">
      <w:pPr>
        <w:pStyle w:val="Heading2"/>
      </w:pPr>
      <w:bookmarkStart w:id="17" w:name="_Toc431908622"/>
      <w:r>
        <w:t xml:space="preserve">Is the </w:t>
      </w:r>
      <w:r w:rsidR="00DB080C">
        <w:t xml:space="preserve">class 4 </w:t>
      </w:r>
      <w:r>
        <w:t>sector meeting the current minimum rate?</w:t>
      </w:r>
      <w:bookmarkEnd w:id="17"/>
    </w:p>
    <w:p w:rsidR="00FA504D" w:rsidRDefault="00801652" w:rsidP="0030340E">
      <w:pPr>
        <w:pStyle w:val="ListParagraph"/>
        <w:numPr>
          <w:ilvl w:val="0"/>
          <w:numId w:val="27"/>
        </w:numPr>
        <w:ind w:left="567" w:hanging="567"/>
      </w:pPr>
      <w:r>
        <w:t>T</w:t>
      </w:r>
      <w:r w:rsidR="0082251D">
        <w:t>he</w:t>
      </w:r>
      <w:r w:rsidR="00367E65">
        <w:t xml:space="preserve"> most recent and complete data </w:t>
      </w:r>
      <w:r w:rsidR="00390FA4">
        <w:t xml:space="preserve">on societies’ financial information </w:t>
      </w:r>
      <w:r w:rsidR="00367E65">
        <w:t xml:space="preserve">held by the Department is for 2014. </w:t>
      </w:r>
    </w:p>
    <w:p w:rsidR="00801652" w:rsidRPr="00CA44EC" w:rsidRDefault="0030340E" w:rsidP="00FA504D">
      <w:pPr>
        <w:pStyle w:val="ListParagraph"/>
        <w:numPr>
          <w:ilvl w:val="0"/>
          <w:numId w:val="27"/>
        </w:numPr>
        <w:ind w:left="567" w:hanging="567"/>
      </w:pPr>
      <w:r w:rsidRPr="00CA44EC">
        <w:t>In 2014, for societies that distribute funds</w:t>
      </w:r>
      <w:r w:rsidR="00CA44EC">
        <w:t xml:space="preserve"> the </w:t>
      </w:r>
      <w:r w:rsidRPr="00CA44EC">
        <w:t>average rate of return was 4</w:t>
      </w:r>
      <w:r w:rsidR="00CA44EC">
        <w:t>1.77</w:t>
      </w:r>
      <w:r w:rsidRPr="00CA44EC">
        <w:t xml:space="preserve"> per cent (of GST-exclusive gross proceeds), with a range from 37.36 to 51.39 per cent (of GST-exclusive gross proceeds).  </w:t>
      </w:r>
    </w:p>
    <w:p w:rsidR="00367E65" w:rsidRDefault="002C31ED" w:rsidP="00FA504D">
      <w:pPr>
        <w:pStyle w:val="ListParagraph"/>
        <w:numPr>
          <w:ilvl w:val="0"/>
          <w:numId w:val="27"/>
        </w:numPr>
        <w:ind w:left="567" w:hanging="567"/>
      </w:pPr>
      <w:r>
        <w:t>Over this time, b</w:t>
      </w:r>
      <w:r w:rsidR="00367E65">
        <w:t>ecause of societies’ differing financial years</w:t>
      </w:r>
      <w:r w:rsidR="00EE141C">
        <w:t>,</w:t>
      </w:r>
      <w:r w:rsidR="00367E65">
        <w:t xml:space="preserve"> </w:t>
      </w:r>
      <w:r w:rsidR="00EE141C">
        <w:t>s</w:t>
      </w:r>
      <w:r w:rsidR="00367E65" w:rsidRPr="0030340E">
        <w:t xml:space="preserve">ome societies were required to meet </w:t>
      </w:r>
      <w:r w:rsidR="00EE141C">
        <w:t xml:space="preserve">the previous </w:t>
      </w:r>
      <w:r w:rsidR="00367E65" w:rsidRPr="0030340E">
        <w:t>minimum rate of 37.12 per cent, while others were required to meet a minimum of 40 per cent</w:t>
      </w:r>
      <w:r w:rsidR="00367E65">
        <w:t>.</w:t>
      </w:r>
      <w:r w:rsidR="00EE141C">
        <w:t xml:space="preserve"> From September 2015, all societies </w:t>
      </w:r>
      <w:r w:rsidR="00410C31">
        <w:t>are</w:t>
      </w:r>
      <w:r w:rsidR="00EE141C">
        <w:t xml:space="preserve"> required to meet 40 per cent.</w:t>
      </w:r>
    </w:p>
    <w:p w:rsidR="003C2630" w:rsidRDefault="003C2630" w:rsidP="00904DB7">
      <w:pPr>
        <w:pStyle w:val="Heading2"/>
      </w:pPr>
      <w:bookmarkStart w:id="18" w:name="_Toc431908623"/>
      <w:r>
        <w:t xml:space="preserve">Uncertainty about the impact of </w:t>
      </w:r>
      <w:r w:rsidR="00775D50">
        <w:t xml:space="preserve">recent </w:t>
      </w:r>
      <w:r>
        <w:t>cost pressures on societies</w:t>
      </w:r>
      <w:bookmarkEnd w:id="18"/>
    </w:p>
    <w:p w:rsidR="003C2630" w:rsidRDefault="003C2630" w:rsidP="003C2630">
      <w:pPr>
        <w:pStyle w:val="ListParagraph"/>
        <w:numPr>
          <w:ilvl w:val="0"/>
          <w:numId w:val="27"/>
        </w:numPr>
        <w:ind w:left="567" w:hanging="567"/>
      </w:pPr>
      <w:r>
        <w:t xml:space="preserve">It is difficult to quantify the impact of </w:t>
      </w:r>
      <w:r w:rsidR="007E408E">
        <w:t xml:space="preserve">the identified </w:t>
      </w:r>
      <w:r>
        <w:t>cost pressures on societies’ ability to meet the minimum rate</w:t>
      </w:r>
      <w:r w:rsidR="00236438">
        <w:t>.</w:t>
      </w:r>
      <w:r>
        <w:t xml:space="preserve"> </w:t>
      </w:r>
      <w:r w:rsidR="00236438">
        <w:t xml:space="preserve">This is </w:t>
      </w:r>
      <w:r>
        <w:t xml:space="preserve">because of </w:t>
      </w:r>
      <w:r w:rsidR="00F43EB1">
        <w:t xml:space="preserve">the differing </w:t>
      </w:r>
      <w:r w:rsidR="00236438">
        <w:t xml:space="preserve">society </w:t>
      </w:r>
      <w:r w:rsidRPr="00053BAA">
        <w:t>cost structures, operating models and types of venues</w:t>
      </w:r>
      <w:r w:rsidR="00F43EB1">
        <w:t>. Generally, societies with high revenue venues or low cost operating models will be best placed to absorb the increased costs.</w:t>
      </w:r>
    </w:p>
    <w:p w:rsidR="006C073F" w:rsidRDefault="006C073F" w:rsidP="00831388">
      <w:pPr>
        <w:pStyle w:val="ListParagraph"/>
        <w:numPr>
          <w:ilvl w:val="0"/>
          <w:numId w:val="27"/>
        </w:numPr>
        <w:ind w:left="567" w:hanging="567"/>
      </w:pPr>
      <w:r>
        <w:t>Other uncertainties</w:t>
      </w:r>
      <w:r w:rsidR="0082251D">
        <w:t xml:space="preserve"> arise </w:t>
      </w:r>
      <w:r w:rsidR="003F60BF">
        <w:t xml:space="preserve">in relation to the jackpot machine and banknote acceptor changes </w:t>
      </w:r>
      <w:r>
        <w:t>because:</w:t>
      </w:r>
    </w:p>
    <w:p w:rsidR="00831388" w:rsidRDefault="0082251D" w:rsidP="006C073F">
      <w:pPr>
        <w:pStyle w:val="ListParagraph"/>
        <w:numPr>
          <w:ilvl w:val="0"/>
          <w:numId w:val="28"/>
        </w:numPr>
        <w:ind w:left="993" w:hanging="426"/>
      </w:pPr>
      <w:r>
        <w:t>i</w:t>
      </w:r>
      <w:r w:rsidR="00831388">
        <w:t>t is open to societies to</w:t>
      </w:r>
      <w:r w:rsidR="00831388" w:rsidRPr="00BD798F">
        <w:t xml:space="preserve"> </w:t>
      </w:r>
      <w:r w:rsidR="003F60BF">
        <w:t xml:space="preserve">treat these costs </w:t>
      </w:r>
      <w:r w:rsidR="00831388">
        <w:t xml:space="preserve">as either a capital cost (and </w:t>
      </w:r>
      <w:r w:rsidR="00831388" w:rsidRPr="00BD798F">
        <w:t>potentially spread over a long period if financed</w:t>
      </w:r>
      <w:r w:rsidR="00831388">
        <w:t>), or as a one-off operating cost</w:t>
      </w:r>
      <w:r w:rsidR="006C073F">
        <w:t>; and</w:t>
      </w:r>
    </w:p>
    <w:p w:rsidR="006C073F" w:rsidRDefault="003F60BF" w:rsidP="006C073F">
      <w:pPr>
        <w:pStyle w:val="ListParagraph"/>
        <w:numPr>
          <w:ilvl w:val="0"/>
          <w:numId w:val="28"/>
        </w:numPr>
        <w:ind w:left="993" w:hanging="426"/>
      </w:pPr>
      <w:proofErr w:type="gramStart"/>
      <w:r>
        <w:t>for</w:t>
      </w:r>
      <w:proofErr w:type="gramEnd"/>
      <w:r>
        <w:t xml:space="preserve"> banknote acceptors, </w:t>
      </w:r>
      <w:r w:rsidR="006C073F">
        <w:t xml:space="preserve">some societies are likely to have already absorbed some </w:t>
      </w:r>
      <w:r>
        <w:t xml:space="preserve">or all of these </w:t>
      </w:r>
      <w:r w:rsidR="006C073F">
        <w:t xml:space="preserve">costs by </w:t>
      </w:r>
      <w:r>
        <w:t xml:space="preserve">having bought </w:t>
      </w:r>
      <w:r w:rsidR="006C073F">
        <w:t>gaming machines</w:t>
      </w:r>
      <w:r>
        <w:t xml:space="preserve"> that are compliant</w:t>
      </w:r>
      <w:r w:rsidR="006C073F">
        <w:t>.</w:t>
      </w:r>
    </w:p>
    <w:p w:rsidR="00831388" w:rsidRDefault="00831388" w:rsidP="00831388">
      <w:pPr>
        <w:pStyle w:val="ListParagraph"/>
        <w:numPr>
          <w:ilvl w:val="0"/>
          <w:numId w:val="27"/>
        </w:numPr>
        <w:ind w:left="567" w:hanging="567"/>
      </w:pPr>
      <w:r>
        <w:t>The broad nature of the impact of the cost pressures are described below.</w:t>
      </w:r>
    </w:p>
    <w:p w:rsidR="00F43EB1" w:rsidRDefault="00F43EB1" w:rsidP="00F43EB1">
      <w:pPr>
        <w:pStyle w:val="ListParagraph"/>
        <w:numPr>
          <w:ilvl w:val="0"/>
          <w:numId w:val="28"/>
        </w:numPr>
        <w:ind w:left="993" w:hanging="426"/>
      </w:pPr>
      <w:r w:rsidRPr="00F43EB1">
        <w:rPr>
          <w:b/>
        </w:rPr>
        <w:lastRenderedPageBreak/>
        <w:t>Gambling fees increases</w:t>
      </w:r>
      <w:r>
        <w:t>—</w:t>
      </w:r>
      <w:r w:rsidRPr="00F43EB1">
        <w:t xml:space="preserve"> </w:t>
      </w:r>
      <w:r>
        <w:t xml:space="preserve">will impact all societies equally. For the sector as a whole, gambling fees will increase from 2 per cent to just over 3 per cent of </w:t>
      </w:r>
      <w:r w:rsidR="00654485">
        <w:br/>
      </w:r>
      <w:r>
        <w:t>GST-exclusive gross proceeds.</w:t>
      </w:r>
    </w:p>
    <w:p w:rsidR="006C073F" w:rsidRDefault="006C073F" w:rsidP="00F43EB1">
      <w:pPr>
        <w:pStyle w:val="ListParagraph"/>
        <w:numPr>
          <w:ilvl w:val="0"/>
          <w:numId w:val="28"/>
        </w:numPr>
        <w:ind w:left="993" w:hanging="426"/>
      </w:pPr>
      <w:r w:rsidRPr="00F43EB1">
        <w:rPr>
          <w:b/>
        </w:rPr>
        <w:t>Banknote acceptors</w:t>
      </w:r>
      <w:r>
        <w:t>—the impact of the cost of new banknote acceptors and associated software is widespread but will still vary in the way it affects different societies.</w:t>
      </w:r>
      <w:r w:rsidRPr="00BD798F">
        <w:t xml:space="preserve"> </w:t>
      </w:r>
      <w:r w:rsidR="0029572E">
        <w:t>T</w:t>
      </w:r>
      <w:r>
        <w:t xml:space="preserve">he </w:t>
      </w:r>
      <w:r w:rsidR="0029572E">
        <w:t xml:space="preserve">estimated </w:t>
      </w:r>
      <w:r>
        <w:t xml:space="preserve">maximum cost </w:t>
      </w:r>
      <w:r w:rsidR="0029572E">
        <w:t>would be</w:t>
      </w:r>
      <w:r>
        <w:t xml:space="preserve"> </w:t>
      </w:r>
      <w:r w:rsidRPr="0029572E">
        <w:t>$</w:t>
      </w:r>
      <w:r w:rsidR="0029572E" w:rsidRPr="0029572E">
        <w:t>8</w:t>
      </w:r>
      <w:r w:rsidR="0029572E">
        <w:t>.4 million</w:t>
      </w:r>
      <w:r>
        <w:t xml:space="preserve">, which represents approximately </w:t>
      </w:r>
      <w:r w:rsidR="0029572E" w:rsidRPr="0029572E">
        <w:t>1.37 per cent</w:t>
      </w:r>
      <w:r w:rsidR="0029572E">
        <w:t xml:space="preserve"> </w:t>
      </w:r>
      <w:r>
        <w:t>per cent of GST-</w:t>
      </w:r>
      <w:r w:rsidRPr="00BD798F">
        <w:t xml:space="preserve">exclusive </w:t>
      </w:r>
      <w:r>
        <w:t xml:space="preserve">gross </w:t>
      </w:r>
      <w:r w:rsidRPr="00BD798F">
        <w:t>proceeds</w:t>
      </w:r>
      <w:r w:rsidR="0029572E">
        <w:t xml:space="preserve"> for </w:t>
      </w:r>
      <w:r w:rsidR="0029572E" w:rsidRPr="00BD798F">
        <w:t xml:space="preserve">the </w:t>
      </w:r>
      <w:r w:rsidR="00654485">
        <w:br/>
      </w:r>
      <w:r w:rsidR="0029572E" w:rsidRPr="0029572E">
        <w:rPr>
          <w:b/>
        </w:rPr>
        <w:t>non-club</w:t>
      </w:r>
      <w:r w:rsidR="0029572E">
        <w:t xml:space="preserve"> </w:t>
      </w:r>
      <w:r w:rsidR="0029572E" w:rsidRPr="00BD798F">
        <w:t>sector</w:t>
      </w:r>
      <w:r>
        <w:t xml:space="preserve">. </w:t>
      </w:r>
    </w:p>
    <w:p w:rsidR="00CB17E2" w:rsidRDefault="00F43EB1" w:rsidP="00CB17E2">
      <w:pPr>
        <w:pStyle w:val="ListParagraph"/>
        <w:numPr>
          <w:ilvl w:val="0"/>
          <w:numId w:val="28"/>
        </w:numPr>
        <w:ind w:left="993" w:hanging="426"/>
      </w:pPr>
      <w:r w:rsidRPr="00F43EB1">
        <w:rPr>
          <w:b/>
        </w:rPr>
        <w:t>Downloadable jackpots</w:t>
      </w:r>
      <w:r>
        <w:t xml:space="preserve">—costs will vary for some societies depending on whether they </w:t>
      </w:r>
      <w:r w:rsidR="00236438">
        <w:t xml:space="preserve">currently </w:t>
      </w:r>
      <w:r>
        <w:t xml:space="preserve">still operate non-downloadable jackpot machines and whether </w:t>
      </w:r>
      <w:r w:rsidR="00236438">
        <w:t xml:space="preserve">those societies </w:t>
      </w:r>
      <w:r>
        <w:t xml:space="preserve">decide to replace these machines or not. The impact </w:t>
      </w:r>
      <w:r w:rsidR="00236438">
        <w:t xml:space="preserve">of these costs </w:t>
      </w:r>
      <w:r w:rsidR="00FA504D">
        <w:t xml:space="preserve">on the sector as a whole </w:t>
      </w:r>
      <w:r>
        <w:t>is nil if no societies replace these machines</w:t>
      </w:r>
      <w:r w:rsidR="006C073F">
        <w:t>. The</w:t>
      </w:r>
      <w:r>
        <w:t xml:space="preserve"> </w:t>
      </w:r>
      <w:r w:rsidR="0029572E">
        <w:t xml:space="preserve">estimated </w:t>
      </w:r>
      <w:r>
        <w:t xml:space="preserve">maximum cost </w:t>
      </w:r>
      <w:r w:rsidR="006C073F">
        <w:t xml:space="preserve">to the sector would be </w:t>
      </w:r>
      <w:r w:rsidR="00CE06DB">
        <w:t xml:space="preserve">approximately </w:t>
      </w:r>
      <w:r w:rsidRPr="0029572E">
        <w:t>$</w:t>
      </w:r>
      <w:r w:rsidR="0029572E" w:rsidRPr="0029572E">
        <w:t>2.3 million</w:t>
      </w:r>
      <w:r>
        <w:t xml:space="preserve"> if all machines were replaced</w:t>
      </w:r>
      <w:r w:rsidR="006C073F">
        <w:t xml:space="preserve">, which </w:t>
      </w:r>
      <w:r w:rsidR="00831388">
        <w:t xml:space="preserve">represents approximately </w:t>
      </w:r>
      <w:r w:rsidR="00831388" w:rsidRPr="0029572E">
        <w:t>0.37 per cent of</w:t>
      </w:r>
      <w:r w:rsidR="00831388">
        <w:t xml:space="preserve"> </w:t>
      </w:r>
      <w:r w:rsidR="00654485">
        <w:br/>
      </w:r>
      <w:r w:rsidR="00831388">
        <w:t>GST-</w:t>
      </w:r>
      <w:r w:rsidR="00831388" w:rsidRPr="00BD798F">
        <w:t xml:space="preserve">exclusive </w:t>
      </w:r>
      <w:r w:rsidR="00831388">
        <w:t xml:space="preserve">gross </w:t>
      </w:r>
      <w:r w:rsidR="00831388" w:rsidRPr="00BD798F">
        <w:t>proceeds</w:t>
      </w:r>
      <w:r w:rsidR="0029572E">
        <w:t xml:space="preserve"> for </w:t>
      </w:r>
      <w:r w:rsidR="0029572E" w:rsidRPr="00BD798F">
        <w:t xml:space="preserve">the </w:t>
      </w:r>
      <w:r w:rsidR="0029572E" w:rsidRPr="0029572E">
        <w:rPr>
          <w:b/>
        </w:rPr>
        <w:t>non-club</w:t>
      </w:r>
      <w:r w:rsidR="0029572E">
        <w:t xml:space="preserve"> </w:t>
      </w:r>
      <w:r w:rsidR="0029572E" w:rsidRPr="00BD798F">
        <w:t>sector</w:t>
      </w:r>
      <w:r w:rsidR="00831388">
        <w:t>.</w:t>
      </w:r>
    </w:p>
    <w:p w:rsidR="00904DB7" w:rsidRDefault="00904DB7" w:rsidP="00904DB7">
      <w:pPr>
        <w:pStyle w:val="Heading2"/>
      </w:pPr>
      <w:bookmarkStart w:id="19" w:name="_Toc431908624"/>
      <w:r>
        <w:t xml:space="preserve">Risks </w:t>
      </w:r>
      <w:r w:rsidR="002831B8">
        <w:t xml:space="preserve">when </w:t>
      </w:r>
      <w:r>
        <w:t xml:space="preserve">the minimum rate </w:t>
      </w:r>
      <w:r w:rsidR="007C3D6D">
        <w:t>and costs increase</w:t>
      </w:r>
      <w:bookmarkEnd w:id="19"/>
    </w:p>
    <w:p w:rsidR="009A2BA2" w:rsidRDefault="002831B8" w:rsidP="00831388">
      <w:pPr>
        <w:pStyle w:val="ListParagraph"/>
        <w:numPr>
          <w:ilvl w:val="0"/>
          <w:numId w:val="27"/>
        </w:numPr>
        <w:ind w:left="567" w:hanging="567"/>
      </w:pPr>
      <w:r>
        <w:t xml:space="preserve">When the minimum rate was increased, the key risk identified in </w:t>
      </w:r>
      <w:r w:rsidR="00831388" w:rsidRPr="00E70497">
        <w:t xml:space="preserve">increasing the minimum rate by too much, or too quickly, </w:t>
      </w:r>
      <w:r w:rsidR="00831388">
        <w:t>was a reduction in</w:t>
      </w:r>
      <w:r w:rsidR="00831388" w:rsidRPr="00E70497">
        <w:t xml:space="preserve"> overall returns to authorised purposes. This </w:t>
      </w:r>
      <w:r>
        <w:t xml:space="preserve">would be </w:t>
      </w:r>
      <w:r w:rsidR="00831388" w:rsidRPr="00E70497">
        <w:t>because</w:t>
      </w:r>
      <w:r w:rsidR="009458AA">
        <w:t xml:space="preserve"> societies could</w:t>
      </w:r>
      <w:r w:rsidR="009A2BA2">
        <w:t>:</w:t>
      </w:r>
    </w:p>
    <w:p w:rsidR="002831B8" w:rsidRDefault="00C362BE" w:rsidP="009A2BA2">
      <w:pPr>
        <w:pStyle w:val="ListParagraph"/>
        <w:numPr>
          <w:ilvl w:val="0"/>
          <w:numId w:val="28"/>
        </w:numPr>
        <w:ind w:left="993" w:hanging="426"/>
      </w:pPr>
      <w:r>
        <w:t xml:space="preserve">reduce their costs quickly by </w:t>
      </w:r>
      <w:r w:rsidR="00EE141C">
        <w:t xml:space="preserve">ceasing </w:t>
      </w:r>
      <w:r w:rsidR="00831388" w:rsidRPr="00E70497">
        <w:t>opera</w:t>
      </w:r>
      <w:r w:rsidR="00EE141C">
        <w:t>tions</w:t>
      </w:r>
      <w:r w:rsidR="002831B8">
        <w:t xml:space="preserve"> at low revenue</w:t>
      </w:r>
      <w:r w:rsidR="00831388" w:rsidRPr="00E70497">
        <w:t xml:space="preserve"> venues </w:t>
      </w:r>
      <w:r w:rsidR="006C073F">
        <w:t xml:space="preserve">in order to </w:t>
      </w:r>
      <w:r w:rsidR="00EE141C">
        <w:t xml:space="preserve">reduce their venue costs as a proportion of gross proceeds, and thereby increase </w:t>
      </w:r>
      <w:r w:rsidR="006C073F">
        <w:t>their rate of return</w:t>
      </w:r>
      <w:r w:rsidR="009A2BA2">
        <w:t>; or</w:t>
      </w:r>
    </w:p>
    <w:p w:rsidR="009A2BA2" w:rsidRDefault="009A2BA2" w:rsidP="009A2BA2">
      <w:pPr>
        <w:pStyle w:val="ListParagraph"/>
        <w:numPr>
          <w:ilvl w:val="0"/>
          <w:numId w:val="28"/>
        </w:numPr>
        <w:ind w:left="993" w:hanging="426"/>
      </w:pPr>
      <w:proofErr w:type="gramStart"/>
      <w:r>
        <w:t>exit</w:t>
      </w:r>
      <w:proofErr w:type="gramEnd"/>
      <w:r>
        <w:t xml:space="preserve"> the sector altogether.</w:t>
      </w:r>
    </w:p>
    <w:p w:rsidR="00397335" w:rsidRDefault="002C48D1" w:rsidP="00831388">
      <w:pPr>
        <w:pStyle w:val="ListParagraph"/>
        <w:numPr>
          <w:ilvl w:val="0"/>
          <w:numId w:val="27"/>
        </w:numPr>
        <w:ind w:left="567" w:hanging="567"/>
      </w:pPr>
      <w:r>
        <w:t xml:space="preserve">Between 31 December </w:t>
      </w:r>
      <w:r w:rsidR="00EE141C">
        <w:t>2013</w:t>
      </w:r>
      <w:r>
        <w:t xml:space="preserve"> and</w:t>
      </w:r>
      <w:r w:rsidR="009458AA" w:rsidRPr="009458AA">
        <w:t xml:space="preserve"> 30 June 2015, non-club s</w:t>
      </w:r>
      <w:r w:rsidR="007D5A51" w:rsidRPr="009458AA">
        <w:t xml:space="preserve">ociety numbers </w:t>
      </w:r>
      <w:r w:rsidR="009458AA" w:rsidRPr="009458AA">
        <w:t xml:space="preserve">have dropped from 47 to 39, while </w:t>
      </w:r>
      <w:r w:rsidR="007D5A51" w:rsidRPr="009458AA">
        <w:t xml:space="preserve">venue numbers </w:t>
      </w:r>
      <w:r w:rsidR="009458AA" w:rsidRPr="009458AA">
        <w:t>have reduced from 1,0</w:t>
      </w:r>
      <w:r w:rsidR="00EE141C">
        <w:t>32</w:t>
      </w:r>
      <w:r w:rsidR="009458AA" w:rsidRPr="009458AA">
        <w:t xml:space="preserve"> to 987.</w:t>
      </w:r>
      <w:r w:rsidR="009458AA">
        <w:t xml:space="preserve"> </w:t>
      </w:r>
      <w:r w:rsidR="0063725B">
        <w:t>T</w:t>
      </w:r>
      <w:r w:rsidR="00E73DB2">
        <w:t>he numbers of societies, venues and gaming machines has been steadily declining since the Act came into force</w:t>
      </w:r>
      <w:r w:rsidR="0063725B">
        <w:t xml:space="preserve"> and the trend line has not changed recently. Figure 2 shows the reduction in </w:t>
      </w:r>
      <w:r w:rsidR="00682913">
        <w:t xml:space="preserve">machine and </w:t>
      </w:r>
      <w:r w:rsidR="0063725B">
        <w:t xml:space="preserve">venue numbers. </w:t>
      </w:r>
    </w:p>
    <w:p w:rsidR="004957A1" w:rsidRPr="004276FD" w:rsidRDefault="0063725B" w:rsidP="00397335">
      <w:pPr>
        <w:pStyle w:val="ListParagraph"/>
        <w:numPr>
          <w:ilvl w:val="0"/>
          <w:numId w:val="27"/>
        </w:numPr>
        <w:ind w:left="567" w:hanging="567"/>
      </w:pPr>
      <w:r w:rsidRPr="004276FD">
        <w:t>T</w:t>
      </w:r>
      <w:r w:rsidR="009458AA" w:rsidRPr="004276FD">
        <w:t xml:space="preserve">here </w:t>
      </w:r>
      <w:r w:rsidR="00E73DB2" w:rsidRPr="004276FD">
        <w:t xml:space="preserve">are likely to </w:t>
      </w:r>
      <w:r w:rsidR="009458AA" w:rsidRPr="004276FD">
        <w:t xml:space="preserve">be a variety </w:t>
      </w:r>
      <w:r w:rsidR="00085673">
        <w:t xml:space="preserve">of </w:t>
      </w:r>
      <w:r w:rsidR="009458AA" w:rsidRPr="004276FD">
        <w:t>reasons for this decline rather than just the minimum rate</w:t>
      </w:r>
      <w:r w:rsidR="00E73DB2" w:rsidRPr="004276FD">
        <w:t>.</w:t>
      </w:r>
      <w:r w:rsidR="00397335" w:rsidRPr="004276FD">
        <w:t xml:space="preserve"> </w:t>
      </w:r>
      <w:r w:rsidR="001E3442">
        <w:t xml:space="preserve">For example, declining levels of public participation in class 4 gambling might be a factor too. </w:t>
      </w:r>
      <w:r w:rsidR="00397335" w:rsidRPr="004276FD">
        <w:t>The decline of the sector is being examined in more detail through a broad assessment of the regulatory regime for class 4 gambling. The assessment project was recently announced and more information is available on the Department’s website.</w:t>
      </w:r>
      <w:r w:rsidR="00E73DB2" w:rsidRPr="004276FD">
        <w:t xml:space="preserve"> </w:t>
      </w:r>
    </w:p>
    <w:p w:rsidR="00F11D06" w:rsidRPr="004276FD" w:rsidRDefault="00F11D06" w:rsidP="004276FD"/>
    <w:p w:rsidR="0063725B" w:rsidRDefault="0063725B">
      <w:pPr>
        <w:keepLines w:val="0"/>
        <w:rPr>
          <w:rFonts w:cstheme="minorBidi"/>
          <w:b/>
          <w:sz w:val="22"/>
        </w:rPr>
      </w:pPr>
      <w:r>
        <w:br w:type="page"/>
      </w:r>
    </w:p>
    <w:p w:rsidR="0063725B" w:rsidRPr="008E36D8" w:rsidRDefault="0063725B" w:rsidP="0063725B">
      <w:pPr>
        <w:pStyle w:val="Tableheading2"/>
      </w:pPr>
      <w:r w:rsidRPr="008F5423">
        <w:lastRenderedPageBreak/>
        <w:t xml:space="preserve">Figure </w:t>
      </w:r>
      <w:r>
        <w:t>2</w:t>
      </w:r>
      <w:r w:rsidRPr="008F5423">
        <w:t xml:space="preserve">: </w:t>
      </w:r>
      <w:r>
        <w:t xml:space="preserve">Numbers of </w:t>
      </w:r>
      <w:r w:rsidR="00D6772D">
        <w:t xml:space="preserve">non-club machines and </w:t>
      </w:r>
      <w:r>
        <w:t>venues, 200</w:t>
      </w:r>
      <w:r w:rsidR="00D6772D">
        <w:t>8</w:t>
      </w:r>
      <w:r>
        <w:t>-2015</w:t>
      </w:r>
    </w:p>
    <w:p w:rsidR="0063725B" w:rsidRPr="0063725B" w:rsidRDefault="00D6772D" w:rsidP="0063725B">
      <w:pPr>
        <w:jc w:val="center"/>
      </w:pPr>
      <w:r>
        <w:rPr>
          <w:noProof/>
          <w:lang w:eastAsia="en-NZ"/>
        </w:rPr>
        <w:drawing>
          <wp:inline distT="0" distB="0" distL="0" distR="0" wp14:anchorId="522E8DCC" wp14:editId="5A7BA53A">
            <wp:extent cx="5760085" cy="3470820"/>
            <wp:effectExtent l="0" t="0" r="12065"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957A1" w:rsidRDefault="004C6F87" w:rsidP="004C6F87">
      <w:pPr>
        <w:pStyle w:val="ListParagraph"/>
        <w:numPr>
          <w:ilvl w:val="0"/>
          <w:numId w:val="27"/>
        </w:numPr>
        <w:ind w:left="567" w:hanging="567"/>
      </w:pPr>
      <w:r>
        <w:t xml:space="preserve">A decline in </w:t>
      </w:r>
      <w:r w:rsidR="00791C48">
        <w:t xml:space="preserve">gaming machines and </w:t>
      </w:r>
      <w:r>
        <w:t xml:space="preserve">venues </w:t>
      </w:r>
      <w:r w:rsidR="009458AA">
        <w:t xml:space="preserve">does </w:t>
      </w:r>
      <w:r>
        <w:t xml:space="preserve">not necessarily result in a reduction in community funding. A comparison of turnover from venues and gaming machines between April 2012 and March 2015 shows a drop of only 1.2 per cent in gaming machine proceeds despite a 5 per cent drop in venues and gaming machine numbers. </w:t>
      </w:r>
    </w:p>
    <w:p w:rsidR="004C6F87" w:rsidRDefault="004C6F87" w:rsidP="004C6F87">
      <w:pPr>
        <w:pStyle w:val="ListParagraph"/>
        <w:numPr>
          <w:ilvl w:val="0"/>
          <w:numId w:val="27"/>
        </w:numPr>
        <w:ind w:left="567" w:hanging="567"/>
      </w:pPr>
      <w:r>
        <w:t>The data suggests that losing lower</w:t>
      </w:r>
      <w:r w:rsidR="007E408E">
        <w:t xml:space="preserve"> </w:t>
      </w:r>
      <w:r>
        <w:t>turnover venues will not necessarily impact on available proceeds.</w:t>
      </w:r>
      <w:r w:rsidR="000F65C1">
        <w:t xml:space="preserve"> This could be because gamblers switch to alternative locations, so that existing machines are being used more intensively.</w:t>
      </w:r>
    </w:p>
    <w:p w:rsidR="00CF5ECE" w:rsidRDefault="004957A1" w:rsidP="004C6F87">
      <w:pPr>
        <w:pStyle w:val="ListParagraph"/>
        <w:numPr>
          <w:ilvl w:val="0"/>
          <w:numId w:val="27"/>
        </w:numPr>
        <w:ind w:left="567" w:hanging="567"/>
      </w:pPr>
      <w:r>
        <w:t>L</w:t>
      </w:r>
      <w:r w:rsidR="007E408E">
        <w:t>ower tur</w:t>
      </w:r>
      <w:r w:rsidR="00DE1C0D">
        <w:t xml:space="preserve">nover venues are </w:t>
      </w:r>
      <w:r w:rsidR="007E408E">
        <w:t>more likely to be in rural areas</w:t>
      </w:r>
      <w:r w:rsidR="00CF5ECE">
        <w:t>.</w:t>
      </w:r>
      <w:r w:rsidR="00B121BF">
        <w:t xml:space="preserve"> There are concerns that if rural venues disappear, this will affect the grant funding decisions made by societies. This is because some societies take the approach of distributing funds back to the area where the proceeds were generated.</w:t>
      </w:r>
    </w:p>
    <w:p w:rsidR="00DE1C0D" w:rsidRPr="00DE1C0D" w:rsidRDefault="00685B89" w:rsidP="00DE1C0D">
      <w:pPr>
        <w:pStyle w:val="ListParagraph"/>
        <w:numPr>
          <w:ilvl w:val="0"/>
          <w:numId w:val="27"/>
        </w:numPr>
        <w:ind w:left="567" w:hanging="567"/>
      </w:pPr>
      <w:r>
        <w:t xml:space="preserve">The table below provides </w:t>
      </w:r>
      <w:r w:rsidR="00714412">
        <w:t xml:space="preserve">a </w:t>
      </w:r>
      <w:r w:rsidR="000562F1">
        <w:t xml:space="preserve">breakdown by geographic area of </w:t>
      </w:r>
      <w:r w:rsidR="00533CFC">
        <w:t xml:space="preserve">the </w:t>
      </w:r>
      <w:r w:rsidR="000562F1">
        <w:t>4</w:t>
      </w:r>
      <w:r w:rsidR="00894C98">
        <w:t xml:space="preserve">9 </w:t>
      </w:r>
      <w:r>
        <w:t xml:space="preserve">venues </w:t>
      </w:r>
      <w:r w:rsidR="00894C98">
        <w:t xml:space="preserve">that </w:t>
      </w:r>
      <w:r>
        <w:t>exit</w:t>
      </w:r>
      <w:r w:rsidR="00894C98">
        <w:t>ed</w:t>
      </w:r>
      <w:r>
        <w:t xml:space="preserve"> the sector</w:t>
      </w:r>
      <w:r w:rsidR="00714412">
        <w:t xml:space="preserve"> in the 2014/15 financial year, bas</w:t>
      </w:r>
      <w:r w:rsidR="00151615">
        <w:t>ed on the</w:t>
      </w:r>
      <w:r w:rsidR="00E27D49">
        <w:t xml:space="preserve"> u</w:t>
      </w:r>
      <w:r w:rsidR="00151615">
        <w:t>rban</w:t>
      </w:r>
      <w:r w:rsidR="00E27D49">
        <w:t>/rural profile classification used by</w:t>
      </w:r>
      <w:r w:rsidR="00714412">
        <w:t xml:space="preserve"> Statistics NZ.</w:t>
      </w:r>
      <w:r w:rsidR="00894C98">
        <w:rPr>
          <w:rStyle w:val="FootnoteReference"/>
        </w:rPr>
        <w:footnoteReference w:id="7"/>
      </w:r>
      <w:r w:rsidR="00714412">
        <w:t xml:space="preserve"> </w:t>
      </w:r>
      <w:r w:rsidR="000562F1">
        <w:t>The geographic spread of all venues is provided for comparison</w:t>
      </w:r>
      <w:r w:rsidR="00A815A7">
        <w:t>.</w:t>
      </w:r>
    </w:p>
    <w:p w:rsidR="00925EBC" w:rsidRDefault="00925EBC" w:rsidP="00925EBC">
      <w:pPr>
        <w:pStyle w:val="Caption"/>
      </w:pPr>
      <w:r>
        <w:t>Table 3: Venues exiting the sector in 2014/15 by area type</w:t>
      </w:r>
    </w:p>
    <w:tbl>
      <w:tblPr>
        <w:tblStyle w:val="DIATable"/>
        <w:tblW w:w="0" w:type="auto"/>
        <w:tblLook w:val="04A0" w:firstRow="1" w:lastRow="0" w:firstColumn="1" w:lastColumn="0" w:noHBand="0" w:noVBand="1"/>
      </w:tblPr>
      <w:tblGrid>
        <w:gridCol w:w="2292"/>
        <w:gridCol w:w="2291"/>
        <w:gridCol w:w="2298"/>
        <w:gridCol w:w="2298"/>
      </w:tblGrid>
      <w:tr w:rsidR="00894C98" w:rsidTr="00894C98">
        <w:trPr>
          <w:cnfStyle w:val="100000000000" w:firstRow="1" w:lastRow="0" w:firstColumn="0" w:lastColumn="0" w:oddVBand="0" w:evenVBand="0" w:oddHBand="0" w:evenHBand="0" w:firstRowFirstColumn="0" w:firstRowLastColumn="0" w:lastRowFirstColumn="0" w:lastRowLastColumn="0"/>
        </w:trPr>
        <w:tc>
          <w:tcPr>
            <w:tcW w:w="2292" w:type="dxa"/>
          </w:tcPr>
          <w:p w:rsidR="00894C98" w:rsidRDefault="00894C98" w:rsidP="00894C98">
            <w:pPr>
              <w:rPr>
                <w:szCs w:val="22"/>
              </w:rPr>
            </w:pPr>
            <w:r>
              <w:rPr>
                <w:szCs w:val="22"/>
              </w:rPr>
              <w:t xml:space="preserve"> </w:t>
            </w:r>
            <w:r w:rsidR="00151615">
              <w:rPr>
                <w:szCs w:val="22"/>
              </w:rPr>
              <w:t xml:space="preserve">Area </w:t>
            </w:r>
            <w:r>
              <w:rPr>
                <w:szCs w:val="22"/>
              </w:rPr>
              <w:t>type</w:t>
            </w:r>
          </w:p>
        </w:tc>
        <w:tc>
          <w:tcPr>
            <w:tcW w:w="2291" w:type="dxa"/>
          </w:tcPr>
          <w:p w:rsidR="00894C98" w:rsidRDefault="00894C98" w:rsidP="00151615">
            <w:pPr>
              <w:rPr>
                <w:szCs w:val="22"/>
              </w:rPr>
            </w:pPr>
            <w:r>
              <w:rPr>
                <w:szCs w:val="22"/>
              </w:rPr>
              <w:t>N</w:t>
            </w:r>
            <w:r w:rsidR="00151615">
              <w:rPr>
                <w:szCs w:val="22"/>
              </w:rPr>
              <w:t>umber</w:t>
            </w:r>
            <w:r>
              <w:rPr>
                <w:szCs w:val="22"/>
              </w:rPr>
              <w:t xml:space="preserve"> of venues exiting</w:t>
            </w:r>
          </w:p>
        </w:tc>
        <w:tc>
          <w:tcPr>
            <w:tcW w:w="2298" w:type="dxa"/>
          </w:tcPr>
          <w:p w:rsidR="00894C98" w:rsidRDefault="00894C98" w:rsidP="00894C98">
            <w:pPr>
              <w:rPr>
                <w:szCs w:val="22"/>
              </w:rPr>
            </w:pPr>
            <w:r>
              <w:rPr>
                <w:szCs w:val="22"/>
              </w:rPr>
              <w:t>Proportion of exiting venues</w:t>
            </w:r>
          </w:p>
        </w:tc>
        <w:tc>
          <w:tcPr>
            <w:tcW w:w="2298" w:type="dxa"/>
          </w:tcPr>
          <w:p w:rsidR="00894C98" w:rsidRDefault="00151615" w:rsidP="00894C98">
            <w:pPr>
              <w:rPr>
                <w:szCs w:val="22"/>
              </w:rPr>
            </w:pPr>
            <w:r>
              <w:rPr>
                <w:szCs w:val="22"/>
              </w:rPr>
              <w:t xml:space="preserve">Proportion of all </w:t>
            </w:r>
            <w:r w:rsidR="00894C98">
              <w:rPr>
                <w:szCs w:val="22"/>
              </w:rPr>
              <w:t>venues</w:t>
            </w:r>
          </w:p>
        </w:tc>
      </w:tr>
      <w:tr w:rsidR="00894C98" w:rsidTr="00894C98">
        <w:tc>
          <w:tcPr>
            <w:tcW w:w="2292" w:type="dxa"/>
          </w:tcPr>
          <w:p w:rsidR="00894C98" w:rsidRPr="00894C98" w:rsidRDefault="00894C98">
            <w:pPr>
              <w:rPr>
                <w:rFonts w:asciiTheme="minorHAnsi" w:hAnsiTheme="minorHAnsi" w:cs="Arial"/>
                <w:bCs/>
                <w:sz w:val="24"/>
                <w:lang w:eastAsia="en-NZ"/>
              </w:rPr>
            </w:pPr>
            <w:r w:rsidRPr="00894C98">
              <w:rPr>
                <w:rFonts w:asciiTheme="minorHAnsi" w:hAnsiTheme="minorHAnsi" w:cs="Arial"/>
                <w:bCs/>
                <w:sz w:val="24"/>
                <w:lang w:eastAsia="en-NZ"/>
              </w:rPr>
              <w:t>Highly rural/remote area</w:t>
            </w:r>
          </w:p>
        </w:tc>
        <w:tc>
          <w:tcPr>
            <w:tcW w:w="2291" w:type="dxa"/>
          </w:tcPr>
          <w:p w:rsidR="00894C98" w:rsidRPr="00894C98" w:rsidRDefault="00894C98" w:rsidP="00894C98">
            <w:pPr>
              <w:jc w:val="center"/>
              <w:rPr>
                <w:rFonts w:asciiTheme="minorHAnsi" w:hAnsiTheme="minorHAnsi" w:cs="Arial"/>
                <w:sz w:val="24"/>
                <w:lang w:eastAsia="en-NZ"/>
              </w:rPr>
            </w:pPr>
            <w:r w:rsidRPr="00894C98">
              <w:rPr>
                <w:rFonts w:asciiTheme="minorHAnsi" w:hAnsiTheme="minorHAnsi" w:cs="Arial"/>
                <w:sz w:val="24"/>
                <w:lang w:eastAsia="en-NZ"/>
              </w:rPr>
              <w:t>1</w:t>
            </w:r>
          </w:p>
        </w:tc>
        <w:tc>
          <w:tcPr>
            <w:tcW w:w="2298" w:type="dxa"/>
          </w:tcPr>
          <w:p w:rsidR="00894C98" w:rsidRPr="00894C98" w:rsidRDefault="00894C98" w:rsidP="00894C98">
            <w:pPr>
              <w:jc w:val="center"/>
              <w:rPr>
                <w:rFonts w:asciiTheme="minorHAnsi" w:hAnsiTheme="minorHAnsi" w:cs="Arial"/>
                <w:sz w:val="24"/>
                <w:lang w:eastAsia="en-NZ"/>
              </w:rPr>
            </w:pPr>
            <w:r w:rsidRPr="00894C98">
              <w:rPr>
                <w:rFonts w:asciiTheme="minorHAnsi" w:hAnsiTheme="minorHAnsi" w:cs="Arial"/>
                <w:sz w:val="24"/>
                <w:lang w:eastAsia="en-NZ"/>
              </w:rPr>
              <w:t>2.04%</w:t>
            </w:r>
          </w:p>
        </w:tc>
        <w:tc>
          <w:tcPr>
            <w:tcW w:w="2298" w:type="dxa"/>
          </w:tcPr>
          <w:p w:rsidR="00894C98" w:rsidRPr="00894C98" w:rsidRDefault="00894C98" w:rsidP="00894C98">
            <w:pPr>
              <w:jc w:val="center"/>
              <w:rPr>
                <w:rFonts w:asciiTheme="minorHAnsi" w:hAnsiTheme="minorHAnsi" w:cs="Arial"/>
                <w:sz w:val="24"/>
                <w:lang w:eastAsia="en-NZ"/>
              </w:rPr>
            </w:pPr>
            <w:r w:rsidRPr="00894C98">
              <w:rPr>
                <w:rFonts w:asciiTheme="minorHAnsi" w:hAnsiTheme="minorHAnsi" w:cs="Arial"/>
                <w:sz w:val="24"/>
                <w:lang w:eastAsia="en-NZ"/>
              </w:rPr>
              <w:t>2.68%</w:t>
            </w:r>
          </w:p>
        </w:tc>
      </w:tr>
      <w:tr w:rsidR="00894C98" w:rsidTr="00894C98">
        <w:tc>
          <w:tcPr>
            <w:tcW w:w="2292" w:type="dxa"/>
          </w:tcPr>
          <w:p w:rsidR="00894C98" w:rsidRPr="00894C98" w:rsidRDefault="00894C98" w:rsidP="0013794A">
            <w:pPr>
              <w:rPr>
                <w:rFonts w:asciiTheme="minorHAnsi" w:hAnsiTheme="minorHAnsi" w:cs="Arial"/>
                <w:bCs/>
                <w:sz w:val="24"/>
                <w:lang w:eastAsia="en-NZ"/>
              </w:rPr>
            </w:pPr>
            <w:r w:rsidRPr="00894C98">
              <w:rPr>
                <w:rFonts w:asciiTheme="minorHAnsi" w:hAnsiTheme="minorHAnsi" w:cs="Arial"/>
                <w:bCs/>
                <w:sz w:val="24"/>
                <w:lang w:eastAsia="en-NZ"/>
              </w:rPr>
              <w:t xml:space="preserve">Independent </w:t>
            </w:r>
            <w:r w:rsidR="00151615">
              <w:rPr>
                <w:rFonts w:asciiTheme="minorHAnsi" w:hAnsiTheme="minorHAnsi" w:cs="Arial"/>
                <w:bCs/>
                <w:sz w:val="24"/>
                <w:lang w:eastAsia="en-NZ"/>
              </w:rPr>
              <w:t>u</w:t>
            </w:r>
            <w:r w:rsidRPr="00894C98">
              <w:rPr>
                <w:rFonts w:asciiTheme="minorHAnsi" w:hAnsiTheme="minorHAnsi" w:cs="Arial"/>
                <w:bCs/>
                <w:sz w:val="24"/>
                <w:lang w:eastAsia="en-NZ"/>
              </w:rPr>
              <w:t xml:space="preserve">rban </w:t>
            </w:r>
            <w:r w:rsidR="0013794A">
              <w:rPr>
                <w:rFonts w:asciiTheme="minorHAnsi" w:hAnsiTheme="minorHAnsi" w:cs="Arial"/>
                <w:bCs/>
                <w:sz w:val="24"/>
                <w:lang w:eastAsia="en-NZ"/>
              </w:rPr>
              <w:t>a</w:t>
            </w:r>
            <w:r w:rsidRPr="00894C98">
              <w:rPr>
                <w:rFonts w:asciiTheme="minorHAnsi" w:hAnsiTheme="minorHAnsi" w:cs="Arial"/>
                <w:bCs/>
                <w:sz w:val="24"/>
                <w:lang w:eastAsia="en-NZ"/>
              </w:rPr>
              <w:t>rea</w:t>
            </w:r>
          </w:p>
        </w:tc>
        <w:tc>
          <w:tcPr>
            <w:tcW w:w="2291" w:type="dxa"/>
          </w:tcPr>
          <w:p w:rsidR="00894C98" w:rsidRPr="00894C98" w:rsidRDefault="00894C98" w:rsidP="00894C98">
            <w:pPr>
              <w:jc w:val="center"/>
              <w:rPr>
                <w:rFonts w:asciiTheme="minorHAnsi" w:hAnsiTheme="minorHAnsi" w:cs="Arial"/>
                <w:sz w:val="24"/>
                <w:lang w:eastAsia="en-NZ"/>
              </w:rPr>
            </w:pPr>
            <w:r w:rsidRPr="00894C98">
              <w:rPr>
                <w:rFonts w:asciiTheme="minorHAnsi" w:hAnsiTheme="minorHAnsi" w:cs="Arial"/>
                <w:sz w:val="24"/>
                <w:lang w:eastAsia="en-NZ"/>
              </w:rPr>
              <w:t>14</w:t>
            </w:r>
          </w:p>
        </w:tc>
        <w:tc>
          <w:tcPr>
            <w:tcW w:w="2298" w:type="dxa"/>
          </w:tcPr>
          <w:p w:rsidR="00894C98" w:rsidRPr="00894C98" w:rsidRDefault="00894C98" w:rsidP="00894C98">
            <w:pPr>
              <w:jc w:val="center"/>
              <w:rPr>
                <w:rFonts w:asciiTheme="minorHAnsi" w:hAnsiTheme="minorHAnsi" w:cs="Arial"/>
                <w:sz w:val="24"/>
                <w:lang w:eastAsia="en-NZ"/>
              </w:rPr>
            </w:pPr>
            <w:r w:rsidRPr="00894C98">
              <w:rPr>
                <w:rFonts w:asciiTheme="minorHAnsi" w:hAnsiTheme="minorHAnsi" w:cs="Arial"/>
                <w:sz w:val="24"/>
                <w:lang w:eastAsia="en-NZ"/>
              </w:rPr>
              <w:t>28.57%</w:t>
            </w:r>
          </w:p>
        </w:tc>
        <w:tc>
          <w:tcPr>
            <w:tcW w:w="2298" w:type="dxa"/>
          </w:tcPr>
          <w:p w:rsidR="00894C98" w:rsidRPr="00894C98" w:rsidRDefault="00894C98" w:rsidP="00894C98">
            <w:pPr>
              <w:jc w:val="center"/>
              <w:rPr>
                <w:rFonts w:asciiTheme="minorHAnsi" w:hAnsiTheme="minorHAnsi" w:cs="Arial"/>
                <w:sz w:val="24"/>
                <w:lang w:eastAsia="en-NZ"/>
              </w:rPr>
            </w:pPr>
            <w:r w:rsidRPr="00894C98">
              <w:rPr>
                <w:rFonts w:asciiTheme="minorHAnsi" w:hAnsiTheme="minorHAnsi" w:cs="Arial"/>
                <w:sz w:val="24"/>
                <w:lang w:eastAsia="en-NZ"/>
              </w:rPr>
              <w:t>21.55%</w:t>
            </w:r>
          </w:p>
        </w:tc>
      </w:tr>
      <w:tr w:rsidR="00894C98" w:rsidTr="00894C98">
        <w:tc>
          <w:tcPr>
            <w:tcW w:w="2292" w:type="dxa"/>
          </w:tcPr>
          <w:p w:rsidR="00894C98" w:rsidRPr="00894C98" w:rsidRDefault="00894C98">
            <w:pPr>
              <w:rPr>
                <w:rFonts w:asciiTheme="minorHAnsi" w:hAnsiTheme="minorHAnsi" w:cs="Arial"/>
                <w:bCs/>
                <w:sz w:val="24"/>
                <w:lang w:eastAsia="en-NZ"/>
              </w:rPr>
            </w:pPr>
            <w:r w:rsidRPr="00894C98">
              <w:rPr>
                <w:rFonts w:asciiTheme="minorHAnsi" w:hAnsiTheme="minorHAnsi" w:cs="Arial"/>
                <w:bCs/>
                <w:sz w:val="24"/>
                <w:lang w:eastAsia="en-NZ"/>
              </w:rPr>
              <w:t>Main urban area</w:t>
            </w:r>
          </w:p>
        </w:tc>
        <w:tc>
          <w:tcPr>
            <w:tcW w:w="2291" w:type="dxa"/>
          </w:tcPr>
          <w:p w:rsidR="00894C98" w:rsidRPr="00894C98" w:rsidRDefault="00894C98" w:rsidP="00894C98">
            <w:pPr>
              <w:jc w:val="center"/>
              <w:rPr>
                <w:rFonts w:asciiTheme="minorHAnsi" w:hAnsiTheme="minorHAnsi" w:cs="Arial"/>
                <w:sz w:val="24"/>
                <w:lang w:eastAsia="en-NZ"/>
              </w:rPr>
            </w:pPr>
            <w:r w:rsidRPr="00894C98">
              <w:rPr>
                <w:rFonts w:asciiTheme="minorHAnsi" w:hAnsiTheme="minorHAnsi" w:cs="Arial"/>
                <w:sz w:val="24"/>
                <w:lang w:eastAsia="en-NZ"/>
              </w:rPr>
              <w:t>25</w:t>
            </w:r>
          </w:p>
        </w:tc>
        <w:tc>
          <w:tcPr>
            <w:tcW w:w="2298" w:type="dxa"/>
          </w:tcPr>
          <w:p w:rsidR="00894C98" w:rsidRPr="00894C98" w:rsidRDefault="00894C98" w:rsidP="00894C98">
            <w:pPr>
              <w:jc w:val="center"/>
              <w:rPr>
                <w:rFonts w:asciiTheme="minorHAnsi" w:hAnsiTheme="minorHAnsi" w:cs="Arial"/>
                <w:sz w:val="24"/>
                <w:lang w:eastAsia="en-NZ"/>
              </w:rPr>
            </w:pPr>
            <w:r w:rsidRPr="00894C98">
              <w:rPr>
                <w:rFonts w:asciiTheme="minorHAnsi" w:hAnsiTheme="minorHAnsi" w:cs="Arial"/>
                <w:sz w:val="24"/>
                <w:lang w:eastAsia="en-NZ"/>
              </w:rPr>
              <w:t>51.02%</w:t>
            </w:r>
          </w:p>
        </w:tc>
        <w:tc>
          <w:tcPr>
            <w:tcW w:w="2298" w:type="dxa"/>
          </w:tcPr>
          <w:p w:rsidR="00894C98" w:rsidRPr="00894C98" w:rsidRDefault="00894C98" w:rsidP="00894C98">
            <w:pPr>
              <w:jc w:val="center"/>
              <w:rPr>
                <w:rFonts w:asciiTheme="minorHAnsi" w:hAnsiTheme="minorHAnsi" w:cs="Arial"/>
                <w:sz w:val="24"/>
                <w:lang w:eastAsia="en-NZ"/>
              </w:rPr>
            </w:pPr>
            <w:r w:rsidRPr="00894C98">
              <w:rPr>
                <w:rFonts w:asciiTheme="minorHAnsi" w:hAnsiTheme="minorHAnsi" w:cs="Arial"/>
                <w:sz w:val="24"/>
                <w:lang w:eastAsia="en-NZ"/>
              </w:rPr>
              <w:t>60.06%</w:t>
            </w:r>
          </w:p>
        </w:tc>
      </w:tr>
      <w:tr w:rsidR="00894C98" w:rsidTr="00894C98">
        <w:tc>
          <w:tcPr>
            <w:tcW w:w="2292" w:type="dxa"/>
          </w:tcPr>
          <w:p w:rsidR="00894C98" w:rsidRPr="00894C98" w:rsidRDefault="00894C98">
            <w:pPr>
              <w:rPr>
                <w:rFonts w:asciiTheme="minorHAnsi" w:hAnsiTheme="minorHAnsi" w:cs="Arial"/>
                <w:bCs/>
                <w:sz w:val="24"/>
                <w:lang w:eastAsia="en-NZ"/>
              </w:rPr>
            </w:pPr>
            <w:r w:rsidRPr="00894C98">
              <w:rPr>
                <w:rFonts w:asciiTheme="minorHAnsi" w:hAnsiTheme="minorHAnsi" w:cs="Arial"/>
                <w:bCs/>
                <w:sz w:val="24"/>
                <w:lang w:eastAsia="en-NZ"/>
              </w:rPr>
              <w:lastRenderedPageBreak/>
              <w:t>Rural area with high urban influence</w:t>
            </w:r>
          </w:p>
        </w:tc>
        <w:tc>
          <w:tcPr>
            <w:tcW w:w="2291" w:type="dxa"/>
          </w:tcPr>
          <w:p w:rsidR="00894C98" w:rsidRPr="00894C98" w:rsidRDefault="00894C98" w:rsidP="00894C98">
            <w:pPr>
              <w:jc w:val="center"/>
              <w:rPr>
                <w:rFonts w:asciiTheme="minorHAnsi" w:hAnsiTheme="minorHAnsi" w:cs="Arial"/>
                <w:sz w:val="24"/>
                <w:lang w:eastAsia="en-NZ"/>
              </w:rPr>
            </w:pPr>
            <w:r w:rsidRPr="00894C98">
              <w:rPr>
                <w:rFonts w:asciiTheme="minorHAnsi" w:hAnsiTheme="minorHAnsi" w:cs="Arial"/>
                <w:sz w:val="24"/>
                <w:lang w:eastAsia="en-NZ"/>
              </w:rPr>
              <w:t>1</w:t>
            </w:r>
          </w:p>
        </w:tc>
        <w:tc>
          <w:tcPr>
            <w:tcW w:w="2298" w:type="dxa"/>
          </w:tcPr>
          <w:p w:rsidR="00894C98" w:rsidRPr="00894C98" w:rsidRDefault="00894C98" w:rsidP="00894C98">
            <w:pPr>
              <w:jc w:val="center"/>
              <w:rPr>
                <w:rFonts w:asciiTheme="minorHAnsi" w:hAnsiTheme="minorHAnsi" w:cs="Arial"/>
                <w:sz w:val="24"/>
                <w:lang w:eastAsia="en-NZ"/>
              </w:rPr>
            </w:pPr>
            <w:r w:rsidRPr="00894C98">
              <w:rPr>
                <w:rFonts w:asciiTheme="minorHAnsi" w:hAnsiTheme="minorHAnsi" w:cs="Arial"/>
                <w:sz w:val="24"/>
                <w:lang w:eastAsia="en-NZ"/>
              </w:rPr>
              <w:t>2.04%</w:t>
            </w:r>
          </w:p>
        </w:tc>
        <w:tc>
          <w:tcPr>
            <w:tcW w:w="2298" w:type="dxa"/>
          </w:tcPr>
          <w:p w:rsidR="00894C98" w:rsidRPr="00894C98" w:rsidRDefault="00894C98" w:rsidP="00894C98">
            <w:pPr>
              <w:jc w:val="center"/>
              <w:rPr>
                <w:rFonts w:asciiTheme="minorHAnsi" w:hAnsiTheme="minorHAnsi" w:cs="Arial"/>
                <w:sz w:val="24"/>
                <w:lang w:eastAsia="en-NZ"/>
              </w:rPr>
            </w:pPr>
            <w:r w:rsidRPr="00894C98">
              <w:rPr>
                <w:rFonts w:asciiTheme="minorHAnsi" w:hAnsiTheme="minorHAnsi" w:cs="Arial"/>
                <w:sz w:val="24"/>
                <w:lang w:eastAsia="en-NZ"/>
              </w:rPr>
              <w:t>1.53%</w:t>
            </w:r>
          </w:p>
        </w:tc>
      </w:tr>
      <w:tr w:rsidR="00894C98" w:rsidTr="00894C98">
        <w:tc>
          <w:tcPr>
            <w:tcW w:w="2292" w:type="dxa"/>
          </w:tcPr>
          <w:p w:rsidR="00894C98" w:rsidRPr="00894C98" w:rsidRDefault="00894C98">
            <w:pPr>
              <w:rPr>
                <w:rFonts w:asciiTheme="minorHAnsi" w:hAnsiTheme="minorHAnsi" w:cs="Arial"/>
                <w:bCs/>
                <w:sz w:val="24"/>
                <w:lang w:eastAsia="en-NZ"/>
              </w:rPr>
            </w:pPr>
            <w:r w:rsidRPr="00894C98">
              <w:rPr>
                <w:rFonts w:asciiTheme="minorHAnsi" w:hAnsiTheme="minorHAnsi" w:cs="Arial"/>
                <w:bCs/>
                <w:sz w:val="24"/>
                <w:lang w:eastAsia="en-NZ"/>
              </w:rPr>
              <w:t>Rural area with moderate urban influence</w:t>
            </w:r>
          </w:p>
        </w:tc>
        <w:tc>
          <w:tcPr>
            <w:tcW w:w="2291" w:type="dxa"/>
          </w:tcPr>
          <w:p w:rsidR="00894C98" w:rsidRPr="00894C98" w:rsidRDefault="00894C98" w:rsidP="000562F1">
            <w:pPr>
              <w:jc w:val="center"/>
              <w:rPr>
                <w:rFonts w:asciiTheme="minorHAnsi" w:hAnsiTheme="minorHAnsi" w:cs="Arial"/>
                <w:sz w:val="24"/>
                <w:lang w:eastAsia="en-NZ"/>
              </w:rPr>
            </w:pPr>
            <w:r w:rsidRPr="00894C98">
              <w:rPr>
                <w:rFonts w:asciiTheme="minorHAnsi" w:hAnsiTheme="minorHAnsi" w:cs="Arial"/>
                <w:sz w:val="24"/>
                <w:lang w:eastAsia="en-NZ"/>
              </w:rPr>
              <w:t>1</w:t>
            </w:r>
          </w:p>
        </w:tc>
        <w:tc>
          <w:tcPr>
            <w:tcW w:w="2298" w:type="dxa"/>
          </w:tcPr>
          <w:p w:rsidR="00894C98" w:rsidRPr="00894C98" w:rsidRDefault="00894C98" w:rsidP="000562F1">
            <w:pPr>
              <w:jc w:val="center"/>
              <w:rPr>
                <w:rFonts w:asciiTheme="minorHAnsi" w:hAnsiTheme="minorHAnsi" w:cs="Arial"/>
                <w:sz w:val="24"/>
                <w:lang w:eastAsia="en-NZ"/>
              </w:rPr>
            </w:pPr>
            <w:r w:rsidRPr="00894C98">
              <w:rPr>
                <w:rFonts w:asciiTheme="minorHAnsi" w:hAnsiTheme="minorHAnsi" w:cs="Arial"/>
                <w:sz w:val="24"/>
                <w:lang w:eastAsia="en-NZ"/>
              </w:rPr>
              <w:t>2.04%</w:t>
            </w:r>
          </w:p>
        </w:tc>
        <w:tc>
          <w:tcPr>
            <w:tcW w:w="2298" w:type="dxa"/>
          </w:tcPr>
          <w:p w:rsidR="00894C98" w:rsidRPr="00894C98" w:rsidRDefault="00894C98" w:rsidP="000562F1">
            <w:pPr>
              <w:jc w:val="center"/>
              <w:rPr>
                <w:rFonts w:asciiTheme="minorHAnsi" w:hAnsiTheme="minorHAnsi" w:cs="Arial"/>
                <w:sz w:val="24"/>
                <w:lang w:eastAsia="en-NZ"/>
              </w:rPr>
            </w:pPr>
            <w:r w:rsidRPr="00894C98">
              <w:rPr>
                <w:rFonts w:asciiTheme="minorHAnsi" w:hAnsiTheme="minorHAnsi" w:cs="Arial"/>
                <w:sz w:val="24"/>
                <w:lang w:eastAsia="en-NZ"/>
              </w:rPr>
              <w:t>2.87%</w:t>
            </w:r>
          </w:p>
        </w:tc>
      </w:tr>
      <w:tr w:rsidR="0013794A" w:rsidTr="00894C98">
        <w:tc>
          <w:tcPr>
            <w:tcW w:w="2292" w:type="dxa"/>
          </w:tcPr>
          <w:p w:rsidR="0013794A" w:rsidRPr="00894C98" w:rsidRDefault="0013794A">
            <w:pPr>
              <w:rPr>
                <w:rFonts w:asciiTheme="minorHAnsi" w:hAnsiTheme="minorHAnsi" w:cs="Arial"/>
                <w:bCs/>
                <w:lang w:eastAsia="en-NZ"/>
              </w:rPr>
            </w:pPr>
            <w:r w:rsidRPr="00894C98">
              <w:rPr>
                <w:rFonts w:asciiTheme="minorHAnsi" w:hAnsiTheme="minorHAnsi" w:cs="Arial"/>
                <w:bCs/>
                <w:sz w:val="24"/>
                <w:lang w:eastAsia="en-NZ"/>
              </w:rPr>
              <w:t>Rural area with low urban influence</w:t>
            </w:r>
          </w:p>
        </w:tc>
        <w:tc>
          <w:tcPr>
            <w:tcW w:w="2291" w:type="dxa"/>
          </w:tcPr>
          <w:p w:rsidR="0013794A" w:rsidRPr="00894C98" w:rsidRDefault="0013794A" w:rsidP="000562F1">
            <w:pPr>
              <w:jc w:val="center"/>
              <w:rPr>
                <w:rFonts w:asciiTheme="minorHAnsi" w:hAnsiTheme="minorHAnsi" w:cs="Arial"/>
                <w:lang w:eastAsia="en-NZ"/>
              </w:rPr>
            </w:pPr>
            <w:r w:rsidRPr="00894C98">
              <w:rPr>
                <w:rFonts w:asciiTheme="minorHAnsi" w:hAnsiTheme="minorHAnsi" w:cs="Arial"/>
                <w:sz w:val="24"/>
                <w:lang w:eastAsia="en-NZ"/>
              </w:rPr>
              <w:t>3</w:t>
            </w:r>
          </w:p>
        </w:tc>
        <w:tc>
          <w:tcPr>
            <w:tcW w:w="2298" w:type="dxa"/>
          </w:tcPr>
          <w:p w:rsidR="0013794A" w:rsidRPr="00894C98" w:rsidRDefault="0013794A" w:rsidP="000562F1">
            <w:pPr>
              <w:jc w:val="center"/>
              <w:rPr>
                <w:rFonts w:asciiTheme="minorHAnsi" w:hAnsiTheme="minorHAnsi" w:cs="Arial"/>
                <w:lang w:eastAsia="en-NZ"/>
              </w:rPr>
            </w:pPr>
            <w:r w:rsidRPr="00894C98">
              <w:rPr>
                <w:rFonts w:asciiTheme="minorHAnsi" w:hAnsiTheme="minorHAnsi" w:cs="Arial"/>
                <w:sz w:val="24"/>
                <w:lang w:eastAsia="en-NZ"/>
              </w:rPr>
              <w:t>6.12%</w:t>
            </w:r>
          </w:p>
        </w:tc>
        <w:tc>
          <w:tcPr>
            <w:tcW w:w="2298" w:type="dxa"/>
          </w:tcPr>
          <w:p w:rsidR="0013794A" w:rsidRPr="00894C98" w:rsidRDefault="0013794A" w:rsidP="000562F1">
            <w:pPr>
              <w:jc w:val="center"/>
              <w:rPr>
                <w:rFonts w:asciiTheme="minorHAnsi" w:hAnsiTheme="minorHAnsi" w:cs="Arial"/>
                <w:lang w:eastAsia="en-NZ"/>
              </w:rPr>
            </w:pPr>
            <w:r w:rsidRPr="00894C98">
              <w:rPr>
                <w:rFonts w:asciiTheme="minorHAnsi" w:hAnsiTheme="minorHAnsi" w:cs="Arial"/>
                <w:sz w:val="24"/>
                <w:lang w:eastAsia="en-NZ"/>
              </w:rPr>
              <w:t>5.65%</w:t>
            </w:r>
          </w:p>
        </w:tc>
      </w:tr>
      <w:tr w:rsidR="00894C98" w:rsidTr="00894C98">
        <w:tc>
          <w:tcPr>
            <w:tcW w:w="2292" w:type="dxa"/>
          </w:tcPr>
          <w:p w:rsidR="00894C98" w:rsidRPr="00894C98" w:rsidRDefault="00894C98" w:rsidP="00E27D49">
            <w:pPr>
              <w:rPr>
                <w:rFonts w:asciiTheme="minorHAnsi" w:hAnsiTheme="minorHAnsi" w:cs="Arial"/>
                <w:bCs/>
                <w:sz w:val="24"/>
                <w:lang w:eastAsia="en-NZ"/>
              </w:rPr>
            </w:pPr>
            <w:r w:rsidRPr="00894C98">
              <w:rPr>
                <w:rFonts w:asciiTheme="minorHAnsi" w:hAnsiTheme="minorHAnsi" w:cs="Arial"/>
                <w:bCs/>
                <w:sz w:val="24"/>
                <w:lang w:eastAsia="en-NZ"/>
              </w:rPr>
              <w:t xml:space="preserve">Satellite </w:t>
            </w:r>
            <w:r w:rsidR="00E27D49">
              <w:rPr>
                <w:rFonts w:asciiTheme="minorHAnsi" w:hAnsiTheme="minorHAnsi" w:cs="Arial"/>
                <w:bCs/>
                <w:sz w:val="24"/>
                <w:lang w:eastAsia="en-NZ"/>
              </w:rPr>
              <w:t>u</w:t>
            </w:r>
            <w:r w:rsidRPr="00894C98">
              <w:rPr>
                <w:rFonts w:asciiTheme="minorHAnsi" w:hAnsiTheme="minorHAnsi" w:cs="Arial"/>
                <w:bCs/>
                <w:sz w:val="24"/>
                <w:lang w:eastAsia="en-NZ"/>
              </w:rPr>
              <w:t xml:space="preserve">rban </w:t>
            </w:r>
            <w:r w:rsidR="00E27D49">
              <w:rPr>
                <w:rFonts w:asciiTheme="minorHAnsi" w:hAnsiTheme="minorHAnsi" w:cs="Arial"/>
                <w:bCs/>
                <w:sz w:val="24"/>
                <w:lang w:eastAsia="en-NZ"/>
              </w:rPr>
              <w:t>a</w:t>
            </w:r>
            <w:r w:rsidRPr="00894C98">
              <w:rPr>
                <w:rFonts w:asciiTheme="minorHAnsi" w:hAnsiTheme="minorHAnsi" w:cs="Arial"/>
                <w:bCs/>
                <w:sz w:val="24"/>
                <w:lang w:eastAsia="en-NZ"/>
              </w:rPr>
              <w:t>rea</w:t>
            </w:r>
          </w:p>
        </w:tc>
        <w:tc>
          <w:tcPr>
            <w:tcW w:w="2291" w:type="dxa"/>
          </w:tcPr>
          <w:p w:rsidR="00894C98" w:rsidRPr="00894C98" w:rsidRDefault="00894C98" w:rsidP="000562F1">
            <w:pPr>
              <w:jc w:val="center"/>
              <w:rPr>
                <w:rFonts w:asciiTheme="minorHAnsi" w:hAnsiTheme="minorHAnsi" w:cs="Arial"/>
                <w:sz w:val="24"/>
                <w:lang w:eastAsia="en-NZ"/>
              </w:rPr>
            </w:pPr>
            <w:r w:rsidRPr="00894C98">
              <w:rPr>
                <w:rFonts w:asciiTheme="minorHAnsi" w:hAnsiTheme="minorHAnsi" w:cs="Arial"/>
                <w:sz w:val="24"/>
                <w:lang w:eastAsia="en-NZ"/>
              </w:rPr>
              <w:t>4</w:t>
            </w:r>
          </w:p>
        </w:tc>
        <w:tc>
          <w:tcPr>
            <w:tcW w:w="2298" w:type="dxa"/>
          </w:tcPr>
          <w:p w:rsidR="00894C98" w:rsidRPr="00894C98" w:rsidRDefault="00894C98" w:rsidP="000562F1">
            <w:pPr>
              <w:jc w:val="center"/>
              <w:rPr>
                <w:rFonts w:asciiTheme="minorHAnsi" w:hAnsiTheme="minorHAnsi" w:cs="Arial"/>
                <w:sz w:val="24"/>
                <w:lang w:eastAsia="en-NZ"/>
              </w:rPr>
            </w:pPr>
            <w:r w:rsidRPr="00894C98">
              <w:rPr>
                <w:rFonts w:asciiTheme="minorHAnsi" w:hAnsiTheme="minorHAnsi" w:cs="Arial"/>
                <w:sz w:val="24"/>
                <w:lang w:eastAsia="en-NZ"/>
              </w:rPr>
              <w:t>8.16%</w:t>
            </w:r>
          </w:p>
        </w:tc>
        <w:tc>
          <w:tcPr>
            <w:tcW w:w="2298" w:type="dxa"/>
          </w:tcPr>
          <w:p w:rsidR="00894C98" w:rsidRPr="00894C98" w:rsidRDefault="00894C98" w:rsidP="000562F1">
            <w:pPr>
              <w:jc w:val="center"/>
              <w:rPr>
                <w:rFonts w:asciiTheme="minorHAnsi" w:hAnsiTheme="minorHAnsi" w:cs="Arial"/>
                <w:sz w:val="24"/>
                <w:lang w:eastAsia="en-NZ"/>
              </w:rPr>
            </w:pPr>
            <w:r w:rsidRPr="00894C98">
              <w:rPr>
                <w:rFonts w:asciiTheme="minorHAnsi" w:hAnsiTheme="minorHAnsi" w:cs="Arial"/>
                <w:sz w:val="24"/>
                <w:lang w:eastAsia="en-NZ"/>
              </w:rPr>
              <w:t>4.79%</w:t>
            </w:r>
          </w:p>
        </w:tc>
      </w:tr>
    </w:tbl>
    <w:p w:rsidR="00DE1C0D" w:rsidRDefault="000562F1" w:rsidP="00586C01">
      <w:pPr>
        <w:pStyle w:val="ListParagraph"/>
        <w:numPr>
          <w:ilvl w:val="0"/>
          <w:numId w:val="27"/>
        </w:numPr>
      </w:pPr>
      <w:r>
        <w:t>It does not appear that venues</w:t>
      </w:r>
      <w:r w:rsidR="00533CFC">
        <w:t xml:space="preserve"> in rural areas</w:t>
      </w:r>
      <w:r>
        <w:t xml:space="preserve"> are exiting the sector at a disproportionate rate. </w:t>
      </w:r>
      <w:r w:rsidR="00610C05">
        <w:t>12.7</w:t>
      </w:r>
      <w:r>
        <w:t xml:space="preserve"> per cent of all venues are in rural areas. Of venues that </w:t>
      </w:r>
      <w:r w:rsidR="00E1397A">
        <w:t>exited the sector in 2014/15,</w:t>
      </w:r>
      <w:r>
        <w:t xml:space="preserve"> 1</w:t>
      </w:r>
      <w:r w:rsidR="00E1397A">
        <w:t>2.24</w:t>
      </w:r>
      <w:r>
        <w:t xml:space="preserve"> per cent were rural venues. There are more venues exiting the sector in independent urban areas (small towns and cities) and satellite urban areas. The average </w:t>
      </w:r>
      <w:r w:rsidR="006F2A4A">
        <w:t>gaming machine proceeds (</w:t>
      </w:r>
      <w:r>
        <w:t>GMP</w:t>
      </w:r>
      <w:r w:rsidR="006F2A4A">
        <w:t>)</w:t>
      </w:r>
      <w:r>
        <w:t xml:space="preserve"> per week generated by </w:t>
      </w:r>
      <w:r w:rsidR="00D407F6">
        <w:t>all venues exiting the sector in 2014/15 is below</w:t>
      </w:r>
      <w:r>
        <w:t>.</w:t>
      </w:r>
    </w:p>
    <w:p w:rsidR="00D407F6" w:rsidRDefault="00D407F6" w:rsidP="00D407F6">
      <w:pPr>
        <w:pStyle w:val="Caption"/>
      </w:pPr>
      <w:r>
        <w:t>Table 4: Average GMP per week of venues exiting the sector in 2014/15</w:t>
      </w:r>
    </w:p>
    <w:tbl>
      <w:tblPr>
        <w:tblStyle w:val="DIATable"/>
        <w:tblW w:w="0" w:type="auto"/>
        <w:tblLook w:val="04A0" w:firstRow="1" w:lastRow="0" w:firstColumn="1" w:lastColumn="0" w:noHBand="0" w:noVBand="1"/>
      </w:tblPr>
      <w:tblGrid>
        <w:gridCol w:w="4592"/>
        <w:gridCol w:w="4587"/>
      </w:tblGrid>
      <w:tr w:rsidR="00C21363" w:rsidTr="00C21363">
        <w:trPr>
          <w:cnfStyle w:val="100000000000" w:firstRow="1" w:lastRow="0" w:firstColumn="0" w:lastColumn="0" w:oddVBand="0" w:evenVBand="0" w:oddHBand="0" w:evenHBand="0" w:firstRowFirstColumn="0" w:firstRowLastColumn="0" w:lastRowFirstColumn="0" w:lastRowLastColumn="0"/>
        </w:trPr>
        <w:tc>
          <w:tcPr>
            <w:tcW w:w="4643" w:type="dxa"/>
          </w:tcPr>
          <w:p w:rsidR="00C21363" w:rsidRDefault="00C21363" w:rsidP="00E80D18">
            <w:pPr>
              <w:jc w:val="center"/>
            </w:pPr>
            <w:r>
              <w:t>Area type</w:t>
            </w:r>
          </w:p>
        </w:tc>
        <w:tc>
          <w:tcPr>
            <w:tcW w:w="4644" w:type="dxa"/>
          </w:tcPr>
          <w:p w:rsidR="00C21363" w:rsidRDefault="00C21363" w:rsidP="00E80D18">
            <w:pPr>
              <w:jc w:val="center"/>
            </w:pPr>
            <w:r>
              <w:t>Average GMP per week ($)</w:t>
            </w:r>
          </w:p>
        </w:tc>
      </w:tr>
      <w:tr w:rsidR="00C21363" w:rsidTr="00C21363">
        <w:tc>
          <w:tcPr>
            <w:tcW w:w="4643" w:type="dxa"/>
          </w:tcPr>
          <w:p w:rsidR="00C21363" w:rsidRDefault="00C21363" w:rsidP="00E80D18">
            <w:pPr>
              <w:jc w:val="center"/>
            </w:pPr>
            <w:r>
              <w:t>Main urban areas</w:t>
            </w:r>
          </w:p>
        </w:tc>
        <w:tc>
          <w:tcPr>
            <w:tcW w:w="4644" w:type="dxa"/>
          </w:tcPr>
          <w:p w:rsidR="00C21363" w:rsidRDefault="00E80D18" w:rsidP="00E80D18">
            <w:pPr>
              <w:jc w:val="center"/>
            </w:pPr>
            <w:r>
              <w:t>16,304</w:t>
            </w:r>
          </w:p>
        </w:tc>
      </w:tr>
      <w:tr w:rsidR="00C21363" w:rsidTr="00C21363">
        <w:tc>
          <w:tcPr>
            <w:tcW w:w="4643" w:type="dxa"/>
          </w:tcPr>
          <w:p w:rsidR="00C21363" w:rsidRDefault="00C21363" w:rsidP="00E80D18">
            <w:pPr>
              <w:jc w:val="center"/>
            </w:pPr>
            <w:r>
              <w:t>Independent urban communities</w:t>
            </w:r>
          </w:p>
        </w:tc>
        <w:tc>
          <w:tcPr>
            <w:tcW w:w="4644" w:type="dxa"/>
          </w:tcPr>
          <w:p w:rsidR="00C21363" w:rsidRDefault="00E80D18" w:rsidP="00E80D18">
            <w:pPr>
              <w:jc w:val="center"/>
            </w:pPr>
            <w:r>
              <w:t>10,121</w:t>
            </w:r>
          </w:p>
        </w:tc>
      </w:tr>
      <w:tr w:rsidR="00C21363" w:rsidTr="00C21363">
        <w:tc>
          <w:tcPr>
            <w:tcW w:w="4643" w:type="dxa"/>
          </w:tcPr>
          <w:p w:rsidR="00C21363" w:rsidRDefault="00C21363" w:rsidP="00E80D18">
            <w:pPr>
              <w:jc w:val="center"/>
            </w:pPr>
            <w:r>
              <w:t>Satellite urban communities</w:t>
            </w:r>
          </w:p>
        </w:tc>
        <w:tc>
          <w:tcPr>
            <w:tcW w:w="4644" w:type="dxa"/>
          </w:tcPr>
          <w:p w:rsidR="00C21363" w:rsidRDefault="00E80D18" w:rsidP="00E80D18">
            <w:pPr>
              <w:jc w:val="center"/>
            </w:pPr>
            <w:r>
              <w:t>10,896</w:t>
            </w:r>
          </w:p>
        </w:tc>
      </w:tr>
      <w:tr w:rsidR="00C21363" w:rsidTr="00C21363">
        <w:tc>
          <w:tcPr>
            <w:tcW w:w="4643" w:type="dxa"/>
          </w:tcPr>
          <w:p w:rsidR="00C21363" w:rsidRDefault="00C21363" w:rsidP="00E80D18">
            <w:pPr>
              <w:jc w:val="center"/>
            </w:pPr>
            <w:r>
              <w:t>Rural areas with high urban influence</w:t>
            </w:r>
          </w:p>
        </w:tc>
        <w:tc>
          <w:tcPr>
            <w:tcW w:w="4644" w:type="dxa"/>
          </w:tcPr>
          <w:p w:rsidR="00C21363" w:rsidRDefault="00E80D18" w:rsidP="00E80D18">
            <w:pPr>
              <w:jc w:val="center"/>
            </w:pPr>
            <w:r>
              <w:t>2,733</w:t>
            </w:r>
          </w:p>
        </w:tc>
      </w:tr>
      <w:tr w:rsidR="00C21363" w:rsidTr="00C21363">
        <w:tc>
          <w:tcPr>
            <w:tcW w:w="4643" w:type="dxa"/>
          </w:tcPr>
          <w:p w:rsidR="00C21363" w:rsidRDefault="00C21363" w:rsidP="00E80D18">
            <w:pPr>
              <w:jc w:val="center"/>
            </w:pPr>
            <w:r>
              <w:t>Rural areas with moderate urban influence</w:t>
            </w:r>
          </w:p>
        </w:tc>
        <w:tc>
          <w:tcPr>
            <w:tcW w:w="4644" w:type="dxa"/>
          </w:tcPr>
          <w:p w:rsidR="00C21363" w:rsidRDefault="00E80D18" w:rsidP="00E80D18">
            <w:pPr>
              <w:jc w:val="center"/>
            </w:pPr>
            <w:r>
              <w:t>3,673</w:t>
            </w:r>
          </w:p>
        </w:tc>
      </w:tr>
      <w:tr w:rsidR="00C21363" w:rsidTr="00C21363">
        <w:tc>
          <w:tcPr>
            <w:tcW w:w="4643" w:type="dxa"/>
          </w:tcPr>
          <w:p w:rsidR="00C21363" w:rsidRDefault="00C21363" w:rsidP="00E80D18">
            <w:pPr>
              <w:jc w:val="center"/>
            </w:pPr>
            <w:r>
              <w:t>Rural areas with low urban influence</w:t>
            </w:r>
          </w:p>
        </w:tc>
        <w:tc>
          <w:tcPr>
            <w:tcW w:w="4644" w:type="dxa"/>
          </w:tcPr>
          <w:p w:rsidR="00C21363" w:rsidRDefault="00E80D18" w:rsidP="00E80D18">
            <w:pPr>
              <w:jc w:val="center"/>
            </w:pPr>
            <w:r>
              <w:t>2,661</w:t>
            </w:r>
          </w:p>
        </w:tc>
      </w:tr>
      <w:tr w:rsidR="00C21363" w:rsidTr="00C21363">
        <w:tc>
          <w:tcPr>
            <w:tcW w:w="4643" w:type="dxa"/>
          </w:tcPr>
          <w:p w:rsidR="00C21363" w:rsidRDefault="00C21363" w:rsidP="00E80D18">
            <w:pPr>
              <w:jc w:val="center"/>
            </w:pPr>
            <w:r>
              <w:t>Highly rural/remote areas</w:t>
            </w:r>
          </w:p>
        </w:tc>
        <w:tc>
          <w:tcPr>
            <w:tcW w:w="4644" w:type="dxa"/>
          </w:tcPr>
          <w:p w:rsidR="00C21363" w:rsidRDefault="00E80D18" w:rsidP="00E80D18">
            <w:pPr>
              <w:jc w:val="center"/>
            </w:pPr>
            <w:r>
              <w:t>3,046</w:t>
            </w:r>
          </w:p>
        </w:tc>
      </w:tr>
    </w:tbl>
    <w:p w:rsidR="006E3332" w:rsidRDefault="006E3332" w:rsidP="00457EFA"/>
    <w:p w:rsidR="002F4A12" w:rsidRDefault="002F4A12" w:rsidP="002F4A12">
      <w:pPr>
        <w:pStyle w:val="Heading1"/>
      </w:pPr>
      <w:bookmarkStart w:id="20" w:name="_Toc431908625"/>
      <w:r>
        <w:lastRenderedPageBreak/>
        <w:t>Policy objectives, criteria and analysis</w:t>
      </w:r>
      <w:bookmarkEnd w:id="20"/>
    </w:p>
    <w:p w:rsidR="002F4A12" w:rsidRDefault="002F4A12" w:rsidP="002F4A12">
      <w:pPr>
        <w:pStyle w:val="Heading2"/>
      </w:pPr>
      <w:bookmarkStart w:id="21" w:name="_Toc431908626"/>
      <w:r>
        <w:t>Policy objective in reviewing the minimum rate</w:t>
      </w:r>
      <w:bookmarkEnd w:id="21"/>
    </w:p>
    <w:p w:rsidR="002F4A12" w:rsidRDefault="002F4A12" w:rsidP="002F4A12">
      <w:pPr>
        <w:pStyle w:val="ListParagraph"/>
        <w:numPr>
          <w:ilvl w:val="0"/>
          <w:numId w:val="27"/>
        </w:numPr>
        <w:ind w:left="567" w:hanging="567"/>
      </w:pPr>
      <w:r>
        <w:t>The policy objective of the analysis is to identify a minimum rate that takes into account societies’ operating costs, but that does not reduce the total amount of net proceeds, or in other words, the level of community funding.</w:t>
      </w:r>
    </w:p>
    <w:p w:rsidR="002F4A12" w:rsidRDefault="002F4A12" w:rsidP="002F4A12">
      <w:pPr>
        <w:pStyle w:val="Heading2"/>
      </w:pPr>
      <w:bookmarkStart w:id="22" w:name="_Toc431908627"/>
      <w:r>
        <w:t>Criteria for assessing options</w:t>
      </w:r>
      <w:bookmarkEnd w:id="22"/>
    </w:p>
    <w:p w:rsidR="002F4A12" w:rsidRPr="007F0DF5" w:rsidRDefault="002F4A12" w:rsidP="002F4A12">
      <w:pPr>
        <w:pStyle w:val="ListParagraph"/>
        <w:numPr>
          <w:ilvl w:val="0"/>
          <w:numId w:val="27"/>
        </w:numPr>
        <w:ind w:left="567" w:hanging="567"/>
      </w:pPr>
      <w:r w:rsidRPr="007F0DF5">
        <w:t xml:space="preserve">In assessing the </w:t>
      </w:r>
      <w:r>
        <w:t>options, the following criteria has been identified</w:t>
      </w:r>
      <w:r w:rsidRPr="007F0DF5">
        <w:t>:</w:t>
      </w:r>
    </w:p>
    <w:p w:rsidR="002F4A12" w:rsidRPr="007F0DF5" w:rsidRDefault="002F4A12" w:rsidP="002F4A12">
      <w:pPr>
        <w:pStyle w:val="ListParagraph"/>
        <w:numPr>
          <w:ilvl w:val="0"/>
          <w:numId w:val="28"/>
        </w:numPr>
        <w:ind w:left="993" w:hanging="426"/>
      </w:pPr>
      <w:r>
        <w:t xml:space="preserve">Does the </w:t>
      </w:r>
      <w:r w:rsidRPr="007F0DF5">
        <w:t>opti</w:t>
      </w:r>
      <w:r w:rsidR="00E73691">
        <w:t xml:space="preserve">on </w:t>
      </w:r>
      <w:r>
        <w:t>achieve the policy objective?</w:t>
      </w:r>
    </w:p>
    <w:p w:rsidR="002F4A12" w:rsidRDefault="002F4A12" w:rsidP="002F4A12">
      <w:pPr>
        <w:pStyle w:val="ListParagraph"/>
        <w:numPr>
          <w:ilvl w:val="0"/>
          <w:numId w:val="28"/>
        </w:numPr>
        <w:ind w:left="993" w:hanging="426"/>
      </w:pPr>
      <w:r>
        <w:t>Does the option impact on the viability of societies?</w:t>
      </w:r>
    </w:p>
    <w:p w:rsidR="002F4A12" w:rsidRDefault="002F4A12" w:rsidP="002F4A12">
      <w:pPr>
        <w:pStyle w:val="ListParagraph"/>
        <w:numPr>
          <w:ilvl w:val="0"/>
          <w:numId w:val="28"/>
        </w:numPr>
        <w:ind w:left="993" w:hanging="426"/>
      </w:pPr>
      <w:r>
        <w:t>Does the option reduce the overall level of funding return to the community?</w:t>
      </w:r>
    </w:p>
    <w:p w:rsidR="002F4A12" w:rsidRDefault="002F4A12" w:rsidP="002F4A12">
      <w:pPr>
        <w:pStyle w:val="Heading2"/>
      </w:pPr>
      <w:bookmarkStart w:id="23" w:name="_Toc431908628"/>
      <w:r>
        <w:t>Options and impact analysis</w:t>
      </w:r>
      <w:bookmarkEnd w:id="23"/>
    </w:p>
    <w:p w:rsidR="002F4A12" w:rsidRDefault="002F4A12" w:rsidP="002F4A12">
      <w:pPr>
        <w:pStyle w:val="ListParagraph"/>
        <w:numPr>
          <w:ilvl w:val="0"/>
          <w:numId w:val="27"/>
        </w:numPr>
        <w:ind w:left="567" w:hanging="567"/>
      </w:pPr>
      <w:r>
        <w:t>The table below describes and assesses the potential options against the criteria and identifies risks, costs and benefits. The Department’s analysis is based on societies’ current returns to authorised purposes taken from societies</w:t>
      </w:r>
      <w:r w:rsidR="008444E3">
        <w:t>’</w:t>
      </w:r>
      <w:r>
        <w:t xml:space="preserve"> Gaming Machine Account Summary Returns for the 2014 financial year. Current practice in rates of return is not necessarily a good indicator of whether societies can absorb forthcoming cost pressures and meet the required minimum rates. This is because:</w:t>
      </w:r>
    </w:p>
    <w:p w:rsidR="002F4A12" w:rsidRDefault="002F4A12" w:rsidP="002F4A12">
      <w:pPr>
        <w:pStyle w:val="Bullet"/>
      </w:pPr>
      <w:r>
        <w:t>the 2014 figures reflect a year in which not all societies were affected by the increase to 40 per cent of GST exclusive gross proceeds (as s</w:t>
      </w:r>
      <w:r w:rsidRPr="0059646B">
        <w:t xml:space="preserve">ocieties are required to apply the increase in the minimum rate of return in </w:t>
      </w:r>
      <w:r>
        <w:t xml:space="preserve">their </w:t>
      </w:r>
      <w:r w:rsidRPr="0059646B">
        <w:t>financial year that follows the increase</w:t>
      </w:r>
      <w:r>
        <w:t>). Therefore societies not achieving a 40 per cent rate may well be able to achieve this rate of return once the requirement applies to them;</w:t>
      </w:r>
      <w:r w:rsidR="00D0422F">
        <w:t xml:space="preserve"> and</w:t>
      </w:r>
    </w:p>
    <w:p w:rsidR="002F4A12" w:rsidRDefault="002F4A12" w:rsidP="002F4A12">
      <w:pPr>
        <w:pStyle w:val="Bullet"/>
      </w:pPr>
      <w:proofErr w:type="gramStart"/>
      <w:r>
        <w:t>it</w:t>
      </w:r>
      <w:proofErr w:type="gramEnd"/>
      <w:r>
        <w:t xml:space="preserve"> is not clear how societies will be affected by the gambling fee increases (scheduled to take effect </w:t>
      </w:r>
      <w:r w:rsidR="00A61796">
        <w:t>in D</w:t>
      </w:r>
      <w:r w:rsidR="00700955">
        <w:t>ecember</w:t>
      </w:r>
      <w:r>
        <w:t xml:space="preserve"> 20</w:t>
      </w:r>
      <w:r w:rsidR="00700955">
        <w:t>15</w:t>
      </w:r>
      <w:r>
        <w:t xml:space="preserve">) and other compliance-related costs discussed above.  </w:t>
      </w:r>
    </w:p>
    <w:p w:rsidR="00C2527C" w:rsidRDefault="00664DF7" w:rsidP="004256EA">
      <w:pPr>
        <w:pStyle w:val="ListParagraph"/>
        <w:numPr>
          <w:ilvl w:val="0"/>
          <w:numId w:val="27"/>
        </w:numPr>
        <w:ind w:left="567" w:hanging="567"/>
      </w:pPr>
      <w:r>
        <w:t xml:space="preserve">There </w:t>
      </w:r>
      <w:r w:rsidR="003E0FED">
        <w:t xml:space="preserve">are 35 societies subject to the </w:t>
      </w:r>
      <w:r>
        <w:t xml:space="preserve">minimum rate of return requirements. </w:t>
      </w:r>
      <w:r w:rsidR="00CB17E2" w:rsidRPr="00CB17E2">
        <w:t xml:space="preserve">Assuming that all costs are realised to their maximum, the scale of the impact on </w:t>
      </w:r>
      <w:r>
        <w:t xml:space="preserve">each operator in </w:t>
      </w:r>
      <w:r w:rsidR="00CB17E2" w:rsidRPr="00CB17E2">
        <w:t>the sector is highly variable</w:t>
      </w:r>
      <w:r w:rsidR="00B66CBC">
        <w:t>.</w:t>
      </w:r>
      <w:r w:rsidR="00CB17E2" w:rsidRPr="00CB17E2">
        <w:t xml:space="preserve"> </w:t>
      </w:r>
    </w:p>
    <w:p w:rsidR="004256EA" w:rsidRDefault="004256EA" w:rsidP="004256EA">
      <w:pPr>
        <w:pStyle w:val="ListParagraph"/>
        <w:numPr>
          <w:ilvl w:val="0"/>
          <w:numId w:val="27"/>
        </w:numPr>
        <w:ind w:left="567" w:hanging="567"/>
      </w:pPr>
      <w:r>
        <w:t xml:space="preserve">Based on the increasing fees and the maximum of potential costs incurred, it is estimated that operators will require an increase of between 2.1 per cent and 9.6 per cent of net proceeds being available for distribution to meet a 40 </w:t>
      </w:r>
      <w:r w:rsidR="008444E3">
        <w:t xml:space="preserve">per cent </w:t>
      </w:r>
      <w:r>
        <w:t xml:space="preserve">annual rate of return threshold. </w:t>
      </w:r>
    </w:p>
    <w:p w:rsidR="004256EA" w:rsidRDefault="00DD1486" w:rsidP="004256EA">
      <w:pPr>
        <w:pStyle w:val="ListParagraph"/>
        <w:numPr>
          <w:ilvl w:val="0"/>
          <w:numId w:val="27"/>
        </w:numPr>
        <w:ind w:left="567" w:hanging="567"/>
      </w:pPr>
      <w:r>
        <w:t xml:space="preserve">To meet </w:t>
      </w:r>
      <w:r w:rsidR="004256EA">
        <w:t xml:space="preserve">a 42 per cent annual rate of return threshold, it is estimated that operators will require an increase of between 2.3 per cent </w:t>
      </w:r>
      <w:r w:rsidR="00685DDD">
        <w:t>and</w:t>
      </w:r>
      <w:r w:rsidR="004256EA">
        <w:t xml:space="preserve"> 10.8 per cent of net proceeds being available for distribution.</w:t>
      </w:r>
    </w:p>
    <w:p w:rsidR="00CB17E2" w:rsidRPr="00E45E51" w:rsidRDefault="00CB17E2" w:rsidP="004256EA">
      <w:pPr>
        <w:pStyle w:val="ListParagraph"/>
        <w:numPr>
          <w:ilvl w:val="0"/>
          <w:numId w:val="27"/>
        </w:numPr>
        <w:ind w:left="567" w:hanging="567"/>
      </w:pPr>
      <w:r w:rsidRPr="00CB17E2">
        <w:lastRenderedPageBreak/>
        <w:t>While increasing GMP through acquiring venues is not always a practical option, operators may also increase proceeds available for distribution through reducing operational costs, e.g. not installing downloadable jackpots, deferring bank note acceptors inst</w:t>
      </w:r>
      <w:r w:rsidR="002927A5">
        <w:t xml:space="preserve">allation to a single update in </w:t>
      </w:r>
      <w:r w:rsidRPr="00CB17E2">
        <w:t>April 201</w:t>
      </w:r>
      <w:r w:rsidR="002927A5">
        <w:t>6</w:t>
      </w:r>
      <w:r w:rsidRPr="00CB17E2">
        <w:t>, reducing venue payments</w:t>
      </w:r>
      <w:r w:rsidR="00685DDD">
        <w:t>, changing the depreciation schedules on their machines,</w:t>
      </w:r>
      <w:r w:rsidRPr="00CB17E2">
        <w:t xml:space="preserve"> or withdrawing from low performing/unsustainable venues etc.    </w:t>
      </w:r>
    </w:p>
    <w:p w:rsidR="002F4A12" w:rsidRDefault="00CB17E2" w:rsidP="0071401F">
      <w:pPr>
        <w:pStyle w:val="ListParagraph"/>
        <w:numPr>
          <w:ilvl w:val="0"/>
          <w:numId w:val="27"/>
        </w:numPr>
        <w:ind w:left="567" w:hanging="567"/>
      </w:pPr>
      <w:r w:rsidRPr="00CB17E2">
        <w:t>In the event that operators were unable to meet their annual rat</w:t>
      </w:r>
      <w:r w:rsidR="0071401F">
        <w:t>e of return commitments and exi</w:t>
      </w:r>
      <w:r w:rsidRPr="00CB17E2">
        <w:t>t the sector, the impact on funding available to the community is difficult to estimate</w:t>
      </w:r>
      <w:r w:rsidR="00E45E51">
        <w:t>.</w:t>
      </w:r>
      <w:r w:rsidR="003E50D7">
        <w:t xml:space="preserve"> </w:t>
      </w:r>
      <w:r w:rsidR="002F4A12">
        <w:t>The Department has therefore taken a conservative approach in the following analysis and the opti</w:t>
      </w:r>
      <w:r w:rsidR="00122166">
        <w:t xml:space="preserve">ons considered below. </w:t>
      </w:r>
    </w:p>
    <w:p w:rsidR="002F4A12" w:rsidRDefault="002F4A12" w:rsidP="002F4A12">
      <w:pPr>
        <w:pStyle w:val="Caption"/>
      </w:pPr>
      <w:r>
        <w:t xml:space="preserve">Table </w:t>
      </w:r>
      <w:r w:rsidR="001C00AB">
        <w:t>5</w:t>
      </w:r>
      <w:r>
        <w:t>: Description and assessment of minimum rate of return options</w:t>
      </w:r>
    </w:p>
    <w:tbl>
      <w:tblPr>
        <w:tblStyle w:val="DIATable"/>
        <w:tblW w:w="0" w:type="auto"/>
        <w:tblLook w:val="04A0" w:firstRow="1" w:lastRow="0" w:firstColumn="1" w:lastColumn="0" w:noHBand="0" w:noVBand="1"/>
      </w:tblPr>
      <w:tblGrid>
        <w:gridCol w:w="4318"/>
        <w:gridCol w:w="4861"/>
      </w:tblGrid>
      <w:tr w:rsidR="002F4A12" w:rsidTr="009C2298">
        <w:trPr>
          <w:cnfStyle w:val="100000000000" w:firstRow="1" w:lastRow="0" w:firstColumn="0" w:lastColumn="0" w:oddVBand="0" w:evenVBand="0" w:oddHBand="0" w:evenHBand="0" w:firstRowFirstColumn="0" w:firstRowLastColumn="0" w:lastRowFirstColumn="0" w:lastRowLastColumn="0"/>
          <w:cantSplit w:val="0"/>
        </w:trPr>
        <w:tc>
          <w:tcPr>
            <w:tcW w:w="0" w:type="auto"/>
          </w:tcPr>
          <w:p w:rsidR="002F4A12" w:rsidRDefault="002F4A12" w:rsidP="009C2298">
            <w:pPr>
              <w:pStyle w:val="Numberedpara3level1"/>
              <w:numPr>
                <w:ilvl w:val="0"/>
                <w:numId w:val="0"/>
              </w:numPr>
            </w:pPr>
            <w:r>
              <w:t>Option</w:t>
            </w:r>
          </w:p>
        </w:tc>
        <w:tc>
          <w:tcPr>
            <w:tcW w:w="0" w:type="auto"/>
          </w:tcPr>
          <w:p w:rsidR="002F4A12" w:rsidRDefault="002F4A12" w:rsidP="009C2298">
            <w:pPr>
              <w:pStyle w:val="Numberedpara3level1"/>
              <w:numPr>
                <w:ilvl w:val="0"/>
                <w:numId w:val="0"/>
              </w:numPr>
            </w:pPr>
            <w:r>
              <w:t>Assessment of criteria and risks, costs and benefits</w:t>
            </w:r>
          </w:p>
        </w:tc>
      </w:tr>
      <w:tr w:rsidR="002F4A12" w:rsidTr="009C2298">
        <w:trPr>
          <w:cantSplit w:val="0"/>
        </w:trPr>
        <w:tc>
          <w:tcPr>
            <w:tcW w:w="0" w:type="auto"/>
          </w:tcPr>
          <w:p w:rsidR="002F4A12" w:rsidRPr="00CF3D9C" w:rsidRDefault="002F4A12" w:rsidP="009C2298">
            <w:pPr>
              <w:pStyle w:val="Numberedpara3level1"/>
              <w:numPr>
                <w:ilvl w:val="0"/>
                <w:numId w:val="0"/>
              </w:numPr>
              <w:rPr>
                <w:b/>
              </w:rPr>
            </w:pPr>
            <w:r w:rsidRPr="00CF3D9C">
              <w:rPr>
                <w:b/>
              </w:rPr>
              <w:t>Option one: status quo</w:t>
            </w:r>
          </w:p>
          <w:p w:rsidR="002F4A12" w:rsidRDefault="002F4A12" w:rsidP="009C2298">
            <w:pPr>
              <w:pStyle w:val="Numberedpara3level1"/>
              <w:numPr>
                <w:ilvl w:val="0"/>
                <w:numId w:val="0"/>
              </w:numPr>
            </w:pPr>
            <w:r>
              <w:t>Maintain existing regulatory arrangements (the minimum rate of return will</w:t>
            </w:r>
            <w:r w:rsidR="00622B8C">
              <w:t xml:space="preserve"> increase to 41 per cent of GST-</w:t>
            </w:r>
            <w:r>
              <w:t>exclusive gross proceeds in September 2016 and 42 per cent in September 2018)</w:t>
            </w:r>
          </w:p>
        </w:tc>
        <w:tc>
          <w:tcPr>
            <w:tcW w:w="0" w:type="auto"/>
          </w:tcPr>
          <w:p w:rsidR="002F4A12" w:rsidRDefault="002F4A12" w:rsidP="009C2298">
            <w:pPr>
              <w:pStyle w:val="Numberedpara3level1"/>
              <w:numPr>
                <w:ilvl w:val="0"/>
                <w:numId w:val="0"/>
              </w:numPr>
            </w:pPr>
            <w:r>
              <w:t xml:space="preserve">The status quo fails to meet the policy objective as it does not take account of cost pressures facing societies since the </w:t>
            </w:r>
            <w:r w:rsidR="003B1358">
              <w:t>Regulations</w:t>
            </w:r>
            <w:r>
              <w:t xml:space="preserve"> were amended in 2014. It also does not minimise impacts on society viability or community funding.</w:t>
            </w:r>
          </w:p>
          <w:p w:rsidR="002F4A12" w:rsidRDefault="00664DF7" w:rsidP="009C2298">
            <w:pPr>
              <w:pStyle w:val="Numberedpara3level1"/>
              <w:numPr>
                <w:ilvl w:val="0"/>
                <w:numId w:val="0"/>
              </w:numPr>
            </w:pPr>
            <w:r>
              <w:t>15</w:t>
            </w:r>
            <w:r w:rsidR="002F4A12">
              <w:t xml:space="preserve"> societies are achieving a rate of return higher than 42 per cent. While these societies may be challenged by increasing cost pressures, it is unlikely that their rate of return will fall below the minimum requirements. </w:t>
            </w:r>
          </w:p>
          <w:p w:rsidR="002F4A12" w:rsidRDefault="003D5732" w:rsidP="009C2298">
            <w:pPr>
              <w:pStyle w:val="Numberedpara3level1"/>
              <w:numPr>
                <w:ilvl w:val="0"/>
                <w:numId w:val="0"/>
              </w:numPr>
            </w:pPr>
            <w:r>
              <w:t>10</w:t>
            </w:r>
            <w:r w:rsidR="002F4A12">
              <w:t xml:space="preserve"> societies are achieving rates of return between 40 and 42 per cent, while 1</w:t>
            </w:r>
            <w:r>
              <w:t>0</w:t>
            </w:r>
            <w:r w:rsidR="002F4A12">
              <w:t xml:space="preserve"> societies are below 40 per cent. To maintain their rate of return or to achieve increases in the rate of return under increasing cost pressures, these societies will need to reduce their costs to greater or lesser degrees. </w:t>
            </w:r>
            <w:r w:rsidR="00C668DE">
              <w:t xml:space="preserve">Some societies </w:t>
            </w:r>
            <w:r w:rsidR="00293400">
              <w:t xml:space="preserve">could withdraw </w:t>
            </w:r>
            <w:r w:rsidR="00C668DE">
              <w:t>from low-</w:t>
            </w:r>
            <w:r w:rsidR="00293400">
              <w:t>revenue</w:t>
            </w:r>
            <w:r w:rsidR="00C668DE">
              <w:t xml:space="preserve"> venues</w:t>
            </w:r>
            <w:r w:rsidR="00293400">
              <w:t>.</w:t>
            </w:r>
          </w:p>
          <w:p w:rsidR="002F4A12" w:rsidRDefault="002F4A12" w:rsidP="009C2298">
            <w:pPr>
              <w:pStyle w:val="Numberedpara3level1"/>
              <w:numPr>
                <w:ilvl w:val="0"/>
                <w:numId w:val="0"/>
              </w:numPr>
            </w:pPr>
            <w:r>
              <w:t xml:space="preserve">The precise loss in community funding depends on how many venues are picked up by other societies and the extent to which patronage moves to other venues. </w:t>
            </w:r>
          </w:p>
          <w:p w:rsidR="002F4A12" w:rsidRDefault="002F4A12" w:rsidP="00484E48">
            <w:pPr>
              <w:pStyle w:val="Numberedpara3level1"/>
              <w:numPr>
                <w:ilvl w:val="0"/>
                <w:numId w:val="0"/>
              </w:numPr>
            </w:pPr>
            <w:r>
              <w:t>Even if none of the societies were to cease operations entirely, retu</w:t>
            </w:r>
            <w:r w:rsidR="00484E48">
              <w:t xml:space="preserve">rns to the community may </w:t>
            </w:r>
            <w:r>
              <w:t>decline to some extent as a result of societies choos</w:t>
            </w:r>
            <w:r w:rsidR="00484E48">
              <w:t xml:space="preserve">ing </w:t>
            </w:r>
            <w:r>
              <w:t xml:space="preserve">to </w:t>
            </w:r>
            <w:r w:rsidR="00484E48">
              <w:t xml:space="preserve">remove their machines from </w:t>
            </w:r>
            <w:r>
              <w:t>low-GMP venues in order to meet the minimum rate of return.</w:t>
            </w:r>
          </w:p>
        </w:tc>
      </w:tr>
      <w:tr w:rsidR="002F4A12" w:rsidTr="009C2298">
        <w:trPr>
          <w:cantSplit w:val="0"/>
        </w:trPr>
        <w:tc>
          <w:tcPr>
            <w:tcW w:w="0" w:type="auto"/>
          </w:tcPr>
          <w:p w:rsidR="002F4A12" w:rsidRPr="00061338" w:rsidRDefault="002F4A12" w:rsidP="009C2298">
            <w:pPr>
              <w:pStyle w:val="Numberedpara3level1"/>
              <w:numPr>
                <w:ilvl w:val="0"/>
                <w:numId w:val="0"/>
              </w:numPr>
              <w:rPr>
                <w:b/>
              </w:rPr>
            </w:pPr>
            <w:r w:rsidRPr="00061338">
              <w:rPr>
                <w:b/>
              </w:rPr>
              <w:t xml:space="preserve">Option two: delay further increases in the minimum rate of return </w:t>
            </w:r>
            <w:r>
              <w:rPr>
                <w:b/>
              </w:rPr>
              <w:t>(preferred option)</w:t>
            </w:r>
          </w:p>
          <w:p w:rsidR="002F4A12" w:rsidRDefault="002F4A12" w:rsidP="009C2298">
            <w:pPr>
              <w:pStyle w:val="Numberedpara3level1"/>
              <w:numPr>
                <w:ilvl w:val="0"/>
                <w:numId w:val="0"/>
              </w:numPr>
            </w:pPr>
            <w:r>
              <w:t xml:space="preserve">The </w:t>
            </w:r>
            <w:r w:rsidR="003B1358">
              <w:t>Regulations</w:t>
            </w:r>
            <w:r>
              <w:t xml:space="preserve"> would be amended to delay the scheduled increases in the minimum rate of return. The rate of return would stay at 40 per cent of GST</w:t>
            </w:r>
            <w:r w:rsidR="00622B8C">
              <w:t>-</w:t>
            </w:r>
            <w:r>
              <w:t xml:space="preserve"> exclusive gross proceeds for up to a five-year period. The increase to 41 </w:t>
            </w:r>
            <w:r>
              <w:lastRenderedPageBreak/>
              <w:t>per cent would take place in 2020 and the increase to 42 per cent in 2022.</w:t>
            </w:r>
          </w:p>
        </w:tc>
        <w:tc>
          <w:tcPr>
            <w:tcW w:w="0" w:type="auto"/>
          </w:tcPr>
          <w:p w:rsidR="002F4A12" w:rsidRDefault="002F4A12" w:rsidP="009C2298">
            <w:pPr>
              <w:pStyle w:val="Numberedpara3level1"/>
              <w:numPr>
                <w:ilvl w:val="0"/>
                <w:numId w:val="0"/>
              </w:numPr>
            </w:pPr>
            <w:r>
              <w:lastRenderedPageBreak/>
              <w:t>The option meets the policy objective as it keeps the rate of return constant at 40 per cent while assessing the sectors capacity to adapt to increased cost pressures. This option presents less risk of negative impacts on community funding.</w:t>
            </w:r>
          </w:p>
          <w:p w:rsidR="002F4A12" w:rsidRDefault="002F4A12" w:rsidP="009C2298">
            <w:pPr>
              <w:pStyle w:val="Numberedpara3level1"/>
              <w:numPr>
                <w:ilvl w:val="0"/>
                <w:numId w:val="0"/>
              </w:numPr>
            </w:pPr>
            <w:r>
              <w:t xml:space="preserve">A 40 per cent minimum rate of return is below the current sector average rate of return. Most </w:t>
            </w:r>
            <w:r>
              <w:lastRenderedPageBreak/>
              <w:t xml:space="preserve">societies currently meet or are close to meeting this rate. This option appears to be feasible for the sector to maintain as they adapt to increasing cost pressures. </w:t>
            </w:r>
          </w:p>
          <w:p w:rsidR="002F4A12" w:rsidRPr="009818CA" w:rsidRDefault="002F4A12" w:rsidP="009C2298">
            <w:pPr>
              <w:pStyle w:val="Numberedpara3level1"/>
              <w:numPr>
                <w:ilvl w:val="0"/>
                <w:numId w:val="0"/>
              </w:numPr>
            </w:pPr>
            <w:r w:rsidRPr="009818CA">
              <w:t xml:space="preserve">The main benefit of this option is that it continues to </w:t>
            </w:r>
            <w:r w:rsidR="00B50D91">
              <w:t>incentivise</w:t>
            </w:r>
            <w:r w:rsidRPr="009818CA">
              <w:t xml:space="preserve"> societies to </w:t>
            </w:r>
            <w:r>
              <w:t>manage their costs effectively, while leaving open the opportunity to achieve further cost efficiencies in the sector at a later date.</w:t>
            </w:r>
          </w:p>
          <w:p w:rsidR="002F4A12" w:rsidRDefault="002F4A12" w:rsidP="00B50D91">
            <w:pPr>
              <w:pStyle w:val="Numberedpara3level1"/>
              <w:numPr>
                <w:ilvl w:val="0"/>
                <w:numId w:val="0"/>
              </w:numPr>
            </w:pPr>
            <w:r>
              <w:t>Again there is the risk of societies and venues exiting the sector but this risk is minimised by keeping the rate at 40 per cent</w:t>
            </w:r>
            <w:r w:rsidR="00B50D91">
              <w:t xml:space="preserve"> for a longer period</w:t>
            </w:r>
            <w:r>
              <w:t xml:space="preserve">. </w:t>
            </w:r>
          </w:p>
        </w:tc>
      </w:tr>
      <w:tr w:rsidR="002F4A12" w:rsidTr="009C2298">
        <w:trPr>
          <w:cantSplit w:val="0"/>
        </w:trPr>
        <w:tc>
          <w:tcPr>
            <w:tcW w:w="0" w:type="auto"/>
          </w:tcPr>
          <w:p w:rsidR="002F4A12" w:rsidRPr="00EB3792" w:rsidRDefault="002F4A12" w:rsidP="009C2298">
            <w:pPr>
              <w:pStyle w:val="Numberedpara3level1"/>
              <w:numPr>
                <w:ilvl w:val="0"/>
                <w:numId w:val="0"/>
              </w:numPr>
              <w:rPr>
                <w:b/>
              </w:rPr>
            </w:pPr>
            <w:r w:rsidRPr="00EB3792">
              <w:rPr>
                <w:b/>
              </w:rPr>
              <w:lastRenderedPageBreak/>
              <w:t>Option three: cancel further increases in the minimum rate of return</w:t>
            </w:r>
          </w:p>
          <w:p w:rsidR="002F4A12" w:rsidRPr="00F74A7D" w:rsidRDefault="002F4A12" w:rsidP="009C2298">
            <w:pPr>
              <w:pStyle w:val="Numberedpara3level1"/>
              <w:numPr>
                <w:ilvl w:val="0"/>
                <w:numId w:val="0"/>
              </w:numPr>
            </w:pPr>
            <w:r>
              <w:t xml:space="preserve">The </w:t>
            </w:r>
            <w:r w:rsidR="003B1358">
              <w:t>Regulations</w:t>
            </w:r>
            <w:r>
              <w:t xml:space="preserve"> would be amended to remove the </w:t>
            </w:r>
            <w:r w:rsidRPr="00F74A7D">
              <w:t xml:space="preserve">currently timetabled increases in the minimum rates </w:t>
            </w:r>
            <w:r>
              <w:t>f</w:t>
            </w:r>
            <w:r w:rsidRPr="00F74A7D">
              <w:t xml:space="preserve">rom the </w:t>
            </w:r>
            <w:r w:rsidR="003B1358">
              <w:t>Regulations</w:t>
            </w:r>
            <w:r w:rsidRPr="00F74A7D">
              <w:t xml:space="preserve">. </w:t>
            </w:r>
            <w:r>
              <w:t>The rate of return would stay at 40 per cent of GST</w:t>
            </w:r>
            <w:r w:rsidR="00622B8C">
              <w:t>-</w:t>
            </w:r>
            <w:r>
              <w:t xml:space="preserve"> exclusive gross proceeds indefinitely.</w:t>
            </w:r>
          </w:p>
          <w:p w:rsidR="002F4A12" w:rsidRDefault="002F4A12" w:rsidP="009C2298">
            <w:pPr>
              <w:pStyle w:val="Numberedpara3level1"/>
              <w:numPr>
                <w:ilvl w:val="0"/>
                <w:numId w:val="0"/>
              </w:numPr>
            </w:pPr>
          </w:p>
        </w:tc>
        <w:tc>
          <w:tcPr>
            <w:tcW w:w="0" w:type="auto"/>
          </w:tcPr>
          <w:p w:rsidR="002F4A12" w:rsidRDefault="002F4A12" w:rsidP="009C2298">
            <w:pPr>
              <w:pStyle w:val="Numberedpara3level1"/>
              <w:numPr>
                <w:ilvl w:val="0"/>
                <w:numId w:val="0"/>
              </w:numPr>
            </w:pPr>
            <w:r>
              <w:t>This option also meets the policy objective. However it has a greater impact than option two on community funding as there will be no further increase in the minimum portion of funding required to be returned to communities.</w:t>
            </w:r>
          </w:p>
          <w:p w:rsidR="002F4A12" w:rsidRDefault="002F4A12" w:rsidP="009C2298">
            <w:pPr>
              <w:pStyle w:val="Numberedpara3level1"/>
              <w:numPr>
                <w:ilvl w:val="0"/>
                <w:numId w:val="0"/>
              </w:numPr>
            </w:pPr>
            <w:r>
              <w:t xml:space="preserve">This option accepts that 40 per cent is the optimum rate of return to authorised purposes that best enables societies to maximise returns to communities while absorbing costs. This assessment is however based on incomplete information and </w:t>
            </w:r>
            <w:r w:rsidR="00547564">
              <w:t xml:space="preserve">may present </w:t>
            </w:r>
            <w:r>
              <w:t>a lost opportunity to achieve further cost efficiencies in the sector.</w:t>
            </w:r>
          </w:p>
          <w:p w:rsidR="002F4A12" w:rsidRDefault="002F4A12" w:rsidP="009C2298">
            <w:pPr>
              <w:pStyle w:val="Numberedpara3level1"/>
              <w:numPr>
                <w:ilvl w:val="0"/>
                <w:numId w:val="0"/>
              </w:numPr>
            </w:pPr>
            <w:r>
              <w:t>As noted above, 40 per cent is below the current average rate of return. Maintaining this rate indefinitely does not make the most of the opportunity to capture greater benefit to communities through more grant funding. Any increases in payments to authorised purposes over the minimum rate would continue to be voluntary.</w:t>
            </w:r>
          </w:p>
        </w:tc>
      </w:tr>
      <w:tr w:rsidR="002F4A12" w:rsidTr="009C2298">
        <w:trPr>
          <w:cantSplit w:val="0"/>
        </w:trPr>
        <w:tc>
          <w:tcPr>
            <w:tcW w:w="0" w:type="auto"/>
          </w:tcPr>
          <w:p w:rsidR="002F4A12" w:rsidRDefault="002F4A12" w:rsidP="009C2298">
            <w:pPr>
              <w:pStyle w:val="Numberedpara3level1"/>
              <w:numPr>
                <w:ilvl w:val="0"/>
                <w:numId w:val="0"/>
              </w:numPr>
              <w:rPr>
                <w:b/>
              </w:rPr>
            </w:pPr>
            <w:r w:rsidRPr="00EB3792">
              <w:rPr>
                <w:b/>
              </w:rPr>
              <w:t xml:space="preserve">Option four: reduce the minimum rate of return </w:t>
            </w:r>
          </w:p>
          <w:p w:rsidR="002F4A12" w:rsidRPr="00EB3792" w:rsidRDefault="002F4A12" w:rsidP="003B1358">
            <w:pPr>
              <w:pStyle w:val="Numberedpara3level1"/>
              <w:numPr>
                <w:ilvl w:val="0"/>
                <w:numId w:val="0"/>
              </w:numPr>
            </w:pPr>
            <w:r>
              <w:t xml:space="preserve">The </w:t>
            </w:r>
            <w:r w:rsidR="003B1358">
              <w:t>Regulations</w:t>
            </w:r>
            <w:r>
              <w:t xml:space="preserve"> would be amended to reduce the minimum rate of return</w:t>
            </w:r>
            <w:r w:rsidR="003B1358">
              <w:t xml:space="preserve"> to below 40</w:t>
            </w:r>
            <w:r w:rsidR="004C6BCB">
              <w:t xml:space="preserve"> per cent of GST</w:t>
            </w:r>
            <w:r w:rsidR="00622B8C">
              <w:t>-</w:t>
            </w:r>
            <w:r w:rsidR="004C6BCB">
              <w:t xml:space="preserve"> exclusive gross proceeds</w:t>
            </w:r>
          </w:p>
        </w:tc>
        <w:tc>
          <w:tcPr>
            <w:tcW w:w="0" w:type="auto"/>
          </w:tcPr>
          <w:p w:rsidR="002F4A12" w:rsidRDefault="002F4A12" w:rsidP="009C2298">
            <w:pPr>
              <w:pStyle w:val="Numberedpara3level1"/>
              <w:numPr>
                <w:ilvl w:val="0"/>
                <w:numId w:val="0"/>
              </w:numPr>
            </w:pPr>
            <w:r>
              <w:t xml:space="preserve">This option partially meets the policy objective. While it takes account of societies’ operating costs, a reduction in the minimum rate of return will reduce the total amount of net proceeds and therefore affect the overall level of community funding. </w:t>
            </w:r>
          </w:p>
          <w:p w:rsidR="002F4A12" w:rsidRDefault="002F4A12" w:rsidP="009C2298">
            <w:pPr>
              <w:pStyle w:val="Numberedpara3level1"/>
              <w:numPr>
                <w:ilvl w:val="0"/>
                <w:numId w:val="0"/>
              </w:numPr>
            </w:pPr>
            <w:r w:rsidRPr="007554F5">
              <w:t xml:space="preserve">The advantage of this </w:t>
            </w:r>
            <w:r>
              <w:t>option</w:t>
            </w:r>
            <w:r w:rsidRPr="007554F5">
              <w:t xml:space="preserve"> is that most societies would be able to fully absorb current cost pressures without looking for further cost savings.</w:t>
            </w:r>
            <w:r>
              <w:t xml:space="preserve"> </w:t>
            </w:r>
            <w:r w:rsidRPr="005F0C05">
              <w:t xml:space="preserve">However, this option </w:t>
            </w:r>
            <w:r w:rsidR="007971EE">
              <w:t xml:space="preserve">has the potential to have </w:t>
            </w:r>
            <w:r w:rsidRPr="005F0C05">
              <w:t>a greater impact on community funding than option three. Societies will be under less pressure to close low turnover venues, but will be allowed to return a small</w:t>
            </w:r>
            <w:r w:rsidR="007D57A8">
              <w:t>er</w:t>
            </w:r>
            <w:r w:rsidRPr="005F0C05">
              <w:t xml:space="preserve"> proportion of net proceeds to communities. </w:t>
            </w:r>
            <w:r w:rsidRPr="007554F5">
              <w:t xml:space="preserve">   </w:t>
            </w:r>
          </w:p>
          <w:p w:rsidR="002F4A12" w:rsidRDefault="002F4A12" w:rsidP="009C2298">
            <w:pPr>
              <w:pStyle w:val="Numberedpara3level1"/>
              <w:numPr>
                <w:ilvl w:val="0"/>
                <w:numId w:val="0"/>
              </w:numPr>
            </w:pPr>
            <w:r>
              <w:t xml:space="preserve">The changes to </w:t>
            </w:r>
            <w:r w:rsidR="006B0C91">
              <w:t xml:space="preserve">the </w:t>
            </w:r>
            <w:r w:rsidR="003B1358">
              <w:t>Regulations</w:t>
            </w:r>
            <w:r>
              <w:t xml:space="preserve"> have </w:t>
            </w:r>
            <w:r w:rsidRPr="007554F5">
              <w:t>put more pressure on societies to maxi</w:t>
            </w:r>
            <w:r>
              <w:t xml:space="preserve">mise returns and minimise costs, which is </w:t>
            </w:r>
            <w:r w:rsidRPr="007554F5">
              <w:t xml:space="preserve">consistent with the purposes of the </w:t>
            </w:r>
            <w:r>
              <w:t xml:space="preserve">Act. </w:t>
            </w:r>
            <w:r w:rsidRPr="007554F5">
              <w:t xml:space="preserve"> Many of the cost pressures </w:t>
            </w:r>
            <w:r w:rsidRPr="007554F5">
              <w:lastRenderedPageBreak/>
              <w:t xml:space="preserve">over the next 12 months are one-off costs and a permanent reduction in the minimum rate of return </w:t>
            </w:r>
            <w:r w:rsidR="006B0C91">
              <w:t>could</w:t>
            </w:r>
            <w:r w:rsidRPr="007554F5">
              <w:t xml:space="preserve"> reduce incentives for societies to maximise their return and to identify areas for further cost reductions.  </w:t>
            </w:r>
          </w:p>
          <w:p w:rsidR="002F4A12" w:rsidRDefault="002F4A12" w:rsidP="004C6BCB">
            <w:pPr>
              <w:pStyle w:val="Numberedpara3level1"/>
              <w:numPr>
                <w:ilvl w:val="0"/>
                <w:numId w:val="0"/>
              </w:numPr>
            </w:pPr>
            <w:r w:rsidRPr="007554F5">
              <w:t>The average rate of return to authorised purposes is currently around 4</w:t>
            </w:r>
            <w:r w:rsidR="009B5E28">
              <w:t>1</w:t>
            </w:r>
            <w:r>
              <w:t xml:space="preserve"> per cent</w:t>
            </w:r>
            <w:r w:rsidRPr="007554F5">
              <w:t xml:space="preserve"> for the sector, so there is scope for </w:t>
            </w:r>
            <w:r>
              <w:t>some societies</w:t>
            </w:r>
            <w:r w:rsidRPr="007554F5">
              <w:t xml:space="preserve"> to absorb short-term cost pressures while reaching at least a 40</w:t>
            </w:r>
            <w:r>
              <w:t xml:space="preserve"> per cent</w:t>
            </w:r>
            <w:r w:rsidRPr="007554F5">
              <w:t xml:space="preserve"> minimum return. </w:t>
            </w:r>
            <w:r>
              <w:t xml:space="preserve"> </w:t>
            </w:r>
          </w:p>
        </w:tc>
      </w:tr>
    </w:tbl>
    <w:p w:rsidR="00A840D6" w:rsidRDefault="002F4A12" w:rsidP="00397335">
      <w:pPr>
        <w:pStyle w:val="Heading1"/>
      </w:pPr>
      <w:bookmarkStart w:id="24" w:name="_Toc431908629"/>
      <w:r>
        <w:lastRenderedPageBreak/>
        <w:t>Im</w:t>
      </w:r>
      <w:r w:rsidR="00397335">
        <w:t>plementation, monitoring and review</w:t>
      </w:r>
      <w:bookmarkEnd w:id="24"/>
    </w:p>
    <w:p w:rsidR="00397335" w:rsidRDefault="00397335" w:rsidP="00397335">
      <w:pPr>
        <w:pStyle w:val="ListParagraph"/>
        <w:numPr>
          <w:ilvl w:val="0"/>
          <w:numId w:val="27"/>
        </w:numPr>
        <w:ind w:left="567" w:hanging="567"/>
      </w:pPr>
      <w:r w:rsidRPr="00BA50B0">
        <w:t>The Department will be monitoring the effect of</w:t>
      </w:r>
      <w:r>
        <w:t xml:space="preserve"> cost pressures on the sector</w:t>
      </w:r>
      <w:r w:rsidR="00395A8E">
        <w:t xml:space="preserve"> and societies’ performance in achieving the minimum rate</w:t>
      </w:r>
      <w:r>
        <w:t>.</w:t>
      </w:r>
    </w:p>
    <w:p w:rsidR="00397335" w:rsidRDefault="00397335" w:rsidP="00397335">
      <w:pPr>
        <w:pStyle w:val="ListParagraph"/>
        <w:numPr>
          <w:ilvl w:val="0"/>
          <w:numId w:val="27"/>
        </w:numPr>
        <w:ind w:left="567" w:hanging="567"/>
      </w:pPr>
      <w:r w:rsidRPr="00BA50B0">
        <w:t>A key factor w</w:t>
      </w:r>
      <w:r>
        <w:t>ould</w:t>
      </w:r>
      <w:r w:rsidRPr="00BA50B0">
        <w:t xml:space="preserve"> be </w:t>
      </w:r>
      <w:r>
        <w:t xml:space="preserve">the balance between ensuring </w:t>
      </w:r>
      <w:r w:rsidR="00395A8E">
        <w:t xml:space="preserve">that societies’ </w:t>
      </w:r>
      <w:r>
        <w:t xml:space="preserve">compliance and financial viability is not </w:t>
      </w:r>
      <w:r w:rsidR="00395A8E">
        <w:t xml:space="preserve">severely </w:t>
      </w:r>
      <w:r>
        <w:t xml:space="preserve">impacted, while at the same time maximising the level of return to communities.  </w:t>
      </w:r>
    </w:p>
    <w:p w:rsidR="00397335" w:rsidRDefault="00397335" w:rsidP="00397335">
      <w:pPr>
        <w:pStyle w:val="ListParagraph"/>
        <w:numPr>
          <w:ilvl w:val="0"/>
          <w:numId w:val="27"/>
        </w:numPr>
        <w:ind w:left="567" w:hanging="567"/>
      </w:pPr>
      <w:r w:rsidRPr="00BA50B0">
        <w:t xml:space="preserve">As </w:t>
      </w:r>
      <w:r w:rsidR="0094020B">
        <w:t xml:space="preserve">noted earlier, the Department </w:t>
      </w:r>
      <w:r>
        <w:t>is undertaking an assessment of the class 4 gambling framework. This will include considering how this framework incentivis</w:t>
      </w:r>
      <w:r w:rsidR="00153CBD">
        <w:t xml:space="preserve">es </w:t>
      </w:r>
      <w:r>
        <w:t>returns to community</w:t>
      </w:r>
      <w:r w:rsidR="00395A8E">
        <w:t xml:space="preserve"> purposes</w:t>
      </w:r>
      <w:r>
        <w:t>.</w:t>
      </w:r>
    </w:p>
    <w:p w:rsidR="00397335" w:rsidRPr="00BA50B0" w:rsidRDefault="00397335" w:rsidP="00397335">
      <w:pPr>
        <w:pStyle w:val="Heading2"/>
        <w:pBdr>
          <w:top w:val="single" w:sz="4" w:space="1" w:color="auto"/>
          <w:left w:val="single" w:sz="4" w:space="4" w:color="auto"/>
          <w:bottom w:val="single" w:sz="4" w:space="1" w:color="auto"/>
          <w:right w:val="single" w:sz="4" w:space="4" w:color="auto"/>
        </w:pBdr>
        <w:jc w:val="center"/>
      </w:pPr>
      <w:bookmarkStart w:id="25" w:name="_Toc422907473"/>
      <w:bookmarkStart w:id="26" w:name="_Toc431908630"/>
      <w:r>
        <w:t>Questions for you</w:t>
      </w:r>
      <w:bookmarkEnd w:id="25"/>
      <w:bookmarkEnd w:id="26"/>
    </w:p>
    <w:p w:rsidR="0099427D" w:rsidRDefault="0099427D" w:rsidP="00397335">
      <w:pPr>
        <w:pStyle w:val="NumbersLevel1"/>
        <w:pBdr>
          <w:top w:val="single" w:sz="4" w:space="1" w:color="auto"/>
          <w:left w:val="single" w:sz="4" w:space="4" w:color="auto"/>
          <w:bottom w:val="single" w:sz="4" w:space="1" w:color="auto"/>
          <w:right w:val="single" w:sz="4" w:space="4" w:color="auto"/>
        </w:pBdr>
        <w:tabs>
          <w:tab w:val="clear" w:pos="709"/>
        </w:tabs>
        <w:ind w:left="0" w:firstLine="0"/>
        <w:jc w:val="left"/>
        <w:rPr>
          <w:rFonts w:ascii="Calibri" w:hAnsi="Calibri"/>
          <w:sz w:val="24"/>
        </w:rPr>
      </w:pPr>
      <w:r>
        <w:rPr>
          <w:rFonts w:ascii="Calibri" w:hAnsi="Calibri"/>
          <w:sz w:val="24"/>
        </w:rPr>
        <w:t xml:space="preserve">What are </w:t>
      </w:r>
      <w:r w:rsidR="00EE7960">
        <w:rPr>
          <w:rFonts w:ascii="Calibri" w:hAnsi="Calibri"/>
          <w:sz w:val="24"/>
        </w:rPr>
        <w:t>the likely cost impacts of the changes to</w:t>
      </w:r>
      <w:r w:rsidR="00EE7960" w:rsidRPr="00EE7960">
        <w:rPr>
          <w:rFonts w:ascii="Calibri" w:hAnsi="Calibri"/>
          <w:sz w:val="24"/>
        </w:rPr>
        <w:t xml:space="preserve"> jackpot machines and banknote acceptors </w:t>
      </w:r>
      <w:r>
        <w:rPr>
          <w:rFonts w:ascii="Calibri" w:hAnsi="Calibri"/>
          <w:sz w:val="24"/>
        </w:rPr>
        <w:t>for you?</w:t>
      </w:r>
    </w:p>
    <w:p w:rsidR="00337004" w:rsidRPr="00BA50B0" w:rsidRDefault="00337004" w:rsidP="00337004">
      <w:pPr>
        <w:pStyle w:val="NumbersLevel1"/>
        <w:pBdr>
          <w:top w:val="single" w:sz="4" w:space="1" w:color="auto"/>
          <w:left w:val="single" w:sz="4" w:space="4" w:color="auto"/>
          <w:bottom w:val="single" w:sz="4" w:space="1" w:color="auto"/>
          <w:right w:val="single" w:sz="4" w:space="4" w:color="auto"/>
        </w:pBdr>
        <w:tabs>
          <w:tab w:val="clear" w:pos="709"/>
        </w:tabs>
        <w:ind w:left="0" w:firstLine="0"/>
        <w:jc w:val="left"/>
        <w:rPr>
          <w:rFonts w:ascii="Calibri" w:hAnsi="Calibri"/>
          <w:sz w:val="24"/>
        </w:rPr>
      </w:pPr>
      <w:r>
        <w:rPr>
          <w:rFonts w:ascii="Calibri" w:hAnsi="Calibri"/>
          <w:sz w:val="24"/>
        </w:rPr>
        <w:t xml:space="preserve">What in your opinion is the best option and why? </w:t>
      </w:r>
    </w:p>
    <w:p w:rsidR="00397335" w:rsidRDefault="00397335" w:rsidP="00397335">
      <w:pPr>
        <w:pStyle w:val="NumbersLevel1"/>
        <w:pBdr>
          <w:top w:val="single" w:sz="4" w:space="1" w:color="auto"/>
          <w:left w:val="single" w:sz="4" w:space="4" w:color="auto"/>
          <w:bottom w:val="single" w:sz="4" w:space="1" w:color="auto"/>
          <w:right w:val="single" w:sz="4" w:space="4" w:color="auto"/>
        </w:pBdr>
        <w:tabs>
          <w:tab w:val="clear" w:pos="709"/>
        </w:tabs>
        <w:ind w:left="0" w:firstLine="0"/>
        <w:jc w:val="left"/>
        <w:rPr>
          <w:rFonts w:ascii="Calibri" w:hAnsi="Calibri"/>
          <w:sz w:val="24"/>
        </w:rPr>
      </w:pPr>
      <w:r w:rsidRPr="00BA50B0">
        <w:rPr>
          <w:rFonts w:ascii="Calibri" w:hAnsi="Calibri"/>
          <w:sz w:val="24"/>
        </w:rPr>
        <w:t xml:space="preserve">Are there other options for </w:t>
      </w:r>
      <w:r>
        <w:rPr>
          <w:rFonts w:ascii="Calibri" w:hAnsi="Calibri"/>
          <w:sz w:val="24"/>
        </w:rPr>
        <w:t>the minimum rate of return to authorised purposes</w:t>
      </w:r>
      <w:r w:rsidRPr="00BA50B0">
        <w:rPr>
          <w:rFonts w:ascii="Calibri" w:hAnsi="Calibri"/>
          <w:sz w:val="24"/>
        </w:rPr>
        <w:t xml:space="preserve"> that</w:t>
      </w:r>
      <w:r>
        <w:rPr>
          <w:rFonts w:ascii="Calibri" w:hAnsi="Calibri"/>
          <w:sz w:val="24"/>
        </w:rPr>
        <w:t xml:space="preserve"> we have not considered?  If so, what</w:t>
      </w:r>
      <w:r w:rsidR="00F005A7">
        <w:rPr>
          <w:rFonts w:ascii="Calibri" w:hAnsi="Calibri"/>
          <w:sz w:val="24"/>
        </w:rPr>
        <w:t xml:space="preserve"> are they</w:t>
      </w:r>
      <w:r>
        <w:rPr>
          <w:rFonts w:ascii="Calibri" w:hAnsi="Calibri"/>
          <w:sz w:val="24"/>
        </w:rPr>
        <w:t>?</w:t>
      </w:r>
    </w:p>
    <w:p w:rsidR="00397335" w:rsidRDefault="00397335" w:rsidP="00397335">
      <w:pPr>
        <w:pStyle w:val="NumbersLevel1"/>
        <w:pBdr>
          <w:top w:val="single" w:sz="4" w:space="1" w:color="auto"/>
          <w:left w:val="single" w:sz="4" w:space="4" w:color="auto"/>
          <w:bottom w:val="single" w:sz="4" w:space="1" w:color="auto"/>
          <w:right w:val="single" w:sz="4" w:space="4" w:color="auto"/>
        </w:pBdr>
        <w:tabs>
          <w:tab w:val="clear" w:pos="709"/>
        </w:tabs>
        <w:ind w:left="0" w:firstLine="0"/>
        <w:jc w:val="left"/>
        <w:rPr>
          <w:rFonts w:ascii="Calibri" w:hAnsi="Calibri"/>
          <w:sz w:val="24"/>
        </w:rPr>
      </w:pPr>
      <w:r>
        <w:rPr>
          <w:rFonts w:ascii="Calibri" w:hAnsi="Calibri"/>
          <w:sz w:val="24"/>
        </w:rPr>
        <w:t>Under the preferred option, h</w:t>
      </w:r>
      <w:r w:rsidRPr="00BA50B0">
        <w:rPr>
          <w:rFonts w:ascii="Calibri" w:hAnsi="Calibri"/>
          <w:sz w:val="24"/>
        </w:rPr>
        <w:t xml:space="preserve">ave the </w:t>
      </w:r>
      <w:r>
        <w:rPr>
          <w:rFonts w:ascii="Calibri" w:hAnsi="Calibri"/>
          <w:sz w:val="24"/>
        </w:rPr>
        <w:t>implications for societies and community groups been</w:t>
      </w:r>
      <w:r w:rsidRPr="00BA50B0">
        <w:rPr>
          <w:rFonts w:ascii="Calibri" w:hAnsi="Calibri"/>
          <w:sz w:val="24"/>
        </w:rPr>
        <w:t xml:space="preserve"> correctly identified?</w:t>
      </w:r>
    </w:p>
    <w:p w:rsidR="00397335" w:rsidRPr="00397335" w:rsidRDefault="00397335" w:rsidP="00397335"/>
    <w:sectPr w:rsidR="00397335" w:rsidRPr="00397335" w:rsidSect="004518B7">
      <w:footerReference w:type="default" r:id="rId21"/>
      <w:pgSz w:w="11907" w:h="16840" w:code="9"/>
      <w:pgMar w:top="1418" w:right="1418" w:bottom="992" w:left="1418" w:header="425" w:footer="64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F1A" w:rsidRDefault="00FA0F1A">
      <w:r>
        <w:separator/>
      </w:r>
    </w:p>
  </w:endnote>
  <w:endnote w:type="continuationSeparator" w:id="0">
    <w:p w:rsidR="00FA0F1A" w:rsidRDefault="00FA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802040204020203"/>
    <w:charset w:val="00"/>
    <w:family w:val="swiss"/>
    <w:pitch w:val="variable"/>
    <w:sig w:usb0="004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395" w:rsidRDefault="00A673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98" w:rsidRPr="00F60476" w:rsidRDefault="009C2298" w:rsidP="00F60476">
    <w:pPr>
      <w:pStyle w:val="Footer"/>
    </w:pPr>
    <w:r>
      <w:rPr>
        <w:noProof/>
        <w:lang w:eastAsia="en-NZ"/>
      </w:rPr>
      <w:drawing>
        <wp:anchor distT="0" distB="0" distL="114300" distR="114300" simplePos="0" relativeHeight="251667456" behindDoc="0" locked="0" layoutInCell="1" allowOverlap="1" wp14:anchorId="09FF509C" wp14:editId="22C4304A">
          <wp:simplePos x="0" y="0"/>
          <wp:positionH relativeFrom="column">
            <wp:posOffset>3204845</wp:posOffset>
          </wp:positionH>
          <wp:positionV relativeFrom="page">
            <wp:posOffset>9999345</wp:posOffset>
          </wp:positionV>
          <wp:extent cx="2555875" cy="262255"/>
          <wp:effectExtent l="0" t="0" r="0" b="4445"/>
          <wp:wrapSquare wrapText="bothSides"/>
          <wp:docPr id="5" name="Picture 5" descr="This image is the 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zealand government July 2014 [Converted].png"/>
                  <pic:cNvPicPr/>
                </pic:nvPicPr>
                <pic:blipFill>
                  <a:blip r:embed="rId1" cstate="print">
                    <a:extLst>
                      <a:ext uri="{28A0092B-C50C-407E-A947-70E740481C1C}">
                        <a14:useLocalDpi xmlns:a14="http://schemas.microsoft.com/office/drawing/2010/main"/>
                      </a:ext>
                    </a:extLst>
                  </a:blip>
                  <a:stretch>
                    <a:fillRect/>
                  </a:stretch>
                </pic:blipFill>
                <pic:spPr>
                  <a:xfrm>
                    <a:off x="0" y="0"/>
                    <a:ext cx="2555875" cy="2622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NZ"/>
      </w:rPr>
      <w:drawing>
        <wp:anchor distT="0" distB="0" distL="114300" distR="114300" simplePos="0" relativeHeight="251666432" behindDoc="1" locked="0" layoutInCell="1" allowOverlap="1" wp14:anchorId="5B7D4286" wp14:editId="6F6DFEFF">
          <wp:simplePos x="0" y="0"/>
          <wp:positionH relativeFrom="page">
            <wp:posOffset>953135</wp:posOffset>
          </wp:positionH>
          <wp:positionV relativeFrom="line">
            <wp:posOffset>-283845</wp:posOffset>
          </wp:positionV>
          <wp:extent cx="2771775" cy="492760"/>
          <wp:effectExtent l="0" t="0" r="9525" b="2540"/>
          <wp:wrapSquare wrapText="right"/>
          <wp:docPr id="6" name="Picture 6" descr="This image is the Internal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RGB-for-letterhead"/>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2771775" cy="4927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98" w:rsidRDefault="009C2298" w:rsidP="00762F5B">
    <w:pPr>
      <w:pStyle w:val="Footer"/>
      <w:tabs>
        <w:tab w:val="center" w:pos="5103"/>
        <w:tab w:val="right" w:pos="9071"/>
      </w:tabs>
      <w:ind w:right="-1"/>
    </w:pPr>
    <w:r>
      <w:t>DMS library:</w:t>
    </w:r>
    <w:r>
      <w:fldChar w:fldCharType="begin"/>
    </w:r>
    <w:r>
      <w:instrText xml:space="preserve"> MacroButton NoMacro </w:instrText>
    </w:r>
    <w:r>
      <w:rPr>
        <w:highlight w:val="yellow"/>
      </w:rPr>
      <w:instrText>&lt;i</w:instrText>
    </w:r>
    <w:r w:rsidRPr="0012021D">
      <w:rPr>
        <w:highlight w:val="yellow"/>
      </w:rPr>
      <w:instrText>nsert DMS library&gt;</w:instrText>
    </w:r>
    <w:r>
      <w:instrText xml:space="preserve"> </w:instrText>
    </w:r>
    <w:r>
      <w:fldChar w:fldCharType="end"/>
    </w: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57429">
      <w:fldChar w:fldCharType="begin"/>
    </w:r>
    <w:r w:rsidR="00757429">
      <w:instrText xml:space="preserve"> NUMPAGES   \* MERGEFORMAT </w:instrText>
    </w:r>
    <w:r w:rsidR="00757429">
      <w:fldChar w:fldCharType="separate"/>
    </w:r>
    <w:r w:rsidR="00FD6899">
      <w:rPr>
        <w:noProof/>
      </w:rPr>
      <w:t>20</w:t>
    </w:r>
    <w:r w:rsidR="00757429">
      <w:rPr>
        <w:noProof/>
      </w:rPr>
      <w:fldChar w:fldCharType="end"/>
    </w:r>
  </w:p>
  <w:p w:rsidR="009C2298" w:rsidRDefault="009C2298" w:rsidP="00E57F71">
    <w:pPr>
      <w:pStyle w:val="Footer"/>
      <w:tabs>
        <w:tab w:val="right" w:pos="9071"/>
      </w:tabs>
      <w:ind w:right="-1"/>
    </w:pPr>
    <w:r>
      <w:t>DMS file code:</w:t>
    </w:r>
    <w:r>
      <w:fldChar w:fldCharType="begin"/>
    </w:r>
    <w:r>
      <w:instrText xml:space="preserve"> MacroButton NoMacro </w:instrText>
    </w:r>
    <w:r w:rsidRPr="0012021D">
      <w:rPr>
        <w:highlight w:val="yellow"/>
      </w:rPr>
      <w:instrText>&lt;</w:instrText>
    </w:r>
    <w:r>
      <w:rPr>
        <w:highlight w:val="yellow"/>
      </w:rPr>
      <w:instrText>insert DMS document ID</w:instrText>
    </w:r>
    <w:r w:rsidRPr="0012021D">
      <w:rPr>
        <w:highlight w:val="yellow"/>
      </w:rPr>
      <w:instrText>&gt;</w:instrText>
    </w:r>
    <w:r>
      <w:instrText xml:space="preserve"> </w:instrTex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98" w:rsidRPr="00391C7C" w:rsidRDefault="009C2298" w:rsidP="004518B7">
    <w:pPr>
      <w:pStyle w:val="Footer"/>
      <w:tabs>
        <w:tab w:val="center" w:pos="4678"/>
        <w:tab w:val="right" w:pos="9071"/>
      </w:tabs>
      <w:ind w:right="-1"/>
    </w:pPr>
    <w:r>
      <w:tab/>
    </w:r>
    <w:r>
      <w:tab/>
    </w:r>
    <w:r>
      <w:fldChar w:fldCharType="begin"/>
    </w:r>
    <w:r>
      <w:instrText xml:space="preserve"> PAGE  \* roman  \* MERGEFORMAT </w:instrText>
    </w:r>
    <w:r>
      <w:fldChar w:fldCharType="separate"/>
    </w:r>
    <w:r w:rsidR="00757429">
      <w:rPr>
        <w:noProof/>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98" w:rsidRPr="00391C7C" w:rsidRDefault="009C2298" w:rsidP="004518B7">
    <w:pPr>
      <w:pStyle w:val="Footer"/>
      <w:tabs>
        <w:tab w:val="center" w:pos="4678"/>
        <w:tab w:val="right" w:pos="9071"/>
      </w:tabs>
      <w:ind w:right="-1"/>
    </w:pPr>
    <w:r>
      <w:tab/>
    </w:r>
    <w:r>
      <w:tab/>
      <w:t xml:space="preserve">Page </w:t>
    </w:r>
    <w:r>
      <w:fldChar w:fldCharType="begin"/>
    </w:r>
    <w:r>
      <w:instrText xml:space="preserve"> PAGE  \* Arabic  \* MERGEFORMAT </w:instrText>
    </w:r>
    <w:r>
      <w:fldChar w:fldCharType="separate"/>
    </w:r>
    <w:r w:rsidR="00757429">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F1A" w:rsidRPr="00031F25" w:rsidRDefault="00FA0F1A" w:rsidP="00031F25">
      <w:pPr>
        <w:pStyle w:val="Footer"/>
      </w:pPr>
      <w:r>
        <w:separator/>
      </w:r>
    </w:p>
  </w:footnote>
  <w:footnote w:type="continuationSeparator" w:id="0">
    <w:p w:rsidR="00FA0F1A" w:rsidRDefault="00FA0F1A">
      <w:r>
        <w:continuationSeparator/>
      </w:r>
    </w:p>
  </w:footnote>
  <w:footnote w:id="1">
    <w:p w:rsidR="009C2298" w:rsidRPr="00BA50B0" w:rsidRDefault="009C2298" w:rsidP="00FB5ADF">
      <w:pPr>
        <w:pStyle w:val="FootnoteText"/>
        <w:ind w:left="0" w:firstLine="0"/>
      </w:pPr>
      <w:r>
        <w:rPr>
          <w:rStyle w:val="FootnoteReference"/>
        </w:rPr>
        <w:footnoteRef/>
      </w:r>
      <w:r>
        <w:t xml:space="preserve"> </w:t>
      </w:r>
      <w:r w:rsidRPr="003E4339">
        <w:rPr>
          <w:sz w:val="16"/>
          <w:szCs w:val="16"/>
        </w:rPr>
        <w:t>While you may indicate the information you would like withheld, it can only be withheld if it meets the relevant criteria under the Official Information Act 1982.</w:t>
      </w:r>
    </w:p>
  </w:footnote>
  <w:footnote w:id="2">
    <w:p w:rsidR="009C2298" w:rsidRDefault="009C2298" w:rsidP="00031F25">
      <w:pPr>
        <w:pStyle w:val="FootnoteText"/>
        <w:ind w:left="142" w:hanging="142"/>
        <w:jc w:val="both"/>
      </w:pPr>
      <w:r>
        <w:rPr>
          <w:rStyle w:val="FootnoteReference"/>
        </w:rPr>
        <w:footnoteRef/>
      </w:r>
      <w:r>
        <w:t xml:space="preserve"> There are a small number of non-club societies that mainly </w:t>
      </w:r>
      <w:r w:rsidRPr="00AD5C7E">
        <w:rPr>
          <w:i/>
        </w:rPr>
        <w:t>apply</w:t>
      </w:r>
      <w:r>
        <w:t xml:space="preserve"> their proceeds to particular purposes, for example, the New Zealand Racing Board (they may still distribute, but mainly apply).</w:t>
      </w:r>
    </w:p>
  </w:footnote>
  <w:footnote w:id="3">
    <w:p w:rsidR="009C2298" w:rsidRDefault="009C2298" w:rsidP="00BF45A5">
      <w:pPr>
        <w:pStyle w:val="FootnoteText"/>
      </w:pPr>
      <w:r>
        <w:rPr>
          <w:rStyle w:val="FootnoteReference"/>
        </w:rPr>
        <w:footnoteRef/>
      </w:r>
      <w:r>
        <w:t xml:space="preserve"> Turnover is the total amount wagered by gamblers before prizes are paid and includes a re-investment factor where the same dollar is counted more than once. This is particularly relevant to continuous forms of gambling like gaming machines where winnings can be reinvested immediately.</w:t>
      </w:r>
    </w:p>
  </w:footnote>
  <w:footnote w:id="4">
    <w:p w:rsidR="009C2298" w:rsidRDefault="009C2298" w:rsidP="001E0CB6">
      <w:pPr>
        <w:pStyle w:val="FootnoteText"/>
      </w:pPr>
      <w:r>
        <w:rPr>
          <w:rStyle w:val="FootnoteReference"/>
        </w:rPr>
        <w:footnoteRef/>
      </w:r>
      <w:r>
        <w:t xml:space="preserve"> The amounts are estimates as societies report this information based on </w:t>
      </w:r>
      <w:r w:rsidRPr="00BD1606">
        <w:t>different financial years</w:t>
      </w:r>
      <w:r>
        <w:t xml:space="preserve"> rather than by calendar year.</w:t>
      </w:r>
    </w:p>
  </w:footnote>
  <w:footnote w:id="5">
    <w:p w:rsidR="009C2298" w:rsidRDefault="009C2298" w:rsidP="00A40CF9">
      <w:pPr>
        <w:pStyle w:val="FootnoteText"/>
      </w:pPr>
      <w:r>
        <w:rPr>
          <w:rStyle w:val="FootnoteReference"/>
        </w:rPr>
        <w:footnoteRef/>
      </w:r>
      <w:r>
        <w:t xml:space="preserve"> </w:t>
      </w:r>
      <w:proofErr w:type="gramStart"/>
      <w:r>
        <w:t>Section 106 of the Act.</w:t>
      </w:r>
      <w:proofErr w:type="gramEnd"/>
    </w:p>
  </w:footnote>
  <w:footnote w:id="6">
    <w:p w:rsidR="009C2298" w:rsidRDefault="009C2298" w:rsidP="003F69AB">
      <w:pPr>
        <w:pStyle w:val="FootnoteText"/>
      </w:pPr>
      <w:r w:rsidRPr="00367E65">
        <w:rPr>
          <w:rStyle w:val="FootnoteReference"/>
        </w:rPr>
        <w:footnoteRef/>
      </w:r>
      <w:r w:rsidRPr="00367E65">
        <w:t xml:space="preserve"> The limit is set by </w:t>
      </w:r>
      <w:r w:rsidRPr="00367E65">
        <w:rPr>
          <w:i/>
        </w:rPr>
        <w:t>Gazette</w:t>
      </w:r>
      <w:r w:rsidRPr="00367E65">
        <w:t xml:space="preserve"> notice, in the </w:t>
      </w:r>
      <w:r w:rsidRPr="00367E65">
        <w:rPr>
          <w:i/>
        </w:rPr>
        <w:t>Limits and Exclusions on Class 4 Venue Costs Notice 17 July 2008</w:t>
      </w:r>
      <w:r w:rsidRPr="00367E65">
        <w:t>. However, the Gambling Amendment Bill (No 3) provides for a new venue payment system. The objective in introducing a new venue payment system is to reduce the administrative complexity associated with the current system, and subsequently reduce compliance costs. The new system has not been finalised and the cost implications for societies are not yet known. At the time of publication the Bill was awaiting</w:t>
      </w:r>
      <w:r>
        <w:t xml:space="preserve"> </w:t>
      </w:r>
      <w:r w:rsidR="00800ED2">
        <w:t>its third reading in the House.</w:t>
      </w:r>
    </w:p>
  </w:footnote>
  <w:footnote w:id="7">
    <w:p w:rsidR="009C2298" w:rsidRDefault="009C2298" w:rsidP="00894C98">
      <w:pPr>
        <w:pStyle w:val="FootnoteText"/>
      </w:pPr>
      <w:r>
        <w:rPr>
          <w:rStyle w:val="FootnoteReference"/>
        </w:rPr>
        <w:footnoteRef/>
      </w:r>
      <w:r>
        <w:t xml:space="preserve"> http://www.stats.govt.nz/browse_for_stats/Maps_and_geography/Geographic-areas/urban-rural-profile/defining-urban-rural-nz.aspx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395" w:rsidRDefault="00A673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98" w:rsidRPr="00143173" w:rsidRDefault="009C2298" w:rsidP="00143173">
    <w:pPr>
      <w:pStyle w:val="Securityclassificiation"/>
      <w:rPr>
        <w:bCs/>
      </w:rPr>
    </w:pPr>
    <w:r w:rsidRPr="00143173">
      <w:rPr>
        <w:bCs/>
        <w:noProof/>
        <w:lang w:eastAsia="en-NZ"/>
      </w:rPr>
      <w:drawing>
        <wp:anchor distT="0" distB="0" distL="114300" distR="114300" simplePos="0" relativeHeight="251661312" behindDoc="0" locked="0" layoutInCell="1" allowOverlap="1" wp14:anchorId="05EB12CD" wp14:editId="263CEA90">
          <wp:simplePos x="0" y="0"/>
          <wp:positionH relativeFrom="column">
            <wp:align>left</wp:align>
          </wp:positionH>
          <wp:positionV relativeFrom="page">
            <wp:posOffset>504190</wp:posOffset>
          </wp:positionV>
          <wp:extent cx="108000" cy="3240000"/>
          <wp:effectExtent l="0" t="0" r="6350" b="0"/>
          <wp:wrapSquare wrapText="bothSides"/>
          <wp:docPr id="4" name="Picture 4" descr="This image is for decoration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ed stick June 2014 4KB.png"/>
                  <pic:cNvPicPr/>
                </pic:nvPicPr>
                <pic:blipFill>
                  <a:blip r:embed="rId1">
                    <a:extLst>
                      <a:ext uri="{28A0092B-C50C-407E-A947-70E740481C1C}">
                        <a14:useLocalDpi xmlns:a14="http://schemas.microsoft.com/office/drawing/2010/main"/>
                      </a:ext>
                    </a:extLst>
                  </a:blip>
                  <a:stretch>
                    <a:fillRect/>
                  </a:stretch>
                </pic:blipFill>
                <pic:spPr>
                  <a:xfrm>
                    <a:off x="0" y="0"/>
                    <a:ext cx="108000" cy="3240000"/>
                  </a:xfrm>
                  <a:prstGeom prst="rect">
                    <a:avLst/>
                  </a:prstGeom>
                </pic:spPr>
              </pic:pic>
            </a:graphicData>
          </a:graphic>
          <wp14:sizeRelH relativeFrom="margin">
            <wp14:pctWidth>0</wp14:pctWidth>
          </wp14:sizeRelH>
          <wp14:sizeRelV relativeFrom="margin">
            <wp14:pctHeight>0</wp14:pctHeight>
          </wp14:sizeRelV>
        </wp:anchor>
      </w:drawing>
    </w:r>
    <w:r w:rsidRPr="00143173">
      <w:rPr>
        <w:bCs/>
        <w:noProof/>
        <w:lang w:eastAsia="en-NZ"/>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395" w:rsidRDefault="00A6739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98" w:rsidRDefault="009C2298" w:rsidP="004657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456B5E"/>
    <w:multiLevelType w:val="hybridMultilevel"/>
    <w:tmpl w:val="8A3492F6"/>
    <w:lvl w:ilvl="0" w:tplc="1409000F">
      <w:start w:val="1"/>
      <w:numFmt w:val="decimal"/>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3">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4">
    <w:nsid w:val="189428BA"/>
    <w:multiLevelType w:val="hybridMultilevel"/>
    <w:tmpl w:val="EBBC27CC"/>
    <w:lvl w:ilvl="0" w:tplc="8BF84A90">
      <w:start w:val="1"/>
      <w:numFmt w:val="bullet"/>
      <w:lvlText w:val=""/>
      <w:lvlJc w:val="left"/>
      <w:pPr>
        <w:ind w:left="1287" w:hanging="360"/>
      </w:pPr>
      <w:rPr>
        <w:rFonts w:ascii="Symbol" w:hAnsi="Symbol" w:hint="default"/>
        <w:sz w:val="18"/>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5">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6">
    <w:nsid w:val="368F5832"/>
    <w:multiLevelType w:val="multilevel"/>
    <w:tmpl w:val="805E2C0A"/>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8DE5A8D"/>
    <w:multiLevelType w:val="hybridMultilevel"/>
    <w:tmpl w:val="1BE440D0"/>
    <w:lvl w:ilvl="0" w:tplc="E2C8BEB8">
      <w:start w:val="1"/>
      <w:numFmt w:val="bullet"/>
      <w:pStyle w:val="Boxtex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3EF03781"/>
    <w:multiLevelType w:val="multilevel"/>
    <w:tmpl w:val="2DB2798C"/>
    <w:lvl w:ilvl="0">
      <w:start w:val="1"/>
      <w:numFmt w:val="decimal"/>
      <w:lvlText w:val="%1."/>
      <w:lvlJc w:val="left"/>
      <w:pPr>
        <w:tabs>
          <w:tab w:val="num" w:pos="567"/>
        </w:tabs>
        <w:ind w:left="567" w:hanging="567"/>
      </w:pPr>
      <w:rPr>
        <w:rFonts w:ascii="Calibri" w:hAnsi="Calibri" w:hint="default"/>
        <w:caps w:val="0"/>
        <w:strike w:val="0"/>
        <w:dstrike w:val="0"/>
        <w:vanish w:val="0"/>
        <w:sz w:val="24"/>
        <w:vertAlign w:val="baseline"/>
      </w:rPr>
    </w:lvl>
    <w:lvl w:ilvl="1">
      <w:start w:val="1"/>
      <w:numFmt w:val="decimal"/>
      <w:lvlText w:val="%1.%2"/>
      <w:lvlJc w:val="left"/>
      <w:pPr>
        <w:ind w:left="1247" w:hanging="680"/>
      </w:pPr>
      <w:rPr>
        <w:rFonts w:ascii="Calibri" w:hAnsi="Calibri" w:hint="default"/>
        <w:caps w:val="0"/>
        <w:strike w:val="0"/>
        <w:dstrike w:val="0"/>
        <w:vanish w:val="0"/>
        <w:vertAlign w:val="baseline"/>
      </w:rPr>
    </w:lvl>
    <w:lvl w:ilvl="2">
      <w:start w:val="1"/>
      <w:numFmt w:val="decimal"/>
      <w:lvlText w:val="%1.%2.%3"/>
      <w:lvlJc w:val="left"/>
      <w:pPr>
        <w:ind w:left="2155" w:hanging="908"/>
      </w:pPr>
      <w:rPr>
        <w:rFonts w:ascii="Calibri" w:hAnsi="Calibri" w:hint="default"/>
        <w:caps w:val="0"/>
        <w:strike w:val="0"/>
        <w:dstrike w:val="0"/>
        <w:vanish w:val="0"/>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0663EC8"/>
    <w:multiLevelType w:val="hybridMultilevel"/>
    <w:tmpl w:val="8F12438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58D47783"/>
    <w:multiLevelType w:val="multilevel"/>
    <w:tmpl w:val="0409001D"/>
    <w:styleLink w:val="1ai"/>
    <w:lvl w:ilvl="0">
      <w:start w:val="1"/>
      <w:numFmt w:val="decimal"/>
      <w:pStyle w:val="Bullet-lis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95B51D6"/>
    <w:multiLevelType w:val="hybridMultilevel"/>
    <w:tmpl w:val="762CE2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5FD40A31"/>
    <w:multiLevelType w:val="multilevel"/>
    <w:tmpl w:val="51BAA28C"/>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7">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8">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9">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0">
    <w:nsid w:val="6D0D68D9"/>
    <w:multiLevelType w:val="hybridMultilevel"/>
    <w:tmpl w:val="2E9EAE1A"/>
    <w:lvl w:ilvl="0" w:tplc="E2C8BEB8">
      <w:start w:val="1"/>
      <w:numFmt w:val="bullet"/>
      <w:lvlText w:val=""/>
      <w:lvlJc w:val="left"/>
      <w:pPr>
        <w:ind w:left="720" w:hanging="360"/>
      </w:pPr>
      <w:rPr>
        <w:rFonts w:ascii="Symbol" w:hAnsi="Symbol" w:hint="default"/>
      </w:rPr>
    </w:lvl>
    <w:lvl w:ilvl="1" w:tplc="6A549158">
      <w:start w:val="1"/>
      <w:numFmt w:val="bullet"/>
      <w:pStyle w:val="TableBullet0"/>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2">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25"/>
  </w:num>
  <w:num w:numId="2">
    <w:abstractNumId w:val="23"/>
  </w:num>
  <w:num w:numId="3">
    <w:abstractNumId w:val="19"/>
  </w:num>
  <w:num w:numId="4">
    <w:abstractNumId w:val="31"/>
  </w:num>
  <w:num w:numId="5">
    <w:abstractNumId w:val="26"/>
  </w:num>
  <w:num w:numId="6">
    <w:abstractNumId w:val="28"/>
  </w:num>
  <w:num w:numId="7">
    <w:abstractNumId w:val="16"/>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32"/>
  </w:num>
  <w:num w:numId="21">
    <w:abstractNumId w:val="29"/>
  </w:num>
  <w:num w:numId="22">
    <w:abstractNumId w:val="27"/>
  </w:num>
  <w:num w:numId="23">
    <w:abstractNumId w:val="22"/>
  </w:num>
  <w:num w:numId="24">
    <w:abstractNumId w:val="17"/>
  </w:num>
  <w:num w:numId="25">
    <w:abstractNumId w:val="13"/>
  </w:num>
  <w:num w:numId="26">
    <w:abstractNumId w:val="11"/>
  </w:num>
  <w:num w:numId="27">
    <w:abstractNumId w:val="10"/>
  </w:num>
  <w:num w:numId="28">
    <w:abstractNumId w:val="24"/>
  </w:num>
  <w:num w:numId="29">
    <w:abstractNumId w:val="18"/>
  </w:num>
  <w:num w:numId="30">
    <w:abstractNumId w:val="30"/>
  </w:num>
  <w:num w:numId="31">
    <w:abstractNumId w:val="20"/>
  </w:num>
  <w:num w:numId="32">
    <w:abstractNumId w:val="11"/>
  </w:num>
  <w:num w:numId="33">
    <w:abstractNumId w:val="11"/>
  </w:num>
  <w:num w:numId="34">
    <w:abstractNumId w:val="11"/>
  </w:num>
  <w:num w:numId="35">
    <w:abstractNumId w:val="14"/>
  </w:num>
  <w:num w:numId="36">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0241"/>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C3"/>
    <w:rsid w:val="00003360"/>
    <w:rsid w:val="000112F9"/>
    <w:rsid w:val="00020010"/>
    <w:rsid w:val="00027CC6"/>
    <w:rsid w:val="00027D98"/>
    <w:rsid w:val="00031F25"/>
    <w:rsid w:val="00034673"/>
    <w:rsid w:val="000409E2"/>
    <w:rsid w:val="00044EA1"/>
    <w:rsid w:val="00046946"/>
    <w:rsid w:val="00053BAA"/>
    <w:rsid w:val="000562F1"/>
    <w:rsid w:val="00063BB2"/>
    <w:rsid w:val="000669C3"/>
    <w:rsid w:val="00076035"/>
    <w:rsid w:val="00077013"/>
    <w:rsid w:val="0008499F"/>
    <w:rsid w:val="00085673"/>
    <w:rsid w:val="00091900"/>
    <w:rsid w:val="00091C3A"/>
    <w:rsid w:val="00092587"/>
    <w:rsid w:val="00092C18"/>
    <w:rsid w:val="00094DE9"/>
    <w:rsid w:val="000953BD"/>
    <w:rsid w:val="000B2DF5"/>
    <w:rsid w:val="000B76A4"/>
    <w:rsid w:val="000D3AA2"/>
    <w:rsid w:val="000D6C6B"/>
    <w:rsid w:val="000D7EDD"/>
    <w:rsid w:val="000E09DC"/>
    <w:rsid w:val="000E463E"/>
    <w:rsid w:val="000E46E2"/>
    <w:rsid w:val="000E677B"/>
    <w:rsid w:val="000E6BDB"/>
    <w:rsid w:val="000E7817"/>
    <w:rsid w:val="000F0797"/>
    <w:rsid w:val="000F4ADF"/>
    <w:rsid w:val="000F61AF"/>
    <w:rsid w:val="000F65C1"/>
    <w:rsid w:val="000F7739"/>
    <w:rsid w:val="00100AAB"/>
    <w:rsid w:val="0010171C"/>
    <w:rsid w:val="00102FAD"/>
    <w:rsid w:val="00103A49"/>
    <w:rsid w:val="001055F3"/>
    <w:rsid w:val="00105F3E"/>
    <w:rsid w:val="00110D15"/>
    <w:rsid w:val="00115121"/>
    <w:rsid w:val="00121870"/>
    <w:rsid w:val="00122166"/>
    <w:rsid w:val="0013424E"/>
    <w:rsid w:val="00135F52"/>
    <w:rsid w:val="0013794A"/>
    <w:rsid w:val="001420E8"/>
    <w:rsid w:val="00143173"/>
    <w:rsid w:val="00151615"/>
    <w:rsid w:val="001524F5"/>
    <w:rsid w:val="00153CBD"/>
    <w:rsid w:val="0015404E"/>
    <w:rsid w:val="001563C3"/>
    <w:rsid w:val="0016433D"/>
    <w:rsid w:val="001761A2"/>
    <w:rsid w:val="00177D50"/>
    <w:rsid w:val="00182062"/>
    <w:rsid w:val="001826F0"/>
    <w:rsid w:val="00187259"/>
    <w:rsid w:val="001878C1"/>
    <w:rsid w:val="001A4B49"/>
    <w:rsid w:val="001A5619"/>
    <w:rsid w:val="001A5F55"/>
    <w:rsid w:val="001A75D8"/>
    <w:rsid w:val="001B646D"/>
    <w:rsid w:val="001C0031"/>
    <w:rsid w:val="001C00AB"/>
    <w:rsid w:val="001D0111"/>
    <w:rsid w:val="001E0CB6"/>
    <w:rsid w:val="001E1FEE"/>
    <w:rsid w:val="001E2C99"/>
    <w:rsid w:val="001E3442"/>
    <w:rsid w:val="002045D5"/>
    <w:rsid w:val="0020523D"/>
    <w:rsid w:val="00205FE8"/>
    <w:rsid w:val="002063FA"/>
    <w:rsid w:val="002066E9"/>
    <w:rsid w:val="00206BA3"/>
    <w:rsid w:val="002145AD"/>
    <w:rsid w:val="00215160"/>
    <w:rsid w:val="002208A1"/>
    <w:rsid w:val="002224B4"/>
    <w:rsid w:val="00226D5E"/>
    <w:rsid w:val="00236438"/>
    <w:rsid w:val="00237A3D"/>
    <w:rsid w:val="00240E83"/>
    <w:rsid w:val="002449A5"/>
    <w:rsid w:val="002502D1"/>
    <w:rsid w:val="00254EBD"/>
    <w:rsid w:val="00266878"/>
    <w:rsid w:val="00270EEC"/>
    <w:rsid w:val="002806A2"/>
    <w:rsid w:val="002831B8"/>
    <w:rsid w:val="00283F33"/>
    <w:rsid w:val="00284314"/>
    <w:rsid w:val="00286DB3"/>
    <w:rsid w:val="00287654"/>
    <w:rsid w:val="002927A5"/>
    <w:rsid w:val="00293400"/>
    <w:rsid w:val="0029572E"/>
    <w:rsid w:val="00297CC7"/>
    <w:rsid w:val="002A0D4C"/>
    <w:rsid w:val="002A194F"/>
    <w:rsid w:val="002A4BD9"/>
    <w:rsid w:val="002A4FE7"/>
    <w:rsid w:val="002A53B6"/>
    <w:rsid w:val="002A5620"/>
    <w:rsid w:val="002B1CEB"/>
    <w:rsid w:val="002C31ED"/>
    <w:rsid w:val="002C48D1"/>
    <w:rsid w:val="002D04AE"/>
    <w:rsid w:val="002F274C"/>
    <w:rsid w:val="002F4A12"/>
    <w:rsid w:val="003004C1"/>
    <w:rsid w:val="0030084C"/>
    <w:rsid w:val="0030340E"/>
    <w:rsid w:val="003129BA"/>
    <w:rsid w:val="003148FC"/>
    <w:rsid w:val="00320182"/>
    <w:rsid w:val="00320E26"/>
    <w:rsid w:val="003245A8"/>
    <w:rsid w:val="00330820"/>
    <w:rsid w:val="00332957"/>
    <w:rsid w:val="00337004"/>
    <w:rsid w:val="003422FD"/>
    <w:rsid w:val="00342DBF"/>
    <w:rsid w:val="00361C02"/>
    <w:rsid w:val="00363697"/>
    <w:rsid w:val="00367E65"/>
    <w:rsid w:val="00370FC0"/>
    <w:rsid w:val="00373206"/>
    <w:rsid w:val="00390FA4"/>
    <w:rsid w:val="00391C7C"/>
    <w:rsid w:val="00395A8E"/>
    <w:rsid w:val="00397335"/>
    <w:rsid w:val="0039756F"/>
    <w:rsid w:val="003A10DA"/>
    <w:rsid w:val="003A12C8"/>
    <w:rsid w:val="003A6FFE"/>
    <w:rsid w:val="003B1358"/>
    <w:rsid w:val="003B3645"/>
    <w:rsid w:val="003B3A23"/>
    <w:rsid w:val="003B610B"/>
    <w:rsid w:val="003B6C02"/>
    <w:rsid w:val="003C2630"/>
    <w:rsid w:val="003C325F"/>
    <w:rsid w:val="003C3C57"/>
    <w:rsid w:val="003C63D0"/>
    <w:rsid w:val="003C6D39"/>
    <w:rsid w:val="003D353C"/>
    <w:rsid w:val="003D5732"/>
    <w:rsid w:val="003E0FED"/>
    <w:rsid w:val="003E50D7"/>
    <w:rsid w:val="003E613E"/>
    <w:rsid w:val="003E667D"/>
    <w:rsid w:val="003E688E"/>
    <w:rsid w:val="003E68EF"/>
    <w:rsid w:val="003E6DC6"/>
    <w:rsid w:val="003F5886"/>
    <w:rsid w:val="003F60BF"/>
    <w:rsid w:val="003F69AB"/>
    <w:rsid w:val="0040020C"/>
    <w:rsid w:val="00405346"/>
    <w:rsid w:val="0040700B"/>
    <w:rsid w:val="00407F54"/>
    <w:rsid w:val="00410C31"/>
    <w:rsid w:val="00411341"/>
    <w:rsid w:val="0041382C"/>
    <w:rsid w:val="00413966"/>
    <w:rsid w:val="00413B28"/>
    <w:rsid w:val="004157B1"/>
    <w:rsid w:val="00415CDB"/>
    <w:rsid w:val="00420C0C"/>
    <w:rsid w:val="00424863"/>
    <w:rsid w:val="00424BA6"/>
    <w:rsid w:val="0042551E"/>
    <w:rsid w:val="004256EA"/>
    <w:rsid w:val="00426491"/>
    <w:rsid w:val="004276FD"/>
    <w:rsid w:val="00433AD8"/>
    <w:rsid w:val="0044436B"/>
    <w:rsid w:val="004518B7"/>
    <w:rsid w:val="004550CF"/>
    <w:rsid w:val="004552A0"/>
    <w:rsid w:val="00457EFA"/>
    <w:rsid w:val="00460A83"/>
    <w:rsid w:val="004636F3"/>
    <w:rsid w:val="004643F6"/>
    <w:rsid w:val="0046577B"/>
    <w:rsid w:val="004734F8"/>
    <w:rsid w:val="00477619"/>
    <w:rsid w:val="004816D2"/>
    <w:rsid w:val="00484E48"/>
    <w:rsid w:val="00486C9C"/>
    <w:rsid w:val="00486E6E"/>
    <w:rsid w:val="0049437A"/>
    <w:rsid w:val="004957A1"/>
    <w:rsid w:val="00497C61"/>
    <w:rsid w:val="004A016B"/>
    <w:rsid w:val="004A26C9"/>
    <w:rsid w:val="004A3B44"/>
    <w:rsid w:val="004A5823"/>
    <w:rsid w:val="004B0AAF"/>
    <w:rsid w:val="004B3924"/>
    <w:rsid w:val="004C4DDD"/>
    <w:rsid w:val="004C6BCB"/>
    <w:rsid w:val="004C6F87"/>
    <w:rsid w:val="004D032E"/>
    <w:rsid w:val="004D06BB"/>
    <w:rsid w:val="004D1706"/>
    <w:rsid w:val="004D243F"/>
    <w:rsid w:val="004D3BDF"/>
    <w:rsid w:val="004D7473"/>
    <w:rsid w:val="004E0B0F"/>
    <w:rsid w:val="004E4147"/>
    <w:rsid w:val="005038D8"/>
    <w:rsid w:val="00505C5A"/>
    <w:rsid w:val="0051048E"/>
    <w:rsid w:val="0051119C"/>
    <w:rsid w:val="00512ACB"/>
    <w:rsid w:val="00517646"/>
    <w:rsid w:val="0052216D"/>
    <w:rsid w:val="00526115"/>
    <w:rsid w:val="00527D32"/>
    <w:rsid w:val="005311F5"/>
    <w:rsid w:val="00533CFC"/>
    <w:rsid w:val="00533FAF"/>
    <w:rsid w:val="005366B6"/>
    <w:rsid w:val="005417C8"/>
    <w:rsid w:val="005430AE"/>
    <w:rsid w:val="00543A1B"/>
    <w:rsid w:val="00547564"/>
    <w:rsid w:val="00547D28"/>
    <w:rsid w:val="00555832"/>
    <w:rsid w:val="00561A97"/>
    <w:rsid w:val="00561C18"/>
    <w:rsid w:val="00563DAC"/>
    <w:rsid w:val="005675E0"/>
    <w:rsid w:val="00570C00"/>
    <w:rsid w:val="00574058"/>
    <w:rsid w:val="0058206B"/>
    <w:rsid w:val="00585690"/>
    <w:rsid w:val="00586C01"/>
    <w:rsid w:val="00593B07"/>
    <w:rsid w:val="00595B33"/>
    <w:rsid w:val="0059662F"/>
    <w:rsid w:val="005977AD"/>
    <w:rsid w:val="005A1200"/>
    <w:rsid w:val="005A7545"/>
    <w:rsid w:val="005B4331"/>
    <w:rsid w:val="005B5FC3"/>
    <w:rsid w:val="005C122D"/>
    <w:rsid w:val="005C6193"/>
    <w:rsid w:val="005D3066"/>
    <w:rsid w:val="005D3404"/>
    <w:rsid w:val="005D7FDC"/>
    <w:rsid w:val="005E14D8"/>
    <w:rsid w:val="005E1818"/>
    <w:rsid w:val="005E2A9B"/>
    <w:rsid w:val="005E35F4"/>
    <w:rsid w:val="005E4B13"/>
    <w:rsid w:val="005E4C02"/>
    <w:rsid w:val="005F01DF"/>
    <w:rsid w:val="005F0392"/>
    <w:rsid w:val="005F0C05"/>
    <w:rsid w:val="005F3FA0"/>
    <w:rsid w:val="005F71C1"/>
    <w:rsid w:val="005F76CC"/>
    <w:rsid w:val="005F7FF8"/>
    <w:rsid w:val="00600CA4"/>
    <w:rsid w:val="00600FF3"/>
    <w:rsid w:val="00602416"/>
    <w:rsid w:val="0060353D"/>
    <w:rsid w:val="006041F2"/>
    <w:rsid w:val="00610C05"/>
    <w:rsid w:val="0061158C"/>
    <w:rsid w:val="006212E0"/>
    <w:rsid w:val="00621A56"/>
    <w:rsid w:val="006225CA"/>
    <w:rsid w:val="00622B8C"/>
    <w:rsid w:val="006306FD"/>
    <w:rsid w:val="0063725B"/>
    <w:rsid w:val="00654401"/>
    <w:rsid w:val="00654485"/>
    <w:rsid w:val="00657E5C"/>
    <w:rsid w:val="00662716"/>
    <w:rsid w:val="006648EC"/>
    <w:rsid w:val="00664DF7"/>
    <w:rsid w:val="00667187"/>
    <w:rsid w:val="00677B13"/>
    <w:rsid w:val="00677F4E"/>
    <w:rsid w:val="00680851"/>
    <w:rsid w:val="00681A08"/>
    <w:rsid w:val="00682913"/>
    <w:rsid w:val="0068487D"/>
    <w:rsid w:val="00685B89"/>
    <w:rsid w:val="00685DDD"/>
    <w:rsid w:val="00685ECF"/>
    <w:rsid w:val="006871D3"/>
    <w:rsid w:val="006875B8"/>
    <w:rsid w:val="00687CA4"/>
    <w:rsid w:val="00687CEA"/>
    <w:rsid w:val="00692512"/>
    <w:rsid w:val="006942FF"/>
    <w:rsid w:val="00695B75"/>
    <w:rsid w:val="006A1A95"/>
    <w:rsid w:val="006A38B7"/>
    <w:rsid w:val="006A5E74"/>
    <w:rsid w:val="006A67C3"/>
    <w:rsid w:val="006B0386"/>
    <w:rsid w:val="006B0C91"/>
    <w:rsid w:val="006B1CB2"/>
    <w:rsid w:val="006B1DD1"/>
    <w:rsid w:val="006B3396"/>
    <w:rsid w:val="006B438E"/>
    <w:rsid w:val="006C073F"/>
    <w:rsid w:val="006C66ED"/>
    <w:rsid w:val="006D38E7"/>
    <w:rsid w:val="006D638F"/>
    <w:rsid w:val="006E29CC"/>
    <w:rsid w:val="006E3332"/>
    <w:rsid w:val="006E7BF7"/>
    <w:rsid w:val="006F1AAF"/>
    <w:rsid w:val="006F2A4A"/>
    <w:rsid w:val="006F557B"/>
    <w:rsid w:val="00700955"/>
    <w:rsid w:val="007025A4"/>
    <w:rsid w:val="007068C8"/>
    <w:rsid w:val="0071401F"/>
    <w:rsid w:val="00714412"/>
    <w:rsid w:val="00715B8F"/>
    <w:rsid w:val="007202D5"/>
    <w:rsid w:val="00723AEC"/>
    <w:rsid w:val="0073106E"/>
    <w:rsid w:val="007314A1"/>
    <w:rsid w:val="007466F7"/>
    <w:rsid w:val="00747FB1"/>
    <w:rsid w:val="00751795"/>
    <w:rsid w:val="00753BC9"/>
    <w:rsid w:val="007554F5"/>
    <w:rsid w:val="00756BB7"/>
    <w:rsid w:val="00757429"/>
    <w:rsid w:val="0075764B"/>
    <w:rsid w:val="00760C01"/>
    <w:rsid w:val="00761293"/>
    <w:rsid w:val="00761439"/>
    <w:rsid w:val="00761B97"/>
    <w:rsid w:val="00762F5B"/>
    <w:rsid w:val="00767C04"/>
    <w:rsid w:val="007701F8"/>
    <w:rsid w:val="0077080E"/>
    <w:rsid w:val="007736A2"/>
    <w:rsid w:val="00773F2E"/>
    <w:rsid w:val="00775D50"/>
    <w:rsid w:val="0077680B"/>
    <w:rsid w:val="00791C48"/>
    <w:rsid w:val="00792C2C"/>
    <w:rsid w:val="007971EE"/>
    <w:rsid w:val="007A043D"/>
    <w:rsid w:val="007A6226"/>
    <w:rsid w:val="007B3C61"/>
    <w:rsid w:val="007C2BCA"/>
    <w:rsid w:val="007C3D6D"/>
    <w:rsid w:val="007C42FA"/>
    <w:rsid w:val="007C5353"/>
    <w:rsid w:val="007D0009"/>
    <w:rsid w:val="007D1918"/>
    <w:rsid w:val="007D3469"/>
    <w:rsid w:val="007D3BAF"/>
    <w:rsid w:val="007D57A8"/>
    <w:rsid w:val="007D5A51"/>
    <w:rsid w:val="007D6053"/>
    <w:rsid w:val="007E408E"/>
    <w:rsid w:val="007E7A1F"/>
    <w:rsid w:val="00800ED2"/>
    <w:rsid w:val="00801652"/>
    <w:rsid w:val="00802AA4"/>
    <w:rsid w:val="0082251D"/>
    <w:rsid w:val="0082264B"/>
    <w:rsid w:val="008260F8"/>
    <w:rsid w:val="0082765B"/>
    <w:rsid w:val="00831388"/>
    <w:rsid w:val="00835BD7"/>
    <w:rsid w:val="00843D71"/>
    <w:rsid w:val="008444E3"/>
    <w:rsid w:val="00846DA5"/>
    <w:rsid w:val="0084745A"/>
    <w:rsid w:val="00851B70"/>
    <w:rsid w:val="00860B2B"/>
    <w:rsid w:val="008639B8"/>
    <w:rsid w:val="008646C7"/>
    <w:rsid w:val="00865040"/>
    <w:rsid w:val="00865B30"/>
    <w:rsid w:val="00870045"/>
    <w:rsid w:val="00876138"/>
    <w:rsid w:val="00876E5F"/>
    <w:rsid w:val="00883A06"/>
    <w:rsid w:val="00884903"/>
    <w:rsid w:val="00890CE4"/>
    <w:rsid w:val="0089156A"/>
    <w:rsid w:val="00894C98"/>
    <w:rsid w:val="008967BA"/>
    <w:rsid w:val="008A2102"/>
    <w:rsid w:val="008C11A1"/>
    <w:rsid w:val="008C3187"/>
    <w:rsid w:val="008C5E4F"/>
    <w:rsid w:val="008D120B"/>
    <w:rsid w:val="008D29AD"/>
    <w:rsid w:val="008D4095"/>
    <w:rsid w:val="008D63B7"/>
    <w:rsid w:val="008D6A03"/>
    <w:rsid w:val="008E4F91"/>
    <w:rsid w:val="008E7FEE"/>
    <w:rsid w:val="008F2BAD"/>
    <w:rsid w:val="008F5F9C"/>
    <w:rsid w:val="008F67F5"/>
    <w:rsid w:val="008F6BCE"/>
    <w:rsid w:val="008F75CB"/>
    <w:rsid w:val="00900D4B"/>
    <w:rsid w:val="00904DB7"/>
    <w:rsid w:val="00907486"/>
    <w:rsid w:val="0091122A"/>
    <w:rsid w:val="00914B95"/>
    <w:rsid w:val="009170B9"/>
    <w:rsid w:val="00920BBB"/>
    <w:rsid w:val="00922353"/>
    <w:rsid w:val="00925EBC"/>
    <w:rsid w:val="00927482"/>
    <w:rsid w:val="009378C1"/>
    <w:rsid w:val="0094020B"/>
    <w:rsid w:val="00942F6C"/>
    <w:rsid w:val="00944657"/>
    <w:rsid w:val="009458AA"/>
    <w:rsid w:val="00945F2A"/>
    <w:rsid w:val="0095112B"/>
    <w:rsid w:val="009609E7"/>
    <w:rsid w:val="009648C3"/>
    <w:rsid w:val="00964DE3"/>
    <w:rsid w:val="009669CF"/>
    <w:rsid w:val="009711D7"/>
    <w:rsid w:val="00973A6D"/>
    <w:rsid w:val="009865AA"/>
    <w:rsid w:val="00987080"/>
    <w:rsid w:val="0098765A"/>
    <w:rsid w:val="0099427D"/>
    <w:rsid w:val="009968B0"/>
    <w:rsid w:val="009A2BA2"/>
    <w:rsid w:val="009A6CB2"/>
    <w:rsid w:val="009B0982"/>
    <w:rsid w:val="009B2E0B"/>
    <w:rsid w:val="009B4C99"/>
    <w:rsid w:val="009B5E28"/>
    <w:rsid w:val="009C2298"/>
    <w:rsid w:val="009C284A"/>
    <w:rsid w:val="009D00B4"/>
    <w:rsid w:val="009D28CF"/>
    <w:rsid w:val="009E1645"/>
    <w:rsid w:val="009E4272"/>
    <w:rsid w:val="009E5D36"/>
    <w:rsid w:val="009E7CA0"/>
    <w:rsid w:val="009E7F9E"/>
    <w:rsid w:val="00A04392"/>
    <w:rsid w:val="00A16003"/>
    <w:rsid w:val="00A167D7"/>
    <w:rsid w:val="00A232B7"/>
    <w:rsid w:val="00A24488"/>
    <w:rsid w:val="00A24FBB"/>
    <w:rsid w:val="00A27123"/>
    <w:rsid w:val="00A313C6"/>
    <w:rsid w:val="00A36309"/>
    <w:rsid w:val="00A40CF9"/>
    <w:rsid w:val="00A42ED2"/>
    <w:rsid w:val="00A44412"/>
    <w:rsid w:val="00A44B33"/>
    <w:rsid w:val="00A50E00"/>
    <w:rsid w:val="00A52529"/>
    <w:rsid w:val="00A53624"/>
    <w:rsid w:val="00A55019"/>
    <w:rsid w:val="00A55B46"/>
    <w:rsid w:val="00A55FFB"/>
    <w:rsid w:val="00A5766B"/>
    <w:rsid w:val="00A61796"/>
    <w:rsid w:val="00A61837"/>
    <w:rsid w:val="00A67395"/>
    <w:rsid w:val="00A70335"/>
    <w:rsid w:val="00A80FD2"/>
    <w:rsid w:val="00A815A7"/>
    <w:rsid w:val="00A82AC1"/>
    <w:rsid w:val="00A833FA"/>
    <w:rsid w:val="00A840D6"/>
    <w:rsid w:val="00A84B9F"/>
    <w:rsid w:val="00A85958"/>
    <w:rsid w:val="00A863E3"/>
    <w:rsid w:val="00AA1BAA"/>
    <w:rsid w:val="00AA4DDE"/>
    <w:rsid w:val="00AB15EA"/>
    <w:rsid w:val="00AB3A92"/>
    <w:rsid w:val="00AB3F58"/>
    <w:rsid w:val="00AB478B"/>
    <w:rsid w:val="00AB4AD9"/>
    <w:rsid w:val="00AC0939"/>
    <w:rsid w:val="00AD4EBD"/>
    <w:rsid w:val="00AD6E77"/>
    <w:rsid w:val="00AD7A25"/>
    <w:rsid w:val="00AE2F55"/>
    <w:rsid w:val="00AF3A5A"/>
    <w:rsid w:val="00AF5218"/>
    <w:rsid w:val="00AF5499"/>
    <w:rsid w:val="00B0480E"/>
    <w:rsid w:val="00B1026A"/>
    <w:rsid w:val="00B121BF"/>
    <w:rsid w:val="00B21166"/>
    <w:rsid w:val="00B23A1E"/>
    <w:rsid w:val="00B263AE"/>
    <w:rsid w:val="00B26FA0"/>
    <w:rsid w:val="00B27CE5"/>
    <w:rsid w:val="00B31D8A"/>
    <w:rsid w:val="00B456E6"/>
    <w:rsid w:val="00B47091"/>
    <w:rsid w:val="00B50D91"/>
    <w:rsid w:val="00B62134"/>
    <w:rsid w:val="00B62C3E"/>
    <w:rsid w:val="00B645DE"/>
    <w:rsid w:val="00B65857"/>
    <w:rsid w:val="00B65A07"/>
    <w:rsid w:val="00B66698"/>
    <w:rsid w:val="00B66CBC"/>
    <w:rsid w:val="00B745DC"/>
    <w:rsid w:val="00B7661E"/>
    <w:rsid w:val="00B81E9B"/>
    <w:rsid w:val="00B84350"/>
    <w:rsid w:val="00B855A6"/>
    <w:rsid w:val="00B91098"/>
    <w:rsid w:val="00B91904"/>
    <w:rsid w:val="00B92110"/>
    <w:rsid w:val="00B92735"/>
    <w:rsid w:val="00B969ED"/>
    <w:rsid w:val="00BA0040"/>
    <w:rsid w:val="00BA0A47"/>
    <w:rsid w:val="00BB0D90"/>
    <w:rsid w:val="00BB60C6"/>
    <w:rsid w:val="00BB7984"/>
    <w:rsid w:val="00BC1175"/>
    <w:rsid w:val="00BC22C0"/>
    <w:rsid w:val="00BC47B1"/>
    <w:rsid w:val="00BC6A06"/>
    <w:rsid w:val="00BD137C"/>
    <w:rsid w:val="00BE2FA3"/>
    <w:rsid w:val="00BF45A5"/>
    <w:rsid w:val="00C00CE7"/>
    <w:rsid w:val="00C02E22"/>
    <w:rsid w:val="00C03596"/>
    <w:rsid w:val="00C15A13"/>
    <w:rsid w:val="00C21363"/>
    <w:rsid w:val="00C238D9"/>
    <w:rsid w:val="00C24A9D"/>
    <w:rsid w:val="00C2527C"/>
    <w:rsid w:val="00C2677E"/>
    <w:rsid w:val="00C31542"/>
    <w:rsid w:val="00C362BE"/>
    <w:rsid w:val="00C430DE"/>
    <w:rsid w:val="00C44C46"/>
    <w:rsid w:val="00C53EB1"/>
    <w:rsid w:val="00C6078D"/>
    <w:rsid w:val="00C657CF"/>
    <w:rsid w:val="00C65CF9"/>
    <w:rsid w:val="00C668DE"/>
    <w:rsid w:val="00C80D62"/>
    <w:rsid w:val="00C86728"/>
    <w:rsid w:val="00C96BFD"/>
    <w:rsid w:val="00CA44EC"/>
    <w:rsid w:val="00CA5358"/>
    <w:rsid w:val="00CB0A8A"/>
    <w:rsid w:val="00CB17E2"/>
    <w:rsid w:val="00CB205C"/>
    <w:rsid w:val="00CC2287"/>
    <w:rsid w:val="00CD2D01"/>
    <w:rsid w:val="00CD502A"/>
    <w:rsid w:val="00CE06DB"/>
    <w:rsid w:val="00CF12CF"/>
    <w:rsid w:val="00CF24C0"/>
    <w:rsid w:val="00CF2FA2"/>
    <w:rsid w:val="00CF428B"/>
    <w:rsid w:val="00CF5ECE"/>
    <w:rsid w:val="00D0062F"/>
    <w:rsid w:val="00D014E6"/>
    <w:rsid w:val="00D0422F"/>
    <w:rsid w:val="00D060D2"/>
    <w:rsid w:val="00D063BB"/>
    <w:rsid w:val="00D14394"/>
    <w:rsid w:val="00D242CD"/>
    <w:rsid w:val="00D341C3"/>
    <w:rsid w:val="00D35DB9"/>
    <w:rsid w:val="00D407F6"/>
    <w:rsid w:val="00D42843"/>
    <w:rsid w:val="00D43973"/>
    <w:rsid w:val="00D45DDE"/>
    <w:rsid w:val="00D5152A"/>
    <w:rsid w:val="00D52371"/>
    <w:rsid w:val="00D65145"/>
    <w:rsid w:val="00D65FEE"/>
    <w:rsid w:val="00D6772D"/>
    <w:rsid w:val="00D74314"/>
    <w:rsid w:val="00D800CC"/>
    <w:rsid w:val="00D87902"/>
    <w:rsid w:val="00D9138B"/>
    <w:rsid w:val="00D92505"/>
    <w:rsid w:val="00D93058"/>
    <w:rsid w:val="00D956BD"/>
    <w:rsid w:val="00DA267C"/>
    <w:rsid w:val="00DA4BF5"/>
    <w:rsid w:val="00DA5101"/>
    <w:rsid w:val="00DA79EF"/>
    <w:rsid w:val="00DB080C"/>
    <w:rsid w:val="00DB0C0B"/>
    <w:rsid w:val="00DB3B74"/>
    <w:rsid w:val="00DC5870"/>
    <w:rsid w:val="00DD0384"/>
    <w:rsid w:val="00DD0901"/>
    <w:rsid w:val="00DD1486"/>
    <w:rsid w:val="00DD3BD0"/>
    <w:rsid w:val="00DD3DD8"/>
    <w:rsid w:val="00DE16B6"/>
    <w:rsid w:val="00DE1C0D"/>
    <w:rsid w:val="00DE36CA"/>
    <w:rsid w:val="00DE4E1D"/>
    <w:rsid w:val="00DE7E63"/>
    <w:rsid w:val="00DF2911"/>
    <w:rsid w:val="00DF6157"/>
    <w:rsid w:val="00DF7995"/>
    <w:rsid w:val="00DF7FEE"/>
    <w:rsid w:val="00E01E02"/>
    <w:rsid w:val="00E033B8"/>
    <w:rsid w:val="00E1397A"/>
    <w:rsid w:val="00E15AD0"/>
    <w:rsid w:val="00E164A7"/>
    <w:rsid w:val="00E16AA4"/>
    <w:rsid w:val="00E227BE"/>
    <w:rsid w:val="00E26D66"/>
    <w:rsid w:val="00E27D49"/>
    <w:rsid w:val="00E302F4"/>
    <w:rsid w:val="00E31ADE"/>
    <w:rsid w:val="00E33F10"/>
    <w:rsid w:val="00E367C5"/>
    <w:rsid w:val="00E37E71"/>
    <w:rsid w:val="00E42847"/>
    <w:rsid w:val="00E45CE7"/>
    <w:rsid w:val="00E45E51"/>
    <w:rsid w:val="00E45F25"/>
    <w:rsid w:val="00E46064"/>
    <w:rsid w:val="00E503C7"/>
    <w:rsid w:val="00E508C8"/>
    <w:rsid w:val="00E558DF"/>
    <w:rsid w:val="00E5719D"/>
    <w:rsid w:val="00E57F71"/>
    <w:rsid w:val="00E604A1"/>
    <w:rsid w:val="00E65832"/>
    <w:rsid w:val="00E70497"/>
    <w:rsid w:val="00E73691"/>
    <w:rsid w:val="00E73AA8"/>
    <w:rsid w:val="00E73DB2"/>
    <w:rsid w:val="00E77B6C"/>
    <w:rsid w:val="00E80228"/>
    <w:rsid w:val="00E80D18"/>
    <w:rsid w:val="00E84D4A"/>
    <w:rsid w:val="00E94A66"/>
    <w:rsid w:val="00EA1347"/>
    <w:rsid w:val="00EA2ED4"/>
    <w:rsid w:val="00EA491A"/>
    <w:rsid w:val="00EB1583"/>
    <w:rsid w:val="00EC23FB"/>
    <w:rsid w:val="00EC4DA4"/>
    <w:rsid w:val="00ED7681"/>
    <w:rsid w:val="00EE141C"/>
    <w:rsid w:val="00EE41C2"/>
    <w:rsid w:val="00EE54AA"/>
    <w:rsid w:val="00EE6141"/>
    <w:rsid w:val="00EE7960"/>
    <w:rsid w:val="00EF5034"/>
    <w:rsid w:val="00EF63C6"/>
    <w:rsid w:val="00F0034A"/>
    <w:rsid w:val="00F005A7"/>
    <w:rsid w:val="00F01FD0"/>
    <w:rsid w:val="00F034FB"/>
    <w:rsid w:val="00F036E0"/>
    <w:rsid w:val="00F05606"/>
    <w:rsid w:val="00F066F0"/>
    <w:rsid w:val="00F06820"/>
    <w:rsid w:val="00F105F5"/>
    <w:rsid w:val="00F1075A"/>
    <w:rsid w:val="00F11D06"/>
    <w:rsid w:val="00F2191D"/>
    <w:rsid w:val="00F22E82"/>
    <w:rsid w:val="00F235CE"/>
    <w:rsid w:val="00F239F9"/>
    <w:rsid w:val="00F274DC"/>
    <w:rsid w:val="00F3277D"/>
    <w:rsid w:val="00F337BF"/>
    <w:rsid w:val="00F33D14"/>
    <w:rsid w:val="00F43EB1"/>
    <w:rsid w:val="00F473B6"/>
    <w:rsid w:val="00F52E57"/>
    <w:rsid w:val="00F53E06"/>
    <w:rsid w:val="00F54188"/>
    <w:rsid w:val="00F54CC0"/>
    <w:rsid w:val="00F553AF"/>
    <w:rsid w:val="00F56957"/>
    <w:rsid w:val="00F60476"/>
    <w:rsid w:val="00F652C7"/>
    <w:rsid w:val="00F727A5"/>
    <w:rsid w:val="00F8352B"/>
    <w:rsid w:val="00F847A9"/>
    <w:rsid w:val="00FA0F1A"/>
    <w:rsid w:val="00FA3362"/>
    <w:rsid w:val="00FA504D"/>
    <w:rsid w:val="00FA5CC1"/>
    <w:rsid w:val="00FA5FE9"/>
    <w:rsid w:val="00FA67D2"/>
    <w:rsid w:val="00FB0BA2"/>
    <w:rsid w:val="00FB302F"/>
    <w:rsid w:val="00FB5280"/>
    <w:rsid w:val="00FB5A92"/>
    <w:rsid w:val="00FB5ADF"/>
    <w:rsid w:val="00FB7AC5"/>
    <w:rsid w:val="00FC1C69"/>
    <w:rsid w:val="00FC3739"/>
    <w:rsid w:val="00FD2BC7"/>
    <w:rsid w:val="00FD6899"/>
    <w:rsid w:val="00FE10BC"/>
    <w:rsid w:val="00FE1BD4"/>
    <w:rsid w:val="00FE5AD9"/>
    <w:rsid w:val="00FE7A33"/>
    <w:rsid w:val="00FF764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 w:unhideWhenUsed="0" w:qFormat="1"/>
    <w:lsdException w:name="heading 6" w:semiHidden="0" w:uiPriority="1" w:unhideWhenUsed="0" w:qFormat="1"/>
    <w:lsdException w:name="heading 7" w:uiPriority="99" w:qFormat="1"/>
    <w:lsdException w:name="heading 8" w:uiPriority="99" w:qFormat="1"/>
    <w:lsdException w:name="heading 9"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9" w:uiPriority="99"/>
    <w:lsdException w:name="footnote text" w:uiPriority="99"/>
    <w:lsdException w:name="annotation text" w:uiPriority="99"/>
    <w:lsdException w:name="caption" w:qFormat="1"/>
    <w:lsdException w:name="table of figures" w:uiPriority="99"/>
    <w:lsdException w:name="footnote reference" w:uiPriority="99"/>
    <w:lsdException w:name="page number" w:uiPriority="99" w:unhideWhenUsed="0"/>
    <w:lsdException w:name="endnote text" w:uiPriority="99"/>
    <w:lsdException w:name="table of authorities" w:uiPriority="99"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Document Map" w:uiPriority="99" w:unhideWhenUsed="0"/>
    <w:lsdException w:name="annotation subject" w:uiPriority="99"/>
    <w:lsdException w:name="No List" w:uiPriority="99"/>
    <w:lsdException w:name="Table Grid" w:semiHidden="0" w:uiPriority="59"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99" w:unhideWhenUsed="0"/>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E26D66"/>
    <w:pPr>
      <w:keepLines/>
    </w:pPr>
    <w:rPr>
      <w:rFonts w:eastAsiaTheme="minorHAnsi"/>
      <w:lang w:eastAsia="en-US"/>
    </w:rPr>
  </w:style>
  <w:style w:type="paragraph" w:styleId="Heading1">
    <w:name w:val="heading 1"/>
    <w:basedOn w:val="Normal"/>
    <w:next w:val="Normal"/>
    <w:link w:val="Heading1Char"/>
    <w:qFormat/>
    <w:rsid w:val="007202D5"/>
    <w:pPr>
      <w:keepNext/>
      <w:pageBreakBefore/>
      <w:spacing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7D3469"/>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7D3469"/>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7D3469"/>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7D3469"/>
    <w:pPr>
      <w:keepNext/>
      <w:spacing w:before="360"/>
      <w:outlineLvl w:val="4"/>
    </w:pPr>
    <w:rPr>
      <w:b/>
      <w:bCs/>
      <w:iCs/>
      <w:szCs w:val="26"/>
    </w:rPr>
  </w:style>
  <w:style w:type="paragraph" w:styleId="Heading6">
    <w:name w:val="heading 6"/>
    <w:basedOn w:val="Normal"/>
    <w:next w:val="Normal"/>
    <w:link w:val="Heading6Char"/>
    <w:uiPriority w:val="1"/>
    <w:semiHidden/>
    <w:qFormat/>
    <w:rsid w:val="007D3469"/>
    <w:pPr>
      <w:spacing w:before="360"/>
      <w:outlineLvl w:val="5"/>
    </w:pPr>
    <w:rPr>
      <w:b/>
      <w:bCs/>
      <w:i/>
      <w:szCs w:val="22"/>
    </w:rPr>
  </w:style>
  <w:style w:type="paragraph" w:styleId="Heading7">
    <w:name w:val="heading 7"/>
    <w:basedOn w:val="Normal"/>
    <w:next w:val="Normal"/>
    <w:uiPriority w:val="99"/>
    <w:semiHidden/>
    <w:qFormat/>
    <w:rsid w:val="007D3469"/>
    <w:pPr>
      <w:spacing w:after="60"/>
      <w:outlineLvl w:val="6"/>
    </w:pPr>
  </w:style>
  <w:style w:type="paragraph" w:styleId="Heading8">
    <w:name w:val="heading 8"/>
    <w:basedOn w:val="Normal"/>
    <w:next w:val="Normal"/>
    <w:uiPriority w:val="99"/>
    <w:semiHidden/>
    <w:qFormat/>
    <w:rsid w:val="007D3469"/>
    <w:pPr>
      <w:spacing w:after="60"/>
      <w:outlineLvl w:val="7"/>
    </w:pPr>
    <w:rPr>
      <w:i/>
      <w:iCs/>
    </w:rPr>
  </w:style>
  <w:style w:type="paragraph" w:styleId="Heading9">
    <w:name w:val="heading 9"/>
    <w:basedOn w:val="Normal"/>
    <w:next w:val="Normal"/>
    <w:uiPriority w:val="99"/>
    <w:semiHidden/>
    <w:qFormat/>
    <w:rsid w:val="007D346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7D3469"/>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7202D5"/>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7D3469"/>
    <w:rPr>
      <w:b/>
      <w:bCs/>
    </w:rPr>
  </w:style>
  <w:style w:type="paragraph" w:styleId="Subtitle">
    <w:name w:val="Subtitle"/>
    <w:basedOn w:val="Normal"/>
    <w:uiPriority w:val="1"/>
    <w:semiHidden/>
    <w:qFormat/>
    <w:rsid w:val="007D3469"/>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D3469"/>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A840D6"/>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0"/>
      </w:numPr>
      <w:spacing w:before="80" w:after="80"/>
    </w:pPr>
  </w:style>
  <w:style w:type="paragraph" w:customStyle="1" w:styleId="List123">
    <w:name w:val="List 1 2 3"/>
    <w:basedOn w:val="Normal"/>
    <w:rsid w:val="00CF12CF"/>
    <w:pPr>
      <w:numPr>
        <w:numId w:val="21"/>
      </w:numPr>
      <w:spacing w:before="80" w:after="80"/>
    </w:pPr>
  </w:style>
  <w:style w:type="paragraph" w:styleId="FootnoteText">
    <w:name w:val="footnote text"/>
    <w:basedOn w:val="Normal"/>
    <w:link w:val="FootnoteTextChar"/>
    <w:uiPriority w:val="99"/>
    <w:rsid w:val="00890CE4"/>
    <w:pPr>
      <w:spacing w:before="60" w:after="60" w:line="192" w:lineRule="auto"/>
      <w:ind w:left="130" w:hanging="130"/>
    </w:pPr>
    <w:rPr>
      <w:sz w:val="20"/>
      <w:szCs w:val="20"/>
    </w:rPr>
  </w:style>
  <w:style w:type="character" w:styleId="FootnoteReference">
    <w:name w:val="footnote reference"/>
    <w:uiPriority w:val="99"/>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7D3469"/>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7D3469"/>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7D3469"/>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7D3469"/>
    <w:pPr>
      <w:numPr>
        <w:ilvl w:val="1"/>
        <w:numId w:val="20"/>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7D3469"/>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687CA4"/>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7D3469"/>
    <w:rPr>
      <w:i/>
      <w:iCs/>
    </w:rPr>
  </w:style>
  <w:style w:type="character" w:styleId="IntenseEmphasis">
    <w:name w:val="Intense Emphasis"/>
    <w:uiPriority w:val="99"/>
    <w:semiHidden/>
    <w:qFormat/>
    <w:rsid w:val="007D3469"/>
    <w:rPr>
      <w:b/>
      <w:i/>
    </w:rPr>
  </w:style>
  <w:style w:type="paragraph" w:styleId="ListParagraph">
    <w:name w:val="List Paragraph"/>
    <w:basedOn w:val="List123"/>
    <w:uiPriority w:val="34"/>
    <w:qFormat/>
    <w:rsid w:val="007D3469"/>
    <w:pPr>
      <w:numPr>
        <w:numId w:val="0"/>
      </w:numPr>
    </w:pPr>
  </w:style>
  <w:style w:type="character" w:customStyle="1" w:styleId="Heading5Char">
    <w:name w:val="Heading 5 Char"/>
    <w:basedOn w:val="DefaultParagraphFont"/>
    <w:link w:val="Heading5"/>
    <w:uiPriority w:val="1"/>
    <w:semiHidden/>
    <w:rsid w:val="007D3469"/>
    <w:rPr>
      <w:rFonts w:eastAsiaTheme="minorHAnsi"/>
      <w:b/>
      <w:bCs/>
      <w:iCs/>
      <w:szCs w:val="26"/>
      <w:lang w:eastAsia="en-US"/>
    </w:rPr>
  </w:style>
  <w:style w:type="character" w:styleId="SubtleReference">
    <w:name w:val="Subtle Reference"/>
    <w:basedOn w:val="DefaultParagraphFont"/>
    <w:uiPriority w:val="99"/>
    <w:semiHidden/>
    <w:qFormat/>
    <w:rsid w:val="007D3469"/>
    <w:rPr>
      <w:rFonts w:ascii="Calibri" w:hAnsi="Calibri"/>
      <w:smallCaps/>
      <w:color w:val="A42F13" w:themeColor="accent2"/>
      <w:u w:val="single"/>
    </w:rPr>
  </w:style>
  <w:style w:type="character" w:styleId="BookTitle">
    <w:name w:val="Book Title"/>
    <w:basedOn w:val="DefaultParagraphFont"/>
    <w:uiPriority w:val="33"/>
    <w:semiHidden/>
    <w:qFormat/>
    <w:rsid w:val="007D3469"/>
    <w:rPr>
      <w:rFonts w:ascii="Calibri" w:hAnsi="Calibri"/>
      <w:b/>
      <w:bCs/>
      <w:smallCaps/>
      <w:spacing w:val="5"/>
    </w:rPr>
  </w:style>
  <w:style w:type="character" w:styleId="IntenseReference">
    <w:name w:val="Intense Reference"/>
    <w:basedOn w:val="DefaultParagraphFont"/>
    <w:uiPriority w:val="99"/>
    <w:semiHidden/>
    <w:qFormat/>
    <w:rsid w:val="007D3469"/>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rsid w:val="006875B8"/>
  </w:style>
  <w:style w:type="paragraph" w:styleId="IntenseQuote">
    <w:name w:val="Intense Quote"/>
    <w:basedOn w:val="Normal"/>
    <w:next w:val="Normal"/>
    <w:link w:val="IntenseQuoteChar"/>
    <w:uiPriority w:val="99"/>
    <w:semiHidden/>
    <w:qFormat/>
    <w:rsid w:val="007D3469"/>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7D3469"/>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7D3469"/>
    <w:pPr>
      <w:spacing w:before="40" w:after="40"/>
    </w:pPr>
    <w:rPr>
      <w:sz w:val="22"/>
    </w:rPr>
  </w:style>
  <w:style w:type="character" w:customStyle="1" w:styleId="Heading6Char">
    <w:name w:val="Heading 6 Char"/>
    <w:basedOn w:val="DefaultParagraphFont"/>
    <w:link w:val="Heading6"/>
    <w:uiPriority w:val="1"/>
    <w:semiHidden/>
    <w:rsid w:val="007D3469"/>
    <w:rPr>
      <w:rFonts w:eastAsiaTheme="minorHAnsi"/>
      <w:b/>
      <w:bCs/>
      <w:i/>
      <w:szCs w:val="22"/>
      <w:lang w:eastAsia="en-US"/>
    </w:rPr>
  </w:style>
  <w:style w:type="paragraph" w:customStyle="1" w:styleId="ListABClevel3">
    <w:name w:val="List A B C level 3"/>
    <w:basedOn w:val="Normal"/>
    <w:uiPriority w:val="1"/>
    <w:semiHidden/>
    <w:qFormat/>
    <w:rsid w:val="007D3469"/>
    <w:pPr>
      <w:numPr>
        <w:ilvl w:val="2"/>
        <w:numId w:val="20"/>
      </w:numPr>
      <w:spacing w:before="80" w:after="80"/>
    </w:pPr>
  </w:style>
  <w:style w:type="paragraph" w:customStyle="1" w:styleId="List123level2">
    <w:name w:val="List 1 2 3 level 2"/>
    <w:basedOn w:val="Normal"/>
    <w:uiPriority w:val="1"/>
    <w:semiHidden/>
    <w:qFormat/>
    <w:rsid w:val="007D3469"/>
    <w:pPr>
      <w:numPr>
        <w:ilvl w:val="1"/>
        <w:numId w:val="21"/>
      </w:numPr>
      <w:spacing w:before="80" w:after="80"/>
    </w:pPr>
  </w:style>
  <w:style w:type="paragraph" w:customStyle="1" w:styleId="List123level3">
    <w:name w:val="List 1 2 3 level 3"/>
    <w:basedOn w:val="Normal"/>
    <w:uiPriority w:val="1"/>
    <w:semiHidden/>
    <w:qFormat/>
    <w:rsid w:val="007D3469"/>
    <w:pPr>
      <w:numPr>
        <w:ilvl w:val="2"/>
        <w:numId w:val="21"/>
      </w:numPr>
      <w:spacing w:before="80" w:after="80"/>
    </w:pPr>
  </w:style>
  <w:style w:type="paragraph" w:customStyle="1" w:styleId="Legislationsection">
    <w:name w:val="Legislation section"/>
    <w:basedOn w:val="Normal"/>
    <w:semiHidden/>
    <w:qFormat/>
    <w:rsid w:val="007D3469"/>
    <w:pPr>
      <w:keepNext/>
      <w:numPr>
        <w:numId w:val="23"/>
      </w:numPr>
      <w:tabs>
        <w:tab w:val="left" w:pos="567"/>
      </w:tabs>
      <w:spacing w:after="60"/>
    </w:pPr>
    <w:rPr>
      <w:b/>
      <w:sz w:val="22"/>
    </w:rPr>
  </w:style>
  <w:style w:type="paragraph" w:customStyle="1" w:styleId="Legislationnumber">
    <w:name w:val="Legislation number"/>
    <w:basedOn w:val="Normal"/>
    <w:semiHidden/>
    <w:qFormat/>
    <w:rsid w:val="007D3469"/>
    <w:pPr>
      <w:numPr>
        <w:numId w:val="22"/>
      </w:numPr>
      <w:tabs>
        <w:tab w:val="left" w:pos="567"/>
      </w:tabs>
      <w:spacing w:before="60" w:after="60"/>
    </w:pPr>
    <w:rPr>
      <w:sz w:val="22"/>
    </w:rPr>
  </w:style>
  <w:style w:type="paragraph" w:customStyle="1" w:styleId="Legislationa">
    <w:name w:val="Legislation (a)"/>
    <w:basedOn w:val="Normal"/>
    <w:semiHidden/>
    <w:qFormat/>
    <w:rsid w:val="007D3469"/>
    <w:pPr>
      <w:numPr>
        <w:ilvl w:val="2"/>
        <w:numId w:val="23"/>
      </w:numPr>
      <w:spacing w:before="60" w:after="60"/>
    </w:pPr>
    <w:rPr>
      <w:sz w:val="22"/>
    </w:rPr>
  </w:style>
  <w:style w:type="paragraph" w:customStyle="1" w:styleId="Legislationi">
    <w:name w:val="Legislation (i)"/>
    <w:basedOn w:val="Normal"/>
    <w:semiHidden/>
    <w:qFormat/>
    <w:rsid w:val="007D3469"/>
    <w:pPr>
      <w:numPr>
        <w:ilvl w:val="3"/>
        <w:numId w:val="23"/>
      </w:numPr>
      <w:spacing w:before="60" w:after="60"/>
    </w:pPr>
    <w:rPr>
      <w:sz w:val="22"/>
    </w:rPr>
  </w:style>
  <w:style w:type="paragraph" w:customStyle="1" w:styleId="Numberedparaindentonly">
    <w:name w:val="Numbered para indent only"/>
    <w:basedOn w:val="Normal"/>
    <w:semiHidden/>
    <w:qFormat/>
    <w:rsid w:val="007D3469"/>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7D3469"/>
    <w:pPr>
      <w:spacing w:before="0" w:after="0"/>
    </w:pPr>
  </w:style>
  <w:style w:type="paragraph" w:customStyle="1" w:styleId="Page">
    <w:name w:val="Page"/>
    <w:basedOn w:val="Spacer"/>
    <w:semiHidden/>
    <w:qFormat/>
    <w:rsid w:val="007D3469"/>
    <w:pPr>
      <w:jc w:val="right"/>
    </w:pPr>
    <w:rPr>
      <w:color w:val="000000" w:themeColor="text1"/>
    </w:rPr>
  </w:style>
  <w:style w:type="table" w:customStyle="1" w:styleId="Blanktable">
    <w:name w:val="Blank table"/>
    <w:basedOn w:val="TableNormal"/>
    <w:uiPriority w:val="99"/>
    <w:rsid w:val="007202D5"/>
    <w:tblPr>
      <w:tblInd w:w="108" w:type="dxa"/>
    </w:tblPr>
  </w:style>
  <w:style w:type="paragraph" w:customStyle="1" w:styleId="Tinyline">
    <w:name w:val="Tiny line"/>
    <w:basedOn w:val="Normal"/>
    <w:qFormat/>
    <w:rsid w:val="007D3469"/>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7D3469"/>
    <w:rPr>
      <w:sz w:val="24"/>
    </w:rPr>
  </w:style>
  <w:style w:type="paragraph" w:customStyle="1" w:styleId="Tableheading12pt">
    <w:name w:val="Table heading 12pt"/>
    <w:basedOn w:val="Tableheading"/>
    <w:semiHidden/>
    <w:qFormat/>
    <w:rsid w:val="007D3469"/>
    <w:pPr>
      <w:keepNext/>
    </w:pPr>
    <w:rPr>
      <w:sz w:val="24"/>
    </w:rPr>
  </w:style>
  <w:style w:type="paragraph" w:customStyle="1" w:styleId="Documentationpageheading">
    <w:name w:val="Documentation page heading"/>
    <w:basedOn w:val="Normal"/>
    <w:semiHidden/>
    <w:qFormat/>
    <w:rsid w:val="007D3469"/>
    <w:pPr>
      <w:spacing w:after="0"/>
    </w:pPr>
    <w:rPr>
      <w:b/>
      <w:color w:val="1F546B" w:themeColor="text2"/>
      <w:sz w:val="36"/>
    </w:rPr>
  </w:style>
  <w:style w:type="paragraph" w:customStyle="1" w:styleId="Documentationpagesubheading">
    <w:name w:val="Documentation page subheading"/>
    <w:basedOn w:val="Documentationpageheading"/>
    <w:semiHidden/>
    <w:qFormat/>
    <w:rsid w:val="007D3469"/>
    <w:rPr>
      <w:sz w:val="28"/>
    </w:rPr>
  </w:style>
  <w:style w:type="paragraph" w:customStyle="1" w:styleId="Documentationpagetable">
    <w:name w:val="Documentation page table"/>
    <w:basedOn w:val="Normal"/>
    <w:semiHidden/>
    <w:qFormat/>
    <w:rsid w:val="007D3469"/>
    <w:pPr>
      <w:spacing w:before="44" w:after="24"/>
    </w:pPr>
    <w:rPr>
      <w:rFonts w:cstheme="minorBidi"/>
      <w:sz w:val="20"/>
    </w:rPr>
  </w:style>
  <w:style w:type="paragraph" w:customStyle="1" w:styleId="Documentationpagetableheading">
    <w:name w:val="Documentation page table heading"/>
    <w:basedOn w:val="Normal"/>
    <w:semiHidden/>
    <w:qFormat/>
    <w:rsid w:val="007D3469"/>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7D3469"/>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rsid w:val="00DD3BD0"/>
    <w:rPr>
      <w:rFonts w:eastAsiaTheme="minorHAnsi"/>
      <w:i/>
      <w:sz w:val="20"/>
      <w:lang w:eastAsia="en-US"/>
    </w:rPr>
  </w:style>
  <w:style w:type="paragraph" w:customStyle="1" w:styleId="Numberedpara2subheading">
    <w:name w:val="Numbered para (2) subheading"/>
    <w:basedOn w:val="Normal"/>
    <w:next w:val="Normal"/>
    <w:semiHidden/>
    <w:qFormat/>
    <w:rsid w:val="007D3469"/>
    <w:pPr>
      <w:keepNext/>
      <w:spacing w:before="240" w:after="120"/>
    </w:pPr>
    <w:rPr>
      <w:b/>
      <w:i/>
    </w:rPr>
  </w:style>
  <w:style w:type="paragraph" w:customStyle="1" w:styleId="Numberedpara2level1">
    <w:name w:val="Numbered para (2) level 1"/>
    <w:basedOn w:val="Normal"/>
    <w:semiHidden/>
    <w:qFormat/>
    <w:rsid w:val="007D3469"/>
    <w:pPr>
      <w:numPr>
        <w:numId w:val="24"/>
      </w:numPr>
      <w:spacing w:after="120"/>
    </w:pPr>
  </w:style>
  <w:style w:type="paragraph" w:customStyle="1" w:styleId="Numberedpara2level2a">
    <w:name w:val="Numbered para (2) level 2 (a)"/>
    <w:basedOn w:val="Normal"/>
    <w:semiHidden/>
    <w:qFormat/>
    <w:rsid w:val="007D3469"/>
    <w:pPr>
      <w:numPr>
        <w:ilvl w:val="1"/>
        <w:numId w:val="24"/>
      </w:numPr>
      <w:spacing w:after="120"/>
    </w:pPr>
  </w:style>
  <w:style w:type="paragraph" w:customStyle="1" w:styleId="Numberedpara2level3i">
    <w:name w:val="Numbered para (2) level 3 (i)"/>
    <w:basedOn w:val="Normal"/>
    <w:semiHidden/>
    <w:qFormat/>
    <w:rsid w:val="007D3469"/>
    <w:pPr>
      <w:numPr>
        <w:ilvl w:val="2"/>
        <w:numId w:val="24"/>
      </w:numPr>
      <w:spacing w:after="120"/>
    </w:pPr>
  </w:style>
  <w:style w:type="paragraph" w:customStyle="1" w:styleId="Numberedpara2heading">
    <w:name w:val="Numbered para (2) heading"/>
    <w:basedOn w:val="Normal"/>
    <w:semiHidden/>
    <w:qFormat/>
    <w:rsid w:val="007D3469"/>
    <w:pPr>
      <w:keepNext/>
      <w:spacing w:before="240" w:after="120"/>
    </w:pPr>
    <w:rPr>
      <w:b/>
      <w:sz w:val="28"/>
    </w:rPr>
  </w:style>
  <w:style w:type="character" w:customStyle="1" w:styleId="Footersecurityclassification">
    <w:name w:val="Footer security classification"/>
    <w:basedOn w:val="DefaultParagraphFont"/>
    <w:uiPriority w:val="1"/>
    <w:qFormat/>
    <w:rsid w:val="007D3469"/>
    <w:rPr>
      <w:b/>
      <w:i/>
      <w:caps/>
      <w:smallCaps w:val="0"/>
      <w:sz w:val="22"/>
    </w:rPr>
  </w:style>
  <w:style w:type="paragraph" w:customStyle="1" w:styleId="Numberedpara11headingwithnumber">
    <w:name w:val="Numbered para (1) 1 (heading with number)"/>
    <w:basedOn w:val="Normal"/>
    <w:qFormat/>
    <w:rsid w:val="007D3469"/>
    <w:pPr>
      <w:keepNext/>
      <w:numPr>
        <w:numId w:val="25"/>
      </w:numPr>
      <w:spacing w:before="240" w:after="120"/>
    </w:pPr>
    <w:rPr>
      <w:b/>
      <w:sz w:val="28"/>
    </w:rPr>
  </w:style>
  <w:style w:type="paragraph" w:customStyle="1" w:styleId="Crossreference">
    <w:name w:val="Cross reference"/>
    <w:basedOn w:val="Normal"/>
    <w:semiHidden/>
    <w:qFormat/>
    <w:rsid w:val="007D3469"/>
    <w:rPr>
      <w:i/>
      <w:color w:val="1F546B" w:themeColor="text2"/>
      <w:u w:val="single"/>
    </w:rPr>
  </w:style>
  <w:style w:type="paragraph" w:customStyle="1" w:styleId="Numberedpara3heading">
    <w:name w:val="Numbered para (3) heading"/>
    <w:basedOn w:val="Normal"/>
    <w:semiHidden/>
    <w:qFormat/>
    <w:rsid w:val="007D3469"/>
    <w:pPr>
      <w:keepNext/>
      <w:spacing w:before="200" w:after="120"/>
    </w:pPr>
    <w:rPr>
      <w:b/>
    </w:rPr>
  </w:style>
  <w:style w:type="paragraph" w:customStyle="1" w:styleId="Numberedpara3subheading">
    <w:name w:val="Numbered para (3) subheading"/>
    <w:basedOn w:val="Normal"/>
    <w:semiHidden/>
    <w:qFormat/>
    <w:rsid w:val="007D3469"/>
    <w:pPr>
      <w:keepNext/>
      <w:spacing w:before="240" w:after="120"/>
    </w:pPr>
    <w:rPr>
      <w:b/>
      <w:i/>
    </w:rPr>
  </w:style>
  <w:style w:type="paragraph" w:customStyle="1" w:styleId="Numberedpara3level1">
    <w:name w:val="Numbered para (3) level 1"/>
    <w:basedOn w:val="Normal"/>
    <w:qFormat/>
    <w:rsid w:val="007D3469"/>
    <w:pPr>
      <w:numPr>
        <w:numId w:val="26"/>
      </w:numPr>
      <w:spacing w:after="120"/>
    </w:pPr>
  </w:style>
  <w:style w:type="paragraph" w:customStyle="1" w:styleId="Numberedpara3level211">
    <w:name w:val="Numbered para (3) level 2 (1.1)"/>
    <w:basedOn w:val="Normal"/>
    <w:qFormat/>
    <w:rsid w:val="007D3469"/>
    <w:pPr>
      <w:numPr>
        <w:ilvl w:val="1"/>
        <w:numId w:val="26"/>
      </w:numPr>
      <w:spacing w:after="120"/>
    </w:pPr>
  </w:style>
  <w:style w:type="paragraph" w:customStyle="1" w:styleId="Numberedpara3level3111">
    <w:name w:val="Numbered para (3) level 3 (1.1.1)"/>
    <w:basedOn w:val="Normal"/>
    <w:qFormat/>
    <w:rsid w:val="007D3469"/>
    <w:pPr>
      <w:numPr>
        <w:ilvl w:val="2"/>
        <w:numId w:val="26"/>
      </w:numPr>
      <w:spacing w:after="120"/>
    </w:pPr>
  </w:style>
  <w:style w:type="character" w:customStyle="1" w:styleId="TitleChar">
    <w:name w:val="Title Char"/>
    <w:basedOn w:val="DefaultParagraphFont"/>
    <w:link w:val="Title"/>
    <w:rsid w:val="007C42FA"/>
    <w:rPr>
      <w:rFonts w:eastAsiaTheme="minorHAnsi"/>
      <w:b/>
      <w:color w:val="1F546B"/>
      <w:sz w:val="80"/>
      <w:szCs w:val="80"/>
      <w:lang w:eastAsia="en-US"/>
    </w:rPr>
  </w:style>
  <w:style w:type="paragraph" w:customStyle="1" w:styleId="Securityclassificiation">
    <w:name w:val="Security classificiation"/>
    <w:basedOn w:val="Title2"/>
    <w:qFormat/>
    <w:rsid w:val="00342DBF"/>
    <w:pPr>
      <w:spacing w:before="240" w:after="0"/>
      <w:jc w:val="center"/>
    </w:pPr>
    <w:rPr>
      <w:caps/>
      <w:color w:val="000000" w:themeColor="text1"/>
      <w:sz w:val="32"/>
    </w:rPr>
  </w:style>
  <w:style w:type="paragraph" w:customStyle="1" w:styleId="LHcolumn">
    <w:name w:val="LH column"/>
    <w:basedOn w:val="Normal"/>
    <w:rsid w:val="00E26D66"/>
    <w:pPr>
      <w:keepLines w:val="0"/>
    </w:pPr>
    <w:rPr>
      <w:rFonts w:eastAsia="Calibri"/>
      <w:b/>
      <w:color w:val="1F546B" w:themeColor="text2"/>
      <w:w w:val="90"/>
      <w:szCs w:val="22"/>
    </w:rPr>
  </w:style>
  <w:style w:type="paragraph" w:customStyle="1" w:styleId="Coverimage">
    <w:name w:val="Cover image"/>
    <w:basedOn w:val="Spacer"/>
    <w:qFormat/>
    <w:rsid w:val="007D3469"/>
    <w:pPr>
      <w:jc w:val="right"/>
    </w:pPr>
  </w:style>
  <w:style w:type="character" w:customStyle="1" w:styleId="Crossreferences">
    <w:name w:val="Cross references"/>
    <w:basedOn w:val="DefaultParagraphFont"/>
    <w:uiPriority w:val="1"/>
    <w:qFormat/>
    <w:rsid w:val="00A840D6"/>
    <w:rPr>
      <w:i/>
      <w:color w:val="1F546B" w:themeColor="text2"/>
      <w:u w:val="single"/>
    </w:rPr>
  </w:style>
  <w:style w:type="character" w:customStyle="1" w:styleId="FootnoteTextChar">
    <w:name w:val="Footnote Text Char"/>
    <w:link w:val="FootnoteText"/>
    <w:uiPriority w:val="99"/>
    <w:rsid w:val="00DF7FEE"/>
    <w:rPr>
      <w:rFonts w:eastAsiaTheme="minorHAnsi"/>
      <w:sz w:val="20"/>
      <w:szCs w:val="20"/>
      <w:lang w:eastAsia="en-US"/>
    </w:rPr>
  </w:style>
  <w:style w:type="paragraph" w:customStyle="1" w:styleId="Tableheading2">
    <w:name w:val="Table heading 2"/>
    <w:basedOn w:val="Normal"/>
    <w:qFormat/>
    <w:rsid w:val="00F066F0"/>
    <w:pPr>
      <w:keepLines w:val="0"/>
      <w:spacing w:before="44" w:after="24"/>
    </w:pPr>
    <w:rPr>
      <w:rFonts w:cstheme="minorBidi"/>
      <w:b/>
      <w:sz w:val="22"/>
    </w:rPr>
  </w:style>
  <w:style w:type="paragraph" w:customStyle="1" w:styleId="NumbersLevel1">
    <w:name w:val="Numbers Level 1"/>
    <w:basedOn w:val="BodyText"/>
    <w:rsid w:val="00654401"/>
    <w:pPr>
      <w:keepLines w:val="0"/>
      <w:tabs>
        <w:tab w:val="num" w:pos="709"/>
      </w:tabs>
      <w:spacing w:before="0" w:line="280" w:lineRule="atLeast"/>
      <w:ind w:left="709" w:hanging="709"/>
      <w:jc w:val="both"/>
    </w:pPr>
    <w:rPr>
      <w:rFonts w:ascii="Arial" w:eastAsia="Times New Roman" w:hAnsi="Arial"/>
      <w:sz w:val="22"/>
    </w:rPr>
  </w:style>
  <w:style w:type="paragraph" w:customStyle="1" w:styleId="HeadingTable">
    <w:name w:val="Heading Table"/>
    <w:basedOn w:val="Normal"/>
    <w:rsid w:val="00654401"/>
    <w:pPr>
      <w:keepLines w:val="0"/>
      <w:spacing w:before="0" w:after="0" w:line="260" w:lineRule="atLeast"/>
    </w:pPr>
    <w:rPr>
      <w:rFonts w:ascii="Arial" w:eastAsia="Times New Roman" w:hAnsi="Arial"/>
      <w:b/>
      <w:sz w:val="20"/>
    </w:rPr>
  </w:style>
  <w:style w:type="paragraph" w:customStyle="1" w:styleId="Boxtext">
    <w:name w:val="Box text"/>
    <w:basedOn w:val="Normal"/>
    <w:rsid w:val="002145AD"/>
    <w:pPr>
      <w:keepLines w:val="0"/>
      <w:numPr>
        <w:numId w:val="29"/>
      </w:numPr>
      <w:pBdr>
        <w:top w:val="single" w:sz="4" w:space="10" w:color="DDDDDD"/>
        <w:left w:val="single" w:sz="4" w:space="4" w:color="DDDDDD"/>
        <w:bottom w:val="single" w:sz="4" w:space="10" w:color="DDDDDD"/>
        <w:right w:val="single" w:sz="4" w:space="4" w:color="DDDDDD"/>
      </w:pBdr>
      <w:shd w:val="clear" w:color="auto" w:fill="E5E9F0"/>
      <w:spacing w:before="0" w:after="80" w:line="280" w:lineRule="atLeast"/>
      <w:ind w:left="142" w:right="142" w:firstLine="0"/>
    </w:pPr>
    <w:rPr>
      <w:rFonts w:ascii="Arial" w:eastAsia="Times New Roman" w:hAnsi="Arial"/>
      <w:sz w:val="20"/>
      <w:szCs w:val="20"/>
      <w:lang w:val="en-GB" w:eastAsia="en-GB"/>
    </w:rPr>
  </w:style>
  <w:style w:type="paragraph" w:customStyle="1" w:styleId="Bullet-list">
    <w:name w:val="Bullet-list"/>
    <w:qFormat/>
    <w:rsid w:val="002145AD"/>
    <w:pPr>
      <w:numPr>
        <w:numId w:val="2"/>
      </w:numPr>
      <w:spacing w:before="0" w:after="180" w:line="280" w:lineRule="exact"/>
      <w:ind w:left="284" w:hanging="284"/>
    </w:pPr>
    <w:rPr>
      <w:rFonts w:ascii="Arial" w:hAnsi="Arial"/>
      <w:sz w:val="22"/>
      <w:szCs w:val="20"/>
      <w:lang w:val="en-AU" w:eastAsia="en-US"/>
    </w:rPr>
  </w:style>
  <w:style w:type="paragraph" w:customStyle="1" w:styleId="TableBullet0">
    <w:name w:val="Table Bullet"/>
    <w:basedOn w:val="Normal"/>
    <w:rsid w:val="002145AD"/>
    <w:pPr>
      <w:keepLines w:val="0"/>
      <w:numPr>
        <w:ilvl w:val="1"/>
        <w:numId w:val="30"/>
      </w:numPr>
      <w:spacing w:before="0" w:line="280" w:lineRule="atLeast"/>
    </w:pPr>
    <w:rPr>
      <w:rFonts w:ascii="Arial" w:eastAsia="Times New Roman" w:hAnsi="Arial"/>
      <w:sz w:val="22"/>
      <w:szCs w:val="20"/>
      <w:lang w:val="en-GB" w:eastAsia="en-GB"/>
    </w:rPr>
  </w:style>
  <w:style w:type="table" w:customStyle="1" w:styleId="RIS">
    <w:name w:val="__RIS"/>
    <w:basedOn w:val="TableNormal"/>
    <w:uiPriority w:val="99"/>
    <w:rsid w:val="00DA4BF5"/>
    <w:pPr>
      <w:spacing w:before="56" w:after="32"/>
    </w:pPr>
    <w:rPr>
      <w:rFonts w:eastAsiaTheme="minorHAnsi" w:cstheme="minorBidi"/>
      <w:sz w:val="22"/>
      <w:lang w:eastAsia="en-US"/>
    </w:rPr>
    <w:tblPr>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rPr>
    <w:tblStylePr w:type="firstRow">
      <w:pPr>
        <w:wordWrap/>
        <w:spacing w:beforeLines="0" w:before="60" w:beforeAutospacing="0" w:afterLines="0" w:after="24" w:afterAutospacing="0" w:line="240" w:lineRule="auto"/>
        <w:contextualSpacing w:val="0"/>
      </w:pPr>
      <w:rPr>
        <w:rFonts w:ascii="Calibri" w:hAnsi="Calibri"/>
        <w:b/>
        <w:color w:val="FFFFFF" w:themeColor="background1"/>
        <w:sz w:val="22"/>
      </w:rPr>
      <w:tblPr/>
      <w:trPr>
        <w:tblHeader/>
      </w:trPr>
      <w:tcPr>
        <w:tcBorders>
          <w:top w:val="single" w:sz="12" w:space="0" w:color="000000" w:themeColor="text1"/>
          <w:left w:val="single" w:sz="12" w:space="0" w:color="000000" w:themeColor="text1"/>
          <w:bottom w:val="nil"/>
          <w:right w:val="single" w:sz="12" w:space="0" w:color="000000" w:themeColor="text1"/>
          <w:insideH w:val="single" w:sz="6" w:space="0" w:color="FFFFFF" w:themeColor="background1"/>
          <w:insideV w:val="single" w:sz="6" w:space="0" w:color="FFFFFF" w:themeColor="background1"/>
          <w:tl2br w:val="nil"/>
          <w:tr2bl w:val="nil"/>
        </w:tcBorders>
        <w:shd w:val="clear" w:color="auto" w:fill="000000" w:themeFill="text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 w:unhideWhenUsed="0" w:qFormat="1"/>
    <w:lsdException w:name="heading 6" w:semiHidden="0" w:uiPriority="1" w:unhideWhenUsed="0" w:qFormat="1"/>
    <w:lsdException w:name="heading 7" w:uiPriority="99" w:qFormat="1"/>
    <w:lsdException w:name="heading 8" w:uiPriority="99" w:qFormat="1"/>
    <w:lsdException w:name="heading 9"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9" w:uiPriority="99"/>
    <w:lsdException w:name="footnote text" w:uiPriority="99"/>
    <w:lsdException w:name="annotation text" w:uiPriority="99"/>
    <w:lsdException w:name="caption" w:qFormat="1"/>
    <w:lsdException w:name="table of figures" w:uiPriority="99"/>
    <w:lsdException w:name="footnote reference" w:uiPriority="99"/>
    <w:lsdException w:name="page number" w:uiPriority="99" w:unhideWhenUsed="0"/>
    <w:lsdException w:name="endnote text" w:uiPriority="99"/>
    <w:lsdException w:name="table of authorities" w:uiPriority="99"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Document Map" w:uiPriority="99" w:unhideWhenUsed="0"/>
    <w:lsdException w:name="annotation subject" w:uiPriority="99"/>
    <w:lsdException w:name="No List" w:uiPriority="99"/>
    <w:lsdException w:name="Table Grid" w:semiHidden="0" w:uiPriority="59"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99" w:unhideWhenUsed="0"/>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E26D66"/>
    <w:pPr>
      <w:keepLines/>
    </w:pPr>
    <w:rPr>
      <w:rFonts w:eastAsiaTheme="minorHAnsi"/>
      <w:lang w:eastAsia="en-US"/>
    </w:rPr>
  </w:style>
  <w:style w:type="paragraph" w:styleId="Heading1">
    <w:name w:val="heading 1"/>
    <w:basedOn w:val="Normal"/>
    <w:next w:val="Normal"/>
    <w:link w:val="Heading1Char"/>
    <w:qFormat/>
    <w:rsid w:val="007202D5"/>
    <w:pPr>
      <w:keepNext/>
      <w:pageBreakBefore/>
      <w:spacing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7D3469"/>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7D3469"/>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7D3469"/>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7D3469"/>
    <w:pPr>
      <w:keepNext/>
      <w:spacing w:before="360"/>
      <w:outlineLvl w:val="4"/>
    </w:pPr>
    <w:rPr>
      <w:b/>
      <w:bCs/>
      <w:iCs/>
      <w:szCs w:val="26"/>
    </w:rPr>
  </w:style>
  <w:style w:type="paragraph" w:styleId="Heading6">
    <w:name w:val="heading 6"/>
    <w:basedOn w:val="Normal"/>
    <w:next w:val="Normal"/>
    <w:link w:val="Heading6Char"/>
    <w:uiPriority w:val="1"/>
    <w:semiHidden/>
    <w:qFormat/>
    <w:rsid w:val="007D3469"/>
    <w:pPr>
      <w:spacing w:before="360"/>
      <w:outlineLvl w:val="5"/>
    </w:pPr>
    <w:rPr>
      <w:b/>
      <w:bCs/>
      <w:i/>
      <w:szCs w:val="22"/>
    </w:rPr>
  </w:style>
  <w:style w:type="paragraph" w:styleId="Heading7">
    <w:name w:val="heading 7"/>
    <w:basedOn w:val="Normal"/>
    <w:next w:val="Normal"/>
    <w:uiPriority w:val="99"/>
    <w:semiHidden/>
    <w:qFormat/>
    <w:rsid w:val="007D3469"/>
    <w:pPr>
      <w:spacing w:after="60"/>
      <w:outlineLvl w:val="6"/>
    </w:pPr>
  </w:style>
  <w:style w:type="paragraph" w:styleId="Heading8">
    <w:name w:val="heading 8"/>
    <w:basedOn w:val="Normal"/>
    <w:next w:val="Normal"/>
    <w:uiPriority w:val="99"/>
    <w:semiHidden/>
    <w:qFormat/>
    <w:rsid w:val="007D3469"/>
    <w:pPr>
      <w:spacing w:after="60"/>
      <w:outlineLvl w:val="7"/>
    </w:pPr>
    <w:rPr>
      <w:i/>
      <w:iCs/>
    </w:rPr>
  </w:style>
  <w:style w:type="paragraph" w:styleId="Heading9">
    <w:name w:val="heading 9"/>
    <w:basedOn w:val="Normal"/>
    <w:next w:val="Normal"/>
    <w:uiPriority w:val="99"/>
    <w:semiHidden/>
    <w:qFormat/>
    <w:rsid w:val="007D346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7D3469"/>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7202D5"/>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7D3469"/>
    <w:rPr>
      <w:b/>
      <w:bCs/>
    </w:rPr>
  </w:style>
  <w:style w:type="paragraph" w:styleId="Subtitle">
    <w:name w:val="Subtitle"/>
    <w:basedOn w:val="Normal"/>
    <w:uiPriority w:val="1"/>
    <w:semiHidden/>
    <w:qFormat/>
    <w:rsid w:val="007D3469"/>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D3469"/>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A840D6"/>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0"/>
      </w:numPr>
      <w:spacing w:before="80" w:after="80"/>
    </w:pPr>
  </w:style>
  <w:style w:type="paragraph" w:customStyle="1" w:styleId="List123">
    <w:name w:val="List 1 2 3"/>
    <w:basedOn w:val="Normal"/>
    <w:rsid w:val="00CF12CF"/>
    <w:pPr>
      <w:numPr>
        <w:numId w:val="21"/>
      </w:numPr>
      <w:spacing w:before="80" w:after="80"/>
    </w:pPr>
  </w:style>
  <w:style w:type="paragraph" w:styleId="FootnoteText">
    <w:name w:val="footnote text"/>
    <w:basedOn w:val="Normal"/>
    <w:link w:val="FootnoteTextChar"/>
    <w:uiPriority w:val="99"/>
    <w:rsid w:val="00890CE4"/>
    <w:pPr>
      <w:spacing w:before="60" w:after="60" w:line="192" w:lineRule="auto"/>
      <w:ind w:left="130" w:hanging="130"/>
    </w:pPr>
    <w:rPr>
      <w:sz w:val="20"/>
      <w:szCs w:val="20"/>
    </w:rPr>
  </w:style>
  <w:style w:type="character" w:styleId="FootnoteReference">
    <w:name w:val="footnote reference"/>
    <w:uiPriority w:val="99"/>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7D3469"/>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7D3469"/>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7D3469"/>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7D3469"/>
    <w:pPr>
      <w:numPr>
        <w:ilvl w:val="1"/>
        <w:numId w:val="20"/>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7D3469"/>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687CA4"/>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7D3469"/>
    <w:rPr>
      <w:i/>
      <w:iCs/>
    </w:rPr>
  </w:style>
  <w:style w:type="character" w:styleId="IntenseEmphasis">
    <w:name w:val="Intense Emphasis"/>
    <w:uiPriority w:val="99"/>
    <w:semiHidden/>
    <w:qFormat/>
    <w:rsid w:val="007D3469"/>
    <w:rPr>
      <w:b/>
      <w:i/>
    </w:rPr>
  </w:style>
  <w:style w:type="paragraph" w:styleId="ListParagraph">
    <w:name w:val="List Paragraph"/>
    <w:basedOn w:val="List123"/>
    <w:uiPriority w:val="34"/>
    <w:qFormat/>
    <w:rsid w:val="007D3469"/>
    <w:pPr>
      <w:numPr>
        <w:numId w:val="0"/>
      </w:numPr>
    </w:pPr>
  </w:style>
  <w:style w:type="character" w:customStyle="1" w:styleId="Heading5Char">
    <w:name w:val="Heading 5 Char"/>
    <w:basedOn w:val="DefaultParagraphFont"/>
    <w:link w:val="Heading5"/>
    <w:uiPriority w:val="1"/>
    <w:semiHidden/>
    <w:rsid w:val="007D3469"/>
    <w:rPr>
      <w:rFonts w:eastAsiaTheme="minorHAnsi"/>
      <w:b/>
      <w:bCs/>
      <w:iCs/>
      <w:szCs w:val="26"/>
      <w:lang w:eastAsia="en-US"/>
    </w:rPr>
  </w:style>
  <w:style w:type="character" w:styleId="SubtleReference">
    <w:name w:val="Subtle Reference"/>
    <w:basedOn w:val="DefaultParagraphFont"/>
    <w:uiPriority w:val="99"/>
    <w:semiHidden/>
    <w:qFormat/>
    <w:rsid w:val="007D3469"/>
    <w:rPr>
      <w:rFonts w:ascii="Calibri" w:hAnsi="Calibri"/>
      <w:smallCaps/>
      <w:color w:val="A42F13" w:themeColor="accent2"/>
      <w:u w:val="single"/>
    </w:rPr>
  </w:style>
  <w:style w:type="character" w:styleId="BookTitle">
    <w:name w:val="Book Title"/>
    <w:basedOn w:val="DefaultParagraphFont"/>
    <w:uiPriority w:val="33"/>
    <w:semiHidden/>
    <w:qFormat/>
    <w:rsid w:val="007D3469"/>
    <w:rPr>
      <w:rFonts w:ascii="Calibri" w:hAnsi="Calibri"/>
      <w:b/>
      <w:bCs/>
      <w:smallCaps/>
      <w:spacing w:val="5"/>
    </w:rPr>
  </w:style>
  <w:style w:type="character" w:styleId="IntenseReference">
    <w:name w:val="Intense Reference"/>
    <w:basedOn w:val="DefaultParagraphFont"/>
    <w:uiPriority w:val="99"/>
    <w:semiHidden/>
    <w:qFormat/>
    <w:rsid w:val="007D3469"/>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rsid w:val="006875B8"/>
  </w:style>
  <w:style w:type="paragraph" w:styleId="IntenseQuote">
    <w:name w:val="Intense Quote"/>
    <w:basedOn w:val="Normal"/>
    <w:next w:val="Normal"/>
    <w:link w:val="IntenseQuoteChar"/>
    <w:uiPriority w:val="99"/>
    <w:semiHidden/>
    <w:qFormat/>
    <w:rsid w:val="007D3469"/>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7D3469"/>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7D3469"/>
    <w:pPr>
      <w:spacing w:before="40" w:after="40"/>
    </w:pPr>
    <w:rPr>
      <w:sz w:val="22"/>
    </w:rPr>
  </w:style>
  <w:style w:type="character" w:customStyle="1" w:styleId="Heading6Char">
    <w:name w:val="Heading 6 Char"/>
    <w:basedOn w:val="DefaultParagraphFont"/>
    <w:link w:val="Heading6"/>
    <w:uiPriority w:val="1"/>
    <w:semiHidden/>
    <w:rsid w:val="007D3469"/>
    <w:rPr>
      <w:rFonts w:eastAsiaTheme="minorHAnsi"/>
      <w:b/>
      <w:bCs/>
      <w:i/>
      <w:szCs w:val="22"/>
      <w:lang w:eastAsia="en-US"/>
    </w:rPr>
  </w:style>
  <w:style w:type="paragraph" w:customStyle="1" w:styleId="ListABClevel3">
    <w:name w:val="List A B C level 3"/>
    <w:basedOn w:val="Normal"/>
    <w:uiPriority w:val="1"/>
    <w:semiHidden/>
    <w:qFormat/>
    <w:rsid w:val="007D3469"/>
    <w:pPr>
      <w:numPr>
        <w:ilvl w:val="2"/>
        <w:numId w:val="20"/>
      </w:numPr>
      <w:spacing w:before="80" w:after="80"/>
    </w:pPr>
  </w:style>
  <w:style w:type="paragraph" w:customStyle="1" w:styleId="List123level2">
    <w:name w:val="List 1 2 3 level 2"/>
    <w:basedOn w:val="Normal"/>
    <w:uiPriority w:val="1"/>
    <w:semiHidden/>
    <w:qFormat/>
    <w:rsid w:val="007D3469"/>
    <w:pPr>
      <w:numPr>
        <w:ilvl w:val="1"/>
        <w:numId w:val="21"/>
      </w:numPr>
      <w:spacing w:before="80" w:after="80"/>
    </w:pPr>
  </w:style>
  <w:style w:type="paragraph" w:customStyle="1" w:styleId="List123level3">
    <w:name w:val="List 1 2 3 level 3"/>
    <w:basedOn w:val="Normal"/>
    <w:uiPriority w:val="1"/>
    <w:semiHidden/>
    <w:qFormat/>
    <w:rsid w:val="007D3469"/>
    <w:pPr>
      <w:numPr>
        <w:ilvl w:val="2"/>
        <w:numId w:val="21"/>
      </w:numPr>
      <w:spacing w:before="80" w:after="80"/>
    </w:pPr>
  </w:style>
  <w:style w:type="paragraph" w:customStyle="1" w:styleId="Legislationsection">
    <w:name w:val="Legislation section"/>
    <w:basedOn w:val="Normal"/>
    <w:semiHidden/>
    <w:qFormat/>
    <w:rsid w:val="007D3469"/>
    <w:pPr>
      <w:keepNext/>
      <w:numPr>
        <w:numId w:val="23"/>
      </w:numPr>
      <w:tabs>
        <w:tab w:val="left" w:pos="567"/>
      </w:tabs>
      <w:spacing w:after="60"/>
    </w:pPr>
    <w:rPr>
      <w:b/>
      <w:sz w:val="22"/>
    </w:rPr>
  </w:style>
  <w:style w:type="paragraph" w:customStyle="1" w:styleId="Legislationnumber">
    <w:name w:val="Legislation number"/>
    <w:basedOn w:val="Normal"/>
    <w:semiHidden/>
    <w:qFormat/>
    <w:rsid w:val="007D3469"/>
    <w:pPr>
      <w:numPr>
        <w:numId w:val="22"/>
      </w:numPr>
      <w:tabs>
        <w:tab w:val="left" w:pos="567"/>
      </w:tabs>
      <w:spacing w:before="60" w:after="60"/>
    </w:pPr>
    <w:rPr>
      <w:sz w:val="22"/>
    </w:rPr>
  </w:style>
  <w:style w:type="paragraph" w:customStyle="1" w:styleId="Legislationa">
    <w:name w:val="Legislation (a)"/>
    <w:basedOn w:val="Normal"/>
    <w:semiHidden/>
    <w:qFormat/>
    <w:rsid w:val="007D3469"/>
    <w:pPr>
      <w:numPr>
        <w:ilvl w:val="2"/>
        <w:numId w:val="23"/>
      </w:numPr>
      <w:spacing w:before="60" w:after="60"/>
    </w:pPr>
    <w:rPr>
      <w:sz w:val="22"/>
    </w:rPr>
  </w:style>
  <w:style w:type="paragraph" w:customStyle="1" w:styleId="Legislationi">
    <w:name w:val="Legislation (i)"/>
    <w:basedOn w:val="Normal"/>
    <w:semiHidden/>
    <w:qFormat/>
    <w:rsid w:val="007D3469"/>
    <w:pPr>
      <w:numPr>
        <w:ilvl w:val="3"/>
        <w:numId w:val="23"/>
      </w:numPr>
      <w:spacing w:before="60" w:after="60"/>
    </w:pPr>
    <w:rPr>
      <w:sz w:val="22"/>
    </w:rPr>
  </w:style>
  <w:style w:type="paragraph" w:customStyle="1" w:styleId="Numberedparaindentonly">
    <w:name w:val="Numbered para indent only"/>
    <w:basedOn w:val="Normal"/>
    <w:semiHidden/>
    <w:qFormat/>
    <w:rsid w:val="007D3469"/>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7D3469"/>
    <w:pPr>
      <w:spacing w:before="0" w:after="0"/>
    </w:pPr>
  </w:style>
  <w:style w:type="paragraph" w:customStyle="1" w:styleId="Page">
    <w:name w:val="Page"/>
    <w:basedOn w:val="Spacer"/>
    <w:semiHidden/>
    <w:qFormat/>
    <w:rsid w:val="007D3469"/>
    <w:pPr>
      <w:jc w:val="right"/>
    </w:pPr>
    <w:rPr>
      <w:color w:val="000000" w:themeColor="text1"/>
    </w:rPr>
  </w:style>
  <w:style w:type="table" w:customStyle="1" w:styleId="Blanktable">
    <w:name w:val="Blank table"/>
    <w:basedOn w:val="TableNormal"/>
    <w:uiPriority w:val="99"/>
    <w:rsid w:val="007202D5"/>
    <w:tblPr>
      <w:tblInd w:w="108" w:type="dxa"/>
    </w:tblPr>
  </w:style>
  <w:style w:type="paragraph" w:customStyle="1" w:styleId="Tinyline">
    <w:name w:val="Tiny line"/>
    <w:basedOn w:val="Normal"/>
    <w:qFormat/>
    <w:rsid w:val="007D3469"/>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7D3469"/>
    <w:rPr>
      <w:sz w:val="24"/>
    </w:rPr>
  </w:style>
  <w:style w:type="paragraph" w:customStyle="1" w:styleId="Tableheading12pt">
    <w:name w:val="Table heading 12pt"/>
    <w:basedOn w:val="Tableheading"/>
    <w:semiHidden/>
    <w:qFormat/>
    <w:rsid w:val="007D3469"/>
    <w:pPr>
      <w:keepNext/>
    </w:pPr>
    <w:rPr>
      <w:sz w:val="24"/>
    </w:rPr>
  </w:style>
  <w:style w:type="paragraph" w:customStyle="1" w:styleId="Documentationpageheading">
    <w:name w:val="Documentation page heading"/>
    <w:basedOn w:val="Normal"/>
    <w:semiHidden/>
    <w:qFormat/>
    <w:rsid w:val="007D3469"/>
    <w:pPr>
      <w:spacing w:after="0"/>
    </w:pPr>
    <w:rPr>
      <w:b/>
      <w:color w:val="1F546B" w:themeColor="text2"/>
      <w:sz w:val="36"/>
    </w:rPr>
  </w:style>
  <w:style w:type="paragraph" w:customStyle="1" w:styleId="Documentationpagesubheading">
    <w:name w:val="Documentation page subheading"/>
    <w:basedOn w:val="Documentationpageheading"/>
    <w:semiHidden/>
    <w:qFormat/>
    <w:rsid w:val="007D3469"/>
    <w:rPr>
      <w:sz w:val="28"/>
    </w:rPr>
  </w:style>
  <w:style w:type="paragraph" w:customStyle="1" w:styleId="Documentationpagetable">
    <w:name w:val="Documentation page table"/>
    <w:basedOn w:val="Normal"/>
    <w:semiHidden/>
    <w:qFormat/>
    <w:rsid w:val="007D3469"/>
    <w:pPr>
      <w:spacing w:before="44" w:after="24"/>
    </w:pPr>
    <w:rPr>
      <w:rFonts w:cstheme="minorBidi"/>
      <w:sz w:val="20"/>
    </w:rPr>
  </w:style>
  <w:style w:type="paragraph" w:customStyle="1" w:styleId="Documentationpagetableheading">
    <w:name w:val="Documentation page table heading"/>
    <w:basedOn w:val="Normal"/>
    <w:semiHidden/>
    <w:qFormat/>
    <w:rsid w:val="007D3469"/>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7D3469"/>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rsid w:val="00DD3BD0"/>
    <w:rPr>
      <w:rFonts w:eastAsiaTheme="minorHAnsi"/>
      <w:i/>
      <w:sz w:val="20"/>
      <w:lang w:eastAsia="en-US"/>
    </w:rPr>
  </w:style>
  <w:style w:type="paragraph" w:customStyle="1" w:styleId="Numberedpara2subheading">
    <w:name w:val="Numbered para (2) subheading"/>
    <w:basedOn w:val="Normal"/>
    <w:next w:val="Normal"/>
    <w:semiHidden/>
    <w:qFormat/>
    <w:rsid w:val="007D3469"/>
    <w:pPr>
      <w:keepNext/>
      <w:spacing w:before="240" w:after="120"/>
    </w:pPr>
    <w:rPr>
      <w:b/>
      <w:i/>
    </w:rPr>
  </w:style>
  <w:style w:type="paragraph" w:customStyle="1" w:styleId="Numberedpara2level1">
    <w:name w:val="Numbered para (2) level 1"/>
    <w:basedOn w:val="Normal"/>
    <w:semiHidden/>
    <w:qFormat/>
    <w:rsid w:val="007D3469"/>
    <w:pPr>
      <w:numPr>
        <w:numId w:val="24"/>
      </w:numPr>
      <w:spacing w:after="120"/>
    </w:pPr>
  </w:style>
  <w:style w:type="paragraph" w:customStyle="1" w:styleId="Numberedpara2level2a">
    <w:name w:val="Numbered para (2) level 2 (a)"/>
    <w:basedOn w:val="Normal"/>
    <w:semiHidden/>
    <w:qFormat/>
    <w:rsid w:val="007D3469"/>
    <w:pPr>
      <w:numPr>
        <w:ilvl w:val="1"/>
        <w:numId w:val="24"/>
      </w:numPr>
      <w:spacing w:after="120"/>
    </w:pPr>
  </w:style>
  <w:style w:type="paragraph" w:customStyle="1" w:styleId="Numberedpara2level3i">
    <w:name w:val="Numbered para (2) level 3 (i)"/>
    <w:basedOn w:val="Normal"/>
    <w:semiHidden/>
    <w:qFormat/>
    <w:rsid w:val="007D3469"/>
    <w:pPr>
      <w:numPr>
        <w:ilvl w:val="2"/>
        <w:numId w:val="24"/>
      </w:numPr>
      <w:spacing w:after="120"/>
    </w:pPr>
  </w:style>
  <w:style w:type="paragraph" w:customStyle="1" w:styleId="Numberedpara2heading">
    <w:name w:val="Numbered para (2) heading"/>
    <w:basedOn w:val="Normal"/>
    <w:semiHidden/>
    <w:qFormat/>
    <w:rsid w:val="007D3469"/>
    <w:pPr>
      <w:keepNext/>
      <w:spacing w:before="240" w:after="120"/>
    </w:pPr>
    <w:rPr>
      <w:b/>
      <w:sz w:val="28"/>
    </w:rPr>
  </w:style>
  <w:style w:type="character" w:customStyle="1" w:styleId="Footersecurityclassification">
    <w:name w:val="Footer security classification"/>
    <w:basedOn w:val="DefaultParagraphFont"/>
    <w:uiPriority w:val="1"/>
    <w:qFormat/>
    <w:rsid w:val="007D3469"/>
    <w:rPr>
      <w:b/>
      <w:i/>
      <w:caps/>
      <w:smallCaps w:val="0"/>
      <w:sz w:val="22"/>
    </w:rPr>
  </w:style>
  <w:style w:type="paragraph" w:customStyle="1" w:styleId="Numberedpara11headingwithnumber">
    <w:name w:val="Numbered para (1) 1 (heading with number)"/>
    <w:basedOn w:val="Normal"/>
    <w:qFormat/>
    <w:rsid w:val="007D3469"/>
    <w:pPr>
      <w:keepNext/>
      <w:numPr>
        <w:numId w:val="25"/>
      </w:numPr>
      <w:spacing w:before="240" w:after="120"/>
    </w:pPr>
    <w:rPr>
      <w:b/>
      <w:sz w:val="28"/>
    </w:rPr>
  </w:style>
  <w:style w:type="paragraph" w:customStyle="1" w:styleId="Crossreference">
    <w:name w:val="Cross reference"/>
    <w:basedOn w:val="Normal"/>
    <w:semiHidden/>
    <w:qFormat/>
    <w:rsid w:val="007D3469"/>
    <w:rPr>
      <w:i/>
      <w:color w:val="1F546B" w:themeColor="text2"/>
      <w:u w:val="single"/>
    </w:rPr>
  </w:style>
  <w:style w:type="paragraph" w:customStyle="1" w:styleId="Numberedpara3heading">
    <w:name w:val="Numbered para (3) heading"/>
    <w:basedOn w:val="Normal"/>
    <w:semiHidden/>
    <w:qFormat/>
    <w:rsid w:val="007D3469"/>
    <w:pPr>
      <w:keepNext/>
      <w:spacing w:before="200" w:after="120"/>
    </w:pPr>
    <w:rPr>
      <w:b/>
    </w:rPr>
  </w:style>
  <w:style w:type="paragraph" w:customStyle="1" w:styleId="Numberedpara3subheading">
    <w:name w:val="Numbered para (3) subheading"/>
    <w:basedOn w:val="Normal"/>
    <w:semiHidden/>
    <w:qFormat/>
    <w:rsid w:val="007D3469"/>
    <w:pPr>
      <w:keepNext/>
      <w:spacing w:before="240" w:after="120"/>
    </w:pPr>
    <w:rPr>
      <w:b/>
      <w:i/>
    </w:rPr>
  </w:style>
  <w:style w:type="paragraph" w:customStyle="1" w:styleId="Numberedpara3level1">
    <w:name w:val="Numbered para (3) level 1"/>
    <w:basedOn w:val="Normal"/>
    <w:qFormat/>
    <w:rsid w:val="007D3469"/>
    <w:pPr>
      <w:numPr>
        <w:numId w:val="26"/>
      </w:numPr>
      <w:spacing w:after="120"/>
    </w:pPr>
  </w:style>
  <w:style w:type="paragraph" w:customStyle="1" w:styleId="Numberedpara3level211">
    <w:name w:val="Numbered para (3) level 2 (1.1)"/>
    <w:basedOn w:val="Normal"/>
    <w:qFormat/>
    <w:rsid w:val="007D3469"/>
    <w:pPr>
      <w:numPr>
        <w:ilvl w:val="1"/>
        <w:numId w:val="26"/>
      </w:numPr>
      <w:spacing w:after="120"/>
    </w:pPr>
  </w:style>
  <w:style w:type="paragraph" w:customStyle="1" w:styleId="Numberedpara3level3111">
    <w:name w:val="Numbered para (3) level 3 (1.1.1)"/>
    <w:basedOn w:val="Normal"/>
    <w:qFormat/>
    <w:rsid w:val="007D3469"/>
    <w:pPr>
      <w:numPr>
        <w:ilvl w:val="2"/>
        <w:numId w:val="26"/>
      </w:numPr>
      <w:spacing w:after="120"/>
    </w:pPr>
  </w:style>
  <w:style w:type="character" w:customStyle="1" w:styleId="TitleChar">
    <w:name w:val="Title Char"/>
    <w:basedOn w:val="DefaultParagraphFont"/>
    <w:link w:val="Title"/>
    <w:rsid w:val="007C42FA"/>
    <w:rPr>
      <w:rFonts w:eastAsiaTheme="minorHAnsi"/>
      <w:b/>
      <w:color w:val="1F546B"/>
      <w:sz w:val="80"/>
      <w:szCs w:val="80"/>
      <w:lang w:eastAsia="en-US"/>
    </w:rPr>
  </w:style>
  <w:style w:type="paragraph" w:customStyle="1" w:styleId="Securityclassificiation">
    <w:name w:val="Security classificiation"/>
    <w:basedOn w:val="Title2"/>
    <w:qFormat/>
    <w:rsid w:val="00342DBF"/>
    <w:pPr>
      <w:spacing w:before="240" w:after="0"/>
      <w:jc w:val="center"/>
    </w:pPr>
    <w:rPr>
      <w:caps/>
      <w:color w:val="000000" w:themeColor="text1"/>
      <w:sz w:val="32"/>
    </w:rPr>
  </w:style>
  <w:style w:type="paragraph" w:customStyle="1" w:styleId="LHcolumn">
    <w:name w:val="LH column"/>
    <w:basedOn w:val="Normal"/>
    <w:rsid w:val="00E26D66"/>
    <w:pPr>
      <w:keepLines w:val="0"/>
    </w:pPr>
    <w:rPr>
      <w:rFonts w:eastAsia="Calibri"/>
      <w:b/>
      <w:color w:val="1F546B" w:themeColor="text2"/>
      <w:w w:val="90"/>
      <w:szCs w:val="22"/>
    </w:rPr>
  </w:style>
  <w:style w:type="paragraph" w:customStyle="1" w:styleId="Coverimage">
    <w:name w:val="Cover image"/>
    <w:basedOn w:val="Spacer"/>
    <w:qFormat/>
    <w:rsid w:val="007D3469"/>
    <w:pPr>
      <w:jc w:val="right"/>
    </w:pPr>
  </w:style>
  <w:style w:type="character" w:customStyle="1" w:styleId="Crossreferences">
    <w:name w:val="Cross references"/>
    <w:basedOn w:val="DefaultParagraphFont"/>
    <w:uiPriority w:val="1"/>
    <w:qFormat/>
    <w:rsid w:val="00A840D6"/>
    <w:rPr>
      <w:i/>
      <w:color w:val="1F546B" w:themeColor="text2"/>
      <w:u w:val="single"/>
    </w:rPr>
  </w:style>
  <w:style w:type="character" w:customStyle="1" w:styleId="FootnoteTextChar">
    <w:name w:val="Footnote Text Char"/>
    <w:link w:val="FootnoteText"/>
    <w:uiPriority w:val="99"/>
    <w:rsid w:val="00DF7FEE"/>
    <w:rPr>
      <w:rFonts w:eastAsiaTheme="minorHAnsi"/>
      <w:sz w:val="20"/>
      <w:szCs w:val="20"/>
      <w:lang w:eastAsia="en-US"/>
    </w:rPr>
  </w:style>
  <w:style w:type="paragraph" w:customStyle="1" w:styleId="Tableheading2">
    <w:name w:val="Table heading 2"/>
    <w:basedOn w:val="Normal"/>
    <w:qFormat/>
    <w:rsid w:val="00F066F0"/>
    <w:pPr>
      <w:keepLines w:val="0"/>
      <w:spacing w:before="44" w:after="24"/>
    </w:pPr>
    <w:rPr>
      <w:rFonts w:cstheme="minorBidi"/>
      <w:b/>
      <w:sz w:val="22"/>
    </w:rPr>
  </w:style>
  <w:style w:type="paragraph" w:customStyle="1" w:styleId="NumbersLevel1">
    <w:name w:val="Numbers Level 1"/>
    <w:basedOn w:val="BodyText"/>
    <w:rsid w:val="00654401"/>
    <w:pPr>
      <w:keepLines w:val="0"/>
      <w:tabs>
        <w:tab w:val="num" w:pos="709"/>
      </w:tabs>
      <w:spacing w:before="0" w:line="280" w:lineRule="atLeast"/>
      <w:ind w:left="709" w:hanging="709"/>
      <w:jc w:val="both"/>
    </w:pPr>
    <w:rPr>
      <w:rFonts w:ascii="Arial" w:eastAsia="Times New Roman" w:hAnsi="Arial"/>
      <w:sz w:val="22"/>
    </w:rPr>
  </w:style>
  <w:style w:type="paragraph" w:customStyle="1" w:styleId="HeadingTable">
    <w:name w:val="Heading Table"/>
    <w:basedOn w:val="Normal"/>
    <w:rsid w:val="00654401"/>
    <w:pPr>
      <w:keepLines w:val="0"/>
      <w:spacing w:before="0" w:after="0" w:line="260" w:lineRule="atLeast"/>
    </w:pPr>
    <w:rPr>
      <w:rFonts w:ascii="Arial" w:eastAsia="Times New Roman" w:hAnsi="Arial"/>
      <w:b/>
      <w:sz w:val="20"/>
    </w:rPr>
  </w:style>
  <w:style w:type="paragraph" w:customStyle="1" w:styleId="Boxtext">
    <w:name w:val="Box text"/>
    <w:basedOn w:val="Normal"/>
    <w:rsid w:val="002145AD"/>
    <w:pPr>
      <w:keepLines w:val="0"/>
      <w:numPr>
        <w:numId w:val="29"/>
      </w:numPr>
      <w:pBdr>
        <w:top w:val="single" w:sz="4" w:space="10" w:color="DDDDDD"/>
        <w:left w:val="single" w:sz="4" w:space="4" w:color="DDDDDD"/>
        <w:bottom w:val="single" w:sz="4" w:space="10" w:color="DDDDDD"/>
        <w:right w:val="single" w:sz="4" w:space="4" w:color="DDDDDD"/>
      </w:pBdr>
      <w:shd w:val="clear" w:color="auto" w:fill="E5E9F0"/>
      <w:spacing w:before="0" w:after="80" w:line="280" w:lineRule="atLeast"/>
      <w:ind w:left="142" w:right="142" w:firstLine="0"/>
    </w:pPr>
    <w:rPr>
      <w:rFonts w:ascii="Arial" w:eastAsia="Times New Roman" w:hAnsi="Arial"/>
      <w:sz w:val="20"/>
      <w:szCs w:val="20"/>
      <w:lang w:val="en-GB" w:eastAsia="en-GB"/>
    </w:rPr>
  </w:style>
  <w:style w:type="paragraph" w:customStyle="1" w:styleId="Bullet-list">
    <w:name w:val="Bullet-list"/>
    <w:qFormat/>
    <w:rsid w:val="002145AD"/>
    <w:pPr>
      <w:numPr>
        <w:numId w:val="2"/>
      </w:numPr>
      <w:spacing w:before="0" w:after="180" w:line="280" w:lineRule="exact"/>
      <w:ind w:left="284" w:hanging="284"/>
    </w:pPr>
    <w:rPr>
      <w:rFonts w:ascii="Arial" w:hAnsi="Arial"/>
      <w:sz w:val="22"/>
      <w:szCs w:val="20"/>
      <w:lang w:val="en-AU" w:eastAsia="en-US"/>
    </w:rPr>
  </w:style>
  <w:style w:type="paragraph" w:customStyle="1" w:styleId="TableBullet0">
    <w:name w:val="Table Bullet"/>
    <w:basedOn w:val="Normal"/>
    <w:rsid w:val="002145AD"/>
    <w:pPr>
      <w:keepLines w:val="0"/>
      <w:numPr>
        <w:ilvl w:val="1"/>
        <w:numId w:val="30"/>
      </w:numPr>
      <w:spacing w:before="0" w:line="280" w:lineRule="atLeast"/>
    </w:pPr>
    <w:rPr>
      <w:rFonts w:ascii="Arial" w:eastAsia="Times New Roman" w:hAnsi="Arial"/>
      <w:sz w:val="22"/>
      <w:szCs w:val="20"/>
      <w:lang w:val="en-GB" w:eastAsia="en-GB"/>
    </w:rPr>
  </w:style>
  <w:style w:type="table" w:customStyle="1" w:styleId="RIS">
    <w:name w:val="__RIS"/>
    <w:basedOn w:val="TableNormal"/>
    <w:uiPriority w:val="99"/>
    <w:rsid w:val="00DA4BF5"/>
    <w:pPr>
      <w:spacing w:before="56" w:after="32"/>
    </w:pPr>
    <w:rPr>
      <w:rFonts w:eastAsiaTheme="minorHAnsi" w:cstheme="minorBidi"/>
      <w:sz w:val="22"/>
      <w:lang w:eastAsia="en-US"/>
    </w:rPr>
    <w:tblPr>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rPr>
    <w:tblStylePr w:type="firstRow">
      <w:pPr>
        <w:wordWrap/>
        <w:spacing w:beforeLines="0" w:before="60" w:beforeAutospacing="0" w:afterLines="0" w:after="24" w:afterAutospacing="0" w:line="240" w:lineRule="auto"/>
        <w:contextualSpacing w:val="0"/>
      </w:pPr>
      <w:rPr>
        <w:rFonts w:ascii="Calibri" w:hAnsi="Calibri"/>
        <w:b/>
        <w:color w:val="FFFFFF" w:themeColor="background1"/>
        <w:sz w:val="22"/>
      </w:rPr>
      <w:tblPr/>
      <w:trPr>
        <w:tblHeader/>
      </w:trPr>
      <w:tcPr>
        <w:tcBorders>
          <w:top w:val="single" w:sz="12" w:space="0" w:color="000000" w:themeColor="text1"/>
          <w:left w:val="single" w:sz="12" w:space="0" w:color="000000" w:themeColor="text1"/>
          <w:bottom w:val="nil"/>
          <w:right w:val="single" w:sz="12" w:space="0" w:color="000000" w:themeColor="text1"/>
          <w:insideH w:val="single" w:sz="6" w:space="0" w:color="FFFFFF" w:themeColor="background1"/>
          <w:insideV w:val="single" w:sz="6" w:space="0" w:color="FFFFFF" w:themeColor="background1"/>
          <w:tl2br w:val="nil"/>
          <w:tr2bl w:val="nil"/>
        </w:tcBorders>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8953">
      <w:bodyDiv w:val="1"/>
      <w:marLeft w:val="0"/>
      <w:marRight w:val="0"/>
      <w:marTop w:val="0"/>
      <w:marBottom w:val="0"/>
      <w:divBdr>
        <w:top w:val="none" w:sz="0" w:space="0" w:color="auto"/>
        <w:left w:val="none" w:sz="0" w:space="0" w:color="auto"/>
        <w:bottom w:val="none" w:sz="0" w:space="0" w:color="auto"/>
        <w:right w:val="none" w:sz="0" w:space="0" w:color="auto"/>
      </w:divBdr>
    </w:div>
    <w:div w:id="104279382">
      <w:bodyDiv w:val="1"/>
      <w:marLeft w:val="0"/>
      <w:marRight w:val="0"/>
      <w:marTop w:val="0"/>
      <w:marBottom w:val="0"/>
      <w:divBdr>
        <w:top w:val="none" w:sz="0" w:space="0" w:color="auto"/>
        <w:left w:val="none" w:sz="0" w:space="0" w:color="auto"/>
        <w:bottom w:val="none" w:sz="0" w:space="0" w:color="auto"/>
        <w:right w:val="none" w:sz="0" w:space="0" w:color="auto"/>
      </w:divBdr>
    </w:div>
    <w:div w:id="693116167">
      <w:bodyDiv w:val="1"/>
      <w:marLeft w:val="0"/>
      <w:marRight w:val="0"/>
      <w:marTop w:val="0"/>
      <w:marBottom w:val="0"/>
      <w:divBdr>
        <w:top w:val="none" w:sz="0" w:space="0" w:color="auto"/>
        <w:left w:val="none" w:sz="0" w:space="0" w:color="auto"/>
        <w:bottom w:val="none" w:sz="0" w:space="0" w:color="auto"/>
        <w:right w:val="none" w:sz="0" w:space="0" w:color="auto"/>
      </w:divBdr>
    </w:div>
    <w:div w:id="1302734798">
      <w:bodyDiv w:val="1"/>
      <w:marLeft w:val="0"/>
      <w:marRight w:val="0"/>
      <w:marTop w:val="0"/>
      <w:marBottom w:val="0"/>
      <w:divBdr>
        <w:top w:val="none" w:sz="0" w:space="0" w:color="auto"/>
        <w:left w:val="none" w:sz="0" w:space="0" w:color="auto"/>
        <w:bottom w:val="none" w:sz="0" w:space="0" w:color="auto"/>
        <w:right w:val="none" w:sz="0" w:space="0" w:color="auto"/>
      </w:divBdr>
    </w:div>
    <w:div w:id="1321689231">
      <w:bodyDiv w:val="1"/>
      <w:marLeft w:val="0"/>
      <w:marRight w:val="0"/>
      <w:marTop w:val="0"/>
      <w:marBottom w:val="0"/>
      <w:divBdr>
        <w:top w:val="none" w:sz="0" w:space="0" w:color="auto"/>
        <w:left w:val="none" w:sz="0" w:space="0" w:color="auto"/>
        <w:bottom w:val="none" w:sz="0" w:space="0" w:color="auto"/>
        <w:right w:val="none" w:sz="0" w:space="0" w:color="auto"/>
      </w:divBdr>
    </w:div>
    <w:div w:id="1415199294">
      <w:bodyDiv w:val="1"/>
      <w:marLeft w:val="0"/>
      <w:marRight w:val="0"/>
      <w:marTop w:val="0"/>
      <w:marBottom w:val="0"/>
      <w:divBdr>
        <w:top w:val="none" w:sz="0" w:space="0" w:color="auto"/>
        <w:left w:val="none" w:sz="0" w:space="0" w:color="auto"/>
        <w:bottom w:val="none" w:sz="0" w:space="0" w:color="auto"/>
        <w:right w:val="none" w:sz="0" w:space="0" w:color="auto"/>
      </w:divBdr>
    </w:div>
    <w:div w:id="1730490748">
      <w:bodyDiv w:val="1"/>
      <w:marLeft w:val="0"/>
      <w:marRight w:val="0"/>
      <w:marTop w:val="0"/>
      <w:marBottom w:val="0"/>
      <w:divBdr>
        <w:top w:val="none" w:sz="0" w:space="0" w:color="auto"/>
        <w:left w:val="none" w:sz="0" w:space="0" w:color="auto"/>
        <w:bottom w:val="none" w:sz="0" w:space="0" w:color="auto"/>
        <w:right w:val="none" w:sz="0" w:space="0" w:color="auto"/>
      </w:divBdr>
    </w:div>
    <w:div w:id="1965497010">
      <w:bodyDiv w:val="1"/>
      <w:marLeft w:val="0"/>
      <w:marRight w:val="0"/>
      <w:marTop w:val="0"/>
      <w:marBottom w:val="0"/>
      <w:divBdr>
        <w:top w:val="none" w:sz="0" w:space="0" w:color="auto"/>
        <w:left w:val="none" w:sz="0" w:space="0" w:color="auto"/>
        <w:bottom w:val="none" w:sz="0" w:space="0" w:color="auto"/>
        <w:right w:val="none" w:sz="0" w:space="0" w:color="auto"/>
      </w:divBdr>
    </w:div>
    <w:div w:id="205719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minimumrateofreturn@dia.govt.nz"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naganaan\AppData\Local\Microsoft\Windows\Temporary%20Internet%20Files\Content.Outlook\SNII3GXW\Venue%20and%20EGM%20and%20GMP%20Histori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Data!$O$66</c:f>
              <c:strCache>
                <c:ptCount val="1"/>
                <c:pt idx="0">
                  <c:v>Non-Club EGMs</c:v>
                </c:pt>
              </c:strCache>
            </c:strRef>
          </c:tx>
          <c:spPr>
            <a:solidFill>
              <a:schemeClr val="accent1"/>
            </a:solidFill>
            <a:ln>
              <a:noFill/>
            </a:ln>
            <a:effectLst/>
          </c:spPr>
          <c:invertIfNegative val="0"/>
          <c:cat>
            <c:strRef>
              <c:f>Data!$N$67:$N$74</c:f>
              <c:strCache>
                <c:ptCount val="8"/>
                <c:pt idx="0">
                  <c:v>30/06/2008</c:v>
                </c:pt>
                <c:pt idx="1">
                  <c:v>30/06/2009</c:v>
                </c:pt>
                <c:pt idx="2">
                  <c:v>30/06/2010</c:v>
                </c:pt>
                <c:pt idx="3">
                  <c:v>30/06/2011</c:v>
                </c:pt>
                <c:pt idx="4">
                  <c:v>30/06/2012</c:v>
                </c:pt>
                <c:pt idx="5">
                  <c:v>30/06/2013</c:v>
                </c:pt>
                <c:pt idx="6">
                  <c:v>30/06/2014</c:v>
                </c:pt>
                <c:pt idx="7">
                  <c:v>30/06/2015</c:v>
                </c:pt>
              </c:strCache>
            </c:strRef>
          </c:cat>
          <c:val>
            <c:numRef>
              <c:f>Data!$O$67:$O$74</c:f>
              <c:numCache>
                <c:formatCode>General</c:formatCode>
                <c:ptCount val="8"/>
                <c:pt idx="0">
                  <c:v>15824</c:v>
                </c:pt>
                <c:pt idx="1">
                  <c:v>15582</c:v>
                </c:pt>
                <c:pt idx="2">
                  <c:v>15178</c:v>
                </c:pt>
                <c:pt idx="3">
                  <c:v>14565</c:v>
                </c:pt>
                <c:pt idx="4">
                  <c:v>14210</c:v>
                </c:pt>
                <c:pt idx="5">
                  <c:v>13878</c:v>
                </c:pt>
                <c:pt idx="6">
                  <c:v>13621</c:v>
                </c:pt>
                <c:pt idx="7">
                  <c:v>13144</c:v>
                </c:pt>
              </c:numCache>
            </c:numRef>
          </c:val>
        </c:ser>
        <c:dLbls>
          <c:showLegendKey val="0"/>
          <c:showVal val="0"/>
          <c:showCatName val="0"/>
          <c:showSerName val="0"/>
          <c:showPercent val="0"/>
          <c:showBubbleSize val="0"/>
        </c:dLbls>
        <c:gapWidth val="219"/>
        <c:overlap val="-27"/>
        <c:axId val="137692672"/>
        <c:axId val="137694208"/>
      </c:barChart>
      <c:lineChart>
        <c:grouping val="standard"/>
        <c:varyColors val="0"/>
        <c:ser>
          <c:idx val="1"/>
          <c:order val="1"/>
          <c:tx>
            <c:strRef>
              <c:f>Data!$P$66</c:f>
              <c:strCache>
                <c:ptCount val="1"/>
                <c:pt idx="0">
                  <c:v>Non-Club Venues</c:v>
                </c:pt>
              </c:strCache>
            </c:strRef>
          </c:tx>
          <c:spPr>
            <a:ln w="28575" cap="rnd">
              <a:solidFill>
                <a:schemeClr val="accent2"/>
              </a:solidFill>
              <a:round/>
            </a:ln>
            <a:effectLst/>
          </c:spPr>
          <c:marker>
            <c:symbol val="none"/>
          </c:marker>
          <c:cat>
            <c:strRef>
              <c:f>Data!$N$67:$N$74</c:f>
              <c:strCache>
                <c:ptCount val="8"/>
                <c:pt idx="0">
                  <c:v>30/06/2008</c:v>
                </c:pt>
                <c:pt idx="1">
                  <c:v>30/06/2009</c:v>
                </c:pt>
                <c:pt idx="2">
                  <c:v>30/06/2010</c:v>
                </c:pt>
                <c:pt idx="3">
                  <c:v>30/06/2011</c:v>
                </c:pt>
                <c:pt idx="4">
                  <c:v>30/06/2012</c:v>
                </c:pt>
                <c:pt idx="5">
                  <c:v>30/06/2013</c:v>
                </c:pt>
                <c:pt idx="6">
                  <c:v>30/06/2014</c:v>
                </c:pt>
                <c:pt idx="7">
                  <c:v>30/06/2015</c:v>
                </c:pt>
              </c:strCache>
            </c:strRef>
          </c:cat>
          <c:val>
            <c:numRef>
              <c:f>Data!$P$67:$P$74</c:f>
              <c:numCache>
                <c:formatCode>General</c:formatCode>
                <c:ptCount val="8"/>
                <c:pt idx="0">
                  <c:v>1180</c:v>
                </c:pt>
                <c:pt idx="1">
                  <c:v>1158</c:v>
                </c:pt>
                <c:pt idx="2">
                  <c:v>1126</c:v>
                </c:pt>
                <c:pt idx="3">
                  <c:v>1098</c:v>
                </c:pt>
                <c:pt idx="4">
                  <c:v>1081</c:v>
                </c:pt>
                <c:pt idx="5">
                  <c:v>1043</c:v>
                </c:pt>
                <c:pt idx="6">
                  <c:v>1027</c:v>
                </c:pt>
                <c:pt idx="7">
                  <c:v>987</c:v>
                </c:pt>
              </c:numCache>
            </c:numRef>
          </c:val>
          <c:smooth val="0"/>
        </c:ser>
        <c:dLbls>
          <c:showLegendKey val="0"/>
          <c:showVal val="0"/>
          <c:showCatName val="0"/>
          <c:showSerName val="0"/>
          <c:showPercent val="0"/>
          <c:showBubbleSize val="0"/>
        </c:dLbls>
        <c:marker val="1"/>
        <c:smooth val="0"/>
        <c:axId val="137706496"/>
        <c:axId val="137704576"/>
      </c:lineChart>
      <c:catAx>
        <c:axId val="13769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694208"/>
        <c:crosses val="autoZero"/>
        <c:auto val="1"/>
        <c:lblAlgn val="ctr"/>
        <c:lblOffset val="100"/>
        <c:noMultiLvlLbl val="0"/>
      </c:catAx>
      <c:valAx>
        <c:axId val="137694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Number of EGMs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692672"/>
        <c:crosses val="autoZero"/>
        <c:crossBetween val="between"/>
      </c:valAx>
      <c:valAx>
        <c:axId val="137704576"/>
        <c:scaling>
          <c:orientation val="minMax"/>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Venue Numbers</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706496"/>
        <c:crosses val="max"/>
        <c:crossBetween val="between"/>
      </c:valAx>
      <c:catAx>
        <c:axId val="137706496"/>
        <c:scaling>
          <c:orientation val="minMax"/>
        </c:scaling>
        <c:delete val="1"/>
        <c:axPos val="b"/>
        <c:numFmt formatCode="General" sourceLinked="1"/>
        <c:majorTickMark val="out"/>
        <c:minorTickMark val="none"/>
        <c:tickLblPos val="nextTo"/>
        <c:crossAx val="1377045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83716-185E-4037-AEBB-2A34B8C35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39254D7B</Template>
  <TotalTime>0</TotalTime>
  <Pages>20</Pages>
  <Words>5082</Words>
  <Characters>28971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2015-10-08T03:48:00Z</dcterms:created>
  <dcterms:modified xsi:type="dcterms:W3CDTF">2015-10-08T03:48:00Z</dcterms:modified>
</cp:coreProperties>
</file>