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57947" w14:textId="77777777" w:rsidR="00A36309" w:rsidRDefault="00A36309" w:rsidP="00A36309">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311F92" w14:paraId="2045794E" w14:textId="77777777" w:rsidTr="29E65A09">
        <w:trPr>
          <w:cantSplit/>
          <w:trHeight w:hRule="exact" w:val="6691"/>
        </w:trPr>
        <w:tc>
          <w:tcPr>
            <w:tcW w:w="8819" w:type="dxa"/>
            <w:shd w:val="clear" w:color="auto" w:fill="auto"/>
            <w:vAlign w:val="bottom"/>
          </w:tcPr>
          <w:p w14:paraId="20457948" w14:textId="77777777" w:rsidR="00F17B1E" w:rsidRDefault="29E65A09" w:rsidP="00F17B1E">
            <w:pPr>
              <w:pStyle w:val="Title"/>
            </w:pPr>
            <w:r>
              <w:t>Consultation:</w:t>
            </w:r>
          </w:p>
          <w:p w14:paraId="20457949" w14:textId="77777777" w:rsidR="00A36309" w:rsidRDefault="29E65A09" w:rsidP="00F17B1E">
            <w:pPr>
              <w:pStyle w:val="Title"/>
            </w:pPr>
            <w:r>
              <w:t xml:space="preserve">Proposal for Casino Venue Licence Renewal Fee Regulations </w:t>
            </w:r>
          </w:p>
          <w:p w14:paraId="2045794A" w14:textId="77777777" w:rsidR="00773F2E" w:rsidRPr="0013424E" w:rsidRDefault="29E65A09" w:rsidP="00F17B1E">
            <w:pPr>
              <w:pStyle w:val="Title2"/>
            </w:pPr>
            <w:r>
              <w:t xml:space="preserve">Department of Internal Affairs </w:t>
            </w:r>
          </w:p>
          <w:p w14:paraId="2045794B" w14:textId="77777777" w:rsidR="006B0386" w:rsidRDefault="29E65A09" w:rsidP="006B0386">
            <w:pPr>
              <w:pStyle w:val="Title2"/>
            </w:pPr>
            <w:r>
              <w:t>June 2017</w:t>
            </w:r>
          </w:p>
          <w:p w14:paraId="2045794C" w14:textId="77777777" w:rsidR="00F17B1E" w:rsidRDefault="00F17B1E" w:rsidP="006B0386">
            <w:pPr>
              <w:pStyle w:val="Title2"/>
            </w:pPr>
          </w:p>
          <w:p w14:paraId="2045794D" w14:textId="77777777" w:rsidR="00F17B1E" w:rsidRDefault="00F17B1E" w:rsidP="006B0386">
            <w:pPr>
              <w:pStyle w:val="Title2"/>
            </w:pPr>
          </w:p>
        </w:tc>
      </w:tr>
      <w:tr w:rsidR="00311F92" w14:paraId="20457952" w14:textId="77777777" w:rsidTr="29E65A09">
        <w:trPr>
          <w:cantSplit/>
          <w:trHeight w:val="4990"/>
        </w:trPr>
        <w:tc>
          <w:tcPr>
            <w:tcW w:w="8819" w:type="dxa"/>
            <w:shd w:val="clear" w:color="auto" w:fill="auto"/>
            <w:vAlign w:val="bottom"/>
          </w:tcPr>
          <w:p w14:paraId="2045794F" w14:textId="77777777" w:rsidR="00F17B1E" w:rsidRDefault="00F17B1E" w:rsidP="00F17B1E">
            <w:pPr>
              <w:pStyle w:val="Spacer"/>
              <w:jc w:val="right"/>
            </w:pPr>
          </w:p>
          <w:p w14:paraId="20457950" w14:textId="77777777" w:rsidR="00F17B1E" w:rsidRDefault="00F17B1E" w:rsidP="00F17B1E">
            <w:pPr>
              <w:pStyle w:val="Spacer"/>
              <w:jc w:val="right"/>
            </w:pPr>
          </w:p>
          <w:p w14:paraId="20457951" w14:textId="77777777" w:rsidR="00A36309" w:rsidRDefault="00F17B1E" w:rsidP="00F17B1E">
            <w:pPr>
              <w:pStyle w:val="Spacer"/>
              <w:jc w:val="right"/>
            </w:pPr>
            <w:r>
              <w:rPr>
                <w:noProof/>
                <w:lang w:eastAsia="en-NZ"/>
              </w:rPr>
              <w:drawing>
                <wp:inline distT="0" distB="0" distL="0" distR="0" wp14:anchorId="20457B32" wp14:editId="20457B33">
                  <wp:extent cx="2232660" cy="3597910"/>
                  <wp:effectExtent l="0" t="0" r="0" b="2540"/>
                  <wp:docPr id="7" name="Picture 7" descr="\\officetemplates.dia.govt.nz\diatemplates$\Templates\Images\Cover-f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templates.dia.govt.nz\diatemplates$\Templates\Images\Cover-fer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660" cy="3597910"/>
                          </a:xfrm>
                          <a:prstGeom prst="rect">
                            <a:avLst/>
                          </a:prstGeom>
                          <a:noFill/>
                          <a:ln>
                            <a:noFill/>
                          </a:ln>
                        </pic:spPr>
                      </pic:pic>
                    </a:graphicData>
                  </a:graphic>
                </wp:inline>
              </w:drawing>
            </w:r>
          </w:p>
        </w:tc>
      </w:tr>
    </w:tbl>
    <w:p w14:paraId="20457953" w14:textId="77777777" w:rsidR="00B62134" w:rsidRDefault="00B62134" w:rsidP="00B62134">
      <w:pPr>
        <w:sectPr w:rsidR="00B62134" w:rsidSect="00F17B1E">
          <w:headerReference w:type="default" r:id="rId14"/>
          <w:footerReference w:type="default" r:id="rId15"/>
          <w:footerReference w:type="first" r:id="rId16"/>
          <w:pgSz w:w="11907" w:h="16840" w:code="9"/>
          <w:pgMar w:top="1134" w:right="1418" w:bottom="992" w:left="1418" w:header="425" w:footer="397" w:gutter="0"/>
          <w:cols w:space="708"/>
          <w:docGrid w:linePitch="360"/>
        </w:sectPr>
      </w:pPr>
    </w:p>
    <w:p w14:paraId="20457954" w14:textId="77777777" w:rsidR="000B76A4" w:rsidRPr="000B76A4" w:rsidRDefault="29E65A09" w:rsidP="000B76A4">
      <w:pPr>
        <w:pStyle w:val="NotforContentsheading1"/>
      </w:pPr>
      <w:r>
        <w:lastRenderedPageBreak/>
        <w:t>Contents</w:t>
      </w:r>
    </w:p>
    <w:p w14:paraId="40DF63F8" w14:textId="77777777" w:rsidR="002704B7"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85653630" w:history="1">
        <w:r w:rsidR="002704B7" w:rsidRPr="00BA7396">
          <w:rPr>
            <w:rStyle w:val="Hyperlink"/>
            <w:noProof/>
          </w:rPr>
          <w:t>What is this consultation document about?</w:t>
        </w:r>
        <w:r w:rsidR="002704B7">
          <w:rPr>
            <w:noProof/>
            <w:webHidden/>
          </w:rPr>
          <w:tab/>
        </w:r>
        <w:r w:rsidR="002704B7">
          <w:rPr>
            <w:noProof/>
            <w:webHidden/>
          </w:rPr>
          <w:fldChar w:fldCharType="begin"/>
        </w:r>
        <w:r w:rsidR="002704B7">
          <w:rPr>
            <w:noProof/>
            <w:webHidden/>
          </w:rPr>
          <w:instrText xml:space="preserve"> PAGEREF _Toc485653630 \h </w:instrText>
        </w:r>
        <w:r w:rsidR="002704B7">
          <w:rPr>
            <w:noProof/>
            <w:webHidden/>
          </w:rPr>
        </w:r>
        <w:r w:rsidR="002704B7">
          <w:rPr>
            <w:noProof/>
            <w:webHidden/>
          </w:rPr>
          <w:fldChar w:fldCharType="separate"/>
        </w:r>
        <w:r w:rsidR="00B73C3C">
          <w:rPr>
            <w:noProof/>
            <w:webHidden/>
          </w:rPr>
          <w:t>1</w:t>
        </w:r>
        <w:r w:rsidR="002704B7">
          <w:rPr>
            <w:noProof/>
            <w:webHidden/>
          </w:rPr>
          <w:fldChar w:fldCharType="end"/>
        </w:r>
      </w:hyperlink>
    </w:p>
    <w:p w14:paraId="550AF8E9" w14:textId="77777777" w:rsidR="002704B7" w:rsidRDefault="00E61388">
      <w:pPr>
        <w:pStyle w:val="TOC2"/>
        <w:rPr>
          <w:rFonts w:asciiTheme="minorHAnsi" w:eastAsiaTheme="minorEastAsia" w:hAnsiTheme="minorHAnsi" w:cstheme="minorBidi"/>
          <w:sz w:val="22"/>
          <w:szCs w:val="22"/>
          <w:lang w:eastAsia="en-NZ"/>
        </w:rPr>
      </w:pPr>
      <w:hyperlink w:anchor="_Toc485653631" w:history="1">
        <w:r w:rsidR="002704B7" w:rsidRPr="00BA7396">
          <w:rPr>
            <w:rStyle w:val="Hyperlink"/>
          </w:rPr>
          <w:t>Consultation requirements</w:t>
        </w:r>
        <w:r w:rsidR="002704B7">
          <w:rPr>
            <w:webHidden/>
          </w:rPr>
          <w:tab/>
        </w:r>
        <w:r w:rsidR="002704B7">
          <w:rPr>
            <w:webHidden/>
          </w:rPr>
          <w:fldChar w:fldCharType="begin"/>
        </w:r>
        <w:r w:rsidR="002704B7">
          <w:rPr>
            <w:webHidden/>
          </w:rPr>
          <w:instrText xml:space="preserve"> PAGEREF _Toc485653631 \h </w:instrText>
        </w:r>
        <w:r w:rsidR="002704B7">
          <w:rPr>
            <w:webHidden/>
          </w:rPr>
        </w:r>
        <w:r w:rsidR="002704B7">
          <w:rPr>
            <w:webHidden/>
          </w:rPr>
          <w:fldChar w:fldCharType="separate"/>
        </w:r>
        <w:r w:rsidR="00B73C3C">
          <w:rPr>
            <w:webHidden/>
          </w:rPr>
          <w:t>1</w:t>
        </w:r>
        <w:r w:rsidR="002704B7">
          <w:rPr>
            <w:webHidden/>
          </w:rPr>
          <w:fldChar w:fldCharType="end"/>
        </w:r>
      </w:hyperlink>
    </w:p>
    <w:p w14:paraId="20FBD7FD" w14:textId="77777777" w:rsidR="002704B7" w:rsidRDefault="00E61388">
      <w:pPr>
        <w:pStyle w:val="TOC2"/>
        <w:rPr>
          <w:rFonts w:asciiTheme="minorHAnsi" w:eastAsiaTheme="minorEastAsia" w:hAnsiTheme="minorHAnsi" w:cstheme="minorBidi"/>
          <w:sz w:val="22"/>
          <w:szCs w:val="22"/>
          <w:lang w:eastAsia="en-NZ"/>
        </w:rPr>
      </w:pPr>
      <w:hyperlink w:anchor="_Toc485653632" w:history="1">
        <w:r w:rsidR="002704B7" w:rsidRPr="00BA7396">
          <w:rPr>
            <w:rStyle w:val="Hyperlink"/>
          </w:rPr>
          <w:t>Sending us your submission</w:t>
        </w:r>
        <w:r w:rsidR="002704B7">
          <w:rPr>
            <w:webHidden/>
          </w:rPr>
          <w:tab/>
        </w:r>
        <w:r w:rsidR="002704B7">
          <w:rPr>
            <w:webHidden/>
          </w:rPr>
          <w:fldChar w:fldCharType="begin"/>
        </w:r>
        <w:r w:rsidR="002704B7">
          <w:rPr>
            <w:webHidden/>
          </w:rPr>
          <w:instrText xml:space="preserve"> PAGEREF _Toc485653632 \h </w:instrText>
        </w:r>
        <w:r w:rsidR="002704B7">
          <w:rPr>
            <w:webHidden/>
          </w:rPr>
        </w:r>
        <w:r w:rsidR="002704B7">
          <w:rPr>
            <w:webHidden/>
          </w:rPr>
          <w:fldChar w:fldCharType="separate"/>
        </w:r>
        <w:r w:rsidR="00B73C3C">
          <w:rPr>
            <w:webHidden/>
          </w:rPr>
          <w:t>1</w:t>
        </w:r>
        <w:r w:rsidR="002704B7">
          <w:rPr>
            <w:webHidden/>
          </w:rPr>
          <w:fldChar w:fldCharType="end"/>
        </w:r>
      </w:hyperlink>
    </w:p>
    <w:p w14:paraId="7899DA7A"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33" w:history="1">
        <w:r w:rsidR="002704B7" w:rsidRPr="00BA7396">
          <w:rPr>
            <w:rStyle w:val="Hyperlink"/>
            <w:noProof/>
          </w:rPr>
          <w:t>Introduction</w:t>
        </w:r>
        <w:r w:rsidR="002704B7">
          <w:rPr>
            <w:noProof/>
            <w:webHidden/>
          </w:rPr>
          <w:tab/>
        </w:r>
        <w:r w:rsidR="002704B7">
          <w:rPr>
            <w:noProof/>
            <w:webHidden/>
          </w:rPr>
          <w:fldChar w:fldCharType="begin"/>
        </w:r>
        <w:r w:rsidR="002704B7">
          <w:rPr>
            <w:noProof/>
            <w:webHidden/>
          </w:rPr>
          <w:instrText xml:space="preserve"> PAGEREF _Toc485653633 \h </w:instrText>
        </w:r>
        <w:r w:rsidR="002704B7">
          <w:rPr>
            <w:noProof/>
            <w:webHidden/>
          </w:rPr>
        </w:r>
        <w:r w:rsidR="002704B7">
          <w:rPr>
            <w:noProof/>
            <w:webHidden/>
          </w:rPr>
          <w:fldChar w:fldCharType="separate"/>
        </w:r>
        <w:r w:rsidR="00B73C3C">
          <w:rPr>
            <w:noProof/>
            <w:webHidden/>
          </w:rPr>
          <w:t>2</w:t>
        </w:r>
        <w:r w:rsidR="002704B7">
          <w:rPr>
            <w:noProof/>
            <w:webHidden/>
          </w:rPr>
          <w:fldChar w:fldCharType="end"/>
        </w:r>
      </w:hyperlink>
    </w:p>
    <w:p w14:paraId="415F64CB"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34" w:history="1">
        <w:r w:rsidR="002704B7" w:rsidRPr="00BA7396">
          <w:rPr>
            <w:rStyle w:val="Hyperlink"/>
            <w:noProof/>
          </w:rPr>
          <w:t>Problem, authority and scope</w:t>
        </w:r>
        <w:r w:rsidR="002704B7">
          <w:rPr>
            <w:noProof/>
            <w:webHidden/>
          </w:rPr>
          <w:tab/>
        </w:r>
        <w:r w:rsidR="002704B7">
          <w:rPr>
            <w:noProof/>
            <w:webHidden/>
          </w:rPr>
          <w:fldChar w:fldCharType="begin"/>
        </w:r>
        <w:r w:rsidR="002704B7">
          <w:rPr>
            <w:noProof/>
            <w:webHidden/>
          </w:rPr>
          <w:instrText xml:space="preserve"> PAGEREF _Toc485653634 \h </w:instrText>
        </w:r>
        <w:r w:rsidR="002704B7">
          <w:rPr>
            <w:noProof/>
            <w:webHidden/>
          </w:rPr>
        </w:r>
        <w:r w:rsidR="002704B7">
          <w:rPr>
            <w:noProof/>
            <w:webHidden/>
          </w:rPr>
          <w:fldChar w:fldCharType="separate"/>
        </w:r>
        <w:r w:rsidR="00B73C3C">
          <w:rPr>
            <w:noProof/>
            <w:webHidden/>
          </w:rPr>
          <w:t>3</w:t>
        </w:r>
        <w:r w:rsidR="002704B7">
          <w:rPr>
            <w:noProof/>
            <w:webHidden/>
          </w:rPr>
          <w:fldChar w:fldCharType="end"/>
        </w:r>
      </w:hyperlink>
    </w:p>
    <w:p w14:paraId="03AA9DEF" w14:textId="77777777" w:rsidR="002704B7" w:rsidRDefault="00E61388">
      <w:pPr>
        <w:pStyle w:val="TOC2"/>
        <w:rPr>
          <w:rFonts w:asciiTheme="minorHAnsi" w:eastAsiaTheme="minorEastAsia" w:hAnsiTheme="minorHAnsi" w:cstheme="minorBidi"/>
          <w:sz w:val="22"/>
          <w:szCs w:val="22"/>
          <w:lang w:eastAsia="en-NZ"/>
        </w:rPr>
      </w:pPr>
      <w:hyperlink w:anchor="_Toc485653635" w:history="1">
        <w:r w:rsidR="002704B7" w:rsidRPr="00BA7396">
          <w:rPr>
            <w:rStyle w:val="Hyperlink"/>
          </w:rPr>
          <w:t>Problem for resolution</w:t>
        </w:r>
        <w:r w:rsidR="002704B7">
          <w:rPr>
            <w:webHidden/>
          </w:rPr>
          <w:tab/>
        </w:r>
        <w:r w:rsidR="002704B7">
          <w:rPr>
            <w:webHidden/>
          </w:rPr>
          <w:fldChar w:fldCharType="begin"/>
        </w:r>
        <w:r w:rsidR="002704B7">
          <w:rPr>
            <w:webHidden/>
          </w:rPr>
          <w:instrText xml:space="preserve"> PAGEREF _Toc485653635 \h </w:instrText>
        </w:r>
        <w:r w:rsidR="002704B7">
          <w:rPr>
            <w:webHidden/>
          </w:rPr>
        </w:r>
        <w:r w:rsidR="002704B7">
          <w:rPr>
            <w:webHidden/>
          </w:rPr>
          <w:fldChar w:fldCharType="separate"/>
        </w:r>
        <w:r w:rsidR="00B73C3C">
          <w:rPr>
            <w:webHidden/>
          </w:rPr>
          <w:t>3</w:t>
        </w:r>
        <w:r w:rsidR="002704B7">
          <w:rPr>
            <w:webHidden/>
          </w:rPr>
          <w:fldChar w:fldCharType="end"/>
        </w:r>
      </w:hyperlink>
    </w:p>
    <w:p w14:paraId="437999AA" w14:textId="77777777" w:rsidR="002704B7" w:rsidRDefault="00E61388">
      <w:pPr>
        <w:pStyle w:val="TOC2"/>
        <w:rPr>
          <w:rFonts w:asciiTheme="minorHAnsi" w:eastAsiaTheme="minorEastAsia" w:hAnsiTheme="minorHAnsi" w:cstheme="minorBidi"/>
          <w:sz w:val="22"/>
          <w:szCs w:val="22"/>
          <w:lang w:eastAsia="en-NZ"/>
        </w:rPr>
      </w:pPr>
      <w:hyperlink w:anchor="_Toc485653636" w:history="1">
        <w:r w:rsidR="002704B7" w:rsidRPr="00BA7396">
          <w:rPr>
            <w:rStyle w:val="Hyperlink"/>
          </w:rPr>
          <w:t>Authority to charge a fee</w:t>
        </w:r>
        <w:r w:rsidR="002704B7">
          <w:rPr>
            <w:webHidden/>
          </w:rPr>
          <w:tab/>
        </w:r>
        <w:r w:rsidR="002704B7">
          <w:rPr>
            <w:webHidden/>
          </w:rPr>
          <w:fldChar w:fldCharType="begin"/>
        </w:r>
        <w:r w:rsidR="002704B7">
          <w:rPr>
            <w:webHidden/>
          </w:rPr>
          <w:instrText xml:space="preserve"> PAGEREF _Toc485653636 \h </w:instrText>
        </w:r>
        <w:r w:rsidR="002704B7">
          <w:rPr>
            <w:webHidden/>
          </w:rPr>
        </w:r>
        <w:r w:rsidR="002704B7">
          <w:rPr>
            <w:webHidden/>
          </w:rPr>
          <w:fldChar w:fldCharType="separate"/>
        </w:r>
        <w:r w:rsidR="00B73C3C">
          <w:rPr>
            <w:webHidden/>
          </w:rPr>
          <w:t>3</w:t>
        </w:r>
        <w:r w:rsidR="002704B7">
          <w:rPr>
            <w:webHidden/>
          </w:rPr>
          <w:fldChar w:fldCharType="end"/>
        </w:r>
      </w:hyperlink>
    </w:p>
    <w:p w14:paraId="2B08DF4F" w14:textId="77777777" w:rsidR="002704B7" w:rsidRDefault="00E61388">
      <w:pPr>
        <w:pStyle w:val="TOC2"/>
        <w:rPr>
          <w:rFonts w:asciiTheme="minorHAnsi" w:eastAsiaTheme="minorEastAsia" w:hAnsiTheme="minorHAnsi" w:cstheme="minorBidi"/>
          <w:sz w:val="22"/>
          <w:szCs w:val="22"/>
          <w:lang w:eastAsia="en-NZ"/>
        </w:rPr>
      </w:pPr>
      <w:hyperlink w:anchor="_Toc485653637" w:history="1">
        <w:r w:rsidR="002704B7" w:rsidRPr="00BA7396">
          <w:rPr>
            <w:rStyle w:val="Hyperlink"/>
          </w:rPr>
          <w:t>Scope – what the renewal fee covers</w:t>
        </w:r>
        <w:r w:rsidR="002704B7">
          <w:rPr>
            <w:webHidden/>
          </w:rPr>
          <w:tab/>
        </w:r>
        <w:r w:rsidR="002704B7">
          <w:rPr>
            <w:webHidden/>
          </w:rPr>
          <w:fldChar w:fldCharType="begin"/>
        </w:r>
        <w:r w:rsidR="002704B7">
          <w:rPr>
            <w:webHidden/>
          </w:rPr>
          <w:instrText xml:space="preserve"> PAGEREF _Toc485653637 \h </w:instrText>
        </w:r>
        <w:r w:rsidR="002704B7">
          <w:rPr>
            <w:webHidden/>
          </w:rPr>
        </w:r>
        <w:r w:rsidR="002704B7">
          <w:rPr>
            <w:webHidden/>
          </w:rPr>
          <w:fldChar w:fldCharType="separate"/>
        </w:r>
        <w:r w:rsidR="00B73C3C">
          <w:rPr>
            <w:webHidden/>
          </w:rPr>
          <w:t>5</w:t>
        </w:r>
        <w:r w:rsidR="002704B7">
          <w:rPr>
            <w:webHidden/>
          </w:rPr>
          <w:fldChar w:fldCharType="end"/>
        </w:r>
      </w:hyperlink>
    </w:p>
    <w:p w14:paraId="0E6B974B"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38" w:history="1">
        <w:r w:rsidR="002704B7" w:rsidRPr="00BA7396">
          <w:rPr>
            <w:rStyle w:val="Hyperlink"/>
            <w:noProof/>
          </w:rPr>
          <w:t>Criteria and principles for assessing fee options</w:t>
        </w:r>
        <w:r w:rsidR="002704B7">
          <w:rPr>
            <w:noProof/>
            <w:webHidden/>
          </w:rPr>
          <w:tab/>
        </w:r>
        <w:r w:rsidR="002704B7">
          <w:rPr>
            <w:noProof/>
            <w:webHidden/>
          </w:rPr>
          <w:fldChar w:fldCharType="begin"/>
        </w:r>
        <w:r w:rsidR="002704B7">
          <w:rPr>
            <w:noProof/>
            <w:webHidden/>
          </w:rPr>
          <w:instrText xml:space="preserve"> PAGEREF _Toc485653638 \h </w:instrText>
        </w:r>
        <w:r w:rsidR="002704B7">
          <w:rPr>
            <w:noProof/>
            <w:webHidden/>
          </w:rPr>
        </w:r>
        <w:r w:rsidR="002704B7">
          <w:rPr>
            <w:noProof/>
            <w:webHidden/>
          </w:rPr>
          <w:fldChar w:fldCharType="separate"/>
        </w:r>
        <w:r w:rsidR="00B73C3C">
          <w:rPr>
            <w:noProof/>
            <w:webHidden/>
          </w:rPr>
          <w:t>6</w:t>
        </w:r>
        <w:r w:rsidR="002704B7">
          <w:rPr>
            <w:noProof/>
            <w:webHidden/>
          </w:rPr>
          <w:fldChar w:fldCharType="end"/>
        </w:r>
      </w:hyperlink>
    </w:p>
    <w:p w14:paraId="5097D78F"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39" w:history="1">
        <w:r w:rsidR="002704B7" w:rsidRPr="00BA7396">
          <w:rPr>
            <w:rStyle w:val="Hyperlink"/>
            <w:noProof/>
          </w:rPr>
          <w:t>What are the options?</w:t>
        </w:r>
        <w:r w:rsidR="002704B7">
          <w:rPr>
            <w:noProof/>
            <w:webHidden/>
          </w:rPr>
          <w:tab/>
        </w:r>
        <w:r w:rsidR="002704B7">
          <w:rPr>
            <w:noProof/>
            <w:webHidden/>
          </w:rPr>
          <w:fldChar w:fldCharType="begin"/>
        </w:r>
        <w:r w:rsidR="002704B7">
          <w:rPr>
            <w:noProof/>
            <w:webHidden/>
          </w:rPr>
          <w:instrText xml:space="preserve"> PAGEREF _Toc485653639 \h </w:instrText>
        </w:r>
        <w:r w:rsidR="002704B7">
          <w:rPr>
            <w:noProof/>
            <w:webHidden/>
          </w:rPr>
        </w:r>
        <w:r w:rsidR="002704B7">
          <w:rPr>
            <w:noProof/>
            <w:webHidden/>
          </w:rPr>
          <w:fldChar w:fldCharType="separate"/>
        </w:r>
        <w:r w:rsidR="00B73C3C">
          <w:rPr>
            <w:noProof/>
            <w:webHidden/>
          </w:rPr>
          <w:t>7</w:t>
        </w:r>
        <w:r w:rsidR="002704B7">
          <w:rPr>
            <w:noProof/>
            <w:webHidden/>
          </w:rPr>
          <w:fldChar w:fldCharType="end"/>
        </w:r>
      </w:hyperlink>
    </w:p>
    <w:p w14:paraId="6C357571" w14:textId="77777777" w:rsidR="002704B7" w:rsidRDefault="00E61388">
      <w:pPr>
        <w:pStyle w:val="TOC2"/>
        <w:rPr>
          <w:rFonts w:asciiTheme="minorHAnsi" w:eastAsiaTheme="minorEastAsia" w:hAnsiTheme="minorHAnsi" w:cstheme="minorBidi"/>
          <w:sz w:val="22"/>
          <w:szCs w:val="22"/>
          <w:lang w:eastAsia="en-NZ"/>
        </w:rPr>
      </w:pPr>
      <w:hyperlink w:anchor="_Toc485653640" w:history="1">
        <w:r w:rsidR="002704B7" w:rsidRPr="00BA7396">
          <w:rPr>
            <w:rStyle w:val="Hyperlink"/>
          </w:rPr>
          <w:t>Discussion of the options</w:t>
        </w:r>
        <w:r w:rsidR="002704B7">
          <w:rPr>
            <w:webHidden/>
          </w:rPr>
          <w:tab/>
        </w:r>
        <w:r w:rsidR="002704B7">
          <w:rPr>
            <w:webHidden/>
          </w:rPr>
          <w:fldChar w:fldCharType="begin"/>
        </w:r>
        <w:r w:rsidR="002704B7">
          <w:rPr>
            <w:webHidden/>
          </w:rPr>
          <w:instrText xml:space="preserve"> PAGEREF _Toc485653640 \h </w:instrText>
        </w:r>
        <w:r w:rsidR="002704B7">
          <w:rPr>
            <w:webHidden/>
          </w:rPr>
        </w:r>
        <w:r w:rsidR="002704B7">
          <w:rPr>
            <w:webHidden/>
          </w:rPr>
          <w:fldChar w:fldCharType="separate"/>
        </w:r>
        <w:r w:rsidR="00B73C3C">
          <w:rPr>
            <w:webHidden/>
          </w:rPr>
          <w:t>7</w:t>
        </w:r>
        <w:r w:rsidR="002704B7">
          <w:rPr>
            <w:webHidden/>
          </w:rPr>
          <w:fldChar w:fldCharType="end"/>
        </w:r>
      </w:hyperlink>
    </w:p>
    <w:p w14:paraId="59E770DA" w14:textId="77777777" w:rsidR="002704B7" w:rsidRDefault="00E61388">
      <w:pPr>
        <w:pStyle w:val="TOC2"/>
        <w:rPr>
          <w:rFonts w:asciiTheme="minorHAnsi" w:eastAsiaTheme="minorEastAsia" w:hAnsiTheme="minorHAnsi" w:cstheme="minorBidi"/>
          <w:sz w:val="22"/>
          <w:szCs w:val="22"/>
          <w:lang w:eastAsia="en-NZ"/>
        </w:rPr>
      </w:pPr>
      <w:hyperlink w:anchor="_Toc485653641" w:history="1">
        <w:r w:rsidR="002704B7" w:rsidRPr="00BA7396">
          <w:rPr>
            <w:rStyle w:val="Hyperlink"/>
          </w:rPr>
          <w:t>Option One: fixed fee</w:t>
        </w:r>
        <w:r w:rsidR="002704B7">
          <w:rPr>
            <w:webHidden/>
          </w:rPr>
          <w:tab/>
        </w:r>
        <w:r w:rsidR="002704B7">
          <w:rPr>
            <w:webHidden/>
          </w:rPr>
          <w:fldChar w:fldCharType="begin"/>
        </w:r>
        <w:r w:rsidR="002704B7">
          <w:rPr>
            <w:webHidden/>
          </w:rPr>
          <w:instrText xml:space="preserve"> PAGEREF _Toc485653641 \h </w:instrText>
        </w:r>
        <w:r w:rsidR="002704B7">
          <w:rPr>
            <w:webHidden/>
          </w:rPr>
        </w:r>
        <w:r w:rsidR="002704B7">
          <w:rPr>
            <w:webHidden/>
          </w:rPr>
          <w:fldChar w:fldCharType="separate"/>
        </w:r>
        <w:r w:rsidR="00B73C3C">
          <w:rPr>
            <w:webHidden/>
          </w:rPr>
          <w:t>8</w:t>
        </w:r>
        <w:r w:rsidR="002704B7">
          <w:rPr>
            <w:webHidden/>
          </w:rPr>
          <w:fldChar w:fldCharType="end"/>
        </w:r>
      </w:hyperlink>
    </w:p>
    <w:p w14:paraId="1EE13E54" w14:textId="77777777" w:rsidR="002704B7" w:rsidRDefault="00E61388">
      <w:pPr>
        <w:pStyle w:val="TOC2"/>
        <w:rPr>
          <w:rFonts w:asciiTheme="minorHAnsi" w:eastAsiaTheme="minorEastAsia" w:hAnsiTheme="minorHAnsi" w:cstheme="minorBidi"/>
          <w:sz w:val="22"/>
          <w:szCs w:val="22"/>
          <w:lang w:eastAsia="en-NZ"/>
        </w:rPr>
      </w:pPr>
      <w:hyperlink w:anchor="_Toc485653642" w:history="1">
        <w:r w:rsidR="002704B7" w:rsidRPr="00BA7396">
          <w:rPr>
            <w:rStyle w:val="Hyperlink"/>
          </w:rPr>
          <w:t>Option Two: two-tier fee structure: fixed fee + variable excess fee</w:t>
        </w:r>
        <w:r w:rsidR="002704B7">
          <w:rPr>
            <w:webHidden/>
          </w:rPr>
          <w:tab/>
        </w:r>
        <w:r w:rsidR="002704B7">
          <w:rPr>
            <w:webHidden/>
          </w:rPr>
          <w:fldChar w:fldCharType="begin"/>
        </w:r>
        <w:r w:rsidR="002704B7">
          <w:rPr>
            <w:webHidden/>
          </w:rPr>
          <w:instrText xml:space="preserve"> PAGEREF _Toc485653642 \h </w:instrText>
        </w:r>
        <w:r w:rsidR="002704B7">
          <w:rPr>
            <w:webHidden/>
          </w:rPr>
        </w:r>
        <w:r w:rsidR="002704B7">
          <w:rPr>
            <w:webHidden/>
          </w:rPr>
          <w:fldChar w:fldCharType="separate"/>
        </w:r>
        <w:r w:rsidR="00B73C3C">
          <w:rPr>
            <w:webHidden/>
          </w:rPr>
          <w:t>9</w:t>
        </w:r>
        <w:r w:rsidR="002704B7">
          <w:rPr>
            <w:webHidden/>
          </w:rPr>
          <w:fldChar w:fldCharType="end"/>
        </w:r>
      </w:hyperlink>
    </w:p>
    <w:p w14:paraId="4220DBE8"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43" w:history="1">
        <w:r w:rsidR="002704B7" w:rsidRPr="00BA7396">
          <w:rPr>
            <w:rStyle w:val="Hyperlink"/>
            <w:noProof/>
          </w:rPr>
          <w:t>Monitoring, evaluation and review</w:t>
        </w:r>
        <w:r w:rsidR="002704B7">
          <w:rPr>
            <w:noProof/>
            <w:webHidden/>
          </w:rPr>
          <w:tab/>
        </w:r>
        <w:r w:rsidR="002704B7">
          <w:rPr>
            <w:noProof/>
            <w:webHidden/>
          </w:rPr>
          <w:fldChar w:fldCharType="begin"/>
        </w:r>
        <w:r w:rsidR="002704B7">
          <w:rPr>
            <w:noProof/>
            <w:webHidden/>
          </w:rPr>
          <w:instrText xml:space="preserve"> PAGEREF _Toc485653643 \h </w:instrText>
        </w:r>
        <w:r w:rsidR="002704B7">
          <w:rPr>
            <w:noProof/>
            <w:webHidden/>
          </w:rPr>
        </w:r>
        <w:r w:rsidR="002704B7">
          <w:rPr>
            <w:noProof/>
            <w:webHidden/>
          </w:rPr>
          <w:fldChar w:fldCharType="separate"/>
        </w:r>
        <w:r w:rsidR="00B73C3C">
          <w:rPr>
            <w:noProof/>
            <w:webHidden/>
          </w:rPr>
          <w:t>10</w:t>
        </w:r>
        <w:r w:rsidR="002704B7">
          <w:rPr>
            <w:noProof/>
            <w:webHidden/>
          </w:rPr>
          <w:fldChar w:fldCharType="end"/>
        </w:r>
      </w:hyperlink>
    </w:p>
    <w:p w14:paraId="01A12063"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44" w:history="1">
        <w:r w:rsidR="002704B7" w:rsidRPr="00BA7396">
          <w:rPr>
            <w:rStyle w:val="Hyperlink"/>
            <w:noProof/>
          </w:rPr>
          <w:t>Appendix A: Casino venue licence application process</w:t>
        </w:r>
        <w:r w:rsidR="002704B7">
          <w:rPr>
            <w:noProof/>
            <w:webHidden/>
          </w:rPr>
          <w:tab/>
        </w:r>
        <w:r w:rsidR="002704B7">
          <w:rPr>
            <w:noProof/>
            <w:webHidden/>
          </w:rPr>
          <w:fldChar w:fldCharType="begin"/>
        </w:r>
        <w:r w:rsidR="002704B7">
          <w:rPr>
            <w:noProof/>
            <w:webHidden/>
          </w:rPr>
          <w:instrText xml:space="preserve"> PAGEREF _Toc485653644 \h </w:instrText>
        </w:r>
        <w:r w:rsidR="002704B7">
          <w:rPr>
            <w:noProof/>
            <w:webHidden/>
          </w:rPr>
        </w:r>
        <w:r w:rsidR="002704B7">
          <w:rPr>
            <w:noProof/>
            <w:webHidden/>
          </w:rPr>
          <w:fldChar w:fldCharType="separate"/>
        </w:r>
        <w:r w:rsidR="00B73C3C">
          <w:rPr>
            <w:noProof/>
            <w:webHidden/>
          </w:rPr>
          <w:t>11</w:t>
        </w:r>
        <w:r w:rsidR="002704B7">
          <w:rPr>
            <w:noProof/>
            <w:webHidden/>
          </w:rPr>
          <w:fldChar w:fldCharType="end"/>
        </w:r>
      </w:hyperlink>
    </w:p>
    <w:p w14:paraId="1D6425EC" w14:textId="77777777" w:rsidR="002704B7" w:rsidRDefault="00E61388">
      <w:pPr>
        <w:pStyle w:val="TOC1"/>
        <w:rPr>
          <w:rFonts w:asciiTheme="minorHAnsi" w:eastAsiaTheme="minorEastAsia" w:hAnsiTheme="minorHAnsi" w:cstheme="minorBidi"/>
          <w:b w:val="0"/>
          <w:noProof/>
          <w:color w:val="auto"/>
          <w:sz w:val="22"/>
          <w:szCs w:val="22"/>
          <w:lang w:eastAsia="en-NZ"/>
        </w:rPr>
      </w:pPr>
      <w:hyperlink w:anchor="_Toc485653645" w:history="1">
        <w:r w:rsidR="002704B7" w:rsidRPr="00BA7396">
          <w:rPr>
            <w:rStyle w:val="Hyperlink"/>
            <w:noProof/>
          </w:rPr>
          <w:t>Appendix B: Detailed costing tables</w:t>
        </w:r>
        <w:r w:rsidR="002704B7">
          <w:rPr>
            <w:noProof/>
            <w:webHidden/>
          </w:rPr>
          <w:tab/>
        </w:r>
        <w:r w:rsidR="002704B7">
          <w:rPr>
            <w:noProof/>
            <w:webHidden/>
          </w:rPr>
          <w:fldChar w:fldCharType="begin"/>
        </w:r>
        <w:r w:rsidR="002704B7">
          <w:rPr>
            <w:noProof/>
            <w:webHidden/>
          </w:rPr>
          <w:instrText xml:space="preserve"> PAGEREF _Toc485653645 \h </w:instrText>
        </w:r>
        <w:r w:rsidR="002704B7">
          <w:rPr>
            <w:noProof/>
            <w:webHidden/>
          </w:rPr>
        </w:r>
        <w:r w:rsidR="002704B7">
          <w:rPr>
            <w:noProof/>
            <w:webHidden/>
          </w:rPr>
          <w:fldChar w:fldCharType="separate"/>
        </w:r>
        <w:r w:rsidR="00B73C3C">
          <w:rPr>
            <w:noProof/>
            <w:webHidden/>
          </w:rPr>
          <w:t>12</w:t>
        </w:r>
        <w:r w:rsidR="002704B7">
          <w:rPr>
            <w:noProof/>
            <w:webHidden/>
          </w:rPr>
          <w:fldChar w:fldCharType="end"/>
        </w:r>
      </w:hyperlink>
    </w:p>
    <w:p w14:paraId="20457966" w14:textId="77777777" w:rsidR="006871D3" w:rsidRDefault="00860B2B" w:rsidP="001420E8">
      <w:pPr>
        <w:sectPr w:rsidR="006871D3" w:rsidSect="004518B7">
          <w:headerReference w:type="default" r:id="rId17"/>
          <w:footerReference w:type="default" r:id="rId18"/>
          <w:pgSz w:w="11907" w:h="16840" w:code="9"/>
          <w:pgMar w:top="1418" w:right="1418" w:bottom="992" w:left="1418" w:header="425" w:footer="641" w:gutter="0"/>
          <w:pgNumType w:start="1"/>
          <w:cols w:space="708"/>
          <w:docGrid w:linePitch="360"/>
        </w:sectPr>
      </w:pPr>
      <w:r>
        <w:rPr>
          <w:color w:val="1F546B"/>
        </w:rPr>
        <w:fldChar w:fldCharType="end"/>
      </w:r>
    </w:p>
    <w:p w14:paraId="20457967" w14:textId="77777777" w:rsidR="00777FF1" w:rsidRDefault="00777FF1" w:rsidP="003A2C18">
      <w:pPr>
        <w:pStyle w:val="Heading1"/>
      </w:pPr>
      <w:bookmarkStart w:id="1" w:name="_Toc485653630"/>
      <w:r>
        <w:lastRenderedPageBreak/>
        <w:t>What is this consultation document about?</w:t>
      </w:r>
      <w:bookmarkEnd w:id="1"/>
    </w:p>
    <w:p w14:paraId="20457968" w14:textId="77777777" w:rsidR="00777FF1" w:rsidRDefault="29E65A09" w:rsidP="00777FF1">
      <w:r>
        <w:t>The Department of Internal Affairs is seeking your views on proposed regulations setting the fee for a casino venue licence renewal application (renewal fee). This will be done by amendment to the Gambling (Fees) Regulations 2015.</w:t>
      </w:r>
    </w:p>
    <w:p w14:paraId="7FBF31F5" w14:textId="037F8CEF" w:rsidR="00690953" w:rsidRDefault="29E65A09" w:rsidP="00777FF1">
      <w:r>
        <w:t xml:space="preserve">This consultation document sets out options that have been developed for cost recovery regulations setting the fee for the application process. It describes the costs expected to be incurred by the Gambling Commission (the Commission) for which detailed costings data and a diagram of the application process are provided as appendices. </w:t>
      </w:r>
    </w:p>
    <w:p w14:paraId="20457969" w14:textId="77777777" w:rsidR="00777FF1" w:rsidRDefault="00777FF1" w:rsidP="00525832">
      <w:pPr>
        <w:pStyle w:val="Heading2"/>
      </w:pPr>
      <w:bookmarkStart w:id="2" w:name="_Toc485653631"/>
      <w:r>
        <w:t>Consultation requirements</w:t>
      </w:r>
      <w:bookmarkEnd w:id="2"/>
    </w:p>
    <w:p w14:paraId="2045796A" w14:textId="77777777" w:rsidR="00874139" w:rsidRDefault="29E65A09" w:rsidP="00874139">
      <w:r>
        <w:t>Section 372 of the Gambling Act 2003 requires that, before regulations are made, persons and organisations that are likely to be substantially affected by the regulations must be consulted and given reasonable opportunity to respond. Submissions will be given adequate and appropriate consideration.</w:t>
      </w:r>
    </w:p>
    <w:p w14:paraId="2045796B" w14:textId="77777777" w:rsidR="00525832" w:rsidRDefault="00525832" w:rsidP="00525832">
      <w:pPr>
        <w:pStyle w:val="Heading2"/>
      </w:pPr>
      <w:bookmarkStart w:id="3" w:name="_Toc485653632"/>
      <w:r>
        <w:t>Sending us your submission</w:t>
      </w:r>
      <w:bookmarkEnd w:id="3"/>
    </w:p>
    <w:p w14:paraId="2045796C" w14:textId="6E5CF9CD" w:rsidR="00525832" w:rsidRDefault="29E65A09" w:rsidP="00525832">
      <w:r>
        <w:t xml:space="preserve">Please send your submission to the Department of Internal Affairs by </w:t>
      </w:r>
      <w:r w:rsidRPr="29E65A09">
        <w:rPr>
          <w:b/>
          <w:bCs/>
        </w:rPr>
        <w:t>30 June 2017</w:t>
      </w:r>
      <w:r>
        <w:t>.</w:t>
      </w:r>
    </w:p>
    <w:p w14:paraId="2045796D" w14:textId="2E4A807A" w:rsidR="00525832" w:rsidRDefault="00525832" w:rsidP="00525832">
      <w:r>
        <w:t>Please note that all submission</w:t>
      </w:r>
      <w:r w:rsidR="0089131B">
        <w:t>s</w:t>
      </w:r>
      <w:r>
        <w:t xml:space="preserve"> may be made publicly available. Even if you request confidentiality, we may have to release your submission at a later date if a request is made under the Official Information Act 1982. In your submission, please highlight the information you would prefer was withheld should a request be made.</w:t>
      </w:r>
      <w:r>
        <w:rPr>
          <w:rStyle w:val="FootnoteReference"/>
        </w:rPr>
        <w:footnoteReference w:id="1"/>
      </w:r>
    </w:p>
    <w:p w14:paraId="2045796E" w14:textId="77777777" w:rsidR="00525832" w:rsidRDefault="29E65A09" w:rsidP="00777FF1">
      <w:r>
        <w:t>Your submission can be sent in the following ways:</w:t>
      </w:r>
    </w:p>
    <w:p w14:paraId="2045796F" w14:textId="7C60E933" w:rsidR="00A815F1" w:rsidRDefault="29E65A09" w:rsidP="00777FF1">
      <w:r>
        <w:t xml:space="preserve">Email: </w:t>
      </w:r>
      <w:hyperlink r:id="rId19" w:history="1">
        <w:r w:rsidR="00E753D3" w:rsidRPr="00567436">
          <w:rPr>
            <w:rStyle w:val="Hyperlink"/>
            <w:rFonts w:asciiTheme="minorHAnsi" w:eastAsiaTheme="minorEastAsia" w:hAnsiTheme="minorHAnsi" w:cstheme="minorBidi"/>
          </w:rPr>
          <w:t>Casino.Renewals@dia.govt.nz</w:t>
        </w:r>
      </w:hyperlink>
    </w:p>
    <w:p w14:paraId="20457970" w14:textId="77777777" w:rsidR="00A815F1" w:rsidRDefault="29E65A09" w:rsidP="00FE06EA">
      <w:pPr>
        <w:spacing w:after="0"/>
      </w:pPr>
      <w:r>
        <w:t>Post: Safer Communities Policy Team</w:t>
      </w:r>
    </w:p>
    <w:p w14:paraId="20457971" w14:textId="77777777" w:rsidR="00A815F1" w:rsidRDefault="00A815F1" w:rsidP="00FE06EA">
      <w:pPr>
        <w:spacing w:after="0"/>
      </w:pPr>
      <w:r>
        <w:tab/>
        <w:t>Policy Group</w:t>
      </w:r>
    </w:p>
    <w:p w14:paraId="20457972" w14:textId="77777777" w:rsidR="00A815F1" w:rsidRDefault="00A815F1" w:rsidP="00FE06EA">
      <w:pPr>
        <w:spacing w:after="0"/>
      </w:pPr>
      <w:r>
        <w:tab/>
        <w:t>Department of Internal Affairs</w:t>
      </w:r>
    </w:p>
    <w:p w14:paraId="20457973" w14:textId="77777777" w:rsidR="00A815F1" w:rsidRDefault="00A815F1" w:rsidP="00FE06EA">
      <w:pPr>
        <w:spacing w:after="0"/>
      </w:pPr>
      <w:r>
        <w:tab/>
        <w:t xml:space="preserve">PO Box </w:t>
      </w:r>
      <w:r w:rsidRPr="0084773E">
        <w:t>805</w:t>
      </w:r>
    </w:p>
    <w:p w14:paraId="20457975" w14:textId="2597D8F4" w:rsidR="00EC5256" w:rsidRDefault="00A815F1" w:rsidP="00777FF1">
      <w:r>
        <w:tab/>
        <w:t>Wellington 6140</w:t>
      </w:r>
    </w:p>
    <w:p w14:paraId="20457976" w14:textId="77777777" w:rsidR="00A815F1" w:rsidRPr="00A815F1" w:rsidRDefault="29E65A09" w:rsidP="29E65A09">
      <w:pPr>
        <w:rPr>
          <w:i/>
          <w:iCs/>
          <w:sz w:val="22"/>
          <w:szCs w:val="22"/>
        </w:rPr>
      </w:pPr>
      <w:r w:rsidRPr="29E65A09">
        <w:rPr>
          <w:i/>
          <w:iCs/>
          <w:sz w:val="22"/>
          <w:szCs w:val="22"/>
        </w:rPr>
        <w:t>Although all reasonable steps have been taken to ensure the accuracy of the information contained in this document, the Department of Internal Affairs disclaims responsibility for any inaccuracy in relation to the information; and fully excludes liability of any kind to any person or entity that chooses to rely upon the information.</w:t>
      </w:r>
    </w:p>
    <w:p w14:paraId="20457977" w14:textId="77777777" w:rsidR="005D3404" w:rsidRDefault="005D3404" w:rsidP="003A2C18">
      <w:pPr>
        <w:pStyle w:val="Heading1"/>
      </w:pPr>
      <w:bookmarkStart w:id="4" w:name="_Toc485653633"/>
      <w:r>
        <w:lastRenderedPageBreak/>
        <w:t>Introduction</w:t>
      </w:r>
      <w:bookmarkEnd w:id="4"/>
    </w:p>
    <w:p w14:paraId="20457978" w14:textId="672260D0" w:rsidR="004D17A9" w:rsidRDefault="29E65A09" w:rsidP="00DF78D3">
      <w:pPr>
        <w:pStyle w:val="ListParagraph"/>
        <w:numPr>
          <w:ilvl w:val="0"/>
          <w:numId w:val="39"/>
        </w:numPr>
      </w:pPr>
      <w:r>
        <w:t>Gambling regulatory functions undertaken by the Department of Internal Affairs (the Department) and the Gambling Commission (the Commission) are funded through fees paid by gambling operators. The Commission is responsible for considering all licensing decisions related to casinos and operates independently of the Department in performing its functions under the Gambling Act 2003 (the Act).</w:t>
      </w:r>
    </w:p>
    <w:p w14:paraId="20457979" w14:textId="0F2D6A90" w:rsidR="00940E8D" w:rsidRDefault="00940E8D" w:rsidP="00DF78D3">
      <w:pPr>
        <w:pStyle w:val="ListParagraph"/>
        <w:numPr>
          <w:ilvl w:val="0"/>
          <w:numId w:val="39"/>
        </w:numPr>
      </w:pPr>
      <w:r w:rsidRPr="00DF78D3">
        <w:t xml:space="preserve">Under the </w:t>
      </w:r>
      <w:r w:rsidR="009D4BBA">
        <w:t>Act</w:t>
      </w:r>
      <w:r w:rsidRPr="00DF78D3">
        <w:t>, no new casino venue licences can be issued, however existing licence holders retain their licences granted under the now repealed Casino Control Act 1990. A casino venue licence expires 25 years after the date the casino commenced operating and, at the expiry of this period, may be renewed under the Act for a further 15 years</w:t>
      </w:r>
      <w:r w:rsidR="00510FCD" w:rsidRPr="00DF78D3">
        <w:t>.</w:t>
      </w:r>
      <w:r w:rsidR="004D17A9">
        <w:rPr>
          <w:rStyle w:val="FootnoteReference"/>
        </w:rPr>
        <w:footnoteReference w:id="2"/>
      </w:r>
    </w:p>
    <w:p w14:paraId="2045797A" w14:textId="7F93CFEE" w:rsidR="004D17A9" w:rsidRDefault="29E65A09" w:rsidP="00DF78D3">
      <w:pPr>
        <w:pStyle w:val="ListParagraph"/>
        <w:numPr>
          <w:ilvl w:val="0"/>
          <w:numId w:val="39"/>
        </w:numPr>
      </w:pPr>
      <w:r>
        <w:t>The Act sets out the requirements for the casino venue licence renewal application process (application process). This requires:</w:t>
      </w:r>
    </w:p>
    <w:p w14:paraId="2045797B" w14:textId="21E6049C" w:rsidR="004D17A9" w:rsidRDefault="004D17A9" w:rsidP="004D17A9">
      <w:pPr>
        <w:pStyle w:val="ListParagraph"/>
        <w:numPr>
          <w:ilvl w:val="0"/>
          <w:numId w:val="43"/>
        </w:numPr>
      </w:pPr>
      <w:r>
        <w:t>a Casino Impact Report to be tabled, prepared by an approved person, independent of the applicant;</w:t>
      </w:r>
      <w:r w:rsidR="00ED5DEC">
        <w:rPr>
          <w:rStyle w:val="FootnoteReference"/>
        </w:rPr>
        <w:footnoteReference w:id="3"/>
      </w:r>
    </w:p>
    <w:p w14:paraId="2045797C" w14:textId="104B96E9" w:rsidR="004D17A9" w:rsidRDefault="004D17A9" w:rsidP="004D17A9">
      <w:pPr>
        <w:pStyle w:val="ListParagraph"/>
        <w:numPr>
          <w:ilvl w:val="0"/>
          <w:numId w:val="43"/>
        </w:numPr>
      </w:pPr>
      <w:r>
        <w:t>community participation at public hearings and through community polls or consultation processes;</w:t>
      </w:r>
      <w:r w:rsidR="00ED5DEC">
        <w:rPr>
          <w:rStyle w:val="FootnoteReference"/>
        </w:rPr>
        <w:footnoteReference w:id="4"/>
      </w:r>
      <w:r>
        <w:t xml:space="preserve"> and</w:t>
      </w:r>
    </w:p>
    <w:p w14:paraId="2045797D" w14:textId="58E876EF" w:rsidR="004D17A9" w:rsidRDefault="004D17A9" w:rsidP="004D17A9">
      <w:pPr>
        <w:pStyle w:val="ListParagraph"/>
        <w:numPr>
          <w:ilvl w:val="0"/>
          <w:numId w:val="43"/>
        </w:numPr>
      </w:pPr>
      <w:r>
        <w:t>the applicants to show how the proposed licence renewal will benefit the local and regional communities and New Zealand generally.</w:t>
      </w:r>
      <w:r w:rsidR="00ED5DEC">
        <w:rPr>
          <w:rStyle w:val="FootnoteReference"/>
        </w:rPr>
        <w:footnoteReference w:id="5"/>
      </w:r>
      <w:r>
        <w:t xml:space="preserve"> </w:t>
      </w:r>
    </w:p>
    <w:p w14:paraId="2045797E" w14:textId="3F668108" w:rsidR="005A07A2" w:rsidRPr="00DF78D3" w:rsidRDefault="29E65A09" w:rsidP="005A07A2">
      <w:pPr>
        <w:pStyle w:val="ListParagraph"/>
        <w:numPr>
          <w:ilvl w:val="0"/>
          <w:numId w:val="39"/>
        </w:numPr>
      </w:pPr>
      <w:r>
        <w:t>These provisions ensure that communities have a say in the licensing of casinos in their area and that social and economic impacts are considered.</w:t>
      </w:r>
    </w:p>
    <w:p w14:paraId="2045797F" w14:textId="43CBDD5A" w:rsidR="002D1F64" w:rsidRPr="00DF78D3" w:rsidRDefault="29E65A09" w:rsidP="00DF78D3">
      <w:pPr>
        <w:pStyle w:val="ListParagraph"/>
        <w:numPr>
          <w:ilvl w:val="0"/>
          <w:numId w:val="39"/>
        </w:numPr>
      </w:pPr>
      <w:r>
        <w:t>There are six casinos in New Zealand that currently hold venue licences, four of which are operated by SKYCITY Entertainment Group Limited.  The venue licence expiry dates for each casino are:</w:t>
      </w:r>
    </w:p>
    <w:p w14:paraId="20457980" w14:textId="77777777" w:rsidR="002D1F64" w:rsidRDefault="002D1F64" w:rsidP="29E65A09">
      <w:pPr>
        <w:pStyle w:val="ListParagraph"/>
        <w:numPr>
          <w:ilvl w:val="0"/>
          <w:numId w:val="30"/>
        </w:numPr>
        <w:rPr>
          <w:rFonts w:asciiTheme="minorHAnsi" w:eastAsiaTheme="minorEastAsia" w:hAnsiTheme="minorHAnsi" w:cstheme="minorBidi"/>
        </w:rPr>
      </w:pPr>
      <w:r w:rsidRPr="29E65A09">
        <w:rPr>
          <w:rFonts w:asciiTheme="minorHAnsi" w:eastAsiaTheme="minorEastAsia" w:hAnsiTheme="minorHAnsi" w:cstheme="minorBidi"/>
        </w:rPr>
        <w:t xml:space="preserve">Christchurch </w:t>
      </w:r>
      <w:r>
        <w:rPr>
          <w:rFonts w:asciiTheme="minorHAnsi" w:hAnsiTheme="minorHAnsi"/>
        </w:rPr>
        <w:tab/>
      </w:r>
      <w:r>
        <w:rPr>
          <w:rFonts w:asciiTheme="minorHAnsi" w:hAnsiTheme="minorHAnsi"/>
        </w:rPr>
        <w:tab/>
      </w:r>
      <w:r w:rsidR="29E65A09" w:rsidRPr="29E65A09">
        <w:rPr>
          <w:rFonts w:asciiTheme="minorHAnsi" w:eastAsiaTheme="minorEastAsia" w:hAnsiTheme="minorHAnsi" w:cstheme="minorBidi"/>
        </w:rPr>
        <w:t>Casino</w:t>
      </w:r>
      <w:r w:rsidR="00DF78D3">
        <w:rPr>
          <w:rFonts w:asciiTheme="minorHAnsi" w:hAnsiTheme="minorHAnsi"/>
        </w:rPr>
        <w:tab/>
      </w:r>
      <w:r w:rsidRPr="29E65A09">
        <w:rPr>
          <w:rFonts w:asciiTheme="minorHAnsi" w:eastAsiaTheme="minorEastAsia" w:hAnsiTheme="minorHAnsi" w:cstheme="minorBidi"/>
        </w:rPr>
        <w:t>November 2019</w:t>
      </w:r>
    </w:p>
    <w:p w14:paraId="20457981" w14:textId="77777777" w:rsidR="002D1F64" w:rsidRDefault="002D1F64" w:rsidP="29E65A09">
      <w:pPr>
        <w:pStyle w:val="ListParagraph"/>
        <w:numPr>
          <w:ilvl w:val="0"/>
          <w:numId w:val="30"/>
        </w:numPr>
        <w:rPr>
          <w:rFonts w:asciiTheme="minorHAnsi" w:eastAsiaTheme="minorEastAsia" w:hAnsiTheme="minorHAnsi" w:cstheme="minorBidi"/>
        </w:rPr>
      </w:pPr>
      <w:r w:rsidRPr="29E65A09">
        <w:rPr>
          <w:rFonts w:asciiTheme="minorHAnsi" w:eastAsiaTheme="minorEastAsia" w:hAnsiTheme="minorHAnsi" w:cstheme="minorBidi"/>
        </w:rPr>
        <w:t xml:space="preserve">Dunedin </w:t>
      </w:r>
      <w:r>
        <w:rPr>
          <w:rFonts w:asciiTheme="minorHAnsi" w:hAnsiTheme="minorHAnsi"/>
        </w:rPr>
        <w:tab/>
      </w:r>
      <w:r>
        <w:rPr>
          <w:rFonts w:asciiTheme="minorHAnsi" w:hAnsiTheme="minorHAnsi"/>
        </w:rPr>
        <w:tab/>
      </w:r>
      <w:r w:rsidR="29E65A09" w:rsidRPr="29E65A09">
        <w:rPr>
          <w:rFonts w:asciiTheme="minorHAnsi" w:eastAsiaTheme="minorEastAsia" w:hAnsiTheme="minorHAnsi" w:cstheme="minorBidi"/>
        </w:rPr>
        <w:t>Casino</w:t>
      </w:r>
      <w:r>
        <w:rPr>
          <w:rFonts w:asciiTheme="minorHAnsi" w:hAnsiTheme="minorHAnsi"/>
        </w:rPr>
        <w:tab/>
      </w:r>
      <w:r w:rsidRPr="29E65A09">
        <w:rPr>
          <w:rFonts w:asciiTheme="minorHAnsi" w:eastAsiaTheme="minorEastAsia" w:hAnsiTheme="minorHAnsi" w:cstheme="minorBidi"/>
        </w:rPr>
        <w:t>October 2024</w:t>
      </w:r>
    </w:p>
    <w:p w14:paraId="20457982" w14:textId="178A9A7E" w:rsidR="002D1F64" w:rsidRDefault="002D1F64" w:rsidP="29E65A09">
      <w:pPr>
        <w:pStyle w:val="ListParagraph"/>
        <w:numPr>
          <w:ilvl w:val="0"/>
          <w:numId w:val="30"/>
        </w:numPr>
        <w:rPr>
          <w:rFonts w:asciiTheme="minorHAnsi" w:eastAsiaTheme="minorEastAsia" w:hAnsiTheme="minorHAnsi" w:cstheme="minorBidi"/>
        </w:rPr>
      </w:pPr>
      <w:r w:rsidRPr="29E65A09">
        <w:rPr>
          <w:rFonts w:asciiTheme="minorHAnsi" w:eastAsiaTheme="minorEastAsia" w:hAnsiTheme="minorHAnsi" w:cstheme="minorBidi"/>
        </w:rPr>
        <w:t>SKYCITY Wharf Casino Queenstown</w:t>
      </w:r>
      <w:r>
        <w:rPr>
          <w:rFonts w:asciiTheme="minorHAnsi" w:hAnsiTheme="minorHAnsi"/>
        </w:rPr>
        <w:tab/>
      </w:r>
      <w:r w:rsidRPr="29E65A09">
        <w:rPr>
          <w:rFonts w:asciiTheme="minorHAnsi" w:eastAsiaTheme="minorEastAsia" w:hAnsiTheme="minorHAnsi" w:cstheme="minorBidi"/>
        </w:rPr>
        <w:t>September 2024</w:t>
      </w:r>
    </w:p>
    <w:p w14:paraId="20457983" w14:textId="77777777" w:rsidR="002D1F64" w:rsidRDefault="002D1F64" w:rsidP="29E65A09">
      <w:pPr>
        <w:pStyle w:val="ListParagraph"/>
        <w:numPr>
          <w:ilvl w:val="0"/>
          <w:numId w:val="30"/>
        </w:numPr>
        <w:rPr>
          <w:rFonts w:asciiTheme="minorHAnsi" w:eastAsiaTheme="minorEastAsia" w:hAnsiTheme="minorHAnsi" w:cstheme="minorBidi"/>
        </w:rPr>
      </w:pPr>
      <w:r w:rsidRPr="29E65A09">
        <w:rPr>
          <w:rFonts w:asciiTheme="minorHAnsi" w:eastAsiaTheme="minorEastAsia" w:hAnsiTheme="minorHAnsi" w:cstheme="minorBidi"/>
        </w:rPr>
        <w:t xml:space="preserve">SKYCITY </w:t>
      </w:r>
      <w:r>
        <w:rPr>
          <w:rFonts w:asciiTheme="minorHAnsi" w:hAnsiTheme="minorHAnsi"/>
        </w:rPr>
        <w:tab/>
      </w:r>
      <w:r w:rsidR="29E65A09" w:rsidRPr="29E65A09">
        <w:rPr>
          <w:rFonts w:asciiTheme="minorHAnsi" w:eastAsiaTheme="minorEastAsia" w:hAnsiTheme="minorHAnsi" w:cstheme="minorBidi"/>
        </w:rPr>
        <w:t>Queenstown</w:t>
      </w:r>
      <w:r>
        <w:rPr>
          <w:rFonts w:asciiTheme="minorHAnsi" w:hAnsiTheme="minorHAnsi"/>
        </w:rPr>
        <w:tab/>
      </w:r>
      <w:r w:rsidRPr="29E65A09">
        <w:rPr>
          <w:rFonts w:asciiTheme="minorHAnsi" w:eastAsiaTheme="minorEastAsia" w:hAnsiTheme="minorHAnsi" w:cstheme="minorBidi"/>
        </w:rPr>
        <w:t>December 2025</w:t>
      </w:r>
    </w:p>
    <w:p w14:paraId="20457984" w14:textId="77777777" w:rsidR="002D1F64" w:rsidRDefault="002D1F64" w:rsidP="29E65A09">
      <w:pPr>
        <w:pStyle w:val="ListParagraph"/>
        <w:numPr>
          <w:ilvl w:val="0"/>
          <w:numId w:val="30"/>
        </w:numPr>
        <w:rPr>
          <w:rFonts w:asciiTheme="minorHAnsi" w:eastAsiaTheme="minorEastAsia" w:hAnsiTheme="minorHAnsi" w:cstheme="minorBidi"/>
        </w:rPr>
      </w:pPr>
      <w:r w:rsidRPr="29E65A09">
        <w:rPr>
          <w:rFonts w:asciiTheme="minorHAnsi" w:eastAsiaTheme="minorEastAsia" w:hAnsiTheme="minorHAnsi" w:cstheme="minorBidi"/>
        </w:rPr>
        <w:t xml:space="preserve">SKYCITY </w:t>
      </w:r>
      <w:r>
        <w:rPr>
          <w:rFonts w:asciiTheme="minorHAnsi" w:hAnsiTheme="minorHAnsi"/>
        </w:rPr>
        <w:tab/>
      </w:r>
      <w:r>
        <w:rPr>
          <w:rFonts w:asciiTheme="minorHAnsi" w:hAnsiTheme="minorHAnsi"/>
        </w:rPr>
        <w:tab/>
      </w:r>
      <w:r w:rsidR="29E65A09" w:rsidRPr="29E65A09">
        <w:rPr>
          <w:rFonts w:asciiTheme="minorHAnsi" w:eastAsiaTheme="minorEastAsia" w:hAnsiTheme="minorHAnsi" w:cstheme="minorBidi"/>
        </w:rPr>
        <w:t>Hamilton</w:t>
      </w:r>
      <w:r>
        <w:rPr>
          <w:rFonts w:asciiTheme="minorHAnsi" w:hAnsiTheme="minorHAnsi"/>
        </w:rPr>
        <w:tab/>
      </w:r>
      <w:r w:rsidRPr="29E65A09">
        <w:rPr>
          <w:rFonts w:asciiTheme="minorHAnsi" w:eastAsiaTheme="minorEastAsia" w:hAnsiTheme="minorHAnsi" w:cstheme="minorBidi"/>
        </w:rPr>
        <w:t>September 2027</w:t>
      </w:r>
    </w:p>
    <w:p w14:paraId="20457985" w14:textId="77777777" w:rsidR="00EC5256" w:rsidRPr="00EC5256" w:rsidRDefault="002D1F64" w:rsidP="29E65A09">
      <w:pPr>
        <w:pStyle w:val="ListParagraph"/>
        <w:numPr>
          <w:ilvl w:val="0"/>
          <w:numId w:val="30"/>
        </w:numPr>
        <w:rPr>
          <w:rFonts w:asciiTheme="minorHAnsi" w:eastAsiaTheme="minorEastAsia" w:hAnsiTheme="minorHAnsi" w:cstheme="minorBidi"/>
        </w:rPr>
      </w:pPr>
      <w:r w:rsidRPr="29E65A09">
        <w:rPr>
          <w:rFonts w:asciiTheme="minorHAnsi" w:eastAsiaTheme="minorEastAsia" w:hAnsiTheme="minorHAnsi" w:cstheme="minorBidi"/>
        </w:rPr>
        <w:t xml:space="preserve">SKYCITY </w:t>
      </w:r>
      <w:r>
        <w:rPr>
          <w:rFonts w:asciiTheme="minorHAnsi" w:hAnsiTheme="minorHAnsi"/>
        </w:rPr>
        <w:tab/>
      </w:r>
      <w:r>
        <w:rPr>
          <w:rFonts w:asciiTheme="minorHAnsi" w:hAnsiTheme="minorHAnsi"/>
        </w:rPr>
        <w:tab/>
      </w:r>
      <w:r w:rsidR="29E65A09" w:rsidRPr="29E65A09">
        <w:rPr>
          <w:rFonts w:asciiTheme="minorHAnsi" w:eastAsiaTheme="minorEastAsia" w:hAnsiTheme="minorHAnsi" w:cstheme="minorBidi"/>
        </w:rPr>
        <w:t>Auckland</w:t>
      </w:r>
      <w:r>
        <w:rPr>
          <w:rFonts w:asciiTheme="minorHAnsi" w:hAnsiTheme="minorHAnsi"/>
        </w:rPr>
        <w:tab/>
      </w:r>
      <w:r w:rsidRPr="29E65A09">
        <w:rPr>
          <w:rFonts w:asciiTheme="minorHAnsi" w:eastAsiaTheme="minorEastAsia" w:hAnsiTheme="minorHAnsi" w:cstheme="minorBidi"/>
        </w:rPr>
        <w:t>June 2048</w:t>
      </w:r>
    </w:p>
    <w:p w14:paraId="20457987" w14:textId="053F116D" w:rsidR="00EC5256" w:rsidRPr="00EC5256" w:rsidRDefault="29E65A09" w:rsidP="00EC5256">
      <w:pPr>
        <w:pStyle w:val="ListParagraph"/>
        <w:numPr>
          <w:ilvl w:val="0"/>
          <w:numId w:val="39"/>
        </w:numPr>
      </w:pPr>
      <w:r>
        <w:t xml:space="preserve">To help you consider your response, questions are provided at the end of the document, and the Department welcomes your comments and suggestions on any aspect of the development of the renewal fee. </w:t>
      </w:r>
    </w:p>
    <w:p w14:paraId="20457988" w14:textId="77777777" w:rsidR="00B61D68" w:rsidRDefault="00B61D68" w:rsidP="00B61D68">
      <w:pPr>
        <w:pStyle w:val="Heading1"/>
      </w:pPr>
      <w:bookmarkStart w:id="5" w:name="_Toc485653634"/>
      <w:r>
        <w:lastRenderedPageBreak/>
        <w:t>Problem</w:t>
      </w:r>
      <w:r w:rsidR="0008087D">
        <w:t>, authority and scope</w:t>
      </w:r>
      <w:bookmarkEnd w:id="5"/>
    </w:p>
    <w:p w14:paraId="20457989" w14:textId="77777777" w:rsidR="0008087D" w:rsidRDefault="0008087D" w:rsidP="0008087D">
      <w:pPr>
        <w:pStyle w:val="Heading2"/>
      </w:pPr>
      <w:bookmarkStart w:id="6" w:name="_Toc485653635"/>
      <w:r>
        <w:t>Problem for resolution</w:t>
      </w:r>
      <w:bookmarkEnd w:id="6"/>
    </w:p>
    <w:p w14:paraId="2045798A" w14:textId="4E5703F3" w:rsidR="009D62BF" w:rsidRDefault="29E65A09" w:rsidP="009D62BF">
      <w:pPr>
        <w:pStyle w:val="ListParagraph"/>
        <w:numPr>
          <w:ilvl w:val="0"/>
          <w:numId w:val="39"/>
        </w:numPr>
      </w:pPr>
      <w:r>
        <w:t xml:space="preserve">The current Gambling (Fees) Regulations 2015 set out annual casino fees and fees for venue licence applications, but not for renewal of casino venue licences. </w:t>
      </w:r>
    </w:p>
    <w:p w14:paraId="2045798B" w14:textId="2DE63FBB" w:rsidR="009D62BF" w:rsidRDefault="29E65A09" w:rsidP="009D62BF">
      <w:pPr>
        <w:pStyle w:val="ListParagraph"/>
        <w:numPr>
          <w:ilvl w:val="0"/>
          <w:numId w:val="39"/>
        </w:numPr>
      </w:pPr>
      <w:r>
        <w:t>When a casino venue licence is nearing expiry, an application for renewal can be made between 24 and 12 months prior to the date of expiry. The first casino venue licence able to be renewed under the Act is due for expiry in November 2019.</w:t>
      </w:r>
    </w:p>
    <w:p w14:paraId="2045798C" w14:textId="27D2A380" w:rsidR="009D62BF" w:rsidRDefault="29E65A09" w:rsidP="00D70483">
      <w:pPr>
        <w:pStyle w:val="ListParagraph"/>
        <w:numPr>
          <w:ilvl w:val="0"/>
          <w:numId w:val="39"/>
        </w:numPr>
      </w:pPr>
      <w:r>
        <w:t xml:space="preserve">The earliest possible date for a renewal application is November 2017, therefore there is a need for Regulations setting the renewal fee, or the method of assessing the fee, to be in place before then. </w:t>
      </w:r>
    </w:p>
    <w:p w14:paraId="2045798D" w14:textId="77777777" w:rsidR="0008087D" w:rsidRDefault="0008087D" w:rsidP="0008087D">
      <w:pPr>
        <w:pStyle w:val="Heading2"/>
      </w:pPr>
      <w:bookmarkStart w:id="7" w:name="_Toc485653636"/>
      <w:r>
        <w:t>Authority to charge a fee</w:t>
      </w:r>
      <w:bookmarkEnd w:id="7"/>
    </w:p>
    <w:p w14:paraId="2045798E" w14:textId="77777777" w:rsidR="0008087D" w:rsidRPr="00DF78D3" w:rsidRDefault="29E65A09" w:rsidP="0008087D">
      <w:pPr>
        <w:pStyle w:val="ListParagraph"/>
        <w:numPr>
          <w:ilvl w:val="0"/>
          <w:numId w:val="39"/>
        </w:numPr>
      </w:pPr>
      <w:r>
        <w:t xml:space="preserve">Powers are provided for in the Act for the making of regulations to recover the costs of the Commission in performing its statutory functions. </w:t>
      </w:r>
    </w:p>
    <w:p w14:paraId="2045798F" w14:textId="77777777" w:rsidR="0008087D" w:rsidRPr="00DF78D3" w:rsidRDefault="29E65A09" w:rsidP="0008087D">
      <w:pPr>
        <w:pStyle w:val="ListParagraph"/>
        <w:numPr>
          <w:ilvl w:val="0"/>
          <w:numId w:val="39"/>
        </w:numPr>
      </w:pPr>
      <w:r>
        <w:t>Section 370 of the Act provides that regulations may be made prescribing fees or charges payable to enable the recovery of the direct or indirect costs of the Department, the Commission or the Police in:</w:t>
      </w:r>
    </w:p>
    <w:p w14:paraId="20457990" w14:textId="77777777" w:rsidR="0008087D" w:rsidRDefault="29E65A09" w:rsidP="0008087D">
      <w:pPr>
        <w:pStyle w:val="ListParagraph"/>
        <w:numPr>
          <w:ilvl w:val="0"/>
          <w:numId w:val="31"/>
        </w:numPr>
        <w:ind w:left="1418"/>
      </w:pPr>
      <w:r>
        <w:t xml:space="preserve">publishing and informing people about the Act; </w:t>
      </w:r>
    </w:p>
    <w:p w14:paraId="20457991" w14:textId="77777777" w:rsidR="0008087D" w:rsidRDefault="29E65A09" w:rsidP="0008087D">
      <w:pPr>
        <w:pStyle w:val="ListParagraph"/>
        <w:numPr>
          <w:ilvl w:val="0"/>
          <w:numId w:val="31"/>
        </w:numPr>
        <w:ind w:left="1418"/>
      </w:pPr>
      <w:r>
        <w:t>administering the Act;</w:t>
      </w:r>
    </w:p>
    <w:p w14:paraId="20457992" w14:textId="77777777" w:rsidR="0008087D" w:rsidRDefault="29E65A09" w:rsidP="0008087D">
      <w:pPr>
        <w:pStyle w:val="ListParagraph"/>
        <w:numPr>
          <w:ilvl w:val="0"/>
          <w:numId w:val="31"/>
        </w:numPr>
        <w:ind w:left="1418"/>
      </w:pPr>
      <w:r>
        <w:t>enforcing and monitoring compliance with the Act; and</w:t>
      </w:r>
    </w:p>
    <w:p w14:paraId="20457993" w14:textId="54507267" w:rsidR="0008087D" w:rsidRDefault="29E65A09" w:rsidP="0008087D">
      <w:pPr>
        <w:pStyle w:val="ListParagraph"/>
        <w:numPr>
          <w:ilvl w:val="0"/>
          <w:numId w:val="31"/>
        </w:numPr>
        <w:ind w:left="1418"/>
      </w:pPr>
      <w:r>
        <w:t xml:space="preserve">doing anything else authorised or required by the Act. </w:t>
      </w:r>
    </w:p>
    <w:p w14:paraId="1B41883D" w14:textId="577C736A" w:rsidR="007B0149" w:rsidRDefault="29E65A09" w:rsidP="00BE4082">
      <w:pPr>
        <w:pStyle w:val="ListParagraph"/>
        <w:numPr>
          <w:ilvl w:val="0"/>
          <w:numId w:val="39"/>
        </w:numPr>
      </w:pPr>
      <w:r>
        <w:t>The object and intent of charging fees for the application process is to recover the full costs of the Commission’s services in processing the renewal application. If an application is not successful, the renewal fee will not be refunded.</w:t>
      </w:r>
    </w:p>
    <w:p w14:paraId="43F96863" w14:textId="77777777" w:rsidR="0026423F" w:rsidRDefault="007B0149" w:rsidP="29E65A09">
      <w:pPr>
        <w:pStyle w:val="NumbersLevel1"/>
        <w:numPr>
          <w:ilvl w:val="0"/>
          <w:numId w:val="39"/>
        </w:numPr>
        <w:rPr>
          <w:rFonts w:ascii="Calibri" w:eastAsia="Calibri" w:hAnsi="Calibri" w:cs="Calibri"/>
          <w:sz w:val="24"/>
        </w:rPr>
      </w:pPr>
      <w:r w:rsidRPr="29E65A09">
        <w:rPr>
          <w:rFonts w:ascii="Calibri" w:eastAsia="Calibri" w:hAnsi="Calibri" w:cs="Calibri"/>
          <w:sz w:val="24"/>
        </w:rPr>
        <w:t xml:space="preserve">Treasury instructions require that where departments provide services on a full cost recovery basis, the department is required to operate a memorandum account. The memorandum account records the accumulated surplus or deficit arising from the provision of the service. </w:t>
      </w:r>
      <w:r w:rsidR="00C52971" w:rsidRPr="29E65A09">
        <w:rPr>
          <w:rFonts w:ascii="Calibri" w:eastAsia="Calibri" w:hAnsi="Calibri" w:cs="Calibri"/>
          <w:sz w:val="24"/>
        </w:rPr>
        <w:t>The memorandum account begins with an opening balance, and is adjusted each year by end-of-year surplus or deficit in relation to the fees covered by the memorandum account</w:t>
      </w:r>
      <w:r w:rsidRPr="29E65A09">
        <w:rPr>
          <w:rFonts w:ascii="Calibri" w:eastAsia="Calibri" w:hAnsi="Calibri" w:cs="Calibri"/>
          <w:sz w:val="24"/>
        </w:rPr>
        <w:t>.</w:t>
      </w:r>
      <w:r w:rsidR="003C0CF0">
        <w:rPr>
          <w:rStyle w:val="FootnoteReference"/>
        </w:rPr>
        <w:footnoteReference w:id="6"/>
      </w:r>
      <w:r w:rsidR="00E33DBE" w:rsidRPr="29E65A09">
        <w:rPr>
          <w:rFonts w:ascii="Calibri" w:eastAsia="Calibri" w:hAnsi="Calibri" w:cs="Calibri"/>
          <w:sz w:val="24"/>
        </w:rPr>
        <w:t xml:space="preserve"> </w:t>
      </w:r>
    </w:p>
    <w:p w14:paraId="6AD98D88" w14:textId="44C9916F" w:rsidR="0026423F" w:rsidRPr="0026423F" w:rsidRDefault="29E65A09" w:rsidP="29E65A09">
      <w:pPr>
        <w:pStyle w:val="NumbersLevel1"/>
        <w:numPr>
          <w:ilvl w:val="0"/>
          <w:numId w:val="39"/>
        </w:numPr>
        <w:rPr>
          <w:rFonts w:ascii="Calibri" w:eastAsia="Calibri" w:hAnsi="Calibri" w:cs="Calibri"/>
          <w:sz w:val="24"/>
        </w:rPr>
      </w:pPr>
      <w:r w:rsidRPr="29E65A09">
        <w:rPr>
          <w:rFonts w:ascii="Calibri" w:eastAsia="Calibri" w:hAnsi="Calibri" w:cs="Calibri"/>
          <w:sz w:val="24"/>
        </w:rPr>
        <w:t xml:space="preserve">Section 228 of the Act requires the Department to service the Commission to perform its functions. As such, the Department’s memorandum account for administering gambling fees includes the costs of the Commission to consider casino venue licence renewal applications.  </w:t>
      </w:r>
    </w:p>
    <w:p w14:paraId="1FDDFCCF" w14:textId="35A70CA2" w:rsidR="007B0149" w:rsidRPr="008F461C" w:rsidRDefault="007B0149" w:rsidP="29E65A09">
      <w:pPr>
        <w:pStyle w:val="NumbersLevel1"/>
        <w:numPr>
          <w:ilvl w:val="0"/>
          <w:numId w:val="39"/>
        </w:numPr>
        <w:rPr>
          <w:rFonts w:ascii="Calibri" w:eastAsia="Calibri" w:hAnsi="Calibri" w:cs="Calibri"/>
          <w:sz w:val="24"/>
        </w:rPr>
      </w:pPr>
      <w:r w:rsidRPr="29E65A09">
        <w:rPr>
          <w:rFonts w:ascii="Calibri" w:eastAsia="Calibri" w:hAnsi="Calibri" w:cs="Calibri"/>
          <w:sz w:val="24"/>
        </w:rPr>
        <w:t>The Department’s under-recovery of costs to regulate the gambling sector generally is reflected by a deficit in the Department’s memorandum account</w:t>
      </w:r>
      <w:r w:rsidR="006E76E1" w:rsidRPr="29E65A09">
        <w:rPr>
          <w:rFonts w:ascii="Calibri" w:eastAsia="Calibri" w:hAnsi="Calibri" w:cs="Calibri"/>
          <w:sz w:val="24"/>
        </w:rPr>
        <w:t xml:space="preserve">. </w:t>
      </w:r>
      <w:r w:rsidR="00E07E99" w:rsidRPr="29E65A09">
        <w:rPr>
          <w:rFonts w:ascii="Calibri" w:eastAsia="Calibri" w:hAnsi="Calibri" w:cs="Calibri"/>
          <w:sz w:val="24"/>
        </w:rPr>
        <w:t xml:space="preserve">To </w:t>
      </w:r>
      <w:r w:rsidRPr="29E65A09">
        <w:rPr>
          <w:rFonts w:ascii="Calibri" w:eastAsia="Calibri" w:hAnsi="Calibri" w:cs="Calibri"/>
          <w:sz w:val="24"/>
        </w:rPr>
        <w:t xml:space="preserve">prevent </w:t>
      </w:r>
      <w:r w:rsidR="00E07E99" w:rsidRPr="29E65A09">
        <w:rPr>
          <w:rFonts w:ascii="Calibri" w:eastAsia="Calibri" w:hAnsi="Calibri" w:cs="Calibri"/>
          <w:sz w:val="24"/>
        </w:rPr>
        <w:t>t</w:t>
      </w:r>
      <w:r w:rsidRPr="29E65A09">
        <w:rPr>
          <w:rFonts w:ascii="Calibri" w:eastAsia="Calibri" w:hAnsi="Calibri" w:cs="Calibri"/>
          <w:sz w:val="24"/>
        </w:rPr>
        <w:t xml:space="preserve">his deficit from growing significantly, full cost recovery of </w:t>
      </w:r>
      <w:r w:rsidR="00E07E99" w:rsidRPr="29E65A09">
        <w:rPr>
          <w:rFonts w:ascii="Calibri" w:eastAsia="Calibri" w:hAnsi="Calibri" w:cs="Calibri"/>
          <w:sz w:val="24"/>
        </w:rPr>
        <w:t xml:space="preserve">the </w:t>
      </w:r>
      <w:r w:rsidR="00EF032A" w:rsidRPr="29E65A09">
        <w:rPr>
          <w:rFonts w:ascii="Calibri" w:eastAsia="Calibri" w:hAnsi="Calibri" w:cs="Calibri"/>
          <w:sz w:val="24"/>
        </w:rPr>
        <w:t>application process</w:t>
      </w:r>
      <w:r w:rsidR="00E07E99" w:rsidRPr="29E65A09">
        <w:rPr>
          <w:rFonts w:ascii="Calibri" w:eastAsia="Calibri" w:hAnsi="Calibri" w:cs="Calibri"/>
          <w:sz w:val="24"/>
        </w:rPr>
        <w:t xml:space="preserve"> is </w:t>
      </w:r>
      <w:r w:rsidR="00E07E99" w:rsidRPr="29E65A09">
        <w:rPr>
          <w:rFonts w:ascii="Calibri" w:eastAsia="Calibri" w:hAnsi="Calibri" w:cs="Calibri"/>
          <w:sz w:val="24"/>
        </w:rPr>
        <w:lastRenderedPageBreak/>
        <w:t xml:space="preserve">necessary. It is also not appropriate for the burden of regulatory costs to fall on the taxpayer. The Treasury </w:t>
      </w:r>
      <w:r w:rsidR="00E07E99" w:rsidRPr="29E65A09">
        <w:rPr>
          <w:rFonts w:ascii="Calibri" w:eastAsia="Calibri" w:hAnsi="Calibri" w:cs="Calibri"/>
          <w:i/>
          <w:iCs/>
          <w:sz w:val="24"/>
        </w:rPr>
        <w:t>Guidelines for Setting Charges</w:t>
      </w:r>
      <w:r w:rsidR="00E07E99" w:rsidRPr="29E65A09">
        <w:rPr>
          <w:rFonts w:ascii="Calibri" w:eastAsia="Calibri" w:hAnsi="Calibri" w:cs="Calibri"/>
          <w:sz w:val="24"/>
        </w:rPr>
        <w:t xml:space="preserve"> </w:t>
      </w:r>
      <w:r w:rsidR="00E07E99" w:rsidRPr="29E65A09">
        <w:rPr>
          <w:rFonts w:ascii="Calibri" w:eastAsia="Calibri" w:hAnsi="Calibri" w:cs="Calibri"/>
          <w:i/>
          <w:iCs/>
          <w:sz w:val="24"/>
        </w:rPr>
        <w:t>in the Public Sector</w:t>
      </w:r>
      <w:r w:rsidR="00E07E99" w:rsidRPr="29E65A09">
        <w:rPr>
          <w:rFonts w:ascii="Calibri" w:eastAsia="Calibri" w:hAnsi="Calibri" w:cs="Calibri"/>
          <w:sz w:val="24"/>
        </w:rPr>
        <w:t xml:space="preserve"> </w:t>
      </w:r>
      <w:r w:rsidR="00A97B7E" w:rsidRPr="29E65A09">
        <w:rPr>
          <w:rFonts w:ascii="Calibri" w:eastAsia="Calibri" w:hAnsi="Calibri" w:cs="Calibri"/>
          <w:sz w:val="24"/>
        </w:rPr>
        <w:t xml:space="preserve">(Treasury guidelines) </w:t>
      </w:r>
      <w:r w:rsidR="00E07E99" w:rsidRPr="29E65A09">
        <w:rPr>
          <w:rFonts w:ascii="Calibri" w:eastAsia="Calibri" w:hAnsi="Calibri" w:cs="Calibri"/>
          <w:sz w:val="24"/>
        </w:rPr>
        <w:t>note that those that give rise to costs should be responsible for covering them and that a key aim of fees is to reduce the reliance on funding from tax.</w:t>
      </w:r>
      <w:r w:rsidR="00A97B7E" w:rsidRPr="00A97B7E">
        <w:rPr>
          <w:rStyle w:val="FootnoteReference"/>
        </w:rPr>
        <w:t xml:space="preserve"> </w:t>
      </w:r>
      <w:r w:rsidR="00A97B7E">
        <w:rPr>
          <w:rStyle w:val="FootnoteReference"/>
        </w:rPr>
        <w:footnoteReference w:id="7"/>
      </w:r>
      <w:r w:rsidR="00E07E99" w:rsidRPr="29E65A09">
        <w:rPr>
          <w:rFonts w:ascii="Calibri" w:eastAsia="Calibri" w:hAnsi="Calibri" w:cs="Calibri"/>
          <w:sz w:val="24"/>
        </w:rPr>
        <w:t xml:space="preserve">  </w:t>
      </w:r>
      <w:r w:rsidR="008F461C" w:rsidRPr="29E65A09">
        <w:rPr>
          <w:rFonts w:ascii="Calibri" w:eastAsia="Calibri" w:hAnsi="Calibri" w:cs="Calibri"/>
          <w:sz w:val="24"/>
        </w:rPr>
        <w:br w:type="page"/>
      </w:r>
    </w:p>
    <w:p w14:paraId="20457995" w14:textId="77777777" w:rsidR="0008087D" w:rsidRDefault="0008087D" w:rsidP="0008087D">
      <w:pPr>
        <w:pStyle w:val="Heading2"/>
      </w:pPr>
      <w:bookmarkStart w:id="8" w:name="_Toc485653637"/>
      <w:r>
        <w:t>Scope – what the renewal fee covers</w:t>
      </w:r>
      <w:bookmarkEnd w:id="8"/>
    </w:p>
    <w:p w14:paraId="20457996" w14:textId="43948F4E" w:rsidR="0008087D" w:rsidRDefault="29E65A09" w:rsidP="0008087D">
      <w:pPr>
        <w:pStyle w:val="ListParagraph"/>
        <w:numPr>
          <w:ilvl w:val="0"/>
          <w:numId w:val="39"/>
        </w:numPr>
      </w:pPr>
      <w:r>
        <w:t xml:space="preserve">The proposed renewal fee will be strictly isolated to the fee payable by casinos for the consideration by the Commission of an application for the renewal of their venue licence. </w:t>
      </w:r>
    </w:p>
    <w:p w14:paraId="20457997" w14:textId="77777777" w:rsidR="0008087D" w:rsidRDefault="0008087D" w:rsidP="0008087D">
      <w:pPr>
        <w:pStyle w:val="Heading2"/>
      </w:pPr>
    </w:p>
    <w:p w14:paraId="20457998" w14:textId="77777777" w:rsidR="00B61D68" w:rsidRDefault="00B61D68" w:rsidP="00B61D68"/>
    <w:p w14:paraId="20457999" w14:textId="77777777" w:rsidR="0028440D" w:rsidRDefault="0028440D" w:rsidP="0028440D">
      <w:pPr>
        <w:pStyle w:val="Heading1"/>
      </w:pPr>
      <w:bookmarkStart w:id="9" w:name="_Toc485653638"/>
      <w:r>
        <w:t>Criteria and principles for assessing fee options</w:t>
      </w:r>
      <w:bookmarkEnd w:id="9"/>
    </w:p>
    <w:p w14:paraId="2045799A" w14:textId="77777777" w:rsidR="00AC687A" w:rsidRDefault="29E65A09" w:rsidP="00AC687A">
      <w:pPr>
        <w:pStyle w:val="ListParagraph"/>
        <w:numPr>
          <w:ilvl w:val="0"/>
          <w:numId w:val="39"/>
        </w:numPr>
      </w:pPr>
      <w:r>
        <w:t>The Department undertook the development of options presented in this document with the objectives of:</w:t>
      </w:r>
    </w:p>
    <w:p w14:paraId="2045799B" w14:textId="6A27C75A" w:rsidR="00AC687A" w:rsidRDefault="29E65A09" w:rsidP="00AC687A">
      <w:pPr>
        <w:pStyle w:val="ListParagraph"/>
        <w:numPr>
          <w:ilvl w:val="0"/>
          <w:numId w:val="48"/>
        </w:numPr>
      </w:pPr>
      <w:r>
        <w:t>meeting the Commission’s reasonable and necessary costs to fulfil its statutory obligations to process casino venue licence renewal applications; and</w:t>
      </w:r>
    </w:p>
    <w:p w14:paraId="2045799C" w14:textId="77777777" w:rsidR="00AC687A" w:rsidRDefault="29E65A09" w:rsidP="00AC687A">
      <w:pPr>
        <w:pStyle w:val="ListParagraph"/>
        <w:numPr>
          <w:ilvl w:val="0"/>
          <w:numId w:val="48"/>
        </w:numPr>
      </w:pPr>
      <w:r>
        <w:t xml:space="preserve">ensuring that costs are accurately and transparently accounted for in the setting of the renewal fee. </w:t>
      </w:r>
    </w:p>
    <w:p w14:paraId="2045799D" w14:textId="6B53E7FA" w:rsidR="001E709F" w:rsidRDefault="001E709F" w:rsidP="001E709F">
      <w:pPr>
        <w:pStyle w:val="ListParagraph"/>
        <w:numPr>
          <w:ilvl w:val="0"/>
          <w:numId w:val="39"/>
        </w:numPr>
      </w:pPr>
      <w:r>
        <w:t xml:space="preserve">The </w:t>
      </w:r>
      <w:r w:rsidR="00A07A2B">
        <w:t xml:space="preserve">options </w:t>
      </w:r>
      <w:r>
        <w:t xml:space="preserve">presented in this document </w:t>
      </w:r>
      <w:r w:rsidR="00AC687A">
        <w:t xml:space="preserve">have been developed by the Department </w:t>
      </w:r>
      <w:r>
        <w:t xml:space="preserve">with reference to the </w:t>
      </w:r>
      <w:r w:rsidR="00AC687A">
        <w:t>principles</w:t>
      </w:r>
      <w:r w:rsidR="00A97B7E">
        <w:t xml:space="preserve"> set out in the </w:t>
      </w:r>
      <w:r>
        <w:t>Treasury guidelines</w:t>
      </w:r>
      <w:r>
        <w:rPr>
          <w:rStyle w:val="FootnoteReference"/>
        </w:rPr>
        <w:footnoteReference w:id="8"/>
      </w:r>
      <w:r>
        <w:t xml:space="preserve"> and the Office of the Auditor-General Good Practice Guide, </w:t>
      </w:r>
      <w:r w:rsidRPr="29E65A09">
        <w:rPr>
          <w:i/>
          <w:iCs/>
        </w:rPr>
        <w:t xml:space="preserve">Charging fees for public sector goods and services </w:t>
      </w:r>
      <w:r>
        <w:t>(OAG guide)</w:t>
      </w:r>
      <w:r>
        <w:rPr>
          <w:rStyle w:val="FootnoteReference"/>
        </w:rPr>
        <w:footnoteReference w:id="9"/>
      </w:r>
      <w:r>
        <w:t>.</w:t>
      </w:r>
    </w:p>
    <w:p w14:paraId="2045799E" w14:textId="77777777" w:rsidR="001E709F" w:rsidRDefault="29E65A09" w:rsidP="001E709F">
      <w:pPr>
        <w:pStyle w:val="ListParagraph"/>
        <w:numPr>
          <w:ilvl w:val="0"/>
          <w:numId w:val="39"/>
        </w:numPr>
      </w:pPr>
      <w:r>
        <w:t xml:space="preserve">The Treasury guidelines outline policy considerations when setting fees with a focus on efficient resource allocation, minimising transaction costs, equity among those that give rise to costs, and reducing costs and taxpayer burden. The OAG guide directs government departments and other public entities to apply the principles of authority, efficiency and accountability in fee-setting decisions. </w:t>
      </w:r>
    </w:p>
    <w:p w14:paraId="2045799F" w14:textId="77777777" w:rsidR="001E709F" w:rsidRDefault="29E65A09" w:rsidP="001E709F">
      <w:pPr>
        <w:pStyle w:val="ListParagraph"/>
        <w:numPr>
          <w:ilvl w:val="0"/>
          <w:numId w:val="39"/>
        </w:numPr>
      </w:pPr>
      <w:r>
        <w:t>The following criteria have been used to assess the options against the objectives:</w:t>
      </w:r>
    </w:p>
    <w:p w14:paraId="204579A0" w14:textId="77777777" w:rsidR="001F22A0" w:rsidRDefault="29E65A09" w:rsidP="001F22A0">
      <w:pPr>
        <w:pStyle w:val="ListParagraph"/>
        <w:numPr>
          <w:ilvl w:val="0"/>
          <w:numId w:val="49"/>
        </w:numPr>
      </w:pPr>
      <w:r>
        <w:t>fairness between fee payers: we have looked at how to develop a fee that fairly reflects the actual costs of the renewal process for a particular applicant;</w:t>
      </w:r>
    </w:p>
    <w:p w14:paraId="204579A1" w14:textId="77777777" w:rsidR="001F22A0" w:rsidRDefault="29E65A09" w:rsidP="001F22A0">
      <w:pPr>
        <w:pStyle w:val="ListParagraph"/>
        <w:numPr>
          <w:ilvl w:val="0"/>
          <w:numId w:val="49"/>
        </w:numPr>
      </w:pPr>
      <w:r>
        <w:t xml:space="preserve">effectiveness: this concerns the need for the fee to support the policy intent of cost recovery for the Commission’s services in processing the renewal application; </w:t>
      </w:r>
    </w:p>
    <w:p w14:paraId="204579A2" w14:textId="77777777" w:rsidR="001F22A0" w:rsidRDefault="29E65A09" w:rsidP="001F22A0">
      <w:pPr>
        <w:pStyle w:val="ListParagraph"/>
        <w:numPr>
          <w:ilvl w:val="0"/>
          <w:numId w:val="49"/>
        </w:numPr>
      </w:pPr>
      <w:r>
        <w:t>efficient implementation: when and how the renewal fee is charged needs to work for both the fee payer and the Commission in terms of practicability and certainty; and</w:t>
      </w:r>
    </w:p>
    <w:p w14:paraId="204579A3" w14:textId="591162A1" w:rsidR="001F22A0" w:rsidRPr="00A46717" w:rsidRDefault="29E65A09" w:rsidP="001F22A0">
      <w:pPr>
        <w:pStyle w:val="ListParagraph"/>
        <w:numPr>
          <w:ilvl w:val="0"/>
          <w:numId w:val="49"/>
        </w:numPr>
      </w:pPr>
      <w:r>
        <w:t xml:space="preserve">transparency: the Department has collected detailed costings data from the Commission for each activity that will form the basis for the renewal fee. </w:t>
      </w:r>
    </w:p>
    <w:p w14:paraId="204579A4" w14:textId="77777777" w:rsidR="0028440D" w:rsidRPr="0028440D" w:rsidRDefault="0028440D" w:rsidP="0028440D"/>
    <w:p w14:paraId="204579A5" w14:textId="77777777" w:rsidR="000D4DAD" w:rsidRDefault="0028440D" w:rsidP="0028440D">
      <w:pPr>
        <w:pStyle w:val="Heading1"/>
      </w:pPr>
      <w:bookmarkStart w:id="10" w:name="_Toc485653639"/>
      <w:r>
        <w:t>What are the options?</w:t>
      </w:r>
      <w:bookmarkEnd w:id="10"/>
    </w:p>
    <w:p w14:paraId="204579A6" w14:textId="55167345" w:rsidR="000D4DAD" w:rsidRDefault="29E65A09" w:rsidP="00DF78D3">
      <w:pPr>
        <w:pStyle w:val="ListParagraph"/>
        <w:numPr>
          <w:ilvl w:val="0"/>
          <w:numId w:val="39"/>
        </w:numPr>
      </w:pPr>
      <w:r>
        <w:t>Two options for setting the renewal fee have been identified:</w:t>
      </w:r>
    </w:p>
    <w:p w14:paraId="204579A8" w14:textId="672F9DE1" w:rsidR="00760417" w:rsidRDefault="29E65A09" w:rsidP="000D4DAD">
      <w:pPr>
        <w:pStyle w:val="ListParagraph"/>
        <w:numPr>
          <w:ilvl w:val="0"/>
          <w:numId w:val="34"/>
        </w:numPr>
      </w:pPr>
      <w:r>
        <w:t>Option one: fixed fee payable upon application and based upon estimated costings for each casino based on a set number of days to complete the application process; and</w:t>
      </w:r>
    </w:p>
    <w:p w14:paraId="204579A9" w14:textId="7DA3AE67" w:rsidR="008E1FA8" w:rsidRDefault="29E65A09" w:rsidP="000D4DAD">
      <w:pPr>
        <w:pStyle w:val="ListParagraph"/>
        <w:numPr>
          <w:ilvl w:val="0"/>
          <w:numId w:val="34"/>
        </w:numPr>
      </w:pPr>
      <w:r>
        <w:t>Option two:  two-tiered fee comprised of an initial, fixed fee and the option for:</w:t>
      </w:r>
    </w:p>
    <w:p w14:paraId="204579AA" w14:textId="7763A4E5" w:rsidR="00A61A3A" w:rsidRDefault="29E65A09" w:rsidP="00A61A3A">
      <w:pPr>
        <w:pStyle w:val="ListParagraph"/>
        <w:numPr>
          <w:ilvl w:val="1"/>
          <w:numId w:val="34"/>
        </w:numPr>
      </w:pPr>
      <w:r>
        <w:t>repayment of excess funds to the applicant where the fee paid exceeds the actual costs incurred; and</w:t>
      </w:r>
    </w:p>
    <w:p w14:paraId="204579AB" w14:textId="6D4A8B03" w:rsidR="00A61A3A" w:rsidRDefault="29E65A09" w:rsidP="00A61A3A">
      <w:pPr>
        <w:pStyle w:val="ListParagraph"/>
        <w:numPr>
          <w:ilvl w:val="1"/>
          <w:numId w:val="34"/>
        </w:numPr>
      </w:pPr>
      <w:r>
        <w:t>additional payment by the applicant where the fee paid is less than the actual costs incurred, subject to an upper limit.</w:t>
      </w:r>
    </w:p>
    <w:p w14:paraId="204579AC" w14:textId="15EBFF8A" w:rsidR="009E43F7" w:rsidRDefault="29E65A09" w:rsidP="00DF78D3">
      <w:pPr>
        <w:pStyle w:val="ListParagraph"/>
        <w:numPr>
          <w:ilvl w:val="0"/>
          <w:numId w:val="39"/>
        </w:numPr>
      </w:pPr>
      <w:r>
        <w:t>The Department’s preferred option for setting the fee is Option Two.</w:t>
      </w:r>
    </w:p>
    <w:p w14:paraId="204579AD" w14:textId="77777777" w:rsidR="0028440D" w:rsidRDefault="0028440D" w:rsidP="0028440D">
      <w:pPr>
        <w:pStyle w:val="Heading2"/>
      </w:pPr>
      <w:bookmarkStart w:id="11" w:name="_Toc485653640"/>
      <w:r>
        <w:t>Discussion of the options</w:t>
      </w:r>
      <w:bookmarkEnd w:id="11"/>
    </w:p>
    <w:p w14:paraId="204579AE" w14:textId="77777777" w:rsidR="0028440D" w:rsidRDefault="29E65A09" w:rsidP="0028440D">
      <w:pPr>
        <w:pStyle w:val="ListParagraph"/>
        <w:numPr>
          <w:ilvl w:val="0"/>
          <w:numId w:val="39"/>
        </w:numPr>
      </w:pPr>
      <w:r>
        <w:t xml:space="preserve">The Department has developed the options below having regard to the design of similar fees in other regulations. </w:t>
      </w:r>
    </w:p>
    <w:p w14:paraId="204579AF" w14:textId="77777777" w:rsidR="00754222" w:rsidRDefault="29E65A09" w:rsidP="0028440D">
      <w:pPr>
        <w:pStyle w:val="ListParagraph"/>
        <w:numPr>
          <w:ilvl w:val="0"/>
          <w:numId w:val="39"/>
        </w:numPr>
      </w:pPr>
      <w:r>
        <w:t xml:space="preserve">The Commission and the Department recognise that fees charged should meet actual costs. However, as with any fees set in advance of payment, assumptions have had to be made about the expected costs and drivers of the renewal fee. </w:t>
      </w:r>
    </w:p>
    <w:p w14:paraId="204579B0" w14:textId="77777777" w:rsidR="0028440D" w:rsidRDefault="29E65A09" w:rsidP="0028440D">
      <w:pPr>
        <w:pStyle w:val="ListParagraph"/>
        <w:numPr>
          <w:ilvl w:val="0"/>
          <w:numId w:val="39"/>
        </w:numPr>
      </w:pPr>
      <w:r>
        <w:t>In the development of options for the renewal fee, the following assumptions have been made relating to the:</w:t>
      </w:r>
    </w:p>
    <w:p w14:paraId="204579B1" w14:textId="77777777" w:rsidR="0028440D" w:rsidRDefault="29E65A09" w:rsidP="0028440D">
      <w:pPr>
        <w:pStyle w:val="ListParagraph"/>
        <w:numPr>
          <w:ilvl w:val="0"/>
          <w:numId w:val="36"/>
        </w:numPr>
      </w:pPr>
      <w:r>
        <w:t>level of complexity in processing applications;</w:t>
      </w:r>
    </w:p>
    <w:p w14:paraId="204579B2" w14:textId="77777777" w:rsidR="0028440D" w:rsidRDefault="29E65A09" w:rsidP="0028440D">
      <w:pPr>
        <w:pStyle w:val="ListParagraph"/>
        <w:numPr>
          <w:ilvl w:val="0"/>
          <w:numId w:val="36"/>
        </w:numPr>
      </w:pPr>
      <w:r>
        <w:t>the number of public hearings required;</w:t>
      </w:r>
    </w:p>
    <w:p w14:paraId="204579B3" w14:textId="77777777" w:rsidR="0028440D" w:rsidRDefault="29E65A09" w:rsidP="0028440D">
      <w:pPr>
        <w:pStyle w:val="ListParagraph"/>
        <w:numPr>
          <w:ilvl w:val="0"/>
          <w:numId w:val="36"/>
        </w:numPr>
      </w:pPr>
      <w:r>
        <w:t>human resourcing requirements; and</w:t>
      </w:r>
    </w:p>
    <w:p w14:paraId="204579B4" w14:textId="77777777" w:rsidR="0028440D" w:rsidRDefault="29E65A09" w:rsidP="0028440D">
      <w:pPr>
        <w:pStyle w:val="ListParagraph"/>
        <w:numPr>
          <w:ilvl w:val="0"/>
          <w:numId w:val="36"/>
        </w:numPr>
      </w:pPr>
      <w:r>
        <w:t>availability and cost of other resources (i.e. advertising, travel, accommodation and venue hire).</w:t>
      </w:r>
    </w:p>
    <w:p w14:paraId="204579B7" w14:textId="5FFB0321" w:rsidR="00F77E5C" w:rsidRDefault="29E65A09" w:rsidP="00B63D5D">
      <w:pPr>
        <w:pStyle w:val="ListParagraph"/>
        <w:numPr>
          <w:ilvl w:val="0"/>
          <w:numId w:val="39"/>
        </w:numPr>
      </w:pPr>
      <w:r>
        <w:t xml:space="preserve">Costs under each approach have been calculated where possible according to the daily rate for each activity involved in the application process. Where not possible (e.g. travel costs), calculation is based on the assumption of the average cost of that activity. </w:t>
      </w:r>
    </w:p>
    <w:p w14:paraId="204579E6" w14:textId="455C5379" w:rsidR="00F77E5C" w:rsidRDefault="00645B5C" w:rsidP="00F77E5C">
      <w:pPr>
        <w:pStyle w:val="Heading2"/>
      </w:pPr>
      <w:r>
        <w:br w:type="page"/>
      </w:r>
      <w:bookmarkStart w:id="12" w:name="_Toc485653641"/>
      <w:r w:rsidR="0037095D">
        <w:t>O</w:t>
      </w:r>
      <w:r w:rsidR="005D02E9">
        <w:t xml:space="preserve">ption </w:t>
      </w:r>
      <w:r w:rsidR="00332B87">
        <w:t>One</w:t>
      </w:r>
      <w:r w:rsidR="00F77E5C">
        <w:t>: f</w:t>
      </w:r>
      <w:r w:rsidR="00B70507">
        <w:t>ixed</w:t>
      </w:r>
      <w:r w:rsidR="00F77E5C">
        <w:t xml:space="preserve"> fee</w:t>
      </w:r>
      <w:bookmarkEnd w:id="12"/>
    </w:p>
    <w:p w14:paraId="204579E7" w14:textId="27B4A312" w:rsidR="00F77E5C" w:rsidRDefault="29E65A09" w:rsidP="00B63D5D">
      <w:pPr>
        <w:pStyle w:val="ListParagraph"/>
        <w:numPr>
          <w:ilvl w:val="0"/>
          <w:numId w:val="39"/>
        </w:numPr>
      </w:pPr>
      <w:r>
        <w:t xml:space="preserve">The renewal fee under option one is a fixed fee based upon the estimated costs involved in completing the application process. The costs incurred by the Commission in the application process are estimated to be the same for each renewal application.  </w:t>
      </w:r>
    </w:p>
    <w:p w14:paraId="204579E8" w14:textId="4A44018A" w:rsidR="00D60C09" w:rsidRDefault="29E65A09" w:rsidP="00B63D5D">
      <w:pPr>
        <w:pStyle w:val="ListParagraph"/>
        <w:numPr>
          <w:ilvl w:val="0"/>
          <w:numId w:val="39"/>
        </w:numPr>
      </w:pPr>
      <w:r>
        <w:t xml:space="preserve">The total fee will be fixed by Regulations and payable upon application. </w:t>
      </w:r>
    </w:p>
    <w:p w14:paraId="204579E9" w14:textId="1E736254" w:rsidR="00D60C09" w:rsidRDefault="29E65A09">
      <w:pPr>
        <w:pStyle w:val="Bullet"/>
        <w:numPr>
          <w:ilvl w:val="0"/>
          <w:numId w:val="39"/>
        </w:numPr>
      </w:pPr>
      <w:r>
        <w:t xml:space="preserve">The tables in </w:t>
      </w:r>
      <w:r w:rsidRPr="29E65A09">
        <w:rPr>
          <w:b/>
          <w:bCs/>
        </w:rPr>
        <w:t>Appendix B</w:t>
      </w:r>
      <w:r>
        <w:t xml:space="preserve"> set out the costs data, as at 20 June 2017, setting out the estimated renewal fee for all renewal applications and underlying rate assumptions for costs. This demonstrates how the renewal fee is calculated under this option and the distribution and quantum of costs.</w:t>
      </w:r>
    </w:p>
    <w:p w14:paraId="5500DC7E" w14:textId="1F842AE2" w:rsidR="003901B3" w:rsidRDefault="29E65A09">
      <w:pPr>
        <w:pStyle w:val="Bullet"/>
        <w:numPr>
          <w:ilvl w:val="0"/>
          <w:numId w:val="39"/>
        </w:numPr>
      </w:pPr>
      <w:r>
        <w:t>Based on these estimates, the renewal fee under this option will be $151,000.</w:t>
      </w:r>
    </w:p>
    <w:p w14:paraId="5354981B" w14:textId="5A45C701" w:rsidR="005D02E9" w:rsidRDefault="29E65A09" w:rsidP="00B63D5D">
      <w:pPr>
        <w:pStyle w:val="ListParagraph"/>
        <w:numPr>
          <w:ilvl w:val="0"/>
          <w:numId w:val="39"/>
        </w:numPr>
      </w:pPr>
      <w:r>
        <w:t xml:space="preserve">A fixed fee is a recognised and common approach to setting a renewal fee. It is consistent with the approach taken elsewhere in the Gambling (Fees) Regulations 2015. </w:t>
      </w:r>
    </w:p>
    <w:p w14:paraId="204579EB" w14:textId="77777777" w:rsidR="00332576" w:rsidRPr="00F77E5C" w:rsidRDefault="29E65A09" w:rsidP="00B63D5D">
      <w:pPr>
        <w:pStyle w:val="ListParagraph"/>
        <w:numPr>
          <w:ilvl w:val="0"/>
          <w:numId w:val="39"/>
        </w:numPr>
      </w:pPr>
      <w:r>
        <w:t xml:space="preserve">Because the renewal fee will only apply to a very small and specific pool of stakeholders, the risk of a disproportionate impact that can sometimes occur with a flat fee is limited. </w:t>
      </w:r>
    </w:p>
    <w:p w14:paraId="204579EC" w14:textId="44EBD85A" w:rsidR="009837FE" w:rsidRDefault="29E65A09" w:rsidP="009837FE">
      <w:pPr>
        <w:pStyle w:val="Heading3"/>
      </w:pPr>
      <w:r>
        <w:t>Benefits and risks of option one</w:t>
      </w:r>
    </w:p>
    <w:p w14:paraId="29CC28C5" w14:textId="2D89BF03" w:rsidR="000D7088" w:rsidRDefault="29E65A09" w:rsidP="00D42736">
      <w:pPr>
        <w:pStyle w:val="ListParagraph"/>
        <w:numPr>
          <w:ilvl w:val="0"/>
          <w:numId w:val="39"/>
        </w:numPr>
      </w:pPr>
      <w:r>
        <w:t xml:space="preserve">The benefit of option one is that it offers the greatest certainty to applicants as to the fee payable in advance of making an application. It is relatively simple to set and can be implemented effectively and efficiently. </w:t>
      </w:r>
    </w:p>
    <w:p w14:paraId="707CD58D" w14:textId="5421E486" w:rsidR="000A568F" w:rsidRDefault="29E65A09" w:rsidP="000A568F">
      <w:pPr>
        <w:pStyle w:val="ListParagraph"/>
        <w:numPr>
          <w:ilvl w:val="0"/>
          <w:numId w:val="39"/>
        </w:numPr>
      </w:pPr>
      <w:r>
        <w:t xml:space="preserve">This option does not take into account differences between applicants and that some applications might cost more to process than others. </w:t>
      </w:r>
    </w:p>
    <w:p w14:paraId="35E12881" w14:textId="461BA811" w:rsidR="00400C90" w:rsidRDefault="29E65A09" w:rsidP="000A568F">
      <w:pPr>
        <w:pStyle w:val="ListParagraph"/>
        <w:numPr>
          <w:ilvl w:val="0"/>
          <w:numId w:val="39"/>
        </w:numPr>
      </w:pPr>
      <w:r>
        <w:t xml:space="preserve">The risk of setting a fixed fee in circumstances where the Commission has yet to consider a renewal application is that there could be a discrepancy between the renewal fee paid and the actual costs of the Commission to complete the application process. It is difficult, if not impossible, to predict the exact cost of an application. However, the Department has based its detailed costings upon specific information provided by the Commission relating to the expected work involved in the application process. </w:t>
      </w:r>
    </w:p>
    <w:p w14:paraId="204579F1" w14:textId="62C5241B" w:rsidR="00645B5C" w:rsidRDefault="00645B5C" w:rsidP="00B63D5D">
      <w:pPr>
        <w:pStyle w:val="ListParagraph"/>
        <w:numPr>
          <w:ilvl w:val="0"/>
          <w:numId w:val="39"/>
        </w:numPr>
      </w:pPr>
      <w:r>
        <w:br w:type="page"/>
      </w:r>
    </w:p>
    <w:p w14:paraId="204579F2" w14:textId="7B2C5784" w:rsidR="00BE3B49" w:rsidRPr="009E4272" w:rsidRDefault="00BE3B49" w:rsidP="003B2B76">
      <w:pPr>
        <w:pStyle w:val="Heading2"/>
      </w:pPr>
      <w:bookmarkStart w:id="13" w:name="_Toc485653642"/>
      <w:r>
        <w:t xml:space="preserve">Option </w:t>
      </w:r>
      <w:r w:rsidR="00F46451">
        <w:t>Two</w:t>
      </w:r>
      <w:r>
        <w:t xml:space="preserve">: </w:t>
      </w:r>
      <w:r w:rsidR="005D1B79">
        <w:t>two-t</w:t>
      </w:r>
      <w:r w:rsidR="009C1776">
        <w:t xml:space="preserve">ier fee structure: </w:t>
      </w:r>
      <w:r w:rsidR="00B70507">
        <w:t xml:space="preserve">fixed </w:t>
      </w:r>
      <w:r w:rsidR="003B2B76">
        <w:t xml:space="preserve">fee + </w:t>
      </w:r>
      <w:r w:rsidR="00EF7397">
        <w:t xml:space="preserve">variable </w:t>
      </w:r>
      <w:bookmarkEnd w:id="13"/>
      <w:r w:rsidR="007F77FA">
        <w:t>adjustment</w:t>
      </w:r>
    </w:p>
    <w:p w14:paraId="204579F3" w14:textId="77777777" w:rsidR="006F4D74" w:rsidRDefault="29E65A09" w:rsidP="00DF78D3">
      <w:pPr>
        <w:pStyle w:val="ListParagraph"/>
        <w:numPr>
          <w:ilvl w:val="0"/>
          <w:numId w:val="39"/>
        </w:numPr>
      </w:pPr>
      <w:r>
        <w:t>This option would calculate the renewal fee using a combination of two fee types:</w:t>
      </w:r>
    </w:p>
    <w:p w14:paraId="204579F4" w14:textId="7C0EA37E" w:rsidR="006F4D74" w:rsidRDefault="29E65A09" w:rsidP="00DF78D3">
      <w:pPr>
        <w:pStyle w:val="ListParagraph"/>
        <w:numPr>
          <w:ilvl w:val="0"/>
          <w:numId w:val="37"/>
        </w:numPr>
      </w:pPr>
      <w:r>
        <w:t>an initial, fixed fee would be payable by all applicants upon application; and</w:t>
      </w:r>
    </w:p>
    <w:p w14:paraId="204579F5" w14:textId="1ABA2FFB" w:rsidR="006F4D74" w:rsidRDefault="29E65A09" w:rsidP="006F4D74">
      <w:pPr>
        <w:pStyle w:val="ListParagraph"/>
        <w:numPr>
          <w:ilvl w:val="0"/>
          <w:numId w:val="37"/>
        </w:numPr>
      </w:pPr>
      <w:r>
        <w:t xml:space="preserve">an adjustment once the application had been decided, resulting in: </w:t>
      </w:r>
    </w:p>
    <w:p w14:paraId="204579F6" w14:textId="7790AC28" w:rsidR="006F4D74" w:rsidRDefault="29E65A09" w:rsidP="006F4D74">
      <w:pPr>
        <w:pStyle w:val="ListParagraph"/>
        <w:numPr>
          <w:ilvl w:val="1"/>
          <w:numId w:val="37"/>
        </w:numPr>
      </w:pPr>
      <w:r>
        <w:t>a reimbursement to the applicant if the actual costs incurred were less than the fee already paid; or</w:t>
      </w:r>
    </w:p>
    <w:p w14:paraId="204579F7" w14:textId="04297232" w:rsidR="006F4D74" w:rsidRDefault="29E65A09" w:rsidP="006F4D74">
      <w:pPr>
        <w:pStyle w:val="ListParagraph"/>
        <w:numPr>
          <w:ilvl w:val="1"/>
          <w:numId w:val="37"/>
        </w:numPr>
      </w:pPr>
      <w:r>
        <w:t>an additional payment by the applicant if the actual costs incurred were less than the fee already paid.</w:t>
      </w:r>
    </w:p>
    <w:p w14:paraId="39542418" w14:textId="4FFE6695" w:rsidR="00192376" w:rsidRDefault="29E65A09" w:rsidP="00395663">
      <w:pPr>
        <w:pStyle w:val="Bullet"/>
        <w:numPr>
          <w:ilvl w:val="0"/>
          <w:numId w:val="39"/>
        </w:numPr>
      </w:pPr>
      <w:r>
        <w:t>The fixed fee will be $151,000, based on the same estimates as under option one.</w:t>
      </w:r>
    </w:p>
    <w:p w14:paraId="204579F8" w14:textId="62A2944C" w:rsidR="00395663" w:rsidRDefault="29E65A09" w:rsidP="00395663">
      <w:pPr>
        <w:pStyle w:val="Bullet"/>
        <w:numPr>
          <w:ilvl w:val="0"/>
          <w:numId w:val="39"/>
        </w:numPr>
      </w:pPr>
      <w:r>
        <w:t xml:space="preserve">In terms of the adjustment, a cap will be put in place specifying the maximum amount over which the total renewal fee must not exceed, regardless of the Commission’s total costs. </w:t>
      </w:r>
    </w:p>
    <w:p w14:paraId="65149B9C" w14:textId="0F06328C" w:rsidR="005E0C20" w:rsidRDefault="29E65A09" w:rsidP="00395663">
      <w:pPr>
        <w:pStyle w:val="Bullet"/>
        <w:numPr>
          <w:ilvl w:val="0"/>
          <w:numId w:val="39"/>
        </w:numPr>
      </w:pPr>
      <w:r>
        <w:t>The cap will be set at $200,000.</w:t>
      </w:r>
    </w:p>
    <w:p w14:paraId="204579F9" w14:textId="7505CD4C" w:rsidR="00AF2327" w:rsidRDefault="29E65A09" w:rsidP="00AF2327">
      <w:pPr>
        <w:pStyle w:val="Bullet"/>
        <w:numPr>
          <w:ilvl w:val="0"/>
          <w:numId w:val="39"/>
        </w:numPr>
      </w:pPr>
      <w:r>
        <w:t xml:space="preserve">The tables in </w:t>
      </w:r>
      <w:r w:rsidRPr="29E65A09">
        <w:rPr>
          <w:b/>
          <w:bCs/>
        </w:rPr>
        <w:t>Appendix B</w:t>
      </w:r>
      <w:r>
        <w:t xml:space="preserve"> set out the data and estimated costs, as at 20 June 2017, upon which the renewal fee is calculated under this option.</w:t>
      </w:r>
    </w:p>
    <w:p w14:paraId="40F14713" w14:textId="77777777" w:rsidR="00192376" w:rsidRDefault="00192376" w:rsidP="003E1D9C">
      <w:pPr>
        <w:pStyle w:val="Heading3"/>
      </w:pPr>
    </w:p>
    <w:p w14:paraId="204579FF" w14:textId="4513C6C1" w:rsidR="003E1D9C" w:rsidRDefault="29E65A09" w:rsidP="003E1D9C">
      <w:pPr>
        <w:pStyle w:val="Heading3"/>
      </w:pPr>
      <w:r>
        <w:t>Benefits and risks of option two</w:t>
      </w:r>
    </w:p>
    <w:p w14:paraId="094D398A" w14:textId="77777777" w:rsidR="006E690C" w:rsidRDefault="29E65A09" w:rsidP="00236DAC">
      <w:pPr>
        <w:pStyle w:val="ListParagraph"/>
        <w:numPr>
          <w:ilvl w:val="0"/>
          <w:numId w:val="39"/>
        </w:numPr>
      </w:pPr>
      <w:r>
        <w:t xml:space="preserve">This option offers the greatest fairness both to applicants and the public generally. It recognises that the cost of processing applications could vary depending on the specific application and ensures that the full cost is paid by the applicant and does not fall on the taxpayer. </w:t>
      </w:r>
    </w:p>
    <w:p w14:paraId="5F2B3B21" w14:textId="7E154858" w:rsidR="00B37467" w:rsidRDefault="29E65A09" w:rsidP="00AF6D28">
      <w:pPr>
        <w:pStyle w:val="ListParagraph"/>
        <w:numPr>
          <w:ilvl w:val="0"/>
          <w:numId w:val="39"/>
        </w:numPr>
      </w:pPr>
      <w:r>
        <w:t>The provision for adjustment of the renewal fee where it differs from the initial fixed fee acts as a safeguard against over or under-recovery of costs by the Commission. This will enable more effective cost recovery and will be fully transparent as to actual costs.</w:t>
      </w:r>
    </w:p>
    <w:p w14:paraId="20457A01" w14:textId="297C711E" w:rsidR="008B5B4A" w:rsidRDefault="29E65A09" w:rsidP="00DF78D3">
      <w:pPr>
        <w:pStyle w:val="ListParagraph"/>
        <w:numPr>
          <w:ilvl w:val="0"/>
          <w:numId w:val="39"/>
        </w:numPr>
      </w:pPr>
      <w:r>
        <w:t>However this option offers the applicant less certainty than option one as to the total renewal fee payable. Implementation of this option will be slightly less effective because of the uncertainty as to the amount of the adjustment that may fall due upon completion of the application.</w:t>
      </w:r>
    </w:p>
    <w:p w14:paraId="7F79FB01" w14:textId="77777777" w:rsidR="00DA42DA" w:rsidRDefault="00DA42DA" w:rsidP="008B5B4A">
      <w:pPr>
        <w:pStyle w:val="ListParagraph"/>
        <w:ind w:left="567"/>
      </w:pPr>
    </w:p>
    <w:p w14:paraId="17EBC5E4" w14:textId="77777777" w:rsidR="00DA42DA" w:rsidRDefault="00DA42DA" w:rsidP="008B5B4A">
      <w:pPr>
        <w:pStyle w:val="ListParagraph"/>
        <w:ind w:left="567"/>
      </w:pPr>
    </w:p>
    <w:p w14:paraId="0B18F3E5" w14:textId="77777777" w:rsidR="00DA42DA" w:rsidRPr="00B63D5D" w:rsidRDefault="00DA42DA" w:rsidP="00DA42DA">
      <w:pPr>
        <w:pStyle w:val="ListParagraph"/>
        <w:ind w:left="567"/>
        <w:rPr>
          <w:color w:val="FF0000"/>
        </w:rPr>
      </w:pPr>
    </w:p>
    <w:p w14:paraId="20457A03" w14:textId="77777777" w:rsidR="00CE2FDF" w:rsidRDefault="00CE2FDF" w:rsidP="008B5B4A">
      <w:pPr>
        <w:pStyle w:val="ListParagraph"/>
        <w:ind w:left="567"/>
      </w:pPr>
    </w:p>
    <w:p w14:paraId="20457A04" w14:textId="7E087DD6" w:rsidR="00CE2FDF" w:rsidRDefault="00CE2FDF" w:rsidP="008B5B4A">
      <w:pPr>
        <w:pStyle w:val="ListParagraph"/>
        <w:ind w:left="567"/>
      </w:pPr>
    </w:p>
    <w:p w14:paraId="20457A05" w14:textId="77777777" w:rsidR="00CE2FDF" w:rsidRDefault="00CE2FDF" w:rsidP="008B5B4A">
      <w:pPr>
        <w:pStyle w:val="ListParagraph"/>
        <w:ind w:left="567"/>
      </w:pPr>
    </w:p>
    <w:p w14:paraId="20457A06" w14:textId="77777777" w:rsidR="00CE2FDF" w:rsidRDefault="00CE2FDF" w:rsidP="008B5B4A">
      <w:pPr>
        <w:pStyle w:val="ListParagraph"/>
        <w:ind w:left="567"/>
      </w:pPr>
    </w:p>
    <w:p w14:paraId="264FA198" w14:textId="77777777" w:rsidR="001A036D" w:rsidRDefault="001A036D" w:rsidP="00703F10">
      <w:pPr>
        <w:pStyle w:val="Heading2"/>
      </w:pPr>
      <w:r>
        <w:br w:type="page"/>
      </w:r>
    </w:p>
    <w:p w14:paraId="20457A0D" w14:textId="7383E75C" w:rsidR="00B866EF" w:rsidRDefault="001A036D" w:rsidP="001A036D">
      <w:pPr>
        <w:pStyle w:val="Heading1"/>
      </w:pPr>
      <w:bookmarkStart w:id="14" w:name="_Toc485653643"/>
      <w:r>
        <w:t>Monitoring, evaluation and review</w:t>
      </w:r>
      <w:bookmarkEnd w:id="14"/>
    </w:p>
    <w:p w14:paraId="24B96510" w14:textId="6298BF2C" w:rsidR="002B76A3" w:rsidRDefault="29E65A09" w:rsidP="002B76A3">
      <w:pPr>
        <w:pStyle w:val="ListParagraph"/>
        <w:numPr>
          <w:ilvl w:val="0"/>
          <w:numId w:val="39"/>
        </w:numPr>
      </w:pPr>
      <w:r>
        <w:t>The Department will monitor the effect of the renewal fee following its implementation. The Department’s intention is to review the renewal fee as part of the next review of all gambling fees in 2017/18, or earlier if necessary.</w:t>
      </w:r>
    </w:p>
    <w:p w14:paraId="72E7DA20" w14:textId="2DFD6CFF" w:rsidR="008E0D0F" w:rsidRDefault="008E0D0F" w:rsidP="008E0D0F"/>
    <w:p w14:paraId="20457A10" w14:textId="6E4B2D87" w:rsidR="00703F10" w:rsidRDefault="008E0D0F" w:rsidP="008E0D0F">
      <w:r>
        <w:rPr>
          <w:noProof/>
          <w:lang w:eastAsia="en-NZ"/>
        </w:rPr>
        <mc:AlternateContent>
          <mc:Choice Requires="wps">
            <w:drawing>
              <wp:anchor distT="0" distB="0" distL="114300" distR="114300" simplePos="0" relativeHeight="251659264" behindDoc="0" locked="0" layoutInCell="1" allowOverlap="1" wp14:anchorId="4461CF06" wp14:editId="072264CB">
                <wp:simplePos x="0" y="0"/>
                <wp:positionH relativeFrom="column">
                  <wp:posOffset>-7295</wp:posOffset>
                </wp:positionH>
                <wp:positionV relativeFrom="paragraph">
                  <wp:posOffset>305465</wp:posOffset>
                </wp:positionV>
                <wp:extent cx="5762846" cy="1977655"/>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6" cy="1977655"/>
                        </a:xfrm>
                        <a:prstGeom prst="rect">
                          <a:avLst/>
                        </a:prstGeom>
                        <a:solidFill>
                          <a:srgbClr val="FFFFFF"/>
                        </a:solidFill>
                        <a:ln w="9525">
                          <a:solidFill>
                            <a:srgbClr val="000000"/>
                          </a:solidFill>
                          <a:miter lim="800000"/>
                          <a:headEnd/>
                          <a:tailEnd/>
                        </a:ln>
                      </wps:spPr>
                      <wps:txbx>
                        <w:txbxContent>
                          <w:p w14:paraId="6532FD98" w14:textId="17A84879" w:rsidR="008E0D0F" w:rsidRPr="008E0D0F" w:rsidRDefault="008E0D0F" w:rsidP="008E0D0F">
                            <w:pPr>
                              <w:jc w:val="center"/>
                              <w:rPr>
                                <w:b/>
                                <w:sz w:val="36"/>
                                <w:szCs w:val="36"/>
                              </w:rPr>
                            </w:pPr>
                            <w:r w:rsidRPr="008E0D0F">
                              <w:rPr>
                                <w:b/>
                                <w:sz w:val="36"/>
                                <w:szCs w:val="36"/>
                              </w:rPr>
                              <w:t>Questions for you</w:t>
                            </w:r>
                          </w:p>
                          <w:p w14:paraId="2DF1091F" w14:textId="443218F1" w:rsidR="008E0D0F" w:rsidRDefault="008E0D0F">
                            <w:r>
                              <w:t>What do you think about the two options?</w:t>
                            </w:r>
                          </w:p>
                          <w:p w14:paraId="50F3B9A7" w14:textId="51DB84D9" w:rsidR="008E0D0F" w:rsidRDefault="008E0D0F">
                            <w:r>
                              <w:t>Are there other options that we have not considered? If so, what are they?</w:t>
                            </w:r>
                          </w:p>
                          <w:p w14:paraId="6D844C73" w14:textId="7FCDC009" w:rsidR="008E0D0F" w:rsidRDefault="008E0D0F">
                            <w:r>
                              <w:t>Which option do you prefer?</w:t>
                            </w:r>
                          </w:p>
                          <w:p w14:paraId="134D08C4" w14:textId="476453C7" w:rsidR="008E0D0F" w:rsidRDefault="008E0D0F">
                            <w:r>
                              <w:t>Any other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60F38F">
              <v:shapetype id="_x0000_t202" coordsize="21600,21600" o:spt="202" path="m,l,21600r21600,l21600,xe">
                <v:stroke joinstyle="miter"/>
                <v:path gradientshapeok="t" o:connecttype="rect"/>
              </v:shapetype>
              <v:shape id="Text Box 2" style="position:absolute;margin-left:-.55pt;margin-top:24.05pt;width:453.75pt;height:1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CrJQIAAEc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">
                <v:textbox>
                  <w:txbxContent>
                    <w:p w:rsidRPr="008E0D0F" w:rsidR="008E0D0F" w:rsidP="008E0D0F" w:rsidRDefault="008E0D0F" w14:paraId="72537971" w14:textId="17A84879">
                      <w:pPr>
                        <w:jc w:val="center"/>
                        <w:rPr>
                          <w:b/>
                          <w:sz w:val="36"/>
                          <w:szCs w:val="36"/>
                        </w:rPr>
                      </w:pPr>
                      <w:r w:rsidRPr="008E0D0F">
                        <w:rPr>
                          <w:b/>
                          <w:sz w:val="36"/>
                          <w:szCs w:val="36"/>
                        </w:rPr>
                        <w:t>Questions for you</w:t>
                      </w:r>
                    </w:p>
                    <w:p w:rsidR="008E0D0F" w:rsidRDefault="008E0D0F" w14:paraId="1B9E0E40" w14:textId="443218F1">
                      <w:r>
                        <w:t>What do you think about the two options?</w:t>
                      </w:r>
                    </w:p>
                    <w:p w:rsidR="008E0D0F" w:rsidRDefault="008E0D0F" w14:paraId="30E107DD" w14:textId="51DB84D9">
                      <w:r>
                        <w:t>Are there other options that we have not considered? If so, what are they?</w:t>
                      </w:r>
                    </w:p>
                    <w:p w:rsidR="008E0D0F" w:rsidRDefault="008E0D0F" w14:paraId="1556801A" w14:textId="7FCDC009">
                      <w:r>
                        <w:t>Which option do you prefer?</w:t>
                      </w:r>
                    </w:p>
                    <w:p w:rsidR="008E0D0F" w:rsidRDefault="008E0D0F" w14:paraId="5E96F38A" w14:textId="476453C7">
                      <w:proofErr w:type="gramStart"/>
                      <w:r>
                        <w:t>Any other comments?</w:t>
                      </w:r>
                      <w:proofErr w:type="gramEnd"/>
                    </w:p>
                  </w:txbxContent>
                </v:textbox>
              </v:shape>
            </w:pict>
          </mc:Fallback>
        </mc:AlternateContent>
      </w:r>
      <w:r w:rsidR="005D2008">
        <w:br w:type="page"/>
      </w:r>
    </w:p>
    <w:p w14:paraId="20457A1E" w14:textId="3A590EE2" w:rsidR="00587732" w:rsidRDefault="00455C84" w:rsidP="000B76A4">
      <w:pPr>
        <w:pStyle w:val="Headingappendix"/>
      </w:pPr>
      <w:bookmarkStart w:id="15" w:name="_Toc485653644"/>
      <w:r>
        <w:t xml:space="preserve">Casino venue licence </w:t>
      </w:r>
      <w:r w:rsidR="00DA42DA">
        <w:t xml:space="preserve">application </w:t>
      </w:r>
      <w:r w:rsidR="00587732">
        <w:t>process</w:t>
      </w:r>
      <w:bookmarkEnd w:id="15"/>
    </w:p>
    <w:p w14:paraId="20457A1F" w14:textId="77777777" w:rsidR="002017E6" w:rsidRPr="002017E6" w:rsidRDefault="002017E6" w:rsidP="002017E6"/>
    <w:p w14:paraId="20457A20" w14:textId="059CD463" w:rsidR="00CB2A66" w:rsidRPr="00CB2A66" w:rsidRDefault="0042066D" w:rsidP="00CB2A66">
      <w:r w:rsidRPr="00687B04">
        <w:rPr>
          <w:noProof/>
          <w:lang w:eastAsia="en-NZ"/>
        </w:rPr>
        <w:drawing>
          <wp:inline distT="0" distB="0" distL="0" distR="0" wp14:anchorId="5927DC5B" wp14:editId="2B3EB47F">
            <wp:extent cx="5256842" cy="625415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3742" t="8782" r="10843" b="4286"/>
                    <a:stretch/>
                  </pic:blipFill>
                  <pic:spPr bwMode="auto">
                    <a:xfrm>
                      <a:off x="0" y="0"/>
                      <a:ext cx="5269975" cy="6269776"/>
                    </a:xfrm>
                    <a:prstGeom prst="rect">
                      <a:avLst/>
                    </a:prstGeom>
                    <a:noFill/>
                    <a:ln>
                      <a:noFill/>
                    </a:ln>
                    <a:extLst>
                      <a:ext uri="{53640926-AAD7-44D8-BBD7-CCE9431645EC}">
                        <a14:shadowObscured xmlns:a14="http://schemas.microsoft.com/office/drawing/2010/main"/>
                      </a:ext>
                    </a:extLst>
                  </pic:spPr>
                </pic:pic>
              </a:graphicData>
            </a:graphic>
          </wp:inline>
        </w:drawing>
      </w:r>
    </w:p>
    <w:p w14:paraId="20457A21" w14:textId="77777777" w:rsidR="00587732" w:rsidRPr="00587732" w:rsidRDefault="00587732" w:rsidP="00587732"/>
    <w:p w14:paraId="20457A22" w14:textId="77777777" w:rsidR="000E57D4" w:rsidRDefault="000E57D4" w:rsidP="00023876"/>
    <w:p w14:paraId="20457A23" w14:textId="77777777" w:rsidR="00023876" w:rsidRDefault="00023876" w:rsidP="00023876"/>
    <w:p w14:paraId="20457A24" w14:textId="77777777" w:rsidR="00023876" w:rsidRPr="00023876" w:rsidRDefault="00023876" w:rsidP="00023876"/>
    <w:p w14:paraId="20457A25" w14:textId="77777777" w:rsidR="00F81674" w:rsidRDefault="00DA2BBE" w:rsidP="000B76A4">
      <w:pPr>
        <w:pStyle w:val="Headingappendix"/>
      </w:pPr>
      <w:bookmarkStart w:id="16" w:name="_Toc485653645"/>
      <w:r>
        <w:t>Detailed costing tables</w:t>
      </w:r>
      <w:bookmarkEnd w:id="16"/>
    </w:p>
    <w:p w14:paraId="20457A26" w14:textId="77FFBEC8" w:rsidR="00F91B21" w:rsidRDefault="29E65A09" w:rsidP="00F81674">
      <w:r>
        <w:t>In line with government policy aimed at increasing transparency, the Department has followed an open book approach in disclosing costs.</w:t>
      </w:r>
    </w:p>
    <w:p w14:paraId="3AFEEAFC" w14:textId="166B3BAD" w:rsidR="00C81067" w:rsidRDefault="29E65A09" w:rsidP="00C81067">
      <w:r>
        <w:t>The key costs attached to the application process all relate to direct costs of the Commissioners, other human resources, and travel related and other expenses (such as venue hire and travel) incurred in the application process.</w:t>
      </w:r>
    </w:p>
    <w:p w14:paraId="5D2AA77F" w14:textId="248E1042" w:rsidR="00C81067" w:rsidRDefault="29E65A09" w:rsidP="00C81067">
      <w:r>
        <w:t xml:space="preserve">The following tables set out the estimated costs for the application process that will provide the basis for setting the renewal fee. </w:t>
      </w:r>
    </w:p>
    <w:p w14:paraId="48689119" w14:textId="77777777" w:rsidR="00C81067" w:rsidRDefault="29E65A09" w:rsidP="00C81067">
      <w:r>
        <w:t>The costs demonstrated in the tables have been calculated on the following assumptions:</w:t>
      </w:r>
    </w:p>
    <w:p w14:paraId="6E933D60" w14:textId="77777777" w:rsidR="00C81067" w:rsidRDefault="29E65A09" w:rsidP="00C81067">
      <w:pPr>
        <w:pStyle w:val="ListParagraph"/>
        <w:numPr>
          <w:ilvl w:val="0"/>
          <w:numId w:val="45"/>
        </w:numPr>
      </w:pPr>
      <w:r>
        <w:t>two public hearings will be held, each of one to two days length;</w:t>
      </w:r>
    </w:p>
    <w:p w14:paraId="21A68F27" w14:textId="77777777" w:rsidR="00C81067" w:rsidRDefault="29E65A09" w:rsidP="00C81067">
      <w:pPr>
        <w:pStyle w:val="ListParagraph"/>
        <w:numPr>
          <w:ilvl w:val="0"/>
          <w:numId w:val="45"/>
        </w:numPr>
      </w:pPr>
      <w:r>
        <w:t>three days of Commissioner and Secretariat time per hearing, comprised of the hearings, travel and preparation and debrief; and</w:t>
      </w:r>
    </w:p>
    <w:p w14:paraId="0DCE87A3" w14:textId="77777777" w:rsidR="00C81067" w:rsidRDefault="29E65A09" w:rsidP="00C81067">
      <w:pPr>
        <w:pStyle w:val="ListParagraph"/>
        <w:numPr>
          <w:ilvl w:val="0"/>
          <w:numId w:val="45"/>
        </w:numPr>
      </w:pPr>
      <w:r>
        <w:t>one and a half days of legal advisor time per hearing.</w:t>
      </w:r>
    </w:p>
    <w:p w14:paraId="12B0096C" w14:textId="260646BE" w:rsidR="00C81067" w:rsidRPr="007E4370" w:rsidRDefault="29E65A09" w:rsidP="00C81067">
      <w:pPr>
        <w:sectPr w:rsidR="00C81067" w:rsidRPr="007E4370" w:rsidSect="004518B7">
          <w:footerReference w:type="default" r:id="rId21"/>
          <w:pgSz w:w="11907" w:h="16840" w:code="9"/>
          <w:pgMar w:top="1418" w:right="1418" w:bottom="992" w:left="1418" w:header="425" w:footer="641" w:gutter="0"/>
          <w:pgNumType w:start="1"/>
          <w:cols w:space="708"/>
          <w:docGrid w:linePitch="360"/>
        </w:sectPr>
      </w:pPr>
      <w:r>
        <w:t xml:space="preserve">Where possible, the figures have been calculated according to assumptions made by the Commission and the Department about the dollar rate applying to each activity. In some cases these rates are certain, such as Commissioners’ fees. Other rates such as flights and accommodation costs have been assumed based on the average cost of that activity. </w:t>
      </w:r>
    </w:p>
    <w:p w14:paraId="20457A49" w14:textId="23CE8AB7" w:rsidR="005B227F" w:rsidRDefault="005B227F">
      <w:pPr>
        <w:keepLines w:val="0"/>
        <w:rPr>
          <w:b/>
        </w:rPr>
      </w:pPr>
    </w:p>
    <w:p w14:paraId="20457A4A" w14:textId="568FB8CE" w:rsidR="00F81674" w:rsidRPr="00F81674" w:rsidRDefault="29E65A09" w:rsidP="29E65A09">
      <w:pPr>
        <w:rPr>
          <w:b/>
          <w:bCs/>
        </w:rPr>
      </w:pPr>
      <w:r w:rsidRPr="29E65A09">
        <w:rPr>
          <w:b/>
          <w:bCs/>
        </w:rPr>
        <w:t xml:space="preserve">Table 2: Estimated costs by activity and duration  </w:t>
      </w:r>
    </w:p>
    <w:tbl>
      <w:tblPr>
        <w:tblStyle w:val="DIATable"/>
        <w:tblW w:w="5000" w:type="pct"/>
        <w:tblInd w:w="0" w:type="dxa"/>
        <w:tblLook w:val="04A0" w:firstRow="1" w:lastRow="0" w:firstColumn="1" w:lastColumn="0" w:noHBand="0" w:noVBand="1"/>
      </w:tblPr>
      <w:tblGrid>
        <w:gridCol w:w="3787"/>
        <w:gridCol w:w="1198"/>
        <w:gridCol w:w="2151"/>
        <w:gridCol w:w="2151"/>
      </w:tblGrid>
      <w:tr w:rsidR="00F81674" w14:paraId="20457A4F" w14:textId="77777777" w:rsidTr="29E65A09">
        <w:trPr>
          <w:cnfStyle w:val="100000000000" w:firstRow="1" w:lastRow="0" w:firstColumn="0" w:lastColumn="0" w:oddVBand="0" w:evenVBand="0" w:oddHBand="0" w:evenHBand="0" w:firstRowFirstColumn="0" w:firstRowLastColumn="0" w:lastRowFirstColumn="0" w:lastRowLastColumn="0"/>
        </w:trPr>
        <w:tc>
          <w:tcPr>
            <w:tcW w:w="2039" w:type="pct"/>
          </w:tcPr>
          <w:p w14:paraId="20457A4B" w14:textId="77777777" w:rsidR="00F81674" w:rsidRDefault="29E65A09" w:rsidP="00455C84">
            <w:r>
              <w:t>Activity</w:t>
            </w:r>
          </w:p>
        </w:tc>
        <w:tc>
          <w:tcPr>
            <w:tcW w:w="645" w:type="pct"/>
          </w:tcPr>
          <w:p w14:paraId="20457A4C" w14:textId="77777777" w:rsidR="00F81674" w:rsidRDefault="29E65A09" w:rsidP="00455C84">
            <w:r>
              <w:t>Estimated duration (days)</w:t>
            </w:r>
          </w:p>
        </w:tc>
        <w:tc>
          <w:tcPr>
            <w:tcW w:w="1158" w:type="pct"/>
          </w:tcPr>
          <w:p w14:paraId="20457A4D" w14:textId="77777777" w:rsidR="00F81674" w:rsidRDefault="29E65A09" w:rsidP="0010431A">
            <w:r>
              <w:t>Cost for total duration</w:t>
            </w:r>
          </w:p>
        </w:tc>
        <w:tc>
          <w:tcPr>
            <w:tcW w:w="1158" w:type="pct"/>
          </w:tcPr>
          <w:p w14:paraId="20457A4E" w14:textId="77777777" w:rsidR="00F81674" w:rsidRDefault="29E65A09" w:rsidP="00455C84">
            <w:r>
              <w:t>Total estimated cost</w:t>
            </w:r>
          </w:p>
        </w:tc>
      </w:tr>
      <w:tr w:rsidR="00F81674" w14:paraId="20457A52" w14:textId="77777777" w:rsidTr="29E65A09">
        <w:tc>
          <w:tcPr>
            <w:tcW w:w="3842" w:type="pct"/>
            <w:gridSpan w:val="3"/>
            <w:shd w:val="clear" w:color="auto" w:fill="000000" w:themeFill="text1"/>
          </w:tcPr>
          <w:p w14:paraId="20457A50" w14:textId="77777777" w:rsidR="00F81674" w:rsidRPr="00683DE0" w:rsidRDefault="29E65A09" w:rsidP="29E65A09">
            <w:pPr>
              <w:rPr>
                <w:b/>
                <w:bCs/>
              </w:rPr>
            </w:pPr>
            <w:r w:rsidRPr="29E65A09">
              <w:rPr>
                <w:b/>
                <w:bCs/>
              </w:rPr>
              <w:t>Pre-application</w:t>
            </w:r>
          </w:p>
        </w:tc>
        <w:tc>
          <w:tcPr>
            <w:tcW w:w="1158" w:type="pct"/>
            <w:shd w:val="clear" w:color="auto" w:fill="000000" w:themeFill="text1"/>
          </w:tcPr>
          <w:p w14:paraId="20457A51" w14:textId="77777777" w:rsidR="00F81674" w:rsidRPr="00683DE0" w:rsidRDefault="00F81674" w:rsidP="00455C84">
            <w:pPr>
              <w:rPr>
                <w:b/>
              </w:rPr>
            </w:pPr>
          </w:p>
        </w:tc>
      </w:tr>
      <w:tr w:rsidR="00F81674" w14:paraId="20457A57" w14:textId="77777777" w:rsidTr="29E65A09">
        <w:tc>
          <w:tcPr>
            <w:tcW w:w="2039" w:type="pct"/>
          </w:tcPr>
          <w:p w14:paraId="20457A53" w14:textId="381C2A78" w:rsidR="00F81674" w:rsidRDefault="29E65A09" w:rsidP="00333655">
            <w:r>
              <w:t>Commissioners’ fees (Chief Gambling Commissioner and 4 Commissioners)</w:t>
            </w:r>
          </w:p>
        </w:tc>
        <w:tc>
          <w:tcPr>
            <w:tcW w:w="645" w:type="pct"/>
          </w:tcPr>
          <w:p w14:paraId="20457A54" w14:textId="77777777" w:rsidR="00F81674" w:rsidRDefault="29E65A09" w:rsidP="00455C84">
            <w:r>
              <w:t>1</w:t>
            </w:r>
          </w:p>
        </w:tc>
        <w:tc>
          <w:tcPr>
            <w:tcW w:w="1158" w:type="pct"/>
          </w:tcPr>
          <w:p w14:paraId="20457A55" w14:textId="77777777" w:rsidR="00F81674" w:rsidRDefault="00F81674" w:rsidP="00455C84"/>
        </w:tc>
        <w:tc>
          <w:tcPr>
            <w:tcW w:w="1158" w:type="pct"/>
          </w:tcPr>
          <w:p w14:paraId="20457A56" w14:textId="77777777" w:rsidR="00F81674" w:rsidRDefault="29E65A09" w:rsidP="00455C84">
            <w:r>
              <w:t>$2,650.00</w:t>
            </w:r>
          </w:p>
        </w:tc>
      </w:tr>
      <w:tr w:rsidR="00F81674" w14:paraId="20457A5C" w14:textId="77777777" w:rsidTr="29E65A09">
        <w:tc>
          <w:tcPr>
            <w:tcW w:w="2039" w:type="pct"/>
          </w:tcPr>
          <w:p w14:paraId="20457A58" w14:textId="5C74C4BE" w:rsidR="00F81674" w:rsidRDefault="29E65A09" w:rsidP="00333655">
            <w:r>
              <w:t xml:space="preserve">Legal expenses and advice </w:t>
            </w:r>
          </w:p>
        </w:tc>
        <w:tc>
          <w:tcPr>
            <w:tcW w:w="645" w:type="pct"/>
          </w:tcPr>
          <w:p w14:paraId="20457A59" w14:textId="77777777" w:rsidR="00F81674" w:rsidRDefault="00F81674" w:rsidP="00455C84"/>
        </w:tc>
        <w:tc>
          <w:tcPr>
            <w:tcW w:w="1158" w:type="pct"/>
          </w:tcPr>
          <w:p w14:paraId="20457A5A" w14:textId="77777777" w:rsidR="00F81674" w:rsidRDefault="00F81674" w:rsidP="00455C84"/>
        </w:tc>
        <w:tc>
          <w:tcPr>
            <w:tcW w:w="1158" w:type="pct"/>
          </w:tcPr>
          <w:p w14:paraId="20457A5B" w14:textId="77777777" w:rsidR="00F81674" w:rsidRDefault="29E65A09" w:rsidP="00455C84">
            <w:r>
              <w:t>$3,750.00</w:t>
            </w:r>
          </w:p>
        </w:tc>
      </w:tr>
      <w:tr w:rsidR="00F81674" w14:paraId="20457A61" w14:textId="77777777" w:rsidTr="29E65A09">
        <w:tc>
          <w:tcPr>
            <w:tcW w:w="2039" w:type="pct"/>
          </w:tcPr>
          <w:p w14:paraId="20457A5D" w14:textId="0F60A8BE" w:rsidR="00F81674" w:rsidRDefault="29E65A09" w:rsidP="00333655">
            <w:r>
              <w:t>Chief Gambling Commissioner and Executive Director travel to meet local Council:</w:t>
            </w:r>
          </w:p>
        </w:tc>
        <w:tc>
          <w:tcPr>
            <w:tcW w:w="645" w:type="pct"/>
          </w:tcPr>
          <w:p w14:paraId="20457A5E" w14:textId="77777777" w:rsidR="00F81674" w:rsidRDefault="29E65A09" w:rsidP="00455C84">
            <w:r>
              <w:t>1</w:t>
            </w:r>
          </w:p>
        </w:tc>
        <w:tc>
          <w:tcPr>
            <w:tcW w:w="1158" w:type="pct"/>
          </w:tcPr>
          <w:p w14:paraId="20457A5F" w14:textId="77777777" w:rsidR="00F81674" w:rsidRDefault="00F81674" w:rsidP="00455C84"/>
        </w:tc>
        <w:tc>
          <w:tcPr>
            <w:tcW w:w="1158" w:type="pct"/>
          </w:tcPr>
          <w:p w14:paraId="20457A60" w14:textId="77777777" w:rsidR="00F81674" w:rsidRDefault="00F81674" w:rsidP="00455C84"/>
        </w:tc>
      </w:tr>
      <w:tr w:rsidR="00F81674" w14:paraId="20457A66" w14:textId="77777777" w:rsidTr="29E65A09">
        <w:tc>
          <w:tcPr>
            <w:tcW w:w="2039" w:type="pct"/>
          </w:tcPr>
          <w:p w14:paraId="20457A62" w14:textId="77777777" w:rsidR="00F81674" w:rsidRPr="0023229C" w:rsidRDefault="29E65A09" w:rsidP="00F81674">
            <w:pPr>
              <w:pStyle w:val="ListParagraph"/>
              <w:numPr>
                <w:ilvl w:val="0"/>
                <w:numId w:val="44"/>
              </w:numPr>
              <w:spacing w:before="56" w:after="32"/>
            </w:pPr>
            <w:r>
              <w:t>Fees</w:t>
            </w:r>
          </w:p>
        </w:tc>
        <w:tc>
          <w:tcPr>
            <w:tcW w:w="645" w:type="pct"/>
          </w:tcPr>
          <w:p w14:paraId="20457A63" w14:textId="77777777" w:rsidR="00F81674" w:rsidRPr="00AB70F2" w:rsidRDefault="00F81674" w:rsidP="00455C84">
            <w:pPr>
              <w:rPr>
                <w:u w:val="single"/>
              </w:rPr>
            </w:pPr>
          </w:p>
        </w:tc>
        <w:tc>
          <w:tcPr>
            <w:tcW w:w="1158" w:type="pct"/>
          </w:tcPr>
          <w:p w14:paraId="20457A64" w14:textId="77777777" w:rsidR="00F81674" w:rsidRPr="0023229C" w:rsidRDefault="29E65A09" w:rsidP="00455C84">
            <w:r>
              <w:t>$750.00</w:t>
            </w:r>
          </w:p>
        </w:tc>
        <w:tc>
          <w:tcPr>
            <w:tcW w:w="1158" w:type="pct"/>
          </w:tcPr>
          <w:p w14:paraId="20457A65" w14:textId="77777777" w:rsidR="00F81674" w:rsidRPr="0023229C" w:rsidRDefault="00F81674" w:rsidP="00455C84"/>
        </w:tc>
      </w:tr>
      <w:tr w:rsidR="00F81674" w14:paraId="20457A6B" w14:textId="77777777" w:rsidTr="29E65A09">
        <w:tc>
          <w:tcPr>
            <w:tcW w:w="2039" w:type="pct"/>
          </w:tcPr>
          <w:p w14:paraId="20457A67" w14:textId="2D81E28D" w:rsidR="00F81674" w:rsidRPr="00491D0B" w:rsidRDefault="29E65A09" w:rsidP="00491D0B">
            <w:pPr>
              <w:pStyle w:val="ListParagraph"/>
              <w:numPr>
                <w:ilvl w:val="0"/>
                <w:numId w:val="44"/>
              </w:numPr>
              <w:spacing w:before="56" w:after="32"/>
            </w:pPr>
            <w:r>
              <w:t>Travel related expenses</w:t>
            </w:r>
          </w:p>
        </w:tc>
        <w:tc>
          <w:tcPr>
            <w:tcW w:w="645" w:type="pct"/>
          </w:tcPr>
          <w:p w14:paraId="20457A68" w14:textId="77777777" w:rsidR="00F81674" w:rsidRPr="00AB70F2" w:rsidRDefault="00F81674" w:rsidP="00455C84">
            <w:pPr>
              <w:rPr>
                <w:u w:val="single"/>
              </w:rPr>
            </w:pPr>
          </w:p>
        </w:tc>
        <w:tc>
          <w:tcPr>
            <w:tcW w:w="1158" w:type="pct"/>
          </w:tcPr>
          <w:p w14:paraId="20457A69" w14:textId="37A92CDF" w:rsidR="00F81674" w:rsidRPr="00683DE0" w:rsidRDefault="29E65A09" w:rsidP="00491D0B">
            <w:r>
              <w:t>$1,400.00</w:t>
            </w:r>
          </w:p>
        </w:tc>
        <w:tc>
          <w:tcPr>
            <w:tcW w:w="1158" w:type="pct"/>
          </w:tcPr>
          <w:p w14:paraId="20457A6A" w14:textId="017C6CB4" w:rsidR="00F81674" w:rsidRDefault="29E65A09" w:rsidP="00455C84">
            <w:r>
              <w:t>$2,150.00</w:t>
            </w:r>
          </w:p>
        </w:tc>
      </w:tr>
      <w:tr w:rsidR="00F81674" w14:paraId="20457A75" w14:textId="77777777" w:rsidTr="29E65A09">
        <w:trPr>
          <w:trHeight w:val="397"/>
        </w:trPr>
        <w:tc>
          <w:tcPr>
            <w:tcW w:w="2039" w:type="pct"/>
            <w:shd w:val="clear" w:color="auto" w:fill="D9D9D9" w:themeFill="background1" w:themeFillShade="D9"/>
          </w:tcPr>
          <w:p w14:paraId="20457A71" w14:textId="77777777" w:rsidR="00F81674" w:rsidRPr="00734DE1" w:rsidRDefault="00F81674" w:rsidP="00455C84"/>
        </w:tc>
        <w:tc>
          <w:tcPr>
            <w:tcW w:w="645" w:type="pct"/>
            <w:shd w:val="clear" w:color="auto" w:fill="D9D9D9" w:themeFill="background1" w:themeFillShade="D9"/>
          </w:tcPr>
          <w:p w14:paraId="20457A72" w14:textId="77777777" w:rsidR="00F81674" w:rsidRPr="00734DE1" w:rsidRDefault="29E65A09" w:rsidP="00455C84">
            <w:r>
              <w:t>2</w:t>
            </w:r>
          </w:p>
        </w:tc>
        <w:tc>
          <w:tcPr>
            <w:tcW w:w="1158" w:type="pct"/>
            <w:shd w:val="clear" w:color="auto" w:fill="D9D9D9" w:themeFill="background1" w:themeFillShade="D9"/>
          </w:tcPr>
          <w:p w14:paraId="20457A73" w14:textId="77777777" w:rsidR="00F81674" w:rsidRPr="00734DE1" w:rsidRDefault="00F81674" w:rsidP="00455C84">
            <w:pPr>
              <w:rPr>
                <w:u w:val="single"/>
              </w:rPr>
            </w:pPr>
          </w:p>
        </w:tc>
        <w:tc>
          <w:tcPr>
            <w:tcW w:w="1158" w:type="pct"/>
            <w:shd w:val="clear" w:color="auto" w:fill="D9D9D9" w:themeFill="background1" w:themeFillShade="D9"/>
          </w:tcPr>
          <w:p w14:paraId="20457A74" w14:textId="4E0DA9F3" w:rsidR="00F81674" w:rsidRPr="00734DE1" w:rsidRDefault="29E65A09" w:rsidP="29E65A09">
            <w:pPr>
              <w:rPr>
                <w:u w:val="single"/>
              </w:rPr>
            </w:pPr>
            <w:r w:rsidRPr="29E65A09">
              <w:rPr>
                <w:u w:val="single"/>
              </w:rPr>
              <w:t>$8,550.00</w:t>
            </w:r>
          </w:p>
        </w:tc>
      </w:tr>
      <w:tr w:rsidR="00F81674" w14:paraId="20457A78" w14:textId="77777777" w:rsidTr="29E65A09">
        <w:tc>
          <w:tcPr>
            <w:tcW w:w="3842" w:type="pct"/>
            <w:gridSpan w:val="3"/>
            <w:shd w:val="clear" w:color="auto" w:fill="000000" w:themeFill="text1"/>
          </w:tcPr>
          <w:p w14:paraId="20457A76" w14:textId="228762F4" w:rsidR="00F81674" w:rsidRPr="00683DE0" w:rsidRDefault="29E65A09" w:rsidP="29E65A09">
            <w:pPr>
              <w:rPr>
                <w:b/>
                <w:bCs/>
              </w:rPr>
            </w:pPr>
            <w:r w:rsidRPr="29E65A09">
              <w:rPr>
                <w:b/>
                <w:bCs/>
              </w:rPr>
              <w:t>Application</w:t>
            </w:r>
          </w:p>
        </w:tc>
        <w:tc>
          <w:tcPr>
            <w:tcW w:w="1158" w:type="pct"/>
            <w:shd w:val="clear" w:color="auto" w:fill="000000" w:themeFill="text1"/>
          </w:tcPr>
          <w:p w14:paraId="20457A77" w14:textId="77777777" w:rsidR="00F81674" w:rsidRDefault="00F81674" w:rsidP="00455C84">
            <w:pPr>
              <w:rPr>
                <w:b/>
              </w:rPr>
            </w:pPr>
          </w:p>
        </w:tc>
      </w:tr>
      <w:tr w:rsidR="00B449B9" w14:paraId="20457A7D" w14:textId="77777777" w:rsidTr="29E65A09">
        <w:trPr>
          <w:trHeight w:val="357"/>
        </w:trPr>
        <w:tc>
          <w:tcPr>
            <w:tcW w:w="2039" w:type="pct"/>
          </w:tcPr>
          <w:p w14:paraId="20457A79" w14:textId="3A655589" w:rsidR="00B449B9" w:rsidRDefault="29E65A09" w:rsidP="00BB420A">
            <w:r>
              <w:t>External expert advisor on CIR and renewal process</w:t>
            </w:r>
          </w:p>
        </w:tc>
        <w:tc>
          <w:tcPr>
            <w:tcW w:w="645" w:type="pct"/>
          </w:tcPr>
          <w:p w14:paraId="20457A7A" w14:textId="47745D47" w:rsidR="00B449B9" w:rsidRDefault="29E65A09" w:rsidP="00455C84">
            <w:r>
              <w:t>12</w:t>
            </w:r>
          </w:p>
        </w:tc>
        <w:tc>
          <w:tcPr>
            <w:tcW w:w="1158" w:type="pct"/>
          </w:tcPr>
          <w:p w14:paraId="20457A7B" w14:textId="77777777" w:rsidR="00B449B9" w:rsidRDefault="00B449B9" w:rsidP="00455C84"/>
        </w:tc>
        <w:tc>
          <w:tcPr>
            <w:tcW w:w="1158" w:type="pct"/>
          </w:tcPr>
          <w:p w14:paraId="20457A7C" w14:textId="562B547E" w:rsidR="00B449B9" w:rsidRDefault="29E65A09" w:rsidP="00455C84">
            <w:r>
              <w:t>$18,000.00</w:t>
            </w:r>
          </w:p>
        </w:tc>
      </w:tr>
      <w:tr w:rsidR="00B449B9" w14:paraId="20457A82" w14:textId="77777777" w:rsidTr="29E65A09">
        <w:trPr>
          <w:trHeight w:val="385"/>
        </w:trPr>
        <w:tc>
          <w:tcPr>
            <w:tcW w:w="2039" w:type="pct"/>
            <w:shd w:val="clear" w:color="auto" w:fill="D9D9D9" w:themeFill="background1" w:themeFillShade="D9"/>
          </w:tcPr>
          <w:p w14:paraId="20457A7E" w14:textId="77777777" w:rsidR="00B449B9" w:rsidRPr="00734DE1" w:rsidRDefault="00B449B9" w:rsidP="00455C84"/>
        </w:tc>
        <w:tc>
          <w:tcPr>
            <w:tcW w:w="645" w:type="pct"/>
            <w:shd w:val="clear" w:color="auto" w:fill="D9D9D9" w:themeFill="background1" w:themeFillShade="D9"/>
          </w:tcPr>
          <w:p w14:paraId="20457A7F" w14:textId="77777777" w:rsidR="00B449B9" w:rsidRPr="00734DE1" w:rsidRDefault="00B449B9" w:rsidP="00455C84"/>
        </w:tc>
        <w:tc>
          <w:tcPr>
            <w:tcW w:w="1158" w:type="pct"/>
            <w:shd w:val="clear" w:color="auto" w:fill="D9D9D9" w:themeFill="background1" w:themeFillShade="D9"/>
          </w:tcPr>
          <w:p w14:paraId="20457A80" w14:textId="77777777" w:rsidR="00B449B9" w:rsidRPr="00734DE1" w:rsidRDefault="00B449B9" w:rsidP="00455C84">
            <w:pPr>
              <w:rPr>
                <w:u w:val="single"/>
              </w:rPr>
            </w:pPr>
          </w:p>
        </w:tc>
        <w:tc>
          <w:tcPr>
            <w:tcW w:w="1158" w:type="pct"/>
            <w:shd w:val="clear" w:color="auto" w:fill="D9D9D9" w:themeFill="background1" w:themeFillShade="D9"/>
          </w:tcPr>
          <w:p w14:paraId="20457A81" w14:textId="19F70486" w:rsidR="00B449B9" w:rsidRPr="00734DE1" w:rsidRDefault="29E65A09" w:rsidP="29E65A09">
            <w:pPr>
              <w:rPr>
                <w:u w:val="single"/>
              </w:rPr>
            </w:pPr>
            <w:r w:rsidRPr="29E65A09">
              <w:rPr>
                <w:u w:val="single"/>
              </w:rPr>
              <w:t>$18,000.00</w:t>
            </w:r>
          </w:p>
        </w:tc>
      </w:tr>
      <w:tr w:rsidR="00B449B9" w14:paraId="20457A85" w14:textId="77777777" w:rsidTr="29E65A09">
        <w:tc>
          <w:tcPr>
            <w:tcW w:w="3842" w:type="pct"/>
            <w:gridSpan w:val="3"/>
            <w:shd w:val="clear" w:color="auto" w:fill="000000" w:themeFill="text1"/>
          </w:tcPr>
          <w:p w14:paraId="20457A83" w14:textId="0A18C5CF" w:rsidR="00B449B9" w:rsidRPr="00683DE0" w:rsidRDefault="29E65A09" w:rsidP="29E65A09">
            <w:pPr>
              <w:rPr>
                <w:b/>
                <w:bCs/>
              </w:rPr>
            </w:pPr>
            <w:r w:rsidRPr="29E65A09">
              <w:rPr>
                <w:b/>
                <w:bCs/>
              </w:rPr>
              <w:t>Public consultation</w:t>
            </w:r>
          </w:p>
        </w:tc>
        <w:tc>
          <w:tcPr>
            <w:tcW w:w="1158" w:type="pct"/>
            <w:shd w:val="clear" w:color="auto" w:fill="000000" w:themeFill="text1"/>
          </w:tcPr>
          <w:p w14:paraId="20457A84" w14:textId="77777777" w:rsidR="00B449B9" w:rsidRPr="00683DE0" w:rsidRDefault="00B449B9" w:rsidP="00455C84">
            <w:pPr>
              <w:rPr>
                <w:b/>
              </w:rPr>
            </w:pPr>
          </w:p>
        </w:tc>
      </w:tr>
      <w:tr w:rsidR="00B449B9" w14:paraId="4FD1C898" w14:textId="77777777" w:rsidTr="29E65A09">
        <w:trPr>
          <w:trHeight w:val="1021"/>
        </w:trPr>
        <w:tc>
          <w:tcPr>
            <w:tcW w:w="2039" w:type="pct"/>
          </w:tcPr>
          <w:p w14:paraId="69F30461" w14:textId="4AF2F4A2" w:rsidR="00B449B9" w:rsidRDefault="29E65A09" w:rsidP="00333655">
            <w:r>
              <w:t>Advertising</w:t>
            </w:r>
          </w:p>
        </w:tc>
        <w:tc>
          <w:tcPr>
            <w:tcW w:w="645" w:type="pct"/>
          </w:tcPr>
          <w:p w14:paraId="2AFBF247" w14:textId="77777777" w:rsidR="00B449B9" w:rsidRDefault="00B449B9" w:rsidP="00455C84"/>
        </w:tc>
        <w:tc>
          <w:tcPr>
            <w:tcW w:w="1158" w:type="pct"/>
          </w:tcPr>
          <w:p w14:paraId="1E8A5CFF" w14:textId="3541E4D4" w:rsidR="00B449B9" w:rsidRDefault="29E65A09" w:rsidP="00455C84">
            <w:r>
              <w:t>$3,000.00</w:t>
            </w:r>
          </w:p>
        </w:tc>
        <w:tc>
          <w:tcPr>
            <w:tcW w:w="1158" w:type="pct"/>
          </w:tcPr>
          <w:p w14:paraId="3D1E55E3" w14:textId="7B356865" w:rsidR="00B449B9" w:rsidRDefault="29E65A09" w:rsidP="00455C84">
            <w:r>
              <w:t>$3,000.00</w:t>
            </w:r>
          </w:p>
        </w:tc>
      </w:tr>
      <w:tr w:rsidR="00B449B9" w14:paraId="20457A8C" w14:textId="77777777" w:rsidTr="29E65A09">
        <w:trPr>
          <w:trHeight w:val="911"/>
        </w:trPr>
        <w:tc>
          <w:tcPr>
            <w:tcW w:w="2039" w:type="pct"/>
          </w:tcPr>
          <w:p w14:paraId="20457A86" w14:textId="34197BB3" w:rsidR="00B449B9" w:rsidRPr="00734DE1" w:rsidRDefault="29E65A09" w:rsidP="00B71E52">
            <w:pPr>
              <w:spacing w:after="0"/>
            </w:pPr>
            <w:r>
              <w:t>Commissioners’ travel (Chief Gambling Commissioner and 4 Commissioners)</w:t>
            </w:r>
          </w:p>
        </w:tc>
        <w:tc>
          <w:tcPr>
            <w:tcW w:w="645" w:type="pct"/>
          </w:tcPr>
          <w:p w14:paraId="20457A87" w14:textId="77777777" w:rsidR="00B449B9" w:rsidRDefault="29E65A09" w:rsidP="00455C84">
            <w:r>
              <w:t>6</w:t>
            </w:r>
          </w:p>
          <w:p w14:paraId="20457A88" w14:textId="77777777" w:rsidR="00B449B9" w:rsidRDefault="00B449B9" w:rsidP="00455C84"/>
        </w:tc>
        <w:tc>
          <w:tcPr>
            <w:tcW w:w="1158" w:type="pct"/>
          </w:tcPr>
          <w:p w14:paraId="20457A89" w14:textId="77777777" w:rsidR="00B449B9" w:rsidRDefault="00B449B9" w:rsidP="00455C84">
            <w:r>
              <w:t xml:space="preserve"> </w:t>
            </w:r>
          </w:p>
          <w:p w14:paraId="20457A8A" w14:textId="77777777" w:rsidR="00B449B9" w:rsidRDefault="00B449B9" w:rsidP="00455C84"/>
        </w:tc>
        <w:tc>
          <w:tcPr>
            <w:tcW w:w="1158" w:type="pct"/>
          </w:tcPr>
          <w:p w14:paraId="20457A8B" w14:textId="77777777" w:rsidR="00B449B9" w:rsidRDefault="00B449B9" w:rsidP="00455C84"/>
        </w:tc>
      </w:tr>
      <w:tr w:rsidR="00B449B9" w14:paraId="20457A91" w14:textId="77777777" w:rsidTr="29E65A09">
        <w:tc>
          <w:tcPr>
            <w:tcW w:w="2039" w:type="pct"/>
          </w:tcPr>
          <w:p w14:paraId="20457A8D" w14:textId="77777777" w:rsidR="00B449B9" w:rsidRPr="00734DE1" w:rsidRDefault="29E65A09" w:rsidP="00F81674">
            <w:pPr>
              <w:pStyle w:val="ListParagraph"/>
              <w:numPr>
                <w:ilvl w:val="0"/>
                <w:numId w:val="44"/>
              </w:numPr>
              <w:spacing w:before="56" w:after="32"/>
            </w:pPr>
            <w:r>
              <w:t>Fees</w:t>
            </w:r>
          </w:p>
        </w:tc>
        <w:tc>
          <w:tcPr>
            <w:tcW w:w="645" w:type="pct"/>
          </w:tcPr>
          <w:p w14:paraId="20457A8E" w14:textId="77777777" w:rsidR="00B449B9" w:rsidRDefault="00B449B9" w:rsidP="00455C84"/>
        </w:tc>
        <w:tc>
          <w:tcPr>
            <w:tcW w:w="1158" w:type="pct"/>
          </w:tcPr>
          <w:p w14:paraId="20457A8F" w14:textId="77777777" w:rsidR="00B449B9" w:rsidRDefault="29E65A09" w:rsidP="00455C84">
            <w:r>
              <w:t>$15,900.00</w:t>
            </w:r>
          </w:p>
        </w:tc>
        <w:tc>
          <w:tcPr>
            <w:tcW w:w="1158" w:type="pct"/>
          </w:tcPr>
          <w:p w14:paraId="20457A90" w14:textId="77777777" w:rsidR="00B449B9" w:rsidRDefault="00B449B9" w:rsidP="00455C84"/>
        </w:tc>
      </w:tr>
      <w:tr w:rsidR="00B449B9" w14:paraId="20457A96" w14:textId="77777777" w:rsidTr="29E65A09">
        <w:tc>
          <w:tcPr>
            <w:tcW w:w="2039" w:type="pct"/>
          </w:tcPr>
          <w:p w14:paraId="20457A92" w14:textId="10B6EBA2" w:rsidR="00B449B9" w:rsidRPr="0081299F" w:rsidRDefault="29E65A09" w:rsidP="0081299F">
            <w:pPr>
              <w:pStyle w:val="ListParagraph"/>
              <w:numPr>
                <w:ilvl w:val="0"/>
                <w:numId w:val="44"/>
              </w:numPr>
              <w:spacing w:before="56" w:after="32"/>
            </w:pPr>
            <w:r>
              <w:t>Travel related expenses</w:t>
            </w:r>
          </w:p>
        </w:tc>
        <w:tc>
          <w:tcPr>
            <w:tcW w:w="645" w:type="pct"/>
          </w:tcPr>
          <w:p w14:paraId="20457A93" w14:textId="77777777" w:rsidR="00B449B9" w:rsidRDefault="00B449B9" w:rsidP="00455C84"/>
        </w:tc>
        <w:tc>
          <w:tcPr>
            <w:tcW w:w="1158" w:type="pct"/>
          </w:tcPr>
          <w:p w14:paraId="20457A94" w14:textId="1A85F777" w:rsidR="00B449B9" w:rsidRDefault="29E65A09" w:rsidP="0081299F">
            <w:r>
              <w:t>$13,775.00</w:t>
            </w:r>
          </w:p>
        </w:tc>
        <w:tc>
          <w:tcPr>
            <w:tcW w:w="1158" w:type="pct"/>
          </w:tcPr>
          <w:p w14:paraId="20457A95" w14:textId="46AF67D1" w:rsidR="00B449B9" w:rsidRDefault="29E65A09" w:rsidP="00455C84">
            <w:r>
              <w:t>$29,675.00</w:t>
            </w:r>
          </w:p>
        </w:tc>
      </w:tr>
      <w:tr w:rsidR="00B449B9" w14:paraId="20457AAA" w14:textId="77777777" w:rsidTr="29E65A09">
        <w:tc>
          <w:tcPr>
            <w:tcW w:w="2039" w:type="pct"/>
          </w:tcPr>
          <w:p w14:paraId="20457AA6" w14:textId="77777777" w:rsidR="00B449B9" w:rsidRDefault="29E65A09" w:rsidP="00455C84">
            <w:r>
              <w:t>Legal Advisor in attendance</w:t>
            </w:r>
          </w:p>
        </w:tc>
        <w:tc>
          <w:tcPr>
            <w:tcW w:w="645" w:type="pct"/>
          </w:tcPr>
          <w:p w14:paraId="20457AA7" w14:textId="77777777" w:rsidR="00B449B9" w:rsidRDefault="29E65A09" w:rsidP="00455C84">
            <w:r>
              <w:t>3</w:t>
            </w:r>
          </w:p>
        </w:tc>
        <w:tc>
          <w:tcPr>
            <w:tcW w:w="1158" w:type="pct"/>
          </w:tcPr>
          <w:p w14:paraId="20457AA8" w14:textId="77777777" w:rsidR="00B449B9" w:rsidRDefault="00B449B9" w:rsidP="00455C84"/>
        </w:tc>
        <w:tc>
          <w:tcPr>
            <w:tcW w:w="1158" w:type="pct"/>
          </w:tcPr>
          <w:p w14:paraId="20457AA9" w14:textId="77777777" w:rsidR="00B449B9" w:rsidRDefault="00B449B9" w:rsidP="00455C84"/>
        </w:tc>
      </w:tr>
      <w:tr w:rsidR="00B449B9" w14:paraId="20457AAF" w14:textId="77777777" w:rsidTr="29E65A09">
        <w:tc>
          <w:tcPr>
            <w:tcW w:w="2039" w:type="pct"/>
          </w:tcPr>
          <w:p w14:paraId="20457AAB" w14:textId="77777777" w:rsidR="00B449B9" w:rsidRPr="00734DE1" w:rsidRDefault="29E65A09" w:rsidP="00F81674">
            <w:pPr>
              <w:pStyle w:val="ListParagraph"/>
              <w:numPr>
                <w:ilvl w:val="0"/>
                <w:numId w:val="44"/>
              </w:numPr>
              <w:spacing w:before="56" w:after="32"/>
            </w:pPr>
            <w:r>
              <w:t>Fees</w:t>
            </w:r>
          </w:p>
        </w:tc>
        <w:tc>
          <w:tcPr>
            <w:tcW w:w="645" w:type="pct"/>
          </w:tcPr>
          <w:p w14:paraId="20457AAC" w14:textId="77777777" w:rsidR="00B449B9" w:rsidRDefault="00B449B9" w:rsidP="00455C84"/>
        </w:tc>
        <w:tc>
          <w:tcPr>
            <w:tcW w:w="1158" w:type="pct"/>
          </w:tcPr>
          <w:p w14:paraId="20457AAD" w14:textId="77777777" w:rsidR="00B449B9" w:rsidRDefault="29E65A09" w:rsidP="00455C84">
            <w:r>
              <w:t>$9,360.00</w:t>
            </w:r>
          </w:p>
        </w:tc>
        <w:tc>
          <w:tcPr>
            <w:tcW w:w="1158" w:type="pct"/>
          </w:tcPr>
          <w:p w14:paraId="20457AAE" w14:textId="77777777" w:rsidR="00B449B9" w:rsidRDefault="00B449B9" w:rsidP="00455C84"/>
        </w:tc>
      </w:tr>
      <w:tr w:rsidR="00B449B9" w14:paraId="20457AB4" w14:textId="77777777" w:rsidTr="29E65A09">
        <w:tc>
          <w:tcPr>
            <w:tcW w:w="2039" w:type="pct"/>
          </w:tcPr>
          <w:p w14:paraId="20457AB0" w14:textId="0515CEAB" w:rsidR="00B449B9" w:rsidRPr="00734DE1" w:rsidRDefault="29E65A09" w:rsidP="00333655">
            <w:pPr>
              <w:pStyle w:val="ListParagraph"/>
              <w:numPr>
                <w:ilvl w:val="0"/>
                <w:numId w:val="44"/>
              </w:numPr>
              <w:spacing w:before="56" w:after="32"/>
            </w:pPr>
            <w:r>
              <w:t>Travel related expenses</w:t>
            </w:r>
          </w:p>
        </w:tc>
        <w:tc>
          <w:tcPr>
            <w:tcW w:w="645" w:type="pct"/>
          </w:tcPr>
          <w:p w14:paraId="20457AB1" w14:textId="77777777" w:rsidR="00B449B9" w:rsidRDefault="00B449B9" w:rsidP="00455C84"/>
        </w:tc>
        <w:tc>
          <w:tcPr>
            <w:tcW w:w="1158" w:type="pct"/>
          </w:tcPr>
          <w:p w14:paraId="20457AB2" w14:textId="65F448B6" w:rsidR="00B449B9" w:rsidRDefault="29E65A09" w:rsidP="00455C84">
            <w:r>
              <w:t>$1,790.00</w:t>
            </w:r>
          </w:p>
        </w:tc>
        <w:tc>
          <w:tcPr>
            <w:tcW w:w="1158" w:type="pct"/>
          </w:tcPr>
          <w:p w14:paraId="20457AB3" w14:textId="61ACFF1F" w:rsidR="00B449B9" w:rsidRDefault="29E65A09" w:rsidP="00455C84">
            <w:r>
              <w:t>$11,150.00</w:t>
            </w:r>
          </w:p>
        </w:tc>
      </w:tr>
      <w:tr w:rsidR="00B449B9" w14:paraId="20457AC8" w14:textId="77777777" w:rsidTr="29E65A09">
        <w:tc>
          <w:tcPr>
            <w:tcW w:w="2039" w:type="pct"/>
          </w:tcPr>
          <w:p w14:paraId="20457AC4" w14:textId="7E2A34FB" w:rsidR="00B449B9" w:rsidRDefault="29E65A09" w:rsidP="00455C84">
            <w:r>
              <w:t>1 Secretariat in attendance</w:t>
            </w:r>
          </w:p>
        </w:tc>
        <w:tc>
          <w:tcPr>
            <w:tcW w:w="645" w:type="pct"/>
          </w:tcPr>
          <w:p w14:paraId="20457AC5" w14:textId="77777777" w:rsidR="00B449B9" w:rsidRDefault="29E65A09" w:rsidP="00455C84">
            <w:r>
              <w:t>6</w:t>
            </w:r>
          </w:p>
        </w:tc>
        <w:tc>
          <w:tcPr>
            <w:tcW w:w="1158" w:type="pct"/>
          </w:tcPr>
          <w:p w14:paraId="20457AC6" w14:textId="77777777" w:rsidR="00B449B9" w:rsidRDefault="00B449B9" w:rsidP="00455C84"/>
        </w:tc>
        <w:tc>
          <w:tcPr>
            <w:tcW w:w="1158" w:type="pct"/>
          </w:tcPr>
          <w:p w14:paraId="20457AC7" w14:textId="77777777" w:rsidR="00B449B9" w:rsidRDefault="00B449B9" w:rsidP="00455C84"/>
        </w:tc>
      </w:tr>
      <w:tr w:rsidR="00B449B9" w14:paraId="20457ACD" w14:textId="77777777" w:rsidTr="29E65A09">
        <w:tc>
          <w:tcPr>
            <w:tcW w:w="2039" w:type="pct"/>
          </w:tcPr>
          <w:p w14:paraId="20457AC9" w14:textId="77777777" w:rsidR="00B449B9" w:rsidRPr="00734DE1" w:rsidRDefault="29E65A09" w:rsidP="00F81674">
            <w:pPr>
              <w:pStyle w:val="ListParagraph"/>
              <w:numPr>
                <w:ilvl w:val="0"/>
                <w:numId w:val="44"/>
              </w:numPr>
              <w:spacing w:before="56" w:after="32"/>
            </w:pPr>
            <w:r>
              <w:t>Fees</w:t>
            </w:r>
          </w:p>
        </w:tc>
        <w:tc>
          <w:tcPr>
            <w:tcW w:w="645" w:type="pct"/>
          </w:tcPr>
          <w:p w14:paraId="20457ACA" w14:textId="77777777" w:rsidR="00B449B9" w:rsidRDefault="00B449B9" w:rsidP="00455C84"/>
        </w:tc>
        <w:tc>
          <w:tcPr>
            <w:tcW w:w="1158" w:type="pct"/>
          </w:tcPr>
          <w:p w14:paraId="20457ACB" w14:textId="5156BCA4" w:rsidR="00B449B9" w:rsidRDefault="29E65A09" w:rsidP="00455C84">
            <w:r>
              <w:t>$3,000.00</w:t>
            </w:r>
          </w:p>
        </w:tc>
        <w:tc>
          <w:tcPr>
            <w:tcW w:w="1158" w:type="pct"/>
          </w:tcPr>
          <w:p w14:paraId="20457ACC" w14:textId="77777777" w:rsidR="00B449B9" w:rsidRDefault="00B449B9" w:rsidP="00455C84"/>
        </w:tc>
      </w:tr>
      <w:tr w:rsidR="00B449B9" w14:paraId="20457AD2" w14:textId="77777777" w:rsidTr="29E65A09">
        <w:tc>
          <w:tcPr>
            <w:tcW w:w="2039" w:type="pct"/>
          </w:tcPr>
          <w:p w14:paraId="20457ACE" w14:textId="04E9494D" w:rsidR="00B449B9" w:rsidRPr="00734DE1" w:rsidRDefault="29E65A09" w:rsidP="00333655">
            <w:pPr>
              <w:pStyle w:val="ListParagraph"/>
              <w:numPr>
                <w:ilvl w:val="0"/>
                <w:numId w:val="44"/>
              </w:numPr>
              <w:spacing w:before="56" w:after="32"/>
            </w:pPr>
            <w:r>
              <w:t>Travel related expenses</w:t>
            </w:r>
          </w:p>
        </w:tc>
        <w:tc>
          <w:tcPr>
            <w:tcW w:w="645" w:type="pct"/>
          </w:tcPr>
          <w:p w14:paraId="20457ACF" w14:textId="77777777" w:rsidR="00B449B9" w:rsidRDefault="00B449B9" w:rsidP="00455C84"/>
        </w:tc>
        <w:tc>
          <w:tcPr>
            <w:tcW w:w="1158" w:type="pct"/>
          </w:tcPr>
          <w:p w14:paraId="20457AD0" w14:textId="1234C7C9" w:rsidR="00B449B9" w:rsidRDefault="29E65A09" w:rsidP="00455C84">
            <w:r>
              <w:t>$5,710.00</w:t>
            </w:r>
          </w:p>
        </w:tc>
        <w:tc>
          <w:tcPr>
            <w:tcW w:w="1158" w:type="pct"/>
          </w:tcPr>
          <w:p w14:paraId="20457AD1" w14:textId="7F328CF6" w:rsidR="00B449B9" w:rsidRDefault="29E65A09" w:rsidP="00455C84">
            <w:r>
              <w:t>$8,710.00</w:t>
            </w:r>
          </w:p>
        </w:tc>
      </w:tr>
      <w:tr w:rsidR="00B449B9" w14:paraId="20457AE6" w14:textId="77777777" w:rsidTr="29E65A09">
        <w:tc>
          <w:tcPr>
            <w:tcW w:w="2039" w:type="pct"/>
          </w:tcPr>
          <w:p w14:paraId="20457AE2" w14:textId="77777777" w:rsidR="00B449B9" w:rsidRDefault="29E65A09" w:rsidP="00455C84">
            <w:r>
              <w:t>Venue hire</w:t>
            </w:r>
          </w:p>
        </w:tc>
        <w:tc>
          <w:tcPr>
            <w:tcW w:w="645" w:type="pct"/>
          </w:tcPr>
          <w:p w14:paraId="20457AE3" w14:textId="77777777" w:rsidR="00B449B9" w:rsidRDefault="29E65A09" w:rsidP="00455C84">
            <w:r>
              <w:t>2</w:t>
            </w:r>
          </w:p>
        </w:tc>
        <w:tc>
          <w:tcPr>
            <w:tcW w:w="1158" w:type="pct"/>
          </w:tcPr>
          <w:p w14:paraId="20457AE4" w14:textId="77777777" w:rsidR="00B449B9" w:rsidRDefault="29E65A09" w:rsidP="00455C84">
            <w:r>
              <w:t>$4,000.00</w:t>
            </w:r>
          </w:p>
        </w:tc>
        <w:tc>
          <w:tcPr>
            <w:tcW w:w="1158" w:type="pct"/>
          </w:tcPr>
          <w:p w14:paraId="20457AE5" w14:textId="77777777" w:rsidR="00B449B9" w:rsidRDefault="00B449B9" w:rsidP="00455C84"/>
        </w:tc>
      </w:tr>
      <w:tr w:rsidR="00B449B9" w14:paraId="20457AEB" w14:textId="77777777" w:rsidTr="29E65A09">
        <w:tc>
          <w:tcPr>
            <w:tcW w:w="2039" w:type="pct"/>
          </w:tcPr>
          <w:p w14:paraId="20457AE7" w14:textId="77777777" w:rsidR="00B449B9" w:rsidRDefault="29E65A09" w:rsidP="00455C84">
            <w:r>
              <w:t>Transcriptionist</w:t>
            </w:r>
          </w:p>
        </w:tc>
        <w:tc>
          <w:tcPr>
            <w:tcW w:w="645" w:type="pct"/>
          </w:tcPr>
          <w:p w14:paraId="20457AE8" w14:textId="77777777" w:rsidR="00B449B9" w:rsidRDefault="29E65A09" w:rsidP="00455C84">
            <w:r>
              <w:t>2</w:t>
            </w:r>
          </w:p>
        </w:tc>
        <w:tc>
          <w:tcPr>
            <w:tcW w:w="1158" w:type="pct"/>
          </w:tcPr>
          <w:p w14:paraId="20457AE9" w14:textId="77777777" w:rsidR="00B449B9" w:rsidRDefault="29E65A09" w:rsidP="00455C84">
            <w:r>
              <w:t>$5,000.00</w:t>
            </w:r>
          </w:p>
        </w:tc>
        <w:tc>
          <w:tcPr>
            <w:tcW w:w="1158" w:type="pct"/>
          </w:tcPr>
          <w:p w14:paraId="20457AEA" w14:textId="77777777" w:rsidR="00B449B9" w:rsidRDefault="00B449B9" w:rsidP="00455C84"/>
        </w:tc>
      </w:tr>
      <w:tr w:rsidR="00B449B9" w14:paraId="20457AF0" w14:textId="77777777" w:rsidTr="29E65A09">
        <w:tc>
          <w:tcPr>
            <w:tcW w:w="2039" w:type="pct"/>
            <w:shd w:val="clear" w:color="auto" w:fill="D9D9D9" w:themeFill="background1" w:themeFillShade="D9"/>
          </w:tcPr>
          <w:p w14:paraId="20457AEC" w14:textId="77777777" w:rsidR="00B449B9" w:rsidRDefault="00B449B9" w:rsidP="00455C84"/>
        </w:tc>
        <w:tc>
          <w:tcPr>
            <w:tcW w:w="645" w:type="pct"/>
            <w:shd w:val="clear" w:color="auto" w:fill="D9D9D9" w:themeFill="background1" w:themeFillShade="D9"/>
          </w:tcPr>
          <w:p w14:paraId="20457AED" w14:textId="77777777" w:rsidR="00B449B9" w:rsidRDefault="29E65A09" w:rsidP="00455C84">
            <w:r>
              <w:t>18</w:t>
            </w:r>
          </w:p>
        </w:tc>
        <w:tc>
          <w:tcPr>
            <w:tcW w:w="1158" w:type="pct"/>
            <w:shd w:val="clear" w:color="auto" w:fill="D9D9D9" w:themeFill="background1" w:themeFillShade="D9"/>
          </w:tcPr>
          <w:p w14:paraId="20457AEE" w14:textId="77777777" w:rsidR="00B449B9" w:rsidRPr="00AB70F2" w:rsidRDefault="00B449B9" w:rsidP="00455C84">
            <w:pPr>
              <w:rPr>
                <w:u w:val="single"/>
              </w:rPr>
            </w:pPr>
          </w:p>
        </w:tc>
        <w:tc>
          <w:tcPr>
            <w:tcW w:w="1158" w:type="pct"/>
            <w:shd w:val="clear" w:color="auto" w:fill="D9D9D9" w:themeFill="background1" w:themeFillShade="D9"/>
          </w:tcPr>
          <w:p w14:paraId="20457AEF" w14:textId="2689B056" w:rsidR="00B449B9" w:rsidRPr="00AB70F2" w:rsidRDefault="29E65A09" w:rsidP="29E65A09">
            <w:pPr>
              <w:rPr>
                <w:u w:val="single"/>
              </w:rPr>
            </w:pPr>
            <w:r w:rsidRPr="29E65A09">
              <w:rPr>
                <w:u w:val="single"/>
              </w:rPr>
              <w:t>$61,535.00</w:t>
            </w:r>
          </w:p>
        </w:tc>
      </w:tr>
      <w:tr w:rsidR="00B449B9" w14:paraId="20457AF2" w14:textId="77777777" w:rsidTr="29E65A09">
        <w:tc>
          <w:tcPr>
            <w:tcW w:w="5000" w:type="pct"/>
            <w:gridSpan w:val="4"/>
            <w:shd w:val="clear" w:color="auto" w:fill="000000" w:themeFill="text1"/>
          </w:tcPr>
          <w:p w14:paraId="20457AF1" w14:textId="47805AFA" w:rsidR="00B449B9" w:rsidRPr="00B64D04" w:rsidRDefault="29E65A09" w:rsidP="29E65A09">
            <w:pPr>
              <w:rPr>
                <w:b/>
                <w:bCs/>
              </w:rPr>
            </w:pPr>
            <w:r w:rsidRPr="29E65A09">
              <w:rPr>
                <w:b/>
                <w:bCs/>
              </w:rPr>
              <w:t>Decision</w:t>
            </w:r>
          </w:p>
        </w:tc>
      </w:tr>
      <w:tr w:rsidR="00B449B9" w14:paraId="20457AF7" w14:textId="77777777" w:rsidTr="29E65A09">
        <w:tc>
          <w:tcPr>
            <w:tcW w:w="2039" w:type="pct"/>
          </w:tcPr>
          <w:p w14:paraId="20457AF3" w14:textId="77777777" w:rsidR="00B449B9" w:rsidRDefault="29E65A09" w:rsidP="00455C84">
            <w:r>
              <w:t>Additional legal advice</w:t>
            </w:r>
          </w:p>
        </w:tc>
        <w:tc>
          <w:tcPr>
            <w:tcW w:w="645" w:type="pct"/>
          </w:tcPr>
          <w:p w14:paraId="20457AF4" w14:textId="77777777" w:rsidR="00B449B9" w:rsidRDefault="29E65A09" w:rsidP="00455C84">
            <w:r>
              <w:t>8</w:t>
            </w:r>
          </w:p>
        </w:tc>
        <w:tc>
          <w:tcPr>
            <w:tcW w:w="1158" w:type="pct"/>
          </w:tcPr>
          <w:p w14:paraId="20457AF5" w14:textId="77777777" w:rsidR="00B449B9" w:rsidRDefault="00B449B9" w:rsidP="00455C84"/>
        </w:tc>
        <w:tc>
          <w:tcPr>
            <w:tcW w:w="1158" w:type="pct"/>
          </w:tcPr>
          <w:p w14:paraId="20457AF6" w14:textId="77777777" w:rsidR="00B449B9" w:rsidRDefault="29E65A09" w:rsidP="00455C84">
            <w:r>
              <w:t>$24,960.00</w:t>
            </w:r>
          </w:p>
        </w:tc>
      </w:tr>
      <w:tr w:rsidR="00B449B9" w14:paraId="20457B01" w14:textId="77777777" w:rsidTr="29E65A09">
        <w:tc>
          <w:tcPr>
            <w:tcW w:w="2039" w:type="pct"/>
          </w:tcPr>
          <w:p w14:paraId="20457AFD" w14:textId="06BB29A5" w:rsidR="00B449B9" w:rsidRDefault="29E65A09" w:rsidP="00455C84">
            <w:r>
              <w:t>Commissioners’ consideration of application (Chief Gambling Commissioner and 4 Commissioners)</w:t>
            </w:r>
          </w:p>
        </w:tc>
        <w:tc>
          <w:tcPr>
            <w:tcW w:w="645" w:type="pct"/>
          </w:tcPr>
          <w:p w14:paraId="20457AFE" w14:textId="77777777" w:rsidR="00B449B9" w:rsidRDefault="29E65A09" w:rsidP="00455C84">
            <w:r>
              <w:t>5</w:t>
            </w:r>
          </w:p>
        </w:tc>
        <w:tc>
          <w:tcPr>
            <w:tcW w:w="1158" w:type="pct"/>
          </w:tcPr>
          <w:p w14:paraId="20457AFF" w14:textId="77777777" w:rsidR="00B449B9" w:rsidRDefault="00B449B9" w:rsidP="00455C84"/>
        </w:tc>
        <w:tc>
          <w:tcPr>
            <w:tcW w:w="1158" w:type="pct"/>
          </w:tcPr>
          <w:p w14:paraId="20457B00" w14:textId="77777777" w:rsidR="00B449B9" w:rsidRDefault="29E65A09" w:rsidP="00455C84">
            <w:r>
              <w:t>$13,250.00</w:t>
            </w:r>
          </w:p>
        </w:tc>
      </w:tr>
      <w:tr w:rsidR="00B449B9" w14:paraId="20457B06" w14:textId="77777777" w:rsidTr="29E65A09">
        <w:tc>
          <w:tcPr>
            <w:tcW w:w="2039" w:type="pct"/>
            <w:shd w:val="clear" w:color="auto" w:fill="D9D9D9" w:themeFill="background1" w:themeFillShade="D9"/>
          </w:tcPr>
          <w:p w14:paraId="20457B02" w14:textId="77777777" w:rsidR="00B449B9" w:rsidRDefault="00B449B9" w:rsidP="00455C84"/>
        </w:tc>
        <w:tc>
          <w:tcPr>
            <w:tcW w:w="645" w:type="pct"/>
            <w:shd w:val="clear" w:color="auto" w:fill="D9D9D9" w:themeFill="background1" w:themeFillShade="D9"/>
          </w:tcPr>
          <w:p w14:paraId="20457B03" w14:textId="77777777" w:rsidR="00B449B9" w:rsidRDefault="29E65A09" w:rsidP="00455C84">
            <w:r>
              <w:t>25</w:t>
            </w:r>
          </w:p>
        </w:tc>
        <w:tc>
          <w:tcPr>
            <w:tcW w:w="1158" w:type="pct"/>
            <w:shd w:val="clear" w:color="auto" w:fill="D9D9D9" w:themeFill="background1" w:themeFillShade="D9"/>
          </w:tcPr>
          <w:p w14:paraId="20457B04" w14:textId="77777777" w:rsidR="00B449B9" w:rsidRPr="00AB70F2" w:rsidRDefault="00B449B9" w:rsidP="00455C84">
            <w:pPr>
              <w:rPr>
                <w:u w:val="single"/>
              </w:rPr>
            </w:pPr>
          </w:p>
        </w:tc>
        <w:tc>
          <w:tcPr>
            <w:tcW w:w="1158" w:type="pct"/>
            <w:shd w:val="clear" w:color="auto" w:fill="D9D9D9" w:themeFill="background1" w:themeFillShade="D9"/>
          </w:tcPr>
          <w:p w14:paraId="20457B05" w14:textId="1A034CAD" w:rsidR="00B449B9" w:rsidRPr="00AB70F2" w:rsidRDefault="29E65A09" w:rsidP="29E65A09">
            <w:pPr>
              <w:rPr>
                <w:u w:val="single"/>
              </w:rPr>
            </w:pPr>
            <w:r w:rsidRPr="29E65A09">
              <w:rPr>
                <w:u w:val="single"/>
              </w:rPr>
              <w:t>$38,210.00</w:t>
            </w:r>
          </w:p>
        </w:tc>
      </w:tr>
      <w:tr w:rsidR="0074088C" w14:paraId="65CE2368" w14:textId="77777777" w:rsidTr="29E65A09">
        <w:tc>
          <w:tcPr>
            <w:tcW w:w="2039" w:type="pct"/>
            <w:shd w:val="clear" w:color="auto" w:fill="000000" w:themeFill="text1"/>
          </w:tcPr>
          <w:p w14:paraId="574FFCEF" w14:textId="09C88954" w:rsidR="0074088C" w:rsidRPr="00B64D04" w:rsidRDefault="29E65A09" w:rsidP="29E65A09">
            <w:pPr>
              <w:rPr>
                <w:b/>
                <w:bCs/>
              </w:rPr>
            </w:pPr>
            <w:r w:rsidRPr="29E65A09">
              <w:rPr>
                <w:b/>
                <w:bCs/>
              </w:rPr>
              <w:t>Other</w:t>
            </w:r>
          </w:p>
        </w:tc>
        <w:tc>
          <w:tcPr>
            <w:tcW w:w="645" w:type="pct"/>
            <w:shd w:val="clear" w:color="auto" w:fill="000000" w:themeFill="text1"/>
          </w:tcPr>
          <w:p w14:paraId="32A73910" w14:textId="77777777" w:rsidR="0074088C" w:rsidRDefault="0074088C" w:rsidP="00455C84">
            <w:pPr>
              <w:rPr>
                <w:b/>
              </w:rPr>
            </w:pPr>
          </w:p>
        </w:tc>
        <w:tc>
          <w:tcPr>
            <w:tcW w:w="1158" w:type="pct"/>
            <w:shd w:val="clear" w:color="auto" w:fill="000000" w:themeFill="text1"/>
          </w:tcPr>
          <w:p w14:paraId="5444E54A" w14:textId="77777777" w:rsidR="0074088C" w:rsidRPr="00AB70F2" w:rsidRDefault="0074088C" w:rsidP="00455C84">
            <w:pPr>
              <w:rPr>
                <w:u w:val="single"/>
              </w:rPr>
            </w:pPr>
          </w:p>
        </w:tc>
        <w:tc>
          <w:tcPr>
            <w:tcW w:w="1158" w:type="pct"/>
            <w:shd w:val="clear" w:color="auto" w:fill="000000" w:themeFill="text1"/>
          </w:tcPr>
          <w:p w14:paraId="721D36D9" w14:textId="77777777" w:rsidR="0074088C" w:rsidRPr="00B64D04" w:rsidRDefault="0074088C" w:rsidP="00455C84">
            <w:pPr>
              <w:rPr>
                <w:b/>
              </w:rPr>
            </w:pPr>
          </w:p>
        </w:tc>
      </w:tr>
      <w:tr w:rsidR="0074088C" w14:paraId="22D8B06A" w14:textId="77777777" w:rsidTr="29E65A09">
        <w:tc>
          <w:tcPr>
            <w:tcW w:w="2039" w:type="pct"/>
            <w:shd w:val="clear" w:color="auto" w:fill="FFFFFF" w:themeFill="background1"/>
          </w:tcPr>
          <w:p w14:paraId="40C384F7" w14:textId="2583B83F" w:rsidR="0074088C" w:rsidRPr="0074088C" w:rsidRDefault="29E65A09" w:rsidP="00455C84">
            <w:r>
              <w:t>Secretariat support fees (2 people)</w:t>
            </w:r>
          </w:p>
        </w:tc>
        <w:tc>
          <w:tcPr>
            <w:tcW w:w="645" w:type="pct"/>
            <w:shd w:val="clear" w:color="auto" w:fill="FFFFFF" w:themeFill="background1"/>
          </w:tcPr>
          <w:p w14:paraId="27D0D073" w14:textId="2F588EA2" w:rsidR="0074088C" w:rsidRPr="0074088C" w:rsidRDefault="29E65A09" w:rsidP="00455C84">
            <w:r>
              <w:t xml:space="preserve">24 </w:t>
            </w:r>
          </w:p>
        </w:tc>
        <w:tc>
          <w:tcPr>
            <w:tcW w:w="1158" w:type="pct"/>
            <w:shd w:val="clear" w:color="auto" w:fill="FFFFFF" w:themeFill="background1"/>
          </w:tcPr>
          <w:p w14:paraId="10D981A7" w14:textId="7364BAE2" w:rsidR="0074088C" w:rsidRPr="0040287B" w:rsidRDefault="29E65A09" w:rsidP="00455C84">
            <w:r>
              <w:t>$24,000.00</w:t>
            </w:r>
          </w:p>
        </w:tc>
        <w:tc>
          <w:tcPr>
            <w:tcW w:w="1158" w:type="pct"/>
            <w:shd w:val="clear" w:color="auto" w:fill="FFFFFF" w:themeFill="background1"/>
          </w:tcPr>
          <w:p w14:paraId="034FAE27" w14:textId="14E0A8BD" w:rsidR="0074088C" w:rsidRPr="0040287B" w:rsidRDefault="29E65A09" w:rsidP="00455C84">
            <w:r>
              <w:t>$24,000.00</w:t>
            </w:r>
          </w:p>
        </w:tc>
      </w:tr>
      <w:tr w:rsidR="00B449B9" w14:paraId="20457B0B" w14:textId="77777777" w:rsidTr="29E65A09">
        <w:tc>
          <w:tcPr>
            <w:tcW w:w="2039" w:type="pct"/>
            <w:shd w:val="clear" w:color="auto" w:fill="FFFFFF" w:themeFill="background1"/>
          </w:tcPr>
          <w:p w14:paraId="20457B07" w14:textId="77777777" w:rsidR="00B449B9" w:rsidRPr="00B64D04" w:rsidRDefault="29E65A09" w:rsidP="29E65A09">
            <w:pPr>
              <w:rPr>
                <w:b/>
                <w:bCs/>
              </w:rPr>
            </w:pPr>
            <w:r w:rsidRPr="29E65A09">
              <w:rPr>
                <w:b/>
                <w:bCs/>
              </w:rPr>
              <w:t xml:space="preserve">TOTAL </w:t>
            </w:r>
          </w:p>
        </w:tc>
        <w:tc>
          <w:tcPr>
            <w:tcW w:w="645" w:type="pct"/>
            <w:shd w:val="clear" w:color="auto" w:fill="FFFFFF" w:themeFill="background1"/>
          </w:tcPr>
          <w:p w14:paraId="20457B08" w14:textId="77777777" w:rsidR="00B449B9" w:rsidRPr="00B64D04" w:rsidRDefault="29E65A09" w:rsidP="29E65A09">
            <w:pPr>
              <w:rPr>
                <w:b/>
                <w:bCs/>
              </w:rPr>
            </w:pPr>
            <w:r w:rsidRPr="29E65A09">
              <w:rPr>
                <w:b/>
                <w:bCs/>
              </w:rPr>
              <w:t>45</w:t>
            </w:r>
          </w:p>
        </w:tc>
        <w:tc>
          <w:tcPr>
            <w:tcW w:w="1158" w:type="pct"/>
            <w:shd w:val="clear" w:color="auto" w:fill="FFFFFF" w:themeFill="background1"/>
          </w:tcPr>
          <w:p w14:paraId="20457B09" w14:textId="77777777" w:rsidR="00B449B9" w:rsidRPr="00AB70F2" w:rsidRDefault="00B449B9" w:rsidP="00455C84">
            <w:pPr>
              <w:rPr>
                <w:u w:val="single"/>
              </w:rPr>
            </w:pPr>
          </w:p>
        </w:tc>
        <w:tc>
          <w:tcPr>
            <w:tcW w:w="1158" w:type="pct"/>
            <w:shd w:val="clear" w:color="auto" w:fill="FFFFFF" w:themeFill="background1"/>
          </w:tcPr>
          <w:p w14:paraId="20457B0A" w14:textId="510205A2" w:rsidR="00B449B9" w:rsidRPr="00B64D04" w:rsidRDefault="29E65A09" w:rsidP="29E65A09">
            <w:pPr>
              <w:rPr>
                <w:b/>
                <w:bCs/>
              </w:rPr>
            </w:pPr>
            <w:r w:rsidRPr="29E65A09">
              <w:rPr>
                <w:b/>
                <w:bCs/>
              </w:rPr>
              <w:t>$150,295.00</w:t>
            </w:r>
          </w:p>
        </w:tc>
      </w:tr>
    </w:tbl>
    <w:p w14:paraId="20457B0C" w14:textId="77777777" w:rsidR="00F81674" w:rsidRDefault="00F81674" w:rsidP="00F81674"/>
    <w:p w14:paraId="20457B0D" w14:textId="77777777" w:rsidR="00B43958" w:rsidRDefault="00B43958">
      <w:pPr>
        <w:keepLines w:val="0"/>
        <w:rPr>
          <w:b/>
        </w:rPr>
      </w:pPr>
      <w:r>
        <w:rPr>
          <w:b/>
        </w:rPr>
        <w:br w:type="page"/>
      </w:r>
    </w:p>
    <w:p w14:paraId="20457B0E" w14:textId="77777777" w:rsidR="0077793D" w:rsidRPr="0077793D" w:rsidRDefault="29E65A09" w:rsidP="29E65A09">
      <w:pPr>
        <w:rPr>
          <w:b/>
          <w:bCs/>
        </w:rPr>
      </w:pPr>
      <w:r w:rsidRPr="29E65A09">
        <w:rPr>
          <w:b/>
          <w:bCs/>
        </w:rPr>
        <w:t>Table 3: Rate assumptions for estimated costs</w:t>
      </w:r>
    </w:p>
    <w:tbl>
      <w:tblPr>
        <w:tblStyle w:val="DIATable"/>
        <w:tblW w:w="5000" w:type="pct"/>
        <w:tblInd w:w="0" w:type="dxa"/>
        <w:tblLook w:val="04A0" w:firstRow="1" w:lastRow="0" w:firstColumn="1" w:lastColumn="0" w:noHBand="0" w:noVBand="1"/>
      </w:tblPr>
      <w:tblGrid>
        <w:gridCol w:w="4383"/>
        <w:gridCol w:w="4904"/>
      </w:tblGrid>
      <w:tr w:rsidR="0077793D" w14:paraId="20457B11" w14:textId="77777777" w:rsidTr="29E65A09">
        <w:trPr>
          <w:cnfStyle w:val="100000000000" w:firstRow="1" w:lastRow="0" w:firstColumn="0" w:lastColumn="0" w:oddVBand="0" w:evenVBand="0" w:oddHBand="0" w:evenHBand="0" w:firstRowFirstColumn="0" w:firstRowLastColumn="0" w:lastRowFirstColumn="0" w:lastRowLastColumn="0"/>
        </w:trPr>
        <w:tc>
          <w:tcPr>
            <w:tcW w:w="2360" w:type="pct"/>
          </w:tcPr>
          <w:p w14:paraId="20457B0F" w14:textId="77777777" w:rsidR="0077793D" w:rsidRDefault="29E65A09" w:rsidP="00EE0875">
            <w:r>
              <w:t>Activity</w:t>
            </w:r>
          </w:p>
        </w:tc>
        <w:tc>
          <w:tcPr>
            <w:tcW w:w="2640" w:type="pct"/>
          </w:tcPr>
          <w:p w14:paraId="20457B10" w14:textId="77777777" w:rsidR="0077793D" w:rsidRDefault="29E65A09" w:rsidP="00EE0875">
            <w:r>
              <w:t>Rate</w:t>
            </w:r>
          </w:p>
        </w:tc>
      </w:tr>
      <w:tr w:rsidR="0077793D" w14:paraId="20457B14" w14:textId="77777777" w:rsidTr="29E65A09">
        <w:tc>
          <w:tcPr>
            <w:tcW w:w="2360" w:type="pct"/>
          </w:tcPr>
          <w:p w14:paraId="20457B12" w14:textId="4F394B01" w:rsidR="0077793D" w:rsidRDefault="29E65A09" w:rsidP="00EE0875">
            <w:r>
              <w:t>Chief Gambling Commissioner fees (includes time processing application, meetings, etc)</w:t>
            </w:r>
          </w:p>
        </w:tc>
        <w:tc>
          <w:tcPr>
            <w:tcW w:w="2640" w:type="pct"/>
          </w:tcPr>
          <w:p w14:paraId="20457B13" w14:textId="77777777" w:rsidR="0077793D" w:rsidRDefault="29E65A09" w:rsidP="00EE0875">
            <w:r>
              <w:t>$750.00 per day</w:t>
            </w:r>
          </w:p>
        </w:tc>
      </w:tr>
      <w:tr w:rsidR="0077793D" w14:paraId="20457B17" w14:textId="77777777" w:rsidTr="29E65A09">
        <w:tc>
          <w:tcPr>
            <w:tcW w:w="2360" w:type="pct"/>
          </w:tcPr>
          <w:p w14:paraId="20457B15" w14:textId="77777777" w:rsidR="0077793D" w:rsidRDefault="29E65A09" w:rsidP="00EE0875">
            <w:r>
              <w:t>Gambling Commissioners’ fees</w:t>
            </w:r>
          </w:p>
        </w:tc>
        <w:tc>
          <w:tcPr>
            <w:tcW w:w="2640" w:type="pct"/>
          </w:tcPr>
          <w:p w14:paraId="20457B16" w14:textId="77777777" w:rsidR="0077793D" w:rsidRDefault="29E65A09" w:rsidP="00EE0875">
            <w:r>
              <w:t>$475.00 per day</w:t>
            </w:r>
          </w:p>
        </w:tc>
      </w:tr>
      <w:tr w:rsidR="00BD02C3" w14:paraId="6B34E5CE" w14:textId="77777777" w:rsidTr="29E65A09">
        <w:tc>
          <w:tcPr>
            <w:tcW w:w="2360" w:type="pct"/>
          </w:tcPr>
          <w:p w14:paraId="6E9377E3" w14:textId="2B61E885" w:rsidR="00BD02C3" w:rsidRPr="003366B8" w:rsidRDefault="29E65A09" w:rsidP="00EE0875">
            <w:r>
              <w:t>Secretariat fees (time/overheads)</w:t>
            </w:r>
          </w:p>
        </w:tc>
        <w:tc>
          <w:tcPr>
            <w:tcW w:w="2640" w:type="pct"/>
          </w:tcPr>
          <w:p w14:paraId="2A6B2345" w14:textId="588CD869" w:rsidR="00BD02C3" w:rsidRPr="003366B8" w:rsidRDefault="29E65A09" w:rsidP="003366B8">
            <w:r>
              <w:t>$500.00 per day</w:t>
            </w:r>
          </w:p>
        </w:tc>
      </w:tr>
      <w:tr w:rsidR="0077793D" w14:paraId="20457B1A" w14:textId="77777777" w:rsidTr="29E65A09">
        <w:tc>
          <w:tcPr>
            <w:tcW w:w="2360" w:type="pct"/>
          </w:tcPr>
          <w:p w14:paraId="20457B18" w14:textId="77777777" w:rsidR="0077793D" w:rsidRDefault="29E65A09" w:rsidP="00EE0875">
            <w:r>
              <w:t>Legal fees</w:t>
            </w:r>
          </w:p>
        </w:tc>
        <w:tc>
          <w:tcPr>
            <w:tcW w:w="2640" w:type="pct"/>
          </w:tcPr>
          <w:p w14:paraId="20457B19" w14:textId="77777777" w:rsidR="0077793D" w:rsidRDefault="29E65A09" w:rsidP="00EE0875">
            <w:r>
              <w:t>$3,120.00 per day</w:t>
            </w:r>
          </w:p>
        </w:tc>
      </w:tr>
      <w:tr w:rsidR="0077793D" w14:paraId="20457B1D" w14:textId="77777777" w:rsidTr="29E65A09">
        <w:tc>
          <w:tcPr>
            <w:tcW w:w="2360" w:type="pct"/>
          </w:tcPr>
          <w:p w14:paraId="20457B1B" w14:textId="77777777" w:rsidR="0077793D" w:rsidRDefault="29E65A09" w:rsidP="00EE0875">
            <w:r>
              <w:t>External expert fees</w:t>
            </w:r>
          </w:p>
        </w:tc>
        <w:tc>
          <w:tcPr>
            <w:tcW w:w="2640" w:type="pct"/>
          </w:tcPr>
          <w:p w14:paraId="20457B1C" w14:textId="77777777" w:rsidR="0077793D" w:rsidRDefault="29E65A09" w:rsidP="00EE0875">
            <w:r>
              <w:t>$1,500.00 per day</w:t>
            </w:r>
          </w:p>
        </w:tc>
      </w:tr>
      <w:tr w:rsidR="0077793D" w14:paraId="20457B20" w14:textId="77777777" w:rsidTr="29E65A09">
        <w:tc>
          <w:tcPr>
            <w:tcW w:w="2360" w:type="pct"/>
          </w:tcPr>
          <w:p w14:paraId="20457B1E" w14:textId="77777777" w:rsidR="0077793D" w:rsidRDefault="29E65A09" w:rsidP="00EE0875">
            <w:r>
              <w:t>Transcriptionist</w:t>
            </w:r>
          </w:p>
        </w:tc>
        <w:tc>
          <w:tcPr>
            <w:tcW w:w="2640" w:type="pct"/>
          </w:tcPr>
          <w:p w14:paraId="20457B1F" w14:textId="77777777" w:rsidR="0077793D" w:rsidRDefault="29E65A09" w:rsidP="00EE0875">
            <w:r>
              <w:t>$2,500.00 per day (includes hours used, set up and down, finalisation of records)</w:t>
            </w:r>
          </w:p>
        </w:tc>
      </w:tr>
      <w:tr w:rsidR="0077793D" w14:paraId="20457B23" w14:textId="77777777" w:rsidTr="29E65A09">
        <w:tc>
          <w:tcPr>
            <w:tcW w:w="2360" w:type="pct"/>
          </w:tcPr>
          <w:p w14:paraId="20457B21" w14:textId="77777777" w:rsidR="0077793D" w:rsidRDefault="29E65A09" w:rsidP="00EE0875">
            <w:r>
              <w:t>Advertising</w:t>
            </w:r>
          </w:p>
        </w:tc>
        <w:tc>
          <w:tcPr>
            <w:tcW w:w="2640" w:type="pct"/>
          </w:tcPr>
          <w:p w14:paraId="20457B22" w14:textId="77777777" w:rsidR="0077793D" w:rsidRDefault="29E65A09" w:rsidP="00EE0875">
            <w:r>
              <w:t>$3,000 total (average assumed)</w:t>
            </w:r>
          </w:p>
        </w:tc>
      </w:tr>
      <w:tr w:rsidR="0077793D" w14:paraId="20457B26" w14:textId="77777777" w:rsidTr="29E65A09">
        <w:tc>
          <w:tcPr>
            <w:tcW w:w="2360" w:type="pct"/>
          </w:tcPr>
          <w:p w14:paraId="20457B24" w14:textId="3194A4A3" w:rsidR="0077793D" w:rsidRDefault="29E65A09" w:rsidP="00333655">
            <w:r>
              <w:t>Flights (return)</w:t>
            </w:r>
          </w:p>
        </w:tc>
        <w:tc>
          <w:tcPr>
            <w:tcW w:w="2640" w:type="pct"/>
          </w:tcPr>
          <w:p w14:paraId="20457B25" w14:textId="77777777" w:rsidR="0077793D" w:rsidRDefault="29E65A09" w:rsidP="00EE0875">
            <w:r>
              <w:t>$500.00 per person (average assumed)</w:t>
            </w:r>
          </w:p>
        </w:tc>
      </w:tr>
      <w:tr w:rsidR="0077793D" w14:paraId="20457B29" w14:textId="77777777" w:rsidTr="29E65A09">
        <w:tc>
          <w:tcPr>
            <w:tcW w:w="2360" w:type="pct"/>
          </w:tcPr>
          <w:p w14:paraId="20457B27" w14:textId="1D6373FC" w:rsidR="0077793D" w:rsidRDefault="29E65A09" w:rsidP="00EE0875">
            <w:r>
              <w:t xml:space="preserve">Travel related costs </w:t>
            </w:r>
          </w:p>
        </w:tc>
        <w:tc>
          <w:tcPr>
            <w:tcW w:w="2640" w:type="pct"/>
          </w:tcPr>
          <w:p w14:paraId="20457B28" w14:textId="412DE59C" w:rsidR="0077793D" w:rsidRDefault="29E65A09" w:rsidP="006E330E">
            <w:r>
              <w:t xml:space="preserve">$355.00 per day per person </w:t>
            </w:r>
          </w:p>
        </w:tc>
      </w:tr>
      <w:tr w:rsidR="0077793D" w14:paraId="20457B2F" w14:textId="77777777" w:rsidTr="29E65A09">
        <w:tc>
          <w:tcPr>
            <w:tcW w:w="2360" w:type="pct"/>
          </w:tcPr>
          <w:p w14:paraId="20457B2D" w14:textId="3C93608A" w:rsidR="0077793D" w:rsidRDefault="29E65A09" w:rsidP="00604FE6">
            <w:r>
              <w:t>Venue hire</w:t>
            </w:r>
          </w:p>
        </w:tc>
        <w:tc>
          <w:tcPr>
            <w:tcW w:w="2640" w:type="pct"/>
          </w:tcPr>
          <w:p w14:paraId="20457B2E" w14:textId="77777777" w:rsidR="0077793D" w:rsidRDefault="29E65A09" w:rsidP="00EE0875">
            <w:r>
              <w:t xml:space="preserve">$2,000.00 per day </w:t>
            </w:r>
          </w:p>
        </w:tc>
      </w:tr>
    </w:tbl>
    <w:p w14:paraId="20457B30" w14:textId="77777777" w:rsidR="0077793D" w:rsidRDefault="0077793D" w:rsidP="00F81674"/>
    <w:p w14:paraId="20457B31" w14:textId="77777777" w:rsidR="00B43958" w:rsidRDefault="00B43958">
      <w:pPr>
        <w:keepLines w:val="0"/>
        <w:rPr>
          <w:b/>
        </w:rPr>
      </w:pPr>
    </w:p>
    <w:sectPr w:rsidR="00B43958" w:rsidSect="004518B7">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57B45" w14:textId="77777777" w:rsidR="00DC6F0E" w:rsidRDefault="00DC6F0E">
      <w:r>
        <w:separator/>
      </w:r>
    </w:p>
  </w:endnote>
  <w:endnote w:type="continuationSeparator" w:id="0">
    <w:p w14:paraId="20457B46" w14:textId="77777777" w:rsidR="00DC6F0E" w:rsidRDefault="00DC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7B49" w14:textId="77777777" w:rsidR="00DC6F0E" w:rsidRPr="00060EB1" w:rsidRDefault="00DC6F0E" w:rsidP="00060EB1">
    <w:pPr>
      <w:pStyle w:val="Footer"/>
      <w:tabs>
        <w:tab w:val="center" w:pos="4536"/>
      </w:tabs>
      <w:rPr>
        <w:rStyle w:val="Footersecurityclassification"/>
      </w:rPr>
    </w:pPr>
    <w:r w:rsidRPr="00F17B1E">
      <w:rPr>
        <w:rStyle w:val="Footersecurityclassification"/>
        <w:noProof/>
        <w:lang w:eastAsia="en-NZ"/>
      </w:rPr>
      <w:drawing>
        <wp:anchor distT="0" distB="0" distL="114300" distR="114300" simplePos="0" relativeHeight="251658240" behindDoc="0" locked="0" layoutInCell="1" allowOverlap="1" wp14:anchorId="20457B51" wp14:editId="20457B52">
          <wp:simplePos x="0" y="0"/>
          <wp:positionH relativeFrom="column">
            <wp:posOffset>3357245</wp:posOffset>
          </wp:positionH>
          <wp:positionV relativeFrom="page">
            <wp:posOffset>9994900</wp:posOffset>
          </wp:positionV>
          <wp:extent cx="2555875" cy="2622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sidRPr="00F17B1E">
      <w:rPr>
        <w:rStyle w:val="Footersecurityclassification"/>
        <w:noProof/>
        <w:lang w:eastAsia="en-NZ"/>
      </w:rPr>
      <w:drawing>
        <wp:anchor distT="0" distB="0" distL="114300" distR="114300" simplePos="0" relativeHeight="251657216" behindDoc="1" locked="0" layoutInCell="1" allowOverlap="1" wp14:anchorId="20457B53" wp14:editId="20457B54">
          <wp:simplePos x="0" y="0"/>
          <wp:positionH relativeFrom="page">
            <wp:posOffset>1105535</wp:posOffset>
          </wp:positionH>
          <wp:positionV relativeFrom="line">
            <wp:posOffset>-194945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ootersecurityclassificatio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7B4A" w14:textId="77777777" w:rsidR="00DC6F0E" w:rsidRDefault="00DC6F0E" w:rsidP="00BD2C0E">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w:t>
    </w:r>
    <w:r>
      <w:fldChar w:fldCharType="begin"/>
    </w:r>
    <w:r>
      <w:instrText xml:space="preserve"> PAGE  \* Arabic  \* MERGEFORMAT </w:instrText>
    </w:r>
    <w:r>
      <w:fldChar w:fldCharType="separate"/>
    </w:r>
    <w:r w:rsidRPr="29E65A09">
      <w:rPr>
        <w:noProof/>
      </w:rPr>
      <w:t>￼</w:t>
    </w:r>
    <w:r>
      <w:fldChar w:fldCharType="end"/>
    </w:r>
    <w:r>
      <w:t>￼</w:t>
    </w:r>
    <w:fldSimple w:instr=" NUMPAGES   \* MERGEFORMAT ">
      <w:r w:rsidR="00B73C3C">
        <w:rPr>
          <w:noProof/>
        </w:rPr>
        <w:t>17</w:t>
      </w:r>
    </w:fldSimple>
  </w:p>
  <w:p w14:paraId="20457B4B" w14:textId="77777777" w:rsidR="00DC6F0E" w:rsidRDefault="00DC6F0E"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7B4D" w14:textId="77777777" w:rsidR="00DC6F0E" w:rsidRPr="00391C7C" w:rsidRDefault="00DC6F0E"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E61388">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9968B" w14:textId="77777777" w:rsidR="00DC6F0E" w:rsidRPr="00391C7C" w:rsidRDefault="00DC6F0E" w:rsidP="004518B7">
    <w:pPr>
      <w:pStyle w:val="Footer"/>
      <w:tabs>
        <w:tab w:val="center" w:pos="4678"/>
        <w:tab w:val="right" w:pos="9071"/>
      </w:tabs>
      <w:ind w:right="-1"/>
    </w:pPr>
    <w:r>
      <w:tab/>
    </w:r>
    <w:r w:rsidRPr="29E65A09">
      <w:rPr>
        <w:b/>
        <w:bCs/>
        <w:i w:val="0"/>
      </w:rPr>
      <w:t>IN CONFIDENCE</w:t>
    </w:r>
    <w:r>
      <w:tab/>
      <w:t xml:space="preserve">Page </w:t>
    </w:r>
    <w:r w:rsidRPr="29E65A09">
      <w:rPr>
        <w:noProof/>
      </w:rPr>
      <w:fldChar w:fldCharType="begin"/>
    </w:r>
    <w:r>
      <w:instrText xml:space="preserve"> PAGE  \* Arabic  \* MERGEFORMAT </w:instrText>
    </w:r>
    <w:r w:rsidRPr="29E65A09">
      <w:fldChar w:fldCharType="separate"/>
    </w:r>
    <w:r w:rsidR="00E61388">
      <w:rPr>
        <w:noProof/>
      </w:rPr>
      <w:t>2</w:t>
    </w:r>
    <w:r w:rsidRPr="29E65A0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57B42" w14:textId="77777777" w:rsidR="00DC6F0E" w:rsidRDefault="00DC6F0E" w:rsidP="006E29CC">
      <w:pPr>
        <w:pStyle w:val="Spacer"/>
      </w:pPr>
      <w:r>
        <w:separator/>
      </w:r>
    </w:p>
    <w:p w14:paraId="20457B43" w14:textId="77777777" w:rsidR="00DC6F0E" w:rsidRDefault="00DC6F0E" w:rsidP="006E29CC">
      <w:pPr>
        <w:pStyle w:val="Spacer"/>
      </w:pPr>
    </w:p>
  </w:footnote>
  <w:footnote w:type="continuationSeparator" w:id="0">
    <w:p w14:paraId="20457B44" w14:textId="77777777" w:rsidR="00DC6F0E" w:rsidRDefault="00DC6F0E">
      <w:r>
        <w:continuationSeparator/>
      </w:r>
    </w:p>
  </w:footnote>
  <w:footnote w:id="1">
    <w:p w14:paraId="20457B56" w14:textId="77777777" w:rsidR="00DC6F0E" w:rsidRDefault="00DC6F0E">
      <w:pPr>
        <w:pStyle w:val="FootnoteText"/>
      </w:pPr>
      <w:r>
        <w:rPr>
          <w:rStyle w:val="FootnoteReference"/>
        </w:rPr>
        <w:footnoteRef/>
      </w:r>
      <w:r>
        <w:t xml:space="preserve"> While you may indicate the information you would like withheld, it can only be withheld if it meets the relevant criteria under the Official Information Act 1982.</w:t>
      </w:r>
    </w:p>
  </w:footnote>
  <w:footnote w:id="2">
    <w:p w14:paraId="20457B57" w14:textId="77777777" w:rsidR="00DC6F0E" w:rsidRDefault="00DC6F0E">
      <w:pPr>
        <w:pStyle w:val="FootnoteText"/>
      </w:pPr>
      <w:r>
        <w:rPr>
          <w:rStyle w:val="FootnoteReference"/>
        </w:rPr>
        <w:footnoteRef/>
      </w:r>
      <w:r>
        <w:t xml:space="preserve"> This does not apply to SKYCITY Auckland Casino which has had its casino venue licence extended to 2048 under the New Zealand International Convention Centre Act 2013.</w:t>
      </w:r>
    </w:p>
  </w:footnote>
  <w:footnote w:id="3">
    <w:p w14:paraId="72398677" w14:textId="69A9C5D4" w:rsidR="00DC6F0E" w:rsidRDefault="00DC6F0E">
      <w:pPr>
        <w:pStyle w:val="FootnoteText"/>
      </w:pPr>
      <w:r>
        <w:rPr>
          <w:rStyle w:val="FootnoteReference"/>
        </w:rPr>
        <w:footnoteRef/>
      </w:r>
      <w:r>
        <w:t xml:space="preserve"> Gambling Act 2003, s 134(3)</w:t>
      </w:r>
    </w:p>
  </w:footnote>
  <w:footnote w:id="4">
    <w:p w14:paraId="66A41BE7" w14:textId="058E6E91" w:rsidR="00DC6F0E" w:rsidRDefault="00DC6F0E">
      <w:pPr>
        <w:pStyle w:val="FootnoteText"/>
      </w:pPr>
      <w:r>
        <w:rPr>
          <w:rStyle w:val="FootnoteReference"/>
        </w:rPr>
        <w:footnoteRef/>
      </w:r>
      <w:r>
        <w:t xml:space="preserve"> Gambling Act 2003, s135</w:t>
      </w:r>
    </w:p>
  </w:footnote>
  <w:footnote w:id="5">
    <w:p w14:paraId="26387D45" w14:textId="46269233" w:rsidR="00DC6F0E" w:rsidRDefault="00DC6F0E">
      <w:pPr>
        <w:pStyle w:val="FootnoteText"/>
      </w:pPr>
      <w:r>
        <w:rPr>
          <w:rStyle w:val="FootnoteReference"/>
        </w:rPr>
        <w:footnoteRef/>
      </w:r>
      <w:r>
        <w:t xml:space="preserve"> Gambling Act 2003, s 134(3)(a)</w:t>
      </w:r>
    </w:p>
  </w:footnote>
  <w:footnote w:id="6">
    <w:p w14:paraId="25375708" w14:textId="03388F53" w:rsidR="00DC6F0E" w:rsidRPr="003C0CF0" w:rsidRDefault="00DC6F0E" w:rsidP="29E65A09">
      <w:pPr>
        <w:pStyle w:val="FootnoteText"/>
        <w:rPr>
          <w:i/>
          <w:iCs/>
        </w:rPr>
      </w:pPr>
      <w:r>
        <w:rPr>
          <w:rStyle w:val="FootnoteReference"/>
        </w:rPr>
        <w:footnoteRef/>
      </w:r>
      <w:r>
        <w:t xml:space="preserve"> Treasury Instructions 2013.</w:t>
      </w:r>
    </w:p>
  </w:footnote>
  <w:footnote w:id="7">
    <w:p w14:paraId="1E16CB5C" w14:textId="77777777" w:rsidR="00DC6F0E" w:rsidRPr="00A46717" w:rsidRDefault="00DC6F0E" w:rsidP="00A97B7E">
      <w:pPr>
        <w:pStyle w:val="FootnoteText"/>
      </w:pPr>
      <w:r>
        <w:rPr>
          <w:rStyle w:val="FootnoteReference"/>
        </w:rPr>
        <w:footnoteRef/>
      </w:r>
      <w:r>
        <w:t xml:space="preserve"> </w:t>
      </w:r>
      <w:r w:rsidRPr="29E65A09">
        <w:rPr>
          <w:i/>
          <w:iCs/>
        </w:rPr>
        <w:t>Guidelines for Setting Charges in the Public Sector</w:t>
      </w:r>
      <w:r>
        <w:t xml:space="preserve">, The Treasury, April 2017. </w:t>
      </w:r>
    </w:p>
  </w:footnote>
  <w:footnote w:id="8">
    <w:p w14:paraId="20457B58" w14:textId="77777777" w:rsidR="00DC6F0E" w:rsidRPr="00A46717" w:rsidRDefault="00DC6F0E" w:rsidP="001E709F">
      <w:pPr>
        <w:pStyle w:val="FootnoteText"/>
      </w:pPr>
      <w:r>
        <w:rPr>
          <w:rStyle w:val="FootnoteReference"/>
        </w:rPr>
        <w:footnoteRef/>
      </w:r>
      <w:r>
        <w:t xml:space="preserve"> </w:t>
      </w:r>
      <w:r w:rsidRPr="29E65A09">
        <w:rPr>
          <w:i/>
          <w:iCs/>
        </w:rPr>
        <w:t>Guidelines for Setting Charges in the Public Sector</w:t>
      </w:r>
      <w:r>
        <w:t xml:space="preserve">, The Treasury, April 2017. </w:t>
      </w:r>
    </w:p>
  </w:footnote>
  <w:footnote w:id="9">
    <w:p w14:paraId="20457B59" w14:textId="77777777" w:rsidR="00DC6F0E" w:rsidRPr="00871AA3" w:rsidRDefault="00DC6F0E" w:rsidP="29E65A09">
      <w:pPr>
        <w:pStyle w:val="FootnoteText"/>
        <w:rPr>
          <w:u w:val="single"/>
        </w:rPr>
      </w:pPr>
      <w:r>
        <w:rPr>
          <w:rStyle w:val="FootnoteReference"/>
        </w:rPr>
        <w:footnoteRef/>
      </w:r>
      <w:r w:rsidRPr="29E65A09">
        <w:rPr>
          <w:i/>
          <w:iCs/>
        </w:rPr>
        <w:t>Charging Fees for Public Sector Goods and Services. Good Practice Guide</w:t>
      </w:r>
      <w:r>
        <w:t>, Office of the Auditor-General, June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7B47" w14:textId="77777777" w:rsidR="00DC6F0E" w:rsidRDefault="00DC6F0E" w:rsidP="00F17B1E">
    <w:pPr>
      <w:pStyle w:val="Securityclassificiation"/>
      <w:rPr>
        <w:bCs/>
      </w:rPr>
    </w:pPr>
    <w:r w:rsidRPr="00143173">
      <w:rPr>
        <w:bCs/>
        <w:noProof/>
        <w:lang w:eastAsia="en-NZ"/>
      </w:rPr>
      <w:drawing>
        <wp:anchor distT="0" distB="0" distL="114300" distR="114300" simplePos="0" relativeHeight="251656192" behindDoc="0" locked="0" layoutInCell="1" allowOverlap="1" wp14:anchorId="20457B4F" wp14:editId="20457B50">
          <wp:simplePos x="0" y="0"/>
          <wp:positionH relativeFrom="column">
            <wp:align>left</wp:align>
          </wp:positionH>
          <wp:positionV relativeFrom="page">
            <wp:posOffset>504190</wp:posOffset>
          </wp:positionV>
          <wp:extent cx="108000" cy="32400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t>In confidence</w:t>
    </w:r>
    <w:r w:rsidRPr="29E65A09">
      <w:rPr>
        <w:noProof/>
        <w:lang w:eastAsia="en-NZ"/>
      </w:rPr>
      <w:t xml:space="preserve">  </w:t>
    </w:r>
  </w:p>
  <w:p w14:paraId="20457B48" w14:textId="77777777" w:rsidR="00DC6F0E" w:rsidRDefault="00DC6F0E" w:rsidP="00BD2C0E">
    <w:pPr>
      <w:pStyle w:val="Tinyline"/>
      <w:rPr>
        <w:noProof/>
        <w:lang w:eastAsia="en-N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7B4C" w14:textId="77777777" w:rsidR="00DC6F0E" w:rsidRDefault="00E61388" w:rsidP="0046577B">
    <w:sdt>
      <w:sdtPr>
        <w:id w:val="631451639"/>
        <w:docPartObj>
          <w:docPartGallery w:val="Watermarks"/>
          <w:docPartUnique/>
        </w:docPartObj>
      </w:sdtPr>
      <w:sdtEndPr/>
      <w:sdtContent>
        <w:r>
          <w:rPr>
            <w:noProof/>
            <w:lang w:val="en-US" w:eastAsia="zh-TW"/>
          </w:rPr>
          <w:pict w14:anchorId="20457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6F0E">
      <w:t>Consultation: Proposal for Casino Venue Licence Renewal Fee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59D027C"/>
    <w:multiLevelType w:val="hybridMultilevel"/>
    <w:tmpl w:val="EBC4643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nsid w:val="07434B08"/>
    <w:multiLevelType w:val="hybridMultilevel"/>
    <w:tmpl w:val="4FA25F3C"/>
    <w:lvl w:ilvl="0" w:tplc="7E9ECFEC">
      <w:start w:val="1"/>
      <w:numFmt w:val="lowerLetter"/>
      <w:lvlText w:val="(%1)"/>
      <w:lvlJc w:val="right"/>
      <w:pPr>
        <w:ind w:left="2520" w:hanging="180"/>
      </w:pPr>
      <w:rPr>
        <w:rFonts w:asciiTheme="minorHAnsi" w:eastAsia="Times New Roman" w:hAnsiTheme="minorHAns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nsid w:val="0FB67A66"/>
    <w:multiLevelType w:val="hybridMultilevel"/>
    <w:tmpl w:val="CBE48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nsid w:val="1BA2486C"/>
    <w:multiLevelType w:val="hybridMultilevel"/>
    <w:tmpl w:val="74A43EF0"/>
    <w:lvl w:ilvl="0" w:tplc="1409000F">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nsid w:val="20FA54E9"/>
    <w:multiLevelType w:val="hybridMultilevel"/>
    <w:tmpl w:val="49BE74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22BF29B5"/>
    <w:multiLevelType w:val="hybridMultilevel"/>
    <w:tmpl w:val="80F24E4A"/>
    <w:lvl w:ilvl="0" w:tplc="6CDE0BB0">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nsid w:val="2B8B34DD"/>
    <w:multiLevelType w:val="hybridMultilevel"/>
    <w:tmpl w:val="61B24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BB62919"/>
    <w:multiLevelType w:val="hybridMultilevel"/>
    <w:tmpl w:val="C10C8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CF56F26"/>
    <w:multiLevelType w:val="hybridMultilevel"/>
    <w:tmpl w:val="3880FE5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7E9ECFEC">
      <w:start w:val="1"/>
      <w:numFmt w:val="lowerLetter"/>
      <w:lvlText w:val="(%3)"/>
      <w:lvlJc w:val="right"/>
      <w:pPr>
        <w:ind w:left="1800" w:hanging="180"/>
      </w:pPr>
      <w:rPr>
        <w:rFonts w:asciiTheme="minorHAnsi" w:eastAsia="Times New Roman" w:hAnsiTheme="minorHAnsi" w:cs="Times New Roman"/>
      </w:r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7A5435"/>
    <w:multiLevelType w:val="hybridMultilevel"/>
    <w:tmpl w:val="5C1CF2A8"/>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BEA2F70"/>
    <w:multiLevelType w:val="hybridMultilevel"/>
    <w:tmpl w:val="D34224E4"/>
    <w:lvl w:ilvl="0" w:tplc="0F185D8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DED35D0"/>
    <w:multiLevelType w:val="hybridMultilevel"/>
    <w:tmpl w:val="6A9C3C4A"/>
    <w:lvl w:ilvl="0" w:tplc="CAC4696A">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B6B4F17"/>
    <w:multiLevelType w:val="hybridMultilevel"/>
    <w:tmpl w:val="5BE60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FB4419F"/>
    <w:multiLevelType w:val="hybridMultilevel"/>
    <w:tmpl w:val="83C6BCB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5">
    <w:nsid w:val="60B835CB"/>
    <w:multiLevelType w:val="hybridMultilevel"/>
    <w:tmpl w:val="F446C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13A28DA"/>
    <w:multiLevelType w:val="hybridMultilevel"/>
    <w:tmpl w:val="B9AEC6E6"/>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7">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8">
    <w:nsid w:val="66F76C1F"/>
    <w:multiLevelType w:val="hybridMultilevel"/>
    <w:tmpl w:val="76784A9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0">
    <w:nsid w:val="69E677D4"/>
    <w:multiLevelType w:val="hybridMultilevel"/>
    <w:tmpl w:val="98A0DFC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2">
    <w:nsid w:val="6CBC2BF5"/>
    <w:multiLevelType w:val="hybridMultilevel"/>
    <w:tmpl w:val="AAF28E12"/>
    <w:lvl w:ilvl="0" w:tplc="EA84811C">
      <w:start w:val="1"/>
      <w:numFmt w:val="decimal"/>
      <w:lvlText w:val="(%1)"/>
      <w:lvlJc w:val="left"/>
      <w:pPr>
        <w:ind w:left="1440" w:hanging="360"/>
      </w:pPr>
      <w:rPr>
        <w:rFonts w:ascii="Calibri" w:eastAsiaTheme="minorHAnsi" w:hAnsi="Calibri" w:cs="Times New Roman"/>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4">
    <w:nsid w:val="71371F2C"/>
    <w:multiLevelType w:val="hybridMultilevel"/>
    <w:tmpl w:val="89F61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1824D95"/>
    <w:multiLevelType w:val="hybridMultilevel"/>
    <w:tmpl w:val="52A4CA7A"/>
    <w:lvl w:ilvl="0" w:tplc="3F26F4F8">
      <w:start w:val="1"/>
      <w:numFmt w:val="bullet"/>
      <w:lvlText w:val="-"/>
      <w:lvlJc w:val="left"/>
      <w:pPr>
        <w:ind w:left="927" w:hanging="360"/>
      </w:pPr>
      <w:rPr>
        <w:rFonts w:ascii="Calibri" w:eastAsiaTheme="minorHAnsi" w:hAnsi="Calibri"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6">
    <w:nsid w:val="75BA27B8"/>
    <w:multiLevelType w:val="hybridMultilevel"/>
    <w:tmpl w:val="D602B6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8">
    <w:nsid w:val="7EF5613D"/>
    <w:multiLevelType w:val="hybridMultilevel"/>
    <w:tmpl w:val="8F7ABCC4"/>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32"/>
  </w:num>
  <w:num w:numId="2">
    <w:abstractNumId w:val="30"/>
  </w:num>
  <w:num w:numId="3">
    <w:abstractNumId w:val="27"/>
  </w:num>
  <w:num w:numId="4">
    <w:abstractNumId w:val="43"/>
  </w:num>
  <w:num w:numId="5">
    <w:abstractNumId w:val="34"/>
  </w:num>
  <w:num w:numId="6">
    <w:abstractNumId w:val="39"/>
  </w:num>
  <w:num w:numId="7">
    <w:abstractNumId w:val="23"/>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47"/>
  </w:num>
  <w:num w:numId="21">
    <w:abstractNumId w:val="41"/>
  </w:num>
  <w:num w:numId="22">
    <w:abstractNumId w:val="37"/>
  </w:num>
  <w:num w:numId="23">
    <w:abstractNumId w:val="28"/>
  </w:num>
  <w:num w:numId="24">
    <w:abstractNumId w:val="24"/>
  </w:num>
  <w:num w:numId="25">
    <w:abstractNumId w:val="14"/>
  </w:num>
  <w:num w:numId="26">
    <w:abstractNumId w:val="10"/>
  </w:num>
  <w:num w:numId="27">
    <w:abstractNumId w:val="15"/>
  </w:num>
  <w:num w:numId="28">
    <w:abstractNumId w:val="20"/>
  </w:num>
  <w:num w:numId="29">
    <w:abstractNumId w:val="22"/>
  </w:num>
  <w:num w:numId="30">
    <w:abstractNumId w:val="18"/>
  </w:num>
  <w:num w:numId="31">
    <w:abstractNumId w:val="13"/>
  </w:num>
  <w:num w:numId="32">
    <w:abstractNumId w:val="45"/>
  </w:num>
  <w:num w:numId="33">
    <w:abstractNumId w:val="25"/>
  </w:num>
  <w:num w:numId="34">
    <w:abstractNumId w:val="33"/>
  </w:num>
  <w:num w:numId="35">
    <w:abstractNumId w:val="17"/>
  </w:num>
  <w:num w:numId="36">
    <w:abstractNumId w:val="46"/>
  </w:num>
  <w:num w:numId="37">
    <w:abstractNumId w:val="42"/>
  </w:num>
  <w:num w:numId="38">
    <w:abstractNumId w:val="48"/>
  </w:num>
  <w:num w:numId="39">
    <w:abstractNumId w:val="26"/>
  </w:num>
  <w:num w:numId="40">
    <w:abstractNumId w:val="36"/>
  </w:num>
  <w:num w:numId="41">
    <w:abstractNumId w:val="35"/>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40"/>
  </w:num>
  <w:num w:numId="44">
    <w:abstractNumId w:val="44"/>
  </w:num>
  <w:num w:numId="45">
    <w:abstractNumId w:val="31"/>
  </w:num>
  <w:num w:numId="46">
    <w:abstractNumId w:val="21"/>
  </w:num>
  <w:num w:numId="47">
    <w:abstractNumId w:val="29"/>
  </w:num>
  <w:num w:numId="48">
    <w:abstractNumId w:val="12"/>
  </w:num>
  <w:num w:numId="49">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A2"/>
    <w:rsid w:val="00003360"/>
    <w:rsid w:val="00004351"/>
    <w:rsid w:val="00020010"/>
    <w:rsid w:val="00022435"/>
    <w:rsid w:val="00022D04"/>
    <w:rsid w:val="00023876"/>
    <w:rsid w:val="000329EF"/>
    <w:rsid w:val="00034673"/>
    <w:rsid w:val="000409E2"/>
    <w:rsid w:val="00044EA1"/>
    <w:rsid w:val="00046E98"/>
    <w:rsid w:val="000577DB"/>
    <w:rsid w:val="00060EB1"/>
    <w:rsid w:val="00063BB2"/>
    <w:rsid w:val="000723E4"/>
    <w:rsid w:val="00076035"/>
    <w:rsid w:val="00077013"/>
    <w:rsid w:val="0008087D"/>
    <w:rsid w:val="00082C2F"/>
    <w:rsid w:val="00091C3A"/>
    <w:rsid w:val="00092587"/>
    <w:rsid w:val="000953BD"/>
    <w:rsid w:val="000961F8"/>
    <w:rsid w:val="00097EE3"/>
    <w:rsid w:val="000A568F"/>
    <w:rsid w:val="000A5715"/>
    <w:rsid w:val="000A63E7"/>
    <w:rsid w:val="000B76A4"/>
    <w:rsid w:val="000C3B42"/>
    <w:rsid w:val="000C472D"/>
    <w:rsid w:val="000C5958"/>
    <w:rsid w:val="000C7F70"/>
    <w:rsid w:val="000D0C06"/>
    <w:rsid w:val="000D3478"/>
    <w:rsid w:val="000D4DAD"/>
    <w:rsid w:val="000D7088"/>
    <w:rsid w:val="000D7EDD"/>
    <w:rsid w:val="000E09DC"/>
    <w:rsid w:val="000E3E70"/>
    <w:rsid w:val="000E57D4"/>
    <w:rsid w:val="000E677B"/>
    <w:rsid w:val="000F4ADF"/>
    <w:rsid w:val="000F61AF"/>
    <w:rsid w:val="000F773A"/>
    <w:rsid w:val="00100AAB"/>
    <w:rsid w:val="0010171C"/>
    <w:rsid w:val="00102FAD"/>
    <w:rsid w:val="001032AB"/>
    <w:rsid w:val="0010431A"/>
    <w:rsid w:val="001109A6"/>
    <w:rsid w:val="00121870"/>
    <w:rsid w:val="00125633"/>
    <w:rsid w:val="00125788"/>
    <w:rsid w:val="0013424E"/>
    <w:rsid w:val="001420E8"/>
    <w:rsid w:val="00143173"/>
    <w:rsid w:val="0015404E"/>
    <w:rsid w:val="00160B74"/>
    <w:rsid w:val="00163A45"/>
    <w:rsid w:val="0016433D"/>
    <w:rsid w:val="00170A1D"/>
    <w:rsid w:val="0017197F"/>
    <w:rsid w:val="00181006"/>
    <w:rsid w:val="00192376"/>
    <w:rsid w:val="001A036D"/>
    <w:rsid w:val="001A5F55"/>
    <w:rsid w:val="001A6821"/>
    <w:rsid w:val="001B12CE"/>
    <w:rsid w:val="001B646D"/>
    <w:rsid w:val="001B6E3E"/>
    <w:rsid w:val="001C0031"/>
    <w:rsid w:val="001D0111"/>
    <w:rsid w:val="001E1133"/>
    <w:rsid w:val="001E354B"/>
    <w:rsid w:val="001E62F4"/>
    <w:rsid w:val="001E709F"/>
    <w:rsid w:val="001F22A0"/>
    <w:rsid w:val="002017E6"/>
    <w:rsid w:val="00205FE8"/>
    <w:rsid w:val="00206BA3"/>
    <w:rsid w:val="00207D05"/>
    <w:rsid w:val="002124E6"/>
    <w:rsid w:val="00215160"/>
    <w:rsid w:val="002224B4"/>
    <w:rsid w:val="00226D5E"/>
    <w:rsid w:val="00226FB1"/>
    <w:rsid w:val="00236DAC"/>
    <w:rsid w:val="00237A3D"/>
    <w:rsid w:val="00240E83"/>
    <w:rsid w:val="00250296"/>
    <w:rsid w:val="002502D1"/>
    <w:rsid w:val="0026423F"/>
    <w:rsid w:val="0026636D"/>
    <w:rsid w:val="002704B7"/>
    <w:rsid w:val="00270EEC"/>
    <w:rsid w:val="00270FEB"/>
    <w:rsid w:val="00271B62"/>
    <w:rsid w:val="002806A2"/>
    <w:rsid w:val="0028364F"/>
    <w:rsid w:val="0028440D"/>
    <w:rsid w:val="00292375"/>
    <w:rsid w:val="002971C5"/>
    <w:rsid w:val="00297749"/>
    <w:rsid w:val="00297CC7"/>
    <w:rsid w:val="002A194F"/>
    <w:rsid w:val="002A4BD9"/>
    <w:rsid w:val="002A4FE7"/>
    <w:rsid w:val="002B1CEB"/>
    <w:rsid w:val="002B76A3"/>
    <w:rsid w:val="002D1F64"/>
    <w:rsid w:val="002E548D"/>
    <w:rsid w:val="002F0001"/>
    <w:rsid w:val="002F119F"/>
    <w:rsid w:val="003004C1"/>
    <w:rsid w:val="0030084C"/>
    <w:rsid w:val="00304F40"/>
    <w:rsid w:val="00306B17"/>
    <w:rsid w:val="00310B35"/>
    <w:rsid w:val="00311F92"/>
    <w:rsid w:val="003129BA"/>
    <w:rsid w:val="003148FC"/>
    <w:rsid w:val="003176F3"/>
    <w:rsid w:val="0032001A"/>
    <w:rsid w:val="0032640D"/>
    <w:rsid w:val="00330820"/>
    <w:rsid w:val="003315FF"/>
    <w:rsid w:val="00332576"/>
    <w:rsid w:val="003329A8"/>
    <w:rsid w:val="00332B87"/>
    <w:rsid w:val="00333655"/>
    <w:rsid w:val="003345F0"/>
    <w:rsid w:val="003366B8"/>
    <w:rsid w:val="003410F7"/>
    <w:rsid w:val="00341563"/>
    <w:rsid w:val="00342CC3"/>
    <w:rsid w:val="00342DBF"/>
    <w:rsid w:val="003450C1"/>
    <w:rsid w:val="003513F0"/>
    <w:rsid w:val="00356DD6"/>
    <w:rsid w:val="0037095D"/>
    <w:rsid w:val="00370FC0"/>
    <w:rsid w:val="00373206"/>
    <w:rsid w:val="003734CF"/>
    <w:rsid w:val="003901B3"/>
    <w:rsid w:val="00391C7C"/>
    <w:rsid w:val="00395663"/>
    <w:rsid w:val="003A10DA"/>
    <w:rsid w:val="003A12C8"/>
    <w:rsid w:val="003A2A79"/>
    <w:rsid w:val="003A2C18"/>
    <w:rsid w:val="003A30A8"/>
    <w:rsid w:val="003A55E3"/>
    <w:rsid w:val="003A6FFE"/>
    <w:rsid w:val="003B0150"/>
    <w:rsid w:val="003B2B76"/>
    <w:rsid w:val="003B3A23"/>
    <w:rsid w:val="003B4341"/>
    <w:rsid w:val="003B59D8"/>
    <w:rsid w:val="003C0CF0"/>
    <w:rsid w:val="003C63D0"/>
    <w:rsid w:val="003D353C"/>
    <w:rsid w:val="003D434D"/>
    <w:rsid w:val="003D5993"/>
    <w:rsid w:val="003E1D9C"/>
    <w:rsid w:val="003E6B7F"/>
    <w:rsid w:val="003F50E0"/>
    <w:rsid w:val="003F5886"/>
    <w:rsid w:val="003F708B"/>
    <w:rsid w:val="0040020C"/>
    <w:rsid w:val="00400C90"/>
    <w:rsid w:val="0040287B"/>
    <w:rsid w:val="0040700B"/>
    <w:rsid w:val="00407F54"/>
    <w:rsid w:val="00411341"/>
    <w:rsid w:val="00413966"/>
    <w:rsid w:val="00415CDB"/>
    <w:rsid w:val="0042066D"/>
    <w:rsid w:val="00422EA7"/>
    <w:rsid w:val="00424863"/>
    <w:rsid w:val="0042551E"/>
    <w:rsid w:val="00426491"/>
    <w:rsid w:val="004309A9"/>
    <w:rsid w:val="00433AD8"/>
    <w:rsid w:val="004514FC"/>
    <w:rsid w:val="004518B7"/>
    <w:rsid w:val="00451906"/>
    <w:rsid w:val="004533A6"/>
    <w:rsid w:val="004550CF"/>
    <w:rsid w:val="004552A0"/>
    <w:rsid w:val="00455C84"/>
    <w:rsid w:val="00455FAD"/>
    <w:rsid w:val="00460A83"/>
    <w:rsid w:val="0046577B"/>
    <w:rsid w:val="0047129B"/>
    <w:rsid w:val="004734F8"/>
    <w:rsid w:val="00475AB5"/>
    <w:rsid w:val="00477619"/>
    <w:rsid w:val="004800E8"/>
    <w:rsid w:val="00486E6E"/>
    <w:rsid w:val="00490C00"/>
    <w:rsid w:val="00491D0B"/>
    <w:rsid w:val="004A5823"/>
    <w:rsid w:val="004A60E0"/>
    <w:rsid w:val="004B0AAF"/>
    <w:rsid w:val="004B0E21"/>
    <w:rsid w:val="004B3924"/>
    <w:rsid w:val="004B6948"/>
    <w:rsid w:val="004C4DDD"/>
    <w:rsid w:val="004D06BB"/>
    <w:rsid w:val="004D1706"/>
    <w:rsid w:val="004D17A9"/>
    <w:rsid w:val="004D243F"/>
    <w:rsid w:val="004D7473"/>
    <w:rsid w:val="004F40B4"/>
    <w:rsid w:val="005003E4"/>
    <w:rsid w:val="00500D32"/>
    <w:rsid w:val="0051048E"/>
    <w:rsid w:val="00510FCD"/>
    <w:rsid w:val="0051119C"/>
    <w:rsid w:val="00512300"/>
    <w:rsid w:val="00512ACB"/>
    <w:rsid w:val="00520202"/>
    <w:rsid w:val="0052216D"/>
    <w:rsid w:val="0052248B"/>
    <w:rsid w:val="00525832"/>
    <w:rsid w:val="00526115"/>
    <w:rsid w:val="0053180F"/>
    <w:rsid w:val="00533FAF"/>
    <w:rsid w:val="005366B6"/>
    <w:rsid w:val="00542F92"/>
    <w:rsid w:val="0055430C"/>
    <w:rsid w:val="00555832"/>
    <w:rsid w:val="00561A97"/>
    <w:rsid w:val="005639F8"/>
    <w:rsid w:val="00563DAC"/>
    <w:rsid w:val="00566E0B"/>
    <w:rsid w:val="005675E0"/>
    <w:rsid w:val="00570C00"/>
    <w:rsid w:val="00574303"/>
    <w:rsid w:val="0058206B"/>
    <w:rsid w:val="00585690"/>
    <w:rsid w:val="00587732"/>
    <w:rsid w:val="00593B07"/>
    <w:rsid w:val="00595454"/>
    <w:rsid w:val="00595B33"/>
    <w:rsid w:val="0059662F"/>
    <w:rsid w:val="005A07A2"/>
    <w:rsid w:val="005A49D5"/>
    <w:rsid w:val="005B227F"/>
    <w:rsid w:val="005B2F12"/>
    <w:rsid w:val="005B6D15"/>
    <w:rsid w:val="005B7EC2"/>
    <w:rsid w:val="005D02E9"/>
    <w:rsid w:val="005D07A1"/>
    <w:rsid w:val="005D0876"/>
    <w:rsid w:val="005D1566"/>
    <w:rsid w:val="005D1B79"/>
    <w:rsid w:val="005D2008"/>
    <w:rsid w:val="005D3066"/>
    <w:rsid w:val="005D3404"/>
    <w:rsid w:val="005D6D99"/>
    <w:rsid w:val="005E0C20"/>
    <w:rsid w:val="005E1818"/>
    <w:rsid w:val="005E36C1"/>
    <w:rsid w:val="005E3A89"/>
    <w:rsid w:val="005E4B13"/>
    <w:rsid w:val="005E4C02"/>
    <w:rsid w:val="005F01DF"/>
    <w:rsid w:val="005F5487"/>
    <w:rsid w:val="005F76CC"/>
    <w:rsid w:val="005F7FF8"/>
    <w:rsid w:val="00600CA4"/>
    <w:rsid w:val="00602416"/>
    <w:rsid w:val="006041F2"/>
    <w:rsid w:val="00604FE6"/>
    <w:rsid w:val="006225CA"/>
    <w:rsid w:val="00624B23"/>
    <w:rsid w:val="00630BA2"/>
    <w:rsid w:val="006342E9"/>
    <w:rsid w:val="00635E2C"/>
    <w:rsid w:val="00637F71"/>
    <w:rsid w:val="00640020"/>
    <w:rsid w:val="0064246F"/>
    <w:rsid w:val="00643227"/>
    <w:rsid w:val="00645B5C"/>
    <w:rsid w:val="00646209"/>
    <w:rsid w:val="006468F3"/>
    <w:rsid w:val="00652C99"/>
    <w:rsid w:val="00661B46"/>
    <w:rsid w:val="00662716"/>
    <w:rsid w:val="00664A74"/>
    <w:rsid w:val="00667187"/>
    <w:rsid w:val="00671EF7"/>
    <w:rsid w:val="00677B13"/>
    <w:rsid w:val="00677F4E"/>
    <w:rsid w:val="00681A08"/>
    <w:rsid w:val="00685ECF"/>
    <w:rsid w:val="006871D3"/>
    <w:rsid w:val="006875B8"/>
    <w:rsid w:val="00687CA4"/>
    <w:rsid w:val="00687CEA"/>
    <w:rsid w:val="00690953"/>
    <w:rsid w:val="00691205"/>
    <w:rsid w:val="00695B75"/>
    <w:rsid w:val="006A1A95"/>
    <w:rsid w:val="006A38B7"/>
    <w:rsid w:val="006B0386"/>
    <w:rsid w:val="006B1CB2"/>
    <w:rsid w:val="006B1DD1"/>
    <w:rsid w:val="006B3396"/>
    <w:rsid w:val="006B59B6"/>
    <w:rsid w:val="006B6419"/>
    <w:rsid w:val="006C14D1"/>
    <w:rsid w:val="006C51EC"/>
    <w:rsid w:val="006C5F45"/>
    <w:rsid w:val="006C7DE1"/>
    <w:rsid w:val="006D638F"/>
    <w:rsid w:val="006E29CC"/>
    <w:rsid w:val="006E330E"/>
    <w:rsid w:val="006E369D"/>
    <w:rsid w:val="006E45B1"/>
    <w:rsid w:val="006E690C"/>
    <w:rsid w:val="006E76E1"/>
    <w:rsid w:val="006E7BF7"/>
    <w:rsid w:val="006F4D74"/>
    <w:rsid w:val="00701040"/>
    <w:rsid w:val="00703F10"/>
    <w:rsid w:val="007068C8"/>
    <w:rsid w:val="00715B8F"/>
    <w:rsid w:val="007202D5"/>
    <w:rsid w:val="007250F0"/>
    <w:rsid w:val="0073106E"/>
    <w:rsid w:val="00734C64"/>
    <w:rsid w:val="00735A77"/>
    <w:rsid w:val="00737CB8"/>
    <w:rsid w:val="0074088C"/>
    <w:rsid w:val="00742C59"/>
    <w:rsid w:val="00746A64"/>
    <w:rsid w:val="00754222"/>
    <w:rsid w:val="00756BB7"/>
    <w:rsid w:val="0075764B"/>
    <w:rsid w:val="00760417"/>
    <w:rsid w:val="00760C01"/>
    <w:rsid w:val="00761293"/>
    <w:rsid w:val="00761439"/>
    <w:rsid w:val="00767C04"/>
    <w:rsid w:val="007736A2"/>
    <w:rsid w:val="00773F2E"/>
    <w:rsid w:val="0077793D"/>
    <w:rsid w:val="00777FF1"/>
    <w:rsid w:val="0079262F"/>
    <w:rsid w:val="0079748C"/>
    <w:rsid w:val="007A1680"/>
    <w:rsid w:val="007A2A3D"/>
    <w:rsid w:val="007A4A1F"/>
    <w:rsid w:val="007A6226"/>
    <w:rsid w:val="007B0149"/>
    <w:rsid w:val="007B2CAE"/>
    <w:rsid w:val="007B3C61"/>
    <w:rsid w:val="007C42FA"/>
    <w:rsid w:val="007D1918"/>
    <w:rsid w:val="007D3469"/>
    <w:rsid w:val="007D3BAF"/>
    <w:rsid w:val="007D50A3"/>
    <w:rsid w:val="007D6184"/>
    <w:rsid w:val="007E4370"/>
    <w:rsid w:val="007E6A9A"/>
    <w:rsid w:val="007F6C8A"/>
    <w:rsid w:val="007F77FA"/>
    <w:rsid w:val="00802AA4"/>
    <w:rsid w:val="00802CBA"/>
    <w:rsid w:val="0080328C"/>
    <w:rsid w:val="0081299F"/>
    <w:rsid w:val="0082264B"/>
    <w:rsid w:val="008260F8"/>
    <w:rsid w:val="0082765B"/>
    <w:rsid w:val="00833D1B"/>
    <w:rsid w:val="00835BD7"/>
    <w:rsid w:val="0084008B"/>
    <w:rsid w:val="00843717"/>
    <w:rsid w:val="00843D71"/>
    <w:rsid w:val="0084745A"/>
    <w:rsid w:val="0084773E"/>
    <w:rsid w:val="008543AA"/>
    <w:rsid w:val="00860B2B"/>
    <w:rsid w:val="00861077"/>
    <w:rsid w:val="00870045"/>
    <w:rsid w:val="00871AA3"/>
    <w:rsid w:val="00874139"/>
    <w:rsid w:val="00874402"/>
    <w:rsid w:val="00876E5F"/>
    <w:rsid w:val="00877F38"/>
    <w:rsid w:val="00877F40"/>
    <w:rsid w:val="00881401"/>
    <w:rsid w:val="00890CE4"/>
    <w:rsid w:val="0089131B"/>
    <w:rsid w:val="00894B6A"/>
    <w:rsid w:val="008965F7"/>
    <w:rsid w:val="008972AF"/>
    <w:rsid w:val="008A7A2F"/>
    <w:rsid w:val="008A7B4B"/>
    <w:rsid w:val="008B5B4A"/>
    <w:rsid w:val="008B7567"/>
    <w:rsid w:val="008C3187"/>
    <w:rsid w:val="008C5222"/>
    <w:rsid w:val="008C5E4F"/>
    <w:rsid w:val="008D29AD"/>
    <w:rsid w:val="008D4D96"/>
    <w:rsid w:val="008D63B7"/>
    <w:rsid w:val="008D6A03"/>
    <w:rsid w:val="008E0D0F"/>
    <w:rsid w:val="008E1FA8"/>
    <w:rsid w:val="008E7FEE"/>
    <w:rsid w:val="008F1623"/>
    <w:rsid w:val="008F461C"/>
    <w:rsid w:val="008F5F9C"/>
    <w:rsid w:val="008F60FA"/>
    <w:rsid w:val="008F67F5"/>
    <w:rsid w:val="008F6BCE"/>
    <w:rsid w:val="00900D4B"/>
    <w:rsid w:val="00907486"/>
    <w:rsid w:val="009170B9"/>
    <w:rsid w:val="0092325F"/>
    <w:rsid w:val="00927482"/>
    <w:rsid w:val="00930CCB"/>
    <w:rsid w:val="00937CC2"/>
    <w:rsid w:val="00940E8D"/>
    <w:rsid w:val="0095112B"/>
    <w:rsid w:val="00954610"/>
    <w:rsid w:val="00957D1F"/>
    <w:rsid w:val="0096325A"/>
    <w:rsid w:val="009669CF"/>
    <w:rsid w:val="00970EE8"/>
    <w:rsid w:val="00973757"/>
    <w:rsid w:val="00973A6D"/>
    <w:rsid w:val="0097502F"/>
    <w:rsid w:val="00975396"/>
    <w:rsid w:val="009806CB"/>
    <w:rsid w:val="009837FE"/>
    <w:rsid w:val="00986355"/>
    <w:rsid w:val="009865AA"/>
    <w:rsid w:val="00987080"/>
    <w:rsid w:val="0098765A"/>
    <w:rsid w:val="009877B5"/>
    <w:rsid w:val="00987979"/>
    <w:rsid w:val="009968B0"/>
    <w:rsid w:val="009A1E1A"/>
    <w:rsid w:val="009A6CB2"/>
    <w:rsid w:val="009B0982"/>
    <w:rsid w:val="009B4C99"/>
    <w:rsid w:val="009B57A5"/>
    <w:rsid w:val="009C0BB3"/>
    <w:rsid w:val="009C1776"/>
    <w:rsid w:val="009C18CF"/>
    <w:rsid w:val="009D28CF"/>
    <w:rsid w:val="009D4BBA"/>
    <w:rsid w:val="009D5175"/>
    <w:rsid w:val="009D62BF"/>
    <w:rsid w:val="009E4272"/>
    <w:rsid w:val="009E43F7"/>
    <w:rsid w:val="009E4A4F"/>
    <w:rsid w:val="009E5D36"/>
    <w:rsid w:val="009E7CA0"/>
    <w:rsid w:val="009F2C38"/>
    <w:rsid w:val="009F3AAA"/>
    <w:rsid w:val="00A04392"/>
    <w:rsid w:val="00A07A2B"/>
    <w:rsid w:val="00A16003"/>
    <w:rsid w:val="00A167D7"/>
    <w:rsid w:val="00A20E2E"/>
    <w:rsid w:val="00A24FBB"/>
    <w:rsid w:val="00A25530"/>
    <w:rsid w:val="00A2583C"/>
    <w:rsid w:val="00A26030"/>
    <w:rsid w:val="00A313C6"/>
    <w:rsid w:val="00A317AE"/>
    <w:rsid w:val="00A36309"/>
    <w:rsid w:val="00A42ED2"/>
    <w:rsid w:val="00A44B33"/>
    <w:rsid w:val="00A46717"/>
    <w:rsid w:val="00A50E00"/>
    <w:rsid w:val="00A52529"/>
    <w:rsid w:val="00A53624"/>
    <w:rsid w:val="00A539BF"/>
    <w:rsid w:val="00A5720D"/>
    <w:rsid w:val="00A5766B"/>
    <w:rsid w:val="00A61A3A"/>
    <w:rsid w:val="00A61F95"/>
    <w:rsid w:val="00A815F1"/>
    <w:rsid w:val="00A840D6"/>
    <w:rsid w:val="00A863E3"/>
    <w:rsid w:val="00A93E64"/>
    <w:rsid w:val="00A97B7E"/>
    <w:rsid w:val="00AA4DDE"/>
    <w:rsid w:val="00AB3A92"/>
    <w:rsid w:val="00AB478B"/>
    <w:rsid w:val="00AB4AD9"/>
    <w:rsid w:val="00AB71C9"/>
    <w:rsid w:val="00AC687A"/>
    <w:rsid w:val="00AD1760"/>
    <w:rsid w:val="00AD6E77"/>
    <w:rsid w:val="00AD7A25"/>
    <w:rsid w:val="00AE2740"/>
    <w:rsid w:val="00AE396D"/>
    <w:rsid w:val="00AF2327"/>
    <w:rsid w:val="00AF3A5A"/>
    <w:rsid w:val="00AF5218"/>
    <w:rsid w:val="00AF6D28"/>
    <w:rsid w:val="00B0044A"/>
    <w:rsid w:val="00B03B80"/>
    <w:rsid w:val="00B0480E"/>
    <w:rsid w:val="00B1026A"/>
    <w:rsid w:val="00B12224"/>
    <w:rsid w:val="00B21166"/>
    <w:rsid w:val="00B263AE"/>
    <w:rsid w:val="00B37467"/>
    <w:rsid w:val="00B43958"/>
    <w:rsid w:val="00B44497"/>
    <w:rsid w:val="00B449B9"/>
    <w:rsid w:val="00B456E6"/>
    <w:rsid w:val="00B47091"/>
    <w:rsid w:val="00B61D68"/>
    <w:rsid w:val="00B62134"/>
    <w:rsid w:val="00B62C3E"/>
    <w:rsid w:val="00B63D5D"/>
    <w:rsid w:val="00B645DE"/>
    <w:rsid w:val="00B65857"/>
    <w:rsid w:val="00B662D9"/>
    <w:rsid w:val="00B66698"/>
    <w:rsid w:val="00B66CAD"/>
    <w:rsid w:val="00B70507"/>
    <w:rsid w:val="00B71E52"/>
    <w:rsid w:val="00B73C3C"/>
    <w:rsid w:val="00B745DC"/>
    <w:rsid w:val="00B76A28"/>
    <w:rsid w:val="00B80858"/>
    <w:rsid w:val="00B80B98"/>
    <w:rsid w:val="00B84350"/>
    <w:rsid w:val="00B855A6"/>
    <w:rsid w:val="00B866EF"/>
    <w:rsid w:val="00B87338"/>
    <w:rsid w:val="00B906A7"/>
    <w:rsid w:val="00B91098"/>
    <w:rsid w:val="00B91904"/>
    <w:rsid w:val="00B91C8B"/>
    <w:rsid w:val="00B926B7"/>
    <w:rsid w:val="00B92735"/>
    <w:rsid w:val="00B93575"/>
    <w:rsid w:val="00B969ED"/>
    <w:rsid w:val="00BB0D90"/>
    <w:rsid w:val="00BB420A"/>
    <w:rsid w:val="00BB60C6"/>
    <w:rsid w:val="00BB7984"/>
    <w:rsid w:val="00BC6A06"/>
    <w:rsid w:val="00BD02C3"/>
    <w:rsid w:val="00BD137C"/>
    <w:rsid w:val="00BD2C0E"/>
    <w:rsid w:val="00BD2FD9"/>
    <w:rsid w:val="00BE2FA3"/>
    <w:rsid w:val="00BE3B49"/>
    <w:rsid w:val="00BE4082"/>
    <w:rsid w:val="00BE494B"/>
    <w:rsid w:val="00BE7200"/>
    <w:rsid w:val="00BF1CBC"/>
    <w:rsid w:val="00BF3867"/>
    <w:rsid w:val="00BF5D3D"/>
    <w:rsid w:val="00BF5E74"/>
    <w:rsid w:val="00C03596"/>
    <w:rsid w:val="00C05E10"/>
    <w:rsid w:val="00C10CC0"/>
    <w:rsid w:val="00C128D9"/>
    <w:rsid w:val="00C1386A"/>
    <w:rsid w:val="00C14ED9"/>
    <w:rsid w:val="00C15A13"/>
    <w:rsid w:val="00C238D9"/>
    <w:rsid w:val="00C24A9D"/>
    <w:rsid w:val="00C2677E"/>
    <w:rsid w:val="00C26D5B"/>
    <w:rsid w:val="00C31542"/>
    <w:rsid w:val="00C424E5"/>
    <w:rsid w:val="00C4710C"/>
    <w:rsid w:val="00C50D6A"/>
    <w:rsid w:val="00C51D1F"/>
    <w:rsid w:val="00C52971"/>
    <w:rsid w:val="00C53BE9"/>
    <w:rsid w:val="00C6078D"/>
    <w:rsid w:val="00C636C8"/>
    <w:rsid w:val="00C657CF"/>
    <w:rsid w:val="00C67329"/>
    <w:rsid w:val="00C76E33"/>
    <w:rsid w:val="00C80D62"/>
    <w:rsid w:val="00C81067"/>
    <w:rsid w:val="00C9483D"/>
    <w:rsid w:val="00C96B1D"/>
    <w:rsid w:val="00C96BFD"/>
    <w:rsid w:val="00CA4E02"/>
    <w:rsid w:val="00CA5097"/>
    <w:rsid w:val="00CA5358"/>
    <w:rsid w:val="00CB2A66"/>
    <w:rsid w:val="00CB4BDC"/>
    <w:rsid w:val="00CC0CFA"/>
    <w:rsid w:val="00CC2FC9"/>
    <w:rsid w:val="00CD502A"/>
    <w:rsid w:val="00CD5099"/>
    <w:rsid w:val="00CE2D02"/>
    <w:rsid w:val="00CE2FDF"/>
    <w:rsid w:val="00CF0170"/>
    <w:rsid w:val="00CF12CF"/>
    <w:rsid w:val="00CF2F25"/>
    <w:rsid w:val="00CF3288"/>
    <w:rsid w:val="00D04446"/>
    <w:rsid w:val="00D060D2"/>
    <w:rsid w:val="00D105FD"/>
    <w:rsid w:val="00D13BB8"/>
    <w:rsid w:val="00D14394"/>
    <w:rsid w:val="00D14CF8"/>
    <w:rsid w:val="00D16E5F"/>
    <w:rsid w:val="00D213C5"/>
    <w:rsid w:val="00D242CD"/>
    <w:rsid w:val="00D341C3"/>
    <w:rsid w:val="00D360F5"/>
    <w:rsid w:val="00D36680"/>
    <w:rsid w:val="00D4170C"/>
    <w:rsid w:val="00D42736"/>
    <w:rsid w:val="00D42843"/>
    <w:rsid w:val="00D457F8"/>
    <w:rsid w:val="00D45DDE"/>
    <w:rsid w:val="00D5152A"/>
    <w:rsid w:val="00D52371"/>
    <w:rsid w:val="00D5454D"/>
    <w:rsid w:val="00D55FB0"/>
    <w:rsid w:val="00D60C09"/>
    <w:rsid w:val="00D65145"/>
    <w:rsid w:val="00D67486"/>
    <w:rsid w:val="00D70483"/>
    <w:rsid w:val="00D726F7"/>
    <w:rsid w:val="00D74314"/>
    <w:rsid w:val="00D7557A"/>
    <w:rsid w:val="00D92505"/>
    <w:rsid w:val="00DA267C"/>
    <w:rsid w:val="00DA2BBE"/>
    <w:rsid w:val="00DA42DA"/>
    <w:rsid w:val="00DA5101"/>
    <w:rsid w:val="00DA79EF"/>
    <w:rsid w:val="00DB0C0B"/>
    <w:rsid w:val="00DB3B74"/>
    <w:rsid w:val="00DC1C81"/>
    <w:rsid w:val="00DC5870"/>
    <w:rsid w:val="00DC646A"/>
    <w:rsid w:val="00DC6F0E"/>
    <w:rsid w:val="00DC7D45"/>
    <w:rsid w:val="00DD01EC"/>
    <w:rsid w:val="00DD0384"/>
    <w:rsid w:val="00DD0901"/>
    <w:rsid w:val="00DD3BD0"/>
    <w:rsid w:val="00DD3DD8"/>
    <w:rsid w:val="00DE16B6"/>
    <w:rsid w:val="00DE36CA"/>
    <w:rsid w:val="00DE4E1D"/>
    <w:rsid w:val="00DE7E63"/>
    <w:rsid w:val="00DF2911"/>
    <w:rsid w:val="00DF6C62"/>
    <w:rsid w:val="00DF7749"/>
    <w:rsid w:val="00DF78D3"/>
    <w:rsid w:val="00E01841"/>
    <w:rsid w:val="00E01E02"/>
    <w:rsid w:val="00E07E99"/>
    <w:rsid w:val="00E26D66"/>
    <w:rsid w:val="00E30118"/>
    <w:rsid w:val="00E315F6"/>
    <w:rsid w:val="00E32B11"/>
    <w:rsid w:val="00E33DBE"/>
    <w:rsid w:val="00E367C5"/>
    <w:rsid w:val="00E37E71"/>
    <w:rsid w:val="00E42847"/>
    <w:rsid w:val="00E45F25"/>
    <w:rsid w:val="00E46064"/>
    <w:rsid w:val="00E57F71"/>
    <w:rsid w:val="00E604A1"/>
    <w:rsid w:val="00E61388"/>
    <w:rsid w:val="00E62FFE"/>
    <w:rsid w:val="00E73AA8"/>
    <w:rsid w:val="00E73BE5"/>
    <w:rsid w:val="00E753D3"/>
    <w:rsid w:val="00E80228"/>
    <w:rsid w:val="00E8442E"/>
    <w:rsid w:val="00E847C2"/>
    <w:rsid w:val="00E84D4A"/>
    <w:rsid w:val="00E92C91"/>
    <w:rsid w:val="00E93957"/>
    <w:rsid w:val="00EA2ED4"/>
    <w:rsid w:val="00EA317A"/>
    <w:rsid w:val="00EA3E88"/>
    <w:rsid w:val="00EA491A"/>
    <w:rsid w:val="00EA4DD9"/>
    <w:rsid w:val="00EB1583"/>
    <w:rsid w:val="00EB3490"/>
    <w:rsid w:val="00EC23FB"/>
    <w:rsid w:val="00EC5256"/>
    <w:rsid w:val="00ED5DEC"/>
    <w:rsid w:val="00ED6041"/>
    <w:rsid w:val="00ED7681"/>
    <w:rsid w:val="00EE0875"/>
    <w:rsid w:val="00EE41C2"/>
    <w:rsid w:val="00EE670F"/>
    <w:rsid w:val="00EF032A"/>
    <w:rsid w:val="00EF3C1A"/>
    <w:rsid w:val="00EF5034"/>
    <w:rsid w:val="00EF63C6"/>
    <w:rsid w:val="00EF7397"/>
    <w:rsid w:val="00F034FB"/>
    <w:rsid w:val="00F036E0"/>
    <w:rsid w:val="00F05606"/>
    <w:rsid w:val="00F06887"/>
    <w:rsid w:val="00F105F5"/>
    <w:rsid w:val="00F1075A"/>
    <w:rsid w:val="00F145A7"/>
    <w:rsid w:val="00F17B1E"/>
    <w:rsid w:val="00F21AC7"/>
    <w:rsid w:val="00F22E82"/>
    <w:rsid w:val="00F25E4A"/>
    <w:rsid w:val="00F30B8D"/>
    <w:rsid w:val="00F3277D"/>
    <w:rsid w:val="00F337BF"/>
    <w:rsid w:val="00F33D14"/>
    <w:rsid w:val="00F3553A"/>
    <w:rsid w:val="00F41144"/>
    <w:rsid w:val="00F463BF"/>
    <w:rsid w:val="00F46451"/>
    <w:rsid w:val="00F473B6"/>
    <w:rsid w:val="00F52E57"/>
    <w:rsid w:val="00F53E06"/>
    <w:rsid w:val="00F54188"/>
    <w:rsid w:val="00F54CC0"/>
    <w:rsid w:val="00F60476"/>
    <w:rsid w:val="00F652C7"/>
    <w:rsid w:val="00F727A5"/>
    <w:rsid w:val="00F77E5C"/>
    <w:rsid w:val="00F81674"/>
    <w:rsid w:val="00F847A9"/>
    <w:rsid w:val="00F8649A"/>
    <w:rsid w:val="00F91B21"/>
    <w:rsid w:val="00F927B7"/>
    <w:rsid w:val="00F96F74"/>
    <w:rsid w:val="00FA5CC1"/>
    <w:rsid w:val="00FA5FE9"/>
    <w:rsid w:val="00FA67D2"/>
    <w:rsid w:val="00FB302F"/>
    <w:rsid w:val="00FB5A92"/>
    <w:rsid w:val="00FC1C69"/>
    <w:rsid w:val="00FC2B18"/>
    <w:rsid w:val="00FC3739"/>
    <w:rsid w:val="00FD1E2D"/>
    <w:rsid w:val="00FE06EA"/>
    <w:rsid w:val="00FE24B7"/>
    <w:rsid w:val="00FE544E"/>
    <w:rsid w:val="00FE5AD9"/>
    <w:rsid w:val="00FE671F"/>
    <w:rsid w:val="00FE7A33"/>
    <w:rsid w:val="00FF07FE"/>
    <w:rsid w:val="00FF5ABC"/>
    <w:rsid w:val="29E65A09"/>
    <w:rsid w:val="4FC2A1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045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customStyle="1" w:styleId="Title3">
    <w:name w:val="Title 3"/>
    <w:basedOn w:val="Normal"/>
    <w:next w:val="Title4"/>
    <w:link w:val="Title3Char"/>
    <w:qFormat/>
    <w:rsid w:val="00566E0B"/>
    <w:pPr>
      <w:spacing w:before="360" w:after="40"/>
      <w:ind w:right="-113"/>
      <w:contextualSpacing/>
      <w:jc w:val="right"/>
    </w:pPr>
    <w:rPr>
      <w:color w:val="000000" w:themeColor="text1"/>
      <w:sz w:val="28"/>
      <w:lang w:eastAsia="en-NZ"/>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060EB1"/>
    <w:rPr>
      <w:b/>
      <w:i/>
      <w:caps/>
      <w:smallCaps w:val="0"/>
      <w:sz w:val="32"/>
    </w:rPr>
  </w:style>
  <w:style w:type="paragraph" w:customStyle="1" w:styleId="Numberedpara11headingwithnumber">
    <w:name w:val="Numbered para (1) 1 (heading with number)"/>
    <w:basedOn w:val="Normal"/>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character" w:customStyle="1" w:styleId="Crossreferences">
    <w:name w:val="Cross references"/>
    <w:basedOn w:val="DefaultParagraphFont"/>
    <w:uiPriority w:val="1"/>
    <w:qFormat/>
    <w:rsid w:val="00A840D6"/>
    <w:rPr>
      <w:i/>
      <w:color w:val="1F546B" w:themeColor="text2"/>
      <w:u w:val="single"/>
    </w:rPr>
  </w:style>
  <w:style w:type="paragraph" w:customStyle="1" w:styleId="Title4">
    <w:name w:val="Title 4"/>
    <w:basedOn w:val="Normal"/>
    <w:qFormat/>
    <w:rsid w:val="00566E0B"/>
    <w:pPr>
      <w:spacing w:before="0" w:after="0"/>
      <w:ind w:right="-113"/>
      <w:jc w:val="right"/>
    </w:pPr>
    <w:rPr>
      <w:i/>
      <w:color w:val="000000" w:themeColor="text1"/>
      <w:sz w:val="28"/>
      <w:lang w:eastAsia="en-NZ"/>
    </w:rPr>
  </w:style>
  <w:style w:type="character" w:customStyle="1" w:styleId="Title3Char">
    <w:name w:val="Title 3 Char"/>
    <w:basedOn w:val="DefaultParagraphFont"/>
    <w:link w:val="Title3"/>
    <w:rsid w:val="00566E0B"/>
    <w:rPr>
      <w:rFonts w:eastAsiaTheme="minorHAnsi"/>
      <w:color w:val="000000" w:themeColor="text1"/>
      <w:sz w:val="28"/>
    </w:rPr>
  </w:style>
  <w:style w:type="paragraph" w:styleId="Header">
    <w:name w:val="header"/>
    <w:basedOn w:val="Normal"/>
    <w:link w:val="HeaderChar"/>
    <w:unhideWhenUsed/>
    <w:rsid w:val="00BD2C0E"/>
    <w:pPr>
      <w:tabs>
        <w:tab w:val="center" w:pos="4513"/>
        <w:tab w:val="right" w:pos="9026"/>
      </w:tabs>
      <w:spacing w:before="0" w:after="0"/>
    </w:pPr>
  </w:style>
  <w:style w:type="character" w:customStyle="1" w:styleId="HeaderChar">
    <w:name w:val="Header Char"/>
    <w:basedOn w:val="DefaultParagraphFont"/>
    <w:link w:val="Header"/>
    <w:rsid w:val="00BD2C0E"/>
    <w:rPr>
      <w:rFonts w:eastAsiaTheme="minorHAnsi"/>
      <w:lang w:eastAsia="en-US"/>
    </w:rPr>
  </w:style>
  <w:style w:type="paragraph" w:customStyle="1" w:styleId="NumbersLevel1">
    <w:name w:val="Numbers Level 1"/>
    <w:basedOn w:val="BodyText"/>
    <w:rsid w:val="00AE2740"/>
    <w:pPr>
      <w:keepLines w:val="0"/>
      <w:tabs>
        <w:tab w:val="num" w:pos="709"/>
      </w:tabs>
      <w:spacing w:before="0" w:line="280" w:lineRule="atLeast"/>
      <w:ind w:left="709" w:hanging="709"/>
      <w:jc w:val="both"/>
    </w:pPr>
    <w:rPr>
      <w:rFonts w:ascii="Arial" w:eastAsia="Times New Roman" w:hAnsi="Arial"/>
      <w:sz w:val="22"/>
    </w:rPr>
  </w:style>
  <w:style w:type="paragraph" w:customStyle="1" w:styleId="NumbersLevel2">
    <w:name w:val="Numbers Level 2"/>
    <w:basedOn w:val="BodyText"/>
    <w:rsid w:val="00AE2740"/>
    <w:pPr>
      <w:keepLines w:val="0"/>
      <w:tabs>
        <w:tab w:val="num" w:pos="709"/>
      </w:tabs>
      <w:spacing w:before="0" w:line="280" w:lineRule="atLeast"/>
      <w:ind w:left="709" w:hanging="709"/>
    </w:pPr>
    <w:rPr>
      <w:rFonts w:ascii="Arial" w:eastAsia="Times New Roman" w:hAnsi="Arial"/>
      <w:sz w:val="22"/>
    </w:rPr>
  </w:style>
  <w:style w:type="paragraph" w:customStyle="1" w:styleId="NumbersLevel3">
    <w:name w:val="Numbers Level 3"/>
    <w:basedOn w:val="BodyText"/>
    <w:rsid w:val="00AE2740"/>
    <w:pPr>
      <w:keepLines w:val="0"/>
      <w:tabs>
        <w:tab w:val="num" w:pos="1276"/>
      </w:tabs>
      <w:spacing w:before="0" w:line="280" w:lineRule="atLeast"/>
      <w:ind w:left="1276" w:hanging="567"/>
    </w:pPr>
    <w:rPr>
      <w:rFonts w:ascii="Arial" w:eastAsia="Times New Roman" w:hAnsi="Arial"/>
      <w:sz w:val="22"/>
    </w:rPr>
  </w:style>
  <w:style w:type="paragraph" w:customStyle="1" w:styleId="NumbersLevel4">
    <w:name w:val="Numbers Level 4"/>
    <w:basedOn w:val="BodyText"/>
    <w:rsid w:val="00AE2740"/>
    <w:pPr>
      <w:keepLines w:val="0"/>
      <w:tabs>
        <w:tab w:val="num" w:pos="1843"/>
      </w:tabs>
      <w:spacing w:before="0" w:line="280" w:lineRule="atLeast"/>
      <w:ind w:left="1843" w:hanging="567"/>
    </w:pPr>
    <w:rPr>
      <w:rFonts w:ascii="Arial" w:eastAsia="Times New Roman" w:hAnsi="Arial"/>
      <w:sz w:val="22"/>
    </w:rPr>
  </w:style>
  <w:style w:type="paragraph" w:styleId="CommentText">
    <w:name w:val="annotation text"/>
    <w:basedOn w:val="Normal"/>
    <w:link w:val="CommentTextChar"/>
    <w:uiPriority w:val="99"/>
    <w:semiHidden/>
    <w:unhideWhenUsed/>
    <w:rsid w:val="000D3478"/>
    <w:rPr>
      <w:sz w:val="20"/>
      <w:szCs w:val="20"/>
    </w:rPr>
  </w:style>
  <w:style w:type="character" w:customStyle="1" w:styleId="CommentTextChar">
    <w:name w:val="Comment Text Char"/>
    <w:basedOn w:val="DefaultParagraphFont"/>
    <w:link w:val="CommentText"/>
    <w:uiPriority w:val="99"/>
    <w:semiHidden/>
    <w:rsid w:val="000D347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D3478"/>
    <w:rPr>
      <w:b/>
      <w:bCs/>
    </w:rPr>
  </w:style>
  <w:style w:type="character" w:customStyle="1" w:styleId="CommentSubjectChar">
    <w:name w:val="Comment Subject Char"/>
    <w:basedOn w:val="CommentTextChar"/>
    <w:link w:val="CommentSubject"/>
    <w:uiPriority w:val="99"/>
    <w:semiHidden/>
    <w:rsid w:val="000D3478"/>
    <w:rPr>
      <w:rFonts w:eastAsiaTheme="minorHAnsi"/>
      <w:b/>
      <w:bCs/>
      <w:sz w:val="20"/>
      <w:szCs w:val="20"/>
      <w:lang w:eastAsia="en-US"/>
    </w:rPr>
  </w:style>
  <w:style w:type="paragraph" w:customStyle="1" w:styleId="Numberedpara1level3a">
    <w:name w:val="Numbered para (1) level 3 (a)"/>
    <w:basedOn w:val="Normal"/>
    <w:semiHidden/>
    <w:rsid w:val="00742C59"/>
    <w:pPr>
      <w:spacing w:after="120"/>
      <w:ind w:left="924" w:hanging="357"/>
    </w:pPr>
  </w:style>
  <w:style w:type="paragraph" w:customStyle="1" w:styleId="Numberedpara1level4i">
    <w:name w:val="Numbered para (1) level 4 (i)"/>
    <w:basedOn w:val="Normal"/>
    <w:semiHidden/>
    <w:rsid w:val="00742C59"/>
    <w:pPr>
      <w:spacing w:after="120"/>
      <w:ind w:left="1281" w:hanging="357"/>
    </w:pPr>
  </w:style>
  <w:style w:type="paragraph" w:customStyle="1" w:styleId="Numberedpara1level211">
    <w:name w:val="Numbered para (1) level 2 (1.1)"/>
    <w:basedOn w:val="Normal"/>
    <w:semiHidden/>
    <w:rsid w:val="00742C59"/>
    <w:pPr>
      <w:spacing w:after="120"/>
      <w:ind w:left="567" w:hanging="567"/>
    </w:pPr>
  </w:style>
  <w:style w:type="character" w:customStyle="1" w:styleId="FootnoteTextChar">
    <w:name w:val="Footnote Text Char"/>
    <w:link w:val="FootnoteText"/>
    <w:rsid w:val="007B0149"/>
    <w:rPr>
      <w:rFonts w:eastAsiaTheme="minorHAnsi"/>
      <w:sz w:val="20"/>
      <w:szCs w:val="20"/>
      <w:lang w:eastAsia="en-US"/>
    </w:rPr>
  </w:style>
  <w:style w:type="paragraph" w:styleId="Revision">
    <w:name w:val="Revision"/>
    <w:hidden/>
    <w:uiPriority w:val="99"/>
    <w:semiHidden/>
    <w:rsid w:val="00E30118"/>
    <w:pPr>
      <w:spacing w:before="0" w:after="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customStyle="1" w:styleId="Title3">
    <w:name w:val="Title 3"/>
    <w:basedOn w:val="Normal"/>
    <w:next w:val="Title4"/>
    <w:link w:val="Title3Char"/>
    <w:qFormat/>
    <w:rsid w:val="00566E0B"/>
    <w:pPr>
      <w:spacing w:before="360" w:after="40"/>
      <w:ind w:right="-113"/>
      <w:contextualSpacing/>
      <w:jc w:val="right"/>
    </w:pPr>
    <w:rPr>
      <w:color w:val="000000" w:themeColor="text1"/>
      <w:sz w:val="28"/>
      <w:lang w:eastAsia="en-NZ"/>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060EB1"/>
    <w:rPr>
      <w:b/>
      <w:i/>
      <w:caps/>
      <w:smallCaps w:val="0"/>
      <w:sz w:val="32"/>
    </w:rPr>
  </w:style>
  <w:style w:type="paragraph" w:customStyle="1" w:styleId="Numberedpara11headingwithnumber">
    <w:name w:val="Numbered para (1) 1 (heading with number)"/>
    <w:basedOn w:val="Normal"/>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character" w:customStyle="1" w:styleId="Crossreferences">
    <w:name w:val="Cross references"/>
    <w:basedOn w:val="DefaultParagraphFont"/>
    <w:uiPriority w:val="1"/>
    <w:qFormat/>
    <w:rsid w:val="00A840D6"/>
    <w:rPr>
      <w:i/>
      <w:color w:val="1F546B" w:themeColor="text2"/>
      <w:u w:val="single"/>
    </w:rPr>
  </w:style>
  <w:style w:type="paragraph" w:customStyle="1" w:styleId="Title4">
    <w:name w:val="Title 4"/>
    <w:basedOn w:val="Normal"/>
    <w:qFormat/>
    <w:rsid w:val="00566E0B"/>
    <w:pPr>
      <w:spacing w:before="0" w:after="0"/>
      <w:ind w:right="-113"/>
      <w:jc w:val="right"/>
    </w:pPr>
    <w:rPr>
      <w:i/>
      <w:color w:val="000000" w:themeColor="text1"/>
      <w:sz w:val="28"/>
      <w:lang w:eastAsia="en-NZ"/>
    </w:rPr>
  </w:style>
  <w:style w:type="character" w:customStyle="1" w:styleId="Title3Char">
    <w:name w:val="Title 3 Char"/>
    <w:basedOn w:val="DefaultParagraphFont"/>
    <w:link w:val="Title3"/>
    <w:rsid w:val="00566E0B"/>
    <w:rPr>
      <w:rFonts w:eastAsiaTheme="minorHAnsi"/>
      <w:color w:val="000000" w:themeColor="text1"/>
      <w:sz w:val="28"/>
    </w:rPr>
  </w:style>
  <w:style w:type="paragraph" w:styleId="Header">
    <w:name w:val="header"/>
    <w:basedOn w:val="Normal"/>
    <w:link w:val="HeaderChar"/>
    <w:unhideWhenUsed/>
    <w:rsid w:val="00BD2C0E"/>
    <w:pPr>
      <w:tabs>
        <w:tab w:val="center" w:pos="4513"/>
        <w:tab w:val="right" w:pos="9026"/>
      </w:tabs>
      <w:spacing w:before="0" w:after="0"/>
    </w:pPr>
  </w:style>
  <w:style w:type="character" w:customStyle="1" w:styleId="HeaderChar">
    <w:name w:val="Header Char"/>
    <w:basedOn w:val="DefaultParagraphFont"/>
    <w:link w:val="Header"/>
    <w:rsid w:val="00BD2C0E"/>
    <w:rPr>
      <w:rFonts w:eastAsiaTheme="minorHAnsi"/>
      <w:lang w:eastAsia="en-US"/>
    </w:rPr>
  </w:style>
  <w:style w:type="paragraph" w:customStyle="1" w:styleId="NumbersLevel1">
    <w:name w:val="Numbers Level 1"/>
    <w:basedOn w:val="BodyText"/>
    <w:rsid w:val="00AE2740"/>
    <w:pPr>
      <w:keepLines w:val="0"/>
      <w:tabs>
        <w:tab w:val="num" w:pos="709"/>
      </w:tabs>
      <w:spacing w:before="0" w:line="280" w:lineRule="atLeast"/>
      <w:ind w:left="709" w:hanging="709"/>
      <w:jc w:val="both"/>
    </w:pPr>
    <w:rPr>
      <w:rFonts w:ascii="Arial" w:eastAsia="Times New Roman" w:hAnsi="Arial"/>
      <w:sz w:val="22"/>
    </w:rPr>
  </w:style>
  <w:style w:type="paragraph" w:customStyle="1" w:styleId="NumbersLevel2">
    <w:name w:val="Numbers Level 2"/>
    <w:basedOn w:val="BodyText"/>
    <w:rsid w:val="00AE2740"/>
    <w:pPr>
      <w:keepLines w:val="0"/>
      <w:tabs>
        <w:tab w:val="num" w:pos="709"/>
      </w:tabs>
      <w:spacing w:before="0" w:line="280" w:lineRule="atLeast"/>
      <w:ind w:left="709" w:hanging="709"/>
    </w:pPr>
    <w:rPr>
      <w:rFonts w:ascii="Arial" w:eastAsia="Times New Roman" w:hAnsi="Arial"/>
      <w:sz w:val="22"/>
    </w:rPr>
  </w:style>
  <w:style w:type="paragraph" w:customStyle="1" w:styleId="NumbersLevel3">
    <w:name w:val="Numbers Level 3"/>
    <w:basedOn w:val="BodyText"/>
    <w:rsid w:val="00AE2740"/>
    <w:pPr>
      <w:keepLines w:val="0"/>
      <w:tabs>
        <w:tab w:val="num" w:pos="1276"/>
      </w:tabs>
      <w:spacing w:before="0" w:line="280" w:lineRule="atLeast"/>
      <w:ind w:left="1276" w:hanging="567"/>
    </w:pPr>
    <w:rPr>
      <w:rFonts w:ascii="Arial" w:eastAsia="Times New Roman" w:hAnsi="Arial"/>
      <w:sz w:val="22"/>
    </w:rPr>
  </w:style>
  <w:style w:type="paragraph" w:customStyle="1" w:styleId="NumbersLevel4">
    <w:name w:val="Numbers Level 4"/>
    <w:basedOn w:val="BodyText"/>
    <w:rsid w:val="00AE2740"/>
    <w:pPr>
      <w:keepLines w:val="0"/>
      <w:tabs>
        <w:tab w:val="num" w:pos="1843"/>
      </w:tabs>
      <w:spacing w:before="0" w:line="280" w:lineRule="atLeast"/>
      <w:ind w:left="1843" w:hanging="567"/>
    </w:pPr>
    <w:rPr>
      <w:rFonts w:ascii="Arial" w:eastAsia="Times New Roman" w:hAnsi="Arial"/>
      <w:sz w:val="22"/>
    </w:rPr>
  </w:style>
  <w:style w:type="paragraph" w:styleId="CommentText">
    <w:name w:val="annotation text"/>
    <w:basedOn w:val="Normal"/>
    <w:link w:val="CommentTextChar"/>
    <w:uiPriority w:val="99"/>
    <w:semiHidden/>
    <w:unhideWhenUsed/>
    <w:rsid w:val="000D3478"/>
    <w:rPr>
      <w:sz w:val="20"/>
      <w:szCs w:val="20"/>
    </w:rPr>
  </w:style>
  <w:style w:type="character" w:customStyle="1" w:styleId="CommentTextChar">
    <w:name w:val="Comment Text Char"/>
    <w:basedOn w:val="DefaultParagraphFont"/>
    <w:link w:val="CommentText"/>
    <w:uiPriority w:val="99"/>
    <w:semiHidden/>
    <w:rsid w:val="000D347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D3478"/>
    <w:rPr>
      <w:b/>
      <w:bCs/>
    </w:rPr>
  </w:style>
  <w:style w:type="character" w:customStyle="1" w:styleId="CommentSubjectChar">
    <w:name w:val="Comment Subject Char"/>
    <w:basedOn w:val="CommentTextChar"/>
    <w:link w:val="CommentSubject"/>
    <w:uiPriority w:val="99"/>
    <w:semiHidden/>
    <w:rsid w:val="000D3478"/>
    <w:rPr>
      <w:rFonts w:eastAsiaTheme="minorHAnsi"/>
      <w:b/>
      <w:bCs/>
      <w:sz w:val="20"/>
      <w:szCs w:val="20"/>
      <w:lang w:eastAsia="en-US"/>
    </w:rPr>
  </w:style>
  <w:style w:type="paragraph" w:customStyle="1" w:styleId="Numberedpara1level3a">
    <w:name w:val="Numbered para (1) level 3 (a)"/>
    <w:basedOn w:val="Normal"/>
    <w:semiHidden/>
    <w:rsid w:val="00742C59"/>
    <w:pPr>
      <w:spacing w:after="120"/>
      <w:ind w:left="924" w:hanging="357"/>
    </w:pPr>
  </w:style>
  <w:style w:type="paragraph" w:customStyle="1" w:styleId="Numberedpara1level4i">
    <w:name w:val="Numbered para (1) level 4 (i)"/>
    <w:basedOn w:val="Normal"/>
    <w:semiHidden/>
    <w:rsid w:val="00742C59"/>
    <w:pPr>
      <w:spacing w:after="120"/>
      <w:ind w:left="1281" w:hanging="357"/>
    </w:pPr>
  </w:style>
  <w:style w:type="paragraph" w:customStyle="1" w:styleId="Numberedpara1level211">
    <w:name w:val="Numbered para (1) level 2 (1.1)"/>
    <w:basedOn w:val="Normal"/>
    <w:semiHidden/>
    <w:rsid w:val="00742C59"/>
    <w:pPr>
      <w:spacing w:after="120"/>
      <w:ind w:left="567" w:hanging="567"/>
    </w:pPr>
  </w:style>
  <w:style w:type="character" w:customStyle="1" w:styleId="FootnoteTextChar">
    <w:name w:val="Footnote Text Char"/>
    <w:link w:val="FootnoteText"/>
    <w:rsid w:val="007B0149"/>
    <w:rPr>
      <w:rFonts w:eastAsiaTheme="minorHAnsi"/>
      <w:sz w:val="20"/>
      <w:szCs w:val="20"/>
      <w:lang w:eastAsia="en-US"/>
    </w:rPr>
  </w:style>
  <w:style w:type="paragraph" w:styleId="Revision">
    <w:name w:val="Revision"/>
    <w:hidden/>
    <w:uiPriority w:val="99"/>
    <w:semiHidden/>
    <w:rsid w:val="00E30118"/>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asino.Renewals@dia.govt.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Other%20Templates\Policy%20Group\PG%20reports\PG%20report%20with%20plain%20headings.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c648a002-e47e-48ed-a207-3b8ce1d893d3" xsi:nil="true"/>
    <TaxCatchAll xmlns="c648a002-e47e-48ed-a207-3b8ce1d893d3">
      <Value>58</Value>
      <Value>2</Value>
      <Value>1</Value>
    </TaxCatchAll>
    <DIAReferenceNumber xmlns="c648a002-e47e-48ed-a207-3b8ce1d893d3" xsi:nil="true"/>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ne5f47e8ab014cf1a0e7ab674d56d1d4 xmlns="c648a002-e47e-48ed-a207-3b8ce1d893d3">
      <Terms xmlns="http://schemas.microsoft.com/office/infopath/2007/PartnerControls"/>
    </ne5f47e8ab014cf1a0e7ab674d56d1d4>
    <TaxKeywordTaxHTField xmlns="c648a002-e47e-48ed-a207-3b8ce1d893d3">
      <Terms xmlns="http://schemas.microsoft.com/office/infopath/2007/PartnerControls"/>
    </TaxKeywordTaxHTField>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f1e4c8d9-6c5d-427d-ac8f-8edbeb582d14</TermId>
        </TermInfo>
      </Terms>
    </abd14fc118d74ac191cda88615a8467c>
    <ibcdf046507a4866915a2e2c01cb5df8 xmlns="c648a002-e47e-48ed-a207-3b8ce1d893d3">
      <Terms xmlns="http://schemas.microsoft.com/office/infopath/2007/PartnerControls"/>
    </ibcdf046507a4866915a2e2c01cb5df8>
    <_dlc_DocId xmlns="c648a002-e47e-48ed-a207-3b8ce1d893d3">YXQARP2T7VWH-63-10</_dlc_DocId>
    <_dlc_DocIdUrl xmlns="c648a002-e47e-48ed-a207-3b8ce1d893d3">
      <Url>https://dia.cohesion.net.nz/Sites/GMB/PLM/PLI/CSG/_layouts/15/DocIdRedir.aspx?ID=YXQARP2T7VWH-63-10</Url>
      <Description>YXQARP2T7VWH-63-10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49660294334AA143926F4E305B5A274C" ma:contentTypeVersion="7" ma:contentTypeDescription="Administration Document" ma:contentTypeScope="" ma:versionID="40a758acadf0dec630e37520080fbc5d">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313f51da7e74a5993f4c1f7ead8697ad"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_dlc_DocId" minOccurs="0"/>
                <xsd:element ref="ns4:_dlc_DocIdUrl" minOccurs="0"/>
                <xsd:element ref="ns4:_dlc_DocIdPersistId" minOccurs="0"/>
                <xsd:element ref="ns4:ne5f47e8ab014cf1a0e7ab674d56d1d4" minOccurs="0"/>
                <xsd:element ref="ns4:ibcdf046507a4866915a2e2c01cb5df8"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93895e98-8daa-4392-8163-da238c93d801" ma:anchorId="978073f0-d730-4e80-b383-365c25da531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ne5f47e8ab014cf1a0e7ab674d56d1d4" ma:index="23" nillable="true" ma:taxonomy="true" ma:internalName="ne5f47e8ab014cf1a0e7ab674d56d1d4" ma:taxonomyFieldName="DIALegislation" ma:displayName="Legislation" ma:fieldId="{7e5f47e8-ab01-4cf1-a0e7-ab674d56d1d4}"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ibcdf046507a4866915a2e2c01cb5df8" ma:index="25" nillable="true" ma:taxonomy="true" ma:internalName="ibcdf046507a4866915a2e2c01cb5df8" ma:taxonomyFieldName="DIAPortfolio" ma:displayName="Portfolio" ma:fieldId="{2bcdf046-507a-4866-915a-2e2c01cb5df8}"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6" nillable="true" ma:displayName="Reference Number" ma:description="Use to specify the reference number" ma:internalName="DIAReference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5F59-43F4-4572-A506-62977FC4614A}">
  <ds:schemaRefs>
    <ds:schemaRef ds:uri="c648a002-e47e-48ed-a207-3b8ce1d893d3"/>
    <ds:schemaRef ds:uri="http://www.w3.org/XML/1998/namespace"/>
    <ds:schemaRef ds:uri="01be4277-2979-4a68-876d-b92b25fcee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9D9063F-599D-406E-A300-24529D2F6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A43FE-989D-4A2C-9235-5AB4AB4685A8}">
  <ds:schemaRefs>
    <ds:schemaRef ds:uri="http://schemas.microsoft.com/sharepoint/events"/>
  </ds:schemaRefs>
</ds:datastoreItem>
</file>

<file path=customXml/itemProps4.xml><?xml version="1.0" encoding="utf-8"?>
<ds:datastoreItem xmlns:ds="http://schemas.openxmlformats.org/officeDocument/2006/customXml" ds:itemID="{3E7F205E-E621-4104-A495-A756880A5D91}">
  <ds:schemaRefs>
    <ds:schemaRef ds:uri="http://schemas.microsoft.com/sharepoint/v3/contenttype/forms"/>
  </ds:schemaRefs>
</ds:datastoreItem>
</file>

<file path=customXml/itemProps5.xml><?xml version="1.0" encoding="utf-8"?>
<ds:datastoreItem xmlns:ds="http://schemas.openxmlformats.org/officeDocument/2006/customXml" ds:itemID="{2FE504CB-4735-4C05-8D68-B32408A2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report with plain headings</Template>
  <TotalTime>0</TotalTime>
  <Pages>6</Pages>
  <Words>2876</Words>
  <Characters>16396</Characters>
  <Application>Microsoft Office Word</Application>
  <DocSecurity>4</DocSecurity>
  <Lines>136</Lines>
  <Paragraphs>38</Paragraphs>
  <ScaleCrop>false</ScaleCrop>
  <Company>Department of Internal Affairs</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Trangmar</dc:creator>
  <dc:description>Released 1 February 2011</dc:description>
  <cp:lastModifiedBy>Tim Bollinger</cp:lastModifiedBy>
  <cp:revision>2</cp:revision>
  <cp:lastPrinted>2017-06-19T04:47:00Z</cp:lastPrinted>
  <dcterms:created xsi:type="dcterms:W3CDTF">2017-06-22T01:43:00Z</dcterms:created>
  <dcterms:modified xsi:type="dcterms:W3CDTF">2017-06-22T01:43:00Z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0x0101005496552013C0BA46BE88192D5C6EB20B00351512A5ABB74CC687DC2977C156D0BF0049660294334AA143926F4E305B5A274C</vt:lpwstr>
  </property>
  <property fmtid="{D5CDD505-2E9C-101B-9397-08002B2CF9AE}" pid="3" name="d4d88d9c404441259a20c2016d5c4fc4">
    <vt:lpwstr>Correspondence|dcd6b05f-dc80-4336-b228-09aebf3d212c</vt:lpwstr>
  </property>
  <property fmtid="{D5CDD505-2E9C-101B-9397-08002B2CF9AE}" pid="4" name="_dlc_DocIdItemGuid">
    <vt:lpwstr>0afec8e2-e972-4cf8-9d28-fab130bf01ea</vt:lpwstr>
  </property>
  <property fmtid="{D5CDD505-2E9C-101B-9397-08002B2CF9AE}" pid="5" name="TaxKeyword">
    <vt:lpwstr/>
  </property>
  <property fmtid="{D5CDD505-2E9C-101B-9397-08002B2CF9AE}" pid="6" name="DIALegislation">
    <vt:lpwstr/>
  </property>
  <property fmtid="{D5CDD505-2E9C-101B-9397-08002B2CF9AE}" pid="7" name="DIAAdministrationDocumentType">
    <vt:lpwstr>58;#Reference|f1e4c8d9-6c5d-427d-ac8f-8edbeb582d14</vt:lpwstr>
  </property>
  <property fmtid="{D5CDD505-2E9C-101B-9397-08002B2CF9AE}" pid="8" name="DIAPortfolio">
    <vt:lpwstr/>
  </property>
  <property fmtid="{D5CDD505-2E9C-101B-9397-08002B2CF9AE}" pid="9" name="C3Topic">
    <vt:lpwstr/>
  </property>
  <property fmtid="{D5CDD505-2E9C-101B-9397-08002B2CF9AE}" pid="10" name="DIASecurityClassification">
    <vt:lpwstr>2;#UNCLASSIFIED|875d92a8-67e2-4a32-9472-8fe99549e1eb</vt:lpwstr>
  </property>
  <property fmtid="{D5CDD505-2E9C-101B-9397-08002B2CF9AE}" pid="11" name="DIAEmailContentType">
    <vt:lpwstr>1;#Correspondence|dcd6b05f-dc80-4336-b228-09aebf3d212c</vt:lpwstr>
  </property>
</Properties>
</file>