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5FD" w:rsidRPr="00141320" w:rsidRDefault="001635FD" w:rsidP="001635FD">
      <w:pPr>
        <w:keepLines w:val="0"/>
        <w:autoSpaceDE w:val="0"/>
        <w:autoSpaceDN w:val="0"/>
        <w:adjustRightInd w:val="0"/>
        <w:spacing w:before="0" w:after="0"/>
        <w:rPr>
          <w:rFonts w:ascii="Arial" w:hAnsi="Arial" w:cs="Arial"/>
          <w:b/>
          <w:bCs/>
          <w:color w:val="00B0F0"/>
          <w:sz w:val="45"/>
          <w:szCs w:val="45"/>
          <w:lang w:eastAsia="en-NZ"/>
        </w:rPr>
      </w:pPr>
      <w:bookmarkStart w:id="0" w:name="_GoBack"/>
      <w:bookmarkEnd w:id="0"/>
      <w:r w:rsidRPr="00141320">
        <w:rPr>
          <w:rFonts w:ascii="Arial" w:hAnsi="Arial" w:cs="Arial"/>
          <w:b/>
          <w:bCs/>
          <w:color w:val="00B0F0"/>
          <w:sz w:val="45"/>
          <w:szCs w:val="45"/>
          <w:lang w:eastAsia="en-NZ"/>
        </w:rPr>
        <w:t>Gambling Fact Sheet #2</w:t>
      </w:r>
      <w:r w:rsidR="00141320" w:rsidRPr="00141320">
        <w:rPr>
          <w:rFonts w:ascii="Arial" w:hAnsi="Arial" w:cs="Arial"/>
          <w:b/>
          <w:bCs/>
          <w:color w:val="00B0F0"/>
          <w:sz w:val="45"/>
          <w:szCs w:val="45"/>
          <w:lang w:eastAsia="en-NZ"/>
        </w:rPr>
        <w:t>2</w:t>
      </w:r>
    </w:p>
    <w:p w:rsidR="001635FD" w:rsidRDefault="001635FD" w:rsidP="001635FD">
      <w:pPr>
        <w:pStyle w:val="Pa0"/>
        <w:rPr>
          <w:b/>
          <w:bCs/>
          <w:color w:val="000000"/>
          <w:sz w:val="34"/>
          <w:szCs w:val="34"/>
        </w:rPr>
      </w:pPr>
      <w:r>
        <w:rPr>
          <w:b/>
          <w:bCs/>
          <w:color w:val="000000"/>
          <w:sz w:val="34"/>
          <w:szCs w:val="34"/>
        </w:rPr>
        <w:t xml:space="preserve">Class 4 </w:t>
      </w:r>
      <w:r w:rsidR="00141320">
        <w:rPr>
          <w:b/>
          <w:bCs/>
          <w:color w:val="000000"/>
          <w:sz w:val="34"/>
          <w:szCs w:val="34"/>
        </w:rPr>
        <w:t>Financial Information</w:t>
      </w:r>
    </w:p>
    <w:p w:rsidR="001635FD" w:rsidRPr="001635FD" w:rsidRDefault="001635FD" w:rsidP="001635FD">
      <w:pPr>
        <w:pStyle w:val="Default"/>
        <w:ind w:right="-1"/>
        <w:rPr>
          <w:sz w:val="20"/>
          <w:szCs w:val="20"/>
        </w:rPr>
      </w:pPr>
    </w:p>
    <w:p w:rsidR="001635FD" w:rsidRPr="001635FD" w:rsidRDefault="001635FD" w:rsidP="001635FD">
      <w:pPr>
        <w:keepLines w:val="0"/>
        <w:autoSpaceDE w:val="0"/>
        <w:autoSpaceDN w:val="0"/>
        <w:adjustRightInd w:val="0"/>
        <w:spacing w:before="0" w:after="0"/>
        <w:ind w:right="-1"/>
        <w:rPr>
          <w:rFonts w:ascii="Arial" w:hAnsi="Arial" w:cs="Arial"/>
          <w:b/>
          <w:bCs/>
          <w:sz w:val="18"/>
          <w:szCs w:val="18"/>
          <w:lang w:eastAsia="en-NZ"/>
        </w:rPr>
      </w:pPr>
      <w:r w:rsidRPr="001635FD">
        <w:rPr>
          <w:rFonts w:ascii="Arial" w:hAnsi="Arial" w:cs="Arial"/>
          <w:b/>
          <w:bCs/>
          <w:sz w:val="18"/>
          <w:szCs w:val="18"/>
          <w:lang w:eastAsia="en-NZ"/>
        </w:rPr>
        <w:t>Note: While reasonable measures have been taken to ensure the quality and accuracy of the information contained in this Fact Sheet it does not replace information contained in the Gambling Act 2003 or the Racing Act 2003 or any provisions pursuant to these Acts. This Fact Sheet is for general information only and is not a substitute for independent, professional legal or financial advice.</w:t>
      </w:r>
    </w:p>
    <w:p w:rsidR="001635FD" w:rsidRPr="001635FD" w:rsidRDefault="001635FD" w:rsidP="001635FD">
      <w:pPr>
        <w:pStyle w:val="Default"/>
        <w:rPr>
          <w:sz w:val="20"/>
          <w:szCs w:val="20"/>
        </w:rPr>
      </w:pPr>
    </w:p>
    <w:p w:rsidR="001635FD" w:rsidRDefault="001635FD" w:rsidP="001635FD">
      <w:pPr>
        <w:pStyle w:val="Default"/>
        <w:sectPr w:rsidR="001635FD" w:rsidSect="00D06B82">
          <w:headerReference w:type="default" r:id="rId9"/>
          <w:footerReference w:type="default" r:id="rId10"/>
          <w:headerReference w:type="first" r:id="rId11"/>
          <w:footerReference w:type="first" r:id="rId12"/>
          <w:pgSz w:w="11907" w:h="16840" w:code="9"/>
          <w:pgMar w:top="1418" w:right="1418" w:bottom="992" w:left="1418" w:header="425" w:footer="635" w:gutter="0"/>
          <w:cols w:space="708"/>
          <w:titlePg/>
          <w:docGrid w:linePitch="360"/>
        </w:sectPr>
      </w:pPr>
    </w:p>
    <w:p w:rsidR="006040F6" w:rsidRPr="00141320" w:rsidRDefault="00141320" w:rsidP="006040F6">
      <w:pPr>
        <w:pStyle w:val="Pa0"/>
        <w:spacing w:after="120"/>
        <w:rPr>
          <w:b/>
          <w:bCs/>
          <w:color w:val="00B0F0"/>
          <w:sz w:val="34"/>
          <w:szCs w:val="34"/>
        </w:rPr>
      </w:pPr>
      <w:r w:rsidRPr="00141320">
        <w:rPr>
          <w:b/>
          <w:bCs/>
          <w:color w:val="00B0F0"/>
          <w:sz w:val="34"/>
          <w:szCs w:val="34"/>
        </w:rPr>
        <w:lastRenderedPageBreak/>
        <w:t>Maximising returns to the community</w:t>
      </w:r>
    </w:p>
    <w:p w:rsidR="00483DFA" w:rsidRPr="00105F7C" w:rsidRDefault="00483DFA" w:rsidP="00105F7C">
      <w:pPr>
        <w:keepLines w:val="0"/>
        <w:autoSpaceDE w:val="0"/>
        <w:autoSpaceDN w:val="0"/>
        <w:adjustRightInd w:val="0"/>
        <w:spacing w:before="0" w:after="120" w:line="241" w:lineRule="atLeast"/>
        <w:rPr>
          <w:rFonts w:ascii="Arial" w:hAnsi="Arial" w:cs="Arial"/>
          <w:sz w:val="18"/>
          <w:szCs w:val="18"/>
          <w:lang w:eastAsia="en-NZ"/>
        </w:rPr>
      </w:pPr>
      <w:r w:rsidRPr="00105F7C">
        <w:rPr>
          <w:rFonts w:ascii="Arial" w:hAnsi="Arial" w:cs="Arial"/>
          <w:sz w:val="18"/>
          <w:szCs w:val="18"/>
          <w:lang w:eastAsia="en-NZ"/>
        </w:rPr>
        <w:t>Corporate societies will not be licensed unless the</w:t>
      </w:r>
      <w:r w:rsidR="00105F7C">
        <w:rPr>
          <w:rFonts w:ascii="Arial" w:hAnsi="Arial" w:cs="Arial"/>
          <w:sz w:val="18"/>
          <w:szCs w:val="18"/>
          <w:lang w:eastAsia="en-NZ"/>
        </w:rPr>
        <w:t xml:space="preserve"> Department of Internal Affairs is satisfied they can show their operation is financially viable, that they will maximise the funding that will be distributed for authorised purposes, and minimise operating costs.</w:t>
      </w:r>
    </w:p>
    <w:p w:rsidR="00105F7C" w:rsidRDefault="00105F7C" w:rsidP="00105F7C">
      <w:pPr>
        <w:keepLines w:val="0"/>
        <w:autoSpaceDE w:val="0"/>
        <w:autoSpaceDN w:val="0"/>
        <w:adjustRightInd w:val="0"/>
        <w:spacing w:before="0" w:after="120" w:line="241" w:lineRule="atLeast"/>
        <w:rPr>
          <w:rFonts w:ascii="Arial" w:hAnsi="Arial" w:cs="Arial"/>
          <w:sz w:val="18"/>
          <w:szCs w:val="18"/>
          <w:lang w:eastAsia="en-NZ"/>
        </w:rPr>
      </w:pPr>
      <w:r>
        <w:rPr>
          <w:rFonts w:ascii="Arial" w:hAnsi="Arial" w:cs="Arial"/>
          <w:sz w:val="18"/>
          <w:szCs w:val="18"/>
          <w:lang w:eastAsia="en-NZ"/>
        </w:rPr>
        <w:t>Corporate societies must pay only:</w:t>
      </w:r>
    </w:p>
    <w:p w:rsidR="00483DFA" w:rsidRPr="00105F7C" w:rsidRDefault="00105F7C" w:rsidP="00105F7C">
      <w:pPr>
        <w:pStyle w:val="Pa0"/>
        <w:numPr>
          <w:ilvl w:val="0"/>
          <w:numId w:val="30"/>
        </w:numPr>
        <w:spacing w:after="120"/>
        <w:ind w:left="426" w:hanging="426"/>
        <w:rPr>
          <w:rStyle w:val="A4"/>
          <w:sz w:val="18"/>
          <w:szCs w:val="18"/>
        </w:rPr>
      </w:pPr>
      <w:r w:rsidRPr="00105F7C">
        <w:rPr>
          <w:rStyle w:val="A4"/>
          <w:sz w:val="18"/>
          <w:szCs w:val="18"/>
        </w:rPr>
        <w:t>The actual, reasonable and necessary costs (including prizes), levies and taxes incurred in conducting the gambling</w:t>
      </w:r>
    </w:p>
    <w:p w:rsidR="00105F7C" w:rsidRPr="00105F7C" w:rsidRDefault="00105F7C" w:rsidP="00105F7C">
      <w:pPr>
        <w:pStyle w:val="Pa0"/>
        <w:numPr>
          <w:ilvl w:val="0"/>
          <w:numId w:val="30"/>
        </w:numPr>
        <w:spacing w:after="120"/>
        <w:ind w:left="426" w:hanging="426"/>
        <w:rPr>
          <w:rStyle w:val="A4"/>
          <w:sz w:val="18"/>
          <w:szCs w:val="18"/>
        </w:rPr>
      </w:pPr>
      <w:r w:rsidRPr="00105F7C">
        <w:rPr>
          <w:rStyle w:val="A4"/>
          <w:sz w:val="18"/>
          <w:szCs w:val="18"/>
        </w:rPr>
        <w:t xml:space="preserve">The actual, reasonable and necessary costs incurred in complying with the Gambling Act 2003 </w:t>
      </w:r>
      <w:r w:rsidR="00696F16">
        <w:rPr>
          <w:rStyle w:val="A4"/>
          <w:sz w:val="18"/>
          <w:szCs w:val="18"/>
        </w:rPr>
        <w:t xml:space="preserve">(the Act) </w:t>
      </w:r>
      <w:r w:rsidRPr="00105F7C">
        <w:rPr>
          <w:rStyle w:val="A4"/>
          <w:sz w:val="18"/>
          <w:szCs w:val="18"/>
        </w:rPr>
        <w:t xml:space="preserve">and licences issued under </w:t>
      </w:r>
      <w:r w:rsidR="00696F16" w:rsidRPr="00105F7C">
        <w:rPr>
          <w:rStyle w:val="A4"/>
          <w:sz w:val="18"/>
          <w:szCs w:val="18"/>
        </w:rPr>
        <w:t>th</w:t>
      </w:r>
      <w:r w:rsidR="00696F16" w:rsidRPr="00696F16">
        <w:rPr>
          <w:rStyle w:val="A4"/>
          <w:color w:val="auto"/>
          <w:sz w:val="18"/>
          <w:szCs w:val="18"/>
        </w:rPr>
        <w:t xml:space="preserve">e </w:t>
      </w:r>
      <w:r w:rsidRPr="00105F7C">
        <w:rPr>
          <w:rStyle w:val="A4"/>
          <w:sz w:val="18"/>
          <w:szCs w:val="18"/>
        </w:rPr>
        <w:t>Act</w:t>
      </w:r>
    </w:p>
    <w:p w:rsidR="00105F7C" w:rsidRDefault="00105F7C" w:rsidP="00105F7C">
      <w:pPr>
        <w:keepLines w:val="0"/>
        <w:autoSpaceDE w:val="0"/>
        <w:autoSpaceDN w:val="0"/>
        <w:adjustRightInd w:val="0"/>
        <w:spacing w:before="0" w:after="120" w:line="241" w:lineRule="atLeast"/>
        <w:rPr>
          <w:rFonts w:ascii="Arial" w:hAnsi="Arial" w:cs="Arial"/>
          <w:sz w:val="18"/>
          <w:szCs w:val="18"/>
          <w:lang w:eastAsia="en-NZ"/>
        </w:rPr>
      </w:pPr>
      <w:r>
        <w:rPr>
          <w:rFonts w:ascii="Arial" w:hAnsi="Arial" w:cs="Arial"/>
          <w:sz w:val="18"/>
          <w:szCs w:val="18"/>
          <w:lang w:eastAsia="en-NZ"/>
        </w:rPr>
        <w:t>All other money must be applied or distributed to authorised purposes.  To ensure that proceeds to the community are maximised, the Secretary for Internal Affairs may set limits on the costs that may be incurred by a corporate society.</w:t>
      </w:r>
    </w:p>
    <w:p w:rsidR="00EA3A67" w:rsidRPr="00B44CAC" w:rsidRDefault="00105F7C" w:rsidP="00105F7C">
      <w:pPr>
        <w:keepLines w:val="0"/>
        <w:autoSpaceDE w:val="0"/>
        <w:autoSpaceDN w:val="0"/>
        <w:adjustRightInd w:val="0"/>
        <w:spacing w:before="0" w:after="120" w:line="241" w:lineRule="atLeast"/>
        <w:rPr>
          <w:rFonts w:ascii="Arial" w:hAnsi="Arial" w:cs="Arial"/>
          <w:sz w:val="18"/>
          <w:szCs w:val="18"/>
          <w:lang w:eastAsia="en-NZ"/>
        </w:rPr>
      </w:pPr>
      <w:r w:rsidRPr="00B44CAC">
        <w:rPr>
          <w:rFonts w:ascii="Arial" w:hAnsi="Arial" w:cs="Arial"/>
          <w:sz w:val="18"/>
          <w:szCs w:val="18"/>
          <w:lang w:eastAsia="en-NZ"/>
        </w:rPr>
        <w:t xml:space="preserve">Limits on class 4 gambling venue expenses have already been developed by the Department and </w:t>
      </w:r>
      <w:r w:rsidR="00EA3A67" w:rsidRPr="00B44CAC">
        <w:rPr>
          <w:rFonts w:ascii="Arial" w:hAnsi="Arial" w:cs="Arial"/>
          <w:sz w:val="18"/>
          <w:szCs w:val="18"/>
          <w:lang w:eastAsia="en-NZ"/>
        </w:rPr>
        <w:t xml:space="preserve">the current limits </w:t>
      </w:r>
      <w:r w:rsidRPr="00B44CAC">
        <w:rPr>
          <w:rFonts w:ascii="Arial" w:hAnsi="Arial" w:cs="Arial"/>
          <w:sz w:val="18"/>
          <w:szCs w:val="18"/>
          <w:lang w:eastAsia="en-NZ"/>
        </w:rPr>
        <w:t xml:space="preserve">appeared in the </w:t>
      </w:r>
      <w:r w:rsidR="00EA3A67" w:rsidRPr="00B44CAC">
        <w:rPr>
          <w:rFonts w:ascii="Arial" w:hAnsi="Arial" w:cs="Arial"/>
          <w:sz w:val="18"/>
          <w:szCs w:val="18"/>
          <w:lang w:eastAsia="en-NZ"/>
        </w:rPr>
        <w:t>17 July 2008</w:t>
      </w:r>
      <w:r w:rsidRPr="00B44CAC">
        <w:rPr>
          <w:rFonts w:ascii="Arial" w:hAnsi="Arial" w:cs="Arial"/>
          <w:sz w:val="18"/>
          <w:szCs w:val="18"/>
          <w:lang w:eastAsia="en-NZ"/>
        </w:rPr>
        <w:t xml:space="preserve"> issue of the New Zealand Gazette.</w:t>
      </w:r>
    </w:p>
    <w:p w:rsidR="00483DFA" w:rsidRPr="00EA3A67" w:rsidRDefault="00EA3A67" w:rsidP="00105F7C">
      <w:pPr>
        <w:keepLines w:val="0"/>
        <w:autoSpaceDE w:val="0"/>
        <w:autoSpaceDN w:val="0"/>
        <w:adjustRightInd w:val="0"/>
        <w:spacing w:before="0" w:after="120" w:line="241" w:lineRule="atLeast"/>
        <w:rPr>
          <w:rFonts w:ascii="Arial" w:hAnsi="Arial" w:cs="Arial"/>
          <w:color w:val="00B0F0"/>
          <w:sz w:val="18"/>
          <w:szCs w:val="18"/>
          <w:lang w:eastAsia="en-NZ"/>
        </w:rPr>
      </w:pPr>
      <w:r w:rsidRPr="00B44CAC">
        <w:rPr>
          <w:rFonts w:ascii="Arial" w:hAnsi="Arial" w:cs="Arial"/>
          <w:sz w:val="18"/>
          <w:szCs w:val="18"/>
          <w:lang w:eastAsia="en-NZ"/>
        </w:rPr>
        <w:t>The Department also developed venue expenses guidelines to accompany the Gazette notice and these can be viewed on the Department’s website:</w:t>
      </w:r>
      <w:r w:rsidR="004B7911" w:rsidRPr="00B44CAC" w:rsidDel="004B7911">
        <w:rPr>
          <w:rFonts w:ascii="Arial" w:hAnsi="Arial" w:cs="Arial"/>
          <w:sz w:val="18"/>
          <w:szCs w:val="18"/>
          <w:lang w:eastAsia="en-NZ"/>
        </w:rPr>
        <w:t xml:space="preserve"> </w:t>
      </w:r>
      <w:r w:rsidR="00483DFA" w:rsidRPr="00EA3A67">
        <w:rPr>
          <w:rFonts w:ascii="Arial" w:hAnsi="Arial" w:cs="Arial"/>
          <w:color w:val="00B0F0"/>
          <w:sz w:val="18"/>
          <w:szCs w:val="18"/>
          <w:lang w:eastAsia="en-NZ"/>
        </w:rPr>
        <w:t>www.dia.govt.nz/gambling</w:t>
      </w:r>
    </w:p>
    <w:p w:rsidR="00483DFA" w:rsidRPr="00105F7C" w:rsidRDefault="00483DFA" w:rsidP="00105F7C">
      <w:pPr>
        <w:keepLines w:val="0"/>
        <w:autoSpaceDE w:val="0"/>
        <w:autoSpaceDN w:val="0"/>
        <w:adjustRightInd w:val="0"/>
        <w:spacing w:before="0" w:after="120" w:line="241" w:lineRule="atLeast"/>
        <w:rPr>
          <w:rFonts w:ascii="Arial" w:hAnsi="Arial" w:cs="Arial"/>
          <w:sz w:val="18"/>
          <w:szCs w:val="18"/>
          <w:lang w:eastAsia="en-NZ"/>
        </w:rPr>
      </w:pPr>
      <w:r w:rsidRPr="00105F7C">
        <w:rPr>
          <w:rFonts w:ascii="Arial" w:hAnsi="Arial" w:cs="Arial"/>
          <w:sz w:val="18"/>
          <w:szCs w:val="18"/>
          <w:lang w:eastAsia="en-NZ"/>
        </w:rPr>
        <w:t>An existing contract or other arrangement that does</w:t>
      </w:r>
      <w:r w:rsidR="00EA3A67">
        <w:rPr>
          <w:rFonts w:ascii="Arial" w:hAnsi="Arial" w:cs="Arial"/>
          <w:sz w:val="18"/>
          <w:szCs w:val="18"/>
          <w:lang w:eastAsia="en-NZ"/>
        </w:rPr>
        <w:t xml:space="preserve"> not comply with limits on expenses gazetted under section 116(1), including venue payment expenses, is an illegal contract</w:t>
      </w:r>
      <w:r w:rsidR="00BE22E6">
        <w:rPr>
          <w:rFonts w:ascii="Arial" w:hAnsi="Arial" w:cs="Arial"/>
          <w:sz w:val="18"/>
          <w:szCs w:val="18"/>
          <w:lang w:eastAsia="en-NZ"/>
        </w:rPr>
        <w:t xml:space="preserve"> in terms of the Act</w:t>
      </w:r>
      <w:r w:rsidR="00EA3A67">
        <w:rPr>
          <w:rFonts w:ascii="Arial" w:hAnsi="Arial" w:cs="Arial"/>
          <w:sz w:val="18"/>
          <w:szCs w:val="18"/>
          <w:lang w:eastAsia="en-NZ"/>
        </w:rPr>
        <w:t>.</w:t>
      </w:r>
    </w:p>
    <w:p w:rsidR="0042333D" w:rsidRPr="0042333D" w:rsidRDefault="0042333D" w:rsidP="0042333D">
      <w:pPr>
        <w:pStyle w:val="Pa0"/>
        <w:spacing w:after="120"/>
        <w:rPr>
          <w:b/>
          <w:bCs/>
          <w:color w:val="00B0F0"/>
          <w:sz w:val="34"/>
          <w:szCs w:val="34"/>
        </w:rPr>
      </w:pPr>
      <w:r w:rsidRPr="0042333D">
        <w:rPr>
          <w:b/>
          <w:bCs/>
          <w:color w:val="00B0F0"/>
          <w:sz w:val="34"/>
          <w:szCs w:val="34"/>
        </w:rPr>
        <w:t>Standardised accounts and</w:t>
      </w:r>
      <w:r>
        <w:rPr>
          <w:b/>
          <w:bCs/>
          <w:color w:val="00B0F0"/>
          <w:sz w:val="34"/>
          <w:szCs w:val="34"/>
        </w:rPr>
        <w:t xml:space="preserve"> financial viability</w:t>
      </w:r>
    </w:p>
    <w:p w:rsidR="00EA3A67" w:rsidRPr="0042333D" w:rsidRDefault="0042333D" w:rsidP="0042333D">
      <w:pPr>
        <w:pStyle w:val="Pa0"/>
        <w:spacing w:after="120"/>
        <w:rPr>
          <w:rStyle w:val="A4"/>
          <w:sz w:val="18"/>
          <w:szCs w:val="18"/>
        </w:rPr>
      </w:pPr>
      <w:r>
        <w:rPr>
          <w:rStyle w:val="A4"/>
          <w:sz w:val="18"/>
          <w:szCs w:val="18"/>
        </w:rPr>
        <w:t>From 1 July 2004, it is required that:</w:t>
      </w:r>
    </w:p>
    <w:p w:rsidR="00EA3A67" w:rsidRDefault="00B13D61" w:rsidP="00B13D61">
      <w:pPr>
        <w:pStyle w:val="Pa0"/>
        <w:numPr>
          <w:ilvl w:val="0"/>
          <w:numId w:val="30"/>
        </w:numPr>
        <w:spacing w:after="120"/>
        <w:ind w:left="426" w:hanging="426"/>
        <w:rPr>
          <w:rStyle w:val="A4"/>
          <w:sz w:val="18"/>
          <w:szCs w:val="18"/>
        </w:rPr>
      </w:pPr>
      <w:r>
        <w:rPr>
          <w:rStyle w:val="A4"/>
          <w:sz w:val="18"/>
          <w:szCs w:val="18"/>
        </w:rPr>
        <w:t>Financial statements comply with generally accepted accounting practice (GAAP) or the Financial Reporting Act  (section 108 of the Act);</w:t>
      </w:r>
    </w:p>
    <w:p w:rsidR="00B13D61" w:rsidRPr="00B13D61" w:rsidRDefault="00B13D61" w:rsidP="00B13D61">
      <w:pPr>
        <w:pStyle w:val="Pa0"/>
        <w:numPr>
          <w:ilvl w:val="0"/>
          <w:numId w:val="30"/>
        </w:numPr>
        <w:spacing w:after="120"/>
        <w:ind w:left="426" w:hanging="426"/>
        <w:rPr>
          <w:rStyle w:val="A4"/>
          <w:sz w:val="18"/>
          <w:szCs w:val="18"/>
        </w:rPr>
      </w:pPr>
      <w:r>
        <w:rPr>
          <w:rStyle w:val="A4"/>
          <w:sz w:val="18"/>
          <w:szCs w:val="18"/>
        </w:rPr>
        <w:t>Annual reports be signed by qualified auditors (section 107) and include a financial forecast for the forthcoming year; and</w:t>
      </w:r>
    </w:p>
    <w:p w:rsidR="00B13D61" w:rsidRPr="00B44CAC" w:rsidRDefault="00B13D61" w:rsidP="00B13D61">
      <w:pPr>
        <w:pStyle w:val="Pa0"/>
        <w:numPr>
          <w:ilvl w:val="0"/>
          <w:numId w:val="30"/>
        </w:numPr>
        <w:spacing w:after="120"/>
        <w:ind w:left="426" w:hanging="426"/>
        <w:rPr>
          <w:rStyle w:val="A4"/>
          <w:color w:val="auto"/>
          <w:sz w:val="18"/>
          <w:szCs w:val="18"/>
        </w:rPr>
      </w:pPr>
      <w:r w:rsidRPr="00B44CAC">
        <w:rPr>
          <w:rStyle w:val="A4"/>
          <w:color w:val="auto"/>
          <w:sz w:val="18"/>
          <w:szCs w:val="18"/>
        </w:rPr>
        <w:lastRenderedPageBreak/>
        <w:t>An applicant for an ‘operator’s licence’ (the operator is the society that owns the gaming machines) shows the financial viability of the gambling operation (section 52(1</w:t>
      </w:r>
      <w:proofErr w:type="gramStart"/>
      <w:r w:rsidRPr="00B44CAC">
        <w:rPr>
          <w:rStyle w:val="A4"/>
          <w:color w:val="auto"/>
          <w:sz w:val="18"/>
          <w:szCs w:val="18"/>
        </w:rPr>
        <w:t>)(</w:t>
      </w:r>
      <w:proofErr w:type="gramEnd"/>
      <w:r w:rsidRPr="00B44CAC">
        <w:rPr>
          <w:rStyle w:val="A4"/>
          <w:color w:val="auto"/>
          <w:sz w:val="18"/>
          <w:szCs w:val="18"/>
        </w:rPr>
        <w:t>c)).</w:t>
      </w:r>
    </w:p>
    <w:p w:rsidR="00B13D61" w:rsidRPr="00B13D61" w:rsidRDefault="00B13D61" w:rsidP="00B13D61">
      <w:pPr>
        <w:pStyle w:val="Pa0"/>
        <w:spacing w:after="120"/>
        <w:rPr>
          <w:b/>
          <w:bCs/>
          <w:color w:val="00B0F0"/>
          <w:sz w:val="34"/>
          <w:szCs w:val="34"/>
        </w:rPr>
      </w:pPr>
      <w:r w:rsidRPr="00B13D61">
        <w:rPr>
          <w:b/>
          <w:bCs/>
          <w:color w:val="00B0F0"/>
          <w:sz w:val="34"/>
          <w:szCs w:val="34"/>
        </w:rPr>
        <w:t>Standardised accounts</w:t>
      </w:r>
    </w:p>
    <w:p w:rsidR="00B13D61" w:rsidRPr="00B13D61" w:rsidRDefault="00B13D61" w:rsidP="00B13D61">
      <w:pPr>
        <w:keepLines w:val="0"/>
        <w:autoSpaceDE w:val="0"/>
        <w:autoSpaceDN w:val="0"/>
        <w:adjustRightInd w:val="0"/>
        <w:spacing w:before="0" w:after="120" w:line="241" w:lineRule="atLeast"/>
        <w:rPr>
          <w:rFonts w:ascii="Arial" w:hAnsi="Arial" w:cs="Arial"/>
          <w:sz w:val="18"/>
          <w:szCs w:val="18"/>
          <w:lang w:eastAsia="en-NZ"/>
        </w:rPr>
      </w:pPr>
      <w:r>
        <w:rPr>
          <w:rFonts w:ascii="Arial" w:hAnsi="Arial" w:cs="Arial"/>
          <w:sz w:val="18"/>
          <w:szCs w:val="18"/>
          <w:lang w:eastAsia="en-NZ"/>
        </w:rPr>
        <w:t xml:space="preserve">The Department has developed standardised </w:t>
      </w:r>
      <w:r w:rsidRPr="00B13D61">
        <w:rPr>
          <w:rFonts w:ascii="Arial" w:hAnsi="Arial" w:cs="Arial"/>
          <w:sz w:val="18"/>
          <w:szCs w:val="18"/>
          <w:lang w:eastAsia="en-NZ"/>
        </w:rPr>
        <w:t>accounts for corporate societies and their</w:t>
      </w:r>
      <w:r>
        <w:rPr>
          <w:rFonts w:ascii="Arial" w:hAnsi="Arial" w:cs="Arial"/>
          <w:sz w:val="18"/>
          <w:szCs w:val="18"/>
          <w:lang w:eastAsia="en-NZ"/>
        </w:rPr>
        <w:t xml:space="preserve"> accountants and auditors to use.</w:t>
      </w:r>
    </w:p>
    <w:p w:rsidR="00B13D61" w:rsidRPr="00B13D61" w:rsidRDefault="00B13D61" w:rsidP="00B13D61">
      <w:pPr>
        <w:keepLines w:val="0"/>
        <w:autoSpaceDE w:val="0"/>
        <w:autoSpaceDN w:val="0"/>
        <w:adjustRightInd w:val="0"/>
        <w:spacing w:before="0" w:after="120" w:line="241" w:lineRule="atLeast"/>
        <w:rPr>
          <w:rFonts w:ascii="Arial" w:hAnsi="Arial" w:cs="Arial"/>
          <w:sz w:val="18"/>
          <w:szCs w:val="18"/>
          <w:lang w:eastAsia="en-NZ"/>
        </w:rPr>
      </w:pPr>
      <w:r w:rsidRPr="00B13D61">
        <w:rPr>
          <w:rFonts w:ascii="Arial" w:hAnsi="Arial" w:cs="Arial"/>
          <w:sz w:val="18"/>
          <w:szCs w:val="18"/>
          <w:lang w:eastAsia="en-NZ"/>
        </w:rPr>
        <w:t>The standardised accounts will help corporate</w:t>
      </w:r>
      <w:r>
        <w:rPr>
          <w:rFonts w:ascii="Arial" w:hAnsi="Arial" w:cs="Arial"/>
          <w:sz w:val="18"/>
          <w:szCs w:val="18"/>
          <w:lang w:eastAsia="en-NZ"/>
        </w:rPr>
        <w:t xml:space="preserve"> societies comply with GAAP and include a statement of:</w:t>
      </w:r>
    </w:p>
    <w:p w:rsidR="00B13D61" w:rsidRPr="00B13D61" w:rsidRDefault="00B13D61" w:rsidP="00B13D61">
      <w:pPr>
        <w:pStyle w:val="Pa0"/>
        <w:numPr>
          <w:ilvl w:val="0"/>
          <w:numId w:val="30"/>
        </w:numPr>
        <w:spacing w:after="120"/>
        <w:ind w:left="426" w:hanging="426"/>
        <w:rPr>
          <w:rStyle w:val="A4"/>
          <w:sz w:val="18"/>
          <w:szCs w:val="18"/>
        </w:rPr>
      </w:pPr>
      <w:r w:rsidRPr="00B13D61">
        <w:rPr>
          <w:rStyle w:val="A4"/>
          <w:sz w:val="18"/>
          <w:szCs w:val="18"/>
        </w:rPr>
        <w:t>Financial performance</w:t>
      </w:r>
    </w:p>
    <w:p w:rsidR="00B13D61" w:rsidRPr="00B13D61" w:rsidRDefault="00B13D61" w:rsidP="00B13D61">
      <w:pPr>
        <w:pStyle w:val="Pa0"/>
        <w:numPr>
          <w:ilvl w:val="0"/>
          <w:numId w:val="30"/>
        </w:numPr>
        <w:spacing w:after="120"/>
        <w:ind w:left="426" w:hanging="426"/>
        <w:rPr>
          <w:rStyle w:val="A4"/>
          <w:sz w:val="18"/>
          <w:szCs w:val="18"/>
        </w:rPr>
      </w:pPr>
      <w:r w:rsidRPr="00B13D61">
        <w:rPr>
          <w:rStyle w:val="A4"/>
          <w:sz w:val="18"/>
          <w:szCs w:val="18"/>
        </w:rPr>
        <w:t>Financial position</w:t>
      </w:r>
    </w:p>
    <w:p w:rsidR="00B13D61" w:rsidRPr="00B13D61" w:rsidRDefault="00B13D61" w:rsidP="00B13D61">
      <w:pPr>
        <w:pStyle w:val="Pa0"/>
        <w:numPr>
          <w:ilvl w:val="0"/>
          <w:numId w:val="30"/>
        </w:numPr>
        <w:spacing w:after="120"/>
        <w:ind w:left="426" w:hanging="426"/>
        <w:rPr>
          <w:rStyle w:val="A4"/>
          <w:sz w:val="18"/>
          <w:szCs w:val="18"/>
        </w:rPr>
      </w:pPr>
      <w:r>
        <w:rPr>
          <w:rStyle w:val="A4"/>
          <w:sz w:val="18"/>
          <w:szCs w:val="18"/>
        </w:rPr>
        <w:t>Cash flows</w:t>
      </w:r>
    </w:p>
    <w:p w:rsidR="00B13D61" w:rsidRPr="00B13D61" w:rsidRDefault="00DA3B16" w:rsidP="00B13D61">
      <w:pPr>
        <w:keepLines w:val="0"/>
        <w:autoSpaceDE w:val="0"/>
        <w:autoSpaceDN w:val="0"/>
        <w:adjustRightInd w:val="0"/>
        <w:spacing w:before="0" w:after="120" w:line="241" w:lineRule="atLeast"/>
        <w:rPr>
          <w:rFonts w:ascii="Arial" w:hAnsi="Arial" w:cs="Arial"/>
          <w:color w:val="00B0F0"/>
          <w:lang w:eastAsia="en-NZ"/>
        </w:rPr>
      </w:pPr>
      <w:r w:rsidRPr="00DA3B16">
        <w:rPr>
          <w:rFonts w:ascii="Arial" w:hAnsi="Arial" w:cs="Arial"/>
          <w:sz w:val="18"/>
          <w:szCs w:val="18"/>
          <w:u w:val="single"/>
          <w:lang w:eastAsia="en-NZ"/>
        </w:rPr>
        <w:t>Copies of the standardised accounts are available from on the Department’s website</w:t>
      </w:r>
      <w:proofErr w:type="gramStart"/>
      <w:r w:rsidRPr="00DA3B16">
        <w:rPr>
          <w:rFonts w:ascii="Arial" w:hAnsi="Arial" w:cs="Arial"/>
          <w:sz w:val="18"/>
          <w:szCs w:val="18"/>
          <w:u w:val="single"/>
          <w:lang w:eastAsia="en-NZ"/>
        </w:rPr>
        <w:t>:</w:t>
      </w:r>
      <w:proofErr w:type="gramEnd"/>
      <w:r w:rsidRPr="00DA3B16">
        <w:rPr>
          <w:rFonts w:ascii="Arial" w:hAnsi="Arial" w:cs="Arial"/>
          <w:sz w:val="18"/>
          <w:szCs w:val="18"/>
          <w:u w:val="single"/>
          <w:lang w:eastAsia="en-NZ"/>
        </w:rPr>
        <w:br/>
      </w:r>
      <w:r w:rsidR="00B13D61" w:rsidRPr="00B13D61">
        <w:rPr>
          <w:rFonts w:ascii="Arial" w:hAnsi="Arial" w:cs="Arial"/>
          <w:color w:val="00B0F0"/>
          <w:sz w:val="18"/>
          <w:szCs w:val="18"/>
          <w:lang w:eastAsia="en-NZ"/>
        </w:rPr>
        <w:t>www.dia.govt.nz/gambling</w:t>
      </w:r>
    </w:p>
    <w:p w:rsidR="00DA3B16" w:rsidRDefault="00DA3B16" w:rsidP="006040F6">
      <w:pPr>
        <w:pStyle w:val="Pa0"/>
        <w:spacing w:after="120"/>
        <w:rPr>
          <w:rStyle w:val="A4"/>
          <w:sz w:val="18"/>
          <w:szCs w:val="18"/>
        </w:rPr>
      </w:pPr>
      <w:r>
        <w:rPr>
          <w:rStyle w:val="A4"/>
          <w:sz w:val="18"/>
          <w:szCs w:val="18"/>
        </w:rPr>
        <w:t>While the standardised accounts are not mandatory, the Department strongly recommends their use.  They will make applying to renew licences easier and faster, and will help prevent complications during compliance audits carried out by the Department’s Gambling Inspectors.</w:t>
      </w:r>
    </w:p>
    <w:p w:rsidR="00DA3B16" w:rsidRDefault="0037197F" w:rsidP="006040F6">
      <w:pPr>
        <w:pStyle w:val="Pa0"/>
        <w:spacing w:after="120"/>
        <w:rPr>
          <w:rStyle w:val="A4"/>
          <w:sz w:val="18"/>
          <w:szCs w:val="18"/>
        </w:rPr>
      </w:pPr>
      <w:r>
        <w:rPr>
          <w:rStyle w:val="A4"/>
          <w:sz w:val="18"/>
          <w:szCs w:val="18"/>
        </w:rPr>
        <w:t xml:space="preserve">There are mandatory application forms for licence applications and, of key benefit to corporate </w:t>
      </w:r>
      <w:proofErr w:type="gramStart"/>
      <w:r>
        <w:rPr>
          <w:rStyle w:val="A4"/>
          <w:sz w:val="18"/>
          <w:szCs w:val="18"/>
        </w:rPr>
        <w:t>societies,</w:t>
      </w:r>
      <w:proofErr w:type="gramEnd"/>
      <w:r>
        <w:rPr>
          <w:rStyle w:val="A4"/>
          <w:sz w:val="18"/>
          <w:szCs w:val="18"/>
        </w:rPr>
        <w:t xml:space="preserve"> the information from the standardised accounts will transfer directly into the application form.</w:t>
      </w:r>
    </w:p>
    <w:p w:rsidR="0037197F" w:rsidRPr="006C35BD" w:rsidRDefault="006C35BD" w:rsidP="0037197F">
      <w:pPr>
        <w:pStyle w:val="Pa0"/>
        <w:spacing w:after="120"/>
        <w:rPr>
          <w:rStyle w:val="A4"/>
          <w:sz w:val="18"/>
          <w:szCs w:val="18"/>
        </w:rPr>
      </w:pPr>
      <w:r w:rsidRPr="006C35BD">
        <w:rPr>
          <w:rStyle w:val="A4"/>
          <w:sz w:val="18"/>
          <w:szCs w:val="18"/>
        </w:rPr>
        <w:t xml:space="preserve">In very broad terms, the processing for licensing, </w:t>
      </w:r>
      <w:r>
        <w:rPr>
          <w:rStyle w:val="A4"/>
          <w:sz w:val="18"/>
          <w:szCs w:val="18"/>
        </w:rPr>
        <w:t xml:space="preserve">including </w:t>
      </w:r>
      <w:proofErr w:type="gramStart"/>
      <w:r>
        <w:rPr>
          <w:rStyle w:val="A4"/>
          <w:sz w:val="18"/>
          <w:szCs w:val="18"/>
        </w:rPr>
        <w:t>renewals,</w:t>
      </w:r>
      <w:proofErr w:type="gramEnd"/>
      <w:r>
        <w:rPr>
          <w:rStyle w:val="A4"/>
          <w:sz w:val="18"/>
          <w:szCs w:val="18"/>
        </w:rPr>
        <w:t xml:space="preserve"> will be:</w:t>
      </w:r>
    </w:p>
    <w:p w:rsidR="0037197F" w:rsidRDefault="00BE22E6" w:rsidP="006C35BD">
      <w:pPr>
        <w:pStyle w:val="Pa0"/>
        <w:numPr>
          <w:ilvl w:val="0"/>
          <w:numId w:val="30"/>
        </w:numPr>
        <w:spacing w:after="120"/>
        <w:ind w:left="426" w:hanging="426"/>
        <w:rPr>
          <w:rStyle w:val="A4"/>
          <w:sz w:val="18"/>
          <w:szCs w:val="18"/>
        </w:rPr>
      </w:pPr>
      <w:r>
        <w:rPr>
          <w:rStyle w:val="A4"/>
          <w:sz w:val="18"/>
          <w:szCs w:val="18"/>
        </w:rPr>
        <w:t>Corporate societies must provide a GAAP compliant annual report, including a financial forecast.  Ideally these will use the Department’s standardised accounts.</w:t>
      </w:r>
    </w:p>
    <w:p w:rsidR="00BE22E6" w:rsidRDefault="00BE22E6" w:rsidP="00ED0053">
      <w:pPr>
        <w:pStyle w:val="Pa0"/>
        <w:numPr>
          <w:ilvl w:val="0"/>
          <w:numId w:val="30"/>
        </w:numPr>
        <w:spacing w:after="120"/>
        <w:ind w:left="426" w:hanging="426"/>
        <w:rPr>
          <w:rStyle w:val="A4"/>
          <w:sz w:val="18"/>
          <w:szCs w:val="18"/>
        </w:rPr>
      </w:pPr>
      <w:r w:rsidRPr="00ED0053">
        <w:rPr>
          <w:rStyle w:val="A4"/>
          <w:sz w:val="18"/>
          <w:szCs w:val="18"/>
        </w:rPr>
        <w:t>Corporate societies must apply for licences, and applications must include the required information about financial viability.  Corporate societies using standardised accounts will be able to simply transfer</w:t>
      </w:r>
      <w:r w:rsidR="00ED0053" w:rsidRPr="00ED0053">
        <w:rPr>
          <w:rStyle w:val="A4"/>
          <w:sz w:val="18"/>
          <w:szCs w:val="18"/>
        </w:rPr>
        <w:t xml:space="preserve"> the balances from those accounts into their applications.</w:t>
      </w:r>
    </w:p>
    <w:p w:rsidR="00976D3F" w:rsidRPr="00976D3F" w:rsidRDefault="00976D3F" w:rsidP="00976D3F">
      <w:pPr>
        <w:pStyle w:val="Pa0"/>
        <w:numPr>
          <w:ilvl w:val="0"/>
          <w:numId w:val="30"/>
        </w:numPr>
        <w:spacing w:after="120"/>
        <w:ind w:left="426" w:hanging="426"/>
        <w:rPr>
          <w:rStyle w:val="A4"/>
          <w:sz w:val="18"/>
          <w:szCs w:val="18"/>
        </w:rPr>
      </w:pPr>
      <w:r w:rsidRPr="00ED0053">
        <w:rPr>
          <w:sz w:val="18"/>
          <w:szCs w:val="18"/>
        </w:rPr>
        <w:t xml:space="preserve">The </w:t>
      </w:r>
      <w:r>
        <w:rPr>
          <w:sz w:val="18"/>
          <w:szCs w:val="18"/>
        </w:rPr>
        <w:t>Department will process complete applications.</w:t>
      </w:r>
    </w:p>
    <w:p w:rsidR="00976D3F" w:rsidRDefault="00976D3F" w:rsidP="00976D3F">
      <w:pPr>
        <w:pStyle w:val="Default"/>
        <w:numPr>
          <w:ilvl w:val="0"/>
          <w:numId w:val="30"/>
        </w:numPr>
        <w:spacing w:after="120" w:line="241" w:lineRule="atLeast"/>
        <w:ind w:left="426" w:hanging="426"/>
        <w:rPr>
          <w:sz w:val="18"/>
          <w:szCs w:val="18"/>
        </w:rPr>
      </w:pPr>
      <w:r>
        <w:rPr>
          <w:sz w:val="18"/>
          <w:szCs w:val="18"/>
        </w:rPr>
        <w:lastRenderedPageBreak/>
        <w:t>The Department may return incomplete applications, unprocessed.</w:t>
      </w:r>
    </w:p>
    <w:p w:rsidR="00976D3F" w:rsidRDefault="00976D3F" w:rsidP="00976D3F">
      <w:pPr>
        <w:pStyle w:val="Default"/>
        <w:numPr>
          <w:ilvl w:val="0"/>
          <w:numId w:val="30"/>
        </w:numPr>
        <w:spacing w:after="120" w:line="241" w:lineRule="atLeast"/>
        <w:ind w:left="426" w:hanging="426"/>
        <w:rPr>
          <w:sz w:val="18"/>
          <w:szCs w:val="18"/>
        </w:rPr>
      </w:pPr>
      <w:r>
        <w:rPr>
          <w:sz w:val="18"/>
          <w:szCs w:val="18"/>
        </w:rPr>
        <w:t>The Department must refuse to grant/renew a licence unless it is satisfied that the corporate society is financially viable.</w:t>
      </w:r>
    </w:p>
    <w:p w:rsidR="0037197F" w:rsidRPr="00ED0053" w:rsidRDefault="00CB1F39" w:rsidP="00DF4654">
      <w:pPr>
        <w:pStyle w:val="Pa0"/>
        <w:spacing w:after="120"/>
        <w:rPr>
          <w:rStyle w:val="A4"/>
          <w:sz w:val="18"/>
          <w:szCs w:val="18"/>
        </w:rPr>
      </w:pPr>
      <w:r>
        <w:rPr>
          <w:rStyle w:val="A4"/>
          <w:sz w:val="18"/>
          <w:szCs w:val="18"/>
        </w:rPr>
        <w:t>The Department’s regular compliance audits will be based on the licensing requirements of the Act.  In short, the standardised accounts are designed to:</w:t>
      </w:r>
    </w:p>
    <w:p w:rsidR="00CB1F39" w:rsidRDefault="00CB1F39" w:rsidP="00976D3F">
      <w:pPr>
        <w:pStyle w:val="Default"/>
        <w:numPr>
          <w:ilvl w:val="0"/>
          <w:numId w:val="30"/>
        </w:numPr>
        <w:spacing w:after="120" w:line="241" w:lineRule="atLeast"/>
        <w:ind w:left="426" w:hanging="426"/>
        <w:rPr>
          <w:sz w:val="18"/>
          <w:szCs w:val="18"/>
        </w:rPr>
      </w:pPr>
      <w:r>
        <w:rPr>
          <w:sz w:val="18"/>
          <w:szCs w:val="18"/>
        </w:rPr>
        <w:t>Make licensing easier by directly linking the annual report and the licensing application; and</w:t>
      </w:r>
    </w:p>
    <w:p w:rsidR="00976D3F" w:rsidRPr="00976D3F" w:rsidRDefault="00CB1F39" w:rsidP="00976D3F">
      <w:pPr>
        <w:pStyle w:val="Default"/>
        <w:numPr>
          <w:ilvl w:val="0"/>
          <w:numId w:val="30"/>
        </w:numPr>
        <w:spacing w:after="120" w:line="241" w:lineRule="atLeast"/>
        <w:ind w:left="426" w:hanging="426"/>
        <w:rPr>
          <w:sz w:val="18"/>
          <w:szCs w:val="18"/>
        </w:rPr>
      </w:pPr>
      <w:r>
        <w:rPr>
          <w:sz w:val="18"/>
          <w:szCs w:val="18"/>
        </w:rPr>
        <w:t>Improve compliance by encouraging corporate societies to organise their operations in a manner that produces the necessary financial outcomes.</w:t>
      </w:r>
    </w:p>
    <w:p w:rsidR="0037197F" w:rsidRPr="00ED0053" w:rsidRDefault="00CB1F39" w:rsidP="00DF4654">
      <w:pPr>
        <w:pStyle w:val="Pa0"/>
        <w:spacing w:after="120"/>
        <w:rPr>
          <w:rStyle w:val="A4"/>
          <w:sz w:val="18"/>
          <w:szCs w:val="18"/>
        </w:rPr>
      </w:pPr>
      <w:r>
        <w:rPr>
          <w:rStyle w:val="A4"/>
          <w:sz w:val="18"/>
          <w:szCs w:val="18"/>
        </w:rPr>
        <w:t>The Department strongly suggests that corporate societies contact their accountants to ensure they have systems in place to meet the financial reporting requirements of the Act.</w:t>
      </w:r>
    </w:p>
    <w:p w:rsidR="0037197F" w:rsidRPr="006C35BD" w:rsidRDefault="0037197F" w:rsidP="00DF4654">
      <w:pPr>
        <w:pStyle w:val="Pa0"/>
        <w:spacing w:after="120"/>
        <w:rPr>
          <w:rStyle w:val="A4"/>
          <w:sz w:val="18"/>
          <w:szCs w:val="18"/>
        </w:rPr>
      </w:pPr>
    </w:p>
    <w:sectPr w:rsidR="0037197F" w:rsidRPr="006C35BD" w:rsidSect="00D06B82">
      <w:type w:val="continuous"/>
      <w:pgSz w:w="11907" w:h="16840" w:code="9"/>
      <w:pgMar w:top="1418" w:right="1418" w:bottom="992" w:left="1418" w:header="425" w:footer="635"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D3F" w:rsidRDefault="00976D3F">
      <w:r>
        <w:separator/>
      </w:r>
    </w:p>
    <w:p w:rsidR="00976D3F" w:rsidRDefault="00976D3F"/>
    <w:p w:rsidR="00976D3F" w:rsidRDefault="00976D3F"/>
  </w:endnote>
  <w:endnote w:type="continuationSeparator" w:id="0">
    <w:p w:rsidR="00976D3F" w:rsidRDefault="00976D3F">
      <w:r>
        <w:continuationSeparator/>
      </w:r>
    </w:p>
    <w:p w:rsidR="00976D3F" w:rsidRDefault="00976D3F"/>
    <w:p w:rsidR="00976D3F" w:rsidRDefault="00976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1"/>
    <w:family w:val="roman"/>
    <w:notTrueType/>
    <w:pitch w:val="variable"/>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D3F" w:rsidRPr="003969E8" w:rsidRDefault="00976D3F" w:rsidP="00D06B82">
    <w:pPr>
      <w:pStyle w:val="Footer"/>
      <w:tabs>
        <w:tab w:val="left" w:pos="4536"/>
        <w:tab w:val="left" w:pos="5812"/>
      </w:tabs>
      <w:rPr>
        <w:i w:val="0"/>
      </w:rPr>
    </w:pPr>
    <w:r w:rsidRPr="003969E8">
      <w:rPr>
        <w:rFonts w:ascii="Arial" w:hAnsi="Arial" w:cs="Arial"/>
        <w:b/>
        <w:bCs/>
        <w:i w:val="0"/>
        <w:color w:val="00AEDD"/>
        <w:sz w:val="19"/>
        <w:szCs w:val="19"/>
        <w:lang w:eastAsia="en-NZ"/>
      </w:rPr>
      <w:t xml:space="preserve">Freephone: </w:t>
    </w:r>
    <w:r w:rsidRPr="003969E8">
      <w:rPr>
        <w:rFonts w:ascii="Arial" w:hAnsi="Arial" w:cs="Arial"/>
        <w:b/>
        <w:bCs/>
        <w:i w:val="0"/>
        <w:color w:val="000000"/>
        <w:sz w:val="19"/>
        <w:szCs w:val="19"/>
        <w:lang w:eastAsia="en-NZ"/>
      </w:rPr>
      <w:t xml:space="preserve">0800 257 887 </w:t>
    </w:r>
    <w:r w:rsidRPr="003969E8">
      <w:rPr>
        <w:rFonts w:ascii="Arial" w:hAnsi="Arial" w:cs="Arial"/>
        <w:b/>
        <w:bCs/>
        <w:i w:val="0"/>
        <w:color w:val="000000"/>
        <w:sz w:val="19"/>
        <w:szCs w:val="19"/>
        <w:lang w:eastAsia="en-NZ"/>
      </w:rPr>
      <w:tab/>
    </w:r>
    <w:r>
      <w:rPr>
        <w:rFonts w:ascii="Arial" w:hAnsi="Arial" w:cs="Arial"/>
        <w:b/>
        <w:bCs/>
        <w:i w:val="0"/>
        <w:sz w:val="23"/>
        <w:szCs w:val="23"/>
        <w:lang w:eastAsia="en-NZ"/>
      </w:rPr>
      <w:t>2</w:t>
    </w:r>
    <w:r w:rsidRPr="003969E8">
      <w:rPr>
        <w:rFonts w:ascii="Arial" w:hAnsi="Arial" w:cs="Arial"/>
        <w:b/>
        <w:bCs/>
        <w:i w:val="0"/>
        <w:color w:val="000000"/>
        <w:sz w:val="19"/>
        <w:szCs w:val="19"/>
        <w:lang w:eastAsia="en-NZ"/>
      </w:rPr>
      <w:tab/>
    </w:r>
    <w:r w:rsidRPr="003969E8">
      <w:rPr>
        <w:rFonts w:ascii="Arial" w:hAnsi="Arial" w:cs="Arial"/>
        <w:b/>
        <w:bCs/>
        <w:i w:val="0"/>
        <w:color w:val="00AEDD"/>
        <w:sz w:val="19"/>
        <w:szCs w:val="19"/>
        <w:lang w:eastAsia="en-NZ"/>
      </w:rPr>
      <w:t xml:space="preserve">Website: </w:t>
    </w:r>
    <w:r w:rsidRPr="003969E8">
      <w:rPr>
        <w:rFonts w:ascii="Arial" w:hAnsi="Arial" w:cs="Arial"/>
        <w:b/>
        <w:bCs/>
        <w:i w:val="0"/>
        <w:color w:val="000000"/>
        <w:sz w:val="19"/>
        <w:szCs w:val="19"/>
        <w:lang w:eastAsia="en-NZ"/>
      </w:rPr>
      <w:t>www.dia.govt.nz/gambling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D3F" w:rsidRPr="003969E8" w:rsidRDefault="00976D3F" w:rsidP="00DF4654">
    <w:pPr>
      <w:pStyle w:val="Footer"/>
      <w:tabs>
        <w:tab w:val="left" w:pos="4536"/>
        <w:tab w:val="left" w:pos="5812"/>
      </w:tabs>
      <w:rPr>
        <w:i w:val="0"/>
      </w:rPr>
    </w:pPr>
    <w:r w:rsidRPr="003969E8">
      <w:rPr>
        <w:rFonts w:ascii="Arial" w:hAnsi="Arial" w:cs="Arial"/>
        <w:b/>
        <w:bCs/>
        <w:i w:val="0"/>
        <w:color w:val="00AEDD"/>
        <w:sz w:val="19"/>
        <w:szCs w:val="19"/>
        <w:lang w:eastAsia="en-NZ"/>
      </w:rPr>
      <w:t xml:space="preserve">Freephone: </w:t>
    </w:r>
    <w:r w:rsidRPr="003969E8">
      <w:rPr>
        <w:rFonts w:ascii="Arial" w:hAnsi="Arial" w:cs="Arial"/>
        <w:b/>
        <w:bCs/>
        <w:i w:val="0"/>
        <w:color w:val="000000"/>
        <w:sz w:val="19"/>
        <w:szCs w:val="19"/>
        <w:lang w:eastAsia="en-NZ"/>
      </w:rPr>
      <w:t xml:space="preserve">0800 257 887 </w:t>
    </w:r>
    <w:r w:rsidRPr="003969E8">
      <w:rPr>
        <w:rFonts w:ascii="Arial" w:hAnsi="Arial" w:cs="Arial"/>
        <w:b/>
        <w:bCs/>
        <w:i w:val="0"/>
        <w:color w:val="000000"/>
        <w:sz w:val="19"/>
        <w:szCs w:val="19"/>
        <w:lang w:eastAsia="en-NZ"/>
      </w:rPr>
      <w:tab/>
    </w:r>
    <w:r w:rsidRPr="003969E8">
      <w:rPr>
        <w:rFonts w:ascii="Arial" w:hAnsi="Arial" w:cs="Arial"/>
        <w:b/>
        <w:bCs/>
        <w:i w:val="0"/>
        <w:sz w:val="23"/>
        <w:szCs w:val="23"/>
        <w:lang w:eastAsia="en-NZ"/>
      </w:rPr>
      <w:t>1</w:t>
    </w:r>
    <w:r w:rsidRPr="003969E8">
      <w:rPr>
        <w:rFonts w:ascii="Arial" w:hAnsi="Arial" w:cs="Arial"/>
        <w:b/>
        <w:bCs/>
        <w:i w:val="0"/>
        <w:color w:val="000000"/>
        <w:sz w:val="19"/>
        <w:szCs w:val="19"/>
        <w:lang w:eastAsia="en-NZ"/>
      </w:rPr>
      <w:tab/>
    </w:r>
    <w:r w:rsidRPr="003969E8">
      <w:rPr>
        <w:rFonts w:ascii="Arial" w:hAnsi="Arial" w:cs="Arial"/>
        <w:b/>
        <w:bCs/>
        <w:i w:val="0"/>
        <w:color w:val="00AEDD"/>
        <w:sz w:val="19"/>
        <w:szCs w:val="19"/>
        <w:lang w:eastAsia="en-NZ"/>
      </w:rPr>
      <w:t xml:space="preserve">Website: </w:t>
    </w:r>
    <w:r w:rsidRPr="003969E8">
      <w:rPr>
        <w:rFonts w:ascii="Arial" w:hAnsi="Arial" w:cs="Arial"/>
        <w:b/>
        <w:bCs/>
        <w:i w:val="0"/>
        <w:color w:val="000000"/>
        <w:sz w:val="19"/>
        <w:szCs w:val="19"/>
        <w:lang w:eastAsia="en-NZ"/>
      </w:rPr>
      <w:t>www.dia.govt.nz/gambling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D3F" w:rsidRDefault="00976D3F" w:rsidP="00FB1990">
      <w:pPr>
        <w:pStyle w:val="Spacer"/>
      </w:pPr>
      <w:r>
        <w:separator/>
      </w:r>
    </w:p>
    <w:p w:rsidR="00976D3F" w:rsidRDefault="00976D3F" w:rsidP="00FB1990">
      <w:pPr>
        <w:pStyle w:val="Spacer"/>
      </w:pPr>
    </w:p>
  </w:footnote>
  <w:footnote w:type="continuationSeparator" w:id="0">
    <w:p w:rsidR="00976D3F" w:rsidRDefault="00976D3F">
      <w:r>
        <w:continuationSeparator/>
      </w:r>
    </w:p>
    <w:p w:rsidR="00976D3F" w:rsidRDefault="00976D3F"/>
    <w:p w:rsidR="00976D3F" w:rsidRDefault="00976D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D3F" w:rsidRPr="0037197F" w:rsidRDefault="00976D3F" w:rsidP="0037197F">
    <w:pPr>
      <w:pStyle w:val="Header"/>
    </w:pPr>
    <w:r>
      <w:rPr>
        <w:rFonts w:ascii="Arial" w:hAnsi="Arial" w:cs="Arial"/>
        <w:b/>
        <w:bCs/>
        <w:color w:val="00AEDD"/>
        <w:sz w:val="19"/>
        <w:szCs w:val="19"/>
        <w:lang w:eastAsia="en-NZ"/>
      </w:rPr>
      <w:t xml:space="preserve">Gambling Fact Sheet #22: </w:t>
    </w:r>
    <w:r>
      <w:rPr>
        <w:rFonts w:ascii="Arial" w:hAnsi="Arial" w:cs="Arial"/>
        <w:b/>
        <w:bCs/>
        <w:color w:val="000000"/>
        <w:sz w:val="19"/>
        <w:szCs w:val="19"/>
        <w:lang w:eastAsia="en-NZ"/>
      </w:rPr>
      <w:t>Class 4 Financial Information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73" w:rsidRDefault="00B317F5">
    <w:pPr>
      <w:pStyle w:val="Header"/>
    </w:pPr>
    <w:r>
      <w:rPr>
        <w:noProof/>
        <w:lang w:eastAsia="en-NZ"/>
      </w:rPr>
      <w:drawing>
        <wp:anchor distT="0" distB="360045" distL="114300" distR="114300" simplePos="0" relativeHeight="251659264" behindDoc="1" locked="0" layoutInCell="1" allowOverlap="1" wp14:anchorId="01EDADDB" wp14:editId="16336B13">
          <wp:simplePos x="0" y="0"/>
          <wp:positionH relativeFrom="page">
            <wp:posOffset>4911090</wp:posOffset>
          </wp:positionH>
          <wp:positionV relativeFrom="page">
            <wp:posOffset>375155</wp:posOffset>
          </wp:positionV>
          <wp:extent cx="2296795" cy="405765"/>
          <wp:effectExtent l="0" t="0" r="8255" b="0"/>
          <wp:wrapNone/>
          <wp:docPr id="1" name="Picture 1" descr="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templates.dia.govt.nz\diatemplates$\Templates\Images\Logo -  DIA 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6795" cy="4057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2D3D1A"/>
    <w:multiLevelType w:val="hybridMultilevel"/>
    <w:tmpl w:val="7C0A2E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07EDE97"/>
    <w:multiLevelType w:val="hybridMultilevel"/>
    <w:tmpl w:val="14D41B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C5D5A97"/>
    <w:multiLevelType w:val="hybridMultilevel"/>
    <w:tmpl w:val="677AF0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5E38DB5"/>
    <w:multiLevelType w:val="hybridMultilevel"/>
    <w:tmpl w:val="08BDDA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5">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6">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7">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8">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9">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1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12">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3">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4">
    <w:nsid w:val="16946843"/>
    <w:multiLevelType w:val="hybridMultilevel"/>
    <w:tmpl w:val="25EE741E"/>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6">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3E126BAD"/>
    <w:multiLevelType w:val="hybridMultilevel"/>
    <w:tmpl w:val="5AB43E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57D71613"/>
    <w:multiLevelType w:val="hybridMultilevel"/>
    <w:tmpl w:val="0ACA5B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6">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7">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8">
    <w:nsid w:val="6AB20D78"/>
    <w:multiLevelType w:val="hybridMultilevel"/>
    <w:tmpl w:val="BC4C677C"/>
    <w:lvl w:ilvl="0" w:tplc="14090003">
      <w:start w:val="1"/>
      <w:numFmt w:val="bullet"/>
      <w:lvlText w:val="o"/>
      <w:lvlJc w:val="left"/>
      <w:rPr>
        <w:rFonts w:ascii="Courier New" w:hAnsi="Courier New" w:cs="Courier New" w:hint="default"/>
      </w:rPr>
    </w:lvl>
    <w:lvl w:ilvl="1" w:tplc="5C721730">
      <w:start w:val="1"/>
      <w:numFmt w:val="bullet"/>
      <w:lvlText w:val="."/>
      <w:lvlJc w:val="left"/>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0">
    <w:nsid w:val="6CE67A77"/>
    <w:multiLevelType w:val="hybridMultilevel"/>
    <w:tmpl w:val="E60617E2"/>
    <w:lvl w:ilvl="0" w:tplc="3BBAD256">
      <w:start w:val="1"/>
      <w:numFmt w:val="upperLetter"/>
      <w:lvlText w:val="(%1)"/>
      <w:lvlJc w:val="left"/>
      <w:pPr>
        <w:ind w:left="1069" w:hanging="360"/>
      </w:pPr>
      <w:rPr>
        <w:rFonts w:hint="default"/>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31">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2">
    <w:nsid w:val="70A53ED0"/>
    <w:multiLevelType w:val="hybridMultilevel"/>
    <w:tmpl w:val="D24AE558"/>
    <w:lvl w:ilvl="0" w:tplc="5C721730">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326481E"/>
    <w:multiLevelType w:val="hybridMultilevel"/>
    <w:tmpl w:val="C99CF81A"/>
    <w:lvl w:ilvl="0" w:tplc="1409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35">
    <w:nsid w:val="78A10F31"/>
    <w:multiLevelType w:val="hybridMultilevel"/>
    <w:tmpl w:val="1C22B44C"/>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start w:val="1"/>
      <w:numFmt w:val="bullet"/>
      <w:lvlText w:val=""/>
      <w:lvlJc w:val="left"/>
      <w:pPr>
        <w:ind w:left="2205" w:hanging="360"/>
      </w:pPr>
      <w:rPr>
        <w:rFonts w:ascii="Wingdings" w:hAnsi="Wingdings" w:hint="default"/>
      </w:rPr>
    </w:lvl>
    <w:lvl w:ilvl="3" w:tplc="14090001">
      <w:start w:val="1"/>
      <w:numFmt w:val="bullet"/>
      <w:lvlText w:val=""/>
      <w:lvlJc w:val="left"/>
      <w:pPr>
        <w:ind w:left="2925" w:hanging="360"/>
      </w:pPr>
      <w:rPr>
        <w:rFonts w:ascii="Symbol" w:hAnsi="Symbol" w:hint="default"/>
      </w:rPr>
    </w:lvl>
    <w:lvl w:ilvl="4" w:tplc="14090003">
      <w:start w:val="1"/>
      <w:numFmt w:val="bullet"/>
      <w:lvlText w:val="o"/>
      <w:lvlJc w:val="left"/>
      <w:pPr>
        <w:ind w:left="3645" w:hanging="360"/>
      </w:pPr>
      <w:rPr>
        <w:rFonts w:ascii="Courier New" w:hAnsi="Courier New" w:cs="Courier New" w:hint="default"/>
      </w:rPr>
    </w:lvl>
    <w:lvl w:ilvl="5" w:tplc="14090005">
      <w:start w:val="1"/>
      <w:numFmt w:val="bullet"/>
      <w:lvlText w:val=""/>
      <w:lvlJc w:val="left"/>
      <w:pPr>
        <w:ind w:left="4365" w:hanging="360"/>
      </w:pPr>
      <w:rPr>
        <w:rFonts w:ascii="Wingdings" w:hAnsi="Wingdings" w:hint="default"/>
      </w:rPr>
    </w:lvl>
    <w:lvl w:ilvl="6" w:tplc="14090001">
      <w:start w:val="1"/>
      <w:numFmt w:val="bullet"/>
      <w:lvlText w:val=""/>
      <w:lvlJc w:val="left"/>
      <w:pPr>
        <w:ind w:left="5085" w:hanging="360"/>
      </w:pPr>
      <w:rPr>
        <w:rFonts w:ascii="Symbol" w:hAnsi="Symbol" w:hint="default"/>
      </w:rPr>
    </w:lvl>
    <w:lvl w:ilvl="7" w:tplc="14090003">
      <w:start w:val="1"/>
      <w:numFmt w:val="bullet"/>
      <w:lvlText w:val="o"/>
      <w:lvlJc w:val="left"/>
      <w:pPr>
        <w:ind w:left="5805" w:hanging="360"/>
      </w:pPr>
      <w:rPr>
        <w:rFonts w:ascii="Courier New" w:hAnsi="Courier New" w:cs="Courier New" w:hint="default"/>
      </w:rPr>
    </w:lvl>
    <w:lvl w:ilvl="8" w:tplc="14090005">
      <w:start w:val="1"/>
      <w:numFmt w:val="bullet"/>
      <w:lvlText w:val=""/>
      <w:lvlJc w:val="left"/>
      <w:pPr>
        <w:ind w:left="6525" w:hanging="360"/>
      </w:pPr>
      <w:rPr>
        <w:rFonts w:ascii="Wingdings" w:hAnsi="Wingdings" w:hint="default"/>
      </w:rPr>
    </w:lvl>
  </w:abstractNum>
  <w:abstractNum w:abstractNumId="36">
    <w:nsid w:val="79E46B37"/>
    <w:multiLevelType w:val="multilevel"/>
    <w:tmpl w:val="BC4C677C"/>
    <w:lvl w:ilvl="0">
      <w:start w:val="1"/>
      <w:numFmt w:val="bullet"/>
      <w:lvlText w:val="o"/>
      <w:lvlJc w:val="left"/>
      <w:rPr>
        <w:rFonts w:ascii="Courier New" w:hAnsi="Courier New" w:cs="Courier New" w:hint="default"/>
      </w:rPr>
    </w:lvl>
    <w:lvl w:ilvl="1">
      <w:start w:val="1"/>
      <w:numFmt w:val="bullet"/>
      <w:lvlText w:val="."/>
      <w:lvlJc w:val="left"/>
      <w:rPr>
        <w:rFonts w:ascii="Courier New" w:hAnsi="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23"/>
  </w:num>
  <w:num w:numId="8">
    <w:abstractNumId w:val="24"/>
  </w:num>
  <w:num w:numId="9">
    <w:abstractNumId w:val="19"/>
  </w:num>
  <w:num w:numId="10">
    <w:abstractNumId w:val="15"/>
  </w:num>
  <w:num w:numId="11">
    <w:abstractNumId w:val="25"/>
  </w:num>
  <w:num w:numId="12">
    <w:abstractNumId w:val="27"/>
  </w:num>
  <w:num w:numId="13">
    <w:abstractNumId w:val="31"/>
  </w:num>
  <w:num w:numId="14">
    <w:abstractNumId w:val="11"/>
  </w:num>
  <w:num w:numId="15">
    <w:abstractNumId w:val="17"/>
  </w:num>
  <w:num w:numId="16">
    <w:abstractNumId w:val="34"/>
  </w:num>
  <w:num w:numId="17">
    <w:abstractNumId w:val="29"/>
  </w:num>
  <w:num w:numId="18">
    <w:abstractNumId w:val="26"/>
  </w:num>
  <w:num w:numId="19">
    <w:abstractNumId w:val="21"/>
  </w:num>
  <w:num w:numId="20">
    <w:abstractNumId w:val="18"/>
  </w:num>
  <w:num w:numId="21">
    <w:abstractNumId w:val="13"/>
  </w:num>
  <w:num w:numId="22">
    <w:abstractNumId w:val="10"/>
  </w:num>
  <w:num w:numId="23">
    <w:abstractNumId w:val="16"/>
  </w:num>
  <w:num w:numId="24">
    <w:abstractNumId w:val="12"/>
  </w:num>
  <w:num w:numId="25">
    <w:abstractNumId w:val="3"/>
  </w:num>
  <w:num w:numId="26">
    <w:abstractNumId w:val="2"/>
  </w:num>
  <w:num w:numId="27">
    <w:abstractNumId w:val="0"/>
  </w:num>
  <w:num w:numId="28">
    <w:abstractNumId w:val="1"/>
  </w:num>
  <w:num w:numId="29">
    <w:abstractNumId w:val="20"/>
  </w:num>
  <w:num w:numId="30">
    <w:abstractNumId w:val="22"/>
  </w:num>
  <w:num w:numId="31">
    <w:abstractNumId w:val="14"/>
  </w:num>
  <w:num w:numId="32">
    <w:abstractNumId w:val="28"/>
  </w:num>
  <w:num w:numId="33">
    <w:abstractNumId w:val="33"/>
  </w:num>
  <w:num w:numId="34">
    <w:abstractNumId w:val="32"/>
  </w:num>
  <w:num w:numId="35">
    <w:abstractNumId w:val="36"/>
  </w:num>
  <w:num w:numId="36">
    <w:abstractNumId w:val="30"/>
  </w:num>
  <w:num w:numId="37">
    <w:abstractNumId w:val="29"/>
  </w:num>
  <w:num w:numId="38">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2529"/>
  </w:hdrShapeDefaults>
  <w:footnotePr>
    <w:footnote w:id="-1"/>
    <w:footnote w:id="0"/>
  </w:footnotePr>
  <w:endnotePr>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7F"/>
    <w:rsid w:val="00003360"/>
    <w:rsid w:val="00003FC7"/>
    <w:rsid w:val="00005919"/>
    <w:rsid w:val="00007C42"/>
    <w:rsid w:val="00015020"/>
    <w:rsid w:val="0001647B"/>
    <w:rsid w:val="00020010"/>
    <w:rsid w:val="00034673"/>
    <w:rsid w:val="00036671"/>
    <w:rsid w:val="00036705"/>
    <w:rsid w:val="00037226"/>
    <w:rsid w:val="000409E2"/>
    <w:rsid w:val="00044EA1"/>
    <w:rsid w:val="00054574"/>
    <w:rsid w:val="0005649A"/>
    <w:rsid w:val="00063BB2"/>
    <w:rsid w:val="00065F18"/>
    <w:rsid w:val="00067005"/>
    <w:rsid w:val="00076035"/>
    <w:rsid w:val="00077013"/>
    <w:rsid w:val="00091C3A"/>
    <w:rsid w:val="000B6DFD"/>
    <w:rsid w:val="000C2343"/>
    <w:rsid w:val="000D61F6"/>
    <w:rsid w:val="000E3240"/>
    <w:rsid w:val="000E677B"/>
    <w:rsid w:val="000F4ADF"/>
    <w:rsid w:val="000F61AF"/>
    <w:rsid w:val="0010171C"/>
    <w:rsid w:val="00102FAD"/>
    <w:rsid w:val="00105F7C"/>
    <w:rsid w:val="00121870"/>
    <w:rsid w:val="00126FDE"/>
    <w:rsid w:val="0013703F"/>
    <w:rsid w:val="00140ED2"/>
    <w:rsid w:val="00141320"/>
    <w:rsid w:val="00143E7C"/>
    <w:rsid w:val="0014415C"/>
    <w:rsid w:val="0014565E"/>
    <w:rsid w:val="001536C9"/>
    <w:rsid w:val="001635FD"/>
    <w:rsid w:val="0016433D"/>
    <w:rsid w:val="00184C0F"/>
    <w:rsid w:val="001A5F55"/>
    <w:rsid w:val="001B1FD5"/>
    <w:rsid w:val="001C0031"/>
    <w:rsid w:val="001C0C30"/>
    <w:rsid w:val="001D0111"/>
    <w:rsid w:val="001D4CCF"/>
    <w:rsid w:val="001D7EAE"/>
    <w:rsid w:val="001E64FC"/>
    <w:rsid w:val="001F0724"/>
    <w:rsid w:val="001F2835"/>
    <w:rsid w:val="002007DF"/>
    <w:rsid w:val="0020441F"/>
    <w:rsid w:val="00205FE8"/>
    <w:rsid w:val="00206BA3"/>
    <w:rsid w:val="00215160"/>
    <w:rsid w:val="002224B4"/>
    <w:rsid w:val="00226D5E"/>
    <w:rsid w:val="00232F92"/>
    <w:rsid w:val="00237A3D"/>
    <w:rsid w:val="00240E83"/>
    <w:rsid w:val="002502D1"/>
    <w:rsid w:val="00260A17"/>
    <w:rsid w:val="00270EEC"/>
    <w:rsid w:val="002777D8"/>
    <w:rsid w:val="002806A2"/>
    <w:rsid w:val="00297CC7"/>
    <w:rsid w:val="002A194F"/>
    <w:rsid w:val="002A4BD9"/>
    <w:rsid w:val="002A4FE7"/>
    <w:rsid w:val="002B1CEB"/>
    <w:rsid w:val="002D3125"/>
    <w:rsid w:val="002D4F42"/>
    <w:rsid w:val="0030084C"/>
    <w:rsid w:val="003039E1"/>
    <w:rsid w:val="003129BA"/>
    <w:rsid w:val="003148FC"/>
    <w:rsid w:val="0032132E"/>
    <w:rsid w:val="00330820"/>
    <w:rsid w:val="003465C8"/>
    <w:rsid w:val="0037016B"/>
    <w:rsid w:val="00370FC0"/>
    <w:rsid w:val="0037197F"/>
    <w:rsid w:val="00373206"/>
    <w:rsid w:val="003737ED"/>
    <w:rsid w:val="00375B80"/>
    <w:rsid w:val="00377352"/>
    <w:rsid w:val="003A10DA"/>
    <w:rsid w:val="003A12C8"/>
    <w:rsid w:val="003A6FFE"/>
    <w:rsid w:val="003A7695"/>
    <w:rsid w:val="003B3A23"/>
    <w:rsid w:val="003B6592"/>
    <w:rsid w:val="003C772C"/>
    <w:rsid w:val="003F2B58"/>
    <w:rsid w:val="003F5886"/>
    <w:rsid w:val="0040020C"/>
    <w:rsid w:val="00401CA0"/>
    <w:rsid w:val="004032A8"/>
    <w:rsid w:val="0040700B"/>
    <w:rsid w:val="00407F54"/>
    <w:rsid w:val="00411341"/>
    <w:rsid w:val="00413966"/>
    <w:rsid w:val="00415015"/>
    <w:rsid w:val="00415CDB"/>
    <w:rsid w:val="004231DC"/>
    <w:rsid w:val="0042333D"/>
    <w:rsid w:val="0042551E"/>
    <w:rsid w:val="00433AD8"/>
    <w:rsid w:val="00437A53"/>
    <w:rsid w:val="004552A0"/>
    <w:rsid w:val="00457E34"/>
    <w:rsid w:val="00460A83"/>
    <w:rsid w:val="00460B3F"/>
    <w:rsid w:val="00464752"/>
    <w:rsid w:val="00472A55"/>
    <w:rsid w:val="00476068"/>
    <w:rsid w:val="004763B3"/>
    <w:rsid w:val="00477619"/>
    <w:rsid w:val="00483DFA"/>
    <w:rsid w:val="00486E6E"/>
    <w:rsid w:val="004875DF"/>
    <w:rsid w:val="00487C1D"/>
    <w:rsid w:val="004923A5"/>
    <w:rsid w:val="00494C6F"/>
    <w:rsid w:val="004A5823"/>
    <w:rsid w:val="004B0AAF"/>
    <w:rsid w:val="004B214C"/>
    <w:rsid w:val="004B3924"/>
    <w:rsid w:val="004B7911"/>
    <w:rsid w:val="004C4DDD"/>
    <w:rsid w:val="004C5F40"/>
    <w:rsid w:val="004C6953"/>
    <w:rsid w:val="004C7001"/>
    <w:rsid w:val="004D1706"/>
    <w:rsid w:val="004D243F"/>
    <w:rsid w:val="004D7473"/>
    <w:rsid w:val="004F2E8A"/>
    <w:rsid w:val="004F55E1"/>
    <w:rsid w:val="00501C4B"/>
    <w:rsid w:val="005028A7"/>
    <w:rsid w:val="005078B7"/>
    <w:rsid w:val="00510D73"/>
    <w:rsid w:val="00512ACB"/>
    <w:rsid w:val="0052216D"/>
    <w:rsid w:val="00526115"/>
    <w:rsid w:val="00533FAF"/>
    <w:rsid w:val="005366B6"/>
    <w:rsid w:val="00554BCD"/>
    <w:rsid w:val="00555F60"/>
    <w:rsid w:val="005605A5"/>
    <w:rsid w:val="00560B3C"/>
    <w:rsid w:val="00561A97"/>
    <w:rsid w:val="00563DAC"/>
    <w:rsid w:val="005675E0"/>
    <w:rsid w:val="00570A71"/>
    <w:rsid w:val="00570C00"/>
    <w:rsid w:val="00576AAA"/>
    <w:rsid w:val="005776AE"/>
    <w:rsid w:val="0058206B"/>
    <w:rsid w:val="00585690"/>
    <w:rsid w:val="00591C50"/>
    <w:rsid w:val="00594AAA"/>
    <w:rsid w:val="00595B33"/>
    <w:rsid w:val="0059662F"/>
    <w:rsid w:val="005B7254"/>
    <w:rsid w:val="005C3D6B"/>
    <w:rsid w:val="005D3066"/>
    <w:rsid w:val="005E4B13"/>
    <w:rsid w:val="005E4C02"/>
    <w:rsid w:val="005F01DF"/>
    <w:rsid w:val="005F76CC"/>
    <w:rsid w:val="005F7FF8"/>
    <w:rsid w:val="006004C4"/>
    <w:rsid w:val="00600CA4"/>
    <w:rsid w:val="00602416"/>
    <w:rsid w:val="006025CE"/>
    <w:rsid w:val="006040F6"/>
    <w:rsid w:val="006041F2"/>
    <w:rsid w:val="0060573A"/>
    <w:rsid w:val="006064F5"/>
    <w:rsid w:val="006165BA"/>
    <w:rsid w:val="00617298"/>
    <w:rsid w:val="00637753"/>
    <w:rsid w:val="00660CE4"/>
    <w:rsid w:val="00662716"/>
    <w:rsid w:val="00676C9F"/>
    <w:rsid w:val="00677B13"/>
    <w:rsid w:val="00677F4E"/>
    <w:rsid w:val="00681A08"/>
    <w:rsid w:val="00685ECF"/>
    <w:rsid w:val="006875B8"/>
    <w:rsid w:val="00687CEA"/>
    <w:rsid w:val="00694E01"/>
    <w:rsid w:val="00695171"/>
    <w:rsid w:val="00695B75"/>
    <w:rsid w:val="00696F16"/>
    <w:rsid w:val="006A1A95"/>
    <w:rsid w:val="006A38B7"/>
    <w:rsid w:val="006A5C31"/>
    <w:rsid w:val="006B1CB2"/>
    <w:rsid w:val="006B1DD1"/>
    <w:rsid w:val="006B3396"/>
    <w:rsid w:val="006B4FE7"/>
    <w:rsid w:val="006C195E"/>
    <w:rsid w:val="006C35BD"/>
    <w:rsid w:val="006D638F"/>
    <w:rsid w:val="006D67EE"/>
    <w:rsid w:val="006D7384"/>
    <w:rsid w:val="006E7BF7"/>
    <w:rsid w:val="006F3A57"/>
    <w:rsid w:val="007018E7"/>
    <w:rsid w:val="00702F2C"/>
    <w:rsid w:val="007068C8"/>
    <w:rsid w:val="00715B8F"/>
    <w:rsid w:val="0073106E"/>
    <w:rsid w:val="00755142"/>
    <w:rsid w:val="00756BB7"/>
    <w:rsid w:val="0075764B"/>
    <w:rsid w:val="00760C01"/>
    <w:rsid w:val="00761293"/>
    <w:rsid w:val="007668C4"/>
    <w:rsid w:val="00767257"/>
    <w:rsid w:val="00767C04"/>
    <w:rsid w:val="007736A2"/>
    <w:rsid w:val="007A6226"/>
    <w:rsid w:val="007B3C61"/>
    <w:rsid w:val="007D1918"/>
    <w:rsid w:val="007E2F7F"/>
    <w:rsid w:val="007F03F2"/>
    <w:rsid w:val="008031DF"/>
    <w:rsid w:val="008065D7"/>
    <w:rsid w:val="008111A3"/>
    <w:rsid w:val="00816E30"/>
    <w:rsid w:val="0082264B"/>
    <w:rsid w:val="0082765B"/>
    <w:rsid w:val="008352B1"/>
    <w:rsid w:val="008353E7"/>
    <w:rsid w:val="00835BD7"/>
    <w:rsid w:val="008428E8"/>
    <w:rsid w:val="00843D71"/>
    <w:rsid w:val="00846F11"/>
    <w:rsid w:val="0084745A"/>
    <w:rsid w:val="00870045"/>
    <w:rsid w:val="00876E5F"/>
    <w:rsid w:val="00884A12"/>
    <w:rsid w:val="00890CE4"/>
    <w:rsid w:val="00891ED7"/>
    <w:rsid w:val="008B7B54"/>
    <w:rsid w:val="008C3187"/>
    <w:rsid w:val="008C5E4F"/>
    <w:rsid w:val="008D0092"/>
    <w:rsid w:val="008D63B7"/>
    <w:rsid w:val="008D6A03"/>
    <w:rsid w:val="008D6CA7"/>
    <w:rsid w:val="008E508C"/>
    <w:rsid w:val="008E7FEE"/>
    <w:rsid w:val="008F2F06"/>
    <w:rsid w:val="008F31F5"/>
    <w:rsid w:val="008F67F5"/>
    <w:rsid w:val="008F6BCE"/>
    <w:rsid w:val="00900D4B"/>
    <w:rsid w:val="00905F9B"/>
    <w:rsid w:val="00913E95"/>
    <w:rsid w:val="009170B9"/>
    <w:rsid w:val="00923A87"/>
    <w:rsid w:val="00927482"/>
    <w:rsid w:val="00936FF5"/>
    <w:rsid w:val="0094654B"/>
    <w:rsid w:val="0095112B"/>
    <w:rsid w:val="0095712A"/>
    <w:rsid w:val="009618A9"/>
    <w:rsid w:val="00973A6D"/>
    <w:rsid w:val="00976D3F"/>
    <w:rsid w:val="009804E0"/>
    <w:rsid w:val="00983735"/>
    <w:rsid w:val="009865AA"/>
    <w:rsid w:val="00987080"/>
    <w:rsid w:val="0098765A"/>
    <w:rsid w:val="00987E5B"/>
    <w:rsid w:val="00991620"/>
    <w:rsid w:val="009968B0"/>
    <w:rsid w:val="009A6CB2"/>
    <w:rsid w:val="009B0982"/>
    <w:rsid w:val="009B4C99"/>
    <w:rsid w:val="009C13FB"/>
    <w:rsid w:val="009D28CF"/>
    <w:rsid w:val="009E5D36"/>
    <w:rsid w:val="009E6375"/>
    <w:rsid w:val="009E7CA0"/>
    <w:rsid w:val="00A04392"/>
    <w:rsid w:val="00A069CE"/>
    <w:rsid w:val="00A109D8"/>
    <w:rsid w:val="00A16003"/>
    <w:rsid w:val="00A167D7"/>
    <w:rsid w:val="00A23D39"/>
    <w:rsid w:val="00A23EC2"/>
    <w:rsid w:val="00A24FBB"/>
    <w:rsid w:val="00A3453E"/>
    <w:rsid w:val="00A42ED2"/>
    <w:rsid w:val="00A44B33"/>
    <w:rsid w:val="00A50E00"/>
    <w:rsid w:val="00A52529"/>
    <w:rsid w:val="00A53624"/>
    <w:rsid w:val="00A55EAF"/>
    <w:rsid w:val="00A5766B"/>
    <w:rsid w:val="00A77512"/>
    <w:rsid w:val="00A863E3"/>
    <w:rsid w:val="00A94161"/>
    <w:rsid w:val="00A97BFB"/>
    <w:rsid w:val="00AB0BBC"/>
    <w:rsid w:val="00AB3A92"/>
    <w:rsid w:val="00AB478B"/>
    <w:rsid w:val="00AB47AC"/>
    <w:rsid w:val="00AB4AD9"/>
    <w:rsid w:val="00AD6E77"/>
    <w:rsid w:val="00AD7A25"/>
    <w:rsid w:val="00AE2666"/>
    <w:rsid w:val="00AF3A5A"/>
    <w:rsid w:val="00AF3E15"/>
    <w:rsid w:val="00AF5218"/>
    <w:rsid w:val="00AF60A0"/>
    <w:rsid w:val="00B0480E"/>
    <w:rsid w:val="00B1026A"/>
    <w:rsid w:val="00B13D61"/>
    <w:rsid w:val="00B21166"/>
    <w:rsid w:val="00B263AE"/>
    <w:rsid w:val="00B317F5"/>
    <w:rsid w:val="00B33A6C"/>
    <w:rsid w:val="00B42F17"/>
    <w:rsid w:val="00B43A02"/>
    <w:rsid w:val="00B44CAC"/>
    <w:rsid w:val="00B47091"/>
    <w:rsid w:val="00B56534"/>
    <w:rsid w:val="00B57A21"/>
    <w:rsid w:val="00B62C3E"/>
    <w:rsid w:val="00B645DE"/>
    <w:rsid w:val="00B65857"/>
    <w:rsid w:val="00B66698"/>
    <w:rsid w:val="00B745DC"/>
    <w:rsid w:val="00B82D94"/>
    <w:rsid w:val="00B84350"/>
    <w:rsid w:val="00B855A6"/>
    <w:rsid w:val="00B91098"/>
    <w:rsid w:val="00B91904"/>
    <w:rsid w:val="00B92735"/>
    <w:rsid w:val="00B969ED"/>
    <w:rsid w:val="00BA77F1"/>
    <w:rsid w:val="00BB0D90"/>
    <w:rsid w:val="00BB1BA5"/>
    <w:rsid w:val="00BB60C6"/>
    <w:rsid w:val="00BB7984"/>
    <w:rsid w:val="00BC45F7"/>
    <w:rsid w:val="00BC6A06"/>
    <w:rsid w:val="00BD137C"/>
    <w:rsid w:val="00BE22E6"/>
    <w:rsid w:val="00BE3BC7"/>
    <w:rsid w:val="00BF1AB7"/>
    <w:rsid w:val="00BF7FE9"/>
    <w:rsid w:val="00C03596"/>
    <w:rsid w:val="00C05EEC"/>
    <w:rsid w:val="00C15A13"/>
    <w:rsid w:val="00C238D9"/>
    <w:rsid w:val="00C24A9D"/>
    <w:rsid w:val="00C2677E"/>
    <w:rsid w:val="00C31542"/>
    <w:rsid w:val="00C4022A"/>
    <w:rsid w:val="00C5028E"/>
    <w:rsid w:val="00C54E78"/>
    <w:rsid w:val="00C6078D"/>
    <w:rsid w:val="00C657CF"/>
    <w:rsid w:val="00C80D62"/>
    <w:rsid w:val="00C8388B"/>
    <w:rsid w:val="00C84944"/>
    <w:rsid w:val="00C90217"/>
    <w:rsid w:val="00C96BFD"/>
    <w:rsid w:val="00C96C98"/>
    <w:rsid w:val="00CA5358"/>
    <w:rsid w:val="00CB1DCA"/>
    <w:rsid w:val="00CB1F39"/>
    <w:rsid w:val="00CB3B43"/>
    <w:rsid w:val="00CD502A"/>
    <w:rsid w:val="00CF12CF"/>
    <w:rsid w:val="00CF4BE3"/>
    <w:rsid w:val="00D060D2"/>
    <w:rsid w:val="00D06B82"/>
    <w:rsid w:val="00D13E2D"/>
    <w:rsid w:val="00D14394"/>
    <w:rsid w:val="00D242CD"/>
    <w:rsid w:val="00D26F74"/>
    <w:rsid w:val="00D341C3"/>
    <w:rsid w:val="00D42843"/>
    <w:rsid w:val="00D5152A"/>
    <w:rsid w:val="00D560EB"/>
    <w:rsid w:val="00D65145"/>
    <w:rsid w:val="00D73D87"/>
    <w:rsid w:val="00D74314"/>
    <w:rsid w:val="00D74599"/>
    <w:rsid w:val="00D81410"/>
    <w:rsid w:val="00D92505"/>
    <w:rsid w:val="00DA267C"/>
    <w:rsid w:val="00DA27B3"/>
    <w:rsid w:val="00DA3B16"/>
    <w:rsid w:val="00DA468F"/>
    <w:rsid w:val="00DA5101"/>
    <w:rsid w:val="00DA79EF"/>
    <w:rsid w:val="00DB0C0B"/>
    <w:rsid w:val="00DB3B74"/>
    <w:rsid w:val="00DC5870"/>
    <w:rsid w:val="00DD0384"/>
    <w:rsid w:val="00DD0901"/>
    <w:rsid w:val="00DD4AB0"/>
    <w:rsid w:val="00DE16B6"/>
    <w:rsid w:val="00DE3323"/>
    <w:rsid w:val="00DE36CA"/>
    <w:rsid w:val="00DE7E63"/>
    <w:rsid w:val="00DF4654"/>
    <w:rsid w:val="00DF77A2"/>
    <w:rsid w:val="00E01762"/>
    <w:rsid w:val="00E367C5"/>
    <w:rsid w:val="00E37E71"/>
    <w:rsid w:val="00E42486"/>
    <w:rsid w:val="00E42847"/>
    <w:rsid w:val="00E46064"/>
    <w:rsid w:val="00E47871"/>
    <w:rsid w:val="00E604A1"/>
    <w:rsid w:val="00E7293C"/>
    <w:rsid w:val="00E73AA8"/>
    <w:rsid w:val="00E76812"/>
    <w:rsid w:val="00E80228"/>
    <w:rsid w:val="00E86D2A"/>
    <w:rsid w:val="00E8711A"/>
    <w:rsid w:val="00E969B7"/>
    <w:rsid w:val="00EA2ED4"/>
    <w:rsid w:val="00EA3A67"/>
    <w:rsid w:val="00EA491A"/>
    <w:rsid w:val="00EB1583"/>
    <w:rsid w:val="00EB54A9"/>
    <w:rsid w:val="00EC23FB"/>
    <w:rsid w:val="00EC7017"/>
    <w:rsid w:val="00ED0053"/>
    <w:rsid w:val="00ED02F4"/>
    <w:rsid w:val="00ED4356"/>
    <w:rsid w:val="00ED7681"/>
    <w:rsid w:val="00EE243C"/>
    <w:rsid w:val="00EF0E27"/>
    <w:rsid w:val="00EF63C6"/>
    <w:rsid w:val="00F034FB"/>
    <w:rsid w:val="00F05606"/>
    <w:rsid w:val="00F105F5"/>
    <w:rsid w:val="00F1075A"/>
    <w:rsid w:val="00F22E82"/>
    <w:rsid w:val="00F2483A"/>
    <w:rsid w:val="00F337BF"/>
    <w:rsid w:val="00F33D14"/>
    <w:rsid w:val="00F473B6"/>
    <w:rsid w:val="00F52E57"/>
    <w:rsid w:val="00F53E06"/>
    <w:rsid w:val="00F54188"/>
    <w:rsid w:val="00F54CC0"/>
    <w:rsid w:val="00F64373"/>
    <w:rsid w:val="00F727A5"/>
    <w:rsid w:val="00F847A9"/>
    <w:rsid w:val="00FA5FE9"/>
    <w:rsid w:val="00FA67D2"/>
    <w:rsid w:val="00FB1990"/>
    <w:rsid w:val="00FB302F"/>
    <w:rsid w:val="00FB5A92"/>
    <w:rsid w:val="00FC1C69"/>
    <w:rsid w:val="00FC3739"/>
    <w:rsid w:val="00FE5AD9"/>
    <w:rsid w:val="00FE7A33"/>
    <w:rsid w:val="00FF34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1" w:qFormat="1"/>
    <w:lsdException w:name="heading 6" w:semiHidden="0" w:uiPriority="1" w:qFormat="1"/>
    <w:lsdException w:name="heading 7" w:unhideWhenUsed="1" w:qFormat="1"/>
    <w:lsdException w:name="heading 8" w:unhideWhenUsed="1" w:qFormat="1"/>
    <w:lsdException w:name="heading 9" w:unhideWhenUsed="1" w:qFormat="1"/>
    <w:lsdException w:name="index 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Normal Indent" w:unhideWhenUsed="1"/>
    <w:lsdException w:name="footnote text" w:uiPriority="0" w:unhideWhenUsed="1"/>
    <w:lsdException w:name="header" w:uiPriority="0" w:unhideWhenUsed="1"/>
    <w:lsdException w:name="footer" w:uiPriority="0" w:unhideWhenUsed="1"/>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endnote reference" w:unhideWhenUsed="1"/>
    <w:lsdException w:name="endnote text" w:semiHidden="0"/>
    <w:lsdException w:name="macro" w:unhideWhenUsed="1"/>
    <w:lsdException w:name="toa heading" w:unhideWhenUsed="1"/>
    <w:lsdException w:name="List" w:unhideWhenUsed="1"/>
    <w:lsdException w:name="List Bullet" w:unhideWhenUsed="1"/>
    <w:lsdException w:name="List Number" w:semiHidden="0"/>
    <w:lsdException w:name="List 2" w:uiPriority="3"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Plain Text" w:unhideWhenUsed="1"/>
    <w:lsdException w:name="E-mail Signature" w:unhideWhenUsed="1"/>
    <w:lsdException w:name="HTML Top of Form" w:uiPriority="0" w:unhideWhenUsed="1"/>
    <w:lsdException w:name="HTML Bottom of Form" w:uiPriority="0"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0" w:unhideWhenUsed="1"/>
    <w:lsdException w:name="No List" w:unhideWhenUsed="1"/>
    <w:lsdException w:name="Outline List 1" w:uiPriority="0" w:unhideWhenUsed="1"/>
    <w:lsdException w:name="Outline List 2" w:uiPriority="0" w:unhideWhenUsed="1"/>
    <w:lsdException w:name="Outline List 3" w:uiPriority="0"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unhideWhenUsed="1"/>
    <w:lsdException w:name="Table Grid" w:semiHidden="0" w:uiPriority="0"/>
    <w:lsdException w:name="Table Theme" w:uiPriority="0"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uiPriority="33" w:qFormat="1"/>
    <w:lsdException w:name="Bibliography" w:uiPriority="37"/>
    <w:lsdException w:name="TOC Heading" w:uiPriority="39" w:qFormat="1"/>
  </w:latentStyles>
  <w:style w:type="paragraph" w:default="1" w:styleId="Normal">
    <w:name w:val="Normal"/>
    <w:qFormat/>
    <w:rsid w:val="00472A55"/>
    <w:pPr>
      <w:keepLines/>
    </w:pPr>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semiHidden/>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customStyle="1" w:styleId="Default">
    <w:name w:val="Default"/>
    <w:rsid w:val="007E2F7F"/>
    <w:pPr>
      <w:autoSpaceDE w:val="0"/>
      <w:autoSpaceDN w:val="0"/>
      <w:adjustRightInd w:val="0"/>
      <w:spacing w:before="0" w:after="0"/>
    </w:pPr>
    <w:rPr>
      <w:rFonts w:ascii="Arial" w:hAnsi="Arial" w:cs="Arial"/>
      <w:color w:val="000000"/>
    </w:rPr>
  </w:style>
  <w:style w:type="paragraph" w:customStyle="1" w:styleId="Pa0">
    <w:name w:val="Pa0"/>
    <w:basedOn w:val="Default"/>
    <w:next w:val="Default"/>
    <w:uiPriority w:val="99"/>
    <w:rsid w:val="007E2F7F"/>
    <w:pPr>
      <w:spacing w:line="241" w:lineRule="atLeast"/>
    </w:pPr>
    <w:rPr>
      <w:color w:val="auto"/>
    </w:rPr>
  </w:style>
  <w:style w:type="character" w:customStyle="1" w:styleId="A4">
    <w:name w:val="A4"/>
    <w:uiPriority w:val="99"/>
    <w:rsid w:val="007E2F7F"/>
    <w:rPr>
      <w:color w:val="000000"/>
      <w:sz w:val="20"/>
      <w:szCs w:val="20"/>
    </w:rPr>
  </w:style>
  <w:style w:type="character" w:customStyle="1" w:styleId="A1">
    <w:name w:val="A1"/>
    <w:uiPriority w:val="99"/>
    <w:rsid w:val="007E2F7F"/>
    <w:rPr>
      <w:i/>
      <w:iCs/>
      <w:color w:val="000000"/>
      <w:sz w:val="16"/>
      <w:szCs w:val="16"/>
    </w:rPr>
  </w:style>
  <w:style w:type="character" w:customStyle="1" w:styleId="A8">
    <w:name w:val="A8"/>
    <w:uiPriority w:val="99"/>
    <w:rsid w:val="007E2F7F"/>
    <w:rPr>
      <w:i/>
      <w:iCs/>
      <w:color w:val="000000"/>
      <w:sz w:val="16"/>
      <w:szCs w:val="16"/>
      <w:u w:val="single"/>
    </w:rPr>
  </w:style>
  <w:style w:type="paragraph" w:styleId="CommentText">
    <w:name w:val="annotation text"/>
    <w:basedOn w:val="Normal"/>
    <w:link w:val="CommentTextChar"/>
    <w:uiPriority w:val="99"/>
    <w:semiHidden/>
    <w:rsid w:val="00105F7C"/>
    <w:rPr>
      <w:sz w:val="20"/>
      <w:szCs w:val="20"/>
    </w:rPr>
  </w:style>
  <w:style w:type="character" w:customStyle="1" w:styleId="CommentTextChar">
    <w:name w:val="Comment Text Char"/>
    <w:basedOn w:val="DefaultParagraphFont"/>
    <w:link w:val="CommentText"/>
    <w:uiPriority w:val="99"/>
    <w:semiHidden/>
    <w:rsid w:val="00105F7C"/>
    <w:rPr>
      <w:sz w:val="20"/>
      <w:szCs w:val="20"/>
      <w:lang w:eastAsia="en-US"/>
    </w:rPr>
  </w:style>
  <w:style w:type="paragraph" w:styleId="CommentSubject">
    <w:name w:val="annotation subject"/>
    <w:basedOn w:val="CommentText"/>
    <w:next w:val="CommentText"/>
    <w:link w:val="CommentSubjectChar"/>
    <w:uiPriority w:val="99"/>
    <w:semiHidden/>
    <w:rsid w:val="00105F7C"/>
    <w:rPr>
      <w:b/>
      <w:bCs/>
    </w:rPr>
  </w:style>
  <w:style w:type="character" w:customStyle="1" w:styleId="CommentSubjectChar">
    <w:name w:val="Comment Subject Char"/>
    <w:basedOn w:val="CommentTextChar"/>
    <w:link w:val="CommentSubject"/>
    <w:uiPriority w:val="99"/>
    <w:semiHidden/>
    <w:rsid w:val="00105F7C"/>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1" w:qFormat="1"/>
    <w:lsdException w:name="heading 6" w:semiHidden="0" w:uiPriority="1" w:qFormat="1"/>
    <w:lsdException w:name="heading 7" w:unhideWhenUsed="1" w:qFormat="1"/>
    <w:lsdException w:name="heading 8" w:unhideWhenUsed="1" w:qFormat="1"/>
    <w:lsdException w:name="heading 9" w:unhideWhenUsed="1" w:qFormat="1"/>
    <w:lsdException w:name="index 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Normal Indent" w:unhideWhenUsed="1"/>
    <w:lsdException w:name="footnote text" w:uiPriority="0" w:unhideWhenUsed="1"/>
    <w:lsdException w:name="header" w:uiPriority="0" w:unhideWhenUsed="1"/>
    <w:lsdException w:name="footer" w:uiPriority="0" w:unhideWhenUsed="1"/>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endnote reference" w:unhideWhenUsed="1"/>
    <w:lsdException w:name="endnote text" w:semiHidden="0"/>
    <w:lsdException w:name="macro" w:unhideWhenUsed="1"/>
    <w:lsdException w:name="toa heading" w:unhideWhenUsed="1"/>
    <w:lsdException w:name="List" w:unhideWhenUsed="1"/>
    <w:lsdException w:name="List Bullet" w:unhideWhenUsed="1"/>
    <w:lsdException w:name="List Number" w:semiHidden="0"/>
    <w:lsdException w:name="List 2" w:uiPriority="3"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Plain Text" w:unhideWhenUsed="1"/>
    <w:lsdException w:name="E-mail Signature" w:unhideWhenUsed="1"/>
    <w:lsdException w:name="HTML Top of Form" w:uiPriority="0" w:unhideWhenUsed="1"/>
    <w:lsdException w:name="HTML Bottom of Form" w:uiPriority="0"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0" w:unhideWhenUsed="1"/>
    <w:lsdException w:name="No List" w:unhideWhenUsed="1"/>
    <w:lsdException w:name="Outline List 1" w:uiPriority="0" w:unhideWhenUsed="1"/>
    <w:lsdException w:name="Outline List 2" w:uiPriority="0" w:unhideWhenUsed="1"/>
    <w:lsdException w:name="Outline List 3" w:uiPriority="0"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unhideWhenUsed="1"/>
    <w:lsdException w:name="Table Grid" w:semiHidden="0" w:uiPriority="0"/>
    <w:lsdException w:name="Table Theme" w:uiPriority="0"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uiPriority="33" w:qFormat="1"/>
    <w:lsdException w:name="Bibliography" w:uiPriority="37"/>
    <w:lsdException w:name="TOC Heading" w:uiPriority="39" w:qFormat="1"/>
  </w:latentStyles>
  <w:style w:type="paragraph" w:default="1" w:styleId="Normal">
    <w:name w:val="Normal"/>
    <w:qFormat/>
    <w:rsid w:val="00472A55"/>
    <w:pPr>
      <w:keepLines/>
    </w:pPr>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semiHidden/>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customStyle="1" w:styleId="Default">
    <w:name w:val="Default"/>
    <w:rsid w:val="007E2F7F"/>
    <w:pPr>
      <w:autoSpaceDE w:val="0"/>
      <w:autoSpaceDN w:val="0"/>
      <w:adjustRightInd w:val="0"/>
      <w:spacing w:before="0" w:after="0"/>
    </w:pPr>
    <w:rPr>
      <w:rFonts w:ascii="Arial" w:hAnsi="Arial" w:cs="Arial"/>
      <w:color w:val="000000"/>
    </w:rPr>
  </w:style>
  <w:style w:type="paragraph" w:customStyle="1" w:styleId="Pa0">
    <w:name w:val="Pa0"/>
    <w:basedOn w:val="Default"/>
    <w:next w:val="Default"/>
    <w:uiPriority w:val="99"/>
    <w:rsid w:val="007E2F7F"/>
    <w:pPr>
      <w:spacing w:line="241" w:lineRule="atLeast"/>
    </w:pPr>
    <w:rPr>
      <w:color w:val="auto"/>
    </w:rPr>
  </w:style>
  <w:style w:type="character" w:customStyle="1" w:styleId="A4">
    <w:name w:val="A4"/>
    <w:uiPriority w:val="99"/>
    <w:rsid w:val="007E2F7F"/>
    <w:rPr>
      <w:color w:val="000000"/>
      <w:sz w:val="20"/>
      <w:szCs w:val="20"/>
    </w:rPr>
  </w:style>
  <w:style w:type="character" w:customStyle="1" w:styleId="A1">
    <w:name w:val="A1"/>
    <w:uiPriority w:val="99"/>
    <w:rsid w:val="007E2F7F"/>
    <w:rPr>
      <w:i/>
      <w:iCs/>
      <w:color w:val="000000"/>
      <w:sz w:val="16"/>
      <w:szCs w:val="16"/>
    </w:rPr>
  </w:style>
  <w:style w:type="character" w:customStyle="1" w:styleId="A8">
    <w:name w:val="A8"/>
    <w:uiPriority w:val="99"/>
    <w:rsid w:val="007E2F7F"/>
    <w:rPr>
      <w:i/>
      <w:iCs/>
      <w:color w:val="000000"/>
      <w:sz w:val="16"/>
      <w:szCs w:val="16"/>
      <w:u w:val="single"/>
    </w:rPr>
  </w:style>
  <w:style w:type="paragraph" w:styleId="CommentText">
    <w:name w:val="annotation text"/>
    <w:basedOn w:val="Normal"/>
    <w:link w:val="CommentTextChar"/>
    <w:uiPriority w:val="99"/>
    <w:semiHidden/>
    <w:rsid w:val="00105F7C"/>
    <w:rPr>
      <w:sz w:val="20"/>
      <w:szCs w:val="20"/>
    </w:rPr>
  </w:style>
  <w:style w:type="character" w:customStyle="1" w:styleId="CommentTextChar">
    <w:name w:val="Comment Text Char"/>
    <w:basedOn w:val="DefaultParagraphFont"/>
    <w:link w:val="CommentText"/>
    <w:uiPriority w:val="99"/>
    <w:semiHidden/>
    <w:rsid w:val="00105F7C"/>
    <w:rPr>
      <w:sz w:val="20"/>
      <w:szCs w:val="20"/>
      <w:lang w:eastAsia="en-US"/>
    </w:rPr>
  </w:style>
  <w:style w:type="paragraph" w:styleId="CommentSubject">
    <w:name w:val="annotation subject"/>
    <w:basedOn w:val="CommentText"/>
    <w:next w:val="CommentText"/>
    <w:link w:val="CommentSubjectChar"/>
    <w:uiPriority w:val="99"/>
    <w:semiHidden/>
    <w:rsid w:val="00105F7C"/>
    <w:rPr>
      <w:b/>
      <w:bCs/>
    </w:rPr>
  </w:style>
  <w:style w:type="character" w:customStyle="1" w:styleId="CommentSubjectChar">
    <w:name w:val="Comment Subject Char"/>
    <w:basedOn w:val="CommentTextChar"/>
    <w:link w:val="CommentSubject"/>
    <w:uiPriority w:val="99"/>
    <w:semiHidden/>
    <w:rsid w:val="00105F7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80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5B44A-BF52-4726-9ACA-5C27078B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64831D6D</Template>
  <TotalTime>0</TotalTime>
  <Pages>2</Pages>
  <Words>658</Words>
  <Characters>3870</Characters>
  <Application>Microsoft Office Word</Application>
  <DocSecurity>0</DocSecurity>
  <Lines>32</Lines>
  <Paragraphs>9</Paragraphs>
  <ScaleCrop>false</ScaleCrop>
  <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2015-10-19T02:44:00Z</dcterms:created>
  <dcterms:modified xsi:type="dcterms:W3CDTF">2015-10-19T03:09:00Z</dcterms:modified>
</cp:coreProperties>
</file>