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4AB29" w14:textId="77777777" w:rsidR="00A36309" w:rsidRDefault="00A36309" w:rsidP="00A36309"/>
    <w:p w14:paraId="3354AB2A" w14:textId="77777777" w:rsidR="00B62134" w:rsidRPr="00B62134" w:rsidRDefault="00B62134" w:rsidP="00B62134"/>
    <w:p w14:paraId="3354AB2B" w14:textId="77777777" w:rsidR="00E26108" w:rsidRPr="009B16FE" w:rsidRDefault="00E26108" w:rsidP="00E26108">
      <w:pPr>
        <w:pStyle w:val="Title"/>
        <w:rPr>
          <w:sz w:val="72"/>
          <w:szCs w:val="72"/>
        </w:rPr>
      </w:pPr>
    </w:p>
    <w:p w14:paraId="3354AB2C" w14:textId="77777777" w:rsidR="00E26108" w:rsidRPr="00E26108" w:rsidRDefault="00E26108" w:rsidP="00E26108">
      <w:pPr>
        <w:pStyle w:val="Title"/>
        <w:rPr>
          <w:sz w:val="52"/>
          <w:szCs w:val="52"/>
        </w:rPr>
      </w:pPr>
    </w:p>
    <w:p w14:paraId="3354AB2D" w14:textId="14ED849B" w:rsidR="00E26108" w:rsidRPr="00F3002C" w:rsidRDefault="00E26108" w:rsidP="00E26108">
      <w:pPr>
        <w:pStyle w:val="Title2"/>
        <w:rPr>
          <w:sz w:val="72"/>
        </w:rPr>
      </w:pPr>
      <w:r w:rsidRPr="00F3002C">
        <w:rPr>
          <w:sz w:val="72"/>
        </w:rPr>
        <w:t>Propos</w:t>
      </w:r>
      <w:r w:rsidR="00F94858">
        <w:rPr>
          <w:sz w:val="72"/>
        </w:rPr>
        <w:t>als</w:t>
      </w:r>
      <w:r w:rsidRPr="00F3002C">
        <w:rPr>
          <w:sz w:val="72"/>
        </w:rPr>
        <w:t xml:space="preserve"> </w:t>
      </w:r>
      <w:r w:rsidR="00F94858">
        <w:rPr>
          <w:sz w:val="72"/>
        </w:rPr>
        <w:t xml:space="preserve">for </w:t>
      </w:r>
      <w:r w:rsidR="00F3002C">
        <w:rPr>
          <w:sz w:val="72"/>
        </w:rPr>
        <w:t xml:space="preserve">Fire and Emergency NZ </w:t>
      </w:r>
      <w:r w:rsidR="00F94858">
        <w:rPr>
          <w:sz w:val="72"/>
        </w:rPr>
        <w:t>regulations</w:t>
      </w:r>
    </w:p>
    <w:p w14:paraId="3354AB2E" w14:textId="77777777" w:rsidR="00E26108" w:rsidRDefault="00E26108" w:rsidP="00E26108">
      <w:pPr>
        <w:pStyle w:val="Title2"/>
      </w:pPr>
    </w:p>
    <w:p w14:paraId="3354AB2F" w14:textId="77777777" w:rsidR="00E26108" w:rsidRDefault="00E26108" w:rsidP="00E26108">
      <w:pPr>
        <w:pStyle w:val="Title2"/>
      </w:pPr>
      <w:r>
        <w:t>T</w:t>
      </w:r>
      <w:r w:rsidRPr="00E26108">
        <w:t xml:space="preserve">ransitional </w:t>
      </w:r>
      <w:r>
        <w:t>levy relief</w:t>
      </w:r>
      <w:r w:rsidR="00F3002C">
        <w:t xml:space="preserve"> </w:t>
      </w:r>
      <w:r>
        <w:t>and</w:t>
      </w:r>
    </w:p>
    <w:p w14:paraId="3354AB30" w14:textId="145A4238" w:rsidR="00E26108" w:rsidRDefault="00F94858" w:rsidP="00E26108">
      <w:pPr>
        <w:pStyle w:val="Title2"/>
      </w:pPr>
      <w:r>
        <w:t>Calculation of l</w:t>
      </w:r>
      <w:r w:rsidR="00E26108">
        <w:t xml:space="preserve">evy on </w:t>
      </w:r>
      <w:r w:rsidR="00E26108" w:rsidRPr="00E26108">
        <w:t xml:space="preserve">insurance covering different </w:t>
      </w:r>
      <w:r w:rsidR="00E26108">
        <w:t xml:space="preserve">property </w:t>
      </w:r>
      <w:r w:rsidR="00E26108" w:rsidRPr="00E26108">
        <w:t>types</w:t>
      </w:r>
    </w:p>
    <w:p w14:paraId="3354AB31" w14:textId="77777777" w:rsidR="00F3002C" w:rsidRDefault="00F3002C" w:rsidP="00E26108">
      <w:pPr>
        <w:pStyle w:val="Title2"/>
      </w:pPr>
    </w:p>
    <w:p w14:paraId="3354AB32" w14:textId="77777777" w:rsidR="00F3002C" w:rsidRPr="00F3002C" w:rsidRDefault="00E26108" w:rsidP="00F3002C">
      <w:pPr>
        <w:pStyle w:val="Title"/>
        <w:rPr>
          <w:sz w:val="48"/>
        </w:rPr>
      </w:pPr>
      <w:r w:rsidRPr="00F3002C">
        <w:rPr>
          <w:sz w:val="48"/>
        </w:rPr>
        <w:t xml:space="preserve"> </w:t>
      </w:r>
      <w:r w:rsidR="00F3002C" w:rsidRPr="00F3002C">
        <w:rPr>
          <w:sz w:val="48"/>
        </w:rPr>
        <w:t>Discussion Document</w:t>
      </w:r>
    </w:p>
    <w:p w14:paraId="3354AB33" w14:textId="0A5CE681" w:rsidR="00B62134" w:rsidRPr="00F3002C" w:rsidRDefault="009B16FE" w:rsidP="00E26108">
      <w:pPr>
        <w:jc w:val="right"/>
        <w:rPr>
          <w:b/>
          <w:color w:val="1F546B" w:themeColor="text2"/>
          <w:sz w:val="48"/>
          <w:szCs w:val="52"/>
        </w:rPr>
        <w:sectPr w:rsidR="00B62134" w:rsidRPr="00F3002C" w:rsidSect="00B456E6">
          <w:headerReference w:type="default" r:id="rId13"/>
          <w:footerReference w:type="default" r:id="rId14"/>
          <w:footerReference w:type="first" r:id="rId15"/>
          <w:pgSz w:w="11907" w:h="16840" w:code="9"/>
          <w:pgMar w:top="1134" w:right="1418" w:bottom="992" w:left="1418" w:header="425" w:footer="397" w:gutter="0"/>
          <w:cols w:space="708"/>
          <w:docGrid w:linePitch="360"/>
        </w:sectPr>
      </w:pPr>
      <w:r>
        <w:rPr>
          <w:b/>
          <w:color w:val="1F546B" w:themeColor="text2"/>
          <w:sz w:val="48"/>
          <w:szCs w:val="52"/>
        </w:rPr>
        <w:t>March</w:t>
      </w:r>
      <w:r w:rsidR="00E26108" w:rsidRPr="00F3002C">
        <w:rPr>
          <w:b/>
          <w:color w:val="1F546B" w:themeColor="text2"/>
          <w:sz w:val="48"/>
          <w:szCs w:val="52"/>
        </w:rPr>
        <w:t xml:space="preserve"> 201</w:t>
      </w:r>
      <w:r w:rsidR="00E81131">
        <w:rPr>
          <w:b/>
          <w:color w:val="1F546B" w:themeColor="text2"/>
          <w:sz w:val="48"/>
          <w:szCs w:val="52"/>
        </w:rPr>
        <w:t>7</w:t>
      </w:r>
    </w:p>
    <w:p w14:paraId="3354AB39" w14:textId="77777777" w:rsidR="00A73825" w:rsidRDefault="00A73825" w:rsidP="00A73825"/>
    <w:p w14:paraId="3354AB3A" w14:textId="77777777" w:rsidR="00E26108" w:rsidRPr="00A73825" w:rsidRDefault="00E26108" w:rsidP="00A73825">
      <w:pPr>
        <w:sectPr w:rsidR="00E26108" w:rsidRPr="00A73825" w:rsidSect="004518B7">
          <w:headerReference w:type="default" r:id="rId16"/>
          <w:footerReference w:type="default" r:id="rId17"/>
          <w:pgSz w:w="11907" w:h="16840" w:code="9"/>
          <w:pgMar w:top="1418" w:right="1418" w:bottom="992" w:left="1418" w:header="425" w:footer="641" w:gutter="0"/>
          <w:pgNumType w:start="1"/>
          <w:cols w:space="708"/>
          <w:docGrid w:linePitch="360"/>
        </w:sectPr>
      </w:pPr>
    </w:p>
    <w:p w14:paraId="3354AB3B" w14:textId="77777777" w:rsidR="00DE4E1D" w:rsidRDefault="00DE4E1D" w:rsidP="00DE4E1D">
      <w:pPr>
        <w:pStyle w:val="NotforContentsheading1"/>
      </w:pPr>
      <w:r>
        <w:lastRenderedPageBreak/>
        <w:t>Foreword</w:t>
      </w:r>
    </w:p>
    <w:tbl>
      <w:tblPr>
        <w:tblStyle w:val="TableGrid"/>
        <w:tblW w:w="91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layout only."/>
      </w:tblPr>
      <w:tblGrid>
        <w:gridCol w:w="9185"/>
      </w:tblGrid>
      <w:tr w:rsidR="007D3469" w14:paraId="3354AB3D" w14:textId="77777777" w:rsidTr="007D3469">
        <w:tc>
          <w:tcPr>
            <w:tcW w:w="7765" w:type="dxa"/>
          </w:tcPr>
          <w:p w14:paraId="455A4560" w14:textId="134FE204" w:rsidR="00144DD5" w:rsidRDefault="00144DD5" w:rsidP="00144DD5">
            <w:r>
              <w:t xml:space="preserve">In July this year the </w:t>
            </w:r>
            <w:r w:rsidR="00BF5C17">
              <w:t>creation</w:t>
            </w:r>
            <w:r>
              <w:t xml:space="preserve"> of Fire and Emergency New Zealand will mark one of the most significant changes to our fire sector since the 1940s.</w:t>
            </w:r>
          </w:p>
          <w:p w14:paraId="33244326" w14:textId="647D5A8D" w:rsidR="00144DD5" w:rsidRDefault="00144DD5" w:rsidP="00144DD5">
            <w:r>
              <w:t>More than 40 separate organisations, over 600 fire forces</w:t>
            </w:r>
            <w:r w:rsidR="005F56C1">
              <w:t xml:space="preserve"> and brigades</w:t>
            </w:r>
            <w:r>
              <w:t>, more than 12,000 volunteers, and approximately 3000 paid staff will be amalgamated into a single unified organisation for all of New Zealand.</w:t>
            </w:r>
          </w:p>
          <w:p w14:paraId="1130E964" w14:textId="3D5E4306" w:rsidR="00144DD5" w:rsidRDefault="00144DD5" w:rsidP="00144DD5">
            <w:r>
              <w:t xml:space="preserve">Enormous progress has been made since the Fire Services Review in 2015. Draft legislation to establish Fire </w:t>
            </w:r>
            <w:r w:rsidR="00BF0749">
              <w:t>and</w:t>
            </w:r>
            <w:r>
              <w:t xml:space="preserve"> Emergency NZ has been introduced, reviewed by select committee, and reported back to parliament. A specialist team has been assembled and is hard at work to ensure that every aspect of the transition runs smoothly.</w:t>
            </w:r>
          </w:p>
          <w:p w14:paraId="1C7659FA" w14:textId="76148482" w:rsidR="00144DD5" w:rsidRDefault="00144DD5" w:rsidP="00144DD5">
            <w:r>
              <w:t xml:space="preserve">We would not have got here without the time, energy and critical input </w:t>
            </w:r>
            <w:r w:rsidR="0057731F">
              <w:t>of the public</w:t>
            </w:r>
            <w:r>
              <w:t>. Thank you.</w:t>
            </w:r>
          </w:p>
          <w:p w14:paraId="03668B97" w14:textId="1AD2916F" w:rsidR="00144DD5" w:rsidRDefault="00144DD5" w:rsidP="00144DD5">
            <w:r>
              <w:t xml:space="preserve">We now need your thinking on how elements of the levy regime which will fund Fire </w:t>
            </w:r>
            <w:r w:rsidR="00532700">
              <w:t>and</w:t>
            </w:r>
            <w:r>
              <w:t xml:space="preserve"> Emergency NZ will operate.</w:t>
            </w:r>
          </w:p>
          <w:p w14:paraId="1005C313" w14:textId="6F394B5B" w:rsidR="00144DD5" w:rsidRDefault="00144DD5" w:rsidP="00144DD5">
            <w:r>
              <w:t>The Bill introduces a number of changes to the levy regime which currently funds the New Zealand Fire Service</w:t>
            </w:r>
            <w:r w:rsidR="0057731F">
              <w:t xml:space="preserve"> Commission</w:t>
            </w:r>
            <w:r>
              <w:t>. While the levy changes will not come into force until 1 July 2018</w:t>
            </w:r>
            <w:r w:rsidR="0057731F">
              <w:t xml:space="preserve"> or later</w:t>
            </w:r>
            <w:r>
              <w:t xml:space="preserve">, it is essential to </w:t>
            </w:r>
            <w:r w:rsidR="005F56C1">
              <w:t>clarify how the new levy regime will work</w:t>
            </w:r>
            <w:r>
              <w:t xml:space="preserve"> as soon as possible, to allow sufficient time for modelling and public consultation on </w:t>
            </w:r>
            <w:r w:rsidR="005F56C1">
              <w:t xml:space="preserve">future </w:t>
            </w:r>
            <w:r>
              <w:t>levy rates, and for implementation by the insurance sector and policyholders.</w:t>
            </w:r>
          </w:p>
          <w:p w14:paraId="4819719D" w14:textId="5B6BA51F" w:rsidR="00144DD5" w:rsidRDefault="00144DD5" w:rsidP="00144DD5">
            <w:r>
              <w:t>This discussion document seeks your views on</w:t>
            </w:r>
            <w:r w:rsidR="005F56C1">
              <w:t xml:space="preserve"> proposals for</w:t>
            </w:r>
            <w:r>
              <w:t>:</w:t>
            </w:r>
          </w:p>
          <w:p w14:paraId="13287957" w14:textId="13E520F0" w:rsidR="00144DD5" w:rsidRDefault="005F56C1" w:rsidP="00144DD5">
            <w:pPr>
              <w:pStyle w:val="Bullet"/>
            </w:pPr>
            <w:r>
              <w:t>T</w:t>
            </w:r>
            <w:r w:rsidR="00144DD5">
              <w:t xml:space="preserve">ransitional ‘levy relief’ (that is, partial exemptions to be granted to </w:t>
            </w:r>
            <w:r w:rsidR="006B3160">
              <w:t xml:space="preserve">certain </w:t>
            </w:r>
            <w:r w:rsidR="00144DD5">
              <w:t xml:space="preserve">policyholders who face significant increases in levy liability as result of the Fire </w:t>
            </w:r>
            <w:r w:rsidR="006B3160">
              <w:t>and</w:t>
            </w:r>
            <w:r w:rsidR="00144DD5">
              <w:t xml:space="preserve"> Emergency NZ legislation); and </w:t>
            </w:r>
          </w:p>
          <w:p w14:paraId="12C3C843" w14:textId="2AEDFD8D" w:rsidR="00144DD5" w:rsidRDefault="005F56C1" w:rsidP="00144DD5">
            <w:pPr>
              <w:pStyle w:val="Bullet"/>
            </w:pPr>
            <w:r>
              <w:t>H</w:t>
            </w:r>
            <w:r w:rsidR="00144DD5">
              <w:t>ow levy will be calculated on insurance contracts which cover any combination of exempt and non-exempt property, or residential and non-residential property, under the same policy.</w:t>
            </w:r>
          </w:p>
          <w:p w14:paraId="7BE67B04" w14:textId="77777777" w:rsidR="00144DD5" w:rsidRDefault="00144DD5" w:rsidP="00144DD5">
            <w:r>
              <w:t>I remain committed to listening to you as we work together to build a robust and flexible fire service that will serve New Zealand well for many decades.</w:t>
            </w:r>
          </w:p>
          <w:p w14:paraId="51B0C32A" w14:textId="540A4FFF" w:rsidR="007D3469" w:rsidRDefault="00144DD5" w:rsidP="00144DD5">
            <w:r>
              <w:t>Please take the opportunity to have your say on these next important questions.</w:t>
            </w:r>
          </w:p>
          <w:p w14:paraId="3354AB3C" w14:textId="77777777" w:rsidR="005D6D75" w:rsidRDefault="005D6D75" w:rsidP="007D3469"/>
        </w:tc>
      </w:tr>
      <w:tr w:rsidR="007D3469" w14:paraId="3354AB3F" w14:textId="77777777" w:rsidTr="007D3469">
        <w:trPr>
          <w:trHeight w:hRule="exact" w:val="1588"/>
        </w:trPr>
        <w:tc>
          <w:tcPr>
            <w:tcW w:w="7765" w:type="dxa"/>
          </w:tcPr>
          <w:p w14:paraId="41D4DC23" w14:textId="77777777" w:rsidR="005D6D75" w:rsidRDefault="005D6D75" w:rsidP="005D6D75">
            <w:r>
              <w:t>Hon Peter Dunne</w:t>
            </w:r>
          </w:p>
          <w:p w14:paraId="3354AB3E" w14:textId="1039984C" w:rsidR="007D3469" w:rsidRPr="001B04E1" w:rsidRDefault="005D6D75" w:rsidP="00F439D6">
            <w:r>
              <w:t xml:space="preserve">Minister </w:t>
            </w:r>
            <w:r w:rsidR="00F439D6">
              <w:t>of</w:t>
            </w:r>
            <w:r>
              <w:t xml:space="preserve"> Internal Affairs</w:t>
            </w:r>
          </w:p>
        </w:tc>
      </w:tr>
      <w:tr w:rsidR="007D3469" w14:paraId="3354AB41" w14:textId="77777777" w:rsidTr="007D3469">
        <w:tc>
          <w:tcPr>
            <w:tcW w:w="7765" w:type="dxa"/>
          </w:tcPr>
          <w:p w14:paraId="3354AB40" w14:textId="77777777" w:rsidR="007D3469" w:rsidRPr="001B04E1" w:rsidRDefault="007D3469" w:rsidP="001467E3"/>
        </w:tc>
      </w:tr>
    </w:tbl>
    <w:p w14:paraId="3354AB43" w14:textId="77777777" w:rsidR="000B76A4" w:rsidRPr="000B76A4" w:rsidRDefault="000E09DC" w:rsidP="000B76A4">
      <w:pPr>
        <w:pStyle w:val="NotforContentsheading1"/>
      </w:pPr>
      <w:r>
        <w:t>Contents</w:t>
      </w:r>
    </w:p>
    <w:p w14:paraId="60A33B9D" w14:textId="77777777" w:rsidR="00B73534"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76839846" w:history="1">
        <w:r w:rsidR="00B73534" w:rsidRPr="00062737">
          <w:rPr>
            <w:rStyle w:val="Hyperlink"/>
            <w:noProof/>
          </w:rPr>
          <w:t>Introduction</w:t>
        </w:r>
        <w:r w:rsidR="00B73534">
          <w:rPr>
            <w:noProof/>
            <w:webHidden/>
          </w:rPr>
          <w:tab/>
        </w:r>
        <w:r w:rsidR="00B73534">
          <w:rPr>
            <w:noProof/>
            <w:webHidden/>
          </w:rPr>
          <w:fldChar w:fldCharType="begin"/>
        </w:r>
        <w:r w:rsidR="00B73534">
          <w:rPr>
            <w:noProof/>
            <w:webHidden/>
          </w:rPr>
          <w:instrText xml:space="preserve"> PAGEREF _Toc476839846 \h </w:instrText>
        </w:r>
        <w:r w:rsidR="00B73534">
          <w:rPr>
            <w:noProof/>
            <w:webHidden/>
          </w:rPr>
        </w:r>
        <w:r w:rsidR="00B73534">
          <w:rPr>
            <w:noProof/>
            <w:webHidden/>
          </w:rPr>
          <w:fldChar w:fldCharType="separate"/>
        </w:r>
        <w:r w:rsidR="00256362">
          <w:rPr>
            <w:noProof/>
            <w:webHidden/>
          </w:rPr>
          <w:t>4</w:t>
        </w:r>
        <w:r w:rsidR="00B73534">
          <w:rPr>
            <w:noProof/>
            <w:webHidden/>
          </w:rPr>
          <w:fldChar w:fldCharType="end"/>
        </w:r>
      </w:hyperlink>
    </w:p>
    <w:p w14:paraId="7132F1E4" w14:textId="77777777" w:rsidR="00B73534" w:rsidRDefault="00220A28">
      <w:pPr>
        <w:pStyle w:val="TOC2"/>
        <w:rPr>
          <w:rFonts w:asciiTheme="minorHAnsi" w:eastAsiaTheme="minorEastAsia" w:hAnsiTheme="minorHAnsi" w:cstheme="minorBidi"/>
          <w:sz w:val="22"/>
          <w:szCs w:val="22"/>
          <w:lang w:eastAsia="en-NZ"/>
        </w:rPr>
      </w:pPr>
      <w:hyperlink w:anchor="_Toc476839847" w:history="1">
        <w:r w:rsidR="00B73534" w:rsidRPr="00062737">
          <w:rPr>
            <w:rStyle w:val="Hyperlink"/>
          </w:rPr>
          <w:t>Background to fire service reform</w:t>
        </w:r>
        <w:r w:rsidR="00B73534">
          <w:rPr>
            <w:webHidden/>
          </w:rPr>
          <w:tab/>
        </w:r>
        <w:r w:rsidR="00B73534">
          <w:rPr>
            <w:webHidden/>
          </w:rPr>
          <w:fldChar w:fldCharType="begin"/>
        </w:r>
        <w:r w:rsidR="00B73534">
          <w:rPr>
            <w:webHidden/>
          </w:rPr>
          <w:instrText xml:space="preserve"> PAGEREF _Toc476839847 \h </w:instrText>
        </w:r>
        <w:r w:rsidR="00B73534">
          <w:rPr>
            <w:webHidden/>
          </w:rPr>
        </w:r>
        <w:r w:rsidR="00B73534">
          <w:rPr>
            <w:webHidden/>
          </w:rPr>
          <w:fldChar w:fldCharType="separate"/>
        </w:r>
        <w:r w:rsidR="00256362">
          <w:rPr>
            <w:webHidden/>
          </w:rPr>
          <w:t>4</w:t>
        </w:r>
        <w:r w:rsidR="00B73534">
          <w:rPr>
            <w:webHidden/>
          </w:rPr>
          <w:fldChar w:fldCharType="end"/>
        </w:r>
      </w:hyperlink>
    </w:p>
    <w:p w14:paraId="4A769B55" w14:textId="77777777" w:rsidR="00B73534" w:rsidRDefault="00220A28">
      <w:pPr>
        <w:pStyle w:val="TOC2"/>
        <w:rPr>
          <w:rFonts w:asciiTheme="minorHAnsi" w:eastAsiaTheme="minorEastAsia" w:hAnsiTheme="minorHAnsi" w:cstheme="minorBidi"/>
          <w:sz w:val="22"/>
          <w:szCs w:val="22"/>
          <w:lang w:eastAsia="en-NZ"/>
        </w:rPr>
      </w:pPr>
      <w:hyperlink w:anchor="_Toc476839848" w:history="1">
        <w:r w:rsidR="00B73534" w:rsidRPr="00062737">
          <w:rPr>
            <w:rStyle w:val="Hyperlink"/>
          </w:rPr>
          <w:t>Purpose of this discussion document</w:t>
        </w:r>
        <w:r w:rsidR="00B73534">
          <w:rPr>
            <w:webHidden/>
          </w:rPr>
          <w:tab/>
        </w:r>
        <w:r w:rsidR="00B73534">
          <w:rPr>
            <w:webHidden/>
          </w:rPr>
          <w:fldChar w:fldCharType="begin"/>
        </w:r>
        <w:r w:rsidR="00B73534">
          <w:rPr>
            <w:webHidden/>
          </w:rPr>
          <w:instrText xml:space="preserve"> PAGEREF _Toc476839848 \h </w:instrText>
        </w:r>
        <w:r w:rsidR="00B73534">
          <w:rPr>
            <w:webHidden/>
          </w:rPr>
        </w:r>
        <w:r w:rsidR="00B73534">
          <w:rPr>
            <w:webHidden/>
          </w:rPr>
          <w:fldChar w:fldCharType="separate"/>
        </w:r>
        <w:r w:rsidR="00256362">
          <w:rPr>
            <w:webHidden/>
          </w:rPr>
          <w:t>4</w:t>
        </w:r>
        <w:r w:rsidR="00B73534">
          <w:rPr>
            <w:webHidden/>
          </w:rPr>
          <w:fldChar w:fldCharType="end"/>
        </w:r>
      </w:hyperlink>
    </w:p>
    <w:p w14:paraId="4331EE1C" w14:textId="77777777" w:rsidR="00B73534" w:rsidRDefault="00220A28">
      <w:pPr>
        <w:pStyle w:val="TOC2"/>
        <w:rPr>
          <w:rFonts w:asciiTheme="minorHAnsi" w:eastAsiaTheme="minorEastAsia" w:hAnsiTheme="minorHAnsi" w:cstheme="minorBidi"/>
          <w:sz w:val="22"/>
          <w:szCs w:val="22"/>
          <w:lang w:eastAsia="en-NZ"/>
        </w:rPr>
      </w:pPr>
      <w:hyperlink w:anchor="_Toc476839849" w:history="1">
        <w:r w:rsidR="00B73534" w:rsidRPr="00062737">
          <w:rPr>
            <w:rStyle w:val="Hyperlink"/>
          </w:rPr>
          <w:t>Changes to the levy regime</w:t>
        </w:r>
        <w:r w:rsidR="00B73534">
          <w:rPr>
            <w:webHidden/>
          </w:rPr>
          <w:tab/>
        </w:r>
        <w:r w:rsidR="00B73534">
          <w:rPr>
            <w:webHidden/>
          </w:rPr>
          <w:fldChar w:fldCharType="begin"/>
        </w:r>
        <w:r w:rsidR="00B73534">
          <w:rPr>
            <w:webHidden/>
          </w:rPr>
          <w:instrText xml:space="preserve"> PAGEREF _Toc476839849 \h </w:instrText>
        </w:r>
        <w:r w:rsidR="00B73534">
          <w:rPr>
            <w:webHidden/>
          </w:rPr>
        </w:r>
        <w:r w:rsidR="00B73534">
          <w:rPr>
            <w:webHidden/>
          </w:rPr>
          <w:fldChar w:fldCharType="separate"/>
        </w:r>
        <w:r w:rsidR="00256362">
          <w:rPr>
            <w:webHidden/>
          </w:rPr>
          <w:t>5</w:t>
        </w:r>
        <w:r w:rsidR="00B73534">
          <w:rPr>
            <w:webHidden/>
          </w:rPr>
          <w:fldChar w:fldCharType="end"/>
        </w:r>
      </w:hyperlink>
    </w:p>
    <w:p w14:paraId="6D888707" w14:textId="77777777" w:rsidR="00B73534" w:rsidRDefault="00220A28">
      <w:pPr>
        <w:pStyle w:val="TOC2"/>
        <w:rPr>
          <w:rFonts w:asciiTheme="minorHAnsi" w:eastAsiaTheme="minorEastAsia" w:hAnsiTheme="minorHAnsi" w:cstheme="minorBidi"/>
          <w:sz w:val="22"/>
          <w:szCs w:val="22"/>
          <w:lang w:eastAsia="en-NZ"/>
        </w:rPr>
      </w:pPr>
      <w:hyperlink w:anchor="_Toc476839850" w:history="1">
        <w:r w:rsidR="00B73534" w:rsidRPr="00062737">
          <w:rPr>
            <w:rStyle w:val="Hyperlink"/>
          </w:rPr>
          <w:t>How to respond to this consultation</w:t>
        </w:r>
        <w:r w:rsidR="00B73534">
          <w:rPr>
            <w:webHidden/>
          </w:rPr>
          <w:tab/>
        </w:r>
        <w:r w:rsidR="00B73534">
          <w:rPr>
            <w:webHidden/>
          </w:rPr>
          <w:fldChar w:fldCharType="begin"/>
        </w:r>
        <w:r w:rsidR="00B73534">
          <w:rPr>
            <w:webHidden/>
          </w:rPr>
          <w:instrText xml:space="preserve"> PAGEREF _Toc476839850 \h </w:instrText>
        </w:r>
        <w:r w:rsidR="00B73534">
          <w:rPr>
            <w:webHidden/>
          </w:rPr>
        </w:r>
        <w:r w:rsidR="00B73534">
          <w:rPr>
            <w:webHidden/>
          </w:rPr>
          <w:fldChar w:fldCharType="separate"/>
        </w:r>
        <w:r w:rsidR="00256362">
          <w:rPr>
            <w:webHidden/>
          </w:rPr>
          <w:t>8</w:t>
        </w:r>
        <w:r w:rsidR="00B73534">
          <w:rPr>
            <w:webHidden/>
          </w:rPr>
          <w:fldChar w:fldCharType="end"/>
        </w:r>
      </w:hyperlink>
    </w:p>
    <w:p w14:paraId="29B11619" w14:textId="77777777" w:rsidR="00B73534" w:rsidRDefault="00220A28">
      <w:pPr>
        <w:pStyle w:val="TOC2"/>
        <w:rPr>
          <w:rFonts w:asciiTheme="minorHAnsi" w:eastAsiaTheme="minorEastAsia" w:hAnsiTheme="minorHAnsi" w:cstheme="minorBidi"/>
          <w:sz w:val="22"/>
          <w:szCs w:val="22"/>
          <w:lang w:eastAsia="en-NZ"/>
        </w:rPr>
      </w:pPr>
      <w:hyperlink w:anchor="_Toc476839851" w:history="1">
        <w:r w:rsidR="00B73534" w:rsidRPr="00062737">
          <w:rPr>
            <w:rStyle w:val="Hyperlink"/>
          </w:rPr>
          <w:t>How your submissions will be used</w:t>
        </w:r>
        <w:r w:rsidR="00B73534">
          <w:rPr>
            <w:webHidden/>
          </w:rPr>
          <w:tab/>
        </w:r>
        <w:r w:rsidR="00B73534">
          <w:rPr>
            <w:webHidden/>
          </w:rPr>
          <w:fldChar w:fldCharType="begin"/>
        </w:r>
        <w:r w:rsidR="00B73534">
          <w:rPr>
            <w:webHidden/>
          </w:rPr>
          <w:instrText xml:space="preserve"> PAGEREF _Toc476839851 \h </w:instrText>
        </w:r>
        <w:r w:rsidR="00B73534">
          <w:rPr>
            <w:webHidden/>
          </w:rPr>
        </w:r>
        <w:r w:rsidR="00B73534">
          <w:rPr>
            <w:webHidden/>
          </w:rPr>
          <w:fldChar w:fldCharType="separate"/>
        </w:r>
        <w:r w:rsidR="00256362">
          <w:rPr>
            <w:webHidden/>
          </w:rPr>
          <w:t>8</w:t>
        </w:r>
        <w:r w:rsidR="00B73534">
          <w:rPr>
            <w:webHidden/>
          </w:rPr>
          <w:fldChar w:fldCharType="end"/>
        </w:r>
      </w:hyperlink>
    </w:p>
    <w:p w14:paraId="09A98EFB" w14:textId="77777777" w:rsidR="00B73534" w:rsidRDefault="00220A28">
      <w:pPr>
        <w:pStyle w:val="TOC1"/>
        <w:rPr>
          <w:rFonts w:asciiTheme="minorHAnsi" w:eastAsiaTheme="minorEastAsia" w:hAnsiTheme="minorHAnsi" w:cstheme="minorBidi"/>
          <w:b w:val="0"/>
          <w:noProof/>
          <w:color w:val="auto"/>
          <w:sz w:val="22"/>
          <w:szCs w:val="22"/>
          <w:lang w:eastAsia="en-NZ"/>
        </w:rPr>
      </w:pPr>
      <w:hyperlink w:anchor="_Toc476839852" w:history="1">
        <w:r w:rsidR="00B73534" w:rsidRPr="00062737">
          <w:rPr>
            <w:rStyle w:val="Hyperlink"/>
            <w:noProof/>
          </w:rPr>
          <w:t>Part 1: Transitional levy relief</w:t>
        </w:r>
        <w:r w:rsidR="00B73534">
          <w:rPr>
            <w:noProof/>
            <w:webHidden/>
          </w:rPr>
          <w:tab/>
        </w:r>
        <w:r w:rsidR="00B73534">
          <w:rPr>
            <w:noProof/>
            <w:webHidden/>
          </w:rPr>
          <w:fldChar w:fldCharType="begin"/>
        </w:r>
        <w:r w:rsidR="00B73534">
          <w:rPr>
            <w:noProof/>
            <w:webHidden/>
          </w:rPr>
          <w:instrText xml:space="preserve"> PAGEREF _Toc476839852 \h </w:instrText>
        </w:r>
        <w:r w:rsidR="00B73534">
          <w:rPr>
            <w:noProof/>
            <w:webHidden/>
          </w:rPr>
        </w:r>
        <w:r w:rsidR="00B73534">
          <w:rPr>
            <w:noProof/>
            <w:webHidden/>
          </w:rPr>
          <w:fldChar w:fldCharType="separate"/>
        </w:r>
        <w:r w:rsidR="00256362">
          <w:rPr>
            <w:noProof/>
            <w:webHidden/>
          </w:rPr>
          <w:t>9</w:t>
        </w:r>
        <w:r w:rsidR="00B73534">
          <w:rPr>
            <w:noProof/>
            <w:webHidden/>
          </w:rPr>
          <w:fldChar w:fldCharType="end"/>
        </w:r>
      </w:hyperlink>
    </w:p>
    <w:p w14:paraId="48DEFB1D" w14:textId="77777777" w:rsidR="00B73534" w:rsidRDefault="00220A28">
      <w:pPr>
        <w:pStyle w:val="TOC2"/>
        <w:rPr>
          <w:rFonts w:asciiTheme="minorHAnsi" w:eastAsiaTheme="minorEastAsia" w:hAnsiTheme="minorHAnsi" w:cstheme="minorBidi"/>
          <w:sz w:val="22"/>
          <w:szCs w:val="22"/>
          <w:lang w:eastAsia="en-NZ"/>
        </w:rPr>
      </w:pPr>
      <w:hyperlink w:anchor="_Toc476839853" w:history="1">
        <w:r w:rsidR="00B73534" w:rsidRPr="00062737">
          <w:rPr>
            <w:rStyle w:val="Hyperlink"/>
          </w:rPr>
          <w:t>Background and policy objectives</w:t>
        </w:r>
        <w:r w:rsidR="00B73534">
          <w:rPr>
            <w:webHidden/>
          </w:rPr>
          <w:tab/>
        </w:r>
        <w:r w:rsidR="00B73534">
          <w:rPr>
            <w:webHidden/>
          </w:rPr>
          <w:fldChar w:fldCharType="begin"/>
        </w:r>
        <w:r w:rsidR="00B73534">
          <w:rPr>
            <w:webHidden/>
          </w:rPr>
          <w:instrText xml:space="preserve"> PAGEREF _Toc476839853 \h </w:instrText>
        </w:r>
        <w:r w:rsidR="00B73534">
          <w:rPr>
            <w:webHidden/>
          </w:rPr>
        </w:r>
        <w:r w:rsidR="00B73534">
          <w:rPr>
            <w:webHidden/>
          </w:rPr>
          <w:fldChar w:fldCharType="separate"/>
        </w:r>
        <w:r w:rsidR="00256362">
          <w:rPr>
            <w:webHidden/>
          </w:rPr>
          <w:t>9</w:t>
        </w:r>
        <w:r w:rsidR="00B73534">
          <w:rPr>
            <w:webHidden/>
          </w:rPr>
          <w:fldChar w:fldCharType="end"/>
        </w:r>
      </w:hyperlink>
    </w:p>
    <w:p w14:paraId="2D546FC3" w14:textId="77777777" w:rsidR="00B73534" w:rsidRDefault="00220A28">
      <w:pPr>
        <w:pStyle w:val="TOC2"/>
        <w:rPr>
          <w:rFonts w:asciiTheme="minorHAnsi" w:eastAsiaTheme="minorEastAsia" w:hAnsiTheme="minorHAnsi" w:cstheme="minorBidi"/>
          <w:sz w:val="22"/>
          <w:szCs w:val="22"/>
          <w:lang w:eastAsia="en-NZ"/>
        </w:rPr>
      </w:pPr>
      <w:hyperlink w:anchor="_Toc476839854" w:history="1">
        <w:r w:rsidR="00B73534" w:rsidRPr="00062737">
          <w:rPr>
            <w:rStyle w:val="Hyperlink"/>
          </w:rPr>
          <w:t>Policy discussion</w:t>
        </w:r>
        <w:r w:rsidR="00B73534">
          <w:rPr>
            <w:webHidden/>
          </w:rPr>
          <w:tab/>
        </w:r>
        <w:r w:rsidR="00B73534">
          <w:rPr>
            <w:webHidden/>
          </w:rPr>
          <w:fldChar w:fldCharType="begin"/>
        </w:r>
        <w:r w:rsidR="00B73534">
          <w:rPr>
            <w:webHidden/>
          </w:rPr>
          <w:instrText xml:space="preserve"> PAGEREF _Toc476839854 \h </w:instrText>
        </w:r>
        <w:r w:rsidR="00B73534">
          <w:rPr>
            <w:webHidden/>
          </w:rPr>
        </w:r>
        <w:r w:rsidR="00B73534">
          <w:rPr>
            <w:webHidden/>
          </w:rPr>
          <w:fldChar w:fldCharType="separate"/>
        </w:r>
        <w:r w:rsidR="00256362">
          <w:rPr>
            <w:webHidden/>
          </w:rPr>
          <w:t>10</w:t>
        </w:r>
        <w:r w:rsidR="00B73534">
          <w:rPr>
            <w:webHidden/>
          </w:rPr>
          <w:fldChar w:fldCharType="end"/>
        </w:r>
      </w:hyperlink>
    </w:p>
    <w:p w14:paraId="1B5058B8" w14:textId="77777777" w:rsidR="00B73534" w:rsidRDefault="00220A28">
      <w:pPr>
        <w:pStyle w:val="TOC2"/>
        <w:rPr>
          <w:rFonts w:asciiTheme="minorHAnsi" w:eastAsiaTheme="minorEastAsia" w:hAnsiTheme="minorHAnsi" w:cstheme="minorBidi"/>
          <w:sz w:val="22"/>
          <w:szCs w:val="22"/>
          <w:lang w:eastAsia="en-NZ"/>
        </w:rPr>
      </w:pPr>
      <w:hyperlink w:anchor="_Toc476839855" w:history="1">
        <w:r w:rsidR="00B73534" w:rsidRPr="00062737">
          <w:rPr>
            <w:rStyle w:val="Hyperlink"/>
          </w:rPr>
          <w:t>Options</w:t>
        </w:r>
        <w:r w:rsidR="00B73534">
          <w:rPr>
            <w:webHidden/>
          </w:rPr>
          <w:tab/>
        </w:r>
        <w:r w:rsidR="00B73534">
          <w:rPr>
            <w:webHidden/>
          </w:rPr>
          <w:fldChar w:fldCharType="begin"/>
        </w:r>
        <w:r w:rsidR="00B73534">
          <w:rPr>
            <w:webHidden/>
          </w:rPr>
          <w:instrText xml:space="preserve"> PAGEREF _Toc476839855 \h </w:instrText>
        </w:r>
        <w:r w:rsidR="00B73534">
          <w:rPr>
            <w:webHidden/>
          </w:rPr>
        </w:r>
        <w:r w:rsidR="00B73534">
          <w:rPr>
            <w:webHidden/>
          </w:rPr>
          <w:fldChar w:fldCharType="separate"/>
        </w:r>
        <w:r w:rsidR="00256362">
          <w:rPr>
            <w:webHidden/>
          </w:rPr>
          <w:t>14</w:t>
        </w:r>
        <w:r w:rsidR="00B73534">
          <w:rPr>
            <w:webHidden/>
          </w:rPr>
          <w:fldChar w:fldCharType="end"/>
        </w:r>
      </w:hyperlink>
    </w:p>
    <w:p w14:paraId="74684C41" w14:textId="77777777" w:rsidR="00B73534" w:rsidRDefault="00220A28">
      <w:pPr>
        <w:pStyle w:val="TOC1"/>
        <w:rPr>
          <w:rFonts w:asciiTheme="minorHAnsi" w:eastAsiaTheme="minorEastAsia" w:hAnsiTheme="minorHAnsi" w:cstheme="minorBidi"/>
          <w:b w:val="0"/>
          <w:noProof/>
          <w:color w:val="auto"/>
          <w:sz w:val="22"/>
          <w:szCs w:val="22"/>
          <w:lang w:eastAsia="en-NZ"/>
        </w:rPr>
      </w:pPr>
      <w:hyperlink w:anchor="_Toc476839856" w:history="1">
        <w:r w:rsidR="00B73534" w:rsidRPr="00062737">
          <w:rPr>
            <w:rStyle w:val="Hyperlink"/>
            <w:noProof/>
          </w:rPr>
          <w:t>Part 2: Levy on insurance contracts covering different types of property</w:t>
        </w:r>
        <w:r w:rsidR="00B73534">
          <w:rPr>
            <w:noProof/>
            <w:webHidden/>
          </w:rPr>
          <w:tab/>
        </w:r>
        <w:r w:rsidR="00B73534">
          <w:rPr>
            <w:noProof/>
            <w:webHidden/>
          </w:rPr>
          <w:fldChar w:fldCharType="begin"/>
        </w:r>
        <w:r w:rsidR="00B73534">
          <w:rPr>
            <w:noProof/>
            <w:webHidden/>
          </w:rPr>
          <w:instrText xml:space="preserve"> PAGEREF _Toc476839856 \h </w:instrText>
        </w:r>
        <w:r w:rsidR="00B73534">
          <w:rPr>
            <w:noProof/>
            <w:webHidden/>
          </w:rPr>
        </w:r>
        <w:r w:rsidR="00B73534">
          <w:rPr>
            <w:noProof/>
            <w:webHidden/>
          </w:rPr>
          <w:fldChar w:fldCharType="separate"/>
        </w:r>
        <w:r w:rsidR="00256362">
          <w:rPr>
            <w:noProof/>
            <w:webHidden/>
          </w:rPr>
          <w:t>16</w:t>
        </w:r>
        <w:r w:rsidR="00B73534">
          <w:rPr>
            <w:noProof/>
            <w:webHidden/>
          </w:rPr>
          <w:fldChar w:fldCharType="end"/>
        </w:r>
      </w:hyperlink>
    </w:p>
    <w:p w14:paraId="60424968" w14:textId="77777777" w:rsidR="00B73534" w:rsidRDefault="00220A28">
      <w:pPr>
        <w:pStyle w:val="TOC2"/>
        <w:rPr>
          <w:rFonts w:asciiTheme="minorHAnsi" w:eastAsiaTheme="minorEastAsia" w:hAnsiTheme="minorHAnsi" w:cstheme="minorBidi"/>
          <w:sz w:val="22"/>
          <w:szCs w:val="22"/>
          <w:lang w:eastAsia="en-NZ"/>
        </w:rPr>
      </w:pPr>
      <w:hyperlink w:anchor="_Toc476839857" w:history="1">
        <w:r w:rsidR="00B73534" w:rsidRPr="00062737">
          <w:rPr>
            <w:rStyle w:val="Hyperlink"/>
          </w:rPr>
          <w:t>Background and policy objectives</w:t>
        </w:r>
        <w:r w:rsidR="00B73534">
          <w:rPr>
            <w:webHidden/>
          </w:rPr>
          <w:tab/>
        </w:r>
        <w:r w:rsidR="00B73534">
          <w:rPr>
            <w:webHidden/>
          </w:rPr>
          <w:fldChar w:fldCharType="begin"/>
        </w:r>
        <w:r w:rsidR="00B73534">
          <w:rPr>
            <w:webHidden/>
          </w:rPr>
          <w:instrText xml:space="preserve"> PAGEREF _Toc476839857 \h </w:instrText>
        </w:r>
        <w:r w:rsidR="00B73534">
          <w:rPr>
            <w:webHidden/>
          </w:rPr>
        </w:r>
        <w:r w:rsidR="00B73534">
          <w:rPr>
            <w:webHidden/>
          </w:rPr>
          <w:fldChar w:fldCharType="separate"/>
        </w:r>
        <w:r w:rsidR="00256362">
          <w:rPr>
            <w:webHidden/>
          </w:rPr>
          <w:t>16</w:t>
        </w:r>
        <w:r w:rsidR="00B73534">
          <w:rPr>
            <w:webHidden/>
          </w:rPr>
          <w:fldChar w:fldCharType="end"/>
        </w:r>
      </w:hyperlink>
    </w:p>
    <w:p w14:paraId="6A06F4EB" w14:textId="77777777" w:rsidR="00B73534" w:rsidRDefault="00220A28">
      <w:pPr>
        <w:pStyle w:val="TOC2"/>
        <w:rPr>
          <w:rFonts w:asciiTheme="minorHAnsi" w:eastAsiaTheme="minorEastAsia" w:hAnsiTheme="minorHAnsi" w:cstheme="minorBidi"/>
          <w:sz w:val="22"/>
          <w:szCs w:val="22"/>
          <w:lang w:eastAsia="en-NZ"/>
        </w:rPr>
      </w:pPr>
      <w:hyperlink w:anchor="_Toc476839858" w:history="1">
        <w:r w:rsidR="00B73534" w:rsidRPr="00062737">
          <w:rPr>
            <w:rStyle w:val="Hyperlink"/>
          </w:rPr>
          <w:t>Policy discussion</w:t>
        </w:r>
        <w:r w:rsidR="00B73534">
          <w:rPr>
            <w:webHidden/>
          </w:rPr>
          <w:tab/>
        </w:r>
        <w:r w:rsidR="00B73534">
          <w:rPr>
            <w:webHidden/>
          </w:rPr>
          <w:fldChar w:fldCharType="begin"/>
        </w:r>
        <w:r w:rsidR="00B73534">
          <w:rPr>
            <w:webHidden/>
          </w:rPr>
          <w:instrText xml:space="preserve"> PAGEREF _Toc476839858 \h </w:instrText>
        </w:r>
        <w:r w:rsidR="00B73534">
          <w:rPr>
            <w:webHidden/>
          </w:rPr>
        </w:r>
        <w:r w:rsidR="00B73534">
          <w:rPr>
            <w:webHidden/>
          </w:rPr>
          <w:fldChar w:fldCharType="separate"/>
        </w:r>
        <w:r w:rsidR="00256362">
          <w:rPr>
            <w:webHidden/>
          </w:rPr>
          <w:t>18</w:t>
        </w:r>
        <w:r w:rsidR="00B73534">
          <w:rPr>
            <w:webHidden/>
          </w:rPr>
          <w:fldChar w:fldCharType="end"/>
        </w:r>
      </w:hyperlink>
    </w:p>
    <w:p w14:paraId="27EEC8EB" w14:textId="77777777" w:rsidR="00B73534" w:rsidRDefault="00220A28">
      <w:pPr>
        <w:pStyle w:val="TOC1"/>
        <w:rPr>
          <w:rFonts w:asciiTheme="minorHAnsi" w:eastAsiaTheme="minorEastAsia" w:hAnsiTheme="minorHAnsi" w:cstheme="minorBidi"/>
          <w:b w:val="0"/>
          <w:noProof/>
          <w:color w:val="auto"/>
          <w:sz w:val="22"/>
          <w:szCs w:val="22"/>
          <w:lang w:eastAsia="en-NZ"/>
        </w:rPr>
      </w:pPr>
      <w:hyperlink w:anchor="_Toc476839859" w:history="1">
        <w:r w:rsidR="00B73534" w:rsidRPr="00062737">
          <w:rPr>
            <w:rStyle w:val="Hyperlink"/>
            <w:noProof/>
          </w:rPr>
          <w:t>Appendix A: Summary of funding and levy changes over transition period</w:t>
        </w:r>
        <w:r w:rsidR="00B73534">
          <w:rPr>
            <w:noProof/>
            <w:webHidden/>
          </w:rPr>
          <w:tab/>
        </w:r>
        <w:r w:rsidR="00B73534">
          <w:rPr>
            <w:noProof/>
            <w:webHidden/>
          </w:rPr>
          <w:fldChar w:fldCharType="begin"/>
        </w:r>
        <w:r w:rsidR="00B73534">
          <w:rPr>
            <w:noProof/>
            <w:webHidden/>
          </w:rPr>
          <w:instrText xml:space="preserve"> PAGEREF _Toc476839859 \h </w:instrText>
        </w:r>
        <w:r w:rsidR="00B73534">
          <w:rPr>
            <w:noProof/>
            <w:webHidden/>
          </w:rPr>
        </w:r>
        <w:r w:rsidR="00B73534">
          <w:rPr>
            <w:noProof/>
            <w:webHidden/>
          </w:rPr>
          <w:fldChar w:fldCharType="separate"/>
        </w:r>
        <w:r w:rsidR="00256362">
          <w:rPr>
            <w:noProof/>
            <w:webHidden/>
          </w:rPr>
          <w:t>21</w:t>
        </w:r>
        <w:r w:rsidR="00B73534">
          <w:rPr>
            <w:noProof/>
            <w:webHidden/>
          </w:rPr>
          <w:fldChar w:fldCharType="end"/>
        </w:r>
      </w:hyperlink>
    </w:p>
    <w:p w14:paraId="0E9EA848" w14:textId="77777777" w:rsidR="00B73534" w:rsidRDefault="00220A28">
      <w:pPr>
        <w:pStyle w:val="TOC1"/>
        <w:rPr>
          <w:rFonts w:asciiTheme="minorHAnsi" w:eastAsiaTheme="minorEastAsia" w:hAnsiTheme="minorHAnsi" w:cstheme="minorBidi"/>
          <w:b w:val="0"/>
          <w:noProof/>
          <w:color w:val="auto"/>
          <w:sz w:val="22"/>
          <w:szCs w:val="22"/>
          <w:lang w:eastAsia="en-NZ"/>
        </w:rPr>
      </w:pPr>
      <w:hyperlink w:anchor="_Toc476839860" w:history="1">
        <w:r w:rsidR="00B73534" w:rsidRPr="00062737">
          <w:rPr>
            <w:rStyle w:val="Hyperlink"/>
            <w:noProof/>
          </w:rPr>
          <w:t>Appendix B: Examples of proposed transitional relief</w:t>
        </w:r>
        <w:r w:rsidR="00B73534">
          <w:rPr>
            <w:noProof/>
            <w:webHidden/>
          </w:rPr>
          <w:tab/>
        </w:r>
        <w:r w:rsidR="00B73534">
          <w:rPr>
            <w:noProof/>
            <w:webHidden/>
          </w:rPr>
          <w:fldChar w:fldCharType="begin"/>
        </w:r>
        <w:r w:rsidR="00B73534">
          <w:rPr>
            <w:noProof/>
            <w:webHidden/>
          </w:rPr>
          <w:instrText xml:space="preserve"> PAGEREF _Toc476839860 \h </w:instrText>
        </w:r>
        <w:r w:rsidR="00B73534">
          <w:rPr>
            <w:noProof/>
            <w:webHidden/>
          </w:rPr>
        </w:r>
        <w:r w:rsidR="00B73534">
          <w:rPr>
            <w:noProof/>
            <w:webHidden/>
          </w:rPr>
          <w:fldChar w:fldCharType="separate"/>
        </w:r>
        <w:r w:rsidR="00256362">
          <w:rPr>
            <w:noProof/>
            <w:webHidden/>
          </w:rPr>
          <w:t>22</w:t>
        </w:r>
        <w:r w:rsidR="00B73534">
          <w:rPr>
            <w:noProof/>
            <w:webHidden/>
          </w:rPr>
          <w:fldChar w:fldCharType="end"/>
        </w:r>
      </w:hyperlink>
    </w:p>
    <w:p w14:paraId="77AA7B83" w14:textId="77777777" w:rsidR="00B73534" w:rsidRDefault="00220A28">
      <w:pPr>
        <w:pStyle w:val="TOC1"/>
        <w:rPr>
          <w:rFonts w:asciiTheme="minorHAnsi" w:eastAsiaTheme="minorEastAsia" w:hAnsiTheme="minorHAnsi" w:cstheme="minorBidi"/>
          <w:b w:val="0"/>
          <w:noProof/>
          <w:color w:val="auto"/>
          <w:sz w:val="22"/>
          <w:szCs w:val="22"/>
          <w:lang w:eastAsia="en-NZ"/>
        </w:rPr>
      </w:pPr>
      <w:hyperlink w:anchor="_Toc476839861" w:history="1">
        <w:r w:rsidR="00B73534" w:rsidRPr="00062737">
          <w:rPr>
            <w:rStyle w:val="Hyperlink"/>
            <w:noProof/>
          </w:rPr>
          <w:t>Appendix C: Example of proposed calculation of levy on mixed residential property</w:t>
        </w:r>
        <w:r w:rsidR="00B73534">
          <w:rPr>
            <w:noProof/>
            <w:webHidden/>
          </w:rPr>
          <w:tab/>
        </w:r>
        <w:r w:rsidR="00B73534">
          <w:rPr>
            <w:noProof/>
            <w:webHidden/>
          </w:rPr>
          <w:fldChar w:fldCharType="begin"/>
        </w:r>
        <w:r w:rsidR="00B73534">
          <w:rPr>
            <w:noProof/>
            <w:webHidden/>
          </w:rPr>
          <w:instrText xml:space="preserve"> PAGEREF _Toc476839861 \h </w:instrText>
        </w:r>
        <w:r w:rsidR="00B73534">
          <w:rPr>
            <w:noProof/>
            <w:webHidden/>
          </w:rPr>
        </w:r>
        <w:r w:rsidR="00B73534">
          <w:rPr>
            <w:noProof/>
            <w:webHidden/>
          </w:rPr>
          <w:fldChar w:fldCharType="separate"/>
        </w:r>
        <w:r w:rsidR="00256362">
          <w:rPr>
            <w:noProof/>
            <w:webHidden/>
          </w:rPr>
          <w:t>23</w:t>
        </w:r>
        <w:r w:rsidR="00B73534">
          <w:rPr>
            <w:noProof/>
            <w:webHidden/>
          </w:rPr>
          <w:fldChar w:fldCharType="end"/>
        </w:r>
      </w:hyperlink>
    </w:p>
    <w:p w14:paraId="62515AFB" w14:textId="77777777" w:rsidR="00B73534" w:rsidRDefault="00220A28">
      <w:pPr>
        <w:pStyle w:val="TOC1"/>
        <w:rPr>
          <w:rFonts w:asciiTheme="minorHAnsi" w:eastAsiaTheme="minorEastAsia" w:hAnsiTheme="minorHAnsi" w:cstheme="minorBidi"/>
          <w:b w:val="0"/>
          <w:noProof/>
          <w:color w:val="auto"/>
          <w:sz w:val="22"/>
          <w:szCs w:val="22"/>
          <w:lang w:eastAsia="en-NZ"/>
        </w:rPr>
      </w:pPr>
      <w:hyperlink w:anchor="_Toc476839862" w:history="1">
        <w:r w:rsidR="00B73534" w:rsidRPr="00062737">
          <w:rPr>
            <w:rStyle w:val="Hyperlink"/>
            <w:noProof/>
          </w:rPr>
          <w:t>Appendix D: Consultation questions</w:t>
        </w:r>
        <w:r w:rsidR="00B73534">
          <w:rPr>
            <w:noProof/>
            <w:webHidden/>
          </w:rPr>
          <w:tab/>
        </w:r>
        <w:r w:rsidR="00B73534">
          <w:rPr>
            <w:noProof/>
            <w:webHidden/>
          </w:rPr>
          <w:fldChar w:fldCharType="begin"/>
        </w:r>
        <w:r w:rsidR="00B73534">
          <w:rPr>
            <w:noProof/>
            <w:webHidden/>
          </w:rPr>
          <w:instrText xml:space="preserve"> PAGEREF _Toc476839862 \h </w:instrText>
        </w:r>
        <w:r w:rsidR="00B73534">
          <w:rPr>
            <w:noProof/>
            <w:webHidden/>
          </w:rPr>
        </w:r>
        <w:r w:rsidR="00B73534">
          <w:rPr>
            <w:noProof/>
            <w:webHidden/>
          </w:rPr>
          <w:fldChar w:fldCharType="separate"/>
        </w:r>
        <w:r w:rsidR="00256362">
          <w:rPr>
            <w:noProof/>
            <w:webHidden/>
          </w:rPr>
          <w:t>24</w:t>
        </w:r>
        <w:r w:rsidR="00B73534">
          <w:rPr>
            <w:noProof/>
            <w:webHidden/>
          </w:rPr>
          <w:fldChar w:fldCharType="end"/>
        </w:r>
      </w:hyperlink>
    </w:p>
    <w:p w14:paraId="3354AB55" w14:textId="3E919A2F" w:rsidR="004518B7" w:rsidRPr="007202D5" w:rsidRDefault="00860B2B" w:rsidP="007202D5">
      <w:r>
        <w:rPr>
          <w:color w:val="1F546B"/>
        </w:rPr>
        <w:fldChar w:fldCharType="end"/>
      </w:r>
    </w:p>
    <w:p w14:paraId="3354AB56" w14:textId="77777777" w:rsidR="005D3404" w:rsidRDefault="005D3404" w:rsidP="005D3404">
      <w:pPr>
        <w:pStyle w:val="Heading1"/>
      </w:pPr>
      <w:bookmarkStart w:id="0" w:name="_Toc472684559"/>
      <w:bookmarkStart w:id="1" w:name="_Toc472692005"/>
      <w:bookmarkStart w:id="2" w:name="_Toc476839846"/>
      <w:r>
        <w:lastRenderedPageBreak/>
        <w:t>Introduction</w:t>
      </w:r>
      <w:bookmarkEnd w:id="0"/>
      <w:bookmarkEnd w:id="1"/>
      <w:bookmarkEnd w:id="2"/>
    </w:p>
    <w:p w14:paraId="3354AB57" w14:textId="77777777" w:rsidR="00C467A7" w:rsidRPr="009F409A" w:rsidRDefault="00C467A7" w:rsidP="00C467A7">
      <w:pPr>
        <w:pStyle w:val="Heading2"/>
      </w:pPr>
      <w:bookmarkStart w:id="3" w:name="_Toc472684560"/>
      <w:bookmarkStart w:id="4" w:name="_Toc472692006"/>
      <w:bookmarkStart w:id="5" w:name="_Toc476839847"/>
      <w:r w:rsidRPr="009F409A">
        <w:t>Background</w:t>
      </w:r>
      <w:r w:rsidR="00353DA1">
        <w:t xml:space="preserve"> to fire service reform</w:t>
      </w:r>
      <w:bookmarkEnd w:id="3"/>
      <w:bookmarkEnd w:id="4"/>
      <w:bookmarkEnd w:id="5"/>
    </w:p>
    <w:p w14:paraId="3354AB58" w14:textId="10F3748E" w:rsidR="0090736E" w:rsidRDefault="00C467A7" w:rsidP="00C467A7">
      <w:r>
        <w:t>On</w:t>
      </w:r>
      <w:r w:rsidRPr="007E3311">
        <w:t xml:space="preserve"> 1 July 2017, the New Zealand Fire Service (NZFS), National Rural Fire Authority (NRFA), and 38 Rural Fire Authorities (RFAs) will amalgamate to become one organisation, Fire and Emergency New Zealand (</w:t>
      </w:r>
      <w:r w:rsidR="008B285B">
        <w:t>Fire and Emergency NZ</w:t>
      </w:r>
      <w:r w:rsidRPr="007E3311">
        <w:t>).</w:t>
      </w:r>
      <w:r w:rsidR="0090736E">
        <w:t xml:space="preserve"> This will be the most significant reform of New Zealand’s fire services since the 1940s.</w:t>
      </w:r>
    </w:p>
    <w:p w14:paraId="3354AB59" w14:textId="77777777" w:rsidR="00C467A7" w:rsidRDefault="00C467A7" w:rsidP="00C467A7">
      <w:r>
        <w:t xml:space="preserve">The reform </w:t>
      </w:r>
      <w:r w:rsidR="0090736E">
        <w:t xml:space="preserve">aims to </w:t>
      </w:r>
      <w:r>
        <w:t xml:space="preserve">address four major </w:t>
      </w:r>
      <w:r w:rsidR="0090736E">
        <w:t>issues</w:t>
      </w:r>
      <w:r>
        <w:t xml:space="preserve"> relating to the </w:t>
      </w:r>
      <w:r w:rsidR="0090736E">
        <w:t xml:space="preserve">existing </w:t>
      </w:r>
      <w:r>
        <w:t xml:space="preserve">governance and support </w:t>
      </w:r>
      <w:r w:rsidR="0090736E">
        <w:t xml:space="preserve">for </w:t>
      </w:r>
      <w:r>
        <w:t>fire services:</w:t>
      </w:r>
    </w:p>
    <w:p w14:paraId="3354AB5A" w14:textId="77777777" w:rsidR="00C467A7" w:rsidRDefault="00C467A7" w:rsidP="00CF11AC">
      <w:pPr>
        <w:pStyle w:val="Bullet"/>
      </w:pPr>
      <w:r>
        <w:t>changing expectations of fire services, in particular that fire services are expected to, and do, respond to many non-fire emergencies (for example earthquake rescue, medical emergencies, and traffic accidents) outside the current legal framework;</w:t>
      </w:r>
    </w:p>
    <w:p w14:paraId="3354AB5B" w14:textId="77777777" w:rsidR="00C467A7" w:rsidRDefault="00C467A7" w:rsidP="00CF11AC">
      <w:pPr>
        <w:pStyle w:val="Bullet"/>
      </w:pPr>
      <w:r>
        <w:t>lack of coordination and variable leadership, in particular a lack of coordinated support for volunteers, sometimes poor operational coordination between NZFS and rural brigades, and the lack of national oversight of rural fire governance;</w:t>
      </w:r>
    </w:p>
    <w:p w14:paraId="3354AB5C" w14:textId="77777777" w:rsidR="00C467A7" w:rsidRDefault="00C467A7" w:rsidP="00CF11AC">
      <w:pPr>
        <w:pStyle w:val="Bullet"/>
      </w:pPr>
      <w:r>
        <w:t>inconsistent investment for community needs, which has led to under investment in the rural sector and in support for volunteer firefighters (both urban and rural); and</w:t>
      </w:r>
    </w:p>
    <w:p w14:paraId="3354AB5D" w14:textId="77777777" w:rsidR="00C467A7" w:rsidRDefault="00C467A7" w:rsidP="00CF11AC">
      <w:pPr>
        <w:pStyle w:val="Bullet"/>
      </w:pPr>
      <w:r>
        <w:t>differences in culture between rural and urban firefighters, and paid and volunteer firefighters, leading to operational issues.</w:t>
      </w:r>
    </w:p>
    <w:p w14:paraId="6BF101DC" w14:textId="77777777" w:rsidR="00532700" w:rsidRDefault="00C467A7" w:rsidP="00C467A7">
      <w:r w:rsidRPr="007E3311">
        <w:t xml:space="preserve">Legislation to give effect to Cabinet’s decisions on fire services reform, the Fire and Emergency New Zealand Bill 2016 (the Bill), was introduced to Parliament in July 2016. </w:t>
      </w:r>
      <w:r w:rsidR="00975F00">
        <w:t>It</w:t>
      </w:r>
      <w:r w:rsidR="0090736E">
        <w:t xml:space="preserve"> was considered by </w:t>
      </w:r>
      <w:r w:rsidR="00975F00">
        <w:t>the</w:t>
      </w:r>
      <w:r w:rsidR="0090736E">
        <w:t xml:space="preserve"> </w:t>
      </w:r>
      <w:r w:rsidRPr="007E3311">
        <w:t>Government Administration Committee and reported back to Parliament in December 2016.</w:t>
      </w:r>
    </w:p>
    <w:p w14:paraId="3354AB5E" w14:textId="6386AEF7" w:rsidR="002178DF" w:rsidRDefault="00532700" w:rsidP="00C467A7">
      <w:r>
        <w:t xml:space="preserve">The legislation establishing Fire and Emergency NZ is still before </w:t>
      </w:r>
      <w:r w:rsidR="001410AD">
        <w:t>P</w:t>
      </w:r>
      <w:r>
        <w:t xml:space="preserve">arliament. </w:t>
      </w:r>
      <w:r w:rsidR="00C467A7">
        <w:t>We anticipate the Bill receiving Royal assent in March or April 2017.</w:t>
      </w:r>
    </w:p>
    <w:p w14:paraId="211A30B2" w14:textId="77777777" w:rsidR="002D2ACB" w:rsidRPr="007E3311" w:rsidRDefault="002D2ACB" w:rsidP="002D2ACB">
      <w:pPr>
        <w:pStyle w:val="Heading2"/>
      </w:pPr>
      <w:bookmarkStart w:id="6" w:name="_Toc472692007"/>
      <w:bookmarkStart w:id="7" w:name="_Toc476839848"/>
      <w:r w:rsidRPr="007E3311">
        <w:t xml:space="preserve">Purpose of </w:t>
      </w:r>
      <w:r>
        <w:t xml:space="preserve">this </w:t>
      </w:r>
      <w:r w:rsidRPr="007E3311">
        <w:t>discussion document</w:t>
      </w:r>
      <w:bookmarkEnd w:id="6"/>
      <w:bookmarkEnd w:id="7"/>
    </w:p>
    <w:p w14:paraId="04CAEB45" w14:textId="77777777" w:rsidR="002D2ACB" w:rsidRDefault="002D2ACB" w:rsidP="002D2ACB">
      <w:r>
        <w:t>This discussion document seeks views on two sets of regulations relating to the fire levy:</w:t>
      </w:r>
    </w:p>
    <w:p w14:paraId="77B057EE" w14:textId="77777777" w:rsidR="002D2ACB" w:rsidRDefault="002D2ACB" w:rsidP="002D2ACB">
      <w:pPr>
        <w:pStyle w:val="Bullet"/>
      </w:pPr>
      <w:r>
        <w:t xml:space="preserve">Transitional levy </w:t>
      </w:r>
      <w:r w:rsidRPr="00CF11AC">
        <w:t>relief</w:t>
      </w:r>
    </w:p>
    <w:p w14:paraId="432A498F" w14:textId="77777777" w:rsidR="002D2ACB" w:rsidRDefault="002D2ACB" w:rsidP="002D2ACB">
      <w:pPr>
        <w:pStyle w:val="Bullet"/>
      </w:pPr>
      <w:r>
        <w:t>Calculation of levy on insurance contracts covering different types of property.</w:t>
      </w:r>
    </w:p>
    <w:p w14:paraId="4854D5C8" w14:textId="79900A1C" w:rsidR="002D2ACB" w:rsidRDefault="002D2ACB" w:rsidP="002D2ACB">
      <w:r>
        <w:t xml:space="preserve">The final shape of the two policies consulted on in this document, together with the levy exemptions policy (which we consulted on in July and August 2016), will </w:t>
      </w:r>
      <w:r w:rsidR="00700A56">
        <w:t>affect</w:t>
      </w:r>
      <w:r w:rsidR="00531214">
        <w:t xml:space="preserve"> </w:t>
      </w:r>
      <w:r w:rsidR="00700A56">
        <w:t xml:space="preserve">future </w:t>
      </w:r>
      <w:r>
        <w:t>levy rates.</w:t>
      </w:r>
      <w:r w:rsidR="00531214">
        <w:t xml:space="preserve"> Broadly speaking, if more transitional relief is granted, rates will increase for policyholders who are not granted relief.</w:t>
      </w:r>
    </w:p>
    <w:p w14:paraId="799A2388" w14:textId="310D86B1" w:rsidR="002D2ACB" w:rsidRDefault="002D2ACB" w:rsidP="002D2ACB">
      <w:r>
        <w:lastRenderedPageBreak/>
        <w:t>So, while the levy changes will not come into force until 1 July 2018</w:t>
      </w:r>
      <w:r w:rsidR="00700A56">
        <w:t xml:space="preserve"> or later</w:t>
      </w:r>
      <w:r>
        <w:t xml:space="preserve">, it is essential to set the policy on these regulations as soon as possible. Having these policy decisions will facilitate the accurate setting of </w:t>
      </w:r>
      <w:r w:rsidR="00700A56">
        <w:t>future</w:t>
      </w:r>
      <w:r>
        <w:t xml:space="preserve"> levy rates, including public consultation, and </w:t>
      </w:r>
      <w:r w:rsidR="003165C6">
        <w:t>will</w:t>
      </w:r>
      <w:r>
        <w:t xml:space="preserve"> allow the insurance sector and policyholders sufficient time to implement these changes in time for </w:t>
      </w:r>
      <w:r w:rsidR="00700A56">
        <w:t>the commencement of the new levy regime</w:t>
      </w:r>
      <w:r>
        <w:t>.</w:t>
      </w:r>
    </w:p>
    <w:p w14:paraId="29521C5B" w14:textId="241A6365" w:rsidR="002D2ACB" w:rsidRDefault="002D2ACB" w:rsidP="002D2ACB">
      <w:r>
        <w:t xml:space="preserve">We anticipate </w:t>
      </w:r>
      <w:r w:rsidR="00D324F3">
        <w:t xml:space="preserve">that </w:t>
      </w:r>
      <w:r w:rsidR="008B285B">
        <w:t>Fire and Emergency NZ</w:t>
      </w:r>
      <w:r w:rsidR="00D324F3">
        <w:t xml:space="preserve"> will </w:t>
      </w:r>
      <w:r>
        <w:t>public</w:t>
      </w:r>
      <w:r w:rsidR="00D324F3">
        <w:t>ly consult</w:t>
      </w:r>
      <w:r>
        <w:t xml:space="preserve"> on </w:t>
      </w:r>
      <w:r w:rsidR="003A13A8">
        <w:t>new</w:t>
      </w:r>
      <w:r>
        <w:t xml:space="preserve"> levy rates </w:t>
      </w:r>
      <w:r w:rsidR="003A13A8">
        <w:t xml:space="preserve">(that will apply from the commencement of the new levy regime) </w:t>
      </w:r>
      <w:r>
        <w:t xml:space="preserve">in </w:t>
      </w:r>
      <w:r w:rsidR="00700A56">
        <w:t>mid</w:t>
      </w:r>
      <w:r>
        <w:t xml:space="preserve"> or </w:t>
      </w:r>
      <w:r w:rsidR="00700A56">
        <w:t>late 2017.</w:t>
      </w:r>
    </w:p>
    <w:p w14:paraId="3354AB5F" w14:textId="77777777" w:rsidR="00C467A7" w:rsidRPr="002F111B" w:rsidRDefault="00353DA1" w:rsidP="00C467A7">
      <w:pPr>
        <w:pStyle w:val="Heading2"/>
      </w:pPr>
      <w:bookmarkStart w:id="8" w:name="_Toc472684561"/>
      <w:bookmarkStart w:id="9" w:name="_Toc472692008"/>
      <w:bookmarkStart w:id="10" w:name="_Toc476839849"/>
      <w:r>
        <w:t xml:space="preserve">Changes to the </w:t>
      </w:r>
      <w:r w:rsidR="00C467A7" w:rsidRPr="002F111B">
        <w:t>levy regime</w:t>
      </w:r>
      <w:bookmarkEnd w:id="8"/>
      <w:bookmarkEnd w:id="9"/>
      <w:bookmarkEnd w:id="10"/>
      <w:r w:rsidR="00C467A7" w:rsidRPr="002F111B">
        <w:t xml:space="preserve"> </w:t>
      </w:r>
    </w:p>
    <w:p w14:paraId="412812FD" w14:textId="77777777" w:rsidR="005E4A03" w:rsidRDefault="00F33B9E" w:rsidP="00F33B9E">
      <w:pPr>
        <w:pStyle w:val="Heading3"/>
      </w:pPr>
      <w:r>
        <w:t>Timing of introduction of changes</w:t>
      </w:r>
    </w:p>
    <w:p w14:paraId="3354AB61" w14:textId="5A739C90" w:rsidR="00433EC0" w:rsidRDefault="00433EC0" w:rsidP="00C467A7">
      <w:r>
        <w:t xml:space="preserve">Like the NZFS before it, </w:t>
      </w:r>
      <w:r w:rsidR="008B285B">
        <w:t>Fire and Emergency NZ</w:t>
      </w:r>
      <w:r>
        <w:t xml:space="preserve"> will be funded through a levy </w:t>
      </w:r>
      <w:r w:rsidR="00285A3E">
        <w:t xml:space="preserve">charged </w:t>
      </w:r>
      <w:r>
        <w:t>on insurance</w:t>
      </w:r>
      <w:r w:rsidR="00285A3E">
        <w:t>.</w:t>
      </w:r>
      <w:r>
        <w:t xml:space="preserve"> </w:t>
      </w:r>
      <w:r w:rsidR="00FA2C9F">
        <w:t>However, t</w:t>
      </w:r>
      <w:r w:rsidR="00112237">
        <w:t xml:space="preserve">he </w:t>
      </w:r>
      <w:r w:rsidR="004F5A1B">
        <w:t xml:space="preserve">Bill </w:t>
      </w:r>
      <w:r w:rsidR="00112237">
        <w:t xml:space="preserve">will introduce a number of significant changes to the </w:t>
      </w:r>
      <w:r w:rsidR="00285A3E">
        <w:t xml:space="preserve">existing </w:t>
      </w:r>
      <w:r w:rsidR="00112237">
        <w:t>levy regime</w:t>
      </w:r>
      <w:r w:rsidR="00285A3E">
        <w:t xml:space="preserve"> (as set out in the Fire Service Act 1975)</w:t>
      </w:r>
      <w:r w:rsidR="00531214">
        <w:t>. These are described below.</w:t>
      </w:r>
    </w:p>
    <w:p w14:paraId="30C25F97" w14:textId="204A211F" w:rsidR="005E4A03" w:rsidRDefault="008B285B" w:rsidP="00F33B9E">
      <w:r>
        <w:t>W</w:t>
      </w:r>
      <w:r w:rsidR="00433EC0">
        <w:t xml:space="preserve">hile </w:t>
      </w:r>
      <w:r>
        <w:t xml:space="preserve"> Fire and Emergency NZ</w:t>
      </w:r>
      <w:r w:rsidR="00433EC0">
        <w:t xml:space="preserve"> will exist from 1 July 2017, </w:t>
      </w:r>
      <w:r w:rsidR="008B0E05">
        <w:t xml:space="preserve">the </w:t>
      </w:r>
      <w:r w:rsidR="00433EC0">
        <w:t xml:space="preserve">changes to the levy regime </w:t>
      </w:r>
      <w:r w:rsidR="008B0E05">
        <w:t xml:space="preserve">will come into force </w:t>
      </w:r>
      <w:r w:rsidR="006439DA">
        <w:t>no earlier than</w:t>
      </w:r>
      <w:r w:rsidR="008B0E05">
        <w:t xml:space="preserve"> 1 July 2018</w:t>
      </w:r>
      <w:r w:rsidR="005E136C">
        <w:t xml:space="preserve"> </w:t>
      </w:r>
      <w:r w:rsidR="005E4A03">
        <w:t>and no later than 1 July 2019.</w:t>
      </w:r>
      <w:r>
        <w:t xml:space="preserve"> </w:t>
      </w:r>
      <w:r w:rsidR="00F33B9E">
        <w:t xml:space="preserve">The </w:t>
      </w:r>
      <w:r w:rsidR="005E136C">
        <w:t>period after 1 July 2017</w:t>
      </w:r>
      <w:r w:rsidR="00F33B9E">
        <w:t xml:space="preserve"> </w:t>
      </w:r>
      <w:r w:rsidR="005E4A03">
        <w:t xml:space="preserve">and before the levy changes commence </w:t>
      </w:r>
      <w:r w:rsidR="00205367">
        <w:t xml:space="preserve">will be </w:t>
      </w:r>
      <w:r w:rsidR="006439DA">
        <w:t xml:space="preserve">a </w:t>
      </w:r>
      <w:r w:rsidR="00F33B9E">
        <w:t xml:space="preserve">transitional </w:t>
      </w:r>
      <w:r w:rsidR="006439DA">
        <w:t xml:space="preserve">period </w:t>
      </w:r>
      <w:r w:rsidR="005E136C">
        <w:t xml:space="preserve">in terms of the reform </w:t>
      </w:r>
      <w:r w:rsidR="00F33B9E">
        <w:t>of the fire levy regime.</w:t>
      </w:r>
    </w:p>
    <w:p w14:paraId="40F7A526" w14:textId="72C17704" w:rsidR="006439DA" w:rsidRDefault="005E4A03" w:rsidP="008B285B">
      <w:r>
        <w:t xml:space="preserve">In this transitional period, </w:t>
      </w:r>
      <w:r w:rsidR="008B285B">
        <w:t>i</w:t>
      </w:r>
      <w:r w:rsidR="00F33B9E">
        <w:t xml:space="preserve">ncreased levy revenue </w:t>
      </w:r>
      <w:r w:rsidR="00205367">
        <w:t xml:space="preserve">will be </w:t>
      </w:r>
      <w:r w:rsidR="00F33B9E">
        <w:t xml:space="preserve">required to </w:t>
      </w:r>
      <w:r w:rsidR="00975F00">
        <w:t>fund</w:t>
      </w:r>
      <w:r w:rsidR="00F33B9E">
        <w:t xml:space="preserve"> </w:t>
      </w:r>
      <w:r w:rsidR="00205367">
        <w:t xml:space="preserve">the additional costs faced by </w:t>
      </w:r>
      <w:r w:rsidR="008B285B">
        <w:t>Fire and Emergency NZ</w:t>
      </w:r>
      <w:r w:rsidR="00205367">
        <w:t xml:space="preserve"> </w:t>
      </w:r>
      <w:r w:rsidR="006439DA">
        <w:t xml:space="preserve">as compared to NZFS. These additional costs include </w:t>
      </w:r>
      <w:r w:rsidR="00F33B9E">
        <w:t xml:space="preserve">rural fire costs previously funded from </w:t>
      </w:r>
      <w:r w:rsidR="00205367">
        <w:t>non-levy sources,</w:t>
      </w:r>
      <w:r w:rsidR="00F33B9E">
        <w:t xml:space="preserve"> new operating costs</w:t>
      </w:r>
      <w:r w:rsidR="00205367">
        <w:t xml:space="preserve"> such as increase</w:t>
      </w:r>
      <w:r w:rsidR="005E182C">
        <w:t>d</w:t>
      </w:r>
      <w:r w:rsidR="00205367">
        <w:t xml:space="preserve"> support for volunteers</w:t>
      </w:r>
      <w:r w:rsidR="00F33B9E">
        <w:t xml:space="preserve">, </w:t>
      </w:r>
      <w:r w:rsidR="006439DA">
        <w:t xml:space="preserve">transition costs, </w:t>
      </w:r>
      <w:r w:rsidR="00F33B9E">
        <w:t xml:space="preserve">and repayment of the </w:t>
      </w:r>
      <w:r w:rsidR="002667CA">
        <w:t xml:space="preserve">government </w:t>
      </w:r>
      <w:r w:rsidR="006439DA">
        <w:t>c</w:t>
      </w:r>
      <w:r w:rsidR="00F33B9E">
        <w:t>apital injection</w:t>
      </w:r>
      <w:r w:rsidR="002667CA">
        <w:t>.</w:t>
      </w:r>
    </w:p>
    <w:p w14:paraId="3354AB64" w14:textId="6F3CAFA3" w:rsidR="008B0E05" w:rsidRDefault="008B285B" w:rsidP="008B285B">
      <w:r>
        <w:t>R</w:t>
      </w:r>
      <w:r w:rsidR="002667CA">
        <w:t xml:space="preserve">evenue to meet these new additional costs will be </w:t>
      </w:r>
      <w:r>
        <w:t xml:space="preserve">raised by a levy on </w:t>
      </w:r>
      <w:r w:rsidR="002667CA">
        <w:t xml:space="preserve">the </w:t>
      </w:r>
      <w:r w:rsidR="00F33B9E">
        <w:t xml:space="preserve">same </w:t>
      </w:r>
      <w:r w:rsidR="002667CA">
        <w:t xml:space="preserve">asset </w:t>
      </w:r>
      <w:r w:rsidR="00F33B9E">
        <w:t xml:space="preserve">base </w:t>
      </w:r>
      <w:r w:rsidR="002667CA">
        <w:t xml:space="preserve">as under the old </w:t>
      </w:r>
      <w:r w:rsidR="006439DA">
        <w:t xml:space="preserve">levy </w:t>
      </w:r>
      <w:r w:rsidR="002667CA">
        <w:t>regime (that is, assets insured against fire damage).</w:t>
      </w:r>
      <w:r w:rsidR="0023436B">
        <w:rPr>
          <w:rStyle w:val="FootnoteReference"/>
        </w:rPr>
        <w:footnoteReference w:id="2"/>
      </w:r>
      <w:r w:rsidR="002667CA">
        <w:t xml:space="preserve"> </w:t>
      </w:r>
      <w:r>
        <w:t>Consequently, levy rates are expected to increase in the transitional period. Levy r</w:t>
      </w:r>
      <w:r w:rsidR="002667CA">
        <w:t>ates will be reviewed when the levy base broadens.</w:t>
      </w:r>
    </w:p>
    <w:p w14:paraId="4849B2EB" w14:textId="58ED3ED7" w:rsidR="00D17D21" w:rsidRDefault="00D17D21" w:rsidP="00F33B9E">
      <w:r>
        <w:t xml:space="preserve">The sequence of changes to funding and levy arrangements for </w:t>
      </w:r>
      <w:r w:rsidR="008B285B">
        <w:t>Fire and Emergency NZ</w:t>
      </w:r>
      <w:r>
        <w:t xml:space="preserve"> is shown graphically at Appendix </w:t>
      </w:r>
      <w:r w:rsidR="00067A58">
        <w:t>A</w:t>
      </w:r>
      <w:r>
        <w:t>.</w:t>
      </w:r>
    </w:p>
    <w:p w14:paraId="47692C90" w14:textId="77777777" w:rsidR="003165C6" w:rsidRDefault="003165C6">
      <w:pPr>
        <w:keepLines w:val="0"/>
        <w:spacing w:before="120"/>
        <w:rPr>
          <w:rFonts w:cs="Arial"/>
          <w:b/>
          <w:bCs/>
          <w:color w:val="1F546B"/>
          <w:sz w:val="28"/>
          <w:szCs w:val="26"/>
        </w:rPr>
      </w:pPr>
      <w:r>
        <w:br w:type="page"/>
      </w:r>
    </w:p>
    <w:p w14:paraId="3354AB65" w14:textId="6EF4FBB4" w:rsidR="00F33B9E" w:rsidRDefault="00F33B9E" w:rsidP="00F33B9E">
      <w:pPr>
        <w:pStyle w:val="Heading3"/>
      </w:pPr>
      <w:r>
        <w:lastRenderedPageBreak/>
        <w:t xml:space="preserve">Changes </w:t>
      </w:r>
      <w:r w:rsidR="0023436B">
        <w:t xml:space="preserve">to levy </w:t>
      </w:r>
      <w:r w:rsidR="006439DA">
        <w:t>under the Fire and Emergency legislation</w:t>
      </w:r>
    </w:p>
    <w:p w14:paraId="3354AB66" w14:textId="661B6D6C" w:rsidR="002667CA" w:rsidRDefault="006439DA" w:rsidP="002667CA">
      <w:r>
        <w:t xml:space="preserve">The </w:t>
      </w:r>
      <w:r w:rsidR="008B285B">
        <w:t>Fire and Emergency NZ</w:t>
      </w:r>
      <w:r w:rsidR="00C467A7">
        <w:t xml:space="preserve"> legislation </w:t>
      </w:r>
      <w:r>
        <w:t>will introduce</w:t>
      </w:r>
      <w:r w:rsidR="00C467A7">
        <w:t xml:space="preserve"> a number of changes to the levy regime</w:t>
      </w:r>
      <w:r>
        <w:t xml:space="preserve">. These changes will </w:t>
      </w:r>
      <w:r w:rsidRPr="006439DA">
        <w:t xml:space="preserve">come into force </w:t>
      </w:r>
      <w:r>
        <w:t xml:space="preserve">no earlier than </w:t>
      </w:r>
      <w:r w:rsidRPr="006439DA">
        <w:t xml:space="preserve">1 July 2018 and no later than 1 July 2019. </w:t>
      </w:r>
      <w:r>
        <w:t>T</w:t>
      </w:r>
      <w:r w:rsidR="002667CA">
        <w:t xml:space="preserve">he most significant </w:t>
      </w:r>
      <w:r>
        <w:t xml:space="preserve">changes </w:t>
      </w:r>
      <w:r w:rsidR="002667CA">
        <w:t>are</w:t>
      </w:r>
      <w:r w:rsidR="00C467A7">
        <w:t>:</w:t>
      </w:r>
    </w:p>
    <w:p w14:paraId="3354AB67" w14:textId="77777777" w:rsidR="008B0E05" w:rsidRPr="00CF11AC" w:rsidRDefault="009C27D3" w:rsidP="00CF11AC">
      <w:pPr>
        <w:pStyle w:val="Bullet"/>
      </w:pPr>
      <w:r w:rsidRPr="00CF11AC">
        <w:t>T</w:t>
      </w:r>
      <w:r w:rsidR="008B0E05" w:rsidRPr="00CF11AC">
        <w:t xml:space="preserve">he levy base </w:t>
      </w:r>
      <w:r w:rsidRPr="00CF11AC">
        <w:t xml:space="preserve">will be broadened </w:t>
      </w:r>
      <w:r w:rsidR="008B0E05" w:rsidRPr="00CF11AC">
        <w:t>from contracts of fire insurance</w:t>
      </w:r>
      <w:r w:rsidRPr="00CF11AC">
        <w:t>,</w:t>
      </w:r>
      <w:r w:rsidR="008B0E05" w:rsidRPr="00CF11AC">
        <w:t xml:space="preserve"> to contracts insuring property against physical loss or damage.</w:t>
      </w:r>
    </w:p>
    <w:p w14:paraId="3354AB68" w14:textId="147FFEF5" w:rsidR="00C467A7" w:rsidRPr="00CF11AC" w:rsidRDefault="009C27D3" w:rsidP="00CF11AC">
      <w:pPr>
        <w:pStyle w:val="Bullet"/>
      </w:pPr>
      <w:r w:rsidRPr="00CF11AC">
        <w:t>L</w:t>
      </w:r>
      <w:r w:rsidR="008B0E05" w:rsidRPr="00CF11AC">
        <w:t xml:space="preserve">evy </w:t>
      </w:r>
      <w:r w:rsidRPr="00CF11AC">
        <w:t xml:space="preserve">will be calculated </w:t>
      </w:r>
      <w:r w:rsidR="008B0E05" w:rsidRPr="00CF11AC">
        <w:t xml:space="preserve">on the ‘amount insured’ in an insurance contract, rather than </w:t>
      </w:r>
      <w:r w:rsidR="004F5A1B">
        <w:t>the</w:t>
      </w:r>
      <w:r w:rsidR="008B0E05" w:rsidRPr="00CF11AC">
        <w:t xml:space="preserve"> indemnity value of the property.</w:t>
      </w:r>
    </w:p>
    <w:p w14:paraId="3354AB6A" w14:textId="77777777" w:rsidR="008B0E05" w:rsidRPr="00CF11AC" w:rsidRDefault="009C27D3" w:rsidP="00CF11AC">
      <w:pPr>
        <w:pStyle w:val="Bullet"/>
      </w:pPr>
      <w:r w:rsidRPr="00CF11AC">
        <w:t>The legislation will provide f</w:t>
      </w:r>
      <w:r w:rsidR="008B0E05" w:rsidRPr="00CF11AC">
        <w:t>lexibility to set different levy rates and levy caps for residential and non-residential property; and to create or remove levy exemptions through regulation.</w:t>
      </w:r>
    </w:p>
    <w:p w14:paraId="3354AB6B" w14:textId="4CBA27CA" w:rsidR="00ED74F1" w:rsidRDefault="008B285B" w:rsidP="00CF11AC">
      <w:pPr>
        <w:pStyle w:val="Bullet"/>
      </w:pPr>
      <w:r>
        <w:t>Fire and Emergency NZ</w:t>
      </w:r>
      <w:r w:rsidR="00AF7589" w:rsidRPr="00CF11AC">
        <w:t>’s activities, costs, and l</w:t>
      </w:r>
      <w:r w:rsidR="00ED74F1" w:rsidRPr="00CF11AC">
        <w:t xml:space="preserve">evy rates will be reviewed at least every three years, following </w:t>
      </w:r>
      <w:r w:rsidR="00AF7589" w:rsidRPr="00CF11AC">
        <w:t xml:space="preserve">public </w:t>
      </w:r>
      <w:r w:rsidR="00ED74F1" w:rsidRPr="00CF11AC">
        <w:t>consultation.</w:t>
      </w:r>
    </w:p>
    <w:p w14:paraId="511FCA81" w14:textId="68F68E43" w:rsidR="0023436B" w:rsidRDefault="0023436B" w:rsidP="0023436B">
      <w:pPr>
        <w:pStyle w:val="Bullet"/>
      </w:pPr>
      <w:r w:rsidRPr="00CF11AC">
        <w:t>An anti-avoidance regime for the levy will be introduced, including procedures for settling disputes over levy and a regime of shortfall penalties.</w:t>
      </w:r>
    </w:p>
    <w:p w14:paraId="2FD712BC" w14:textId="241417FD" w:rsidR="0023436B" w:rsidRPr="00CF11AC" w:rsidRDefault="0023436B" w:rsidP="0023436B">
      <w:pPr>
        <w:pStyle w:val="Bullet"/>
        <w:numPr>
          <w:ilvl w:val="0"/>
          <w:numId w:val="0"/>
        </w:numPr>
      </w:pPr>
      <w:r>
        <w:t xml:space="preserve">As described below, the </w:t>
      </w:r>
      <w:r w:rsidR="008B285B">
        <w:t>Fire and Emergency NZ</w:t>
      </w:r>
      <w:r>
        <w:t xml:space="preserve"> Bill also sets out the underlying principles of the levy regime.</w:t>
      </w:r>
    </w:p>
    <w:p w14:paraId="3354AB6C" w14:textId="77777777" w:rsidR="005D2E1E" w:rsidRDefault="005D2E1E" w:rsidP="005D2E1E">
      <w:pPr>
        <w:pStyle w:val="Heading3"/>
      </w:pPr>
      <w:r>
        <w:t>Rationale for changes</w:t>
      </w:r>
    </w:p>
    <w:p w14:paraId="3354AB6D" w14:textId="359BEFEF" w:rsidR="00402B96" w:rsidRDefault="00C467A7" w:rsidP="00402B96">
      <w:r>
        <w:t xml:space="preserve">The </w:t>
      </w:r>
      <w:r w:rsidR="00402B96">
        <w:t xml:space="preserve">broadening of the levy base from fire to physical damage reflects </w:t>
      </w:r>
      <w:r w:rsidR="008B285B">
        <w:t>Fire and Emergency NZ</w:t>
      </w:r>
      <w:r w:rsidR="00402B96">
        <w:t xml:space="preserve">’s </w:t>
      </w:r>
      <w:r>
        <w:t xml:space="preserve">broader </w:t>
      </w:r>
      <w:r w:rsidR="00402B96">
        <w:t xml:space="preserve">statutory mandate </w:t>
      </w:r>
      <w:r w:rsidR="00F20348">
        <w:t xml:space="preserve">(as compared with that of the NZFS) </w:t>
      </w:r>
      <w:r w:rsidR="00402B96">
        <w:t>and the broader range of services delivered</w:t>
      </w:r>
      <w:r>
        <w:t xml:space="preserve">. </w:t>
      </w:r>
      <w:r w:rsidR="00402B96" w:rsidRPr="00402B96">
        <w:t>In the 2014/15 year</w:t>
      </w:r>
      <w:r w:rsidR="00554C1A">
        <w:t xml:space="preserve">, for example, </w:t>
      </w:r>
      <w:r w:rsidR="00402B96" w:rsidRPr="00402B96">
        <w:t>38 per</w:t>
      </w:r>
      <w:r w:rsidR="00F20348">
        <w:t xml:space="preserve"> </w:t>
      </w:r>
      <w:r w:rsidR="00402B96" w:rsidRPr="00402B96">
        <w:t xml:space="preserve">cent of </w:t>
      </w:r>
      <w:r w:rsidR="00554C1A">
        <w:t xml:space="preserve">NZFS responses were to </w:t>
      </w:r>
      <w:r w:rsidR="00402B96" w:rsidRPr="00402B96">
        <w:t xml:space="preserve">non-fire </w:t>
      </w:r>
      <w:r w:rsidR="00554C1A">
        <w:t>incidents</w:t>
      </w:r>
      <w:r w:rsidR="00402B96" w:rsidRPr="00402B96">
        <w:t xml:space="preserve">. </w:t>
      </w:r>
      <w:r w:rsidR="00402B96">
        <w:t>E</w:t>
      </w:r>
      <w:r w:rsidR="00402B96" w:rsidRPr="00402B96">
        <w:t>veryone benefits from the fire services</w:t>
      </w:r>
      <w:r w:rsidR="00402B96">
        <w:t>’</w:t>
      </w:r>
      <w:r w:rsidR="00402B96" w:rsidRPr="00402B96">
        <w:t xml:space="preserve"> response to earthquakes, floods and storms, and hazardous substances emergencies</w:t>
      </w:r>
      <w:r w:rsidR="00402B96">
        <w:t>,</w:t>
      </w:r>
      <w:r w:rsidR="00402B96" w:rsidRPr="00402B96">
        <w:t xml:space="preserve"> but </w:t>
      </w:r>
      <w:r w:rsidR="00402B96">
        <w:t xml:space="preserve">currently </w:t>
      </w:r>
      <w:r w:rsidR="00402B96" w:rsidRPr="00402B96">
        <w:t>only those</w:t>
      </w:r>
      <w:r w:rsidR="00402B96">
        <w:t xml:space="preserve"> with fire insurance pay for </w:t>
      </w:r>
      <w:r w:rsidR="006A7C04">
        <w:t>this activity</w:t>
      </w:r>
      <w:r w:rsidR="00402B96">
        <w:t>.</w:t>
      </w:r>
    </w:p>
    <w:p w14:paraId="3354AB6E" w14:textId="27066151" w:rsidR="00402B96" w:rsidRDefault="0054056A" w:rsidP="00402B96">
      <w:r w:rsidRPr="002C04B1">
        <w:t xml:space="preserve">The </w:t>
      </w:r>
      <w:r w:rsidR="002C04B1">
        <w:t xml:space="preserve">shift </w:t>
      </w:r>
      <w:r w:rsidRPr="002C04B1">
        <w:t xml:space="preserve">away from </w:t>
      </w:r>
      <w:r w:rsidR="002C04B1">
        <w:t xml:space="preserve">applying levy to </w:t>
      </w:r>
      <w:r w:rsidRPr="002C04B1">
        <w:t xml:space="preserve">indemnity value will </w:t>
      </w:r>
      <w:r w:rsidR="002C04B1">
        <w:t xml:space="preserve">improve the </w:t>
      </w:r>
      <w:r w:rsidR="002C04B1" w:rsidRPr="002C04B1">
        <w:t xml:space="preserve">clarity </w:t>
      </w:r>
      <w:r w:rsidR="006A7C04">
        <w:t>of</w:t>
      </w:r>
      <w:r w:rsidR="006A7C04" w:rsidRPr="002C04B1">
        <w:t xml:space="preserve"> </w:t>
      </w:r>
      <w:r w:rsidR="002C04B1" w:rsidRPr="002C04B1">
        <w:t xml:space="preserve">the calculation. </w:t>
      </w:r>
      <w:r w:rsidR="006A7C04">
        <w:t>It is difficult to calculate the levy from i</w:t>
      </w:r>
      <w:r w:rsidRPr="002C04B1">
        <w:t xml:space="preserve">ndemnity value because it refers to the amount paid for assets </w:t>
      </w:r>
      <w:r w:rsidR="002C04B1" w:rsidRPr="002C04B1">
        <w:t>when a claim is made. Amount insured means the maximum limit on the amount the insurer will pay out if insured property is damage</w:t>
      </w:r>
      <w:r w:rsidR="003165C6">
        <w:t>d</w:t>
      </w:r>
      <w:r w:rsidR="002C04B1" w:rsidRPr="002C04B1">
        <w:t>.</w:t>
      </w:r>
    </w:p>
    <w:p w14:paraId="3354AB70" w14:textId="469DF740" w:rsidR="00C06CFE" w:rsidRDefault="00C06CFE" w:rsidP="00C06CFE">
      <w:r>
        <w:t xml:space="preserve">Providing </w:t>
      </w:r>
      <w:r w:rsidR="00BC6D7D">
        <w:t xml:space="preserve">the ability to set </w:t>
      </w:r>
      <w:r>
        <w:t xml:space="preserve">different rates of levy for residential and non-residential property will help minimise cross-subsidisation across these sectors. The power to set a cap </w:t>
      </w:r>
      <w:r w:rsidR="003165C6">
        <w:t xml:space="preserve">by regulation </w:t>
      </w:r>
      <w:r>
        <w:t>on the amount levied from residential property insurance holders will allow the cap to be reviewed from time to time as house values change.</w:t>
      </w:r>
    </w:p>
    <w:p w14:paraId="3354AB71" w14:textId="126C1BD3" w:rsidR="00ED74F1" w:rsidRDefault="00AB01E3" w:rsidP="00AB01E3">
      <w:r>
        <w:t>Removing the levy exemptions from the Fire Service Act, and introducing a new regulation</w:t>
      </w:r>
      <w:r w:rsidR="004B59DB">
        <w:t>-</w:t>
      </w:r>
      <w:r>
        <w:t xml:space="preserve">making power to allow exemptions according to explicit criteria, </w:t>
      </w:r>
      <w:r w:rsidR="009A0923">
        <w:t xml:space="preserve">will improve the </w:t>
      </w:r>
      <w:r>
        <w:t>transparency and flexibility</w:t>
      </w:r>
      <w:r w:rsidR="009A0923">
        <w:t xml:space="preserve"> of exemptions policy. </w:t>
      </w:r>
      <w:r w:rsidR="00ED74F1">
        <w:t xml:space="preserve">The </w:t>
      </w:r>
      <w:r w:rsidR="003165C6">
        <w:t>Bill</w:t>
      </w:r>
      <w:r w:rsidR="00ED74F1">
        <w:t xml:space="preserve"> requires the Minister to have regard to the purpose of the levy regime (described in the next section) and the likely effect of an exemption of the cost-effectiveness and efficiency of the administration of the levy (clause 104(4)).</w:t>
      </w:r>
    </w:p>
    <w:p w14:paraId="3354AB72" w14:textId="7A46521A" w:rsidR="00ED74F1" w:rsidRDefault="00ED74F1" w:rsidP="00AB01E3">
      <w:r>
        <w:lastRenderedPageBreak/>
        <w:t xml:space="preserve">Given </w:t>
      </w:r>
      <w:r w:rsidR="008B285B">
        <w:t>Fire and Emergency NZ</w:t>
      </w:r>
      <w:r w:rsidRPr="00ED74F1">
        <w:t>’s broader statutory mandate and the broader range of services delivered</w:t>
      </w:r>
      <w:r>
        <w:t xml:space="preserve">, it is likely that most existing exemptions under the Fire Service Act will be removed. This is because a broader range of property types will potentially benefit from </w:t>
      </w:r>
      <w:r w:rsidR="008B285B">
        <w:t>Fire and Emergency NZ</w:t>
      </w:r>
      <w:r>
        <w:t>’s mandated fire and emergency functions, than was the case when the Fire Service Act exemptions were established.</w:t>
      </w:r>
      <w:r w:rsidR="00AF7589">
        <w:t xml:space="preserve"> Exemptions will be reviewed alongside </w:t>
      </w:r>
      <w:r w:rsidR="008B285B">
        <w:t>Fire and Emergency NZ</w:t>
      </w:r>
      <w:r w:rsidR="00AF7589">
        <w:t xml:space="preserve"> activities and levy rates, at least every three years.</w:t>
      </w:r>
    </w:p>
    <w:p w14:paraId="59D4F046" w14:textId="06B6DB84" w:rsidR="002D2ACB" w:rsidRDefault="002D2ACB" w:rsidP="00AB01E3">
      <w:r>
        <w:t>The anti-avoidance provisions set out a regime of shortfall penalties (and reductions for past behaviour) and a process for settling disputes over levy, to ensure the correct amount of levy is paid.</w:t>
      </w:r>
    </w:p>
    <w:p w14:paraId="3354AB74" w14:textId="77777777" w:rsidR="00F33B9E" w:rsidRDefault="00F33B9E" w:rsidP="00F33B9E">
      <w:pPr>
        <w:pStyle w:val="Heading3"/>
      </w:pPr>
      <w:r>
        <w:t>Principles of new levy regime</w:t>
      </w:r>
    </w:p>
    <w:p w14:paraId="3354AB75" w14:textId="58741F41" w:rsidR="00C467A7" w:rsidRDefault="00C467A7" w:rsidP="00C467A7">
      <w:r>
        <w:t xml:space="preserve">The principles underlying the levy regime are set out in the </w:t>
      </w:r>
      <w:r w:rsidR="008B285B">
        <w:t>Fire and Emergency NZ</w:t>
      </w:r>
      <w:r>
        <w:t xml:space="preserve"> Bill. Clause 69 states that the purpose of Part 3 of the Bill is to provide for a levy that is:</w:t>
      </w:r>
    </w:p>
    <w:p w14:paraId="3354AB76" w14:textId="2733509C" w:rsidR="00C467A7" w:rsidRPr="00CF11AC" w:rsidRDefault="00C467A7" w:rsidP="00CF11AC">
      <w:pPr>
        <w:pStyle w:val="Bullet"/>
      </w:pPr>
      <w:r w:rsidRPr="00CF11AC">
        <w:t xml:space="preserve">A stable source of funding to support </w:t>
      </w:r>
      <w:r w:rsidR="008B285B">
        <w:t>Fire and Emergency NZ</w:t>
      </w:r>
      <w:r w:rsidRPr="00CF11AC">
        <w:t xml:space="preserve"> in the performance of functions and duties and </w:t>
      </w:r>
      <w:r w:rsidR="003165C6">
        <w:t xml:space="preserve">in the </w:t>
      </w:r>
      <w:r w:rsidRPr="00CF11AC">
        <w:t xml:space="preserve">exercise of powers under the </w:t>
      </w:r>
      <w:r w:rsidR="008B285B">
        <w:t>Fire and Emergency NZ</w:t>
      </w:r>
      <w:r w:rsidRPr="00CF11AC">
        <w:t xml:space="preserve"> legislation.</w:t>
      </w:r>
    </w:p>
    <w:p w14:paraId="3354AB77" w14:textId="181A1207" w:rsidR="00C467A7" w:rsidRPr="00CF11AC" w:rsidRDefault="00C467A7" w:rsidP="00CF11AC">
      <w:pPr>
        <w:pStyle w:val="Bullet"/>
      </w:pPr>
      <w:r w:rsidRPr="00CF11AC">
        <w:t xml:space="preserve">Universal, so that </w:t>
      </w:r>
      <w:r w:rsidR="008B285B">
        <w:t>Fire and Emergency NZ</w:t>
      </w:r>
      <w:r w:rsidRPr="00CF11AC">
        <w:t xml:space="preserve">’s costs are generally shared among all who benefit from the potential to use </w:t>
      </w:r>
      <w:r w:rsidR="008B285B">
        <w:t>Fire and Emergency NZ</w:t>
      </w:r>
      <w:r w:rsidRPr="00CF11AC">
        <w:t>’s services.</w:t>
      </w:r>
    </w:p>
    <w:p w14:paraId="3354AB78" w14:textId="13EC8C61" w:rsidR="00C467A7" w:rsidRPr="00CF11AC" w:rsidRDefault="00C467A7" w:rsidP="00CF11AC">
      <w:pPr>
        <w:pStyle w:val="Bullet"/>
      </w:pPr>
      <w:r w:rsidRPr="00CF11AC">
        <w:t xml:space="preserve">Equitable, so that policyholders should generally pay a levy at a level commensurate with their use of, or benefit from the potential to use, </w:t>
      </w:r>
      <w:r w:rsidR="008B285B">
        <w:t>Fire and Emergency NZ</w:t>
      </w:r>
      <w:r w:rsidRPr="00CF11AC">
        <w:t>’s services and with the risks associated with the activities that policyholders carry out (but without strict apportionment according to use, benefit, or risk having to be observed).</w:t>
      </w:r>
    </w:p>
    <w:p w14:paraId="3354AB79" w14:textId="3B80D0DA" w:rsidR="00C467A7" w:rsidRPr="00CF11AC" w:rsidRDefault="00C467A7" w:rsidP="00CF11AC">
      <w:pPr>
        <w:pStyle w:val="Bullet"/>
      </w:pPr>
      <w:r w:rsidRPr="00CF11AC">
        <w:t xml:space="preserve">Predictable, so that policyholders and levy payers are able to predict the amounts that they will need to pay and </w:t>
      </w:r>
      <w:r w:rsidR="008B285B">
        <w:t>Fire and Emergency NZ</w:t>
      </w:r>
      <w:r w:rsidRPr="00CF11AC">
        <w:t xml:space="preserve"> is able to predict how much levy income it will receive.</w:t>
      </w:r>
    </w:p>
    <w:p w14:paraId="3354AB7A" w14:textId="3D35A22C" w:rsidR="00C467A7" w:rsidRDefault="00C467A7" w:rsidP="00CF11AC">
      <w:pPr>
        <w:pStyle w:val="Bullet"/>
      </w:pPr>
      <w:r w:rsidRPr="00CF11AC">
        <w:t xml:space="preserve">Flexible, so that the levy can adapt to changes in the use, benefit, or risk associated with those who benefit from the potential to use </w:t>
      </w:r>
      <w:r w:rsidR="008B285B">
        <w:t>Fire and Emergency NZ</w:t>
      </w:r>
      <w:r w:rsidRPr="00CF11AC">
        <w:t xml:space="preserve">’s services; variations in </w:t>
      </w:r>
      <w:r w:rsidR="008B285B">
        <w:t>Fire and Emergency NZ</w:t>
      </w:r>
      <w:r w:rsidRPr="00CF11AC">
        <w:t xml:space="preserve">’s costs; and changes to the expectations of the Crown and the strategic needs of </w:t>
      </w:r>
      <w:r w:rsidR="008B285B">
        <w:t>Fire and Emergency NZ</w:t>
      </w:r>
      <w:r w:rsidRPr="00CF11AC">
        <w:t>.</w:t>
      </w:r>
    </w:p>
    <w:p w14:paraId="3354AB7B" w14:textId="77777777" w:rsidR="00777391" w:rsidRPr="00CF11AC" w:rsidRDefault="00777391" w:rsidP="00777391">
      <w:pPr>
        <w:pStyle w:val="Bullet"/>
        <w:numPr>
          <w:ilvl w:val="0"/>
          <w:numId w:val="0"/>
        </w:numPr>
      </w:pPr>
      <w:r>
        <w:t xml:space="preserve">As noted above, when considering exemptions, the potential impact on the </w:t>
      </w:r>
      <w:r w:rsidRPr="00777391">
        <w:t xml:space="preserve">cost-effectiveness and efficiency of the administration of the levy </w:t>
      </w:r>
      <w:r>
        <w:t>must also be taken into account</w:t>
      </w:r>
      <w:r w:rsidRPr="00777391">
        <w:t>.</w:t>
      </w:r>
    </w:p>
    <w:p w14:paraId="31824C64" w14:textId="77777777" w:rsidR="004B4301" w:rsidRDefault="004B4301">
      <w:pPr>
        <w:keepLines w:val="0"/>
        <w:spacing w:before="120"/>
        <w:rPr>
          <w:rFonts w:cs="Arial"/>
          <w:b/>
          <w:bCs/>
          <w:iCs/>
          <w:color w:val="1F546B"/>
          <w:sz w:val="36"/>
          <w:szCs w:val="28"/>
        </w:rPr>
      </w:pPr>
      <w:bookmarkStart w:id="11" w:name="_Toc472684563"/>
      <w:bookmarkStart w:id="12" w:name="_Toc472692009"/>
      <w:bookmarkStart w:id="13" w:name="_Toc476839850"/>
      <w:r>
        <w:br w:type="page"/>
      </w:r>
    </w:p>
    <w:p w14:paraId="3354AB83" w14:textId="3C01F0DE" w:rsidR="00C467A7" w:rsidRPr="00EB1A72" w:rsidRDefault="00C467A7" w:rsidP="00C467A7">
      <w:pPr>
        <w:pStyle w:val="Heading2"/>
      </w:pPr>
      <w:r w:rsidRPr="00EB1A72">
        <w:lastRenderedPageBreak/>
        <w:t xml:space="preserve">How to respond to </w:t>
      </w:r>
      <w:r w:rsidR="00D324F3">
        <w:t xml:space="preserve">this </w:t>
      </w:r>
      <w:r w:rsidRPr="00EB1A72">
        <w:t>consultation</w:t>
      </w:r>
      <w:bookmarkEnd w:id="11"/>
      <w:bookmarkEnd w:id="12"/>
      <w:bookmarkEnd w:id="13"/>
    </w:p>
    <w:p w14:paraId="2824D8C0" w14:textId="0D56C8CA" w:rsidR="000E093A" w:rsidRDefault="000E093A" w:rsidP="00EF2FA8">
      <w:r w:rsidRPr="000E093A">
        <w:t>Submissions can be emailed to:</w:t>
      </w:r>
      <w:r w:rsidR="00EF2FA8">
        <w:t xml:space="preserve"> </w:t>
      </w:r>
      <w:hyperlink r:id="rId18" w:history="1">
        <w:r w:rsidR="00EF2FA8" w:rsidRPr="00472A47">
          <w:rPr>
            <w:rStyle w:val="Hyperlink"/>
          </w:rPr>
          <w:t>FireServicesTransition@dia.govt.nz</w:t>
        </w:r>
      </w:hyperlink>
    </w:p>
    <w:p w14:paraId="289BF952" w14:textId="77777777" w:rsidR="000E093A" w:rsidRPr="000E093A" w:rsidRDefault="000E093A" w:rsidP="00EF2FA8">
      <w:r w:rsidRPr="000E093A">
        <w:t>Submissions can also be posted to:</w:t>
      </w:r>
    </w:p>
    <w:p w14:paraId="05CD87D5" w14:textId="385D12E1" w:rsidR="000E093A" w:rsidRPr="000E093A" w:rsidRDefault="000E093A" w:rsidP="00EF2FA8">
      <w:r w:rsidRPr="000E093A">
        <w:t>Fire Services Review</w:t>
      </w:r>
      <w:r w:rsidR="00EF2FA8">
        <w:br/>
      </w:r>
      <w:r w:rsidRPr="000E093A">
        <w:t>Department of Internal Affairs</w:t>
      </w:r>
      <w:r w:rsidR="00EF2FA8">
        <w:br/>
      </w:r>
      <w:r w:rsidRPr="000E093A">
        <w:t>PO Box 805</w:t>
      </w:r>
      <w:r w:rsidR="00EF2FA8">
        <w:br/>
      </w:r>
      <w:r w:rsidRPr="000E093A">
        <w:t>Wellington 6140</w:t>
      </w:r>
    </w:p>
    <w:p w14:paraId="374F6715" w14:textId="58C17A72" w:rsidR="000E093A" w:rsidRDefault="000E093A" w:rsidP="00EF2FA8">
      <w:r w:rsidRPr="000E093A">
        <w:t>This document is a summary of information only. If</w:t>
      </w:r>
      <w:r w:rsidR="00EF2FA8">
        <w:t xml:space="preserve"> </w:t>
      </w:r>
      <w:r w:rsidRPr="000E093A">
        <w:t>you’d like more information on the decisions made by</w:t>
      </w:r>
      <w:r w:rsidR="00EF2FA8">
        <w:t xml:space="preserve"> </w:t>
      </w:r>
      <w:r w:rsidRPr="000E093A">
        <w:t xml:space="preserve">Cabinet on </w:t>
      </w:r>
      <w:r w:rsidR="008B285B">
        <w:t>Fire and Emergency NZ</w:t>
      </w:r>
      <w:r w:rsidRPr="000E093A">
        <w:t xml:space="preserve"> and the latest news on the transition</w:t>
      </w:r>
      <w:r w:rsidR="00EF2FA8">
        <w:t xml:space="preserve"> </w:t>
      </w:r>
      <w:r w:rsidRPr="000E093A">
        <w:t>programme, please visit:</w:t>
      </w:r>
      <w:r w:rsidR="00EF2FA8">
        <w:t xml:space="preserve"> </w:t>
      </w:r>
      <w:hyperlink r:id="rId19" w:history="1">
        <w:r w:rsidR="00EF2FA8" w:rsidRPr="00472A47">
          <w:rPr>
            <w:rStyle w:val="Hyperlink"/>
          </w:rPr>
          <w:t>https://www.dia.govt.nz/Fire-Services-Transition</w:t>
        </w:r>
      </w:hyperlink>
    </w:p>
    <w:tbl>
      <w:tblPr>
        <w:tblStyle w:val="Blanktable"/>
        <w:tblW w:w="0" w:type="auto"/>
        <w:tblLook w:val="04A0" w:firstRow="1" w:lastRow="0" w:firstColumn="1" w:lastColumn="0" w:noHBand="0" w:noVBand="1"/>
      </w:tblPr>
      <w:tblGrid>
        <w:gridCol w:w="9135"/>
      </w:tblGrid>
      <w:tr w:rsidR="003165C6" w14:paraId="06D4AF29" w14:textId="77777777" w:rsidTr="00AE5149">
        <w:tc>
          <w:tcPr>
            <w:tcW w:w="9243" w:type="dxa"/>
            <w:shd w:val="clear" w:color="auto" w:fill="D9D9D9" w:themeFill="background1" w:themeFillShade="D9"/>
          </w:tcPr>
          <w:p w14:paraId="497E216A" w14:textId="5EFACC5C" w:rsidR="003165C6" w:rsidRDefault="003165C6" w:rsidP="003165C6">
            <w:pPr>
              <w:jc w:val="center"/>
              <w:rPr>
                <w:b/>
              </w:rPr>
            </w:pPr>
            <w:r w:rsidRPr="00EF2FA8">
              <w:rPr>
                <w:b/>
              </w:rPr>
              <w:t xml:space="preserve">The closing date for submissions </w:t>
            </w:r>
            <w:r>
              <w:rPr>
                <w:b/>
              </w:rPr>
              <w:t xml:space="preserve">is </w:t>
            </w:r>
            <w:r w:rsidRPr="00EF2FA8">
              <w:rPr>
                <w:b/>
              </w:rPr>
              <w:t xml:space="preserve">Wednesday </w:t>
            </w:r>
            <w:r>
              <w:rPr>
                <w:b/>
              </w:rPr>
              <w:t>19 April</w:t>
            </w:r>
            <w:r w:rsidRPr="00EF2FA8">
              <w:rPr>
                <w:b/>
              </w:rPr>
              <w:t xml:space="preserve"> 2017.</w:t>
            </w:r>
          </w:p>
        </w:tc>
      </w:tr>
    </w:tbl>
    <w:p w14:paraId="061425F2" w14:textId="77777777" w:rsidR="00E7434E" w:rsidRDefault="00E7434E" w:rsidP="00E7434E">
      <w:pPr>
        <w:pStyle w:val="Heading2"/>
      </w:pPr>
      <w:bookmarkStart w:id="14" w:name="_Toc476839851"/>
      <w:r>
        <w:t>How your submissions will be used</w:t>
      </w:r>
      <w:bookmarkEnd w:id="14"/>
      <w:r>
        <w:t xml:space="preserve"> </w:t>
      </w:r>
    </w:p>
    <w:p w14:paraId="4E0076C7" w14:textId="77777777" w:rsidR="00E7434E" w:rsidRPr="000E093A" w:rsidRDefault="00E7434E" w:rsidP="00E7434E">
      <w:r w:rsidRPr="000E093A">
        <w:t>All feedback received by the closing date will be taken into consideration before the</w:t>
      </w:r>
      <w:r>
        <w:t xml:space="preserve"> </w:t>
      </w:r>
      <w:r w:rsidRPr="000E093A">
        <w:t xml:space="preserve">government makes </w:t>
      </w:r>
      <w:r>
        <w:t xml:space="preserve">final </w:t>
      </w:r>
      <w:r w:rsidRPr="000E093A">
        <w:t xml:space="preserve">decisions about the </w:t>
      </w:r>
      <w:r>
        <w:t>proposals in this discussion document</w:t>
      </w:r>
      <w:r w:rsidRPr="000E093A">
        <w:t>.</w:t>
      </w:r>
    </w:p>
    <w:p w14:paraId="6CA3C265" w14:textId="5BF9626F" w:rsidR="00E7434E" w:rsidRPr="000E093A" w:rsidRDefault="00E7434E" w:rsidP="00E7434E">
      <w:r w:rsidRPr="000E093A">
        <w:t>Anyone can make a submission</w:t>
      </w:r>
      <w:r w:rsidR="00D011F8">
        <w:t xml:space="preserve">. </w:t>
      </w:r>
      <w:r w:rsidRPr="000E093A">
        <w:t>If you have a view about the proposed regulations – please tell us what you think.</w:t>
      </w:r>
    </w:p>
    <w:p w14:paraId="53AD6940" w14:textId="760790E4" w:rsidR="00E7434E" w:rsidRPr="00E7434E" w:rsidRDefault="00E7434E" w:rsidP="00E7434E">
      <w:r w:rsidRPr="00E7434E">
        <w:t>All submissions will be kept by the Department of Internal Affairs (the Department). The</w:t>
      </w:r>
      <w:r>
        <w:t xml:space="preserve"> </w:t>
      </w:r>
      <w:r w:rsidRPr="00E7434E">
        <w:t>Department may publish the submissions it receives and provide a summary of them on its</w:t>
      </w:r>
      <w:r>
        <w:t xml:space="preserve"> </w:t>
      </w:r>
      <w:r w:rsidRPr="00E7434E">
        <w:t>website www.dia.govt.nz. This would include your name or the name of your group, but not</w:t>
      </w:r>
      <w:r>
        <w:t xml:space="preserve"> </w:t>
      </w:r>
      <w:r w:rsidRPr="00E7434E">
        <w:t>your contact details.</w:t>
      </w:r>
    </w:p>
    <w:p w14:paraId="3A8E8F5E" w14:textId="78940FE0" w:rsidR="00E7434E" w:rsidRPr="00E7434E" w:rsidRDefault="00E7434E" w:rsidP="00E7434E">
      <w:r w:rsidRPr="00E7434E">
        <w:t>Submissions may be subject to a request to the Department under the Official Information</w:t>
      </w:r>
      <w:r>
        <w:t xml:space="preserve"> </w:t>
      </w:r>
      <w:r w:rsidRPr="00E7434E">
        <w:t>Act 1982. Personal details can be withheld under this Act, including names and addresses. If</w:t>
      </w:r>
      <w:r>
        <w:t xml:space="preserve"> </w:t>
      </w:r>
      <w:r w:rsidRPr="00E7434E">
        <w:t>you or your group do not want any information contained in your submission to be released,</w:t>
      </w:r>
      <w:r>
        <w:t xml:space="preserve"> </w:t>
      </w:r>
      <w:r w:rsidRPr="00E7434E">
        <w:t>you need to make this clear in the submission and explain why. For example, you might want</w:t>
      </w:r>
      <w:r>
        <w:t xml:space="preserve"> </w:t>
      </w:r>
      <w:r w:rsidRPr="00E7434E">
        <w:t>some information to remain confidential because it is commercially sensitive or personal.</w:t>
      </w:r>
    </w:p>
    <w:p w14:paraId="3B07E0E8" w14:textId="6611CAF2" w:rsidR="00E7434E" w:rsidRPr="00E7434E" w:rsidRDefault="00E7434E" w:rsidP="00E7434E">
      <w:r w:rsidRPr="00E7434E">
        <w:t>The Department will take your request into account.</w:t>
      </w:r>
      <w:r>
        <w:t xml:space="preserve"> </w:t>
      </w:r>
      <w:r w:rsidRPr="00E7434E">
        <w:t>The Privacy Act 1993 governs how the Department collects, holds, uses and discloses</w:t>
      </w:r>
      <w:r>
        <w:t xml:space="preserve"> </w:t>
      </w:r>
      <w:r w:rsidRPr="00E7434E">
        <w:t>personal information about submitters and their applications. Submitters have the right to</w:t>
      </w:r>
      <w:r>
        <w:t xml:space="preserve"> </w:t>
      </w:r>
      <w:r w:rsidRPr="00E7434E">
        <w:t>access and correct personal information.</w:t>
      </w:r>
    </w:p>
    <w:p w14:paraId="23E1A549" w14:textId="77777777" w:rsidR="00AE6EEE" w:rsidRDefault="00AE6EEE" w:rsidP="00AE6EEE">
      <w:pPr>
        <w:pStyle w:val="Heading1"/>
      </w:pPr>
      <w:bookmarkStart w:id="15" w:name="_Toc472684564"/>
      <w:bookmarkStart w:id="16" w:name="_Toc472692010"/>
      <w:bookmarkStart w:id="17" w:name="_Toc476839852"/>
      <w:bookmarkStart w:id="18" w:name="_Toc472684565"/>
      <w:bookmarkStart w:id="19" w:name="_Toc472692011"/>
      <w:r>
        <w:lastRenderedPageBreak/>
        <w:t xml:space="preserve">Part 1: </w:t>
      </w:r>
      <w:r w:rsidRPr="00C467A7">
        <w:t>Transitional levy relief</w:t>
      </w:r>
      <w:bookmarkEnd w:id="15"/>
      <w:bookmarkEnd w:id="16"/>
      <w:bookmarkEnd w:id="17"/>
    </w:p>
    <w:p w14:paraId="3354AB8A" w14:textId="77777777" w:rsidR="00C467A7" w:rsidRPr="007A2C4A" w:rsidRDefault="00C467A7" w:rsidP="00007103">
      <w:pPr>
        <w:pStyle w:val="Heading2"/>
      </w:pPr>
      <w:bookmarkStart w:id="20" w:name="_Toc476839853"/>
      <w:r>
        <w:t>Background</w:t>
      </w:r>
      <w:r w:rsidR="00CA09EE">
        <w:t xml:space="preserve"> and policy objectives</w:t>
      </w:r>
      <w:bookmarkEnd w:id="18"/>
      <w:bookmarkEnd w:id="19"/>
      <w:bookmarkEnd w:id="20"/>
    </w:p>
    <w:p w14:paraId="3354AB8B" w14:textId="27D4A420" w:rsidR="00C467A7" w:rsidRDefault="000C77C2" w:rsidP="00C467A7">
      <w:r>
        <w:t xml:space="preserve">A </w:t>
      </w:r>
      <w:r w:rsidR="00C467A7">
        <w:t xml:space="preserve">suite of changes </w:t>
      </w:r>
      <w:r w:rsidR="009B334B">
        <w:t xml:space="preserve">to levy </w:t>
      </w:r>
      <w:r w:rsidR="00C467A7">
        <w:t xml:space="preserve">will </w:t>
      </w:r>
      <w:r w:rsidR="009B334B">
        <w:t>be introduced under the Fire and Emergency legislation</w:t>
      </w:r>
      <w:r w:rsidR="00C467A7">
        <w:t>.</w:t>
      </w:r>
      <w:r w:rsidR="009B334B">
        <w:rPr>
          <w:rStyle w:val="FootnoteReference"/>
        </w:rPr>
        <w:footnoteReference w:id="3"/>
      </w:r>
      <w:r w:rsidR="00C467A7">
        <w:t xml:space="preserve"> </w:t>
      </w:r>
      <w:r w:rsidR="00777F3F">
        <w:t xml:space="preserve">These changes reflect the broader mandate and statutory functions of Fire and Emergency NZ as compared with the NZFS. </w:t>
      </w:r>
      <w:r w:rsidR="00C467A7">
        <w:t xml:space="preserve">The key changes impacting on the levy paid </w:t>
      </w:r>
      <w:r>
        <w:t xml:space="preserve">by individual </w:t>
      </w:r>
      <w:r w:rsidR="00C467A7">
        <w:t>policyholders are:</w:t>
      </w:r>
    </w:p>
    <w:p w14:paraId="3354AB8C" w14:textId="76FE86A8" w:rsidR="000C77C2" w:rsidRDefault="000C77C2" w:rsidP="000C77C2">
      <w:pPr>
        <w:pStyle w:val="Bullet"/>
      </w:pPr>
      <w:r>
        <w:t>The broadening of the levy base from contracts of fire insurance, to contracts insuring property against physical loss or damage</w:t>
      </w:r>
      <w:r w:rsidR="006229C7">
        <w:t>;</w:t>
      </w:r>
    </w:p>
    <w:p w14:paraId="3354AB8D" w14:textId="1D80CA9A" w:rsidR="000C77C2" w:rsidRDefault="000C77C2" w:rsidP="000C77C2">
      <w:pPr>
        <w:pStyle w:val="Bullet"/>
      </w:pPr>
      <w:r>
        <w:t>Calculation of levy on the 'amount insured' rather than indemnity value of the property</w:t>
      </w:r>
      <w:r w:rsidR="006229C7">
        <w:t>;</w:t>
      </w:r>
      <w:r>
        <w:t xml:space="preserve"> and</w:t>
      </w:r>
    </w:p>
    <w:p w14:paraId="3354AB8E" w14:textId="77777777" w:rsidR="000C77C2" w:rsidRDefault="000C77C2" w:rsidP="000C77C2">
      <w:pPr>
        <w:pStyle w:val="Bullet"/>
      </w:pPr>
      <w:r>
        <w:t>The removal of most levy exemptions.</w:t>
      </w:r>
    </w:p>
    <w:p w14:paraId="3354AB8F" w14:textId="1A2E2EAC" w:rsidR="00C31A85" w:rsidRDefault="008C160D" w:rsidP="00C467A7">
      <w:r>
        <w:t xml:space="preserve">Depending on their particular circumstances and insurance arrangements, some policyholders </w:t>
      </w:r>
      <w:r w:rsidR="00880DD4">
        <w:t xml:space="preserve">are likely to </w:t>
      </w:r>
      <w:r>
        <w:t>face significant increase</w:t>
      </w:r>
      <w:r w:rsidR="00C31A85">
        <w:t>s as a result of these changes.</w:t>
      </w:r>
      <w:r w:rsidR="003E01A3">
        <w:rPr>
          <w:rStyle w:val="FootnoteReference"/>
        </w:rPr>
        <w:footnoteReference w:id="4"/>
      </w:r>
    </w:p>
    <w:p w14:paraId="7FD28050" w14:textId="4991722D" w:rsidR="002E5338" w:rsidRDefault="008C160D" w:rsidP="002E5338">
      <w:r>
        <w:t xml:space="preserve">In April </w:t>
      </w:r>
      <w:r w:rsidR="00C467A7">
        <w:t>2016 Cabinet</w:t>
      </w:r>
      <w:r>
        <w:t xml:space="preserve"> agreed that regulations should be made to </w:t>
      </w:r>
      <w:r w:rsidRPr="008C160D">
        <w:t xml:space="preserve">improve levy affordability where large public and private entities would be significantly impacted by the </w:t>
      </w:r>
      <w:r w:rsidR="00CD196A">
        <w:t>changes in the Bill</w:t>
      </w:r>
      <w:r w:rsidR="00C31A85">
        <w:t>.</w:t>
      </w:r>
      <w:r w:rsidR="00C31A85">
        <w:rPr>
          <w:rStyle w:val="FootnoteReference"/>
        </w:rPr>
        <w:footnoteReference w:id="5"/>
      </w:r>
      <w:r w:rsidRPr="008C160D">
        <w:t xml:space="preserve"> </w:t>
      </w:r>
      <w:r w:rsidR="00CD196A">
        <w:t xml:space="preserve">These </w:t>
      </w:r>
      <w:r w:rsidR="00C31A85">
        <w:t xml:space="preserve">regulations would </w:t>
      </w:r>
      <w:r w:rsidR="00C467A7">
        <w:t>set out the details of how the smoothing or capping</w:t>
      </w:r>
      <w:r w:rsidR="00C31A85">
        <w:t xml:space="preserve"> would be applied and collected.</w:t>
      </w:r>
      <w:r w:rsidR="002E5338" w:rsidRPr="002E5338">
        <w:t xml:space="preserve"> </w:t>
      </w:r>
      <w:r w:rsidR="002E5338">
        <w:t xml:space="preserve">Cabinet noted that as a consequence of making the levy more affordable for large public </w:t>
      </w:r>
      <w:r w:rsidR="002E5338" w:rsidRPr="007A2C4A">
        <w:t>and private entities</w:t>
      </w:r>
      <w:r w:rsidR="002E5338">
        <w:t xml:space="preserve">, small and </w:t>
      </w:r>
      <w:r w:rsidR="002E5338" w:rsidRPr="007A2C4A">
        <w:t>medium b</w:t>
      </w:r>
      <w:r w:rsidR="002E5338">
        <w:t>usinesses (whose property would be subject to neither the residential levy cap nor the proposed affordability measures) would pay more in levy.</w:t>
      </w:r>
    </w:p>
    <w:p w14:paraId="3354AB90" w14:textId="1E211807" w:rsidR="00755445" w:rsidRDefault="00880DD4" w:rsidP="008C09F5">
      <w:r>
        <w:t xml:space="preserve">These </w:t>
      </w:r>
      <w:r w:rsidR="00CD196A">
        <w:t xml:space="preserve">transitional relief </w:t>
      </w:r>
      <w:r>
        <w:t xml:space="preserve">measures </w:t>
      </w:r>
      <w:r w:rsidR="00CD196A">
        <w:t xml:space="preserve">are </w:t>
      </w:r>
      <w:r>
        <w:t>intended to be temporary</w:t>
      </w:r>
      <w:r w:rsidR="007C58EF">
        <w:t>, to allow time to adjust to the new regime</w:t>
      </w:r>
      <w:r>
        <w:t xml:space="preserve">. There is provision elsewhere in the Bill for making regulations to exempt property from levy on a longer term </w:t>
      </w:r>
      <w:r w:rsidRPr="007C58EF">
        <w:t>basis (d</w:t>
      </w:r>
      <w:r w:rsidR="00912195" w:rsidRPr="007C58EF">
        <w:t>iscuss</w:t>
      </w:r>
      <w:r w:rsidRPr="007C58EF">
        <w:t xml:space="preserve">ed </w:t>
      </w:r>
      <w:r w:rsidR="007C58EF" w:rsidRPr="007C58EF">
        <w:t xml:space="preserve">in Rationale for </w:t>
      </w:r>
      <w:r w:rsidR="007C58EF">
        <w:t>C</w:t>
      </w:r>
      <w:r w:rsidR="007C58EF" w:rsidRPr="007C58EF">
        <w:t xml:space="preserve">hanges section </w:t>
      </w:r>
      <w:r w:rsidRPr="007C58EF">
        <w:t xml:space="preserve"> above).</w:t>
      </w:r>
    </w:p>
    <w:p w14:paraId="24ACB45C" w14:textId="77777777" w:rsidR="00D011F8" w:rsidRDefault="008C09F5" w:rsidP="00C467A7">
      <w:r>
        <w:t>T</w:t>
      </w:r>
      <w:r w:rsidR="00C467A7" w:rsidRPr="00956F44">
        <w:t xml:space="preserve">he Bill provides for the making of </w:t>
      </w:r>
      <w:r w:rsidR="002E5338">
        <w:t xml:space="preserve">‘levy relief’ </w:t>
      </w:r>
      <w:r w:rsidR="00C467A7" w:rsidRPr="00956F44">
        <w:t>regulations to grant certain policyholders or classes of policyholder a whole or partial exemption from the levy for</w:t>
      </w:r>
      <w:r>
        <w:t xml:space="preserve"> a period of up to seven years.</w:t>
      </w:r>
      <w:r>
        <w:rPr>
          <w:rStyle w:val="FootnoteReference"/>
        </w:rPr>
        <w:footnoteReference w:id="6"/>
      </w:r>
    </w:p>
    <w:p w14:paraId="3354AB93" w14:textId="4B494269" w:rsidR="00C467A7" w:rsidRDefault="00C467A7" w:rsidP="00C467A7">
      <w:r w:rsidRPr="00956F44">
        <w:lastRenderedPageBreak/>
        <w:t xml:space="preserve">Before approving </w:t>
      </w:r>
      <w:r w:rsidR="008543FD">
        <w:t xml:space="preserve">levy relief </w:t>
      </w:r>
      <w:r w:rsidRPr="00956F44">
        <w:t xml:space="preserve">measures the Minister must be satisfied that </w:t>
      </w:r>
      <w:r w:rsidR="008543FD">
        <w:t xml:space="preserve">they </w:t>
      </w:r>
      <w:r w:rsidRPr="00956F44">
        <w:t>are necessary or desirable to ensure that the specified policyholders are not subject to an ‘unreasonable burden’ because of any increase in levy as a consequence of the Bill.</w:t>
      </w:r>
      <w:r w:rsidR="00D011F8">
        <w:t xml:space="preserve"> In recommending regulations, the Minister must also have regard to the purpose of the levy regime (as set out in clause 69 of the Bill – see </w:t>
      </w:r>
      <w:r w:rsidR="00403AAC">
        <w:t>above</w:t>
      </w:r>
      <w:r w:rsidR="00D011F8">
        <w:t>), and the regulations’ likely effect on the cost-effectiveness and efficiency of the administration of the levy regime.</w:t>
      </w:r>
    </w:p>
    <w:p w14:paraId="3354AB94" w14:textId="77777777" w:rsidR="008543FD" w:rsidRDefault="008543FD" w:rsidP="00586122">
      <w:pPr>
        <w:pStyle w:val="Heading2"/>
      </w:pPr>
      <w:bookmarkStart w:id="21" w:name="_Toc472684566"/>
      <w:bookmarkStart w:id="22" w:name="_Toc472692012"/>
      <w:bookmarkStart w:id="23" w:name="_Toc476839854"/>
      <w:r>
        <w:t xml:space="preserve">Policy </w:t>
      </w:r>
      <w:r w:rsidR="00D86411">
        <w:t>discussion</w:t>
      </w:r>
      <w:bookmarkEnd w:id="21"/>
      <w:bookmarkEnd w:id="22"/>
      <w:bookmarkEnd w:id="23"/>
    </w:p>
    <w:p w14:paraId="0BB9F1A2" w14:textId="1E9D2567" w:rsidR="00FD2EF2" w:rsidRDefault="00CC53EC" w:rsidP="00FD2EF2">
      <w:pPr>
        <w:pStyle w:val="Heading3"/>
      </w:pPr>
      <w:r>
        <w:t>Who should qualify</w:t>
      </w:r>
      <w:r w:rsidR="00F7434F">
        <w:t xml:space="preserve"> </w:t>
      </w:r>
      <w:r>
        <w:t>for relief?</w:t>
      </w:r>
    </w:p>
    <w:p w14:paraId="6F8F7A89" w14:textId="3118CF17" w:rsidR="00F7434F" w:rsidRDefault="00FD2EF2" w:rsidP="00FD2EF2">
      <w:r>
        <w:t xml:space="preserve">The </w:t>
      </w:r>
      <w:r w:rsidR="002E5338">
        <w:t xml:space="preserve">Bill provides </w:t>
      </w:r>
      <w:r>
        <w:t xml:space="preserve">that </w:t>
      </w:r>
      <w:r w:rsidR="00F7434F">
        <w:t>regulations for levy relief specify the circumstances in which a policyholder may qualify for an exemption, and that the</w:t>
      </w:r>
      <w:r w:rsidR="00727254">
        <w:t>se</w:t>
      </w:r>
      <w:r w:rsidR="00F7434F">
        <w:t xml:space="preserve"> qualifying circumstances may be set out in a formula</w:t>
      </w:r>
      <w:r w:rsidR="006004A2">
        <w:t>.</w:t>
      </w:r>
    </w:p>
    <w:p w14:paraId="2C610003" w14:textId="54BDA0A7" w:rsidR="00304BE1" w:rsidRDefault="00304BE1" w:rsidP="00304BE1">
      <w:pPr>
        <w:pStyle w:val="Heading4"/>
      </w:pPr>
      <w:r>
        <w:t>Setting out qualifying circumstances in a formula</w:t>
      </w:r>
    </w:p>
    <w:p w14:paraId="3D3FC12C" w14:textId="4EFE249C" w:rsidR="00FD2EF2" w:rsidRDefault="00D52960" w:rsidP="00FD2EF2">
      <w:r>
        <w:t>A</w:t>
      </w:r>
      <w:r w:rsidR="00D4042E">
        <w:t xml:space="preserve"> formula-based approach for determining </w:t>
      </w:r>
      <w:r>
        <w:t xml:space="preserve">when a </w:t>
      </w:r>
      <w:r w:rsidR="007C58EF">
        <w:t>policyholder</w:t>
      </w:r>
      <w:r w:rsidR="00D4042E">
        <w:t xml:space="preserve"> </w:t>
      </w:r>
      <w:r>
        <w:t>w</w:t>
      </w:r>
      <w:r w:rsidR="00D4042E">
        <w:t>ould qualify for relief</w:t>
      </w:r>
      <w:r>
        <w:t xml:space="preserve"> </w:t>
      </w:r>
      <w:r w:rsidR="007B14CC">
        <w:t>has the benefit of providing</w:t>
      </w:r>
      <w:r w:rsidR="00FD2EF2" w:rsidRPr="007369AC">
        <w:t xml:space="preserve"> transparency and certainty for levy payers, policyholders, and for </w:t>
      </w:r>
      <w:r w:rsidR="008B285B">
        <w:t>Fire and Emergency NZ</w:t>
      </w:r>
      <w:r w:rsidR="00D4042E">
        <w:t xml:space="preserve">. </w:t>
      </w:r>
      <w:r w:rsidR="00A13417">
        <w:t>H</w:t>
      </w:r>
      <w:r w:rsidR="001D00FE" w:rsidRPr="007369AC">
        <w:t>owever</w:t>
      </w:r>
      <w:r w:rsidR="00A13417">
        <w:t>,</w:t>
      </w:r>
      <w:r w:rsidR="001D00FE" w:rsidRPr="007369AC">
        <w:t xml:space="preserve"> </w:t>
      </w:r>
      <w:r w:rsidR="007369AC" w:rsidRPr="007369AC">
        <w:t xml:space="preserve">a </w:t>
      </w:r>
      <w:r w:rsidR="001D00FE" w:rsidRPr="007369AC">
        <w:t xml:space="preserve">rigidly applied criteria </w:t>
      </w:r>
      <w:r w:rsidR="007B14CC">
        <w:t xml:space="preserve">could </w:t>
      </w:r>
      <w:r w:rsidR="001D00FE" w:rsidRPr="007369AC">
        <w:t xml:space="preserve">create </w:t>
      </w:r>
      <w:r w:rsidR="007369AC" w:rsidRPr="007369AC">
        <w:t>inequitable</w:t>
      </w:r>
      <w:r w:rsidR="001D00FE" w:rsidRPr="007369AC">
        <w:t xml:space="preserve"> outcomes </w:t>
      </w:r>
      <w:r w:rsidR="007369AC" w:rsidRPr="007369AC">
        <w:t>at</w:t>
      </w:r>
      <w:r w:rsidR="001D00FE" w:rsidRPr="007369AC">
        <w:t xml:space="preserve"> the margins</w:t>
      </w:r>
      <w:r w:rsidR="007369AC" w:rsidRPr="007369AC">
        <w:t xml:space="preserve"> (for example where a policyholder</w:t>
      </w:r>
      <w:r w:rsidR="007B14CC">
        <w:t xml:space="preserve">’s liability </w:t>
      </w:r>
      <w:r w:rsidR="007369AC" w:rsidRPr="007369AC">
        <w:t>falls one dollar short of the threshold for levy relief)</w:t>
      </w:r>
      <w:r w:rsidR="001D00FE" w:rsidRPr="007369AC">
        <w:t xml:space="preserve">, and it </w:t>
      </w:r>
      <w:r w:rsidR="007B14CC">
        <w:t xml:space="preserve">would not allow </w:t>
      </w:r>
      <w:r w:rsidR="008B285B">
        <w:t>Fire and Emergency NZ</w:t>
      </w:r>
      <w:r w:rsidR="001D00FE" w:rsidRPr="007369AC">
        <w:t xml:space="preserve"> </w:t>
      </w:r>
      <w:r w:rsidR="007B14CC">
        <w:t xml:space="preserve">any discretion </w:t>
      </w:r>
      <w:r w:rsidR="001D00FE" w:rsidRPr="007369AC">
        <w:t xml:space="preserve">on </w:t>
      </w:r>
      <w:r w:rsidR="00727254">
        <w:t xml:space="preserve">who </w:t>
      </w:r>
      <w:r w:rsidR="001D00FE" w:rsidRPr="007369AC">
        <w:t xml:space="preserve">relief should </w:t>
      </w:r>
      <w:r w:rsidR="00727254">
        <w:t>be granted to</w:t>
      </w:r>
      <w:r w:rsidR="001D00FE" w:rsidRPr="007369AC">
        <w:t>.</w:t>
      </w:r>
    </w:p>
    <w:p w14:paraId="2B702C44" w14:textId="3FD1A0F9" w:rsidR="00717229" w:rsidRDefault="00717229" w:rsidP="00FD2EF2">
      <w:r>
        <w:t>Consistent with the Cabinet decisions described above, to qualify for relief a policyholder would need to:</w:t>
      </w:r>
    </w:p>
    <w:p w14:paraId="66210712" w14:textId="02DCE2FF" w:rsidR="00717229" w:rsidRDefault="00717229" w:rsidP="00717229">
      <w:pPr>
        <w:pStyle w:val="Bullet"/>
      </w:pPr>
      <w:r>
        <w:t>face a large increase in levy as a result of the Bill; and</w:t>
      </w:r>
    </w:p>
    <w:p w14:paraId="732C8213" w14:textId="25210239" w:rsidR="00717229" w:rsidRDefault="00A13417" w:rsidP="00717229">
      <w:pPr>
        <w:pStyle w:val="Bullet"/>
      </w:pPr>
      <w:r>
        <w:t xml:space="preserve">be </w:t>
      </w:r>
      <w:r w:rsidR="00717229">
        <w:t>a large public or private entity.</w:t>
      </w:r>
    </w:p>
    <w:p w14:paraId="3354AB96" w14:textId="0F0BA1B4" w:rsidR="00C467A7" w:rsidRPr="008016E2" w:rsidRDefault="00BD1EE8" w:rsidP="00C467A7">
      <w:r>
        <w:t>A</w:t>
      </w:r>
      <w:r w:rsidR="00717229">
        <w:t xml:space="preserve"> formula </w:t>
      </w:r>
      <w:r w:rsidR="006004A2">
        <w:t>w</w:t>
      </w:r>
      <w:r w:rsidR="00717229">
        <w:t xml:space="preserve">ould </w:t>
      </w:r>
      <w:r w:rsidR="006004A2">
        <w:t>take account of the amount of levy a policyholder paid under the old regime, and the amount of levy the same policyholder would be liable for under the new regime (in the absence of any relief).</w:t>
      </w:r>
      <w:r>
        <w:t xml:space="preserve"> </w:t>
      </w:r>
      <w:r w:rsidR="002173AC">
        <w:t>A</w:t>
      </w:r>
      <w:r w:rsidR="00D86411" w:rsidRPr="007369AC">
        <w:t xml:space="preserve"> levy increase </w:t>
      </w:r>
      <w:r w:rsidR="002173AC">
        <w:t xml:space="preserve">for a policyholder </w:t>
      </w:r>
      <w:r w:rsidR="00D86411" w:rsidRPr="007369AC">
        <w:t xml:space="preserve">resulting from </w:t>
      </w:r>
      <w:r>
        <w:t xml:space="preserve">changes could </w:t>
      </w:r>
      <w:r w:rsidR="00D86411" w:rsidRPr="007369AC">
        <w:t xml:space="preserve">be simply calculated as the additional levy paid under the </w:t>
      </w:r>
      <w:r w:rsidR="008B285B">
        <w:t>Fire and Emergency NZ</w:t>
      </w:r>
      <w:r w:rsidR="00D86411" w:rsidRPr="007369AC">
        <w:t xml:space="preserve"> regime as a </w:t>
      </w:r>
      <w:r w:rsidR="007369AC">
        <w:t>proportion</w:t>
      </w:r>
      <w:r w:rsidR="00D86411" w:rsidRPr="007369AC">
        <w:t xml:space="preserve"> of their levy liability under the Fire Service Act regime:</w:t>
      </w:r>
    </w:p>
    <w:p w14:paraId="3354AB97" w14:textId="606BAA0A" w:rsidR="00C467A7" w:rsidRPr="008016E2" w:rsidRDefault="00C467A7" w:rsidP="00777391">
      <w:pPr>
        <w:pStyle w:val="Bullet"/>
      </w:pPr>
      <w:r w:rsidRPr="008016E2">
        <w:t>L</w:t>
      </w:r>
      <w:r w:rsidR="008B285B">
        <w:rPr>
          <w:vertAlign w:val="subscript"/>
        </w:rPr>
        <w:t>F</w:t>
      </w:r>
      <w:r w:rsidR="00D52960">
        <w:rPr>
          <w:vertAlign w:val="subscript"/>
        </w:rPr>
        <w:t>E</w:t>
      </w:r>
      <w:r w:rsidR="008B285B">
        <w:rPr>
          <w:vertAlign w:val="subscript"/>
        </w:rPr>
        <w:t>NZ</w:t>
      </w:r>
      <w:r w:rsidRPr="008016E2">
        <w:t xml:space="preserve"> ÷ L</w:t>
      </w:r>
      <w:r w:rsidRPr="008016E2">
        <w:rPr>
          <w:vertAlign w:val="subscript"/>
        </w:rPr>
        <w:t>FSA</w:t>
      </w:r>
      <w:r w:rsidRPr="008016E2">
        <w:t xml:space="preserve"> = </w:t>
      </w:r>
      <w:r w:rsidR="00BD1EE8">
        <w:t>burden</w:t>
      </w:r>
    </w:p>
    <w:p w14:paraId="3354AB9A" w14:textId="54B21CFE" w:rsidR="00D86411" w:rsidRPr="008016E2" w:rsidRDefault="00D86411" w:rsidP="00D86411">
      <w:r w:rsidRPr="008016E2">
        <w:t xml:space="preserve">Where </w:t>
      </w:r>
      <w:r w:rsidR="00C467A7" w:rsidRPr="008016E2">
        <w:t>L</w:t>
      </w:r>
      <w:r w:rsidR="008B285B">
        <w:rPr>
          <w:vertAlign w:val="subscript"/>
        </w:rPr>
        <w:t>F</w:t>
      </w:r>
      <w:r w:rsidR="00D52960">
        <w:rPr>
          <w:vertAlign w:val="subscript"/>
        </w:rPr>
        <w:t>E</w:t>
      </w:r>
      <w:r w:rsidR="008B285B">
        <w:rPr>
          <w:vertAlign w:val="subscript"/>
        </w:rPr>
        <w:t>NZ</w:t>
      </w:r>
      <w:r w:rsidR="00C467A7" w:rsidRPr="008016E2">
        <w:t xml:space="preserve"> = liability</w:t>
      </w:r>
      <w:r w:rsidR="00F06661">
        <w:t xml:space="preserve"> </w:t>
      </w:r>
      <w:r w:rsidR="009C1B83">
        <w:t>under the Fire and Emergency NZ</w:t>
      </w:r>
      <w:r w:rsidR="009C1B83" w:rsidRPr="008016E2">
        <w:t xml:space="preserve"> regime </w:t>
      </w:r>
      <w:r w:rsidR="00F06661">
        <w:t>(in the absence of any relief)</w:t>
      </w:r>
      <w:r w:rsidRPr="008016E2">
        <w:t xml:space="preserve">, and </w:t>
      </w:r>
      <w:r w:rsidR="00C467A7" w:rsidRPr="008016E2">
        <w:t>L</w:t>
      </w:r>
      <w:r w:rsidR="00C467A7" w:rsidRPr="008016E2">
        <w:rPr>
          <w:vertAlign w:val="subscript"/>
        </w:rPr>
        <w:t>FSA</w:t>
      </w:r>
      <w:r w:rsidR="00C467A7" w:rsidRPr="008016E2">
        <w:t xml:space="preserve"> =</w:t>
      </w:r>
      <w:r w:rsidR="00C467A7" w:rsidRPr="008016E2">
        <w:rPr>
          <w:vertAlign w:val="subscript"/>
        </w:rPr>
        <w:t xml:space="preserve"> </w:t>
      </w:r>
      <w:r w:rsidR="00C467A7" w:rsidRPr="008016E2">
        <w:t>liability</w:t>
      </w:r>
      <w:r w:rsidR="009C1B83">
        <w:t xml:space="preserve"> under the Fire Service Act regime</w:t>
      </w:r>
      <w:r w:rsidR="00777391" w:rsidRPr="008016E2">
        <w:t>.</w:t>
      </w:r>
      <w:r w:rsidR="009C1B83">
        <w:t xml:space="preserve"> </w:t>
      </w:r>
      <w:r w:rsidRPr="008016E2">
        <w:t>L</w:t>
      </w:r>
      <w:r w:rsidRPr="008016E2">
        <w:rPr>
          <w:vertAlign w:val="subscript"/>
        </w:rPr>
        <w:t>FSA</w:t>
      </w:r>
      <w:r w:rsidRPr="008016E2">
        <w:t xml:space="preserve"> </w:t>
      </w:r>
      <w:r w:rsidR="007369AC">
        <w:t>could be</w:t>
      </w:r>
      <w:r w:rsidRPr="008016E2">
        <w:t xml:space="preserve"> calculated as </w:t>
      </w:r>
      <w:r w:rsidR="00777391" w:rsidRPr="008016E2">
        <w:t>either:</w:t>
      </w:r>
    </w:p>
    <w:p w14:paraId="3354AB9B" w14:textId="4603DAB9" w:rsidR="00D86411" w:rsidRPr="008016E2" w:rsidRDefault="00D86411" w:rsidP="00BD1EE8">
      <w:pPr>
        <w:pStyle w:val="Bullet"/>
      </w:pPr>
      <w:r w:rsidRPr="008016E2">
        <w:t xml:space="preserve">the most </w:t>
      </w:r>
      <w:r w:rsidR="00777391" w:rsidRPr="008016E2">
        <w:t xml:space="preserve">policyholder’s most </w:t>
      </w:r>
      <w:r w:rsidRPr="008016E2">
        <w:t>recent levy</w:t>
      </w:r>
      <w:r w:rsidR="00777391" w:rsidRPr="008016E2">
        <w:t xml:space="preserve"> payment (</w:t>
      </w:r>
      <w:r w:rsidR="00FD2EF2">
        <w:t xml:space="preserve">that is, as calculated using the </w:t>
      </w:r>
      <w:r w:rsidR="00777391" w:rsidRPr="008016E2">
        <w:t>2</w:t>
      </w:r>
      <w:r w:rsidR="00DC71BF">
        <w:t>017/18</w:t>
      </w:r>
      <w:r w:rsidR="00777391" w:rsidRPr="008016E2">
        <w:t xml:space="preserve"> </w:t>
      </w:r>
      <w:r w:rsidR="00FD2EF2">
        <w:t>levy rates</w:t>
      </w:r>
      <w:r w:rsidR="00777391" w:rsidRPr="008016E2">
        <w:t xml:space="preserve">), </w:t>
      </w:r>
      <w:r w:rsidRPr="008016E2">
        <w:t>or</w:t>
      </w:r>
    </w:p>
    <w:p w14:paraId="3354AB9C" w14:textId="654E83EF" w:rsidR="00D86411" w:rsidRPr="008016E2" w:rsidRDefault="00777391" w:rsidP="00BD1EE8">
      <w:pPr>
        <w:pStyle w:val="Bullet"/>
      </w:pPr>
      <w:r w:rsidRPr="008016E2">
        <w:lastRenderedPageBreak/>
        <w:t>where there has been a material change in circumstances</w:t>
      </w:r>
      <w:r w:rsidR="007369AC">
        <w:t xml:space="preserve"> (</w:t>
      </w:r>
      <w:r w:rsidRPr="008016E2">
        <w:t xml:space="preserve">for example a property </w:t>
      </w:r>
      <w:r w:rsidR="00D16583" w:rsidRPr="008016E2">
        <w:t>ha</w:t>
      </w:r>
      <w:r w:rsidR="00D16583">
        <w:t>s</w:t>
      </w:r>
      <w:r w:rsidR="00D16583" w:rsidRPr="008016E2">
        <w:t xml:space="preserve"> </w:t>
      </w:r>
      <w:r w:rsidRPr="008016E2">
        <w:t>been revalued or additional assets have been added to a policy</w:t>
      </w:r>
      <w:r w:rsidR="007369AC">
        <w:t>)</w:t>
      </w:r>
      <w:r w:rsidRPr="008016E2">
        <w:t xml:space="preserve">, then a notional levy </w:t>
      </w:r>
      <w:r w:rsidR="00D86411" w:rsidRPr="008016E2">
        <w:t xml:space="preserve">assessment </w:t>
      </w:r>
      <w:r w:rsidRPr="008016E2">
        <w:t xml:space="preserve">should be made </w:t>
      </w:r>
      <w:r w:rsidR="00D86411" w:rsidRPr="008016E2">
        <w:t xml:space="preserve">as if </w:t>
      </w:r>
      <w:r w:rsidRPr="008016E2">
        <w:t xml:space="preserve">the levy provisions of the </w:t>
      </w:r>
      <w:r w:rsidR="00D86411" w:rsidRPr="008016E2">
        <w:t>F</w:t>
      </w:r>
      <w:r w:rsidRPr="008016E2">
        <w:t xml:space="preserve">ire </w:t>
      </w:r>
      <w:r w:rsidR="00D86411" w:rsidRPr="008016E2">
        <w:t>S</w:t>
      </w:r>
      <w:r w:rsidRPr="008016E2">
        <w:t xml:space="preserve">ervice </w:t>
      </w:r>
      <w:r w:rsidR="00D86411" w:rsidRPr="008016E2">
        <w:t>A</w:t>
      </w:r>
      <w:r w:rsidRPr="008016E2">
        <w:t xml:space="preserve">ct were </w:t>
      </w:r>
      <w:r w:rsidR="00D86411" w:rsidRPr="008016E2">
        <w:t>still in force</w:t>
      </w:r>
      <w:r w:rsidRPr="008016E2">
        <w:t>.</w:t>
      </w:r>
    </w:p>
    <w:p w14:paraId="3354AB9D" w14:textId="0F62571F" w:rsidR="00D86411" w:rsidRDefault="00D86411" w:rsidP="00D86411">
      <w:r w:rsidRPr="008016E2">
        <w:t xml:space="preserve">An ‘unreasonable burden’ </w:t>
      </w:r>
      <w:r w:rsidR="007369AC">
        <w:t xml:space="preserve">would be </w:t>
      </w:r>
      <w:r w:rsidRPr="008016E2">
        <w:t>one which exceeds a given threshold.</w:t>
      </w:r>
      <w:r w:rsidR="00777391" w:rsidRPr="008016E2">
        <w:t xml:space="preserve"> For the purposes of this consultation document</w:t>
      </w:r>
      <w:r w:rsidR="008016E2" w:rsidRPr="008016E2">
        <w:t xml:space="preserve">, </w:t>
      </w:r>
      <w:r w:rsidR="002173AC">
        <w:t xml:space="preserve">we propose that </w:t>
      </w:r>
      <w:r w:rsidR="008016E2" w:rsidRPr="007369AC">
        <w:t xml:space="preserve">policyholders facing a </w:t>
      </w:r>
      <w:r w:rsidR="00DF1824">
        <w:t xml:space="preserve">levy increase of three hundred per cent </w:t>
      </w:r>
      <w:r w:rsidR="008016E2" w:rsidRPr="007369AC">
        <w:t xml:space="preserve">(or greater) </w:t>
      </w:r>
      <w:r w:rsidR="008016E2" w:rsidRPr="008016E2">
        <w:t>would be eligible for relief.</w:t>
      </w:r>
    </w:p>
    <w:p w14:paraId="0C22EAE8" w14:textId="0D911567" w:rsidR="000A0135" w:rsidRDefault="000A0135" w:rsidP="000A0135">
      <w:pPr>
        <w:pStyle w:val="Heading4"/>
      </w:pPr>
      <w:r>
        <w:t>Large entities</w:t>
      </w:r>
    </w:p>
    <w:p w14:paraId="0B7E7244" w14:textId="6F0F1BA0" w:rsidR="009C1B83" w:rsidRDefault="009C1B83" w:rsidP="009C1B83">
      <w:r>
        <w:t xml:space="preserve">The second </w:t>
      </w:r>
      <w:r w:rsidR="00E93062">
        <w:t xml:space="preserve">qualifying criteria to be applied relates to the size of the policyholder. </w:t>
      </w:r>
      <w:r>
        <w:t xml:space="preserve">As discussed above, Cabinet has agreed that relief should be available to </w:t>
      </w:r>
      <w:r w:rsidR="00E93062">
        <w:t>‘</w:t>
      </w:r>
      <w:r>
        <w:t>large public and private entities</w:t>
      </w:r>
      <w:r w:rsidR="00E93062">
        <w:t>’</w:t>
      </w:r>
      <w:r>
        <w:t>.</w:t>
      </w:r>
      <w:r w:rsidR="00A30350">
        <w:t xml:space="preserve"> </w:t>
      </w:r>
      <w:r w:rsidR="000A0135">
        <w:t>T</w:t>
      </w:r>
      <w:r>
        <w:t xml:space="preserve">he administration of the </w:t>
      </w:r>
      <w:r w:rsidR="000A0135">
        <w:t xml:space="preserve">relief </w:t>
      </w:r>
      <w:r>
        <w:t xml:space="preserve">regime will be </w:t>
      </w:r>
      <w:r w:rsidR="000A0135">
        <w:t xml:space="preserve">more efficient and effective if it applies </w:t>
      </w:r>
      <w:r>
        <w:t>to a smaller number of policyholders</w:t>
      </w:r>
      <w:r w:rsidR="00E93062">
        <w:t xml:space="preserve"> (that is, only those at the top of the range), as </w:t>
      </w:r>
      <w:r>
        <w:t xml:space="preserve">compliance </w:t>
      </w:r>
      <w:r w:rsidR="00E93062">
        <w:t xml:space="preserve">costs </w:t>
      </w:r>
      <w:r>
        <w:t xml:space="preserve">for insurers, brokers, and Fire and Emergency NZ in assessing </w:t>
      </w:r>
      <w:r w:rsidR="00E93062">
        <w:t xml:space="preserve">and applying </w:t>
      </w:r>
      <w:r>
        <w:t xml:space="preserve">levy relief </w:t>
      </w:r>
      <w:r w:rsidR="00E93062">
        <w:t>will be reduced</w:t>
      </w:r>
      <w:r>
        <w:t>.</w:t>
      </w:r>
    </w:p>
    <w:p w14:paraId="0F07B5B0" w14:textId="77777777" w:rsidR="00A30350" w:rsidRDefault="009C1B83" w:rsidP="009C1B83">
      <w:r>
        <w:t>Our preferred option is to limit levy relief to the largest policyholders, to minimise the additional cost burden on smaller entities, and to reduce compliance costs across the levy regime.</w:t>
      </w:r>
    </w:p>
    <w:p w14:paraId="62C77BD8" w14:textId="00C68646" w:rsidR="00A126D7" w:rsidRDefault="009C1B83" w:rsidP="0091437D">
      <w:r>
        <w:t xml:space="preserve">We propose that only policyholders liable for over $100,000 in levy under the Fire and Emergency NZ regime should be eligible for relief. Assuming </w:t>
      </w:r>
      <w:r w:rsidR="00A126D7">
        <w:t xml:space="preserve">for example </w:t>
      </w:r>
      <w:r>
        <w:t>a levy rate of 10</w:t>
      </w:r>
      <w:r w:rsidR="00403AAC">
        <w:t> </w:t>
      </w:r>
      <w:r>
        <w:t>cents per $100 of insured value, an entity insuring $100 million in assets is liable for $100,000 in levy.</w:t>
      </w:r>
    </w:p>
    <w:p w14:paraId="3100691D" w14:textId="19E70B47" w:rsidR="0091437D" w:rsidRDefault="00A30350" w:rsidP="0091437D">
      <w:r w:rsidRPr="004009A9">
        <w:t>Th</w:t>
      </w:r>
      <w:r>
        <w:t>i</w:t>
      </w:r>
      <w:r w:rsidRPr="004009A9">
        <w:t xml:space="preserve">s figure </w:t>
      </w:r>
      <w:r>
        <w:t xml:space="preserve">is </w:t>
      </w:r>
      <w:r w:rsidRPr="004009A9">
        <w:t xml:space="preserve">a starting point for discussion. </w:t>
      </w:r>
      <w:r>
        <w:t xml:space="preserve">While there </w:t>
      </w:r>
      <w:r w:rsidRPr="004009A9">
        <w:t xml:space="preserve">are few if any </w:t>
      </w:r>
      <w:r>
        <w:t xml:space="preserve">useful points of comparison </w:t>
      </w:r>
      <w:r w:rsidRPr="004009A9">
        <w:t>to draw on</w:t>
      </w:r>
      <w:r>
        <w:t>, w</w:t>
      </w:r>
      <w:r w:rsidRPr="004009A9">
        <w:t xml:space="preserve">e </w:t>
      </w:r>
      <w:r>
        <w:t>consider the threshold should be high, as the relief provision</w:t>
      </w:r>
      <w:r w:rsidR="000A0135">
        <w:t>s</w:t>
      </w:r>
      <w:r>
        <w:t xml:space="preserve"> are intended to apply to those entities facing the most significant impacts.</w:t>
      </w:r>
      <w:r w:rsidR="0091437D" w:rsidRPr="0091437D">
        <w:t xml:space="preserve"> </w:t>
      </w:r>
      <w:r w:rsidR="0091437D">
        <w:t>By way of co</w:t>
      </w:r>
      <w:r w:rsidR="00A126D7">
        <w:t xml:space="preserve">ntext, currently under the Fire </w:t>
      </w:r>
      <w:r w:rsidR="0091437D">
        <w:t xml:space="preserve">Service Act regime, </w:t>
      </w:r>
      <w:r w:rsidR="0091437D" w:rsidRPr="00DD2576">
        <w:t>almost 250 organisations pay in excess of $100,000 levy per annum</w:t>
      </w:r>
      <w:r w:rsidR="0091437D">
        <w:t xml:space="preserve"> (and over 450 organisations pay over $50,000 in levy).</w:t>
      </w:r>
    </w:p>
    <w:p w14:paraId="3354AB9E" w14:textId="5414A5E8" w:rsidR="00777391" w:rsidRDefault="00E5112E" w:rsidP="00D86411">
      <w:r>
        <w:t>We consider that a</w:t>
      </w:r>
      <w:r w:rsidR="007369AC">
        <w:t xml:space="preserve">ll types of property should be taken into account (residential, non-residential, and motor vehicles). </w:t>
      </w:r>
      <w:r w:rsidR="007369AC" w:rsidRPr="007369AC">
        <w:t xml:space="preserve">Where a policyholder’s </w:t>
      </w:r>
      <w:r w:rsidR="008016E2" w:rsidRPr="007369AC">
        <w:t xml:space="preserve">levy liability under </w:t>
      </w:r>
      <w:r>
        <w:t xml:space="preserve">the </w:t>
      </w:r>
      <w:r w:rsidR="008016E2" w:rsidRPr="007369AC">
        <w:t>F</w:t>
      </w:r>
      <w:r>
        <w:t xml:space="preserve">ire </w:t>
      </w:r>
      <w:r w:rsidR="008016E2" w:rsidRPr="007369AC">
        <w:t>S</w:t>
      </w:r>
      <w:r>
        <w:t xml:space="preserve">ervice </w:t>
      </w:r>
      <w:r w:rsidR="008016E2" w:rsidRPr="007369AC">
        <w:t>A</w:t>
      </w:r>
      <w:r>
        <w:t>ct regime</w:t>
      </w:r>
      <w:r w:rsidR="008016E2" w:rsidRPr="007369AC">
        <w:t xml:space="preserve"> </w:t>
      </w:r>
      <w:r w:rsidR="007369AC" w:rsidRPr="007369AC">
        <w:t xml:space="preserve">was zero </w:t>
      </w:r>
      <w:r w:rsidR="008016E2" w:rsidRPr="007369AC">
        <w:t xml:space="preserve">(that is, all property </w:t>
      </w:r>
      <w:r w:rsidR="007369AC" w:rsidRPr="007369AC">
        <w:t xml:space="preserve">covered by an insurance contract </w:t>
      </w:r>
      <w:r w:rsidR="00174B0F">
        <w:t xml:space="preserve">that </w:t>
      </w:r>
      <w:r w:rsidR="008016E2" w:rsidRPr="007369AC">
        <w:t>was formerly exempt)</w:t>
      </w:r>
      <w:r w:rsidR="007369AC" w:rsidRPr="007369AC">
        <w:t>, the liability</w:t>
      </w:r>
      <w:r w:rsidR="00531214">
        <w:t xml:space="preserve"> </w:t>
      </w:r>
      <w:r w:rsidR="008016E2" w:rsidRPr="007369AC">
        <w:t xml:space="preserve">could be treated </w:t>
      </w:r>
      <w:r w:rsidR="004009A9">
        <w:t xml:space="preserve">as </w:t>
      </w:r>
      <w:r w:rsidR="00403AAC">
        <w:t>one</w:t>
      </w:r>
      <w:r w:rsidR="004009A9">
        <w:t xml:space="preserve"> cent for this calculation.</w:t>
      </w:r>
    </w:p>
    <w:p w14:paraId="32899CC8" w14:textId="65185A26" w:rsidR="00A65961" w:rsidRDefault="00D64174" w:rsidP="00DD2576">
      <w:r>
        <w:t>Note that r</w:t>
      </w:r>
      <w:r w:rsidR="004009A9">
        <w:t xml:space="preserve">ural policyholders currently contribute to the costs of fire services </w:t>
      </w:r>
      <w:r w:rsidR="00DD2576">
        <w:t xml:space="preserve">through charges and levies other than the fire levy. </w:t>
      </w:r>
      <w:r w:rsidR="005E63F3">
        <w:t>Some of these funding mechanisms are being discontinued.</w:t>
      </w:r>
      <w:r>
        <w:t xml:space="preserve"> This will have the effect of reducing their </w:t>
      </w:r>
      <w:r w:rsidRPr="008016E2">
        <w:t>L</w:t>
      </w:r>
      <w:r w:rsidRPr="008016E2">
        <w:rPr>
          <w:vertAlign w:val="subscript"/>
        </w:rPr>
        <w:t>FSA</w:t>
      </w:r>
      <w:r>
        <w:t xml:space="preserve"> because it does not take into account the contributions through other mechanisms, making rural policyholders slightly more likely to qualify for relief. </w:t>
      </w:r>
    </w:p>
    <w:p w14:paraId="72474F06" w14:textId="77777777" w:rsidR="00A65961" w:rsidRDefault="00A65961">
      <w:pPr>
        <w:keepLines w:val="0"/>
        <w:spacing w:before="120"/>
      </w:pPr>
      <w:r>
        <w:br w:type="page"/>
      </w:r>
    </w:p>
    <w:tbl>
      <w:tblPr>
        <w:tblStyle w:val="Blanktable"/>
        <w:tblW w:w="0" w:type="auto"/>
        <w:tblLook w:val="04A0" w:firstRow="1" w:lastRow="0" w:firstColumn="1" w:lastColumn="0" w:noHBand="0" w:noVBand="1"/>
      </w:tblPr>
      <w:tblGrid>
        <w:gridCol w:w="9135"/>
      </w:tblGrid>
      <w:tr w:rsidR="00583CF4" w14:paraId="03F23066" w14:textId="77777777" w:rsidTr="00AE5149">
        <w:tc>
          <w:tcPr>
            <w:tcW w:w="9135" w:type="dxa"/>
            <w:shd w:val="clear" w:color="auto" w:fill="D9D9D9" w:themeFill="background1" w:themeFillShade="D9"/>
            <w:vAlign w:val="center"/>
          </w:tcPr>
          <w:p w14:paraId="284F1E09" w14:textId="77777777" w:rsidR="00583CF4" w:rsidRPr="00583CF4" w:rsidRDefault="00583CF4" w:rsidP="00583CF4">
            <w:pPr>
              <w:rPr>
                <w:b/>
                <w:i/>
              </w:rPr>
            </w:pPr>
            <w:r w:rsidRPr="00583CF4">
              <w:rPr>
                <w:b/>
                <w:i/>
              </w:rPr>
              <w:lastRenderedPageBreak/>
              <w:t>Questions</w:t>
            </w:r>
          </w:p>
          <w:p w14:paraId="7E40021A" w14:textId="77777777" w:rsidR="00583CF4" w:rsidRDefault="00583CF4" w:rsidP="003314FB">
            <w:pPr>
              <w:pStyle w:val="ListParagraph"/>
              <w:numPr>
                <w:ilvl w:val="0"/>
                <w:numId w:val="28"/>
              </w:numPr>
            </w:pPr>
            <w:r w:rsidRPr="004C0DD6">
              <w:t xml:space="preserve">Do you agree </w:t>
            </w:r>
            <w:r>
              <w:t>that setting out the circumstances under which a policyholder may qualify for relief in formula</w:t>
            </w:r>
            <w:r w:rsidRPr="004C0DD6">
              <w:t xml:space="preserve"> is the </w:t>
            </w:r>
            <w:r>
              <w:t>best approach</w:t>
            </w:r>
            <w:r w:rsidRPr="004C0DD6">
              <w:t>?</w:t>
            </w:r>
            <w:r>
              <w:t xml:space="preserve"> </w:t>
            </w:r>
            <w:r w:rsidRPr="004C0DD6">
              <w:t>If not</w:t>
            </w:r>
            <w:r>
              <w:t>, why and what alternative</w:t>
            </w:r>
            <w:r w:rsidRPr="004C0DD6">
              <w:t xml:space="preserve"> do you suggest?</w:t>
            </w:r>
          </w:p>
          <w:p w14:paraId="544A9B79" w14:textId="77777777" w:rsidR="00583CF4" w:rsidRDefault="00583CF4" w:rsidP="003314FB">
            <w:pPr>
              <w:pStyle w:val="ListParagraph"/>
              <w:numPr>
                <w:ilvl w:val="0"/>
                <w:numId w:val="27"/>
              </w:numPr>
            </w:pPr>
            <w:r>
              <w:t xml:space="preserve">Do you agree that only entities paying over $100,000 in levy (under the new regime) and facing a three hundred per cent increase should qualify for relief? </w:t>
            </w:r>
            <w:r w:rsidRPr="004C0DD6">
              <w:t>If not</w:t>
            </w:r>
            <w:r>
              <w:t>, why and what alternative</w:t>
            </w:r>
            <w:r w:rsidRPr="004C0DD6">
              <w:t xml:space="preserve"> do you suggest?</w:t>
            </w:r>
          </w:p>
          <w:p w14:paraId="00597BE2" w14:textId="66991E07" w:rsidR="00A65961" w:rsidRDefault="00A65961" w:rsidP="00A65961">
            <w:pPr>
              <w:pStyle w:val="ListParagraph"/>
              <w:ind w:left="720"/>
            </w:pPr>
          </w:p>
        </w:tc>
      </w:tr>
    </w:tbl>
    <w:p w14:paraId="3354ABAE" w14:textId="03F61EB3" w:rsidR="00C467A7" w:rsidRDefault="00F82A45" w:rsidP="008543FD">
      <w:pPr>
        <w:pStyle w:val="Heading3"/>
      </w:pPr>
      <w:r>
        <w:t xml:space="preserve">How much </w:t>
      </w:r>
      <w:r w:rsidR="00564718">
        <w:t>relief should be granted, and how should it be phased?</w:t>
      </w:r>
      <w:r w:rsidR="00C467A7" w:rsidRPr="002815C7">
        <w:t xml:space="preserve"> </w:t>
      </w:r>
    </w:p>
    <w:p w14:paraId="3354ABAF" w14:textId="4143D212" w:rsidR="00C467A7" w:rsidRDefault="00966286" w:rsidP="00966286">
      <w:r>
        <w:t>The Bill</w:t>
      </w:r>
      <w:r w:rsidR="009504C1">
        <w:t>’s transitional relief provisions provide</w:t>
      </w:r>
      <w:r>
        <w:t xml:space="preserve"> that policyholder</w:t>
      </w:r>
      <w:r w:rsidR="009504C1">
        <w:t>s may be granted</w:t>
      </w:r>
      <w:r>
        <w:t xml:space="preserve"> a full or partial exemption from the levy. </w:t>
      </w:r>
      <w:r w:rsidR="009504C1">
        <w:t>To determine the amount of exemption to be granted regulations must either:</w:t>
      </w:r>
    </w:p>
    <w:p w14:paraId="6CEF24C4" w14:textId="1803236C" w:rsidR="002006E6" w:rsidRDefault="002006E6" w:rsidP="002006E6">
      <w:pPr>
        <w:pStyle w:val="Bullet"/>
      </w:pPr>
      <w:r>
        <w:t>provide for the amount of the exemption to be agreed between Fire and Emergency NZ and the specified policyholder, or</w:t>
      </w:r>
    </w:p>
    <w:p w14:paraId="65791A75" w14:textId="0AD963C1" w:rsidR="009504C1" w:rsidRDefault="009504C1" w:rsidP="009504C1">
      <w:pPr>
        <w:pStyle w:val="Bullet"/>
      </w:pPr>
      <w:r>
        <w:t>specify a formula for the calculation of the amount of the exemption</w:t>
      </w:r>
      <w:r w:rsidR="002006E6">
        <w:t>.</w:t>
      </w:r>
    </w:p>
    <w:p w14:paraId="7E09F106" w14:textId="53FC8C74" w:rsidR="000A0135" w:rsidRDefault="000A0135" w:rsidP="000A0135">
      <w:pPr>
        <w:pStyle w:val="Heading4"/>
      </w:pPr>
      <w:r>
        <w:t>Determining amount of relief by agreement</w:t>
      </w:r>
    </w:p>
    <w:p w14:paraId="10D04FFF" w14:textId="77777777" w:rsidR="00A36F77" w:rsidRDefault="00FD2907" w:rsidP="00CC53EC">
      <w:r>
        <w:t>If the regulations provide for exemptions by agreement, the regulations must specify the maximum amount of levy or ma</w:t>
      </w:r>
      <w:r w:rsidRPr="00FD2907">
        <w:t>ximum proportion of levy that may be the subject of an exemption by agreement</w:t>
      </w:r>
      <w:r w:rsidR="00CC53EC">
        <w:t>. This will allow Fire and Emergency NZ to factor the impact of levy relief (across the whole system) into its modelling of levy revenue, before individual di</w:t>
      </w:r>
      <w:r w:rsidR="00A36F77">
        <w:t>scussions on relief take place.</w:t>
      </w:r>
    </w:p>
    <w:p w14:paraId="6ADD68BC" w14:textId="002B00F1" w:rsidR="00FD2907" w:rsidRDefault="00CC53EC" w:rsidP="00CC53EC">
      <w:r>
        <w:t xml:space="preserve">The regulations must also specify </w:t>
      </w:r>
      <w:r w:rsidR="00FD2907" w:rsidRPr="00FD2907">
        <w:t xml:space="preserve">any </w:t>
      </w:r>
      <w:r w:rsidR="00FD2907">
        <w:t xml:space="preserve">matters to which Fire and Emergency NZ must have regard </w:t>
      </w:r>
      <w:r w:rsidR="002006E6">
        <w:t xml:space="preserve">to, </w:t>
      </w:r>
      <w:r w:rsidR="00FD2907">
        <w:t>in considering whether to agree to an exemption.</w:t>
      </w:r>
      <w:r>
        <w:t xml:space="preserve"> This will add a degree of transparency to the process.</w:t>
      </w:r>
    </w:p>
    <w:p w14:paraId="21520ABE" w14:textId="1B30703D" w:rsidR="00A36F77" w:rsidRDefault="00A36F77" w:rsidP="00A36F77">
      <w:r>
        <w:t xml:space="preserve">A relief by agreement approach will provide greater flexibility for </w:t>
      </w:r>
      <w:r w:rsidRPr="00CC53EC">
        <w:t>Fire and Emergency NZ</w:t>
      </w:r>
      <w:r>
        <w:t xml:space="preserve">. However, it </w:t>
      </w:r>
      <w:r w:rsidR="00992298">
        <w:t>could</w:t>
      </w:r>
      <w:r>
        <w:t xml:space="preserve"> impose high cost</w:t>
      </w:r>
      <w:r w:rsidR="00992298">
        <w:t>s</w:t>
      </w:r>
      <w:r>
        <w:t xml:space="preserve"> on policyholders and levy payers (in applying for and agreeing relief with </w:t>
      </w:r>
      <w:r w:rsidRPr="00CC53EC">
        <w:t>Fire and Emergency NZ</w:t>
      </w:r>
      <w:r>
        <w:t xml:space="preserve">) and </w:t>
      </w:r>
      <w:r w:rsidRPr="00CC53EC">
        <w:t>Fire and Emergency NZ</w:t>
      </w:r>
      <w:r>
        <w:t xml:space="preserve"> (in considering and processing applications for relief). It may carry some legal risk for </w:t>
      </w:r>
      <w:r w:rsidRPr="00CC53EC">
        <w:t>Fire and Emergency NZ</w:t>
      </w:r>
      <w:r>
        <w:t xml:space="preserve"> which could be subject to legal challenge by policyholders who apply unsuccessfully for relief.</w:t>
      </w:r>
    </w:p>
    <w:p w14:paraId="6372DE4F" w14:textId="77777777" w:rsidR="00A36F77" w:rsidRDefault="00A36F77" w:rsidP="00A36F77">
      <w:r>
        <w:t xml:space="preserve">There are also a number of implementation challenges with the ‘by agreement’ option, given that it may take some time for agreement to be reached between </w:t>
      </w:r>
      <w:r w:rsidRPr="00CC53EC">
        <w:t>Fire and Emergency NZ</w:t>
      </w:r>
      <w:r>
        <w:t xml:space="preserve"> and potentially hundreds of policyholders seeking relief. From an equity perspective, it would be difficult to ensure that policyholders with insurance renewal dates late in the year were not disadvantaged by relief decisions made earlier in the year (or vice versa).</w:t>
      </w:r>
    </w:p>
    <w:p w14:paraId="45F9C8A6" w14:textId="06AD1063" w:rsidR="000A0135" w:rsidRDefault="000A0135" w:rsidP="000A0135">
      <w:pPr>
        <w:pStyle w:val="Heading4"/>
      </w:pPr>
      <w:r>
        <w:lastRenderedPageBreak/>
        <w:t>Determining amount of relief by formula</w:t>
      </w:r>
    </w:p>
    <w:p w14:paraId="61F5DE5E" w14:textId="77777777" w:rsidR="00D011F8" w:rsidRDefault="00CC53EC" w:rsidP="00CC53EC">
      <w:r>
        <w:t>Once again, a</w:t>
      </w:r>
      <w:r w:rsidRPr="00CC53EC">
        <w:t xml:space="preserve"> formula-based approach for determining when a policyholder would qualify for relief would provide transparency and certainty for levy payers, policyholders, and for Fire and Emergency NZ. </w:t>
      </w:r>
      <w:r w:rsidR="003B6E2F">
        <w:t>It would also be relatively cost effective to administer for policyholders, levy pay</w:t>
      </w:r>
      <w:r w:rsidR="00D011F8">
        <w:t>ers, and Fire and Emergency NZ.</w:t>
      </w:r>
    </w:p>
    <w:p w14:paraId="71A89C2C" w14:textId="30609EC1" w:rsidR="00CC53EC" w:rsidRDefault="00CC53EC" w:rsidP="00CC53EC">
      <w:r>
        <w:t>T</w:t>
      </w:r>
      <w:r w:rsidRPr="00CC53EC">
        <w:t xml:space="preserve">he levy payer (being the insurer or broker or in some cases the policyholder) </w:t>
      </w:r>
      <w:r w:rsidR="003B6E2F">
        <w:t xml:space="preserve">could apply </w:t>
      </w:r>
      <w:r w:rsidRPr="00CC53EC">
        <w:t xml:space="preserve">the relief </w:t>
      </w:r>
      <w:r w:rsidR="003B6E2F">
        <w:t>and reduction formulas</w:t>
      </w:r>
      <w:r w:rsidRPr="00CC53EC">
        <w:t xml:space="preserve"> when making their levy return (using prescribed forms), and levy </w:t>
      </w:r>
      <w:r w:rsidR="003B6E2F">
        <w:t xml:space="preserve">would be </w:t>
      </w:r>
      <w:r w:rsidRPr="00CC53EC">
        <w:t xml:space="preserve">paid with relief reduction applied. Fire and Emergency NZ </w:t>
      </w:r>
      <w:r w:rsidR="003B6E2F">
        <w:t xml:space="preserve">could </w:t>
      </w:r>
      <w:r w:rsidRPr="00CC53EC">
        <w:t>then review the return and issue a notice of pro</w:t>
      </w:r>
      <w:r w:rsidR="003B6E2F">
        <w:t>posed adjustment if it considered</w:t>
      </w:r>
      <w:r w:rsidRPr="00CC53EC">
        <w:t xml:space="preserve"> that there </w:t>
      </w:r>
      <w:r w:rsidR="007F5843">
        <w:t>wa</w:t>
      </w:r>
      <w:r w:rsidRPr="00CC53EC">
        <w:t>s a shortfall</w:t>
      </w:r>
      <w:r w:rsidR="007F5843">
        <w:t xml:space="preserve"> or overpayment</w:t>
      </w:r>
      <w:r w:rsidRPr="00CC53EC">
        <w:t xml:space="preserve">. This approach places the burden of compliance for calculating relief with the levy payer in the first instance. However, assuming the criteria are applied correctly, the levy payer </w:t>
      </w:r>
      <w:r w:rsidR="007F5843">
        <w:t xml:space="preserve">would </w:t>
      </w:r>
      <w:r w:rsidRPr="00CC53EC">
        <w:t xml:space="preserve">never </w:t>
      </w:r>
      <w:r w:rsidR="007F5843">
        <w:t xml:space="preserve">be </w:t>
      </w:r>
      <w:r w:rsidRPr="00CC53EC">
        <w:t>out of pocket from having paid excess levy in advance.</w:t>
      </w:r>
    </w:p>
    <w:p w14:paraId="2714524E" w14:textId="1C33978E" w:rsidR="003B6E2F" w:rsidRDefault="003B6E2F" w:rsidP="00CC53EC">
      <w:r>
        <w:t xml:space="preserve">A formula-based approach </w:t>
      </w:r>
      <w:r w:rsidRPr="00CC53EC">
        <w:t xml:space="preserve">would carry </w:t>
      </w:r>
      <w:r>
        <w:t xml:space="preserve">a </w:t>
      </w:r>
      <w:r w:rsidRPr="00CC53EC">
        <w:t>risk that a rigidly applied criteria may create inequitable outcomes at the margins and it removes discretion from Fire and Emergency NZ on who relief should be granted to.</w:t>
      </w:r>
    </w:p>
    <w:p w14:paraId="3A5E2E59" w14:textId="362796DB" w:rsidR="00A36F77" w:rsidRDefault="00A36F77" w:rsidP="00A36F77">
      <w:r>
        <w:t>An example of a formula-</w:t>
      </w:r>
      <w:r w:rsidR="00FA2C9F">
        <w:t xml:space="preserve">based approach would be </w:t>
      </w:r>
      <w:r>
        <w:t>a percentage reduction to apply to any increase in levy, tapering off year on year. So, assuming a three year relief period it could look like this:</w:t>
      </w:r>
    </w:p>
    <w:tbl>
      <w:tblPr>
        <w:tblStyle w:val="DIATable"/>
        <w:tblW w:w="0" w:type="auto"/>
        <w:jc w:val="center"/>
        <w:tblInd w:w="828" w:type="dxa"/>
        <w:tblLook w:val="04A0" w:firstRow="1" w:lastRow="0" w:firstColumn="1" w:lastColumn="0" w:noHBand="0" w:noVBand="1"/>
      </w:tblPr>
      <w:tblGrid>
        <w:gridCol w:w="2846"/>
        <w:gridCol w:w="2742"/>
        <w:gridCol w:w="64"/>
      </w:tblGrid>
      <w:tr w:rsidR="00A36F77" w14:paraId="69A7C61A" w14:textId="77777777" w:rsidTr="00180D06">
        <w:trPr>
          <w:cnfStyle w:val="100000000000" w:firstRow="1" w:lastRow="0" w:firstColumn="0" w:lastColumn="0" w:oddVBand="0" w:evenVBand="0" w:oddHBand="0" w:evenHBand="0" w:firstRowFirstColumn="0" w:firstRowLastColumn="0" w:lastRowFirstColumn="0" w:lastRowLastColumn="0"/>
          <w:jc w:val="center"/>
        </w:trPr>
        <w:tc>
          <w:tcPr>
            <w:tcW w:w="2846" w:type="dxa"/>
            <w:tcBorders>
              <w:top w:val="nil"/>
              <w:left w:val="nil"/>
              <w:right w:val="nil"/>
            </w:tcBorders>
          </w:tcPr>
          <w:p w14:paraId="4A24DD7B" w14:textId="77777777" w:rsidR="00A36F77" w:rsidRDefault="00A36F77" w:rsidP="00180D06">
            <w:pPr>
              <w:pStyle w:val="Tablenormal0"/>
              <w:jc w:val="center"/>
            </w:pPr>
            <w:r>
              <w:t>Year</w:t>
            </w:r>
          </w:p>
        </w:tc>
        <w:tc>
          <w:tcPr>
            <w:tcW w:w="2806" w:type="dxa"/>
            <w:gridSpan w:val="2"/>
            <w:tcBorders>
              <w:top w:val="nil"/>
              <w:left w:val="nil"/>
              <w:right w:val="nil"/>
            </w:tcBorders>
          </w:tcPr>
          <w:p w14:paraId="035186A9" w14:textId="77777777" w:rsidR="00A36F77" w:rsidRDefault="00A36F77" w:rsidP="00180D06">
            <w:pPr>
              <w:pStyle w:val="Tablenormal0"/>
              <w:jc w:val="center"/>
            </w:pPr>
            <w:r>
              <w:t xml:space="preserve">Reduction to levy increase (if eligible for relief) </w:t>
            </w:r>
          </w:p>
        </w:tc>
      </w:tr>
      <w:tr w:rsidR="00A36F77" w14:paraId="6D9182E3" w14:textId="77777777" w:rsidTr="00180D06">
        <w:trPr>
          <w:gridAfter w:val="1"/>
          <w:wAfter w:w="64" w:type="dxa"/>
          <w:jc w:val="center"/>
        </w:trPr>
        <w:tc>
          <w:tcPr>
            <w:tcW w:w="2846" w:type="dxa"/>
            <w:tcBorders>
              <w:top w:val="nil"/>
            </w:tcBorders>
          </w:tcPr>
          <w:p w14:paraId="6467C2F0" w14:textId="77777777" w:rsidR="00A36F77" w:rsidRDefault="00A36F77" w:rsidP="00180D06">
            <w:pPr>
              <w:pStyle w:val="Tablenormal0"/>
              <w:jc w:val="center"/>
            </w:pPr>
            <w:r>
              <w:t>2018/19</w:t>
            </w:r>
          </w:p>
        </w:tc>
        <w:tc>
          <w:tcPr>
            <w:tcW w:w="2742" w:type="dxa"/>
            <w:tcBorders>
              <w:top w:val="nil"/>
            </w:tcBorders>
          </w:tcPr>
          <w:p w14:paraId="7BAE6CD1" w14:textId="77777777" w:rsidR="00A36F77" w:rsidRDefault="00A36F77" w:rsidP="00180D06">
            <w:pPr>
              <w:pStyle w:val="Tablenormal0"/>
              <w:jc w:val="center"/>
            </w:pPr>
            <w:r>
              <w:t>50%</w:t>
            </w:r>
          </w:p>
        </w:tc>
      </w:tr>
      <w:tr w:rsidR="00A36F77" w14:paraId="61D41597" w14:textId="77777777" w:rsidTr="00180D06">
        <w:trPr>
          <w:gridAfter w:val="1"/>
          <w:wAfter w:w="64" w:type="dxa"/>
          <w:jc w:val="center"/>
        </w:trPr>
        <w:tc>
          <w:tcPr>
            <w:tcW w:w="2846" w:type="dxa"/>
          </w:tcPr>
          <w:p w14:paraId="02572D23" w14:textId="77777777" w:rsidR="00A36F77" w:rsidRDefault="00A36F77" w:rsidP="00180D06">
            <w:pPr>
              <w:pStyle w:val="Tablenormal0"/>
              <w:jc w:val="center"/>
            </w:pPr>
            <w:r>
              <w:t>2019/20</w:t>
            </w:r>
          </w:p>
        </w:tc>
        <w:tc>
          <w:tcPr>
            <w:tcW w:w="2742" w:type="dxa"/>
          </w:tcPr>
          <w:p w14:paraId="656B5621" w14:textId="77777777" w:rsidR="00A36F77" w:rsidRDefault="00A36F77" w:rsidP="00180D06">
            <w:pPr>
              <w:pStyle w:val="Tablenormal0"/>
              <w:jc w:val="center"/>
            </w:pPr>
            <w:r>
              <w:t>25%</w:t>
            </w:r>
          </w:p>
        </w:tc>
      </w:tr>
      <w:tr w:rsidR="00A36F77" w14:paraId="34F93902" w14:textId="77777777" w:rsidTr="00180D06">
        <w:trPr>
          <w:gridAfter w:val="1"/>
          <w:wAfter w:w="64" w:type="dxa"/>
          <w:jc w:val="center"/>
        </w:trPr>
        <w:tc>
          <w:tcPr>
            <w:tcW w:w="2846" w:type="dxa"/>
          </w:tcPr>
          <w:p w14:paraId="204D3E63" w14:textId="77777777" w:rsidR="00A36F77" w:rsidRDefault="00A36F77" w:rsidP="00180D06">
            <w:pPr>
              <w:pStyle w:val="Tablenormal0"/>
              <w:jc w:val="center"/>
            </w:pPr>
            <w:r>
              <w:t>2020/21</w:t>
            </w:r>
          </w:p>
        </w:tc>
        <w:tc>
          <w:tcPr>
            <w:tcW w:w="2742" w:type="dxa"/>
          </w:tcPr>
          <w:p w14:paraId="4E5F3175" w14:textId="77777777" w:rsidR="00A36F77" w:rsidRDefault="00A36F77" w:rsidP="00180D06">
            <w:pPr>
              <w:pStyle w:val="Tablenormal0"/>
              <w:jc w:val="center"/>
            </w:pPr>
            <w:r>
              <w:t>12.5%</w:t>
            </w:r>
          </w:p>
        </w:tc>
      </w:tr>
      <w:tr w:rsidR="00A36F77" w14:paraId="5B045279" w14:textId="77777777" w:rsidTr="00180D06">
        <w:trPr>
          <w:gridAfter w:val="1"/>
          <w:wAfter w:w="64" w:type="dxa"/>
          <w:jc w:val="center"/>
        </w:trPr>
        <w:tc>
          <w:tcPr>
            <w:tcW w:w="2846" w:type="dxa"/>
          </w:tcPr>
          <w:p w14:paraId="580CE3F5" w14:textId="77777777" w:rsidR="00A36F77" w:rsidRDefault="00A36F77" w:rsidP="00180D06">
            <w:pPr>
              <w:pStyle w:val="Tablenormal0"/>
              <w:jc w:val="center"/>
            </w:pPr>
            <w:r>
              <w:t>2021/22</w:t>
            </w:r>
          </w:p>
        </w:tc>
        <w:tc>
          <w:tcPr>
            <w:tcW w:w="2742" w:type="dxa"/>
          </w:tcPr>
          <w:p w14:paraId="01920CDE" w14:textId="77777777" w:rsidR="00A36F77" w:rsidRDefault="00A36F77" w:rsidP="00180D06">
            <w:pPr>
              <w:pStyle w:val="Tablenormal0"/>
              <w:jc w:val="center"/>
            </w:pPr>
            <w:r>
              <w:t>0%</w:t>
            </w:r>
          </w:p>
        </w:tc>
      </w:tr>
    </w:tbl>
    <w:p w14:paraId="4FDCE424" w14:textId="77777777" w:rsidR="00A36F77" w:rsidRDefault="00A36F77" w:rsidP="00A36F77">
      <w:r>
        <w:t>Some examples of how this model would apply are given at Appendix B. The examples highlight some of the inequitable outcomes at the margins that occur with a simple formula. A more complex formula could be applied, with the disadvantage of increased complexity and compliance costs.</w:t>
      </w:r>
    </w:p>
    <w:p w14:paraId="4933BB65" w14:textId="56DCE4FF" w:rsidR="00190516" w:rsidRDefault="00190516" w:rsidP="00190516">
      <w:pPr>
        <w:pStyle w:val="Heading4"/>
      </w:pPr>
      <w:r>
        <w:t>Phasing of relief</w:t>
      </w:r>
    </w:p>
    <w:p w14:paraId="467ED56A" w14:textId="77777777" w:rsidR="00A036AD" w:rsidRDefault="00966286" w:rsidP="00CC53EC">
      <w:r>
        <w:t xml:space="preserve">The </w:t>
      </w:r>
      <w:r w:rsidR="00C467A7">
        <w:t xml:space="preserve">Bill </w:t>
      </w:r>
      <w:r>
        <w:t xml:space="preserve">allows </w:t>
      </w:r>
      <w:r w:rsidR="00C467A7">
        <w:t xml:space="preserve">for </w:t>
      </w:r>
      <w:r>
        <w:t xml:space="preserve">levy </w:t>
      </w:r>
      <w:r w:rsidR="00C467A7" w:rsidRPr="00327EC8">
        <w:t xml:space="preserve">relief </w:t>
      </w:r>
      <w:r w:rsidR="00C467A7">
        <w:t xml:space="preserve">to </w:t>
      </w:r>
      <w:r>
        <w:t xml:space="preserve">be granted for </w:t>
      </w:r>
      <w:r w:rsidR="00C467A7">
        <w:t xml:space="preserve">up to seven years. </w:t>
      </w:r>
      <w:r>
        <w:t>The i</w:t>
      </w:r>
      <w:r w:rsidR="00C467A7">
        <w:t xml:space="preserve">ntention is to assist eligible </w:t>
      </w:r>
      <w:r>
        <w:t xml:space="preserve">policyholders </w:t>
      </w:r>
      <w:r w:rsidR="00C467A7">
        <w:t xml:space="preserve">to adjust to </w:t>
      </w:r>
      <w:r w:rsidR="00B87A78">
        <w:t xml:space="preserve">the </w:t>
      </w:r>
      <w:r w:rsidR="00C467A7">
        <w:t>new levy regime by phasing in increases over time.</w:t>
      </w:r>
    </w:p>
    <w:p w14:paraId="44622738" w14:textId="05B72D74" w:rsidR="00180D06" w:rsidRDefault="003F43CD" w:rsidP="00CC53EC">
      <w:r>
        <w:t>For illustration purposes, t</w:t>
      </w:r>
      <w:r w:rsidR="00180D06">
        <w:t>he example given above (and at Appendix B) shows a levy relief formula applying over three years.</w:t>
      </w:r>
      <w:r>
        <w:t xml:space="preserve"> However relief could apply over up to seven years under either a formula-based or ‘by agreement’ approach.</w:t>
      </w:r>
    </w:p>
    <w:p w14:paraId="25801B49" w14:textId="4796F25A" w:rsidR="00A36F77" w:rsidRDefault="00C467A7" w:rsidP="00CC53EC">
      <w:r>
        <w:lastRenderedPageBreak/>
        <w:t>Phasing ove</w:t>
      </w:r>
      <w:r w:rsidR="00FD2907">
        <w:t>r a longer period eases the</w:t>
      </w:r>
      <w:r w:rsidR="00A036AD">
        <w:t xml:space="preserve"> transition</w:t>
      </w:r>
      <w:r w:rsidR="002006E6">
        <w:t xml:space="preserve"> for policyholders</w:t>
      </w:r>
      <w:r w:rsidR="00A036AD">
        <w:t xml:space="preserve">. </w:t>
      </w:r>
      <w:r>
        <w:t>However</w:t>
      </w:r>
      <w:r w:rsidR="00966286">
        <w:t xml:space="preserve">, a longer period of transitional relief also </w:t>
      </w:r>
      <w:r>
        <w:t>increase</w:t>
      </w:r>
      <w:r w:rsidR="00966286">
        <w:t>s</w:t>
      </w:r>
      <w:r>
        <w:t xml:space="preserve"> complexity, uncertainty, unpredictability, </w:t>
      </w:r>
      <w:r w:rsidR="00966286">
        <w:t xml:space="preserve">cost of administration, </w:t>
      </w:r>
      <w:r>
        <w:t xml:space="preserve">and risk. </w:t>
      </w:r>
      <w:r w:rsidR="00586122">
        <w:t xml:space="preserve">It will also increase the </w:t>
      </w:r>
      <w:r>
        <w:t xml:space="preserve">total cost of relief across </w:t>
      </w:r>
      <w:r w:rsidR="008173F4">
        <w:t xml:space="preserve">the </w:t>
      </w:r>
      <w:r>
        <w:t>system</w:t>
      </w:r>
      <w:r w:rsidR="008173F4">
        <w:t xml:space="preserve"> over the transition period</w:t>
      </w:r>
      <w:r>
        <w:t xml:space="preserve">, </w:t>
      </w:r>
      <w:r w:rsidR="00586122">
        <w:t>which will disadvantage</w:t>
      </w:r>
      <w:r>
        <w:t xml:space="preserve"> </w:t>
      </w:r>
      <w:r w:rsidR="00586122">
        <w:t xml:space="preserve">smaller </w:t>
      </w:r>
      <w:r w:rsidR="004D0FC1">
        <w:t xml:space="preserve">non-residential </w:t>
      </w:r>
      <w:r>
        <w:t>policyholders</w:t>
      </w:r>
      <w:r w:rsidR="004D0FC1">
        <w:t xml:space="preserve"> who </w:t>
      </w:r>
      <w:r w:rsidR="00FD2907">
        <w:t xml:space="preserve">will collectively </w:t>
      </w:r>
      <w:r w:rsidR="004D0FC1">
        <w:t>meet the cost</w:t>
      </w:r>
      <w:r w:rsidR="00531214">
        <w:t xml:space="preserve"> </w:t>
      </w:r>
      <w:r w:rsidR="004D0FC1">
        <w:t>of relief (</w:t>
      </w:r>
      <w:r>
        <w:t xml:space="preserve">as described </w:t>
      </w:r>
      <w:r w:rsidRPr="001D0B10">
        <w:t>above</w:t>
      </w:r>
      <w:r w:rsidR="004D0FC1">
        <w:t>)</w:t>
      </w:r>
      <w:r>
        <w:t>.</w:t>
      </w:r>
    </w:p>
    <w:tbl>
      <w:tblPr>
        <w:tblStyle w:val="Blanktable"/>
        <w:tblW w:w="0" w:type="auto"/>
        <w:tblLook w:val="04A0" w:firstRow="1" w:lastRow="0" w:firstColumn="1" w:lastColumn="0" w:noHBand="0" w:noVBand="1"/>
      </w:tblPr>
      <w:tblGrid>
        <w:gridCol w:w="9135"/>
      </w:tblGrid>
      <w:tr w:rsidR="00583CF4" w14:paraId="4623DF5A" w14:textId="77777777" w:rsidTr="00AE5149">
        <w:tc>
          <w:tcPr>
            <w:tcW w:w="9243" w:type="dxa"/>
            <w:shd w:val="clear" w:color="auto" w:fill="D9D9D9" w:themeFill="background1" w:themeFillShade="D9"/>
          </w:tcPr>
          <w:p w14:paraId="10F9A475" w14:textId="77777777" w:rsidR="00583CF4" w:rsidRPr="00583CF4" w:rsidRDefault="00583CF4" w:rsidP="00583CF4">
            <w:pPr>
              <w:rPr>
                <w:b/>
                <w:i/>
              </w:rPr>
            </w:pPr>
            <w:r w:rsidRPr="00583CF4">
              <w:rPr>
                <w:b/>
                <w:i/>
              </w:rPr>
              <w:t>Questions</w:t>
            </w:r>
          </w:p>
          <w:p w14:paraId="5426DD3E" w14:textId="77777777" w:rsidR="00583CF4" w:rsidRDefault="00583CF4" w:rsidP="003314FB">
            <w:pPr>
              <w:pStyle w:val="ListParagraph"/>
              <w:numPr>
                <w:ilvl w:val="0"/>
                <w:numId w:val="27"/>
              </w:numPr>
            </w:pPr>
            <w:r>
              <w:t>Do you prefer a formula-based or ‘by agreement’ approach to determining the amount of relief for individual policyholders? Why?</w:t>
            </w:r>
          </w:p>
          <w:p w14:paraId="72026AF6" w14:textId="77777777" w:rsidR="00583CF4" w:rsidRDefault="00583CF4" w:rsidP="003314FB">
            <w:pPr>
              <w:pStyle w:val="ListParagraph"/>
              <w:numPr>
                <w:ilvl w:val="0"/>
                <w:numId w:val="27"/>
              </w:numPr>
            </w:pPr>
            <w:r>
              <w:t>For the formula-based approach, do you agree with proposed reductions over three years? If not, why and what alternative do you suggest?</w:t>
            </w:r>
          </w:p>
          <w:p w14:paraId="215C4275" w14:textId="77777777" w:rsidR="00583CF4" w:rsidRDefault="00583CF4" w:rsidP="003314FB">
            <w:pPr>
              <w:pStyle w:val="ListParagraph"/>
              <w:numPr>
                <w:ilvl w:val="0"/>
                <w:numId w:val="27"/>
              </w:numPr>
            </w:pPr>
            <w:r>
              <w:t>For the ‘by agreement’ approach, what matters should Fire and Emergency NZ be required to have regard to in considering the amount of exemption?</w:t>
            </w:r>
          </w:p>
          <w:p w14:paraId="3C91F2FE" w14:textId="75B0F853" w:rsidR="00A65961" w:rsidRDefault="00A65961" w:rsidP="00A65961">
            <w:pPr>
              <w:pStyle w:val="ListParagraph"/>
              <w:ind w:left="720"/>
            </w:pPr>
          </w:p>
        </w:tc>
      </w:tr>
    </w:tbl>
    <w:p w14:paraId="3354ABCB" w14:textId="77777777" w:rsidR="00DC352F" w:rsidRDefault="00DC352F" w:rsidP="00CA09EE">
      <w:pPr>
        <w:pStyle w:val="Heading2"/>
      </w:pPr>
      <w:bookmarkStart w:id="24" w:name="_Toc472684567"/>
      <w:bookmarkStart w:id="25" w:name="_Toc472692013"/>
      <w:bookmarkStart w:id="26" w:name="_Toc476839855"/>
      <w:r>
        <w:t>Options</w:t>
      </w:r>
      <w:bookmarkEnd w:id="24"/>
      <w:bookmarkEnd w:id="25"/>
      <w:bookmarkEnd w:id="26"/>
    </w:p>
    <w:p w14:paraId="3354ABCC" w14:textId="77777777" w:rsidR="00C467A7" w:rsidRPr="00ED164E" w:rsidRDefault="00733AAC" w:rsidP="00DC352F">
      <w:pPr>
        <w:pStyle w:val="Heading3"/>
      </w:pPr>
      <w:r w:rsidRPr="00ED164E">
        <w:t xml:space="preserve">Assessing </w:t>
      </w:r>
      <w:r w:rsidR="00D86411" w:rsidRPr="00ED164E">
        <w:t>impact</w:t>
      </w:r>
      <w:r w:rsidRPr="00ED164E">
        <w:t xml:space="preserve"> of options</w:t>
      </w:r>
    </w:p>
    <w:p w14:paraId="3354ABCD" w14:textId="22A2210B" w:rsidR="00C467A7" w:rsidRPr="00ED164E" w:rsidRDefault="00733AAC" w:rsidP="00C467A7">
      <w:r w:rsidRPr="00ED164E">
        <w:t xml:space="preserve">It is </w:t>
      </w:r>
      <w:r w:rsidR="002006E6">
        <w:t>very</w:t>
      </w:r>
      <w:r w:rsidRPr="00ED164E">
        <w:t xml:space="preserve"> d</w:t>
      </w:r>
      <w:r w:rsidR="00C467A7" w:rsidRPr="00ED164E">
        <w:t xml:space="preserve">ifficult to </w:t>
      </w:r>
      <w:r w:rsidRPr="00ED164E">
        <w:t xml:space="preserve">accurately </w:t>
      </w:r>
      <w:r w:rsidR="00C467A7" w:rsidRPr="00ED164E">
        <w:t xml:space="preserve">assess </w:t>
      </w:r>
      <w:r w:rsidRPr="00ED164E">
        <w:t xml:space="preserve">the </w:t>
      </w:r>
      <w:r w:rsidR="00C467A7" w:rsidRPr="00ED164E">
        <w:t xml:space="preserve">impact </w:t>
      </w:r>
      <w:r w:rsidRPr="00ED164E">
        <w:t>of levy relief because:</w:t>
      </w:r>
    </w:p>
    <w:p w14:paraId="3354ABCE" w14:textId="58FDD2FC" w:rsidR="00C467A7" w:rsidRPr="00ED164E" w:rsidRDefault="00733AAC" w:rsidP="003314FB">
      <w:pPr>
        <w:pStyle w:val="ListParagraph"/>
        <w:numPr>
          <w:ilvl w:val="0"/>
          <w:numId w:val="29"/>
        </w:numPr>
      </w:pPr>
      <w:r w:rsidRPr="00ED164E">
        <w:t xml:space="preserve">We do not have access to </w:t>
      </w:r>
      <w:r w:rsidR="00C467A7" w:rsidRPr="00ED164E">
        <w:t xml:space="preserve">policyholder-level information on </w:t>
      </w:r>
      <w:r w:rsidRPr="00ED164E">
        <w:t xml:space="preserve">all </w:t>
      </w:r>
      <w:r w:rsidR="00C467A7" w:rsidRPr="00ED164E">
        <w:t>current policyholders</w:t>
      </w:r>
      <w:r w:rsidRPr="00ED164E">
        <w:t xml:space="preserve"> who might be </w:t>
      </w:r>
      <w:r w:rsidR="00A818CD">
        <w:t>a</w:t>
      </w:r>
      <w:r w:rsidR="00A818CD" w:rsidRPr="00ED164E">
        <w:t xml:space="preserve">ffected </w:t>
      </w:r>
      <w:r w:rsidRPr="00ED164E">
        <w:t>by the changes.</w:t>
      </w:r>
    </w:p>
    <w:p w14:paraId="3354ABCF" w14:textId="285249F4" w:rsidR="00733AAC" w:rsidRPr="00ED164E" w:rsidRDefault="00733AAC" w:rsidP="003314FB">
      <w:pPr>
        <w:pStyle w:val="ListParagraph"/>
        <w:numPr>
          <w:ilvl w:val="0"/>
          <w:numId w:val="29"/>
        </w:numPr>
      </w:pPr>
      <w:r w:rsidRPr="00ED164E">
        <w:t>M</w:t>
      </w:r>
      <w:r w:rsidR="00C467A7" w:rsidRPr="00ED164E">
        <w:t xml:space="preserve">odelling </w:t>
      </w:r>
      <w:r w:rsidRPr="00ED164E">
        <w:t xml:space="preserve">the impact of changes </w:t>
      </w:r>
      <w:r w:rsidR="00C467A7" w:rsidRPr="00ED164E">
        <w:t xml:space="preserve">when several variables </w:t>
      </w:r>
      <w:r w:rsidRPr="00ED164E">
        <w:t>are changing all at once is inherently complex and uncertain. For example the levy exemptions have not yet been finalised, and levy rate</w:t>
      </w:r>
      <w:r w:rsidR="002006E6">
        <w:t>s</w:t>
      </w:r>
      <w:r w:rsidRPr="00ED164E">
        <w:t xml:space="preserve"> </w:t>
      </w:r>
      <w:r w:rsidR="002006E6">
        <w:t xml:space="preserve">have </w:t>
      </w:r>
      <w:r w:rsidRPr="00ED164E">
        <w:t xml:space="preserve">not yet </w:t>
      </w:r>
      <w:r w:rsidR="002006E6">
        <w:t xml:space="preserve">been </w:t>
      </w:r>
      <w:r w:rsidRPr="00ED164E">
        <w:t>set.</w:t>
      </w:r>
    </w:p>
    <w:p w14:paraId="3354ABD0" w14:textId="2294D2DC" w:rsidR="00C467A7" w:rsidRPr="00ED164E" w:rsidRDefault="00733AAC" w:rsidP="003314FB">
      <w:pPr>
        <w:pStyle w:val="ListParagraph"/>
        <w:numPr>
          <w:ilvl w:val="0"/>
          <w:numId w:val="29"/>
        </w:numPr>
      </w:pPr>
      <w:r w:rsidRPr="00ED164E">
        <w:t>In particular, we l</w:t>
      </w:r>
      <w:r w:rsidR="00C467A7" w:rsidRPr="00ED164E">
        <w:t>ack information about insurance coverage for property currently exempt under F</w:t>
      </w:r>
      <w:r w:rsidR="008F12DB">
        <w:t xml:space="preserve">ire Service </w:t>
      </w:r>
      <w:r w:rsidR="00C467A7" w:rsidRPr="00ED164E">
        <w:t>A</w:t>
      </w:r>
      <w:r w:rsidR="008F12DB">
        <w:t>ct</w:t>
      </w:r>
      <w:r w:rsidR="00C467A7" w:rsidRPr="00ED164E">
        <w:t xml:space="preserve"> regime.</w:t>
      </w:r>
    </w:p>
    <w:p w14:paraId="3354ABD1" w14:textId="792FD2F7" w:rsidR="00C10105" w:rsidRDefault="00733AAC" w:rsidP="003314FB">
      <w:pPr>
        <w:pStyle w:val="ListParagraph"/>
        <w:keepLines w:val="0"/>
        <w:numPr>
          <w:ilvl w:val="0"/>
          <w:numId w:val="29"/>
        </w:numPr>
      </w:pPr>
      <w:r w:rsidRPr="00ED164E">
        <w:t>There is also inherent un</w:t>
      </w:r>
      <w:r w:rsidR="00C467A7" w:rsidRPr="00ED164E">
        <w:t xml:space="preserve">certainty </w:t>
      </w:r>
      <w:r w:rsidRPr="00ED164E">
        <w:t xml:space="preserve">about the </w:t>
      </w:r>
      <w:r w:rsidR="00C467A7" w:rsidRPr="00ED164E">
        <w:t>behaviour of</w:t>
      </w:r>
      <w:r w:rsidRPr="00ED164E">
        <w:t xml:space="preserve"> policyholders and lev</w:t>
      </w:r>
      <w:r w:rsidR="00C10105">
        <w:t>y payers in response to changes.</w:t>
      </w:r>
    </w:p>
    <w:p w14:paraId="3354ABD8" w14:textId="68A91A1C" w:rsidR="00C10105" w:rsidRDefault="00C10105" w:rsidP="00C10105">
      <w:r>
        <w:t>Given these challenges, t</w:t>
      </w:r>
      <w:r w:rsidRPr="00ED164E">
        <w:t xml:space="preserve">he options analysis </w:t>
      </w:r>
      <w:r w:rsidR="00B978D4">
        <w:t xml:space="preserve">in Table 1 </w:t>
      </w:r>
      <w:r w:rsidRPr="00ED164E">
        <w:t xml:space="preserve">below takes a principled approach to assessing </w:t>
      </w:r>
      <w:r>
        <w:t>different options against policy objectives.</w:t>
      </w:r>
    </w:p>
    <w:p w14:paraId="6DFBD18B" w14:textId="77777777" w:rsidR="006B762D" w:rsidRDefault="006B762D" w:rsidP="006B762D"/>
    <w:p w14:paraId="2F0D6047" w14:textId="77777777" w:rsidR="006B762D" w:rsidRDefault="006B762D" w:rsidP="006B762D">
      <w:pPr>
        <w:rPr>
          <w:rFonts w:cs="Arial"/>
          <w:color w:val="1F546B"/>
          <w:sz w:val="28"/>
          <w:szCs w:val="26"/>
        </w:rPr>
      </w:pPr>
      <w:r>
        <w:br w:type="page"/>
      </w:r>
    </w:p>
    <w:p w14:paraId="679CBF35" w14:textId="5F1D65AE" w:rsidR="00A619BB" w:rsidRDefault="006B762D" w:rsidP="00E90106">
      <w:pPr>
        <w:pStyle w:val="Heading3"/>
      </w:pPr>
      <w:r>
        <w:lastRenderedPageBreak/>
        <w:t xml:space="preserve">Table1: </w:t>
      </w:r>
      <w:r w:rsidR="00E90106" w:rsidRPr="00E90106">
        <w:t>Comparison of options</w:t>
      </w:r>
    </w:p>
    <w:tbl>
      <w:tblPr>
        <w:tblStyle w:val="DIATable"/>
        <w:tblW w:w="9819" w:type="dxa"/>
        <w:tblLayout w:type="fixed"/>
        <w:tblLook w:val="04A0" w:firstRow="1" w:lastRow="0" w:firstColumn="1" w:lastColumn="0" w:noHBand="0" w:noVBand="1"/>
      </w:tblPr>
      <w:tblGrid>
        <w:gridCol w:w="2454"/>
        <w:gridCol w:w="2455"/>
        <w:gridCol w:w="2455"/>
        <w:gridCol w:w="2455"/>
      </w:tblGrid>
      <w:tr w:rsidR="00A619BB" w14:paraId="7DC6A505" w14:textId="77777777" w:rsidTr="00AC6F98">
        <w:trPr>
          <w:cnfStyle w:val="100000000000" w:firstRow="1" w:lastRow="0" w:firstColumn="0" w:lastColumn="0" w:oddVBand="0" w:evenVBand="0" w:oddHBand="0" w:evenHBand="0" w:firstRowFirstColumn="0" w:firstRowLastColumn="0" w:lastRowFirstColumn="0" w:lastRowLastColumn="0"/>
          <w:trHeight w:val="1155"/>
        </w:trPr>
        <w:tc>
          <w:tcPr>
            <w:tcW w:w="2454" w:type="dxa"/>
          </w:tcPr>
          <w:p w14:paraId="3F27A1DB" w14:textId="77777777" w:rsidR="00A619BB" w:rsidRDefault="00A619BB" w:rsidP="00AC5805">
            <w:pPr>
              <w:pStyle w:val="Tablenormal0"/>
            </w:pPr>
            <w:r>
              <w:t>Policy objective</w:t>
            </w:r>
          </w:p>
        </w:tc>
        <w:tc>
          <w:tcPr>
            <w:tcW w:w="2455" w:type="dxa"/>
          </w:tcPr>
          <w:p w14:paraId="6E792433" w14:textId="77777777" w:rsidR="00A619BB" w:rsidRDefault="00A619BB" w:rsidP="00AC5805">
            <w:pPr>
              <w:pStyle w:val="Tablenormal0"/>
            </w:pPr>
            <w:r>
              <w:t>Option 1</w:t>
            </w:r>
          </w:p>
          <w:p w14:paraId="386EA9F8" w14:textId="77777777" w:rsidR="00A619BB" w:rsidRDefault="00A619BB" w:rsidP="00AC5805">
            <w:pPr>
              <w:pStyle w:val="Tablenormal0"/>
            </w:pPr>
            <w:r>
              <w:t>No levy relief</w:t>
            </w:r>
          </w:p>
        </w:tc>
        <w:tc>
          <w:tcPr>
            <w:tcW w:w="2455" w:type="dxa"/>
          </w:tcPr>
          <w:p w14:paraId="087B6916" w14:textId="77777777" w:rsidR="00A619BB" w:rsidRDefault="00A619BB" w:rsidP="00AC5805">
            <w:pPr>
              <w:pStyle w:val="Tablenormal0"/>
            </w:pPr>
            <w:r>
              <w:t>Option 2</w:t>
            </w:r>
          </w:p>
          <w:p w14:paraId="017B2A3E" w14:textId="77B38D60" w:rsidR="00A619BB" w:rsidRDefault="00A619BB" w:rsidP="00AC5805">
            <w:pPr>
              <w:pStyle w:val="Tablenormal0"/>
            </w:pPr>
            <w:r>
              <w:t>Amount of relief set in formula</w:t>
            </w:r>
          </w:p>
        </w:tc>
        <w:tc>
          <w:tcPr>
            <w:tcW w:w="2455" w:type="dxa"/>
          </w:tcPr>
          <w:p w14:paraId="6D10374E" w14:textId="77777777" w:rsidR="00A619BB" w:rsidRDefault="00A619BB" w:rsidP="00AC5805">
            <w:pPr>
              <w:pStyle w:val="Tablenormal0"/>
            </w:pPr>
            <w:r>
              <w:t>Option 3</w:t>
            </w:r>
          </w:p>
          <w:p w14:paraId="2226A0AD" w14:textId="433B7066" w:rsidR="00A619BB" w:rsidRDefault="00A619BB" w:rsidP="00AC5805">
            <w:pPr>
              <w:pStyle w:val="Tablenormal0"/>
            </w:pPr>
            <w:r>
              <w:t>Amount of relief by agreement</w:t>
            </w:r>
          </w:p>
        </w:tc>
      </w:tr>
      <w:tr w:rsidR="00A619BB" w14:paraId="5D10BAF5" w14:textId="77777777" w:rsidTr="00AC6F98">
        <w:trPr>
          <w:trHeight w:val="767"/>
        </w:trPr>
        <w:tc>
          <w:tcPr>
            <w:tcW w:w="2454" w:type="dxa"/>
          </w:tcPr>
          <w:p w14:paraId="48B5BBCF" w14:textId="77777777" w:rsidR="00A619BB" w:rsidRPr="00EA2FAD" w:rsidRDefault="00A619BB" w:rsidP="00AC5805">
            <w:pPr>
              <w:pStyle w:val="Tablenormal0"/>
            </w:pPr>
            <w:r w:rsidRPr="00EA2FAD">
              <w:t>Policyholders not subject to an unreasonable burden as result because of levy increases</w:t>
            </w:r>
          </w:p>
        </w:tc>
        <w:tc>
          <w:tcPr>
            <w:tcW w:w="2455" w:type="dxa"/>
          </w:tcPr>
          <w:p w14:paraId="7EF2CBF0" w14:textId="2C51AC9F" w:rsidR="00A619BB" w:rsidRPr="00EA2FAD" w:rsidRDefault="00A619BB" w:rsidP="00AC5805">
            <w:pPr>
              <w:pStyle w:val="Tablenormal0"/>
            </w:pPr>
            <w:r w:rsidRPr="00EA2FAD">
              <w:t>Does not meet</w:t>
            </w:r>
            <w:r w:rsidR="00EA2FAD" w:rsidRPr="00EA2FAD">
              <w:t xml:space="preserve"> – no relief for policyholders facing the largest increases</w:t>
            </w:r>
          </w:p>
        </w:tc>
        <w:tc>
          <w:tcPr>
            <w:tcW w:w="2455" w:type="dxa"/>
          </w:tcPr>
          <w:p w14:paraId="4386AAED" w14:textId="0F8A60EB" w:rsidR="00A619BB" w:rsidRPr="00EA2FAD" w:rsidRDefault="00A619BB" w:rsidP="00EA2FAD">
            <w:pPr>
              <w:pStyle w:val="Tablenormal0"/>
            </w:pPr>
            <w:r w:rsidRPr="00EA2FAD">
              <w:t>Partially meets</w:t>
            </w:r>
            <w:r w:rsidR="00EA2FAD" w:rsidRPr="00EA2FAD">
              <w:t xml:space="preserve"> – impact on some policyholders mitigated</w:t>
            </w:r>
          </w:p>
        </w:tc>
        <w:tc>
          <w:tcPr>
            <w:tcW w:w="2455" w:type="dxa"/>
          </w:tcPr>
          <w:p w14:paraId="20581FCA" w14:textId="1712BEC5" w:rsidR="00A619BB" w:rsidRPr="00EA2FAD" w:rsidRDefault="00A619BB" w:rsidP="00AC5805">
            <w:pPr>
              <w:pStyle w:val="Tablenormal0"/>
            </w:pPr>
            <w:r w:rsidRPr="00EA2FAD">
              <w:t>Partially meets</w:t>
            </w:r>
            <w:r w:rsidR="00EA2FAD" w:rsidRPr="00EA2FAD">
              <w:t xml:space="preserve"> – impact on some policyholders mitigated</w:t>
            </w:r>
          </w:p>
        </w:tc>
      </w:tr>
      <w:tr w:rsidR="0034521A" w14:paraId="4556EF57" w14:textId="77777777" w:rsidTr="00AC6F98">
        <w:trPr>
          <w:trHeight w:val="767"/>
        </w:trPr>
        <w:tc>
          <w:tcPr>
            <w:tcW w:w="2454" w:type="dxa"/>
          </w:tcPr>
          <w:p w14:paraId="65E122D7" w14:textId="77777777" w:rsidR="0034521A" w:rsidRDefault="0034521A" w:rsidP="00AC5805">
            <w:pPr>
              <w:pStyle w:val="Tablenormal0"/>
            </w:pPr>
            <w:r>
              <w:t xml:space="preserve">Stability – a </w:t>
            </w:r>
            <w:r w:rsidRPr="00ED1C02">
              <w:t xml:space="preserve">stable source of funding to support </w:t>
            </w:r>
            <w:r>
              <w:t>Fire and Emergency NZ</w:t>
            </w:r>
            <w:r w:rsidRPr="00ED1C02">
              <w:t xml:space="preserve"> </w:t>
            </w:r>
            <w:r>
              <w:t xml:space="preserve">perform its </w:t>
            </w:r>
            <w:r w:rsidRPr="00ED1C02">
              <w:t>functions</w:t>
            </w:r>
          </w:p>
        </w:tc>
        <w:tc>
          <w:tcPr>
            <w:tcW w:w="2455" w:type="dxa"/>
          </w:tcPr>
          <w:p w14:paraId="09028A25" w14:textId="284FCB3B" w:rsidR="0034521A" w:rsidRPr="0034521A" w:rsidRDefault="0034521A" w:rsidP="00AC5805">
            <w:pPr>
              <w:pStyle w:val="Tablenormal0"/>
            </w:pPr>
            <w:r w:rsidRPr="0034521A">
              <w:t>Meets – no reduction in levy revenue</w:t>
            </w:r>
          </w:p>
        </w:tc>
        <w:tc>
          <w:tcPr>
            <w:tcW w:w="2455" w:type="dxa"/>
          </w:tcPr>
          <w:p w14:paraId="417A6078" w14:textId="3D7AA84A" w:rsidR="0034521A" w:rsidRPr="0034521A" w:rsidRDefault="0034521A" w:rsidP="0034521A">
            <w:pPr>
              <w:pStyle w:val="Tablenormal0"/>
            </w:pPr>
            <w:r w:rsidRPr="0034521A">
              <w:t>Partially meets – will some uncertainty to modelling levy revenue</w:t>
            </w:r>
          </w:p>
        </w:tc>
        <w:tc>
          <w:tcPr>
            <w:tcW w:w="2455" w:type="dxa"/>
          </w:tcPr>
          <w:p w14:paraId="0ED3A9D2" w14:textId="7FC6B439" w:rsidR="0034521A" w:rsidRPr="0034521A" w:rsidRDefault="0034521A" w:rsidP="00AC5805">
            <w:pPr>
              <w:pStyle w:val="Tablenormal0"/>
            </w:pPr>
            <w:r w:rsidRPr="0034521A">
              <w:t>Partially meets – will some uncertainty to modelling levy revenue</w:t>
            </w:r>
          </w:p>
        </w:tc>
      </w:tr>
      <w:tr w:rsidR="0034521A" w14:paraId="3D822E6A" w14:textId="77777777" w:rsidTr="00AC6F98">
        <w:trPr>
          <w:trHeight w:val="767"/>
        </w:trPr>
        <w:tc>
          <w:tcPr>
            <w:tcW w:w="2454" w:type="dxa"/>
          </w:tcPr>
          <w:p w14:paraId="3328B120" w14:textId="77777777" w:rsidR="0034521A" w:rsidRPr="00BE73C0" w:rsidRDefault="0034521A" w:rsidP="00AC5805">
            <w:pPr>
              <w:pStyle w:val="Tablenormal0"/>
            </w:pPr>
            <w:r w:rsidRPr="00BE73C0">
              <w:t xml:space="preserve">Universality - costs are generally shared among all who benefit from the potential use of Fire and Emergency NZ </w:t>
            </w:r>
          </w:p>
        </w:tc>
        <w:tc>
          <w:tcPr>
            <w:tcW w:w="2455" w:type="dxa"/>
          </w:tcPr>
          <w:p w14:paraId="3B1FEE45" w14:textId="09A494D4" w:rsidR="0034521A" w:rsidRPr="00BE73C0" w:rsidRDefault="0034521A" w:rsidP="00BE73C0">
            <w:pPr>
              <w:pStyle w:val="Tablenormal0"/>
            </w:pPr>
            <w:r w:rsidRPr="00BE73C0">
              <w:t>Meets – levy payable by all policyholders</w:t>
            </w:r>
          </w:p>
        </w:tc>
        <w:tc>
          <w:tcPr>
            <w:tcW w:w="2455" w:type="dxa"/>
          </w:tcPr>
          <w:p w14:paraId="53049825" w14:textId="56EF5E9E" w:rsidR="0034521A" w:rsidRPr="00BE73C0" w:rsidRDefault="0034521A" w:rsidP="00BE73C0">
            <w:pPr>
              <w:pStyle w:val="Tablenormal0"/>
            </w:pPr>
            <w:r w:rsidRPr="00BE73C0">
              <w:t>Meets - levy payable by all policyholders</w:t>
            </w:r>
          </w:p>
        </w:tc>
        <w:tc>
          <w:tcPr>
            <w:tcW w:w="2455" w:type="dxa"/>
          </w:tcPr>
          <w:p w14:paraId="724D9D6D" w14:textId="64D32646" w:rsidR="0034521A" w:rsidRPr="00BE73C0" w:rsidRDefault="0034521A" w:rsidP="00BE73C0">
            <w:pPr>
              <w:pStyle w:val="Tablenormal0"/>
            </w:pPr>
            <w:r w:rsidRPr="00BE73C0">
              <w:t>Meets - levy payable by all policyholders</w:t>
            </w:r>
          </w:p>
        </w:tc>
      </w:tr>
      <w:tr w:rsidR="0034521A" w14:paraId="05807159" w14:textId="77777777" w:rsidTr="00AC6F98">
        <w:trPr>
          <w:trHeight w:val="767"/>
        </w:trPr>
        <w:tc>
          <w:tcPr>
            <w:tcW w:w="2454" w:type="dxa"/>
          </w:tcPr>
          <w:p w14:paraId="463B5D38" w14:textId="77777777" w:rsidR="0034521A" w:rsidRDefault="0034521A" w:rsidP="00AC5805">
            <w:pPr>
              <w:pStyle w:val="Tablenormal0"/>
            </w:pPr>
            <w:r>
              <w:t xml:space="preserve">Equity - </w:t>
            </w:r>
            <w:r w:rsidRPr="00ED1C02">
              <w:t>policyholders generally pay at a level commensurate with their potential use</w:t>
            </w:r>
            <w:r>
              <w:t xml:space="preserve"> of Fire and Emergency NZ</w:t>
            </w:r>
          </w:p>
        </w:tc>
        <w:tc>
          <w:tcPr>
            <w:tcW w:w="2455" w:type="dxa"/>
          </w:tcPr>
          <w:p w14:paraId="6E73F679" w14:textId="77777777" w:rsidR="0034521A" w:rsidRPr="00146450" w:rsidRDefault="0034521A" w:rsidP="00AC5805">
            <w:pPr>
              <w:pStyle w:val="Tablenormal0"/>
            </w:pPr>
            <w:r w:rsidRPr="00146450">
              <w:t>Meets – no change to levy regime in Bill</w:t>
            </w:r>
          </w:p>
        </w:tc>
        <w:tc>
          <w:tcPr>
            <w:tcW w:w="2455" w:type="dxa"/>
          </w:tcPr>
          <w:p w14:paraId="71C36495" w14:textId="09DC2CEB" w:rsidR="0034521A" w:rsidRPr="00146450" w:rsidRDefault="00146450" w:rsidP="00146450">
            <w:pPr>
              <w:pStyle w:val="Tablenormal0"/>
            </w:pPr>
            <w:r w:rsidRPr="00146450">
              <w:t>Partially m</w:t>
            </w:r>
            <w:r w:rsidR="0034521A" w:rsidRPr="00146450">
              <w:t xml:space="preserve">eets – </w:t>
            </w:r>
            <w:r w:rsidRPr="00146450">
              <w:t>cost of relief met by small and medium non-residential policyholders</w:t>
            </w:r>
          </w:p>
        </w:tc>
        <w:tc>
          <w:tcPr>
            <w:tcW w:w="2455" w:type="dxa"/>
          </w:tcPr>
          <w:p w14:paraId="6FF6A63B" w14:textId="2BF230B5" w:rsidR="0034521A" w:rsidRPr="00146450" w:rsidRDefault="00146450" w:rsidP="00146450">
            <w:pPr>
              <w:pStyle w:val="Tablenormal0"/>
            </w:pPr>
            <w:r w:rsidRPr="00146450">
              <w:t>Partially meets – cost of relief met by small and medium non-residential policyholders</w:t>
            </w:r>
          </w:p>
        </w:tc>
      </w:tr>
      <w:tr w:rsidR="0034521A" w14:paraId="12ACDAAD" w14:textId="77777777" w:rsidTr="00AC6F98">
        <w:trPr>
          <w:trHeight w:val="767"/>
        </w:trPr>
        <w:tc>
          <w:tcPr>
            <w:tcW w:w="2454" w:type="dxa"/>
          </w:tcPr>
          <w:p w14:paraId="2B891ADB" w14:textId="77777777" w:rsidR="0034521A" w:rsidRPr="00E1071E" w:rsidRDefault="0034521A" w:rsidP="00AC5805">
            <w:pPr>
              <w:pStyle w:val="Tablenormal0"/>
            </w:pPr>
            <w:r w:rsidRPr="00E1071E">
              <w:t>Predictability – policyholders and Fire and Emergency NZ can predict how much levy is to be paid</w:t>
            </w:r>
          </w:p>
        </w:tc>
        <w:tc>
          <w:tcPr>
            <w:tcW w:w="2455" w:type="dxa"/>
            <w:shd w:val="clear" w:color="auto" w:fill="auto"/>
          </w:tcPr>
          <w:p w14:paraId="45D80DE3" w14:textId="6D0842DD" w:rsidR="0034521A" w:rsidRPr="00C104A7" w:rsidRDefault="0034521A" w:rsidP="00AC5805">
            <w:pPr>
              <w:pStyle w:val="Tablenormal0"/>
            </w:pPr>
            <w:r w:rsidRPr="00C104A7">
              <w:t xml:space="preserve">Meets </w:t>
            </w:r>
            <w:r w:rsidR="00E1071E" w:rsidRPr="00C104A7">
              <w:t>–</w:t>
            </w:r>
            <w:r w:rsidR="00B978D4" w:rsidRPr="00C104A7">
              <w:t xml:space="preserve"> </w:t>
            </w:r>
            <w:r w:rsidR="00E1071E" w:rsidRPr="00C104A7">
              <w:t>levy regime is simpler and more predictable</w:t>
            </w:r>
          </w:p>
        </w:tc>
        <w:tc>
          <w:tcPr>
            <w:tcW w:w="2455" w:type="dxa"/>
            <w:shd w:val="clear" w:color="auto" w:fill="auto"/>
          </w:tcPr>
          <w:p w14:paraId="4031B8C0" w14:textId="77777777" w:rsidR="00C104A7" w:rsidRPr="00C104A7" w:rsidRDefault="00C104A7" w:rsidP="00C104A7">
            <w:pPr>
              <w:pStyle w:val="Tablenormal0"/>
            </w:pPr>
            <w:r w:rsidRPr="00C104A7">
              <w:t>Partially m</w:t>
            </w:r>
            <w:r w:rsidR="0034521A" w:rsidRPr="00C104A7">
              <w:t xml:space="preserve">eets </w:t>
            </w:r>
            <w:r w:rsidRPr="00C104A7">
              <w:t>–</w:t>
            </w:r>
          </w:p>
          <w:p w14:paraId="2C4E2A11" w14:textId="79FBE188" w:rsidR="00C104A7" w:rsidRPr="00C104A7" w:rsidRDefault="00C104A7" w:rsidP="003314FB">
            <w:pPr>
              <w:pStyle w:val="Tablenormal0"/>
              <w:numPr>
                <w:ilvl w:val="0"/>
                <w:numId w:val="31"/>
              </w:numPr>
            </w:pPr>
            <w:r w:rsidRPr="00C104A7">
              <w:t xml:space="preserve">Policyholders can predict levy liability using formula in regulation </w:t>
            </w:r>
          </w:p>
          <w:p w14:paraId="0C999E80" w14:textId="75F0F2BF" w:rsidR="0034521A" w:rsidRPr="00C104A7" w:rsidRDefault="00C104A7" w:rsidP="003314FB">
            <w:pPr>
              <w:pStyle w:val="Tablenormal0"/>
              <w:numPr>
                <w:ilvl w:val="0"/>
                <w:numId w:val="31"/>
              </w:numPr>
            </w:pPr>
            <w:r w:rsidRPr="00C104A7">
              <w:t>Difficult for FENZ to model combined impact of relief on total levy revenue</w:t>
            </w:r>
          </w:p>
        </w:tc>
        <w:tc>
          <w:tcPr>
            <w:tcW w:w="2455" w:type="dxa"/>
          </w:tcPr>
          <w:p w14:paraId="7412B96A" w14:textId="77777777" w:rsidR="00C104A7" w:rsidRPr="00C104A7" w:rsidRDefault="00C104A7" w:rsidP="00C104A7">
            <w:pPr>
              <w:pStyle w:val="Tablenormal0"/>
            </w:pPr>
            <w:r w:rsidRPr="00C104A7">
              <w:t>Partially meets –</w:t>
            </w:r>
          </w:p>
          <w:p w14:paraId="0D5FFA6B" w14:textId="364282A2" w:rsidR="00C104A7" w:rsidRPr="00C104A7" w:rsidRDefault="00C104A7" w:rsidP="003314FB">
            <w:pPr>
              <w:pStyle w:val="Tablenormal0"/>
              <w:numPr>
                <w:ilvl w:val="0"/>
                <w:numId w:val="32"/>
              </w:numPr>
            </w:pPr>
            <w:r w:rsidRPr="00C104A7">
              <w:t>Very difficult for policyholders to predict levy liability</w:t>
            </w:r>
          </w:p>
          <w:p w14:paraId="7C625097" w14:textId="6A55BCB3" w:rsidR="0034521A" w:rsidRPr="00C104A7" w:rsidRDefault="00C104A7" w:rsidP="003314FB">
            <w:pPr>
              <w:pStyle w:val="Tablenormal0"/>
              <w:numPr>
                <w:ilvl w:val="0"/>
                <w:numId w:val="32"/>
              </w:numPr>
            </w:pPr>
            <w:r w:rsidRPr="00C104A7">
              <w:t>Combined impact of relief on total levy revenue</w:t>
            </w:r>
            <w:r w:rsidRPr="00C104A7">
              <w:cr/>
              <w:t xml:space="preserve"> set in regulations</w:t>
            </w:r>
          </w:p>
        </w:tc>
      </w:tr>
      <w:tr w:rsidR="0034521A" w14:paraId="5222FFE1" w14:textId="77777777" w:rsidTr="00AC6F98">
        <w:trPr>
          <w:trHeight w:val="767"/>
        </w:trPr>
        <w:tc>
          <w:tcPr>
            <w:tcW w:w="2454" w:type="dxa"/>
          </w:tcPr>
          <w:p w14:paraId="0C4DD121" w14:textId="77777777" w:rsidR="0034521A" w:rsidRDefault="0034521A" w:rsidP="00AC5805">
            <w:pPr>
              <w:pStyle w:val="Tablenormal0"/>
            </w:pPr>
            <w:r>
              <w:t xml:space="preserve">Flexibility - </w:t>
            </w:r>
            <w:r w:rsidRPr="0061428A">
              <w:t>can adapt to changes in use, risk</w:t>
            </w:r>
            <w:r>
              <w:t xml:space="preserve">, or changes to costs and expectations of Fire and Emergency NZ </w:t>
            </w:r>
          </w:p>
        </w:tc>
        <w:tc>
          <w:tcPr>
            <w:tcW w:w="2455" w:type="dxa"/>
          </w:tcPr>
          <w:p w14:paraId="205C8DE5" w14:textId="69BE3217" w:rsidR="0034521A" w:rsidRPr="00C104A7" w:rsidRDefault="00F4048B" w:rsidP="00AC5805">
            <w:pPr>
              <w:pStyle w:val="Tablenormal0"/>
            </w:pPr>
            <w:r w:rsidRPr="00C104A7">
              <w:t>Does not meet</w:t>
            </w:r>
            <w:r w:rsidR="0034521A" w:rsidRPr="00C104A7">
              <w:t xml:space="preserve"> </w:t>
            </w:r>
            <w:r w:rsidRPr="00C104A7">
              <w:t>–</w:t>
            </w:r>
            <w:r w:rsidR="00B978D4" w:rsidRPr="00C104A7">
              <w:t xml:space="preserve"> </w:t>
            </w:r>
            <w:r w:rsidRPr="00C104A7">
              <w:t>no flexibility to grant relief to policyholders</w:t>
            </w:r>
          </w:p>
        </w:tc>
        <w:tc>
          <w:tcPr>
            <w:tcW w:w="2455" w:type="dxa"/>
          </w:tcPr>
          <w:p w14:paraId="19BC58CB" w14:textId="2C70AC9E" w:rsidR="0034521A" w:rsidRPr="00C104A7" w:rsidRDefault="0034521A" w:rsidP="00C104A7">
            <w:pPr>
              <w:pStyle w:val="Tablenormal0"/>
            </w:pPr>
            <w:r w:rsidRPr="00C104A7">
              <w:t xml:space="preserve">Partially meets </w:t>
            </w:r>
            <w:r w:rsidR="00C104A7">
              <w:t>–</w:t>
            </w:r>
            <w:r w:rsidR="00C104A7" w:rsidRPr="00C104A7">
              <w:t xml:space="preserve"> </w:t>
            </w:r>
            <w:r w:rsidR="00C104A7">
              <w:t>design of regulation could provide for a variety of approaches</w:t>
            </w:r>
          </w:p>
        </w:tc>
        <w:tc>
          <w:tcPr>
            <w:tcW w:w="2455" w:type="dxa"/>
          </w:tcPr>
          <w:p w14:paraId="69A72BFA" w14:textId="78571216" w:rsidR="0034521A" w:rsidRPr="00C104A7" w:rsidRDefault="00C104A7" w:rsidP="00C104A7">
            <w:pPr>
              <w:pStyle w:val="Tablenormal0"/>
            </w:pPr>
            <w:r w:rsidRPr="00C104A7">
              <w:t>M</w:t>
            </w:r>
            <w:r w:rsidR="0034521A" w:rsidRPr="00C104A7">
              <w:t xml:space="preserve">eets </w:t>
            </w:r>
            <w:r w:rsidR="00B978D4" w:rsidRPr="00C104A7">
              <w:t xml:space="preserve">– most flexible approach </w:t>
            </w:r>
            <w:r w:rsidRPr="00C104A7">
              <w:t>for individual policyholders</w:t>
            </w:r>
          </w:p>
        </w:tc>
      </w:tr>
      <w:tr w:rsidR="0034521A" w14:paraId="409E3AEB" w14:textId="77777777" w:rsidTr="00AC6F98">
        <w:trPr>
          <w:trHeight w:val="767"/>
        </w:trPr>
        <w:tc>
          <w:tcPr>
            <w:tcW w:w="2454" w:type="dxa"/>
          </w:tcPr>
          <w:p w14:paraId="23BF3C72" w14:textId="77777777" w:rsidR="0034521A" w:rsidRPr="00F174CA" w:rsidRDefault="0034521A" w:rsidP="00AC5805">
            <w:pPr>
              <w:pStyle w:val="Tablenormal0"/>
            </w:pPr>
            <w:r w:rsidRPr="00F174CA">
              <w:t>Cost effectiveness and efficiency of the administration of the levy</w:t>
            </w:r>
          </w:p>
        </w:tc>
        <w:tc>
          <w:tcPr>
            <w:tcW w:w="2455" w:type="dxa"/>
          </w:tcPr>
          <w:p w14:paraId="7A7EB5DB" w14:textId="77777777" w:rsidR="0034521A" w:rsidRPr="00F174CA" w:rsidRDefault="0034521A" w:rsidP="00AC5805">
            <w:pPr>
              <w:pStyle w:val="Tablenormal0"/>
            </w:pPr>
            <w:r w:rsidRPr="00F174CA">
              <w:t xml:space="preserve">Meets – no additional compliance cost </w:t>
            </w:r>
          </w:p>
        </w:tc>
        <w:tc>
          <w:tcPr>
            <w:tcW w:w="2455" w:type="dxa"/>
          </w:tcPr>
          <w:p w14:paraId="6A138798" w14:textId="0E2CCA4F" w:rsidR="0034521A" w:rsidRPr="00F174CA" w:rsidRDefault="0034521A" w:rsidP="00AC5805">
            <w:pPr>
              <w:pStyle w:val="Tablenormal0"/>
            </w:pPr>
            <w:r w:rsidRPr="00F174CA">
              <w:t>Partially meets – compliance costs likely to be lower than Option 3</w:t>
            </w:r>
          </w:p>
        </w:tc>
        <w:tc>
          <w:tcPr>
            <w:tcW w:w="2455" w:type="dxa"/>
          </w:tcPr>
          <w:p w14:paraId="0A45C7C9" w14:textId="2273F384" w:rsidR="0034521A" w:rsidRPr="00F174CA" w:rsidRDefault="0034521A" w:rsidP="00AC5805">
            <w:pPr>
              <w:pStyle w:val="Tablenormal0"/>
            </w:pPr>
            <w:r w:rsidRPr="00F174CA">
              <w:t>Does not meet – compliance costs likely to be high</w:t>
            </w:r>
          </w:p>
        </w:tc>
      </w:tr>
      <w:tr w:rsidR="0034521A" w14:paraId="42F40E77" w14:textId="77777777" w:rsidTr="00AC6F98">
        <w:trPr>
          <w:trHeight w:val="525"/>
        </w:trPr>
        <w:tc>
          <w:tcPr>
            <w:tcW w:w="2454" w:type="dxa"/>
          </w:tcPr>
          <w:p w14:paraId="1147167A" w14:textId="77777777" w:rsidR="0034521A" w:rsidRPr="00BE73C0" w:rsidRDefault="0034521A" w:rsidP="00AC5805">
            <w:pPr>
              <w:pStyle w:val="Tablenormal0"/>
              <w:rPr>
                <w:b/>
              </w:rPr>
            </w:pPr>
            <w:r w:rsidRPr="00BE73C0">
              <w:rPr>
                <w:b/>
              </w:rPr>
              <w:t>Summary</w:t>
            </w:r>
          </w:p>
        </w:tc>
        <w:tc>
          <w:tcPr>
            <w:tcW w:w="2455" w:type="dxa"/>
          </w:tcPr>
          <w:p w14:paraId="6F35F646" w14:textId="606F1F26" w:rsidR="0034521A" w:rsidRPr="00BE73C0" w:rsidRDefault="00F4048B" w:rsidP="00FB0D3A">
            <w:pPr>
              <w:pStyle w:val="Tablenormal0"/>
              <w:rPr>
                <w:b/>
              </w:rPr>
            </w:pPr>
            <w:r>
              <w:rPr>
                <w:b/>
              </w:rPr>
              <w:t>Does not meet</w:t>
            </w:r>
          </w:p>
        </w:tc>
        <w:tc>
          <w:tcPr>
            <w:tcW w:w="2455" w:type="dxa"/>
          </w:tcPr>
          <w:p w14:paraId="0435BEDD" w14:textId="77777777" w:rsidR="0034521A" w:rsidRPr="00BE73C0" w:rsidRDefault="0034521A" w:rsidP="00AC5805">
            <w:pPr>
              <w:pStyle w:val="Tablenormal0"/>
              <w:rPr>
                <w:b/>
              </w:rPr>
            </w:pPr>
            <w:r w:rsidRPr="00BE73C0">
              <w:rPr>
                <w:b/>
              </w:rPr>
              <w:t>Partially meets</w:t>
            </w:r>
          </w:p>
        </w:tc>
        <w:tc>
          <w:tcPr>
            <w:tcW w:w="2455" w:type="dxa"/>
          </w:tcPr>
          <w:p w14:paraId="1CE7D943" w14:textId="77777777" w:rsidR="0034521A" w:rsidRPr="00BE73C0" w:rsidRDefault="0034521A" w:rsidP="00AC5805">
            <w:pPr>
              <w:pStyle w:val="Tablenormal0"/>
              <w:rPr>
                <w:b/>
              </w:rPr>
            </w:pPr>
            <w:r w:rsidRPr="00BE73C0">
              <w:rPr>
                <w:b/>
              </w:rPr>
              <w:t>Partially meets</w:t>
            </w:r>
          </w:p>
        </w:tc>
      </w:tr>
    </w:tbl>
    <w:p w14:paraId="4CFC72E7" w14:textId="77777777" w:rsidR="00ED1C02" w:rsidRPr="00A619BB" w:rsidRDefault="00ED1C02" w:rsidP="00A619BB">
      <w:pPr>
        <w:rPr>
          <w:highlight w:val="yellow"/>
        </w:rPr>
        <w:sectPr w:rsidR="00ED1C02" w:rsidRPr="00A619BB" w:rsidSect="00532700">
          <w:footerReference w:type="default" r:id="rId20"/>
          <w:pgSz w:w="11907" w:h="16839" w:code="9"/>
          <w:pgMar w:top="1440" w:right="1440" w:bottom="1440" w:left="1440" w:header="425" w:footer="641" w:gutter="0"/>
          <w:cols w:space="708"/>
          <w:docGrid w:linePitch="360"/>
        </w:sectPr>
      </w:pPr>
    </w:p>
    <w:p w14:paraId="3354AC18" w14:textId="77777777" w:rsidR="00C467A7" w:rsidRDefault="00C467A7" w:rsidP="00C467A7">
      <w:pPr>
        <w:pStyle w:val="Heading1"/>
      </w:pPr>
      <w:bookmarkStart w:id="27" w:name="_Toc472684568"/>
      <w:bookmarkStart w:id="28" w:name="_Toc472692014"/>
      <w:bookmarkStart w:id="29" w:name="_Toc476839856"/>
      <w:r>
        <w:lastRenderedPageBreak/>
        <w:t>Part 2</w:t>
      </w:r>
      <w:r w:rsidR="00C04FA8">
        <w:t xml:space="preserve">: </w:t>
      </w:r>
      <w:r w:rsidR="008827FD">
        <w:t>L</w:t>
      </w:r>
      <w:r w:rsidR="00FC0B60">
        <w:t>evy</w:t>
      </w:r>
      <w:r w:rsidR="00C04FA8" w:rsidRPr="00C04FA8">
        <w:t xml:space="preserve"> </w:t>
      </w:r>
      <w:r w:rsidR="008827FD">
        <w:t xml:space="preserve">on </w:t>
      </w:r>
      <w:r w:rsidR="00C04FA8" w:rsidRPr="00C04FA8">
        <w:t>insurance contract</w:t>
      </w:r>
      <w:r w:rsidR="008827FD">
        <w:t>s</w:t>
      </w:r>
      <w:r w:rsidR="00C04FA8" w:rsidRPr="00C04FA8">
        <w:t xml:space="preserve"> covering different types of property</w:t>
      </w:r>
      <w:bookmarkEnd w:id="27"/>
      <w:bookmarkEnd w:id="28"/>
      <w:bookmarkEnd w:id="29"/>
    </w:p>
    <w:p w14:paraId="3354AC19" w14:textId="77777777" w:rsidR="00007103" w:rsidRPr="00536DB9" w:rsidRDefault="00007103" w:rsidP="00007103">
      <w:pPr>
        <w:pStyle w:val="Heading2"/>
      </w:pPr>
      <w:bookmarkStart w:id="30" w:name="_Toc472684569"/>
      <w:bookmarkStart w:id="31" w:name="_Toc472692015"/>
      <w:bookmarkStart w:id="32" w:name="_Toc476839857"/>
      <w:r w:rsidRPr="00536DB9">
        <w:t>Background</w:t>
      </w:r>
      <w:r>
        <w:t xml:space="preserve"> and policy objectives</w:t>
      </w:r>
      <w:bookmarkEnd w:id="30"/>
      <w:bookmarkEnd w:id="31"/>
      <w:bookmarkEnd w:id="32"/>
    </w:p>
    <w:p w14:paraId="3354AC1A" w14:textId="77777777" w:rsidR="001448BF" w:rsidRDefault="001448BF" w:rsidP="001448BF">
      <w:r>
        <w:t>The Bill provides for the making of regulations to set out how the levy should be calculated for a contract of insurance under which the property that is insured comprises two or more of the following property types:</w:t>
      </w:r>
      <w:r>
        <w:rPr>
          <w:rStyle w:val="FootnoteReference"/>
        </w:rPr>
        <w:footnoteReference w:id="7"/>
      </w:r>
    </w:p>
    <w:p w14:paraId="3354AC1B" w14:textId="77777777" w:rsidR="001448BF" w:rsidRDefault="001448BF" w:rsidP="001448BF">
      <w:pPr>
        <w:pStyle w:val="Bullet"/>
      </w:pPr>
      <w:r>
        <w:t>residential property,</w:t>
      </w:r>
    </w:p>
    <w:p w14:paraId="3354AC1C" w14:textId="77777777" w:rsidR="001448BF" w:rsidRDefault="001448BF" w:rsidP="001448BF">
      <w:pPr>
        <w:pStyle w:val="Bullet"/>
      </w:pPr>
      <w:r>
        <w:t>personal property,</w:t>
      </w:r>
    </w:p>
    <w:p w14:paraId="3354AC1D" w14:textId="77777777" w:rsidR="001448BF" w:rsidRDefault="001448BF" w:rsidP="001448BF">
      <w:pPr>
        <w:pStyle w:val="Bullet"/>
      </w:pPr>
      <w:r>
        <w:t>property that is exempt from the levy,</w:t>
      </w:r>
    </w:p>
    <w:p w14:paraId="3354AC1E" w14:textId="77777777" w:rsidR="001448BF" w:rsidRDefault="001448BF" w:rsidP="001448BF">
      <w:pPr>
        <w:pStyle w:val="Bullet"/>
      </w:pPr>
      <w:r>
        <w:t>a motor vehicle,</w:t>
      </w:r>
    </w:p>
    <w:p w14:paraId="3354AC1F" w14:textId="77777777" w:rsidR="001448BF" w:rsidRDefault="001448BF" w:rsidP="001448BF">
      <w:pPr>
        <w:pStyle w:val="Bullet"/>
      </w:pPr>
      <w:r>
        <w:t>any other type of property.</w:t>
      </w:r>
    </w:p>
    <w:p w14:paraId="3354AC20" w14:textId="77777777" w:rsidR="005F1CC4" w:rsidRDefault="005F1CC4" w:rsidP="001448BF">
      <w:r>
        <w:t>In practice, we think that the key areas where clarification will benefit parties are:</w:t>
      </w:r>
    </w:p>
    <w:p w14:paraId="3354AC21" w14:textId="77777777" w:rsidR="001448BF" w:rsidRDefault="005F1CC4" w:rsidP="005F1CC4">
      <w:pPr>
        <w:pStyle w:val="Bullet"/>
      </w:pPr>
      <w:r>
        <w:t xml:space="preserve">contracts of insurance which cover property which is exempt from the levy and non-exempt property together under the same amount insured, and </w:t>
      </w:r>
    </w:p>
    <w:p w14:paraId="3354AC22" w14:textId="77777777" w:rsidR="005F1CC4" w:rsidRDefault="005F1CC4" w:rsidP="005F1CC4">
      <w:pPr>
        <w:pStyle w:val="Bullet"/>
      </w:pPr>
      <w:r>
        <w:t>contracts of insurance which cover residential and non-residential property together under the same amount insured.</w:t>
      </w:r>
    </w:p>
    <w:p w14:paraId="3354AC23" w14:textId="77777777" w:rsidR="00492EBB" w:rsidRDefault="00492EBB" w:rsidP="00492EBB">
      <w:pPr>
        <w:pStyle w:val="Heading3"/>
      </w:pPr>
      <w:r>
        <w:t>Exemptions</w:t>
      </w:r>
    </w:p>
    <w:p w14:paraId="2AEDCC09" w14:textId="7A4CAA75" w:rsidR="00E83FB3" w:rsidRDefault="00940934" w:rsidP="005F1CC4">
      <w:pPr>
        <w:pStyle w:val="Bullet"/>
        <w:numPr>
          <w:ilvl w:val="0"/>
          <w:numId w:val="0"/>
        </w:numPr>
      </w:pPr>
      <w:r>
        <w:t>D</w:t>
      </w:r>
      <w:r w:rsidR="00E83FB3">
        <w:t>ecisions on what types of property will be exempt from the levy are yet to be made</w:t>
      </w:r>
      <w:r>
        <w:t xml:space="preserve"> (see page 5)</w:t>
      </w:r>
      <w:r w:rsidR="00E83FB3">
        <w:t>. We anticipate the policy being finalised in May or June 2017. Nevertheless, i</w:t>
      </w:r>
      <w:r w:rsidR="002E36D5">
        <w:t>t is expected that levy exemptions will change signifi</w:t>
      </w:r>
      <w:r w:rsidR="00E83FB3">
        <w:t>cantly from the current regime.</w:t>
      </w:r>
    </w:p>
    <w:p w14:paraId="2D1032FE" w14:textId="448DA166" w:rsidR="00E83FB3" w:rsidRDefault="00E83FB3" w:rsidP="00E83FB3">
      <w:pPr>
        <w:pStyle w:val="Bullet"/>
        <w:numPr>
          <w:ilvl w:val="0"/>
          <w:numId w:val="0"/>
        </w:numPr>
      </w:pPr>
      <w:r>
        <w:t>The Bill as drafted excludes the following from levy:</w:t>
      </w:r>
    </w:p>
    <w:p w14:paraId="6181123D" w14:textId="77777777" w:rsidR="00E83FB3" w:rsidRDefault="00E83FB3" w:rsidP="00E83FB3">
      <w:pPr>
        <w:pStyle w:val="Bullet"/>
      </w:pPr>
      <w:r>
        <w:t xml:space="preserve">a contract of marine </w:t>
      </w:r>
      <w:r w:rsidRPr="005151E6">
        <w:t>insurance</w:t>
      </w:r>
      <w:r>
        <w:t>, and</w:t>
      </w:r>
    </w:p>
    <w:p w14:paraId="2FA59171" w14:textId="77777777" w:rsidR="00E83FB3" w:rsidRDefault="00E83FB3" w:rsidP="00E83FB3">
      <w:pPr>
        <w:pStyle w:val="Bullet"/>
      </w:pPr>
      <w:r>
        <w:t>a contract of insurance under which an aircraft that performs a scheduled international air service (w</w:t>
      </w:r>
      <w:r w:rsidRPr="00636DD0">
        <w:t>ithin the meaning of section 87A of the Civil Aviation Act 1990</w:t>
      </w:r>
      <w:r>
        <w:rPr>
          <w:rStyle w:val="FootnoteReference"/>
        </w:rPr>
        <w:footnoteReference w:id="8"/>
      </w:r>
      <w:r>
        <w:t>) is insured.</w:t>
      </w:r>
    </w:p>
    <w:p w14:paraId="6DD4DC05" w14:textId="77777777" w:rsidR="00403AAC" w:rsidRDefault="00403AAC">
      <w:pPr>
        <w:keepLines w:val="0"/>
        <w:spacing w:before="120"/>
      </w:pPr>
      <w:r>
        <w:br w:type="page"/>
      </w:r>
    </w:p>
    <w:p w14:paraId="3354AC24" w14:textId="372DA9B8" w:rsidR="002E36D5" w:rsidRDefault="00E83FB3" w:rsidP="005F1CC4">
      <w:pPr>
        <w:pStyle w:val="Bullet"/>
        <w:numPr>
          <w:ilvl w:val="0"/>
          <w:numId w:val="0"/>
        </w:numPr>
      </w:pPr>
      <w:r>
        <w:lastRenderedPageBreak/>
        <w:t xml:space="preserve">Property can also be exempted from levy by regulation. </w:t>
      </w:r>
      <w:r w:rsidR="002C67FA">
        <w:t xml:space="preserve">Without prejudging </w:t>
      </w:r>
      <w:r>
        <w:t xml:space="preserve">Cabinet </w:t>
      </w:r>
      <w:r w:rsidR="002C67FA">
        <w:t>decision</w:t>
      </w:r>
      <w:r>
        <w:t>s</w:t>
      </w:r>
      <w:r w:rsidR="002C67FA">
        <w:t xml:space="preserve">, for the purposes of </w:t>
      </w:r>
      <w:r w:rsidR="001C57CE">
        <w:t>discussion</w:t>
      </w:r>
      <w:r w:rsidR="002C67FA">
        <w:t xml:space="preserve">, we have assumed that the final policy will reflect </w:t>
      </w:r>
      <w:r w:rsidR="001C57CE">
        <w:t>the Department’s</w:t>
      </w:r>
      <w:r w:rsidR="001D25AB">
        <w:t xml:space="preserve"> </w:t>
      </w:r>
      <w:r w:rsidR="002C67FA">
        <w:t xml:space="preserve">initial policy </w:t>
      </w:r>
      <w:r w:rsidR="001D25AB">
        <w:t>advice on exemptions</w:t>
      </w:r>
      <w:r>
        <w:t>.</w:t>
      </w:r>
      <w:r w:rsidR="001D25AB">
        <w:t xml:space="preserve"> </w:t>
      </w:r>
      <w:r w:rsidR="002C67FA">
        <w:t xml:space="preserve">That is, that all existing Fire Service Act exemptions will be repealed, and new regulations will create exemptions for: </w:t>
      </w:r>
    </w:p>
    <w:p w14:paraId="3354AC25" w14:textId="77777777" w:rsidR="002C67FA" w:rsidRDefault="002C67FA" w:rsidP="002C67FA">
      <w:pPr>
        <w:pStyle w:val="Bullet"/>
      </w:pPr>
      <w:r>
        <w:t>collection items of public museums (including public galleries);</w:t>
      </w:r>
    </w:p>
    <w:p w14:paraId="3354AC26" w14:textId="77777777" w:rsidR="002C67FA" w:rsidRDefault="002C67FA" w:rsidP="002C67FA">
      <w:pPr>
        <w:pStyle w:val="Bullet"/>
      </w:pPr>
      <w:r>
        <w:t>roads, bridges and related infrastructure (tunnels, cuttings, etc);</w:t>
      </w:r>
    </w:p>
    <w:p w14:paraId="3354AC27" w14:textId="77777777" w:rsidR="002C67FA" w:rsidRDefault="002C67FA" w:rsidP="002C67FA">
      <w:pPr>
        <w:pStyle w:val="Bullet"/>
      </w:pPr>
      <w:r>
        <w:t>water infrastructure including storm water assets, waste water and fresh water reticulation networks, reservoirs and other infrastructure (moles, groynes, breakwaters and dams, etc); and</w:t>
      </w:r>
    </w:p>
    <w:p w14:paraId="3354AC28" w14:textId="77777777" w:rsidR="002E36D5" w:rsidRDefault="002C67FA" w:rsidP="002C67FA">
      <w:pPr>
        <w:pStyle w:val="Bullet"/>
      </w:pPr>
      <w:r w:rsidRPr="002C67FA">
        <w:t>goods</w:t>
      </w:r>
      <w:r>
        <w:t xml:space="preserve"> in transit internationally.</w:t>
      </w:r>
    </w:p>
    <w:p w14:paraId="3354AC2C" w14:textId="77777777" w:rsidR="00492EBB" w:rsidRDefault="00492EBB" w:rsidP="00492EBB">
      <w:pPr>
        <w:pStyle w:val="Heading3"/>
      </w:pPr>
      <w:r>
        <w:t>Residential property</w:t>
      </w:r>
    </w:p>
    <w:p w14:paraId="3354AC2D" w14:textId="77777777" w:rsidR="000521C0" w:rsidRDefault="002E36D5" w:rsidP="000521C0">
      <w:r w:rsidRPr="000521C0">
        <w:t>The definition of residential property</w:t>
      </w:r>
      <w:r w:rsidR="00D8191F">
        <w:t xml:space="preserve"> </w:t>
      </w:r>
      <w:r w:rsidRPr="000521C0">
        <w:t>will also change significantly under the new regime.</w:t>
      </w:r>
      <w:r w:rsidR="00D8191F">
        <w:t xml:space="preserve"> This is important because residential property will remain subject to a cap on the total levy paid.</w:t>
      </w:r>
    </w:p>
    <w:p w14:paraId="3354AC2E" w14:textId="77777777" w:rsidR="00D8191F" w:rsidRDefault="003409CE" w:rsidP="00D8191F">
      <w:r w:rsidRPr="000521C0">
        <w:t xml:space="preserve">Under the Fire Service Act, </w:t>
      </w:r>
      <w:r w:rsidR="000521C0" w:rsidRPr="000521C0">
        <w:t>a residential building</w:t>
      </w:r>
      <w:r w:rsidR="000521C0">
        <w:t xml:space="preserve"> is one defined as such under </w:t>
      </w:r>
      <w:r w:rsidR="000521C0" w:rsidRPr="000521C0">
        <w:t xml:space="preserve">the Earthquake Commission </w:t>
      </w:r>
      <w:r w:rsidR="00D8191F">
        <w:t xml:space="preserve">(EQC) </w:t>
      </w:r>
      <w:r w:rsidR="000521C0" w:rsidRPr="000521C0">
        <w:t>Act 1993</w:t>
      </w:r>
      <w:r w:rsidR="000521C0">
        <w:t xml:space="preserve">. </w:t>
      </w:r>
      <w:r w:rsidR="00D8191F">
        <w:t>The EQC definition provides, among other things, that residential building means:</w:t>
      </w:r>
    </w:p>
    <w:p w14:paraId="3354AC2F" w14:textId="77777777" w:rsidR="00D8191F" w:rsidRDefault="00D8191F" w:rsidP="00D8191F">
      <w:pPr>
        <w:pStyle w:val="Bullet"/>
      </w:pPr>
      <w:r>
        <w:t>any building, or part of a building, or other structure (whether or not fixed to land or to another building, part, or structure) in New Zealand which comprises or includes 1 or more dwellings, if the area of the dwelling or dwellings constitutes 50% or more of the total area of the building, part, or structure.</w:t>
      </w:r>
    </w:p>
    <w:p w14:paraId="3354AC30" w14:textId="75964AB6" w:rsidR="00D8191F" w:rsidRDefault="00D8191F" w:rsidP="00D8191F">
      <w:pPr>
        <w:pStyle w:val="Bullet"/>
      </w:pPr>
      <w:r>
        <w:t>any building or part of a building (whether or not fixed to land, or to another building, part, or structure) in New Zealand which provides long-term accommodation for the elderly, if the area of the building which provides long-term accommodation for the elderly constitutes 50% or more of the total area of t</w:t>
      </w:r>
      <w:r w:rsidR="00C327EA">
        <w:t>he building, part, or structure.</w:t>
      </w:r>
    </w:p>
    <w:p w14:paraId="3354AC31" w14:textId="774480AD" w:rsidR="00D8191F" w:rsidRDefault="00D8191F" w:rsidP="00D8191F">
      <w:pPr>
        <w:pStyle w:val="Bullet"/>
      </w:pPr>
      <w:r>
        <w:t>every building or structure appurtenant to a dwelling referred to in paragraph (a), or a building or part of a building referred to in paragraph (b), and that is used for the purposes of the household of the occupier of the dwelling or for the purposes of the re</w:t>
      </w:r>
      <w:r w:rsidR="00C327EA">
        <w:t>sidents of the building or part.</w:t>
      </w:r>
    </w:p>
    <w:p w14:paraId="3354AC32" w14:textId="5E0D9926" w:rsidR="00D8191F" w:rsidRDefault="00D8191F" w:rsidP="000521C0">
      <w:r>
        <w:t xml:space="preserve">Under the </w:t>
      </w:r>
      <w:r w:rsidR="00403AAC">
        <w:t>Bill</w:t>
      </w:r>
      <w:r>
        <w:t xml:space="preserve">, however, residential property means a ‘household unit’ and any residential land. </w:t>
      </w:r>
      <w:r w:rsidR="002227A7">
        <w:t>H</w:t>
      </w:r>
      <w:r w:rsidR="002227A7" w:rsidRPr="002227A7">
        <w:t>ousehold unit has the same meaning as in section 7 of the Building Act 2004</w:t>
      </w:r>
      <w:r w:rsidR="002227A7">
        <w:t>, that is:</w:t>
      </w:r>
    </w:p>
    <w:p w14:paraId="3354AC33" w14:textId="77777777" w:rsidR="002227A7" w:rsidRDefault="002227A7" w:rsidP="002227A7">
      <w:pPr>
        <w:pStyle w:val="Bullet"/>
      </w:pPr>
      <w:r>
        <w:t>a building or group of buildings, or part of a building or group of buildings, that is used, or intended to be used, only or mainly for residential purposes; and occupied, or intended to be occupied, exclusively as the home or residence of not more than 1 household; but</w:t>
      </w:r>
    </w:p>
    <w:p w14:paraId="3354AC34" w14:textId="77777777" w:rsidR="002227A7" w:rsidRDefault="002227A7" w:rsidP="002227A7">
      <w:pPr>
        <w:pStyle w:val="Bullet"/>
      </w:pPr>
      <w:r>
        <w:t>does not include a hostel, boardinghouse, or other specialised accommodation</w:t>
      </w:r>
      <w:r w:rsidR="000509CF">
        <w:t>.</w:t>
      </w:r>
    </w:p>
    <w:p w14:paraId="3354AC35" w14:textId="4AB92B95" w:rsidR="007E65C3" w:rsidRDefault="00594437" w:rsidP="007E65C3">
      <w:r>
        <w:lastRenderedPageBreak/>
        <w:t xml:space="preserve">The rationale for this change is that </w:t>
      </w:r>
      <w:r w:rsidR="007E65C3">
        <w:t>whereas the EQC regime is designed only to apply to residential properties, the fire levy is designed to apply to both residential and non-residential properties (including mixed-use buildings). The definitions of residential property and household unit used in the Bill are designed to ensure that the levy applies to both the commercial and residential co</w:t>
      </w:r>
      <w:r w:rsidR="002812F3">
        <w:t>mponents of mixed-use buildings, unlike the EQC definition which provides that the levy does not apply to the commercial parts of mixed use buildings where more than half of the building is residential.</w:t>
      </w:r>
    </w:p>
    <w:p w14:paraId="3354AC36" w14:textId="7E8B8298" w:rsidR="00594437" w:rsidRDefault="005820A5" w:rsidP="007E65C3">
      <w:r>
        <w:t>F</w:t>
      </w:r>
      <w:r w:rsidR="002812F3">
        <w:t xml:space="preserve">or </w:t>
      </w:r>
      <w:r w:rsidR="007E65C3">
        <w:t>a retirement village compris</w:t>
      </w:r>
      <w:r>
        <w:t>ing</w:t>
      </w:r>
      <w:r w:rsidR="007E65C3">
        <w:t xml:space="preserve"> both residential and non-residential facilities</w:t>
      </w:r>
      <w:r w:rsidR="002812F3">
        <w:t xml:space="preserve">, for example, the intent is that </w:t>
      </w:r>
      <w:r w:rsidR="007E65C3">
        <w:t>residential facilities wil</w:t>
      </w:r>
      <w:r w:rsidR="002812F3">
        <w:t>l be levied as household units</w:t>
      </w:r>
      <w:r w:rsidR="007E65C3">
        <w:t xml:space="preserve">. </w:t>
      </w:r>
      <w:r w:rsidR="002812F3">
        <w:t>Administrative b</w:t>
      </w:r>
      <w:r w:rsidR="007E65C3">
        <w:t xml:space="preserve">uildings </w:t>
      </w:r>
      <w:r w:rsidR="002812F3">
        <w:t>or areas of buildings on the other hand</w:t>
      </w:r>
      <w:r w:rsidR="007E65C3">
        <w:t xml:space="preserve">, </w:t>
      </w:r>
      <w:r w:rsidR="002812F3">
        <w:t xml:space="preserve">should </w:t>
      </w:r>
      <w:r w:rsidR="007E65C3">
        <w:t>be treate</w:t>
      </w:r>
      <w:r w:rsidR="00BD11B4">
        <w:t>d as non-residential buildings.</w:t>
      </w:r>
    </w:p>
    <w:p w14:paraId="756ECDC0" w14:textId="5BDCA43F" w:rsidR="00675974" w:rsidRDefault="00C01F15" w:rsidP="007E65C3">
      <w:r>
        <w:t>Farm insurance may cover a residential household as well the n</w:t>
      </w:r>
      <w:r w:rsidR="007A06D4">
        <w:t>on-residential farming operation containing agricultural, horticultural, or forestry assets, or some combination</w:t>
      </w:r>
      <w:r>
        <w:t>.</w:t>
      </w:r>
    </w:p>
    <w:p w14:paraId="3354AC37" w14:textId="77777777" w:rsidR="00FE7D1F" w:rsidRDefault="00FE7D1F" w:rsidP="00FE7D1F">
      <w:pPr>
        <w:pStyle w:val="Heading2"/>
      </w:pPr>
      <w:bookmarkStart w:id="33" w:name="_Toc472684570"/>
      <w:bookmarkStart w:id="34" w:name="_Toc472692016"/>
      <w:bookmarkStart w:id="35" w:name="_Toc476839858"/>
      <w:r>
        <w:t>Policy discussion</w:t>
      </w:r>
      <w:bookmarkEnd w:id="33"/>
      <w:bookmarkEnd w:id="34"/>
      <w:bookmarkEnd w:id="35"/>
    </w:p>
    <w:p w14:paraId="3354AC38" w14:textId="6C48E5B8" w:rsidR="00FE7D1F" w:rsidRDefault="00FE7D1F" w:rsidP="00FE7D1F">
      <w:r>
        <w:t xml:space="preserve">The key policy objective in making these regulations is the need to ensure the levy regime is </w:t>
      </w:r>
      <w:r w:rsidRPr="005F1CC4">
        <w:t>predictable</w:t>
      </w:r>
      <w:r>
        <w:t>. That is,</w:t>
      </w:r>
      <w:r w:rsidRPr="005F1CC4">
        <w:t xml:space="preserve"> </w:t>
      </w:r>
      <w:r>
        <w:t>to ensure</w:t>
      </w:r>
      <w:r w:rsidRPr="005F1CC4">
        <w:t xml:space="preserve"> that policyholders and levy payers</w:t>
      </w:r>
      <w:r>
        <w:t xml:space="preserve"> are able to predict the amount of levy </w:t>
      </w:r>
      <w:r w:rsidRPr="005F1CC4">
        <w:t xml:space="preserve">they will need to pay and </w:t>
      </w:r>
      <w:r>
        <w:t xml:space="preserve">that </w:t>
      </w:r>
      <w:r w:rsidR="008B285B">
        <w:t>Fire and Emergency NZ</w:t>
      </w:r>
      <w:r w:rsidRPr="005F1CC4">
        <w:t xml:space="preserve"> is able to predict how much levy income it will receive</w:t>
      </w:r>
      <w:r>
        <w:t>.</w:t>
      </w:r>
    </w:p>
    <w:p w14:paraId="3354AC39" w14:textId="30552D3F" w:rsidR="00720F1D" w:rsidRDefault="00720F1D" w:rsidP="00720F1D">
      <w:r>
        <w:t xml:space="preserve">Regulations should set out high level principles by which levy is calculated on the types on insurance described. We anticipate that </w:t>
      </w:r>
      <w:r w:rsidR="008B285B">
        <w:t>Fire and Emergency NZ</w:t>
      </w:r>
      <w:r>
        <w:t xml:space="preserve"> may also produce non-statutory guidance</w:t>
      </w:r>
      <w:r w:rsidR="00E9209B">
        <w:t xml:space="preserve"> to supplement regulations giving further detail and examples consistent with the regulations.</w:t>
      </w:r>
    </w:p>
    <w:p w14:paraId="3354AC3A" w14:textId="77777777" w:rsidR="00E9209B" w:rsidRDefault="00E9209B" w:rsidP="00720F1D">
      <w:r>
        <w:t>We also note that forms will need to be provided for levy returns.</w:t>
      </w:r>
    </w:p>
    <w:p w14:paraId="3354AC3B" w14:textId="77E1F94D" w:rsidR="008861B5" w:rsidRDefault="00E70D81" w:rsidP="008861B5">
      <w:pPr>
        <w:pStyle w:val="Heading3"/>
      </w:pPr>
      <w:r>
        <w:t>Insurance on e</w:t>
      </w:r>
      <w:r w:rsidR="008861B5">
        <w:t>xempt and non-exempt</w:t>
      </w:r>
      <w:r>
        <w:t xml:space="preserve"> policy</w:t>
      </w:r>
    </w:p>
    <w:p w14:paraId="3354AC3C" w14:textId="369E3EC2" w:rsidR="00CD7555" w:rsidRDefault="002111C6" w:rsidP="00CD7555">
      <w:r>
        <w:t>Regulations are required to provide f</w:t>
      </w:r>
      <w:r w:rsidR="00007103" w:rsidRPr="00A33C2C">
        <w:t xml:space="preserve">or </w:t>
      </w:r>
      <w:r>
        <w:t xml:space="preserve">the calculation of levy on </w:t>
      </w:r>
      <w:r w:rsidR="00007103" w:rsidRPr="00A33C2C">
        <w:t xml:space="preserve">a policy </w:t>
      </w:r>
      <w:r w:rsidR="00007103">
        <w:t xml:space="preserve">where </w:t>
      </w:r>
      <w:r w:rsidR="008861B5">
        <w:t xml:space="preserve">the </w:t>
      </w:r>
      <w:r w:rsidR="00007103">
        <w:t>amount insured covers both</w:t>
      </w:r>
      <w:r w:rsidR="00007103" w:rsidRPr="00A33C2C">
        <w:t xml:space="preserve"> exempt and non-exempt property</w:t>
      </w:r>
      <w:r w:rsidR="00CD7555">
        <w:t xml:space="preserve">. </w:t>
      </w:r>
      <w:r w:rsidR="00C01F15">
        <w:t>Subject to final decisions on exemptions, these could be, f</w:t>
      </w:r>
      <w:r w:rsidR="00CD7555">
        <w:t>or example:</w:t>
      </w:r>
    </w:p>
    <w:p w14:paraId="3354AC3D" w14:textId="77777777" w:rsidR="00CD7555" w:rsidRPr="006B7127" w:rsidRDefault="00CD7555" w:rsidP="00CD7555">
      <w:pPr>
        <w:pStyle w:val="Bullet"/>
      </w:pPr>
      <w:r>
        <w:t xml:space="preserve">A museum’s policy </w:t>
      </w:r>
      <w:r w:rsidRPr="006B7127">
        <w:t xml:space="preserve">covering </w:t>
      </w:r>
      <w:r>
        <w:t xml:space="preserve">its </w:t>
      </w:r>
      <w:r w:rsidRPr="006B7127">
        <w:t xml:space="preserve">buildings </w:t>
      </w:r>
      <w:r>
        <w:t>(</w:t>
      </w:r>
      <w:r w:rsidRPr="006B7127">
        <w:t>non-exempt</w:t>
      </w:r>
      <w:r>
        <w:t xml:space="preserve">) </w:t>
      </w:r>
      <w:r w:rsidRPr="006B7127">
        <w:t>and collections</w:t>
      </w:r>
      <w:r>
        <w:t xml:space="preserve"> (exempt</w:t>
      </w:r>
      <w:r w:rsidRPr="006B7127">
        <w:t xml:space="preserve">) </w:t>
      </w:r>
      <w:r>
        <w:t>under the same amount insured.</w:t>
      </w:r>
    </w:p>
    <w:p w14:paraId="3354AC3E" w14:textId="77777777" w:rsidR="00CD7555" w:rsidRDefault="00CD7555" w:rsidP="00CD7555">
      <w:pPr>
        <w:pStyle w:val="Bullet"/>
      </w:pPr>
      <w:r>
        <w:t>An airline’s insurance policy covering exempt (those which fly scheduled international air service) and non-exempt aircraft under the same amount insured.</w:t>
      </w:r>
    </w:p>
    <w:p w14:paraId="67C75820" w14:textId="77777777" w:rsidR="00F62CC5" w:rsidRDefault="00CD7555" w:rsidP="00FD007B">
      <w:r>
        <w:t>W</w:t>
      </w:r>
      <w:r w:rsidR="008861B5">
        <w:t xml:space="preserve">e propose that the levy </w:t>
      </w:r>
      <w:r w:rsidR="00541CF5">
        <w:t xml:space="preserve">payable </w:t>
      </w:r>
      <w:r w:rsidR="008861B5">
        <w:t>shou</w:t>
      </w:r>
      <w:r w:rsidR="00F62CC5">
        <w:t xml:space="preserve">ld be </w:t>
      </w:r>
      <w:r w:rsidR="00F62CC5" w:rsidRPr="00F62CC5">
        <w:t>calculated from</w:t>
      </w:r>
      <w:r w:rsidR="00F62CC5">
        <w:t>:</w:t>
      </w:r>
    </w:p>
    <w:p w14:paraId="0C9F7A1D" w14:textId="658CA089" w:rsidR="00F62CC5" w:rsidRDefault="00F62CC5" w:rsidP="00F62CC5">
      <w:pPr>
        <w:pStyle w:val="Bullet"/>
      </w:pPr>
      <w:r w:rsidRPr="00F62CC5">
        <w:t>the proportion of the amount insured which relates to the value of the non-exempt assets.</w:t>
      </w:r>
    </w:p>
    <w:p w14:paraId="3354AC41" w14:textId="5D1C565E" w:rsidR="00FD007B" w:rsidRDefault="004F14A3" w:rsidP="00FD007B">
      <w:r>
        <w:t>This is straightforward in principle, which should ensure that a policyholder can predict their levy liability, and that the calculation of levy is not onerous.</w:t>
      </w:r>
      <w:r w:rsidR="00FD007B">
        <w:t xml:space="preserve"> Some insurance policies may indicate the value of different assets covered under the same express maximum limit.</w:t>
      </w:r>
    </w:p>
    <w:p w14:paraId="3354AC42" w14:textId="05112A2C" w:rsidR="003B3FF2" w:rsidRDefault="004F14A3" w:rsidP="00FD007B">
      <w:r>
        <w:lastRenderedPageBreak/>
        <w:t>However, we</w:t>
      </w:r>
      <w:r w:rsidR="00007103">
        <w:t xml:space="preserve"> anticipate </w:t>
      </w:r>
      <w:r w:rsidR="003726D4">
        <w:t>that in many cases</w:t>
      </w:r>
      <w:r w:rsidR="00921F67">
        <w:t xml:space="preserve"> affected policyholders may not have </w:t>
      </w:r>
      <w:r w:rsidR="00BB7160">
        <w:t>separate</w:t>
      </w:r>
      <w:r w:rsidR="00921F67">
        <w:t xml:space="preserve"> valuations for </w:t>
      </w:r>
      <w:r>
        <w:t xml:space="preserve">different </w:t>
      </w:r>
      <w:r w:rsidR="00FD007B">
        <w:t xml:space="preserve">assets or </w:t>
      </w:r>
      <w:r w:rsidR="00007103">
        <w:t>component parts of the amount insured in a policy.</w:t>
      </w:r>
    </w:p>
    <w:p w14:paraId="3354AC43" w14:textId="77777777" w:rsidR="003B3FF2" w:rsidRDefault="00FD007B" w:rsidP="00FD007B">
      <w:r>
        <w:t>We would like to better understand how many insurance policies may cover exempt and non-exempt property under the same amount insured, and what kind of property is involved.</w:t>
      </w:r>
    </w:p>
    <w:p w14:paraId="3354AC44" w14:textId="06436600" w:rsidR="004F14A3" w:rsidRDefault="00FD007B" w:rsidP="00FD007B">
      <w:r>
        <w:t xml:space="preserve">We would like </w:t>
      </w:r>
      <w:r w:rsidR="003B3FF2">
        <w:t>understand what might be required of the policyholder, broker</w:t>
      </w:r>
      <w:r w:rsidR="00492212">
        <w:t>,</w:t>
      </w:r>
      <w:r w:rsidR="003B3FF2">
        <w:t xml:space="preserve"> or insurer to ascertain the value of non-exempt property covered under the amount insured in this situation. Would a valuation be required, or could information produced for mandatory </w:t>
      </w:r>
      <w:r w:rsidR="003B3FF2" w:rsidRPr="00FD007B">
        <w:t xml:space="preserve">solvency </w:t>
      </w:r>
      <w:r w:rsidR="003B3FF2">
        <w:t xml:space="preserve">reporting requirements under the </w:t>
      </w:r>
      <w:r w:rsidR="003B3FF2" w:rsidRPr="00FD007B">
        <w:t>Insurance (Prudential Supervision) Act 2010</w:t>
      </w:r>
      <w:r w:rsidR="003B3FF2">
        <w:t xml:space="preserve"> be used?</w:t>
      </w:r>
    </w:p>
    <w:tbl>
      <w:tblPr>
        <w:tblStyle w:val="Blanktable"/>
        <w:tblW w:w="0" w:type="auto"/>
        <w:tblLook w:val="04A0" w:firstRow="1" w:lastRow="0" w:firstColumn="1" w:lastColumn="0" w:noHBand="0" w:noVBand="1"/>
      </w:tblPr>
      <w:tblGrid>
        <w:gridCol w:w="9179"/>
      </w:tblGrid>
      <w:tr w:rsidR="00BB3A1C" w14:paraId="4775F748" w14:textId="77777777" w:rsidTr="00AE5149">
        <w:tc>
          <w:tcPr>
            <w:tcW w:w="9287" w:type="dxa"/>
            <w:shd w:val="clear" w:color="auto" w:fill="D9D9D9" w:themeFill="background1" w:themeFillShade="D9"/>
          </w:tcPr>
          <w:p w14:paraId="345DA0FA" w14:textId="77777777" w:rsidR="00BB3A1C" w:rsidRPr="00BB3A1C" w:rsidRDefault="00BB3A1C" w:rsidP="00BB3A1C">
            <w:pPr>
              <w:rPr>
                <w:b/>
                <w:i/>
              </w:rPr>
            </w:pPr>
            <w:r w:rsidRPr="00BB3A1C">
              <w:rPr>
                <w:b/>
                <w:i/>
              </w:rPr>
              <w:t>Questions</w:t>
            </w:r>
          </w:p>
          <w:p w14:paraId="105A5BCB" w14:textId="479D6908" w:rsidR="00BB3A1C" w:rsidRDefault="00BB3A1C" w:rsidP="00BB3A1C">
            <w:pPr>
              <w:pStyle w:val="ListParagraph"/>
              <w:numPr>
                <w:ilvl w:val="0"/>
                <w:numId w:val="30"/>
              </w:numPr>
            </w:pPr>
            <w:r>
              <w:t xml:space="preserve">Do you agree with the proposed </w:t>
            </w:r>
            <w:r w:rsidR="004B04C6">
              <w:t xml:space="preserve">approach to </w:t>
            </w:r>
            <w:r>
              <w:t>calculating levy on policies that cover both exempt and non-exempt property? If not why? What alter</w:t>
            </w:r>
            <w:r w:rsidR="007827F3">
              <w:t>native approach do you suggest?</w:t>
            </w:r>
          </w:p>
          <w:p w14:paraId="0DF0AF96" w14:textId="77777777" w:rsidR="00A65961" w:rsidRDefault="00BB3A1C" w:rsidP="00A65961">
            <w:pPr>
              <w:pStyle w:val="ListParagraph"/>
              <w:numPr>
                <w:ilvl w:val="0"/>
                <w:numId w:val="30"/>
              </w:numPr>
            </w:pPr>
            <w:r>
              <w:t xml:space="preserve">How onerous would it be to ascertain the value of non-exempt property? </w:t>
            </w:r>
          </w:p>
          <w:p w14:paraId="209D23DF" w14:textId="658CD3A0" w:rsidR="00A65961" w:rsidRDefault="00A65961" w:rsidP="00A65961">
            <w:pPr>
              <w:pStyle w:val="ListParagraph"/>
              <w:ind w:left="720"/>
            </w:pPr>
          </w:p>
        </w:tc>
      </w:tr>
    </w:tbl>
    <w:p w14:paraId="3325EF71" w14:textId="7144FCE0" w:rsidR="00E70D81" w:rsidRDefault="00E70D81" w:rsidP="00E9209B">
      <w:pPr>
        <w:pStyle w:val="Heading3"/>
      </w:pPr>
      <w:r>
        <w:t xml:space="preserve">Insurance </w:t>
      </w:r>
      <w:r w:rsidR="00695400">
        <w:t xml:space="preserve">on </w:t>
      </w:r>
      <w:r w:rsidRPr="00E70D81">
        <w:t>residential and non-residential property</w:t>
      </w:r>
    </w:p>
    <w:p w14:paraId="3354AC48" w14:textId="69F1B0B0" w:rsidR="00007103" w:rsidRDefault="002111C6" w:rsidP="00E70D81">
      <w:r>
        <w:t>Regulations are required to provide f</w:t>
      </w:r>
      <w:r w:rsidRPr="00A33C2C">
        <w:t xml:space="preserve">or </w:t>
      </w:r>
      <w:r>
        <w:t xml:space="preserve">the calculation of levy on </w:t>
      </w:r>
      <w:r w:rsidRPr="00A33C2C">
        <w:t xml:space="preserve">a policy </w:t>
      </w:r>
      <w:r>
        <w:t xml:space="preserve">where the amount </w:t>
      </w:r>
      <w:r w:rsidR="00007103" w:rsidRPr="00E70D81">
        <w:t>insured covers both residenti</w:t>
      </w:r>
      <w:r>
        <w:t>al and non-residential property.</w:t>
      </w:r>
      <w:r w:rsidR="002733B7">
        <w:t xml:space="preserve"> Examples of this include:</w:t>
      </w:r>
    </w:p>
    <w:p w14:paraId="0DD61BB5" w14:textId="7109B57B" w:rsidR="002733B7" w:rsidRDefault="002733B7" w:rsidP="002733B7">
      <w:pPr>
        <w:pStyle w:val="Bullet"/>
      </w:pPr>
      <w:r>
        <w:t>An insurance policy covering residential apartments and commercial office or retail space in the same mixed use building, under the same amount insured.</w:t>
      </w:r>
    </w:p>
    <w:p w14:paraId="7ECCA673" w14:textId="754D2F98" w:rsidR="002733B7" w:rsidRDefault="002733B7" w:rsidP="002733B7">
      <w:pPr>
        <w:pStyle w:val="Bullet"/>
      </w:pPr>
      <w:r>
        <w:t>An insurance policy covering both residential units and the administrative and other facilities of a retirement home, under the same amount insured.</w:t>
      </w:r>
    </w:p>
    <w:p w14:paraId="7F5B252A" w14:textId="6C96BCF2" w:rsidR="00EE1727" w:rsidRDefault="00EE1727" w:rsidP="002733B7">
      <w:pPr>
        <w:pStyle w:val="Bullet"/>
      </w:pPr>
      <w:r>
        <w:t>An insurance policy covering both a residential home and the operational portions of a farming property, under the same amount insured.</w:t>
      </w:r>
    </w:p>
    <w:p w14:paraId="3354AC49" w14:textId="1B37B586" w:rsidR="00007103" w:rsidRPr="00E70D81" w:rsidRDefault="00541CF5" w:rsidP="00007103">
      <w:r>
        <w:t>We propose that the l</w:t>
      </w:r>
      <w:r w:rsidR="00007103" w:rsidRPr="00E70D81">
        <w:t xml:space="preserve">evy payable </w:t>
      </w:r>
      <w:r>
        <w:t>should be</w:t>
      </w:r>
      <w:r w:rsidR="00007103" w:rsidRPr="00E70D81">
        <w:t>:</w:t>
      </w:r>
    </w:p>
    <w:p w14:paraId="0C4C1848" w14:textId="77777777" w:rsidR="00F62CC5" w:rsidRDefault="00F62CC5" w:rsidP="00F62CC5">
      <w:pPr>
        <w:pStyle w:val="Bullet"/>
      </w:pPr>
      <w:r>
        <w:t>For residential areas, the residential levy rate and cap will apply to each household unit covered under the amount insured (the value of each household unit will be the proportion of the amount insured relating to the residential share of the property's floor space, divided by the number of units); plus</w:t>
      </w:r>
    </w:p>
    <w:p w14:paraId="5E4C358F" w14:textId="2FA4DF33" w:rsidR="00F62CC5" w:rsidRDefault="00F62CC5" w:rsidP="00F62CC5">
      <w:pPr>
        <w:pStyle w:val="Bullet"/>
      </w:pPr>
      <w:r>
        <w:t>For non-residential areas, the (uncapped) levy rate will apply to the proportion of the amount insured relating to the non-residential share of the property's floor space.</w:t>
      </w:r>
    </w:p>
    <w:p w14:paraId="0C3228ED" w14:textId="516B1188" w:rsidR="00F62CC5" w:rsidRDefault="00F62CC5" w:rsidP="00F62CC5">
      <w:pPr>
        <w:pStyle w:val="Bullet"/>
        <w:numPr>
          <w:ilvl w:val="0"/>
          <w:numId w:val="0"/>
        </w:numPr>
      </w:pPr>
      <w:r>
        <w:t>An example of such a calculation is given at Appendix C.</w:t>
      </w:r>
    </w:p>
    <w:p w14:paraId="0426B40C" w14:textId="470FF919" w:rsidR="007D0054" w:rsidRDefault="007B0A0D" w:rsidP="00007103">
      <w:r>
        <w:lastRenderedPageBreak/>
        <w:t xml:space="preserve">This </w:t>
      </w:r>
      <w:r w:rsidR="007D0054">
        <w:t xml:space="preserve">approach requires some </w:t>
      </w:r>
      <w:r w:rsidR="00007103" w:rsidRPr="00E70D81">
        <w:t xml:space="preserve">valuations of </w:t>
      </w:r>
      <w:r w:rsidR="007D0054">
        <w:t xml:space="preserve">individual </w:t>
      </w:r>
      <w:r w:rsidR="00007103" w:rsidRPr="00E70D81">
        <w:t xml:space="preserve">household units </w:t>
      </w:r>
      <w:r w:rsidR="007D0054">
        <w:t xml:space="preserve">in order to ascertain whether the residential cap applies. In some cases, </w:t>
      </w:r>
      <w:r w:rsidR="00E80078">
        <w:t xml:space="preserve">making </w:t>
      </w:r>
      <w:r w:rsidR="007D0054">
        <w:t xml:space="preserve">an assessment of the value of </w:t>
      </w:r>
      <w:r w:rsidR="00E80078">
        <w:t>individual residential units will be simple. Where such valuations are not readily available, they may need to be estimated, for example by dividing the value of the residential portion of a property by the number of household units.</w:t>
      </w:r>
    </w:p>
    <w:p w14:paraId="0485C783" w14:textId="0B921B54" w:rsidR="00E80078" w:rsidRDefault="00E80078" w:rsidP="00007103">
      <w:r>
        <w:t xml:space="preserve">A key consideration is whether the residential and non-residential portions of a mixed-use property are determined by </w:t>
      </w:r>
      <w:r w:rsidR="0083062D">
        <w:t>floor space (m</w:t>
      </w:r>
      <w:r w:rsidR="0083062D" w:rsidRPr="0083062D">
        <w:rPr>
          <w:vertAlign w:val="superscript"/>
        </w:rPr>
        <w:t>2</w:t>
      </w:r>
      <w:r w:rsidR="0083062D">
        <w:t>) or value ($).</w:t>
      </w:r>
      <w:r w:rsidR="001675B7">
        <w:t xml:space="preserve"> We think that using </w:t>
      </w:r>
      <w:r w:rsidR="0083062D">
        <w:t xml:space="preserve">floor space as the measure is probably the simplest and most certain option. It also means </w:t>
      </w:r>
      <w:r w:rsidR="00ED5A5B">
        <w:t>that similar buildings will attract a similar amount of</w:t>
      </w:r>
      <w:r w:rsidR="00EA398C">
        <w:t xml:space="preserve"> levy</w:t>
      </w:r>
      <w:r w:rsidR="00ED5A5B">
        <w:t>, regardless of the relative value of the non-residential portion.</w:t>
      </w:r>
    </w:p>
    <w:p w14:paraId="3354AC4D" w14:textId="2378A6BA" w:rsidR="00007103" w:rsidRPr="00E70D81" w:rsidRDefault="00695400" w:rsidP="00007103">
      <w:r>
        <w:t>The application of the Building Act definition of</w:t>
      </w:r>
      <w:r w:rsidR="00007103" w:rsidRPr="00E70D81">
        <w:t xml:space="preserve"> ‘</w:t>
      </w:r>
      <w:r>
        <w:t>household unit’</w:t>
      </w:r>
      <w:r w:rsidR="00007103" w:rsidRPr="00E70D81">
        <w:t xml:space="preserve"> will be critical</w:t>
      </w:r>
      <w:r>
        <w:t xml:space="preserve"> to determining the amount of levy to be paid.</w:t>
      </w:r>
      <w:r w:rsidR="00007103" w:rsidRPr="00E70D81">
        <w:t xml:space="preserve"> </w:t>
      </w:r>
      <w:r>
        <w:t>Non-statutory guidance may be required</w:t>
      </w:r>
      <w:r w:rsidR="002C1523">
        <w:t xml:space="preserve"> to assist with interpretation.</w:t>
      </w:r>
    </w:p>
    <w:tbl>
      <w:tblPr>
        <w:tblStyle w:val="Blanktable"/>
        <w:tblW w:w="0" w:type="auto"/>
        <w:tblLook w:val="04A0" w:firstRow="1" w:lastRow="0" w:firstColumn="1" w:lastColumn="0" w:noHBand="0" w:noVBand="1"/>
      </w:tblPr>
      <w:tblGrid>
        <w:gridCol w:w="9179"/>
      </w:tblGrid>
      <w:tr w:rsidR="00676FE1" w14:paraId="53397351" w14:textId="77777777" w:rsidTr="00AE5149">
        <w:tc>
          <w:tcPr>
            <w:tcW w:w="9287" w:type="dxa"/>
            <w:shd w:val="clear" w:color="auto" w:fill="D9D9D9" w:themeFill="background1" w:themeFillShade="D9"/>
          </w:tcPr>
          <w:p w14:paraId="337769E9" w14:textId="77777777" w:rsidR="00676FE1" w:rsidRPr="00676FE1" w:rsidRDefault="00676FE1" w:rsidP="00676FE1">
            <w:pPr>
              <w:rPr>
                <w:b/>
                <w:i/>
              </w:rPr>
            </w:pPr>
            <w:r w:rsidRPr="00676FE1">
              <w:rPr>
                <w:b/>
                <w:i/>
              </w:rPr>
              <w:t>Questions</w:t>
            </w:r>
          </w:p>
          <w:p w14:paraId="78E10259" w14:textId="211F40D5" w:rsidR="00676FE1" w:rsidRDefault="00676FE1" w:rsidP="00676FE1">
            <w:pPr>
              <w:pStyle w:val="Bullet"/>
            </w:pPr>
            <w:r>
              <w:t xml:space="preserve">Do you agree with the proposed </w:t>
            </w:r>
            <w:r w:rsidR="004B04C6">
              <w:t xml:space="preserve">approach to </w:t>
            </w:r>
            <w:r>
              <w:t>calculating levy</w:t>
            </w:r>
            <w:r w:rsidR="00B74AEF">
              <w:t xml:space="preserve"> on </w:t>
            </w:r>
            <w:r w:rsidR="00B74AEF" w:rsidRPr="00B74AEF">
              <w:t>contracts of insurance which cover residential and non-residential property togethe</w:t>
            </w:r>
            <w:r w:rsidR="00B74AEF">
              <w:t>r under the same amount insured</w:t>
            </w:r>
            <w:r>
              <w:t xml:space="preserve">? If not why? What alternative do you suggest? </w:t>
            </w:r>
          </w:p>
          <w:p w14:paraId="6B24085D" w14:textId="50C2A592" w:rsidR="00676FE1" w:rsidRDefault="00676FE1" w:rsidP="00676FE1">
            <w:pPr>
              <w:pStyle w:val="Bullet"/>
            </w:pPr>
            <w:r>
              <w:t xml:space="preserve">Do you think the non-residential portion of amount insured </w:t>
            </w:r>
            <w:r w:rsidR="005C7A1D">
              <w:t xml:space="preserve">should be calculated </w:t>
            </w:r>
            <w:r>
              <w:t>on the basis of floor space (m</w:t>
            </w:r>
            <w:r w:rsidRPr="00ED5A5B">
              <w:rPr>
                <w:vertAlign w:val="superscript"/>
              </w:rPr>
              <w:t>2</w:t>
            </w:r>
            <w:r>
              <w:t>) or value</w:t>
            </w:r>
            <w:r w:rsidR="005C7A1D">
              <w:t xml:space="preserve"> </w:t>
            </w:r>
            <w:r>
              <w:t xml:space="preserve">($)? </w:t>
            </w:r>
          </w:p>
          <w:p w14:paraId="669F7B90" w14:textId="77777777" w:rsidR="00676FE1" w:rsidRDefault="00676FE1" w:rsidP="00EE183D">
            <w:pPr>
              <w:pStyle w:val="Bullet"/>
            </w:pPr>
            <w:r w:rsidRPr="00033A13">
              <w:t>How should this apply to first loss</w:t>
            </w:r>
            <w:r>
              <w:t xml:space="preserve"> policies</w:t>
            </w:r>
            <w:r w:rsidRPr="00033A13">
              <w:t>, where different properties are mixed use with different proportions of residential?</w:t>
            </w:r>
          </w:p>
          <w:p w14:paraId="30CA12A1" w14:textId="4D3971EF" w:rsidR="00A65961" w:rsidRDefault="00A65961" w:rsidP="00A65961">
            <w:pPr>
              <w:pStyle w:val="Bullet"/>
              <w:numPr>
                <w:ilvl w:val="0"/>
                <w:numId w:val="0"/>
              </w:numPr>
              <w:ind w:left="924"/>
            </w:pPr>
          </w:p>
        </w:tc>
      </w:tr>
    </w:tbl>
    <w:p w14:paraId="3354AC58" w14:textId="502B3818" w:rsidR="00007103" w:rsidRDefault="00695400" w:rsidP="00E9209B">
      <w:pPr>
        <w:pStyle w:val="Heading3"/>
      </w:pPr>
      <w:r>
        <w:t>Insurance on</w:t>
      </w:r>
      <w:r w:rsidR="00007103" w:rsidRPr="00A33C2C">
        <w:t xml:space="preserve"> </w:t>
      </w:r>
      <w:r w:rsidR="00007103">
        <w:t xml:space="preserve">exempt, </w:t>
      </w:r>
      <w:r w:rsidR="00007103" w:rsidRPr="00A33C2C">
        <w:t>residential</w:t>
      </w:r>
      <w:r w:rsidR="00007103">
        <w:t>,</w:t>
      </w:r>
      <w:r w:rsidR="00007103" w:rsidRPr="00A33C2C">
        <w:t xml:space="preserve"> and non-residential property </w:t>
      </w:r>
    </w:p>
    <w:p w14:paraId="74FB72D0" w14:textId="6DB4D3CC" w:rsidR="00342EC8" w:rsidRDefault="00342EC8" w:rsidP="00007103">
      <w:r>
        <w:t>Regulations will need to provide f</w:t>
      </w:r>
      <w:r w:rsidRPr="00A33C2C">
        <w:t xml:space="preserve">or </w:t>
      </w:r>
      <w:r>
        <w:t xml:space="preserve">the calculation of levy on </w:t>
      </w:r>
      <w:r w:rsidRPr="00A33C2C">
        <w:t xml:space="preserve">a policy </w:t>
      </w:r>
      <w:r>
        <w:t xml:space="preserve">where the amount </w:t>
      </w:r>
      <w:r w:rsidRPr="00E70D81">
        <w:t xml:space="preserve">insured covers </w:t>
      </w:r>
      <w:r>
        <w:t>exempt,</w:t>
      </w:r>
      <w:r w:rsidRPr="00E70D81">
        <w:t xml:space="preserve"> residenti</w:t>
      </w:r>
      <w:r>
        <w:t>al, and non-residential property.</w:t>
      </w:r>
    </w:p>
    <w:p w14:paraId="5361E712" w14:textId="77777777" w:rsidR="009A20D7" w:rsidRDefault="009A20D7" w:rsidP="009A20D7">
      <w:r>
        <w:t>We propose that the levy payable should be:</w:t>
      </w:r>
    </w:p>
    <w:p w14:paraId="6DEA6D8F" w14:textId="75E4743E" w:rsidR="009A20D7" w:rsidRDefault="009A20D7" w:rsidP="009A20D7">
      <w:pPr>
        <w:pStyle w:val="Bullet"/>
      </w:pPr>
      <w:r>
        <w:t>The number of household units covered by policy</w:t>
      </w:r>
      <w:r w:rsidR="00531214">
        <w:t xml:space="preserve"> </w:t>
      </w:r>
      <w:r>
        <w:t>x</w:t>
      </w:r>
      <w:r w:rsidR="00531214">
        <w:t xml:space="preserve"> </w:t>
      </w:r>
      <w:r>
        <w:t>levy rate (subject to the cap on residential property), plus</w:t>
      </w:r>
    </w:p>
    <w:p w14:paraId="4565B56F" w14:textId="1DD8DA0E" w:rsidR="009A20D7" w:rsidRDefault="009A20D7" w:rsidP="009A20D7">
      <w:pPr>
        <w:pStyle w:val="Bullet"/>
      </w:pPr>
      <w:r>
        <w:t>Total amount insured</w:t>
      </w:r>
      <w:r w:rsidR="00531214">
        <w:t xml:space="preserve"> </w:t>
      </w:r>
      <w:r>
        <w:t>x</w:t>
      </w:r>
      <w:r w:rsidR="00531214">
        <w:t xml:space="preserve"> </w:t>
      </w:r>
      <w:r>
        <w:t>(the proportion of the non-exempt property that is non-residential)</w:t>
      </w:r>
      <w:r w:rsidR="00531214">
        <w:t xml:space="preserve"> </w:t>
      </w:r>
      <w:r>
        <w:t>x</w:t>
      </w:r>
      <w:r w:rsidR="00531214">
        <w:t xml:space="preserve"> </w:t>
      </w:r>
      <w:r>
        <w:t>levy rate (uncapped)</w:t>
      </w:r>
    </w:p>
    <w:tbl>
      <w:tblPr>
        <w:tblStyle w:val="Blanktable"/>
        <w:tblW w:w="0" w:type="auto"/>
        <w:tblLook w:val="04A0" w:firstRow="1" w:lastRow="0" w:firstColumn="1" w:lastColumn="0" w:noHBand="0" w:noVBand="1"/>
      </w:tblPr>
      <w:tblGrid>
        <w:gridCol w:w="9179"/>
      </w:tblGrid>
      <w:tr w:rsidR="00676FE1" w14:paraId="5FB21925" w14:textId="77777777" w:rsidTr="00AE5149">
        <w:tc>
          <w:tcPr>
            <w:tcW w:w="9287" w:type="dxa"/>
            <w:shd w:val="clear" w:color="auto" w:fill="D9D9D9" w:themeFill="background1" w:themeFillShade="D9"/>
          </w:tcPr>
          <w:p w14:paraId="3A292110" w14:textId="77777777" w:rsidR="00676FE1" w:rsidRPr="00676FE1" w:rsidRDefault="00676FE1" w:rsidP="00676FE1">
            <w:pPr>
              <w:rPr>
                <w:b/>
                <w:i/>
              </w:rPr>
            </w:pPr>
            <w:r w:rsidRPr="00676FE1">
              <w:rPr>
                <w:b/>
                <w:i/>
              </w:rPr>
              <w:t>Question</w:t>
            </w:r>
          </w:p>
          <w:p w14:paraId="77531C0B" w14:textId="5B2C6F33" w:rsidR="00676FE1" w:rsidRDefault="004B04C6" w:rsidP="004B04C6">
            <w:pPr>
              <w:pStyle w:val="Bullet"/>
            </w:pPr>
            <w:r w:rsidRPr="004B04C6">
              <w:t xml:space="preserve">Do you agree with the proposed approach to calculating levy on contracts of insurance which cover </w:t>
            </w:r>
            <w:r>
              <w:t xml:space="preserve">exempt, </w:t>
            </w:r>
            <w:r w:rsidRPr="004B04C6">
              <w:t>residential</w:t>
            </w:r>
            <w:r>
              <w:t>,</w:t>
            </w:r>
            <w:r w:rsidRPr="004B04C6">
              <w:t xml:space="preserve"> and non-residential property together under the same amount insured? </w:t>
            </w:r>
            <w:r w:rsidR="00676FE1" w:rsidRPr="00342EC8">
              <w:t>If not why? What alternative approach do you suggest?</w:t>
            </w:r>
            <w:r w:rsidR="00676FE1">
              <w:t xml:space="preserve"> </w:t>
            </w:r>
          </w:p>
          <w:p w14:paraId="7C979EC0" w14:textId="6E142BA8" w:rsidR="00A65961" w:rsidRDefault="00A65961" w:rsidP="00A65961">
            <w:pPr>
              <w:pStyle w:val="Bullet"/>
              <w:numPr>
                <w:ilvl w:val="0"/>
                <w:numId w:val="0"/>
              </w:numPr>
              <w:ind w:left="924"/>
            </w:pPr>
          </w:p>
        </w:tc>
      </w:tr>
    </w:tbl>
    <w:p w14:paraId="32B338D0" w14:textId="77777777" w:rsidR="00DC306F" w:rsidRDefault="00DC306F" w:rsidP="00DC306F">
      <w:pPr>
        <w:sectPr w:rsidR="00DC306F" w:rsidSect="002C52FB">
          <w:pgSz w:w="11907" w:h="16840" w:code="9"/>
          <w:pgMar w:top="1418" w:right="1418" w:bottom="992" w:left="1418" w:header="425" w:footer="641" w:gutter="0"/>
          <w:cols w:space="708"/>
          <w:docGrid w:linePitch="360"/>
        </w:sectPr>
      </w:pPr>
    </w:p>
    <w:p w14:paraId="4E009FB8" w14:textId="371F72D5" w:rsidR="00DC306F" w:rsidRPr="00DC306F" w:rsidRDefault="00DC306F" w:rsidP="00DC306F">
      <w:pPr>
        <w:pStyle w:val="Headingappendix"/>
      </w:pPr>
      <w:bookmarkStart w:id="36" w:name="_Toc476839859"/>
      <w:r w:rsidRPr="00DC306F">
        <w:lastRenderedPageBreak/>
        <w:t>Summary of funding and levy changes over transition period</w:t>
      </w:r>
      <w:bookmarkEnd w:id="36"/>
    </w:p>
    <w:p w14:paraId="4602CA24" w14:textId="1AD52889" w:rsidR="004E1A09" w:rsidRDefault="0067518D" w:rsidP="00373603">
      <w:pPr>
        <w:jc w:val="center"/>
        <w:sectPr w:rsidR="004E1A09" w:rsidSect="004A1220">
          <w:pgSz w:w="11907" w:h="16840" w:code="9"/>
          <w:pgMar w:top="1440" w:right="1440" w:bottom="1440" w:left="1440" w:header="425" w:footer="641" w:gutter="0"/>
          <w:cols w:space="708"/>
          <w:docGrid w:linePitch="360"/>
        </w:sectPr>
      </w:pPr>
      <w:r>
        <w:rPr>
          <w:noProof/>
          <w:lang w:eastAsia="en-NZ"/>
        </w:rPr>
        <w:drawing>
          <wp:inline distT="0" distB="0" distL="0" distR="0" wp14:anchorId="7E80CEDB" wp14:editId="1CF8A009">
            <wp:extent cx="5973097" cy="7536426"/>
            <wp:effectExtent l="38100" t="19050" r="27940" b="266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354AC66" w14:textId="7ACFE8BF" w:rsidR="00A840D6" w:rsidRDefault="004E1A09" w:rsidP="004E1A09">
      <w:pPr>
        <w:pStyle w:val="Headingappendix"/>
      </w:pPr>
      <w:bookmarkStart w:id="37" w:name="_Toc476839860"/>
      <w:r>
        <w:lastRenderedPageBreak/>
        <w:t>Examples of proposed transitional relief</w:t>
      </w:r>
      <w:bookmarkEnd w:id="37"/>
      <w:r>
        <w:t xml:space="preserve"> </w:t>
      </w:r>
    </w:p>
    <w:p w14:paraId="1E6EF93F" w14:textId="1933D8BB" w:rsidR="00067A58" w:rsidRDefault="00D6781E" w:rsidP="00067A58">
      <w:r>
        <w:t>All figures for illustration purposes only.</w:t>
      </w:r>
    </w:p>
    <w:tbl>
      <w:tblPr>
        <w:tblW w:w="15686" w:type="dxa"/>
        <w:jc w:val="center"/>
        <w:tblInd w:w="93" w:type="dxa"/>
        <w:tblLook w:val="04A0" w:firstRow="1" w:lastRow="0" w:firstColumn="1" w:lastColumn="0" w:noHBand="0" w:noVBand="1"/>
      </w:tblPr>
      <w:tblGrid>
        <w:gridCol w:w="1420"/>
        <w:gridCol w:w="1420"/>
        <w:gridCol w:w="1420"/>
        <w:gridCol w:w="1300"/>
        <w:gridCol w:w="1540"/>
        <w:gridCol w:w="1300"/>
        <w:gridCol w:w="1300"/>
        <w:gridCol w:w="1300"/>
        <w:gridCol w:w="1562"/>
        <w:gridCol w:w="1562"/>
        <w:gridCol w:w="1562"/>
      </w:tblGrid>
      <w:tr w:rsidR="00D228A8" w:rsidRPr="00D228A8" w14:paraId="57FFBAEA" w14:textId="77777777" w:rsidTr="00FB445C">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DD5D8" w14:textId="77777777" w:rsidR="00D228A8" w:rsidRPr="00D228A8" w:rsidRDefault="00D228A8" w:rsidP="00D228A8">
            <w:pPr>
              <w:keepLines w:val="0"/>
              <w:spacing w:before="0" w:after="0"/>
              <w:rPr>
                <w:rFonts w:eastAsia="Times New Roman"/>
                <w:color w:val="000000"/>
                <w:sz w:val="20"/>
                <w:szCs w:val="20"/>
                <w:lang w:eastAsia="en-NZ"/>
              </w:rPr>
            </w:pPr>
            <w:r w:rsidRPr="00D228A8">
              <w:rPr>
                <w:rFonts w:eastAsia="Times New Roman"/>
                <w:color w:val="000000"/>
                <w:sz w:val="20"/>
                <w:szCs w:val="20"/>
                <w:lang w:eastAsia="en-NZ"/>
              </w:rPr>
              <w:t> </w:t>
            </w:r>
          </w:p>
        </w:tc>
        <w:tc>
          <w:tcPr>
            <w:tcW w:w="284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27716D40" w14:textId="4EA6C250" w:rsidR="00D228A8" w:rsidRPr="00D228A8" w:rsidRDefault="007D673D" w:rsidP="00D228A8">
            <w:pPr>
              <w:keepLines w:val="0"/>
              <w:spacing w:before="0" w:after="0"/>
              <w:jc w:val="center"/>
              <w:rPr>
                <w:rFonts w:eastAsia="Times New Roman"/>
                <w:b/>
                <w:bCs/>
                <w:color w:val="000000"/>
                <w:sz w:val="20"/>
                <w:szCs w:val="20"/>
                <w:lang w:eastAsia="en-NZ"/>
              </w:rPr>
            </w:pPr>
            <w:r>
              <w:rPr>
                <w:rFonts w:eastAsia="Times New Roman"/>
                <w:b/>
                <w:bCs/>
                <w:color w:val="000000"/>
                <w:sz w:val="20"/>
                <w:szCs w:val="20"/>
                <w:lang w:eastAsia="en-NZ"/>
              </w:rPr>
              <w:t xml:space="preserve">Levy liability </w:t>
            </w:r>
            <w:r w:rsidR="00D228A8" w:rsidRPr="00D228A8">
              <w:rPr>
                <w:rFonts w:eastAsia="Times New Roman"/>
                <w:b/>
                <w:bCs/>
                <w:color w:val="000000"/>
                <w:sz w:val="20"/>
                <w:szCs w:val="20"/>
                <w:lang w:eastAsia="en-NZ"/>
              </w:rPr>
              <w:t>(no relief)</w:t>
            </w:r>
          </w:p>
        </w:tc>
        <w:tc>
          <w:tcPr>
            <w:tcW w:w="6740" w:type="dxa"/>
            <w:gridSpan w:val="5"/>
            <w:tcBorders>
              <w:top w:val="single" w:sz="4" w:space="0" w:color="auto"/>
              <w:left w:val="nil"/>
              <w:bottom w:val="single" w:sz="4" w:space="0" w:color="auto"/>
              <w:right w:val="single" w:sz="4" w:space="0" w:color="auto"/>
            </w:tcBorders>
            <w:shd w:val="clear" w:color="auto" w:fill="auto"/>
            <w:noWrap/>
            <w:vAlign w:val="bottom"/>
            <w:hideMark/>
          </w:tcPr>
          <w:p w14:paraId="4579096A" w14:textId="77777777" w:rsidR="00D228A8" w:rsidRPr="00D228A8" w:rsidRDefault="00D228A8" w:rsidP="00D228A8">
            <w:pPr>
              <w:keepLines w:val="0"/>
              <w:spacing w:before="0" w:after="0"/>
              <w:jc w:val="center"/>
              <w:rPr>
                <w:rFonts w:eastAsia="Times New Roman"/>
                <w:b/>
                <w:bCs/>
                <w:color w:val="000000"/>
                <w:sz w:val="20"/>
                <w:szCs w:val="20"/>
                <w:lang w:eastAsia="en-NZ"/>
              </w:rPr>
            </w:pPr>
            <w:r w:rsidRPr="00D228A8">
              <w:rPr>
                <w:rFonts w:eastAsia="Times New Roman"/>
                <w:b/>
                <w:bCs/>
                <w:color w:val="000000"/>
                <w:sz w:val="20"/>
                <w:szCs w:val="20"/>
                <w:lang w:eastAsia="en-NZ"/>
              </w:rPr>
              <w:t>Relief criteria</w:t>
            </w:r>
          </w:p>
        </w:tc>
        <w:tc>
          <w:tcPr>
            <w:tcW w:w="4686"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4F6B0731" w14:textId="03D7C3D0" w:rsidR="00D228A8" w:rsidRPr="00D228A8" w:rsidRDefault="00D228A8" w:rsidP="00D228A8">
            <w:pPr>
              <w:keepLines w:val="0"/>
              <w:spacing w:before="0" w:after="0"/>
              <w:jc w:val="center"/>
              <w:rPr>
                <w:rFonts w:eastAsia="Times New Roman"/>
                <w:b/>
                <w:bCs/>
                <w:color w:val="000000"/>
                <w:sz w:val="20"/>
                <w:szCs w:val="20"/>
                <w:lang w:eastAsia="en-NZ"/>
              </w:rPr>
            </w:pPr>
            <w:r w:rsidRPr="00D228A8">
              <w:rPr>
                <w:rFonts w:eastAsia="Times New Roman"/>
                <w:b/>
                <w:bCs/>
                <w:color w:val="000000"/>
                <w:sz w:val="20"/>
                <w:szCs w:val="20"/>
                <w:lang w:eastAsia="en-NZ"/>
              </w:rPr>
              <w:t xml:space="preserve">Levy </w:t>
            </w:r>
            <w:r w:rsidR="007D673D" w:rsidRPr="00D228A8">
              <w:rPr>
                <w:rFonts w:eastAsia="Times New Roman"/>
                <w:b/>
                <w:bCs/>
                <w:color w:val="000000"/>
                <w:sz w:val="20"/>
                <w:szCs w:val="20"/>
                <w:lang w:eastAsia="en-NZ"/>
              </w:rPr>
              <w:t>liability</w:t>
            </w:r>
            <w:r w:rsidRPr="00D228A8">
              <w:rPr>
                <w:rFonts w:eastAsia="Times New Roman"/>
                <w:b/>
                <w:bCs/>
                <w:color w:val="000000"/>
                <w:sz w:val="20"/>
                <w:szCs w:val="20"/>
                <w:lang w:eastAsia="en-NZ"/>
              </w:rPr>
              <w:t xml:space="preserve"> with relief applied</w:t>
            </w:r>
          </w:p>
        </w:tc>
      </w:tr>
      <w:tr w:rsidR="00D228A8" w:rsidRPr="00D228A8" w14:paraId="4BA884C7" w14:textId="77777777" w:rsidTr="00FB445C">
        <w:trPr>
          <w:trHeight w:val="1800"/>
          <w:jc w:val="center"/>
        </w:trPr>
        <w:tc>
          <w:tcPr>
            <w:tcW w:w="1420" w:type="dxa"/>
            <w:tcBorders>
              <w:top w:val="nil"/>
              <w:left w:val="single" w:sz="4" w:space="0" w:color="auto"/>
              <w:bottom w:val="single" w:sz="4" w:space="0" w:color="auto"/>
              <w:right w:val="single" w:sz="4" w:space="0" w:color="auto"/>
            </w:tcBorders>
            <w:shd w:val="clear" w:color="auto" w:fill="auto"/>
            <w:vAlign w:val="bottom"/>
            <w:hideMark/>
          </w:tcPr>
          <w:p w14:paraId="08B2943A" w14:textId="77777777" w:rsidR="00D228A8" w:rsidRPr="00D228A8" w:rsidRDefault="00D228A8" w:rsidP="00D228A8">
            <w:pPr>
              <w:keepLines w:val="0"/>
              <w:spacing w:before="0" w:after="0"/>
              <w:rPr>
                <w:rFonts w:eastAsia="Times New Roman"/>
                <w:color w:val="000000"/>
                <w:sz w:val="20"/>
                <w:szCs w:val="20"/>
                <w:lang w:eastAsia="en-NZ"/>
              </w:rPr>
            </w:pPr>
            <w:r w:rsidRPr="00D228A8">
              <w:rPr>
                <w:rFonts w:eastAsia="Times New Roman"/>
                <w:color w:val="000000"/>
                <w:sz w:val="20"/>
                <w:szCs w:val="20"/>
                <w:lang w:eastAsia="en-NZ"/>
              </w:rPr>
              <w:t> </w:t>
            </w:r>
          </w:p>
        </w:tc>
        <w:tc>
          <w:tcPr>
            <w:tcW w:w="1420" w:type="dxa"/>
            <w:tcBorders>
              <w:top w:val="nil"/>
              <w:left w:val="nil"/>
              <w:bottom w:val="single" w:sz="4" w:space="0" w:color="auto"/>
              <w:right w:val="single" w:sz="4" w:space="0" w:color="auto"/>
            </w:tcBorders>
            <w:shd w:val="clear" w:color="000000" w:fill="EEECE1"/>
            <w:vAlign w:val="bottom"/>
            <w:hideMark/>
          </w:tcPr>
          <w:p w14:paraId="45ED3A27"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FSA regime</w:t>
            </w:r>
          </w:p>
        </w:tc>
        <w:tc>
          <w:tcPr>
            <w:tcW w:w="1420" w:type="dxa"/>
            <w:tcBorders>
              <w:top w:val="nil"/>
              <w:left w:val="nil"/>
              <w:bottom w:val="single" w:sz="4" w:space="0" w:color="auto"/>
              <w:right w:val="single" w:sz="4" w:space="0" w:color="auto"/>
            </w:tcBorders>
            <w:shd w:val="clear" w:color="000000" w:fill="EEECE1"/>
            <w:vAlign w:val="bottom"/>
            <w:hideMark/>
          </w:tcPr>
          <w:p w14:paraId="38DCD624" w14:textId="0906EFA8" w:rsidR="00D228A8" w:rsidRPr="00D228A8" w:rsidRDefault="008B285B" w:rsidP="00D228A8">
            <w:pPr>
              <w:keepLines w:val="0"/>
              <w:spacing w:before="0" w:after="0"/>
              <w:jc w:val="center"/>
              <w:rPr>
                <w:rFonts w:eastAsia="Times New Roman"/>
                <w:color w:val="000000"/>
                <w:sz w:val="20"/>
                <w:szCs w:val="20"/>
                <w:lang w:eastAsia="en-NZ"/>
              </w:rPr>
            </w:pPr>
            <w:r>
              <w:rPr>
                <w:rFonts w:eastAsia="Times New Roman"/>
                <w:color w:val="000000"/>
                <w:sz w:val="20"/>
                <w:szCs w:val="20"/>
                <w:lang w:eastAsia="en-NZ"/>
              </w:rPr>
              <w:t>Fire and Emergency NZ</w:t>
            </w:r>
            <w:r w:rsidR="00D228A8" w:rsidRPr="00D228A8">
              <w:rPr>
                <w:rFonts w:eastAsia="Times New Roman"/>
                <w:color w:val="000000"/>
                <w:sz w:val="20"/>
                <w:szCs w:val="20"/>
                <w:lang w:eastAsia="en-NZ"/>
              </w:rPr>
              <w:t xml:space="preserve"> regime</w:t>
            </w:r>
          </w:p>
        </w:tc>
        <w:tc>
          <w:tcPr>
            <w:tcW w:w="1300" w:type="dxa"/>
            <w:tcBorders>
              <w:top w:val="nil"/>
              <w:left w:val="nil"/>
              <w:bottom w:val="single" w:sz="4" w:space="0" w:color="auto"/>
              <w:right w:val="single" w:sz="4" w:space="0" w:color="auto"/>
            </w:tcBorders>
            <w:shd w:val="clear" w:color="auto" w:fill="auto"/>
            <w:vAlign w:val="bottom"/>
            <w:hideMark/>
          </w:tcPr>
          <w:p w14:paraId="0B0FF31B" w14:textId="1CF8F48C"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Burden</w:t>
            </w:r>
            <w:r w:rsidRPr="00D228A8">
              <w:rPr>
                <w:rFonts w:eastAsia="Times New Roman"/>
                <w:color w:val="000000"/>
                <w:sz w:val="20"/>
                <w:szCs w:val="20"/>
                <w:lang w:eastAsia="en-NZ"/>
              </w:rPr>
              <w:br/>
              <w:t>(</w:t>
            </w:r>
            <w:r w:rsidR="008B285B">
              <w:rPr>
                <w:rFonts w:eastAsia="Times New Roman"/>
                <w:color w:val="000000"/>
                <w:sz w:val="20"/>
                <w:szCs w:val="20"/>
                <w:lang w:eastAsia="en-NZ"/>
              </w:rPr>
              <w:t>Fire and Emergency NZ</w:t>
            </w:r>
            <w:r w:rsidRPr="00D228A8">
              <w:rPr>
                <w:rFonts w:eastAsia="Times New Roman"/>
                <w:color w:val="000000"/>
                <w:sz w:val="20"/>
                <w:szCs w:val="20"/>
                <w:lang w:eastAsia="en-NZ"/>
              </w:rPr>
              <w:t xml:space="preserve"> levy ÷ FSA levy)</w:t>
            </w:r>
          </w:p>
        </w:tc>
        <w:tc>
          <w:tcPr>
            <w:tcW w:w="1540" w:type="dxa"/>
            <w:tcBorders>
              <w:top w:val="nil"/>
              <w:left w:val="nil"/>
              <w:bottom w:val="single" w:sz="4" w:space="0" w:color="auto"/>
              <w:right w:val="single" w:sz="4" w:space="0" w:color="auto"/>
            </w:tcBorders>
            <w:shd w:val="clear" w:color="auto" w:fill="auto"/>
            <w:vAlign w:val="bottom"/>
            <w:hideMark/>
          </w:tcPr>
          <w:p w14:paraId="7DEE05FB"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Unreasonable? (burden ≥3)</w:t>
            </w:r>
          </w:p>
        </w:tc>
        <w:tc>
          <w:tcPr>
            <w:tcW w:w="1300" w:type="dxa"/>
            <w:tcBorders>
              <w:top w:val="nil"/>
              <w:left w:val="nil"/>
              <w:bottom w:val="single" w:sz="4" w:space="0" w:color="auto"/>
              <w:right w:val="single" w:sz="4" w:space="0" w:color="auto"/>
            </w:tcBorders>
            <w:shd w:val="clear" w:color="auto" w:fill="auto"/>
            <w:vAlign w:val="bottom"/>
            <w:hideMark/>
          </w:tcPr>
          <w:p w14:paraId="2F6870B6" w14:textId="10CABC21"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 xml:space="preserve">Over threshold? ($100,00 levy under </w:t>
            </w:r>
            <w:r w:rsidR="008B285B">
              <w:rPr>
                <w:rFonts w:eastAsia="Times New Roman"/>
                <w:color w:val="000000"/>
                <w:sz w:val="20"/>
                <w:szCs w:val="20"/>
                <w:lang w:eastAsia="en-NZ"/>
              </w:rPr>
              <w:t>Fire and Emergency NZ</w:t>
            </w:r>
            <w:r w:rsidRPr="00D228A8">
              <w:rPr>
                <w:rFonts w:eastAsia="Times New Roman"/>
                <w:color w:val="000000"/>
                <w:sz w:val="20"/>
                <w:szCs w:val="20"/>
                <w:lang w:eastAsia="en-NZ"/>
              </w:rPr>
              <w:t xml:space="preserve"> regime)</w:t>
            </w:r>
          </w:p>
        </w:tc>
        <w:tc>
          <w:tcPr>
            <w:tcW w:w="1300" w:type="dxa"/>
            <w:tcBorders>
              <w:top w:val="nil"/>
              <w:left w:val="nil"/>
              <w:bottom w:val="single" w:sz="4" w:space="0" w:color="auto"/>
              <w:right w:val="single" w:sz="4" w:space="0" w:color="auto"/>
            </w:tcBorders>
            <w:shd w:val="clear" w:color="auto" w:fill="auto"/>
            <w:vAlign w:val="bottom"/>
            <w:hideMark/>
          </w:tcPr>
          <w:p w14:paraId="54B8B9A0" w14:textId="5F60181F" w:rsidR="00D228A8" w:rsidRPr="00D228A8" w:rsidRDefault="00AB218D"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Eligible</w:t>
            </w:r>
            <w:r w:rsidR="00D228A8" w:rsidRPr="00D228A8">
              <w:rPr>
                <w:rFonts w:eastAsia="Times New Roman"/>
                <w:color w:val="000000"/>
                <w:sz w:val="20"/>
                <w:szCs w:val="20"/>
                <w:lang w:eastAsia="en-NZ"/>
              </w:rPr>
              <w:t xml:space="preserve"> for relief?</w:t>
            </w:r>
          </w:p>
        </w:tc>
        <w:tc>
          <w:tcPr>
            <w:tcW w:w="1300" w:type="dxa"/>
            <w:tcBorders>
              <w:top w:val="nil"/>
              <w:left w:val="nil"/>
              <w:bottom w:val="single" w:sz="4" w:space="0" w:color="auto"/>
              <w:right w:val="single" w:sz="4" w:space="0" w:color="auto"/>
            </w:tcBorders>
            <w:shd w:val="clear" w:color="auto" w:fill="auto"/>
            <w:vAlign w:val="bottom"/>
            <w:hideMark/>
          </w:tcPr>
          <w:p w14:paraId="4DB62237" w14:textId="77777777" w:rsidR="00D228A8" w:rsidRPr="00D228A8" w:rsidRDefault="00D228A8" w:rsidP="004A1220">
            <w:pPr>
              <w:keepLines w:val="0"/>
              <w:spacing w:before="0" w:after="0"/>
              <w:rPr>
                <w:rFonts w:eastAsia="Times New Roman"/>
                <w:color w:val="000000"/>
                <w:sz w:val="20"/>
                <w:szCs w:val="20"/>
                <w:lang w:eastAsia="en-NZ"/>
              </w:rPr>
            </w:pPr>
            <w:r w:rsidRPr="00D228A8">
              <w:rPr>
                <w:rFonts w:eastAsia="Times New Roman"/>
                <w:color w:val="000000"/>
                <w:sz w:val="20"/>
                <w:szCs w:val="20"/>
                <w:lang w:eastAsia="en-NZ"/>
              </w:rPr>
              <w:t>Increase in levy</w:t>
            </w:r>
          </w:p>
        </w:tc>
        <w:tc>
          <w:tcPr>
            <w:tcW w:w="1562" w:type="dxa"/>
            <w:tcBorders>
              <w:top w:val="nil"/>
              <w:left w:val="nil"/>
              <w:bottom w:val="single" w:sz="4" w:space="0" w:color="auto"/>
              <w:right w:val="single" w:sz="4" w:space="0" w:color="auto"/>
            </w:tcBorders>
            <w:shd w:val="clear" w:color="000000" w:fill="F2F2F2"/>
            <w:vAlign w:val="bottom"/>
            <w:hideMark/>
          </w:tcPr>
          <w:p w14:paraId="5F4B71D1"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Year 1</w:t>
            </w:r>
            <w:r w:rsidRPr="00D228A8">
              <w:rPr>
                <w:rFonts w:eastAsia="Times New Roman"/>
                <w:color w:val="000000"/>
                <w:sz w:val="20"/>
                <w:szCs w:val="20"/>
                <w:lang w:eastAsia="en-NZ"/>
              </w:rPr>
              <w:br/>
              <w:t>(50% reduction on increase)</w:t>
            </w:r>
          </w:p>
        </w:tc>
        <w:tc>
          <w:tcPr>
            <w:tcW w:w="1562" w:type="dxa"/>
            <w:tcBorders>
              <w:top w:val="nil"/>
              <w:left w:val="nil"/>
              <w:bottom w:val="single" w:sz="4" w:space="0" w:color="auto"/>
              <w:right w:val="single" w:sz="4" w:space="0" w:color="auto"/>
            </w:tcBorders>
            <w:shd w:val="clear" w:color="000000" w:fill="F2F2F2"/>
            <w:vAlign w:val="bottom"/>
            <w:hideMark/>
          </w:tcPr>
          <w:p w14:paraId="6C5A56F5"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Year 2</w:t>
            </w:r>
            <w:r w:rsidRPr="00D228A8">
              <w:rPr>
                <w:rFonts w:eastAsia="Times New Roman"/>
                <w:color w:val="000000"/>
                <w:sz w:val="20"/>
                <w:szCs w:val="20"/>
                <w:lang w:eastAsia="en-NZ"/>
              </w:rPr>
              <w:br/>
              <w:t>(25% reduction on increase)</w:t>
            </w:r>
          </w:p>
        </w:tc>
        <w:tc>
          <w:tcPr>
            <w:tcW w:w="1562" w:type="dxa"/>
            <w:tcBorders>
              <w:top w:val="nil"/>
              <w:left w:val="nil"/>
              <w:bottom w:val="single" w:sz="4" w:space="0" w:color="auto"/>
              <w:right w:val="single" w:sz="4" w:space="0" w:color="auto"/>
            </w:tcBorders>
            <w:shd w:val="clear" w:color="000000" w:fill="F2F2F2"/>
            <w:vAlign w:val="bottom"/>
            <w:hideMark/>
          </w:tcPr>
          <w:p w14:paraId="60C6F4C1"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Year 3</w:t>
            </w:r>
            <w:r w:rsidRPr="00D228A8">
              <w:rPr>
                <w:rFonts w:eastAsia="Times New Roman"/>
                <w:color w:val="000000"/>
                <w:sz w:val="20"/>
                <w:szCs w:val="20"/>
                <w:lang w:eastAsia="en-NZ"/>
              </w:rPr>
              <w:br/>
              <w:t>(12.5% reduction on increase)</w:t>
            </w:r>
          </w:p>
        </w:tc>
      </w:tr>
      <w:tr w:rsidR="00D228A8" w:rsidRPr="00D228A8" w14:paraId="1B693BFA" w14:textId="77777777" w:rsidTr="00FB445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AFA9904" w14:textId="77777777" w:rsidR="00D228A8" w:rsidRPr="00D228A8" w:rsidRDefault="00D228A8" w:rsidP="00D228A8">
            <w:pPr>
              <w:keepLines w:val="0"/>
              <w:spacing w:before="0" w:after="0"/>
              <w:rPr>
                <w:rFonts w:eastAsia="Times New Roman"/>
                <w:b/>
                <w:color w:val="000000"/>
                <w:sz w:val="20"/>
                <w:szCs w:val="20"/>
                <w:lang w:eastAsia="en-NZ"/>
              </w:rPr>
            </w:pPr>
            <w:r w:rsidRPr="00D228A8">
              <w:rPr>
                <w:rFonts w:eastAsia="Times New Roman"/>
                <w:b/>
                <w:color w:val="000000"/>
                <w:sz w:val="20"/>
                <w:szCs w:val="20"/>
                <w:lang w:eastAsia="en-NZ"/>
              </w:rPr>
              <w:t>Example A</w:t>
            </w:r>
          </w:p>
        </w:tc>
        <w:tc>
          <w:tcPr>
            <w:tcW w:w="1420" w:type="dxa"/>
            <w:tcBorders>
              <w:top w:val="nil"/>
              <w:left w:val="nil"/>
              <w:bottom w:val="single" w:sz="4" w:space="0" w:color="auto"/>
              <w:right w:val="single" w:sz="4" w:space="0" w:color="auto"/>
            </w:tcBorders>
            <w:shd w:val="clear" w:color="000000" w:fill="EEECE1"/>
            <w:noWrap/>
            <w:vAlign w:val="center"/>
            <w:hideMark/>
          </w:tcPr>
          <w:p w14:paraId="1ACCF650" w14:textId="76B49237" w:rsidR="00D228A8" w:rsidRPr="00D228A8" w:rsidRDefault="00D228A8" w:rsidP="00D228A8">
            <w:pPr>
              <w:keepLines w:val="0"/>
              <w:spacing w:before="0" w:after="0"/>
              <w:jc w:val="center"/>
              <w:rPr>
                <w:rFonts w:eastAsia="Times New Roman"/>
                <w:color w:val="000000"/>
                <w:sz w:val="20"/>
                <w:szCs w:val="20"/>
                <w:lang w:eastAsia="en-NZ"/>
              </w:rPr>
            </w:pPr>
            <w:r>
              <w:rPr>
                <w:rFonts w:eastAsia="Times New Roman"/>
                <w:color w:val="000000"/>
                <w:sz w:val="20"/>
                <w:szCs w:val="20"/>
                <w:lang w:eastAsia="en-NZ"/>
              </w:rPr>
              <w:t>$</w:t>
            </w:r>
            <w:r w:rsidRPr="00D228A8">
              <w:rPr>
                <w:rFonts w:eastAsia="Times New Roman"/>
                <w:color w:val="000000"/>
                <w:sz w:val="20"/>
                <w:szCs w:val="20"/>
                <w:lang w:eastAsia="en-NZ"/>
              </w:rPr>
              <w:t>10,000</w:t>
            </w:r>
          </w:p>
        </w:tc>
        <w:tc>
          <w:tcPr>
            <w:tcW w:w="1420" w:type="dxa"/>
            <w:tcBorders>
              <w:top w:val="nil"/>
              <w:left w:val="nil"/>
              <w:bottom w:val="single" w:sz="4" w:space="0" w:color="auto"/>
              <w:right w:val="single" w:sz="4" w:space="0" w:color="auto"/>
            </w:tcBorders>
            <w:shd w:val="clear" w:color="000000" w:fill="EEECE1"/>
            <w:noWrap/>
            <w:vAlign w:val="center"/>
            <w:hideMark/>
          </w:tcPr>
          <w:p w14:paraId="441215F5" w14:textId="025665D3"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$50,000</w:t>
            </w:r>
          </w:p>
        </w:tc>
        <w:tc>
          <w:tcPr>
            <w:tcW w:w="1300" w:type="dxa"/>
            <w:tcBorders>
              <w:top w:val="nil"/>
              <w:left w:val="nil"/>
              <w:bottom w:val="single" w:sz="4" w:space="0" w:color="auto"/>
              <w:right w:val="single" w:sz="4" w:space="0" w:color="auto"/>
            </w:tcBorders>
            <w:shd w:val="clear" w:color="auto" w:fill="auto"/>
            <w:noWrap/>
            <w:vAlign w:val="center"/>
            <w:hideMark/>
          </w:tcPr>
          <w:p w14:paraId="04E12901"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5.00</w:t>
            </w:r>
          </w:p>
        </w:tc>
        <w:tc>
          <w:tcPr>
            <w:tcW w:w="1540" w:type="dxa"/>
            <w:tcBorders>
              <w:top w:val="nil"/>
              <w:left w:val="nil"/>
              <w:bottom w:val="single" w:sz="4" w:space="0" w:color="auto"/>
              <w:right w:val="single" w:sz="4" w:space="0" w:color="auto"/>
            </w:tcBorders>
            <w:shd w:val="clear" w:color="auto" w:fill="auto"/>
            <w:noWrap/>
            <w:vAlign w:val="center"/>
            <w:hideMark/>
          </w:tcPr>
          <w:p w14:paraId="4CEECC67"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00245860"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0D5EFCE5"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1018A281" w14:textId="0F619C54"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$40,000</w:t>
            </w:r>
          </w:p>
        </w:tc>
        <w:tc>
          <w:tcPr>
            <w:tcW w:w="1562" w:type="dxa"/>
            <w:tcBorders>
              <w:top w:val="nil"/>
              <w:left w:val="nil"/>
              <w:bottom w:val="single" w:sz="4" w:space="0" w:color="auto"/>
              <w:right w:val="single" w:sz="4" w:space="0" w:color="auto"/>
            </w:tcBorders>
            <w:shd w:val="clear" w:color="000000" w:fill="F2F2F2"/>
            <w:noWrap/>
            <w:vAlign w:val="center"/>
            <w:hideMark/>
          </w:tcPr>
          <w:p w14:paraId="1C1EF162" w14:textId="632EA44A"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$50,000</w:t>
            </w:r>
          </w:p>
        </w:tc>
        <w:tc>
          <w:tcPr>
            <w:tcW w:w="1562" w:type="dxa"/>
            <w:tcBorders>
              <w:top w:val="nil"/>
              <w:left w:val="nil"/>
              <w:bottom w:val="single" w:sz="4" w:space="0" w:color="auto"/>
              <w:right w:val="single" w:sz="4" w:space="0" w:color="auto"/>
            </w:tcBorders>
            <w:shd w:val="clear" w:color="000000" w:fill="F2F2F2"/>
            <w:noWrap/>
            <w:vAlign w:val="center"/>
            <w:hideMark/>
          </w:tcPr>
          <w:p w14:paraId="6A1F0350" w14:textId="2A11FB29"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$50,000</w:t>
            </w:r>
          </w:p>
        </w:tc>
        <w:tc>
          <w:tcPr>
            <w:tcW w:w="1562" w:type="dxa"/>
            <w:tcBorders>
              <w:top w:val="nil"/>
              <w:left w:val="nil"/>
              <w:bottom w:val="single" w:sz="4" w:space="0" w:color="auto"/>
              <w:right w:val="single" w:sz="4" w:space="0" w:color="auto"/>
            </w:tcBorders>
            <w:shd w:val="clear" w:color="000000" w:fill="F2F2F2"/>
            <w:noWrap/>
            <w:vAlign w:val="center"/>
            <w:hideMark/>
          </w:tcPr>
          <w:p w14:paraId="42CF07C0" w14:textId="7FE06CAD"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$50,000</w:t>
            </w:r>
          </w:p>
        </w:tc>
      </w:tr>
      <w:tr w:rsidR="00D228A8" w:rsidRPr="00D228A8" w14:paraId="4FD4DE98" w14:textId="77777777" w:rsidTr="00FB445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F2E9686" w14:textId="77777777" w:rsidR="00D228A8" w:rsidRPr="00D228A8" w:rsidRDefault="00D228A8" w:rsidP="00D228A8">
            <w:pPr>
              <w:keepLines w:val="0"/>
              <w:spacing w:before="0" w:after="0"/>
              <w:rPr>
                <w:rFonts w:eastAsia="Times New Roman"/>
                <w:b/>
                <w:color w:val="000000"/>
                <w:sz w:val="20"/>
                <w:szCs w:val="20"/>
                <w:lang w:eastAsia="en-NZ"/>
              </w:rPr>
            </w:pPr>
            <w:r w:rsidRPr="00D228A8">
              <w:rPr>
                <w:rFonts w:eastAsia="Times New Roman"/>
                <w:b/>
                <w:color w:val="000000"/>
                <w:sz w:val="20"/>
                <w:szCs w:val="20"/>
                <w:lang w:eastAsia="en-NZ"/>
              </w:rPr>
              <w:t>Example B</w:t>
            </w:r>
          </w:p>
        </w:tc>
        <w:tc>
          <w:tcPr>
            <w:tcW w:w="1420" w:type="dxa"/>
            <w:tcBorders>
              <w:top w:val="nil"/>
              <w:left w:val="nil"/>
              <w:bottom w:val="single" w:sz="4" w:space="0" w:color="auto"/>
              <w:right w:val="single" w:sz="4" w:space="0" w:color="auto"/>
            </w:tcBorders>
            <w:shd w:val="clear" w:color="000000" w:fill="EEECE1"/>
            <w:noWrap/>
            <w:vAlign w:val="center"/>
            <w:hideMark/>
          </w:tcPr>
          <w:p w14:paraId="29516F11" w14:textId="0A0E0006"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$87,000</w:t>
            </w:r>
          </w:p>
        </w:tc>
        <w:tc>
          <w:tcPr>
            <w:tcW w:w="1420" w:type="dxa"/>
            <w:tcBorders>
              <w:top w:val="nil"/>
              <w:left w:val="nil"/>
              <w:bottom w:val="single" w:sz="4" w:space="0" w:color="auto"/>
              <w:right w:val="single" w:sz="4" w:space="0" w:color="auto"/>
            </w:tcBorders>
            <w:shd w:val="clear" w:color="000000" w:fill="EEECE1"/>
            <w:noWrap/>
            <w:vAlign w:val="center"/>
            <w:hideMark/>
          </w:tcPr>
          <w:p w14:paraId="341EB798" w14:textId="478D1290"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$156,000</w:t>
            </w:r>
          </w:p>
        </w:tc>
        <w:tc>
          <w:tcPr>
            <w:tcW w:w="1300" w:type="dxa"/>
            <w:tcBorders>
              <w:top w:val="nil"/>
              <w:left w:val="nil"/>
              <w:bottom w:val="single" w:sz="4" w:space="0" w:color="auto"/>
              <w:right w:val="single" w:sz="4" w:space="0" w:color="auto"/>
            </w:tcBorders>
            <w:shd w:val="clear" w:color="auto" w:fill="auto"/>
            <w:noWrap/>
            <w:vAlign w:val="center"/>
            <w:hideMark/>
          </w:tcPr>
          <w:p w14:paraId="19760296"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1.79</w:t>
            </w:r>
          </w:p>
        </w:tc>
        <w:tc>
          <w:tcPr>
            <w:tcW w:w="1540" w:type="dxa"/>
            <w:tcBorders>
              <w:top w:val="nil"/>
              <w:left w:val="nil"/>
              <w:bottom w:val="single" w:sz="4" w:space="0" w:color="auto"/>
              <w:right w:val="single" w:sz="4" w:space="0" w:color="auto"/>
            </w:tcBorders>
            <w:shd w:val="clear" w:color="auto" w:fill="auto"/>
            <w:noWrap/>
            <w:vAlign w:val="center"/>
            <w:hideMark/>
          </w:tcPr>
          <w:p w14:paraId="5F4DE917"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4AF404D3"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0E69FAF5"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12CD367D" w14:textId="2EB6F625"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$69,000</w:t>
            </w:r>
          </w:p>
        </w:tc>
        <w:tc>
          <w:tcPr>
            <w:tcW w:w="1562" w:type="dxa"/>
            <w:tcBorders>
              <w:top w:val="nil"/>
              <w:left w:val="nil"/>
              <w:bottom w:val="single" w:sz="4" w:space="0" w:color="auto"/>
              <w:right w:val="single" w:sz="4" w:space="0" w:color="auto"/>
            </w:tcBorders>
            <w:shd w:val="clear" w:color="000000" w:fill="F2F2F2"/>
            <w:noWrap/>
            <w:vAlign w:val="center"/>
            <w:hideMark/>
          </w:tcPr>
          <w:p w14:paraId="65B016B3" w14:textId="29A612DE"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$156,000</w:t>
            </w:r>
          </w:p>
        </w:tc>
        <w:tc>
          <w:tcPr>
            <w:tcW w:w="1562" w:type="dxa"/>
            <w:tcBorders>
              <w:top w:val="nil"/>
              <w:left w:val="nil"/>
              <w:bottom w:val="single" w:sz="4" w:space="0" w:color="auto"/>
              <w:right w:val="single" w:sz="4" w:space="0" w:color="auto"/>
            </w:tcBorders>
            <w:shd w:val="clear" w:color="000000" w:fill="F2F2F2"/>
            <w:noWrap/>
            <w:vAlign w:val="center"/>
            <w:hideMark/>
          </w:tcPr>
          <w:p w14:paraId="2F63C132" w14:textId="0EDD15AF"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$156,000</w:t>
            </w:r>
          </w:p>
        </w:tc>
        <w:tc>
          <w:tcPr>
            <w:tcW w:w="1562" w:type="dxa"/>
            <w:tcBorders>
              <w:top w:val="nil"/>
              <w:left w:val="nil"/>
              <w:bottom w:val="single" w:sz="4" w:space="0" w:color="auto"/>
              <w:right w:val="single" w:sz="4" w:space="0" w:color="auto"/>
            </w:tcBorders>
            <w:shd w:val="clear" w:color="000000" w:fill="F2F2F2"/>
            <w:noWrap/>
            <w:vAlign w:val="center"/>
            <w:hideMark/>
          </w:tcPr>
          <w:p w14:paraId="20F771C9" w14:textId="5FB6264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$156,000</w:t>
            </w:r>
          </w:p>
        </w:tc>
      </w:tr>
      <w:tr w:rsidR="00D228A8" w:rsidRPr="00D228A8" w14:paraId="0B8FCF31" w14:textId="77777777" w:rsidTr="00FB445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46C5E5D" w14:textId="77777777" w:rsidR="00D228A8" w:rsidRPr="00D228A8" w:rsidRDefault="00D228A8" w:rsidP="00D228A8">
            <w:pPr>
              <w:keepLines w:val="0"/>
              <w:spacing w:before="0" w:after="0"/>
              <w:rPr>
                <w:rFonts w:eastAsia="Times New Roman"/>
                <w:b/>
                <w:color w:val="000000"/>
                <w:sz w:val="20"/>
                <w:szCs w:val="20"/>
                <w:lang w:eastAsia="en-NZ"/>
              </w:rPr>
            </w:pPr>
            <w:r w:rsidRPr="00D228A8">
              <w:rPr>
                <w:rFonts w:eastAsia="Times New Roman"/>
                <w:b/>
                <w:color w:val="000000"/>
                <w:sz w:val="20"/>
                <w:szCs w:val="20"/>
                <w:lang w:eastAsia="en-NZ"/>
              </w:rPr>
              <w:t>Example C</w:t>
            </w:r>
          </w:p>
        </w:tc>
        <w:tc>
          <w:tcPr>
            <w:tcW w:w="1420" w:type="dxa"/>
            <w:tcBorders>
              <w:top w:val="nil"/>
              <w:left w:val="nil"/>
              <w:bottom w:val="single" w:sz="4" w:space="0" w:color="auto"/>
              <w:right w:val="single" w:sz="4" w:space="0" w:color="auto"/>
            </w:tcBorders>
            <w:shd w:val="clear" w:color="000000" w:fill="EEECE1"/>
            <w:noWrap/>
            <w:vAlign w:val="center"/>
            <w:hideMark/>
          </w:tcPr>
          <w:p w14:paraId="3C6CD3E7" w14:textId="5623AB43"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$135,000</w:t>
            </w:r>
          </w:p>
        </w:tc>
        <w:tc>
          <w:tcPr>
            <w:tcW w:w="1420" w:type="dxa"/>
            <w:tcBorders>
              <w:top w:val="nil"/>
              <w:left w:val="nil"/>
              <w:bottom w:val="single" w:sz="4" w:space="0" w:color="auto"/>
              <w:right w:val="single" w:sz="4" w:space="0" w:color="auto"/>
            </w:tcBorders>
            <w:shd w:val="clear" w:color="000000" w:fill="EEECE1"/>
            <w:noWrap/>
            <w:vAlign w:val="center"/>
            <w:hideMark/>
          </w:tcPr>
          <w:p w14:paraId="360A0EA6" w14:textId="316E1550"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$380,000</w:t>
            </w:r>
          </w:p>
        </w:tc>
        <w:tc>
          <w:tcPr>
            <w:tcW w:w="1300" w:type="dxa"/>
            <w:tcBorders>
              <w:top w:val="nil"/>
              <w:left w:val="nil"/>
              <w:bottom w:val="single" w:sz="4" w:space="0" w:color="auto"/>
              <w:right w:val="single" w:sz="4" w:space="0" w:color="auto"/>
            </w:tcBorders>
            <w:shd w:val="clear" w:color="auto" w:fill="auto"/>
            <w:noWrap/>
            <w:vAlign w:val="center"/>
            <w:hideMark/>
          </w:tcPr>
          <w:p w14:paraId="3AE0C5F4"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2.81</w:t>
            </w:r>
          </w:p>
        </w:tc>
        <w:tc>
          <w:tcPr>
            <w:tcW w:w="1540" w:type="dxa"/>
            <w:tcBorders>
              <w:top w:val="nil"/>
              <w:left w:val="nil"/>
              <w:bottom w:val="single" w:sz="4" w:space="0" w:color="auto"/>
              <w:right w:val="single" w:sz="4" w:space="0" w:color="auto"/>
            </w:tcBorders>
            <w:shd w:val="clear" w:color="auto" w:fill="auto"/>
            <w:noWrap/>
            <w:vAlign w:val="center"/>
            <w:hideMark/>
          </w:tcPr>
          <w:p w14:paraId="5C16FEB3"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793609CB"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292298C0"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2F4AB5B9" w14:textId="5EE119F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$245,000</w:t>
            </w:r>
          </w:p>
        </w:tc>
        <w:tc>
          <w:tcPr>
            <w:tcW w:w="1562" w:type="dxa"/>
            <w:tcBorders>
              <w:top w:val="nil"/>
              <w:left w:val="nil"/>
              <w:bottom w:val="single" w:sz="4" w:space="0" w:color="auto"/>
              <w:right w:val="single" w:sz="4" w:space="0" w:color="auto"/>
            </w:tcBorders>
            <w:shd w:val="clear" w:color="000000" w:fill="F2F2F2"/>
            <w:noWrap/>
            <w:vAlign w:val="center"/>
            <w:hideMark/>
          </w:tcPr>
          <w:p w14:paraId="602A47FB" w14:textId="6AB4802C"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$380,000</w:t>
            </w:r>
          </w:p>
        </w:tc>
        <w:tc>
          <w:tcPr>
            <w:tcW w:w="1562" w:type="dxa"/>
            <w:tcBorders>
              <w:top w:val="nil"/>
              <w:left w:val="nil"/>
              <w:bottom w:val="single" w:sz="4" w:space="0" w:color="auto"/>
              <w:right w:val="single" w:sz="4" w:space="0" w:color="auto"/>
            </w:tcBorders>
            <w:shd w:val="clear" w:color="000000" w:fill="F2F2F2"/>
            <w:noWrap/>
            <w:vAlign w:val="center"/>
            <w:hideMark/>
          </w:tcPr>
          <w:p w14:paraId="511856DA" w14:textId="5295A07B"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$380,000</w:t>
            </w:r>
          </w:p>
        </w:tc>
        <w:tc>
          <w:tcPr>
            <w:tcW w:w="1562" w:type="dxa"/>
            <w:tcBorders>
              <w:top w:val="nil"/>
              <w:left w:val="nil"/>
              <w:bottom w:val="single" w:sz="4" w:space="0" w:color="auto"/>
              <w:right w:val="single" w:sz="4" w:space="0" w:color="auto"/>
            </w:tcBorders>
            <w:shd w:val="clear" w:color="000000" w:fill="F2F2F2"/>
            <w:noWrap/>
            <w:vAlign w:val="center"/>
            <w:hideMark/>
          </w:tcPr>
          <w:p w14:paraId="2DC8CDE6" w14:textId="69E74E2D"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$380,000</w:t>
            </w:r>
          </w:p>
        </w:tc>
      </w:tr>
      <w:tr w:rsidR="00D228A8" w:rsidRPr="00D228A8" w14:paraId="335DB177" w14:textId="77777777" w:rsidTr="00FB445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70C4E17" w14:textId="77777777" w:rsidR="00D228A8" w:rsidRPr="00D228A8" w:rsidRDefault="00D228A8" w:rsidP="00D228A8">
            <w:pPr>
              <w:keepLines w:val="0"/>
              <w:spacing w:before="0" w:after="0"/>
              <w:rPr>
                <w:rFonts w:eastAsia="Times New Roman"/>
                <w:b/>
                <w:color w:val="000000"/>
                <w:sz w:val="20"/>
                <w:szCs w:val="20"/>
                <w:lang w:eastAsia="en-NZ"/>
              </w:rPr>
            </w:pPr>
            <w:r w:rsidRPr="00D228A8">
              <w:rPr>
                <w:rFonts w:eastAsia="Times New Roman"/>
                <w:b/>
                <w:color w:val="000000"/>
                <w:sz w:val="20"/>
                <w:szCs w:val="20"/>
                <w:lang w:eastAsia="en-NZ"/>
              </w:rPr>
              <w:t>Example D</w:t>
            </w:r>
          </w:p>
        </w:tc>
        <w:tc>
          <w:tcPr>
            <w:tcW w:w="1420" w:type="dxa"/>
            <w:tcBorders>
              <w:top w:val="nil"/>
              <w:left w:val="nil"/>
              <w:bottom w:val="single" w:sz="4" w:space="0" w:color="auto"/>
              <w:right w:val="single" w:sz="4" w:space="0" w:color="auto"/>
            </w:tcBorders>
            <w:shd w:val="clear" w:color="000000" w:fill="EEECE1"/>
            <w:noWrap/>
            <w:vAlign w:val="center"/>
            <w:hideMark/>
          </w:tcPr>
          <w:p w14:paraId="1E1C802E" w14:textId="41DA31C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$33,000</w:t>
            </w:r>
          </w:p>
        </w:tc>
        <w:tc>
          <w:tcPr>
            <w:tcW w:w="1420" w:type="dxa"/>
            <w:tcBorders>
              <w:top w:val="nil"/>
              <w:left w:val="nil"/>
              <w:bottom w:val="single" w:sz="4" w:space="0" w:color="auto"/>
              <w:right w:val="single" w:sz="4" w:space="0" w:color="auto"/>
            </w:tcBorders>
            <w:shd w:val="clear" w:color="000000" w:fill="EEECE1"/>
            <w:noWrap/>
            <w:vAlign w:val="center"/>
            <w:hideMark/>
          </w:tcPr>
          <w:p w14:paraId="466E248D" w14:textId="67346E15"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$99,000</w:t>
            </w:r>
          </w:p>
        </w:tc>
        <w:tc>
          <w:tcPr>
            <w:tcW w:w="1300" w:type="dxa"/>
            <w:tcBorders>
              <w:top w:val="nil"/>
              <w:left w:val="nil"/>
              <w:bottom w:val="single" w:sz="4" w:space="0" w:color="auto"/>
              <w:right w:val="single" w:sz="4" w:space="0" w:color="auto"/>
            </w:tcBorders>
            <w:shd w:val="clear" w:color="auto" w:fill="auto"/>
            <w:noWrap/>
            <w:vAlign w:val="center"/>
            <w:hideMark/>
          </w:tcPr>
          <w:p w14:paraId="0A7D05C6"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3.00</w:t>
            </w:r>
          </w:p>
        </w:tc>
        <w:tc>
          <w:tcPr>
            <w:tcW w:w="1540" w:type="dxa"/>
            <w:tcBorders>
              <w:top w:val="nil"/>
              <w:left w:val="nil"/>
              <w:bottom w:val="single" w:sz="4" w:space="0" w:color="auto"/>
              <w:right w:val="single" w:sz="4" w:space="0" w:color="auto"/>
            </w:tcBorders>
            <w:shd w:val="clear" w:color="auto" w:fill="auto"/>
            <w:noWrap/>
            <w:vAlign w:val="center"/>
            <w:hideMark/>
          </w:tcPr>
          <w:p w14:paraId="79533A84"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08F8E5FF"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4F9C2DD8"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359798E0" w14:textId="0EAEEE5D"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$66,000</w:t>
            </w:r>
          </w:p>
        </w:tc>
        <w:tc>
          <w:tcPr>
            <w:tcW w:w="1562" w:type="dxa"/>
            <w:tcBorders>
              <w:top w:val="nil"/>
              <w:left w:val="nil"/>
              <w:bottom w:val="single" w:sz="4" w:space="0" w:color="auto"/>
              <w:right w:val="single" w:sz="4" w:space="0" w:color="auto"/>
            </w:tcBorders>
            <w:shd w:val="clear" w:color="000000" w:fill="F2F2F2"/>
            <w:noWrap/>
            <w:vAlign w:val="center"/>
            <w:hideMark/>
          </w:tcPr>
          <w:p w14:paraId="13D0A850" w14:textId="5D257DB2"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$99,000</w:t>
            </w:r>
          </w:p>
        </w:tc>
        <w:tc>
          <w:tcPr>
            <w:tcW w:w="1562" w:type="dxa"/>
            <w:tcBorders>
              <w:top w:val="nil"/>
              <w:left w:val="nil"/>
              <w:bottom w:val="single" w:sz="4" w:space="0" w:color="auto"/>
              <w:right w:val="single" w:sz="4" w:space="0" w:color="auto"/>
            </w:tcBorders>
            <w:shd w:val="clear" w:color="000000" w:fill="F2F2F2"/>
            <w:noWrap/>
            <w:vAlign w:val="center"/>
            <w:hideMark/>
          </w:tcPr>
          <w:p w14:paraId="46D5BDDC" w14:textId="513A7A94"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$99,000</w:t>
            </w:r>
          </w:p>
        </w:tc>
        <w:tc>
          <w:tcPr>
            <w:tcW w:w="1562" w:type="dxa"/>
            <w:tcBorders>
              <w:top w:val="nil"/>
              <w:left w:val="nil"/>
              <w:bottom w:val="single" w:sz="4" w:space="0" w:color="auto"/>
              <w:right w:val="single" w:sz="4" w:space="0" w:color="auto"/>
            </w:tcBorders>
            <w:shd w:val="clear" w:color="000000" w:fill="F2F2F2"/>
            <w:noWrap/>
            <w:vAlign w:val="center"/>
            <w:hideMark/>
          </w:tcPr>
          <w:p w14:paraId="10E16EA0" w14:textId="69AF1320"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$99,000</w:t>
            </w:r>
          </w:p>
        </w:tc>
      </w:tr>
      <w:tr w:rsidR="00D228A8" w:rsidRPr="00D228A8" w14:paraId="7E703454" w14:textId="77777777" w:rsidTr="00FB445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C6DE4B2" w14:textId="77777777" w:rsidR="00D228A8" w:rsidRPr="00D228A8" w:rsidRDefault="00D228A8" w:rsidP="00D228A8">
            <w:pPr>
              <w:keepLines w:val="0"/>
              <w:spacing w:before="0" w:after="0"/>
              <w:rPr>
                <w:rFonts w:eastAsia="Times New Roman"/>
                <w:b/>
                <w:color w:val="000000"/>
                <w:sz w:val="20"/>
                <w:szCs w:val="20"/>
                <w:lang w:eastAsia="en-NZ"/>
              </w:rPr>
            </w:pPr>
            <w:r w:rsidRPr="00D228A8">
              <w:rPr>
                <w:rFonts w:eastAsia="Times New Roman"/>
                <w:b/>
                <w:color w:val="000000"/>
                <w:sz w:val="20"/>
                <w:szCs w:val="20"/>
                <w:lang w:eastAsia="en-NZ"/>
              </w:rPr>
              <w:t>Example E</w:t>
            </w:r>
          </w:p>
        </w:tc>
        <w:tc>
          <w:tcPr>
            <w:tcW w:w="1420" w:type="dxa"/>
            <w:tcBorders>
              <w:top w:val="nil"/>
              <w:left w:val="nil"/>
              <w:bottom w:val="single" w:sz="4" w:space="0" w:color="auto"/>
              <w:right w:val="single" w:sz="4" w:space="0" w:color="auto"/>
            </w:tcBorders>
            <w:shd w:val="clear" w:color="000000" w:fill="EEECE1"/>
            <w:noWrap/>
            <w:vAlign w:val="center"/>
            <w:hideMark/>
          </w:tcPr>
          <w:p w14:paraId="0EEB3890" w14:textId="63A16630"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$33,500</w:t>
            </w:r>
          </w:p>
        </w:tc>
        <w:tc>
          <w:tcPr>
            <w:tcW w:w="1420" w:type="dxa"/>
            <w:tcBorders>
              <w:top w:val="nil"/>
              <w:left w:val="nil"/>
              <w:bottom w:val="single" w:sz="4" w:space="0" w:color="auto"/>
              <w:right w:val="single" w:sz="4" w:space="0" w:color="auto"/>
            </w:tcBorders>
            <w:shd w:val="clear" w:color="000000" w:fill="EEECE1"/>
            <w:noWrap/>
            <w:vAlign w:val="center"/>
            <w:hideMark/>
          </w:tcPr>
          <w:p w14:paraId="70E5B31E" w14:textId="61701B88"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$100,500</w:t>
            </w:r>
          </w:p>
        </w:tc>
        <w:tc>
          <w:tcPr>
            <w:tcW w:w="1300" w:type="dxa"/>
            <w:tcBorders>
              <w:top w:val="nil"/>
              <w:left w:val="nil"/>
              <w:bottom w:val="single" w:sz="4" w:space="0" w:color="auto"/>
              <w:right w:val="single" w:sz="4" w:space="0" w:color="auto"/>
            </w:tcBorders>
            <w:shd w:val="clear" w:color="auto" w:fill="auto"/>
            <w:noWrap/>
            <w:vAlign w:val="center"/>
            <w:hideMark/>
          </w:tcPr>
          <w:p w14:paraId="371578B0"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3.00</w:t>
            </w:r>
          </w:p>
        </w:tc>
        <w:tc>
          <w:tcPr>
            <w:tcW w:w="1540" w:type="dxa"/>
            <w:tcBorders>
              <w:top w:val="nil"/>
              <w:left w:val="nil"/>
              <w:bottom w:val="single" w:sz="4" w:space="0" w:color="auto"/>
              <w:right w:val="single" w:sz="4" w:space="0" w:color="auto"/>
            </w:tcBorders>
            <w:shd w:val="clear" w:color="auto" w:fill="auto"/>
            <w:noWrap/>
            <w:vAlign w:val="center"/>
            <w:hideMark/>
          </w:tcPr>
          <w:p w14:paraId="4DC3DC44"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6DE5FEDB"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2B6F15D0"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5FA4A8F3" w14:textId="67FB1716"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$67,000</w:t>
            </w:r>
          </w:p>
        </w:tc>
        <w:tc>
          <w:tcPr>
            <w:tcW w:w="1562" w:type="dxa"/>
            <w:tcBorders>
              <w:top w:val="nil"/>
              <w:left w:val="nil"/>
              <w:bottom w:val="single" w:sz="4" w:space="0" w:color="auto"/>
              <w:right w:val="single" w:sz="4" w:space="0" w:color="auto"/>
            </w:tcBorders>
            <w:shd w:val="clear" w:color="000000" w:fill="F2F2F2"/>
            <w:noWrap/>
            <w:vAlign w:val="center"/>
            <w:hideMark/>
          </w:tcPr>
          <w:p w14:paraId="4AF24AB1" w14:textId="0253F7C0"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$67,000</w:t>
            </w:r>
          </w:p>
        </w:tc>
        <w:tc>
          <w:tcPr>
            <w:tcW w:w="1562" w:type="dxa"/>
            <w:tcBorders>
              <w:top w:val="nil"/>
              <w:left w:val="nil"/>
              <w:bottom w:val="single" w:sz="4" w:space="0" w:color="auto"/>
              <w:right w:val="single" w:sz="4" w:space="0" w:color="auto"/>
            </w:tcBorders>
            <w:shd w:val="clear" w:color="000000" w:fill="F2F2F2"/>
            <w:noWrap/>
            <w:vAlign w:val="center"/>
            <w:hideMark/>
          </w:tcPr>
          <w:p w14:paraId="4C284F07" w14:textId="4B7D6F2F"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$83,750</w:t>
            </w:r>
          </w:p>
        </w:tc>
        <w:tc>
          <w:tcPr>
            <w:tcW w:w="1562" w:type="dxa"/>
            <w:tcBorders>
              <w:top w:val="nil"/>
              <w:left w:val="nil"/>
              <w:bottom w:val="single" w:sz="4" w:space="0" w:color="auto"/>
              <w:right w:val="single" w:sz="4" w:space="0" w:color="auto"/>
            </w:tcBorders>
            <w:shd w:val="clear" w:color="000000" w:fill="F2F2F2"/>
            <w:noWrap/>
            <w:vAlign w:val="center"/>
            <w:hideMark/>
          </w:tcPr>
          <w:p w14:paraId="416C9A82" w14:textId="7C7D9959"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$92,125</w:t>
            </w:r>
          </w:p>
        </w:tc>
      </w:tr>
      <w:tr w:rsidR="00D228A8" w:rsidRPr="00D228A8" w14:paraId="0E5B462E" w14:textId="77777777" w:rsidTr="00FB445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194892E" w14:textId="77777777" w:rsidR="00D228A8" w:rsidRPr="00D228A8" w:rsidRDefault="00D228A8" w:rsidP="00D228A8">
            <w:pPr>
              <w:keepLines w:val="0"/>
              <w:spacing w:before="0" w:after="0"/>
              <w:rPr>
                <w:rFonts w:eastAsia="Times New Roman"/>
                <w:b/>
                <w:color w:val="000000"/>
                <w:sz w:val="20"/>
                <w:szCs w:val="20"/>
                <w:lang w:eastAsia="en-NZ"/>
              </w:rPr>
            </w:pPr>
            <w:r w:rsidRPr="00D228A8">
              <w:rPr>
                <w:rFonts w:eastAsia="Times New Roman"/>
                <w:b/>
                <w:color w:val="000000"/>
                <w:sz w:val="20"/>
                <w:szCs w:val="20"/>
                <w:lang w:eastAsia="en-NZ"/>
              </w:rPr>
              <w:t>Example F</w:t>
            </w:r>
          </w:p>
        </w:tc>
        <w:tc>
          <w:tcPr>
            <w:tcW w:w="1420" w:type="dxa"/>
            <w:tcBorders>
              <w:top w:val="nil"/>
              <w:left w:val="nil"/>
              <w:bottom w:val="single" w:sz="4" w:space="0" w:color="auto"/>
              <w:right w:val="single" w:sz="4" w:space="0" w:color="auto"/>
            </w:tcBorders>
            <w:shd w:val="clear" w:color="000000" w:fill="EEECE1"/>
            <w:noWrap/>
            <w:vAlign w:val="center"/>
            <w:hideMark/>
          </w:tcPr>
          <w:p w14:paraId="2A5F7D8F" w14:textId="4BFA7D30"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$56,000</w:t>
            </w:r>
          </w:p>
        </w:tc>
        <w:tc>
          <w:tcPr>
            <w:tcW w:w="1420" w:type="dxa"/>
            <w:tcBorders>
              <w:top w:val="nil"/>
              <w:left w:val="nil"/>
              <w:bottom w:val="single" w:sz="4" w:space="0" w:color="auto"/>
              <w:right w:val="single" w:sz="4" w:space="0" w:color="auto"/>
            </w:tcBorders>
            <w:shd w:val="clear" w:color="000000" w:fill="EEECE1"/>
            <w:noWrap/>
            <w:vAlign w:val="center"/>
            <w:hideMark/>
          </w:tcPr>
          <w:p w14:paraId="2C60943E" w14:textId="24DD0C92"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$167,500</w:t>
            </w:r>
          </w:p>
        </w:tc>
        <w:tc>
          <w:tcPr>
            <w:tcW w:w="1300" w:type="dxa"/>
            <w:tcBorders>
              <w:top w:val="nil"/>
              <w:left w:val="nil"/>
              <w:bottom w:val="single" w:sz="4" w:space="0" w:color="auto"/>
              <w:right w:val="single" w:sz="4" w:space="0" w:color="auto"/>
            </w:tcBorders>
            <w:shd w:val="clear" w:color="auto" w:fill="auto"/>
            <w:noWrap/>
            <w:vAlign w:val="center"/>
            <w:hideMark/>
          </w:tcPr>
          <w:p w14:paraId="1023D855"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2.99</w:t>
            </w:r>
          </w:p>
        </w:tc>
        <w:tc>
          <w:tcPr>
            <w:tcW w:w="1540" w:type="dxa"/>
            <w:tcBorders>
              <w:top w:val="nil"/>
              <w:left w:val="nil"/>
              <w:bottom w:val="single" w:sz="4" w:space="0" w:color="auto"/>
              <w:right w:val="single" w:sz="4" w:space="0" w:color="auto"/>
            </w:tcBorders>
            <w:shd w:val="clear" w:color="auto" w:fill="auto"/>
            <w:noWrap/>
            <w:vAlign w:val="center"/>
            <w:hideMark/>
          </w:tcPr>
          <w:p w14:paraId="4A2EE522"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0419224C"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53456206"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N</w:t>
            </w:r>
          </w:p>
        </w:tc>
        <w:tc>
          <w:tcPr>
            <w:tcW w:w="1300" w:type="dxa"/>
            <w:tcBorders>
              <w:top w:val="nil"/>
              <w:left w:val="nil"/>
              <w:bottom w:val="single" w:sz="4" w:space="0" w:color="auto"/>
              <w:right w:val="single" w:sz="4" w:space="0" w:color="auto"/>
            </w:tcBorders>
            <w:shd w:val="clear" w:color="auto" w:fill="auto"/>
            <w:noWrap/>
            <w:vAlign w:val="center"/>
            <w:hideMark/>
          </w:tcPr>
          <w:p w14:paraId="27CE64A9" w14:textId="26B194C4"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$111,500</w:t>
            </w:r>
          </w:p>
        </w:tc>
        <w:tc>
          <w:tcPr>
            <w:tcW w:w="1562" w:type="dxa"/>
            <w:tcBorders>
              <w:top w:val="nil"/>
              <w:left w:val="nil"/>
              <w:bottom w:val="single" w:sz="4" w:space="0" w:color="auto"/>
              <w:right w:val="single" w:sz="4" w:space="0" w:color="auto"/>
            </w:tcBorders>
            <w:shd w:val="clear" w:color="000000" w:fill="F2F2F2"/>
            <w:noWrap/>
            <w:vAlign w:val="center"/>
            <w:hideMark/>
          </w:tcPr>
          <w:p w14:paraId="33F87120" w14:textId="6A542B4F"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$167,500</w:t>
            </w:r>
          </w:p>
        </w:tc>
        <w:tc>
          <w:tcPr>
            <w:tcW w:w="1562" w:type="dxa"/>
            <w:tcBorders>
              <w:top w:val="nil"/>
              <w:left w:val="nil"/>
              <w:bottom w:val="single" w:sz="4" w:space="0" w:color="auto"/>
              <w:right w:val="single" w:sz="4" w:space="0" w:color="auto"/>
            </w:tcBorders>
            <w:shd w:val="clear" w:color="000000" w:fill="F2F2F2"/>
            <w:noWrap/>
            <w:vAlign w:val="center"/>
            <w:hideMark/>
          </w:tcPr>
          <w:p w14:paraId="5D18A846" w14:textId="261F3BBD"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$167,500</w:t>
            </w:r>
          </w:p>
        </w:tc>
        <w:tc>
          <w:tcPr>
            <w:tcW w:w="1562" w:type="dxa"/>
            <w:tcBorders>
              <w:top w:val="nil"/>
              <w:left w:val="nil"/>
              <w:bottom w:val="single" w:sz="4" w:space="0" w:color="auto"/>
              <w:right w:val="single" w:sz="4" w:space="0" w:color="auto"/>
            </w:tcBorders>
            <w:shd w:val="clear" w:color="000000" w:fill="F2F2F2"/>
            <w:noWrap/>
            <w:vAlign w:val="center"/>
            <w:hideMark/>
          </w:tcPr>
          <w:p w14:paraId="15FC627E" w14:textId="7970ECA8"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$167,500</w:t>
            </w:r>
          </w:p>
        </w:tc>
      </w:tr>
      <w:tr w:rsidR="00D228A8" w:rsidRPr="00D228A8" w14:paraId="09A29141" w14:textId="77777777" w:rsidTr="00FB445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EA01459" w14:textId="77777777" w:rsidR="00D228A8" w:rsidRPr="00D228A8" w:rsidRDefault="00D228A8" w:rsidP="00D228A8">
            <w:pPr>
              <w:keepLines w:val="0"/>
              <w:spacing w:before="0" w:after="0"/>
              <w:rPr>
                <w:rFonts w:eastAsia="Times New Roman"/>
                <w:b/>
                <w:color w:val="000000"/>
                <w:sz w:val="20"/>
                <w:szCs w:val="20"/>
                <w:lang w:eastAsia="en-NZ"/>
              </w:rPr>
            </w:pPr>
            <w:r w:rsidRPr="00D228A8">
              <w:rPr>
                <w:rFonts w:eastAsia="Times New Roman"/>
                <w:b/>
                <w:color w:val="000000"/>
                <w:sz w:val="20"/>
                <w:szCs w:val="20"/>
                <w:lang w:eastAsia="en-NZ"/>
              </w:rPr>
              <w:t>Example G</w:t>
            </w:r>
          </w:p>
        </w:tc>
        <w:tc>
          <w:tcPr>
            <w:tcW w:w="1420" w:type="dxa"/>
            <w:tcBorders>
              <w:top w:val="nil"/>
              <w:left w:val="nil"/>
              <w:bottom w:val="single" w:sz="4" w:space="0" w:color="auto"/>
              <w:right w:val="single" w:sz="4" w:space="0" w:color="auto"/>
            </w:tcBorders>
            <w:shd w:val="clear" w:color="000000" w:fill="EEECE1"/>
            <w:noWrap/>
            <w:vAlign w:val="center"/>
            <w:hideMark/>
          </w:tcPr>
          <w:p w14:paraId="3E3978AB" w14:textId="0BB8CF6F"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$56,000</w:t>
            </w:r>
          </w:p>
        </w:tc>
        <w:tc>
          <w:tcPr>
            <w:tcW w:w="1420" w:type="dxa"/>
            <w:tcBorders>
              <w:top w:val="nil"/>
              <w:left w:val="nil"/>
              <w:bottom w:val="single" w:sz="4" w:space="0" w:color="auto"/>
              <w:right w:val="single" w:sz="4" w:space="0" w:color="auto"/>
            </w:tcBorders>
            <w:shd w:val="clear" w:color="000000" w:fill="EEECE1"/>
            <w:noWrap/>
            <w:vAlign w:val="center"/>
            <w:hideMark/>
          </w:tcPr>
          <w:p w14:paraId="3DD705E6" w14:textId="3279EDF3"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$178,000</w:t>
            </w:r>
          </w:p>
        </w:tc>
        <w:tc>
          <w:tcPr>
            <w:tcW w:w="1300" w:type="dxa"/>
            <w:tcBorders>
              <w:top w:val="nil"/>
              <w:left w:val="nil"/>
              <w:bottom w:val="single" w:sz="4" w:space="0" w:color="auto"/>
              <w:right w:val="single" w:sz="4" w:space="0" w:color="auto"/>
            </w:tcBorders>
            <w:shd w:val="clear" w:color="auto" w:fill="auto"/>
            <w:noWrap/>
            <w:vAlign w:val="center"/>
            <w:hideMark/>
          </w:tcPr>
          <w:p w14:paraId="7D0A10DB"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3.18</w:t>
            </w:r>
          </w:p>
        </w:tc>
        <w:tc>
          <w:tcPr>
            <w:tcW w:w="1540" w:type="dxa"/>
            <w:tcBorders>
              <w:top w:val="nil"/>
              <w:left w:val="nil"/>
              <w:bottom w:val="single" w:sz="4" w:space="0" w:color="auto"/>
              <w:right w:val="single" w:sz="4" w:space="0" w:color="auto"/>
            </w:tcBorders>
            <w:shd w:val="clear" w:color="auto" w:fill="auto"/>
            <w:noWrap/>
            <w:vAlign w:val="center"/>
            <w:hideMark/>
          </w:tcPr>
          <w:p w14:paraId="0635ACA1"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542C54C2"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43BC8020"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318C29D0" w14:textId="05A4DAA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$122,000</w:t>
            </w:r>
          </w:p>
        </w:tc>
        <w:tc>
          <w:tcPr>
            <w:tcW w:w="1562" w:type="dxa"/>
            <w:tcBorders>
              <w:top w:val="nil"/>
              <w:left w:val="nil"/>
              <w:bottom w:val="single" w:sz="4" w:space="0" w:color="auto"/>
              <w:right w:val="single" w:sz="4" w:space="0" w:color="auto"/>
            </w:tcBorders>
            <w:shd w:val="clear" w:color="000000" w:fill="F2F2F2"/>
            <w:noWrap/>
            <w:vAlign w:val="center"/>
            <w:hideMark/>
          </w:tcPr>
          <w:p w14:paraId="692CD066" w14:textId="3A0E5623"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$117,000</w:t>
            </w:r>
          </w:p>
        </w:tc>
        <w:tc>
          <w:tcPr>
            <w:tcW w:w="1562" w:type="dxa"/>
            <w:tcBorders>
              <w:top w:val="nil"/>
              <w:left w:val="nil"/>
              <w:bottom w:val="single" w:sz="4" w:space="0" w:color="auto"/>
              <w:right w:val="single" w:sz="4" w:space="0" w:color="auto"/>
            </w:tcBorders>
            <w:shd w:val="clear" w:color="000000" w:fill="F2F2F2"/>
            <w:noWrap/>
            <w:vAlign w:val="center"/>
            <w:hideMark/>
          </w:tcPr>
          <w:p w14:paraId="7743CFF6" w14:textId="17437716"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$147,500</w:t>
            </w:r>
          </w:p>
        </w:tc>
        <w:tc>
          <w:tcPr>
            <w:tcW w:w="1562" w:type="dxa"/>
            <w:tcBorders>
              <w:top w:val="nil"/>
              <w:left w:val="nil"/>
              <w:bottom w:val="single" w:sz="4" w:space="0" w:color="auto"/>
              <w:right w:val="single" w:sz="4" w:space="0" w:color="auto"/>
            </w:tcBorders>
            <w:shd w:val="clear" w:color="000000" w:fill="F2F2F2"/>
            <w:noWrap/>
            <w:vAlign w:val="center"/>
            <w:hideMark/>
          </w:tcPr>
          <w:p w14:paraId="7F8E1AAE" w14:textId="7C33D680"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$162,750</w:t>
            </w:r>
          </w:p>
        </w:tc>
      </w:tr>
      <w:tr w:rsidR="00D228A8" w:rsidRPr="00D228A8" w14:paraId="0BEE6676" w14:textId="77777777" w:rsidTr="00FB445C">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CAB30D2" w14:textId="77777777" w:rsidR="00D228A8" w:rsidRPr="00D228A8" w:rsidRDefault="00D228A8" w:rsidP="00D228A8">
            <w:pPr>
              <w:keepLines w:val="0"/>
              <w:spacing w:before="0" w:after="0"/>
              <w:rPr>
                <w:rFonts w:eastAsia="Times New Roman"/>
                <w:b/>
                <w:color w:val="000000"/>
                <w:sz w:val="20"/>
                <w:szCs w:val="20"/>
                <w:lang w:eastAsia="en-NZ"/>
              </w:rPr>
            </w:pPr>
            <w:r w:rsidRPr="00D228A8">
              <w:rPr>
                <w:rFonts w:eastAsia="Times New Roman"/>
                <w:b/>
                <w:color w:val="000000"/>
                <w:sz w:val="20"/>
                <w:szCs w:val="20"/>
                <w:lang w:eastAsia="en-NZ"/>
              </w:rPr>
              <w:t>Example H</w:t>
            </w:r>
          </w:p>
        </w:tc>
        <w:tc>
          <w:tcPr>
            <w:tcW w:w="1420" w:type="dxa"/>
            <w:tcBorders>
              <w:top w:val="nil"/>
              <w:left w:val="nil"/>
              <w:bottom w:val="single" w:sz="4" w:space="0" w:color="auto"/>
              <w:right w:val="single" w:sz="4" w:space="0" w:color="auto"/>
            </w:tcBorders>
            <w:shd w:val="clear" w:color="000000" w:fill="EEECE1"/>
            <w:noWrap/>
            <w:vAlign w:val="center"/>
            <w:hideMark/>
          </w:tcPr>
          <w:p w14:paraId="0E7CC9B3" w14:textId="44C31992"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$2,300,000</w:t>
            </w:r>
          </w:p>
        </w:tc>
        <w:tc>
          <w:tcPr>
            <w:tcW w:w="1420" w:type="dxa"/>
            <w:tcBorders>
              <w:top w:val="nil"/>
              <w:left w:val="nil"/>
              <w:bottom w:val="single" w:sz="4" w:space="0" w:color="auto"/>
              <w:right w:val="single" w:sz="4" w:space="0" w:color="auto"/>
            </w:tcBorders>
            <w:shd w:val="clear" w:color="000000" w:fill="EEECE1"/>
            <w:noWrap/>
            <w:vAlign w:val="center"/>
            <w:hideMark/>
          </w:tcPr>
          <w:p w14:paraId="64529099" w14:textId="0AAA5D1F"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$15,800,000</w:t>
            </w:r>
          </w:p>
        </w:tc>
        <w:tc>
          <w:tcPr>
            <w:tcW w:w="1300" w:type="dxa"/>
            <w:tcBorders>
              <w:top w:val="nil"/>
              <w:left w:val="nil"/>
              <w:bottom w:val="single" w:sz="4" w:space="0" w:color="auto"/>
              <w:right w:val="single" w:sz="4" w:space="0" w:color="auto"/>
            </w:tcBorders>
            <w:shd w:val="clear" w:color="auto" w:fill="auto"/>
            <w:noWrap/>
            <w:vAlign w:val="center"/>
            <w:hideMark/>
          </w:tcPr>
          <w:p w14:paraId="4E821CBE"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6.87</w:t>
            </w:r>
          </w:p>
        </w:tc>
        <w:tc>
          <w:tcPr>
            <w:tcW w:w="1540" w:type="dxa"/>
            <w:tcBorders>
              <w:top w:val="nil"/>
              <w:left w:val="nil"/>
              <w:bottom w:val="single" w:sz="4" w:space="0" w:color="auto"/>
              <w:right w:val="single" w:sz="4" w:space="0" w:color="auto"/>
            </w:tcBorders>
            <w:shd w:val="clear" w:color="auto" w:fill="auto"/>
            <w:noWrap/>
            <w:vAlign w:val="center"/>
            <w:hideMark/>
          </w:tcPr>
          <w:p w14:paraId="709572B9"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305F0AE9"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49324F1B" w14:textId="77777777"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Y</w:t>
            </w:r>
          </w:p>
        </w:tc>
        <w:tc>
          <w:tcPr>
            <w:tcW w:w="1300" w:type="dxa"/>
            <w:tcBorders>
              <w:top w:val="nil"/>
              <w:left w:val="nil"/>
              <w:bottom w:val="single" w:sz="4" w:space="0" w:color="auto"/>
              <w:right w:val="single" w:sz="4" w:space="0" w:color="auto"/>
            </w:tcBorders>
            <w:shd w:val="clear" w:color="auto" w:fill="auto"/>
            <w:noWrap/>
            <w:vAlign w:val="center"/>
            <w:hideMark/>
          </w:tcPr>
          <w:p w14:paraId="2A119D12" w14:textId="2064FC08"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$13,500,000</w:t>
            </w:r>
          </w:p>
        </w:tc>
        <w:tc>
          <w:tcPr>
            <w:tcW w:w="1562" w:type="dxa"/>
            <w:tcBorders>
              <w:top w:val="nil"/>
              <w:left w:val="nil"/>
              <w:bottom w:val="single" w:sz="4" w:space="0" w:color="auto"/>
              <w:right w:val="single" w:sz="4" w:space="0" w:color="auto"/>
            </w:tcBorders>
            <w:shd w:val="clear" w:color="000000" w:fill="F2F2F2"/>
            <w:noWrap/>
            <w:vAlign w:val="center"/>
            <w:hideMark/>
          </w:tcPr>
          <w:p w14:paraId="00C3825A" w14:textId="530B3E6D"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$9,050,000</w:t>
            </w:r>
          </w:p>
        </w:tc>
        <w:tc>
          <w:tcPr>
            <w:tcW w:w="1562" w:type="dxa"/>
            <w:tcBorders>
              <w:top w:val="nil"/>
              <w:left w:val="nil"/>
              <w:bottom w:val="single" w:sz="4" w:space="0" w:color="auto"/>
              <w:right w:val="single" w:sz="4" w:space="0" w:color="auto"/>
            </w:tcBorders>
            <w:shd w:val="clear" w:color="000000" w:fill="F2F2F2"/>
            <w:noWrap/>
            <w:vAlign w:val="center"/>
            <w:hideMark/>
          </w:tcPr>
          <w:p w14:paraId="676C5CC2" w14:textId="039B028F"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$12,425,000</w:t>
            </w:r>
          </w:p>
        </w:tc>
        <w:tc>
          <w:tcPr>
            <w:tcW w:w="1562" w:type="dxa"/>
            <w:tcBorders>
              <w:top w:val="nil"/>
              <w:left w:val="nil"/>
              <w:bottom w:val="single" w:sz="4" w:space="0" w:color="auto"/>
              <w:right w:val="single" w:sz="4" w:space="0" w:color="auto"/>
            </w:tcBorders>
            <w:shd w:val="clear" w:color="000000" w:fill="F2F2F2"/>
            <w:noWrap/>
            <w:vAlign w:val="center"/>
            <w:hideMark/>
          </w:tcPr>
          <w:p w14:paraId="432F62CF" w14:textId="6BB8D4DF" w:rsidR="00D228A8" w:rsidRPr="00D228A8" w:rsidRDefault="00D228A8" w:rsidP="00D228A8">
            <w:pPr>
              <w:keepLines w:val="0"/>
              <w:spacing w:before="0" w:after="0"/>
              <w:jc w:val="center"/>
              <w:rPr>
                <w:rFonts w:eastAsia="Times New Roman"/>
                <w:color w:val="000000"/>
                <w:sz w:val="20"/>
                <w:szCs w:val="20"/>
                <w:lang w:eastAsia="en-NZ"/>
              </w:rPr>
            </w:pPr>
            <w:r w:rsidRPr="00D228A8">
              <w:rPr>
                <w:rFonts w:eastAsia="Times New Roman"/>
                <w:color w:val="000000"/>
                <w:sz w:val="20"/>
                <w:szCs w:val="20"/>
                <w:lang w:eastAsia="en-NZ"/>
              </w:rPr>
              <w:t xml:space="preserve">$14,112,500 </w:t>
            </w:r>
          </w:p>
        </w:tc>
      </w:tr>
    </w:tbl>
    <w:p w14:paraId="6FFED645" w14:textId="77777777" w:rsidR="00067A58" w:rsidRDefault="00067A58" w:rsidP="004E1A09">
      <w:pPr>
        <w:sectPr w:rsidR="00067A58" w:rsidSect="00D228A8">
          <w:pgSz w:w="16840" w:h="11907" w:orient="landscape" w:code="9"/>
          <w:pgMar w:top="720" w:right="720" w:bottom="720" w:left="720" w:header="425" w:footer="641" w:gutter="0"/>
          <w:cols w:space="708"/>
          <w:docGrid w:linePitch="360"/>
        </w:sectPr>
      </w:pPr>
    </w:p>
    <w:p w14:paraId="4A11EAAD" w14:textId="374616FD" w:rsidR="004E1A09" w:rsidRDefault="004E1A09" w:rsidP="004E1A09">
      <w:pPr>
        <w:pStyle w:val="Headingappendix"/>
      </w:pPr>
      <w:bookmarkStart w:id="38" w:name="_Toc476839861"/>
      <w:r>
        <w:lastRenderedPageBreak/>
        <w:t>Example of proposed calculation of levy on mixed residential property</w:t>
      </w:r>
      <w:bookmarkEnd w:id="38"/>
    </w:p>
    <w:p w14:paraId="2B7C6012" w14:textId="25E43A16" w:rsidR="00A3577D" w:rsidRPr="00A3577D" w:rsidRDefault="00A3577D" w:rsidP="004E1A09">
      <w:pPr>
        <w:rPr>
          <w:b/>
        </w:rPr>
      </w:pPr>
      <w:r w:rsidRPr="00A3577D">
        <w:rPr>
          <w:b/>
        </w:rPr>
        <w:t>Example</w:t>
      </w:r>
      <w:r>
        <w:rPr>
          <w:b/>
        </w:rPr>
        <w:t xml:space="preserve"> A</w:t>
      </w:r>
    </w:p>
    <w:p w14:paraId="6B61DF2F" w14:textId="44752C47" w:rsidR="000C2E46" w:rsidRDefault="000C2E46" w:rsidP="004E1A09">
      <w:r>
        <w:t>A mixed building with a total amount insured of $12 million. Twe</w:t>
      </w:r>
      <w:r w:rsidR="00403AAC">
        <w:t>nty residential apartments make</w:t>
      </w:r>
      <w:r>
        <w:t xml:space="preserve"> up 80 per cent of the floor space. The remaining 20 percent is comprised of non-residential areas, including </w:t>
      </w:r>
      <w:r w:rsidR="00940934">
        <w:t xml:space="preserve">commercial offices and </w:t>
      </w:r>
      <w:r>
        <w:t>retail.</w:t>
      </w:r>
    </w:p>
    <w:p w14:paraId="53FC2FCC" w14:textId="3C96DC8A" w:rsidR="000C2E46" w:rsidRDefault="000C2E46" w:rsidP="004E1A09">
      <w:r>
        <w:t>Assuming (for illustration purposes):</w:t>
      </w:r>
    </w:p>
    <w:p w14:paraId="0646C4B3" w14:textId="54BD5EFD" w:rsidR="000C2E46" w:rsidRDefault="000C2E46" w:rsidP="00A3577D">
      <w:pPr>
        <w:pStyle w:val="Bullet"/>
      </w:pPr>
      <w:r>
        <w:t>a residential levy rate of 10 cents per $100 of insured value</w:t>
      </w:r>
    </w:p>
    <w:p w14:paraId="7FF1EFBD" w14:textId="11CE868A" w:rsidR="000C2E46" w:rsidRDefault="000C2E46" w:rsidP="00A3577D">
      <w:pPr>
        <w:pStyle w:val="Bullet"/>
      </w:pPr>
      <w:r>
        <w:t xml:space="preserve">a residential levy </w:t>
      </w:r>
      <w:r w:rsidR="00A3577D">
        <w:t xml:space="preserve">cap </w:t>
      </w:r>
      <w:r>
        <w:t xml:space="preserve">of $200,000 </w:t>
      </w:r>
      <w:r w:rsidR="00A3577D">
        <w:t>of insured value</w:t>
      </w:r>
    </w:p>
    <w:p w14:paraId="2651CEEF" w14:textId="2D1C5664" w:rsidR="00A3577D" w:rsidRDefault="00A3577D" w:rsidP="000C6189">
      <w:pPr>
        <w:pStyle w:val="Bullet"/>
      </w:pPr>
      <w:r>
        <w:t>a main (non-residential) levy rate of 10 cents per $100 of insured value (uncapped)</w:t>
      </w:r>
    </w:p>
    <w:p w14:paraId="2AD56CE6" w14:textId="77777777" w:rsidR="006F56F5" w:rsidRDefault="006F56F5" w:rsidP="006F56F5">
      <w:pPr>
        <w:pStyle w:val="Bullet"/>
        <w:numPr>
          <w:ilvl w:val="0"/>
          <w:numId w:val="0"/>
        </w:numPr>
        <w:ind w:left="924" w:hanging="357"/>
      </w:pPr>
    </w:p>
    <w:tbl>
      <w:tblPr>
        <w:tblStyle w:val="TableGrid"/>
        <w:tblW w:w="0" w:type="auto"/>
        <w:jc w:val="center"/>
        <w:tblInd w:w="1548" w:type="dxa"/>
        <w:tblLook w:val="04A0" w:firstRow="1" w:lastRow="0" w:firstColumn="1" w:lastColumn="0" w:noHBand="0" w:noVBand="1"/>
      </w:tblPr>
      <w:tblGrid>
        <w:gridCol w:w="1479"/>
        <w:gridCol w:w="1480"/>
        <w:gridCol w:w="1479"/>
        <w:gridCol w:w="1480"/>
        <w:gridCol w:w="1480"/>
      </w:tblGrid>
      <w:tr w:rsidR="000C2E46" w14:paraId="350C0D4A" w14:textId="77777777" w:rsidTr="00A474B0">
        <w:trPr>
          <w:trHeight w:val="968"/>
          <w:jc w:val="center"/>
        </w:trPr>
        <w:tc>
          <w:tcPr>
            <w:tcW w:w="1479" w:type="dxa"/>
            <w:shd w:val="clear" w:color="auto" w:fill="DD8E00" w:themeFill="accent3"/>
            <w:vAlign w:val="center"/>
          </w:tcPr>
          <w:p w14:paraId="3A55B07D" w14:textId="210D6DB8"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04608F12" w14:textId="032EDE73" w:rsidR="000C2E46" w:rsidRPr="000C2E46" w:rsidRDefault="000C2E46" w:rsidP="00A474B0">
            <w:pPr>
              <w:jc w:val="center"/>
              <w:rPr>
                <w:b/>
                <w:color w:val="FFFFFF" w:themeColor="background1"/>
              </w:rPr>
            </w:pPr>
            <w:r w:rsidRPr="000C2E46">
              <w:rPr>
                <w:b/>
                <w:color w:val="FFFFFF" w:themeColor="background1"/>
              </w:rPr>
              <w:t>Apartment</w:t>
            </w:r>
          </w:p>
        </w:tc>
        <w:tc>
          <w:tcPr>
            <w:tcW w:w="1479" w:type="dxa"/>
            <w:shd w:val="clear" w:color="auto" w:fill="DD8E00" w:themeFill="accent3"/>
            <w:vAlign w:val="center"/>
          </w:tcPr>
          <w:p w14:paraId="075D48FC" w14:textId="72CCDAB4"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20C59BCE" w14:textId="50D8D356"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57F6E069" w14:textId="78F522A2" w:rsidR="000C2E46" w:rsidRPr="000C2E46" w:rsidRDefault="000C2E46" w:rsidP="00A474B0">
            <w:pPr>
              <w:jc w:val="center"/>
              <w:rPr>
                <w:b/>
                <w:color w:val="FFFFFF" w:themeColor="background1"/>
              </w:rPr>
            </w:pPr>
            <w:r w:rsidRPr="000C2E46">
              <w:rPr>
                <w:b/>
                <w:color w:val="FFFFFF" w:themeColor="background1"/>
              </w:rPr>
              <w:t>Apartment</w:t>
            </w:r>
          </w:p>
        </w:tc>
      </w:tr>
      <w:tr w:rsidR="000C2E46" w14:paraId="33FC3DE4" w14:textId="77777777" w:rsidTr="00A474B0">
        <w:trPr>
          <w:trHeight w:val="968"/>
          <w:jc w:val="center"/>
        </w:trPr>
        <w:tc>
          <w:tcPr>
            <w:tcW w:w="1479" w:type="dxa"/>
            <w:shd w:val="clear" w:color="auto" w:fill="DD8E00" w:themeFill="accent3"/>
            <w:vAlign w:val="center"/>
          </w:tcPr>
          <w:p w14:paraId="2A668E00" w14:textId="16194580"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3B625FBB" w14:textId="3818939B" w:rsidR="000C2E46" w:rsidRPr="000C2E46" w:rsidRDefault="000C2E46" w:rsidP="00A474B0">
            <w:pPr>
              <w:jc w:val="center"/>
              <w:rPr>
                <w:b/>
                <w:color w:val="FFFFFF" w:themeColor="background1"/>
              </w:rPr>
            </w:pPr>
            <w:r w:rsidRPr="000C2E46">
              <w:rPr>
                <w:b/>
                <w:color w:val="FFFFFF" w:themeColor="background1"/>
              </w:rPr>
              <w:t>Apartment</w:t>
            </w:r>
          </w:p>
        </w:tc>
        <w:tc>
          <w:tcPr>
            <w:tcW w:w="1479" w:type="dxa"/>
            <w:shd w:val="clear" w:color="auto" w:fill="DD8E00" w:themeFill="accent3"/>
            <w:vAlign w:val="center"/>
          </w:tcPr>
          <w:p w14:paraId="47FF5895" w14:textId="37EF2A2C"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29F62931" w14:textId="293060DC"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63970734" w14:textId="6F3EABB1" w:rsidR="000C2E46" w:rsidRPr="000C2E46" w:rsidRDefault="000C2E46" w:rsidP="00A474B0">
            <w:pPr>
              <w:jc w:val="center"/>
              <w:rPr>
                <w:b/>
                <w:color w:val="FFFFFF" w:themeColor="background1"/>
              </w:rPr>
            </w:pPr>
            <w:r w:rsidRPr="000C2E46">
              <w:rPr>
                <w:b/>
                <w:color w:val="FFFFFF" w:themeColor="background1"/>
              </w:rPr>
              <w:t>Apartment</w:t>
            </w:r>
          </w:p>
        </w:tc>
      </w:tr>
      <w:tr w:rsidR="000C2E46" w14:paraId="54B47EB3" w14:textId="77777777" w:rsidTr="00A474B0">
        <w:trPr>
          <w:trHeight w:val="968"/>
          <w:jc w:val="center"/>
        </w:trPr>
        <w:tc>
          <w:tcPr>
            <w:tcW w:w="1479" w:type="dxa"/>
            <w:shd w:val="clear" w:color="auto" w:fill="DD8E00" w:themeFill="accent3"/>
            <w:vAlign w:val="center"/>
          </w:tcPr>
          <w:p w14:paraId="6EDF3229" w14:textId="628BF393"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0394430A" w14:textId="21E37323" w:rsidR="000C2E46" w:rsidRPr="000C2E46" w:rsidRDefault="000C2E46" w:rsidP="00A474B0">
            <w:pPr>
              <w:jc w:val="center"/>
              <w:rPr>
                <w:b/>
                <w:color w:val="FFFFFF" w:themeColor="background1"/>
              </w:rPr>
            </w:pPr>
            <w:r w:rsidRPr="000C2E46">
              <w:rPr>
                <w:b/>
                <w:color w:val="FFFFFF" w:themeColor="background1"/>
              </w:rPr>
              <w:t>Apartment</w:t>
            </w:r>
          </w:p>
        </w:tc>
        <w:tc>
          <w:tcPr>
            <w:tcW w:w="1479" w:type="dxa"/>
            <w:shd w:val="clear" w:color="auto" w:fill="DD8E00" w:themeFill="accent3"/>
            <w:vAlign w:val="center"/>
          </w:tcPr>
          <w:p w14:paraId="69DC7893" w14:textId="6D319A58"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4A0A841B" w14:textId="4000B0DD"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107ADE72" w14:textId="524D9578" w:rsidR="000C2E46" w:rsidRPr="000C2E46" w:rsidRDefault="000C2E46" w:rsidP="00A474B0">
            <w:pPr>
              <w:jc w:val="center"/>
              <w:rPr>
                <w:b/>
                <w:color w:val="FFFFFF" w:themeColor="background1"/>
              </w:rPr>
            </w:pPr>
            <w:r w:rsidRPr="000C2E46">
              <w:rPr>
                <w:b/>
                <w:color w:val="FFFFFF" w:themeColor="background1"/>
              </w:rPr>
              <w:t>Apartment</w:t>
            </w:r>
          </w:p>
        </w:tc>
      </w:tr>
      <w:tr w:rsidR="000C2E46" w14:paraId="4A197D1A" w14:textId="77777777" w:rsidTr="00A474B0">
        <w:trPr>
          <w:trHeight w:val="968"/>
          <w:jc w:val="center"/>
        </w:trPr>
        <w:tc>
          <w:tcPr>
            <w:tcW w:w="1479" w:type="dxa"/>
            <w:shd w:val="clear" w:color="auto" w:fill="DD8E00" w:themeFill="accent3"/>
            <w:vAlign w:val="center"/>
          </w:tcPr>
          <w:p w14:paraId="2B6D7737" w14:textId="2E0C3175"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218338D2" w14:textId="2DC4B752" w:rsidR="000C2E46" w:rsidRPr="000C2E46" w:rsidRDefault="000C2E46" w:rsidP="00A474B0">
            <w:pPr>
              <w:jc w:val="center"/>
              <w:rPr>
                <w:b/>
                <w:color w:val="FFFFFF" w:themeColor="background1"/>
              </w:rPr>
            </w:pPr>
            <w:r w:rsidRPr="000C2E46">
              <w:rPr>
                <w:b/>
                <w:color w:val="FFFFFF" w:themeColor="background1"/>
              </w:rPr>
              <w:t>Apartment</w:t>
            </w:r>
          </w:p>
        </w:tc>
        <w:tc>
          <w:tcPr>
            <w:tcW w:w="1479" w:type="dxa"/>
            <w:shd w:val="clear" w:color="auto" w:fill="DD8E00" w:themeFill="accent3"/>
            <w:vAlign w:val="center"/>
          </w:tcPr>
          <w:p w14:paraId="4227A0D6" w14:textId="22FB234C"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055215B3" w14:textId="758DD910" w:rsidR="000C2E46" w:rsidRPr="000C2E46" w:rsidRDefault="000C2E46" w:rsidP="00A474B0">
            <w:pPr>
              <w:jc w:val="center"/>
              <w:rPr>
                <w:b/>
                <w:color w:val="FFFFFF" w:themeColor="background1"/>
              </w:rPr>
            </w:pPr>
            <w:r w:rsidRPr="000C2E46">
              <w:rPr>
                <w:b/>
                <w:color w:val="FFFFFF" w:themeColor="background1"/>
              </w:rPr>
              <w:t>Apartment</w:t>
            </w:r>
          </w:p>
        </w:tc>
        <w:tc>
          <w:tcPr>
            <w:tcW w:w="1480" w:type="dxa"/>
            <w:shd w:val="clear" w:color="auto" w:fill="DD8E00" w:themeFill="accent3"/>
            <w:vAlign w:val="center"/>
          </w:tcPr>
          <w:p w14:paraId="39173358" w14:textId="056BF34A" w:rsidR="000C2E46" w:rsidRPr="000C2E46" w:rsidRDefault="000C2E46" w:rsidP="00A474B0">
            <w:pPr>
              <w:jc w:val="center"/>
              <w:rPr>
                <w:b/>
                <w:color w:val="FFFFFF" w:themeColor="background1"/>
              </w:rPr>
            </w:pPr>
            <w:r w:rsidRPr="000C2E46">
              <w:rPr>
                <w:b/>
                <w:color w:val="FFFFFF" w:themeColor="background1"/>
              </w:rPr>
              <w:t>Apartment</w:t>
            </w:r>
          </w:p>
        </w:tc>
      </w:tr>
      <w:tr w:rsidR="000C2E46" w14:paraId="6B33F3D7" w14:textId="77777777" w:rsidTr="009E0045">
        <w:trPr>
          <w:trHeight w:val="1047"/>
          <w:jc w:val="center"/>
        </w:trPr>
        <w:tc>
          <w:tcPr>
            <w:tcW w:w="7398" w:type="dxa"/>
            <w:gridSpan w:val="5"/>
            <w:shd w:val="clear" w:color="auto" w:fill="173E50" w:themeFill="text2" w:themeFillShade="BF"/>
            <w:vAlign w:val="center"/>
          </w:tcPr>
          <w:p w14:paraId="58024C3F" w14:textId="44263DAB" w:rsidR="000C2E46" w:rsidRPr="000C2E46" w:rsidRDefault="000C2E46" w:rsidP="009E0045">
            <w:pPr>
              <w:jc w:val="center"/>
              <w:rPr>
                <w:b/>
                <w:color w:val="FFFFFF" w:themeColor="background1"/>
              </w:rPr>
            </w:pPr>
            <w:r w:rsidRPr="000C2E46">
              <w:rPr>
                <w:b/>
                <w:color w:val="FFFFFF" w:themeColor="background1"/>
              </w:rPr>
              <w:t>Commercial premises</w:t>
            </w:r>
          </w:p>
        </w:tc>
      </w:tr>
    </w:tbl>
    <w:p w14:paraId="7DEB5DB7" w14:textId="2F8530E5" w:rsidR="000C2E46" w:rsidRDefault="00A3577D" w:rsidP="004E1A09">
      <w:r>
        <w:t>Levy payable:</w:t>
      </w:r>
    </w:p>
    <w:p w14:paraId="489FA4E1" w14:textId="08D3A084" w:rsidR="00A3577D" w:rsidRDefault="00A3577D" w:rsidP="00A3577D">
      <w:pPr>
        <w:pStyle w:val="Bullet"/>
      </w:pPr>
      <w:r>
        <w:t xml:space="preserve">For the residential portion, </w:t>
      </w:r>
      <w:r w:rsidR="000C6189">
        <w:t xml:space="preserve">based on </w:t>
      </w:r>
      <w:r>
        <w:t>a notional value for each apartment of $480,000 (80 per cent of $12 million, divided by 20)</w:t>
      </w:r>
      <w:r w:rsidR="000C6189">
        <w:t xml:space="preserve">, the </w:t>
      </w:r>
      <w:r>
        <w:t xml:space="preserve">cap of $200,000 </w:t>
      </w:r>
      <w:r w:rsidR="000C6189">
        <w:t xml:space="preserve">will </w:t>
      </w:r>
      <w:r>
        <w:t>appl</w:t>
      </w:r>
      <w:r w:rsidR="000C6189">
        <w:t xml:space="preserve">y. This means </w:t>
      </w:r>
      <w:r>
        <w:t>the levy payable on each apartment is $200, giving a combined total for twenty apartments of $4000.</w:t>
      </w:r>
    </w:p>
    <w:p w14:paraId="16236C35" w14:textId="54844F29" w:rsidR="00A3577D" w:rsidRDefault="00A3577D" w:rsidP="004E1A09">
      <w:pPr>
        <w:pStyle w:val="Bullet"/>
      </w:pPr>
      <w:r>
        <w:t>For the non-residential portion, the rate of 10 cents applies to the notional value of th</w:t>
      </w:r>
      <w:r w:rsidR="000C6189">
        <w:t>at portion($2.4 million</w:t>
      </w:r>
      <w:r w:rsidR="00531214">
        <w:t xml:space="preserve"> </w:t>
      </w:r>
      <w:r w:rsidR="000C6189">
        <w:t>or 20 percent of $12 million). Levy payable is $2400.</w:t>
      </w:r>
    </w:p>
    <w:p w14:paraId="66191BD6" w14:textId="728316AF" w:rsidR="000C6189" w:rsidRDefault="000C6189" w:rsidP="004E1A09">
      <w:pPr>
        <w:pStyle w:val="Bullet"/>
      </w:pPr>
      <w:r>
        <w:t>Total levy on the property is $4000 + $2400 = $6400</w:t>
      </w:r>
    </w:p>
    <w:p w14:paraId="16ECA8BA" w14:textId="7CB2B5E9" w:rsidR="004E1A09" w:rsidRDefault="004E1A09" w:rsidP="004E1A09">
      <w:pPr>
        <w:pStyle w:val="Headingappendix"/>
      </w:pPr>
      <w:bookmarkStart w:id="39" w:name="_Toc476839862"/>
      <w:r>
        <w:lastRenderedPageBreak/>
        <w:t>Consultation questions</w:t>
      </w:r>
      <w:bookmarkEnd w:id="39"/>
    </w:p>
    <w:p w14:paraId="0DE5D484" w14:textId="77777777" w:rsidR="005A0F14" w:rsidRDefault="005A0F14" w:rsidP="005A0F14">
      <w:pPr>
        <w:rPr>
          <w:b/>
        </w:rPr>
      </w:pPr>
      <w:r w:rsidRPr="00583CF4">
        <w:rPr>
          <w:b/>
        </w:rPr>
        <w:t>Part 1: Transitional levy relief</w:t>
      </w:r>
    </w:p>
    <w:p w14:paraId="4DA7FEA3" w14:textId="0738F91E" w:rsidR="00583CF4" w:rsidRPr="00583CF4" w:rsidRDefault="00583CF4" w:rsidP="00583CF4">
      <w:pPr>
        <w:pStyle w:val="Bullet"/>
        <w:numPr>
          <w:ilvl w:val="0"/>
          <w:numId w:val="0"/>
        </w:numPr>
        <w:rPr>
          <w:b/>
        </w:rPr>
      </w:pPr>
      <w:r w:rsidRPr="00583CF4">
        <w:rPr>
          <w:b/>
        </w:rPr>
        <w:t>Who should qualify for relief?</w:t>
      </w:r>
    </w:p>
    <w:p w14:paraId="426E1776" w14:textId="40E084E3" w:rsidR="00583CF4" w:rsidRPr="00583CF4" w:rsidRDefault="00583CF4" w:rsidP="00583CF4">
      <w:pPr>
        <w:pStyle w:val="Bullet"/>
      </w:pPr>
      <w:r w:rsidRPr="00583CF4">
        <w:t>Do you agree that setting out the circumstances under which a policyholder may qualify for relief in formula is the best approach? If not, why and what alternative do you suggest?</w:t>
      </w:r>
    </w:p>
    <w:p w14:paraId="64CCA2CC" w14:textId="1486E5E2" w:rsidR="005A0F14" w:rsidRDefault="00583CF4" w:rsidP="00583CF4">
      <w:pPr>
        <w:pStyle w:val="Bullet"/>
      </w:pPr>
      <w:r w:rsidRPr="00583CF4">
        <w:t>Do you agree that only entities paying over $100,000 in levy (under the new regime) and facing a three hundred per cent increase should qualify for relief? If not, why and what alternative do you suggest?</w:t>
      </w:r>
    </w:p>
    <w:p w14:paraId="198E4DD2" w14:textId="1FF6946C" w:rsidR="005A0F14" w:rsidRPr="00583CF4" w:rsidRDefault="00583CF4" w:rsidP="005A0F14">
      <w:pPr>
        <w:pStyle w:val="Bullet"/>
        <w:numPr>
          <w:ilvl w:val="0"/>
          <w:numId w:val="0"/>
        </w:numPr>
        <w:rPr>
          <w:b/>
        </w:rPr>
      </w:pPr>
      <w:r w:rsidRPr="00583CF4">
        <w:rPr>
          <w:b/>
        </w:rPr>
        <w:t>How much relief should be granted, and how should it be ph</w:t>
      </w:r>
      <w:r>
        <w:rPr>
          <w:b/>
        </w:rPr>
        <w:t>a</w:t>
      </w:r>
      <w:r w:rsidRPr="00583CF4">
        <w:rPr>
          <w:b/>
        </w:rPr>
        <w:t>sed?</w:t>
      </w:r>
    </w:p>
    <w:p w14:paraId="0555FA06" w14:textId="77777777" w:rsidR="00583CF4" w:rsidRDefault="00583CF4" w:rsidP="00583CF4">
      <w:pPr>
        <w:pStyle w:val="Bullet"/>
      </w:pPr>
      <w:r>
        <w:t>Do you prefer a formula-based or 'by agreement' approach to determining the amount of relief for individual policyholders? Why?</w:t>
      </w:r>
    </w:p>
    <w:p w14:paraId="4E657000" w14:textId="77777777" w:rsidR="00583CF4" w:rsidRDefault="00583CF4" w:rsidP="00583CF4">
      <w:pPr>
        <w:pStyle w:val="Bullet"/>
      </w:pPr>
      <w:r>
        <w:t>For the formula-based approach, do you agree with proposed reductions over three years? If not, why and what alternative do you suggest?</w:t>
      </w:r>
    </w:p>
    <w:p w14:paraId="034C1F60" w14:textId="24869634" w:rsidR="005A0F14" w:rsidRDefault="00583CF4" w:rsidP="00583CF4">
      <w:pPr>
        <w:pStyle w:val="Bullet"/>
      </w:pPr>
      <w:r>
        <w:t>For the 'by agreement' approach, what matters should Fire and Emergency NZ be required to have regard to in considering the amount of exemption?</w:t>
      </w:r>
    </w:p>
    <w:p w14:paraId="6BE2F151" w14:textId="77777777" w:rsidR="00E6055C" w:rsidRDefault="00E6055C" w:rsidP="00E6055C">
      <w:pPr>
        <w:pStyle w:val="Bullet"/>
        <w:numPr>
          <w:ilvl w:val="0"/>
          <w:numId w:val="0"/>
        </w:numPr>
        <w:ind w:left="924" w:hanging="357"/>
      </w:pPr>
    </w:p>
    <w:p w14:paraId="1A5C4E30" w14:textId="5493960A" w:rsidR="005A0F14" w:rsidRDefault="005A0F14" w:rsidP="005A0F14">
      <w:pPr>
        <w:rPr>
          <w:b/>
        </w:rPr>
      </w:pPr>
      <w:r w:rsidRPr="00D960F6">
        <w:rPr>
          <w:b/>
        </w:rPr>
        <w:t>Part 2: Levy on insurance contracts covering different types of property</w:t>
      </w:r>
    </w:p>
    <w:p w14:paraId="623056A3" w14:textId="77777777" w:rsidR="005A0F14" w:rsidRDefault="005A0F14" w:rsidP="005A0F14">
      <w:pPr>
        <w:rPr>
          <w:b/>
        </w:rPr>
      </w:pPr>
      <w:r w:rsidRPr="00D960F6">
        <w:rPr>
          <w:b/>
        </w:rPr>
        <w:t>Insurance on exempt and non-exempt policy</w:t>
      </w:r>
    </w:p>
    <w:p w14:paraId="02F75B49" w14:textId="4C391407" w:rsidR="00B74AEF" w:rsidRPr="00B74AEF" w:rsidRDefault="00B74AEF" w:rsidP="00B74AEF">
      <w:pPr>
        <w:pStyle w:val="Bullet"/>
      </w:pPr>
      <w:r w:rsidRPr="00B74AEF">
        <w:t xml:space="preserve">Do you agree with the proposed </w:t>
      </w:r>
      <w:r>
        <w:t>approach to</w:t>
      </w:r>
      <w:r w:rsidRPr="00B74AEF">
        <w:t xml:space="preserve"> calculating levy on policies that cover both exempt and non-exempt property? If not why? What alternative approach do you suggest?</w:t>
      </w:r>
    </w:p>
    <w:p w14:paraId="78C019A0" w14:textId="2AEC4AA9" w:rsidR="005A0F14" w:rsidRDefault="005A0F14" w:rsidP="005A0F14">
      <w:pPr>
        <w:pStyle w:val="Bullet"/>
        <w:ind w:left="927" w:hanging="360"/>
      </w:pPr>
      <w:r>
        <w:t>How onerous would it be to ascertain th</w:t>
      </w:r>
      <w:r w:rsidR="00FA3CED">
        <w:t>e value of non-exempt property?</w:t>
      </w:r>
    </w:p>
    <w:p w14:paraId="7CA40296" w14:textId="77777777" w:rsidR="005A0F14" w:rsidRDefault="005A0F14" w:rsidP="005A0F14">
      <w:pPr>
        <w:rPr>
          <w:b/>
        </w:rPr>
      </w:pPr>
      <w:r w:rsidRPr="00D960F6">
        <w:rPr>
          <w:b/>
        </w:rPr>
        <w:t>Insurance on residential and non-residential property</w:t>
      </w:r>
    </w:p>
    <w:p w14:paraId="6E28BFCB" w14:textId="085EB760" w:rsidR="00B74AEF" w:rsidRDefault="00B74AEF" w:rsidP="00B74AEF">
      <w:pPr>
        <w:pStyle w:val="Bullet"/>
      </w:pPr>
      <w:r>
        <w:t xml:space="preserve">Do you agree with the proposed </w:t>
      </w:r>
      <w:r w:rsidR="008A402B">
        <w:t>approach to</w:t>
      </w:r>
      <w:r>
        <w:t xml:space="preserve"> calculating levy on contracts of insurance which cover residential and non-residential property together under the same amount insured? If not why? What alternative approach do you suggest? </w:t>
      </w:r>
    </w:p>
    <w:p w14:paraId="1B91C6BA" w14:textId="77777777" w:rsidR="005C7A1D" w:rsidRDefault="005C7A1D" w:rsidP="005C7A1D">
      <w:pPr>
        <w:pStyle w:val="Bullet"/>
      </w:pPr>
      <w:r>
        <w:t>Do you think the non-residential portion of amount insured should be calculated on the basis of floor space (m</w:t>
      </w:r>
      <w:r w:rsidRPr="00ED5A5B">
        <w:rPr>
          <w:vertAlign w:val="superscript"/>
        </w:rPr>
        <w:t>2</w:t>
      </w:r>
      <w:r>
        <w:t xml:space="preserve">) or value ($)? </w:t>
      </w:r>
    </w:p>
    <w:p w14:paraId="63B353A3" w14:textId="428189BD" w:rsidR="005A0F14" w:rsidRDefault="005C7A1D" w:rsidP="005C7A1D">
      <w:pPr>
        <w:pStyle w:val="Bullet"/>
        <w:ind w:left="927" w:hanging="360"/>
      </w:pPr>
      <w:r w:rsidRPr="00D960F6">
        <w:t xml:space="preserve"> </w:t>
      </w:r>
      <w:r w:rsidR="005A0F14" w:rsidRPr="00D960F6">
        <w:t>How should this apply to first loss</w:t>
      </w:r>
      <w:r w:rsidR="005A0F14">
        <w:t xml:space="preserve"> policies</w:t>
      </w:r>
      <w:r w:rsidR="005A0F14" w:rsidRPr="00033A13">
        <w:t>, where different properties are mixed use with different proportions of residential?</w:t>
      </w:r>
    </w:p>
    <w:p w14:paraId="719C8F3F" w14:textId="77777777" w:rsidR="005A0F14" w:rsidRDefault="005A0F14" w:rsidP="005A0F14">
      <w:pPr>
        <w:rPr>
          <w:b/>
        </w:rPr>
      </w:pPr>
      <w:r w:rsidRPr="00D960F6">
        <w:rPr>
          <w:b/>
        </w:rPr>
        <w:t>Insurance on exempt, residential, and non-residential property</w:t>
      </w:r>
    </w:p>
    <w:p w14:paraId="345331D9" w14:textId="08B63133" w:rsidR="00A94DF3" w:rsidRPr="00A94DF3" w:rsidRDefault="005A0F14" w:rsidP="00220A28">
      <w:pPr>
        <w:pStyle w:val="Bullet"/>
      </w:pPr>
      <w:r w:rsidRPr="00D960F6">
        <w:t xml:space="preserve">Do you agree with the proposed </w:t>
      </w:r>
      <w:r w:rsidR="00B74AEF">
        <w:t>approach to</w:t>
      </w:r>
      <w:r w:rsidRPr="00D960F6">
        <w:t xml:space="preserve"> calculating levy</w:t>
      </w:r>
      <w:r w:rsidR="00B74AEF">
        <w:t xml:space="preserve"> </w:t>
      </w:r>
      <w:r w:rsidR="00B74AEF" w:rsidRPr="00B74AEF">
        <w:t xml:space="preserve">on contracts of insurance which cover </w:t>
      </w:r>
      <w:r w:rsidR="00B74AEF">
        <w:t xml:space="preserve">exempt, </w:t>
      </w:r>
      <w:r w:rsidR="00B74AEF" w:rsidRPr="00B74AEF">
        <w:t>residential</w:t>
      </w:r>
      <w:r w:rsidR="00B74AEF">
        <w:t>,</w:t>
      </w:r>
      <w:r w:rsidR="00B74AEF" w:rsidRPr="00B74AEF">
        <w:t xml:space="preserve"> and non-residential property together under the same amount insured? If not why? What alternative do you suggest? </w:t>
      </w:r>
      <w:bookmarkStart w:id="40" w:name="_GoBack"/>
      <w:bookmarkEnd w:id="40"/>
    </w:p>
    <w:sectPr w:rsidR="00A94DF3" w:rsidRPr="00A94DF3" w:rsidSect="004E1A09">
      <w:pgSz w:w="11907" w:h="16840" w:code="9"/>
      <w:pgMar w:top="1440" w:right="1440" w:bottom="1440" w:left="1440" w:header="425"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F48DE" w14:textId="77777777" w:rsidR="00256362" w:rsidRDefault="00256362">
      <w:r>
        <w:separator/>
      </w:r>
    </w:p>
  </w:endnote>
  <w:endnote w:type="continuationSeparator" w:id="0">
    <w:p w14:paraId="558D7A9F" w14:textId="77777777" w:rsidR="00256362" w:rsidRDefault="00256362">
      <w:r>
        <w:continuationSeparator/>
      </w:r>
    </w:p>
  </w:endnote>
  <w:endnote w:type="continuationNotice" w:id="1">
    <w:p w14:paraId="0E73C6CF" w14:textId="77777777" w:rsidR="00256362" w:rsidRDefault="002563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6D" w14:textId="77777777" w:rsidR="00256362" w:rsidRPr="00F60476" w:rsidRDefault="00256362" w:rsidP="00F60476">
    <w:pPr>
      <w:pStyle w:val="Footer"/>
    </w:pPr>
    <w:r>
      <w:rPr>
        <w:noProof/>
        <w:lang w:eastAsia="en-NZ"/>
      </w:rPr>
      <w:drawing>
        <wp:anchor distT="0" distB="0" distL="114300" distR="114300" simplePos="0" relativeHeight="251658242" behindDoc="0" locked="0" layoutInCell="1" allowOverlap="1" wp14:anchorId="3354AC77" wp14:editId="3354AC78">
          <wp:simplePos x="0" y="0"/>
          <wp:positionH relativeFrom="column">
            <wp:posOffset>3204845</wp:posOffset>
          </wp:positionH>
          <wp:positionV relativeFrom="page">
            <wp:posOffset>9999345</wp:posOffset>
          </wp:positionV>
          <wp:extent cx="2555875" cy="262255"/>
          <wp:effectExtent l="0" t="0" r="0" b="4445"/>
          <wp:wrapSquare wrapText="bothSides"/>
          <wp:docPr id="2" name="Picture 2"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8241" behindDoc="1" locked="0" layoutInCell="1" allowOverlap="1" wp14:anchorId="3354AC79" wp14:editId="3354AC7A">
          <wp:simplePos x="0" y="0"/>
          <wp:positionH relativeFrom="page">
            <wp:posOffset>953135</wp:posOffset>
          </wp:positionH>
          <wp:positionV relativeFrom="line">
            <wp:posOffset>-283845</wp:posOffset>
          </wp:positionV>
          <wp:extent cx="2771775" cy="492760"/>
          <wp:effectExtent l="0" t="0" r="9525" b="2540"/>
          <wp:wrapSquare wrapText="right"/>
          <wp:docPr id="15" name="Picture 1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6E" w14:textId="77777777" w:rsidR="00256362" w:rsidRDefault="00256362" w:rsidP="001467E3">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Pr>
          <w:noProof/>
        </w:rPr>
        <w:t>25</w:t>
      </w:r>
    </w:fldSimple>
  </w:p>
  <w:p w14:paraId="3354AC6F" w14:textId="77777777" w:rsidR="00256362" w:rsidRDefault="00256362"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71" w14:textId="77777777" w:rsidR="00256362" w:rsidRPr="00391C7C" w:rsidRDefault="00256362" w:rsidP="004518B7">
    <w:pPr>
      <w:pStyle w:val="Footer"/>
      <w:tabs>
        <w:tab w:val="center" w:pos="4678"/>
        <w:tab w:val="right" w:pos="9071"/>
      </w:tabs>
      <w:ind w:right="-1"/>
    </w:pPr>
    <w:r>
      <w:tab/>
    </w:r>
    <w:r>
      <w:tab/>
    </w:r>
    <w:r>
      <w:fldChar w:fldCharType="begin"/>
    </w:r>
    <w:r>
      <w:instrText xml:space="preserve"> PAGE  \* roman  \* MERGEFORMAT </w:instrText>
    </w:r>
    <w:r>
      <w:fldChar w:fldCharType="separate"/>
    </w:r>
    <w:r w:rsidR="00220A28">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73" w14:textId="77777777" w:rsidR="00256362" w:rsidRPr="00391C7C" w:rsidRDefault="00256362" w:rsidP="004518B7">
    <w:pPr>
      <w:pStyle w:val="Footer"/>
      <w:tabs>
        <w:tab w:val="center" w:pos="4678"/>
        <w:tab w:val="right" w:pos="9071"/>
      </w:tabs>
      <w:ind w:right="-1"/>
    </w:pPr>
    <w:r>
      <w:tab/>
    </w:r>
    <w:r>
      <w:tab/>
      <w:t xml:space="preserve">Page </w:t>
    </w:r>
    <w:r>
      <w:fldChar w:fldCharType="begin"/>
    </w:r>
    <w:r>
      <w:instrText xml:space="preserve"> PAGE  \* Arabic  \* MERGEFORMAT </w:instrText>
    </w:r>
    <w:r>
      <w:fldChar w:fldCharType="separate"/>
    </w:r>
    <w:r w:rsidR="00220A28">
      <w:rPr>
        <w:noProof/>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8ED89" w14:textId="77777777" w:rsidR="00256362" w:rsidRDefault="00256362" w:rsidP="006E29CC">
      <w:pPr>
        <w:pStyle w:val="Spacer"/>
      </w:pPr>
      <w:r>
        <w:separator/>
      </w:r>
    </w:p>
    <w:p w14:paraId="124D5F1D" w14:textId="77777777" w:rsidR="00256362" w:rsidRDefault="00256362" w:rsidP="006E29CC">
      <w:pPr>
        <w:pStyle w:val="Spacer"/>
      </w:pPr>
    </w:p>
  </w:footnote>
  <w:footnote w:type="continuationSeparator" w:id="0">
    <w:p w14:paraId="57A12F7C" w14:textId="77777777" w:rsidR="00256362" w:rsidRDefault="00256362">
      <w:r>
        <w:continuationSeparator/>
      </w:r>
    </w:p>
  </w:footnote>
  <w:footnote w:type="continuationNotice" w:id="1">
    <w:p w14:paraId="7ED56BA2" w14:textId="77777777" w:rsidR="00256362" w:rsidRDefault="00256362">
      <w:pPr>
        <w:spacing w:before="0" w:after="0"/>
      </w:pPr>
    </w:p>
  </w:footnote>
  <w:footnote w:id="2">
    <w:p w14:paraId="016959DD" w14:textId="22D6AF20" w:rsidR="00256362" w:rsidRDefault="00256362">
      <w:pPr>
        <w:pStyle w:val="FootnoteText"/>
      </w:pPr>
      <w:r>
        <w:rPr>
          <w:rStyle w:val="FootnoteReference"/>
        </w:rPr>
        <w:footnoteRef/>
      </w:r>
      <w:r>
        <w:t xml:space="preserve"> In late 2016, NZFS consulted publicly on proposed levy rates for 2017/18. It is expected that the new rates will be announced by April 2017.</w:t>
      </w:r>
    </w:p>
  </w:footnote>
  <w:footnote w:id="3">
    <w:p w14:paraId="49BFE14E" w14:textId="30E83BD2" w:rsidR="00256362" w:rsidRDefault="00256362">
      <w:pPr>
        <w:pStyle w:val="FootnoteText"/>
      </w:pPr>
      <w:r>
        <w:rPr>
          <w:rStyle w:val="FootnoteReference"/>
        </w:rPr>
        <w:footnoteRef/>
      </w:r>
      <w:r>
        <w:t xml:space="preserve"> As described above, these changes will commence no earlier than 1 July 2018 and no later than 1 July 2019.</w:t>
      </w:r>
    </w:p>
  </w:footnote>
  <w:footnote w:id="4">
    <w:p w14:paraId="78C14E14" w14:textId="7F0C02BF" w:rsidR="00256362" w:rsidRDefault="00256362">
      <w:pPr>
        <w:pStyle w:val="FootnoteText"/>
      </w:pPr>
      <w:r>
        <w:rPr>
          <w:rStyle w:val="FootnoteReference"/>
        </w:rPr>
        <w:footnoteRef/>
      </w:r>
      <w:r>
        <w:t xml:space="preserve"> </w:t>
      </w:r>
      <w:r w:rsidRPr="003E01A3">
        <w:t>More immediately, policyholders will also be impacted by rate changes from 1 July 2017. The transitional relief provisions discussed here will not apply to these changes. The intent of transitional relief is to address the impacts of the changes to the underlying levy regime introduced in the Bill.</w:t>
      </w:r>
    </w:p>
  </w:footnote>
  <w:footnote w:id="5">
    <w:p w14:paraId="3354AC7C" w14:textId="584BA3AE" w:rsidR="00256362" w:rsidRDefault="00256362">
      <w:pPr>
        <w:pStyle w:val="FootnoteText"/>
      </w:pPr>
      <w:r>
        <w:rPr>
          <w:rStyle w:val="FootnoteReference"/>
        </w:rPr>
        <w:footnoteRef/>
      </w:r>
      <w:r>
        <w:t xml:space="preserve"> EGI-MIN-16-0064.</w:t>
      </w:r>
    </w:p>
  </w:footnote>
  <w:footnote w:id="6">
    <w:p w14:paraId="3354AC7D" w14:textId="3F28D2E2" w:rsidR="00256362" w:rsidRDefault="00256362">
      <w:pPr>
        <w:pStyle w:val="FootnoteText"/>
      </w:pPr>
      <w:r>
        <w:rPr>
          <w:rStyle w:val="FootnoteReference"/>
        </w:rPr>
        <w:footnoteRef/>
      </w:r>
      <w:r>
        <w:t xml:space="preserve"> Fire and Emergency New Zealand Bill 2016, Schedule 1, clauses 35 to 38.</w:t>
      </w:r>
    </w:p>
  </w:footnote>
  <w:footnote w:id="7">
    <w:p w14:paraId="3354AC7E" w14:textId="77777777" w:rsidR="00256362" w:rsidRDefault="00256362">
      <w:pPr>
        <w:pStyle w:val="FootnoteText"/>
      </w:pPr>
      <w:r>
        <w:rPr>
          <w:rStyle w:val="FootnoteReference"/>
        </w:rPr>
        <w:footnoteRef/>
      </w:r>
      <w:r>
        <w:t xml:space="preserve"> Clause 104(3)(ba) of FENZ Bill 2016</w:t>
      </w:r>
    </w:p>
  </w:footnote>
  <w:footnote w:id="8">
    <w:p w14:paraId="7DC96960" w14:textId="77777777" w:rsidR="00256362" w:rsidRDefault="00256362" w:rsidP="00E83FB3">
      <w:pPr>
        <w:pStyle w:val="FootnoteText"/>
      </w:pPr>
      <w:r>
        <w:rPr>
          <w:rStyle w:val="FootnoteReference"/>
        </w:rPr>
        <w:footnoteRef/>
      </w:r>
      <w:r>
        <w:t xml:space="preserve"> The Civil Aviation Act defines ‘s</w:t>
      </w:r>
      <w:r w:rsidRPr="005151E6">
        <w:t>cheduled international air service</w:t>
      </w:r>
      <w:r>
        <w:t>’</w:t>
      </w:r>
      <w:r w:rsidRPr="005151E6">
        <w:t xml:space="preserve"> </w:t>
      </w:r>
      <w:r>
        <w:t xml:space="preserve">as </w:t>
      </w:r>
      <w:r w:rsidRPr="005151E6">
        <w:t xml:space="preserve">a series of flights performed by aircraft for the transport of passengers, cargo, or mail between New Zealand and </w:t>
      </w:r>
      <w:r>
        <w:t>one</w:t>
      </w:r>
      <w:r w:rsidRPr="005151E6">
        <w:t xml:space="preserve"> or more points in any other country or territory, where the flights are so regular or frequent as to constitute a systematic service, whether or not in accordance with a published timetable, and which are operated in such a manner that each flight is open to use by members of the public; and, in relation to a New Zealand international airline, includes a </w:t>
      </w:r>
      <w:r>
        <w:t>‘</w:t>
      </w:r>
      <w:r w:rsidRPr="005151E6">
        <w:t>seventh freedom service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6C" w14:textId="00CEDD4B" w:rsidR="00256362" w:rsidRPr="00143173" w:rsidRDefault="00256362" w:rsidP="00143173">
    <w:pPr>
      <w:pStyle w:val="Securityclassificiation"/>
      <w:rPr>
        <w:bCs/>
      </w:rPr>
    </w:pPr>
    <w:r w:rsidRPr="00143173">
      <w:rPr>
        <w:bCs/>
        <w:noProof/>
        <w:lang w:eastAsia="en-NZ"/>
      </w:rPr>
      <w:drawing>
        <wp:anchor distT="0" distB="0" distL="114300" distR="114300" simplePos="0" relativeHeight="251658240" behindDoc="0" locked="0" layoutInCell="1" allowOverlap="1" wp14:anchorId="3354AC75" wp14:editId="3354AC76">
          <wp:simplePos x="0" y="0"/>
          <wp:positionH relativeFrom="column">
            <wp:align>left</wp:align>
          </wp:positionH>
          <wp:positionV relativeFrom="page">
            <wp:posOffset>504190</wp:posOffset>
          </wp:positionV>
          <wp:extent cx="108000" cy="3240000"/>
          <wp:effectExtent l="0" t="0" r="6350" b="0"/>
          <wp:wrapSquare wrapText="bothSides"/>
          <wp:docPr id="1" name="Picture 1"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r w:rsidRPr="00143173">
      <w:rPr>
        <w:bCs/>
        <w:noProof/>
        <w:lang w:eastAsia="en-NZ"/>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70" w14:textId="6D5F6A46" w:rsidR="00256362" w:rsidRPr="005105C2" w:rsidRDefault="00256362" w:rsidP="002F012C">
    <w:pPr>
      <w:pStyle w:val="Header"/>
      <w:rPr>
        <w:i/>
        <w:sz w:val="20"/>
      </w:rPr>
    </w:pPr>
    <w:r w:rsidRPr="005105C2">
      <w:rPr>
        <w:i/>
        <w:sz w:val="20"/>
      </w:rPr>
      <w:t>Discussion Document: Proposed regulations for fire and emergency levy (</w:t>
    </w:r>
    <w:r>
      <w:rPr>
        <w:i/>
        <w:sz w:val="20"/>
      </w:rPr>
      <w:t>t</w:t>
    </w:r>
    <w:r w:rsidRPr="005105C2">
      <w:rPr>
        <w:i/>
        <w:sz w:val="20"/>
      </w:rPr>
      <w:t xml:space="preserve">ransitional levy relief and </w:t>
    </w:r>
    <w:r>
      <w:rPr>
        <w:i/>
        <w:sz w:val="20"/>
      </w:rPr>
      <w:t>l</w:t>
    </w:r>
    <w:r w:rsidRPr="005105C2">
      <w:rPr>
        <w:i/>
        <w:sz w:val="20"/>
      </w:rPr>
      <w:t>evy on insurance contracts covering different property types)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0D8132A4"/>
    <w:multiLevelType w:val="hybridMultilevel"/>
    <w:tmpl w:val="E5663906"/>
    <w:lvl w:ilvl="0" w:tplc="14090001">
      <w:start w:val="1"/>
      <w:numFmt w:val="bullet"/>
      <w:lvlText w:val=""/>
      <w:lvlJc w:val="left"/>
      <w:pPr>
        <w:ind w:left="720" w:hanging="360"/>
      </w:pPr>
      <w:rPr>
        <w:rFonts w:ascii="Symbol" w:hAnsi="Symbol" w:hint="default"/>
      </w:rPr>
    </w:lvl>
    <w:lvl w:ilvl="1" w:tplc="EB7C7B98">
      <w:numFmt w:val="bullet"/>
      <w:lvlText w:val="-"/>
      <w:lvlJc w:val="left"/>
      <w:pPr>
        <w:ind w:left="1440" w:hanging="360"/>
      </w:pPr>
      <w:rPr>
        <w:rFonts w:ascii="Calibri" w:eastAsiaTheme="minorHAnsi" w:hAnsi="Calibri"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nsid w:val="2FC70EB7"/>
    <w:multiLevelType w:val="hybridMultilevel"/>
    <w:tmpl w:val="59044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BA6431D"/>
    <w:multiLevelType w:val="hybridMultilevel"/>
    <w:tmpl w:val="DD325F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nsid w:val="6ED70496"/>
    <w:multiLevelType w:val="hybridMultilevel"/>
    <w:tmpl w:val="66704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4DC7997"/>
    <w:multiLevelType w:val="hybridMultilevel"/>
    <w:tmpl w:val="CEB47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54400A2"/>
    <w:multiLevelType w:val="hybridMultilevel"/>
    <w:tmpl w:val="FF7E3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2"/>
  </w:num>
  <w:num w:numId="2">
    <w:abstractNumId w:val="20"/>
  </w:num>
  <w:num w:numId="3">
    <w:abstractNumId w:val="18"/>
  </w:num>
  <w:num w:numId="4">
    <w:abstractNumId w:val="27"/>
  </w:num>
  <w:num w:numId="5">
    <w:abstractNumId w:val="23"/>
  </w:num>
  <w:num w:numId="6">
    <w:abstractNumId w:val="25"/>
  </w:num>
  <w:num w:numId="7">
    <w:abstractNumId w:val="16"/>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31"/>
  </w:num>
  <w:num w:numId="21">
    <w:abstractNumId w:val="26"/>
  </w:num>
  <w:num w:numId="22">
    <w:abstractNumId w:val="24"/>
  </w:num>
  <w:num w:numId="23">
    <w:abstractNumId w:val="19"/>
  </w:num>
  <w:num w:numId="24">
    <w:abstractNumId w:val="17"/>
  </w:num>
  <w:num w:numId="25">
    <w:abstractNumId w:val="12"/>
  </w:num>
  <w:num w:numId="26">
    <w:abstractNumId w:val="10"/>
  </w:num>
  <w:num w:numId="27">
    <w:abstractNumId w:val="13"/>
  </w:num>
  <w:num w:numId="28">
    <w:abstractNumId w:val="29"/>
  </w:num>
  <w:num w:numId="29">
    <w:abstractNumId w:val="30"/>
  </w:num>
  <w:num w:numId="30">
    <w:abstractNumId w:val="28"/>
  </w:num>
  <w:num w:numId="31">
    <w:abstractNumId w:val="21"/>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8433"/>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08"/>
    <w:rsid w:val="00003360"/>
    <w:rsid w:val="00006FA6"/>
    <w:rsid w:val="00007103"/>
    <w:rsid w:val="00020010"/>
    <w:rsid w:val="000275F7"/>
    <w:rsid w:val="00033F5B"/>
    <w:rsid w:val="00034673"/>
    <w:rsid w:val="000409E2"/>
    <w:rsid w:val="00042784"/>
    <w:rsid w:val="00042BD7"/>
    <w:rsid w:val="00044EA1"/>
    <w:rsid w:val="000509CF"/>
    <w:rsid w:val="000521C0"/>
    <w:rsid w:val="000612FD"/>
    <w:rsid w:val="00062FE6"/>
    <w:rsid w:val="00063BB2"/>
    <w:rsid w:val="00063E68"/>
    <w:rsid w:val="000658B5"/>
    <w:rsid w:val="00067A58"/>
    <w:rsid w:val="00076035"/>
    <w:rsid w:val="00077013"/>
    <w:rsid w:val="000770AE"/>
    <w:rsid w:val="00091C3A"/>
    <w:rsid w:val="00092587"/>
    <w:rsid w:val="00094A06"/>
    <w:rsid w:val="0009522C"/>
    <w:rsid w:val="000953BD"/>
    <w:rsid w:val="000A0135"/>
    <w:rsid w:val="000B0D9D"/>
    <w:rsid w:val="000B43DE"/>
    <w:rsid w:val="000B76A4"/>
    <w:rsid w:val="000C035D"/>
    <w:rsid w:val="000C2E46"/>
    <w:rsid w:val="000C6189"/>
    <w:rsid w:val="000C77C2"/>
    <w:rsid w:val="000D7EDD"/>
    <w:rsid w:val="000E093A"/>
    <w:rsid w:val="000E09DC"/>
    <w:rsid w:val="000E27D5"/>
    <w:rsid w:val="000E677B"/>
    <w:rsid w:val="000F0C62"/>
    <w:rsid w:val="000F4ADF"/>
    <w:rsid w:val="000F61AF"/>
    <w:rsid w:val="00100AAB"/>
    <w:rsid w:val="0010171C"/>
    <w:rsid w:val="00102FAD"/>
    <w:rsid w:val="00112237"/>
    <w:rsid w:val="00121870"/>
    <w:rsid w:val="0013424E"/>
    <w:rsid w:val="001410AD"/>
    <w:rsid w:val="001420E8"/>
    <w:rsid w:val="00142E84"/>
    <w:rsid w:val="00143173"/>
    <w:rsid w:val="001448BF"/>
    <w:rsid w:val="00144DD5"/>
    <w:rsid w:val="00146450"/>
    <w:rsid w:val="001467E3"/>
    <w:rsid w:val="0015404E"/>
    <w:rsid w:val="00156986"/>
    <w:rsid w:val="0016433D"/>
    <w:rsid w:val="001675B7"/>
    <w:rsid w:val="00174B0F"/>
    <w:rsid w:val="00180D06"/>
    <w:rsid w:val="001864FA"/>
    <w:rsid w:val="00190516"/>
    <w:rsid w:val="0019514C"/>
    <w:rsid w:val="001A0BFE"/>
    <w:rsid w:val="001A5F55"/>
    <w:rsid w:val="001B29DE"/>
    <w:rsid w:val="001B646D"/>
    <w:rsid w:val="001C0031"/>
    <w:rsid w:val="001C57CE"/>
    <w:rsid w:val="001D00FE"/>
    <w:rsid w:val="001D0111"/>
    <w:rsid w:val="001D0B10"/>
    <w:rsid w:val="001D25AB"/>
    <w:rsid w:val="001D6E90"/>
    <w:rsid w:val="001F3008"/>
    <w:rsid w:val="002006E6"/>
    <w:rsid w:val="00205367"/>
    <w:rsid w:val="00205FE8"/>
    <w:rsid w:val="00206551"/>
    <w:rsid w:val="00206BA3"/>
    <w:rsid w:val="002111C6"/>
    <w:rsid w:val="00212D0F"/>
    <w:rsid w:val="00215160"/>
    <w:rsid w:val="002173AC"/>
    <w:rsid w:val="002178DF"/>
    <w:rsid w:val="00220A28"/>
    <w:rsid w:val="002224B4"/>
    <w:rsid w:val="002227A7"/>
    <w:rsid w:val="00223E07"/>
    <w:rsid w:val="00226D5E"/>
    <w:rsid w:val="0023436B"/>
    <w:rsid w:val="00237A3D"/>
    <w:rsid w:val="00240E83"/>
    <w:rsid w:val="002422BA"/>
    <w:rsid w:val="00243141"/>
    <w:rsid w:val="00245FA2"/>
    <w:rsid w:val="002502D1"/>
    <w:rsid w:val="00254B89"/>
    <w:rsid w:val="00256362"/>
    <w:rsid w:val="002607A4"/>
    <w:rsid w:val="002667CA"/>
    <w:rsid w:val="00270EEC"/>
    <w:rsid w:val="002733B7"/>
    <w:rsid w:val="0027394C"/>
    <w:rsid w:val="00276AEB"/>
    <w:rsid w:val="002806A2"/>
    <w:rsid w:val="002812F3"/>
    <w:rsid w:val="00285A3E"/>
    <w:rsid w:val="00297CC7"/>
    <w:rsid w:val="002A194F"/>
    <w:rsid w:val="002A4BD9"/>
    <w:rsid w:val="002A4FE7"/>
    <w:rsid w:val="002A7FA2"/>
    <w:rsid w:val="002B18E7"/>
    <w:rsid w:val="002B1CEB"/>
    <w:rsid w:val="002B60A8"/>
    <w:rsid w:val="002C04B1"/>
    <w:rsid w:val="002C1523"/>
    <w:rsid w:val="002C491F"/>
    <w:rsid w:val="002C52FB"/>
    <w:rsid w:val="002C67FA"/>
    <w:rsid w:val="002D08DF"/>
    <w:rsid w:val="002D2ACB"/>
    <w:rsid w:val="002D50BB"/>
    <w:rsid w:val="002E1CA8"/>
    <w:rsid w:val="002E36D5"/>
    <w:rsid w:val="002E5338"/>
    <w:rsid w:val="002F012C"/>
    <w:rsid w:val="002F420F"/>
    <w:rsid w:val="003004C1"/>
    <w:rsid w:val="0030084C"/>
    <w:rsid w:val="00304BE1"/>
    <w:rsid w:val="003129BA"/>
    <w:rsid w:val="003148FC"/>
    <w:rsid w:val="003165C6"/>
    <w:rsid w:val="00330820"/>
    <w:rsid w:val="003314FB"/>
    <w:rsid w:val="003409CE"/>
    <w:rsid w:val="00342DBF"/>
    <w:rsid w:val="00342EC8"/>
    <w:rsid w:val="0034521A"/>
    <w:rsid w:val="00353DA1"/>
    <w:rsid w:val="00370FC0"/>
    <w:rsid w:val="003726D4"/>
    <w:rsid w:val="00373206"/>
    <w:rsid w:val="00373603"/>
    <w:rsid w:val="0037555E"/>
    <w:rsid w:val="00391C7C"/>
    <w:rsid w:val="00394586"/>
    <w:rsid w:val="003A10DA"/>
    <w:rsid w:val="003A12C8"/>
    <w:rsid w:val="003A13A8"/>
    <w:rsid w:val="003A6FFE"/>
    <w:rsid w:val="003B3A23"/>
    <w:rsid w:val="003B3FF2"/>
    <w:rsid w:val="003B6E2F"/>
    <w:rsid w:val="003C63D0"/>
    <w:rsid w:val="003D353C"/>
    <w:rsid w:val="003D5B09"/>
    <w:rsid w:val="003E01A3"/>
    <w:rsid w:val="003F43CD"/>
    <w:rsid w:val="003F5886"/>
    <w:rsid w:val="0040020C"/>
    <w:rsid w:val="004009A9"/>
    <w:rsid w:val="00402B96"/>
    <w:rsid w:val="00403AAC"/>
    <w:rsid w:val="0040700B"/>
    <w:rsid w:val="00407F54"/>
    <w:rsid w:val="00411341"/>
    <w:rsid w:val="00413966"/>
    <w:rsid w:val="00415CDB"/>
    <w:rsid w:val="00423945"/>
    <w:rsid w:val="00424863"/>
    <w:rsid w:val="0042551E"/>
    <w:rsid w:val="00426491"/>
    <w:rsid w:val="00433AD8"/>
    <w:rsid w:val="00433EC0"/>
    <w:rsid w:val="00446414"/>
    <w:rsid w:val="004518B7"/>
    <w:rsid w:val="004550CF"/>
    <w:rsid w:val="004552A0"/>
    <w:rsid w:val="00460A83"/>
    <w:rsid w:val="0046577B"/>
    <w:rsid w:val="00467F12"/>
    <w:rsid w:val="004715B2"/>
    <w:rsid w:val="004734F8"/>
    <w:rsid w:val="00477619"/>
    <w:rsid w:val="00486E6E"/>
    <w:rsid w:val="00492212"/>
    <w:rsid w:val="00492CA5"/>
    <w:rsid w:val="00492EBB"/>
    <w:rsid w:val="004955F9"/>
    <w:rsid w:val="004A0122"/>
    <w:rsid w:val="004A099E"/>
    <w:rsid w:val="004A1220"/>
    <w:rsid w:val="004A2757"/>
    <w:rsid w:val="004A5823"/>
    <w:rsid w:val="004B04C6"/>
    <w:rsid w:val="004B0AAF"/>
    <w:rsid w:val="004B3924"/>
    <w:rsid w:val="004B4301"/>
    <w:rsid w:val="004B59DB"/>
    <w:rsid w:val="004B7965"/>
    <w:rsid w:val="004C4DDD"/>
    <w:rsid w:val="004D06BB"/>
    <w:rsid w:val="004D0FC1"/>
    <w:rsid w:val="004D1706"/>
    <w:rsid w:val="004D243F"/>
    <w:rsid w:val="004D70BA"/>
    <w:rsid w:val="004D7473"/>
    <w:rsid w:val="004E1A09"/>
    <w:rsid w:val="004E39D7"/>
    <w:rsid w:val="004F14A3"/>
    <w:rsid w:val="004F5A1B"/>
    <w:rsid w:val="0051048E"/>
    <w:rsid w:val="005105C2"/>
    <w:rsid w:val="0051119C"/>
    <w:rsid w:val="00512ACB"/>
    <w:rsid w:val="005151E6"/>
    <w:rsid w:val="005202BA"/>
    <w:rsid w:val="0052216D"/>
    <w:rsid w:val="00524FD2"/>
    <w:rsid w:val="00526115"/>
    <w:rsid w:val="00531214"/>
    <w:rsid w:val="00532700"/>
    <w:rsid w:val="00533FAF"/>
    <w:rsid w:val="005366B6"/>
    <w:rsid w:val="00536AA3"/>
    <w:rsid w:val="00537FC3"/>
    <w:rsid w:val="00537FC6"/>
    <w:rsid w:val="0054056A"/>
    <w:rsid w:val="00540B61"/>
    <w:rsid w:val="00541CF5"/>
    <w:rsid w:val="00544194"/>
    <w:rsid w:val="00552926"/>
    <w:rsid w:val="00554C1A"/>
    <w:rsid w:val="00555832"/>
    <w:rsid w:val="00561A97"/>
    <w:rsid w:val="00563DAC"/>
    <w:rsid w:val="00564718"/>
    <w:rsid w:val="00564F10"/>
    <w:rsid w:val="005675E0"/>
    <w:rsid w:val="00567856"/>
    <w:rsid w:val="00570C00"/>
    <w:rsid w:val="0057731F"/>
    <w:rsid w:val="0058206B"/>
    <w:rsid w:val="005820A5"/>
    <w:rsid w:val="00583CF4"/>
    <w:rsid w:val="00585690"/>
    <w:rsid w:val="00586122"/>
    <w:rsid w:val="005861D6"/>
    <w:rsid w:val="00593B07"/>
    <w:rsid w:val="00594437"/>
    <w:rsid w:val="00595B33"/>
    <w:rsid w:val="0059662F"/>
    <w:rsid w:val="005A0F14"/>
    <w:rsid w:val="005B628C"/>
    <w:rsid w:val="005C7A1D"/>
    <w:rsid w:val="005D2E1E"/>
    <w:rsid w:val="005D3066"/>
    <w:rsid w:val="005D3404"/>
    <w:rsid w:val="005D6D75"/>
    <w:rsid w:val="005E136C"/>
    <w:rsid w:val="005E15B0"/>
    <w:rsid w:val="005E1818"/>
    <w:rsid w:val="005E182C"/>
    <w:rsid w:val="005E3FCB"/>
    <w:rsid w:val="005E4A03"/>
    <w:rsid w:val="005E4B13"/>
    <w:rsid w:val="005E4C02"/>
    <w:rsid w:val="005E61F4"/>
    <w:rsid w:val="005E63F3"/>
    <w:rsid w:val="005F01DF"/>
    <w:rsid w:val="005F1CC4"/>
    <w:rsid w:val="005F54A2"/>
    <w:rsid w:val="005F56C1"/>
    <w:rsid w:val="005F7493"/>
    <w:rsid w:val="005F76CC"/>
    <w:rsid w:val="005F7FF8"/>
    <w:rsid w:val="006004A2"/>
    <w:rsid w:val="00600CA4"/>
    <w:rsid w:val="00602416"/>
    <w:rsid w:val="006041F2"/>
    <w:rsid w:val="00606DED"/>
    <w:rsid w:val="00607604"/>
    <w:rsid w:val="0061428A"/>
    <w:rsid w:val="0062237B"/>
    <w:rsid w:val="006225CA"/>
    <w:rsid w:val="006229C7"/>
    <w:rsid w:val="00634427"/>
    <w:rsid w:val="00636DD0"/>
    <w:rsid w:val="006439DA"/>
    <w:rsid w:val="006452A2"/>
    <w:rsid w:val="00646D85"/>
    <w:rsid w:val="00662716"/>
    <w:rsid w:val="0066331F"/>
    <w:rsid w:val="00667187"/>
    <w:rsid w:val="0067136C"/>
    <w:rsid w:val="0067518D"/>
    <w:rsid w:val="00675974"/>
    <w:rsid w:val="00676FE1"/>
    <w:rsid w:val="00677A08"/>
    <w:rsid w:val="00677B13"/>
    <w:rsid w:val="00677F4E"/>
    <w:rsid w:val="00681A08"/>
    <w:rsid w:val="0068583D"/>
    <w:rsid w:val="00685ECF"/>
    <w:rsid w:val="006871D3"/>
    <w:rsid w:val="006875B8"/>
    <w:rsid w:val="00687CA4"/>
    <w:rsid w:val="00687CEA"/>
    <w:rsid w:val="00695400"/>
    <w:rsid w:val="00695678"/>
    <w:rsid w:val="00695B75"/>
    <w:rsid w:val="006A1A95"/>
    <w:rsid w:val="006A38B7"/>
    <w:rsid w:val="006A7C04"/>
    <w:rsid w:val="006B0386"/>
    <w:rsid w:val="006B1CB2"/>
    <w:rsid w:val="006B1DD1"/>
    <w:rsid w:val="006B3160"/>
    <w:rsid w:val="006B3396"/>
    <w:rsid w:val="006B7127"/>
    <w:rsid w:val="006B762D"/>
    <w:rsid w:val="006C26C5"/>
    <w:rsid w:val="006C46FC"/>
    <w:rsid w:val="006C7FA4"/>
    <w:rsid w:val="006D53D1"/>
    <w:rsid w:val="006D638F"/>
    <w:rsid w:val="006E29CC"/>
    <w:rsid w:val="006E34E1"/>
    <w:rsid w:val="006E61A6"/>
    <w:rsid w:val="006E7BF7"/>
    <w:rsid w:val="006F49EB"/>
    <w:rsid w:val="006F56F5"/>
    <w:rsid w:val="00700A56"/>
    <w:rsid w:val="00704883"/>
    <w:rsid w:val="007068C8"/>
    <w:rsid w:val="0071177E"/>
    <w:rsid w:val="00712312"/>
    <w:rsid w:val="00712E3A"/>
    <w:rsid w:val="00715B8F"/>
    <w:rsid w:val="00717229"/>
    <w:rsid w:val="007202D5"/>
    <w:rsid w:val="00720F1D"/>
    <w:rsid w:val="00727254"/>
    <w:rsid w:val="0073106E"/>
    <w:rsid w:val="00733AAC"/>
    <w:rsid w:val="007369AC"/>
    <w:rsid w:val="0074468F"/>
    <w:rsid w:val="00755445"/>
    <w:rsid w:val="00756BB7"/>
    <w:rsid w:val="0075764B"/>
    <w:rsid w:val="00757CFB"/>
    <w:rsid w:val="00757FA8"/>
    <w:rsid w:val="00760C01"/>
    <w:rsid w:val="00761293"/>
    <w:rsid w:val="00761439"/>
    <w:rsid w:val="00762D2A"/>
    <w:rsid w:val="00767C04"/>
    <w:rsid w:val="007736A2"/>
    <w:rsid w:val="00773F2E"/>
    <w:rsid w:val="00777391"/>
    <w:rsid w:val="00777F3F"/>
    <w:rsid w:val="007827F3"/>
    <w:rsid w:val="007918C2"/>
    <w:rsid w:val="00794B05"/>
    <w:rsid w:val="007A06D4"/>
    <w:rsid w:val="007A2A5C"/>
    <w:rsid w:val="007A6226"/>
    <w:rsid w:val="007B0A0D"/>
    <w:rsid w:val="007B14CC"/>
    <w:rsid w:val="007B3C61"/>
    <w:rsid w:val="007C34B5"/>
    <w:rsid w:val="007C42FA"/>
    <w:rsid w:val="007C58EF"/>
    <w:rsid w:val="007D0054"/>
    <w:rsid w:val="007D1918"/>
    <w:rsid w:val="007D3469"/>
    <w:rsid w:val="007D3BAF"/>
    <w:rsid w:val="007D5FBF"/>
    <w:rsid w:val="007D673D"/>
    <w:rsid w:val="007E65C3"/>
    <w:rsid w:val="007F5843"/>
    <w:rsid w:val="008016E2"/>
    <w:rsid w:val="00802AA4"/>
    <w:rsid w:val="008173F4"/>
    <w:rsid w:val="0082264B"/>
    <w:rsid w:val="008260F8"/>
    <w:rsid w:val="0082765B"/>
    <w:rsid w:val="0083062D"/>
    <w:rsid w:val="00835BD7"/>
    <w:rsid w:val="00843D71"/>
    <w:rsid w:val="0084745A"/>
    <w:rsid w:val="00852DF4"/>
    <w:rsid w:val="00853D0B"/>
    <w:rsid w:val="008543FD"/>
    <w:rsid w:val="00860B2B"/>
    <w:rsid w:val="00865351"/>
    <w:rsid w:val="00870045"/>
    <w:rsid w:val="00876E5F"/>
    <w:rsid w:val="00877E1D"/>
    <w:rsid w:val="00880DD4"/>
    <w:rsid w:val="008827FD"/>
    <w:rsid w:val="008861B5"/>
    <w:rsid w:val="00890CE4"/>
    <w:rsid w:val="008A402B"/>
    <w:rsid w:val="008B0E05"/>
    <w:rsid w:val="008B285B"/>
    <w:rsid w:val="008C09F5"/>
    <w:rsid w:val="008C160D"/>
    <w:rsid w:val="008C3187"/>
    <w:rsid w:val="008C5E4F"/>
    <w:rsid w:val="008D29AD"/>
    <w:rsid w:val="008D63B7"/>
    <w:rsid w:val="008D6A03"/>
    <w:rsid w:val="008E45C2"/>
    <w:rsid w:val="008E79F9"/>
    <w:rsid w:val="008E7FEE"/>
    <w:rsid w:val="008F12DB"/>
    <w:rsid w:val="008F5F9C"/>
    <w:rsid w:val="008F67F5"/>
    <w:rsid w:val="008F6BCE"/>
    <w:rsid w:val="00900D4B"/>
    <w:rsid w:val="00902C08"/>
    <w:rsid w:val="00905EA9"/>
    <w:rsid w:val="0090736E"/>
    <w:rsid w:val="0090744C"/>
    <w:rsid w:val="00907486"/>
    <w:rsid w:val="00912195"/>
    <w:rsid w:val="0091437D"/>
    <w:rsid w:val="00915B2C"/>
    <w:rsid w:val="009170B9"/>
    <w:rsid w:val="00921F67"/>
    <w:rsid w:val="00927482"/>
    <w:rsid w:val="00932509"/>
    <w:rsid w:val="00940934"/>
    <w:rsid w:val="009504C1"/>
    <w:rsid w:val="0095112B"/>
    <w:rsid w:val="0095505D"/>
    <w:rsid w:val="00960E01"/>
    <w:rsid w:val="00966286"/>
    <w:rsid w:val="009669CF"/>
    <w:rsid w:val="00973A6D"/>
    <w:rsid w:val="009759EA"/>
    <w:rsid w:val="00975F00"/>
    <w:rsid w:val="009775E7"/>
    <w:rsid w:val="009865AA"/>
    <w:rsid w:val="00987080"/>
    <w:rsid w:val="0098765A"/>
    <w:rsid w:val="009917AA"/>
    <w:rsid w:val="00992298"/>
    <w:rsid w:val="009968B0"/>
    <w:rsid w:val="00997EEA"/>
    <w:rsid w:val="009A0923"/>
    <w:rsid w:val="009A20D7"/>
    <w:rsid w:val="009A6CB2"/>
    <w:rsid w:val="009B0982"/>
    <w:rsid w:val="009B16FE"/>
    <w:rsid w:val="009B334B"/>
    <w:rsid w:val="009B4C99"/>
    <w:rsid w:val="009C1B83"/>
    <w:rsid w:val="009C27D3"/>
    <w:rsid w:val="009C39A0"/>
    <w:rsid w:val="009D28CF"/>
    <w:rsid w:val="009D6CFA"/>
    <w:rsid w:val="009E0045"/>
    <w:rsid w:val="009E4272"/>
    <w:rsid w:val="009E5558"/>
    <w:rsid w:val="009E5D36"/>
    <w:rsid w:val="009E7CA0"/>
    <w:rsid w:val="009F0993"/>
    <w:rsid w:val="00A036AD"/>
    <w:rsid w:val="00A04392"/>
    <w:rsid w:val="00A126D7"/>
    <w:rsid w:val="00A13417"/>
    <w:rsid w:val="00A16003"/>
    <w:rsid w:val="00A16365"/>
    <w:rsid w:val="00A167D7"/>
    <w:rsid w:val="00A21839"/>
    <w:rsid w:val="00A24FBB"/>
    <w:rsid w:val="00A30350"/>
    <w:rsid w:val="00A313C6"/>
    <w:rsid w:val="00A3577D"/>
    <w:rsid w:val="00A36309"/>
    <w:rsid w:val="00A36F77"/>
    <w:rsid w:val="00A42ED2"/>
    <w:rsid w:val="00A44B33"/>
    <w:rsid w:val="00A44ECE"/>
    <w:rsid w:val="00A45AB7"/>
    <w:rsid w:val="00A474B0"/>
    <w:rsid w:val="00A50E00"/>
    <w:rsid w:val="00A52529"/>
    <w:rsid w:val="00A53624"/>
    <w:rsid w:val="00A5766B"/>
    <w:rsid w:val="00A619BB"/>
    <w:rsid w:val="00A65961"/>
    <w:rsid w:val="00A73825"/>
    <w:rsid w:val="00A818CD"/>
    <w:rsid w:val="00A829B4"/>
    <w:rsid w:val="00A83AA5"/>
    <w:rsid w:val="00A840D6"/>
    <w:rsid w:val="00A863E3"/>
    <w:rsid w:val="00A94DF3"/>
    <w:rsid w:val="00A95864"/>
    <w:rsid w:val="00A97850"/>
    <w:rsid w:val="00AA048F"/>
    <w:rsid w:val="00AA4BBE"/>
    <w:rsid w:val="00AA4DDE"/>
    <w:rsid w:val="00AB01E3"/>
    <w:rsid w:val="00AB218D"/>
    <w:rsid w:val="00AB3A92"/>
    <w:rsid w:val="00AB478B"/>
    <w:rsid w:val="00AB4AD9"/>
    <w:rsid w:val="00AB5DC5"/>
    <w:rsid w:val="00AC5805"/>
    <w:rsid w:val="00AC6F98"/>
    <w:rsid w:val="00AD6E77"/>
    <w:rsid w:val="00AD7A25"/>
    <w:rsid w:val="00AE0417"/>
    <w:rsid w:val="00AE3FB4"/>
    <w:rsid w:val="00AE5149"/>
    <w:rsid w:val="00AE6EEE"/>
    <w:rsid w:val="00AF0384"/>
    <w:rsid w:val="00AF3A5A"/>
    <w:rsid w:val="00AF519F"/>
    <w:rsid w:val="00AF5218"/>
    <w:rsid w:val="00AF62DC"/>
    <w:rsid w:val="00AF7589"/>
    <w:rsid w:val="00B04801"/>
    <w:rsid w:val="00B0480E"/>
    <w:rsid w:val="00B1026A"/>
    <w:rsid w:val="00B13DBF"/>
    <w:rsid w:val="00B21166"/>
    <w:rsid w:val="00B21E9C"/>
    <w:rsid w:val="00B263AE"/>
    <w:rsid w:val="00B456E6"/>
    <w:rsid w:val="00B47091"/>
    <w:rsid w:val="00B5174E"/>
    <w:rsid w:val="00B62134"/>
    <w:rsid w:val="00B62C3E"/>
    <w:rsid w:val="00B645DE"/>
    <w:rsid w:val="00B65857"/>
    <w:rsid w:val="00B66698"/>
    <w:rsid w:val="00B73534"/>
    <w:rsid w:val="00B745DC"/>
    <w:rsid w:val="00B74AEF"/>
    <w:rsid w:val="00B84350"/>
    <w:rsid w:val="00B855A6"/>
    <w:rsid w:val="00B87A78"/>
    <w:rsid w:val="00B91098"/>
    <w:rsid w:val="00B91904"/>
    <w:rsid w:val="00B92735"/>
    <w:rsid w:val="00B969ED"/>
    <w:rsid w:val="00B978D4"/>
    <w:rsid w:val="00BA0728"/>
    <w:rsid w:val="00BB0D90"/>
    <w:rsid w:val="00BB1D7D"/>
    <w:rsid w:val="00BB3A1C"/>
    <w:rsid w:val="00BB60C6"/>
    <w:rsid w:val="00BB7160"/>
    <w:rsid w:val="00BB7984"/>
    <w:rsid w:val="00BC29CA"/>
    <w:rsid w:val="00BC6A06"/>
    <w:rsid w:val="00BC6D7D"/>
    <w:rsid w:val="00BD11B4"/>
    <w:rsid w:val="00BD137C"/>
    <w:rsid w:val="00BD1EE8"/>
    <w:rsid w:val="00BE2FA3"/>
    <w:rsid w:val="00BE73C0"/>
    <w:rsid w:val="00BF0749"/>
    <w:rsid w:val="00BF5C17"/>
    <w:rsid w:val="00BF78A5"/>
    <w:rsid w:val="00C01F15"/>
    <w:rsid w:val="00C03596"/>
    <w:rsid w:val="00C04FA8"/>
    <w:rsid w:val="00C06CFE"/>
    <w:rsid w:val="00C10105"/>
    <w:rsid w:val="00C104A7"/>
    <w:rsid w:val="00C12DAD"/>
    <w:rsid w:val="00C15A13"/>
    <w:rsid w:val="00C238D9"/>
    <w:rsid w:val="00C24A9D"/>
    <w:rsid w:val="00C2677E"/>
    <w:rsid w:val="00C31542"/>
    <w:rsid w:val="00C31A85"/>
    <w:rsid w:val="00C327EA"/>
    <w:rsid w:val="00C365A5"/>
    <w:rsid w:val="00C467A7"/>
    <w:rsid w:val="00C54BD9"/>
    <w:rsid w:val="00C6078D"/>
    <w:rsid w:val="00C60CB0"/>
    <w:rsid w:val="00C6158F"/>
    <w:rsid w:val="00C623B9"/>
    <w:rsid w:val="00C657CF"/>
    <w:rsid w:val="00C7780F"/>
    <w:rsid w:val="00C80D62"/>
    <w:rsid w:val="00C9159E"/>
    <w:rsid w:val="00C96BFD"/>
    <w:rsid w:val="00CA09EE"/>
    <w:rsid w:val="00CA346A"/>
    <w:rsid w:val="00CA5358"/>
    <w:rsid w:val="00CB60CE"/>
    <w:rsid w:val="00CC3749"/>
    <w:rsid w:val="00CC53EC"/>
    <w:rsid w:val="00CD196A"/>
    <w:rsid w:val="00CD502A"/>
    <w:rsid w:val="00CD7555"/>
    <w:rsid w:val="00CE008C"/>
    <w:rsid w:val="00CE1700"/>
    <w:rsid w:val="00CE4BDE"/>
    <w:rsid w:val="00CF11AC"/>
    <w:rsid w:val="00CF12CF"/>
    <w:rsid w:val="00D011F8"/>
    <w:rsid w:val="00D02F0C"/>
    <w:rsid w:val="00D060D2"/>
    <w:rsid w:val="00D12E1B"/>
    <w:rsid w:val="00D14394"/>
    <w:rsid w:val="00D16583"/>
    <w:rsid w:val="00D17D21"/>
    <w:rsid w:val="00D228A8"/>
    <w:rsid w:val="00D242CD"/>
    <w:rsid w:val="00D26B63"/>
    <w:rsid w:val="00D324F3"/>
    <w:rsid w:val="00D341C3"/>
    <w:rsid w:val="00D4042E"/>
    <w:rsid w:val="00D42843"/>
    <w:rsid w:val="00D45DDE"/>
    <w:rsid w:val="00D5152A"/>
    <w:rsid w:val="00D52371"/>
    <w:rsid w:val="00D52960"/>
    <w:rsid w:val="00D64174"/>
    <w:rsid w:val="00D65145"/>
    <w:rsid w:val="00D6781E"/>
    <w:rsid w:val="00D74314"/>
    <w:rsid w:val="00D77EE6"/>
    <w:rsid w:val="00D8191F"/>
    <w:rsid w:val="00D86411"/>
    <w:rsid w:val="00D92505"/>
    <w:rsid w:val="00D94BE7"/>
    <w:rsid w:val="00DA267C"/>
    <w:rsid w:val="00DA3BC1"/>
    <w:rsid w:val="00DA5101"/>
    <w:rsid w:val="00DA79EF"/>
    <w:rsid w:val="00DB0C0B"/>
    <w:rsid w:val="00DB3B74"/>
    <w:rsid w:val="00DC306F"/>
    <w:rsid w:val="00DC352F"/>
    <w:rsid w:val="00DC5870"/>
    <w:rsid w:val="00DC71BF"/>
    <w:rsid w:val="00DD0384"/>
    <w:rsid w:val="00DD0901"/>
    <w:rsid w:val="00DD2576"/>
    <w:rsid w:val="00DD3BD0"/>
    <w:rsid w:val="00DD3DD8"/>
    <w:rsid w:val="00DE16B6"/>
    <w:rsid w:val="00DE36CA"/>
    <w:rsid w:val="00DE4E1D"/>
    <w:rsid w:val="00DE7E63"/>
    <w:rsid w:val="00DF1824"/>
    <w:rsid w:val="00DF2911"/>
    <w:rsid w:val="00E01E02"/>
    <w:rsid w:val="00E031A2"/>
    <w:rsid w:val="00E1071E"/>
    <w:rsid w:val="00E10BEC"/>
    <w:rsid w:val="00E11418"/>
    <w:rsid w:val="00E24D3C"/>
    <w:rsid w:val="00E25FC5"/>
    <w:rsid w:val="00E26108"/>
    <w:rsid w:val="00E26D66"/>
    <w:rsid w:val="00E32340"/>
    <w:rsid w:val="00E367C5"/>
    <w:rsid w:val="00E37E71"/>
    <w:rsid w:val="00E42847"/>
    <w:rsid w:val="00E45F25"/>
    <w:rsid w:val="00E46064"/>
    <w:rsid w:val="00E5112E"/>
    <w:rsid w:val="00E522BA"/>
    <w:rsid w:val="00E57F71"/>
    <w:rsid w:val="00E604A1"/>
    <w:rsid w:val="00E6055C"/>
    <w:rsid w:val="00E646AB"/>
    <w:rsid w:val="00E70D81"/>
    <w:rsid w:val="00E73AA8"/>
    <w:rsid w:val="00E7404B"/>
    <w:rsid w:val="00E7434E"/>
    <w:rsid w:val="00E776D3"/>
    <w:rsid w:val="00E80078"/>
    <w:rsid w:val="00E80228"/>
    <w:rsid w:val="00E81131"/>
    <w:rsid w:val="00E83FB3"/>
    <w:rsid w:val="00E84D4A"/>
    <w:rsid w:val="00E90106"/>
    <w:rsid w:val="00E9209B"/>
    <w:rsid w:val="00E93062"/>
    <w:rsid w:val="00E96C9C"/>
    <w:rsid w:val="00EA2ED4"/>
    <w:rsid w:val="00EA2FAD"/>
    <w:rsid w:val="00EA398C"/>
    <w:rsid w:val="00EA491A"/>
    <w:rsid w:val="00EA4FE9"/>
    <w:rsid w:val="00EB1583"/>
    <w:rsid w:val="00EB3DC3"/>
    <w:rsid w:val="00EC23FB"/>
    <w:rsid w:val="00ED164E"/>
    <w:rsid w:val="00ED1C02"/>
    <w:rsid w:val="00ED4156"/>
    <w:rsid w:val="00ED5A5B"/>
    <w:rsid w:val="00ED74F1"/>
    <w:rsid w:val="00ED7681"/>
    <w:rsid w:val="00EE1727"/>
    <w:rsid w:val="00EE183D"/>
    <w:rsid w:val="00EE41C2"/>
    <w:rsid w:val="00EF2FA8"/>
    <w:rsid w:val="00EF320A"/>
    <w:rsid w:val="00EF5034"/>
    <w:rsid w:val="00EF63C6"/>
    <w:rsid w:val="00F034FB"/>
    <w:rsid w:val="00F036E0"/>
    <w:rsid w:val="00F05606"/>
    <w:rsid w:val="00F06661"/>
    <w:rsid w:val="00F105F5"/>
    <w:rsid w:val="00F1075A"/>
    <w:rsid w:val="00F174CA"/>
    <w:rsid w:val="00F20348"/>
    <w:rsid w:val="00F22E82"/>
    <w:rsid w:val="00F27A33"/>
    <w:rsid w:val="00F3002C"/>
    <w:rsid w:val="00F323D9"/>
    <w:rsid w:val="00F3277D"/>
    <w:rsid w:val="00F337BF"/>
    <w:rsid w:val="00F33B9E"/>
    <w:rsid w:val="00F33D14"/>
    <w:rsid w:val="00F4048B"/>
    <w:rsid w:val="00F439D6"/>
    <w:rsid w:val="00F473B6"/>
    <w:rsid w:val="00F47B4C"/>
    <w:rsid w:val="00F52E57"/>
    <w:rsid w:val="00F53E06"/>
    <w:rsid w:val="00F53EF1"/>
    <w:rsid w:val="00F54188"/>
    <w:rsid w:val="00F54CC0"/>
    <w:rsid w:val="00F60476"/>
    <w:rsid w:val="00F62CC5"/>
    <w:rsid w:val="00F652C7"/>
    <w:rsid w:val="00F727A5"/>
    <w:rsid w:val="00F7434F"/>
    <w:rsid w:val="00F75E6D"/>
    <w:rsid w:val="00F81734"/>
    <w:rsid w:val="00F82A45"/>
    <w:rsid w:val="00F847A9"/>
    <w:rsid w:val="00F94858"/>
    <w:rsid w:val="00F94FB9"/>
    <w:rsid w:val="00FA2ABA"/>
    <w:rsid w:val="00FA2C9F"/>
    <w:rsid w:val="00FA3CED"/>
    <w:rsid w:val="00FA5CC1"/>
    <w:rsid w:val="00FA5FE9"/>
    <w:rsid w:val="00FA67D2"/>
    <w:rsid w:val="00FB0D3A"/>
    <w:rsid w:val="00FB1D6D"/>
    <w:rsid w:val="00FB302F"/>
    <w:rsid w:val="00FB445C"/>
    <w:rsid w:val="00FB5A92"/>
    <w:rsid w:val="00FC0B60"/>
    <w:rsid w:val="00FC1C69"/>
    <w:rsid w:val="00FC3739"/>
    <w:rsid w:val="00FD007B"/>
    <w:rsid w:val="00FD2907"/>
    <w:rsid w:val="00FD2EF2"/>
    <w:rsid w:val="00FE5AD9"/>
    <w:rsid w:val="00FE7411"/>
    <w:rsid w:val="00FE7A33"/>
    <w:rsid w:val="00FE7D1F"/>
    <w:rsid w:val="00FF1E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54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5F1CC4"/>
    <w:pPr>
      <w:keepLines/>
      <w:spacing w:before="240"/>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C467A7"/>
    <w:pPr>
      <w:keepNext/>
      <w:spacing w:before="480"/>
      <w:contextualSpacing/>
      <w:outlineLvl w:val="1"/>
    </w:pPr>
    <w:rPr>
      <w:rFonts w:cs="Arial"/>
      <w:b/>
      <w:bCs/>
      <w:iCs/>
      <w:color w:val="1F546B"/>
      <w:sz w:val="36"/>
      <w:szCs w:val="28"/>
    </w:rPr>
  </w:style>
  <w:style w:type="paragraph" w:styleId="Heading3">
    <w:name w:val="heading 3"/>
    <w:basedOn w:val="Normal"/>
    <w:next w:val="Normal"/>
    <w:link w:val="Heading3Char"/>
    <w:qFormat/>
    <w:rsid w:val="00F33B9E"/>
    <w:pPr>
      <w:keepNext/>
      <w:spacing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qFormat/>
    <w:rsid w:val="005F1CC4"/>
    <w:pPr>
      <w:numPr>
        <w:numId w:val="5"/>
      </w:numPr>
      <w:spacing w:before="80" w:after="80"/>
      <w:ind w:left="924" w:hanging="357"/>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C467A7"/>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F33B9E"/>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semiHidden/>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paragraph" w:styleId="CommentText">
    <w:name w:val="annotation text"/>
    <w:basedOn w:val="Normal"/>
    <w:link w:val="CommentTextChar"/>
    <w:uiPriority w:val="99"/>
    <w:semiHidden/>
    <w:unhideWhenUsed/>
    <w:rsid w:val="002D08DF"/>
    <w:rPr>
      <w:sz w:val="20"/>
      <w:szCs w:val="20"/>
    </w:rPr>
  </w:style>
  <w:style w:type="character" w:customStyle="1" w:styleId="CommentTextChar">
    <w:name w:val="Comment Text Char"/>
    <w:basedOn w:val="DefaultParagraphFont"/>
    <w:link w:val="CommentText"/>
    <w:uiPriority w:val="99"/>
    <w:semiHidden/>
    <w:rsid w:val="002D08DF"/>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D08DF"/>
    <w:rPr>
      <w:b/>
      <w:bCs/>
    </w:rPr>
  </w:style>
  <w:style w:type="character" w:customStyle="1" w:styleId="CommentSubjectChar">
    <w:name w:val="Comment Subject Char"/>
    <w:basedOn w:val="CommentTextChar"/>
    <w:link w:val="CommentSubject"/>
    <w:uiPriority w:val="99"/>
    <w:semiHidden/>
    <w:rsid w:val="002D08DF"/>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5F1CC4"/>
    <w:pPr>
      <w:keepLines/>
      <w:spacing w:before="240"/>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C467A7"/>
    <w:pPr>
      <w:keepNext/>
      <w:spacing w:before="480"/>
      <w:contextualSpacing/>
      <w:outlineLvl w:val="1"/>
    </w:pPr>
    <w:rPr>
      <w:rFonts w:cs="Arial"/>
      <w:b/>
      <w:bCs/>
      <w:iCs/>
      <w:color w:val="1F546B"/>
      <w:sz w:val="36"/>
      <w:szCs w:val="28"/>
    </w:rPr>
  </w:style>
  <w:style w:type="paragraph" w:styleId="Heading3">
    <w:name w:val="heading 3"/>
    <w:basedOn w:val="Normal"/>
    <w:next w:val="Normal"/>
    <w:link w:val="Heading3Char"/>
    <w:qFormat/>
    <w:rsid w:val="00F33B9E"/>
    <w:pPr>
      <w:keepNext/>
      <w:spacing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qFormat/>
    <w:rsid w:val="005F1CC4"/>
    <w:pPr>
      <w:numPr>
        <w:numId w:val="5"/>
      </w:numPr>
      <w:spacing w:before="80" w:after="80"/>
      <w:ind w:left="924" w:hanging="357"/>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C467A7"/>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F33B9E"/>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semiHidden/>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paragraph" w:styleId="CommentText">
    <w:name w:val="annotation text"/>
    <w:basedOn w:val="Normal"/>
    <w:link w:val="CommentTextChar"/>
    <w:uiPriority w:val="99"/>
    <w:semiHidden/>
    <w:unhideWhenUsed/>
    <w:rsid w:val="002D08DF"/>
    <w:rPr>
      <w:sz w:val="20"/>
      <w:szCs w:val="20"/>
    </w:rPr>
  </w:style>
  <w:style w:type="character" w:customStyle="1" w:styleId="CommentTextChar">
    <w:name w:val="Comment Text Char"/>
    <w:basedOn w:val="DefaultParagraphFont"/>
    <w:link w:val="CommentText"/>
    <w:uiPriority w:val="99"/>
    <w:semiHidden/>
    <w:rsid w:val="002D08DF"/>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D08DF"/>
    <w:rPr>
      <w:b/>
      <w:bCs/>
    </w:rPr>
  </w:style>
  <w:style w:type="character" w:customStyle="1" w:styleId="CommentSubjectChar">
    <w:name w:val="Comment Subject Char"/>
    <w:basedOn w:val="CommentTextChar"/>
    <w:link w:val="CommentSubject"/>
    <w:uiPriority w:val="99"/>
    <w:semiHidden/>
    <w:rsid w:val="002D08DF"/>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2510">
      <w:bodyDiv w:val="1"/>
      <w:marLeft w:val="0"/>
      <w:marRight w:val="0"/>
      <w:marTop w:val="0"/>
      <w:marBottom w:val="0"/>
      <w:divBdr>
        <w:top w:val="none" w:sz="0" w:space="0" w:color="auto"/>
        <w:left w:val="none" w:sz="0" w:space="0" w:color="auto"/>
        <w:bottom w:val="none" w:sz="0" w:space="0" w:color="auto"/>
        <w:right w:val="none" w:sz="0" w:space="0" w:color="auto"/>
      </w:divBdr>
    </w:div>
    <w:div w:id="1135756543">
      <w:bodyDiv w:val="1"/>
      <w:marLeft w:val="0"/>
      <w:marRight w:val="0"/>
      <w:marTop w:val="0"/>
      <w:marBottom w:val="0"/>
      <w:divBdr>
        <w:top w:val="none" w:sz="0" w:space="0" w:color="auto"/>
        <w:left w:val="none" w:sz="0" w:space="0" w:color="auto"/>
        <w:bottom w:val="none" w:sz="0" w:space="0" w:color="auto"/>
        <w:right w:val="none" w:sz="0" w:space="0" w:color="auto"/>
      </w:divBdr>
      <w:divsChild>
        <w:div w:id="1188254127">
          <w:marLeft w:val="0"/>
          <w:marRight w:val="0"/>
          <w:marTop w:val="0"/>
          <w:marBottom w:val="0"/>
          <w:divBdr>
            <w:top w:val="none" w:sz="0" w:space="0" w:color="auto"/>
            <w:left w:val="none" w:sz="0" w:space="0" w:color="auto"/>
            <w:bottom w:val="none" w:sz="0" w:space="0" w:color="auto"/>
            <w:right w:val="none" w:sz="0" w:space="0" w:color="auto"/>
          </w:divBdr>
          <w:divsChild>
            <w:div w:id="1767383074">
              <w:marLeft w:val="0"/>
              <w:marRight w:val="0"/>
              <w:marTop w:val="0"/>
              <w:marBottom w:val="0"/>
              <w:divBdr>
                <w:top w:val="none" w:sz="0" w:space="0" w:color="auto"/>
                <w:left w:val="none" w:sz="0" w:space="0" w:color="auto"/>
                <w:bottom w:val="none" w:sz="0" w:space="0" w:color="auto"/>
                <w:right w:val="none" w:sz="0" w:space="0" w:color="auto"/>
              </w:divBdr>
              <w:divsChild>
                <w:div w:id="479882203">
                  <w:marLeft w:val="0"/>
                  <w:marRight w:val="0"/>
                  <w:marTop w:val="105"/>
                  <w:marBottom w:val="0"/>
                  <w:divBdr>
                    <w:top w:val="none" w:sz="0" w:space="0" w:color="auto"/>
                    <w:left w:val="none" w:sz="0" w:space="0" w:color="auto"/>
                    <w:bottom w:val="none" w:sz="0" w:space="0" w:color="auto"/>
                    <w:right w:val="none" w:sz="0" w:space="0" w:color="auto"/>
                  </w:divBdr>
                  <w:divsChild>
                    <w:div w:id="1923224468">
                      <w:marLeft w:val="450"/>
                      <w:marRight w:val="225"/>
                      <w:marTop w:val="0"/>
                      <w:marBottom w:val="0"/>
                      <w:divBdr>
                        <w:top w:val="none" w:sz="0" w:space="0" w:color="auto"/>
                        <w:left w:val="none" w:sz="0" w:space="0" w:color="auto"/>
                        <w:bottom w:val="none" w:sz="0" w:space="0" w:color="auto"/>
                        <w:right w:val="none" w:sz="0" w:space="0" w:color="auto"/>
                      </w:divBdr>
                      <w:divsChild>
                        <w:div w:id="85349675">
                          <w:marLeft w:val="0"/>
                          <w:marRight w:val="0"/>
                          <w:marTop w:val="0"/>
                          <w:marBottom w:val="600"/>
                          <w:divBdr>
                            <w:top w:val="single" w:sz="6" w:space="0" w:color="314664"/>
                            <w:left w:val="single" w:sz="6" w:space="0" w:color="314664"/>
                            <w:bottom w:val="single" w:sz="6" w:space="0" w:color="314664"/>
                            <w:right w:val="single" w:sz="6" w:space="0" w:color="314664"/>
                          </w:divBdr>
                          <w:divsChild>
                            <w:div w:id="1380745041">
                              <w:marLeft w:val="0"/>
                              <w:marRight w:val="0"/>
                              <w:marTop w:val="0"/>
                              <w:marBottom w:val="0"/>
                              <w:divBdr>
                                <w:top w:val="none" w:sz="0" w:space="0" w:color="auto"/>
                                <w:left w:val="none" w:sz="0" w:space="0" w:color="auto"/>
                                <w:bottom w:val="none" w:sz="0" w:space="0" w:color="auto"/>
                                <w:right w:val="none" w:sz="0" w:space="0" w:color="auto"/>
                              </w:divBdr>
                              <w:divsChild>
                                <w:div w:id="1514298560">
                                  <w:marLeft w:val="0"/>
                                  <w:marRight w:val="0"/>
                                  <w:marTop w:val="0"/>
                                  <w:marBottom w:val="0"/>
                                  <w:divBdr>
                                    <w:top w:val="none" w:sz="0" w:space="0" w:color="auto"/>
                                    <w:left w:val="none" w:sz="0" w:space="0" w:color="auto"/>
                                    <w:bottom w:val="none" w:sz="0" w:space="0" w:color="auto"/>
                                    <w:right w:val="none" w:sz="0" w:space="0" w:color="auto"/>
                                  </w:divBdr>
                                  <w:divsChild>
                                    <w:div w:id="1479423516">
                                      <w:marLeft w:val="0"/>
                                      <w:marRight w:val="0"/>
                                      <w:marTop w:val="0"/>
                                      <w:marBottom w:val="0"/>
                                      <w:divBdr>
                                        <w:top w:val="none" w:sz="0" w:space="0" w:color="auto"/>
                                        <w:left w:val="none" w:sz="0" w:space="0" w:color="auto"/>
                                        <w:bottom w:val="none" w:sz="0" w:space="0" w:color="auto"/>
                                        <w:right w:val="none" w:sz="0" w:space="0" w:color="auto"/>
                                      </w:divBdr>
                                      <w:divsChild>
                                        <w:div w:id="370500033">
                                          <w:marLeft w:val="0"/>
                                          <w:marRight w:val="0"/>
                                          <w:marTop w:val="0"/>
                                          <w:marBottom w:val="0"/>
                                          <w:divBdr>
                                            <w:top w:val="none" w:sz="0" w:space="0" w:color="auto"/>
                                            <w:left w:val="none" w:sz="0" w:space="0" w:color="auto"/>
                                            <w:bottom w:val="none" w:sz="0" w:space="0" w:color="auto"/>
                                            <w:right w:val="none" w:sz="0" w:space="0" w:color="auto"/>
                                          </w:divBdr>
                                          <w:divsChild>
                                            <w:div w:id="1904172603">
                                              <w:marLeft w:val="0"/>
                                              <w:marRight w:val="0"/>
                                              <w:marTop w:val="0"/>
                                              <w:marBottom w:val="0"/>
                                              <w:divBdr>
                                                <w:top w:val="none" w:sz="0" w:space="0" w:color="auto"/>
                                                <w:left w:val="none" w:sz="0" w:space="0" w:color="auto"/>
                                                <w:bottom w:val="none" w:sz="0" w:space="0" w:color="auto"/>
                                                <w:right w:val="none" w:sz="0" w:space="0" w:color="auto"/>
                                              </w:divBdr>
                                              <w:divsChild>
                                                <w:div w:id="958755037">
                                                  <w:marLeft w:val="0"/>
                                                  <w:marRight w:val="0"/>
                                                  <w:marTop w:val="0"/>
                                                  <w:marBottom w:val="0"/>
                                                  <w:divBdr>
                                                    <w:top w:val="none" w:sz="0" w:space="0" w:color="auto"/>
                                                    <w:left w:val="none" w:sz="0" w:space="0" w:color="auto"/>
                                                    <w:bottom w:val="none" w:sz="0" w:space="0" w:color="auto"/>
                                                    <w:right w:val="none" w:sz="0" w:space="0" w:color="auto"/>
                                                  </w:divBdr>
                                                  <w:divsChild>
                                                    <w:div w:id="1568951469">
                                                      <w:marLeft w:val="0"/>
                                                      <w:marRight w:val="0"/>
                                                      <w:marTop w:val="0"/>
                                                      <w:marBottom w:val="0"/>
                                                      <w:divBdr>
                                                        <w:top w:val="none" w:sz="0" w:space="0" w:color="auto"/>
                                                        <w:left w:val="none" w:sz="0" w:space="0" w:color="auto"/>
                                                        <w:bottom w:val="none" w:sz="0" w:space="0" w:color="auto"/>
                                                        <w:right w:val="none" w:sz="0" w:space="0" w:color="auto"/>
                                                      </w:divBdr>
                                                      <w:divsChild>
                                                        <w:div w:id="1578051015">
                                                          <w:marLeft w:val="0"/>
                                                          <w:marRight w:val="0"/>
                                                          <w:marTop w:val="0"/>
                                                          <w:marBottom w:val="0"/>
                                                          <w:divBdr>
                                                            <w:top w:val="none" w:sz="0" w:space="0" w:color="auto"/>
                                                            <w:left w:val="none" w:sz="0" w:space="0" w:color="auto"/>
                                                            <w:bottom w:val="none" w:sz="0" w:space="0" w:color="auto"/>
                                                            <w:right w:val="none" w:sz="0" w:space="0" w:color="auto"/>
                                                          </w:divBdr>
                                                          <w:divsChild>
                                                            <w:div w:id="1957178270">
                                                              <w:marLeft w:val="0"/>
                                                              <w:marRight w:val="0"/>
                                                              <w:marTop w:val="83"/>
                                                              <w:marBottom w:val="0"/>
                                                              <w:divBdr>
                                                                <w:top w:val="none" w:sz="0" w:space="0" w:color="auto"/>
                                                                <w:left w:val="none" w:sz="0" w:space="0" w:color="auto"/>
                                                                <w:bottom w:val="none" w:sz="0" w:space="0" w:color="auto"/>
                                                                <w:right w:val="none" w:sz="0" w:space="0" w:color="auto"/>
                                                              </w:divBdr>
                                                              <w:divsChild>
                                                                <w:div w:id="605307438">
                                                                  <w:marLeft w:val="0"/>
                                                                  <w:marRight w:val="0"/>
                                                                  <w:marTop w:val="0"/>
                                                                  <w:marBottom w:val="0"/>
                                                                  <w:divBdr>
                                                                    <w:top w:val="none" w:sz="0" w:space="0" w:color="auto"/>
                                                                    <w:left w:val="none" w:sz="0" w:space="0" w:color="auto"/>
                                                                    <w:bottom w:val="none" w:sz="0" w:space="0" w:color="auto"/>
                                                                    <w:right w:val="none" w:sz="0" w:space="0" w:color="auto"/>
                                                                  </w:divBdr>
                                                                  <w:divsChild>
                                                                    <w:div w:id="582841900">
                                                                      <w:marLeft w:val="0"/>
                                                                      <w:marRight w:val="0"/>
                                                                      <w:marTop w:val="83"/>
                                                                      <w:marBottom w:val="0"/>
                                                                      <w:divBdr>
                                                                        <w:top w:val="none" w:sz="0" w:space="0" w:color="auto"/>
                                                                        <w:left w:val="none" w:sz="0" w:space="0" w:color="auto"/>
                                                                        <w:bottom w:val="none" w:sz="0" w:space="0" w:color="auto"/>
                                                                        <w:right w:val="none" w:sz="0" w:space="0" w:color="auto"/>
                                                                      </w:divBdr>
                                                                      <w:divsChild>
                                                                        <w:div w:id="670333064">
                                                                          <w:marLeft w:val="0"/>
                                                                          <w:marRight w:val="0"/>
                                                                          <w:marTop w:val="0"/>
                                                                          <w:marBottom w:val="0"/>
                                                                          <w:divBdr>
                                                                            <w:top w:val="none" w:sz="0" w:space="0" w:color="auto"/>
                                                                            <w:left w:val="none" w:sz="0" w:space="0" w:color="auto"/>
                                                                            <w:bottom w:val="none" w:sz="0" w:space="0" w:color="auto"/>
                                                                            <w:right w:val="none" w:sz="0" w:space="0" w:color="auto"/>
                                                                          </w:divBdr>
                                                                          <w:divsChild>
                                                                            <w:div w:id="1909267455">
                                                                              <w:marLeft w:val="0"/>
                                                                              <w:marRight w:val="0"/>
                                                                              <w:marTop w:val="83"/>
                                                                              <w:marBottom w:val="0"/>
                                                                              <w:divBdr>
                                                                                <w:top w:val="none" w:sz="0" w:space="0" w:color="auto"/>
                                                                                <w:left w:val="none" w:sz="0" w:space="0" w:color="auto"/>
                                                                                <w:bottom w:val="none" w:sz="0" w:space="0" w:color="auto"/>
                                                                                <w:right w:val="none" w:sz="0" w:space="0" w:color="auto"/>
                                                                              </w:divBdr>
                                                                            </w:div>
                                                                          </w:divsChild>
                                                                        </w:div>
                                                                        <w:div w:id="1851287015">
                                                                          <w:marLeft w:val="0"/>
                                                                          <w:marRight w:val="0"/>
                                                                          <w:marTop w:val="0"/>
                                                                          <w:marBottom w:val="0"/>
                                                                          <w:divBdr>
                                                                            <w:top w:val="none" w:sz="0" w:space="0" w:color="auto"/>
                                                                            <w:left w:val="none" w:sz="0" w:space="0" w:color="auto"/>
                                                                            <w:bottom w:val="none" w:sz="0" w:space="0" w:color="auto"/>
                                                                            <w:right w:val="none" w:sz="0" w:space="0" w:color="auto"/>
                                                                          </w:divBdr>
                                                                          <w:divsChild>
                                                                            <w:div w:id="818807654">
                                                                              <w:marLeft w:val="0"/>
                                                                              <w:marRight w:val="0"/>
                                                                              <w:marTop w:val="83"/>
                                                                              <w:marBottom w:val="0"/>
                                                                              <w:divBdr>
                                                                                <w:top w:val="none" w:sz="0" w:space="0" w:color="auto"/>
                                                                                <w:left w:val="none" w:sz="0" w:space="0" w:color="auto"/>
                                                                                <w:bottom w:val="none" w:sz="0" w:space="0" w:color="auto"/>
                                                                                <w:right w:val="none" w:sz="0" w:space="0" w:color="auto"/>
                                                                              </w:divBdr>
                                                                            </w:div>
                                                                          </w:divsChild>
                                                                        </w:div>
                                                                        <w:div w:id="1764645683">
                                                                          <w:marLeft w:val="0"/>
                                                                          <w:marRight w:val="0"/>
                                                                          <w:marTop w:val="0"/>
                                                                          <w:marBottom w:val="0"/>
                                                                          <w:divBdr>
                                                                            <w:top w:val="none" w:sz="0" w:space="0" w:color="auto"/>
                                                                            <w:left w:val="none" w:sz="0" w:space="0" w:color="auto"/>
                                                                            <w:bottom w:val="none" w:sz="0" w:space="0" w:color="auto"/>
                                                                            <w:right w:val="none" w:sz="0" w:space="0" w:color="auto"/>
                                                                          </w:divBdr>
                                                                          <w:divsChild>
                                                                            <w:div w:id="51972476">
                                                                              <w:marLeft w:val="0"/>
                                                                              <w:marRight w:val="0"/>
                                                                              <w:marTop w:val="83"/>
                                                                              <w:marBottom w:val="0"/>
                                                                              <w:divBdr>
                                                                                <w:top w:val="none" w:sz="0" w:space="0" w:color="auto"/>
                                                                                <w:left w:val="none" w:sz="0" w:space="0" w:color="auto"/>
                                                                                <w:bottom w:val="none" w:sz="0" w:space="0" w:color="auto"/>
                                                                                <w:right w:val="none" w:sz="0" w:space="0" w:color="auto"/>
                                                                              </w:divBdr>
                                                                            </w:div>
                                                                          </w:divsChild>
                                                                        </w:div>
                                                                        <w:div w:id="2245401">
                                                                          <w:marLeft w:val="0"/>
                                                                          <w:marRight w:val="0"/>
                                                                          <w:marTop w:val="0"/>
                                                                          <w:marBottom w:val="0"/>
                                                                          <w:divBdr>
                                                                            <w:top w:val="none" w:sz="0" w:space="0" w:color="auto"/>
                                                                            <w:left w:val="none" w:sz="0" w:space="0" w:color="auto"/>
                                                                            <w:bottom w:val="none" w:sz="0" w:space="0" w:color="auto"/>
                                                                            <w:right w:val="none" w:sz="0" w:space="0" w:color="auto"/>
                                                                          </w:divBdr>
                                                                          <w:divsChild>
                                                                            <w:div w:id="848104499">
                                                                              <w:marLeft w:val="0"/>
                                                                              <w:marRight w:val="0"/>
                                                                              <w:marTop w:val="83"/>
                                                                              <w:marBottom w:val="0"/>
                                                                              <w:divBdr>
                                                                                <w:top w:val="none" w:sz="0" w:space="0" w:color="auto"/>
                                                                                <w:left w:val="none" w:sz="0" w:space="0" w:color="auto"/>
                                                                                <w:bottom w:val="none" w:sz="0" w:space="0" w:color="auto"/>
                                                                                <w:right w:val="none" w:sz="0" w:space="0" w:color="auto"/>
                                                                              </w:divBdr>
                                                                              <w:divsChild>
                                                                                <w:div w:id="1988170737">
                                                                                  <w:marLeft w:val="0"/>
                                                                                  <w:marRight w:val="0"/>
                                                                                  <w:marTop w:val="0"/>
                                                                                  <w:marBottom w:val="0"/>
                                                                                  <w:divBdr>
                                                                                    <w:top w:val="none" w:sz="0" w:space="0" w:color="auto"/>
                                                                                    <w:left w:val="none" w:sz="0" w:space="0" w:color="auto"/>
                                                                                    <w:bottom w:val="none" w:sz="0" w:space="0" w:color="auto"/>
                                                                                    <w:right w:val="none" w:sz="0" w:space="0" w:color="auto"/>
                                                                                  </w:divBdr>
                                                                                  <w:divsChild>
                                                                                    <w:div w:id="1649823169">
                                                                                      <w:marLeft w:val="0"/>
                                                                                      <w:marRight w:val="0"/>
                                                                                      <w:marTop w:val="83"/>
                                                                                      <w:marBottom w:val="0"/>
                                                                                      <w:divBdr>
                                                                                        <w:top w:val="none" w:sz="0" w:space="0" w:color="auto"/>
                                                                                        <w:left w:val="none" w:sz="0" w:space="0" w:color="auto"/>
                                                                                        <w:bottom w:val="none" w:sz="0" w:space="0" w:color="auto"/>
                                                                                        <w:right w:val="none" w:sz="0" w:space="0" w:color="auto"/>
                                                                                      </w:divBdr>
                                                                                    </w:div>
                                                                                  </w:divsChild>
                                                                                </w:div>
                                                                                <w:div w:id="479151124">
                                                                                  <w:marLeft w:val="0"/>
                                                                                  <w:marRight w:val="0"/>
                                                                                  <w:marTop w:val="0"/>
                                                                                  <w:marBottom w:val="0"/>
                                                                                  <w:divBdr>
                                                                                    <w:top w:val="none" w:sz="0" w:space="0" w:color="auto"/>
                                                                                    <w:left w:val="none" w:sz="0" w:space="0" w:color="auto"/>
                                                                                    <w:bottom w:val="none" w:sz="0" w:space="0" w:color="auto"/>
                                                                                    <w:right w:val="none" w:sz="0" w:space="0" w:color="auto"/>
                                                                                  </w:divBdr>
                                                                                  <w:divsChild>
                                                                                    <w:div w:id="30616376">
                                                                                      <w:marLeft w:val="0"/>
                                                                                      <w:marRight w:val="0"/>
                                                                                      <w:marTop w:val="83"/>
                                                                                      <w:marBottom w:val="0"/>
                                                                                      <w:divBdr>
                                                                                        <w:top w:val="none" w:sz="0" w:space="0" w:color="auto"/>
                                                                                        <w:left w:val="none" w:sz="0" w:space="0" w:color="auto"/>
                                                                                        <w:bottom w:val="none" w:sz="0" w:space="0" w:color="auto"/>
                                                                                        <w:right w:val="none" w:sz="0" w:space="0" w:color="auto"/>
                                                                                      </w:divBdr>
                                                                                    </w:div>
                                                                                  </w:divsChild>
                                                                                </w:div>
                                                                                <w:div w:id="930116454">
                                                                                  <w:marLeft w:val="0"/>
                                                                                  <w:marRight w:val="0"/>
                                                                                  <w:marTop w:val="0"/>
                                                                                  <w:marBottom w:val="0"/>
                                                                                  <w:divBdr>
                                                                                    <w:top w:val="none" w:sz="0" w:space="0" w:color="auto"/>
                                                                                    <w:left w:val="none" w:sz="0" w:space="0" w:color="auto"/>
                                                                                    <w:bottom w:val="none" w:sz="0" w:space="0" w:color="auto"/>
                                                                                    <w:right w:val="none" w:sz="0" w:space="0" w:color="auto"/>
                                                                                  </w:divBdr>
                                                                                  <w:divsChild>
                                                                                    <w:div w:id="130882493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214307">
      <w:bodyDiv w:val="1"/>
      <w:marLeft w:val="0"/>
      <w:marRight w:val="0"/>
      <w:marTop w:val="0"/>
      <w:marBottom w:val="0"/>
      <w:divBdr>
        <w:top w:val="none" w:sz="0" w:space="0" w:color="auto"/>
        <w:left w:val="none" w:sz="0" w:space="0" w:color="auto"/>
        <w:bottom w:val="none" w:sz="0" w:space="0" w:color="auto"/>
        <w:right w:val="none" w:sz="0" w:space="0" w:color="auto"/>
      </w:divBdr>
      <w:divsChild>
        <w:div w:id="1438403261">
          <w:marLeft w:val="0"/>
          <w:marRight w:val="0"/>
          <w:marTop w:val="0"/>
          <w:marBottom w:val="0"/>
          <w:divBdr>
            <w:top w:val="none" w:sz="0" w:space="0" w:color="auto"/>
            <w:left w:val="none" w:sz="0" w:space="0" w:color="auto"/>
            <w:bottom w:val="none" w:sz="0" w:space="0" w:color="auto"/>
            <w:right w:val="none" w:sz="0" w:space="0" w:color="auto"/>
          </w:divBdr>
          <w:divsChild>
            <w:div w:id="954362423">
              <w:marLeft w:val="0"/>
              <w:marRight w:val="0"/>
              <w:marTop w:val="0"/>
              <w:marBottom w:val="0"/>
              <w:divBdr>
                <w:top w:val="none" w:sz="0" w:space="0" w:color="auto"/>
                <w:left w:val="none" w:sz="0" w:space="0" w:color="auto"/>
                <w:bottom w:val="none" w:sz="0" w:space="0" w:color="auto"/>
                <w:right w:val="none" w:sz="0" w:space="0" w:color="auto"/>
              </w:divBdr>
              <w:divsChild>
                <w:div w:id="5904647">
                  <w:marLeft w:val="0"/>
                  <w:marRight w:val="0"/>
                  <w:marTop w:val="105"/>
                  <w:marBottom w:val="0"/>
                  <w:divBdr>
                    <w:top w:val="none" w:sz="0" w:space="0" w:color="auto"/>
                    <w:left w:val="none" w:sz="0" w:space="0" w:color="auto"/>
                    <w:bottom w:val="none" w:sz="0" w:space="0" w:color="auto"/>
                    <w:right w:val="none" w:sz="0" w:space="0" w:color="auto"/>
                  </w:divBdr>
                  <w:divsChild>
                    <w:div w:id="1270435375">
                      <w:marLeft w:val="450"/>
                      <w:marRight w:val="225"/>
                      <w:marTop w:val="0"/>
                      <w:marBottom w:val="0"/>
                      <w:divBdr>
                        <w:top w:val="none" w:sz="0" w:space="0" w:color="auto"/>
                        <w:left w:val="none" w:sz="0" w:space="0" w:color="auto"/>
                        <w:bottom w:val="none" w:sz="0" w:space="0" w:color="auto"/>
                        <w:right w:val="none" w:sz="0" w:space="0" w:color="auto"/>
                      </w:divBdr>
                      <w:divsChild>
                        <w:div w:id="1567455092">
                          <w:marLeft w:val="0"/>
                          <w:marRight w:val="0"/>
                          <w:marTop w:val="0"/>
                          <w:marBottom w:val="600"/>
                          <w:divBdr>
                            <w:top w:val="single" w:sz="6" w:space="0" w:color="314664"/>
                            <w:left w:val="single" w:sz="6" w:space="0" w:color="314664"/>
                            <w:bottom w:val="single" w:sz="6" w:space="0" w:color="314664"/>
                            <w:right w:val="single" w:sz="6" w:space="0" w:color="314664"/>
                          </w:divBdr>
                          <w:divsChild>
                            <w:div w:id="1412044354">
                              <w:marLeft w:val="0"/>
                              <w:marRight w:val="0"/>
                              <w:marTop w:val="0"/>
                              <w:marBottom w:val="0"/>
                              <w:divBdr>
                                <w:top w:val="none" w:sz="0" w:space="0" w:color="auto"/>
                                <w:left w:val="none" w:sz="0" w:space="0" w:color="auto"/>
                                <w:bottom w:val="none" w:sz="0" w:space="0" w:color="auto"/>
                                <w:right w:val="none" w:sz="0" w:space="0" w:color="auto"/>
                              </w:divBdr>
                              <w:divsChild>
                                <w:div w:id="1595162213">
                                  <w:marLeft w:val="0"/>
                                  <w:marRight w:val="0"/>
                                  <w:marTop w:val="0"/>
                                  <w:marBottom w:val="0"/>
                                  <w:divBdr>
                                    <w:top w:val="none" w:sz="0" w:space="0" w:color="auto"/>
                                    <w:left w:val="none" w:sz="0" w:space="0" w:color="auto"/>
                                    <w:bottom w:val="none" w:sz="0" w:space="0" w:color="auto"/>
                                    <w:right w:val="none" w:sz="0" w:space="0" w:color="auto"/>
                                  </w:divBdr>
                                  <w:divsChild>
                                    <w:div w:id="243345226">
                                      <w:marLeft w:val="0"/>
                                      <w:marRight w:val="0"/>
                                      <w:marTop w:val="0"/>
                                      <w:marBottom w:val="0"/>
                                      <w:divBdr>
                                        <w:top w:val="none" w:sz="0" w:space="0" w:color="auto"/>
                                        <w:left w:val="none" w:sz="0" w:space="0" w:color="auto"/>
                                        <w:bottom w:val="none" w:sz="0" w:space="0" w:color="auto"/>
                                        <w:right w:val="none" w:sz="0" w:space="0" w:color="auto"/>
                                      </w:divBdr>
                                      <w:divsChild>
                                        <w:div w:id="117916240">
                                          <w:marLeft w:val="0"/>
                                          <w:marRight w:val="0"/>
                                          <w:marTop w:val="0"/>
                                          <w:marBottom w:val="0"/>
                                          <w:divBdr>
                                            <w:top w:val="none" w:sz="0" w:space="0" w:color="auto"/>
                                            <w:left w:val="none" w:sz="0" w:space="0" w:color="auto"/>
                                            <w:bottom w:val="none" w:sz="0" w:space="0" w:color="auto"/>
                                            <w:right w:val="none" w:sz="0" w:space="0" w:color="auto"/>
                                          </w:divBdr>
                                          <w:divsChild>
                                            <w:div w:id="1907714826">
                                              <w:marLeft w:val="0"/>
                                              <w:marRight w:val="0"/>
                                              <w:marTop w:val="0"/>
                                              <w:marBottom w:val="0"/>
                                              <w:divBdr>
                                                <w:top w:val="none" w:sz="0" w:space="0" w:color="auto"/>
                                                <w:left w:val="none" w:sz="0" w:space="0" w:color="auto"/>
                                                <w:bottom w:val="none" w:sz="0" w:space="0" w:color="auto"/>
                                                <w:right w:val="none" w:sz="0" w:space="0" w:color="auto"/>
                                              </w:divBdr>
                                              <w:divsChild>
                                                <w:div w:id="1930382518">
                                                  <w:marLeft w:val="0"/>
                                                  <w:marRight w:val="0"/>
                                                  <w:marTop w:val="0"/>
                                                  <w:marBottom w:val="0"/>
                                                  <w:divBdr>
                                                    <w:top w:val="none" w:sz="0" w:space="0" w:color="auto"/>
                                                    <w:left w:val="none" w:sz="0" w:space="0" w:color="auto"/>
                                                    <w:bottom w:val="none" w:sz="0" w:space="0" w:color="auto"/>
                                                    <w:right w:val="none" w:sz="0" w:space="0" w:color="auto"/>
                                                  </w:divBdr>
                                                  <w:divsChild>
                                                    <w:div w:id="639577481">
                                                      <w:marLeft w:val="0"/>
                                                      <w:marRight w:val="0"/>
                                                      <w:marTop w:val="0"/>
                                                      <w:marBottom w:val="0"/>
                                                      <w:divBdr>
                                                        <w:top w:val="none" w:sz="0" w:space="0" w:color="auto"/>
                                                        <w:left w:val="none" w:sz="0" w:space="0" w:color="auto"/>
                                                        <w:bottom w:val="none" w:sz="0" w:space="0" w:color="auto"/>
                                                        <w:right w:val="none" w:sz="0" w:space="0" w:color="auto"/>
                                                      </w:divBdr>
                                                      <w:divsChild>
                                                        <w:div w:id="1599480542">
                                                          <w:marLeft w:val="0"/>
                                                          <w:marRight w:val="0"/>
                                                          <w:marTop w:val="0"/>
                                                          <w:marBottom w:val="0"/>
                                                          <w:divBdr>
                                                            <w:top w:val="none" w:sz="0" w:space="0" w:color="auto"/>
                                                            <w:left w:val="none" w:sz="0" w:space="0" w:color="auto"/>
                                                            <w:bottom w:val="none" w:sz="0" w:space="0" w:color="auto"/>
                                                            <w:right w:val="none" w:sz="0" w:space="0" w:color="auto"/>
                                                          </w:divBdr>
                                                          <w:divsChild>
                                                            <w:div w:id="401411452">
                                                              <w:marLeft w:val="0"/>
                                                              <w:marRight w:val="0"/>
                                                              <w:marTop w:val="0"/>
                                                              <w:marBottom w:val="0"/>
                                                              <w:divBdr>
                                                                <w:top w:val="none" w:sz="0" w:space="0" w:color="auto"/>
                                                                <w:left w:val="none" w:sz="0" w:space="0" w:color="auto"/>
                                                                <w:bottom w:val="none" w:sz="0" w:space="0" w:color="auto"/>
                                                                <w:right w:val="none" w:sz="0" w:space="0" w:color="auto"/>
                                                              </w:divBdr>
                                                              <w:divsChild>
                                                                <w:div w:id="1757818764">
                                                                  <w:marLeft w:val="0"/>
                                                                  <w:marRight w:val="0"/>
                                                                  <w:marTop w:val="0"/>
                                                                  <w:marBottom w:val="0"/>
                                                                  <w:divBdr>
                                                                    <w:top w:val="none" w:sz="0" w:space="0" w:color="auto"/>
                                                                    <w:left w:val="none" w:sz="0" w:space="0" w:color="auto"/>
                                                                    <w:bottom w:val="none" w:sz="0" w:space="0" w:color="auto"/>
                                                                    <w:right w:val="none" w:sz="0" w:space="0" w:color="auto"/>
                                                                  </w:divBdr>
                                                                  <w:divsChild>
                                                                    <w:div w:id="1123622877">
                                                                      <w:marLeft w:val="0"/>
                                                                      <w:marRight w:val="0"/>
                                                                      <w:marTop w:val="83"/>
                                                                      <w:marBottom w:val="0"/>
                                                                      <w:divBdr>
                                                                        <w:top w:val="none" w:sz="0" w:space="0" w:color="auto"/>
                                                                        <w:left w:val="none" w:sz="0" w:space="0" w:color="auto"/>
                                                                        <w:bottom w:val="none" w:sz="0" w:space="0" w:color="auto"/>
                                                                        <w:right w:val="none" w:sz="0" w:space="0" w:color="auto"/>
                                                                      </w:divBdr>
                                                                      <w:divsChild>
                                                                        <w:div w:id="1565750248">
                                                                          <w:marLeft w:val="0"/>
                                                                          <w:marRight w:val="0"/>
                                                                          <w:marTop w:val="0"/>
                                                                          <w:marBottom w:val="0"/>
                                                                          <w:divBdr>
                                                                            <w:top w:val="none" w:sz="0" w:space="0" w:color="auto"/>
                                                                            <w:left w:val="none" w:sz="0" w:space="0" w:color="auto"/>
                                                                            <w:bottom w:val="none" w:sz="0" w:space="0" w:color="auto"/>
                                                                            <w:right w:val="none" w:sz="0" w:space="0" w:color="auto"/>
                                                                          </w:divBdr>
                                                                          <w:divsChild>
                                                                            <w:div w:id="128904747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FireServicesTransition@dia.govt.n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QuickStyle" Target="diagrams/quickStyle1.xml"/><Relationship Id="rId10" Type="http://schemas.openxmlformats.org/officeDocument/2006/relationships/webSettings" Target="webSettings.xml"/><Relationship Id="rId19" Type="http://schemas.openxmlformats.org/officeDocument/2006/relationships/hyperlink" Target="https://www.dia.govt.nz/Fire-Services-Transi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Documents%20-%20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DFF279-D1B5-4D7D-94EE-613A986B9936}" type="doc">
      <dgm:prSet loTypeId="urn:microsoft.com/office/officeart/2005/8/layout/chevron2" loCatId="list" qsTypeId="urn:microsoft.com/office/officeart/2005/8/quickstyle/simple1" qsCatId="simple" csTypeId="urn:microsoft.com/office/officeart/2005/8/colors/colorful3" csCatId="colorful" phldr="1"/>
      <dgm:spPr/>
      <dgm:t>
        <a:bodyPr/>
        <a:lstStyle/>
        <a:p>
          <a:endParaRPr lang="en-NZ"/>
        </a:p>
      </dgm:t>
    </dgm:pt>
    <dgm:pt modelId="{4BD52F18-F317-4A19-B1C8-6F3EEB74BBFF}">
      <dgm:prSet phldrT="[Text]" custT="1"/>
      <dgm:spPr/>
      <dgm:t>
        <a:bodyPr/>
        <a:lstStyle/>
        <a:p>
          <a:r>
            <a:rPr lang="en-NZ" sz="2000" b="1"/>
            <a:t>Current</a:t>
          </a:r>
        </a:p>
        <a:p>
          <a:r>
            <a:rPr lang="en-NZ" sz="2000" b="1"/>
            <a:t>levy regime</a:t>
          </a:r>
        </a:p>
      </dgm:t>
    </dgm:pt>
    <dgm:pt modelId="{AA59535F-A7E2-4F6F-B5B9-F15B978089CA}" type="parTrans" cxnId="{472842E8-B1BC-44AE-8A89-DF3E2248BCA9}">
      <dgm:prSet/>
      <dgm:spPr/>
      <dgm:t>
        <a:bodyPr/>
        <a:lstStyle/>
        <a:p>
          <a:endParaRPr lang="en-NZ"/>
        </a:p>
      </dgm:t>
    </dgm:pt>
    <dgm:pt modelId="{9D2418D8-5CC9-48F8-A096-EFB8AD1F058B}" type="sibTrans" cxnId="{472842E8-B1BC-44AE-8A89-DF3E2248BCA9}">
      <dgm:prSet/>
      <dgm:spPr/>
      <dgm:t>
        <a:bodyPr/>
        <a:lstStyle/>
        <a:p>
          <a:endParaRPr lang="en-NZ"/>
        </a:p>
      </dgm:t>
    </dgm:pt>
    <dgm:pt modelId="{E379A679-74FA-47D2-B63D-727BBDAFDACC}">
      <dgm:prSet phldrT="[Text]"/>
      <dgm:spPr/>
      <dgm:t>
        <a:bodyPr/>
        <a:lstStyle/>
        <a:p>
          <a:r>
            <a:rPr lang="en-NZ"/>
            <a:t>Under current legislation, fire services funded through a combination of levy (NZFS) and other sources (rural fire)</a:t>
          </a:r>
        </a:p>
      </dgm:t>
    </dgm:pt>
    <dgm:pt modelId="{240AAAED-FE83-4F80-A86D-BD1FDEE11D62}" type="parTrans" cxnId="{F27FE9DE-1BAC-490E-A2AB-2DA6B098A825}">
      <dgm:prSet/>
      <dgm:spPr/>
      <dgm:t>
        <a:bodyPr/>
        <a:lstStyle/>
        <a:p>
          <a:endParaRPr lang="en-NZ"/>
        </a:p>
      </dgm:t>
    </dgm:pt>
    <dgm:pt modelId="{86B70D94-9016-41E5-ADA7-F5EDFE8BEC2E}" type="sibTrans" cxnId="{F27FE9DE-1BAC-490E-A2AB-2DA6B098A825}">
      <dgm:prSet/>
      <dgm:spPr/>
      <dgm:t>
        <a:bodyPr/>
        <a:lstStyle/>
        <a:p>
          <a:endParaRPr lang="en-NZ"/>
        </a:p>
      </dgm:t>
    </dgm:pt>
    <dgm:pt modelId="{7F86268A-0FAC-4A59-A0DB-DBA00A8836C4}">
      <dgm:prSet phldrT="[Text]"/>
      <dgm:spPr/>
      <dgm:t>
        <a:bodyPr/>
        <a:lstStyle/>
        <a:p>
          <a:r>
            <a:rPr lang="en-NZ"/>
            <a:t>Narrower levy base: levy applies to cover for fire damage, exemptions apply to many classes of property</a:t>
          </a:r>
        </a:p>
      </dgm:t>
    </dgm:pt>
    <dgm:pt modelId="{AD3DC3EE-4A7E-46EF-A01B-4074E8544033}" type="parTrans" cxnId="{DD00F50B-DECE-4F32-86B9-69069907C928}">
      <dgm:prSet/>
      <dgm:spPr/>
      <dgm:t>
        <a:bodyPr/>
        <a:lstStyle/>
        <a:p>
          <a:endParaRPr lang="en-NZ"/>
        </a:p>
      </dgm:t>
    </dgm:pt>
    <dgm:pt modelId="{F480D85A-13EC-4249-A76B-870A49C3760F}" type="sibTrans" cxnId="{DD00F50B-DECE-4F32-86B9-69069907C928}">
      <dgm:prSet/>
      <dgm:spPr/>
      <dgm:t>
        <a:bodyPr/>
        <a:lstStyle/>
        <a:p>
          <a:endParaRPr lang="en-NZ"/>
        </a:p>
      </dgm:t>
    </dgm:pt>
    <dgm:pt modelId="{2AA2ADA6-48EE-4C29-B6BD-255398F2CEBB}">
      <dgm:prSet phldrT="[Text]" custT="1"/>
      <dgm:spPr/>
      <dgm:t>
        <a:bodyPr/>
        <a:lstStyle/>
        <a:p>
          <a:r>
            <a:rPr lang="en-NZ" sz="2000" b="1"/>
            <a:t>Transitional period</a:t>
          </a:r>
        </a:p>
      </dgm:t>
    </dgm:pt>
    <dgm:pt modelId="{A332B28B-F4B9-4356-9E17-7924D760CF08}" type="parTrans" cxnId="{4408F912-1AAB-4C44-8CED-BFBB0894E023}">
      <dgm:prSet/>
      <dgm:spPr/>
      <dgm:t>
        <a:bodyPr/>
        <a:lstStyle/>
        <a:p>
          <a:endParaRPr lang="en-NZ"/>
        </a:p>
      </dgm:t>
    </dgm:pt>
    <dgm:pt modelId="{E6BAFCA7-04C0-4659-BD56-A3973F19B641}" type="sibTrans" cxnId="{4408F912-1AAB-4C44-8CED-BFBB0894E023}">
      <dgm:prSet/>
      <dgm:spPr/>
      <dgm:t>
        <a:bodyPr/>
        <a:lstStyle/>
        <a:p>
          <a:endParaRPr lang="en-NZ"/>
        </a:p>
      </dgm:t>
    </dgm:pt>
    <dgm:pt modelId="{477FE4A5-5F8A-451F-95E3-98CF502AFF52}">
      <dgm:prSet phldrT="[Text]"/>
      <dgm:spPr/>
      <dgm:t>
        <a:bodyPr/>
        <a:lstStyle/>
        <a:p>
          <a:r>
            <a:rPr lang="en-NZ"/>
            <a:t>Fire and Emergency NZ established 1 July 2017</a:t>
          </a:r>
        </a:p>
      </dgm:t>
    </dgm:pt>
    <dgm:pt modelId="{38270816-C400-4896-B5FF-CA9F6AACEC72}" type="parTrans" cxnId="{1DAAF22B-C7A8-4858-A156-CD14573873E5}">
      <dgm:prSet/>
      <dgm:spPr/>
      <dgm:t>
        <a:bodyPr/>
        <a:lstStyle/>
        <a:p>
          <a:endParaRPr lang="en-NZ"/>
        </a:p>
      </dgm:t>
    </dgm:pt>
    <dgm:pt modelId="{61268ED9-4A81-448A-8DDC-AA5C18AAA0DB}" type="sibTrans" cxnId="{1DAAF22B-C7A8-4858-A156-CD14573873E5}">
      <dgm:prSet/>
      <dgm:spPr/>
      <dgm:t>
        <a:bodyPr/>
        <a:lstStyle/>
        <a:p>
          <a:endParaRPr lang="en-NZ"/>
        </a:p>
      </dgm:t>
    </dgm:pt>
    <dgm:pt modelId="{9EF55A7D-84ED-4403-8A81-EAAC87D3E45A}">
      <dgm:prSet phldrT="[Text]" custT="1"/>
      <dgm:spPr/>
      <dgm:t>
        <a:bodyPr/>
        <a:lstStyle/>
        <a:p>
          <a:r>
            <a:rPr lang="en-NZ" sz="2000" b="1"/>
            <a:t>New levy regime</a:t>
          </a:r>
        </a:p>
      </dgm:t>
    </dgm:pt>
    <dgm:pt modelId="{909E481C-6B57-4257-BEDB-17E81529CB27}" type="parTrans" cxnId="{A71D62F2-84A7-4A5E-97A6-A6826DFAB07B}">
      <dgm:prSet/>
      <dgm:spPr/>
      <dgm:t>
        <a:bodyPr/>
        <a:lstStyle/>
        <a:p>
          <a:endParaRPr lang="en-NZ"/>
        </a:p>
      </dgm:t>
    </dgm:pt>
    <dgm:pt modelId="{361504A8-53EB-4686-989A-C151FAC31435}" type="sibTrans" cxnId="{A71D62F2-84A7-4A5E-97A6-A6826DFAB07B}">
      <dgm:prSet/>
      <dgm:spPr/>
      <dgm:t>
        <a:bodyPr/>
        <a:lstStyle/>
        <a:p>
          <a:endParaRPr lang="en-NZ"/>
        </a:p>
      </dgm:t>
    </dgm:pt>
    <dgm:pt modelId="{D2FEAA7E-16E0-4AC3-98DF-389F8289F59B}">
      <dgm:prSet phldrT="[Text]"/>
      <dgm:spPr/>
      <dgm:t>
        <a:bodyPr/>
        <a:lstStyle/>
        <a:p>
          <a:r>
            <a:rPr lang="en-NZ"/>
            <a:t>Changes to levy regime commence on a date TBC, not earlier than 1 July 2018 and not later than 1 July 2019</a:t>
          </a:r>
        </a:p>
      </dgm:t>
    </dgm:pt>
    <dgm:pt modelId="{1FF6E69F-17F9-46C4-B8C4-0F716BD20448}" type="parTrans" cxnId="{3C08A6B2-2A99-4241-8E40-E51DDE595373}">
      <dgm:prSet/>
      <dgm:spPr/>
      <dgm:t>
        <a:bodyPr/>
        <a:lstStyle/>
        <a:p>
          <a:endParaRPr lang="en-NZ"/>
        </a:p>
      </dgm:t>
    </dgm:pt>
    <dgm:pt modelId="{278A8CE6-6DF7-4B42-83E5-ADB6F7422BEC}" type="sibTrans" cxnId="{3C08A6B2-2A99-4241-8E40-E51DDE595373}">
      <dgm:prSet/>
      <dgm:spPr/>
      <dgm:t>
        <a:bodyPr/>
        <a:lstStyle/>
        <a:p>
          <a:endParaRPr lang="en-NZ"/>
        </a:p>
      </dgm:t>
    </dgm:pt>
    <dgm:pt modelId="{34F241A6-305E-4E7B-BBD1-B23B2044CB97}">
      <dgm:prSet phldrT="[Text]"/>
      <dgm:spPr/>
      <dgm:t>
        <a:bodyPr/>
        <a:lstStyle/>
        <a:p>
          <a:r>
            <a:rPr lang="en-NZ"/>
            <a:t>Levy base broadens: levy applies to cover for material damage, and levy exemptions may be removed</a:t>
          </a:r>
        </a:p>
      </dgm:t>
    </dgm:pt>
    <dgm:pt modelId="{5FA8667C-D75D-4226-BFA3-C7C68A83934A}" type="parTrans" cxnId="{151878A2-3A61-4C3B-A2E8-6706EDA35A7F}">
      <dgm:prSet/>
      <dgm:spPr/>
      <dgm:t>
        <a:bodyPr/>
        <a:lstStyle/>
        <a:p>
          <a:endParaRPr lang="en-NZ"/>
        </a:p>
      </dgm:t>
    </dgm:pt>
    <dgm:pt modelId="{76281CCB-60E7-46AC-BF18-B9368CCF28A3}" type="sibTrans" cxnId="{151878A2-3A61-4C3B-A2E8-6706EDA35A7F}">
      <dgm:prSet/>
      <dgm:spPr/>
      <dgm:t>
        <a:bodyPr/>
        <a:lstStyle/>
        <a:p>
          <a:endParaRPr lang="en-NZ"/>
        </a:p>
      </dgm:t>
    </dgm:pt>
    <dgm:pt modelId="{18E4A6AA-69FD-4818-A2EF-7F7A152CEFF7}">
      <dgm:prSet phldrT="[Text]"/>
      <dgm:spPr/>
      <dgm:t>
        <a:bodyPr/>
        <a:lstStyle/>
        <a:p>
          <a:endParaRPr lang="en-NZ"/>
        </a:p>
      </dgm:t>
    </dgm:pt>
    <dgm:pt modelId="{BDE22D81-7D5C-4EC7-A42B-43186A935B75}" type="parTrans" cxnId="{538B7F81-CE4D-44AA-830D-26BEB3461F5E}">
      <dgm:prSet/>
      <dgm:spPr/>
      <dgm:t>
        <a:bodyPr/>
        <a:lstStyle/>
        <a:p>
          <a:endParaRPr lang="en-NZ"/>
        </a:p>
      </dgm:t>
    </dgm:pt>
    <dgm:pt modelId="{B55CF987-8BB9-4F8C-A74B-9E08E905248F}" type="sibTrans" cxnId="{538B7F81-CE4D-44AA-830D-26BEB3461F5E}">
      <dgm:prSet/>
      <dgm:spPr/>
      <dgm:t>
        <a:bodyPr/>
        <a:lstStyle/>
        <a:p>
          <a:endParaRPr lang="en-NZ"/>
        </a:p>
      </dgm:t>
    </dgm:pt>
    <dgm:pt modelId="{853D89A8-47EF-4185-949B-9675446FA368}">
      <dgm:prSet phldrT="[Text]"/>
      <dgm:spPr/>
      <dgm:t>
        <a:bodyPr/>
        <a:lstStyle/>
        <a:p>
          <a:r>
            <a:rPr lang="en-NZ"/>
            <a:t>Levy rates increase to meet additional costs from base</a:t>
          </a:r>
        </a:p>
      </dgm:t>
    </dgm:pt>
    <dgm:pt modelId="{5C59B798-5F1F-40CD-BF69-119547B3DEE1}" type="parTrans" cxnId="{E4147230-F705-43CB-883F-EB9309E6781C}">
      <dgm:prSet/>
      <dgm:spPr/>
      <dgm:t>
        <a:bodyPr/>
        <a:lstStyle/>
        <a:p>
          <a:endParaRPr lang="en-NZ"/>
        </a:p>
      </dgm:t>
    </dgm:pt>
    <dgm:pt modelId="{36403B54-2CE0-40A5-A9C1-5AEE47EC8906}" type="sibTrans" cxnId="{E4147230-F705-43CB-883F-EB9309E6781C}">
      <dgm:prSet/>
      <dgm:spPr/>
      <dgm:t>
        <a:bodyPr/>
        <a:lstStyle/>
        <a:p>
          <a:endParaRPr lang="en-NZ"/>
        </a:p>
      </dgm:t>
    </dgm:pt>
    <dgm:pt modelId="{7641BCDF-617D-4768-A863-4D60EBA56B68}">
      <dgm:prSet phldrT="[Text]"/>
      <dgm:spPr/>
      <dgm:t>
        <a:bodyPr/>
        <a:lstStyle/>
        <a:p>
          <a:r>
            <a:rPr lang="en-NZ"/>
            <a:t>Funded mainly through levy, rural funding sources removed</a:t>
          </a:r>
        </a:p>
      </dgm:t>
    </dgm:pt>
    <dgm:pt modelId="{520C301D-6782-41C5-ABA4-BDABF1CB378C}" type="parTrans" cxnId="{6611973C-6B2E-453B-A762-030FE26F4362}">
      <dgm:prSet/>
      <dgm:spPr/>
      <dgm:t>
        <a:bodyPr/>
        <a:lstStyle/>
        <a:p>
          <a:endParaRPr lang="en-NZ"/>
        </a:p>
      </dgm:t>
    </dgm:pt>
    <dgm:pt modelId="{8E0B3532-58BE-4319-A6EC-9A5AFEDBC72F}" type="sibTrans" cxnId="{6611973C-6B2E-453B-A762-030FE26F4362}">
      <dgm:prSet/>
      <dgm:spPr/>
      <dgm:t>
        <a:bodyPr/>
        <a:lstStyle/>
        <a:p>
          <a:endParaRPr lang="en-NZ"/>
        </a:p>
      </dgm:t>
    </dgm:pt>
    <dgm:pt modelId="{A1C12423-5325-411F-A0DD-026AF4E1258C}">
      <dgm:prSet phldrT="[Text]"/>
      <dgm:spPr/>
      <dgm:t>
        <a:bodyPr/>
        <a:lstStyle/>
        <a:p>
          <a:r>
            <a:rPr lang="en-NZ"/>
            <a:t>Costs increase to deliver broader functions (to both urban and rural areas) and new initiatives such as support for volunteers, and to meet transition costs</a:t>
          </a:r>
        </a:p>
      </dgm:t>
    </dgm:pt>
    <dgm:pt modelId="{A3370FA2-6478-4D2C-9B71-63A3DD001BB8}" type="parTrans" cxnId="{74FE24CA-9261-40AF-B013-0777F47AB2DA}">
      <dgm:prSet/>
      <dgm:spPr/>
      <dgm:t>
        <a:bodyPr/>
        <a:lstStyle/>
        <a:p>
          <a:endParaRPr lang="en-NZ"/>
        </a:p>
      </dgm:t>
    </dgm:pt>
    <dgm:pt modelId="{47F3212E-BE35-4C57-817C-B11188ABA683}" type="sibTrans" cxnId="{74FE24CA-9261-40AF-B013-0777F47AB2DA}">
      <dgm:prSet/>
      <dgm:spPr/>
      <dgm:t>
        <a:bodyPr/>
        <a:lstStyle/>
        <a:p>
          <a:endParaRPr lang="en-NZ"/>
        </a:p>
      </dgm:t>
    </dgm:pt>
    <dgm:pt modelId="{CD9866AF-1BC8-430B-B810-3FAB968705BD}">
      <dgm:prSet phldrT="[Text]"/>
      <dgm:spPr/>
      <dgm:t>
        <a:bodyPr/>
        <a:lstStyle/>
        <a:p>
          <a:r>
            <a:rPr lang="en-NZ"/>
            <a:t>No change to levy base</a:t>
          </a:r>
        </a:p>
      </dgm:t>
    </dgm:pt>
    <dgm:pt modelId="{2E9ADD56-8A7E-481D-B696-E4B8C6514932}" type="parTrans" cxnId="{06673EF3-57BC-4A66-88EE-FDB49CE7A517}">
      <dgm:prSet/>
      <dgm:spPr/>
      <dgm:t>
        <a:bodyPr/>
        <a:lstStyle/>
        <a:p>
          <a:endParaRPr lang="en-NZ"/>
        </a:p>
      </dgm:t>
    </dgm:pt>
    <dgm:pt modelId="{F707F7F2-DFAE-4808-B6B3-D23252C89A0B}" type="sibTrans" cxnId="{06673EF3-57BC-4A66-88EE-FDB49CE7A517}">
      <dgm:prSet/>
      <dgm:spPr/>
      <dgm:t>
        <a:bodyPr/>
        <a:lstStyle/>
        <a:p>
          <a:endParaRPr lang="en-NZ"/>
        </a:p>
      </dgm:t>
    </dgm:pt>
    <dgm:pt modelId="{E1956F64-8265-47F0-9ACE-CFD62DA3D507}">
      <dgm:prSet phldrT="[Text]"/>
      <dgm:spPr/>
      <dgm:t>
        <a:bodyPr/>
        <a:lstStyle/>
        <a:p>
          <a:r>
            <a:rPr lang="en-NZ"/>
            <a:t>Transitional levy relief available to some policyholders</a:t>
          </a:r>
        </a:p>
      </dgm:t>
    </dgm:pt>
    <dgm:pt modelId="{1B22BBFF-4922-47CF-B379-A532CBBFBB0E}" type="parTrans" cxnId="{E4D073B8-45EE-4E08-B594-A65E43BCC5AC}">
      <dgm:prSet/>
      <dgm:spPr/>
      <dgm:t>
        <a:bodyPr/>
        <a:lstStyle/>
        <a:p>
          <a:endParaRPr lang="en-NZ"/>
        </a:p>
      </dgm:t>
    </dgm:pt>
    <dgm:pt modelId="{4D1BDAD2-ADFC-42F2-8465-077291913256}" type="sibTrans" cxnId="{E4D073B8-45EE-4E08-B594-A65E43BCC5AC}">
      <dgm:prSet/>
      <dgm:spPr/>
      <dgm:t>
        <a:bodyPr/>
        <a:lstStyle/>
        <a:p>
          <a:endParaRPr lang="en-NZ"/>
        </a:p>
      </dgm:t>
    </dgm:pt>
    <dgm:pt modelId="{2FA66810-D07F-4154-9281-8FE4229E4872}">
      <dgm:prSet phldrT="[Text]"/>
      <dgm:spPr/>
      <dgm:t>
        <a:bodyPr/>
        <a:lstStyle/>
        <a:p>
          <a:r>
            <a:rPr lang="en-NZ"/>
            <a:t>New levy rates set to reflect broader base</a:t>
          </a:r>
        </a:p>
      </dgm:t>
    </dgm:pt>
    <dgm:pt modelId="{6BE437D4-806E-4CBA-8FEF-25D60C55C912}" type="parTrans" cxnId="{9BC1991F-DA67-4B44-B08A-176EA0BAFE11}">
      <dgm:prSet/>
      <dgm:spPr/>
      <dgm:t>
        <a:bodyPr/>
        <a:lstStyle/>
        <a:p>
          <a:endParaRPr lang="en-NZ"/>
        </a:p>
      </dgm:t>
    </dgm:pt>
    <dgm:pt modelId="{3E0C8788-8908-493F-AF55-F9E0C8816289}" type="sibTrans" cxnId="{9BC1991F-DA67-4B44-B08A-176EA0BAFE11}">
      <dgm:prSet/>
      <dgm:spPr/>
      <dgm:t>
        <a:bodyPr/>
        <a:lstStyle/>
        <a:p>
          <a:endParaRPr lang="en-NZ"/>
        </a:p>
      </dgm:t>
    </dgm:pt>
    <dgm:pt modelId="{9F8401A0-4CF3-42E7-BBBC-9D79AAFAE686}">
      <dgm:prSet phldrT="[Text]"/>
      <dgm:spPr/>
      <dgm:t>
        <a:bodyPr/>
        <a:lstStyle/>
        <a:p>
          <a:r>
            <a:rPr lang="en-NZ"/>
            <a:t>Fire and Emergency NZ delivers broader functions</a:t>
          </a:r>
        </a:p>
      </dgm:t>
    </dgm:pt>
    <dgm:pt modelId="{D5181039-96F2-45DF-9926-DFBC8B7B94A0}" type="parTrans" cxnId="{CD57B1CA-C8C4-496D-9989-CDC79DAA4749}">
      <dgm:prSet/>
      <dgm:spPr/>
      <dgm:t>
        <a:bodyPr/>
        <a:lstStyle/>
        <a:p>
          <a:endParaRPr lang="en-NZ"/>
        </a:p>
      </dgm:t>
    </dgm:pt>
    <dgm:pt modelId="{7D40DCEF-560C-40AE-A770-1182FA18005D}" type="sibTrans" cxnId="{CD57B1CA-C8C4-496D-9989-CDC79DAA4749}">
      <dgm:prSet/>
      <dgm:spPr/>
      <dgm:t>
        <a:bodyPr/>
        <a:lstStyle/>
        <a:p>
          <a:endParaRPr lang="en-NZ"/>
        </a:p>
      </dgm:t>
    </dgm:pt>
    <dgm:pt modelId="{850FD201-3F9C-454E-9A32-2848931FB25B}" type="pres">
      <dgm:prSet presAssocID="{8CDFF279-D1B5-4D7D-94EE-613A986B9936}" presName="linearFlow" presStyleCnt="0">
        <dgm:presLayoutVars>
          <dgm:dir/>
          <dgm:animLvl val="lvl"/>
          <dgm:resizeHandles val="exact"/>
        </dgm:presLayoutVars>
      </dgm:prSet>
      <dgm:spPr/>
      <dgm:t>
        <a:bodyPr/>
        <a:lstStyle/>
        <a:p>
          <a:endParaRPr lang="en-NZ"/>
        </a:p>
      </dgm:t>
    </dgm:pt>
    <dgm:pt modelId="{5E0FF60B-E4DB-47FD-8AD2-9C8BDD0EB0A7}" type="pres">
      <dgm:prSet presAssocID="{4BD52F18-F317-4A19-B1C8-6F3EEB74BBFF}" presName="composite" presStyleCnt="0"/>
      <dgm:spPr/>
    </dgm:pt>
    <dgm:pt modelId="{A266BDBD-4B2E-4AC3-B465-39BD2F8052F6}" type="pres">
      <dgm:prSet presAssocID="{4BD52F18-F317-4A19-B1C8-6F3EEB74BBFF}" presName="parentText" presStyleLbl="alignNode1" presStyleIdx="0" presStyleCnt="3">
        <dgm:presLayoutVars>
          <dgm:chMax val="1"/>
          <dgm:bulletEnabled val="1"/>
        </dgm:presLayoutVars>
      </dgm:prSet>
      <dgm:spPr/>
      <dgm:t>
        <a:bodyPr/>
        <a:lstStyle/>
        <a:p>
          <a:endParaRPr lang="en-NZ"/>
        </a:p>
      </dgm:t>
    </dgm:pt>
    <dgm:pt modelId="{CB80B942-FFE3-478C-8F40-628AC53553F0}" type="pres">
      <dgm:prSet presAssocID="{4BD52F18-F317-4A19-B1C8-6F3EEB74BBFF}" presName="descendantText" presStyleLbl="alignAcc1" presStyleIdx="0" presStyleCnt="3">
        <dgm:presLayoutVars>
          <dgm:bulletEnabled val="1"/>
        </dgm:presLayoutVars>
      </dgm:prSet>
      <dgm:spPr/>
      <dgm:t>
        <a:bodyPr/>
        <a:lstStyle/>
        <a:p>
          <a:endParaRPr lang="en-NZ"/>
        </a:p>
      </dgm:t>
    </dgm:pt>
    <dgm:pt modelId="{3E33F7F7-F482-4482-8E8B-AAABBD3CB48E}" type="pres">
      <dgm:prSet presAssocID="{9D2418D8-5CC9-48F8-A096-EFB8AD1F058B}" presName="sp" presStyleCnt="0"/>
      <dgm:spPr/>
    </dgm:pt>
    <dgm:pt modelId="{0412D772-7BD8-4E28-B9F5-48D237C20FB4}" type="pres">
      <dgm:prSet presAssocID="{2AA2ADA6-48EE-4C29-B6BD-255398F2CEBB}" presName="composite" presStyleCnt="0"/>
      <dgm:spPr/>
    </dgm:pt>
    <dgm:pt modelId="{60BB00A7-F39E-4CCF-99C4-3534908A5625}" type="pres">
      <dgm:prSet presAssocID="{2AA2ADA6-48EE-4C29-B6BD-255398F2CEBB}" presName="parentText" presStyleLbl="alignNode1" presStyleIdx="1" presStyleCnt="3">
        <dgm:presLayoutVars>
          <dgm:chMax val="1"/>
          <dgm:bulletEnabled val="1"/>
        </dgm:presLayoutVars>
      </dgm:prSet>
      <dgm:spPr/>
      <dgm:t>
        <a:bodyPr/>
        <a:lstStyle/>
        <a:p>
          <a:endParaRPr lang="en-NZ"/>
        </a:p>
      </dgm:t>
    </dgm:pt>
    <dgm:pt modelId="{FC52FE86-2429-439E-BC8C-13A866DDC014}" type="pres">
      <dgm:prSet presAssocID="{2AA2ADA6-48EE-4C29-B6BD-255398F2CEBB}" presName="descendantText" presStyleLbl="alignAcc1" presStyleIdx="1" presStyleCnt="3">
        <dgm:presLayoutVars>
          <dgm:bulletEnabled val="1"/>
        </dgm:presLayoutVars>
      </dgm:prSet>
      <dgm:spPr/>
      <dgm:t>
        <a:bodyPr/>
        <a:lstStyle/>
        <a:p>
          <a:endParaRPr lang="en-NZ"/>
        </a:p>
      </dgm:t>
    </dgm:pt>
    <dgm:pt modelId="{E154CEB9-920D-4246-B064-A4E1E7517818}" type="pres">
      <dgm:prSet presAssocID="{E6BAFCA7-04C0-4659-BD56-A3973F19B641}" presName="sp" presStyleCnt="0"/>
      <dgm:spPr/>
    </dgm:pt>
    <dgm:pt modelId="{565B00E5-A069-4A43-BA6C-1A6DD58C6366}" type="pres">
      <dgm:prSet presAssocID="{9EF55A7D-84ED-4403-8A81-EAAC87D3E45A}" presName="composite" presStyleCnt="0"/>
      <dgm:spPr/>
    </dgm:pt>
    <dgm:pt modelId="{223F37CB-AA8A-4F05-9873-F9EF6B34B773}" type="pres">
      <dgm:prSet presAssocID="{9EF55A7D-84ED-4403-8A81-EAAC87D3E45A}" presName="parentText" presStyleLbl="alignNode1" presStyleIdx="2" presStyleCnt="3">
        <dgm:presLayoutVars>
          <dgm:chMax val="1"/>
          <dgm:bulletEnabled val="1"/>
        </dgm:presLayoutVars>
      </dgm:prSet>
      <dgm:spPr/>
      <dgm:t>
        <a:bodyPr/>
        <a:lstStyle/>
        <a:p>
          <a:endParaRPr lang="en-NZ"/>
        </a:p>
      </dgm:t>
    </dgm:pt>
    <dgm:pt modelId="{7AF5BE5C-10A5-49B9-80FE-A34FB11C325E}" type="pres">
      <dgm:prSet presAssocID="{9EF55A7D-84ED-4403-8A81-EAAC87D3E45A}" presName="descendantText" presStyleLbl="alignAcc1" presStyleIdx="2" presStyleCnt="3">
        <dgm:presLayoutVars>
          <dgm:bulletEnabled val="1"/>
        </dgm:presLayoutVars>
      </dgm:prSet>
      <dgm:spPr/>
      <dgm:t>
        <a:bodyPr/>
        <a:lstStyle/>
        <a:p>
          <a:endParaRPr lang="en-NZ"/>
        </a:p>
      </dgm:t>
    </dgm:pt>
  </dgm:ptLst>
  <dgm:cxnLst>
    <dgm:cxn modelId="{1DAAF22B-C7A8-4858-A156-CD14573873E5}" srcId="{2AA2ADA6-48EE-4C29-B6BD-255398F2CEBB}" destId="{477FE4A5-5F8A-451F-95E3-98CF502AFF52}" srcOrd="0" destOrd="0" parTransId="{38270816-C400-4896-B5FF-CA9F6AACEC72}" sibTransId="{61268ED9-4A81-448A-8DDC-AA5C18AAA0DB}"/>
    <dgm:cxn modelId="{DD00F50B-DECE-4F32-86B9-69069907C928}" srcId="{4BD52F18-F317-4A19-B1C8-6F3EEB74BBFF}" destId="{7F86268A-0FAC-4A59-A0DB-DBA00A8836C4}" srcOrd="1" destOrd="0" parTransId="{AD3DC3EE-4A7E-46EF-A01B-4074E8544033}" sibTransId="{F480D85A-13EC-4249-A76B-870A49C3760F}"/>
    <dgm:cxn modelId="{1016C76F-B96F-4F07-8F03-3DAFE08D3BD6}" type="presOf" srcId="{8CDFF279-D1B5-4D7D-94EE-613A986B9936}" destId="{850FD201-3F9C-454E-9A32-2848931FB25B}" srcOrd="0" destOrd="0" presId="urn:microsoft.com/office/officeart/2005/8/layout/chevron2"/>
    <dgm:cxn modelId="{151878A2-3A61-4C3B-A2E8-6706EDA35A7F}" srcId="{9EF55A7D-84ED-4403-8A81-EAAC87D3E45A}" destId="{34F241A6-305E-4E7B-BBD1-B23B2044CB97}" srcOrd="2" destOrd="0" parTransId="{5FA8667C-D75D-4226-BFA3-C7C68A83934A}" sibTransId="{76281CCB-60E7-46AC-BF18-B9368CCF28A3}"/>
    <dgm:cxn modelId="{74FE24CA-9261-40AF-B013-0777F47AB2DA}" srcId="{2AA2ADA6-48EE-4C29-B6BD-255398F2CEBB}" destId="{A1C12423-5325-411F-A0DD-026AF4E1258C}" srcOrd="1" destOrd="0" parTransId="{A3370FA2-6478-4D2C-9B71-63A3DD001BB8}" sibTransId="{47F3212E-BE35-4C57-817C-B11188ABA683}"/>
    <dgm:cxn modelId="{C18BE589-5D69-415D-9B8F-DE462320326C}" type="presOf" srcId="{E1956F64-8265-47F0-9ACE-CFD62DA3D507}" destId="{7AF5BE5C-10A5-49B9-80FE-A34FB11C325E}" srcOrd="0" destOrd="4" presId="urn:microsoft.com/office/officeart/2005/8/layout/chevron2"/>
    <dgm:cxn modelId="{57E75C73-4517-40E4-BCC7-11D8B28AD2F7}" type="presOf" srcId="{9F8401A0-4CF3-42E7-BBBC-9D79AAFAE686}" destId="{7AF5BE5C-10A5-49B9-80FE-A34FB11C325E}" srcOrd="0" destOrd="1" presId="urn:microsoft.com/office/officeart/2005/8/layout/chevron2"/>
    <dgm:cxn modelId="{CD57B1CA-C8C4-496D-9989-CDC79DAA4749}" srcId="{9EF55A7D-84ED-4403-8A81-EAAC87D3E45A}" destId="{9F8401A0-4CF3-42E7-BBBC-9D79AAFAE686}" srcOrd="1" destOrd="0" parTransId="{D5181039-96F2-45DF-9926-DFBC8B7B94A0}" sibTransId="{7D40DCEF-560C-40AE-A770-1182FA18005D}"/>
    <dgm:cxn modelId="{06673EF3-57BC-4A66-88EE-FDB49CE7A517}" srcId="{2AA2ADA6-48EE-4C29-B6BD-255398F2CEBB}" destId="{CD9866AF-1BC8-430B-B810-3FAB968705BD}" srcOrd="3" destOrd="0" parTransId="{2E9ADD56-8A7E-481D-B696-E4B8C6514932}" sibTransId="{F707F7F2-DFAE-4808-B6B3-D23252C89A0B}"/>
    <dgm:cxn modelId="{6B836A4E-5AC1-4934-80BA-1296CF1E389B}" type="presOf" srcId="{2AA2ADA6-48EE-4C29-B6BD-255398F2CEBB}" destId="{60BB00A7-F39E-4CCF-99C4-3534908A5625}" srcOrd="0" destOrd="0" presId="urn:microsoft.com/office/officeart/2005/8/layout/chevron2"/>
    <dgm:cxn modelId="{F2A01975-2C25-4B10-BDCE-B93465322DFF}" type="presOf" srcId="{D2FEAA7E-16E0-4AC3-98DF-389F8289F59B}" destId="{7AF5BE5C-10A5-49B9-80FE-A34FB11C325E}" srcOrd="0" destOrd="0" presId="urn:microsoft.com/office/officeart/2005/8/layout/chevron2"/>
    <dgm:cxn modelId="{E4D073B8-45EE-4E08-B594-A65E43BCC5AC}" srcId="{9EF55A7D-84ED-4403-8A81-EAAC87D3E45A}" destId="{E1956F64-8265-47F0-9ACE-CFD62DA3D507}" srcOrd="4" destOrd="0" parTransId="{1B22BBFF-4922-47CF-B379-A532CBBFBB0E}" sibTransId="{4D1BDAD2-ADFC-42F2-8465-077291913256}"/>
    <dgm:cxn modelId="{F27FE9DE-1BAC-490E-A2AB-2DA6B098A825}" srcId="{4BD52F18-F317-4A19-B1C8-6F3EEB74BBFF}" destId="{E379A679-74FA-47D2-B63D-727BBDAFDACC}" srcOrd="0" destOrd="0" parTransId="{240AAAED-FE83-4F80-A86D-BD1FDEE11D62}" sibTransId="{86B70D94-9016-41E5-ADA7-F5EDFE8BEC2E}"/>
    <dgm:cxn modelId="{6611973C-6B2E-453B-A762-030FE26F4362}" srcId="{2AA2ADA6-48EE-4C29-B6BD-255398F2CEBB}" destId="{7641BCDF-617D-4768-A863-4D60EBA56B68}" srcOrd="2" destOrd="0" parTransId="{520C301D-6782-41C5-ABA4-BDABF1CB378C}" sibTransId="{8E0B3532-58BE-4319-A6EC-9A5AFEDBC72F}"/>
    <dgm:cxn modelId="{3C08A6B2-2A99-4241-8E40-E51DDE595373}" srcId="{9EF55A7D-84ED-4403-8A81-EAAC87D3E45A}" destId="{D2FEAA7E-16E0-4AC3-98DF-389F8289F59B}" srcOrd="0" destOrd="0" parTransId="{1FF6E69F-17F9-46C4-B8C4-0F716BD20448}" sibTransId="{278A8CE6-6DF7-4B42-83E5-ADB6F7422BEC}"/>
    <dgm:cxn modelId="{538B7F81-CE4D-44AA-830D-26BEB3461F5E}" srcId="{4BD52F18-F317-4A19-B1C8-6F3EEB74BBFF}" destId="{18E4A6AA-69FD-4818-A2EF-7F7A152CEFF7}" srcOrd="2" destOrd="0" parTransId="{BDE22D81-7D5C-4EC7-A42B-43186A935B75}" sibTransId="{B55CF987-8BB9-4F8C-A74B-9E08E905248F}"/>
    <dgm:cxn modelId="{A71D62F2-84A7-4A5E-97A6-A6826DFAB07B}" srcId="{8CDFF279-D1B5-4D7D-94EE-613A986B9936}" destId="{9EF55A7D-84ED-4403-8A81-EAAC87D3E45A}" srcOrd="2" destOrd="0" parTransId="{909E481C-6B57-4257-BEDB-17E81529CB27}" sibTransId="{361504A8-53EB-4686-989A-C151FAC31435}"/>
    <dgm:cxn modelId="{C02F30FB-BF81-4BC0-BD99-4F03AB5F8A17}" type="presOf" srcId="{E379A679-74FA-47D2-B63D-727BBDAFDACC}" destId="{CB80B942-FFE3-478C-8F40-628AC53553F0}" srcOrd="0" destOrd="0" presId="urn:microsoft.com/office/officeart/2005/8/layout/chevron2"/>
    <dgm:cxn modelId="{94AB4909-CB43-4CB9-B442-2B6983CABEF2}" type="presOf" srcId="{A1C12423-5325-411F-A0DD-026AF4E1258C}" destId="{FC52FE86-2429-439E-BC8C-13A866DDC014}" srcOrd="0" destOrd="1" presId="urn:microsoft.com/office/officeart/2005/8/layout/chevron2"/>
    <dgm:cxn modelId="{0706B920-48CC-4E52-A777-CBD90856833E}" type="presOf" srcId="{853D89A8-47EF-4185-949B-9675446FA368}" destId="{FC52FE86-2429-439E-BC8C-13A866DDC014}" srcOrd="0" destOrd="4" presId="urn:microsoft.com/office/officeart/2005/8/layout/chevron2"/>
    <dgm:cxn modelId="{98C0B6D4-59E8-4AC3-BBC7-F44CB0D2BBD7}" type="presOf" srcId="{7641BCDF-617D-4768-A863-4D60EBA56B68}" destId="{FC52FE86-2429-439E-BC8C-13A866DDC014}" srcOrd="0" destOrd="2" presId="urn:microsoft.com/office/officeart/2005/8/layout/chevron2"/>
    <dgm:cxn modelId="{0F72C8A7-03B6-423F-A812-4F0F769E0369}" type="presOf" srcId="{9EF55A7D-84ED-4403-8A81-EAAC87D3E45A}" destId="{223F37CB-AA8A-4F05-9873-F9EF6B34B773}" srcOrd="0" destOrd="0" presId="urn:microsoft.com/office/officeart/2005/8/layout/chevron2"/>
    <dgm:cxn modelId="{376DB210-998B-4308-9DB9-50121FE60D04}" type="presOf" srcId="{CD9866AF-1BC8-430B-B810-3FAB968705BD}" destId="{FC52FE86-2429-439E-BC8C-13A866DDC014}" srcOrd="0" destOrd="3" presId="urn:microsoft.com/office/officeart/2005/8/layout/chevron2"/>
    <dgm:cxn modelId="{744478A0-8F99-437A-B7F6-0AB535534E35}" type="presOf" srcId="{2FA66810-D07F-4154-9281-8FE4229E4872}" destId="{7AF5BE5C-10A5-49B9-80FE-A34FB11C325E}" srcOrd="0" destOrd="3" presId="urn:microsoft.com/office/officeart/2005/8/layout/chevron2"/>
    <dgm:cxn modelId="{8D66A794-12BA-4AC7-97D5-D73D0C3A9059}" type="presOf" srcId="{4BD52F18-F317-4A19-B1C8-6F3EEB74BBFF}" destId="{A266BDBD-4B2E-4AC3-B465-39BD2F8052F6}" srcOrd="0" destOrd="0" presId="urn:microsoft.com/office/officeart/2005/8/layout/chevron2"/>
    <dgm:cxn modelId="{79F72EBB-6798-46C0-81AC-A4FDCFEDC444}" type="presOf" srcId="{7F86268A-0FAC-4A59-A0DB-DBA00A8836C4}" destId="{CB80B942-FFE3-478C-8F40-628AC53553F0}" srcOrd="0" destOrd="1" presId="urn:microsoft.com/office/officeart/2005/8/layout/chevron2"/>
    <dgm:cxn modelId="{3D1CEA4D-8A39-4967-856B-3B32BECE6B1F}" type="presOf" srcId="{18E4A6AA-69FD-4818-A2EF-7F7A152CEFF7}" destId="{CB80B942-FFE3-478C-8F40-628AC53553F0}" srcOrd="0" destOrd="2" presId="urn:microsoft.com/office/officeart/2005/8/layout/chevron2"/>
    <dgm:cxn modelId="{E4147230-F705-43CB-883F-EB9309E6781C}" srcId="{2AA2ADA6-48EE-4C29-B6BD-255398F2CEBB}" destId="{853D89A8-47EF-4185-949B-9675446FA368}" srcOrd="4" destOrd="0" parTransId="{5C59B798-5F1F-40CD-BF69-119547B3DEE1}" sibTransId="{36403B54-2CE0-40A5-A9C1-5AEE47EC8906}"/>
    <dgm:cxn modelId="{6DBE82DA-33D5-433C-BCB2-C767E155E888}" type="presOf" srcId="{34F241A6-305E-4E7B-BBD1-B23B2044CB97}" destId="{7AF5BE5C-10A5-49B9-80FE-A34FB11C325E}" srcOrd="0" destOrd="2" presId="urn:microsoft.com/office/officeart/2005/8/layout/chevron2"/>
    <dgm:cxn modelId="{9BC1991F-DA67-4B44-B08A-176EA0BAFE11}" srcId="{9EF55A7D-84ED-4403-8A81-EAAC87D3E45A}" destId="{2FA66810-D07F-4154-9281-8FE4229E4872}" srcOrd="3" destOrd="0" parTransId="{6BE437D4-806E-4CBA-8FEF-25D60C55C912}" sibTransId="{3E0C8788-8908-493F-AF55-F9E0C8816289}"/>
    <dgm:cxn modelId="{472842E8-B1BC-44AE-8A89-DF3E2248BCA9}" srcId="{8CDFF279-D1B5-4D7D-94EE-613A986B9936}" destId="{4BD52F18-F317-4A19-B1C8-6F3EEB74BBFF}" srcOrd="0" destOrd="0" parTransId="{AA59535F-A7E2-4F6F-B5B9-F15B978089CA}" sibTransId="{9D2418D8-5CC9-48F8-A096-EFB8AD1F058B}"/>
    <dgm:cxn modelId="{4408F912-1AAB-4C44-8CED-BFBB0894E023}" srcId="{8CDFF279-D1B5-4D7D-94EE-613A986B9936}" destId="{2AA2ADA6-48EE-4C29-B6BD-255398F2CEBB}" srcOrd="1" destOrd="0" parTransId="{A332B28B-F4B9-4356-9E17-7924D760CF08}" sibTransId="{E6BAFCA7-04C0-4659-BD56-A3973F19B641}"/>
    <dgm:cxn modelId="{E934B581-ED9F-4011-BD37-8C6668664C52}" type="presOf" srcId="{477FE4A5-5F8A-451F-95E3-98CF502AFF52}" destId="{FC52FE86-2429-439E-BC8C-13A866DDC014}" srcOrd="0" destOrd="0" presId="urn:microsoft.com/office/officeart/2005/8/layout/chevron2"/>
    <dgm:cxn modelId="{BA44B9F8-ECE4-4546-9BA4-AD6413E05CF6}" type="presParOf" srcId="{850FD201-3F9C-454E-9A32-2848931FB25B}" destId="{5E0FF60B-E4DB-47FD-8AD2-9C8BDD0EB0A7}" srcOrd="0" destOrd="0" presId="urn:microsoft.com/office/officeart/2005/8/layout/chevron2"/>
    <dgm:cxn modelId="{A1B92D10-0F59-4195-8C3C-CAA724A56E8C}" type="presParOf" srcId="{5E0FF60B-E4DB-47FD-8AD2-9C8BDD0EB0A7}" destId="{A266BDBD-4B2E-4AC3-B465-39BD2F8052F6}" srcOrd="0" destOrd="0" presId="urn:microsoft.com/office/officeart/2005/8/layout/chevron2"/>
    <dgm:cxn modelId="{C0EB9448-F2DD-4765-BE04-AF5AF18C71E8}" type="presParOf" srcId="{5E0FF60B-E4DB-47FD-8AD2-9C8BDD0EB0A7}" destId="{CB80B942-FFE3-478C-8F40-628AC53553F0}" srcOrd="1" destOrd="0" presId="urn:microsoft.com/office/officeart/2005/8/layout/chevron2"/>
    <dgm:cxn modelId="{B4D48D9A-1863-463D-BBE7-2E263301A938}" type="presParOf" srcId="{850FD201-3F9C-454E-9A32-2848931FB25B}" destId="{3E33F7F7-F482-4482-8E8B-AAABBD3CB48E}" srcOrd="1" destOrd="0" presId="urn:microsoft.com/office/officeart/2005/8/layout/chevron2"/>
    <dgm:cxn modelId="{245E99A5-04B6-4E63-B816-872248EA94FB}" type="presParOf" srcId="{850FD201-3F9C-454E-9A32-2848931FB25B}" destId="{0412D772-7BD8-4E28-B9F5-48D237C20FB4}" srcOrd="2" destOrd="0" presId="urn:microsoft.com/office/officeart/2005/8/layout/chevron2"/>
    <dgm:cxn modelId="{22F2C8D2-F546-4AC6-8760-34FEA9691AC9}" type="presParOf" srcId="{0412D772-7BD8-4E28-B9F5-48D237C20FB4}" destId="{60BB00A7-F39E-4CCF-99C4-3534908A5625}" srcOrd="0" destOrd="0" presId="urn:microsoft.com/office/officeart/2005/8/layout/chevron2"/>
    <dgm:cxn modelId="{9999E5FF-BE12-4DB8-B563-C5E5B77BDBC4}" type="presParOf" srcId="{0412D772-7BD8-4E28-B9F5-48D237C20FB4}" destId="{FC52FE86-2429-439E-BC8C-13A866DDC014}" srcOrd="1" destOrd="0" presId="urn:microsoft.com/office/officeart/2005/8/layout/chevron2"/>
    <dgm:cxn modelId="{8456EC19-7E2D-4094-85EA-A9A79BE46B3C}" type="presParOf" srcId="{850FD201-3F9C-454E-9A32-2848931FB25B}" destId="{E154CEB9-920D-4246-B064-A4E1E7517818}" srcOrd="3" destOrd="0" presId="urn:microsoft.com/office/officeart/2005/8/layout/chevron2"/>
    <dgm:cxn modelId="{3845DE4D-057D-4EAA-B085-A28CFC4384F9}" type="presParOf" srcId="{850FD201-3F9C-454E-9A32-2848931FB25B}" destId="{565B00E5-A069-4A43-BA6C-1A6DD58C6366}" srcOrd="4" destOrd="0" presId="urn:microsoft.com/office/officeart/2005/8/layout/chevron2"/>
    <dgm:cxn modelId="{0B77809A-2D0E-4246-852D-9EF2E9239E79}" type="presParOf" srcId="{565B00E5-A069-4A43-BA6C-1A6DD58C6366}" destId="{223F37CB-AA8A-4F05-9873-F9EF6B34B773}" srcOrd="0" destOrd="0" presId="urn:microsoft.com/office/officeart/2005/8/layout/chevron2"/>
    <dgm:cxn modelId="{EFAF07E4-C14E-4330-8B3F-5655C0D6E44F}" type="presParOf" srcId="{565B00E5-A069-4A43-BA6C-1A6DD58C6366}" destId="{7AF5BE5C-10A5-49B9-80FE-A34FB11C325E}"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66BDBD-4B2E-4AC3-B465-39BD2F8052F6}">
      <dsp:nvSpPr>
        <dsp:cNvPr id="0" name=""/>
        <dsp:cNvSpPr/>
      </dsp:nvSpPr>
      <dsp:spPr>
        <a:xfrm rot="5400000">
          <a:off x="-396359" y="398458"/>
          <a:ext cx="2642395" cy="184967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NZ" sz="2000" b="1" kern="1200"/>
            <a:t>Current</a:t>
          </a:r>
        </a:p>
        <a:p>
          <a:pPr lvl="0" algn="ctr" defTabSz="889000">
            <a:lnSpc>
              <a:spcPct val="90000"/>
            </a:lnSpc>
            <a:spcBef>
              <a:spcPct val="0"/>
            </a:spcBef>
            <a:spcAft>
              <a:spcPct val="35000"/>
            </a:spcAft>
          </a:pPr>
          <a:r>
            <a:rPr lang="en-NZ" sz="2000" b="1" kern="1200"/>
            <a:t>levy regime</a:t>
          </a:r>
        </a:p>
      </dsp:txBody>
      <dsp:txXfrm rot="-5400000">
        <a:off x="1" y="926936"/>
        <a:ext cx="1849676" cy="792719"/>
      </dsp:txXfrm>
    </dsp:sp>
    <dsp:sp modelId="{CB80B942-FFE3-478C-8F40-628AC53553F0}">
      <dsp:nvSpPr>
        <dsp:cNvPr id="0" name=""/>
        <dsp:cNvSpPr/>
      </dsp:nvSpPr>
      <dsp:spPr>
        <a:xfrm rot="5400000">
          <a:off x="3052608" y="-1200832"/>
          <a:ext cx="1717557" cy="4123420"/>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NZ" sz="1200" kern="1200"/>
            <a:t>Under current legislation, fire services funded through a combination of levy (NZFS) and other sources (rural fire)</a:t>
          </a:r>
        </a:p>
        <a:p>
          <a:pPr marL="114300" lvl="1" indent="-114300" algn="l" defTabSz="533400">
            <a:lnSpc>
              <a:spcPct val="90000"/>
            </a:lnSpc>
            <a:spcBef>
              <a:spcPct val="0"/>
            </a:spcBef>
            <a:spcAft>
              <a:spcPct val="15000"/>
            </a:spcAft>
            <a:buChar char="••"/>
          </a:pPr>
          <a:r>
            <a:rPr lang="en-NZ" sz="1200" kern="1200"/>
            <a:t>Narrower levy base: levy applies to cover for fire damage, exemptions apply to many classes of property</a:t>
          </a:r>
        </a:p>
        <a:p>
          <a:pPr marL="114300" lvl="1" indent="-114300" algn="l" defTabSz="533400">
            <a:lnSpc>
              <a:spcPct val="90000"/>
            </a:lnSpc>
            <a:spcBef>
              <a:spcPct val="0"/>
            </a:spcBef>
            <a:spcAft>
              <a:spcPct val="15000"/>
            </a:spcAft>
            <a:buChar char="••"/>
          </a:pPr>
          <a:endParaRPr lang="en-NZ" sz="1200" kern="1200"/>
        </a:p>
      </dsp:txBody>
      <dsp:txXfrm rot="-5400000">
        <a:off x="1849677" y="85943"/>
        <a:ext cx="4039576" cy="1549869"/>
      </dsp:txXfrm>
    </dsp:sp>
    <dsp:sp modelId="{60BB00A7-F39E-4CCF-99C4-3534908A5625}">
      <dsp:nvSpPr>
        <dsp:cNvPr id="0" name=""/>
        <dsp:cNvSpPr/>
      </dsp:nvSpPr>
      <dsp:spPr>
        <a:xfrm rot="5400000">
          <a:off x="-396359" y="2843374"/>
          <a:ext cx="2642395" cy="1849676"/>
        </a:xfrm>
        <a:prstGeom prst="chevron">
          <a:avLst/>
        </a:prstGeom>
        <a:solidFill>
          <a:schemeClr val="accent3">
            <a:hueOff val="1629081"/>
            <a:satOff val="-24697"/>
            <a:lumOff val="-5392"/>
            <a:alphaOff val="0"/>
          </a:schemeClr>
        </a:solidFill>
        <a:ln w="25400" cap="flat" cmpd="sng" algn="ctr">
          <a:solidFill>
            <a:schemeClr val="accent3">
              <a:hueOff val="1629081"/>
              <a:satOff val="-24697"/>
              <a:lumOff val="-539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NZ" sz="2000" b="1" kern="1200"/>
            <a:t>Transitional period</a:t>
          </a:r>
        </a:p>
      </dsp:txBody>
      <dsp:txXfrm rot="-5400000">
        <a:off x="1" y="3371852"/>
        <a:ext cx="1849676" cy="792719"/>
      </dsp:txXfrm>
    </dsp:sp>
    <dsp:sp modelId="{FC52FE86-2429-439E-BC8C-13A866DDC014}">
      <dsp:nvSpPr>
        <dsp:cNvPr id="0" name=""/>
        <dsp:cNvSpPr/>
      </dsp:nvSpPr>
      <dsp:spPr>
        <a:xfrm rot="5400000">
          <a:off x="3052608" y="1244083"/>
          <a:ext cx="1717557" cy="4123420"/>
        </a:xfrm>
        <a:prstGeom prst="round2SameRect">
          <a:avLst/>
        </a:prstGeom>
        <a:solidFill>
          <a:schemeClr val="lt1">
            <a:alpha val="90000"/>
            <a:hueOff val="0"/>
            <a:satOff val="0"/>
            <a:lumOff val="0"/>
            <a:alphaOff val="0"/>
          </a:schemeClr>
        </a:solidFill>
        <a:ln w="25400" cap="flat" cmpd="sng" algn="ctr">
          <a:solidFill>
            <a:schemeClr val="accent3">
              <a:hueOff val="1629081"/>
              <a:satOff val="-24697"/>
              <a:lumOff val="-539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NZ" sz="1200" kern="1200"/>
            <a:t>Fire and Emergency NZ established 1 July 2017</a:t>
          </a:r>
        </a:p>
        <a:p>
          <a:pPr marL="114300" lvl="1" indent="-114300" algn="l" defTabSz="533400">
            <a:lnSpc>
              <a:spcPct val="90000"/>
            </a:lnSpc>
            <a:spcBef>
              <a:spcPct val="0"/>
            </a:spcBef>
            <a:spcAft>
              <a:spcPct val="15000"/>
            </a:spcAft>
            <a:buChar char="••"/>
          </a:pPr>
          <a:r>
            <a:rPr lang="en-NZ" sz="1200" kern="1200"/>
            <a:t>Costs increase to deliver broader functions (to both urban and rural areas) and new initiatives such as support for volunteers, and to meet transition costs</a:t>
          </a:r>
        </a:p>
        <a:p>
          <a:pPr marL="114300" lvl="1" indent="-114300" algn="l" defTabSz="533400">
            <a:lnSpc>
              <a:spcPct val="90000"/>
            </a:lnSpc>
            <a:spcBef>
              <a:spcPct val="0"/>
            </a:spcBef>
            <a:spcAft>
              <a:spcPct val="15000"/>
            </a:spcAft>
            <a:buChar char="••"/>
          </a:pPr>
          <a:r>
            <a:rPr lang="en-NZ" sz="1200" kern="1200"/>
            <a:t>Funded mainly through levy, rural funding sources removed</a:t>
          </a:r>
        </a:p>
        <a:p>
          <a:pPr marL="114300" lvl="1" indent="-114300" algn="l" defTabSz="533400">
            <a:lnSpc>
              <a:spcPct val="90000"/>
            </a:lnSpc>
            <a:spcBef>
              <a:spcPct val="0"/>
            </a:spcBef>
            <a:spcAft>
              <a:spcPct val="15000"/>
            </a:spcAft>
            <a:buChar char="••"/>
          </a:pPr>
          <a:r>
            <a:rPr lang="en-NZ" sz="1200" kern="1200"/>
            <a:t>No change to levy base</a:t>
          </a:r>
        </a:p>
        <a:p>
          <a:pPr marL="114300" lvl="1" indent="-114300" algn="l" defTabSz="533400">
            <a:lnSpc>
              <a:spcPct val="90000"/>
            </a:lnSpc>
            <a:spcBef>
              <a:spcPct val="0"/>
            </a:spcBef>
            <a:spcAft>
              <a:spcPct val="15000"/>
            </a:spcAft>
            <a:buChar char="••"/>
          </a:pPr>
          <a:r>
            <a:rPr lang="en-NZ" sz="1200" kern="1200"/>
            <a:t>Levy rates increase to meet additional costs from base</a:t>
          </a:r>
        </a:p>
      </dsp:txBody>
      <dsp:txXfrm rot="-5400000">
        <a:off x="1849677" y="2530858"/>
        <a:ext cx="4039576" cy="1549869"/>
      </dsp:txXfrm>
    </dsp:sp>
    <dsp:sp modelId="{223F37CB-AA8A-4F05-9873-F9EF6B34B773}">
      <dsp:nvSpPr>
        <dsp:cNvPr id="0" name=""/>
        <dsp:cNvSpPr/>
      </dsp:nvSpPr>
      <dsp:spPr>
        <a:xfrm rot="5400000">
          <a:off x="-396359" y="5288290"/>
          <a:ext cx="2642395" cy="1849676"/>
        </a:xfrm>
        <a:prstGeom prst="chevron">
          <a:avLst/>
        </a:prstGeom>
        <a:solidFill>
          <a:schemeClr val="accent3">
            <a:hueOff val="3258162"/>
            <a:satOff val="-49394"/>
            <a:lumOff val="-10785"/>
            <a:alphaOff val="0"/>
          </a:schemeClr>
        </a:solidFill>
        <a:ln w="25400" cap="flat" cmpd="sng" algn="ctr">
          <a:solidFill>
            <a:schemeClr val="accent3">
              <a:hueOff val="3258162"/>
              <a:satOff val="-49394"/>
              <a:lumOff val="-1078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NZ" sz="2000" b="1" kern="1200"/>
            <a:t>New levy regime</a:t>
          </a:r>
        </a:p>
      </dsp:txBody>
      <dsp:txXfrm rot="-5400000">
        <a:off x="1" y="5816768"/>
        <a:ext cx="1849676" cy="792719"/>
      </dsp:txXfrm>
    </dsp:sp>
    <dsp:sp modelId="{7AF5BE5C-10A5-49B9-80FE-A34FB11C325E}">
      <dsp:nvSpPr>
        <dsp:cNvPr id="0" name=""/>
        <dsp:cNvSpPr/>
      </dsp:nvSpPr>
      <dsp:spPr>
        <a:xfrm rot="5400000">
          <a:off x="3052608" y="3688999"/>
          <a:ext cx="1717557" cy="4123420"/>
        </a:xfrm>
        <a:prstGeom prst="round2SameRect">
          <a:avLst/>
        </a:prstGeom>
        <a:solidFill>
          <a:schemeClr val="lt1">
            <a:alpha val="90000"/>
            <a:hueOff val="0"/>
            <a:satOff val="0"/>
            <a:lumOff val="0"/>
            <a:alphaOff val="0"/>
          </a:schemeClr>
        </a:solidFill>
        <a:ln w="25400" cap="flat" cmpd="sng" algn="ctr">
          <a:solidFill>
            <a:schemeClr val="accent3">
              <a:hueOff val="3258162"/>
              <a:satOff val="-49394"/>
              <a:lumOff val="-1078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NZ" sz="1200" kern="1200"/>
            <a:t>Changes to levy regime commence on a date TBC, not earlier than 1 July 2018 and not later than 1 July 2019</a:t>
          </a:r>
        </a:p>
        <a:p>
          <a:pPr marL="114300" lvl="1" indent="-114300" algn="l" defTabSz="533400">
            <a:lnSpc>
              <a:spcPct val="90000"/>
            </a:lnSpc>
            <a:spcBef>
              <a:spcPct val="0"/>
            </a:spcBef>
            <a:spcAft>
              <a:spcPct val="15000"/>
            </a:spcAft>
            <a:buChar char="••"/>
          </a:pPr>
          <a:r>
            <a:rPr lang="en-NZ" sz="1200" kern="1200"/>
            <a:t>Fire and Emergency NZ delivers broader functions</a:t>
          </a:r>
        </a:p>
        <a:p>
          <a:pPr marL="114300" lvl="1" indent="-114300" algn="l" defTabSz="533400">
            <a:lnSpc>
              <a:spcPct val="90000"/>
            </a:lnSpc>
            <a:spcBef>
              <a:spcPct val="0"/>
            </a:spcBef>
            <a:spcAft>
              <a:spcPct val="15000"/>
            </a:spcAft>
            <a:buChar char="••"/>
          </a:pPr>
          <a:r>
            <a:rPr lang="en-NZ" sz="1200" kern="1200"/>
            <a:t>Levy base broadens: levy applies to cover for material damage, and levy exemptions may be removed</a:t>
          </a:r>
        </a:p>
        <a:p>
          <a:pPr marL="114300" lvl="1" indent="-114300" algn="l" defTabSz="533400">
            <a:lnSpc>
              <a:spcPct val="90000"/>
            </a:lnSpc>
            <a:spcBef>
              <a:spcPct val="0"/>
            </a:spcBef>
            <a:spcAft>
              <a:spcPct val="15000"/>
            </a:spcAft>
            <a:buChar char="••"/>
          </a:pPr>
          <a:r>
            <a:rPr lang="en-NZ" sz="1200" kern="1200"/>
            <a:t>New levy rates set to reflect broader base</a:t>
          </a:r>
        </a:p>
        <a:p>
          <a:pPr marL="114300" lvl="1" indent="-114300" algn="l" defTabSz="533400">
            <a:lnSpc>
              <a:spcPct val="90000"/>
            </a:lnSpc>
            <a:spcBef>
              <a:spcPct val="0"/>
            </a:spcBef>
            <a:spcAft>
              <a:spcPct val="15000"/>
            </a:spcAft>
            <a:buChar char="••"/>
          </a:pPr>
          <a:r>
            <a:rPr lang="en-NZ" sz="1200" kern="1200"/>
            <a:t>Transitional levy relief available to some policyholders</a:t>
          </a:r>
        </a:p>
      </dsp:txBody>
      <dsp:txXfrm rot="-5400000">
        <a:off x="1849677" y="4975774"/>
        <a:ext cx="4039576" cy="15498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2d3e8092-e9cf-44ea-a716-f2959a48b7ad" xsi:nil="true"/>
    <m72e7f24bda548a0be772942c9378756 xmlns="2d3e8092-e9cf-44ea-a716-f2959a48b7ad">
      <Terms xmlns="http://schemas.microsoft.com/office/infopath/2007/PartnerControls"/>
    </m72e7f24bda548a0be772942c9378756>
    <TaxKeywordTaxHTField xmlns="2d3e8092-e9cf-44ea-a716-f2959a48b7ad">
      <Terms xmlns="http://schemas.microsoft.com/office/infopath/2007/PartnerControls"/>
    </TaxKeywordTaxHTField>
    <e39c720023aa478cb76179e248779c99 xmlns="2d3e8092-e9cf-44ea-a716-f2959a48b7ad">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e39c720023aa478cb76179e248779c99>
    <TaxCatchAll xmlns="2d3e8092-e9cf-44ea-a716-f2959a48b7ad">
      <Value>1</Value>
      <Value>15</Value>
    </TaxCatchAll>
    <j39846ed897e419c8d40b1b2e2a34e23 xmlns="2d3e8092-e9cf-44ea-a716-f2959a48b7ad">
      <Terms xmlns="http://schemas.microsoft.com/office/infopath/2007/PartnerControls"/>
    </j39846ed897e419c8d40b1b2e2a34e23>
    <_dlc_DocId xmlns="2d3e8092-e9cf-44ea-a716-f2959a48b7ad">64AZR7SAWA7N-7-232</_dlc_DocId>
    <_dlc_DocIdUrl xmlns="2d3e8092-e9cf-44ea-a716-f2959a48b7ad">
      <Url>https://dia.cohesion.net.nz/Sites/FIR/PLM/PLI/FSSR/_layouts/15/DocIdRedir.aspx?ID=64AZR7SAWA7N-7-232</Url>
      <Description>64AZR7SAWA7N-7-232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egislation Development Document DIA" ma:contentTypeID="0x0101005496552013C0BA46BE88192D5C6EB20B00A460A0FE3FADC244B69CD162E0374B0000C7D13576C59BD540B7982B346429A68A" ma:contentTypeVersion="4" ma:contentTypeDescription="Use for documents that support the legislation development process that are not covered by any other content type" ma:contentTypeScope="" ma:versionID="166cb4ff4647df902f1a2582b81550f5">
  <xsd:schema xmlns:xsd="http://www.w3.org/2001/XMLSchema" xmlns:xs="http://www.w3.org/2001/XMLSchema" xmlns:p="http://schemas.microsoft.com/office/2006/metadata/properties" xmlns:ns3="01be4277-2979-4a68-876d-b92b25fceece" xmlns:ns4="2d3e8092-e9cf-44ea-a716-f2959a48b7ad" targetNamespace="http://schemas.microsoft.com/office/2006/metadata/properties" ma:root="true" ma:fieldsID="8ebcfd6306222263fdf233297768381b" ns3:_="" ns4:_="">
    <xsd:import namespace="01be4277-2979-4a68-876d-b92b25fceece"/>
    <xsd:import namespace="2d3e8092-e9cf-44ea-a716-f2959a48b7ad"/>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39c720023aa478cb76179e248779c99" minOccurs="0"/>
                <xsd:element ref="ns4:DIANotes" minOccurs="0"/>
                <xsd:element ref="ns4:_dlc_DocId" minOccurs="0"/>
                <xsd:element ref="ns4:_dlc_DocIdUrl" minOccurs="0"/>
                <xsd:element ref="ns4:_dlc_DocIdPersistId" minOccurs="0"/>
                <xsd:element ref="ns4:j39846ed897e419c8d40b1b2e2a34e23" minOccurs="0"/>
                <xsd:element ref="ns4:m72e7f24bda548a0be772942c937875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62725477-a52a-4bd1-9fba-d9e9c94645e6" ma:anchorId="0b7d20a7-dbe9-4cd1-9ee2-990cf7a431d3"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3e8092-e9cf-44ea-a716-f2959a48b7a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652fe4d-4b27-4d8f-867f-875c2b01b23f}" ma:internalName="TaxCatchAll" ma:showField="CatchAllData" ma:web="2d3e8092-e9cf-44ea-a716-f2959a48b7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652fe4d-4b27-4d8f-867f-875c2b01b23f}" ma:internalName="TaxCatchAllLabel" ma:readOnly="true" ma:showField="CatchAllDataLabel" ma:web="2d3e8092-e9cf-44ea-a716-f2959a48b7ad">
      <xsd:complexType>
        <xsd:complexContent>
          <xsd:extension base="dms:MultiChoiceLookup">
            <xsd:sequence>
              <xsd:element name="Value" type="dms:Lookup" maxOccurs="unbounded" minOccurs="0" nillable="true"/>
            </xsd:sequence>
          </xsd:extension>
        </xsd:complexContent>
      </xsd:complexType>
    </xsd:element>
    <xsd:element name="e39c720023aa478cb76179e248779c99" ma:index="14" ma:taxonomy="true" ma:internalName="e39c720023aa478cb76179e248779c99" ma:taxonomyFieldName="DIASecurityClassification" ma:displayName="Security Classification" ma:default="2;#UNCLASSIFIED|875d92a8-67e2-4a32-9472-8fe99549e1eb" ma:fieldId="{e39c7200-23aa-478c-b761-79e248779c9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j39846ed897e419c8d40b1b2e2a34e23" ma:index="21" nillable="true" ma:taxonomy="true" ma:internalName="j39846ed897e419c8d40b1b2e2a34e23" ma:taxonomyFieldName="DIALegislation" ma:displayName="Legislation" ma:fieldId="{339846ed-897e-419c-8d40-b1b2e2a34e23}"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m72e7f24bda548a0be772942c9378756" ma:index="23" nillable="true" ma:taxonomy="true" ma:internalName="m72e7f24bda548a0be772942c9378756" ma:taxonomyFieldName="DIAPortfolio" ma:displayName="Portfolio" ma:fieldId="{672e7f24-bda5-48a0-be77-2942c9378756}" ma:sspId="caf61cd4-0327-4679-8f8a-6e41773e81e7" ma:termSetId="8f088340-0c5e-4686-b1b2-3e1dd9212e7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86CD-7D00-4A1F-A4E8-22B98B3E2222}">
  <ds:schemaRefs>
    <ds:schemaRef ds:uri="http://schemas.microsoft.com/sharepoint/v3/contenttype/forms"/>
  </ds:schemaRefs>
</ds:datastoreItem>
</file>

<file path=customXml/itemProps2.xml><?xml version="1.0" encoding="utf-8"?>
<ds:datastoreItem xmlns:ds="http://schemas.openxmlformats.org/officeDocument/2006/customXml" ds:itemID="{FC916607-A624-4616-93F8-B1DF3A17FFB6}">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2d3e8092-e9cf-44ea-a716-f2959a48b7ad"/>
    <ds:schemaRef ds:uri="01be4277-2979-4a68-876d-b92b25fceec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0CEDEE6-4FD7-45EC-BF44-C9153F485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2d3e8092-e9cf-44ea-a716-f2959a48b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BD1D8-AB1E-4E42-8E0D-316897566915}">
  <ds:schemaRefs>
    <ds:schemaRef ds:uri="http://schemas.microsoft.com/sharepoint/events"/>
  </ds:schemaRefs>
</ds:datastoreItem>
</file>

<file path=customXml/itemProps5.xml><?xml version="1.0" encoding="utf-8"?>
<ds:datastoreItem xmlns:ds="http://schemas.openxmlformats.org/officeDocument/2006/customXml" ds:itemID="{F3A06F5C-D6FE-4E01-9CE3-E91A5AB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 Report</Template>
  <TotalTime>2184</TotalTime>
  <Pages>25</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46340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Kerr</dc:creator>
  <cp:keywords/>
  <dc:description>Released 1 February 2011</dc:description>
  <cp:lastModifiedBy>Susan O'Neill</cp:lastModifiedBy>
  <cp:revision>314</cp:revision>
  <cp:lastPrinted>2017-03-09T19:27:00Z</cp:lastPrinted>
  <dcterms:created xsi:type="dcterms:W3CDTF">2017-01-19T01:01:00Z</dcterms:created>
  <dcterms:modified xsi:type="dcterms:W3CDTF">2017-03-13T02:54:00Z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0x0101005496552013C0BA46BE88192D5C6EB20B00A460A0FE3FADC244B69CD162E0374B0000C7D13576C59BD540B7982B346429A68A</vt:lpwstr>
  </property>
  <property fmtid="{D5CDD505-2E9C-101B-9397-08002B2CF9AE}" pid="3" name="cb531e1abfd44ae084da16e267ef884b">
    <vt:lpwstr>Correspondence|dcd6b05f-dc80-4336-b228-09aebf3d212c</vt:lpwstr>
  </property>
  <property fmtid="{D5CDD505-2E9C-101B-9397-08002B2CF9AE}" pid="4" name="_dlc_DocIdItemGuid">
    <vt:lpwstr>de267dfd-d9b3-4c60-91ea-dd30846efe01</vt:lpwstr>
  </property>
  <property fmtid="{D5CDD505-2E9C-101B-9397-08002B2CF9AE}" pid="5" name="TaxKeyword">
    <vt:lpwstr/>
  </property>
  <property fmtid="{D5CDD505-2E9C-101B-9397-08002B2CF9AE}" pid="6" name="DIALegislation">
    <vt:lpwstr/>
  </property>
  <property fmtid="{D5CDD505-2E9C-101B-9397-08002B2CF9AE}" pid="7" name="DIAAdministrationDocumentType">
    <vt:lpwstr/>
  </property>
  <property fmtid="{D5CDD505-2E9C-101B-9397-08002B2CF9AE}" pid="8" name="DIAPortfolio">
    <vt:lpwstr/>
  </property>
  <property fmtid="{D5CDD505-2E9C-101B-9397-08002B2CF9AE}" pid="9" name="C3Topic">
    <vt:lpwstr/>
  </property>
  <property fmtid="{D5CDD505-2E9C-101B-9397-08002B2CF9AE}" pid="10" name="DIASecurityClassification">
    <vt:lpwstr>15;#IN-CONFIDENCE|cf9276f4-acb3-404d-a80d-53cc76a30125</vt:lpwstr>
  </property>
  <property fmtid="{D5CDD505-2E9C-101B-9397-08002B2CF9AE}" pid="11" name="DIAEmailContentType">
    <vt:lpwstr>1;#Correspondence|dcd6b05f-dc80-4336-b228-09aebf3d212c</vt:lpwstr>
  </property>
  <property fmtid="{D5CDD505-2E9C-101B-9397-08002B2CF9AE}" pid="12" name="e761acb5ad2b4b94934469c999c3436d">
    <vt:lpwstr/>
  </property>
</Properties>
</file>