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309" w:rsidRDefault="00A36309" w:rsidP="00A36309"/>
    <w:tbl>
      <w:tblPr>
        <w:tblStyle w:val="Blanktable"/>
        <w:tblW w:w="0" w:type="auto"/>
        <w:tblLook w:val="04A0" w:firstRow="1" w:lastRow="0" w:firstColumn="1" w:lastColumn="0" w:noHBand="0" w:noVBand="1"/>
        <w:tblDescription w:val="This table is for layout only."/>
      </w:tblPr>
      <w:tblGrid>
        <w:gridCol w:w="8579"/>
      </w:tblGrid>
      <w:tr w:rsidR="00003EBF" w:rsidTr="00342DBF">
        <w:trPr>
          <w:trHeight w:hRule="exact" w:val="5897"/>
        </w:trPr>
        <w:tc>
          <w:tcPr>
            <w:tcW w:w="8819" w:type="dxa"/>
            <w:vAlign w:val="bottom"/>
          </w:tcPr>
          <w:p w:rsidR="00A36309" w:rsidRDefault="00D90C46" w:rsidP="0079153C">
            <w:pPr>
              <w:pStyle w:val="Title"/>
            </w:pPr>
            <w:r>
              <w:t>Discussion Document</w:t>
            </w:r>
            <w:r w:rsidR="00A36309">
              <w:t>:</w:t>
            </w:r>
          </w:p>
          <w:p w:rsidR="00A36309" w:rsidRDefault="00D90C46" w:rsidP="0079153C">
            <w:pPr>
              <w:pStyle w:val="Title"/>
            </w:pPr>
            <w:r>
              <w:t>Review of</w:t>
            </w:r>
            <w:r w:rsidR="00A36309">
              <w:t xml:space="preserve"> </w:t>
            </w:r>
            <w:r w:rsidR="00F26406">
              <w:t xml:space="preserve">Class 4 gambling </w:t>
            </w:r>
          </w:p>
          <w:p w:rsidR="00773F2E" w:rsidRPr="0013424E" w:rsidRDefault="00F26406" w:rsidP="00773F2E">
            <w:pPr>
              <w:pStyle w:val="Title2"/>
            </w:pPr>
            <w:r>
              <w:t>Department of Internal Affairs</w:t>
            </w:r>
            <w:r w:rsidR="00143173">
              <w:t xml:space="preserve"> </w:t>
            </w:r>
          </w:p>
          <w:p w:rsidR="006B0386" w:rsidRDefault="00F26406" w:rsidP="006B0386">
            <w:pPr>
              <w:pStyle w:val="Title2"/>
            </w:pPr>
            <w:r>
              <w:t>June 2016</w:t>
            </w:r>
          </w:p>
        </w:tc>
      </w:tr>
      <w:tr w:rsidR="00003EBF" w:rsidTr="007D3469">
        <w:trPr>
          <w:trHeight w:val="7258"/>
        </w:trPr>
        <w:tc>
          <w:tcPr>
            <w:tcW w:w="8819" w:type="dxa"/>
            <w:vAlign w:val="bottom"/>
          </w:tcPr>
          <w:p w:rsidR="00A36309" w:rsidRDefault="00D90C46" w:rsidP="007202D5">
            <w:pPr>
              <w:pStyle w:val="Coverimage"/>
            </w:pPr>
            <w:r>
              <w:rPr>
                <w:noProof/>
                <w:lang w:eastAsia="en-NZ"/>
              </w:rPr>
              <w:drawing>
                <wp:inline distT="0" distB="0" distL="0" distR="0" wp14:anchorId="53977A6F" wp14:editId="7540E22B">
                  <wp:extent cx="2234565" cy="3601720"/>
                  <wp:effectExtent l="0" t="0" r="0" b="0"/>
                  <wp:docPr id="3" name="Picture 3" descr="\\wlgprdfile02.dia.govt.nz\shared$\diatemplates\Templates\Images\Cover-f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gprdfile02.dia.govt.nz\shared$\diatemplates\Templates\Images\Cover-fer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4565" cy="3601720"/>
                          </a:xfrm>
                          <a:prstGeom prst="rect">
                            <a:avLst/>
                          </a:prstGeom>
                          <a:noFill/>
                          <a:ln>
                            <a:noFill/>
                          </a:ln>
                        </pic:spPr>
                      </pic:pic>
                    </a:graphicData>
                  </a:graphic>
                </wp:inline>
              </w:drawing>
            </w:r>
          </w:p>
        </w:tc>
      </w:tr>
    </w:tbl>
    <w:p w:rsidR="004518B7" w:rsidRPr="00D90C46" w:rsidRDefault="004518B7" w:rsidP="007D3469">
      <w:pPr>
        <w:rPr>
          <w:sz w:val="4"/>
          <w:szCs w:val="4"/>
        </w:rPr>
      </w:pPr>
    </w:p>
    <w:p w:rsidR="004518B7" w:rsidRDefault="004518B7" w:rsidP="007D3469">
      <w:pPr>
        <w:sectPr w:rsidR="004518B7" w:rsidSect="00E739BC">
          <w:headerReference w:type="default" r:id="rId10"/>
          <w:footerReference w:type="default" r:id="rId11"/>
          <w:pgSz w:w="11907" w:h="16840" w:code="9"/>
          <w:pgMar w:top="1418" w:right="1418" w:bottom="992" w:left="1418" w:header="425" w:footer="641" w:gutter="0"/>
          <w:cols w:space="708"/>
          <w:docGrid w:linePitch="360"/>
        </w:sectPr>
      </w:pPr>
    </w:p>
    <w:p w:rsidR="007D3469" w:rsidRPr="007D3469" w:rsidRDefault="000E09DC" w:rsidP="00D90C46">
      <w:pPr>
        <w:pStyle w:val="NotforContentsheading1"/>
      </w:pPr>
      <w:r>
        <w:lastRenderedPageBreak/>
        <w:t>Contents</w:t>
      </w:r>
    </w:p>
    <w:p w:rsidR="005B6A37" w:rsidRDefault="00860B2B">
      <w:pPr>
        <w:pStyle w:val="TOC1"/>
        <w:rPr>
          <w:rFonts w:asciiTheme="minorHAnsi" w:eastAsiaTheme="minorEastAsia" w:hAnsiTheme="minorHAnsi" w:cstheme="minorBidi"/>
          <w:b w:val="0"/>
          <w:noProof/>
          <w:color w:val="auto"/>
          <w:sz w:val="22"/>
          <w:szCs w:val="22"/>
          <w:lang w:eastAsia="en-NZ"/>
        </w:rPr>
      </w:pPr>
      <w:r>
        <w:fldChar w:fldCharType="begin"/>
      </w:r>
      <w:r>
        <w:instrText xml:space="preserve"> TOC \o "1-2" \h \z \t "Heading appendix,1" </w:instrText>
      </w:r>
      <w:r>
        <w:fldChar w:fldCharType="separate"/>
      </w:r>
      <w:hyperlink w:anchor="_Toc453068849" w:history="1">
        <w:r w:rsidR="005B6A37" w:rsidRPr="00772DAE">
          <w:rPr>
            <w:rStyle w:val="Hyperlink"/>
            <w:noProof/>
          </w:rPr>
          <w:t>Glossary of abbreviations and terms</w:t>
        </w:r>
        <w:r w:rsidR="005B6A37">
          <w:rPr>
            <w:noProof/>
            <w:webHidden/>
          </w:rPr>
          <w:tab/>
        </w:r>
        <w:r w:rsidR="005B6A37">
          <w:rPr>
            <w:noProof/>
            <w:webHidden/>
          </w:rPr>
          <w:fldChar w:fldCharType="begin"/>
        </w:r>
        <w:r w:rsidR="005B6A37">
          <w:rPr>
            <w:noProof/>
            <w:webHidden/>
          </w:rPr>
          <w:instrText xml:space="preserve"> PAGEREF _Toc453068849 \h </w:instrText>
        </w:r>
        <w:r w:rsidR="005B6A37">
          <w:rPr>
            <w:noProof/>
            <w:webHidden/>
          </w:rPr>
        </w:r>
        <w:r w:rsidR="005B6A37">
          <w:rPr>
            <w:noProof/>
            <w:webHidden/>
          </w:rPr>
          <w:fldChar w:fldCharType="separate"/>
        </w:r>
        <w:r w:rsidR="008B7BE4">
          <w:rPr>
            <w:noProof/>
            <w:webHidden/>
          </w:rPr>
          <w:t>1</w:t>
        </w:r>
        <w:r w:rsidR="005B6A37">
          <w:rPr>
            <w:noProof/>
            <w:webHidden/>
          </w:rPr>
          <w:fldChar w:fldCharType="end"/>
        </w:r>
      </w:hyperlink>
    </w:p>
    <w:p w:rsidR="005B6A37" w:rsidRDefault="00D61C01">
      <w:pPr>
        <w:pStyle w:val="TOC1"/>
        <w:rPr>
          <w:rFonts w:asciiTheme="minorHAnsi" w:eastAsiaTheme="minorEastAsia" w:hAnsiTheme="minorHAnsi" w:cstheme="minorBidi"/>
          <w:b w:val="0"/>
          <w:noProof/>
          <w:color w:val="auto"/>
          <w:sz w:val="22"/>
          <w:szCs w:val="22"/>
          <w:lang w:eastAsia="en-NZ"/>
        </w:rPr>
      </w:pPr>
      <w:hyperlink w:anchor="_Toc453068850" w:history="1">
        <w:r w:rsidR="005B6A37" w:rsidRPr="00772DAE">
          <w:rPr>
            <w:rStyle w:val="Hyperlink"/>
            <w:noProof/>
          </w:rPr>
          <w:t>What is this consultation document about?</w:t>
        </w:r>
        <w:r w:rsidR="005B6A37">
          <w:rPr>
            <w:noProof/>
            <w:webHidden/>
          </w:rPr>
          <w:tab/>
        </w:r>
        <w:r w:rsidR="005B6A37">
          <w:rPr>
            <w:noProof/>
            <w:webHidden/>
          </w:rPr>
          <w:fldChar w:fldCharType="begin"/>
        </w:r>
        <w:r w:rsidR="005B6A37">
          <w:rPr>
            <w:noProof/>
            <w:webHidden/>
          </w:rPr>
          <w:instrText xml:space="preserve"> PAGEREF _Toc453068850 \h </w:instrText>
        </w:r>
        <w:r w:rsidR="005B6A37">
          <w:rPr>
            <w:noProof/>
            <w:webHidden/>
          </w:rPr>
        </w:r>
        <w:r w:rsidR="005B6A37">
          <w:rPr>
            <w:noProof/>
            <w:webHidden/>
          </w:rPr>
          <w:fldChar w:fldCharType="separate"/>
        </w:r>
        <w:r w:rsidR="008B7BE4">
          <w:rPr>
            <w:noProof/>
            <w:webHidden/>
          </w:rPr>
          <w:t>3</w:t>
        </w:r>
        <w:r w:rsidR="005B6A37">
          <w:rPr>
            <w:noProof/>
            <w:webHidden/>
          </w:rPr>
          <w:fldChar w:fldCharType="end"/>
        </w:r>
      </w:hyperlink>
    </w:p>
    <w:p w:rsidR="005B6A37" w:rsidRDefault="00D61C01">
      <w:pPr>
        <w:pStyle w:val="TOC2"/>
        <w:rPr>
          <w:rFonts w:asciiTheme="minorHAnsi" w:eastAsiaTheme="minorEastAsia" w:hAnsiTheme="minorHAnsi" w:cstheme="minorBidi"/>
          <w:sz w:val="22"/>
          <w:szCs w:val="22"/>
          <w:lang w:eastAsia="en-NZ"/>
        </w:rPr>
      </w:pPr>
      <w:hyperlink w:anchor="_Toc453068851" w:history="1">
        <w:r w:rsidR="005B6A37" w:rsidRPr="00772DAE">
          <w:rPr>
            <w:rStyle w:val="Hyperlink"/>
          </w:rPr>
          <w:t>Sending us your submission</w:t>
        </w:r>
        <w:r w:rsidR="005B6A37">
          <w:rPr>
            <w:webHidden/>
          </w:rPr>
          <w:tab/>
        </w:r>
        <w:r w:rsidR="005B6A37">
          <w:rPr>
            <w:webHidden/>
          </w:rPr>
          <w:fldChar w:fldCharType="begin"/>
        </w:r>
        <w:r w:rsidR="005B6A37">
          <w:rPr>
            <w:webHidden/>
          </w:rPr>
          <w:instrText xml:space="preserve"> PAGEREF _Toc453068851 \h </w:instrText>
        </w:r>
        <w:r w:rsidR="005B6A37">
          <w:rPr>
            <w:webHidden/>
          </w:rPr>
        </w:r>
        <w:r w:rsidR="005B6A37">
          <w:rPr>
            <w:webHidden/>
          </w:rPr>
          <w:fldChar w:fldCharType="separate"/>
        </w:r>
        <w:r w:rsidR="008B7BE4">
          <w:rPr>
            <w:webHidden/>
          </w:rPr>
          <w:t>3</w:t>
        </w:r>
        <w:r w:rsidR="005B6A37">
          <w:rPr>
            <w:webHidden/>
          </w:rPr>
          <w:fldChar w:fldCharType="end"/>
        </w:r>
      </w:hyperlink>
    </w:p>
    <w:p w:rsidR="005B6A37" w:rsidRDefault="00D61C01">
      <w:pPr>
        <w:pStyle w:val="TOC1"/>
        <w:rPr>
          <w:rFonts w:asciiTheme="minorHAnsi" w:eastAsiaTheme="minorEastAsia" w:hAnsiTheme="minorHAnsi" w:cstheme="minorBidi"/>
          <w:b w:val="0"/>
          <w:noProof/>
          <w:color w:val="auto"/>
          <w:sz w:val="22"/>
          <w:szCs w:val="22"/>
          <w:lang w:eastAsia="en-NZ"/>
        </w:rPr>
      </w:pPr>
      <w:hyperlink w:anchor="_Toc453068852" w:history="1">
        <w:r w:rsidR="005B6A37" w:rsidRPr="00772DAE">
          <w:rPr>
            <w:rStyle w:val="Hyperlink"/>
            <w:noProof/>
          </w:rPr>
          <w:t>Why are we doing this review?</w:t>
        </w:r>
        <w:r w:rsidR="005B6A37">
          <w:rPr>
            <w:noProof/>
            <w:webHidden/>
          </w:rPr>
          <w:tab/>
        </w:r>
        <w:r w:rsidR="005B6A37">
          <w:rPr>
            <w:noProof/>
            <w:webHidden/>
          </w:rPr>
          <w:fldChar w:fldCharType="begin"/>
        </w:r>
        <w:r w:rsidR="005B6A37">
          <w:rPr>
            <w:noProof/>
            <w:webHidden/>
          </w:rPr>
          <w:instrText xml:space="preserve"> PAGEREF _Toc453068852 \h </w:instrText>
        </w:r>
        <w:r w:rsidR="005B6A37">
          <w:rPr>
            <w:noProof/>
            <w:webHidden/>
          </w:rPr>
        </w:r>
        <w:r w:rsidR="005B6A37">
          <w:rPr>
            <w:noProof/>
            <w:webHidden/>
          </w:rPr>
          <w:fldChar w:fldCharType="separate"/>
        </w:r>
        <w:r w:rsidR="008B7BE4">
          <w:rPr>
            <w:noProof/>
            <w:webHidden/>
          </w:rPr>
          <w:t>4</w:t>
        </w:r>
        <w:r w:rsidR="005B6A37">
          <w:rPr>
            <w:noProof/>
            <w:webHidden/>
          </w:rPr>
          <w:fldChar w:fldCharType="end"/>
        </w:r>
      </w:hyperlink>
    </w:p>
    <w:p w:rsidR="005B6A37" w:rsidRDefault="00D61C01">
      <w:pPr>
        <w:pStyle w:val="TOC2"/>
        <w:rPr>
          <w:rFonts w:asciiTheme="minorHAnsi" w:eastAsiaTheme="minorEastAsia" w:hAnsiTheme="minorHAnsi" w:cstheme="minorBidi"/>
          <w:sz w:val="22"/>
          <w:szCs w:val="22"/>
          <w:lang w:eastAsia="en-NZ"/>
        </w:rPr>
      </w:pPr>
      <w:hyperlink w:anchor="_Toc453068853" w:history="1">
        <w:r w:rsidR="005B6A37" w:rsidRPr="00772DAE">
          <w:rPr>
            <w:rStyle w:val="Hyperlink"/>
          </w:rPr>
          <w:t>Objectives</w:t>
        </w:r>
        <w:r w:rsidR="005B6A37">
          <w:rPr>
            <w:webHidden/>
          </w:rPr>
          <w:tab/>
        </w:r>
        <w:r w:rsidR="005B6A37">
          <w:rPr>
            <w:webHidden/>
          </w:rPr>
          <w:fldChar w:fldCharType="begin"/>
        </w:r>
        <w:r w:rsidR="005B6A37">
          <w:rPr>
            <w:webHidden/>
          </w:rPr>
          <w:instrText xml:space="preserve"> PAGEREF _Toc453068853 \h </w:instrText>
        </w:r>
        <w:r w:rsidR="005B6A37">
          <w:rPr>
            <w:webHidden/>
          </w:rPr>
        </w:r>
        <w:r w:rsidR="005B6A37">
          <w:rPr>
            <w:webHidden/>
          </w:rPr>
          <w:fldChar w:fldCharType="separate"/>
        </w:r>
        <w:r w:rsidR="008B7BE4">
          <w:rPr>
            <w:webHidden/>
          </w:rPr>
          <w:t>5</w:t>
        </w:r>
        <w:r w:rsidR="005B6A37">
          <w:rPr>
            <w:webHidden/>
          </w:rPr>
          <w:fldChar w:fldCharType="end"/>
        </w:r>
      </w:hyperlink>
    </w:p>
    <w:p w:rsidR="005B6A37" w:rsidRDefault="00D61C01">
      <w:pPr>
        <w:pStyle w:val="TOC1"/>
        <w:rPr>
          <w:rFonts w:asciiTheme="minorHAnsi" w:eastAsiaTheme="minorEastAsia" w:hAnsiTheme="minorHAnsi" w:cstheme="minorBidi"/>
          <w:b w:val="0"/>
          <w:noProof/>
          <w:color w:val="auto"/>
          <w:sz w:val="22"/>
          <w:szCs w:val="22"/>
          <w:lang w:eastAsia="en-NZ"/>
        </w:rPr>
      </w:pPr>
      <w:hyperlink w:anchor="_Toc453068854" w:history="1">
        <w:r w:rsidR="005B6A37" w:rsidRPr="00772DAE">
          <w:rPr>
            <w:rStyle w:val="Hyperlink"/>
            <w:noProof/>
          </w:rPr>
          <w:t>PART I: Overview of class 4 gambling</w:t>
        </w:r>
        <w:r w:rsidR="005B6A37">
          <w:rPr>
            <w:noProof/>
            <w:webHidden/>
          </w:rPr>
          <w:tab/>
        </w:r>
        <w:r w:rsidR="005B6A37">
          <w:rPr>
            <w:noProof/>
            <w:webHidden/>
          </w:rPr>
          <w:fldChar w:fldCharType="begin"/>
        </w:r>
        <w:r w:rsidR="005B6A37">
          <w:rPr>
            <w:noProof/>
            <w:webHidden/>
          </w:rPr>
          <w:instrText xml:space="preserve"> PAGEREF _Toc453068854 \h </w:instrText>
        </w:r>
        <w:r w:rsidR="005B6A37">
          <w:rPr>
            <w:noProof/>
            <w:webHidden/>
          </w:rPr>
        </w:r>
        <w:r w:rsidR="005B6A37">
          <w:rPr>
            <w:noProof/>
            <w:webHidden/>
          </w:rPr>
          <w:fldChar w:fldCharType="separate"/>
        </w:r>
        <w:r w:rsidR="008B7BE4">
          <w:rPr>
            <w:noProof/>
            <w:webHidden/>
          </w:rPr>
          <w:t>6</w:t>
        </w:r>
        <w:r w:rsidR="005B6A37">
          <w:rPr>
            <w:noProof/>
            <w:webHidden/>
          </w:rPr>
          <w:fldChar w:fldCharType="end"/>
        </w:r>
      </w:hyperlink>
    </w:p>
    <w:p w:rsidR="005B6A37" w:rsidRDefault="00D61C01">
      <w:pPr>
        <w:pStyle w:val="TOC2"/>
        <w:rPr>
          <w:rFonts w:asciiTheme="minorHAnsi" w:eastAsiaTheme="minorEastAsia" w:hAnsiTheme="minorHAnsi" w:cstheme="minorBidi"/>
          <w:sz w:val="22"/>
          <w:szCs w:val="22"/>
          <w:lang w:eastAsia="en-NZ"/>
        </w:rPr>
      </w:pPr>
      <w:hyperlink w:anchor="_Toc453068855" w:history="1">
        <w:r w:rsidR="005B6A37" w:rsidRPr="00772DAE">
          <w:rPr>
            <w:rStyle w:val="Hyperlink"/>
          </w:rPr>
          <w:t>Class 4 gambling</w:t>
        </w:r>
        <w:r w:rsidR="005B6A37">
          <w:rPr>
            <w:webHidden/>
          </w:rPr>
          <w:tab/>
        </w:r>
        <w:r w:rsidR="005B6A37">
          <w:rPr>
            <w:webHidden/>
          </w:rPr>
          <w:fldChar w:fldCharType="begin"/>
        </w:r>
        <w:r w:rsidR="005B6A37">
          <w:rPr>
            <w:webHidden/>
          </w:rPr>
          <w:instrText xml:space="preserve"> PAGEREF _Toc453068855 \h </w:instrText>
        </w:r>
        <w:r w:rsidR="005B6A37">
          <w:rPr>
            <w:webHidden/>
          </w:rPr>
        </w:r>
        <w:r w:rsidR="005B6A37">
          <w:rPr>
            <w:webHidden/>
          </w:rPr>
          <w:fldChar w:fldCharType="separate"/>
        </w:r>
        <w:r w:rsidR="008B7BE4">
          <w:rPr>
            <w:webHidden/>
          </w:rPr>
          <w:t>7</w:t>
        </w:r>
        <w:r w:rsidR="005B6A37">
          <w:rPr>
            <w:webHidden/>
          </w:rPr>
          <w:fldChar w:fldCharType="end"/>
        </w:r>
      </w:hyperlink>
    </w:p>
    <w:p w:rsidR="005B6A37" w:rsidRDefault="00D61C01">
      <w:pPr>
        <w:pStyle w:val="TOC2"/>
        <w:rPr>
          <w:rFonts w:asciiTheme="minorHAnsi" w:eastAsiaTheme="minorEastAsia" w:hAnsiTheme="minorHAnsi" w:cstheme="minorBidi"/>
          <w:sz w:val="22"/>
          <w:szCs w:val="22"/>
          <w:lang w:eastAsia="en-NZ"/>
        </w:rPr>
      </w:pPr>
      <w:hyperlink w:anchor="_Toc453068856" w:history="1">
        <w:r w:rsidR="005B6A37" w:rsidRPr="00772DAE">
          <w:rPr>
            <w:rStyle w:val="Hyperlink"/>
          </w:rPr>
          <w:t>Class 4 structure</w:t>
        </w:r>
        <w:r w:rsidR="005B6A37">
          <w:rPr>
            <w:webHidden/>
          </w:rPr>
          <w:tab/>
        </w:r>
        <w:r w:rsidR="005B6A37">
          <w:rPr>
            <w:webHidden/>
          </w:rPr>
          <w:fldChar w:fldCharType="begin"/>
        </w:r>
        <w:r w:rsidR="005B6A37">
          <w:rPr>
            <w:webHidden/>
          </w:rPr>
          <w:instrText xml:space="preserve"> PAGEREF _Toc453068856 \h </w:instrText>
        </w:r>
        <w:r w:rsidR="005B6A37">
          <w:rPr>
            <w:webHidden/>
          </w:rPr>
        </w:r>
        <w:r w:rsidR="005B6A37">
          <w:rPr>
            <w:webHidden/>
          </w:rPr>
          <w:fldChar w:fldCharType="separate"/>
        </w:r>
        <w:r w:rsidR="008B7BE4">
          <w:rPr>
            <w:webHidden/>
          </w:rPr>
          <w:t>7</w:t>
        </w:r>
        <w:r w:rsidR="005B6A37">
          <w:rPr>
            <w:webHidden/>
          </w:rPr>
          <w:fldChar w:fldCharType="end"/>
        </w:r>
      </w:hyperlink>
    </w:p>
    <w:p w:rsidR="005B6A37" w:rsidRDefault="00D61C01">
      <w:pPr>
        <w:pStyle w:val="TOC2"/>
        <w:rPr>
          <w:rFonts w:asciiTheme="minorHAnsi" w:eastAsiaTheme="minorEastAsia" w:hAnsiTheme="minorHAnsi" w:cstheme="minorBidi"/>
          <w:sz w:val="22"/>
          <w:szCs w:val="22"/>
          <w:lang w:eastAsia="en-NZ"/>
        </w:rPr>
      </w:pPr>
      <w:hyperlink w:anchor="_Toc453068857" w:history="1">
        <w:r w:rsidR="005B6A37" w:rsidRPr="00772DAE">
          <w:rPr>
            <w:rStyle w:val="Hyperlink"/>
          </w:rPr>
          <w:t>Minimising harm from gambling</w:t>
        </w:r>
        <w:r w:rsidR="005B6A37">
          <w:rPr>
            <w:webHidden/>
          </w:rPr>
          <w:tab/>
        </w:r>
        <w:r w:rsidR="005B6A37">
          <w:rPr>
            <w:webHidden/>
          </w:rPr>
          <w:fldChar w:fldCharType="begin"/>
        </w:r>
        <w:r w:rsidR="005B6A37">
          <w:rPr>
            <w:webHidden/>
          </w:rPr>
          <w:instrText xml:space="preserve"> PAGEREF _Toc453068857 \h </w:instrText>
        </w:r>
        <w:r w:rsidR="005B6A37">
          <w:rPr>
            <w:webHidden/>
          </w:rPr>
        </w:r>
        <w:r w:rsidR="005B6A37">
          <w:rPr>
            <w:webHidden/>
          </w:rPr>
          <w:fldChar w:fldCharType="separate"/>
        </w:r>
        <w:r w:rsidR="008B7BE4">
          <w:rPr>
            <w:webHidden/>
          </w:rPr>
          <w:t>10</w:t>
        </w:r>
        <w:r w:rsidR="005B6A37">
          <w:rPr>
            <w:webHidden/>
          </w:rPr>
          <w:fldChar w:fldCharType="end"/>
        </w:r>
      </w:hyperlink>
    </w:p>
    <w:p w:rsidR="005B6A37" w:rsidRDefault="00D61C01">
      <w:pPr>
        <w:pStyle w:val="TOC2"/>
        <w:rPr>
          <w:rFonts w:asciiTheme="minorHAnsi" w:eastAsiaTheme="minorEastAsia" w:hAnsiTheme="minorHAnsi" w:cstheme="minorBidi"/>
          <w:sz w:val="22"/>
          <w:szCs w:val="22"/>
          <w:lang w:eastAsia="en-NZ"/>
        </w:rPr>
      </w:pPr>
      <w:hyperlink w:anchor="_Toc453068858" w:history="1">
        <w:r w:rsidR="005B6A37" w:rsidRPr="00772DAE">
          <w:rPr>
            <w:rStyle w:val="Hyperlink"/>
          </w:rPr>
          <w:t>The role of local government</w:t>
        </w:r>
        <w:r w:rsidR="005B6A37">
          <w:rPr>
            <w:webHidden/>
          </w:rPr>
          <w:tab/>
        </w:r>
        <w:r w:rsidR="005B6A37">
          <w:rPr>
            <w:webHidden/>
          </w:rPr>
          <w:fldChar w:fldCharType="begin"/>
        </w:r>
        <w:r w:rsidR="005B6A37">
          <w:rPr>
            <w:webHidden/>
          </w:rPr>
          <w:instrText xml:space="preserve"> PAGEREF _Toc453068858 \h </w:instrText>
        </w:r>
        <w:r w:rsidR="005B6A37">
          <w:rPr>
            <w:webHidden/>
          </w:rPr>
        </w:r>
        <w:r w:rsidR="005B6A37">
          <w:rPr>
            <w:webHidden/>
          </w:rPr>
          <w:fldChar w:fldCharType="separate"/>
        </w:r>
        <w:r w:rsidR="008B7BE4">
          <w:rPr>
            <w:webHidden/>
          </w:rPr>
          <w:t>12</w:t>
        </w:r>
        <w:r w:rsidR="005B6A37">
          <w:rPr>
            <w:webHidden/>
          </w:rPr>
          <w:fldChar w:fldCharType="end"/>
        </w:r>
      </w:hyperlink>
    </w:p>
    <w:p w:rsidR="005B6A37" w:rsidRDefault="00D61C01">
      <w:pPr>
        <w:pStyle w:val="TOC2"/>
        <w:rPr>
          <w:rFonts w:asciiTheme="minorHAnsi" w:eastAsiaTheme="minorEastAsia" w:hAnsiTheme="minorHAnsi" w:cstheme="minorBidi"/>
          <w:sz w:val="22"/>
          <w:szCs w:val="22"/>
          <w:lang w:eastAsia="en-NZ"/>
        </w:rPr>
      </w:pPr>
      <w:hyperlink w:anchor="_Toc453068859" w:history="1">
        <w:r w:rsidR="005B6A37" w:rsidRPr="00772DAE">
          <w:rPr>
            <w:rStyle w:val="Hyperlink"/>
          </w:rPr>
          <w:t>Community funding</w:t>
        </w:r>
        <w:r w:rsidR="005B6A37">
          <w:rPr>
            <w:webHidden/>
          </w:rPr>
          <w:tab/>
        </w:r>
        <w:r w:rsidR="005B6A37">
          <w:rPr>
            <w:webHidden/>
          </w:rPr>
          <w:fldChar w:fldCharType="begin"/>
        </w:r>
        <w:r w:rsidR="005B6A37">
          <w:rPr>
            <w:webHidden/>
          </w:rPr>
          <w:instrText xml:space="preserve"> PAGEREF _Toc453068859 \h </w:instrText>
        </w:r>
        <w:r w:rsidR="005B6A37">
          <w:rPr>
            <w:webHidden/>
          </w:rPr>
        </w:r>
        <w:r w:rsidR="005B6A37">
          <w:rPr>
            <w:webHidden/>
          </w:rPr>
          <w:fldChar w:fldCharType="separate"/>
        </w:r>
        <w:r w:rsidR="008B7BE4">
          <w:rPr>
            <w:webHidden/>
          </w:rPr>
          <w:t>13</w:t>
        </w:r>
        <w:r w:rsidR="005B6A37">
          <w:rPr>
            <w:webHidden/>
          </w:rPr>
          <w:fldChar w:fldCharType="end"/>
        </w:r>
      </w:hyperlink>
    </w:p>
    <w:p w:rsidR="005B6A37" w:rsidRDefault="00D61C01">
      <w:pPr>
        <w:pStyle w:val="TOC2"/>
        <w:rPr>
          <w:rFonts w:asciiTheme="minorHAnsi" w:eastAsiaTheme="minorEastAsia" w:hAnsiTheme="minorHAnsi" w:cstheme="minorBidi"/>
          <w:sz w:val="22"/>
          <w:szCs w:val="22"/>
          <w:lang w:eastAsia="en-NZ"/>
        </w:rPr>
      </w:pPr>
      <w:hyperlink w:anchor="_Toc453068860" w:history="1">
        <w:r w:rsidR="005B6A37" w:rsidRPr="00772DAE">
          <w:rPr>
            <w:rStyle w:val="Hyperlink"/>
          </w:rPr>
          <w:t>Regulatory changes already occurring in the sector</w:t>
        </w:r>
        <w:r w:rsidR="005B6A37">
          <w:rPr>
            <w:webHidden/>
          </w:rPr>
          <w:tab/>
        </w:r>
        <w:r w:rsidR="005B6A37">
          <w:rPr>
            <w:webHidden/>
          </w:rPr>
          <w:fldChar w:fldCharType="begin"/>
        </w:r>
        <w:r w:rsidR="005B6A37">
          <w:rPr>
            <w:webHidden/>
          </w:rPr>
          <w:instrText xml:space="preserve"> PAGEREF _Toc453068860 \h </w:instrText>
        </w:r>
        <w:r w:rsidR="005B6A37">
          <w:rPr>
            <w:webHidden/>
          </w:rPr>
        </w:r>
        <w:r w:rsidR="005B6A37">
          <w:rPr>
            <w:webHidden/>
          </w:rPr>
          <w:fldChar w:fldCharType="separate"/>
        </w:r>
        <w:r w:rsidR="008B7BE4">
          <w:rPr>
            <w:webHidden/>
          </w:rPr>
          <w:t>14</w:t>
        </w:r>
        <w:r w:rsidR="005B6A37">
          <w:rPr>
            <w:webHidden/>
          </w:rPr>
          <w:fldChar w:fldCharType="end"/>
        </w:r>
      </w:hyperlink>
    </w:p>
    <w:p w:rsidR="005B6A37" w:rsidRDefault="00D61C01">
      <w:pPr>
        <w:pStyle w:val="TOC1"/>
        <w:rPr>
          <w:rFonts w:asciiTheme="minorHAnsi" w:eastAsiaTheme="minorEastAsia" w:hAnsiTheme="minorHAnsi" w:cstheme="minorBidi"/>
          <w:b w:val="0"/>
          <w:noProof/>
          <w:color w:val="auto"/>
          <w:sz w:val="22"/>
          <w:szCs w:val="22"/>
          <w:lang w:eastAsia="en-NZ"/>
        </w:rPr>
      </w:pPr>
      <w:hyperlink w:anchor="_Toc453068861" w:history="1">
        <w:r w:rsidR="005B6A37" w:rsidRPr="00772DAE">
          <w:rPr>
            <w:rStyle w:val="Hyperlink"/>
            <w:noProof/>
          </w:rPr>
          <w:t>PART II: Factors influencing the class 4 sector</w:t>
        </w:r>
        <w:r w:rsidR="005B6A37">
          <w:rPr>
            <w:noProof/>
            <w:webHidden/>
          </w:rPr>
          <w:tab/>
        </w:r>
        <w:r w:rsidR="005B6A37">
          <w:rPr>
            <w:noProof/>
            <w:webHidden/>
          </w:rPr>
          <w:fldChar w:fldCharType="begin"/>
        </w:r>
        <w:r w:rsidR="005B6A37">
          <w:rPr>
            <w:noProof/>
            <w:webHidden/>
          </w:rPr>
          <w:instrText xml:space="preserve"> PAGEREF _Toc453068861 \h </w:instrText>
        </w:r>
        <w:r w:rsidR="005B6A37">
          <w:rPr>
            <w:noProof/>
            <w:webHidden/>
          </w:rPr>
        </w:r>
        <w:r w:rsidR="005B6A37">
          <w:rPr>
            <w:noProof/>
            <w:webHidden/>
          </w:rPr>
          <w:fldChar w:fldCharType="separate"/>
        </w:r>
        <w:r w:rsidR="008B7BE4">
          <w:rPr>
            <w:noProof/>
            <w:webHidden/>
          </w:rPr>
          <w:t>15</w:t>
        </w:r>
        <w:r w:rsidR="005B6A37">
          <w:rPr>
            <w:noProof/>
            <w:webHidden/>
          </w:rPr>
          <w:fldChar w:fldCharType="end"/>
        </w:r>
      </w:hyperlink>
    </w:p>
    <w:p w:rsidR="005B6A37" w:rsidRDefault="00D61C01">
      <w:pPr>
        <w:pStyle w:val="TOC2"/>
        <w:rPr>
          <w:rFonts w:asciiTheme="minorHAnsi" w:eastAsiaTheme="minorEastAsia" w:hAnsiTheme="minorHAnsi" w:cstheme="minorBidi"/>
          <w:sz w:val="22"/>
          <w:szCs w:val="22"/>
          <w:lang w:eastAsia="en-NZ"/>
        </w:rPr>
      </w:pPr>
      <w:hyperlink w:anchor="_Toc453068862" w:history="1">
        <w:r w:rsidR="005B6A37" w:rsidRPr="00772DAE">
          <w:rPr>
            <w:rStyle w:val="Hyperlink"/>
          </w:rPr>
          <w:t>Legislative restrictions on the class 4 sector</w:t>
        </w:r>
        <w:r w:rsidR="005B6A37">
          <w:rPr>
            <w:webHidden/>
          </w:rPr>
          <w:tab/>
        </w:r>
        <w:r w:rsidR="005B6A37">
          <w:rPr>
            <w:webHidden/>
          </w:rPr>
          <w:fldChar w:fldCharType="begin"/>
        </w:r>
        <w:r w:rsidR="005B6A37">
          <w:rPr>
            <w:webHidden/>
          </w:rPr>
          <w:instrText xml:space="preserve"> PAGEREF _Toc453068862 \h </w:instrText>
        </w:r>
        <w:r w:rsidR="005B6A37">
          <w:rPr>
            <w:webHidden/>
          </w:rPr>
        </w:r>
        <w:r w:rsidR="005B6A37">
          <w:rPr>
            <w:webHidden/>
          </w:rPr>
          <w:fldChar w:fldCharType="separate"/>
        </w:r>
        <w:r w:rsidR="008B7BE4">
          <w:rPr>
            <w:webHidden/>
          </w:rPr>
          <w:t>15</w:t>
        </w:r>
        <w:r w:rsidR="005B6A37">
          <w:rPr>
            <w:webHidden/>
          </w:rPr>
          <w:fldChar w:fldCharType="end"/>
        </w:r>
      </w:hyperlink>
    </w:p>
    <w:p w:rsidR="005B6A37" w:rsidRDefault="00D61C01">
      <w:pPr>
        <w:pStyle w:val="TOC2"/>
        <w:rPr>
          <w:rFonts w:asciiTheme="minorHAnsi" w:eastAsiaTheme="minorEastAsia" w:hAnsiTheme="minorHAnsi" w:cstheme="minorBidi"/>
          <w:sz w:val="22"/>
          <w:szCs w:val="22"/>
          <w:lang w:eastAsia="en-NZ"/>
        </w:rPr>
      </w:pPr>
      <w:hyperlink w:anchor="_Toc453068863" w:history="1">
        <w:r w:rsidR="005B6A37" w:rsidRPr="00772DAE">
          <w:rPr>
            <w:rStyle w:val="Hyperlink"/>
          </w:rPr>
          <w:t>The role of local government through local venue policies</w:t>
        </w:r>
        <w:r w:rsidR="005B6A37">
          <w:rPr>
            <w:webHidden/>
          </w:rPr>
          <w:tab/>
        </w:r>
        <w:r w:rsidR="005B6A37">
          <w:rPr>
            <w:webHidden/>
          </w:rPr>
          <w:fldChar w:fldCharType="begin"/>
        </w:r>
        <w:r w:rsidR="005B6A37">
          <w:rPr>
            <w:webHidden/>
          </w:rPr>
          <w:instrText xml:space="preserve"> PAGEREF _Toc453068863 \h </w:instrText>
        </w:r>
        <w:r w:rsidR="005B6A37">
          <w:rPr>
            <w:webHidden/>
          </w:rPr>
        </w:r>
        <w:r w:rsidR="005B6A37">
          <w:rPr>
            <w:webHidden/>
          </w:rPr>
          <w:fldChar w:fldCharType="separate"/>
        </w:r>
        <w:r w:rsidR="008B7BE4">
          <w:rPr>
            <w:webHidden/>
          </w:rPr>
          <w:t>16</w:t>
        </w:r>
        <w:r w:rsidR="005B6A37">
          <w:rPr>
            <w:webHidden/>
          </w:rPr>
          <w:fldChar w:fldCharType="end"/>
        </w:r>
      </w:hyperlink>
    </w:p>
    <w:p w:rsidR="005B6A37" w:rsidRDefault="00D61C01">
      <w:pPr>
        <w:pStyle w:val="TOC2"/>
        <w:rPr>
          <w:rFonts w:asciiTheme="minorHAnsi" w:eastAsiaTheme="minorEastAsia" w:hAnsiTheme="minorHAnsi" w:cstheme="minorBidi"/>
          <w:sz w:val="22"/>
          <w:szCs w:val="22"/>
          <w:lang w:eastAsia="en-NZ"/>
        </w:rPr>
      </w:pPr>
      <w:hyperlink w:anchor="_Toc453068864" w:history="1">
        <w:r w:rsidR="005B6A37" w:rsidRPr="00772DAE">
          <w:rPr>
            <w:rStyle w:val="Hyperlink"/>
          </w:rPr>
          <w:t>The Department’s regulatory functions and the cost of regulating gambling</w:t>
        </w:r>
        <w:r w:rsidR="005B6A37">
          <w:rPr>
            <w:webHidden/>
          </w:rPr>
          <w:tab/>
        </w:r>
        <w:r w:rsidR="005B6A37">
          <w:rPr>
            <w:webHidden/>
          </w:rPr>
          <w:fldChar w:fldCharType="begin"/>
        </w:r>
        <w:r w:rsidR="005B6A37">
          <w:rPr>
            <w:webHidden/>
          </w:rPr>
          <w:instrText xml:space="preserve"> PAGEREF _Toc453068864 \h </w:instrText>
        </w:r>
        <w:r w:rsidR="005B6A37">
          <w:rPr>
            <w:webHidden/>
          </w:rPr>
        </w:r>
        <w:r w:rsidR="005B6A37">
          <w:rPr>
            <w:webHidden/>
          </w:rPr>
          <w:fldChar w:fldCharType="separate"/>
        </w:r>
        <w:r w:rsidR="008B7BE4">
          <w:rPr>
            <w:webHidden/>
          </w:rPr>
          <w:t>17</w:t>
        </w:r>
        <w:r w:rsidR="005B6A37">
          <w:rPr>
            <w:webHidden/>
          </w:rPr>
          <w:fldChar w:fldCharType="end"/>
        </w:r>
      </w:hyperlink>
    </w:p>
    <w:p w:rsidR="005B6A37" w:rsidRDefault="00D61C01">
      <w:pPr>
        <w:pStyle w:val="TOC2"/>
        <w:rPr>
          <w:rFonts w:asciiTheme="minorHAnsi" w:eastAsiaTheme="minorEastAsia" w:hAnsiTheme="minorHAnsi" w:cstheme="minorBidi"/>
          <w:sz w:val="22"/>
          <w:szCs w:val="22"/>
          <w:lang w:eastAsia="en-NZ"/>
        </w:rPr>
      </w:pPr>
      <w:hyperlink w:anchor="_Toc453068865" w:history="1">
        <w:r w:rsidR="005B6A37" w:rsidRPr="00772DAE">
          <w:rPr>
            <w:rStyle w:val="Hyperlink"/>
          </w:rPr>
          <w:t>Problem gambling</w:t>
        </w:r>
        <w:r w:rsidR="005B6A37">
          <w:rPr>
            <w:webHidden/>
          </w:rPr>
          <w:tab/>
        </w:r>
        <w:r w:rsidR="005B6A37">
          <w:rPr>
            <w:webHidden/>
          </w:rPr>
          <w:fldChar w:fldCharType="begin"/>
        </w:r>
        <w:r w:rsidR="005B6A37">
          <w:rPr>
            <w:webHidden/>
          </w:rPr>
          <w:instrText xml:space="preserve"> PAGEREF _Toc453068865 \h </w:instrText>
        </w:r>
        <w:r w:rsidR="005B6A37">
          <w:rPr>
            <w:webHidden/>
          </w:rPr>
        </w:r>
        <w:r w:rsidR="005B6A37">
          <w:rPr>
            <w:webHidden/>
          </w:rPr>
          <w:fldChar w:fldCharType="separate"/>
        </w:r>
        <w:r w:rsidR="008B7BE4">
          <w:rPr>
            <w:webHidden/>
          </w:rPr>
          <w:t>18</w:t>
        </w:r>
        <w:r w:rsidR="005B6A37">
          <w:rPr>
            <w:webHidden/>
          </w:rPr>
          <w:fldChar w:fldCharType="end"/>
        </w:r>
      </w:hyperlink>
    </w:p>
    <w:p w:rsidR="005B6A37" w:rsidRDefault="00D61C01">
      <w:pPr>
        <w:pStyle w:val="TOC2"/>
        <w:rPr>
          <w:rFonts w:asciiTheme="minorHAnsi" w:eastAsiaTheme="minorEastAsia" w:hAnsiTheme="minorHAnsi" w:cstheme="minorBidi"/>
          <w:sz w:val="22"/>
          <w:szCs w:val="22"/>
          <w:lang w:eastAsia="en-NZ"/>
        </w:rPr>
      </w:pPr>
      <w:hyperlink w:anchor="_Toc453068866" w:history="1">
        <w:r w:rsidR="005B6A37" w:rsidRPr="00772DAE">
          <w:rPr>
            <w:rStyle w:val="Hyperlink"/>
          </w:rPr>
          <w:t>Non-club class 4 gambling sector</w:t>
        </w:r>
        <w:r w:rsidR="005B6A37">
          <w:rPr>
            <w:webHidden/>
          </w:rPr>
          <w:tab/>
        </w:r>
        <w:r w:rsidR="005B6A37">
          <w:rPr>
            <w:webHidden/>
          </w:rPr>
          <w:fldChar w:fldCharType="begin"/>
        </w:r>
        <w:r w:rsidR="005B6A37">
          <w:rPr>
            <w:webHidden/>
          </w:rPr>
          <w:instrText xml:space="preserve"> PAGEREF _Toc453068866 \h </w:instrText>
        </w:r>
        <w:r w:rsidR="005B6A37">
          <w:rPr>
            <w:webHidden/>
          </w:rPr>
        </w:r>
        <w:r w:rsidR="005B6A37">
          <w:rPr>
            <w:webHidden/>
          </w:rPr>
          <w:fldChar w:fldCharType="separate"/>
        </w:r>
        <w:r w:rsidR="008B7BE4">
          <w:rPr>
            <w:webHidden/>
          </w:rPr>
          <w:t>20</w:t>
        </w:r>
        <w:r w:rsidR="005B6A37">
          <w:rPr>
            <w:webHidden/>
          </w:rPr>
          <w:fldChar w:fldCharType="end"/>
        </w:r>
      </w:hyperlink>
    </w:p>
    <w:p w:rsidR="005B6A37" w:rsidRDefault="00D61C01">
      <w:pPr>
        <w:pStyle w:val="TOC2"/>
        <w:rPr>
          <w:rFonts w:asciiTheme="minorHAnsi" w:eastAsiaTheme="minorEastAsia" w:hAnsiTheme="minorHAnsi" w:cstheme="minorBidi"/>
          <w:sz w:val="22"/>
          <w:szCs w:val="22"/>
          <w:lang w:eastAsia="en-NZ"/>
        </w:rPr>
      </w:pPr>
      <w:hyperlink w:anchor="_Toc453068867" w:history="1">
        <w:r w:rsidR="005B6A37" w:rsidRPr="00772DAE">
          <w:rPr>
            <w:rStyle w:val="Hyperlink"/>
          </w:rPr>
          <w:t>Non-club venues and their relationships with non-club societies</w:t>
        </w:r>
        <w:r w:rsidR="005B6A37">
          <w:rPr>
            <w:webHidden/>
          </w:rPr>
          <w:tab/>
        </w:r>
        <w:r w:rsidR="005B6A37">
          <w:rPr>
            <w:webHidden/>
          </w:rPr>
          <w:fldChar w:fldCharType="begin"/>
        </w:r>
        <w:r w:rsidR="005B6A37">
          <w:rPr>
            <w:webHidden/>
          </w:rPr>
          <w:instrText xml:space="preserve"> PAGEREF _Toc453068867 \h </w:instrText>
        </w:r>
        <w:r w:rsidR="005B6A37">
          <w:rPr>
            <w:webHidden/>
          </w:rPr>
        </w:r>
        <w:r w:rsidR="005B6A37">
          <w:rPr>
            <w:webHidden/>
          </w:rPr>
          <w:fldChar w:fldCharType="separate"/>
        </w:r>
        <w:r w:rsidR="008B7BE4">
          <w:rPr>
            <w:webHidden/>
          </w:rPr>
          <w:t>20</w:t>
        </w:r>
        <w:r w:rsidR="005B6A37">
          <w:rPr>
            <w:webHidden/>
          </w:rPr>
          <w:fldChar w:fldCharType="end"/>
        </w:r>
      </w:hyperlink>
    </w:p>
    <w:p w:rsidR="005B6A37" w:rsidRDefault="00D61C01">
      <w:pPr>
        <w:pStyle w:val="TOC2"/>
        <w:rPr>
          <w:rFonts w:asciiTheme="minorHAnsi" w:eastAsiaTheme="minorEastAsia" w:hAnsiTheme="minorHAnsi" w:cstheme="minorBidi"/>
          <w:sz w:val="22"/>
          <w:szCs w:val="22"/>
          <w:lang w:eastAsia="en-NZ"/>
        </w:rPr>
      </w:pPr>
      <w:hyperlink w:anchor="_Toc453068868" w:history="1">
        <w:r w:rsidR="005B6A37" w:rsidRPr="00772DAE">
          <w:rPr>
            <w:rStyle w:val="Hyperlink"/>
          </w:rPr>
          <w:t>Clubs</w:t>
        </w:r>
        <w:r w:rsidR="005B6A37">
          <w:rPr>
            <w:webHidden/>
          </w:rPr>
          <w:tab/>
        </w:r>
        <w:r w:rsidR="00BE1769" w:rsidRPr="00BE1769">
          <w:rPr>
            <w:webHidden/>
          </w:rPr>
          <w:tab/>
        </w:r>
        <w:r w:rsidR="005B6A37">
          <w:rPr>
            <w:webHidden/>
          </w:rPr>
          <w:fldChar w:fldCharType="begin"/>
        </w:r>
        <w:r w:rsidR="005B6A37">
          <w:rPr>
            <w:webHidden/>
          </w:rPr>
          <w:instrText xml:space="preserve"> PAGEREF _Toc453068868 \h </w:instrText>
        </w:r>
        <w:r w:rsidR="005B6A37">
          <w:rPr>
            <w:webHidden/>
          </w:rPr>
        </w:r>
        <w:r w:rsidR="005B6A37">
          <w:rPr>
            <w:webHidden/>
          </w:rPr>
          <w:fldChar w:fldCharType="separate"/>
        </w:r>
        <w:r w:rsidR="008B7BE4">
          <w:rPr>
            <w:webHidden/>
          </w:rPr>
          <w:t>21</w:t>
        </w:r>
        <w:r w:rsidR="005B6A37">
          <w:rPr>
            <w:webHidden/>
          </w:rPr>
          <w:fldChar w:fldCharType="end"/>
        </w:r>
      </w:hyperlink>
    </w:p>
    <w:p w:rsidR="005B6A37" w:rsidRDefault="00D61C01">
      <w:pPr>
        <w:pStyle w:val="TOC2"/>
        <w:rPr>
          <w:rFonts w:asciiTheme="minorHAnsi" w:eastAsiaTheme="minorEastAsia" w:hAnsiTheme="minorHAnsi" w:cstheme="minorBidi"/>
          <w:sz w:val="22"/>
          <w:szCs w:val="22"/>
          <w:lang w:eastAsia="en-NZ"/>
        </w:rPr>
      </w:pPr>
      <w:hyperlink w:anchor="_Toc453068869" w:history="1">
        <w:r w:rsidR="005B6A37" w:rsidRPr="00772DAE">
          <w:rPr>
            <w:rStyle w:val="Hyperlink"/>
          </w:rPr>
          <w:t>Class 4 funding to communities</w:t>
        </w:r>
        <w:r w:rsidR="005B6A37">
          <w:rPr>
            <w:webHidden/>
          </w:rPr>
          <w:tab/>
        </w:r>
        <w:r w:rsidR="005B6A37">
          <w:rPr>
            <w:webHidden/>
          </w:rPr>
          <w:fldChar w:fldCharType="begin"/>
        </w:r>
        <w:r w:rsidR="005B6A37">
          <w:rPr>
            <w:webHidden/>
          </w:rPr>
          <w:instrText xml:space="preserve"> PAGEREF _Toc453068869 \h </w:instrText>
        </w:r>
        <w:r w:rsidR="005B6A37">
          <w:rPr>
            <w:webHidden/>
          </w:rPr>
        </w:r>
        <w:r w:rsidR="005B6A37">
          <w:rPr>
            <w:webHidden/>
          </w:rPr>
          <w:fldChar w:fldCharType="separate"/>
        </w:r>
        <w:r w:rsidR="008B7BE4">
          <w:rPr>
            <w:webHidden/>
          </w:rPr>
          <w:t>22</w:t>
        </w:r>
        <w:r w:rsidR="005B6A37">
          <w:rPr>
            <w:webHidden/>
          </w:rPr>
          <w:fldChar w:fldCharType="end"/>
        </w:r>
      </w:hyperlink>
    </w:p>
    <w:p w:rsidR="005B6A37" w:rsidRDefault="00D61C01">
      <w:pPr>
        <w:pStyle w:val="TOC1"/>
        <w:rPr>
          <w:rFonts w:asciiTheme="minorHAnsi" w:eastAsiaTheme="minorEastAsia" w:hAnsiTheme="minorHAnsi" w:cstheme="minorBidi"/>
          <w:b w:val="0"/>
          <w:noProof/>
          <w:color w:val="auto"/>
          <w:sz w:val="22"/>
          <w:szCs w:val="22"/>
          <w:lang w:eastAsia="en-NZ"/>
        </w:rPr>
      </w:pPr>
      <w:hyperlink w:anchor="_Toc453068870" w:history="1">
        <w:r w:rsidR="005B6A37" w:rsidRPr="00772DAE">
          <w:rPr>
            <w:rStyle w:val="Hyperlink"/>
            <w:noProof/>
          </w:rPr>
          <w:t>PART III: Online gambling</w:t>
        </w:r>
        <w:r w:rsidR="005B6A37">
          <w:rPr>
            <w:noProof/>
            <w:webHidden/>
          </w:rPr>
          <w:tab/>
        </w:r>
        <w:r w:rsidR="005B6A37">
          <w:rPr>
            <w:noProof/>
            <w:webHidden/>
          </w:rPr>
          <w:fldChar w:fldCharType="begin"/>
        </w:r>
        <w:r w:rsidR="005B6A37">
          <w:rPr>
            <w:noProof/>
            <w:webHidden/>
          </w:rPr>
          <w:instrText xml:space="preserve"> PAGEREF _Toc453068870 \h </w:instrText>
        </w:r>
        <w:r w:rsidR="005B6A37">
          <w:rPr>
            <w:noProof/>
            <w:webHidden/>
          </w:rPr>
        </w:r>
        <w:r w:rsidR="005B6A37">
          <w:rPr>
            <w:noProof/>
            <w:webHidden/>
          </w:rPr>
          <w:fldChar w:fldCharType="separate"/>
        </w:r>
        <w:r w:rsidR="008B7BE4">
          <w:rPr>
            <w:noProof/>
            <w:webHidden/>
          </w:rPr>
          <w:t>27</w:t>
        </w:r>
        <w:r w:rsidR="005B6A37">
          <w:rPr>
            <w:noProof/>
            <w:webHidden/>
          </w:rPr>
          <w:fldChar w:fldCharType="end"/>
        </w:r>
      </w:hyperlink>
    </w:p>
    <w:p w:rsidR="005B6A37" w:rsidRDefault="00D61C01">
      <w:pPr>
        <w:pStyle w:val="TOC1"/>
        <w:rPr>
          <w:rFonts w:asciiTheme="minorHAnsi" w:eastAsiaTheme="minorEastAsia" w:hAnsiTheme="minorHAnsi" w:cstheme="minorBidi"/>
          <w:b w:val="0"/>
          <w:noProof/>
          <w:color w:val="auto"/>
          <w:sz w:val="22"/>
          <w:szCs w:val="22"/>
          <w:lang w:eastAsia="en-NZ"/>
        </w:rPr>
      </w:pPr>
      <w:hyperlink w:anchor="_Toc453068871" w:history="1">
        <w:r w:rsidR="005B6A37" w:rsidRPr="00772DAE">
          <w:rPr>
            <w:rStyle w:val="Hyperlink"/>
            <w:noProof/>
          </w:rPr>
          <w:t>Part IV: Further issues/ideas</w:t>
        </w:r>
        <w:r w:rsidR="005B6A37">
          <w:rPr>
            <w:noProof/>
            <w:webHidden/>
          </w:rPr>
          <w:tab/>
        </w:r>
        <w:r w:rsidR="005B6A37">
          <w:rPr>
            <w:noProof/>
            <w:webHidden/>
          </w:rPr>
          <w:fldChar w:fldCharType="begin"/>
        </w:r>
        <w:r w:rsidR="005B6A37">
          <w:rPr>
            <w:noProof/>
            <w:webHidden/>
          </w:rPr>
          <w:instrText xml:space="preserve"> PAGEREF _Toc453068871 \h </w:instrText>
        </w:r>
        <w:r w:rsidR="005B6A37">
          <w:rPr>
            <w:noProof/>
            <w:webHidden/>
          </w:rPr>
        </w:r>
        <w:r w:rsidR="005B6A37">
          <w:rPr>
            <w:noProof/>
            <w:webHidden/>
          </w:rPr>
          <w:fldChar w:fldCharType="separate"/>
        </w:r>
        <w:r w:rsidR="008B7BE4">
          <w:rPr>
            <w:noProof/>
            <w:webHidden/>
          </w:rPr>
          <w:t>30</w:t>
        </w:r>
        <w:r w:rsidR="005B6A37">
          <w:rPr>
            <w:noProof/>
            <w:webHidden/>
          </w:rPr>
          <w:fldChar w:fldCharType="end"/>
        </w:r>
      </w:hyperlink>
    </w:p>
    <w:p w:rsidR="006871D3" w:rsidRDefault="00860B2B" w:rsidP="001420E8">
      <w:pPr>
        <w:sectPr w:rsidR="006871D3" w:rsidSect="00E739BC">
          <w:headerReference w:type="default" r:id="rId12"/>
          <w:footerReference w:type="default" r:id="rId13"/>
          <w:pgSz w:w="11907" w:h="16840" w:code="9"/>
          <w:pgMar w:top="1418" w:right="1418" w:bottom="992" w:left="1418" w:header="425" w:footer="641" w:gutter="0"/>
          <w:pgNumType w:start="1"/>
          <w:cols w:space="708"/>
          <w:docGrid w:linePitch="360"/>
        </w:sectPr>
      </w:pPr>
      <w:r>
        <w:rPr>
          <w:color w:val="1F546B"/>
        </w:rPr>
        <w:fldChar w:fldCharType="end"/>
      </w:r>
      <w:r w:rsidR="004518B7" w:rsidRPr="007202D5">
        <w:br w:type="page"/>
      </w:r>
    </w:p>
    <w:p w:rsidR="00003EBF" w:rsidRDefault="00003EBF" w:rsidP="00003EBF">
      <w:pPr>
        <w:pStyle w:val="Heading1"/>
      </w:pPr>
      <w:bookmarkStart w:id="0" w:name="_Toc453068849"/>
      <w:bookmarkStart w:id="1" w:name="_Toc410217714"/>
      <w:r>
        <w:lastRenderedPageBreak/>
        <w:t>Glossary of abbreviations and terms</w:t>
      </w:r>
      <w:bookmarkEnd w:id="0"/>
    </w:p>
    <w:tbl>
      <w:tblPr>
        <w:tblStyle w:val="DIA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627"/>
      </w:tblGrid>
      <w:tr w:rsidR="00003EBF" w:rsidRPr="00003EBF" w:rsidTr="00E739BC">
        <w:trPr>
          <w:cnfStyle w:val="100000000000" w:firstRow="1" w:lastRow="0" w:firstColumn="0" w:lastColumn="0" w:oddVBand="0" w:evenVBand="0" w:oddHBand="0" w:evenHBand="0" w:firstRowFirstColumn="0" w:firstRowLastColumn="0" w:lastRowFirstColumn="0" w:lastRowLastColumn="0"/>
        </w:trPr>
        <w:tc>
          <w:tcPr>
            <w:tcW w:w="2552" w:type="dxa"/>
            <w:tcBorders>
              <w:top w:val="single" w:sz="6" w:space="0" w:color="FFFFFF" w:themeColor="background1"/>
              <w:left w:val="single" w:sz="6" w:space="0" w:color="FFFFFF" w:themeColor="background1"/>
            </w:tcBorders>
            <w:shd w:val="clear" w:color="auto" w:fill="auto"/>
          </w:tcPr>
          <w:p w:rsidR="00DE6711" w:rsidRDefault="00DE6711" w:rsidP="00003EBF">
            <w:pPr>
              <w:keepLines w:val="0"/>
              <w:rPr>
                <w:color w:val="auto"/>
              </w:rPr>
            </w:pPr>
          </w:p>
          <w:p w:rsidR="00003EBF" w:rsidRPr="00003EBF" w:rsidRDefault="00003EBF" w:rsidP="00003EBF">
            <w:pPr>
              <w:keepLines w:val="0"/>
              <w:rPr>
                <w:color w:val="auto"/>
              </w:rPr>
            </w:pPr>
            <w:r w:rsidRPr="00003EBF">
              <w:rPr>
                <w:color w:val="auto"/>
              </w:rPr>
              <w:t>A</w:t>
            </w:r>
            <w:r>
              <w:rPr>
                <w:color w:val="auto"/>
              </w:rPr>
              <w:t>ctual, reasonable and necessary costs</w:t>
            </w:r>
          </w:p>
        </w:tc>
        <w:tc>
          <w:tcPr>
            <w:tcW w:w="6627" w:type="dxa"/>
            <w:tcBorders>
              <w:top w:val="single" w:sz="6" w:space="0" w:color="FFFFFF" w:themeColor="background1"/>
              <w:right w:val="single" w:sz="6" w:space="0" w:color="FFFFFF" w:themeColor="background1"/>
            </w:tcBorders>
            <w:shd w:val="clear" w:color="auto" w:fill="auto"/>
          </w:tcPr>
          <w:p w:rsidR="00DE6711" w:rsidRDefault="00DE6711" w:rsidP="00003EBF">
            <w:pPr>
              <w:keepLines w:val="0"/>
              <w:rPr>
                <w:b w:val="0"/>
                <w:i/>
                <w:color w:val="auto"/>
              </w:rPr>
            </w:pPr>
          </w:p>
          <w:p w:rsidR="00003EBF" w:rsidRDefault="00003EBF" w:rsidP="00003EBF">
            <w:pPr>
              <w:keepLines w:val="0"/>
              <w:rPr>
                <w:b w:val="0"/>
                <w:color w:val="auto"/>
              </w:rPr>
            </w:pPr>
            <w:r>
              <w:rPr>
                <w:b w:val="0"/>
                <w:i/>
                <w:color w:val="auto"/>
              </w:rPr>
              <w:t>Actual</w:t>
            </w:r>
            <w:r>
              <w:rPr>
                <w:b w:val="0"/>
                <w:color w:val="auto"/>
              </w:rPr>
              <w:t xml:space="preserve"> – the society and venue operator must be able to show that the costs were actually incurred; </w:t>
            </w:r>
            <w:r>
              <w:rPr>
                <w:b w:val="0"/>
                <w:i/>
                <w:color w:val="auto"/>
              </w:rPr>
              <w:t>Reasonable</w:t>
            </w:r>
            <w:r>
              <w:rPr>
                <w:b w:val="0"/>
                <w:color w:val="auto"/>
              </w:rPr>
              <w:t xml:space="preserve"> – the costs must be in proportion to the size of the operation, and should take into account normal market values or prices for the goods and services provided; </w:t>
            </w:r>
            <w:r>
              <w:rPr>
                <w:b w:val="0"/>
                <w:i/>
                <w:color w:val="auto"/>
              </w:rPr>
              <w:t>Necessary</w:t>
            </w:r>
            <w:r>
              <w:rPr>
                <w:b w:val="0"/>
                <w:color w:val="auto"/>
              </w:rPr>
              <w:t xml:space="preserve"> – the costs must be necessary to the conduct of</w:t>
            </w:r>
            <w:r w:rsidR="00DE6711">
              <w:rPr>
                <w:b w:val="0"/>
                <w:color w:val="auto"/>
              </w:rPr>
              <w:t xml:space="preserve"> gambling and legal compliance</w:t>
            </w:r>
          </w:p>
          <w:p w:rsidR="00DE6711" w:rsidRPr="00003EBF" w:rsidRDefault="00DE6711" w:rsidP="00003EBF">
            <w:pPr>
              <w:keepLines w:val="0"/>
              <w:rPr>
                <w:b w:val="0"/>
                <w:color w:val="auto"/>
              </w:rPr>
            </w:pPr>
          </w:p>
        </w:tc>
      </w:tr>
      <w:tr w:rsidR="00003EBF" w:rsidRPr="00003EBF" w:rsidTr="00003EBF">
        <w:tc>
          <w:tcPr>
            <w:tcW w:w="2552" w:type="dxa"/>
          </w:tcPr>
          <w:p w:rsidR="00003EBF" w:rsidRPr="00003EBF" w:rsidRDefault="00003EBF" w:rsidP="00003EBF">
            <w:pPr>
              <w:keepLines w:val="0"/>
              <w:rPr>
                <w:b/>
              </w:rPr>
            </w:pPr>
            <w:r>
              <w:rPr>
                <w:b/>
              </w:rPr>
              <w:t>Apply</w:t>
            </w:r>
          </w:p>
        </w:tc>
        <w:tc>
          <w:tcPr>
            <w:tcW w:w="6627" w:type="dxa"/>
            <w:shd w:val="clear" w:color="auto" w:fill="auto"/>
          </w:tcPr>
          <w:p w:rsidR="00003EBF" w:rsidRDefault="00003EBF" w:rsidP="00003EBF">
            <w:pPr>
              <w:keepLines w:val="0"/>
            </w:pPr>
            <w:r>
              <w:t xml:space="preserve">Where a society spends its net proceeds directly on the society’s own authorised </w:t>
            </w:r>
            <w:r w:rsidR="00DE6711">
              <w:t>purpose</w:t>
            </w:r>
          </w:p>
          <w:p w:rsidR="00DE6711" w:rsidRPr="00003EBF" w:rsidRDefault="00DE6711" w:rsidP="00003EBF">
            <w:pPr>
              <w:keepLines w:val="0"/>
            </w:pPr>
          </w:p>
        </w:tc>
      </w:tr>
      <w:tr w:rsidR="00003EBF" w:rsidRPr="00003EBF" w:rsidTr="00003EBF">
        <w:tc>
          <w:tcPr>
            <w:tcW w:w="2552" w:type="dxa"/>
          </w:tcPr>
          <w:p w:rsidR="00003EBF" w:rsidRPr="00003EBF" w:rsidRDefault="00003EBF" w:rsidP="00003EBF">
            <w:pPr>
              <w:keepLines w:val="0"/>
              <w:rPr>
                <w:b/>
              </w:rPr>
            </w:pPr>
            <w:r>
              <w:rPr>
                <w:b/>
              </w:rPr>
              <w:t>Authorised purpose</w:t>
            </w:r>
          </w:p>
        </w:tc>
        <w:tc>
          <w:tcPr>
            <w:tcW w:w="6627" w:type="dxa"/>
            <w:shd w:val="clear" w:color="auto" w:fill="auto"/>
          </w:tcPr>
          <w:p w:rsidR="00003EBF" w:rsidRDefault="00003EBF" w:rsidP="00003EBF">
            <w:pPr>
              <w:keepLines w:val="0"/>
            </w:pPr>
            <w:r>
              <w:t xml:space="preserve">Means a charitable purpose, or a non-commercial purposes that is beneficial to the whole or a section of the community, or promoting, controlling and conducting race meetings under the Racing Act 2003, including the payment of </w:t>
            </w:r>
            <w:r w:rsidR="00DE6711">
              <w:t>stakes</w:t>
            </w:r>
          </w:p>
          <w:p w:rsidR="00DE6711" w:rsidRPr="00003EBF" w:rsidRDefault="00DE6711" w:rsidP="00003EBF">
            <w:pPr>
              <w:keepLines w:val="0"/>
            </w:pPr>
          </w:p>
        </w:tc>
      </w:tr>
      <w:tr w:rsidR="00003EBF" w:rsidRPr="00003EBF" w:rsidTr="00003EBF">
        <w:tc>
          <w:tcPr>
            <w:tcW w:w="2552" w:type="dxa"/>
          </w:tcPr>
          <w:p w:rsidR="00003EBF" w:rsidRPr="00003EBF" w:rsidRDefault="00003EBF" w:rsidP="00003EBF">
            <w:pPr>
              <w:keepLines w:val="0"/>
              <w:rPr>
                <w:b/>
              </w:rPr>
            </w:pPr>
            <w:r>
              <w:rPr>
                <w:b/>
              </w:rPr>
              <w:t>Class 4 gambling</w:t>
            </w:r>
          </w:p>
        </w:tc>
        <w:tc>
          <w:tcPr>
            <w:tcW w:w="6627" w:type="dxa"/>
            <w:shd w:val="clear" w:color="auto" w:fill="auto"/>
          </w:tcPr>
          <w:p w:rsidR="00003EBF" w:rsidRDefault="00003EBF" w:rsidP="00003EBF">
            <w:pPr>
              <w:keepLines w:val="0"/>
            </w:pPr>
            <w:r>
              <w:t>Gambling where the net proceeds are applied to or distributed for authorised purposes; where no commission is paid to, or received by, a person for conducting it; where it satisfies the relevant game rules; and it utilises a gaming machine</w:t>
            </w:r>
          </w:p>
          <w:p w:rsidR="00DE6711" w:rsidRPr="00003EBF" w:rsidRDefault="00DE6711" w:rsidP="00003EBF">
            <w:pPr>
              <w:keepLines w:val="0"/>
            </w:pPr>
          </w:p>
        </w:tc>
      </w:tr>
      <w:tr w:rsidR="00003EBF" w:rsidRPr="00003EBF" w:rsidTr="00003EBF">
        <w:tc>
          <w:tcPr>
            <w:tcW w:w="2552" w:type="dxa"/>
          </w:tcPr>
          <w:p w:rsidR="00003EBF" w:rsidRPr="00003EBF" w:rsidRDefault="00003EBF" w:rsidP="00003EBF">
            <w:pPr>
              <w:keepLines w:val="0"/>
              <w:rPr>
                <w:b/>
              </w:rPr>
            </w:pPr>
            <w:r>
              <w:rPr>
                <w:b/>
              </w:rPr>
              <w:t>Clubs</w:t>
            </w:r>
          </w:p>
        </w:tc>
        <w:tc>
          <w:tcPr>
            <w:tcW w:w="6627" w:type="dxa"/>
            <w:shd w:val="clear" w:color="auto" w:fill="auto"/>
          </w:tcPr>
          <w:p w:rsidR="00003EBF" w:rsidRDefault="00003EBF" w:rsidP="00003EBF">
            <w:pPr>
              <w:keepLines w:val="0"/>
            </w:pPr>
            <w:r>
              <w:t>Voluntary association of persons combined for a purpose other than personal gain</w:t>
            </w:r>
          </w:p>
          <w:p w:rsidR="00DE6711" w:rsidRPr="00003EBF" w:rsidRDefault="00DE6711" w:rsidP="00003EBF">
            <w:pPr>
              <w:keepLines w:val="0"/>
            </w:pPr>
          </w:p>
        </w:tc>
      </w:tr>
      <w:tr w:rsidR="00DE6711" w:rsidRPr="00003EBF" w:rsidTr="00003EBF">
        <w:tc>
          <w:tcPr>
            <w:tcW w:w="2552" w:type="dxa"/>
          </w:tcPr>
          <w:p w:rsidR="00DE6711" w:rsidRDefault="00DE6711" w:rsidP="00003EBF">
            <w:pPr>
              <w:keepLines w:val="0"/>
              <w:rPr>
                <w:b/>
              </w:rPr>
            </w:pPr>
            <w:r>
              <w:rPr>
                <w:b/>
              </w:rPr>
              <w:t>Community or Communities</w:t>
            </w:r>
          </w:p>
        </w:tc>
        <w:tc>
          <w:tcPr>
            <w:tcW w:w="6627" w:type="dxa"/>
            <w:shd w:val="clear" w:color="auto" w:fill="auto"/>
          </w:tcPr>
          <w:p w:rsidR="00DE6711" w:rsidRDefault="00DE6711" w:rsidP="00003EBF">
            <w:pPr>
              <w:keepLines w:val="0"/>
            </w:pPr>
            <w:r>
              <w:t>The beneficiaries of grants from class 4 and other modes of gambling. Thousands of grants to community groups, schools, sporting organisations and other beneficiaries are made each year from class 4 alone, as well as from other sources of gambling. Some grants are made to national bodies or sporting codes</w:t>
            </w:r>
          </w:p>
          <w:p w:rsidR="00DE6711" w:rsidRDefault="00DE6711" w:rsidP="00003EBF">
            <w:pPr>
              <w:keepLines w:val="0"/>
            </w:pPr>
          </w:p>
        </w:tc>
      </w:tr>
      <w:tr w:rsidR="00003EBF" w:rsidRPr="00003EBF" w:rsidTr="00003EBF">
        <w:tc>
          <w:tcPr>
            <w:tcW w:w="2552" w:type="dxa"/>
          </w:tcPr>
          <w:p w:rsidR="00003EBF" w:rsidRPr="00003EBF" w:rsidRDefault="00003EBF" w:rsidP="00003EBF">
            <w:pPr>
              <w:keepLines w:val="0"/>
              <w:rPr>
                <w:b/>
              </w:rPr>
            </w:pPr>
            <w:r>
              <w:rPr>
                <w:b/>
              </w:rPr>
              <w:t>Distribute</w:t>
            </w:r>
          </w:p>
        </w:tc>
        <w:tc>
          <w:tcPr>
            <w:tcW w:w="6627" w:type="dxa"/>
            <w:shd w:val="clear" w:color="auto" w:fill="auto"/>
          </w:tcPr>
          <w:p w:rsidR="00003EBF" w:rsidRDefault="00003EBF" w:rsidP="00003EBF">
            <w:pPr>
              <w:keepLines w:val="0"/>
            </w:pPr>
            <w:r>
              <w:t xml:space="preserve">Where a society makes a grant to another person for that person to spend on an authorised </w:t>
            </w:r>
            <w:r w:rsidR="005B6A37">
              <w:t>purpose</w:t>
            </w:r>
          </w:p>
          <w:p w:rsidR="00DE6711" w:rsidRPr="00003EBF" w:rsidRDefault="00DE6711" w:rsidP="00003EBF">
            <w:pPr>
              <w:keepLines w:val="0"/>
            </w:pPr>
          </w:p>
        </w:tc>
      </w:tr>
      <w:tr w:rsidR="00003EBF" w:rsidRPr="00003EBF" w:rsidTr="00003EBF">
        <w:tc>
          <w:tcPr>
            <w:tcW w:w="2552" w:type="dxa"/>
          </w:tcPr>
          <w:p w:rsidR="00003EBF" w:rsidRPr="00003EBF" w:rsidRDefault="00003EBF" w:rsidP="00003EBF">
            <w:pPr>
              <w:keepLines w:val="0"/>
            </w:pPr>
            <w:r>
              <w:rPr>
                <w:b/>
              </w:rPr>
              <w:t>Duty</w:t>
            </w:r>
          </w:p>
        </w:tc>
        <w:tc>
          <w:tcPr>
            <w:tcW w:w="6627" w:type="dxa"/>
            <w:shd w:val="clear" w:color="auto" w:fill="auto"/>
          </w:tcPr>
          <w:p w:rsidR="00003EBF" w:rsidRDefault="00003EBF" w:rsidP="00003EBF">
            <w:pPr>
              <w:keepLines w:val="0"/>
            </w:pPr>
            <w:r>
              <w:t xml:space="preserve">Tax paid to the Crown on gaming machine </w:t>
            </w:r>
            <w:r w:rsidR="002E4AA6">
              <w:t>profits</w:t>
            </w:r>
          </w:p>
          <w:p w:rsidR="00DE6711" w:rsidRPr="00003EBF" w:rsidRDefault="00DE6711" w:rsidP="00003EBF">
            <w:pPr>
              <w:keepLines w:val="0"/>
            </w:pPr>
          </w:p>
        </w:tc>
      </w:tr>
      <w:tr w:rsidR="00003EBF" w:rsidRPr="00003EBF" w:rsidTr="00003EBF">
        <w:tc>
          <w:tcPr>
            <w:tcW w:w="2552" w:type="dxa"/>
          </w:tcPr>
          <w:p w:rsidR="00003EBF" w:rsidRPr="00003EBF" w:rsidRDefault="00003EBF" w:rsidP="00003EBF">
            <w:pPr>
              <w:keepLines w:val="0"/>
              <w:rPr>
                <w:b/>
              </w:rPr>
            </w:pPr>
            <w:r>
              <w:rPr>
                <w:b/>
              </w:rPr>
              <w:t>Fees</w:t>
            </w:r>
          </w:p>
        </w:tc>
        <w:tc>
          <w:tcPr>
            <w:tcW w:w="6627" w:type="dxa"/>
            <w:shd w:val="clear" w:color="auto" w:fill="auto"/>
          </w:tcPr>
          <w:p w:rsidR="00003EBF" w:rsidRDefault="00003EBF" w:rsidP="00003EBF">
            <w:pPr>
              <w:keepLines w:val="0"/>
            </w:pPr>
            <w:r>
              <w:t>Fees paid by gambling operators to the Department of Internal Affairs</w:t>
            </w:r>
          </w:p>
          <w:p w:rsidR="00DE6711" w:rsidRPr="00003EBF" w:rsidRDefault="00DE6711" w:rsidP="00003EBF">
            <w:pPr>
              <w:keepLines w:val="0"/>
            </w:pPr>
          </w:p>
        </w:tc>
      </w:tr>
      <w:tr w:rsidR="00003EBF" w:rsidRPr="00003EBF" w:rsidTr="00003EBF">
        <w:tc>
          <w:tcPr>
            <w:tcW w:w="2552" w:type="dxa"/>
          </w:tcPr>
          <w:p w:rsidR="00003EBF" w:rsidRPr="00003EBF" w:rsidRDefault="00003EBF" w:rsidP="007C4BAE">
            <w:pPr>
              <w:keepLines w:val="0"/>
              <w:rPr>
                <w:b/>
              </w:rPr>
            </w:pPr>
            <w:r>
              <w:rPr>
                <w:b/>
              </w:rPr>
              <w:t xml:space="preserve">Gaming machine </w:t>
            </w:r>
            <w:r w:rsidR="007C4BAE">
              <w:rPr>
                <w:b/>
              </w:rPr>
              <w:t>profits</w:t>
            </w:r>
            <w:r w:rsidR="0051209C">
              <w:rPr>
                <w:b/>
              </w:rPr>
              <w:t xml:space="preserve"> (GMP)</w:t>
            </w:r>
          </w:p>
        </w:tc>
        <w:tc>
          <w:tcPr>
            <w:tcW w:w="6627" w:type="dxa"/>
            <w:shd w:val="clear" w:color="auto" w:fill="auto"/>
          </w:tcPr>
          <w:p w:rsidR="00DE6711" w:rsidRDefault="007C4BAE" w:rsidP="00003EBF">
            <w:pPr>
              <w:keepLines w:val="0"/>
            </w:pPr>
            <w:r>
              <w:t>The turnover of class 4 gambling minus the total prizes paid</w:t>
            </w:r>
          </w:p>
          <w:p w:rsidR="00003EBF" w:rsidRDefault="002224DD" w:rsidP="007C4BAE">
            <w:pPr>
              <w:keepLines w:val="0"/>
              <w:tabs>
                <w:tab w:val="right" w:pos="6411"/>
              </w:tabs>
            </w:pPr>
            <w:r>
              <w:t xml:space="preserve"> </w:t>
            </w:r>
            <w:r w:rsidR="007C4BAE">
              <w:tab/>
            </w:r>
          </w:p>
        </w:tc>
      </w:tr>
      <w:tr w:rsidR="002224DD" w:rsidRPr="00003EBF" w:rsidTr="00003EBF">
        <w:tc>
          <w:tcPr>
            <w:tcW w:w="2552" w:type="dxa"/>
          </w:tcPr>
          <w:p w:rsidR="002224DD" w:rsidRDefault="002224DD" w:rsidP="00003EBF">
            <w:pPr>
              <w:keepLines w:val="0"/>
              <w:rPr>
                <w:b/>
              </w:rPr>
            </w:pPr>
            <w:r>
              <w:rPr>
                <w:b/>
              </w:rPr>
              <w:t>Gross proceeds</w:t>
            </w:r>
          </w:p>
        </w:tc>
        <w:tc>
          <w:tcPr>
            <w:tcW w:w="6627" w:type="dxa"/>
            <w:shd w:val="clear" w:color="auto" w:fill="auto"/>
          </w:tcPr>
          <w:p w:rsidR="002224DD" w:rsidRDefault="007C4BAE" w:rsidP="00003EBF">
            <w:pPr>
              <w:keepLines w:val="0"/>
            </w:pPr>
            <w:r>
              <w:t>The turnover of class 4 gambling, less prizes, plus interest or other investment return on that turnover, plus any gain above the book value from the sale or disposal of gambling assets</w:t>
            </w:r>
          </w:p>
          <w:p w:rsidR="00DE6711" w:rsidRDefault="00DE6711" w:rsidP="00003EBF">
            <w:pPr>
              <w:keepLines w:val="0"/>
            </w:pPr>
          </w:p>
        </w:tc>
      </w:tr>
      <w:tr w:rsidR="002224DD" w:rsidRPr="00003EBF" w:rsidTr="00003EBF">
        <w:tc>
          <w:tcPr>
            <w:tcW w:w="2552" w:type="dxa"/>
          </w:tcPr>
          <w:p w:rsidR="002224DD" w:rsidRPr="002224DD" w:rsidRDefault="002224DD" w:rsidP="00003EBF">
            <w:pPr>
              <w:keepLines w:val="0"/>
              <w:rPr>
                <w:b/>
              </w:rPr>
            </w:pPr>
            <w:r>
              <w:rPr>
                <w:b/>
              </w:rPr>
              <w:lastRenderedPageBreak/>
              <w:t>Levy</w:t>
            </w:r>
          </w:p>
        </w:tc>
        <w:tc>
          <w:tcPr>
            <w:tcW w:w="6627" w:type="dxa"/>
            <w:shd w:val="clear" w:color="auto" w:fill="auto"/>
          </w:tcPr>
          <w:p w:rsidR="002224DD" w:rsidRDefault="005D08F1" w:rsidP="00003EBF">
            <w:pPr>
              <w:keepLines w:val="0"/>
            </w:pPr>
            <w:r>
              <w:t>Problem gambling levy</w:t>
            </w:r>
          </w:p>
          <w:p w:rsidR="00DE6711" w:rsidRDefault="00DE6711" w:rsidP="00003EBF">
            <w:pPr>
              <w:keepLines w:val="0"/>
            </w:pPr>
          </w:p>
        </w:tc>
      </w:tr>
      <w:tr w:rsidR="002224DD" w:rsidRPr="00003EBF" w:rsidTr="00003EBF">
        <w:tc>
          <w:tcPr>
            <w:tcW w:w="2552" w:type="dxa"/>
          </w:tcPr>
          <w:p w:rsidR="002224DD" w:rsidRPr="002224DD" w:rsidRDefault="002224DD" w:rsidP="00003EBF">
            <w:pPr>
              <w:keepLines w:val="0"/>
              <w:rPr>
                <w:b/>
              </w:rPr>
            </w:pPr>
            <w:r>
              <w:rPr>
                <w:b/>
              </w:rPr>
              <w:t>Minimum rate of return</w:t>
            </w:r>
          </w:p>
        </w:tc>
        <w:tc>
          <w:tcPr>
            <w:tcW w:w="6627" w:type="dxa"/>
            <w:shd w:val="clear" w:color="auto" w:fill="auto"/>
          </w:tcPr>
          <w:p w:rsidR="002224DD" w:rsidRDefault="002224DD" w:rsidP="00003EBF">
            <w:pPr>
              <w:keepLines w:val="0"/>
            </w:pPr>
            <w:r>
              <w:t>This is the minimum amount of proceeds that a licence holder must distribute for authorised purposes and is currently equivalent to 40 per cent of GST exclusive gr</w:t>
            </w:r>
            <w:r w:rsidR="00DE6711">
              <w:t>oss proceeds per financial year</w:t>
            </w:r>
          </w:p>
          <w:p w:rsidR="00DE6711" w:rsidRDefault="00DE6711" w:rsidP="00003EBF">
            <w:pPr>
              <w:keepLines w:val="0"/>
            </w:pPr>
          </w:p>
        </w:tc>
      </w:tr>
      <w:tr w:rsidR="002224DD" w:rsidRPr="00003EBF" w:rsidTr="00003EBF">
        <w:tc>
          <w:tcPr>
            <w:tcW w:w="2552" w:type="dxa"/>
          </w:tcPr>
          <w:p w:rsidR="002224DD" w:rsidRPr="002224DD" w:rsidRDefault="002224DD" w:rsidP="00003EBF">
            <w:pPr>
              <w:keepLines w:val="0"/>
              <w:rPr>
                <w:b/>
              </w:rPr>
            </w:pPr>
            <w:r>
              <w:rPr>
                <w:b/>
              </w:rPr>
              <w:t>Net proceeds</w:t>
            </w:r>
          </w:p>
        </w:tc>
        <w:tc>
          <w:tcPr>
            <w:tcW w:w="6627" w:type="dxa"/>
            <w:shd w:val="clear" w:color="auto" w:fill="auto"/>
          </w:tcPr>
          <w:p w:rsidR="002224DD" w:rsidRDefault="002224DD" w:rsidP="00003EBF">
            <w:pPr>
              <w:keepLines w:val="0"/>
            </w:pPr>
            <w:r>
              <w:t xml:space="preserve">The amount remaining to be distributed to authorised purposes, which is calculated by taking a society’s gambling turnover (less prizes) and </w:t>
            </w:r>
            <w:r>
              <w:rPr>
                <w:i/>
              </w:rPr>
              <w:t>adding</w:t>
            </w:r>
            <w:r>
              <w:t xml:space="preserve"> interest or other investment return, and any gains from the sale of gambling assets above their book value, then </w:t>
            </w:r>
            <w:r>
              <w:rPr>
                <w:i/>
              </w:rPr>
              <w:t xml:space="preserve">deducting </w:t>
            </w:r>
            <w:r>
              <w:t>costs, levies and taxes, asset depreciation and any loss from selling or disposing of gamblin</w:t>
            </w:r>
            <w:r w:rsidR="00DE6711">
              <w:t>g assets below their book value</w:t>
            </w:r>
          </w:p>
          <w:p w:rsidR="00DE6711" w:rsidRPr="002224DD" w:rsidRDefault="00DE6711" w:rsidP="00003EBF">
            <w:pPr>
              <w:keepLines w:val="0"/>
            </w:pPr>
          </w:p>
        </w:tc>
      </w:tr>
      <w:tr w:rsidR="002224DD" w:rsidRPr="00003EBF" w:rsidTr="00003EBF">
        <w:tc>
          <w:tcPr>
            <w:tcW w:w="2552" w:type="dxa"/>
          </w:tcPr>
          <w:p w:rsidR="002224DD" w:rsidRPr="002224DD" w:rsidRDefault="002224DD" w:rsidP="00003EBF">
            <w:pPr>
              <w:keepLines w:val="0"/>
              <w:rPr>
                <w:b/>
              </w:rPr>
            </w:pPr>
            <w:r>
              <w:rPr>
                <w:b/>
              </w:rPr>
              <w:t>Society</w:t>
            </w:r>
          </w:p>
        </w:tc>
        <w:tc>
          <w:tcPr>
            <w:tcW w:w="6627" w:type="dxa"/>
            <w:shd w:val="clear" w:color="auto" w:fill="auto"/>
          </w:tcPr>
          <w:p w:rsidR="002224DD" w:rsidRDefault="002224DD" w:rsidP="00003EBF">
            <w:pPr>
              <w:keepLines w:val="0"/>
            </w:pPr>
            <w:r>
              <w:t>A society that is incorporated under the Incorporated Societies Act 1908, or incorporated as a board under the Charitable Trusts Act 1957, or a company incorporated under the Companies Act 1993 that does not have the power to make a profit and is incorporated solely for authorised purposes, or a working men’s club registered under the Friendly Societies and Credit Unions Act 1982</w:t>
            </w:r>
          </w:p>
        </w:tc>
      </w:tr>
    </w:tbl>
    <w:p w:rsidR="00003EBF" w:rsidRPr="00E95472" w:rsidRDefault="00003EBF" w:rsidP="00003EBF">
      <w:pPr>
        <w:keepLines w:val="0"/>
        <w:rPr>
          <w:rFonts w:cs="Arial"/>
          <w:sz w:val="20"/>
          <w:szCs w:val="32"/>
        </w:rPr>
      </w:pPr>
      <w:r>
        <w:br w:type="page"/>
      </w:r>
    </w:p>
    <w:p w:rsidR="00A719DF" w:rsidRDefault="00A719DF" w:rsidP="00A719DF">
      <w:pPr>
        <w:pStyle w:val="Heading1"/>
      </w:pPr>
      <w:bookmarkStart w:id="2" w:name="_Toc453068850"/>
      <w:r>
        <w:lastRenderedPageBreak/>
        <w:t>What is this consultation document about?</w:t>
      </w:r>
      <w:bookmarkEnd w:id="1"/>
      <w:bookmarkEnd w:id="2"/>
    </w:p>
    <w:p w:rsidR="00EE2BFF" w:rsidRDefault="0053192C" w:rsidP="00EE2BFF">
      <w:bookmarkStart w:id="3" w:name="_Toc410217716"/>
      <w:r>
        <w:t xml:space="preserve">This discussion document </w:t>
      </w:r>
      <w:r w:rsidR="004D17F4">
        <w:t xml:space="preserve">seeks your views on how community funding from class 4 gambling </w:t>
      </w:r>
      <w:r w:rsidR="006313C6">
        <w:t xml:space="preserve">(pokies in clubs, pubs and bars) </w:t>
      </w:r>
      <w:r w:rsidR="004D17F4">
        <w:t>can be sustained into the future. Class 4 gambling expenditure has declined since the passing o</w:t>
      </w:r>
      <w:r w:rsidR="00995D7E">
        <w:t>f</w:t>
      </w:r>
      <w:r w:rsidR="004D17F4">
        <w:t xml:space="preserve"> the Gambling Act 2003</w:t>
      </w:r>
      <w:r w:rsidR="00190A87">
        <w:t xml:space="preserve">, leading </w:t>
      </w:r>
      <w:r w:rsidR="004D17F4">
        <w:t xml:space="preserve">to a consequent decrease in funding to communities. </w:t>
      </w:r>
    </w:p>
    <w:p w:rsidR="00B25E1D" w:rsidRDefault="0053192C" w:rsidP="00B25E1D">
      <w:r>
        <w:t xml:space="preserve">We </w:t>
      </w:r>
      <w:r w:rsidR="00AD76BB">
        <w:t xml:space="preserve">want </w:t>
      </w:r>
      <w:r>
        <w:t>your opinion on what the issues and challenges are</w:t>
      </w:r>
      <w:r w:rsidR="00190A87">
        <w:t xml:space="preserve"> for the class 4 sector and community funding</w:t>
      </w:r>
      <w:r>
        <w:t xml:space="preserve">, and ideas on how </w:t>
      </w:r>
      <w:r w:rsidR="00995D7E">
        <w:t>things might be improved</w:t>
      </w:r>
      <w:r w:rsidR="00B25E1D">
        <w:t xml:space="preserve">. We are also seeking ideas for a </w:t>
      </w:r>
      <w:r w:rsidR="00190A87">
        <w:t xml:space="preserve">cost effective </w:t>
      </w:r>
      <w:r w:rsidR="00B25E1D">
        <w:t xml:space="preserve">regulatory model </w:t>
      </w:r>
      <w:r w:rsidR="00190A87">
        <w:t>for the sector that maximises</w:t>
      </w:r>
      <w:r w:rsidR="00B25E1D">
        <w:t xml:space="preserve"> community funding into the future, without increasing </w:t>
      </w:r>
      <w:proofErr w:type="gramStart"/>
      <w:r w:rsidR="00B25E1D">
        <w:t xml:space="preserve">harm </w:t>
      </w:r>
      <w:r w:rsidR="007B24C7">
        <w:t xml:space="preserve"> or</w:t>
      </w:r>
      <w:proofErr w:type="gramEnd"/>
      <w:r w:rsidR="007B24C7">
        <w:t xml:space="preserve"> driving a growth in gambling</w:t>
      </w:r>
      <w:r w:rsidR="00B25E1D">
        <w:t xml:space="preserve">. </w:t>
      </w:r>
    </w:p>
    <w:p w:rsidR="00FF47F6" w:rsidRDefault="00FF47F6" w:rsidP="00B25E1D">
      <w:r w:rsidRPr="00FF47F6">
        <w:t xml:space="preserve">We are also taking this opportunity to seek views on </w:t>
      </w:r>
      <w:r w:rsidR="005F4445">
        <w:t xml:space="preserve">the future of </w:t>
      </w:r>
      <w:r w:rsidRPr="00FF47F6">
        <w:t>online gambling in New Zealand</w:t>
      </w:r>
      <w:r w:rsidR="005F4445">
        <w:t>.</w:t>
      </w:r>
    </w:p>
    <w:p w:rsidR="00EE2BFF" w:rsidRPr="00FF47F6" w:rsidRDefault="00EE2BFF" w:rsidP="00B25E1D">
      <w:r>
        <w:t>The Department has had initial conversation</w:t>
      </w:r>
      <w:r w:rsidR="00995D7E">
        <w:t>s</w:t>
      </w:r>
      <w:r>
        <w:t xml:space="preserve"> with </w:t>
      </w:r>
      <w:r w:rsidR="00650ACC">
        <w:t>a number of</w:t>
      </w:r>
      <w:r>
        <w:t xml:space="preserve"> stakeholders about the challenges and opportunities in the sector. Some of their comments have been reflected in this document.</w:t>
      </w:r>
      <w:r w:rsidR="00650ACC">
        <w:t xml:space="preserve">   </w:t>
      </w:r>
    </w:p>
    <w:p w:rsidR="00A719DF" w:rsidRPr="00B02A64" w:rsidRDefault="00A719DF" w:rsidP="00A719DF">
      <w:pPr>
        <w:pStyle w:val="Heading2"/>
      </w:pPr>
      <w:bookmarkStart w:id="4" w:name="_Toc453068851"/>
      <w:r>
        <w:t>Sending us your submission</w:t>
      </w:r>
      <w:bookmarkEnd w:id="3"/>
      <w:bookmarkEnd w:id="4"/>
    </w:p>
    <w:p w:rsidR="00A719DF" w:rsidRPr="00BA50B0" w:rsidRDefault="00A719DF" w:rsidP="00A719DF">
      <w:pPr>
        <w:pStyle w:val="BodyText"/>
      </w:pPr>
      <w:r w:rsidRPr="00BA50B0">
        <w:t xml:space="preserve">Please send your submission to the Department of Internal Affairs by </w:t>
      </w:r>
      <w:r w:rsidR="00A653DD">
        <w:t xml:space="preserve">Friday 12 August </w:t>
      </w:r>
      <w:r>
        <w:t>2016</w:t>
      </w:r>
      <w:r w:rsidRPr="00B9455A">
        <w:t>.</w:t>
      </w:r>
    </w:p>
    <w:p w:rsidR="00A719DF" w:rsidRPr="00BA50B0" w:rsidRDefault="00A719DF" w:rsidP="00A719DF">
      <w:pPr>
        <w:pStyle w:val="BodyText"/>
      </w:pPr>
      <w:r w:rsidRPr="00BA50B0">
        <w:t>Please note that all submissions may be made publicly available.  Even if you request confidentiality, we may have to release your submission at a later date if a request is made under the Official Information Act 1982.  In your submission please highlight the information you would prefer was withheld should a request be made.</w:t>
      </w:r>
      <w:r w:rsidRPr="00BA50B0">
        <w:rPr>
          <w:rStyle w:val="FootnoteReference"/>
        </w:rPr>
        <w:footnoteReference w:id="1"/>
      </w:r>
      <w:r w:rsidRPr="00BA50B0">
        <w:t xml:space="preserve">  </w:t>
      </w:r>
    </w:p>
    <w:p w:rsidR="00A719DF" w:rsidRPr="00BA50B0" w:rsidRDefault="00A719DF" w:rsidP="00A719DF">
      <w:pPr>
        <w:pStyle w:val="BodyText"/>
      </w:pPr>
      <w:r w:rsidRPr="00BA50B0">
        <w:t>Your submission can be sent in the following ways:</w:t>
      </w:r>
    </w:p>
    <w:p w:rsidR="00A719DF" w:rsidRPr="00BA50B0" w:rsidRDefault="00A719DF" w:rsidP="00A719DF">
      <w:pPr>
        <w:pStyle w:val="BodyText"/>
      </w:pPr>
      <w:r w:rsidRPr="00BA50B0">
        <w:t xml:space="preserve">Email: </w:t>
      </w:r>
      <w:r w:rsidR="00C52F31">
        <w:tab/>
      </w:r>
      <w:hyperlink r:id="rId14" w:history="1">
        <w:r w:rsidRPr="00CC38EC">
          <w:rPr>
            <w:rStyle w:val="Hyperlink"/>
          </w:rPr>
          <w:t>gamblingreview@dia.govt.nz</w:t>
        </w:r>
      </w:hyperlink>
      <w:r>
        <w:t xml:space="preserve"> </w:t>
      </w:r>
    </w:p>
    <w:p w:rsidR="00A719DF" w:rsidRPr="00BA50B0" w:rsidRDefault="00A719DF" w:rsidP="00A719DF">
      <w:pPr>
        <w:pStyle w:val="BodyText"/>
        <w:spacing w:after="0"/>
      </w:pPr>
      <w:r w:rsidRPr="00BA50B0">
        <w:t>Post</w:t>
      </w:r>
      <w:r>
        <w:t xml:space="preserve">: </w:t>
      </w:r>
      <w:r w:rsidR="00C52F31">
        <w:tab/>
      </w:r>
      <w:r w:rsidR="00C52F31">
        <w:tab/>
      </w:r>
      <w:r>
        <w:t>Safer Communities Team</w:t>
      </w:r>
    </w:p>
    <w:p w:rsidR="00A719DF" w:rsidRPr="00BA50B0" w:rsidRDefault="00A719DF" w:rsidP="00C52F31">
      <w:pPr>
        <w:pStyle w:val="BodyText"/>
        <w:spacing w:after="0"/>
        <w:ind w:left="567" w:firstLine="567"/>
      </w:pPr>
      <w:r w:rsidRPr="00BA50B0">
        <w:t>Policy Group</w:t>
      </w:r>
    </w:p>
    <w:p w:rsidR="00A719DF" w:rsidRPr="00BA50B0" w:rsidRDefault="00A719DF" w:rsidP="00A719DF">
      <w:pPr>
        <w:pStyle w:val="BodyText"/>
        <w:spacing w:after="0"/>
      </w:pPr>
      <w:r w:rsidRPr="00BA50B0">
        <w:tab/>
      </w:r>
      <w:r w:rsidR="00C52F31">
        <w:tab/>
      </w:r>
      <w:r w:rsidRPr="00BA50B0">
        <w:t>Department of Internal Affairs</w:t>
      </w:r>
    </w:p>
    <w:p w:rsidR="00A719DF" w:rsidRPr="00BA50B0" w:rsidRDefault="00A719DF" w:rsidP="00A719DF">
      <w:pPr>
        <w:pStyle w:val="BodyText"/>
        <w:spacing w:after="0"/>
      </w:pPr>
      <w:r w:rsidRPr="00BA50B0">
        <w:tab/>
      </w:r>
      <w:r w:rsidR="00C52F31">
        <w:tab/>
      </w:r>
      <w:r w:rsidRPr="00BA50B0">
        <w:t>PO Box 805</w:t>
      </w:r>
    </w:p>
    <w:p w:rsidR="00A719DF" w:rsidRPr="00BA50B0" w:rsidRDefault="00A719DF" w:rsidP="00A719DF">
      <w:pPr>
        <w:pStyle w:val="BodyText"/>
        <w:spacing w:after="0"/>
      </w:pPr>
      <w:r w:rsidRPr="00BA50B0">
        <w:tab/>
      </w:r>
      <w:r w:rsidR="00C52F31">
        <w:tab/>
      </w:r>
      <w:r w:rsidRPr="00BA50B0">
        <w:t>Wellington 6140</w:t>
      </w:r>
    </w:p>
    <w:p w:rsidR="00535DA7" w:rsidRDefault="00535DA7" w:rsidP="00391EDE">
      <w:pPr>
        <w:rPr>
          <w:sz w:val="20"/>
          <w:szCs w:val="20"/>
        </w:rPr>
      </w:pPr>
    </w:p>
    <w:p w:rsidR="00A719DF" w:rsidRPr="00EE2BFF" w:rsidRDefault="00A719DF" w:rsidP="00391EDE">
      <w:pPr>
        <w:rPr>
          <w:sz w:val="20"/>
          <w:szCs w:val="20"/>
        </w:rPr>
      </w:pPr>
      <w:r w:rsidRPr="00EE2BFF">
        <w:rPr>
          <w:sz w:val="20"/>
          <w:szCs w:val="20"/>
        </w:rPr>
        <w:t>Although all reasonable steps have been taken to ensure the accuracy of the information contained in this document, the Department of Internal Affairs disclaims responsibility for any inaccuracy in relation to the information; and fully excludes liability of any kind to any person or entity that chooses to rely upon the infor</w:t>
      </w:r>
      <w:r w:rsidR="00EE2BFF">
        <w:rPr>
          <w:sz w:val="20"/>
          <w:szCs w:val="20"/>
        </w:rPr>
        <w:t>m</w:t>
      </w:r>
      <w:r w:rsidRPr="00EE2BFF">
        <w:rPr>
          <w:sz w:val="20"/>
          <w:szCs w:val="20"/>
        </w:rPr>
        <w:t>ation.</w:t>
      </w:r>
    </w:p>
    <w:p w:rsidR="0095103A" w:rsidRDefault="0095103A" w:rsidP="0095103A">
      <w:pPr>
        <w:pStyle w:val="Heading1"/>
      </w:pPr>
      <w:bookmarkStart w:id="5" w:name="_Toc453068852"/>
      <w:r>
        <w:lastRenderedPageBreak/>
        <w:t>Why are we doing this review?</w:t>
      </w:r>
      <w:bookmarkEnd w:id="5"/>
    </w:p>
    <w:p w:rsidR="00317855" w:rsidRDefault="00823AAA" w:rsidP="00317855">
      <w:r>
        <w:t xml:space="preserve">The </w:t>
      </w:r>
      <w:r w:rsidR="00924544">
        <w:t>G</w:t>
      </w:r>
      <w:r>
        <w:t>overnment is reviewing the framework for managing class 4 gambling to see whether it remains fit</w:t>
      </w:r>
      <w:r w:rsidR="00924544">
        <w:t>-</w:t>
      </w:r>
      <w:r>
        <w:t>for</w:t>
      </w:r>
      <w:r w:rsidR="00924544">
        <w:t>-</w:t>
      </w:r>
      <w:r>
        <w:t>purpose. Class 4 gambling provides valuable grant funding to communities (approx</w:t>
      </w:r>
      <w:r w:rsidR="00820920">
        <w:t>imately</w:t>
      </w:r>
      <w:r>
        <w:t xml:space="preserve"> $260</w:t>
      </w:r>
      <w:r w:rsidR="00995D7E">
        <w:t xml:space="preserve"> million</w:t>
      </w:r>
      <w:r>
        <w:t xml:space="preserve"> last year). </w:t>
      </w:r>
      <w:r w:rsidR="00317855">
        <w:t xml:space="preserve">Since the enactment of the Gambling Act in 2003, a combination </w:t>
      </w:r>
      <w:r w:rsidR="00CB468D">
        <w:t>of factors have led to a decrease</w:t>
      </w:r>
      <w:r w:rsidR="00317855">
        <w:t xml:space="preserve"> in </w:t>
      </w:r>
      <w:r w:rsidR="00CB468D">
        <w:t xml:space="preserve">class 4 gambling </w:t>
      </w:r>
      <w:r w:rsidR="00317855">
        <w:t xml:space="preserve">expenditure, and a decline in funds being </w:t>
      </w:r>
      <w:r w:rsidR="00CB468D">
        <w:t xml:space="preserve">available for distribution </w:t>
      </w:r>
      <w:r w:rsidR="00317855">
        <w:t xml:space="preserve">to communities. </w:t>
      </w:r>
    </w:p>
    <w:p w:rsidR="00317855" w:rsidRDefault="003E7B89" w:rsidP="00317855">
      <w:r>
        <w:t>Gaming machines were introduced</w:t>
      </w:r>
      <w:r w:rsidR="00674E8C">
        <w:t xml:space="preserve"> to New Zealand in the late 198</w:t>
      </w:r>
      <w:r>
        <w:t xml:space="preserve">0s. </w:t>
      </w:r>
      <w:r w:rsidR="00921958">
        <w:t xml:space="preserve">As </w:t>
      </w:r>
      <w:r w:rsidR="00317855">
        <w:t>shown in Figure 1 below</w:t>
      </w:r>
      <w:r w:rsidR="00921958">
        <w:t xml:space="preserve">, there was huge growth in expenditure on </w:t>
      </w:r>
      <w:r w:rsidR="00674E8C">
        <w:t>gaming machines</w:t>
      </w:r>
      <w:r w:rsidR="00DB39D1">
        <w:rPr>
          <w:rStyle w:val="FootnoteReference"/>
        </w:rPr>
        <w:footnoteReference w:id="2"/>
      </w:r>
      <w:r w:rsidR="00921958">
        <w:t xml:space="preserve"> in the late 1990s </w:t>
      </w:r>
      <w:r w:rsidR="00995D7E">
        <w:t xml:space="preserve">and </w:t>
      </w:r>
      <w:r w:rsidR="00921958">
        <w:t>early 2000s</w:t>
      </w:r>
      <w:r w:rsidR="00A04C8F">
        <w:t xml:space="preserve">, compared </w:t>
      </w:r>
      <w:r w:rsidR="00995D7E">
        <w:t>with</w:t>
      </w:r>
      <w:r w:rsidR="00A04C8F">
        <w:t xml:space="preserve"> other forms of gambling</w:t>
      </w:r>
      <w:r w:rsidR="00674E8C">
        <w:t>.</w:t>
      </w:r>
      <w:r w:rsidR="00921958">
        <w:t xml:space="preserve"> </w:t>
      </w:r>
      <w:r w:rsidR="009B16DC">
        <w:t xml:space="preserve">This rapid growth </w:t>
      </w:r>
      <w:r w:rsidR="00674E8C">
        <w:t>created many issues and</w:t>
      </w:r>
      <w:r w:rsidR="005B29C1">
        <w:t xml:space="preserve"> prompted a review of gaming machines, result</w:t>
      </w:r>
      <w:r w:rsidR="00995D7E">
        <w:t>ing</w:t>
      </w:r>
      <w:r w:rsidR="005B29C1">
        <w:t xml:space="preserve"> in the Gambling Act 2003</w:t>
      </w:r>
      <w:r w:rsidR="00933812">
        <w:t xml:space="preserve">. A </w:t>
      </w:r>
      <w:r w:rsidR="005B29C1">
        <w:t xml:space="preserve">decrease in expenditure on class 4 gambling can be seen from 2004 onwards. </w:t>
      </w:r>
    </w:p>
    <w:tbl>
      <w:tblPr>
        <w:tblStyle w:val="Blanktable"/>
        <w:tblW w:w="0" w:type="auto"/>
        <w:tblLook w:val="04A0" w:firstRow="1" w:lastRow="0" w:firstColumn="1" w:lastColumn="0" w:noHBand="0" w:noVBand="1"/>
      </w:tblPr>
      <w:tblGrid>
        <w:gridCol w:w="9179"/>
      </w:tblGrid>
      <w:tr w:rsidR="00317855" w:rsidTr="002A248F">
        <w:tc>
          <w:tcPr>
            <w:tcW w:w="9179" w:type="dxa"/>
          </w:tcPr>
          <w:p w:rsidR="00317855" w:rsidRDefault="002A248F" w:rsidP="00F95CB6">
            <w:pPr>
              <w:pStyle w:val="Spacer"/>
              <w:keepNext/>
              <w:jc w:val="center"/>
            </w:pPr>
            <w:r>
              <w:rPr>
                <w:noProof/>
                <w:lang w:eastAsia="en-NZ"/>
              </w:rPr>
              <w:drawing>
                <wp:inline distT="0" distB="0" distL="0" distR="0" wp14:anchorId="55317066" wp14:editId="64B1DEBB">
                  <wp:extent cx="5943600" cy="3923030"/>
                  <wp:effectExtent l="0" t="0" r="19050" b="2032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317855" w:rsidRDefault="00317855" w:rsidP="00317855">
      <w:pPr>
        <w:pStyle w:val="Caption"/>
      </w:pPr>
      <w:r>
        <w:t xml:space="preserve">Figure </w:t>
      </w:r>
      <w:fldSimple w:instr=" SEQ Figure \* ARABIC ">
        <w:r w:rsidR="008B7BE4">
          <w:rPr>
            <w:noProof/>
          </w:rPr>
          <w:t>1</w:t>
        </w:r>
      </w:fldSimple>
      <w:r>
        <w:t xml:space="preserve">: Gambling Expenditure </w:t>
      </w:r>
      <w:r w:rsidR="002A248F">
        <w:t>1980</w:t>
      </w:r>
      <w:r>
        <w:t xml:space="preserve"> to 2015 (inflation adjusted</w:t>
      </w:r>
      <w:r w:rsidR="002A248F">
        <w:rPr>
          <w:rStyle w:val="FootnoteReference"/>
        </w:rPr>
        <w:footnoteReference w:id="3"/>
      </w:r>
      <w:r>
        <w:t>)</w:t>
      </w:r>
    </w:p>
    <w:p w:rsidR="003E7B89" w:rsidRDefault="003E7B89" w:rsidP="00317855">
      <w:r>
        <w:t xml:space="preserve">Between 2004 and 2015, expenditure decreased from $1,328 million to $818 million in real </w:t>
      </w:r>
      <w:r w:rsidR="00DB39D1">
        <w:t xml:space="preserve">(i.e. inflation-adjusted) </w:t>
      </w:r>
      <w:r>
        <w:t xml:space="preserve">terms. The decrease in </w:t>
      </w:r>
      <w:r w:rsidR="00924544">
        <w:t xml:space="preserve">class 4 </w:t>
      </w:r>
      <w:r>
        <w:t>expenditure is the reason why total expenditure across all</w:t>
      </w:r>
      <w:r w:rsidR="00924544">
        <w:t xml:space="preserve"> main forms of</w:t>
      </w:r>
      <w:r>
        <w:t xml:space="preserve"> gambling decreased over this period</w:t>
      </w:r>
      <w:r w:rsidR="002D04BB">
        <w:t>.</w:t>
      </w:r>
    </w:p>
    <w:p w:rsidR="00317855" w:rsidRDefault="00317855" w:rsidP="00317855">
      <w:r>
        <w:t xml:space="preserve">Funding to community organisations </w:t>
      </w:r>
      <w:r w:rsidR="00DB39D1">
        <w:t xml:space="preserve">from non-club societies </w:t>
      </w:r>
      <w:r>
        <w:t>reduced from $389 million in 2004, to $262 million in 2015</w:t>
      </w:r>
      <w:r w:rsidR="00625C06">
        <w:rPr>
          <w:rStyle w:val="FootnoteReference"/>
        </w:rPr>
        <w:footnoteReference w:id="4"/>
      </w:r>
      <w:r>
        <w:t xml:space="preserve"> in real te</w:t>
      </w:r>
      <w:r w:rsidR="00A653DD">
        <w:t>rms, a decline of 33 per cent. Community f</w:t>
      </w:r>
      <w:r>
        <w:t>unding</w:t>
      </w:r>
      <w:r w:rsidR="005D08F1">
        <w:t xml:space="preserve"> from class 4 gambling</w:t>
      </w:r>
      <w:r>
        <w:t xml:space="preserve"> has been relatively stable in recent years. </w:t>
      </w:r>
    </w:p>
    <w:p w:rsidR="001774F4" w:rsidRPr="001774F4" w:rsidRDefault="00924544" w:rsidP="005D08F1">
      <w:r>
        <w:lastRenderedPageBreak/>
        <w:t>Class 4 e</w:t>
      </w:r>
      <w:r w:rsidR="00317855">
        <w:t xml:space="preserve">xpenditure has increased since 2014 and there are signs that the sector is stabilising, and </w:t>
      </w:r>
      <w:r w:rsidR="00140B8A">
        <w:t>is</w:t>
      </w:r>
      <w:r w:rsidR="00317855">
        <w:t xml:space="preserve"> more mature. </w:t>
      </w:r>
      <w:r w:rsidR="003951D2">
        <w:t xml:space="preserve">Improving economic conditions and population growth are likely to have driven some of this growth.  </w:t>
      </w:r>
      <w:r w:rsidR="00F048ED">
        <w:t>However, t</w:t>
      </w:r>
      <w:r w:rsidR="00A523B9">
        <w:t xml:space="preserve">he future of the sector and the sustainability of community funding </w:t>
      </w:r>
      <w:r w:rsidR="00C7433C">
        <w:t xml:space="preserve">remains uncertain, </w:t>
      </w:r>
      <w:r w:rsidR="005D08F1">
        <w:t>due to factors explored later in this discussion</w:t>
      </w:r>
      <w:r w:rsidR="005F4445">
        <w:t>.</w:t>
      </w:r>
      <w:r w:rsidR="00DB39D1">
        <w:t xml:space="preserve"> </w:t>
      </w:r>
    </w:p>
    <w:p w:rsidR="0095103A" w:rsidRDefault="0095103A" w:rsidP="0095103A">
      <w:pPr>
        <w:pStyle w:val="Heading2"/>
      </w:pPr>
      <w:bookmarkStart w:id="6" w:name="_Toc453068853"/>
      <w:r>
        <w:t>Objectives</w:t>
      </w:r>
      <w:bookmarkEnd w:id="6"/>
    </w:p>
    <w:p w:rsidR="00297E1B" w:rsidRDefault="00297E1B" w:rsidP="00297E1B">
      <w:r>
        <w:t>The objectives of this review are to look at:</w:t>
      </w:r>
    </w:p>
    <w:p w:rsidR="001E21BE" w:rsidRDefault="001E21BE" w:rsidP="001E21BE">
      <w:pPr>
        <w:pStyle w:val="Bullet"/>
      </w:pPr>
      <w:r>
        <w:t>the long-term sustainability and effective allocation of funding to communities</w:t>
      </w:r>
      <w:r w:rsidR="007B24C7">
        <w:t xml:space="preserve"> without driving a growth in gambling</w:t>
      </w:r>
      <w:r>
        <w:t xml:space="preserve">; </w:t>
      </w:r>
    </w:p>
    <w:p w:rsidR="001E21BE" w:rsidRDefault="001E21BE" w:rsidP="001E21BE">
      <w:pPr>
        <w:pStyle w:val="Bullet"/>
      </w:pPr>
      <w:r>
        <w:t>whether the legislation is still fit-for</w:t>
      </w:r>
      <w:r w:rsidR="00D970D9">
        <w:t>-</w:t>
      </w:r>
      <w:r>
        <w:t>purpose;</w:t>
      </w:r>
    </w:p>
    <w:p w:rsidR="001E21BE" w:rsidRDefault="00352705" w:rsidP="001E21BE">
      <w:pPr>
        <w:pStyle w:val="Bullet"/>
      </w:pPr>
      <w:r>
        <w:t>whether the sector can be regulated more cost-effectively</w:t>
      </w:r>
      <w:r w:rsidR="001E21BE">
        <w:t>;</w:t>
      </w:r>
      <w:r w:rsidR="00BF2813">
        <w:t xml:space="preserve"> and</w:t>
      </w:r>
    </w:p>
    <w:p w:rsidR="001E21BE" w:rsidRDefault="001D2B17" w:rsidP="007B24C7">
      <w:pPr>
        <w:pStyle w:val="Bullet"/>
      </w:pPr>
      <w:proofErr w:type="gramStart"/>
      <w:r>
        <w:t>preventing</w:t>
      </w:r>
      <w:proofErr w:type="gramEnd"/>
      <w:r>
        <w:t xml:space="preserve"> and </w:t>
      </w:r>
      <w:r w:rsidR="00BF2813">
        <w:t xml:space="preserve">minimising harm from </w:t>
      </w:r>
      <w:r w:rsidR="001E21BE">
        <w:t>gambling.</w:t>
      </w:r>
    </w:p>
    <w:p w:rsidR="00297E1B" w:rsidRDefault="00297E1B" w:rsidP="00297E1B">
      <w:r>
        <w:t xml:space="preserve">This discussion paper seeks your views on how to achieve the above objectives. </w:t>
      </w:r>
    </w:p>
    <w:p w:rsidR="00297E1B" w:rsidRDefault="00297E1B" w:rsidP="00297E1B"/>
    <w:p w:rsidR="0095103A" w:rsidRDefault="0095103A" w:rsidP="0095103A">
      <w:pPr>
        <w:pStyle w:val="Bullet"/>
        <w:numPr>
          <w:ilvl w:val="0"/>
          <w:numId w:val="0"/>
        </w:numPr>
        <w:ind w:left="927" w:hanging="360"/>
      </w:pPr>
      <w:r>
        <w:br w:type="page"/>
      </w:r>
    </w:p>
    <w:p w:rsidR="00E26D66" w:rsidRPr="00E26D66" w:rsidRDefault="00997FDA" w:rsidP="00637A1F">
      <w:pPr>
        <w:pStyle w:val="Heading1"/>
      </w:pPr>
      <w:bookmarkStart w:id="7" w:name="_Toc453068854"/>
      <w:r>
        <w:lastRenderedPageBreak/>
        <w:t>PART I: Overview of class 4 gambling</w:t>
      </w:r>
      <w:bookmarkEnd w:id="7"/>
    </w:p>
    <w:p w:rsidR="0053192C" w:rsidRPr="00EB4B15" w:rsidRDefault="0053192C" w:rsidP="0053192C">
      <w:r w:rsidRPr="00EB4B15">
        <w:t xml:space="preserve">The purpose of the Gambling Act 2003 (the </w:t>
      </w:r>
      <w:r w:rsidR="0016042F">
        <w:t xml:space="preserve">Gambling </w:t>
      </w:r>
      <w:r w:rsidRPr="00EB4B15">
        <w:t>Act) is to:</w:t>
      </w:r>
    </w:p>
    <w:p w:rsidR="0053192C" w:rsidRPr="00EB4B15" w:rsidRDefault="0053192C" w:rsidP="0053192C">
      <w:pPr>
        <w:pStyle w:val="Bullet"/>
      </w:pPr>
      <w:r w:rsidRPr="00EB4B15">
        <w:t>control the growth of gambling;</w:t>
      </w:r>
    </w:p>
    <w:p w:rsidR="0053192C" w:rsidRPr="00EB4B15" w:rsidRDefault="0053192C" w:rsidP="0053192C">
      <w:pPr>
        <w:pStyle w:val="Bullet"/>
      </w:pPr>
      <w:r w:rsidRPr="00EB4B15">
        <w:t>prevent and minimise harm from gambling, including problem gambling;</w:t>
      </w:r>
    </w:p>
    <w:p w:rsidR="0053192C" w:rsidRPr="00EB4B15" w:rsidRDefault="0053192C" w:rsidP="0053192C">
      <w:pPr>
        <w:pStyle w:val="Bullet"/>
      </w:pPr>
      <w:r w:rsidRPr="00EB4B15">
        <w:t>authorise some gambling and prohibit the rest;</w:t>
      </w:r>
    </w:p>
    <w:p w:rsidR="0053192C" w:rsidRPr="00EB4B15" w:rsidRDefault="0053192C" w:rsidP="0053192C">
      <w:pPr>
        <w:pStyle w:val="Bullet"/>
      </w:pPr>
      <w:r w:rsidRPr="00EB4B15">
        <w:t>facilitate responsible gambling;</w:t>
      </w:r>
    </w:p>
    <w:p w:rsidR="0053192C" w:rsidRPr="00EB4B15" w:rsidRDefault="0053192C" w:rsidP="0053192C">
      <w:pPr>
        <w:pStyle w:val="Bullet"/>
      </w:pPr>
      <w:r w:rsidRPr="00EB4B15">
        <w:t>ensure the integrity and fairness of games;</w:t>
      </w:r>
    </w:p>
    <w:p w:rsidR="0053192C" w:rsidRPr="00EB4B15" w:rsidRDefault="0053192C" w:rsidP="0053192C">
      <w:pPr>
        <w:pStyle w:val="Bullet"/>
      </w:pPr>
      <w:r w:rsidRPr="00EB4B15">
        <w:t>limit opportunities for crime or dishonesty associated with gambling and the conduct of gambling;</w:t>
      </w:r>
    </w:p>
    <w:p w:rsidR="0053192C" w:rsidRPr="00EB4B15" w:rsidRDefault="0053192C" w:rsidP="0053192C">
      <w:pPr>
        <w:pStyle w:val="Bullet"/>
      </w:pPr>
      <w:r w:rsidRPr="00EB4B15">
        <w:t>ensure that money from gambling benefits the community; and</w:t>
      </w:r>
    </w:p>
    <w:p w:rsidR="0053192C" w:rsidRPr="00EB4B15" w:rsidRDefault="0053192C" w:rsidP="0053192C">
      <w:pPr>
        <w:pStyle w:val="Bullet"/>
      </w:pPr>
      <w:r w:rsidRPr="00EB4B15">
        <w:t>facilitate community involvement in decisions about the provision of gambling</w:t>
      </w:r>
      <w:r w:rsidR="00DB39D1">
        <w:rPr>
          <w:rStyle w:val="FootnoteReference"/>
        </w:rPr>
        <w:footnoteReference w:id="5"/>
      </w:r>
      <w:r w:rsidRPr="00EB4B15">
        <w:t>.</w:t>
      </w:r>
    </w:p>
    <w:p w:rsidR="00E36AEA" w:rsidRDefault="00072A91" w:rsidP="0053192C">
      <w:r w:rsidRPr="000B2723">
        <w:t xml:space="preserve">There is potential for conflict </w:t>
      </w:r>
      <w:r w:rsidR="00D3602E" w:rsidRPr="000B2723">
        <w:t>between some of these purposes</w:t>
      </w:r>
      <w:r w:rsidR="001B40C6">
        <w:t>. This</w:t>
      </w:r>
      <w:r w:rsidR="00416DDD">
        <w:t xml:space="preserve"> </w:t>
      </w:r>
      <w:r w:rsidR="0035287A">
        <w:t>approach</w:t>
      </w:r>
      <w:r w:rsidR="00416DDD">
        <w:t xml:space="preserve"> was </w:t>
      </w:r>
      <w:r w:rsidR="001B40C6">
        <w:t>deliberate</w:t>
      </w:r>
      <w:r w:rsidR="00416DDD">
        <w:t xml:space="preserve">, to </w:t>
      </w:r>
      <w:r w:rsidR="00FF47F6">
        <w:t>encourage decision-making that balances</w:t>
      </w:r>
      <w:r w:rsidR="00416DDD">
        <w:t xml:space="preserve"> </w:t>
      </w:r>
      <w:r w:rsidR="0035287A">
        <w:t xml:space="preserve">the need to minimise </w:t>
      </w:r>
      <w:r w:rsidR="000B2723">
        <w:t xml:space="preserve">the harm from gambling with the </w:t>
      </w:r>
      <w:r w:rsidR="0035287A">
        <w:t xml:space="preserve">desire to generate </w:t>
      </w:r>
      <w:r w:rsidR="00581375">
        <w:t>benefits to the community f</w:t>
      </w:r>
      <w:r w:rsidR="008B19FC">
        <w:t>r</w:t>
      </w:r>
      <w:r w:rsidR="00581375">
        <w:t>o</w:t>
      </w:r>
      <w:r w:rsidR="008B19FC">
        <w:t xml:space="preserve">m gambling money. </w:t>
      </w:r>
      <w:r w:rsidR="00E36AEA" w:rsidRPr="00EB4B15">
        <w:t>In order to achieve these purposes, the Department undertakes gambling licensing, compliance and enforcement functions.</w:t>
      </w:r>
    </w:p>
    <w:p w:rsidR="009C50E1" w:rsidRDefault="00D45487" w:rsidP="0053192C">
      <w:r>
        <w:t>The Gambling Act</w:t>
      </w:r>
      <w:r w:rsidR="006527A9">
        <w:t xml:space="preserve"> classifies gambling based on the amount of money spent and the risk of problems associated with that type of gambling. </w:t>
      </w:r>
      <w:r w:rsidR="00A849C3">
        <w:t xml:space="preserve">The </w:t>
      </w:r>
      <w:r w:rsidR="006527A9">
        <w:t xml:space="preserve">four classes </w:t>
      </w:r>
      <w:r w:rsidR="009732DD">
        <w:t>are:</w:t>
      </w:r>
    </w:p>
    <w:p w:rsidR="009C50E1" w:rsidRDefault="009732DD" w:rsidP="009C50E1">
      <w:pPr>
        <w:pStyle w:val="Bullet"/>
      </w:pPr>
      <w:r>
        <w:t>Clas</w:t>
      </w:r>
      <w:r w:rsidR="00B57FF7">
        <w:t>s 1</w:t>
      </w:r>
      <w:r w:rsidR="00725B71">
        <w:t>:</w:t>
      </w:r>
      <w:r w:rsidR="00B57FF7">
        <w:t xml:space="preserve"> </w:t>
      </w:r>
      <w:r w:rsidR="00016CFE">
        <w:t>Small scale g</w:t>
      </w:r>
      <w:r w:rsidR="006527A9">
        <w:t>ambling</w:t>
      </w:r>
      <w:r w:rsidR="00016CFE">
        <w:t xml:space="preserve"> where the p</w:t>
      </w:r>
      <w:r w:rsidR="00B57FF7">
        <w:t>rizes cannot exceed $500, and no licence is require</w:t>
      </w:r>
      <w:r w:rsidR="00DB39D1">
        <w:t>d</w:t>
      </w:r>
      <w:r w:rsidR="00B57FF7">
        <w:t>. Examples of class 1 gambling incl</w:t>
      </w:r>
      <w:r w:rsidR="00725B71">
        <w:t>ude office sweepstakes</w:t>
      </w:r>
      <w:r w:rsidR="00B57FF7">
        <w:t>.</w:t>
      </w:r>
    </w:p>
    <w:p w:rsidR="00B57FF7" w:rsidRDefault="00725B71" w:rsidP="009C50E1">
      <w:pPr>
        <w:pStyle w:val="Bullet"/>
      </w:pPr>
      <w:r>
        <w:t>Class 2:</w:t>
      </w:r>
      <w:r w:rsidR="00B57FF7">
        <w:t xml:space="preserve"> </w:t>
      </w:r>
      <w:r w:rsidR="006527A9">
        <w:t xml:space="preserve">Gambling </w:t>
      </w:r>
      <w:r>
        <w:t xml:space="preserve">where the person conducting the gambling is not paid, the gambling must be run by a society, and all the proceeds from gambling must be applied to an authorised purpose (a definition of authorised purposes can be found </w:t>
      </w:r>
      <w:r w:rsidR="005D08F1">
        <w:t>in the Glossary</w:t>
      </w:r>
      <w:r>
        <w:t xml:space="preserve">). Prizes may not exceed $5000, no more than $25,000 </w:t>
      </w:r>
      <w:r w:rsidR="00A849C3">
        <w:t>can be gambl</w:t>
      </w:r>
      <w:r w:rsidR="00DB39D1">
        <w:t>ed</w:t>
      </w:r>
      <w:r w:rsidR="00A849C3">
        <w:t xml:space="preserve"> in one session, and no licence is required.</w:t>
      </w:r>
    </w:p>
    <w:p w:rsidR="00725B71" w:rsidRDefault="00725B71" w:rsidP="009C50E1">
      <w:pPr>
        <w:pStyle w:val="Bullet"/>
      </w:pPr>
      <w:r>
        <w:t xml:space="preserve">Class 3: </w:t>
      </w:r>
      <w:r w:rsidR="006527A9">
        <w:t xml:space="preserve">Gambling </w:t>
      </w:r>
      <w:r w:rsidR="00A849C3">
        <w:t xml:space="preserve">where prizes awarded for the gambling activity can exceed $5000, </w:t>
      </w:r>
      <w:r w:rsidR="006527A9">
        <w:t>may only be run by a society, the money must be raised for an authorised purpose, and a licence to operate</w:t>
      </w:r>
      <w:r w:rsidR="00DB39D1">
        <w:t xml:space="preserve"> is required</w:t>
      </w:r>
      <w:r w:rsidR="006527A9">
        <w:t>. Examples are the national lotteries run by the Heart Foundation and Coastguard</w:t>
      </w:r>
      <w:r w:rsidR="00DB39D1">
        <w:t xml:space="preserve"> NZ</w:t>
      </w:r>
      <w:r w:rsidR="006527A9">
        <w:t xml:space="preserve">. </w:t>
      </w:r>
    </w:p>
    <w:p w:rsidR="006527A9" w:rsidRDefault="006527A9" w:rsidP="006527A9">
      <w:pPr>
        <w:pStyle w:val="Bullet"/>
      </w:pPr>
      <w:r>
        <w:t xml:space="preserve">Class 4: Gambling activity involving the use of gaming machines outside of a casino, and may only </w:t>
      </w:r>
      <w:r w:rsidR="00044699">
        <w:t>be run by a non-club</w:t>
      </w:r>
      <w:r>
        <w:t xml:space="preserve"> society </w:t>
      </w:r>
      <w:r w:rsidR="00044699">
        <w:t xml:space="preserve">or club </w:t>
      </w:r>
      <w:r>
        <w:t>to raise money for an authorised purpose. The gaming machines are found in clubs, like RSAs and b</w:t>
      </w:r>
      <w:r w:rsidR="0004112F">
        <w:t xml:space="preserve">owling clubs, </w:t>
      </w:r>
      <w:r w:rsidR="00DB39D1">
        <w:t xml:space="preserve">commercial venues, such as </w:t>
      </w:r>
      <w:r w:rsidR="0004112F">
        <w:t xml:space="preserve">pubs </w:t>
      </w:r>
      <w:r w:rsidR="00D3602E">
        <w:t>and bars</w:t>
      </w:r>
      <w:r w:rsidR="00DB39D1">
        <w:t>,</w:t>
      </w:r>
      <w:r w:rsidR="00D3602E">
        <w:t xml:space="preserve"> and New Zealand Racing Board </w:t>
      </w:r>
      <w:r w:rsidR="00DB39D1">
        <w:t xml:space="preserve">(TAB) </w:t>
      </w:r>
      <w:r w:rsidR="00D3602E">
        <w:t xml:space="preserve">venues. </w:t>
      </w:r>
    </w:p>
    <w:p w:rsidR="006527A9" w:rsidRPr="00EB4B15" w:rsidRDefault="006D589F" w:rsidP="006527A9">
      <w:r>
        <w:t xml:space="preserve">Other </w:t>
      </w:r>
      <w:r w:rsidR="00924544">
        <w:t xml:space="preserve">major </w:t>
      </w:r>
      <w:r>
        <w:t>forms of gambling in New Zealand include Lotto N</w:t>
      </w:r>
      <w:r w:rsidR="001E776F">
        <w:t>ew Zealand</w:t>
      </w:r>
      <w:r w:rsidR="00D45487">
        <w:t xml:space="preserve">, </w:t>
      </w:r>
      <w:r w:rsidR="005B6A37">
        <w:t xml:space="preserve">betting on </w:t>
      </w:r>
      <w:r w:rsidR="00D45487">
        <w:t>racing</w:t>
      </w:r>
      <w:r>
        <w:t xml:space="preserve"> </w:t>
      </w:r>
      <w:r w:rsidR="005B6A37">
        <w:t xml:space="preserve">and sports, </w:t>
      </w:r>
      <w:r>
        <w:t xml:space="preserve">and casinos. The focus of this review is </w:t>
      </w:r>
      <w:r w:rsidR="00AF0A0D">
        <w:t xml:space="preserve">on </w:t>
      </w:r>
      <w:r>
        <w:t xml:space="preserve">class 4 gambling. </w:t>
      </w:r>
    </w:p>
    <w:p w:rsidR="0053192C" w:rsidRPr="001420E8" w:rsidRDefault="0053192C" w:rsidP="0053192C">
      <w:pPr>
        <w:pStyle w:val="Heading2"/>
      </w:pPr>
      <w:bookmarkStart w:id="8" w:name="_Toc453068855"/>
      <w:r>
        <w:lastRenderedPageBreak/>
        <w:t>Class 4 gambling</w:t>
      </w:r>
      <w:bookmarkEnd w:id="8"/>
    </w:p>
    <w:p w:rsidR="0053192C" w:rsidRPr="007B6366" w:rsidRDefault="0053192C" w:rsidP="0053192C">
      <w:r w:rsidRPr="007B6366">
        <w:t>Class 4 gambling is gambling using non-casino gaming m</w:t>
      </w:r>
      <w:r w:rsidR="00CE797D">
        <w:t xml:space="preserve">achines, also known as </w:t>
      </w:r>
      <w:r w:rsidR="00924544">
        <w:t>“</w:t>
      </w:r>
      <w:r w:rsidR="00CE797D">
        <w:t>pokies</w:t>
      </w:r>
      <w:r w:rsidR="00924544">
        <w:t>”</w:t>
      </w:r>
      <w:r w:rsidR="00CE797D">
        <w:t xml:space="preserve">. </w:t>
      </w:r>
      <w:r w:rsidR="00472FA4">
        <w:t>There are three types of class 4 societies. Non-club</w:t>
      </w:r>
      <w:r w:rsidRPr="007B6366">
        <w:t xml:space="preserve"> societies </w:t>
      </w:r>
      <w:r w:rsidR="00472FA4">
        <w:t>operate machines in separately owned pubs and bars. C</w:t>
      </w:r>
      <w:r w:rsidR="00EE18FA">
        <w:t>lu</w:t>
      </w:r>
      <w:r w:rsidR="00472FA4">
        <w:t>b</w:t>
      </w:r>
      <w:r w:rsidR="00AF0A0D">
        <w:t xml:space="preserve"> </w:t>
      </w:r>
      <w:r w:rsidR="00472FA4">
        <w:t>societies operate</w:t>
      </w:r>
      <w:r w:rsidR="00EE18FA">
        <w:t xml:space="preserve"> gaming machines </w:t>
      </w:r>
      <w:r w:rsidR="00472FA4">
        <w:t>from</w:t>
      </w:r>
      <w:r w:rsidR="00EE18FA">
        <w:t xml:space="preserve"> their own clubrooms</w:t>
      </w:r>
      <w:r w:rsidR="007562DE">
        <w:t xml:space="preserve">. </w:t>
      </w:r>
      <w:r w:rsidR="007178BB">
        <w:t xml:space="preserve">The New Zealand Racing Board </w:t>
      </w:r>
      <w:r w:rsidR="00DA2872">
        <w:t>also opera</w:t>
      </w:r>
      <w:r w:rsidR="00EE18FA">
        <w:t>tes gaming machines in venues it owns or leases</w:t>
      </w:r>
      <w:r w:rsidR="00DA2872">
        <w:t xml:space="preserve">. </w:t>
      </w:r>
      <w:r w:rsidR="007562DE">
        <w:t>All operators require licences from the</w:t>
      </w:r>
      <w:r w:rsidRPr="007B6366">
        <w:t xml:space="preserve"> Department. </w:t>
      </w:r>
    </w:p>
    <w:p w:rsidR="0053192C" w:rsidRPr="00C36CC7" w:rsidRDefault="0053192C" w:rsidP="0053192C">
      <w:r w:rsidRPr="00C36CC7">
        <w:t xml:space="preserve">Table 1 shows a summary of the sector as at 31 </w:t>
      </w:r>
      <w:r w:rsidR="00AF0A0D">
        <w:t>March 2016</w:t>
      </w:r>
      <w:r w:rsidRPr="00C36CC7">
        <w:t>.</w:t>
      </w:r>
    </w:p>
    <w:p w:rsidR="0053192C" w:rsidRPr="00C36CC7" w:rsidRDefault="0053192C" w:rsidP="0053192C">
      <w:pPr>
        <w:pStyle w:val="Tableheading2"/>
      </w:pPr>
      <w:r w:rsidRPr="00C36CC7">
        <w:t>Table 1: Class 4 gambling sector by societies, venues an</w:t>
      </w:r>
      <w:r w:rsidR="00755B6C">
        <w:t xml:space="preserve">d gaming machines, as at </w:t>
      </w:r>
      <w:r w:rsidR="007562DE">
        <w:t>31 March 2016</w:t>
      </w:r>
    </w:p>
    <w:tbl>
      <w:tblPr>
        <w:tblStyle w:val="DIATable"/>
        <w:tblW w:w="0" w:type="auto"/>
        <w:tblLook w:val="04A0" w:firstRow="1" w:lastRow="0" w:firstColumn="1" w:lastColumn="0" w:noHBand="0" w:noVBand="1"/>
      </w:tblPr>
      <w:tblGrid>
        <w:gridCol w:w="2241"/>
        <w:gridCol w:w="2470"/>
        <w:gridCol w:w="2234"/>
        <w:gridCol w:w="2234"/>
      </w:tblGrid>
      <w:tr w:rsidR="0053192C" w:rsidRPr="00C36CC7" w:rsidTr="0079153C">
        <w:trPr>
          <w:cnfStyle w:val="100000000000" w:firstRow="1" w:lastRow="0" w:firstColumn="0" w:lastColumn="0" w:oddVBand="0" w:evenVBand="0" w:oddHBand="0" w:evenHBand="0" w:firstRowFirstColumn="0" w:firstRowLastColumn="0" w:lastRowFirstColumn="0" w:lastRowLastColumn="0"/>
        </w:trPr>
        <w:tc>
          <w:tcPr>
            <w:tcW w:w="2241" w:type="dxa"/>
          </w:tcPr>
          <w:p w:rsidR="0053192C" w:rsidRPr="00C36CC7" w:rsidRDefault="0053192C" w:rsidP="0079153C">
            <w:r w:rsidRPr="00C36CC7">
              <w:t>Type of society</w:t>
            </w:r>
          </w:p>
        </w:tc>
        <w:tc>
          <w:tcPr>
            <w:tcW w:w="2470" w:type="dxa"/>
          </w:tcPr>
          <w:p w:rsidR="0053192C" w:rsidRPr="00C36CC7" w:rsidRDefault="0053192C" w:rsidP="0079153C">
            <w:r w:rsidRPr="00C36CC7">
              <w:t>Number licensed</w:t>
            </w:r>
          </w:p>
        </w:tc>
        <w:tc>
          <w:tcPr>
            <w:tcW w:w="2234" w:type="dxa"/>
          </w:tcPr>
          <w:p w:rsidR="0053192C" w:rsidRPr="00C36CC7" w:rsidRDefault="0053192C" w:rsidP="0079153C">
            <w:r w:rsidRPr="00C36CC7">
              <w:t>Licensed venues</w:t>
            </w:r>
          </w:p>
        </w:tc>
        <w:tc>
          <w:tcPr>
            <w:tcW w:w="2234" w:type="dxa"/>
          </w:tcPr>
          <w:p w:rsidR="0053192C" w:rsidRPr="00C36CC7" w:rsidRDefault="0053192C" w:rsidP="0079153C">
            <w:r w:rsidRPr="00C36CC7">
              <w:t>Gaming machines</w:t>
            </w:r>
          </w:p>
        </w:tc>
      </w:tr>
      <w:tr w:rsidR="0053192C" w:rsidRPr="00C36CC7" w:rsidTr="0079153C">
        <w:tc>
          <w:tcPr>
            <w:tcW w:w="2241" w:type="dxa"/>
          </w:tcPr>
          <w:p w:rsidR="0053192C" w:rsidRPr="00C36CC7" w:rsidRDefault="0053192C" w:rsidP="0079153C">
            <w:r w:rsidRPr="00C36CC7">
              <w:t>Non-club</w:t>
            </w:r>
            <w:r w:rsidR="0028426D">
              <w:rPr>
                <w:rStyle w:val="FootnoteReference"/>
              </w:rPr>
              <w:footnoteReference w:id="6"/>
            </w:r>
            <w:r w:rsidRPr="00C36CC7">
              <w:t xml:space="preserve"> </w:t>
            </w:r>
          </w:p>
        </w:tc>
        <w:tc>
          <w:tcPr>
            <w:tcW w:w="2470" w:type="dxa"/>
          </w:tcPr>
          <w:p w:rsidR="0053192C" w:rsidRPr="00C36CC7" w:rsidRDefault="0053192C" w:rsidP="0079153C">
            <w:r>
              <w:t>38</w:t>
            </w:r>
          </w:p>
        </w:tc>
        <w:tc>
          <w:tcPr>
            <w:tcW w:w="2234" w:type="dxa"/>
          </w:tcPr>
          <w:p w:rsidR="0053192C" w:rsidRPr="00C36CC7" w:rsidRDefault="0053192C" w:rsidP="00401791">
            <w:r>
              <w:t>96</w:t>
            </w:r>
            <w:r w:rsidR="00401791">
              <w:t>1</w:t>
            </w:r>
          </w:p>
        </w:tc>
        <w:tc>
          <w:tcPr>
            <w:tcW w:w="2234" w:type="dxa"/>
          </w:tcPr>
          <w:p w:rsidR="0053192C" w:rsidRPr="00C36CC7" w:rsidRDefault="0053192C" w:rsidP="00401791">
            <w:r>
              <w:t>13,01</w:t>
            </w:r>
            <w:r w:rsidR="00401791">
              <w:t>5</w:t>
            </w:r>
          </w:p>
        </w:tc>
      </w:tr>
      <w:tr w:rsidR="0053192C" w:rsidRPr="00C36CC7" w:rsidTr="0079153C">
        <w:tc>
          <w:tcPr>
            <w:tcW w:w="2241" w:type="dxa"/>
          </w:tcPr>
          <w:p w:rsidR="0053192C" w:rsidRPr="00C36CC7" w:rsidRDefault="0053192C" w:rsidP="0079153C">
            <w:r w:rsidRPr="00C36CC7">
              <w:t>Club</w:t>
            </w:r>
          </w:p>
        </w:tc>
        <w:tc>
          <w:tcPr>
            <w:tcW w:w="2470" w:type="dxa"/>
          </w:tcPr>
          <w:p w:rsidR="0053192C" w:rsidRPr="00C36CC7" w:rsidRDefault="0053192C" w:rsidP="00401791">
            <w:r>
              <w:t>2</w:t>
            </w:r>
            <w:r w:rsidR="00401791">
              <w:t>54</w:t>
            </w:r>
          </w:p>
        </w:tc>
        <w:tc>
          <w:tcPr>
            <w:tcW w:w="2234" w:type="dxa"/>
          </w:tcPr>
          <w:p w:rsidR="0053192C" w:rsidRPr="00C36CC7" w:rsidRDefault="0053192C" w:rsidP="00401791">
            <w:r>
              <w:t>2</w:t>
            </w:r>
            <w:r w:rsidR="00401791">
              <w:t>63</w:t>
            </w:r>
          </w:p>
        </w:tc>
        <w:tc>
          <w:tcPr>
            <w:tcW w:w="2234" w:type="dxa"/>
          </w:tcPr>
          <w:p w:rsidR="0053192C" w:rsidRPr="00C36CC7" w:rsidRDefault="0053192C" w:rsidP="00401791">
            <w:r>
              <w:t>3,</w:t>
            </w:r>
            <w:r w:rsidR="00401791">
              <w:t>259</w:t>
            </w:r>
          </w:p>
        </w:tc>
      </w:tr>
      <w:tr w:rsidR="0053192C" w:rsidRPr="00B81519" w:rsidTr="0079153C">
        <w:tc>
          <w:tcPr>
            <w:tcW w:w="2241" w:type="dxa"/>
          </w:tcPr>
          <w:p w:rsidR="0053192C" w:rsidRPr="00C36CC7" w:rsidRDefault="0053192C" w:rsidP="0079153C">
            <w:pPr>
              <w:rPr>
                <w:b/>
              </w:rPr>
            </w:pPr>
            <w:r w:rsidRPr="00C36CC7">
              <w:rPr>
                <w:b/>
              </w:rPr>
              <w:t>Total</w:t>
            </w:r>
          </w:p>
        </w:tc>
        <w:tc>
          <w:tcPr>
            <w:tcW w:w="2470" w:type="dxa"/>
          </w:tcPr>
          <w:p w:rsidR="0053192C" w:rsidRPr="00C36CC7" w:rsidRDefault="00401791" w:rsidP="00401791">
            <w:pPr>
              <w:rPr>
                <w:b/>
              </w:rPr>
            </w:pPr>
            <w:r>
              <w:rPr>
                <w:b/>
              </w:rPr>
              <w:t>292</w:t>
            </w:r>
          </w:p>
        </w:tc>
        <w:tc>
          <w:tcPr>
            <w:tcW w:w="2234" w:type="dxa"/>
          </w:tcPr>
          <w:p w:rsidR="0053192C" w:rsidRPr="00C36CC7" w:rsidRDefault="0053192C" w:rsidP="00401791">
            <w:pPr>
              <w:rPr>
                <w:b/>
              </w:rPr>
            </w:pPr>
            <w:r>
              <w:rPr>
                <w:b/>
              </w:rPr>
              <w:t>12</w:t>
            </w:r>
            <w:r w:rsidR="00401791">
              <w:rPr>
                <w:b/>
              </w:rPr>
              <w:t>24</w:t>
            </w:r>
          </w:p>
        </w:tc>
        <w:tc>
          <w:tcPr>
            <w:tcW w:w="2234" w:type="dxa"/>
          </w:tcPr>
          <w:p w:rsidR="0053192C" w:rsidRPr="00B81519" w:rsidRDefault="0053192C" w:rsidP="00401791">
            <w:pPr>
              <w:rPr>
                <w:b/>
              </w:rPr>
            </w:pPr>
            <w:r w:rsidRPr="00C36CC7">
              <w:rPr>
                <w:b/>
              </w:rPr>
              <w:t>16,</w:t>
            </w:r>
            <w:r w:rsidR="00401791">
              <w:rPr>
                <w:b/>
              </w:rPr>
              <w:t>274</w:t>
            </w:r>
          </w:p>
        </w:tc>
      </w:tr>
    </w:tbl>
    <w:p w:rsidR="0053192C" w:rsidRDefault="005D08F1" w:rsidP="0053192C">
      <w:r>
        <w:t>Non</w:t>
      </w:r>
      <w:r w:rsidR="0053192C">
        <w:t xml:space="preserve">-club societies </w:t>
      </w:r>
      <w:r w:rsidR="00AF0A0D">
        <w:t>own</w:t>
      </w:r>
      <w:r w:rsidR="0053192C">
        <w:t xml:space="preserve"> almost 80 per cent of the gaming machines</w:t>
      </w:r>
      <w:r w:rsidR="0078595E">
        <w:t xml:space="preserve"> operating in</w:t>
      </w:r>
      <w:r w:rsidR="003E67E0">
        <w:t xml:space="preserve"> licensed venues</w:t>
      </w:r>
      <w:r w:rsidR="0053192C">
        <w:t xml:space="preserve">. These societies also generate most of the gaming machine </w:t>
      </w:r>
      <w:r w:rsidR="002E4AA6">
        <w:t>profits</w:t>
      </w:r>
      <w:r w:rsidR="0051209C">
        <w:t xml:space="preserve"> and grants</w:t>
      </w:r>
      <w:r w:rsidR="00D66902">
        <w:t xml:space="preserve"> returned to the com</w:t>
      </w:r>
      <w:r w:rsidR="003E67E0">
        <w:t>m</w:t>
      </w:r>
      <w:r w:rsidR="00D66902">
        <w:t>unity</w:t>
      </w:r>
      <w:r w:rsidR="0053192C" w:rsidRPr="008C59E9">
        <w:t xml:space="preserve">. </w:t>
      </w:r>
    </w:p>
    <w:p w:rsidR="00AF1FA9" w:rsidRPr="007B6366" w:rsidRDefault="00704254" w:rsidP="00AF1FA9">
      <w:r>
        <w:t xml:space="preserve">All </w:t>
      </w:r>
      <w:r w:rsidR="00A653DD">
        <w:t xml:space="preserve">class 4 </w:t>
      </w:r>
      <w:r w:rsidRPr="00DD199E">
        <w:t>societies must apply or distribute their</w:t>
      </w:r>
      <w:r w:rsidR="00CE4034" w:rsidRPr="00DD199E">
        <w:t xml:space="preserve"> proceeds</w:t>
      </w:r>
      <w:r w:rsidR="00CE4034">
        <w:t xml:space="preserve"> from gaming machines </w:t>
      </w:r>
      <w:r w:rsidRPr="007B6366">
        <w:t>to authorised purposes</w:t>
      </w:r>
      <w:r w:rsidR="00900B15">
        <w:t>.</w:t>
      </w:r>
      <w:r w:rsidRPr="007B6366">
        <w:t xml:space="preserve"> </w:t>
      </w:r>
      <w:r w:rsidR="00AF1FA9">
        <w:t xml:space="preserve">When applying for a licence, a non-club society </w:t>
      </w:r>
      <w:r w:rsidR="00977545">
        <w:t xml:space="preserve">(which distributes its funds) </w:t>
      </w:r>
      <w:r w:rsidR="00AF1FA9">
        <w:t xml:space="preserve">has to specify what authorised purposes it intends to raise money for. </w:t>
      </w:r>
      <w:r w:rsidR="00900B15">
        <w:t>Non-club s</w:t>
      </w:r>
      <w:r w:rsidR="00AF1FA9">
        <w:t xml:space="preserve">ocieties must then grant funds only to those purposes that </w:t>
      </w:r>
      <w:r w:rsidR="00900B15">
        <w:t>are specified in their licence, which must be consistent with the purposes set out in their trust deeds or constitutions</w:t>
      </w:r>
      <w:r w:rsidR="005B6A37">
        <w:t>.</w:t>
      </w:r>
    </w:p>
    <w:p w:rsidR="00704254" w:rsidRDefault="00704254" w:rsidP="00704254">
      <w:r>
        <w:t>Authorised purposes for class 4 gambling are defined in the Gambling Act as</w:t>
      </w:r>
      <w:r w:rsidR="00AF0A0D">
        <w:rPr>
          <w:rStyle w:val="FootnoteReference"/>
        </w:rPr>
        <w:footnoteReference w:id="7"/>
      </w:r>
      <w:r>
        <w:t xml:space="preserve">: </w:t>
      </w:r>
    </w:p>
    <w:p w:rsidR="00704254" w:rsidRDefault="00704254" w:rsidP="00704254">
      <w:pPr>
        <w:pStyle w:val="Bullet"/>
      </w:pPr>
      <w:r>
        <w:t>a charitable purpose;</w:t>
      </w:r>
    </w:p>
    <w:p w:rsidR="00704254" w:rsidRDefault="00704254" w:rsidP="00704254">
      <w:pPr>
        <w:pStyle w:val="Bullet"/>
      </w:pPr>
      <w:r>
        <w:t>a non-commercial purpose that benefits the whole or a section of the community; and</w:t>
      </w:r>
    </w:p>
    <w:p w:rsidR="00476C22" w:rsidRDefault="00704254" w:rsidP="00476C22">
      <w:pPr>
        <w:pStyle w:val="Bullet"/>
      </w:pPr>
      <w:r>
        <w:t>promoting, controlling, and conducting racing meetings under the Racing Act 2003.</w:t>
      </w:r>
    </w:p>
    <w:p w:rsidR="00A302C9" w:rsidRDefault="00476C22" w:rsidP="00A302C9">
      <w:pPr>
        <w:pStyle w:val="Heading2"/>
      </w:pPr>
      <w:bookmarkStart w:id="9" w:name="_Toc453068856"/>
      <w:r>
        <w:t>Class 4</w:t>
      </w:r>
      <w:r w:rsidR="00A302C9">
        <w:t xml:space="preserve"> structure</w:t>
      </w:r>
      <w:bookmarkEnd w:id="9"/>
    </w:p>
    <w:p w:rsidR="00A55EE6" w:rsidRDefault="00A55EE6" w:rsidP="00A55EE6">
      <w:pPr>
        <w:pStyle w:val="Heading4"/>
      </w:pPr>
      <w:r>
        <w:t xml:space="preserve">Clubs </w:t>
      </w:r>
    </w:p>
    <w:p w:rsidR="00FA5562" w:rsidRDefault="00BA29B2" w:rsidP="00A302C9">
      <w:r>
        <w:t xml:space="preserve">Clubs </w:t>
      </w:r>
      <w:r w:rsidR="00476C22">
        <w:t xml:space="preserve">own </w:t>
      </w:r>
      <w:r w:rsidR="00C53583">
        <w:t xml:space="preserve">and </w:t>
      </w:r>
      <w:r w:rsidR="0057506E">
        <w:t xml:space="preserve">host </w:t>
      </w:r>
      <w:r w:rsidR="00476C22">
        <w:t xml:space="preserve">their gaming machines and </w:t>
      </w:r>
      <w:r w:rsidR="00CE0C1D" w:rsidRPr="00502EC9">
        <w:t xml:space="preserve">mainly apply the money raised from </w:t>
      </w:r>
      <w:r w:rsidR="00CE0C1D">
        <w:t>their gaming machines</w:t>
      </w:r>
      <w:r w:rsidR="000A2453">
        <w:t xml:space="preserve"> to the club</w:t>
      </w:r>
      <w:r w:rsidR="00CE0C1D" w:rsidRPr="00502EC9">
        <w:t>.</w:t>
      </w:r>
      <w:r w:rsidR="0057506E">
        <w:t xml:space="preserve"> Most clubs are non-profit organisations which are predominantly owned by their members.</w:t>
      </w:r>
    </w:p>
    <w:p w:rsidR="0057506E" w:rsidRDefault="00476C22" w:rsidP="00A302C9">
      <w:r>
        <w:t xml:space="preserve">Examples of clubs are RSAs, </w:t>
      </w:r>
      <w:r w:rsidRPr="00502EC9">
        <w:t>sport</w:t>
      </w:r>
      <w:r w:rsidR="00FA5562">
        <w:t>s</w:t>
      </w:r>
      <w:r w:rsidRPr="00502EC9">
        <w:t xml:space="preserve"> clubs </w:t>
      </w:r>
      <w:r>
        <w:t>and</w:t>
      </w:r>
      <w:r w:rsidRPr="00502EC9">
        <w:t xml:space="preserve"> cosmopolitan clubs</w:t>
      </w:r>
      <w:r>
        <w:t xml:space="preserve">. </w:t>
      </w:r>
      <w:r w:rsidR="00FA5562">
        <w:t>Eac</w:t>
      </w:r>
      <w:r w:rsidR="0057506E">
        <w:t>h club has an active membership that has the opportunity to be involved with sports and other social activities</w:t>
      </w:r>
      <w:r w:rsidR="00A653DD">
        <w:t xml:space="preserve"> the clubs run</w:t>
      </w:r>
      <w:r w:rsidR="00C53583">
        <w:t xml:space="preserve">.  </w:t>
      </w:r>
      <w:r w:rsidR="0057506E">
        <w:t>M</w:t>
      </w:r>
      <w:r w:rsidR="00C53583">
        <w:t xml:space="preserve">embers </w:t>
      </w:r>
      <w:r w:rsidR="0057506E">
        <w:t xml:space="preserve">who </w:t>
      </w:r>
      <w:r w:rsidR="00C53583">
        <w:t>gamb</w:t>
      </w:r>
      <w:r w:rsidR="0057506E">
        <w:t>le</w:t>
      </w:r>
      <w:r w:rsidR="00C53583">
        <w:t xml:space="preserve"> in the clubs are more than likely benefiting from the proceeds </w:t>
      </w:r>
      <w:r w:rsidR="00A24CA2">
        <w:t xml:space="preserve">of their gambling. </w:t>
      </w:r>
    </w:p>
    <w:p w:rsidR="00A24CA2" w:rsidRDefault="00A24CA2" w:rsidP="00A24CA2">
      <w:r>
        <w:lastRenderedPageBreak/>
        <w:t xml:space="preserve">Clubs </w:t>
      </w:r>
      <w:r w:rsidR="00072DB1">
        <w:t>are subject to</w:t>
      </w:r>
      <w:r>
        <w:t xml:space="preserve"> gaming </w:t>
      </w:r>
      <w:r w:rsidR="00072DB1">
        <w:t xml:space="preserve">machine </w:t>
      </w:r>
      <w:r>
        <w:t xml:space="preserve">duty and </w:t>
      </w:r>
      <w:r w:rsidR="00072DB1">
        <w:t xml:space="preserve">the </w:t>
      </w:r>
      <w:r>
        <w:t>p</w:t>
      </w:r>
      <w:r w:rsidR="00072DB1">
        <w:t>roblem gambling levy</w:t>
      </w:r>
      <w:r>
        <w:t>. Howe</w:t>
      </w:r>
      <w:r w:rsidR="00655066">
        <w:t xml:space="preserve">ver, the application to authorised </w:t>
      </w:r>
      <w:r>
        <w:t xml:space="preserve">purposes and operating costs are different. Figure 2 shows the allocation of funds. Clubs also </w:t>
      </w:r>
      <w:r w:rsidR="00EC6800">
        <w:t>apply</w:t>
      </w:r>
      <w:r>
        <w:t xml:space="preserve"> approximately $55 million per</w:t>
      </w:r>
      <w:r w:rsidR="0064659A">
        <w:t xml:space="preserve"> year to </w:t>
      </w:r>
      <w:r w:rsidR="00EC6800">
        <w:t xml:space="preserve">their own purposes and </w:t>
      </w:r>
      <w:r w:rsidR="00A653DD">
        <w:t>the wider community</w:t>
      </w:r>
      <w:r>
        <w:t>.</w:t>
      </w:r>
      <w:r w:rsidR="0064659A">
        <w:t xml:space="preserve"> </w:t>
      </w:r>
    </w:p>
    <w:tbl>
      <w:tblPr>
        <w:tblStyle w:val="Blanktable"/>
        <w:tblW w:w="0" w:type="auto"/>
        <w:tblLook w:val="04A0" w:firstRow="1" w:lastRow="0" w:firstColumn="1" w:lastColumn="0" w:noHBand="0" w:noVBand="1"/>
      </w:tblPr>
      <w:tblGrid>
        <w:gridCol w:w="9006"/>
      </w:tblGrid>
      <w:tr w:rsidR="00A24CA2" w:rsidTr="00423AC4">
        <w:trPr>
          <w:trHeight w:val="5431"/>
        </w:trPr>
        <w:tc>
          <w:tcPr>
            <w:tcW w:w="8991" w:type="dxa"/>
          </w:tcPr>
          <w:p w:rsidR="00A24CA2" w:rsidRDefault="00423AC4" w:rsidP="00F860CF">
            <w:pPr>
              <w:pStyle w:val="Spacer"/>
              <w:keepNext/>
              <w:jc w:val="center"/>
            </w:pPr>
            <w:r>
              <w:rPr>
                <w:noProof/>
                <w:lang w:eastAsia="en-NZ"/>
              </w:rPr>
              <w:drawing>
                <wp:inline distT="0" distB="0" distL="0" distR="0" wp14:anchorId="70797015" wp14:editId="5D7CD385">
                  <wp:extent cx="5572125" cy="471487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A24CA2" w:rsidRDefault="00A24CA2" w:rsidP="00F860CF">
      <w:pPr>
        <w:pStyle w:val="Caption"/>
      </w:pPr>
      <w:r>
        <w:t xml:space="preserve">Figure </w:t>
      </w:r>
      <w:fldSimple w:instr=" SEQ Figure \* ARABIC ">
        <w:r w:rsidR="008B7BE4">
          <w:rPr>
            <w:noProof/>
          </w:rPr>
          <w:t>2</w:t>
        </w:r>
      </w:fldSimple>
      <w:r>
        <w:t xml:space="preserve">: Allocation of Club gaming machine </w:t>
      </w:r>
      <w:r w:rsidR="002E4AA6">
        <w:t>profits</w:t>
      </w:r>
      <w:r w:rsidR="0051209C">
        <w:t xml:space="preserve"> (GST exclusive)</w:t>
      </w:r>
    </w:p>
    <w:p w:rsidR="00A55EE6" w:rsidRDefault="00A55EE6" w:rsidP="00A55EE6">
      <w:pPr>
        <w:pStyle w:val="Heading4"/>
      </w:pPr>
      <w:r>
        <w:t>Non-club societies</w:t>
      </w:r>
    </w:p>
    <w:p w:rsidR="0057575D" w:rsidRDefault="00BA29B2" w:rsidP="00043A9E">
      <w:r>
        <w:t>Non-club s</w:t>
      </w:r>
      <w:r w:rsidR="00B425B1">
        <w:t xml:space="preserve">ocieties own gaming machines and reimburse pubs </w:t>
      </w:r>
      <w:r w:rsidR="0021374F">
        <w:t>and</w:t>
      </w:r>
      <w:r w:rsidR="00B425B1">
        <w:t xml:space="preserve"> bars for hosting the machines. </w:t>
      </w:r>
      <w:r w:rsidR="009C6917">
        <w:t xml:space="preserve">Non-club societies must be non-commercial, and can be established </w:t>
      </w:r>
      <w:r w:rsidR="008E7F86">
        <w:t xml:space="preserve">in various </w:t>
      </w:r>
      <w:r w:rsidR="00072DB1">
        <w:t xml:space="preserve">corporate </w:t>
      </w:r>
      <w:r w:rsidR="008E7F86">
        <w:t xml:space="preserve">forms, including companies, trusts, charities, or incorporated societies. Non-club societies </w:t>
      </w:r>
      <w:r w:rsidR="00F8033D">
        <w:t>make their own decision</w:t>
      </w:r>
      <w:r w:rsidR="00072DB1">
        <w:t>s</w:t>
      </w:r>
      <w:r w:rsidR="00F8033D">
        <w:t xml:space="preserve"> on how to run their operations and how they distribute their grants, within the constraints of the Gambling Act and its related regulations.</w:t>
      </w:r>
      <w:r w:rsidR="008E7F86">
        <w:t xml:space="preserve"> </w:t>
      </w:r>
    </w:p>
    <w:p w:rsidR="00043A9E" w:rsidRDefault="008E7F86" w:rsidP="00043A9E">
      <w:r>
        <w:t xml:space="preserve">There are no limits on how many </w:t>
      </w:r>
      <w:r w:rsidR="00600824">
        <w:t xml:space="preserve">non-club </w:t>
      </w:r>
      <w:r>
        <w:t xml:space="preserve">societies can be </w:t>
      </w:r>
      <w:r w:rsidR="008C21B4">
        <w:t>licensed</w:t>
      </w:r>
      <w:r w:rsidR="00ED124D">
        <w:t xml:space="preserve">, as long as </w:t>
      </w:r>
      <w:r w:rsidR="00600824">
        <w:t>they</w:t>
      </w:r>
      <w:r>
        <w:t xml:space="preserve"> meet the licensing requirements of the</w:t>
      </w:r>
      <w:r w:rsidR="00ED124D">
        <w:t xml:space="preserve"> Gambling</w:t>
      </w:r>
      <w:r>
        <w:t xml:space="preserve"> </w:t>
      </w:r>
      <w:r w:rsidR="008C21B4">
        <w:t>Act</w:t>
      </w:r>
      <w:r>
        <w:t xml:space="preserve">. This allows </w:t>
      </w:r>
      <w:r w:rsidR="005F4445">
        <w:t>persons to</w:t>
      </w:r>
      <w:r>
        <w:t xml:space="preserve"> establish societies to raise money through gaming machines for their chosen community cause. </w:t>
      </w:r>
      <w:r w:rsidR="00043A9E" w:rsidRPr="00502EC9">
        <w:t xml:space="preserve">Non-club societies mainly distribute </w:t>
      </w:r>
      <w:r w:rsidR="00043A9E">
        <w:t xml:space="preserve">net proceeds from their gaming machines </w:t>
      </w:r>
      <w:r w:rsidR="00043A9E" w:rsidRPr="00502EC9">
        <w:t xml:space="preserve">to </w:t>
      </w:r>
      <w:r w:rsidR="00043A9E">
        <w:t xml:space="preserve">community organisations that align with the societies’ </w:t>
      </w:r>
      <w:r w:rsidR="00043A9E" w:rsidRPr="00502EC9">
        <w:t>aut</w:t>
      </w:r>
      <w:r w:rsidR="00D3602E">
        <w:t xml:space="preserve">horised purposes. There are a small number of non-club societies that mainly </w:t>
      </w:r>
      <w:r w:rsidR="00D3602E" w:rsidRPr="00FA0340">
        <w:t>apply</w:t>
      </w:r>
      <w:r w:rsidR="00072DB1">
        <w:t xml:space="preserve"> their proceeds to their own authorised</w:t>
      </w:r>
      <w:r w:rsidR="005D08F1">
        <w:t xml:space="preserve"> purposes (</w:t>
      </w:r>
      <w:r w:rsidR="00D3602E">
        <w:t>Youthtown</w:t>
      </w:r>
      <w:r w:rsidR="005D08F1">
        <w:t xml:space="preserve"> for example)</w:t>
      </w:r>
      <w:r w:rsidR="00D3602E">
        <w:t>.</w:t>
      </w:r>
    </w:p>
    <w:p w:rsidR="00A302C9" w:rsidRDefault="00600824" w:rsidP="00A302C9">
      <w:r>
        <w:lastRenderedPageBreak/>
        <w:t>Non-club s</w:t>
      </w:r>
      <w:r w:rsidR="00B425B1">
        <w:t xml:space="preserve">ociety </w:t>
      </w:r>
      <w:r w:rsidR="00A302C9" w:rsidRPr="004167FC">
        <w:t>costs are mostly fixed</w:t>
      </w:r>
      <w:r w:rsidR="00D66902">
        <w:t xml:space="preserve"> and </w:t>
      </w:r>
      <w:r w:rsidR="00BA29B2">
        <w:t xml:space="preserve">include gambling fees, gaming </w:t>
      </w:r>
      <w:r w:rsidR="00072DB1">
        <w:t xml:space="preserve">machine </w:t>
      </w:r>
      <w:r w:rsidR="00BA29B2">
        <w:t>duty and a problem gambling levy</w:t>
      </w:r>
      <w:r w:rsidR="0035603D">
        <w:t>. These make up</w:t>
      </w:r>
      <w:r w:rsidR="00043A9E">
        <w:t xml:space="preserve"> around a quarter of all costs.</w:t>
      </w:r>
      <w:r w:rsidR="0035603D">
        <w:t xml:space="preserve"> Other costs </w:t>
      </w:r>
      <w:r w:rsidR="00D66902">
        <w:t>include</w:t>
      </w:r>
      <w:r w:rsidR="0035603D">
        <w:t xml:space="preserve"> operating costs and a capped reimbursement payment of 16 per</w:t>
      </w:r>
      <w:r w:rsidR="00072DB1">
        <w:t xml:space="preserve"> </w:t>
      </w:r>
      <w:r w:rsidR="0035603D">
        <w:t xml:space="preserve">cent of </w:t>
      </w:r>
      <w:r w:rsidR="00B9095C">
        <w:t xml:space="preserve">gaming machine </w:t>
      </w:r>
      <w:r w:rsidR="002E4AA6">
        <w:t>profits</w:t>
      </w:r>
      <w:r w:rsidR="0035603D">
        <w:t xml:space="preserve"> from gambling to venues </w:t>
      </w:r>
      <w:r w:rsidR="00072DB1">
        <w:t>that</w:t>
      </w:r>
      <w:r w:rsidR="0035603D">
        <w:t xml:space="preserve"> host </w:t>
      </w:r>
      <w:r w:rsidR="0021374F">
        <w:t xml:space="preserve">the </w:t>
      </w:r>
      <w:r w:rsidR="0035603D">
        <w:t>societies’ gaming machines.  Societies are also required</w:t>
      </w:r>
      <w:r w:rsidR="00A302C9" w:rsidRPr="004167FC">
        <w:t xml:space="preserve"> </w:t>
      </w:r>
      <w:r w:rsidR="0035603D">
        <w:t>to distribute a minimum of 40 per</w:t>
      </w:r>
      <w:r w:rsidR="00072DB1">
        <w:t xml:space="preserve"> </w:t>
      </w:r>
      <w:r w:rsidR="0035603D">
        <w:t>cent of gambling proceeds by way of grants funding to communities.</w:t>
      </w:r>
      <w:r w:rsidR="00387A47">
        <w:t xml:space="preserve"> </w:t>
      </w:r>
      <w:r w:rsidR="0035603D">
        <w:t xml:space="preserve">Figure </w:t>
      </w:r>
      <w:r w:rsidR="00A653DD">
        <w:t>3</w:t>
      </w:r>
      <w:r w:rsidR="0035603D">
        <w:t xml:space="preserve"> shows a breakdown of </w:t>
      </w:r>
      <w:r>
        <w:t xml:space="preserve">non-club </w:t>
      </w:r>
      <w:r w:rsidR="0035603D">
        <w:t>societies’ costs.</w:t>
      </w:r>
    </w:p>
    <w:tbl>
      <w:tblPr>
        <w:tblStyle w:val="Blanktable"/>
        <w:tblW w:w="0" w:type="auto"/>
        <w:tblLook w:val="04A0" w:firstRow="1" w:lastRow="0" w:firstColumn="1" w:lastColumn="0" w:noHBand="0" w:noVBand="1"/>
      </w:tblPr>
      <w:tblGrid>
        <w:gridCol w:w="9006"/>
      </w:tblGrid>
      <w:tr w:rsidR="00107187" w:rsidTr="007A4041">
        <w:trPr>
          <w:trHeight w:val="7174"/>
        </w:trPr>
        <w:tc>
          <w:tcPr>
            <w:tcW w:w="9006" w:type="dxa"/>
          </w:tcPr>
          <w:p w:rsidR="00107187" w:rsidRDefault="007A4041" w:rsidP="00A653DD">
            <w:pPr>
              <w:pStyle w:val="Spacer"/>
              <w:keepNext/>
              <w:jc w:val="center"/>
            </w:pPr>
            <w:r>
              <w:rPr>
                <w:noProof/>
                <w:lang w:eastAsia="en-NZ"/>
              </w:rPr>
              <w:drawing>
                <wp:inline distT="0" distB="0" distL="0" distR="0" wp14:anchorId="70ACAD45" wp14:editId="6FA61A5D">
                  <wp:extent cx="5572125" cy="4724400"/>
                  <wp:effectExtent l="0" t="0" r="9525"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rsidR="00107187" w:rsidRDefault="00107187" w:rsidP="00A653DD">
      <w:pPr>
        <w:pStyle w:val="Caption"/>
      </w:pPr>
      <w:r>
        <w:t xml:space="preserve">Figure </w:t>
      </w:r>
      <w:fldSimple w:instr=" SEQ Figure \* ARABIC ">
        <w:r w:rsidR="008B7BE4">
          <w:rPr>
            <w:noProof/>
          </w:rPr>
          <w:t>3</w:t>
        </w:r>
      </w:fldSimple>
      <w:r w:rsidR="000658E3">
        <w:t>: Allocation of N</w:t>
      </w:r>
      <w:r>
        <w:t xml:space="preserve">on-club society gaming machine </w:t>
      </w:r>
      <w:r w:rsidR="002E4AA6">
        <w:t>profits</w:t>
      </w:r>
      <w:r w:rsidR="0051209C">
        <w:t xml:space="preserve"> (GST exclusive)</w:t>
      </w:r>
    </w:p>
    <w:p w:rsidR="009F094B" w:rsidRDefault="009F094B" w:rsidP="009F094B">
      <w:pPr>
        <w:pStyle w:val="Heading4"/>
      </w:pPr>
      <w:r>
        <w:t>New Zealand Racing Board</w:t>
      </w:r>
    </w:p>
    <w:p w:rsidR="007436CF" w:rsidRPr="00092BB9" w:rsidRDefault="007436CF" w:rsidP="007436CF">
      <w:r w:rsidRPr="00092BB9">
        <w:t>Under the Racing and Gambling Acts the New Zealand Racing Board (NZRB) has a statutory monopoly on terrestrial sports and racing betting services in New Zealand through the TAB. The Gambling Act also permits the NZRB to operate gaming machines at its TAB venues. Its venues are mainly used for racing and sports betting. The majority of funds generated by the NZRB’s gaming machines are applied under its racing authorised purposes and up to 20 per cent distributed to amateur sports.</w:t>
      </w:r>
    </w:p>
    <w:p w:rsidR="009F094B" w:rsidRPr="0026046A" w:rsidRDefault="009F094B" w:rsidP="009F094B">
      <w:r w:rsidRPr="0026046A">
        <w:t>The Minister for Racing is developing proposals to deal with online racing and sports betting activities. The proposals are relevant to the class 4 review as they will potentially increase overall gambling options for New Zealanders. This work is proceeding separate</w:t>
      </w:r>
      <w:r w:rsidR="00AF0A0D">
        <w:t>ly</w:t>
      </w:r>
      <w:r w:rsidR="005F4445">
        <w:t xml:space="preserve">, though decisions on racing reform </w:t>
      </w:r>
      <w:r w:rsidR="00724F63">
        <w:t>will be taken into consideration for th</w:t>
      </w:r>
      <w:r w:rsidR="005F4445">
        <w:t>is wider review.</w:t>
      </w:r>
      <w:r w:rsidR="00B34BB5">
        <w:t xml:space="preserve"> </w:t>
      </w:r>
    </w:p>
    <w:p w:rsidR="000C3236" w:rsidRDefault="00B93032" w:rsidP="000C3236">
      <w:pPr>
        <w:pStyle w:val="Heading2"/>
      </w:pPr>
      <w:bookmarkStart w:id="10" w:name="_Toc453068857"/>
      <w:r>
        <w:lastRenderedPageBreak/>
        <w:t>Minimising harm from gambling</w:t>
      </w:r>
      <w:bookmarkEnd w:id="10"/>
    </w:p>
    <w:p w:rsidR="00822455" w:rsidRDefault="00822455" w:rsidP="00822455">
      <w:r>
        <w:t xml:space="preserve">One of the purposes of the Gambling Act is to </w:t>
      </w:r>
      <w:r w:rsidRPr="00241AAE">
        <w:t>prevent and minimise harm from gambling, including problem gambl</w:t>
      </w:r>
      <w:r>
        <w:t xml:space="preserve">ing. Gambling can be a harmless form of adult entertainment that can provide positive social effects. However, </w:t>
      </w:r>
      <w:r w:rsidR="004263D0">
        <w:t xml:space="preserve">gambling </w:t>
      </w:r>
      <w:r w:rsidR="00A76245">
        <w:t xml:space="preserve">can </w:t>
      </w:r>
      <w:r w:rsidR="004263D0">
        <w:t>also have</w:t>
      </w:r>
      <w:r>
        <w:t xml:space="preserve"> adverse effects on many individuals, their families and their communities.</w:t>
      </w:r>
    </w:p>
    <w:p w:rsidR="00822455" w:rsidRDefault="00822455" w:rsidP="00822455">
      <w:r>
        <w:t>The main gambling providers in New Zealand must pay a problem gambling levy under the Gambling (Problem Gambling Levy) Regulations 2013</w:t>
      </w:r>
      <w:r>
        <w:rPr>
          <w:rStyle w:val="FootnoteReference"/>
        </w:rPr>
        <w:footnoteReference w:id="8"/>
      </w:r>
      <w:r>
        <w:t xml:space="preserve">. Casinos, non-casino gaming machine </w:t>
      </w:r>
      <w:r w:rsidR="00A76245">
        <w:t xml:space="preserve">(class 4) </w:t>
      </w:r>
      <w:r>
        <w:t xml:space="preserve">operators, Lotto New Zealand, and the </w:t>
      </w:r>
      <w:r w:rsidR="005B6A37">
        <w:t>NZRB</w:t>
      </w:r>
      <w:r>
        <w:t xml:space="preserve"> currently pay a problem gambling levy as specified in the Regulations. </w:t>
      </w:r>
    </w:p>
    <w:p w:rsidR="00822455" w:rsidRDefault="00822455" w:rsidP="00822455">
      <w:r>
        <w:t>The levy payments reimburse the Crown for the costs of the Ministry of Health to implement the Act’s purpose of preventing and minimising harm from gambling. This is part of the Ministry’s wider responsibility for the integrated problem gambling strategy described in the Act. This strategy must include</w:t>
      </w:r>
      <w:r>
        <w:rPr>
          <w:rStyle w:val="FootnoteReference"/>
        </w:rPr>
        <w:footnoteReference w:id="9"/>
      </w:r>
      <w:r>
        <w:t>:</w:t>
      </w:r>
    </w:p>
    <w:p w:rsidR="00822455" w:rsidRPr="001022BB" w:rsidRDefault="00822455" w:rsidP="00822455">
      <w:pPr>
        <w:pStyle w:val="Bullet"/>
      </w:pPr>
      <w:r>
        <w:t xml:space="preserve">measures to promote public health by aiming to </w:t>
      </w:r>
      <w:r w:rsidRPr="001022BB">
        <w:t>prevent and minimise harm from gambling;</w:t>
      </w:r>
    </w:p>
    <w:p w:rsidR="00822455" w:rsidRPr="001022BB" w:rsidRDefault="00822455" w:rsidP="00822455">
      <w:pPr>
        <w:pStyle w:val="Bullet"/>
      </w:pPr>
      <w:r w:rsidRPr="001022BB">
        <w:t>service</w:t>
      </w:r>
      <w:r>
        <w:t>s</w:t>
      </w:r>
      <w:r w:rsidRPr="001022BB">
        <w:t xml:space="preserve"> to treat and assist problem gambling and their families</w:t>
      </w:r>
      <w:r>
        <w:t xml:space="preserve"> and whanau</w:t>
      </w:r>
      <w:r w:rsidRPr="001022BB">
        <w:t>;</w:t>
      </w:r>
    </w:p>
    <w:p w:rsidR="00822455" w:rsidRDefault="00822455" w:rsidP="00822455">
      <w:pPr>
        <w:pStyle w:val="Bullet"/>
      </w:pPr>
      <w:r>
        <w:t>independent scientific research on gambling, including longitudinal studies on the social and economic impacts of gambling; and</w:t>
      </w:r>
    </w:p>
    <w:p w:rsidR="00822455" w:rsidRPr="001022BB" w:rsidRDefault="00822455" w:rsidP="00822455">
      <w:pPr>
        <w:pStyle w:val="Bullet"/>
      </w:pPr>
      <w:r>
        <w:t xml:space="preserve">evaluation. </w:t>
      </w:r>
    </w:p>
    <w:p w:rsidR="00822455" w:rsidRDefault="00822455" w:rsidP="00822455">
      <w:r w:rsidRPr="001022BB">
        <w:t xml:space="preserve">This strategy </w:t>
      </w:r>
      <w:r>
        <w:t>is updated every three years, and a new strategy has recently been published and is available on the Ministry of Health’s website</w:t>
      </w:r>
      <w:r w:rsidRPr="001022BB">
        <w:t>.</w:t>
      </w:r>
    </w:p>
    <w:p w:rsidR="005D08F1" w:rsidRDefault="00A653DD" w:rsidP="00822455">
      <w:r>
        <w:t>Class 4 s</w:t>
      </w:r>
      <w:r w:rsidR="00822455">
        <w:t xml:space="preserve">ocieties and venues which host gaming machines also have particular obligations under the </w:t>
      </w:r>
      <w:r w:rsidR="00A4145C">
        <w:t xml:space="preserve">Gambling </w:t>
      </w:r>
      <w:r w:rsidR="00822455">
        <w:t xml:space="preserve">Act to prevent and minimise harm from gambling. </w:t>
      </w:r>
      <w:r w:rsidR="00A4145C">
        <w:t xml:space="preserve">Most of these obligations can be found in the Gambling (Harm Prevention and Minimisation) Regulations 2004. </w:t>
      </w:r>
      <w:r w:rsidR="00822455">
        <w:t>For example</w:t>
      </w:r>
      <w:r w:rsidR="005D08F1">
        <w:t>:</w:t>
      </w:r>
    </w:p>
    <w:p w:rsidR="005D08F1" w:rsidRDefault="00822455" w:rsidP="005D08F1">
      <w:pPr>
        <w:pStyle w:val="Bullet"/>
      </w:pPr>
      <w:r>
        <w:t>class 4 gam</w:t>
      </w:r>
      <w:r w:rsidR="005B6A37">
        <w:t>bl</w:t>
      </w:r>
      <w:r>
        <w:t>ing operators must develop a policy to identify problem gamblers</w:t>
      </w:r>
      <w:r w:rsidR="005D08F1">
        <w:t>;</w:t>
      </w:r>
    </w:p>
    <w:p w:rsidR="005D08F1" w:rsidRDefault="005D08F1" w:rsidP="005D08F1">
      <w:pPr>
        <w:pStyle w:val="Bullet"/>
      </w:pPr>
      <w:r>
        <w:t>s</w:t>
      </w:r>
      <w:r w:rsidR="00822455">
        <w:t>taff managing a class 4 venue must take all reasonable steps to ensure that the policy is used to identify actual or potential problem gamblers</w:t>
      </w:r>
      <w:r>
        <w:t>;</w:t>
      </w:r>
    </w:p>
    <w:p w:rsidR="00822455" w:rsidRDefault="005D08F1" w:rsidP="005D08F1">
      <w:pPr>
        <w:pStyle w:val="Bullet"/>
      </w:pPr>
      <w:r>
        <w:t>c</w:t>
      </w:r>
      <w:r w:rsidR="00822455">
        <w:t>ustomers who are identified a</w:t>
      </w:r>
      <w:r w:rsidR="00015227">
        <w:t>s problem gamblers may be issued an exclusion order</w:t>
      </w:r>
      <w:r w:rsidR="00822455">
        <w:t xml:space="preserve">. </w:t>
      </w:r>
      <w:r w:rsidR="00015227">
        <w:t xml:space="preserve">Customers can also request to be excluded from a venue. </w:t>
      </w:r>
    </w:p>
    <w:p w:rsidR="00822455" w:rsidRDefault="00822455" w:rsidP="00822455">
      <w:r>
        <w:t xml:space="preserve">Gambling inspectors </w:t>
      </w:r>
      <w:r w:rsidR="00015227">
        <w:t>from the Department will visit</w:t>
      </w:r>
      <w:r>
        <w:t xml:space="preserve"> venues to </w:t>
      </w:r>
      <w:r w:rsidR="00015227">
        <w:t>check whether they meet the harm minimisation obligations in the Gambling Act</w:t>
      </w:r>
      <w:r>
        <w:t xml:space="preserve">. The Department can </w:t>
      </w:r>
      <w:r w:rsidR="00FA5041">
        <w:t>apply a range of sanctions, including revoking operating licences, if it b</w:t>
      </w:r>
      <w:r>
        <w:t>elieves gambling harm policies are not being implemented</w:t>
      </w:r>
      <w:r w:rsidR="009B2013">
        <w:t>.</w:t>
      </w:r>
    </w:p>
    <w:p w:rsidR="00822455" w:rsidRPr="00633176" w:rsidRDefault="00822455" w:rsidP="00822455">
      <w:pPr>
        <w:pStyle w:val="Heading4"/>
      </w:pPr>
      <w:r>
        <w:lastRenderedPageBreak/>
        <w:t>Problem gambling</w:t>
      </w:r>
    </w:p>
    <w:p w:rsidR="00822455" w:rsidRDefault="00DE4688" w:rsidP="00822455">
      <w:r>
        <w:t>Research tells us that h</w:t>
      </w:r>
      <w:r w:rsidR="00822455">
        <w:t>arm related to problem gambling is more likely to affect people living in high deprivation neighbourhoods</w:t>
      </w:r>
      <w:r w:rsidR="00937C5C">
        <w:t>.</w:t>
      </w:r>
      <w:r w:rsidR="00822455">
        <w:t xml:space="preserve"> Māori and Pacific peoples are more likely than the general population to develop problem gambling, and more likely to suffer gambling-related harm.  </w:t>
      </w:r>
    </w:p>
    <w:p w:rsidR="00822455" w:rsidRDefault="00822455" w:rsidP="00822455">
      <w:r>
        <w:t xml:space="preserve">Estimates of problem gambling in New Zealand vary between surveys.  Results from the </w:t>
      </w:r>
      <w:r w:rsidR="00BE1571">
        <w:t xml:space="preserve">comprehensive </w:t>
      </w:r>
      <w:r>
        <w:t>2012 National Gambling Study indicate that approximately 0.7</w:t>
      </w:r>
      <w:r w:rsidR="005B6A37">
        <w:t xml:space="preserve"> per cent</w:t>
      </w:r>
      <w:r>
        <w:t xml:space="preserve"> of the adult population of New Zealand are problem gamblers. This represents about 23,504 people with </w:t>
      </w:r>
      <w:r w:rsidR="003B76F6">
        <w:t xml:space="preserve">significant gambling problems. </w:t>
      </w:r>
      <w:r>
        <w:t>The National Gambling Study also found that 1.8</w:t>
      </w:r>
      <w:r w:rsidR="005B6A37">
        <w:t xml:space="preserve"> per cent</w:t>
      </w:r>
      <w:r>
        <w:t xml:space="preserve"> of New Zealand adults</w:t>
      </w:r>
      <w:r w:rsidR="00A76245">
        <w:t>,</w:t>
      </w:r>
      <w:r>
        <w:t xml:space="preserve"> or 64,440 people</w:t>
      </w:r>
      <w:r w:rsidR="00A76245">
        <w:t>,</w:t>
      </w:r>
      <w:r>
        <w:t xml:space="preserve"> are moderate-risk gamblers.  A further 5</w:t>
      </w:r>
      <w:r w:rsidR="005B6A37">
        <w:t xml:space="preserve"> per cent</w:t>
      </w:r>
      <w:r>
        <w:t xml:space="preserve"> or 167,888 people are lower risk gamblers. More recent results for 2013 indicate a slight reduction in the prevalence of problem gambling (0.5</w:t>
      </w:r>
      <w:r w:rsidR="005B6A37">
        <w:t xml:space="preserve"> per cent</w:t>
      </w:r>
      <w:r>
        <w:t>)</w:t>
      </w:r>
      <w:r w:rsidR="00A76245">
        <w:t>,</w:t>
      </w:r>
      <w:r>
        <w:t xml:space="preserve"> but no major change for 2014.</w:t>
      </w:r>
      <w:r w:rsidR="00116767">
        <w:rPr>
          <w:rStyle w:val="FootnoteReference"/>
        </w:rPr>
        <w:footnoteReference w:id="10"/>
      </w:r>
    </w:p>
    <w:p w:rsidR="00822455" w:rsidRDefault="00822455" w:rsidP="00822455">
      <w:r>
        <w:t>In terms of ethnicity, the 2012 National Gambling Study reported a prevalence of problem gambling for Māori of 2.3%</w:t>
      </w:r>
      <w:r w:rsidR="00A76245">
        <w:t>, with</w:t>
      </w:r>
      <w:r>
        <w:t xml:space="preserve"> 3.9% </w:t>
      </w:r>
      <w:r w:rsidR="001D6A73">
        <w:t>of Mā</w:t>
      </w:r>
      <w:r w:rsidR="00A76245">
        <w:t xml:space="preserve">ori </w:t>
      </w:r>
      <w:r w:rsidR="001D6A73">
        <w:t>considered</w:t>
      </w:r>
      <w:r w:rsidR="00A76245">
        <w:t xml:space="preserve"> </w:t>
      </w:r>
      <w:r w:rsidRPr="00F31A9C">
        <w:t>moderate</w:t>
      </w:r>
      <w:r w:rsidR="00A76245">
        <w:t>-</w:t>
      </w:r>
      <w:r w:rsidRPr="00F31A9C">
        <w:t>risk</w:t>
      </w:r>
      <w:r w:rsidR="001D6A73">
        <w:t xml:space="preserve"> gamblers.</w:t>
      </w:r>
      <w:r w:rsidRPr="00F31A9C">
        <w:t xml:space="preserve"> For Pac</w:t>
      </w:r>
      <w:r w:rsidR="001D6A73">
        <w:t>ific peoples, the prevalence of</w:t>
      </w:r>
      <w:r w:rsidRPr="00F31A9C">
        <w:t xml:space="preserve"> problem gambling was 1.6%</w:t>
      </w:r>
      <w:r w:rsidR="00A76245">
        <w:t>, with</w:t>
      </w:r>
      <w:r w:rsidRPr="00F31A9C">
        <w:t xml:space="preserve"> 6.4% </w:t>
      </w:r>
      <w:r w:rsidR="00A76245">
        <w:t>considered to be</w:t>
      </w:r>
      <w:r w:rsidRPr="00F31A9C">
        <w:t xml:space="preserve"> moderate</w:t>
      </w:r>
      <w:r w:rsidR="00A76245">
        <w:t>-</w:t>
      </w:r>
      <w:r w:rsidRPr="00F31A9C">
        <w:t>risk</w:t>
      </w:r>
      <w:r w:rsidR="001D6A73">
        <w:t xml:space="preserve"> gamblers. </w:t>
      </w:r>
      <w:r w:rsidRPr="00F31A9C">
        <w:t>For Asian peoples, the prevalence for problem gambling was 0.7% and 2.3% for moderate</w:t>
      </w:r>
      <w:r w:rsidR="00A76245">
        <w:t>-</w:t>
      </w:r>
      <w:r w:rsidRPr="00F31A9C">
        <w:t>risk</w:t>
      </w:r>
      <w:r w:rsidR="00946F06">
        <w:t xml:space="preserve"> gamblers</w:t>
      </w:r>
      <w:r w:rsidRPr="00F31A9C">
        <w:t>.</w:t>
      </w:r>
      <w:r>
        <w:t xml:space="preserve"> More recent results </w:t>
      </w:r>
      <w:r w:rsidR="00A76245">
        <w:t>from</w:t>
      </w:r>
      <w:r>
        <w:t xml:space="preserve"> 2013 and 2014, indicate that these ethnic groups continue to have similarly high rates of problem and moderate</w:t>
      </w:r>
      <w:r w:rsidR="00A76245">
        <w:t>-</w:t>
      </w:r>
      <w:r>
        <w:t xml:space="preserve">risk gambling. </w:t>
      </w:r>
    </w:p>
    <w:p w:rsidR="00822455" w:rsidRDefault="00822455" w:rsidP="00822455">
      <w:r>
        <w:t>There is a significant association between the prevalence of problem gambling and average monthly expenditure.  The prevalence of problem gambling is 13.1% for those who spend more than $500 on average per month on gambling.  This is in comparison to a prevalence of 1.1% of problem gambling for those who spend $51 to $100 on average per month on gambling.</w:t>
      </w:r>
    </w:p>
    <w:p w:rsidR="00822455" w:rsidRDefault="00822455" w:rsidP="00822455">
      <w:r>
        <w:t>From 1985 to 1990, total gambling participation by adult New Zealanders increased from 85% to 90% and remained at this level up to the mid-1990s.  From this point on participation declined to 80% at 2005, and has remained around this level.  However, while total gambling participation has decreased, and risk factors for gambling harm have decreased (such as participation in multiple gambling activities), there has not been a significant decrease in the prevalence of problem or moderate-risk gambling since 2005.</w:t>
      </w:r>
    </w:p>
    <w:p w:rsidR="005D08F1" w:rsidRDefault="005D08F1" w:rsidP="005D08F1">
      <w:pPr>
        <w:pStyle w:val="Heading4"/>
      </w:pPr>
      <w:r>
        <w:t>Wider effects</w:t>
      </w:r>
    </w:p>
    <w:p w:rsidR="005D08F1" w:rsidRDefault="005D08F1" w:rsidP="005D08F1">
      <w:r>
        <w:t>In 2012, approximately 380,000 New Zealanders reported having gambling-related arguments, and about 260,000 reported having to go without something they needed or not paying bills because of another person’s gambling.</w:t>
      </w:r>
    </w:p>
    <w:p w:rsidR="005D08F1" w:rsidRDefault="005D08F1" w:rsidP="005D08F1">
      <w:r>
        <w:t>Harm from gambling can also include poor parenting, family violence, other crime, and suicide.  These harms affect people other than the gambler.</w:t>
      </w:r>
    </w:p>
    <w:p w:rsidR="005D08F1" w:rsidRDefault="005D08F1" w:rsidP="005D08F1">
      <w:pPr>
        <w:pStyle w:val="Heading4"/>
      </w:pPr>
      <w:r>
        <w:lastRenderedPageBreak/>
        <w:t>New Zealanders’ attitudes towards gambling</w:t>
      </w:r>
    </w:p>
    <w:p w:rsidR="005D08F1" w:rsidRDefault="005D08F1" w:rsidP="005D08F1">
      <w:r>
        <w:t>Research</w:t>
      </w:r>
      <w:r>
        <w:rPr>
          <w:rStyle w:val="FootnoteReference"/>
        </w:rPr>
        <w:footnoteReference w:id="11"/>
      </w:r>
      <w:r>
        <w:t xml:space="preserve"> has shown that New Zealanders have a high awareness that gambling is associated with harm and that some forms of gambling are more harmful than others.  Most participants in the research agreed strongly that more should be done to reduce harm from gambling.</w:t>
      </w:r>
    </w:p>
    <w:p w:rsidR="005D08F1" w:rsidRDefault="005D08F1" w:rsidP="005D08F1">
      <w:r>
        <w:t xml:space="preserve">Problem gamblers were much more likely to agree that there were too many non-casino gaming machine venues. There was also found to be some public support to further reduce gambling harm and the number of gaming machines available. Over 50 per cent of the participants considered non-casino gaming machines were socially undesirable.    </w:t>
      </w:r>
    </w:p>
    <w:p w:rsidR="00822455" w:rsidRDefault="00822455" w:rsidP="00822455">
      <w:pPr>
        <w:pStyle w:val="Heading4"/>
      </w:pPr>
      <w:r>
        <w:t>Changes over time and risk factors</w:t>
      </w:r>
    </w:p>
    <w:p w:rsidR="00822455" w:rsidRDefault="00822455" w:rsidP="00822455">
      <w:r>
        <w:t>For the total adult population the prevalence for problem gambling and moderate risk gambling reduced significantly during the 1990s and has not changed si</w:t>
      </w:r>
      <w:r w:rsidR="00DA0E9B">
        <w:t>gnificantly in the last decade.</w:t>
      </w:r>
      <w:r>
        <w:t xml:space="preserve"> Some key risk factors for problem gambling improved in the years since 2011, including the proportion of people frequently engaging in more harmful continuous forms of gambling (e</w:t>
      </w:r>
      <w:r w:rsidR="00A76245">
        <w:t>.</w:t>
      </w:r>
      <w:r>
        <w:t>g. gaming machines), those gambling weekly or more, and those engaging in multiple gambling activities.</w:t>
      </w:r>
    </w:p>
    <w:p w:rsidR="00D95928" w:rsidRDefault="00D95928" w:rsidP="00D95928">
      <w:pPr>
        <w:pStyle w:val="Heading2"/>
      </w:pPr>
      <w:bookmarkStart w:id="11" w:name="_Toc453068858"/>
      <w:r>
        <w:t>The role of local government</w:t>
      </w:r>
      <w:bookmarkEnd w:id="11"/>
    </w:p>
    <w:p w:rsidR="00A76245" w:rsidRDefault="0005427E" w:rsidP="00EB7086">
      <w:r>
        <w:t>The Gambling Act</w:t>
      </w:r>
      <w:r w:rsidR="00EB7086">
        <w:t xml:space="preserve"> specifies that a </w:t>
      </w:r>
      <w:r w:rsidR="004E0608">
        <w:t>city council or district council</w:t>
      </w:r>
      <w:r w:rsidR="00DA0E9B">
        <w:t xml:space="preserve"> (</w:t>
      </w:r>
      <w:r w:rsidR="004E0608">
        <w:t>as listed in Schedule 2 of the Local Government Act 2002),</w:t>
      </w:r>
      <w:r w:rsidR="00EB7086">
        <w:t xml:space="preserve"> must have a class 4 venue policy. A council’s venue policy sets out the rules around class</w:t>
      </w:r>
      <w:r w:rsidR="00A7415E">
        <w:t xml:space="preserve"> 4 gambling in their districts. </w:t>
      </w:r>
      <w:r w:rsidR="00A26C9B">
        <w:t xml:space="preserve">The aim of venue policies </w:t>
      </w:r>
      <w:r w:rsidR="00EE1E28">
        <w:t>is to give local c</w:t>
      </w:r>
      <w:r w:rsidR="00B055B8">
        <w:t>ouncils and the communities they</w:t>
      </w:r>
      <w:r w:rsidR="00EE1E28">
        <w:t xml:space="preserve"> repres</w:t>
      </w:r>
      <w:r w:rsidR="00B055B8">
        <w:t>ent a say in how class 4 gambling operates</w:t>
      </w:r>
      <w:r w:rsidR="00EE1E28">
        <w:t xml:space="preserve"> in their districts</w:t>
      </w:r>
      <w:r>
        <w:t xml:space="preserve">, in line with the </w:t>
      </w:r>
      <w:r w:rsidR="000C3A74">
        <w:t>G</w:t>
      </w:r>
      <w:r>
        <w:t>ambling Act’s purposes</w:t>
      </w:r>
      <w:r w:rsidR="00EE1E28">
        <w:t>.</w:t>
      </w:r>
    </w:p>
    <w:p w:rsidR="00B055B8" w:rsidRDefault="007F1E7C" w:rsidP="00EB7086">
      <w:r>
        <w:t>When establishing or reviewing their policies, c</w:t>
      </w:r>
      <w:r w:rsidR="001D7CF4">
        <w:t xml:space="preserve">ouncils have to go through a consultation process as per the Local Government Act 2002. This process allows for </w:t>
      </w:r>
      <w:r w:rsidR="00A653DD">
        <w:t xml:space="preserve">class 4 </w:t>
      </w:r>
      <w:r w:rsidR="001D7CF4">
        <w:t xml:space="preserve">venue </w:t>
      </w:r>
      <w:r w:rsidR="00766A1A">
        <w:t>policies to reflect local factors and the differences between communities</w:t>
      </w:r>
      <w:r w:rsidR="007611B3">
        <w:t xml:space="preserve">. </w:t>
      </w:r>
    </w:p>
    <w:p w:rsidR="00EB7086" w:rsidRDefault="00A653DD" w:rsidP="00EB7086">
      <w:r>
        <w:t>Class 4 v</w:t>
      </w:r>
      <w:r w:rsidR="00EB7086">
        <w:t xml:space="preserve">enue policies must be updated every three years, and must include: </w:t>
      </w:r>
    </w:p>
    <w:p w:rsidR="00B710CE" w:rsidRDefault="00EB7086" w:rsidP="00B710CE">
      <w:pPr>
        <w:pStyle w:val="Bullet"/>
      </w:pPr>
      <w:r>
        <w:t>whether class 4 gam</w:t>
      </w:r>
      <w:r w:rsidR="00304896">
        <w:t>bl</w:t>
      </w:r>
      <w:r>
        <w:t>ing venue</w:t>
      </w:r>
      <w:r w:rsidR="00D66902">
        <w:t>s</w:t>
      </w:r>
      <w:r>
        <w:t xml:space="preserve"> may be established in their district; </w:t>
      </w:r>
    </w:p>
    <w:p w:rsidR="00EB7086" w:rsidRDefault="00EB7086" w:rsidP="00EB7086">
      <w:pPr>
        <w:pStyle w:val="Bullet"/>
      </w:pPr>
      <w:r>
        <w:t>if permitted, where venues may be located; and</w:t>
      </w:r>
    </w:p>
    <w:p w:rsidR="00EB7086" w:rsidRDefault="005F4445" w:rsidP="00EB7086">
      <w:pPr>
        <w:pStyle w:val="Bullet"/>
      </w:pPr>
      <w:r>
        <w:t>consideration of</w:t>
      </w:r>
      <w:r w:rsidR="00EB7086">
        <w:t xml:space="preserve"> the social impact of gambling .</w:t>
      </w:r>
    </w:p>
    <w:p w:rsidR="00EB7086" w:rsidRDefault="00A653DD" w:rsidP="00EB7086">
      <w:r>
        <w:t>Class 4 v</w:t>
      </w:r>
      <w:r w:rsidR="00EB7086">
        <w:t>enue policies</w:t>
      </w:r>
      <w:r w:rsidR="00AA4204">
        <w:t xml:space="preserve"> may</w:t>
      </w:r>
      <w:r w:rsidR="00B710CE">
        <w:t xml:space="preserve"> specify a restriction on the maximum number of gaming machines per venue, and may</w:t>
      </w:r>
      <w:r w:rsidR="00AA4204">
        <w:t xml:space="preserve"> also include a relocation policy. </w:t>
      </w:r>
      <w:r w:rsidR="00EB7086">
        <w:t xml:space="preserve">Class 4 societies need consent from the territorial authority if they wish to establish a venue within that councils’ district. </w:t>
      </w:r>
      <w:r>
        <w:t>Class 4 s</w:t>
      </w:r>
      <w:r w:rsidR="00EB7086">
        <w:t>ocieties have to apply for consent from territorial authorities when:</w:t>
      </w:r>
    </w:p>
    <w:p w:rsidR="00EB7086" w:rsidRPr="00A23983" w:rsidRDefault="00EB7086" w:rsidP="00EB7086">
      <w:pPr>
        <w:pStyle w:val="Bullet"/>
      </w:pPr>
      <w:r w:rsidRPr="00A23983">
        <w:t>increasing the number of gaming machines that may be operated at a class 4 venue;</w:t>
      </w:r>
    </w:p>
    <w:p w:rsidR="00EB7086" w:rsidRPr="00A23983" w:rsidRDefault="00EB7086" w:rsidP="00EB7086">
      <w:pPr>
        <w:pStyle w:val="Bullet"/>
      </w:pPr>
      <w:r w:rsidRPr="00A23983">
        <w:t>a society is applying for a class 4 venue licence and a licence has not been held by any society for the venue within the last 6 months; and</w:t>
      </w:r>
    </w:p>
    <w:p w:rsidR="00EB7086" w:rsidRDefault="00EB7086" w:rsidP="00EB7086">
      <w:pPr>
        <w:pStyle w:val="Bullet"/>
      </w:pPr>
      <w:r w:rsidRPr="00A23983">
        <w:lastRenderedPageBreak/>
        <w:t>a society proposes, in accordance with a relocation policy of the territorial authority, to change the venue to which a class 4 venue licence currently applies.</w:t>
      </w:r>
    </w:p>
    <w:p w:rsidR="00D95928" w:rsidRDefault="00FC6D8C" w:rsidP="00EB7086">
      <w:r>
        <w:t>Once a council</w:t>
      </w:r>
      <w:r w:rsidR="00EB7086" w:rsidRPr="00A23983">
        <w:t xml:space="preserve"> grants consent for the es</w:t>
      </w:r>
      <w:r w:rsidR="00EB7086">
        <w:t xml:space="preserve">tablishment of a new venue, the venue </w:t>
      </w:r>
      <w:r w:rsidR="009367A7">
        <w:t>can</w:t>
      </w:r>
      <w:r w:rsidR="00EB7086" w:rsidRPr="00A23983">
        <w:t xml:space="preserve"> apply for a licence from the Department. The Department then monitors the new venue for compliance</w:t>
      </w:r>
      <w:r w:rsidR="00EB7086">
        <w:t xml:space="preserve"> with the Gambling Act 2003</w:t>
      </w:r>
      <w:r w:rsidR="00EB7086" w:rsidRPr="00A23983">
        <w:t xml:space="preserve">. </w:t>
      </w:r>
      <w:r w:rsidR="00EB7086">
        <w:t>Territorial authorities do not have</w:t>
      </w:r>
      <w:r w:rsidR="00EB7086" w:rsidRPr="00A23983">
        <w:t xml:space="preserve"> the power to close </w:t>
      </w:r>
      <w:r w:rsidR="009367A7">
        <w:t xml:space="preserve">a </w:t>
      </w:r>
      <w:r w:rsidR="00EB7086" w:rsidRPr="00A23983">
        <w:t xml:space="preserve">venue, </w:t>
      </w:r>
      <w:r w:rsidR="00EB7086">
        <w:t>and cannot revoke its consent. O</w:t>
      </w:r>
      <w:r w:rsidR="00EB7086" w:rsidRPr="00A23983">
        <w:t xml:space="preserve">nly </w:t>
      </w:r>
      <w:r w:rsidR="00D87CF7">
        <w:t>the Department can suspend or cancel a venue</w:t>
      </w:r>
      <w:r w:rsidR="008A4882">
        <w:t>’</w:t>
      </w:r>
      <w:r w:rsidR="00D87CF7">
        <w:t>s licence</w:t>
      </w:r>
      <w:r w:rsidR="00EB7086" w:rsidRPr="00A23983">
        <w:t xml:space="preserve"> for non-compliance.</w:t>
      </w:r>
    </w:p>
    <w:p w:rsidR="001323C5" w:rsidRDefault="00FC6D8C" w:rsidP="001D3F54">
      <w:r>
        <w:t>Some councils</w:t>
      </w:r>
      <w:r w:rsidR="001D3F54">
        <w:t xml:space="preserve"> have a “sinking lid” policy. This usu</w:t>
      </w:r>
      <w:r w:rsidR="000456A5">
        <w:t>ally means that the council concerned</w:t>
      </w:r>
      <w:r w:rsidR="001D3F54">
        <w:t xml:space="preserve"> is trying to decrease the number of gaming mach</w:t>
      </w:r>
      <w:r w:rsidR="000456A5">
        <w:t>ines and class 4 venues in its</w:t>
      </w:r>
      <w:r w:rsidR="001D3F54">
        <w:t xml:space="preserve"> district. A sinking lid policy includes a ban on any new</w:t>
      </w:r>
      <w:r w:rsidR="00A653DD">
        <w:t xml:space="preserve"> gaming</w:t>
      </w:r>
      <w:r w:rsidR="001D3F54">
        <w:t xml:space="preserve"> machines or venues in a district. Councils can also have caps of the number of venues and/or </w:t>
      </w:r>
      <w:r w:rsidR="00A653DD">
        <w:t xml:space="preserve">gaming </w:t>
      </w:r>
      <w:r w:rsidR="001D3F54">
        <w:t xml:space="preserve">machines in their districts. </w:t>
      </w:r>
      <w:r>
        <w:t xml:space="preserve">Other councils, however, allow for growth in </w:t>
      </w:r>
      <w:r w:rsidR="00A653DD">
        <w:t xml:space="preserve">gaming </w:t>
      </w:r>
      <w:r>
        <w:t xml:space="preserve">machine numbers and/or venues within their districts. </w:t>
      </w:r>
    </w:p>
    <w:p w:rsidR="001D3F54" w:rsidRPr="001326D6" w:rsidRDefault="00FC6D8C" w:rsidP="001D3F54">
      <w:r>
        <w:t xml:space="preserve">Under section 101(2) of the Gambling Act, councils must consider the social impact of gambling in their districts when developing a </w:t>
      </w:r>
      <w:r w:rsidR="00A653DD">
        <w:t xml:space="preserve">class 4 </w:t>
      </w:r>
      <w:r>
        <w:t xml:space="preserve">venue policy. </w:t>
      </w:r>
      <w:r w:rsidR="001F1141">
        <w:t>This can include the impact of harm from gambling, as well as the impact of funds going back to community groups in the form of grants. Councils do their own research on the social impacts of gambling in their districts.</w:t>
      </w:r>
      <w:r w:rsidR="00232213">
        <w:t xml:space="preserve"> Information </w:t>
      </w:r>
      <w:r w:rsidR="001F1141">
        <w:t>ca</w:t>
      </w:r>
      <w:r w:rsidR="00232213">
        <w:t xml:space="preserve">n also be </w:t>
      </w:r>
      <w:r w:rsidR="00953A2B">
        <w:t>provided</w:t>
      </w:r>
      <w:r w:rsidR="001F1141">
        <w:t xml:space="preserve"> by the community</w:t>
      </w:r>
      <w:r w:rsidR="00BE29E2">
        <w:t xml:space="preserve">, </w:t>
      </w:r>
      <w:r w:rsidR="0008769F">
        <w:t>problem gambling treatment providers, and class 4 gambling societies,</w:t>
      </w:r>
      <w:r w:rsidR="001F1141">
        <w:t xml:space="preserve"> through the consultation process. </w:t>
      </w:r>
    </w:p>
    <w:p w:rsidR="00B9647E" w:rsidRDefault="00B9647E" w:rsidP="00B9647E">
      <w:pPr>
        <w:pStyle w:val="Heading2"/>
      </w:pPr>
      <w:bookmarkStart w:id="12" w:name="_Toc453068859"/>
      <w:r>
        <w:t>Community funding</w:t>
      </w:r>
      <w:bookmarkEnd w:id="12"/>
    </w:p>
    <w:p w:rsidR="00C2614D" w:rsidRDefault="00C2614D" w:rsidP="00C2614D">
      <w:r w:rsidRPr="004B156E">
        <w:t>The community funding aspect of the “pokie” sy</w:t>
      </w:r>
      <w:r>
        <w:t xml:space="preserve">stem is unique to New Zealand. </w:t>
      </w:r>
      <w:r w:rsidRPr="004B156E">
        <w:t xml:space="preserve">In most other jurisdictions gambling is a </w:t>
      </w:r>
      <w:r w:rsidR="00C42C63">
        <w:t>“</w:t>
      </w:r>
      <w:r w:rsidRPr="004B156E">
        <w:t>for profit</w:t>
      </w:r>
      <w:r w:rsidR="00C42C63">
        <w:t>”</w:t>
      </w:r>
      <w:r w:rsidRPr="004B156E">
        <w:t xml:space="preserve"> activity.</w:t>
      </w:r>
      <w:r>
        <w:t xml:space="preserve"> The class 4 sector returns about $260 million per year to communities</w:t>
      </w:r>
      <w:r w:rsidR="00EC6800">
        <w:t xml:space="preserve"> in the form of grants funding</w:t>
      </w:r>
      <w:r w:rsidR="00953A2B">
        <w:t xml:space="preserve"> (in addition to tax and duty payments to government)</w:t>
      </w:r>
      <w:r>
        <w:t xml:space="preserve">. </w:t>
      </w:r>
    </w:p>
    <w:p w:rsidR="00256B9E" w:rsidRDefault="00B9647E" w:rsidP="00256B9E">
      <w:r>
        <w:t xml:space="preserve">Depending on its structure, a </w:t>
      </w:r>
      <w:r w:rsidR="00A653DD">
        <w:t xml:space="preserve">class 4 </w:t>
      </w:r>
      <w:r>
        <w:t>society can apply or dis</w:t>
      </w:r>
      <w:r w:rsidR="00C2614D">
        <w:t>tribute funds to the community.</w:t>
      </w:r>
      <w:r w:rsidR="00794D3F">
        <w:t xml:space="preserve"> The funds must be applied or distributed within a set timeframe, which </w:t>
      </w:r>
      <w:r w:rsidR="00753D81">
        <w:t xml:space="preserve">is currently set at 12 months. </w:t>
      </w:r>
      <w:r w:rsidR="00EC6800">
        <w:t>N</w:t>
      </w:r>
      <w:r w:rsidR="00256B9E">
        <w:t xml:space="preserve">on-club </w:t>
      </w:r>
      <w:r w:rsidR="00256B9E" w:rsidRPr="004B156E">
        <w:t>societ</w:t>
      </w:r>
      <w:r w:rsidR="00EC6800">
        <w:t>ies</w:t>
      </w:r>
      <w:r w:rsidR="00256B9E" w:rsidRPr="004B156E">
        <w:t xml:space="preserve"> </w:t>
      </w:r>
      <w:r w:rsidR="00EC6800">
        <w:t>are</w:t>
      </w:r>
      <w:r w:rsidR="00256B9E" w:rsidRPr="004B156E">
        <w:t xml:space="preserve"> required</w:t>
      </w:r>
      <w:r w:rsidR="00EC6800">
        <w:t>,</w:t>
      </w:r>
      <w:r w:rsidR="00256B9E" w:rsidRPr="004B156E">
        <w:t xml:space="preserve"> </w:t>
      </w:r>
      <w:r w:rsidR="00EC6800">
        <w:t xml:space="preserve">through regulations, </w:t>
      </w:r>
      <w:r w:rsidR="00256B9E" w:rsidRPr="004B156E">
        <w:t>to distribute a minimum of 40 per cent of their GST- exclusive gross proceeds</w:t>
      </w:r>
      <w:r w:rsidR="00256B9E" w:rsidRPr="00794D3F">
        <w:rPr>
          <w:vertAlign w:val="superscript"/>
        </w:rPr>
        <w:footnoteReference w:id="12"/>
      </w:r>
      <w:r w:rsidR="00256B9E">
        <w:t xml:space="preserve"> to authorised purposes. Clubs</w:t>
      </w:r>
      <w:r w:rsidR="003609A4">
        <w:t>, through licence conditions,</w:t>
      </w:r>
      <w:r w:rsidR="00256B9E">
        <w:t xml:space="preserve"> are required to apply </w:t>
      </w:r>
      <w:r w:rsidR="003609A4">
        <w:t xml:space="preserve">up to </w:t>
      </w:r>
      <w:r w:rsidR="00256B9E">
        <w:t xml:space="preserve">a minimum of 37 per cent to authorised purposes. </w:t>
      </w:r>
    </w:p>
    <w:p w:rsidR="00F648CE" w:rsidRDefault="00F648CE" w:rsidP="00F648CE">
      <w:r w:rsidRPr="004B156E">
        <w:t xml:space="preserve">The funding for community organisations from </w:t>
      </w:r>
      <w:r w:rsidR="00C42C63">
        <w:t xml:space="preserve">the </w:t>
      </w:r>
      <w:r w:rsidRPr="004B156E">
        <w:t xml:space="preserve">other </w:t>
      </w:r>
      <w:r w:rsidR="00C42C63">
        <w:t xml:space="preserve">main </w:t>
      </w:r>
      <w:r w:rsidRPr="004B156E">
        <w:t>forms of gambling (excluding casinos) has increased since 2004, which has resulted in community funding remai</w:t>
      </w:r>
      <w:r w:rsidR="00200625">
        <w:t>ning relatively stable overall.</w:t>
      </w:r>
      <w:r w:rsidRPr="004B156E">
        <w:t xml:space="preserve"> The total community returns from the gambling sector decreased by only three per cent over 2004 to 2015 in real terms (from $619 million to $603 million</w:t>
      </w:r>
      <w:r w:rsidRPr="005900A4">
        <w:rPr>
          <w:vertAlign w:val="superscript"/>
        </w:rPr>
        <w:footnoteReference w:id="13"/>
      </w:r>
      <w:r w:rsidRPr="004B156E">
        <w:t xml:space="preserve">).  In the 2013/14 year, class 4 societies provided approximately 40 per cent of the total amount distributed for community purposes (using the description of ‘community’ broadly in this context).  </w:t>
      </w:r>
    </w:p>
    <w:p w:rsidR="00F648CE" w:rsidRDefault="00222302" w:rsidP="00F648CE">
      <w:r>
        <w:lastRenderedPageBreak/>
        <w:t xml:space="preserve">While there are exceptions, in general </w:t>
      </w:r>
      <w:r w:rsidR="008D2B40">
        <w:t>c</w:t>
      </w:r>
      <w:r w:rsidR="00F648CE">
        <w:t xml:space="preserve">lass 4 funding to the community </w:t>
      </w:r>
      <w:r>
        <w:t>distributes smaller funding amounts within local communities</w:t>
      </w:r>
      <w:r w:rsidR="00F648CE">
        <w:t xml:space="preserve"> (e</w:t>
      </w:r>
      <w:r w:rsidR="00C42C63">
        <w:t>.</w:t>
      </w:r>
      <w:r w:rsidR="00F648CE">
        <w:t>g. local sports clubs, kindergartens, community organisations), whereas community funding from other classes of gambling (e</w:t>
      </w:r>
      <w:r w:rsidR="00C42C63">
        <w:t>.</w:t>
      </w:r>
      <w:r w:rsidR="00F648CE">
        <w:t xml:space="preserve">g. </w:t>
      </w:r>
      <w:r w:rsidR="00953A2B">
        <w:t xml:space="preserve">the </w:t>
      </w:r>
      <w:r w:rsidR="00F648CE">
        <w:t xml:space="preserve">Lottery Grants Board) </w:t>
      </w:r>
      <w:r>
        <w:t xml:space="preserve">is distributed in larger </w:t>
      </w:r>
      <w:r w:rsidR="00F648CE">
        <w:t>amounts on more of a national or regional basis</w:t>
      </w:r>
      <w:r w:rsidR="00FE55E4">
        <w:t xml:space="preserve">. </w:t>
      </w:r>
      <w:r w:rsidR="00F648CE">
        <w:t xml:space="preserve">Therefore, while other forms of gambling kept the </w:t>
      </w:r>
      <w:r w:rsidR="00953A2B">
        <w:t xml:space="preserve">overall pool </w:t>
      </w:r>
      <w:r w:rsidR="00F648CE">
        <w:t>of fund</w:t>
      </w:r>
      <w:r w:rsidR="00953A2B">
        <w:t>ing</w:t>
      </w:r>
      <w:r w:rsidR="00F648CE">
        <w:t xml:space="preserve"> to the community stable, the </w:t>
      </w:r>
      <w:r w:rsidR="00C42C63">
        <w:t xml:space="preserve">overall </w:t>
      </w:r>
      <w:r w:rsidR="00F648CE">
        <w:t xml:space="preserve">distribution of funds </w:t>
      </w:r>
      <w:r w:rsidR="00C42C63">
        <w:t xml:space="preserve">has </w:t>
      </w:r>
      <w:r>
        <w:t xml:space="preserve">probably </w:t>
      </w:r>
      <w:r w:rsidR="00F648CE">
        <w:t>shifte</w:t>
      </w:r>
      <w:r w:rsidR="00FE55E4">
        <w:t xml:space="preserve">d away from local communities. </w:t>
      </w:r>
      <w:r w:rsidR="00F648CE">
        <w:t xml:space="preserve">While </w:t>
      </w:r>
      <w:r w:rsidR="00C42C63">
        <w:t>class 4</w:t>
      </w:r>
      <w:r w:rsidR="00F648CE">
        <w:t xml:space="preserve"> gambling provides more local community funding, it also comes with the highest risk of harm with respect to problem gambling</w:t>
      </w:r>
      <w:r w:rsidR="00C42C63">
        <w:t>,</w:t>
      </w:r>
      <w:r w:rsidR="00F648CE">
        <w:t xml:space="preserve"> compared </w:t>
      </w:r>
      <w:r w:rsidR="00C42C63">
        <w:t>with</w:t>
      </w:r>
      <w:r w:rsidR="00F648CE">
        <w:t xml:space="preserve"> other forms of gambling.</w:t>
      </w:r>
    </w:p>
    <w:p w:rsidR="00EA147E" w:rsidRDefault="00EA147E" w:rsidP="00EA147E">
      <w:pPr>
        <w:pStyle w:val="Heading2"/>
      </w:pPr>
      <w:bookmarkStart w:id="13" w:name="_Toc453068860"/>
      <w:r>
        <w:t>Regulatory changes already occurring in the sector</w:t>
      </w:r>
      <w:bookmarkEnd w:id="13"/>
    </w:p>
    <w:p w:rsidR="00625E15" w:rsidRPr="00D30D65" w:rsidRDefault="00625E15" w:rsidP="00625E15">
      <w:r w:rsidRPr="00D30D65">
        <w:t>A number of recent amendments</w:t>
      </w:r>
      <w:r w:rsidR="00EE4DD4">
        <w:t xml:space="preserve"> to the Gambling Act </w:t>
      </w:r>
      <w:r w:rsidRPr="00D30D65">
        <w:t>and changes to regulations will have impacts on the sector in the near future</w:t>
      </w:r>
      <w:r w:rsidR="00D60EF7">
        <w:t xml:space="preserve">. </w:t>
      </w:r>
      <w:r w:rsidR="000F2FF6">
        <w:t>Recent changes include</w:t>
      </w:r>
      <w:r w:rsidRPr="00D30D65">
        <w:t>:</w:t>
      </w:r>
    </w:p>
    <w:p w:rsidR="00EE4DD4" w:rsidRDefault="00EE4DD4" w:rsidP="00625E15">
      <w:pPr>
        <w:pStyle w:val="Bullet"/>
      </w:pPr>
      <w:r>
        <w:t xml:space="preserve">increasing the fees gambling operators pay </w:t>
      </w:r>
      <w:r w:rsidR="00C42C63">
        <w:t>to</w:t>
      </w:r>
      <w:r>
        <w:t xml:space="preserve"> fund the regulatory activity of the Department;</w:t>
      </w:r>
    </w:p>
    <w:p w:rsidR="00625E15" w:rsidRPr="00D30D65" w:rsidRDefault="00625E15" w:rsidP="00625E15">
      <w:pPr>
        <w:pStyle w:val="Bullet"/>
      </w:pPr>
      <w:r w:rsidRPr="00D30D65">
        <w:t>the introduction of a simpler</w:t>
      </w:r>
      <w:r w:rsidR="00A653DD">
        <w:t xml:space="preserve"> non-club</w:t>
      </w:r>
      <w:r w:rsidRPr="00D30D65">
        <w:t xml:space="preserve"> venue payment regime (which should reduce compliance costs for the regulator, </w:t>
      </w:r>
      <w:r w:rsidR="00A653DD">
        <w:t xml:space="preserve">non-club </w:t>
      </w:r>
      <w:r w:rsidRPr="00D30D65">
        <w:t>societies and venues);</w:t>
      </w:r>
      <w:r w:rsidR="00EE4DD4">
        <w:t xml:space="preserve"> and</w:t>
      </w:r>
    </w:p>
    <w:p w:rsidR="00625E15" w:rsidRPr="00D30D65" w:rsidRDefault="000F2FF6" w:rsidP="00625E15">
      <w:pPr>
        <w:pStyle w:val="Bullet"/>
      </w:pPr>
      <w:r>
        <w:t>the cancelling of scheduled increases to the minimum rate of retu</w:t>
      </w:r>
      <w:r w:rsidR="00EE4DD4">
        <w:t>rn to authorised purposes</w:t>
      </w:r>
      <w:r w:rsidR="00A653DD">
        <w:t xml:space="preserve"> for non-club societies</w:t>
      </w:r>
      <w:r w:rsidR="00EE4DD4">
        <w:t>. The rate of return is now fixed at 40 per cent of GST-exclusive gross proceeds.</w:t>
      </w:r>
    </w:p>
    <w:p w:rsidR="009669CF" w:rsidRPr="005D3404" w:rsidRDefault="00303014" w:rsidP="005D3404">
      <w:r w:rsidRPr="00303014">
        <w:t>O</w:t>
      </w:r>
      <w:r w:rsidR="00625E15" w:rsidRPr="00303014">
        <w:t>ther non-regulatory initiatives</w:t>
      </w:r>
      <w:r>
        <w:t xml:space="preserve"> are also</w:t>
      </w:r>
      <w:r w:rsidR="00625E15" w:rsidRPr="00303014">
        <w:t xml:space="preserve"> underway, including</w:t>
      </w:r>
      <w:r>
        <w:t>:</w:t>
      </w:r>
      <w:r w:rsidR="00625E15" w:rsidRPr="00303014">
        <w:t xml:space="preserve"> work to strengthen the licensing requirement</w:t>
      </w:r>
      <w:r w:rsidR="00C42C63">
        <w:t>s</w:t>
      </w:r>
      <w:r w:rsidR="00625E15" w:rsidRPr="00303014">
        <w:t xml:space="preserve"> for new </w:t>
      </w:r>
      <w:r w:rsidR="00A653DD">
        <w:t xml:space="preserve">class 4 </w:t>
      </w:r>
      <w:r w:rsidR="00625E15" w:rsidRPr="00303014">
        <w:t>societies</w:t>
      </w:r>
      <w:r>
        <w:t>;</w:t>
      </w:r>
      <w:r w:rsidR="00625E15" w:rsidRPr="00303014">
        <w:t xml:space="preserve"> the capacity</w:t>
      </w:r>
      <w:r>
        <w:t xml:space="preserve"> to audit management companies; </w:t>
      </w:r>
      <w:r w:rsidR="00625E15" w:rsidRPr="00303014">
        <w:t xml:space="preserve">and potential for lower regulatory oversight around highly trusted operators (such as through the use of three-year </w:t>
      </w:r>
      <w:r w:rsidR="00C42C63">
        <w:t xml:space="preserve">society </w:t>
      </w:r>
      <w:r w:rsidR="00625E15" w:rsidRPr="00303014">
        <w:t>licences).</w:t>
      </w:r>
      <w:r w:rsidR="009669CF">
        <w:br w:type="page"/>
      </w:r>
    </w:p>
    <w:p w:rsidR="008C6CF0" w:rsidRDefault="00025260" w:rsidP="008C6CF0">
      <w:pPr>
        <w:pStyle w:val="Heading1"/>
      </w:pPr>
      <w:bookmarkStart w:id="14" w:name="_Toc453068861"/>
      <w:r>
        <w:lastRenderedPageBreak/>
        <w:t xml:space="preserve">PART II: </w:t>
      </w:r>
      <w:r w:rsidR="00953A2B">
        <w:t>F</w:t>
      </w:r>
      <w:r w:rsidR="007733DF">
        <w:t>actors influencing the class 4 sector</w:t>
      </w:r>
      <w:bookmarkEnd w:id="14"/>
    </w:p>
    <w:p w:rsidR="00317855" w:rsidRPr="00317855" w:rsidRDefault="00C562ED" w:rsidP="00317855">
      <w:r>
        <w:t>This paper seeks your feedback on a range of factors within the class 4 sector that</w:t>
      </w:r>
      <w:r w:rsidR="00E470B6">
        <w:t xml:space="preserve"> may</w:t>
      </w:r>
      <w:r>
        <w:t xml:space="preserve"> </w:t>
      </w:r>
      <w:r w:rsidR="006C05BA">
        <w:t>affect</w:t>
      </w:r>
      <w:r>
        <w:t xml:space="preserve"> the sustainability of community funding. These are listed below, along with </w:t>
      </w:r>
      <w:r w:rsidR="008F6A86">
        <w:t xml:space="preserve">some </w:t>
      </w:r>
      <w:r>
        <w:t xml:space="preserve">questions for your consideration. </w:t>
      </w:r>
    </w:p>
    <w:p w:rsidR="000A0748" w:rsidRDefault="00084D8A" w:rsidP="00F45338">
      <w:pPr>
        <w:pStyle w:val="Heading2"/>
      </w:pPr>
      <w:bookmarkStart w:id="15" w:name="_Toc453068862"/>
      <w:r>
        <w:t>Legislative restrictions on the class 4 sector</w:t>
      </w:r>
      <w:bookmarkEnd w:id="15"/>
    </w:p>
    <w:p w:rsidR="005647D2" w:rsidRDefault="00B95606" w:rsidP="00C92539">
      <w:r>
        <w:t>A purpose of t</w:t>
      </w:r>
      <w:r w:rsidR="000A0748">
        <w:t>he Gamblin</w:t>
      </w:r>
      <w:r w:rsidR="00C256DE">
        <w:t xml:space="preserve">g Act </w:t>
      </w:r>
      <w:r>
        <w:t>is to control</w:t>
      </w:r>
      <w:r w:rsidR="004166C0">
        <w:t xml:space="preserve"> the growth of gambling, and </w:t>
      </w:r>
      <w:r>
        <w:t xml:space="preserve">it </w:t>
      </w:r>
      <w:r w:rsidR="004166C0">
        <w:t xml:space="preserve">sets up a highly </w:t>
      </w:r>
      <w:r w:rsidR="005F4445">
        <w:t xml:space="preserve">prescriptive </w:t>
      </w:r>
      <w:r w:rsidR="004166C0">
        <w:t xml:space="preserve">regime under which class 4 societies can operate. </w:t>
      </w:r>
      <w:r w:rsidR="00C01396">
        <w:t>T</w:t>
      </w:r>
      <w:r w:rsidR="005647D2">
        <w:t xml:space="preserve">he Act also states </w:t>
      </w:r>
      <w:r w:rsidR="0035191C">
        <w:t xml:space="preserve">that </w:t>
      </w:r>
      <w:r w:rsidR="00A66AB0">
        <w:t xml:space="preserve">class 4 </w:t>
      </w:r>
      <w:r w:rsidR="0035191C">
        <w:t xml:space="preserve">societies must </w:t>
      </w:r>
      <w:r w:rsidR="000A591A">
        <w:t xml:space="preserve">maximise returns to communities, while minimising operating costs. </w:t>
      </w:r>
    </w:p>
    <w:p w:rsidR="00A468DE" w:rsidRDefault="00B66279" w:rsidP="00C92539">
      <w:r>
        <w:t>The Gambling Act</w:t>
      </w:r>
      <w:r w:rsidR="006652F7">
        <w:t xml:space="preserve"> </w:t>
      </w:r>
      <w:r>
        <w:t xml:space="preserve">was a deliberate response to a sector that had grown </w:t>
      </w:r>
      <w:r w:rsidR="00A45A2C">
        <w:t xml:space="preserve">rapidly </w:t>
      </w:r>
      <w:r w:rsidR="00886537">
        <w:t xml:space="preserve">through the 1990s. </w:t>
      </w:r>
      <w:r w:rsidR="004B695C" w:rsidRPr="002D4A6F">
        <w:t>By early 200</w:t>
      </w:r>
      <w:r w:rsidR="00F5693F" w:rsidRPr="002D4A6F">
        <w:t>3</w:t>
      </w:r>
      <w:r w:rsidR="004B695C" w:rsidRPr="002D4A6F">
        <w:t xml:space="preserve">, there </w:t>
      </w:r>
      <w:r w:rsidR="00B95606">
        <w:t xml:space="preserve">was a widespread perception </w:t>
      </w:r>
      <w:r w:rsidR="00953A2B">
        <w:t>of</w:t>
      </w:r>
      <w:r w:rsidR="00B95606">
        <w:t xml:space="preserve"> an</w:t>
      </w:r>
      <w:r w:rsidR="00F36295" w:rsidRPr="002D4A6F">
        <w:t xml:space="preserve"> oversupply of gaming machines, with</w:t>
      </w:r>
      <w:r w:rsidR="00F5693F" w:rsidRPr="002D4A6F">
        <w:t xml:space="preserve"> </w:t>
      </w:r>
      <w:r w:rsidR="00F5693F">
        <w:t>an excess of 25,000</w:t>
      </w:r>
      <w:r w:rsidR="00F36295">
        <w:t xml:space="preserve"> machines in operation</w:t>
      </w:r>
      <w:r w:rsidR="008F6A86">
        <w:t>, owned by more than</w:t>
      </w:r>
      <w:r w:rsidR="00C256DE">
        <w:t xml:space="preserve"> 100 societies</w:t>
      </w:r>
      <w:r w:rsidR="00F36295">
        <w:t xml:space="preserve">. </w:t>
      </w:r>
      <w:r w:rsidR="00F5693F">
        <w:t xml:space="preserve">This was a very high rate </w:t>
      </w:r>
      <w:r w:rsidR="002D4A6F">
        <w:t xml:space="preserve">of machines per person compared to other jurisdictions. </w:t>
      </w:r>
      <w:r w:rsidR="00B95606">
        <w:t>The</w:t>
      </w:r>
      <w:r w:rsidR="00AE0AA3">
        <w:t xml:space="preserve"> legal framework</w:t>
      </w:r>
      <w:r w:rsidR="00B95606">
        <w:t xml:space="preserve"> was </w:t>
      </w:r>
      <w:r w:rsidR="008F6A86">
        <w:t xml:space="preserve">considered fragmented and </w:t>
      </w:r>
      <w:r w:rsidR="00B95606">
        <w:t>not fit</w:t>
      </w:r>
      <w:r w:rsidR="008F6A86">
        <w:t>-</w:t>
      </w:r>
      <w:r w:rsidR="00B95606">
        <w:t>for</w:t>
      </w:r>
      <w:r w:rsidR="008F6A86">
        <w:t>-</w:t>
      </w:r>
      <w:r w:rsidR="00B95606">
        <w:t>purpose, and lacked</w:t>
      </w:r>
      <w:r w:rsidR="00C256DE">
        <w:t xml:space="preserve"> measures to address harm from gambling</w:t>
      </w:r>
      <w:r w:rsidR="00942B11">
        <w:t>.</w:t>
      </w:r>
      <w:r w:rsidR="004B695C">
        <w:t xml:space="preserve"> </w:t>
      </w:r>
      <w:r w:rsidR="00A468DE">
        <w:t xml:space="preserve">There was widespread community dissatisfaction with this rapid growth, and the inability of communities </w:t>
      </w:r>
      <w:r w:rsidR="00953A2B">
        <w:t>to have a say o</w:t>
      </w:r>
      <w:r w:rsidR="00A468DE">
        <w:t xml:space="preserve">n how many class 4 venues there </w:t>
      </w:r>
      <w:r w:rsidR="00AA469C">
        <w:t>sh</w:t>
      </w:r>
      <w:r w:rsidR="00A468DE">
        <w:t xml:space="preserve">ould be, and where they </w:t>
      </w:r>
      <w:r w:rsidR="00AA469C">
        <w:t>sh</w:t>
      </w:r>
      <w:r w:rsidR="00A468DE">
        <w:t xml:space="preserve">ould be located. </w:t>
      </w:r>
    </w:p>
    <w:p w:rsidR="00B66279" w:rsidRDefault="00942B11" w:rsidP="00C92539">
      <w:r>
        <w:t xml:space="preserve">This rapid growth and </w:t>
      </w:r>
      <w:r w:rsidR="00B95606">
        <w:t xml:space="preserve">perceived </w:t>
      </w:r>
      <w:r>
        <w:t xml:space="preserve">oversupply in the sector prompted the </w:t>
      </w:r>
      <w:r w:rsidR="00802EA9">
        <w:t>develop</w:t>
      </w:r>
      <w:r w:rsidR="00FC5282">
        <w:t xml:space="preserve">ment of the Gambling Act. The new legislation established policies to prevent and minimise harm from gambling, and enabled local communities to be more involved in decisions on the availability of gambling in their districts. </w:t>
      </w:r>
      <w:r w:rsidR="00953A2B">
        <w:t>S</w:t>
      </w:r>
      <w:r w:rsidR="00B95606">
        <w:t>ince its implementation</w:t>
      </w:r>
      <w:r w:rsidR="00886537">
        <w:t xml:space="preserve">, the sector has shrunk in terms of </w:t>
      </w:r>
      <w:r w:rsidR="005F4445">
        <w:t xml:space="preserve">the </w:t>
      </w:r>
      <w:r w:rsidR="00886537">
        <w:t xml:space="preserve">number of </w:t>
      </w:r>
      <w:r w:rsidR="00A66AB0">
        <w:t xml:space="preserve">class 4 </w:t>
      </w:r>
      <w:r w:rsidR="00886537">
        <w:t xml:space="preserve">societies, gaming machines, </w:t>
      </w:r>
      <w:r w:rsidR="00AA469C">
        <w:t xml:space="preserve">venues, gaming </w:t>
      </w:r>
      <w:r w:rsidR="00886537">
        <w:t xml:space="preserve">expenditure and the amount of funds being returned to communities. </w:t>
      </w:r>
    </w:p>
    <w:p w:rsidR="008F71B5" w:rsidRDefault="008F71B5" w:rsidP="00C92539">
      <w:r>
        <w:t xml:space="preserve">The Gambling Act and associated regulations place many restrictions on the </w:t>
      </w:r>
      <w:r w:rsidR="00A66AB0">
        <w:t xml:space="preserve">class 4 </w:t>
      </w:r>
      <w:r>
        <w:t>sector in light of the potential for harm from class</w:t>
      </w:r>
      <w:r w:rsidR="00894E87">
        <w:t xml:space="preserve"> </w:t>
      </w:r>
      <w:r>
        <w:t xml:space="preserve">4 gambling. </w:t>
      </w:r>
      <w:r w:rsidR="00580801">
        <w:t xml:space="preserve">These restrictions limit </w:t>
      </w:r>
      <w:r w:rsidR="00A66AB0">
        <w:t xml:space="preserve">class 4 </w:t>
      </w:r>
      <w:r w:rsidR="00580801">
        <w:t xml:space="preserve">societies’ ability to adapt </w:t>
      </w:r>
      <w:r w:rsidR="00953A2B">
        <w:t>their operations over time</w:t>
      </w:r>
      <w:r w:rsidR="00580801">
        <w:t xml:space="preserve">. </w:t>
      </w:r>
      <w:r w:rsidR="009508C3">
        <w:t xml:space="preserve">For example, </w:t>
      </w:r>
      <w:r w:rsidR="00A92A99">
        <w:t xml:space="preserve">non-club </w:t>
      </w:r>
      <w:r w:rsidR="009508C3">
        <w:t>soc</w:t>
      </w:r>
      <w:r w:rsidR="00A92A99">
        <w:t>ieties who establish</w:t>
      </w:r>
      <w:r w:rsidR="009508C3">
        <w:t xml:space="preserve"> new gambling venues are only allowed a maximum </w:t>
      </w:r>
      <w:r w:rsidR="00C233E6">
        <w:t xml:space="preserve">of nine </w:t>
      </w:r>
      <w:r w:rsidR="009508C3">
        <w:t>gaming machines</w:t>
      </w:r>
      <w:r w:rsidR="005F4445">
        <w:t>, but n</w:t>
      </w:r>
      <w:r w:rsidR="00A92A99">
        <w:t>on-club v</w:t>
      </w:r>
      <w:r w:rsidR="009508C3">
        <w:t xml:space="preserve">enues that existed before the Gambling </w:t>
      </w:r>
      <w:r w:rsidR="00F01FC2">
        <w:t>Act were allowed 18 machines</w:t>
      </w:r>
      <w:r w:rsidR="00EF1C57">
        <w:t xml:space="preserve"> </w:t>
      </w:r>
      <w:r w:rsidR="00746226">
        <w:t xml:space="preserve">as part of </w:t>
      </w:r>
      <w:r w:rsidR="005F4445">
        <w:t>‘</w:t>
      </w:r>
      <w:r w:rsidR="00EF1C57">
        <w:t>grand parenting</w:t>
      </w:r>
      <w:r w:rsidR="005F4445">
        <w:t>’</w:t>
      </w:r>
      <w:r w:rsidR="00746226">
        <w:t xml:space="preserve"> arrangements. </w:t>
      </w:r>
      <w:r w:rsidR="005B2DD8">
        <w:t>Machine number</w:t>
      </w:r>
      <w:r w:rsidR="00693E72">
        <w:t>s</w:t>
      </w:r>
      <w:r w:rsidR="005B2DD8">
        <w:t xml:space="preserve"> are also capped per venue, rather than, for example, nationally. </w:t>
      </w:r>
    </w:p>
    <w:p w:rsidR="005B2DD8" w:rsidRDefault="00693E72" w:rsidP="00C92539">
      <w:r>
        <w:t xml:space="preserve">As noted on page </w:t>
      </w:r>
      <w:r w:rsidR="00EF1C57">
        <w:t>eight</w:t>
      </w:r>
      <w:r>
        <w:t>, the class 4 sector’s costs are</w:t>
      </w:r>
      <w:r w:rsidR="009B0F1E">
        <w:t xml:space="preserve"> highly regulated, particularly </w:t>
      </w:r>
      <w:r w:rsidR="00AA469C">
        <w:t xml:space="preserve">for </w:t>
      </w:r>
      <w:r w:rsidR="009B0F1E">
        <w:t xml:space="preserve">non-club societies. </w:t>
      </w:r>
      <w:r w:rsidR="009B0F1E" w:rsidRPr="00D95FB7">
        <w:t xml:space="preserve">After all mandatory costs are subtracted, about 17 per cent of gaming machine </w:t>
      </w:r>
      <w:r w:rsidR="002E4AA6">
        <w:t>profits</w:t>
      </w:r>
      <w:r w:rsidR="009B0F1E" w:rsidRPr="00D95FB7">
        <w:t xml:space="preserve"> remains for </w:t>
      </w:r>
      <w:r w:rsidR="00A66AB0">
        <w:t xml:space="preserve">non-club </w:t>
      </w:r>
      <w:r w:rsidR="009B0F1E" w:rsidRPr="00D95FB7">
        <w:t>societies to run their operations, for example, administering the grant-making process, depreciation costs, salaries, and office rent</w:t>
      </w:r>
      <w:r w:rsidR="00AA469C">
        <w:t>.</w:t>
      </w:r>
      <w:r w:rsidR="009B0F1E" w:rsidRPr="00D95FB7">
        <w:t xml:space="preserve"> </w:t>
      </w:r>
      <w:r w:rsidR="00AA469C">
        <w:t xml:space="preserve">This </w:t>
      </w:r>
      <w:r w:rsidR="009B0F1E" w:rsidRPr="00D95FB7">
        <w:t>leav</w:t>
      </w:r>
      <w:r w:rsidR="00AA469C">
        <w:t>es</w:t>
      </w:r>
      <w:r w:rsidR="009B0F1E" w:rsidRPr="00D95FB7">
        <w:t xml:space="preserve"> </w:t>
      </w:r>
      <w:r w:rsidR="00AE0AA3">
        <w:t xml:space="preserve">non-club </w:t>
      </w:r>
      <w:r w:rsidR="009B0F1E" w:rsidRPr="00D95FB7">
        <w:t>societies with little room to invest in other parts of their business that might lead t</w:t>
      </w:r>
      <w:r w:rsidR="009B0F1E">
        <w:t xml:space="preserve">o better overall outcomes, for example, improved grant making processes. </w:t>
      </w:r>
    </w:p>
    <w:p w:rsidR="00C47DCC" w:rsidRDefault="00C47DCC">
      <w:pPr>
        <w:keepLines w:val="0"/>
      </w:pPr>
      <w:r>
        <w:br w:type="page"/>
      </w:r>
    </w:p>
    <w:p w:rsidR="006A63C7" w:rsidRDefault="006A63C7" w:rsidP="00C92539">
      <w:r>
        <w:lastRenderedPageBreak/>
        <w:t xml:space="preserve">The Gambling (Harm Prevention and Minimisation) Regulations 2004 also impose various </w:t>
      </w:r>
      <w:r w:rsidR="00B60E59">
        <w:t xml:space="preserve">controls </w:t>
      </w:r>
      <w:r>
        <w:t xml:space="preserve">on the class 4 sector. </w:t>
      </w:r>
      <w:r w:rsidR="00953A2B">
        <w:t>Requirements</w:t>
      </w:r>
      <w:r w:rsidR="00EC26F3">
        <w:t xml:space="preserve"> in these regulations include:</w:t>
      </w:r>
    </w:p>
    <w:p w:rsidR="00EC26F3" w:rsidRDefault="00F860CF" w:rsidP="00EC26F3">
      <w:pPr>
        <w:pStyle w:val="Bullet"/>
      </w:pPr>
      <w:r>
        <w:t xml:space="preserve">limits on </w:t>
      </w:r>
      <w:r w:rsidR="00EC26F3">
        <w:t>stake</w:t>
      </w:r>
      <w:r>
        <w:t>s and prizes</w:t>
      </w:r>
      <w:r w:rsidR="008F06C0">
        <w:t>, including a limit on jackpots of $1000 for a single play on a gaming machine;</w:t>
      </w:r>
    </w:p>
    <w:p w:rsidR="008F06C0" w:rsidRDefault="008F06C0" w:rsidP="00EC26F3">
      <w:pPr>
        <w:pStyle w:val="Bullet"/>
      </w:pPr>
      <w:r>
        <w:t>gaming machine</w:t>
      </w:r>
      <w:r w:rsidR="00F860CF">
        <w:t>s must display certain messages, including information about the odds of winning a game, the duration of a player’s session, and the amount a player has spent in a session;</w:t>
      </w:r>
    </w:p>
    <w:p w:rsidR="00F860CF" w:rsidRDefault="00F860CF" w:rsidP="00EC26F3">
      <w:pPr>
        <w:pStyle w:val="Bullet"/>
      </w:pPr>
      <w:r>
        <w:t>gaming machines must have features that interrupt play;</w:t>
      </w:r>
    </w:p>
    <w:p w:rsidR="00F860CF" w:rsidRDefault="00F860CF" w:rsidP="00EC26F3">
      <w:pPr>
        <w:pStyle w:val="Bullet"/>
      </w:pPr>
      <w:r>
        <w:t>venues cannot advertise jackpots; and</w:t>
      </w:r>
    </w:p>
    <w:p w:rsidR="00F860CF" w:rsidRDefault="00F860CF" w:rsidP="00EC26F3">
      <w:pPr>
        <w:pStyle w:val="Bullet"/>
      </w:pPr>
      <w:r>
        <w:t xml:space="preserve">venues are required to provide information about problem gambling and how to seek help or advice. </w:t>
      </w:r>
    </w:p>
    <w:p w:rsidR="00A0000F" w:rsidRDefault="00A0000F" w:rsidP="00C92539">
      <w:r>
        <w:t xml:space="preserve">Another restriction on class 4 gambling </w:t>
      </w:r>
      <w:r w:rsidR="00757250">
        <w:t>is the inability to offer online gambling options</w:t>
      </w:r>
      <w:r w:rsidR="00AA469C">
        <w:t>.</w:t>
      </w:r>
      <w:r w:rsidR="00757250">
        <w:t xml:space="preserve"> </w:t>
      </w:r>
      <w:r w:rsidR="00AA469C">
        <w:t>In New Zealand, only</w:t>
      </w:r>
      <w:r w:rsidR="00757250">
        <w:t xml:space="preserve"> </w:t>
      </w:r>
      <w:r w:rsidR="00F942A2">
        <w:t xml:space="preserve">Lotto NZ and </w:t>
      </w:r>
      <w:r w:rsidR="00AA469C">
        <w:t xml:space="preserve">the </w:t>
      </w:r>
      <w:r w:rsidR="000C3A74">
        <w:t>NZRB</w:t>
      </w:r>
      <w:r w:rsidR="00F942A2">
        <w:t xml:space="preserve"> </w:t>
      </w:r>
      <w:r w:rsidR="00AA469C">
        <w:t>are currently allowed to offer forms of</w:t>
      </w:r>
      <w:r w:rsidR="00F942A2">
        <w:t xml:space="preserve"> online gambling. </w:t>
      </w:r>
    </w:p>
    <w:p w:rsidR="00A70DA5" w:rsidRPr="006C05BA" w:rsidRDefault="00A70DA5" w:rsidP="006C05BA">
      <w:pPr>
        <w:rPr>
          <w:b/>
          <w:bCs/>
        </w:rPr>
      </w:pPr>
      <w:r w:rsidRPr="006C05BA">
        <w:rPr>
          <w:b/>
          <w:bCs/>
        </w:rPr>
        <w:t>Questions:</w:t>
      </w:r>
    </w:p>
    <w:p w:rsidR="00A70DA5" w:rsidRPr="00F8772E" w:rsidRDefault="00B66279" w:rsidP="00A70DA5">
      <w:pPr>
        <w:pStyle w:val="Bullet"/>
      </w:pPr>
      <w:r w:rsidRPr="00F8772E">
        <w:rPr>
          <w:b/>
        </w:rPr>
        <w:t>Given the changes in the sector</w:t>
      </w:r>
      <w:r w:rsidR="00222302" w:rsidRPr="00F8772E">
        <w:rPr>
          <w:b/>
        </w:rPr>
        <w:t xml:space="preserve"> </w:t>
      </w:r>
      <w:r w:rsidRPr="00F8772E">
        <w:rPr>
          <w:b/>
        </w:rPr>
        <w:t>since 2003, a</w:t>
      </w:r>
      <w:r w:rsidR="00A70DA5" w:rsidRPr="00F8772E">
        <w:rPr>
          <w:b/>
        </w:rPr>
        <w:t>re the purposes of the Gambling Act still fit</w:t>
      </w:r>
      <w:r w:rsidR="00D970D9" w:rsidRPr="00F8772E">
        <w:rPr>
          <w:b/>
        </w:rPr>
        <w:t>-</w:t>
      </w:r>
      <w:r w:rsidR="00A70DA5" w:rsidRPr="00F8772E">
        <w:rPr>
          <w:b/>
        </w:rPr>
        <w:t>for</w:t>
      </w:r>
      <w:r w:rsidR="00D970D9" w:rsidRPr="00F8772E">
        <w:rPr>
          <w:b/>
        </w:rPr>
        <w:t>-</w:t>
      </w:r>
      <w:r w:rsidR="00A70DA5" w:rsidRPr="00F8772E">
        <w:rPr>
          <w:b/>
        </w:rPr>
        <w:t>purpose?</w:t>
      </w:r>
    </w:p>
    <w:p w:rsidR="003951D2" w:rsidRPr="00F8772E" w:rsidRDefault="003951D2" w:rsidP="00A70DA5">
      <w:pPr>
        <w:pStyle w:val="Bullet"/>
      </w:pPr>
      <w:r w:rsidRPr="00F8772E">
        <w:rPr>
          <w:b/>
        </w:rPr>
        <w:t>Do you think the recent stabilisation of class 4 gambling expenditure is due to economic/population changes or changes within the class 4 sector (or both)?</w:t>
      </w:r>
    </w:p>
    <w:p w:rsidR="008B0E3C" w:rsidRPr="00F8772E" w:rsidRDefault="008B0E3C" w:rsidP="008B0E3C">
      <w:pPr>
        <w:pStyle w:val="Bullet"/>
        <w:rPr>
          <w:b/>
        </w:rPr>
      </w:pPr>
      <w:r w:rsidRPr="00F8772E">
        <w:rPr>
          <w:b/>
        </w:rPr>
        <w:t xml:space="preserve">Do you think any changes should be made to the </w:t>
      </w:r>
      <w:r w:rsidR="00953A2B">
        <w:rPr>
          <w:b/>
        </w:rPr>
        <w:t>requirements</w:t>
      </w:r>
      <w:r w:rsidRPr="00F8772E">
        <w:rPr>
          <w:b/>
        </w:rPr>
        <w:t xml:space="preserve"> on the class 4 sector? If so, what changes?  </w:t>
      </w:r>
    </w:p>
    <w:p w:rsidR="008B0E3C" w:rsidRPr="00F8772E" w:rsidRDefault="008B0E3C" w:rsidP="008B0E3C">
      <w:pPr>
        <w:pStyle w:val="Bullet"/>
        <w:rPr>
          <w:b/>
        </w:rPr>
      </w:pPr>
      <w:r w:rsidRPr="00F8772E">
        <w:rPr>
          <w:b/>
        </w:rPr>
        <w:t xml:space="preserve">What would the impact of any changes be on the responsibility to </w:t>
      </w:r>
      <w:r w:rsidR="0044713C" w:rsidRPr="00F8772E">
        <w:rPr>
          <w:b/>
        </w:rPr>
        <w:t xml:space="preserve">prevent and </w:t>
      </w:r>
      <w:r w:rsidRPr="00F8772E">
        <w:rPr>
          <w:b/>
        </w:rPr>
        <w:t>minimise harm from gambling?</w:t>
      </w:r>
    </w:p>
    <w:p w:rsidR="00A70DA5" w:rsidRPr="00F8772E" w:rsidRDefault="006E2659" w:rsidP="00A70DA5">
      <w:pPr>
        <w:pStyle w:val="Bullet"/>
      </w:pPr>
      <w:r w:rsidRPr="00F8772E">
        <w:rPr>
          <w:b/>
        </w:rPr>
        <w:t>Do</w:t>
      </w:r>
      <w:r w:rsidR="00A70DA5" w:rsidRPr="00F8772E">
        <w:rPr>
          <w:b/>
        </w:rPr>
        <w:t xml:space="preserve"> the provisions in the Act </w:t>
      </w:r>
      <w:r w:rsidRPr="00F8772E">
        <w:rPr>
          <w:b/>
        </w:rPr>
        <w:t>go far enough in ensuring funds to communities are maximised?</w:t>
      </w:r>
    </w:p>
    <w:p w:rsidR="00FF2C97" w:rsidRDefault="00FF2C97" w:rsidP="00F45338">
      <w:pPr>
        <w:pStyle w:val="Heading2"/>
      </w:pPr>
      <w:bookmarkStart w:id="16" w:name="_Toc453068863"/>
      <w:r>
        <w:t>The role of local government through local venue policies</w:t>
      </w:r>
      <w:bookmarkEnd w:id="16"/>
    </w:p>
    <w:p w:rsidR="00FF2C97" w:rsidRDefault="00C02B87" w:rsidP="00FF2C97">
      <w:r>
        <w:t>One of the purposes of the Gambling Act is to facilitate community invo</w:t>
      </w:r>
      <w:r w:rsidR="00FD6B84">
        <w:t xml:space="preserve">lvement in decisions about the provision of gambling. Local </w:t>
      </w:r>
      <w:r w:rsidR="00A66AB0">
        <w:t xml:space="preserve">class 4 </w:t>
      </w:r>
      <w:r w:rsidR="00FD6B84">
        <w:t>venue policies allow councils and their communities the opportunity to have a say in where class 4 venues</w:t>
      </w:r>
      <w:r w:rsidR="00AE6DD5">
        <w:t xml:space="preserve"> are located in their districts, and whether more gaming machines and/or venues can be established. </w:t>
      </w:r>
    </w:p>
    <w:p w:rsidR="00F0400A" w:rsidRDefault="00A66AB0" w:rsidP="00FF2C97">
      <w:r>
        <w:t>Class 4 v</w:t>
      </w:r>
      <w:r w:rsidR="00FD6B84">
        <w:t>enue policies</w:t>
      </w:r>
      <w:r w:rsidR="00FF2C97">
        <w:t xml:space="preserve"> </w:t>
      </w:r>
      <w:r w:rsidR="00FD6B84">
        <w:t>vary across the 67 different councils (regional councils are not required to have venue policies)</w:t>
      </w:r>
      <w:r w:rsidR="001173B6">
        <w:t>, and can reflect differences between communities.</w:t>
      </w:r>
      <w:r w:rsidR="00FF2C97">
        <w:t xml:space="preserve"> </w:t>
      </w:r>
      <w:r w:rsidR="00AC1328">
        <w:t xml:space="preserve">For example, some councils do not allow any new venues to be established in their districts, whereas other allow new venues, but only in certain areas. </w:t>
      </w:r>
    </w:p>
    <w:p w:rsidR="005C03FB" w:rsidRDefault="005C03FB" w:rsidP="005C03FB">
      <w:r>
        <w:t xml:space="preserve">Councils must review their </w:t>
      </w:r>
      <w:r w:rsidR="00A66AB0">
        <w:t xml:space="preserve">class 4 </w:t>
      </w:r>
      <w:r>
        <w:t xml:space="preserve">venue policies every three years. The review process </w:t>
      </w:r>
      <w:r w:rsidR="005D6A3E">
        <w:t xml:space="preserve">provides the opportunity for the community to provide information </w:t>
      </w:r>
      <w:r w:rsidR="000C3A74">
        <w:t xml:space="preserve">to the council </w:t>
      </w:r>
      <w:r w:rsidR="005D6A3E">
        <w:t>on how gambling and the councils’</w:t>
      </w:r>
      <w:r w:rsidR="00630574">
        <w:t xml:space="preserve"> venue policy are</w:t>
      </w:r>
      <w:r w:rsidR="005D6A3E">
        <w:t xml:space="preserve"> </w:t>
      </w:r>
      <w:r w:rsidR="00630574">
        <w:t>affecting</w:t>
      </w:r>
      <w:r w:rsidR="005D6A3E">
        <w:t xml:space="preserve"> the district. This could be information about the benefits from grants to community groups, or about gambling-related harm. </w:t>
      </w:r>
    </w:p>
    <w:p w:rsidR="00A653DD" w:rsidRPr="00D95928" w:rsidRDefault="00B60E59" w:rsidP="00A653DD">
      <w:r>
        <w:lastRenderedPageBreak/>
        <w:t>Under c</w:t>
      </w:r>
      <w:r w:rsidR="00A653DD">
        <w:t xml:space="preserve">lass 4 venue policies as at 2013, 64 per cent of councils allowed new class 4 venues and gaming machines, with 36 per cent allowing no new venues or gaming machines. Councils have to update their venue policies every three years. Councils last reviewed their policies in 2013, and many are currently going through the process of reviewing their policies for 2016. </w:t>
      </w:r>
    </w:p>
    <w:p w:rsidR="00FF2C97" w:rsidRDefault="001D61CE" w:rsidP="00FF2C97">
      <w:r>
        <w:t xml:space="preserve">A council must also consider whether to include a relocation policy, but it is not mandatory. </w:t>
      </w:r>
      <w:r w:rsidR="00AC1328">
        <w:t xml:space="preserve">About half of all councils have </w:t>
      </w:r>
      <w:r>
        <w:t xml:space="preserve">a </w:t>
      </w:r>
      <w:r w:rsidR="00AC1328">
        <w:t>r</w:t>
      </w:r>
      <w:r w:rsidR="00E946D4">
        <w:t xml:space="preserve">elocation policy, which sets out if and when a council will grant consent to a venue to move to a new location, where the venue already holds a class 4 licence. For example, if a class 4 venue operator rents a building, and the landlord does not renew the lease, the venue operator will need to move to a new venue. If a council has a relocation policy, the venue operator can move to a new venue in accordance with the policy. If the council does not have a relocation policy, the venue operator </w:t>
      </w:r>
      <w:r w:rsidR="00251132">
        <w:t>may not be able to</w:t>
      </w:r>
      <w:r w:rsidR="00E946D4">
        <w:t xml:space="preserve"> move to a new venue and would have to cease operat</w:t>
      </w:r>
      <w:r w:rsidR="000C3A74">
        <w:t>ing</w:t>
      </w:r>
      <w:r w:rsidR="00E946D4">
        <w:t xml:space="preserve"> as a class 4 venue.</w:t>
      </w:r>
    </w:p>
    <w:p w:rsidR="00FF2C97" w:rsidRPr="00792E31" w:rsidRDefault="00FF2C97" w:rsidP="00FF2C97">
      <w:pPr>
        <w:rPr>
          <w:b/>
        </w:rPr>
      </w:pPr>
      <w:r>
        <w:rPr>
          <w:b/>
        </w:rPr>
        <w:t>Questions:</w:t>
      </w:r>
    </w:p>
    <w:p w:rsidR="007C4E6E" w:rsidRPr="00F8772E" w:rsidRDefault="007C4E6E" w:rsidP="00052542">
      <w:pPr>
        <w:pStyle w:val="Bullet"/>
        <w:rPr>
          <w:b/>
        </w:rPr>
      </w:pPr>
      <w:r w:rsidRPr="00F8772E">
        <w:rPr>
          <w:b/>
        </w:rPr>
        <w:t xml:space="preserve">What should the role of local authorities </w:t>
      </w:r>
      <w:r w:rsidR="00F8772E" w:rsidRPr="00F8772E">
        <w:rPr>
          <w:b/>
        </w:rPr>
        <w:t xml:space="preserve">be </w:t>
      </w:r>
      <w:r w:rsidRPr="00F8772E">
        <w:rPr>
          <w:b/>
        </w:rPr>
        <w:t>in balancing the benefits of class 4 funding to their communities with the potential negative impacts?</w:t>
      </w:r>
    </w:p>
    <w:p w:rsidR="00052542" w:rsidRPr="00F8772E" w:rsidRDefault="00FF2C97" w:rsidP="00052542">
      <w:pPr>
        <w:pStyle w:val="Bullet"/>
        <w:rPr>
          <w:b/>
        </w:rPr>
      </w:pPr>
      <w:r w:rsidRPr="00F8772E">
        <w:rPr>
          <w:b/>
        </w:rPr>
        <w:t>Are there any requi</w:t>
      </w:r>
      <w:r w:rsidR="000452A6" w:rsidRPr="00F8772E">
        <w:rPr>
          <w:b/>
        </w:rPr>
        <w:t>rements in the Gambling</w:t>
      </w:r>
      <w:r w:rsidRPr="00F8772E">
        <w:rPr>
          <w:b/>
        </w:rPr>
        <w:t xml:space="preserve"> </w:t>
      </w:r>
      <w:r w:rsidR="0062152F" w:rsidRPr="00F8772E">
        <w:rPr>
          <w:b/>
        </w:rPr>
        <w:t xml:space="preserve">Act </w:t>
      </w:r>
      <w:r w:rsidRPr="00F8772E">
        <w:rPr>
          <w:b/>
        </w:rPr>
        <w:t>related to venue policies that should be changed? If so, which requirements?</w:t>
      </w:r>
      <w:r w:rsidR="00052542" w:rsidRPr="00F8772E">
        <w:rPr>
          <w:b/>
        </w:rPr>
        <w:t xml:space="preserve"> </w:t>
      </w:r>
    </w:p>
    <w:p w:rsidR="00052542" w:rsidRPr="00F8772E" w:rsidRDefault="00052542" w:rsidP="00052542">
      <w:pPr>
        <w:pStyle w:val="Bullet"/>
        <w:rPr>
          <w:b/>
        </w:rPr>
      </w:pPr>
      <w:r w:rsidRPr="00F8772E">
        <w:rPr>
          <w:b/>
        </w:rPr>
        <w:t xml:space="preserve">Is requiring councils </w:t>
      </w:r>
      <w:r w:rsidR="006F3F33" w:rsidRPr="00F8772E">
        <w:rPr>
          <w:b/>
        </w:rPr>
        <w:t>to review</w:t>
      </w:r>
      <w:r w:rsidRPr="00F8772E">
        <w:rPr>
          <w:b/>
        </w:rPr>
        <w:t xml:space="preserve"> their venue policie</w:t>
      </w:r>
      <w:r w:rsidR="00D84A9D" w:rsidRPr="00F8772E">
        <w:rPr>
          <w:b/>
        </w:rPr>
        <w:t xml:space="preserve">s every three years </w:t>
      </w:r>
      <w:r w:rsidR="006F3F33" w:rsidRPr="00F8772E">
        <w:rPr>
          <w:b/>
        </w:rPr>
        <w:t xml:space="preserve">a good policy? Should there be more </w:t>
      </w:r>
      <w:r w:rsidR="00B60E59" w:rsidRPr="00F8772E">
        <w:rPr>
          <w:b/>
        </w:rPr>
        <w:t xml:space="preserve"> or less </w:t>
      </w:r>
      <w:r w:rsidR="006F3F33" w:rsidRPr="00F8772E">
        <w:rPr>
          <w:b/>
        </w:rPr>
        <w:t>time between reviews?</w:t>
      </w:r>
    </w:p>
    <w:p w:rsidR="00FF2C97" w:rsidRPr="00F8772E" w:rsidRDefault="00FF2C97" w:rsidP="00FF2C97">
      <w:pPr>
        <w:pStyle w:val="Bullet"/>
        <w:rPr>
          <w:b/>
        </w:rPr>
      </w:pPr>
      <w:r w:rsidRPr="00F8772E">
        <w:rPr>
          <w:b/>
        </w:rPr>
        <w:t xml:space="preserve">How have local venue policies impacted on both problem gambling and </w:t>
      </w:r>
      <w:r w:rsidR="004E4E36" w:rsidRPr="00F8772E">
        <w:rPr>
          <w:b/>
        </w:rPr>
        <w:t xml:space="preserve">the sustainability of </w:t>
      </w:r>
      <w:r w:rsidRPr="00F8772E">
        <w:rPr>
          <w:b/>
        </w:rPr>
        <w:t>community grants from class 4 gambling?</w:t>
      </w:r>
    </w:p>
    <w:p w:rsidR="00961513" w:rsidRPr="00F8772E" w:rsidRDefault="007C4E6E" w:rsidP="00F45338">
      <w:pPr>
        <w:pStyle w:val="Heading2"/>
      </w:pPr>
      <w:bookmarkStart w:id="17" w:name="_Toc453068864"/>
      <w:r w:rsidRPr="00F8772E">
        <w:t xml:space="preserve">The Department’s regulatory functions and the </w:t>
      </w:r>
      <w:r w:rsidR="009F70BB" w:rsidRPr="00F8772E">
        <w:t>cost of regulating gambling</w:t>
      </w:r>
      <w:bookmarkEnd w:id="17"/>
    </w:p>
    <w:p w:rsidR="00027B53" w:rsidRDefault="00027B53" w:rsidP="00027B53">
      <w:r w:rsidRPr="00F8772E">
        <w:t xml:space="preserve">The Department </w:t>
      </w:r>
      <w:r w:rsidR="0061624D" w:rsidRPr="00F8772E">
        <w:t xml:space="preserve">has </w:t>
      </w:r>
      <w:r w:rsidRPr="00F8772E">
        <w:t xml:space="preserve">responsibility for regulating the class 4 </w:t>
      </w:r>
      <w:r w:rsidR="0061624D" w:rsidRPr="00F8772E">
        <w:t>environment</w:t>
      </w:r>
      <w:r w:rsidRPr="00F8772E">
        <w:t xml:space="preserve"> under the</w:t>
      </w:r>
      <w:r>
        <w:t xml:space="preserve"> </w:t>
      </w:r>
      <w:r w:rsidR="0061624D">
        <w:t xml:space="preserve">Gambling </w:t>
      </w:r>
      <w:r>
        <w:t xml:space="preserve">Act and its associated regulations. </w:t>
      </w:r>
      <w:r w:rsidRPr="004167FC">
        <w:t xml:space="preserve">This includes regulating </w:t>
      </w:r>
      <w:r w:rsidR="0061624D">
        <w:t xml:space="preserve">the non-club sector, comprising </w:t>
      </w:r>
      <w:r w:rsidRPr="004167FC">
        <w:t xml:space="preserve">38 </w:t>
      </w:r>
      <w:r w:rsidR="00A66AB0">
        <w:t xml:space="preserve">non-club </w:t>
      </w:r>
      <w:r w:rsidRPr="004167FC">
        <w:t xml:space="preserve">societies, about </w:t>
      </w:r>
      <w:r w:rsidR="00FA0340">
        <w:t>960</w:t>
      </w:r>
      <w:r w:rsidRPr="004167FC">
        <w:t xml:space="preserve"> non-club venues and $261.9 million in grant funding (in 2014/15).</w:t>
      </w:r>
      <w:r>
        <w:t xml:space="preserve"> </w:t>
      </w:r>
      <w:r w:rsidR="00140D7D">
        <w:t>R</w:t>
      </w:r>
      <w:r>
        <w:t>egulatory activities include:</w:t>
      </w:r>
    </w:p>
    <w:p w:rsidR="00027B53" w:rsidRDefault="00A66AB0" w:rsidP="00027B53">
      <w:pPr>
        <w:pStyle w:val="Bullet"/>
      </w:pPr>
      <w:r>
        <w:t>Non-club s</w:t>
      </w:r>
      <w:r w:rsidR="00027B53">
        <w:t xml:space="preserve">ocieties have to apply to the Department for a gambling licence. </w:t>
      </w:r>
      <w:r w:rsidR="00222302">
        <w:t>Currently a</w:t>
      </w:r>
      <w:r w:rsidR="00027B53">
        <w:t xml:space="preserve"> society must re-apply for a licence every year. </w:t>
      </w:r>
    </w:p>
    <w:p w:rsidR="00027B53" w:rsidRDefault="00027B53" w:rsidP="00027B53">
      <w:pPr>
        <w:pStyle w:val="Bullet"/>
      </w:pPr>
      <w:r>
        <w:t xml:space="preserve">The Department monitors the amount of funds </w:t>
      </w:r>
      <w:r w:rsidR="00A66AB0">
        <w:t xml:space="preserve">non-club </w:t>
      </w:r>
      <w:r>
        <w:t xml:space="preserve">societies return to communities to check that it </w:t>
      </w:r>
      <w:r w:rsidR="00953A2B">
        <w:t>reaches</w:t>
      </w:r>
      <w:r>
        <w:t xml:space="preserve"> the minimum required under regulation</w:t>
      </w:r>
      <w:r w:rsidR="00953A2B">
        <w:t>s</w:t>
      </w:r>
      <w:r>
        <w:t>.</w:t>
      </w:r>
    </w:p>
    <w:p w:rsidR="00027B53" w:rsidRDefault="00027B53" w:rsidP="00027B53">
      <w:pPr>
        <w:pStyle w:val="Bullet"/>
      </w:pPr>
      <w:r>
        <w:t xml:space="preserve">Gambling inspectors inspect venues to check they are operating according to the </w:t>
      </w:r>
      <w:r w:rsidR="0061624D">
        <w:t xml:space="preserve">Gambling </w:t>
      </w:r>
      <w:r>
        <w:t>Act, including the venue’s responsibilities around harm minimisation.</w:t>
      </w:r>
    </w:p>
    <w:p w:rsidR="00027B53" w:rsidRDefault="00027B53" w:rsidP="00027B53">
      <w:r>
        <w:t xml:space="preserve">Other regulatory activities include efforts to reduce theft and fraud, minimise harm from gambling and maximise returns to the community. </w:t>
      </w:r>
    </w:p>
    <w:p w:rsidR="00870E3E" w:rsidRDefault="00027B53" w:rsidP="00961513">
      <w:r w:rsidRPr="004167FC">
        <w:lastRenderedPageBreak/>
        <w:t xml:space="preserve">The cost of regulating the non-club sector is </w:t>
      </w:r>
      <w:r w:rsidR="007C4E6E" w:rsidRPr="007C4E6E">
        <w:t>approximately</w:t>
      </w:r>
      <w:r w:rsidRPr="007C4E6E">
        <w:t xml:space="preserve"> $14 million per annum </w:t>
      </w:r>
      <w:r w:rsidRPr="004167FC">
        <w:t xml:space="preserve">(GST exclusive). </w:t>
      </w:r>
      <w:r w:rsidR="00710B17">
        <w:t>These costs</w:t>
      </w:r>
      <w:r w:rsidR="00AE5A59">
        <w:t xml:space="preserve"> are met </w:t>
      </w:r>
      <w:r w:rsidR="00222302">
        <w:t>b</w:t>
      </w:r>
      <w:r w:rsidR="00AE5A59">
        <w:t>y char</w:t>
      </w:r>
      <w:r w:rsidR="00710B17">
        <w:t>ging fees to gambling operators, which</w:t>
      </w:r>
      <w:r w:rsidR="00EC5896">
        <w:t xml:space="preserve"> </w:t>
      </w:r>
      <w:r w:rsidR="00524A34">
        <w:t xml:space="preserve">amount to </w:t>
      </w:r>
      <w:r w:rsidR="0074224D">
        <w:t xml:space="preserve">approximately </w:t>
      </w:r>
      <w:r w:rsidR="00524A34">
        <w:t>3 per c</w:t>
      </w:r>
      <w:r w:rsidR="00953A2B">
        <w:t xml:space="preserve">ent of gaming machine </w:t>
      </w:r>
      <w:r w:rsidR="002E4AA6">
        <w:t>profits</w:t>
      </w:r>
      <w:r w:rsidR="00953A2B">
        <w:t xml:space="preserve"> </w:t>
      </w:r>
      <w:r w:rsidR="00524A34">
        <w:t>f</w:t>
      </w:r>
      <w:r w:rsidR="00953A2B">
        <w:t>rom</w:t>
      </w:r>
      <w:r w:rsidR="00524A34">
        <w:t xml:space="preserve"> non-club societies</w:t>
      </w:r>
      <w:r w:rsidR="00E14FA2">
        <w:t xml:space="preserve">. </w:t>
      </w:r>
      <w:r w:rsidR="00272C7B">
        <w:t xml:space="preserve">Two-thirds of the Department’s fees revenue comes from fees tied to the number of gaming </w:t>
      </w:r>
      <w:r w:rsidR="00710B17">
        <w:t>machines in the class 4</w:t>
      </w:r>
      <w:r w:rsidR="00272C7B">
        <w:t xml:space="preserve"> sector. </w:t>
      </w:r>
    </w:p>
    <w:p w:rsidR="00AE5A59" w:rsidRDefault="00116767" w:rsidP="00961513">
      <w:r>
        <w:t xml:space="preserve">Non-casino </w:t>
      </w:r>
      <w:r w:rsidR="00FE3301">
        <w:t>g</w:t>
      </w:r>
      <w:r w:rsidR="00AE5A59">
        <w:t xml:space="preserve">ambling fees increased </w:t>
      </w:r>
      <w:r w:rsidR="0061624D">
        <w:t>on 1 February 2016</w:t>
      </w:r>
      <w:r w:rsidR="00AE5A59">
        <w:t xml:space="preserve">. </w:t>
      </w:r>
      <w:r w:rsidR="00870E3E">
        <w:t xml:space="preserve">Prior to this, </w:t>
      </w:r>
      <w:r w:rsidR="00272C7B">
        <w:t xml:space="preserve">fees had not been reviewed since 2007. When the fees were set </w:t>
      </w:r>
      <w:r w:rsidR="00BE1769">
        <w:t>on 1 February 2008</w:t>
      </w:r>
      <w:r w:rsidR="00272C7B">
        <w:t xml:space="preserve">, </w:t>
      </w:r>
      <w:r w:rsidR="00870E3E">
        <w:t xml:space="preserve">it was assumed </w:t>
      </w:r>
      <w:r w:rsidR="00272C7B">
        <w:t xml:space="preserve">the number of gaming machines would </w:t>
      </w:r>
      <w:r w:rsidR="00870E3E">
        <w:t xml:space="preserve">not </w:t>
      </w:r>
      <w:r w:rsidR="00272C7B">
        <w:t xml:space="preserve">reduce </w:t>
      </w:r>
      <w:r w:rsidR="00F856CA">
        <w:t>below approximately 20,000. A</w:t>
      </w:r>
      <w:r w:rsidR="00272C7B">
        <w:t xml:space="preserve">t 30 March 2016, there </w:t>
      </w:r>
      <w:r w:rsidR="000C3A74">
        <w:t>were</w:t>
      </w:r>
      <w:r w:rsidR="00272C7B">
        <w:t xml:space="preserve"> </w:t>
      </w:r>
      <w:r w:rsidR="00F856CA">
        <w:t>16,274 gaming machines oper</w:t>
      </w:r>
      <w:r w:rsidR="00870E3E">
        <w:t>ating in the class 4 sector. This has</w:t>
      </w:r>
      <w:r w:rsidR="00F856CA">
        <w:t xml:space="preserve"> resu</w:t>
      </w:r>
      <w:r w:rsidR="00947108">
        <w:t>lt</w:t>
      </w:r>
      <w:r w:rsidR="00870E3E">
        <w:t>ed in the</w:t>
      </w:r>
      <w:r w:rsidR="00947108">
        <w:t xml:space="preserve"> revenue from gaming machines </w:t>
      </w:r>
      <w:r w:rsidR="00870E3E">
        <w:t>decreasing</w:t>
      </w:r>
      <w:r w:rsidR="00947108">
        <w:t xml:space="preserve"> by 20 per cent since 2008. This h</w:t>
      </w:r>
      <w:r w:rsidR="00E14FA2">
        <w:t>as meant that the Department had</w:t>
      </w:r>
      <w:r w:rsidR="00947108">
        <w:t xml:space="preserve"> been under-recovering </w:t>
      </w:r>
      <w:r w:rsidR="000C3A74">
        <w:t>its</w:t>
      </w:r>
      <w:r w:rsidR="00947108">
        <w:t xml:space="preserve"> costs of regu</w:t>
      </w:r>
      <w:r w:rsidR="00E14FA2">
        <w:t xml:space="preserve">lating class 4 gambling, </w:t>
      </w:r>
      <w:r w:rsidR="000C3A74">
        <w:t>this under recovery has</w:t>
      </w:r>
      <w:r w:rsidR="00947108">
        <w:t xml:space="preserve"> led to a deficit in the </w:t>
      </w:r>
      <w:r w:rsidR="0061624D">
        <w:t xml:space="preserve">Department’s </w:t>
      </w:r>
      <w:r w:rsidR="00947108">
        <w:t xml:space="preserve">gambling memorandum account of </w:t>
      </w:r>
      <w:r w:rsidR="00947108" w:rsidRPr="00FA4044">
        <w:t>$12.9 million at 30 June 2015.</w:t>
      </w:r>
      <w:r w:rsidR="00C533AF">
        <w:t xml:space="preserve"> </w:t>
      </w:r>
    </w:p>
    <w:p w:rsidR="00947108" w:rsidRDefault="00947108" w:rsidP="00961513">
      <w:r>
        <w:t xml:space="preserve">The </w:t>
      </w:r>
      <w:r w:rsidR="0061624D">
        <w:t xml:space="preserve">recent </w:t>
      </w:r>
      <w:proofErr w:type="gramStart"/>
      <w:r>
        <w:t xml:space="preserve">increase in fees addresses </w:t>
      </w:r>
      <w:r w:rsidR="0061624D">
        <w:t xml:space="preserve">the </w:t>
      </w:r>
      <w:r>
        <w:t>Department’s operating deficit and reduce</w:t>
      </w:r>
      <w:proofErr w:type="gramEnd"/>
      <w:r>
        <w:t xml:space="preserve"> </w:t>
      </w:r>
      <w:r w:rsidR="00027B53">
        <w:t>the deficit in the memorandum account. However, machine numbers are still decreasing, and the l</w:t>
      </w:r>
      <w:r w:rsidR="0074224D">
        <w:t>ong-term sustainability of a</w:t>
      </w:r>
      <w:r w:rsidR="00027B53">
        <w:t xml:space="preserve"> funding model </w:t>
      </w:r>
      <w:r w:rsidR="0074224D">
        <w:t>based on gaming machine numbers</w:t>
      </w:r>
      <w:r w:rsidR="00027B53">
        <w:t xml:space="preserve"> remains questionable. There are also other cost pressures facing the Department, including:</w:t>
      </w:r>
    </w:p>
    <w:p w:rsidR="00CF2A9D" w:rsidRDefault="00CF2A9D" w:rsidP="00CF2A9D">
      <w:pPr>
        <w:pStyle w:val="Bullet"/>
      </w:pPr>
      <w:r>
        <w:t>the operation and maintenance of the Electronic Monitoring System for class 4 gaming machines;</w:t>
      </w:r>
    </w:p>
    <w:p w:rsidR="00CF2A9D" w:rsidRDefault="00CF2A9D" w:rsidP="00CF2A9D">
      <w:pPr>
        <w:pStyle w:val="Bullet"/>
      </w:pPr>
      <w:r>
        <w:t>development and depreciation costs for the Integrated Gambling Platform to assist with regulating the industry; and</w:t>
      </w:r>
    </w:p>
    <w:p w:rsidR="00CF2A9D" w:rsidRDefault="00CF2A9D" w:rsidP="00CF2A9D">
      <w:pPr>
        <w:pStyle w:val="Bullet"/>
      </w:pPr>
      <w:r>
        <w:t xml:space="preserve">general cost pressures, </w:t>
      </w:r>
      <w:r w:rsidR="0061624D">
        <w:t>Departmental</w:t>
      </w:r>
      <w:r>
        <w:t xml:space="preserve"> overheads and capital charges. </w:t>
      </w:r>
    </w:p>
    <w:p w:rsidR="00BF1FF1" w:rsidRPr="00A069C9" w:rsidRDefault="00D5550D" w:rsidP="00806560">
      <w:pPr>
        <w:rPr>
          <w:b/>
        </w:rPr>
      </w:pPr>
      <w:r>
        <w:rPr>
          <w:b/>
        </w:rPr>
        <w:t>Questions</w:t>
      </w:r>
      <w:r w:rsidR="00121325">
        <w:rPr>
          <w:b/>
        </w:rPr>
        <w:t>:</w:t>
      </w:r>
    </w:p>
    <w:p w:rsidR="007C4E6E" w:rsidRPr="00F8772E" w:rsidRDefault="007C4E6E" w:rsidP="00A069C9">
      <w:pPr>
        <w:pStyle w:val="Bullet"/>
        <w:rPr>
          <w:b/>
        </w:rPr>
      </w:pPr>
      <w:r w:rsidRPr="00F8772E">
        <w:rPr>
          <w:b/>
        </w:rPr>
        <w:t>What influence do the Department’s regulatory functions and operational policies have on the sustainability of funding to communities?</w:t>
      </w:r>
    </w:p>
    <w:p w:rsidR="009A4692" w:rsidRDefault="00BF1FF1" w:rsidP="00A069C9">
      <w:pPr>
        <w:pStyle w:val="Bullet"/>
        <w:rPr>
          <w:b/>
        </w:rPr>
      </w:pPr>
      <w:r w:rsidRPr="00A069C9">
        <w:rPr>
          <w:b/>
        </w:rPr>
        <w:t>Do y</w:t>
      </w:r>
      <w:r w:rsidR="00121325" w:rsidRPr="00A069C9">
        <w:rPr>
          <w:b/>
        </w:rPr>
        <w:t>ou think the cost of regulating the class 4 sector is</w:t>
      </w:r>
      <w:r w:rsidRPr="00A069C9">
        <w:rPr>
          <w:b/>
        </w:rPr>
        <w:t xml:space="preserve"> reasonable? </w:t>
      </w:r>
    </w:p>
    <w:p w:rsidR="00BF1FF1" w:rsidRPr="00A069C9" w:rsidRDefault="00806560" w:rsidP="00A069C9">
      <w:pPr>
        <w:pStyle w:val="Bullet"/>
        <w:rPr>
          <w:b/>
        </w:rPr>
      </w:pPr>
      <w:r w:rsidRPr="00A069C9">
        <w:rPr>
          <w:b/>
        </w:rPr>
        <w:t>Are there ways of effectively regulating the sector at less cost</w:t>
      </w:r>
      <w:r w:rsidR="00953A2B">
        <w:rPr>
          <w:b/>
        </w:rPr>
        <w:t>?</w:t>
      </w:r>
    </w:p>
    <w:p w:rsidR="002D5A7A" w:rsidRDefault="00BF1FF1" w:rsidP="006066CD">
      <w:pPr>
        <w:pStyle w:val="Bullet"/>
        <w:rPr>
          <w:b/>
        </w:rPr>
      </w:pPr>
      <w:r w:rsidRPr="00A069C9">
        <w:rPr>
          <w:b/>
        </w:rPr>
        <w:t>What are</w:t>
      </w:r>
      <w:r w:rsidR="00121325" w:rsidRPr="00A069C9">
        <w:rPr>
          <w:b/>
        </w:rPr>
        <w:t>as should the regulator focus</w:t>
      </w:r>
      <w:r w:rsidRPr="00A069C9">
        <w:rPr>
          <w:b/>
        </w:rPr>
        <w:t xml:space="preserve"> on to reduce unwanted/illegal behaviour</w:t>
      </w:r>
      <w:r w:rsidR="00806560">
        <w:rPr>
          <w:b/>
        </w:rPr>
        <w:t xml:space="preserve"> and problem gambling rates</w:t>
      </w:r>
      <w:r w:rsidRPr="00A069C9">
        <w:rPr>
          <w:b/>
        </w:rPr>
        <w:t>?</w:t>
      </w:r>
    </w:p>
    <w:p w:rsidR="0074224D" w:rsidRPr="006066CD" w:rsidRDefault="0074224D" w:rsidP="006066CD">
      <w:pPr>
        <w:pStyle w:val="Bullet"/>
        <w:rPr>
          <w:b/>
        </w:rPr>
      </w:pPr>
      <w:r>
        <w:rPr>
          <w:b/>
        </w:rPr>
        <w:t>Are there more efficient methods of recovering costs from the class 4 sector than the current gaming machine-number based model?</w:t>
      </w:r>
    </w:p>
    <w:p w:rsidR="00027307" w:rsidRDefault="00027307" w:rsidP="00027307">
      <w:pPr>
        <w:pStyle w:val="Heading2"/>
      </w:pPr>
      <w:bookmarkStart w:id="18" w:name="_Toc453068865"/>
      <w:r>
        <w:t>Problem gambling</w:t>
      </w:r>
      <w:bookmarkEnd w:id="18"/>
    </w:p>
    <w:p w:rsidR="00027307" w:rsidRDefault="00B60E59" w:rsidP="00027307">
      <w:r>
        <w:t>N</w:t>
      </w:r>
      <w:r w:rsidR="00027307">
        <w:t>on-casino gaming machine participation decreased from 28</w:t>
      </w:r>
      <w:r w:rsidR="000C3A74">
        <w:t xml:space="preserve"> per cent</w:t>
      </w:r>
      <w:r w:rsidR="00027307">
        <w:t xml:space="preserve"> in 1990, to 18</w:t>
      </w:r>
      <w:r w:rsidR="000C3A74">
        <w:t xml:space="preserve"> per cent</w:t>
      </w:r>
      <w:r w:rsidR="00027307">
        <w:t xml:space="preserve"> in 2000, and 14</w:t>
      </w:r>
      <w:r w:rsidR="000C3A74">
        <w:t xml:space="preserve"> per cent</w:t>
      </w:r>
      <w:r w:rsidR="00027307">
        <w:t xml:space="preserve"> in 2012. Risk factors (weekly or more participation) for total continuous gambling activities (which include gaming machines) also decreased during this period from 18</w:t>
      </w:r>
      <w:r w:rsidR="000C3A74">
        <w:t>per cent</w:t>
      </w:r>
      <w:r w:rsidR="00027307">
        <w:t xml:space="preserve"> in 1991, to 10</w:t>
      </w:r>
      <w:r w:rsidR="000C3A74">
        <w:t xml:space="preserve"> per cent</w:t>
      </w:r>
      <w:r w:rsidR="00027307">
        <w:t xml:space="preserve"> in 1999, and 6</w:t>
      </w:r>
      <w:r w:rsidR="000C3A74">
        <w:t xml:space="preserve"> per cent</w:t>
      </w:r>
      <w:r w:rsidR="00027307">
        <w:t xml:space="preserve"> in 2012.</w:t>
      </w:r>
    </w:p>
    <w:p w:rsidR="00027307" w:rsidRDefault="00027307" w:rsidP="00027307">
      <w:r>
        <w:t>There was a reduction in annual participation on gaming machines for pubs from 2012 to 2013 (8.9</w:t>
      </w:r>
      <w:r w:rsidR="000C3A74">
        <w:t xml:space="preserve"> per cent</w:t>
      </w:r>
      <w:r>
        <w:t xml:space="preserve"> versus 11.5</w:t>
      </w:r>
      <w:r w:rsidR="000C3A74">
        <w:t xml:space="preserve"> per cent</w:t>
      </w:r>
      <w:r>
        <w:t xml:space="preserve">), but no change for clubs. There were no other changes up to 2014 for either pubs or clubs on monthly or annual participation. </w:t>
      </w:r>
    </w:p>
    <w:p w:rsidR="00027307" w:rsidRDefault="00027307" w:rsidP="00027307">
      <w:pPr>
        <w:pStyle w:val="Heading4"/>
      </w:pPr>
      <w:r>
        <w:lastRenderedPageBreak/>
        <w:t>Non-casino gaming machines</w:t>
      </w:r>
    </w:p>
    <w:p w:rsidR="00027307" w:rsidRDefault="00027307" w:rsidP="00027307">
      <w:r>
        <w:t>The harm associated with electronic gaming machines is higher than for most other forms of gambling. For example, the 2012 National Gambling Study found an odds ratio of 56.36 for the association of non-casino gaming machines and problem gambling compared to 4.39 for Lotto.  This means the risk of problem gambling is significantly higher for non-casino gaming machines than for Lotto.</w:t>
      </w:r>
      <w:r w:rsidRPr="0082077C">
        <w:t xml:space="preserve"> </w:t>
      </w:r>
      <w:r>
        <w:t>Approximately 14</w:t>
      </w:r>
      <w:r w:rsidR="004D7E8D">
        <w:t xml:space="preserve"> per cent</w:t>
      </w:r>
      <w:r>
        <w:t xml:space="preserve"> of adults (462,140 people) report having gambled on non-casino gaming machines. It is estimated that 12.2</w:t>
      </w:r>
      <w:r w:rsidR="004D7E8D">
        <w:t xml:space="preserve"> per cent</w:t>
      </w:r>
      <w:r>
        <w:t xml:space="preserve"> of adults gambled on pub machines (402,722 people) and 5.7</w:t>
      </w:r>
      <w:r w:rsidR="004D7E8D">
        <w:t xml:space="preserve"> per cent</w:t>
      </w:r>
      <w:r>
        <w:t xml:space="preserve"> (188,157) on club machines.  </w:t>
      </w:r>
    </w:p>
    <w:p w:rsidR="00027307" w:rsidRDefault="00027307" w:rsidP="00027307">
      <w:r>
        <w:t>In 2012, the prevalence of problem and moderate-risk gamblers amongst non-casino machine gamblers was 2.7</w:t>
      </w:r>
      <w:r w:rsidR="004D7E8D">
        <w:t xml:space="preserve"> per cent</w:t>
      </w:r>
      <w:r>
        <w:t xml:space="preserve"> (or 12,477 people) and 8.7</w:t>
      </w:r>
      <w:r w:rsidR="004D7E8D">
        <w:t xml:space="preserve"> per cent</w:t>
      </w:r>
      <w:r>
        <w:t xml:space="preserve"> (40,206 people) respectively. More recent results for 2014 indicate that electronic gaming machine gambling (casino, pub, club) increased the risk of developing gambling problems by 5 times. This suggests that the prevalence of moderate-risk and problem gambling associated with electronic machine gambling has not changed significantly since 2012. The specific prevalence results will be available later this year.</w:t>
      </w:r>
    </w:p>
    <w:p w:rsidR="00027307" w:rsidRPr="00622A85" w:rsidRDefault="00027307" w:rsidP="00027307">
      <w:r>
        <w:t xml:space="preserve">Figures for 2012/13, 2013/14, and 2014/15 indicate that approximately half of the number of people presenting to Ministry of Health-funded problem gambling intervention services for help identify </w:t>
      </w:r>
      <w:r w:rsidRPr="00622A85">
        <w:t>non-casino gaming machines as causing them</w:t>
      </w:r>
      <w:r>
        <w:t xml:space="preserve"> </w:t>
      </w:r>
      <w:r w:rsidRPr="00622A85">
        <w:t>problems.  This is by far the largest group of clients associated with a particular gambling mode</w:t>
      </w:r>
      <w:r>
        <w:t>, and has not changed significantly over this time period</w:t>
      </w:r>
      <w:r w:rsidRPr="00622A85">
        <w:t>.</w:t>
      </w:r>
    </w:p>
    <w:p w:rsidR="00027307" w:rsidRDefault="00027307" w:rsidP="00027307">
      <w:r w:rsidRPr="00693A64">
        <w:t>In 2015</w:t>
      </w:r>
      <w:r>
        <w:t>,</w:t>
      </w:r>
      <w:r w:rsidRPr="00693A64">
        <w:t xml:space="preserve"> gambling expenditure for non-casino gaming machines was $818 million.  Based on annual self-reported expenditure, estimates from the </w:t>
      </w:r>
      <w:r>
        <w:t xml:space="preserve">2012 and 2013 </w:t>
      </w:r>
      <w:r w:rsidRPr="00693A64">
        <w:t>National Gambling Study suggest that approximately 50</w:t>
      </w:r>
      <w:r w:rsidR="004D7E8D">
        <w:t xml:space="preserve"> per cent</w:t>
      </w:r>
      <w:r w:rsidRPr="00693A64">
        <w:t xml:space="preserve"> of total expenditure for this sector comes from the combined low risk/moderate/ problem gamblers, and approximately 30% of total expenditure comes from the combined moderate/problem gambling group. The figures for 2014 suggest these proportions have decreased slightly, however another year of data collection is required before this downward trend can be confirmed.</w:t>
      </w:r>
      <w:r w:rsidR="00116767">
        <w:rPr>
          <w:rStyle w:val="FootnoteReference"/>
        </w:rPr>
        <w:footnoteReference w:id="14"/>
      </w:r>
      <w:r>
        <w:t xml:space="preserve"> </w:t>
      </w:r>
    </w:p>
    <w:p w:rsidR="00027307" w:rsidRPr="006C05BA" w:rsidRDefault="00027307" w:rsidP="006C05BA">
      <w:pPr>
        <w:rPr>
          <w:b/>
          <w:bCs/>
        </w:rPr>
      </w:pPr>
      <w:r w:rsidRPr="006C05BA">
        <w:rPr>
          <w:b/>
          <w:bCs/>
        </w:rPr>
        <w:t>Questions:</w:t>
      </w:r>
    </w:p>
    <w:p w:rsidR="00027307" w:rsidRPr="009A4692" w:rsidRDefault="00116767" w:rsidP="00027307">
      <w:pPr>
        <w:pStyle w:val="Bullet"/>
      </w:pPr>
      <w:r>
        <w:rPr>
          <w:b/>
        </w:rPr>
        <w:t>What is your experience of any changes in harmful gambling behaviour over time?</w:t>
      </w:r>
    </w:p>
    <w:p w:rsidR="00027307" w:rsidRPr="00633176" w:rsidRDefault="00027307" w:rsidP="00027307">
      <w:pPr>
        <w:pStyle w:val="Bullet"/>
      </w:pPr>
      <w:r>
        <w:rPr>
          <w:b/>
        </w:rPr>
        <w:t>What is your view on the class 4 sector’s approach to problem gambling?</w:t>
      </w:r>
    </w:p>
    <w:p w:rsidR="00027307" w:rsidRPr="00A70DA5" w:rsidRDefault="00027307" w:rsidP="00027307">
      <w:pPr>
        <w:pStyle w:val="Bullet"/>
      </w:pPr>
      <w:r>
        <w:rPr>
          <w:b/>
        </w:rPr>
        <w:t xml:space="preserve">Do you have suggestions for how problem gambling could be reduced or better managed, </w:t>
      </w:r>
      <w:r w:rsidR="00B60E59">
        <w:rPr>
          <w:b/>
        </w:rPr>
        <w:t xml:space="preserve">i.e. </w:t>
      </w:r>
      <w:r>
        <w:rPr>
          <w:b/>
        </w:rPr>
        <w:t xml:space="preserve">how </w:t>
      </w:r>
      <w:r w:rsidR="00B60E59">
        <w:rPr>
          <w:b/>
        </w:rPr>
        <w:t xml:space="preserve">can both </w:t>
      </w:r>
      <w:r>
        <w:rPr>
          <w:b/>
        </w:rPr>
        <w:t>the legislation and practice (</w:t>
      </w:r>
      <w:r w:rsidR="00EC6800">
        <w:rPr>
          <w:b/>
        </w:rPr>
        <w:t>e.g</w:t>
      </w:r>
      <w:r>
        <w:rPr>
          <w:b/>
        </w:rPr>
        <w:t>. compliance procedures, good host responsibility measures) be improved?</w:t>
      </w:r>
    </w:p>
    <w:p w:rsidR="00027307" w:rsidRDefault="007C4E6E" w:rsidP="00027307">
      <w:pPr>
        <w:pStyle w:val="Heading2"/>
      </w:pPr>
      <w:bookmarkStart w:id="19" w:name="_Toc453068866"/>
      <w:r>
        <w:lastRenderedPageBreak/>
        <w:t>Non-club</w:t>
      </w:r>
      <w:r w:rsidR="00027307">
        <w:t xml:space="preserve"> class 4 gambling sector</w:t>
      </w:r>
      <w:bookmarkEnd w:id="19"/>
    </w:p>
    <w:p w:rsidR="00027307" w:rsidRDefault="00027307" w:rsidP="00027307">
      <w:r w:rsidRPr="00DC2A57">
        <w:t xml:space="preserve">The sector has declined since 2003 in terms of numbers of </w:t>
      </w:r>
      <w:r>
        <w:t xml:space="preserve">class 4 </w:t>
      </w:r>
      <w:r w:rsidRPr="00DC2A57">
        <w:t>societie</w:t>
      </w:r>
      <w:r>
        <w:t xml:space="preserve">s, venues and gaming machines. </w:t>
      </w:r>
      <w:r w:rsidRPr="00DC2A57">
        <w:t>Some say this has led to a mature</w:t>
      </w:r>
      <w:r>
        <w:t xml:space="preserve"> and efficient sector, with the passing of the Gambling Act 2003 driving significant efficiencies into the sector. For example, there is now more money being spent on fewer machines. The introduction of a minimum rate of return of funds back to communities also led to further efficiencies. Participation rates for gambling on gaming machines have also decreased. </w:t>
      </w:r>
    </w:p>
    <w:p w:rsidR="00027307" w:rsidRDefault="00027307" w:rsidP="00027307">
      <w:r>
        <w:t xml:space="preserve">There are some advantages to the current number and diversity of non-club societies. It provides a “grass roots” funding model that is responsive and well connected to community needs. Grant recipients have noted they appreciate the fast turnaround of grant applications, and the ability to seek funding from multiple societies. However, having 38 societies also means that the system needs to support the operational costs of multiple organisations, and there is potential for a number of societies to compete for high turnover venues. </w:t>
      </w:r>
    </w:p>
    <w:p w:rsidR="00027307" w:rsidRDefault="00027307" w:rsidP="00027307">
      <w:pPr>
        <w:rPr>
          <w:b/>
        </w:rPr>
      </w:pPr>
      <w:r>
        <w:rPr>
          <w:b/>
        </w:rPr>
        <w:t>Questions:</w:t>
      </w:r>
    </w:p>
    <w:p w:rsidR="00027307" w:rsidRDefault="00027307" w:rsidP="00027307">
      <w:pPr>
        <w:pStyle w:val="Bullet"/>
        <w:rPr>
          <w:b/>
        </w:rPr>
      </w:pPr>
      <w:r>
        <w:rPr>
          <w:b/>
        </w:rPr>
        <w:t xml:space="preserve">Do you think </w:t>
      </w:r>
      <w:r w:rsidRPr="00A069C9">
        <w:rPr>
          <w:b/>
        </w:rPr>
        <w:t xml:space="preserve">there </w:t>
      </w:r>
      <w:r w:rsidR="006C05BA">
        <w:rPr>
          <w:b/>
        </w:rPr>
        <w:t>are</w:t>
      </w:r>
      <w:r>
        <w:rPr>
          <w:b/>
        </w:rPr>
        <w:t xml:space="preserve"> </w:t>
      </w:r>
      <w:r w:rsidRPr="00A069C9">
        <w:rPr>
          <w:b/>
        </w:rPr>
        <w:t xml:space="preserve">an optimum number of </w:t>
      </w:r>
      <w:r w:rsidR="004E4E36">
        <w:rPr>
          <w:b/>
        </w:rPr>
        <w:t xml:space="preserve">non-club </w:t>
      </w:r>
      <w:r w:rsidRPr="00A069C9">
        <w:rPr>
          <w:b/>
        </w:rPr>
        <w:t xml:space="preserve">societies, venues and machines that would </w:t>
      </w:r>
      <w:r>
        <w:rPr>
          <w:b/>
        </w:rPr>
        <w:t>maximise</w:t>
      </w:r>
      <w:r w:rsidRPr="00A069C9">
        <w:rPr>
          <w:b/>
        </w:rPr>
        <w:t xml:space="preserve"> sustainable funds to the community, while minimising harm from gambling? What would this be?</w:t>
      </w:r>
    </w:p>
    <w:p w:rsidR="00027307" w:rsidRPr="00A069C9" w:rsidRDefault="00027307" w:rsidP="00027307">
      <w:pPr>
        <w:pStyle w:val="Bullet"/>
        <w:rPr>
          <w:b/>
        </w:rPr>
      </w:pPr>
      <w:r>
        <w:rPr>
          <w:b/>
        </w:rPr>
        <w:t xml:space="preserve">What criteria do you think should be considered to determine the optimum number of </w:t>
      </w:r>
      <w:r w:rsidR="004E4E36">
        <w:rPr>
          <w:b/>
        </w:rPr>
        <w:t xml:space="preserve">non-club </w:t>
      </w:r>
      <w:r>
        <w:rPr>
          <w:b/>
        </w:rPr>
        <w:t>societies?</w:t>
      </w:r>
    </w:p>
    <w:p w:rsidR="00027307" w:rsidRDefault="00027307" w:rsidP="00027307">
      <w:pPr>
        <w:pStyle w:val="Bullet"/>
        <w:rPr>
          <w:b/>
        </w:rPr>
      </w:pPr>
      <w:r w:rsidRPr="00027307">
        <w:rPr>
          <w:b/>
        </w:rPr>
        <w:t xml:space="preserve">What are the advantages and disadvantages of a larger </w:t>
      </w:r>
      <w:r w:rsidR="007C4E6E">
        <w:rPr>
          <w:b/>
        </w:rPr>
        <w:t xml:space="preserve">non-club </w:t>
      </w:r>
      <w:r w:rsidRPr="00027307">
        <w:rPr>
          <w:b/>
        </w:rPr>
        <w:t xml:space="preserve">sector versus a smaller </w:t>
      </w:r>
      <w:r w:rsidR="007C4E6E">
        <w:rPr>
          <w:b/>
        </w:rPr>
        <w:t xml:space="preserve">non-club </w:t>
      </w:r>
      <w:r w:rsidRPr="00027307">
        <w:rPr>
          <w:b/>
        </w:rPr>
        <w:t>sector?</w:t>
      </w:r>
    </w:p>
    <w:p w:rsidR="006837B7" w:rsidRPr="00027307" w:rsidRDefault="006837B7" w:rsidP="00027307">
      <w:pPr>
        <w:pStyle w:val="Bullet"/>
        <w:rPr>
          <w:b/>
        </w:rPr>
      </w:pPr>
      <w:r>
        <w:rPr>
          <w:b/>
        </w:rPr>
        <w:t>What are the advantages/disadvantages of large vs small non-club societies?</w:t>
      </w:r>
    </w:p>
    <w:p w:rsidR="00961513" w:rsidRDefault="00A66AB0" w:rsidP="00027307">
      <w:pPr>
        <w:pStyle w:val="Heading2"/>
      </w:pPr>
      <w:bookmarkStart w:id="20" w:name="_Toc453068867"/>
      <w:r w:rsidRPr="00EF1C57">
        <w:t>No</w:t>
      </w:r>
      <w:r>
        <w:t>n-club</w:t>
      </w:r>
      <w:r w:rsidR="0061624D">
        <w:t xml:space="preserve"> v</w:t>
      </w:r>
      <w:r w:rsidR="0080041B">
        <w:t>enues and the</w:t>
      </w:r>
      <w:r w:rsidR="0061624D">
        <w:t>ir</w:t>
      </w:r>
      <w:r w:rsidR="0080041B">
        <w:t xml:space="preserve"> relationships </w:t>
      </w:r>
      <w:r w:rsidR="00252C8D">
        <w:t xml:space="preserve">with </w:t>
      </w:r>
      <w:r w:rsidR="00C333EF">
        <w:t xml:space="preserve">non-club </w:t>
      </w:r>
      <w:r w:rsidR="00252C8D">
        <w:t>societies</w:t>
      </w:r>
      <w:bookmarkEnd w:id="20"/>
    </w:p>
    <w:p w:rsidR="001A25AD" w:rsidRDefault="001A25AD" w:rsidP="001A25AD">
      <w:r>
        <w:t xml:space="preserve">Along with machine numbers, </w:t>
      </w:r>
      <w:r w:rsidR="00A66AB0">
        <w:t xml:space="preserve">non-club </w:t>
      </w:r>
      <w:r>
        <w:t>venue numbers have de</w:t>
      </w:r>
      <w:r w:rsidR="00170A75">
        <w:t>creased significantly since the introduction of the Gambling Act in late 2003</w:t>
      </w:r>
      <w:r>
        <w:t xml:space="preserve">. </w:t>
      </w:r>
      <w:r w:rsidR="00170A75">
        <w:t>For instance, in June 2005</w:t>
      </w:r>
      <w:r>
        <w:t xml:space="preserve">, there were </w:t>
      </w:r>
      <w:r w:rsidR="00170A75">
        <w:t>1,801</w:t>
      </w:r>
      <w:r>
        <w:t xml:space="preserve"> </w:t>
      </w:r>
      <w:r w:rsidR="00A66AB0">
        <w:t xml:space="preserve">non-club </w:t>
      </w:r>
      <w:r>
        <w:t xml:space="preserve">venues in the sector. </w:t>
      </w:r>
      <w:r w:rsidR="00170A75">
        <w:t>T</w:t>
      </w:r>
      <w:r>
        <w:t xml:space="preserve">here are </w:t>
      </w:r>
      <w:r w:rsidR="00170A75">
        <w:t xml:space="preserve">now </w:t>
      </w:r>
      <w:r w:rsidR="007053A8">
        <w:t>961</w:t>
      </w:r>
      <w:r>
        <w:t xml:space="preserve">. Other factors have also impacted on the </w:t>
      </w:r>
      <w:r w:rsidR="00135E43">
        <w:t>decrease in venue numbers. For e</w:t>
      </w:r>
      <w:r>
        <w:t xml:space="preserve">xample, the banning of smoking in pubs and bars, the Sale and Supply of </w:t>
      </w:r>
      <w:r w:rsidR="0061624D">
        <w:t>Alcohol</w:t>
      </w:r>
      <w:r>
        <w:t xml:space="preserve"> Act 2012, and amended drink driving limits have had an impact on the </w:t>
      </w:r>
      <w:r w:rsidR="002D40EF">
        <w:t xml:space="preserve">wider </w:t>
      </w:r>
      <w:r>
        <w:t xml:space="preserve">hospitality sector. </w:t>
      </w:r>
    </w:p>
    <w:p w:rsidR="00583A9B" w:rsidRDefault="0074224D" w:rsidP="00961513">
      <w:r>
        <w:t xml:space="preserve">Non-club </w:t>
      </w:r>
      <w:r w:rsidR="00135E43">
        <w:t>s</w:t>
      </w:r>
      <w:r w:rsidR="00961513" w:rsidRPr="004167FC">
        <w:t>ocietie</w:t>
      </w:r>
      <w:r w:rsidR="00D55BC6">
        <w:t>s need venues to host their gaming machine</w:t>
      </w:r>
      <w:r w:rsidR="002D40EF">
        <w:t>s</w:t>
      </w:r>
      <w:r w:rsidR="00D55BC6">
        <w:t xml:space="preserve"> in order to generate net proceeds for distribution to communities</w:t>
      </w:r>
      <w:r w:rsidR="00961513" w:rsidRPr="004167FC">
        <w:t xml:space="preserve">. </w:t>
      </w:r>
      <w:r w:rsidR="00A66AB0">
        <w:t>Non-club v</w:t>
      </w:r>
      <w:r w:rsidR="003B5472">
        <w:t>enues that host gaming machines</w:t>
      </w:r>
      <w:r w:rsidR="00392279">
        <w:t xml:space="preserve"> are</w:t>
      </w:r>
      <w:r w:rsidR="003B5472">
        <w:t xml:space="preserve"> reimburse</w:t>
      </w:r>
      <w:r w:rsidR="00392279">
        <w:t>d</w:t>
      </w:r>
      <w:r w:rsidR="003B5472">
        <w:t xml:space="preserve"> for the cost of hosting </w:t>
      </w:r>
      <w:r w:rsidR="002D40EF">
        <w:t>them</w:t>
      </w:r>
      <w:r w:rsidR="003B5472">
        <w:t xml:space="preserve">. </w:t>
      </w:r>
      <w:r w:rsidR="00583A9B">
        <w:t xml:space="preserve">This system can create competition between </w:t>
      </w:r>
      <w:r w:rsidR="00A66AB0">
        <w:t xml:space="preserve">non-club </w:t>
      </w:r>
      <w:r w:rsidR="00583A9B">
        <w:t>societies for venues, espe</w:t>
      </w:r>
      <w:r w:rsidR="00CA22DA">
        <w:t xml:space="preserve">cially high turnover venues, </w:t>
      </w:r>
      <w:r w:rsidR="00392279">
        <w:t xml:space="preserve">as they </w:t>
      </w:r>
      <w:r w:rsidR="00CA22DA">
        <w:t xml:space="preserve">generate more funds for </w:t>
      </w:r>
      <w:r w:rsidR="00A66AB0">
        <w:t xml:space="preserve">non-club </w:t>
      </w:r>
      <w:r w:rsidR="00CA22DA">
        <w:t xml:space="preserve">societies to distribute. </w:t>
      </w:r>
      <w:r w:rsidR="00B745B5" w:rsidRPr="004167FC">
        <w:t>This can</w:t>
      </w:r>
      <w:r w:rsidR="00392279">
        <w:t>, in some cases,</w:t>
      </w:r>
      <w:r w:rsidR="00B5373E">
        <w:t xml:space="preserve"> </w:t>
      </w:r>
      <w:r w:rsidR="00B745B5" w:rsidRPr="004167FC">
        <w:t xml:space="preserve">result </w:t>
      </w:r>
      <w:r w:rsidR="00392279">
        <w:t xml:space="preserve">in </w:t>
      </w:r>
      <w:r w:rsidR="00B745B5" w:rsidRPr="004167FC">
        <w:t>risks of</w:t>
      </w:r>
      <w:r w:rsidR="003F332B">
        <w:t xml:space="preserve"> </w:t>
      </w:r>
      <w:r w:rsidR="004D7E8D">
        <w:t xml:space="preserve">venues </w:t>
      </w:r>
      <w:r w:rsidR="003F332B">
        <w:t>using venue market power to effect</w:t>
      </w:r>
      <w:r w:rsidR="00B745B5" w:rsidRPr="004167FC">
        <w:t xml:space="preserve"> ‘grant capture’</w:t>
      </w:r>
      <w:r w:rsidR="002D40EF">
        <w:t>,</w:t>
      </w:r>
      <w:r w:rsidR="00B745B5" w:rsidRPr="004167FC">
        <w:t xml:space="preserve"> or improper inducements to attract a venue.</w:t>
      </w:r>
      <w:r w:rsidR="00B5373E">
        <w:t xml:space="preserve"> </w:t>
      </w:r>
      <w:r w:rsidR="00EA2CBE">
        <w:t>For example</w:t>
      </w:r>
      <w:r w:rsidR="00A134BC">
        <w:t>,</w:t>
      </w:r>
      <w:r w:rsidR="00EA2CBE">
        <w:t xml:space="preserve"> a</w:t>
      </w:r>
      <w:r w:rsidR="006A34B7">
        <w:t xml:space="preserve"> </w:t>
      </w:r>
      <w:r w:rsidR="00A134BC">
        <w:t xml:space="preserve">venue hosting the gaming machines of a particular </w:t>
      </w:r>
      <w:r w:rsidR="00A66AB0">
        <w:t xml:space="preserve">non-club </w:t>
      </w:r>
      <w:r w:rsidR="00A134BC">
        <w:t xml:space="preserve">society may have expectations that the society will give grants to groups associated with the venue owner. </w:t>
      </w:r>
    </w:p>
    <w:p w:rsidR="00961513" w:rsidRDefault="002D40EF" w:rsidP="00961513">
      <w:r>
        <w:lastRenderedPageBreak/>
        <w:t>The Government</w:t>
      </w:r>
      <w:r w:rsidR="003B5472">
        <w:t xml:space="preserve"> recently agreed to a new </w:t>
      </w:r>
      <w:r w:rsidR="00A66AB0">
        <w:t xml:space="preserve">non-club </w:t>
      </w:r>
      <w:r w:rsidR="003B5472">
        <w:t>venue pay</w:t>
      </w:r>
      <w:r w:rsidR="00914DB1">
        <w:t>ment regime</w:t>
      </w:r>
      <w:r w:rsidR="00A37D64">
        <w:t xml:space="preserve">, which will be in operation from October 2016 </w:t>
      </w:r>
      <w:r>
        <w:t xml:space="preserve">and </w:t>
      </w:r>
      <w:r w:rsidR="00A37D64">
        <w:t xml:space="preserve">be based on commission. </w:t>
      </w:r>
      <w:r w:rsidR="009B6EF6">
        <w:t xml:space="preserve">The commission will be calculated as no more than 1.28 per cent of </w:t>
      </w:r>
      <w:r w:rsidR="003A2FBC">
        <w:t>venue</w:t>
      </w:r>
      <w:r>
        <w:t xml:space="preserve"> </w:t>
      </w:r>
      <w:r w:rsidR="009B6EF6">
        <w:t xml:space="preserve">turnover on a weekly basis, and not exceed </w:t>
      </w:r>
      <w:r w:rsidR="006837B7">
        <w:t>an</w:t>
      </w:r>
      <w:r w:rsidR="009B6EF6">
        <w:t xml:space="preserve"> annual limit of 16 per cent of </w:t>
      </w:r>
      <w:r>
        <w:t>gross gambling machine proceeds</w:t>
      </w:r>
      <w:r w:rsidR="003D5562">
        <w:t>,</w:t>
      </w:r>
      <w:r w:rsidR="009B6EF6">
        <w:t xml:space="preserve"> excluding GST, per </w:t>
      </w:r>
      <w:r w:rsidR="00A66AB0">
        <w:t xml:space="preserve">non-club </w:t>
      </w:r>
      <w:r w:rsidR="009B6EF6">
        <w:t xml:space="preserve">venue. </w:t>
      </w:r>
      <w:r w:rsidR="000610A1">
        <w:t xml:space="preserve">This model aims to be more fair and transparent, </w:t>
      </w:r>
      <w:r>
        <w:t xml:space="preserve">to </w:t>
      </w:r>
      <w:r w:rsidR="000610A1">
        <w:t>remove some of the issues around competition for venues</w:t>
      </w:r>
      <w:r w:rsidR="00392279">
        <w:t>, and is likely to reduce compliance costs</w:t>
      </w:r>
      <w:r w:rsidR="000610A1">
        <w:t xml:space="preserve">. </w:t>
      </w:r>
    </w:p>
    <w:p w:rsidR="007E2563" w:rsidRDefault="0086319C" w:rsidP="00961513">
      <w:r>
        <w:t>Some people have expressed concern that</w:t>
      </w:r>
      <w:r w:rsidR="007E2563">
        <w:t xml:space="preserve"> the new regime may incentivise </w:t>
      </w:r>
      <w:r w:rsidR="002D40EF">
        <w:t xml:space="preserve">some </w:t>
      </w:r>
      <w:r w:rsidR="00A66AB0">
        <w:t xml:space="preserve">non-club </w:t>
      </w:r>
      <w:r w:rsidR="007E2563">
        <w:t xml:space="preserve">venue operators to reduce or ignore their responsibilities with respect to prevention and minimisation of gambling harm. </w:t>
      </w:r>
      <w:r w:rsidR="007A0A16">
        <w:t xml:space="preserve">This is because the greater turnover a venue has, the more they get paid. Conversely, </w:t>
      </w:r>
      <w:r w:rsidR="00EE13BC">
        <w:t>other people consider</w:t>
      </w:r>
      <w:r w:rsidR="004E4823">
        <w:t xml:space="preserve"> that</w:t>
      </w:r>
      <w:r w:rsidR="00EE13BC">
        <w:t xml:space="preserve"> under</w:t>
      </w:r>
      <w:r w:rsidR="007A0A16">
        <w:t xml:space="preserve"> the new system</w:t>
      </w:r>
      <w:r w:rsidR="004E4823">
        <w:t>,</w:t>
      </w:r>
      <w:r w:rsidR="007A0A16">
        <w:t xml:space="preserve"> </w:t>
      </w:r>
      <w:r w:rsidR="00A66AB0">
        <w:t xml:space="preserve">non-club </w:t>
      </w:r>
      <w:r w:rsidR="007A0A16">
        <w:t xml:space="preserve">venues will be adequately funded to provide sufficient resources to increase supervision and manage their gaming environments better. </w:t>
      </w:r>
    </w:p>
    <w:p w:rsidR="00646D7D" w:rsidRPr="00646D7D" w:rsidRDefault="00D5550D" w:rsidP="00961513">
      <w:pPr>
        <w:rPr>
          <w:b/>
        </w:rPr>
      </w:pPr>
      <w:r>
        <w:rPr>
          <w:b/>
        </w:rPr>
        <w:t>Questions</w:t>
      </w:r>
      <w:r w:rsidR="00646D7D">
        <w:rPr>
          <w:b/>
        </w:rPr>
        <w:t>:</w:t>
      </w:r>
    </w:p>
    <w:p w:rsidR="009E6E7D" w:rsidRPr="009E6E7D" w:rsidRDefault="009E6E7D" w:rsidP="009E6E7D">
      <w:pPr>
        <w:pStyle w:val="Bullet"/>
        <w:rPr>
          <w:b/>
        </w:rPr>
      </w:pPr>
      <w:r w:rsidRPr="009E6E7D">
        <w:rPr>
          <w:b/>
        </w:rPr>
        <w:t>Do you think the relationship between venues and societies can create problems? If so, what problems and why?</w:t>
      </w:r>
    </w:p>
    <w:p w:rsidR="009E6E7D" w:rsidRPr="009E6E7D" w:rsidRDefault="009E6E7D" w:rsidP="009E6E7D">
      <w:pPr>
        <w:pStyle w:val="Bullet"/>
        <w:rPr>
          <w:b/>
        </w:rPr>
      </w:pPr>
      <w:r w:rsidRPr="009E6E7D">
        <w:rPr>
          <w:b/>
        </w:rPr>
        <w:t>Are there alternative approaches to the venue/society relationship that may reduce these problems?</w:t>
      </w:r>
    </w:p>
    <w:p w:rsidR="009E6E7D" w:rsidRDefault="00421EB4" w:rsidP="009E6E7D">
      <w:pPr>
        <w:pStyle w:val="Bullet"/>
        <w:rPr>
          <w:b/>
        </w:rPr>
      </w:pPr>
      <w:r>
        <w:rPr>
          <w:b/>
        </w:rPr>
        <w:t>Is competition for venues between societies desirable? Why</w:t>
      </w:r>
      <w:r w:rsidR="00C7379A">
        <w:rPr>
          <w:b/>
        </w:rPr>
        <w:t>?</w:t>
      </w:r>
    </w:p>
    <w:p w:rsidR="006A7519" w:rsidRPr="009E6E7D" w:rsidRDefault="006A7519" w:rsidP="009E6E7D">
      <w:pPr>
        <w:pStyle w:val="Bullet"/>
        <w:rPr>
          <w:b/>
        </w:rPr>
      </w:pPr>
      <w:r>
        <w:rPr>
          <w:b/>
        </w:rPr>
        <w:t>What changes in the commercial environment for venues may have implications for their ability to host class 4 gaming machines?</w:t>
      </w:r>
    </w:p>
    <w:p w:rsidR="00961513" w:rsidRDefault="007F65F5" w:rsidP="005B6A37">
      <w:pPr>
        <w:pStyle w:val="Heading2"/>
      </w:pPr>
      <w:bookmarkStart w:id="21" w:name="_Toc453068868"/>
      <w:r>
        <w:t>Clubs</w:t>
      </w:r>
      <w:bookmarkEnd w:id="21"/>
    </w:p>
    <w:p w:rsidR="006E1985" w:rsidRDefault="0038439B" w:rsidP="00961513">
      <w:r>
        <w:t>C</w:t>
      </w:r>
      <w:r w:rsidR="0088472F">
        <w:t>lub</w:t>
      </w:r>
      <w:r w:rsidR="002D40EF">
        <w:t xml:space="preserve"> </w:t>
      </w:r>
      <w:r w:rsidR="0088472F">
        <w:t>s</w:t>
      </w:r>
      <w:r w:rsidR="002D40EF">
        <w:t>ocieties</w:t>
      </w:r>
      <w:r w:rsidR="0088472F">
        <w:t xml:space="preserve"> are different to non-club societies</w:t>
      </w:r>
      <w:r w:rsidR="00392279">
        <w:t xml:space="preserve"> because they host their own machines</w:t>
      </w:r>
      <w:r w:rsidR="00CA5405">
        <w:t>. C</w:t>
      </w:r>
      <w:r>
        <w:t>lubs also apply most of the funds from gaming machines</w:t>
      </w:r>
      <w:r w:rsidR="00392279">
        <w:t xml:space="preserve"> to their club’s approved </w:t>
      </w:r>
      <w:r w:rsidR="003C6F85">
        <w:t xml:space="preserve">purposes. </w:t>
      </w:r>
      <w:r w:rsidR="00134176">
        <w:t xml:space="preserve">They are </w:t>
      </w:r>
      <w:r>
        <w:t>subject to the mini</w:t>
      </w:r>
      <w:r w:rsidR="003C6F85">
        <w:t>mum rate of return regulations</w:t>
      </w:r>
      <w:r w:rsidR="00134176">
        <w:t>, but at a lower rate than non-club societies</w:t>
      </w:r>
      <w:r w:rsidR="00CC22E6">
        <w:t xml:space="preserve">. </w:t>
      </w:r>
      <w:r w:rsidR="00392279">
        <w:t xml:space="preserve">Although not required to, some clubs do distribute some of their gambling proceeds back to the </w:t>
      </w:r>
      <w:r w:rsidR="00D918B8">
        <w:t xml:space="preserve">wider </w:t>
      </w:r>
      <w:r w:rsidR="00392279">
        <w:t>community.</w:t>
      </w:r>
      <w:r w:rsidR="006E1985">
        <w:t xml:space="preserve"> </w:t>
      </w:r>
    </w:p>
    <w:p w:rsidR="006E1985" w:rsidRDefault="006859E8" w:rsidP="006E1985">
      <w:r>
        <w:t>Changing demographics and declining club memberships have led to many clubs struggling to survive. Therefore, u</w:t>
      </w:r>
      <w:r w:rsidR="006E4D57">
        <w:t>nlike non-club venu</w:t>
      </w:r>
      <w:r w:rsidR="00A51C52">
        <w:t xml:space="preserve">es, two or more clubs can merge into one entity. </w:t>
      </w:r>
      <w:r w:rsidR="00BE34A1">
        <w:t xml:space="preserve">If two or more clubs want to merge, they have to become a single club that operates at a single class 4 venue. So </w:t>
      </w:r>
      <w:r w:rsidR="006E1985">
        <w:t xml:space="preserve">two clubs cannot merge and then operate in multiple venues. The merging clubs can keep their gaming machines and move them to the new venue. However, the new number of machines cannot </w:t>
      </w:r>
      <w:r w:rsidR="00A66AB0">
        <w:t>exceed</w:t>
      </w:r>
      <w:r w:rsidR="006E1985">
        <w:t xml:space="preserve"> 30. </w:t>
      </w:r>
    </w:p>
    <w:p w:rsidR="006E4D57" w:rsidRDefault="00A51C52" w:rsidP="00961513">
      <w:r>
        <w:t>C</w:t>
      </w:r>
      <w:r w:rsidR="00E876A8">
        <w:t>l</w:t>
      </w:r>
      <w:r>
        <w:t xml:space="preserve">ubs have to </w:t>
      </w:r>
      <w:r w:rsidR="00E876A8">
        <w:t>apply for consent f</w:t>
      </w:r>
      <w:r>
        <w:t>rom the</w:t>
      </w:r>
      <w:r w:rsidR="00146D08">
        <w:t xml:space="preserve">ir </w:t>
      </w:r>
      <w:r>
        <w:t>council if they wa</w:t>
      </w:r>
      <w:r w:rsidR="005F7EFD">
        <w:t xml:space="preserve">nt to merge. Clubs </w:t>
      </w:r>
      <w:r>
        <w:t xml:space="preserve">must </w:t>
      </w:r>
      <w:r w:rsidR="006E1985">
        <w:t xml:space="preserve">then </w:t>
      </w:r>
      <w:r>
        <w:t>gain permission from the Minister of Internal Affairs</w:t>
      </w:r>
      <w:r w:rsidR="006E1985">
        <w:t xml:space="preserve"> to merge, and for </w:t>
      </w:r>
      <w:r w:rsidR="00D918B8">
        <w:t xml:space="preserve">any </w:t>
      </w:r>
      <w:r w:rsidR="006E1985">
        <w:t>increase</w:t>
      </w:r>
      <w:r w:rsidR="005F7EFD">
        <w:t xml:space="preserve"> in the</w:t>
      </w:r>
      <w:r w:rsidR="006E1985">
        <w:t xml:space="preserve"> number of gaming machines to be hosted in one venue</w:t>
      </w:r>
      <w:r>
        <w:t xml:space="preserve">. </w:t>
      </w:r>
    </w:p>
    <w:p w:rsidR="000F3545" w:rsidRDefault="000F3545" w:rsidP="00961513">
      <w:r>
        <w:t>There is anecdotal evidence that the club sector is declin</w:t>
      </w:r>
      <w:r w:rsidR="00CC22E6">
        <w:t xml:space="preserve">ing, with clubs closing and membership rates down </w:t>
      </w:r>
      <w:r w:rsidR="00EC6800">
        <w:t>because of</w:t>
      </w:r>
      <w:r w:rsidR="00CC22E6">
        <w:t xml:space="preserve"> changing demographics and consumer preferences. </w:t>
      </w:r>
      <w:r w:rsidR="00C45689">
        <w:t xml:space="preserve">However, many clubs are adapting and merging into larger entities </w:t>
      </w:r>
      <w:r w:rsidR="00D60949">
        <w:t xml:space="preserve">to </w:t>
      </w:r>
      <w:r w:rsidR="00C45689">
        <w:t xml:space="preserve">remain </w:t>
      </w:r>
      <w:r w:rsidR="00D60949">
        <w:t xml:space="preserve">financially </w:t>
      </w:r>
      <w:r w:rsidR="00C45689">
        <w:t>viable</w:t>
      </w:r>
      <w:r w:rsidR="00146D08">
        <w:t>,</w:t>
      </w:r>
      <w:r w:rsidR="00D918B8">
        <w:t xml:space="preserve"> </w:t>
      </w:r>
      <w:r w:rsidR="00D43929">
        <w:t>s</w:t>
      </w:r>
      <w:r w:rsidR="00D918B8">
        <w:t>o</w:t>
      </w:r>
      <w:r w:rsidR="00D43929">
        <w:t>me very successfully</w:t>
      </w:r>
      <w:r w:rsidR="00C45689">
        <w:t xml:space="preserve">. </w:t>
      </w:r>
    </w:p>
    <w:p w:rsidR="00C47DCC" w:rsidRDefault="00C47DCC">
      <w:pPr>
        <w:keepLines w:val="0"/>
        <w:rPr>
          <w:b/>
        </w:rPr>
      </w:pPr>
      <w:r>
        <w:rPr>
          <w:b/>
        </w:rPr>
        <w:br w:type="page"/>
      </w:r>
    </w:p>
    <w:p w:rsidR="0038439B" w:rsidRPr="0038439B" w:rsidRDefault="00D5550D" w:rsidP="00961513">
      <w:pPr>
        <w:rPr>
          <w:b/>
        </w:rPr>
      </w:pPr>
      <w:r>
        <w:rPr>
          <w:b/>
        </w:rPr>
        <w:lastRenderedPageBreak/>
        <w:t>Questions</w:t>
      </w:r>
      <w:r w:rsidR="0038439B">
        <w:rPr>
          <w:b/>
        </w:rPr>
        <w:t>:</w:t>
      </w:r>
    </w:p>
    <w:p w:rsidR="0038439B" w:rsidRDefault="0038439B" w:rsidP="0038439B">
      <w:pPr>
        <w:pStyle w:val="Bullet"/>
        <w:rPr>
          <w:b/>
        </w:rPr>
      </w:pPr>
      <w:r w:rsidRPr="00F0002B">
        <w:rPr>
          <w:b/>
        </w:rPr>
        <w:t xml:space="preserve">How do you see the future of clubs and their operation of gaming machines? For example, </w:t>
      </w:r>
      <w:r w:rsidR="00EC6800">
        <w:rPr>
          <w:b/>
        </w:rPr>
        <w:t xml:space="preserve">how </w:t>
      </w:r>
      <w:r w:rsidRPr="00F0002B">
        <w:rPr>
          <w:b/>
        </w:rPr>
        <w:t>will demographic changes affect clubs’ membership?</w:t>
      </w:r>
    </w:p>
    <w:p w:rsidR="00806841" w:rsidRPr="00F76C51" w:rsidRDefault="00F76C51" w:rsidP="0038439B">
      <w:pPr>
        <w:pStyle w:val="Bullet"/>
        <w:rPr>
          <w:b/>
        </w:rPr>
      </w:pPr>
      <w:r w:rsidRPr="00F76C51">
        <w:rPr>
          <w:b/>
        </w:rPr>
        <w:t>Should clubs be supported to remain sustainable?  If so, how</w:t>
      </w:r>
      <w:r w:rsidR="00000DBA" w:rsidRPr="00F76C51">
        <w:rPr>
          <w:b/>
        </w:rPr>
        <w:t xml:space="preserve">? </w:t>
      </w:r>
    </w:p>
    <w:p w:rsidR="006E72EA" w:rsidRDefault="006E72EA" w:rsidP="006E72EA">
      <w:pPr>
        <w:pStyle w:val="Heading2"/>
      </w:pPr>
      <w:bookmarkStart w:id="22" w:name="_Toc453068869"/>
      <w:r>
        <w:t>Class 4 funding to communities</w:t>
      </w:r>
      <w:bookmarkEnd w:id="22"/>
    </w:p>
    <w:p w:rsidR="006E72EA" w:rsidRPr="004B156E" w:rsidRDefault="006E72EA" w:rsidP="00A16227">
      <w:pPr>
        <w:pStyle w:val="Heading3"/>
      </w:pPr>
      <w:r>
        <w:t>Minimum rate of return</w:t>
      </w:r>
    </w:p>
    <w:p w:rsidR="006E72EA" w:rsidRDefault="003731E3" w:rsidP="006E72EA">
      <w:r>
        <w:t xml:space="preserve">In order to gain a licence, the primary purpose of a </w:t>
      </w:r>
      <w:r w:rsidR="00A66AB0">
        <w:t xml:space="preserve">class 4 </w:t>
      </w:r>
      <w:r>
        <w:t xml:space="preserve">society must be to raise funds for an authorised purpose. </w:t>
      </w:r>
      <w:r w:rsidR="0068324E">
        <w:t>Non-club societies are required to return a minimum of 40 per cent of GST-exclusive gross proceeds to communities</w:t>
      </w:r>
      <w:r w:rsidR="00146D08">
        <w:t xml:space="preserve"> </w:t>
      </w:r>
      <w:r w:rsidR="00D918B8">
        <w:t>from class 4 gambling</w:t>
      </w:r>
      <w:r w:rsidR="0068324E">
        <w:t xml:space="preserve">. </w:t>
      </w:r>
      <w:r w:rsidR="006E72EA" w:rsidRPr="004B156E">
        <w:t>In 201</w:t>
      </w:r>
      <w:r w:rsidR="008B5253">
        <w:t>5</w:t>
      </w:r>
      <w:r w:rsidR="006E72EA" w:rsidRPr="004B156E">
        <w:t xml:space="preserve">, the average rate of return to communities by societies was </w:t>
      </w:r>
      <w:r w:rsidR="008B5253">
        <w:t>40.4</w:t>
      </w:r>
      <w:r w:rsidR="008B5253">
        <w:rPr>
          <w:rStyle w:val="FootnoteReference"/>
        </w:rPr>
        <w:footnoteReference w:id="15"/>
      </w:r>
      <w:r w:rsidR="006E72EA" w:rsidRPr="004B156E">
        <w:t xml:space="preserve"> per cent</w:t>
      </w:r>
      <w:r w:rsidR="00D918B8">
        <w:t>. A</w:t>
      </w:r>
      <w:r w:rsidR="006E72EA">
        <w:t xml:space="preserve"> number of </w:t>
      </w:r>
      <w:r w:rsidR="00A66AB0">
        <w:t xml:space="preserve">non-club </w:t>
      </w:r>
      <w:r w:rsidR="006E72EA">
        <w:t>societies are currently returning funds to the community above the minimum rate of return.</w:t>
      </w:r>
    </w:p>
    <w:p w:rsidR="006E72EA" w:rsidRDefault="006E72EA" w:rsidP="006E72EA">
      <w:r>
        <w:t xml:space="preserve">The minimum rate of return was set to rise in </w:t>
      </w:r>
      <w:r w:rsidR="00FF6E98">
        <w:t>September 2016</w:t>
      </w:r>
      <w:r>
        <w:t xml:space="preserve">, but a recent </w:t>
      </w:r>
      <w:r w:rsidR="00D918B8">
        <w:t>Government</w:t>
      </w:r>
      <w:r>
        <w:t xml:space="preserve"> decision has kept it steady at 40 per cent. This decision was made because </w:t>
      </w:r>
      <w:r w:rsidR="00A66AB0">
        <w:t xml:space="preserve">non-club </w:t>
      </w:r>
      <w:r>
        <w:t>societies have recently faced increased cost pressure</w:t>
      </w:r>
      <w:r w:rsidR="00FB7F4E">
        <w:t xml:space="preserve">s such as downloadable jackpots, </w:t>
      </w:r>
      <w:r>
        <w:t>changes to bank notes</w:t>
      </w:r>
      <w:r w:rsidR="00FB7F4E">
        <w:t xml:space="preserve"> and </w:t>
      </w:r>
      <w:r w:rsidR="00D918B8">
        <w:t xml:space="preserve">increased gambling </w:t>
      </w:r>
      <w:r w:rsidR="00FB7F4E">
        <w:t>fees</w:t>
      </w:r>
      <w:r>
        <w:t xml:space="preserve">.  Increasing the proportion of proceeds given back to communities on top of the increased cost pressures may have forced </w:t>
      </w:r>
      <w:r w:rsidR="00A66AB0">
        <w:t xml:space="preserve">non-club </w:t>
      </w:r>
      <w:r>
        <w:t>societies to shed venues or exit the sector, which could have had a corresponding impact on the level of community funding available.</w:t>
      </w:r>
    </w:p>
    <w:p w:rsidR="006E72EA" w:rsidRPr="00B9647E" w:rsidRDefault="006E72EA" w:rsidP="006E72EA">
      <w:pPr>
        <w:rPr>
          <w:b/>
        </w:rPr>
      </w:pPr>
      <w:r>
        <w:rPr>
          <w:b/>
        </w:rPr>
        <w:t>Questions:</w:t>
      </w:r>
    </w:p>
    <w:p w:rsidR="006E72EA" w:rsidRDefault="006E72EA" w:rsidP="006E72EA">
      <w:pPr>
        <w:pStyle w:val="Bullet"/>
        <w:rPr>
          <w:b/>
        </w:rPr>
      </w:pPr>
      <w:r w:rsidRPr="00806560">
        <w:rPr>
          <w:b/>
        </w:rPr>
        <w:t xml:space="preserve">Is a minimum rate of return the best way to maximise funds to the community? </w:t>
      </w:r>
    </w:p>
    <w:p w:rsidR="006E72EA" w:rsidRDefault="006E72EA" w:rsidP="006E72EA">
      <w:pPr>
        <w:pStyle w:val="Bullet"/>
        <w:rPr>
          <w:b/>
        </w:rPr>
      </w:pPr>
      <w:r>
        <w:rPr>
          <w:b/>
        </w:rPr>
        <w:t>If not, c</w:t>
      </w:r>
      <w:r w:rsidRPr="00806560">
        <w:rPr>
          <w:b/>
        </w:rPr>
        <w:t>an you suggest alternative tools to a minimum rate of return to maximise community returns?</w:t>
      </w:r>
    </w:p>
    <w:p w:rsidR="00EF1C57" w:rsidRPr="00EF1C57" w:rsidRDefault="00EF1C57" w:rsidP="00EF1C57">
      <w:pPr>
        <w:pStyle w:val="Bullet"/>
        <w:rPr>
          <w:b/>
        </w:rPr>
      </w:pPr>
      <w:r w:rsidRPr="00027307">
        <w:rPr>
          <w:b/>
        </w:rPr>
        <w:t>Do you have any suggestions on how society costs could be lessened to improve the return to communities?</w:t>
      </w:r>
    </w:p>
    <w:p w:rsidR="006E72EA" w:rsidRPr="004B156E" w:rsidRDefault="006E72EA" w:rsidP="00A16227">
      <w:pPr>
        <w:pStyle w:val="Heading3"/>
      </w:pPr>
      <w:r w:rsidRPr="004B156E">
        <w:t>Grants Process</w:t>
      </w:r>
    </w:p>
    <w:p w:rsidR="006E72EA" w:rsidRDefault="006E72EA" w:rsidP="006E72EA">
      <w:r>
        <w:t xml:space="preserve">Apart from minimum requirements for grant application forms set out in the </w:t>
      </w:r>
      <w:r>
        <w:rPr>
          <w:i/>
        </w:rPr>
        <w:t xml:space="preserve">Gambling (Class 4 Net Proceeds) </w:t>
      </w:r>
      <w:r w:rsidRPr="00EC6800">
        <w:rPr>
          <w:i/>
        </w:rPr>
        <w:t>Regulations 2004</w:t>
      </w:r>
      <w:r>
        <w:t xml:space="preserve">, </w:t>
      </w:r>
      <w:r w:rsidR="00A66AB0">
        <w:t xml:space="preserve">non-club </w:t>
      </w:r>
      <w:r w:rsidRPr="004B156E">
        <w:t xml:space="preserve">societies are able </w:t>
      </w:r>
      <w:r w:rsidR="00B60E59">
        <w:t xml:space="preserve">to </w:t>
      </w:r>
      <w:r w:rsidRPr="004B156E">
        <w:t xml:space="preserve">develop their own </w:t>
      </w:r>
      <w:r>
        <w:t xml:space="preserve">grant </w:t>
      </w:r>
      <w:r w:rsidRPr="004B156E">
        <w:t xml:space="preserve">application processes.  </w:t>
      </w:r>
      <w:r w:rsidR="00FB7F4E">
        <w:t>Some grant recipients have advised</w:t>
      </w:r>
      <w:r w:rsidRPr="004B156E">
        <w:t xml:space="preserve"> that some </w:t>
      </w:r>
      <w:r w:rsidR="00A66AB0">
        <w:t xml:space="preserve">non-club </w:t>
      </w:r>
      <w:r w:rsidRPr="004B156E">
        <w:t>societies have good application processes that are easy to follow</w:t>
      </w:r>
      <w:r w:rsidR="00146D08">
        <w:t xml:space="preserve">. </w:t>
      </w:r>
      <w:r w:rsidRPr="004B156E">
        <w:t xml:space="preserve">However, </w:t>
      </w:r>
      <w:r w:rsidR="00D918B8">
        <w:t>we</w:t>
      </w:r>
      <w:r w:rsidR="00FB7F4E">
        <w:t xml:space="preserve"> </w:t>
      </w:r>
      <w:r w:rsidR="00D918B8">
        <w:t>are</w:t>
      </w:r>
      <w:r w:rsidR="00FB7F4E">
        <w:t xml:space="preserve"> also advised </w:t>
      </w:r>
      <w:r w:rsidRPr="004B156E">
        <w:t xml:space="preserve">that some </w:t>
      </w:r>
      <w:r w:rsidR="00CF516B">
        <w:t xml:space="preserve">non-club </w:t>
      </w:r>
      <w:r w:rsidRPr="004B156E">
        <w:t xml:space="preserve">societies have lengthy and difficult application processes that could </w:t>
      </w:r>
      <w:r w:rsidR="00146D08">
        <w:t>act as a deterrent</w:t>
      </w:r>
      <w:r w:rsidR="00CF516B">
        <w:t xml:space="preserve"> to potential applicants that</w:t>
      </w:r>
      <w:r w:rsidRPr="004B156E">
        <w:t xml:space="preserve"> may not have the </w:t>
      </w:r>
      <w:r w:rsidR="00B960D7">
        <w:t xml:space="preserve">awareness, resources or </w:t>
      </w:r>
      <w:r w:rsidRPr="004B156E">
        <w:t xml:space="preserve">knowledge to complete the application process. </w:t>
      </w:r>
    </w:p>
    <w:p w:rsidR="006E72EA" w:rsidRPr="004B156E" w:rsidRDefault="006E72EA" w:rsidP="006E72EA">
      <w:r>
        <w:t xml:space="preserve">There is also concern from </w:t>
      </w:r>
      <w:r w:rsidR="00D918B8">
        <w:t>some in</w:t>
      </w:r>
      <w:r>
        <w:t xml:space="preserve"> the </w:t>
      </w:r>
      <w:r w:rsidR="00A66AB0">
        <w:t xml:space="preserve">class 4 </w:t>
      </w:r>
      <w:r>
        <w:t xml:space="preserve">sector that </w:t>
      </w:r>
      <w:r w:rsidRPr="004B156E">
        <w:t xml:space="preserve">not everyone in the community is aware that funding from </w:t>
      </w:r>
      <w:r w:rsidR="00D918B8">
        <w:t>class 4</w:t>
      </w:r>
      <w:r w:rsidRPr="004B156E">
        <w:t xml:space="preserve"> proceeds is available, or they may not know how</w:t>
      </w:r>
      <w:r w:rsidR="00FF6E98">
        <w:t>/be able</w:t>
      </w:r>
      <w:r w:rsidRPr="004B156E">
        <w:t xml:space="preserve"> to apply for it.</w:t>
      </w:r>
    </w:p>
    <w:p w:rsidR="006E72EA" w:rsidRPr="004B156E" w:rsidRDefault="006E72EA" w:rsidP="006E72EA">
      <w:r w:rsidRPr="004B156E">
        <w:lastRenderedPageBreak/>
        <w:t xml:space="preserve">In order to </w:t>
      </w:r>
      <w:r>
        <w:t xml:space="preserve">try and </w:t>
      </w:r>
      <w:r w:rsidRPr="004B156E">
        <w:t xml:space="preserve">make the process transparent </w:t>
      </w:r>
      <w:r w:rsidR="00A66AB0">
        <w:t xml:space="preserve">non-club </w:t>
      </w:r>
      <w:r w:rsidRPr="004B156E">
        <w:t>societies are required to publish information about all applications received, and whether or not the applica</w:t>
      </w:r>
      <w:r>
        <w:t>tions were accepted or declined.</w:t>
      </w:r>
    </w:p>
    <w:p w:rsidR="006E72EA" w:rsidRDefault="006E72EA" w:rsidP="006E72EA">
      <w:pPr>
        <w:rPr>
          <w:b/>
        </w:rPr>
      </w:pPr>
      <w:r>
        <w:rPr>
          <w:b/>
        </w:rPr>
        <w:t>Questions:</w:t>
      </w:r>
    </w:p>
    <w:p w:rsidR="006E72EA" w:rsidRPr="00EC6800" w:rsidRDefault="006E72EA" w:rsidP="00EC6800">
      <w:pPr>
        <w:pStyle w:val="Bullet"/>
        <w:rPr>
          <w:b/>
        </w:rPr>
      </w:pPr>
      <w:r w:rsidRPr="00EC6800">
        <w:rPr>
          <w:b/>
        </w:rPr>
        <w:t>What is your experience of the grants process (e</w:t>
      </w:r>
      <w:r w:rsidR="00CF516B" w:rsidRPr="00EC6800">
        <w:rPr>
          <w:b/>
        </w:rPr>
        <w:t>.</w:t>
      </w:r>
      <w:r w:rsidRPr="00EC6800">
        <w:rPr>
          <w:b/>
        </w:rPr>
        <w:t xml:space="preserve">g. </w:t>
      </w:r>
      <w:r w:rsidR="00CF516B" w:rsidRPr="00EC6800">
        <w:rPr>
          <w:b/>
        </w:rPr>
        <w:t>application, notification, etc)</w:t>
      </w:r>
      <w:r w:rsidR="00EC6800">
        <w:rPr>
          <w:b/>
        </w:rPr>
        <w:t>?</w:t>
      </w:r>
    </w:p>
    <w:p w:rsidR="006E72EA" w:rsidRDefault="006E72EA" w:rsidP="006E72EA">
      <w:pPr>
        <w:pStyle w:val="Bullet"/>
        <w:rPr>
          <w:b/>
          <w:bCs/>
        </w:rPr>
      </w:pPr>
      <w:r>
        <w:rPr>
          <w:b/>
          <w:bCs/>
        </w:rPr>
        <w:t>Do you think the process is accessible for everyone?</w:t>
      </w:r>
    </w:p>
    <w:p w:rsidR="006E72EA" w:rsidRDefault="006E72EA" w:rsidP="006E72EA">
      <w:pPr>
        <w:pStyle w:val="Bullet"/>
        <w:rPr>
          <w:b/>
          <w:bCs/>
        </w:rPr>
      </w:pPr>
      <w:r>
        <w:rPr>
          <w:b/>
          <w:bCs/>
        </w:rPr>
        <w:t>How efficient do you think the process is?</w:t>
      </w:r>
    </w:p>
    <w:p w:rsidR="006E72EA" w:rsidRDefault="006E72EA" w:rsidP="006E72EA">
      <w:pPr>
        <w:pStyle w:val="Bullet"/>
        <w:rPr>
          <w:b/>
          <w:bCs/>
        </w:rPr>
      </w:pPr>
      <w:r>
        <w:rPr>
          <w:b/>
          <w:bCs/>
        </w:rPr>
        <w:t>How fair and transparent do you think the process is?</w:t>
      </w:r>
    </w:p>
    <w:p w:rsidR="006E72EA" w:rsidRDefault="006E72EA" w:rsidP="006E72EA">
      <w:pPr>
        <w:pStyle w:val="Bullet"/>
        <w:rPr>
          <w:b/>
          <w:bCs/>
        </w:rPr>
      </w:pPr>
      <w:r>
        <w:rPr>
          <w:b/>
          <w:bCs/>
        </w:rPr>
        <w:t>Do you have any suggestions for change that would benefit the community’s ability to gain grant</w:t>
      </w:r>
      <w:r w:rsidR="00EC6800">
        <w:rPr>
          <w:b/>
          <w:bCs/>
        </w:rPr>
        <w:t>s</w:t>
      </w:r>
      <w:r>
        <w:rPr>
          <w:b/>
          <w:bCs/>
        </w:rPr>
        <w:t xml:space="preserve"> funding</w:t>
      </w:r>
      <w:r w:rsidRPr="003F0324">
        <w:rPr>
          <w:b/>
          <w:bCs/>
        </w:rPr>
        <w:t>?</w:t>
      </w:r>
      <w:r>
        <w:rPr>
          <w:b/>
          <w:bCs/>
        </w:rPr>
        <w:t xml:space="preserve">  </w:t>
      </w:r>
    </w:p>
    <w:p w:rsidR="006E72EA" w:rsidRDefault="006E72EA" w:rsidP="00A16227">
      <w:pPr>
        <w:pStyle w:val="Heading3"/>
      </w:pPr>
      <w:r w:rsidRPr="004B156E">
        <w:t>Distribution of grants funding</w:t>
      </w:r>
    </w:p>
    <w:p w:rsidR="006E72EA" w:rsidRDefault="006E72EA" w:rsidP="006E72EA">
      <w:r>
        <w:t xml:space="preserve">As mentioned above, </w:t>
      </w:r>
      <w:r w:rsidR="0001150F">
        <w:t xml:space="preserve">non-club </w:t>
      </w:r>
      <w:r w:rsidR="00B960D7">
        <w:t xml:space="preserve">societies must distribute </w:t>
      </w:r>
      <w:r>
        <w:t>a minimum of 40 per cent of the</w:t>
      </w:r>
      <w:r w:rsidR="0001150F">
        <w:t>ir</w:t>
      </w:r>
      <w:r>
        <w:t xml:space="preserve"> </w:t>
      </w:r>
      <w:r w:rsidR="0001150F">
        <w:t>GST-exclusive</w:t>
      </w:r>
      <w:r>
        <w:t xml:space="preserve"> </w:t>
      </w:r>
      <w:r w:rsidR="00B960D7">
        <w:t xml:space="preserve">gross </w:t>
      </w:r>
      <w:r>
        <w:t xml:space="preserve">proceeds </w:t>
      </w:r>
      <w:r w:rsidR="00B960D7">
        <w:t xml:space="preserve">from their </w:t>
      </w:r>
      <w:r>
        <w:t>gam</w:t>
      </w:r>
      <w:r w:rsidR="00B960D7">
        <w:t>bl</w:t>
      </w:r>
      <w:r>
        <w:t>ing operation</w:t>
      </w:r>
      <w:r w:rsidR="00B960D7">
        <w:t>s</w:t>
      </w:r>
      <w:r>
        <w:t xml:space="preserve"> to the community. </w:t>
      </w:r>
      <w:r w:rsidR="00A66AB0">
        <w:t xml:space="preserve"> </w:t>
      </w:r>
      <w:r>
        <w:t xml:space="preserve">For </w:t>
      </w:r>
      <w:r w:rsidR="00A66AB0">
        <w:t xml:space="preserve">non-club </w:t>
      </w:r>
      <w:r>
        <w:t xml:space="preserve">societies, </w:t>
      </w:r>
      <w:r w:rsidR="00816452">
        <w:t>authorised purpose is</w:t>
      </w:r>
      <w:r>
        <w:t>:</w:t>
      </w:r>
    </w:p>
    <w:p w:rsidR="006E72EA" w:rsidRDefault="0001150F" w:rsidP="006E72EA">
      <w:pPr>
        <w:pStyle w:val="Bullet"/>
      </w:pPr>
      <w:r>
        <w:t>a</w:t>
      </w:r>
      <w:r w:rsidR="006E72EA">
        <w:t xml:space="preserve"> char</w:t>
      </w:r>
      <w:r w:rsidR="00FB7F4E">
        <w:t>ita</w:t>
      </w:r>
      <w:r w:rsidR="006E72EA">
        <w:t>ble purpose;</w:t>
      </w:r>
      <w:r>
        <w:t xml:space="preserve"> </w:t>
      </w:r>
      <w:r w:rsidR="00816452">
        <w:t>or</w:t>
      </w:r>
    </w:p>
    <w:p w:rsidR="006E72EA" w:rsidRDefault="0001150F" w:rsidP="006E72EA">
      <w:pPr>
        <w:pStyle w:val="Bullet"/>
      </w:pPr>
      <w:proofErr w:type="gramStart"/>
      <w:r>
        <w:t>a</w:t>
      </w:r>
      <w:proofErr w:type="gramEnd"/>
      <w:r w:rsidR="006E72EA">
        <w:t xml:space="preserve"> non-commercial purpose that is beneficial to the whol</w:t>
      </w:r>
      <w:r>
        <w:t>e or a section of the community.</w:t>
      </w:r>
    </w:p>
    <w:p w:rsidR="006E72EA" w:rsidRDefault="006E72EA" w:rsidP="006E72EA">
      <w:r>
        <w:t>The definition of authorised purposes is broad, and allows</w:t>
      </w:r>
      <w:r w:rsidR="0001150F">
        <w:t xml:space="preserve"> non-club</w:t>
      </w:r>
      <w:r>
        <w:t xml:space="preserve"> </w:t>
      </w:r>
      <w:r w:rsidR="00B960D7">
        <w:t>s</w:t>
      </w:r>
      <w:r>
        <w:t xml:space="preserve">ocieties to decide how the community will benefit from the funding.  </w:t>
      </w:r>
      <w:r w:rsidR="00A66AB0">
        <w:t>Non-club s</w:t>
      </w:r>
      <w:r>
        <w:t xml:space="preserve">ocieties can choose to have broad authorised purposes that benefit a wide range of community groups, or they can choose to have a narrower or single authorised purpose, where the funding benefits a particular group or area of the community. </w:t>
      </w:r>
    </w:p>
    <w:p w:rsidR="0089245F" w:rsidRDefault="00AC7C25" w:rsidP="006E72EA">
      <w:r>
        <w:t>Figure 4</w:t>
      </w:r>
      <w:r w:rsidR="0089245F">
        <w:t xml:space="preserve"> </w:t>
      </w:r>
      <w:r w:rsidR="00505214">
        <w:t xml:space="preserve">illustrates </w:t>
      </w:r>
      <w:r w:rsidR="00FB7F4E">
        <w:t xml:space="preserve">the amount of </w:t>
      </w:r>
      <w:r w:rsidR="0026353B">
        <w:t>community funding</w:t>
      </w:r>
      <w:r w:rsidR="00FB7F4E">
        <w:t xml:space="preserve"> being </w:t>
      </w:r>
      <w:r w:rsidR="00505214">
        <w:t>allocated</w:t>
      </w:r>
      <w:r w:rsidR="0089245F">
        <w:t xml:space="preserve"> </w:t>
      </w:r>
      <w:r w:rsidR="00FB7F4E">
        <w:t xml:space="preserve">to different </w:t>
      </w:r>
      <w:r w:rsidR="0026353B">
        <w:t>categories of organisations and groups within</w:t>
      </w:r>
      <w:r w:rsidR="00FB7F4E">
        <w:t xml:space="preserve"> the community for </w:t>
      </w:r>
      <w:r w:rsidR="00505214">
        <w:t xml:space="preserve">the period </w:t>
      </w:r>
      <w:r>
        <w:t xml:space="preserve">2006 to 2015. </w:t>
      </w:r>
      <w:r w:rsidR="00B60E59">
        <w:t>A</w:t>
      </w:r>
      <w:r w:rsidR="0089245F">
        <w:t>mateur</w:t>
      </w:r>
      <w:r w:rsidR="0089245F" w:rsidRPr="004B156E">
        <w:t xml:space="preserve"> sports receiv</w:t>
      </w:r>
      <w:r w:rsidR="0089245F">
        <w:t>es</w:t>
      </w:r>
      <w:r w:rsidR="0089245F" w:rsidRPr="004B156E">
        <w:t xml:space="preserve"> a high </w:t>
      </w:r>
      <w:r w:rsidR="0089245F">
        <w:t>proportion</w:t>
      </w:r>
      <w:r w:rsidR="0089245F" w:rsidRPr="004B156E">
        <w:t xml:space="preserve"> of the funding</w:t>
      </w:r>
      <w:r w:rsidR="00B60E59">
        <w:t xml:space="preserve"> – many people </w:t>
      </w:r>
      <w:r w:rsidR="0089245F" w:rsidRPr="004B156E">
        <w:t>see</w:t>
      </w:r>
      <w:r w:rsidR="00B60E59">
        <w:t xml:space="preserve"> this</w:t>
      </w:r>
      <w:r w:rsidR="0089245F" w:rsidRPr="004B156E">
        <w:t xml:space="preserve"> as good use of the funding as it is likely to reach grass roots organisations and children’s sport, and may encourage higher rates of participation in a wide range of sportin</w:t>
      </w:r>
      <w:r w:rsidR="0089245F">
        <w:t xml:space="preserve">g and recreational activities. </w:t>
      </w:r>
      <w:r w:rsidR="00B60E59">
        <w:t>Some organisations have suggested, however</w:t>
      </w:r>
      <w:r w:rsidR="00FF6E98">
        <w:t>,</w:t>
      </w:r>
      <w:r w:rsidR="00B60E59">
        <w:t xml:space="preserve"> that </w:t>
      </w:r>
      <w:r w:rsidR="0089245F" w:rsidRPr="004B156E">
        <w:t xml:space="preserve">there are many other community </w:t>
      </w:r>
      <w:r w:rsidR="00B60E59">
        <w:t>needs</w:t>
      </w:r>
      <w:r w:rsidR="0089245F" w:rsidRPr="004B156E">
        <w:t xml:space="preserve"> that could benefit from </w:t>
      </w:r>
      <w:r w:rsidR="00B60E59">
        <w:t xml:space="preserve">a higher proportion of </w:t>
      </w:r>
      <w:r w:rsidR="0089245F" w:rsidRPr="004B156E">
        <w:t>communi</w:t>
      </w:r>
      <w:r w:rsidR="0089245F">
        <w:t>ty funding.</w:t>
      </w:r>
    </w:p>
    <w:tbl>
      <w:tblPr>
        <w:tblStyle w:val="Blanktable"/>
        <w:tblW w:w="0" w:type="auto"/>
        <w:tblLook w:val="04A0" w:firstRow="1" w:lastRow="0" w:firstColumn="1" w:lastColumn="0" w:noHBand="0" w:noVBand="1"/>
      </w:tblPr>
      <w:tblGrid>
        <w:gridCol w:w="9179"/>
      </w:tblGrid>
      <w:tr w:rsidR="00B61475" w:rsidTr="00A653DD">
        <w:tc>
          <w:tcPr>
            <w:tcW w:w="9287" w:type="dxa"/>
          </w:tcPr>
          <w:p w:rsidR="00B61475" w:rsidRDefault="00B61475" w:rsidP="00A653DD">
            <w:pPr>
              <w:pStyle w:val="Spacer"/>
              <w:keepNext/>
              <w:jc w:val="center"/>
            </w:pPr>
            <w:r>
              <w:rPr>
                <w:noProof/>
                <w:lang w:eastAsia="en-NZ"/>
              </w:rPr>
              <w:lastRenderedPageBreak/>
              <w:drawing>
                <wp:inline distT="0" distB="0" distL="0" distR="0" wp14:anchorId="589FAA3A" wp14:editId="00524904">
                  <wp:extent cx="5657850" cy="60960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rsidR="00B61475" w:rsidRDefault="00B61475" w:rsidP="00A653DD">
      <w:pPr>
        <w:pStyle w:val="Caption"/>
      </w:pPr>
      <w:r>
        <w:t xml:space="preserve">Figure </w:t>
      </w:r>
      <w:fldSimple w:instr=" SEQ Figure \* ARABIC ">
        <w:r w:rsidR="008B7BE4">
          <w:rPr>
            <w:noProof/>
          </w:rPr>
          <w:t>4</w:t>
        </w:r>
      </w:fldSimple>
      <w:r>
        <w:t>: Grants – Top Recipient Groups 2006-2015</w:t>
      </w:r>
    </w:p>
    <w:p w:rsidR="002B5269" w:rsidRDefault="00505214" w:rsidP="006E72EA">
      <w:r>
        <w:t xml:space="preserve">As shown in Figure </w:t>
      </w:r>
      <w:r w:rsidR="006406DC">
        <w:t>5 below,</w:t>
      </w:r>
      <w:r w:rsidR="00622E0F">
        <w:t xml:space="preserve"> </w:t>
      </w:r>
      <w:r w:rsidR="002B5269">
        <w:t xml:space="preserve">over the last 10 years each </w:t>
      </w:r>
      <w:r w:rsidR="00622E0F">
        <w:t xml:space="preserve">grant recipient </w:t>
      </w:r>
      <w:r w:rsidR="002B5269">
        <w:t>category</w:t>
      </w:r>
      <w:r>
        <w:t xml:space="preserve"> listed</w:t>
      </w:r>
      <w:r w:rsidR="002B5269">
        <w:t xml:space="preserve"> has received a </w:t>
      </w:r>
      <w:r w:rsidR="00635A46">
        <w:t xml:space="preserve">reasonably </w:t>
      </w:r>
      <w:r w:rsidR="002B5269">
        <w:t>consistent percentage of the available community funding</w:t>
      </w:r>
      <w:r w:rsidR="00635A46">
        <w:t>.  Some areas have seen a slight fluctuation or an incr</w:t>
      </w:r>
      <w:r w:rsidR="0001150F">
        <w:t>ease in funding over this time.</w:t>
      </w:r>
      <w:r w:rsidR="00635A46">
        <w:t xml:space="preserve"> However, racing </w:t>
      </w:r>
      <w:r w:rsidR="002B5269">
        <w:t xml:space="preserve">has seen a decline in funding over the last five years.  </w:t>
      </w:r>
    </w:p>
    <w:tbl>
      <w:tblPr>
        <w:tblStyle w:val="Blanktable"/>
        <w:tblW w:w="9923" w:type="dxa"/>
        <w:tblInd w:w="-318" w:type="dxa"/>
        <w:tblLook w:val="04A0" w:firstRow="1" w:lastRow="0" w:firstColumn="1" w:lastColumn="0" w:noHBand="0" w:noVBand="1"/>
      </w:tblPr>
      <w:tblGrid>
        <w:gridCol w:w="9923"/>
      </w:tblGrid>
      <w:tr w:rsidR="00BE3E19" w:rsidTr="00C47DCC">
        <w:tc>
          <w:tcPr>
            <w:tcW w:w="9923" w:type="dxa"/>
          </w:tcPr>
          <w:p w:rsidR="00BE3E19" w:rsidRDefault="00BE3E19" w:rsidP="00A653DD">
            <w:pPr>
              <w:pStyle w:val="Spacer"/>
              <w:keepNext/>
              <w:jc w:val="center"/>
            </w:pPr>
            <w:r>
              <w:rPr>
                <w:noProof/>
                <w:lang w:eastAsia="en-NZ"/>
              </w:rPr>
              <w:lastRenderedPageBreak/>
              <w:drawing>
                <wp:inline distT="0" distB="0" distL="0" distR="0" wp14:anchorId="6FC7DF0A" wp14:editId="61C47280">
                  <wp:extent cx="5915025" cy="406717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rsidR="00BE3E19" w:rsidRDefault="00BE3E19" w:rsidP="00A653DD">
      <w:pPr>
        <w:pStyle w:val="Caption"/>
      </w:pPr>
      <w:r>
        <w:t xml:space="preserve">Figure </w:t>
      </w:r>
      <w:fldSimple w:instr=" SEQ Figure \* ARABIC ">
        <w:r w:rsidR="008B7BE4">
          <w:rPr>
            <w:noProof/>
          </w:rPr>
          <w:t>5</w:t>
        </w:r>
      </w:fldSimple>
      <w:r>
        <w:t>:</w:t>
      </w:r>
      <w:r w:rsidR="00C47DCC">
        <w:t xml:space="preserve"> </w:t>
      </w:r>
      <w:r>
        <w:t>Class 4 grants time series – Percentage of funding for main recipient groups by year</w:t>
      </w:r>
    </w:p>
    <w:p w:rsidR="0089245F" w:rsidRDefault="00763BD6" w:rsidP="006E72EA">
      <w:r>
        <w:t>Research on New Zealand attitudes to gambling in 2012 found that 64.5 per cent of participants were happy or largely happy (but with some doubts) about the distribution of funding</w:t>
      </w:r>
      <w:r w:rsidR="00313E20">
        <w:t>.</w:t>
      </w:r>
      <w:r>
        <w:t xml:space="preserve"> </w:t>
      </w:r>
      <w:r w:rsidR="00B960D7">
        <w:t>T</w:t>
      </w:r>
      <w:r>
        <w:t xml:space="preserve">his was </w:t>
      </w:r>
      <w:r w:rsidR="00B960D7">
        <w:t>a similar figure to that expressed in a survey</w:t>
      </w:r>
      <w:r w:rsidR="00313E20">
        <w:t xml:space="preserve"> in 2005.</w:t>
      </w:r>
      <w:r>
        <w:t xml:space="preserve"> </w:t>
      </w:r>
      <w:r w:rsidR="00551B41">
        <w:t xml:space="preserve">Most </w:t>
      </w:r>
      <w:r w:rsidR="00B960D7">
        <w:t xml:space="preserve">people </w:t>
      </w:r>
      <w:r w:rsidR="00551B41">
        <w:t>(85 per cent) were in favour of gambling proceeds going to the community, however they did not like the idea of gambling proceeds being used for business profits (74 per cent) or government revenue (73 per cent).</w:t>
      </w:r>
    </w:p>
    <w:p w:rsidR="006E72EA" w:rsidRDefault="006E72EA" w:rsidP="006E72EA">
      <w:pPr>
        <w:rPr>
          <w:b/>
        </w:rPr>
      </w:pPr>
      <w:r>
        <w:rPr>
          <w:b/>
        </w:rPr>
        <w:t>Questions:</w:t>
      </w:r>
    </w:p>
    <w:p w:rsidR="006E72EA" w:rsidRPr="003F0324" w:rsidRDefault="006E72EA" w:rsidP="006E72EA">
      <w:pPr>
        <w:pStyle w:val="Bullet"/>
        <w:rPr>
          <w:b/>
          <w:bCs/>
        </w:rPr>
      </w:pPr>
      <w:r>
        <w:rPr>
          <w:b/>
          <w:bCs/>
        </w:rPr>
        <w:t xml:space="preserve">What are your views on the current </w:t>
      </w:r>
      <w:r w:rsidR="00B60E59">
        <w:rPr>
          <w:b/>
          <w:bCs/>
        </w:rPr>
        <w:t xml:space="preserve">legislative </w:t>
      </w:r>
      <w:r>
        <w:rPr>
          <w:b/>
          <w:bCs/>
        </w:rPr>
        <w:t>setting</w:t>
      </w:r>
      <w:r w:rsidR="00B60E59">
        <w:rPr>
          <w:b/>
          <w:bCs/>
        </w:rPr>
        <w:t>s</w:t>
      </w:r>
      <w:r>
        <w:rPr>
          <w:b/>
          <w:bCs/>
        </w:rPr>
        <w:t xml:space="preserve"> around societies’ authorised purposes? </w:t>
      </w:r>
    </w:p>
    <w:p w:rsidR="006E72EA" w:rsidRPr="003F0324" w:rsidRDefault="006E72EA" w:rsidP="006E72EA">
      <w:pPr>
        <w:pStyle w:val="Bullet"/>
        <w:rPr>
          <w:b/>
          <w:bCs/>
        </w:rPr>
      </w:pPr>
      <w:r w:rsidRPr="003F0324">
        <w:rPr>
          <w:b/>
          <w:bCs/>
        </w:rPr>
        <w:t xml:space="preserve">Do you think the funding </w:t>
      </w:r>
      <w:r w:rsidR="00B60E59">
        <w:rPr>
          <w:b/>
          <w:bCs/>
        </w:rPr>
        <w:t xml:space="preserve">from class 4 gambling </w:t>
      </w:r>
      <w:r w:rsidRPr="003F0324">
        <w:rPr>
          <w:b/>
          <w:bCs/>
        </w:rPr>
        <w:t xml:space="preserve">is achieving the maximum impact for the community? </w:t>
      </w:r>
    </w:p>
    <w:p w:rsidR="006E72EA" w:rsidRDefault="006E72EA" w:rsidP="006E72EA">
      <w:pPr>
        <w:pStyle w:val="Bullet"/>
        <w:rPr>
          <w:b/>
          <w:bCs/>
        </w:rPr>
      </w:pPr>
      <w:r w:rsidRPr="003F0324">
        <w:rPr>
          <w:b/>
          <w:bCs/>
        </w:rPr>
        <w:t>If not, why and what could change?</w:t>
      </w:r>
    </w:p>
    <w:p w:rsidR="006E72EA" w:rsidRPr="004B156E" w:rsidRDefault="006E72EA" w:rsidP="003D6D24">
      <w:pPr>
        <w:pStyle w:val="Heading3"/>
      </w:pPr>
      <w:r w:rsidRPr="004B156E">
        <w:t>Diverse community needs</w:t>
      </w:r>
    </w:p>
    <w:p w:rsidR="006E72EA" w:rsidRDefault="006E72EA" w:rsidP="006E72EA">
      <w:r>
        <w:t>In our discussions with the</w:t>
      </w:r>
      <w:r w:rsidR="00A66AB0">
        <w:t xml:space="preserve"> class 4</w:t>
      </w:r>
      <w:r>
        <w:t xml:space="preserve"> sector, s</w:t>
      </w:r>
      <w:r w:rsidRPr="004B156E">
        <w:t xml:space="preserve">ome people </w:t>
      </w:r>
      <w:r>
        <w:t>voiced</w:t>
      </w:r>
      <w:r w:rsidRPr="004B156E">
        <w:t xml:space="preserve"> concern that </w:t>
      </w:r>
      <w:r w:rsidR="00B960D7">
        <w:t>class 4</w:t>
      </w:r>
      <w:r w:rsidRPr="004B156E">
        <w:t xml:space="preserve"> funding is incr</w:t>
      </w:r>
      <w:bookmarkStart w:id="23" w:name="_GoBack"/>
      <w:bookmarkEnd w:id="23"/>
      <w:r w:rsidRPr="004B156E">
        <w:t xml:space="preserve">easing inequalities in communities because </w:t>
      </w:r>
      <w:r w:rsidR="00B960D7">
        <w:t>significant expenditure on gaming machines</w:t>
      </w:r>
      <w:r w:rsidRPr="004B156E">
        <w:t xml:space="preserve"> is originating from </w:t>
      </w:r>
      <w:r w:rsidR="00062AE5">
        <w:t>high</w:t>
      </w:r>
      <w:r w:rsidRPr="004B156E">
        <w:t>-</w:t>
      </w:r>
      <w:r>
        <w:t>deprivation</w:t>
      </w:r>
      <w:r w:rsidRPr="004B156E">
        <w:t xml:space="preserve"> areas, but is not necessarily going back to community organisations that suppor</w:t>
      </w:r>
      <w:r w:rsidR="00313E20">
        <w:t>t people living in those areas.</w:t>
      </w:r>
      <w:r w:rsidRPr="004B156E">
        <w:t xml:space="preserve"> There is a </w:t>
      </w:r>
      <w:r w:rsidR="00B960D7">
        <w:t>perception</w:t>
      </w:r>
      <w:r w:rsidRPr="004B156E">
        <w:t xml:space="preserve"> that the funding is </w:t>
      </w:r>
      <w:r w:rsidR="00FF6E98">
        <w:t>delivering more benefits to</w:t>
      </w:r>
      <w:r w:rsidRPr="004B156E">
        <w:t xml:space="preserve"> mi</w:t>
      </w:r>
      <w:r w:rsidR="00313E20">
        <w:t>ddle-to-high income communities</w:t>
      </w:r>
      <w:r w:rsidR="00B960D7">
        <w:t xml:space="preserve"> </w:t>
      </w:r>
      <w:r w:rsidR="00313E20">
        <w:t xml:space="preserve">instead. </w:t>
      </w:r>
    </w:p>
    <w:p w:rsidR="006E72EA" w:rsidRDefault="006E72EA" w:rsidP="006E72EA">
      <w:r>
        <w:lastRenderedPageBreak/>
        <w:t xml:space="preserve">Some of the recipients of funding we talked to </w:t>
      </w:r>
      <w:r w:rsidRPr="004B156E">
        <w:t xml:space="preserve">had concerns that community organisations in </w:t>
      </w:r>
      <w:r w:rsidR="00062AE5">
        <w:t>high</w:t>
      </w:r>
      <w:r w:rsidRPr="004B156E">
        <w:t>-</w:t>
      </w:r>
      <w:r>
        <w:t>deprivation</w:t>
      </w:r>
      <w:r w:rsidRPr="004B156E">
        <w:t xml:space="preserve"> areas may not have the knowledge of the funding or the resources to apply for grants funding and therefore may be missing out.</w:t>
      </w:r>
      <w:r>
        <w:t xml:space="preserve"> </w:t>
      </w:r>
      <w:r w:rsidRPr="004B156E">
        <w:t>The</w:t>
      </w:r>
      <w:r>
        <w:t>y</w:t>
      </w:r>
      <w:r w:rsidRPr="004B156E">
        <w:t xml:space="preserve"> noted that it took </w:t>
      </w:r>
      <w:r w:rsidR="00FF6E98">
        <w:t>applicants</w:t>
      </w:r>
      <w:r w:rsidRPr="004B156E">
        <w:t xml:space="preserve"> a lot of time and energy to build up knowledge of the different </w:t>
      </w:r>
      <w:r w:rsidR="00A66AB0">
        <w:t xml:space="preserve">non-club </w:t>
      </w:r>
      <w:r w:rsidRPr="004B156E">
        <w:t xml:space="preserve">societies, the different purposes those </w:t>
      </w:r>
      <w:r w:rsidR="00A66AB0">
        <w:t xml:space="preserve">non-club </w:t>
      </w:r>
      <w:r w:rsidRPr="004B156E">
        <w:t xml:space="preserve">societies applied the funding to, and the different application processes.  </w:t>
      </w:r>
    </w:p>
    <w:p w:rsidR="006E72EA" w:rsidRDefault="006E72EA" w:rsidP="006E72EA">
      <w:r>
        <w:t xml:space="preserve">In the past few years some </w:t>
      </w:r>
      <w:r w:rsidR="00A66AB0">
        <w:t xml:space="preserve">non-club </w:t>
      </w:r>
      <w:r>
        <w:t xml:space="preserve">societies have been making an effort to ensure the funding is going back to the community it originated from; however this is not currently a requirement.  We also understand that some </w:t>
      </w:r>
      <w:r w:rsidR="00A66AB0">
        <w:t xml:space="preserve">non-club </w:t>
      </w:r>
      <w:r>
        <w:t>societies are providing support and guidance on the application process to people seeking funding.</w:t>
      </w:r>
    </w:p>
    <w:p w:rsidR="00B960D7" w:rsidRDefault="006E72EA" w:rsidP="006E72EA">
      <w:r>
        <w:t xml:space="preserve">National organisations </w:t>
      </w:r>
      <w:r w:rsidR="00B960D7">
        <w:t xml:space="preserve">have </w:t>
      </w:r>
      <w:r>
        <w:t xml:space="preserve">raised issues with </w:t>
      </w:r>
      <w:r w:rsidR="00313E20">
        <w:t xml:space="preserve">non-club </w:t>
      </w:r>
      <w:r w:rsidR="00B960D7">
        <w:t xml:space="preserve">societies </w:t>
      </w:r>
      <w:r>
        <w:t>providing funding solely to local organisations, as they think that there are other ways to distribute funding to make sure i</w:t>
      </w:r>
      <w:r w:rsidR="00B960D7">
        <w:t>t</w:t>
      </w:r>
      <w:r>
        <w:t xml:space="preserve"> reaches communities.  </w:t>
      </w:r>
      <w:r w:rsidR="00777736">
        <w:t>Currently many national and regional organisations</w:t>
      </w:r>
      <w:r>
        <w:t xml:space="preserve"> apply for the funding and distribute it across the country</w:t>
      </w:r>
      <w:r w:rsidR="00777736">
        <w:t xml:space="preserve"> to local offices or groups/clubs, or use it to develop coordinated national or regional approaches</w:t>
      </w:r>
      <w:r>
        <w:t xml:space="preserve">.  </w:t>
      </w:r>
      <w:r w:rsidR="00777736">
        <w:t xml:space="preserve">Preventing national or regional bodies from applying for the funding could lead to unintended consequences such as </w:t>
      </w:r>
      <w:r>
        <w:t>local offices</w:t>
      </w:r>
      <w:r w:rsidR="00777736">
        <w:t xml:space="preserve"> or groups</w:t>
      </w:r>
      <w:r>
        <w:t xml:space="preserve"> </w:t>
      </w:r>
      <w:r w:rsidR="00777736">
        <w:t xml:space="preserve">missing out on funding because they </w:t>
      </w:r>
      <w:r>
        <w:t>are not set up to apply for</w:t>
      </w:r>
      <w:r w:rsidR="00777736">
        <w:t xml:space="preserve"> it, or inhibiting coordinated national or regional approaches.</w:t>
      </w:r>
    </w:p>
    <w:p w:rsidR="006E72EA" w:rsidRPr="004B156E" w:rsidRDefault="006E72EA" w:rsidP="006E72EA">
      <w:r>
        <w:t xml:space="preserve">There are also some organisations that provide programmes on a national basis, but where people from all across the country can attend, benefiting a wide range of communities.  If these national organisations missed out on being able to access the community funding then people who struggled to pay to go to these national programmes </w:t>
      </w:r>
      <w:r w:rsidR="00313D9E">
        <w:t>may</w:t>
      </w:r>
      <w:r>
        <w:t xml:space="preserve"> miss out on the benefits.</w:t>
      </w:r>
    </w:p>
    <w:p w:rsidR="006E72EA" w:rsidRDefault="006E72EA" w:rsidP="006E72EA">
      <w:pPr>
        <w:rPr>
          <w:b/>
        </w:rPr>
      </w:pPr>
      <w:r>
        <w:rPr>
          <w:b/>
        </w:rPr>
        <w:t>Questions:</w:t>
      </w:r>
    </w:p>
    <w:p w:rsidR="006E72EA" w:rsidRDefault="006E72EA" w:rsidP="006E72EA">
      <w:pPr>
        <w:pStyle w:val="Bullet"/>
        <w:rPr>
          <w:b/>
          <w:bCs/>
        </w:rPr>
      </w:pPr>
      <w:r>
        <w:rPr>
          <w:b/>
          <w:bCs/>
        </w:rPr>
        <w:t>Should societies return funds to the communities where they were generated? Why?</w:t>
      </w:r>
    </w:p>
    <w:p w:rsidR="006E72EA" w:rsidRPr="00B9647E" w:rsidRDefault="006E72EA" w:rsidP="006E72EA">
      <w:pPr>
        <w:pStyle w:val="Bullet"/>
        <w:rPr>
          <w:b/>
          <w:bCs/>
        </w:rPr>
      </w:pPr>
      <w:r>
        <w:rPr>
          <w:b/>
          <w:bCs/>
        </w:rPr>
        <w:t>Overall, d</w:t>
      </w:r>
      <w:r w:rsidRPr="00B9647E">
        <w:rPr>
          <w:b/>
          <w:bCs/>
        </w:rPr>
        <w:t xml:space="preserve">o you think </w:t>
      </w:r>
      <w:r>
        <w:rPr>
          <w:b/>
          <w:bCs/>
        </w:rPr>
        <w:t xml:space="preserve">the distribution of </w:t>
      </w:r>
      <w:r w:rsidRPr="00B9647E">
        <w:rPr>
          <w:b/>
          <w:bCs/>
        </w:rPr>
        <w:t xml:space="preserve">funding is equitable? </w:t>
      </w:r>
    </w:p>
    <w:p w:rsidR="002F0D91" w:rsidRDefault="006E72EA" w:rsidP="002F0D91">
      <w:pPr>
        <w:pStyle w:val="Bullet"/>
        <w:rPr>
          <w:b/>
          <w:bCs/>
        </w:rPr>
      </w:pPr>
      <w:r w:rsidRPr="00B9647E">
        <w:rPr>
          <w:b/>
          <w:bCs/>
        </w:rPr>
        <w:t>If not, why and what could change?</w:t>
      </w:r>
    </w:p>
    <w:p w:rsidR="00777736" w:rsidRDefault="00777736" w:rsidP="006E72EA">
      <w:pPr>
        <w:keepLines w:val="0"/>
      </w:pPr>
    </w:p>
    <w:p w:rsidR="006E72EA" w:rsidRPr="00A97E57" w:rsidRDefault="00777736" w:rsidP="006E72EA">
      <w:pPr>
        <w:pStyle w:val="Heading1"/>
      </w:pPr>
      <w:bookmarkStart w:id="24" w:name="_Toc453068870"/>
      <w:r>
        <w:lastRenderedPageBreak/>
        <w:t>PART I</w:t>
      </w:r>
      <w:r w:rsidR="00E95472">
        <w:t>II</w:t>
      </w:r>
      <w:r w:rsidR="003D37E6">
        <w:t xml:space="preserve">: </w:t>
      </w:r>
      <w:r w:rsidR="00FF6E98">
        <w:t>O</w:t>
      </w:r>
      <w:r w:rsidR="006E72EA" w:rsidRPr="00A97E57">
        <w:t>nline gambling</w:t>
      </w:r>
      <w:bookmarkEnd w:id="24"/>
      <w:r w:rsidR="006E72EA" w:rsidRPr="00A97E57">
        <w:t xml:space="preserve"> </w:t>
      </w:r>
    </w:p>
    <w:p w:rsidR="00F06BF8" w:rsidRPr="000E1259" w:rsidRDefault="00650ACC" w:rsidP="00F06BF8">
      <w:pPr>
        <w:rPr>
          <w:i/>
        </w:rPr>
      </w:pPr>
      <w:r>
        <w:rPr>
          <w:i/>
        </w:rPr>
        <w:t>T</w:t>
      </w:r>
      <w:r w:rsidR="00F06BF8" w:rsidRPr="000E1259">
        <w:rPr>
          <w:i/>
        </w:rPr>
        <w:t xml:space="preserve">his section </w:t>
      </w:r>
      <w:r w:rsidR="00F06BF8">
        <w:rPr>
          <w:i/>
        </w:rPr>
        <w:t>cover</w:t>
      </w:r>
      <w:r w:rsidR="00EC6800">
        <w:rPr>
          <w:i/>
        </w:rPr>
        <w:t>s</w:t>
      </w:r>
      <w:r w:rsidR="00F06BF8">
        <w:rPr>
          <w:i/>
        </w:rPr>
        <w:t xml:space="preserve"> issues wider than</w:t>
      </w:r>
      <w:r w:rsidR="00F06BF8" w:rsidRPr="000E1259">
        <w:rPr>
          <w:i/>
        </w:rPr>
        <w:t xml:space="preserve"> t</w:t>
      </w:r>
      <w:r w:rsidR="00313E20">
        <w:rPr>
          <w:i/>
        </w:rPr>
        <w:t xml:space="preserve">he review of class 4 gambling. </w:t>
      </w:r>
      <w:r w:rsidR="00313D9E">
        <w:rPr>
          <w:i/>
        </w:rPr>
        <w:t>W</w:t>
      </w:r>
      <w:r w:rsidR="00F06BF8" w:rsidRPr="000E1259">
        <w:rPr>
          <w:i/>
        </w:rPr>
        <w:t xml:space="preserve">e are </w:t>
      </w:r>
      <w:r w:rsidR="00F06BF8">
        <w:rPr>
          <w:i/>
        </w:rPr>
        <w:t xml:space="preserve">taking the </w:t>
      </w:r>
      <w:r w:rsidR="00F06BF8" w:rsidRPr="000E1259">
        <w:rPr>
          <w:i/>
        </w:rPr>
        <w:t>opportunity to find out how people feel about online gambling across all classes of gambling and its future in New Zealand.</w:t>
      </w:r>
      <w:r>
        <w:rPr>
          <w:i/>
        </w:rPr>
        <w:t xml:space="preserve">  Please note that the Department is currently undertaking a project relating to offshore racing and sports betting.  The Department will make sure that the two pieces of work complement</w:t>
      </w:r>
      <w:r w:rsidR="00FF6E98">
        <w:rPr>
          <w:i/>
        </w:rPr>
        <w:t xml:space="preserve"> each other as much as possible</w:t>
      </w:r>
      <w:r>
        <w:rPr>
          <w:i/>
        </w:rPr>
        <w:t xml:space="preserve">. </w:t>
      </w:r>
    </w:p>
    <w:p w:rsidR="00CF597F" w:rsidRPr="00A97E57" w:rsidRDefault="00CF597F" w:rsidP="00CF597F">
      <w:r>
        <w:t xml:space="preserve">Currently there are two </w:t>
      </w:r>
      <w:r w:rsidRPr="00A97E57">
        <w:t xml:space="preserve">providers of online gambling in New Zealand, the </w:t>
      </w:r>
      <w:r w:rsidR="00522BAC">
        <w:t>NZRB</w:t>
      </w:r>
      <w:r w:rsidRPr="00A97E57">
        <w:t xml:space="preserve"> offers online racing and sports betting </w:t>
      </w:r>
      <w:r w:rsidR="00522BAC">
        <w:t xml:space="preserve">including live sports betting </w:t>
      </w:r>
      <w:r w:rsidRPr="00A97E57">
        <w:t>(</w:t>
      </w:r>
      <w:r>
        <w:t>through</w:t>
      </w:r>
      <w:r w:rsidRPr="00A97E57">
        <w:t xml:space="preserve"> the TAB), and the New Zealand Lo</w:t>
      </w:r>
      <w:r>
        <w:t>tteries Commission (Lotto NZ</w:t>
      </w:r>
      <w:r w:rsidRPr="00A97E57">
        <w:t>) sells some</w:t>
      </w:r>
      <w:r>
        <w:t xml:space="preserve"> of its products online. I</w:t>
      </w:r>
      <w:r w:rsidRPr="00A97E57">
        <w:t>t is illegal under the Gambling Act 2003 to organise, manage, or promote any other source of online gambling (referred to in the Act as ‘remote interactive gambling’) in New Zealand</w:t>
      </w:r>
      <w:r w:rsidR="00EC6800">
        <w:t>.</w:t>
      </w:r>
    </w:p>
    <w:p w:rsidR="00CF597F" w:rsidRDefault="00CF597F" w:rsidP="00CF597F">
      <w:r>
        <w:t>B</w:t>
      </w:r>
      <w:r w:rsidRPr="00A97E57">
        <w:t xml:space="preserve">oth </w:t>
      </w:r>
      <w:r>
        <w:t xml:space="preserve">Lotto NZ and the TAB </w:t>
      </w:r>
      <w:r w:rsidRPr="00A97E57">
        <w:t>provide a range of online gambling products, and the minimisation and prevention of gambling harm is a key consideration in the development and provision of these products.</w:t>
      </w:r>
      <w:r>
        <w:t xml:space="preserve"> The regulatory burdens for these providers are relatively low because the</w:t>
      </w:r>
      <w:r w:rsidR="00B60E59">
        <w:t>i</w:t>
      </w:r>
      <w:r>
        <w:t xml:space="preserve">r </w:t>
      </w:r>
      <w:r w:rsidR="00B60E59">
        <w:t xml:space="preserve">gambling products have </w:t>
      </w:r>
      <w:r>
        <w:t>a low</w:t>
      </w:r>
      <w:r w:rsidR="00B60E59">
        <w:t>er</w:t>
      </w:r>
      <w:r>
        <w:t xml:space="preserve"> risk </w:t>
      </w:r>
      <w:r w:rsidR="00FF6E98">
        <w:t xml:space="preserve">profile </w:t>
      </w:r>
      <w:r>
        <w:t xml:space="preserve">and </w:t>
      </w:r>
      <w:r w:rsidR="00B60E59">
        <w:t xml:space="preserve">both </w:t>
      </w:r>
      <w:r>
        <w:t xml:space="preserve">are </w:t>
      </w:r>
      <w:r w:rsidR="00B60E59">
        <w:t>statutory bodies with government appointees</w:t>
      </w:r>
      <w:r>
        <w:t>.</w:t>
      </w:r>
    </w:p>
    <w:p w:rsidR="00CF597F" w:rsidRDefault="00CF597F" w:rsidP="00CF597F">
      <w:r w:rsidRPr="00A97E57">
        <w:t xml:space="preserve">New Zealanders gambling online </w:t>
      </w:r>
      <w:r w:rsidR="00522BAC">
        <w:t>with</w:t>
      </w:r>
      <w:r w:rsidRPr="00A97E57">
        <w:t xml:space="preserve"> Lotto and the TAB has increased in recent years, though online participation still remains a</w:t>
      </w:r>
      <w:r>
        <w:t>t a</w:t>
      </w:r>
      <w:r w:rsidRPr="00A97E57">
        <w:t xml:space="preserve"> lower rate than participating in-p</w:t>
      </w:r>
      <w:r>
        <w:t xml:space="preserve">erson at Lotto outlets or TABs. In 2012, </w:t>
      </w:r>
      <w:r w:rsidRPr="00A97E57">
        <w:t>4.3 per cent of the adult population</w:t>
      </w:r>
      <w:r>
        <w:t xml:space="preserve"> gambled online using </w:t>
      </w:r>
      <w:r w:rsidRPr="00A97E57">
        <w:t>New Zealand products</w:t>
      </w:r>
      <w:r>
        <w:t>.</w:t>
      </w:r>
      <w:r w:rsidRPr="000E1259">
        <w:rPr>
          <w:vertAlign w:val="superscript"/>
        </w:rPr>
        <w:footnoteReference w:id="16"/>
      </w:r>
      <w:r>
        <w:t xml:space="preserve"> </w:t>
      </w:r>
    </w:p>
    <w:p w:rsidR="00CF597F" w:rsidRPr="00A97E57" w:rsidRDefault="00EC6800" w:rsidP="00CF597F">
      <w:r>
        <w:t>Compared with</w:t>
      </w:r>
      <w:r w:rsidR="00CF597F">
        <w:t xml:space="preserve"> other countries, New Zealand has a narrow range of online gambling options. For example, the United Kingdom’s online gambling options include casino games, society lotteries, betting activities and Bingo games. However, Australia has a similar range of online options as New Zealand, with online casino-style games</w:t>
      </w:r>
      <w:r w:rsidR="00522BAC">
        <w:t xml:space="preserve"> </w:t>
      </w:r>
      <w:r w:rsidR="00CF597F">
        <w:t xml:space="preserve">illegal. The Australian government </w:t>
      </w:r>
      <w:r w:rsidR="00B60E59">
        <w:t xml:space="preserve">also </w:t>
      </w:r>
      <w:r w:rsidR="00CF597F">
        <w:t xml:space="preserve">recently decided not to allow the online equivalent of </w:t>
      </w:r>
      <w:r w:rsidR="00FF6E98">
        <w:t>“</w:t>
      </w:r>
      <w:r w:rsidR="00CF597F">
        <w:t>scratchies</w:t>
      </w:r>
      <w:r w:rsidR="00FF6E98">
        <w:t>”</w:t>
      </w:r>
      <w:r w:rsidR="00CF597F">
        <w:t>.</w:t>
      </w:r>
    </w:p>
    <w:p w:rsidR="00F06BF8" w:rsidRDefault="00F06BF8" w:rsidP="00F06BF8">
      <w:r w:rsidRPr="00A97E57">
        <w:t xml:space="preserve">New Zealanders are not, however, prohibited from gambling with offshore online providers. </w:t>
      </w:r>
      <w:r>
        <w:t>For example, a growing number of New Zealanders</w:t>
      </w:r>
      <w:r w:rsidRPr="00A97E57">
        <w:t xml:space="preserve"> </w:t>
      </w:r>
      <w:r>
        <w:t xml:space="preserve">are using offshore online betting services </w:t>
      </w:r>
      <w:r w:rsidR="00313D9E">
        <w:t>(e.g.</w:t>
      </w:r>
      <w:r>
        <w:t xml:space="preserve"> Bet 365</w:t>
      </w:r>
      <w:r w:rsidR="00313D9E">
        <w:t>),</w:t>
      </w:r>
      <w:r>
        <w:t xml:space="preserve"> which offer a wider range of betting products</w:t>
      </w:r>
      <w:r w:rsidR="00313D9E">
        <w:t>,</w:t>
      </w:r>
      <w:r>
        <w:t xml:space="preserve"> </w:t>
      </w:r>
      <w:r w:rsidR="00522BAC">
        <w:t>such as sports betting</w:t>
      </w:r>
      <w:r w:rsidR="0075521A">
        <w:t>, casino games, poker, slots, scratchcards and bingo</w:t>
      </w:r>
      <w:r>
        <w:t>.</w:t>
      </w:r>
    </w:p>
    <w:p w:rsidR="00F06BF8" w:rsidRPr="00A97E57" w:rsidRDefault="00F06BF8" w:rsidP="00F06BF8">
      <w:r>
        <w:t>O</w:t>
      </w:r>
      <w:r w:rsidRPr="00A97E57">
        <w:t xml:space="preserve">ffshore providers </w:t>
      </w:r>
      <w:r>
        <w:t xml:space="preserve">are likely to have a competitive advantage over New-Zealand based products </w:t>
      </w:r>
      <w:r w:rsidRPr="00A97E57">
        <w:t>because</w:t>
      </w:r>
      <w:r>
        <w:t xml:space="preserve"> they operate purely commercial </w:t>
      </w:r>
      <w:r w:rsidRPr="00A97E57">
        <w:t xml:space="preserve">businesses, </w:t>
      </w:r>
      <w:r>
        <w:t>without the requirement (for Lotto and the N</w:t>
      </w:r>
      <w:r w:rsidR="00313D9E">
        <w:t xml:space="preserve">ew </w:t>
      </w:r>
      <w:r>
        <w:t>Z</w:t>
      </w:r>
      <w:r w:rsidR="00313D9E">
        <w:t xml:space="preserve">ealand </w:t>
      </w:r>
      <w:r>
        <w:t>R</w:t>
      </w:r>
      <w:r w:rsidR="00313D9E">
        <w:t xml:space="preserve">acing </w:t>
      </w:r>
      <w:r>
        <w:t>B</w:t>
      </w:r>
      <w:r w:rsidR="00313D9E">
        <w:t>oard</w:t>
      </w:r>
      <w:r>
        <w:t xml:space="preserve">) </w:t>
      </w:r>
      <w:r w:rsidRPr="00A97E57">
        <w:t>to make returns to their communities</w:t>
      </w:r>
      <w:r>
        <w:t>,</w:t>
      </w:r>
      <w:r w:rsidRPr="00A97E57">
        <w:t xml:space="preserve"> and they have different tax</w:t>
      </w:r>
      <w:r w:rsidR="00313D9E">
        <w:t xml:space="preserve"> and </w:t>
      </w:r>
      <w:r w:rsidR="00C86A5E">
        <w:t>duty obligations.</w:t>
      </w:r>
      <w:r w:rsidRPr="00A97E57">
        <w:t xml:space="preserve"> In addition, some of the off-shore providers have an advantage from the scale of their operations and </w:t>
      </w:r>
      <w:r w:rsidR="00FF6E98">
        <w:t xml:space="preserve">often can </w:t>
      </w:r>
      <w:r w:rsidRPr="00A97E57">
        <w:t>provide better odds.</w:t>
      </w:r>
    </w:p>
    <w:p w:rsidR="00F06BF8" w:rsidRPr="00A97E57" w:rsidRDefault="00F06BF8" w:rsidP="00116767">
      <w:r w:rsidRPr="00A97E57">
        <w:lastRenderedPageBreak/>
        <w:t>The number of online gambling products overseas is growing rapidly</w:t>
      </w:r>
      <w:r w:rsidR="00313D9E">
        <w:t>,</w:t>
      </w:r>
      <w:r w:rsidRPr="00A97E57">
        <w:t xml:space="preserve"> as is the use of tho</w:t>
      </w:r>
      <w:r w:rsidR="000332D8">
        <w:t>se products in overseas markets</w:t>
      </w:r>
      <w:r w:rsidR="00721F37">
        <w:t>.</w:t>
      </w:r>
      <w:r w:rsidRPr="00A97E57">
        <w:t xml:space="preserve"> In 2013</w:t>
      </w:r>
      <w:r w:rsidR="00313D9E">
        <w:t>,</w:t>
      </w:r>
      <w:r w:rsidRPr="00A97E57">
        <w:t xml:space="preserve"> online gambling had an internationally estimated gross profit of US$35.3 billion and the future prediction is that online gambling will grow at a rate of 10.6% between 2014 and 2018</w:t>
      </w:r>
      <w:r w:rsidRPr="000E1259">
        <w:rPr>
          <w:vertAlign w:val="superscript"/>
        </w:rPr>
        <w:footnoteReference w:id="17"/>
      </w:r>
      <w:r w:rsidRPr="00A97E57">
        <w:t xml:space="preserve">. </w:t>
      </w:r>
    </w:p>
    <w:p w:rsidR="00F06BF8" w:rsidRPr="00A97E57" w:rsidRDefault="00116767" w:rsidP="00116767">
      <w:r w:rsidRPr="00F86804">
        <w:t>The number of New Zealanders gambling online on overseas websites is relatively small compared to other forms of gambling i.e. from 1.4 to 1.7 per cent of the adult population in 2012. This is about 55,000 people. More recent results</w:t>
      </w:r>
      <w:r>
        <w:t>,</w:t>
      </w:r>
      <w:r w:rsidRPr="00F86804">
        <w:t xml:space="preserve"> for 2014 and 2015 suggest no significant changes or possibly a slight increase. Expenditure estimates for New Zealanders using off shore online gambling are limited. Based on self-reported expenditure, the total annual amount</w:t>
      </w:r>
      <w:r>
        <w:t>s</w:t>
      </w:r>
      <w:r w:rsidRPr="00F86804">
        <w:t xml:space="preserve"> for offshore online gambling for 2012 to 2014 range between $14.6 million to $47.6 million</w:t>
      </w:r>
      <w:r>
        <w:rPr>
          <w:rStyle w:val="FootnoteReference"/>
        </w:rPr>
        <w:footnoteReference w:id="18"/>
      </w:r>
      <w:r>
        <w:t>.</w:t>
      </w:r>
    </w:p>
    <w:p w:rsidR="00F06BF8" w:rsidRPr="00A97E57" w:rsidRDefault="00F06BF8" w:rsidP="00116767">
      <w:r w:rsidRPr="00A97E57">
        <w:t>As a nation we are increasingly using online tools for personal use such as shop</w:t>
      </w:r>
      <w:r w:rsidR="00F018E0">
        <w:t>ping, banking and socialising.</w:t>
      </w:r>
      <w:r w:rsidRPr="00A97E57">
        <w:t xml:space="preserve"> Having an online presence is becoming more important to bus</w:t>
      </w:r>
      <w:r w:rsidR="00F018E0">
        <w:t>inesses to remain competitive.</w:t>
      </w:r>
    </w:p>
    <w:p w:rsidR="00F06BF8" w:rsidRDefault="00F06BF8" w:rsidP="00F06BF8">
      <w:r>
        <w:t>There is a risk that i</w:t>
      </w:r>
      <w:r w:rsidRPr="00A97E57">
        <w:t xml:space="preserve">f we </w:t>
      </w:r>
      <w:r>
        <w:t xml:space="preserve">retain the currently limited range of </w:t>
      </w:r>
      <w:r w:rsidRPr="00A97E57">
        <w:t xml:space="preserve">online gambling </w:t>
      </w:r>
      <w:r>
        <w:t xml:space="preserve">products, consumers may choose to increasingly </w:t>
      </w:r>
      <w:r w:rsidR="00313D9E">
        <w:t>gamble on</w:t>
      </w:r>
      <w:r>
        <w:t xml:space="preserve"> offshore sites, with a correspond</w:t>
      </w:r>
      <w:r w:rsidR="00313D9E">
        <w:t>ing</w:t>
      </w:r>
      <w:r>
        <w:t xml:space="preserve"> loss of benefit </w:t>
      </w:r>
      <w:r w:rsidR="00313D9E">
        <w:t>to</w:t>
      </w:r>
      <w:r>
        <w:t xml:space="preserve"> New Zealand communities, and potential concerns around problem gambling and consumer protection.</w:t>
      </w:r>
    </w:p>
    <w:p w:rsidR="00B66444" w:rsidRDefault="00245652" w:rsidP="00245652">
      <w:r>
        <w:t xml:space="preserve">If </w:t>
      </w:r>
      <w:r w:rsidR="00D91D39">
        <w:t xml:space="preserve">providing </w:t>
      </w:r>
      <w:r>
        <w:t xml:space="preserve">online gambling </w:t>
      </w:r>
      <w:r w:rsidR="00D91D39">
        <w:t>services was</w:t>
      </w:r>
      <w:r>
        <w:t xml:space="preserve"> </w:t>
      </w:r>
      <w:r w:rsidR="00D91D39">
        <w:t xml:space="preserve">permitted in </w:t>
      </w:r>
      <w:r>
        <w:t>New Zealand</w:t>
      </w:r>
      <w:r w:rsidR="00D91D39">
        <w:t>,</w:t>
      </w:r>
      <w:r>
        <w:t xml:space="preserve"> </w:t>
      </w:r>
      <w:r w:rsidR="00901FAC">
        <w:t xml:space="preserve">serious consideration </w:t>
      </w:r>
      <w:r w:rsidR="00EC6800">
        <w:t xml:space="preserve">would be needed </w:t>
      </w:r>
      <w:r w:rsidR="00901FAC">
        <w:t xml:space="preserve">about how an online gambling environment </w:t>
      </w:r>
      <w:r w:rsidR="00EC6800">
        <w:t>is</w:t>
      </w:r>
      <w:r w:rsidR="00901FAC">
        <w:t xml:space="preserve"> designed and regulated. </w:t>
      </w:r>
      <w:r w:rsidR="00963551">
        <w:t xml:space="preserve">For example, it would </w:t>
      </w:r>
      <w:r w:rsidR="00EC6800">
        <w:t>need</w:t>
      </w:r>
      <w:r w:rsidR="00963551">
        <w:t xml:space="preserve"> to be decided</w:t>
      </w:r>
      <w:r>
        <w:t xml:space="preserve"> whether another class of gambli</w:t>
      </w:r>
      <w:r w:rsidR="00963551">
        <w:t xml:space="preserve">ng </w:t>
      </w:r>
      <w:r w:rsidR="00EC6800">
        <w:t>should</w:t>
      </w:r>
      <w:r w:rsidR="00963551">
        <w:t xml:space="preserve"> be introduced, </w:t>
      </w:r>
      <w:r w:rsidR="0054254D">
        <w:t xml:space="preserve">and how and at what cost it would be regulated. </w:t>
      </w:r>
      <w:r w:rsidR="00B66444">
        <w:t xml:space="preserve">There </w:t>
      </w:r>
      <w:r w:rsidR="00963551">
        <w:t xml:space="preserve">would </w:t>
      </w:r>
      <w:r w:rsidR="00EC6800">
        <w:t xml:space="preserve">also </w:t>
      </w:r>
      <w:r w:rsidR="00963551">
        <w:t xml:space="preserve">be </w:t>
      </w:r>
      <w:r w:rsidR="00B66444">
        <w:t xml:space="preserve">choices on whether to </w:t>
      </w:r>
      <w:r w:rsidR="00963551">
        <w:t xml:space="preserve">restrict the number of operators, or </w:t>
      </w:r>
      <w:r w:rsidR="0054254D">
        <w:t>whether it would be an open market.</w:t>
      </w:r>
    </w:p>
    <w:p w:rsidR="00245652" w:rsidRPr="00A97E57" w:rsidRDefault="00B66444" w:rsidP="00245652">
      <w:r>
        <w:t>P</w:t>
      </w:r>
      <w:r w:rsidR="0054254D">
        <w:t xml:space="preserve">otential harm from online gambling </w:t>
      </w:r>
      <w:r>
        <w:t xml:space="preserve">also needs to be carefully considered, along with issues such as identity verification and </w:t>
      </w:r>
      <w:r w:rsidR="0054254D">
        <w:t xml:space="preserve">age limits. </w:t>
      </w:r>
      <w:r w:rsidR="00245652">
        <w:t xml:space="preserve">There would also need to be </w:t>
      </w:r>
      <w:r w:rsidR="00B60E59">
        <w:t xml:space="preserve">consideration </w:t>
      </w:r>
      <w:r w:rsidR="0024186E">
        <w:t>of whether online gambling would be for</w:t>
      </w:r>
      <w:r w:rsidR="00DA1805">
        <w:t>-</w:t>
      </w:r>
      <w:r w:rsidR="0024186E">
        <w:t>profit</w:t>
      </w:r>
      <w:r w:rsidR="00245652">
        <w:t xml:space="preserve"> (with a high tax) or </w:t>
      </w:r>
      <w:r w:rsidR="008625D7">
        <w:t xml:space="preserve">a continuation of the </w:t>
      </w:r>
      <w:r w:rsidR="00245652">
        <w:t>community benefit</w:t>
      </w:r>
      <w:r w:rsidR="008625D7">
        <w:t xml:space="preserve"> model</w:t>
      </w:r>
      <w:r w:rsidR="00245652">
        <w:t>.</w:t>
      </w:r>
    </w:p>
    <w:p w:rsidR="0026353B" w:rsidRDefault="00F06BF8" w:rsidP="00F06BF8">
      <w:r w:rsidRPr="00A97E57">
        <w:t>Increasing online gambling in New Zealand</w:t>
      </w:r>
      <w:r>
        <w:t xml:space="preserve"> may have implications</w:t>
      </w:r>
      <w:r w:rsidRPr="00A97E57">
        <w:t xml:space="preserve"> for gambling</w:t>
      </w:r>
      <w:r w:rsidR="00AC6576">
        <w:t xml:space="preserve"> harm</w:t>
      </w:r>
      <w:r w:rsidRPr="00A97E57">
        <w:t xml:space="preserve">.  Access to gambling would become a lot more convenient, </w:t>
      </w:r>
      <w:r w:rsidR="00DA1805">
        <w:t>and while</w:t>
      </w:r>
      <w:r w:rsidRPr="00A97E57">
        <w:t xml:space="preserve"> having access to gambling anywhere at any time </w:t>
      </w:r>
      <w:r w:rsidR="00DA1805">
        <w:t>may present limited risk to some people</w:t>
      </w:r>
      <w:r w:rsidRPr="00A97E57">
        <w:t xml:space="preserve">, for those that have a gambling problem this kind </w:t>
      </w:r>
      <w:r w:rsidR="0026353B">
        <w:t xml:space="preserve">of access could increase harm.  </w:t>
      </w:r>
      <w:r w:rsidR="00116767" w:rsidRPr="004D4C66">
        <w:t>Ministry of Health data indicates that from 2012 to 2014 about 2 per cent to 3 per cent of clients (or 100 to 140 people) accessing problem gambling services identified offshore gambling as causing them problems. The figures are similarly low (1.5% to 2.4%) for Ministry of Health clients identifying New Zealand online gambling (Lotteries, TAB) as causing them problems.</w:t>
      </w:r>
    </w:p>
    <w:p w:rsidR="00F06BF8" w:rsidRDefault="00F06BF8" w:rsidP="00F06BF8">
      <w:r>
        <w:lastRenderedPageBreak/>
        <w:t>A</w:t>
      </w:r>
      <w:r w:rsidRPr="00A97E57">
        <w:t xml:space="preserve">nother disadvantage </w:t>
      </w:r>
      <w:r>
        <w:t>of online gambling may be the removal of socialis</w:t>
      </w:r>
      <w:r w:rsidR="00721F37">
        <w:t>ation.</w:t>
      </w:r>
      <w:r>
        <w:t xml:space="preserve"> S</w:t>
      </w:r>
      <w:r w:rsidRPr="00A97E57">
        <w:t xml:space="preserve">afe gambling is a source of adult entertainment, and currently part of that entertainment includes </w:t>
      </w:r>
      <w:r>
        <w:t xml:space="preserve">the benefit of </w:t>
      </w:r>
      <w:r w:rsidRPr="00A97E57">
        <w:t>socialising with other people</w:t>
      </w:r>
      <w:r>
        <w:t>, which could be removed if people were to gamble online</w:t>
      </w:r>
      <w:r w:rsidR="00721F37">
        <w:t>.</w:t>
      </w:r>
      <w:r w:rsidRPr="00A97E57">
        <w:t xml:space="preserve"> Online gambling also take</w:t>
      </w:r>
      <w:r w:rsidR="00DA1805">
        <w:t>s</w:t>
      </w:r>
      <w:r w:rsidRPr="00A97E57">
        <w:t xml:space="preserve"> away the personal interaction between the provider and the person gambling </w:t>
      </w:r>
      <w:r w:rsidR="00DA1805">
        <w:t>(</w:t>
      </w:r>
      <w:r w:rsidRPr="00A97E57">
        <w:t xml:space="preserve">providers </w:t>
      </w:r>
      <w:r w:rsidR="00DA1805">
        <w:t xml:space="preserve">can </w:t>
      </w:r>
      <w:r w:rsidRPr="00A97E57">
        <w:t xml:space="preserve">use the relationships </w:t>
      </w:r>
      <w:r>
        <w:t xml:space="preserve">with </w:t>
      </w:r>
      <w:r w:rsidRPr="00A97E57">
        <w:t>gamblers to minimise harm</w:t>
      </w:r>
      <w:r w:rsidR="00DA1805">
        <w:t>)</w:t>
      </w:r>
      <w:r w:rsidRPr="00A97E57">
        <w:t>.</w:t>
      </w:r>
    </w:p>
    <w:p w:rsidR="00F06BF8" w:rsidRDefault="00F06BF8" w:rsidP="00F06BF8">
      <w:r w:rsidRPr="00A97E57">
        <w:t xml:space="preserve">However, there are also advantages to shifting to an online </w:t>
      </w:r>
      <w:r w:rsidR="00721F37">
        <w:t>platform for gambling products.</w:t>
      </w:r>
      <w:r w:rsidRPr="00A97E57">
        <w:t xml:space="preserve"> For instance, there would be a different set of tools available to reduce harm from gambling</w:t>
      </w:r>
      <w:r w:rsidR="00DA1805">
        <w:t xml:space="preserve"> </w:t>
      </w:r>
      <w:r>
        <w:t>(for example</w:t>
      </w:r>
      <w:r w:rsidR="00DA1805">
        <w:t>,</w:t>
      </w:r>
      <w:r>
        <w:t xml:space="preserve"> pre-commitment to a maximum gambling spend per week)</w:t>
      </w:r>
      <w:r w:rsidRPr="00A97E57">
        <w:t>. I</w:t>
      </w:r>
      <w:r>
        <w:t>f peoples’ online identi</w:t>
      </w:r>
      <w:r w:rsidR="003C3CFF">
        <w:t>ty</w:t>
      </w:r>
      <w:r>
        <w:t xml:space="preserve"> can easily be </w:t>
      </w:r>
      <w:r w:rsidR="0026353B">
        <w:t>verified</w:t>
      </w:r>
      <w:r w:rsidR="00DA1805">
        <w:t>, it</w:t>
      </w:r>
      <w:r w:rsidR="0026353B">
        <w:t xml:space="preserve"> </w:t>
      </w:r>
      <w:r w:rsidR="0026353B" w:rsidRPr="00A97E57">
        <w:t>may</w:t>
      </w:r>
      <w:r w:rsidRPr="00A97E57">
        <w:t xml:space="preserve"> be easier to set a range of limits to reduce harm and </w:t>
      </w:r>
      <w:r w:rsidR="00FF6E98">
        <w:t>to enable</w:t>
      </w:r>
      <w:r w:rsidRPr="00A97E57">
        <w:t xml:space="preserve"> self-exclusion across providers.</w:t>
      </w:r>
    </w:p>
    <w:p w:rsidR="00F06BF8" w:rsidRDefault="00F06BF8" w:rsidP="00F06BF8">
      <w:r>
        <w:t>Allowing low</w:t>
      </w:r>
      <w:r w:rsidR="00522BAC">
        <w:t>er</w:t>
      </w:r>
      <w:r>
        <w:t xml:space="preserve"> risk forms of gambling online could increase benefit to the community. For instance, class 3 gambling (e</w:t>
      </w:r>
      <w:r w:rsidR="00DA1805">
        <w:t>.</w:t>
      </w:r>
      <w:r>
        <w:t>g. non-government national charity lotteries through the Heart Foun</w:t>
      </w:r>
      <w:r w:rsidR="00EC6800">
        <w:t>dation and Coastg</w:t>
      </w:r>
      <w:r>
        <w:t>uard</w:t>
      </w:r>
      <w:r w:rsidR="00DA1805">
        <w:t xml:space="preserve"> NZ</w:t>
      </w:r>
      <w:r>
        <w:t>) is currently unable to use any form of interactiv</w:t>
      </w:r>
      <w:r w:rsidR="00DF2E5B">
        <w:t>e device, including telephones.</w:t>
      </w:r>
      <w:r>
        <w:t xml:space="preserve"> </w:t>
      </w:r>
      <w:r w:rsidR="00EC6800">
        <w:t>The Heart Foundation and Coastg</w:t>
      </w:r>
      <w:r>
        <w:t xml:space="preserve">uard </w:t>
      </w:r>
      <w:r w:rsidR="00DA1805">
        <w:t xml:space="preserve">NZ </w:t>
      </w:r>
      <w:r>
        <w:t>have raised the possibility of support</w:t>
      </w:r>
      <w:r w:rsidR="00071658">
        <w:t>ing</w:t>
      </w:r>
      <w:r>
        <w:t xml:space="preserve"> class 3 societ</w:t>
      </w:r>
      <w:r w:rsidR="00DF2E5B">
        <w:t>ies by allowing online sales. T</w:t>
      </w:r>
      <w:r>
        <w:t xml:space="preserve">his could increase the community benefit (through greater sales) so long as an online platform can provide appropriate consumer protection and identify verification services. </w:t>
      </w:r>
      <w:r w:rsidR="00DF2E5B">
        <w:t xml:space="preserve">However, if an online platform is provided for class 3 gambling, consideration </w:t>
      </w:r>
      <w:r w:rsidR="002C0CC1">
        <w:t xml:space="preserve">would have to be given to other classes of gambling that might want to enter the online market. </w:t>
      </w:r>
    </w:p>
    <w:p w:rsidR="00F06BF8" w:rsidRDefault="00F06BF8" w:rsidP="00F06BF8">
      <w:pPr>
        <w:rPr>
          <w:b/>
        </w:rPr>
      </w:pPr>
      <w:r>
        <w:rPr>
          <w:b/>
        </w:rPr>
        <w:t>Questions:</w:t>
      </w:r>
    </w:p>
    <w:p w:rsidR="00F06BF8" w:rsidRPr="00DF270E" w:rsidRDefault="00F06BF8" w:rsidP="00DF270E">
      <w:pPr>
        <w:pStyle w:val="Bullet"/>
        <w:rPr>
          <w:b/>
          <w:bCs/>
        </w:rPr>
      </w:pPr>
      <w:r w:rsidRPr="00DF270E">
        <w:rPr>
          <w:b/>
          <w:bCs/>
        </w:rPr>
        <w:t>Do you think the current policy settings for online gambling are fit</w:t>
      </w:r>
      <w:r w:rsidR="00D970D9" w:rsidRPr="00DF270E">
        <w:rPr>
          <w:b/>
          <w:bCs/>
        </w:rPr>
        <w:t>-</w:t>
      </w:r>
      <w:r w:rsidRPr="00DF270E">
        <w:rPr>
          <w:b/>
          <w:bCs/>
        </w:rPr>
        <w:t>for</w:t>
      </w:r>
      <w:r w:rsidR="00D970D9" w:rsidRPr="00DF270E">
        <w:rPr>
          <w:b/>
          <w:bCs/>
        </w:rPr>
        <w:t>-</w:t>
      </w:r>
      <w:r w:rsidRPr="00DF270E">
        <w:rPr>
          <w:b/>
          <w:bCs/>
        </w:rPr>
        <w:t xml:space="preserve">purpose?  </w:t>
      </w:r>
    </w:p>
    <w:p w:rsidR="00F06BF8" w:rsidRPr="00DF270E" w:rsidRDefault="00F06BF8" w:rsidP="00DF270E">
      <w:pPr>
        <w:pStyle w:val="Bullet"/>
        <w:rPr>
          <w:b/>
          <w:bCs/>
        </w:rPr>
      </w:pPr>
      <w:r w:rsidRPr="00DF270E">
        <w:rPr>
          <w:b/>
          <w:bCs/>
        </w:rPr>
        <w:t>If not, how do we need to change the policy setting</w:t>
      </w:r>
      <w:r w:rsidR="00B66444" w:rsidRPr="00DF270E">
        <w:rPr>
          <w:b/>
          <w:bCs/>
        </w:rPr>
        <w:t>s</w:t>
      </w:r>
      <w:r w:rsidRPr="00DF270E">
        <w:rPr>
          <w:b/>
          <w:bCs/>
        </w:rPr>
        <w:t>?</w:t>
      </w:r>
    </w:p>
    <w:p w:rsidR="00F06BF8" w:rsidRPr="00DF270E" w:rsidRDefault="00F06BF8" w:rsidP="00DF270E">
      <w:pPr>
        <w:pStyle w:val="Bullet"/>
        <w:rPr>
          <w:b/>
          <w:bCs/>
        </w:rPr>
      </w:pPr>
      <w:r w:rsidRPr="00DF270E">
        <w:rPr>
          <w:b/>
          <w:bCs/>
        </w:rPr>
        <w:t xml:space="preserve">Do you think other forms of gambling should be available online in New Zealand? Why/why not? </w:t>
      </w:r>
    </w:p>
    <w:p w:rsidR="00F06BF8" w:rsidRPr="00DF270E" w:rsidRDefault="00F06BF8" w:rsidP="00DF270E">
      <w:pPr>
        <w:pStyle w:val="Bullet"/>
        <w:rPr>
          <w:b/>
          <w:bCs/>
        </w:rPr>
      </w:pPr>
      <w:r w:rsidRPr="00DF270E">
        <w:rPr>
          <w:b/>
          <w:bCs/>
        </w:rPr>
        <w:t xml:space="preserve">If yes, what gambling products should this include and how could we ensure gambling harm is minimised? </w:t>
      </w:r>
    </w:p>
    <w:p w:rsidR="00FF6E98" w:rsidRPr="00DF270E" w:rsidRDefault="00F06BF8" w:rsidP="00DF270E">
      <w:pPr>
        <w:pStyle w:val="Bullet"/>
        <w:rPr>
          <w:b/>
          <w:bCs/>
        </w:rPr>
      </w:pPr>
      <w:r w:rsidRPr="00DF270E">
        <w:rPr>
          <w:b/>
          <w:bCs/>
        </w:rPr>
        <w:t xml:space="preserve">Do you think </w:t>
      </w:r>
      <w:r w:rsidR="00EC6800" w:rsidRPr="00DF270E">
        <w:rPr>
          <w:b/>
          <w:bCs/>
        </w:rPr>
        <w:t>c</w:t>
      </w:r>
      <w:r w:rsidRPr="00DF270E">
        <w:rPr>
          <w:b/>
          <w:bCs/>
        </w:rPr>
        <w:t xml:space="preserve">lass 3 gambling operators such as the Heart Foundation and Coastguard </w:t>
      </w:r>
      <w:r w:rsidR="00EC6800" w:rsidRPr="00DF270E">
        <w:rPr>
          <w:b/>
          <w:bCs/>
        </w:rPr>
        <w:t xml:space="preserve">NZ </w:t>
      </w:r>
      <w:r w:rsidRPr="00DF270E">
        <w:rPr>
          <w:b/>
          <w:bCs/>
        </w:rPr>
        <w:t>should be able to offer online lotteries?</w:t>
      </w:r>
    </w:p>
    <w:p w:rsidR="00FF6E98" w:rsidRDefault="00FF6E98">
      <w:pPr>
        <w:keepLines w:val="0"/>
        <w:rPr>
          <w:b/>
        </w:rPr>
      </w:pPr>
      <w:r>
        <w:rPr>
          <w:b/>
        </w:rPr>
        <w:br w:type="page"/>
      </w:r>
    </w:p>
    <w:p w:rsidR="00FF6E98" w:rsidRPr="002F0D91" w:rsidRDefault="00FF6E98" w:rsidP="00FF6E98">
      <w:pPr>
        <w:pStyle w:val="Heading1"/>
      </w:pPr>
      <w:bookmarkStart w:id="25" w:name="_Toc453068871"/>
      <w:r>
        <w:lastRenderedPageBreak/>
        <w:t>Part IV: Further issues/ideas</w:t>
      </w:r>
      <w:bookmarkEnd w:id="25"/>
    </w:p>
    <w:p w:rsidR="00FF6E98" w:rsidRDefault="00FF6E98" w:rsidP="00FF6E98">
      <w:pPr>
        <w:keepLines w:val="0"/>
      </w:pPr>
      <w:r>
        <w:t>This discussion paper has set out a number of issues and questions in relation to the class 4 gambling sector.  We are aware that this is a complex topic, and you may have a different view on how the issues and options should be explore</w:t>
      </w:r>
      <w:r w:rsidR="009E6301">
        <w:t>d</w:t>
      </w:r>
      <w:r>
        <w:t>. This section is an opportunity to give your feedback on any further matters you think should be covered in this review.</w:t>
      </w:r>
    </w:p>
    <w:p w:rsidR="00F06BF8" w:rsidRDefault="00FF6E98" w:rsidP="00F06BF8">
      <w:pPr>
        <w:rPr>
          <w:b/>
        </w:rPr>
      </w:pPr>
      <w:r>
        <w:rPr>
          <w:b/>
        </w:rPr>
        <w:t>Questions:</w:t>
      </w:r>
    </w:p>
    <w:p w:rsidR="00FF6E98" w:rsidRPr="00DF270E" w:rsidRDefault="00FF6E98" w:rsidP="00DF270E">
      <w:pPr>
        <w:pStyle w:val="Bullet"/>
        <w:rPr>
          <w:b/>
          <w:bCs/>
        </w:rPr>
      </w:pPr>
      <w:r w:rsidRPr="00DF270E">
        <w:rPr>
          <w:b/>
          <w:bCs/>
        </w:rPr>
        <w:t xml:space="preserve">Are there issues or </w:t>
      </w:r>
      <w:r w:rsidR="00DF270E" w:rsidRPr="00DF270E">
        <w:rPr>
          <w:b/>
          <w:bCs/>
        </w:rPr>
        <w:t>questions not set out in this discussion paper that you think need to be considered in this review?</w:t>
      </w:r>
    </w:p>
    <w:p w:rsidR="00DF270E" w:rsidRPr="00DF270E" w:rsidRDefault="00DF270E" w:rsidP="00DF270E">
      <w:pPr>
        <w:pStyle w:val="Bullet"/>
        <w:rPr>
          <w:b/>
          <w:bCs/>
        </w:rPr>
      </w:pPr>
      <w:r w:rsidRPr="00DF270E">
        <w:rPr>
          <w:b/>
          <w:bCs/>
        </w:rPr>
        <w:t>Can you suggest any further options for improving the status quo that do not fit elsewhere in this discussion paper</w:t>
      </w:r>
      <w:r w:rsidR="00C129F6">
        <w:rPr>
          <w:b/>
          <w:bCs/>
        </w:rPr>
        <w:t xml:space="preserve"> and do not increase gambling harm or drive growth in gambling</w:t>
      </w:r>
      <w:r w:rsidRPr="00DF270E">
        <w:rPr>
          <w:b/>
          <w:bCs/>
        </w:rPr>
        <w:t>?</w:t>
      </w:r>
    </w:p>
    <w:p w:rsidR="00A840D6" w:rsidRPr="000F4ADF" w:rsidRDefault="00A840D6" w:rsidP="00A840D6">
      <w:pPr>
        <w:keepLines w:val="0"/>
      </w:pPr>
    </w:p>
    <w:sectPr w:rsidR="00A840D6" w:rsidRPr="000F4ADF" w:rsidSect="00E739BC">
      <w:footerReference w:type="default" r:id="rId20"/>
      <w:pgSz w:w="11907" w:h="16840" w:code="9"/>
      <w:pgMar w:top="1418" w:right="1418" w:bottom="992" w:left="1418" w:header="425" w:footer="64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C01" w:rsidRDefault="00D61C01">
      <w:r>
        <w:separator/>
      </w:r>
    </w:p>
  </w:endnote>
  <w:endnote w:type="continuationSeparator" w:id="0">
    <w:p w:rsidR="00D61C01" w:rsidRDefault="00D61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1"/>
    <w:family w:val="roman"/>
    <w:notTrueType/>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AC4" w:rsidRPr="00391C7C" w:rsidRDefault="00423AC4" w:rsidP="00391C7C">
    <w:pPr>
      <w:pStyle w:val="Footer"/>
      <w:tabs>
        <w:tab w:val="right" w:pos="9071"/>
      </w:tabs>
      <w:ind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AC4" w:rsidRPr="00391C7C" w:rsidRDefault="00423AC4" w:rsidP="004518B7">
    <w:pPr>
      <w:pStyle w:val="Footer"/>
      <w:tabs>
        <w:tab w:val="center" w:pos="4678"/>
        <w:tab w:val="right" w:pos="9071"/>
      </w:tabs>
      <w:ind w:right="-1"/>
    </w:pPr>
    <w:r>
      <w:tab/>
    </w:r>
    <w:r>
      <w:tab/>
    </w:r>
    <w:r>
      <w:fldChar w:fldCharType="begin"/>
    </w:r>
    <w:r>
      <w:instrText xml:space="preserve"> PAGE  \* roman  \* MERGEFORMAT </w:instrText>
    </w:r>
    <w:r>
      <w:fldChar w:fldCharType="separate"/>
    </w:r>
    <w:r w:rsidR="00062AE5">
      <w:rPr>
        <w:noProof/>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AC4" w:rsidRPr="00391C7C" w:rsidRDefault="00423AC4" w:rsidP="004518B7">
    <w:pPr>
      <w:pStyle w:val="Footer"/>
      <w:tabs>
        <w:tab w:val="center" w:pos="4678"/>
        <w:tab w:val="right" w:pos="9071"/>
      </w:tabs>
      <w:ind w:right="-1"/>
    </w:pPr>
    <w:r>
      <w:tab/>
    </w:r>
    <w:r>
      <w:tab/>
      <w:t xml:space="preserve">Page </w:t>
    </w:r>
    <w:r>
      <w:fldChar w:fldCharType="begin"/>
    </w:r>
    <w:r>
      <w:instrText xml:space="preserve"> PAGE  \* Arabic  \* MERGEFORMAT </w:instrText>
    </w:r>
    <w:r>
      <w:fldChar w:fldCharType="separate"/>
    </w:r>
    <w:r w:rsidR="00062AE5">
      <w:rPr>
        <w:noProof/>
      </w:rPr>
      <w:t>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C01" w:rsidRDefault="00D61C01" w:rsidP="006E29CC">
      <w:pPr>
        <w:pStyle w:val="Spacer"/>
      </w:pPr>
      <w:r>
        <w:separator/>
      </w:r>
    </w:p>
  </w:footnote>
  <w:footnote w:type="continuationSeparator" w:id="0">
    <w:p w:rsidR="00D61C01" w:rsidRDefault="00D61C01">
      <w:r>
        <w:continuationSeparator/>
      </w:r>
    </w:p>
  </w:footnote>
  <w:footnote w:id="1">
    <w:p w:rsidR="00423AC4" w:rsidRPr="00BA50B0" w:rsidRDefault="00423AC4" w:rsidP="00A719DF">
      <w:pPr>
        <w:pStyle w:val="FootnoteText"/>
        <w:ind w:left="0" w:firstLine="0"/>
      </w:pPr>
      <w:r>
        <w:rPr>
          <w:rStyle w:val="FootnoteReference"/>
        </w:rPr>
        <w:footnoteRef/>
      </w:r>
      <w:r>
        <w:t xml:space="preserve"> </w:t>
      </w:r>
      <w:r w:rsidRPr="003E4339">
        <w:rPr>
          <w:sz w:val="16"/>
          <w:szCs w:val="16"/>
        </w:rPr>
        <w:t>While you may indicate the information you would like withheld, it can only be withheld if it meets the relevant criteria under the Official Information Act 1982.</w:t>
      </w:r>
    </w:p>
  </w:footnote>
  <w:footnote w:id="2">
    <w:p w:rsidR="00423AC4" w:rsidRDefault="00423AC4">
      <w:pPr>
        <w:pStyle w:val="FootnoteText"/>
      </w:pPr>
      <w:r>
        <w:rPr>
          <w:rStyle w:val="FootnoteReference"/>
        </w:rPr>
        <w:footnoteRef/>
      </w:r>
      <w:r>
        <w:t xml:space="preserve"> </w:t>
      </w:r>
      <w:proofErr w:type="gramStart"/>
      <w:r>
        <w:t>Represented here as gaming machines located outside casinos.</w:t>
      </w:r>
      <w:proofErr w:type="gramEnd"/>
    </w:p>
  </w:footnote>
  <w:footnote w:id="3">
    <w:p w:rsidR="00423AC4" w:rsidRDefault="00423AC4">
      <w:pPr>
        <w:pStyle w:val="FootnoteText"/>
      </w:pPr>
      <w:r>
        <w:rPr>
          <w:rStyle w:val="FootnoteReference"/>
        </w:rPr>
        <w:footnoteRef/>
      </w:r>
      <w:r>
        <w:t xml:space="preserve"> Inflation adjusted expenditure is based on CPI adjustments using June 2015 as index point and working backwards using adjustments from Statistics NZ. Figures are GST-inclusive.</w:t>
      </w:r>
    </w:p>
  </w:footnote>
  <w:footnote w:id="4">
    <w:p w:rsidR="00423AC4" w:rsidRDefault="00423AC4">
      <w:pPr>
        <w:pStyle w:val="FootnoteText"/>
      </w:pPr>
      <w:r>
        <w:rPr>
          <w:rStyle w:val="FootnoteReference"/>
        </w:rPr>
        <w:footnoteRef/>
      </w:r>
      <w:r>
        <w:t xml:space="preserve"> All funding figures are GST-exclusive</w:t>
      </w:r>
    </w:p>
  </w:footnote>
  <w:footnote w:id="5">
    <w:p w:rsidR="00423AC4" w:rsidRDefault="00423AC4">
      <w:pPr>
        <w:pStyle w:val="FootnoteText"/>
      </w:pPr>
      <w:r>
        <w:rPr>
          <w:rStyle w:val="FootnoteReference"/>
        </w:rPr>
        <w:footnoteRef/>
      </w:r>
      <w:r>
        <w:t xml:space="preserve"> Section 3 of the Gambling Act 2003</w:t>
      </w:r>
    </w:p>
  </w:footnote>
  <w:footnote w:id="6">
    <w:p w:rsidR="00423AC4" w:rsidRDefault="00423AC4">
      <w:pPr>
        <w:pStyle w:val="FootnoteText"/>
      </w:pPr>
      <w:r>
        <w:rPr>
          <w:rStyle w:val="FootnoteReference"/>
        </w:rPr>
        <w:footnoteRef/>
      </w:r>
      <w:r>
        <w:t xml:space="preserve"> </w:t>
      </w:r>
      <w:proofErr w:type="gramStart"/>
      <w:r>
        <w:t>Includes the New Zealand Racing Board.</w:t>
      </w:r>
      <w:proofErr w:type="gramEnd"/>
    </w:p>
  </w:footnote>
  <w:footnote w:id="7">
    <w:p w:rsidR="00423AC4" w:rsidRDefault="00423AC4">
      <w:pPr>
        <w:pStyle w:val="FootnoteText"/>
      </w:pPr>
      <w:r>
        <w:rPr>
          <w:rStyle w:val="FootnoteReference"/>
        </w:rPr>
        <w:footnoteRef/>
      </w:r>
      <w:r>
        <w:t xml:space="preserve"> </w:t>
      </w:r>
      <w:proofErr w:type="gramStart"/>
      <w:r>
        <w:t>Section 4(1) of the Gambling Act 2003.</w:t>
      </w:r>
      <w:proofErr w:type="gramEnd"/>
    </w:p>
  </w:footnote>
  <w:footnote w:id="8">
    <w:p w:rsidR="00423AC4" w:rsidRDefault="00423AC4" w:rsidP="00822455">
      <w:pPr>
        <w:pStyle w:val="FootnoteText"/>
      </w:pPr>
      <w:r>
        <w:rPr>
          <w:rStyle w:val="FootnoteReference"/>
        </w:rPr>
        <w:footnoteRef/>
      </w:r>
      <w:r>
        <w:t xml:space="preserve"> New problem gambling levy regulations are due to come into effect on 1 July 2016.</w:t>
      </w:r>
    </w:p>
  </w:footnote>
  <w:footnote w:id="9">
    <w:p w:rsidR="00423AC4" w:rsidRDefault="00423AC4" w:rsidP="00822455">
      <w:pPr>
        <w:pStyle w:val="FootnoteText"/>
      </w:pPr>
      <w:r>
        <w:rPr>
          <w:rStyle w:val="FootnoteReference"/>
        </w:rPr>
        <w:footnoteRef/>
      </w:r>
      <w:r>
        <w:t xml:space="preserve"> Section 317(2) of the Act.</w:t>
      </w:r>
    </w:p>
  </w:footnote>
  <w:footnote w:id="10">
    <w:p w:rsidR="00423AC4" w:rsidRDefault="00423AC4">
      <w:pPr>
        <w:pStyle w:val="FootnoteText"/>
      </w:pPr>
      <w:r>
        <w:rPr>
          <w:rStyle w:val="FootnoteReference"/>
        </w:rPr>
        <w:footnoteRef/>
      </w:r>
      <w:r>
        <w:t xml:space="preserve"> </w:t>
      </w:r>
      <w:r w:rsidRPr="00F86804">
        <w:t>“The severity of gambling problems is classified using the Problem Gambling Severity Index (PGSI). Low risk gamblers score 1-2 problems on the PGSI, moderate risk gamblers score 3-7, and problem gamblers score 8 or more”.  Ferris, J. &amp; Wynne, H. (2001).</w:t>
      </w:r>
    </w:p>
  </w:footnote>
  <w:footnote w:id="11">
    <w:p w:rsidR="00423AC4" w:rsidRDefault="00423AC4" w:rsidP="005D08F1">
      <w:pPr>
        <w:pStyle w:val="FootnoteText"/>
      </w:pPr>
      <w:r>
        <w:rPr>
          <w:rStyle w:val="FootnoteReference"/>
        </w:rPr>
        <w:footnoteRef/>
      </w:r>
      <w:r>
        <w:t xml:space="preserve"> 2015 - Attitudes towards Gambling.  New Zealand 2012 National Gambling Study: Report Number 3.  Gambling and Addictions Research Centre and Auckland University of Technology. </w:t>
      </w:r>
    </w:p>
  </w:footnote>
  <w:footnote w:id="12">
    <w:p w:rsidR="00423AC4" w:rsidRDefault="00423AC4" w:rsidP="00256B9E">
      <w:pPr>
        <w:pStyle w:val="FootnoteText"/>
      </w:pPr>
      <w:r>
        <w:rPr>
          <w:rStyle w:val="FootnoteReference"/>
        </w:rPr>
        <w:footnoteRef/>
      </w:r>
      <w:r>
        <w:t xml:space="preserve"> Gross proceeds are Gaming Machine Profits plus all other income of a society (for example interest on bank deposits, or from sale of unwanted gaming machines).</w:t>
      </w:r>
    </w:p>
  </w:footnote>
  <w:footnote w:id="13">
    <w:p w:rsidR="00423AC4" w:rsidRDefault="00423AC4" w:rsidP="00F648CE">
      <w:pPr>
        <w:pStyle w:val="FootnoteText"/>
      </w:pPr>
      <w:r>
        <w:rPr>
          <w:rStyle w:val="FootnoteReference"/>
        </w:rPr>
        <w:footnoteRef/>
      </w:r>
      <w:r>
        <w:t xml:space="preserve"> Total excludes distributions by clubs to their own purposes.</w:t>
      </w:r>
    </w:p>
  </w:footnote>
  <w:footnote w:id="14">
    <w:p w:rsidR="00423AC4" w:rsidRDefault="00423AC4">
      <w:pPr>
        <w:pStyle w:val="FootnoteText"/>
      </w:pPr>
      <w:r>
        <w:rPr>
          <w:rStyle w:val="FootnoteReference"/>
        </w:rPr>
        <w:footnoteRef/>
      </w:r>
      <w:r>
        <w:t xml:space="preserve"> </w:t>
      </w:r>
      <w:r w:rsidRPr="00F86804">
        <w:t>“The severity of gambling problems is classified using the Problem Gambling Severity Index (PGSI). Low risk gamblers score 1-2 problems on the PGSI, moderate risk gamblers score 3-7, and problem gamblers score 8 or more”.  Ferris, J. &amp; Wynne, H. (2001).</w:t>
      </w:r>
    </w:p>
  </w:footnote>
  <w:footnote w:id="15">
    <w:p w:rsidR="00423AC4" w:rsidRDefault="00423AC4">
      <w:pPr>
        <w:pStyle w:val="FootnoteText"/>
      </w:pPr>
      <w:r>
        <w:rPr>
          <w:rStyle w:val="FootnoteReference"/>
        </w:rPr>
        <w:footnoteRef/>
      </w:r>
      <w:r>
        <w:t xml:space="preserve"> This is a provisional figure as the 2015 data is yet to be confirmed following audit and/or processing due to retrospective adjustments that societies can apply.</w:t>
      </w:r>
    </w:p>
  </w:footnote>
  <w:footnote w:id="16">
    <w:p w:rsidR="00423AC4" w:rsidRDefault="00423AC4" w:rsidP="00CF597F">
      <w:pPr>
        <w:pStyle w:val="FootnoteText"/>
      </w:pPr>
      <w:r>
        <w:rPr>
          <w:rStyle w:val="FootnoteReference"/>
        </w:rPr>
        <w:footnoteRef/>
      </w:r>
      <w:r>
        <w:t xml:space="preserve"> </w:t>
      </w:r>
      <w:proofErr w:type="gramStart"/>
      <w:r w:rsidRPr="00254E44">
        <w:rPr>
          <w:sz w:val="18"/>
          <w:szCs w:val="18"/>
        </w:rPr>
        <w:t>The Health Promotion Agency’s 2012 Health and Lifestyles Survey</w:t>
      </w:r>
      <w:r>
        <w:rPr>
          <w:sz w:val="18"/>
          <w:szCs w:val="18"/>
        </w:rPr>
        <w:t>.</w:t>
      </w:r>
      <w:proofErr w:type="gramEnd"/>
    </w:p>
  </w:footnote>
  <w:footnote w:id="17">
    <w:p w:rsidR="00423AC4" w:rsidRDefault="00423AC4" w:rsidP="00F06BF8">
      <w:pPr>
        <w:pStyle w:val="FootnoteText"/>
      </w:pPr>
      <w:r>
        <w:rPr>
          <w:rStyle w:val="FootnoteReference"/>
        </w:rPr>
        <w:footnoteRef/>
      </w:r>
      <w:r>
        <w:t xml:space="preserve"> Offshore Gambling by New Zealanders Study, Gambling &amp; Addictions Research Centre, AUT University (2015).</w:t>
      </w:r>
    </w:p>
  </w:footnote>
  <w:footnote w:id="18">
    <w:p w:rsidR="00423AC4" w:rsidRDefault="00423AC4">
      <w:pPr>
        <w:pStyle w:val="FootnoteText"/>
      </w:pPr>
      <w:r>
        <w:rPr>
          <w:rStyle w:val="FootnoteReference"/>
        </w:rPr>
        <w:footnoteRef/>
      </w:r>
      <w:r>
        <w:t xml:space="preserve"> </w:t>
      </w:r>
      <w:r w:rsidRPr="00F86804">
        <w:t xml:space="preserve">Offshore Gambling by New Zealanders Study, </w:t>
      </w:r>
      <w:r>
        <w:t>Gambling &amp; Addictions Research Centre, AUT University (</w:t>
      </w:r>
      <w:r w:rsidRPr="00F86804">
        <w:t>2015</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AC4" w:rsidRDefault="00423AC4">
    <w:pPr>
      <w:pStyle w:val="Header"/>
    </w:pPr>
    <w:r w:rsidRPr="00143173">
      <w:rPr>
        <w:bCs/>
        <w:noProof/>
        <w:lang w:eastAsia="en-NZ"/>
      </w:rPr>
      <w:drawing>
        <wp:anchor distT="0" distB="0" distL="114300" distR="114300" simplePos="0" relativeHeight="251657216" behindDoc="0" locked="0" layoutInCell="1" allowOverlap="1" wp14:anchorId="3AE93D45" wp14:editId="20E041B5">
          <wp:simplePos x="0" y="0"/>
          <wp:positionH relativeFrom="column">
            <wp:posOffset>152400</wp:posOffset>
          </wp:positionH>
          <wp:positionV relativeFrom="page">
            <wp:posOffset>656590</wp:posOffset>
          </wp:positionV>
          <wp:extent cx="108000" cy="3240000"/>
          <wp:effectExtent l="0" t="0" r="6350" b="0"/>
          <wp:wrapSquare wrapText="bothSides"/>
          <wp:docPr id="2" name="Picture 2" descr="This image is for decoration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ed stick June 2014 4KB.png"/>
                  <pic:cNvPicPr/>
                </pic:nvPicPr>
                <pic:blipFill>
                  <a:blip r:embed="rId1">
                    <a:extLst>
                      <a:ext uri="{28A0092B-C50C-407E-A947-70E740481C1C}">
                        <a14:useLocalDpi xmlns:a14="http://schemas.microsoft.com/office/drawing/2010/main"/>
                      </a:ext>
                    </a:extLst>
                  </a:blip>
                  <a:stretch>
                    <a:fillRect/>
                  </a:stretch>
                </pic:blipFill>
                <pic:spPr>
                  <a:xfrm>
                    <a:off x="0" y="0"/>
                    <a:ext cx="108000" cy="32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AC4" w:rsidRDefault="00423AC4" w:rsidP="004657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nsid w:val="FFFFFF89"/>
    <w:multiLevelType w:val="singleLevel"/>
    <w:tmpl w:val="4E66EE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2">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lvlText w:val="%1.%2"/>
      <w:lvlJc w:val="left"/>
      <w:pPr>
        <w:ind w:left="567" w:hanging="567"/>
      </w:pPr>
      <w:rPr>
        <w:rFonts w:cs="Tunga" w:hint="default"/>
      </w:rPr>
    </w:lvl>
    <w:lvl w:ilvl="2">
      <w:start w:val="1"/>
      <w:numFmt w:val="lowerLetter"/>
      <w:lvlText w:val="(%3)"/>
      <w:lvlJc w:val="left"/>
      <w:pPr>
        <w:ind w:left="924" w:hanging="357"/>
      </w:pPr>
      <w:rPr>
        <w:rFonts w:cs="Tunga" w:hint="default"/>
      </w:rPr>
    </w:lvl>
    <w:lvl w:ilvl="3">
      <w:start w:val="1"/>
      <w:numFmt w:val="lowerRoman"/>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3">
    <w:nsid w:val="187D2B26"/>
    <w:multiLevelType w:val="hybridMultilevel"/>
    <w:tmpl w:val="08641EE4"/>
    <w:lvl w:ilvl="0" w:tplc="D9FAD6B0">
      <w:start w:val="1"/>
      <w:numFmt w:val="bullet"/>
      <w:lvlText w:val=""/>
      <w:lvlJc w:val="left"/>
      <w:pPr>
        <w:ind w:left="360" w:hanging="360"/>
      </w:pPr>
      <w:rPr>
        <w:rFonts w:ascii="Symbol" w:hAnsi="Symbol" w:hint="default"/>
        <w:color w:val="00000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1972578D"/>
    <w:multiLevelType w:val="hybridMultilevel"/>
    <w:tmpl w:val="135AD2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6">
    <w:nsid w:val="1DBF50A8"/>
    <w:multiLevelType w:val="hybridMultilevel"/>
    <w:tmpl w:val="ED42B70C"/>
    <w:lvl w:ilvl="0" w:tplc="D9FAD6B0">
      <w:start w:val="1"/>
      <w:numFmt w:val="bullet"/>
      <w:lvlText w:val=""/>
      <w:lvlJc w:val="left"/>
      <w:pPr>
        <w:ind w:left="360" w:hanging="360"/>
      </w:pPr>
      <w:rPr>
        <w:rFonts w:ascii="Symbol" w:hAnsi="Symbol" w:hint="default"/>
        <w:color w:val="00000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25E738B6"/>
    <w:multiLevelType w:val="hybridMultilevel"/>
    <w:tmpl w:val="C96A9D94"/>
    <w:lvl w:ilvl="0" w:tplc="D9FAD6B0">
      <w:start w:val="1"/>
      <w:numFmt w:val="bullet"/>
      <w:lvlText w:val=""/>
      <w:lvlJc w:val="left"/>
      <w:pPr>
        <w:ind w:left="360" w:hanging="360"/>
      </w:pPr>
      <w:rPr>
        <w:rFonts w:ascii="Symbol" w:hAnsi="Symbol" w:hint="default"/>
        <w:color w:val="000000" w:themeColor="text1"/>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nsid w:val="368F5832"/>
    <w:multiLevelType w:val="multilevel"/>
    <w:tmpl w:val="805E2C0A"/>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47EC6D4D"/>
    <w:multiLevelType w:val="hybridMultilevel"/>
    <w:tmpl w:val="D4462102"/>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nsid w:val="5FD40A31"/>
    <w:multiLevelType w:val="multilevel"/>
    <w:tmpl w:val="51BAA28C"/>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lvlRestart w:val="0"/>
      <w:pStyle w:val="Bulletlevel3"/>
      <w:lvlText w:val="-"/>
      <w:lvlJc w:val="left"/>
      <w:pPr>
        <w:ind w:left="1639" w:hanging="358"/>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6">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7">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8">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9">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24"/>
  </w:num>
  <w:num w:numId="2">
    <w:abstractNumId w:val="23"/>
  </w:num>
  <w:num w:numId="3">
    <w:abstractNumId w:val="20"/>
  </w:num>
  <w:num w:numId="4">
    <w:abstractNumId w:val="29"/>
  </w:num>
  <w:num w:numId="5">
    <w:abstractNumId w:val="25"/>
  </w:num>
  <w:num w:numId="6">
    <w:abstractNumId w:val="27"/>
  </w:num>
  <w:num w:numId="7">
    <w:abstractNumId w:val="18"/>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30"/>
  </w:num>
  <w:num w:numId="21">
    <w:abstractNumId w:val="28"/>
  </w:num>
  <w:num w:numId="22">
    <w:abstractNumId w:val="26"/>
  </w:num>
  <w:num w:numId="23">
    <w:abstractNumId w:val="22"/>
  </w:num>
  <w:num w:numId="24">
    <w:abstractNumId w:val="19"/>
  </w:num>
  <w:num w:numId="25">
    <w:abstractNumId w:val="12"/>
  </w:num>
  <w:num w:numId="26">
    <w:abstractNumId w:val="10"/>
  </w:num>
  <w:num w:numId="27">
    <w:abstractNumId w:val="30"/>
  </w:num>
  <w:num w:numId="28">
    <w:abstractNumId w:val="30"/>
  </w:num>
  <w:num w:numId="29">
    <w:abstractNumId w:val="28"/>
  </w:num>
  <w:num w:numId="30">
    <w:abstractNumId w:val="28"/>
  </w:num>
  <w:num w:numId="31">
    <w:abstractNumId w:val="22"/>
  </w:num>
  <w:num w:numId="32">
    <w:abstractNumId w:val="26"/>
  </w:num>
  <w:num w:numId="33">
    <w:abstractNumId w:val="22"/>
  </w:num>
  <w:num w:numId="34">
    <w:abstractNumId w:val="22"/>
  </w:num>
  <w:num w:numId="35">
    <w:abstractNumId w:val="19"/>
  </w:num>
  <w:num w:numId="36">
    <w:abstractNumId w:val="19"/>
  </w:num>
  <w:num w:numId="37">
    <w:abstractNumId w:val="19"/>
  </w:num>
  <w:num w:numId="38">
    <w:abstractNumId w:val="12"/>
  </w:num>
  <w:num w:numId="39">
    <w:abstractNumId w:val="10"/>
  </w:num>
  <w:num w:numId="40">
    <w:abstractNumId w:val="10"/>
  </w:num>
  <w:num w:numId="41">
    <w:abstractNumId w:val="10"/>
  </w:num>
  <w:num w:numId="42">
    <w:abstractNumId w:val="17"/>
  </w:num>
  <w:num w:numId="43">
    <w:abstractNumId w:val="16"/>
  </w:num>
  <w:num w:numId="44">
    <w:abstractNumId w:val="13"/>
  </w:num>
  <w:num w:numId="45">
    <w:abstractNumId w:val="14"/>
  </w:num>
  <w:num w:numId="46">
    <w:abstractNumId w:val="25"/>
  </w:num>
  <w:num w:numId="47">
    <w:abstractNumId w:val="21"/>
  </w:num>
  <w:num w:numId="48">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406"/>
    <w:rsid w:val="00000DBA"/>
    <w:rsid w:val="00000F2B"/>
    <w:rsid w:val="00001875"/>
    <w:rsid w:val="00002013"/>
    <w:rsid w:val="00003360"/>
    <w:rsid w:val="00003EBF"/>
    <w:rsid w:val="00010001"/>
    <w:rsid w:val="0001150F"/>
    <w:rsid w:val="00012451"/>
    <w:rsid w:val="00013504"/>
    <w:rsid w:val="0001477E"/>
    <w:rsid w:val="00015227"/>
    <w:rsid w:val="00016CFE"/>
    <w:rsid w:val="00020010"/>
    <w:rsid w:val="000205E6"/>
    <w:rsid w:val="00021CC5"/>
    <w:rsid w:val="00024178"/>
    <w:rsid w:val="00025260"/>
    <w:rsid w:val="00027307"/>
    <w:rsid w:val="00027B53"/>
    <w:rsid w:val="00032A48"/>
    <w:rsid w:val="000332D8"/>
    <w:rsid w:val="00033F1E"/>
    <w:rsid w:val="00034553"/>
    <w:rsid w:val="00034673"/>
    <w:rsid w:val="000409E2"/>
    <w:rsid w:val="0004112F"/>
    <w:rsid w:val="0004134B"/>
    <w:rsid w:val="00043A9E"/>
    <w:rsid w:val="0004410A"/>
    <w:rsid w:val="00044699"/>
    <w:rsid w:val="00044EA1"/>
    <w:rsid w:val="000452A6"/>
    <w:rsid w:val="000456A5"/>
    <w:rsid w:val="00052542"/>
    <w:rsid w:val="00052B03"/>
    <w:rsid w:val="0005427E"/>
    <w:rsid w:val="00060E76"/>
    <w:rsid w:val="000610A1"/>
    <w:rsid w:val="00062AE5"/>
    <w:rsid w:val="00063BB2"/>
    <w:rsid w:val="000658E3"/>
    <w:rsid w:val="00066040"/>
    <w:rsid w:val="00066F83"/>
    <w:rsid w:val="000712C7"/>
    <w:rsid w:val="00071658"/>
    <w:rsid w:val="00072049"/>
    <w:rsid w:val="00072A91"/>
    <w:rsid w:val="00072DB1"/>
    <w:rsid w:val="00076035"/>
    <w:rsid w:val="00076B22"/>
    <w:rsid w:val="00077013"/>
    <w:rsid w:val="00084D8A"/>
    <w:rsid w:val="00084E0C"/>
    <w:rsid w:val="000852B8"/>
    <w:rsid w:val="00085477"/>
    <w:rsid w:val="00086E18"/>
    <w:rsid w:val="0008769F"/>
    <w:rsid w:val="00091C3A"/>
    <w:rsid w:val="00092587"/>
    <w:rsid w:val="00092E17"/>
    <w:rsid w:val="000947F7"/>
    <w:rsid w:val="000953BD"/>
    <w:rsid w:val="00096F27"/>
    <w:rsid w:val="000A0748"/>
    <w:rsid w:val="000A1476"/>
    <w:rsid w:val="000A1675"/>
    <w:rsid w:val="000A2453"/>
    <w:rsid w:val="000A591A"/>
    <w:rsid w:val="000A7437"/>
    <w:rsid w:val="000A74DE"/>
    <w:rsid w:val="000B2723"/>
    <w:rsid w:val="000B76A4"/>
    <w:rsid w:val="000C22BA"/>
    <w:rsid w:val="000C3236"/>
    <w:rsid w:val="000C3A74"/>
    <w:rsid w:val="000C75FD"/>
    <w:rsid w:val="000D0F9D"/>
    <w:rsid w:val="000D5C67"/>
    <w:rsid w:val="000D7EDD"/>
    <w:rsid w:val="000E09DC"/>
    <w:rsid w:val="000E45E6"/>
    <w:rsid w:val="000E4A18"/>
    <w:rsid w:val="000E4E3E"/>
    <w:rsid w:val="000E677B"/>
    <w:rsid w:val="000F269A"/>
    <w:rsid w:val="000F2FF6"/>
    <w:rsid w:val="000F3545"/>
    <w:rsid w:val="000F3CA2"/>
    <w:rsid w:val="000F4644"/>
    <w:rsid w:val="000F4ADF"/>
    <w:rsid w:val="000F61AF"/>
    <w:rsid w:val="001004DD"/>
    <w:rsid w:val="00100AAB"/>
    <w:rsid w:val="0010171C"/>
    <w:rsid w:val="001022BB"/>
    <w:rsid w:val="00102FAD"/>
    <w:rsid w:val="0010354C"/>
    <w:rsid w:val="00107187"/>
    <w:rsid w:val="001105D4"/>
    <w:rsid w:val="001144B7"/>
    <w:rsid w:val="00115AB3"/>
    <w:rsid w:val="00116074"/>
    <w:rsid w:val="00116767"/>
    <w:rsid w:val="001173B6"/>
    <w:rsid w:val="00121325"/>
    <w:rsid w:val="00121870"/>
    <w:rsid w:val="00130226"/>
    <w:rsid w:val="00130426"/>
    <w:rsid w:val="001323C5"/>
    <w:rsid w:val="001327A0"/>
    <w:rsid w:val="00134176"/>
    <w:rsid w:val="0013424E"/>
    <w:rsid w:val="00135E43"/>
    <w:rsid w:val="00140B8A"/>
    <w:rsid w:val="00140D7D"/>
    <w:rsid w:val="001420E8"/>
    <w:rsid w:val="00143173"/>
    <w:rsid w:val="00146D08"/>
    <w:rsid w:val="0015404E"/>
    <w:rsid w:val="0016042F"/>
    <w:rsid w:val="0016433D"/>
    <w:rsid w:val="001644EF"/>
    <w:rsid w:val="001653B2"/>
    <w:rsid w:val="0017061F"/>
    <w:rsid w:val="00170A75"/>
    <w:rsid w:val="00172ECE"/>
    <w:rsid w:val="0017433B"/>
    <w:rsid w:val="001768F2"/>
    <w:rsid w:val="0017703C"/>
    <w:rsid w:val="001774F4"/>
    <w:rsid w:val="0018364C"/>
    <w:rsid w:val="00187F4F"/>
    <w:rsid w:val="00190A87"/>
    <w:rsid w:val="00192E2B"/>
    <w:rsid w:val="001974D9"/>
    <w:rsid w:val="001A25AD"/>
    <w:rsid w:val="001A5F55"/>
    <w:rsid w:val="001B40C6"/>
    <w:rsid w:val="001B646D"/>
    <w:rsid w:val="001C0031"/>
    <w:rsid w:val="001C42F7"/>
    <w:rsid w:val="001C49A9"/>
    <w:rsid w:val="001D0111"/>
    <w:rsid w:val="001D2B17"/>
    <w:rsid w:val="001D3F54"/>
    <w:rsid w:val="001D4AA9"/>
    <w:rsid w:val="001D61CE"/>
    <w:rsid w:val="001D6A73"/>
    <w:rsid w:val="001D7CF4"/>
    <w:rsid w:val="001E17B6"/>
    <w:rsid w:val="001E1DBC"/>
    <w:rsid w:val="001E21BE"/>
    <w:rsid w:val="001E4E95"/>
    <w:rsid w:val="001E556C"/>
    <w:rsid w:val="001E776F"/>
    <w:rsid w:val="001F079E"/>
    <w:rsid w:val="001F1141"/>
    <w:rsid w:val="00200625"/>
    <w:rsid w:val="00203B97"/>
    <w:rsid w:val="00205FE8"/>
    <w:rsid w:val="00206BA3"/>
    <w:rsid w:val="0021374F"/>
    <w:rsid w:val="00214B15"/>
    <w:rsid w:val="00215160"/>
    <w:rsid w:val="00220231"/>
    <w:rsid w:val="00222302"/>
    <w:rsid w:val="002224B4"/>
    <w:rsid w:val="002224DD"/>
    <w:rsid w:val="00224E7C"/>
    <w:rsid w:val="00226D5E"/>
    <w:rsid w:val="002275D4"/>
    <w:rsid w:val="00230BCC"/>
    <w:rsid w:val="00232213"/>
    <w:rsid w:val="002323FD"/>
    <w:rsid w:val="00235342"/>
    <w:rsid w:val="002362E6"/>
    <w:rsid w:val="00237A3D"/>
    <w:rsid w:val="00240553"/>
    <w:rsid w:val="00240E83"/>
    <w:rsid w:val="00241144"/>
    <w:rsid w:val="0024186E"/>
    <w:rsid w:val="00241AAE"/>
    <w:rsid w:val="00243AA2"/>
    <w:rsid w:val="00245652"/>
    <w:rsid w:val="0024698B"/>
    <w:rsid w:val="002502D1"/>
    <w:rsid w:val="00251132"/>
    <w:rsid w:val="00252C8D"/>
    <w:rsid w:val="002557E9"/>
    <w:rsid w:val="00256B9E"/>
    <w:rsid w:val="0026353B"/>
    <w:rsid w:val="00264CFC"/>
    <w:rsid w:val="00270034"/>
    <w:rsid w:val="00270223"/>
    <w:rsid w:val="00270EEC"/>
    <w:rsid w:val="00272C7B"/>
    <w:rsid w:val="002740AD"/>
    <w:rsid w:val="002742D5"/>
    <w:rsid w:val="0027598A"/>
    <w:rsid w:val="002806A2"/>
    <w:rsid w:val="0028426D"/>
    <w:rsid w:val="002853E8"/>
    <w:rsid w:val="00291B22"/>
    <w:rsid w:val="00293167"/>
    <w:rsid w:val="00293702"/>
    <w:rsid w:val="00294575"/>
    <w:rsid w:val="00297CC7"/>
    <w:rsid w:val="00297E1B"/>
    <w:rsid w:val="002A194F"/>
    <w:rsid w:val="002A1AE6"/>
    <w:rsid w:val="002A248F"/>
    <w:rsid w:val="002A4BD9"/>
    <w:rsid w:val="002A4FE7"/>
    <w:rsid w:val="002B1CEB"/>
    <w:rsid w:val="002B5269"/>
    <w:rsid w:val="002B633F"/>
    <w:rsid w:val="002C0CC1"/>
    <w:rsid w:val="002C1C03"/>
    <w:rsid w:val="002C1D17"/>
    <w:rsid w:val="002D04BB"/>
    <w:rsid w:val="002D13D8"/>
    <w:rsid w:val="002D3381"/>
    <w:rsid w:val="002D40EF"/>
    <w:rsid w:val="002D43A5"/>
    <w:rsid w:val="002D4A6F"/>
    <w:rsid w:val="002D5A7A"/>
    <w:rsid w:val="002E05FB"/>
    <w:rsid w:val="002E3B2B"/>
    <w:rsid w:val="002E4AA6"/>
    <w:rsid w:val="002F0D91"/>
    <w:rsid w:val="002F22D0"/>
    <w:rsid w:val="002F3A41"/>
    <w:rsid w:val="002F4A08"/>
    <w:rsid w:val="003004C1"/>
    <w:rsid w:val="0030084C"/>
    <w:rsid w:val="00300C3F"/>
    <w:rsid w:val="00303014"/>
    <w:rsid w:val="00303FC1"/>
    <w:rsid w:val="00304896"/>
    <w:rsid w:val="00307C2B"/>
    <w:rsid w:val="0031107A"/>
    <w:rsid w:val="003129BA"/>
    <w:rsid w:val="00312B26"/>
    <w:rsid w:val="00313D9E"/>
    <w:rsid w:val="00313E20"/>
    <w:rsid w:val="003148FC"/>
    <w:rsid w:val="003175BF"/>
    <w:rsid w:val="00317855"/>
    <w:rsid w:val="003213FB"/>
    <w:rsid w:val="00321D21"/>
    <w:rsid w:val="003238A1"/>
    <w:rsid w:val="00324837"/>
    <w:rsid w:val="00324E64"/>
    <w:rsid w:val="00330820"/>
    <w:rsid w:val="00330D82"/>
    <w:rsid w:val="003320EC"/>
    <w:rsid w:val="00333249"/>
    <w:rsid w:val="00333BD6"/>
    <w:rsid w:val="0033566E"/>
    <w:rsid w:val="00336E38"/>
    <w:rsid w:val="0034122A"/>
    <w:rsid w:val="00342DBF"/>
    <w:rsid w:val="00343BCD"/>
    <w:rsid w:val="00343F5C"/>
    <w:rsid w:val="00346333"/>
    <w:rsid w:val="0035191C"/>
    <w:rsid w:val="0035255F"/>
    <w:rsid w:val="00352705"/>
    <w:rsid w:val="0035287A"/>
    <w:rsid w:val="00355215"/>
    <w:rsid w:val="0035603D"/>
    <w:rsid w:val="003609A4"/>
    <w:rsid w:val="0036278C"/>
    <w:rsid w:val="00366782"/>
    <w:rsid w:val="00370FC0"/>
    <w:rsid w:val="00372445"/>
    <w:rsid w:val="003731E3"/>
    <w:rsid w:val="00373206"/>
    <w:rsid w:val="003757D0"/>
    <w:rsid w:val="0038439B"/>
    <w:rsid w:val="00387A47"/>
    <w:rsid w:val="00391C7C"/>
    <w:rsid w:val="00391EDE"/>
    <w:rsid w:val="00392279"/>
    <w:rsid w:val="00392F62"/>
    <w:rsid w:val="003951D2"/>
    <w:rsid w:val="003A10DA"/>
    <w:rsid w:val="003A12C8"/>
    <w:rsid w:val="003A2FBC"/>
    <w:rsid w:val="003A5D2B"/>
    <w:rsid w:val="003A6FFE"/>
    <w:rsid w:val="003A7204"/>
    <w:rsid w:val="003B072F"/>
    <w:rsid w:val="003B3A23"/>
    <w:rsid w:val="003B4655"/>
    <w:rsid w:val="003B5472"/>
    <w:rsid w:val="003B6CA4"/>
    <w:rsid w:val="003B76F6"/>
    <w:rsid w:val="003C071A"/>
    <w:rsid w:val="003C3662"/>
    <w:rsid w:val="003C3CFF"/>
    <w:rsid w:val="003C63D0"/>
    <w:rsid w:val="003C6F85"/>
    <w:rsid w:val="003D07E1"/>
    <w:rsid w:val="003D353C"/>
    <w:rsid w:val="003D35B9"/>
    <w:rsid w:val="003D37E6"/>
    <w:rsid w:val="003D5562"/>
    <w:rsid w:val="003D675E"/>
    <w:rsid w:val="003D6D24"/>
    <w:rsid w:val="003D71AB"/>
    <w:rsid w:val="003E67E0"/>
    <w:rsid w:val="003E789B"/>
    <w:rsid w:val="003E7B89"/>
    <w:rsid w:val="003F0324"/>
    <w:rsid w:val="003F09AC"/>
    <w:rsid w:val="003F2C34"/>
    <w:rsid w:val="003F332B"/>
    <w:rsid w:val="003F3C3B"/>
    <w:rsid w:val="003F5886"/>
    <w:rsid w:val="003F7217"/>
    <w:rsid w:val="003F7C0A"/>
    <w:rsid w:val="0040020C"/>
    <w:rsid w:val="00400B83"/>
    <w:rsid w:val="00401791"/>
    <w:rsid w:val="00406CFF"/>
    <w:rsid w:val="0040700B"/>
    <w:rsid w:val="00407F54"/>
    <w:rsid w:val="00407FBA"/>
    <w:rsid w:val="00411341"/>
    <w:rsid w:val="00413966"/>
    <w:rsid w:val="00414511"/>
    <w:rsid w:val="00414BB2"/>
    <w:rsid w:val="00415CDB"/>
    <w:rsid w:val="004166C0"/>
    <w:rsid w:val="00416CA8"/>
    <w:rsid w:val="00416DDD"/>
    <w:rsid w:val="00421EB4"/>
    <w:rsid w:val="00422418"/>
    <w:rsid w:val="00422DA2"/>
    <w:rsid w:val="00423AC4"/>
    <w:rsid w:val="00424863"/>
    <w:rsid w:val="0042551E"/>
    <w:rsid w:val="004263D0"/>
    <w:rsid w:val="00426491"/>
    <w:rsid w:val="00433AD8"/>
    <w:rsid w:val="004363AC"/>
    <w:rsid w:val="004401BA"/>
    <w:rsid w:val="004419AD"/>
    <w:rsid w:val="0044605C"/>
    <w:rsid w:val="0044713C"/>
    <w:rsid w:val="004518B7"/>
    <w:rsid w:val="00453C76"/>
    <w:rsid w:val="0045482B"/>
    <w:rsid w:val="004550CF"/>
    <w:rsid w:val="004552A0"/>
    <w:rsid w:val="00457E33"/>
    <w:rsid w:val="00460A83"/>
    <w:rsid w:val="00463178"/>
    <w:rsid w:val="0046577B"/>
    <w:rsid w:val="00472FA4"/>
    <w:rsid w:val="00473000"/>
    <w:rsid w:val="004734F8"/>
    <w:rsid w:val="00476C22"/>
    <w:rsid w:val="00477619"/>
    <w:rsid w:val="00480640"/>
    <w:rsid w:val="0048539F"/>
    <w:rsid w:val="00486E6E"/>
    <w:rsid w:val="00492903"/>
    <w:rsid w:val="0049463D"/>
    <w:rsid w:val="00495C14"/>
    <w:rsid w:val="004A063B"/>
    <w:rsid w:val="004A0795"/>
    <w:rsid w:val="004A160C"/>
    <w:rsid w:val="004A5823"/>
    <w:rsid w:val="004A639B"/>
    <w:rsid w:val="004B0AAF"/>
    <w:rsid w:val="004B3924"/>
    <w:rsid w:val="004B60B0"/>
    <w:rsid w:val="004B695C"/>
    <w:rsid w:val="004B6E67"/>
    <w:rsid w:val="004C17D1"/>
    <w:rsid w:val="004C4DDD"/>
    <w:rsid w:val="004D06BB"/>
    <w:rsid w:val="004D091E"/>
    <w:rsid w:val="004D1706"/>
    <w:rsid w:val="004D17F4"/>
    <w:rsid w:val="004D243F"/>
    <w:rsid w:val="004D309F"/>
    <w:rsid w:val="004D3A23"/>
    <w:rsid w:val="004D617E"/>
    <w:rsid w:val="004D6E6C"/>
    <w:rsid w:val="004D7473"/>
    <w:rsid w:val="004D7E8D"/>
    <w:rsid w:val="004E0608"/>
    <w:rsid w:val="004E202E"/>
    <w:rsid w:val="004E4823"/>
    <w:rsid w:val="004E4E36"/>
    <w:rsid w:val="004E646C"/>
    <w:rsid w:val="004F3D50"/>
    <w:rsid w:val="004F4272"/>
    <w:rsid w:val="004F633B"/>
    <w:rsid w:val="00505214"/>
    <w:rsid w:val="0051048E"/>
    <w:rsid w:val="0051119C"/>
    <w:rsid w:val="0051209C"/>
    <w:rsid w:val="00512ACB"/>
    <w:rsid w:val="00515193"/>
    <w:rsid w:val="00515292"/>
    <w:rsid w:val="00515DA2"/>
    <w:rsid w:val="00516505"/>
    <w:rsid w:val="00521150"/>
    <w:rsid w:val="005212F1"/>
    <w:rsid w:val="0052216D"/>
    <w:rsid w:val="00522BAC"/>
    <w:rsid w:val="005230D7"/>
    <w:rsid w:val="0052320F"/>
    <w:rsid w:val="00524A34"/>
    <w:rsid w:val="00525596"/>
    <w:rsid w:val="00526115"/>
    <w:rsid w:val="0053031F"/>
    <w:rsid w:val="0053192C"/>
    <w:rsid w:val="00533CF4"/>
    <w:rsid w:val="00533FAF"/>
    <w:rsid w:val="00535DA7"/>
    <w:rsid w:val="005366B6"/>
    <w:rsid w:val="00537450"/>
    <w:rsid w:val="00537DAB"/>
    <w:rsid w:val="0054254D"/>
    <w:rsid w:val="00542BA8"/>
    <w:rsid w:val="005456CB"/>
    <w:rsid w:val="0054581C"/>
    <w:rsid w:val="00547A81"/>
    <w:rsid w:val="005511CD"/>
    <w:rsid w:val="00551B41"/>
    <w:rsid w:val="005547EF"/>
    <w:rsid w:val="005554CF"/>
    <w:rsid w:val="00555832"/>
    <w:rsid w:val="00561A97"/>
    <w:rsid w:val="00561BE1"/>
    <w:rsid w:val="00561D7F"/>
    <w:rsid w:val="00563DAC"/>
    <w:rsid w:val="005647D2"/>
    <w:rsid w:val="005675E0"/>
    <w:rsid w:val="00570C00"/>
    <w:rsid w:val="00571DEC"/>
    <w:rsid w:val="005722E6"/>
    <w:rsid w:val="00574974"/>
    <w:rsid w:val="0057506E"/>
    <w:rsid w:val="0057575D"/>
    <w:rsid w:val="00580801"/>
    <w:rsid w:val="00581375"/>
    <w:rsid w:val="0058203F"/>
    <w:rsid w:val="0058206B"/>
    <w:rsid w:val="00583A9B"/>
    <w:rsid w:val="00585690"/>
    <w:rsid w:val="005857B4"/>
    <w:rsid w:val="00593B07"/>
    <w:rsid w:val="00595B33"/>
    <w:rsid w:val="0059662F"/>
    <w:rsid w:val="005A0988"/>
    <w:rsid w:val="005A199A"/>
    <w:rsid w:val="005A19E1"/>
    <w:rsid w:val="005A462F"/>
    <w:rsid w:val="005A668A"/>
    <w:rsid w:val="005A775E"/>
    <w:rsid w:val="005B1055"/>
    <w:rsid w:val="005B1E17"/>
    <w:rsid w:val="005B29C1"/>
    <w:rsid w:val="005B2DD8"/>
    <w:rsid w:val="005B496F"/>
    <w:rsid w:val="005B6A37"/>
    <w:rsid w:val="005B7ADA"/>
    <w:rsid w:val="005B7FDB"/>
    <w:rsid w:val="005C03FB"/>
    <w:rsid w:val="005C2189"/>
    <w:rsid w:val="005C6267"/>
    <w:rsid w:val="005D02D5"/>
    <w:rsid w:val="005D08F1"/>
    <w:rsid w:val="005D3066"/>
    <w:rsid w:val="005D3404"/>
    <w:rsid w:val="005D5B3C"/>
    <w:rsid w:val="005D6A3E"/>
    <w:rsid w:val="005E0AD9"/>
    <w:rsid w:val="005E1818"/>
    <w:rsid w:val="005E41D5"/>
    <w:rsid w:val="005E4B13"/>
    <w:rsid w:val="005E4C02"/>
    <w:rsid w:val="005E740B"/>
    <w:rsid w:val="005F01DF"/>
    <w:rsid w:val="005F4445"/>
    <w:rsid w:val="005F5743"/>
    <w:rsid w:val="005F76CC"/>
    <w:rsid w:val="005F797F"/>
    <w:rsid w:val="005F7EFD"/>
    <w:rsid w:val="005F7FF8"/>
    <w:rsid w:val="00600824"/>
    <w:rsid w:val="00600CA4"/>
    <w:rsid w:val="00602416"/>
    <w:rsid w:val="006041F2"/>
    <w:rsid w:val="00606480"/>
    <w:rsid w:val="00606550"/>
    <w:rsid w:val="006066CD"/>
    <w:rsid w:val="00607584"/>
    <w:rsid w:val="006155D8"/>
    <w:rsid w:val="0061624D"/>
    <w:rsid w:val="006165E8"/>
    <w:rsid w:val="0062152F"/>
    <w:rsid w:val="006225CA"/>
    <w:rsid w:val="00622E0F"/>
    <w:rsid w:val="00625C06"/>
    <w:rsid w:val="00625E15"/>
    <w:rsid w:val="00630574"/>
    <w:rsid w:val="006313C6"/>
    <w:rsid w:val="0063145F"/>
    <w:rsid w:val="00633176"/>
    <w:rsid w:val="00635A46"/>
    <w:rsid w:val="00637A1F"/>
    <w:rsid w:val="006404D6"/>
    <w:rsid w:val="006406DC"/>
    <w:rsid w:val="00640AEE"/>
    <w:rsid w:val="006447E4"/>
    <w:rsid w:val="00644BCD"/>
    <w:rsid w:val="0064659A"/>
    <w:rsid w:val="00646D1E"/>
    <w:rsid w:val="00646D7D"/>
    <w:rsid w:val="00647AA1"/>
    <w:rsid w:val="00650ACC"/>
    <w:rsid w:val="006527A9"/>
    <w:rsid w:val="00655066"/>
    <w:rsid w:val="00661D12"/>
    <w:rsid w:val="00662716"/>
    <w:rsid w:val="0066361B"/>
    <w:rsid w:val="00664754"/>
    <w:rsid w:val="006652F7"/>
    <w:rsid w:val="006654C1"/>
    <w:rsid w:val="00667187"/>
    <w:rsid w:val="00667514"/>
    <w:rsid w:val="00667984"/>
    <w:rsid w:val="00672321"/>
    <w:rsid w:val="00674E8C"/>
    <w:rsid w:val="00675A3D"/>
    <w:rsid w:val="0067683B"/>
    <w:rsid w:val="00677B13"/>
    <w:rsid w:val="00677F4E"/>
    <w:rsid w:val="00681A08"/>
    <w:rsid w:val="0068324E"/>
    <w:rsid w:val="006837B7"/>
    <w:rsid w:val="00684C29"/>
    <w:rsid w:val="006859E8"/>
    <w:rsid w:val="00685ECF"/>
    <w:rsid w:val="00686B48"/>
    <w:rsid w:val="006871D3"/>
    <w:rsid w:val="006875B8"/>
    <w:rsid w:val="00687CA4"/>
    <w:rsid w:val="00687CEA"/>
    <w:rsid w:val="00687D31"/>
    <w:rsid w:val="00693A64"/>
    <w:rsid w:val="00693E72"/>
    <w:rsid w:val="006941FF"/>
    <w:rsid w:val="00695B75"/>
    <w:rsid w:val="006A1A95"/>
    <w:rsid w:val="006A31F9"/>
    <w:rsid w:val="006A34B7"/>
    <w:rsid w:val="006A38B7"/>
    <w:rsid w:val="006A63C7"/>
    <w:rsid w:val="006A7519"/>
    <w:rsid w:val="006A764B"/>
    <w:rsid w:val="006B0386"/>
    <w:rsid w:val="006B141B"/>
    <w:rsid w:val="006B186C"/>
    <w:rsid w:val="006B1CB2"/>
    <w:rsid w:val="006B1DD1"/>
    <w:rsid w:val="006B2D3C"/>
    <w:rsid w:val="006B3396"/>
    <w:rsid w:val="006B3BD9"/>
    <w:rsid w:val="006B4695"/>
    <w:rsid w:val="006B7C7E"/>
    <w:rsid w:val="006C0129"/>
    <w:rsid w:val="006C05BA"/>
    <w:rsid w:val="006C160A"/>
    <w:rsid w:val="006C1C08"/>
    <w:rsid w:val="006C500E"/>
    <w:rsid w:val="006D281E"/>
    <w:rsid w:val="006D3ECB"/>
    <w:rsid w:val="006D4EB8"/>
    <w:rsid w:val="006D589F"/>
    <w:rsid w:val="006D638F"/>
    <w:rsid w:val="006E1985"/>
    <w:rsid w:val="006E2659"/>
    <w:rsid w:val="006E29CC"/>
    <w:rsid w:val="006E4D57"/>
    <w:rsid w:val="006E72EA"/>
    <w:rsid w:val="006E7BF7"/>
    <w:rsid w:val="006F0CBE"/>
    <w:rsid w:val="006F1110"/>
    <w:rsid w:val="006F1131"/>
    <w:rsid w:val="006F3F33"/>
    <w:rsid w:val="006F4E93"/>
    <w:rsid w:val="006F7C21"/>
    <w:rsid w:val="00703878"/>
    <w:rsid w:val="00704254"/>
    <w:rsid w:val="007053A8"/>
    <w:rsid w:val="007068C8"/>
    <w:rsid w:val="00707271"/>
    <w:rsid w:val="00710B17"/>
    <w:rsid w:val="00715B8F"/>
    <w:rsid w:val="007178BB"/>
    <w:rsid w:val="007202D5"/>
    <w:rsid w:val="00721F37"/>
    <w:rsid w:val="007238A0"/>
    <w:rsid w:val="00724F63"/>
    <w:rsid w:val="00725B71"/>
    <w:rsid w:val="007300CE"/>
    <w:rsid w:val="00730DD1"/>
    <w:rsid w:val="0073106E"/>
    <w:rsid w:val="00732012"/>
    <w:rsid w:val="00732460"/>
    <w:rsid w:val="007333D2"/>
    <w:rsid w:val="00740424"/>
    <w:rsid w:val="0074224D"/>
    <w:rsid w:val="007436CF"/>
    <w:rsid w:val="00746226"/>
    <w:rsid w:val="00750D7F"/>
    <w:rsid w:val="00753D81"/>
    <w:rsid w:val="007543D8"/>
    <w:rsid w:val="0075521A"/>
    <w:rsid w:val="00755B6C"/>
    <w:rsid w:val="00755ED1"/>
    <w:rsid w:val="007562DE"/>
    <w:rsid w:val="00756880"/>
    <w:rsid w:val="00756BB7"/>
    <w:rsid w:val="00757250"/>
    <w:rsid w:val="0075764B"/>
    <w:rsid w:val="00760C01"/>
    <w:rsid w:val="007611B3"/>
    <w:rsid w:val="00761293"/>
    <w:rsid w:val="00761439"/>
    <w:rsid w:val="007616AA"/>
    <w:rsid w:val="00763BD6"/>
    <w:rsid w:val="00763E19"/>
    <w:rsid w:val="00764052"/>
    <w:rsid w:val="007657A9"/>
    <w:rsid w:val="00766A1A"/>
    <w:rsid w:val="00767C04"/>
    <w:rsid w:val="0077055D"/>
    <w:rsid w:val="0077081E"/>
    <w:rsid w:val="00772604"/>
    <w:rsid w:val="007733DF"/>
    <w:rsid w:val="007736A2"/>
    <w:rsid w:val="00773F2E"/>
    <w:rsid w:val="00777736"/>
    <w:rsid w:val="00777BDC"/>
    <w:rsid w:val="007816B2"/>
    <w:rsid w:val="0078354D"/>
    <w:rsid w:val="0078595E"/>
    <w:rsid w:val="0079153C"/>
    <w:rsid w:val="00792E31"/>
    <w:rsid w:val="00794D3F"/>
    <w:rsid w:val="00796225"/>
    <w:rsid w:val="00796D1C"/>
    <w:rsid w:val="00796F33"/>
    <w:rsid w:val="007A0A16"/>
    <w:rsid w:val="007A1719"/>
    <w:rsid w:val="007A4041"/>
    <w:rsid w:val="007A6226"/>
    <w:rsid w:val="007B24C7"/>
    <w:rsid w:val="007B30E9"/>
    <w:rsid w:val="007B3C61"/>
    <w:rsid w:val="007B60D2"/>
    <w:rsid w:val="007B62F6"/>
    <w:rsid w:val="007C2D7B"/>
    <w:rsid w:val="007C364D"/>
    <w:rsid w:val="007C3D3D"/>
    <w:rsid w:val="007C42FA"/>
    <w:rsid w:val="007C4BAE"/>
    <w:rsid w:val="007C4E6E"/>
    <w:rsid w:val="007C666D"/>
    <w:rsid w:val="007D1918"/>
    <w:rsid w:val="007D2710"/>
    <w:rsid w:val="007D2D7E"/>
    <w:rsid w:val="007D3469"/>
    <w:rsid w:val="007D3BAF"/>
    <w:rsid w:val="007D7C51"/>
    <w:rsid w:val="007E1462"/>
    <w:rsid w:val="007E2563"/>
    <w:rsid w:val="007F1E7C"/>
    <w:rsid w:val="007F5CA1"/>
    <w:rsid w:val="007F65F5"/>
    <w:rsid w:val="007F7901"/>
    <w:rsid w:val="0080041B"/>
    <w:rsid w:val="00801631"/>
    <w:rsid w:val="00802AA4"/>
    <w:rsid w:val="00802EA9"/>
    <w:rsid w:val="00806560"/>
    <w:rsid w:val="00806841"/>
    <w:rsid w:val="00810E77"/>
    <w:rsid w:val="008122E2"/>
    <w:rsid w:val="00812D48"/>
    <w:rsid w:val="00813769"/>
    <w:rsid w:val="00816452"/>
    <w:rsid w:val="00816846"/>
    <w:rsid w:val="0082077C"/>
    <w:rsid w:val="00820920"/>
    <w:rsid w:val="00820D87"/>
    <w:rsid w:val="00822455"/>
    <w:rsid w:val="0082264B"/>
    <w:rsid w:val="00823AAA"/>
    <w:rsid w:val="008260F8"/>
    <w:rsid w:val="0082765B"/>
    <w:rsid w:val="008312BA"/>
    <w:rsid w:val="00834219"/>
    <w:rsid w:val="00835BD7"/>
    <w:rsid w:val="00842201"/>
    <w:rsid w:val="00843831"/>
    <w:rsid w:val="00843D71"/>
    <w:rsid w:val="0084745A"/>
    <w:rsid w:val="00850BC3"/>
    <w:rsid w:val="00857B2F"/>
    <w:rsid w:val="00860B2B"/>
    <w:rsid w:val="0086231C"/>
    <w:rsid w:val="008625D7"/>
    <w:rsid w:val="0086319C"/>
    <w:rsid w:val="008649CD"/>
    <w:rsid w:val="00870045"/>
    <w:rsid w:val="00870B37"/>
    <w:rsid w:val="00870E3E"/>
    <w:rsid w:val="008743AE"/>
    <w:rsid w:val="0087469E"/>
    <w:rsid w:val="00875DFB"/>
    <w:rsid w:val="00875F5E"/>
    <w:rsid w:val="0087687E"/>
    <w:rsid w:val="00876E5F"/>
    <w:rsid w:val="0088472F"/>
    <w:rsid w:val="00886537"/>
    <w:rsid w:val="0089057C"/>
    <w:rsid w:val="00890CE4"/>
    <w:rsid w:val="0089245F"/>
    <w:rsid w:val="00893FB7"/>
    <w:rsid w:val="00894E87"/>
    <w:rsid w:val="0089526F"/>
    <w:rsid w:val="008979FE"/>
    <w:rsid w:val="008A30C5"/>
    <w:rsid w:val="008A4882"/>
    <w:rsid w:val="008A6813"/>
    <w:rsid w:val="008B0E3C"/>
    <w:rsid w:val="008B1281"/>
    <w:rsid w:val="008B19FC"/>
    <w:rsid w:val="008B315B"/>
    <w:rsid w:val="008B3FEE"/>
    <w:rsid w:val="008B5253"/>
    <w:rsid w:val="008B59C2"/>
    <w:rsid w:val="008B5E55"/>
    <w:rsid w:val="008B7BE4"/>
    <w:rsid w:val="008C0317"/>
    <w:rsid w:val="008C21B4"/>
    <w:rsid w:val="008C3187"/>
    <w:rsid w:val="008C5E4F"/>
    <w:rsid w:val="008C69F9"/>
    <w:rsid w:val="008C6CF0"/>
    <w:rsid w:val="008D29AD"/>
    <w:rsid w:val="008D2B40"/>
    <w:rsid w:val="008D63B7"/>
    <w:rsid w:val="008D6A03"/>
    <w:rsid w:val="008E2F60"/>
    <w:rsid w:val="008E69BB"/>
    <w:rsid w:val="008E71FB"/>
    <w:rsid w:val="008E7F86"/>
    <w:rsid w:val="008E7FEE"/>
    <w:rsid w:val="008F06C0"/>
    <w:rsid w:val="008F5F9C"/>
    <w:rsid w:val="008F67F5"/>
    <w:rsid w:val="008F6A86"/>
    <w:rsid w:val="008F6BCE"/>
    <w:rsid w:val="008F71B5"/>
    <w:rsid w:val="00900B15"/>
    <w:rsid w:val="00900D4B"/>
    <w:rsid w:val="00901FAC"/>
    <w:rsid w:val="0090389A"/>
    <w:rsid w:val="00907486"/>
    <w:rsid w:val="009143D0"/>
    <w:rsid w:val="00914DB1"/>
    <w:rsid w:val="009170B9"/>
    <w:rsid w:val="00921958"/>
    <w:rsid w:val="009228E9"/>
    <w:rsid w:val="00924544"/>
    <w:rsid w:val="00925320"/>
    <w:rsid w:val="009260BB"/>
    <w:rsid w:val="00927482"/>
    <w:rsid w:val="00933812"/>
    <w:rsid w:val="009355BA"/>
    <w:rsid w:val="009367A7"/>
    <w:rsid w:val="00937C5C"/>
    <w:rsid w:val="009404F1"/>
    <w:rsid w:val="0094133A"/>
    <w:rsid w:val="009422F9"/>
    <w:rsid w:val="00942780"/>
    <w:rsid w:val="00942B11"/>
    <w:rsid w:val="00945B6B"/>
    <w:rsid w:val="00946F06"/>
    <w:rsid w:val="00947108"/>
    <w:rsid w:val="009508C3"/>
    <w:rsid w:val="0095103A"/>
    <w:rsid w:val="0095112B"/>
    <w:rsid w:val="00953A2B"/>
    <w:rsid w:val="00956461"/>
    <w:rsid w:val="009603E0"/>
    <w:rsid w:val="00961513"/>
    <w:rsid w:val="00963551"/>
    <w:rsid w:val="009669CF"/>
    <w:rsid w:val="009677CD"/>
    <w:rsid w:val="00967D53"/>
    <w:rsid w:val="0097089C"/>
    <w:rsid w:val="00971D03"/>
    <w:rsid w:val="00972C1C"/>
    <w:rsid w:val="009732DD"/>
    <w:rsid w:val="00973A6D"/>
    <w:rsid w:val="00974E0E"/>
    <w:rsid w:val="00977545"/>
    <w:rsid w:val="00980158"/>
    <w:rsid w:val="00980FE9"/>
    <w:rsid w:val="00980FED"/>
    <w:rsid w:val="009865AA"/>
    <w:rsid w:val="009865F2"/>
    <w:rsid w:val="00986D46"/>
    <w:rsid w:val="00986E87"/>
    <w:rsid w:val="00987080"/>
    <w:rsid w:val="0098765A"/>
    <w:rsid w:val="00995D7E"/>
    <w:rsid w:val="009968B0"/>
    <w:rsid w:val="00997943"/>
    <w:rsid w:val="00997FDA"/>
    <w:rsid w:val="009A13C1"/>
    <w:rsid w:val="009A4692"/>
    <w:rsid w:val="009A5E7B"/>
    <w:rsid w:val="009A6178"/>
    <w:rsid w:val="009A6CB2"/>
    <w:rsid w:val="009B0982"/>
    <w:rsid w:val="009B0F1E"/>
    <w:rsid w:val="009B16DC"/>
    <w:rsid w:val="009B2013"/>
    <w:rsid w:val="009B259A"/>
    <w:rsid w:val="009B4C99"/>
    <w:rsid w:val="009B6EF6"/>
    <w:rsid w:val="009C3462"/>
    <w:rsid w:val="009C42CE"/>
    <w:rsid w:val="009C5054"/>
    <w:rsid w:val="009C50E1"/>
    <w:rsid w:val="009C5186"/>
    <w:rsid w:val="009C6917"/>
    <w:rsid w:val="009D20B5"/>
    <w:rsid w:val="009D28CF"/>
    <w:rsid w:val="009D634C"/>
    <w:rsid w:val="009E4272"/>
    <w:rsid w:val="009E45E2"/>
    <w:rsid w:val="009E5D36"/>
    <w:rsid w:val="009E6301"/>
    <w:rsid w:val="009E6E7D"/>
    <w:rsid w:val="009E7CA0"/>
    <w:rsid w:val="009F094B"/>
    <w:rsid w:val="009F692B"/>
    <w:rsid w:val="009F70BB"/>
    <w:rsid w:val="00A0000F"/>
    <w:rsid w:val="00A04392"/>
    <w:rsid w:val="00A04C8F"/>
    <w:rsid w:val="00A069C9"/>
    <w:rsid w:val="00A134BC"/>
    <w:rsid w:val="00A15D62"/>
    <w:rsid w:val="00A16003"/>
    <w:rsid w:val="00A16227"/>
    <w:rsid w:val="00A167D7"/>
    <w:rsid w:val="00A24CA2"/>
    <w:rsid w:val="00A24FBB"/>
    <w:rsid w:val="00A2643A"/>
    <w:rsid w:val="00A26C9B"/>
    <w:rsid w:val="00A302C9"/>
    <w:rsid w:val="00A313C6"/>
    <w:rsid w:val="00A317D5"/>
    <w:rsid w:val="00A3186C"/>
    <w:rsid w:val="00A32A14"/>
    <w:rsid w:val="00A34DC9"/>
    <w:rsid w:val="00A36309"/>
    <w:rsid w:val="00A37D64"/>
    <w:rsid w:val="00A40DFC"/>
    <w:rsid w:val="00A4145C"/>
    <w:rsid w:val="00A42ED2"/>
    <w:rsid w:val="00A44B33"/>
    <w:rsid w:val="00A45A2C"/>
    <w:rsid w:val="00A468DE"/>
    <w:rsid w:val="00A50919"/>
    <w:rsid w:val="00A50E00"/>
    <w:rsid w:val="00A51914"/>
    <w:rsid w:val="00A51C52"/>
    <w:rsid w:val="00A523B9"/>
    <w:rsid w:val="00A52529"/>
    <w:rsid w:val="00A53624"/>
    <w:rsid w:val="00A53F3E"/>
    <w:rsid w:val="00A54729"/>
    <w:rsid w:val="00A55EE6"/>
    <w:rsid w:val="00A5766B"/>
    <w:rsid w:val="00A603A4"/>
    <w:rsid w:val="00A61526"/>
    <w:rsid w:val="00A62E98"/>
    <w:rsid w:val="00A653DD"/>
    <w:rsid w:val="00A65E28"/>
    <w:rsid w:val="00A66AB0"/>
    <w:rsid w:val="00A66C7A"/>
    <w:rsid w:val="00A66F57"/>
    <w:rsid w:val="00A70DA5"/>
    <w:rsid w:val="00A719DF"/>
    <w:rsid w:val="00A7415E"/>
    <w:rsid w:val="00A76245"/>
    <w:rsid w:val="00A774BD"/>
    <w:rsid w:val="00A80552"/>
    <w:rsid w:val="00A839B4"/>
    <w:rsid w:val="00A840D6"/>
    <w:rsid w:val="00A849C3"/>
    <w:rsid w:val="00A863E3"/>
    <w:rsid w:val="00A90098"/>
    <w:rsid w:val="00A90FAE"/>
    <w:rsid w:val="00A92A99"/>
    <w:rsid w:val="00A93BB4"/>
    <w:rsid w:val="00AA04A5"/>
    <w:rsid w:val="00AA2A98"/>
    <w:rsid w:val="00AA4204"/>
    <w:rsid w:val="00AA469C"/>
    <w:rsid w:val="00AA4DDE"/>
    <w:rsid w:val="00AA63CC"/>
    <w:rsid w:val="00AB1063"/>
    <w:rsid w:val="00AB119B"/>
    <w:rsid w:val="00AB3A92"/>
    <w:rsid w:val="00AB478B"/>
    <w:rsid w:val="00AB4AD9"/>
    <w:rsid w:val="00AB604C"/>
    <w:rsid w:val="00AB7CDC"/>
    <w:rsid w:val="00AC1328"/>
    <w:rsid w:val="00AC3961"/>
    <w:rsid w:val="00AC6576"/>
    <w:rsid w:val="00AC7C25"/>
    <w:rsid w:val="00AD4265"/>
    <w:rsid w:val="00AD5083"/>
    <w:rsid w:val="00AD6E77"/>
    <w:rsid w:val="00AD76BB"/>
    <w:rsid w:val="00AD7A25"/>
    <w:rsid w:val="00AE0AA3"/>
    <w:rsid w:val="00AE5427"/>
    <w:rsid w:val="00AE5A59"/>
    <w:rsid w:val="00AE6DD5"/>
    <w:rsid w:val="00AF02A5"/>
    <w:rsid w:val="00AF0A0D"/>
    <w:rsid w:val="00AF1FA9"/>
    <w:rsid w:val="00AF2F42"/>
    <w:rsid w:val="00AF3A5A"/>
    <w:rsid w:val="00AF5218"/>
    <w:rsid w:val="00B011BF"/>
    <w:rsid w:val="00B0480E"/>
    <w:rsid w:val="00B055B8"/>
    <w:rsid w:val="00B07626"/>
    <w:rsid w:val="00B1026A"/>
    <w:rsid w:val="00B21166"/>
    <w:rsid w:val="00B23E7F"/>
    <w:rsid w:val="00B25E1D"/>
    <w:rsid w:val="00B263AE"/>
    <w:rsid w:val="00B32205"/>
    <w:rsid w:val="00B34BB5"/>
    <w:rsid w:val="00B40D96"/>
    <w:rsid w:val="00B41BA2"/>
    <w:rsid w:val="00B425B1"/>
    <w:rsid w:val="00B456E6"/>
    <w:rsid w:val="00B47091"/>
    <w:rsid w:val="00B5373E"/>
    <w:rsid w:val="00B53D66"/>
    <w:rsid w:val="00B56902"/>
    <w:rsid w:val="00B57FF7"/>
    <w:rsid w:val="00B60367"/>
    <w:rsid w:val="00B606E2"/>
    <w:rsid w:val="00B60E59"/>
    <w:rsid w:val="00B61475"/>
    <w:rsid w:val="00B62134"/>
    <w:rsid w:val="00B62C3E"/>
    <w:rsid w:val="00B645DE"/>
    <w:rsid w:val="00B65857"/>
    <w:rsid w:val="00B66279"/>
    <w:rsid w:val="00B66444"/>
    <w:rsid w:val="00B66698"/>
    <w:rsid w:val="00B701B6"/>
    <w:rsid w:val="00B710CE"/>
    <w:rsid w:val="00B727A1"/>
    <w:rsid w:val="00B745B5"/>
    <w:rsid w:val="00B745DC"/>
    <w:rsid w:val="00B77B7D"/>
    <w:rsid w:val="00B84350"/>
    <w:rsid w:val="00B855A6"/>
    <w:rsid w:val="00B9095C"/>
    <w:rsid w:val="00B91098"/>
    <w:rsid w:val="00B91904"/>
    <w:rsid w:val="00B92614"/>
    <w:rsid w:val="00B92735"/>
    <w:rsid w:val="00B93032"/>
    <w:rsid w:val="00B95606"/>
    <w:rsid w:val="00B960D7"/>
    <w:rsid w:val="00B9647E"/>
    <w:rsid w:val="00B969ED"/>
    <w:rsid w:val="00B9716B"/>
    <w:rsid w:val="00BA006A"/>
    <w:rsid w:val="00BA206D"/>
    <w:rsid w:val="00BA29B2"/>
    <w:rsid w:val="00BA4FB9"/>
    <w:rsid w:val="00BA7E93"/>
    <w:rsid w:val="00BB0D90"/>
    <w:rsid w:val="00BB60C6"/>
    <w:rsid w:val="00BB7984"/>
    <w:rsid w:val="00BC0BF1"/>
    <w:rsid w:val="00BC3EB9"/>
    <w:rsid w:val="00BC4623"/>
    <w:rsid w:val="00BC6A06"/>
    <w:rsid w:val="00BC6D52"/>
    <w:rsid w:val="00BD0301"/>
    <w:rsid w:val="00BD137C"/>
    <w:rsid w:val="00BD44DA"/>
    <w:rsid w:val="00BE1571"/>
    <w:rsid w:val="00BE1769"/>
    <w:rsid w:val="00BE29E2"/>
    <w:rsid w:val="00BE2FA3"/>
    <w:rsid w:val="00BE34A1"/>
    <w:rsid w:val="00BE3C57"/>
    <w:rsid w:val="00BE3E19"/>
    <w:rsid w:val="00BF1FF1"/>
    <w:rsid w:val="00BF2813"/>
    <w:rsid w:val="00BF69F1"/>
    <w:rsid w:val="00BF7AFC"/>
    <w:rsid w:val="00C01396"/>
    <w:rsid w:val="00C01758"/>
    <w:rsid w:val="00C02B87"/>
    <w:rsid w:val="00C03596"/>
    <w:rsid w:val="00C07266"/>
    <w:rsid w:val="00C11146"/>
    <w:rsid w:val="00C129F6"/>
    <w:rsid w:val="00C13999"/>
    <w:rsid w:val="00C1486A"/>
    <w:rsid w:val="00C157F1"/>
    <w:rsid w:val="00C15A13"/>
    <w:rsid w:val="00C233E6"/>
    <w:rsid w:val="00C238D9"/>
    <w:rsid w:val="00C2459D"/>
    <w:rsid w:val="00C24A9D"/>
    <w:rsid w:val="00C24BBF"/>
    <w:rsid w:val="00C256DE"/>
    <w:rsid w:val="00C25934"/>
    <w:rsid w:val="00C2614D"/>
    <w:rsid w:val="00C2677E"/>
    <w:rsid w:val="00C31542"/>
    <w:rsid w:val="00C32FC8"/>
    <w:rsid w:val="00C333EF"/>
    <w:rsid w:val="00C35BB8"/>
    <w:rsid w:val="00C41087"/>
    <w:rsid w:val="00C4288F"/>
    <w:rsid w:val="00C42C63"/>
    <w:rsid w:val="00C43373"/>
    <w:rsid w:val="00C43910"/>
    <w:rsid w:val="00C43FF6"/>
    <w:rsid w:val="00C45689"/>
    <w:rsid w:val="00C47524"/>
    <w:rsid w:val="00C47DCC"/>
    <w:rsid w:val="00C52DC9"/>
    <w:rsid w:val="00C52F31"/>
    <w:rsid w:val="00C533AF"/>
    <w:rsid w:val="00C53583"/>
    <w:rsid w:val="00C562ED"/>
    <w:rsid w:val="00C57D40"/>
    <w:rsid w:val="00C57FEC"/>
    <w:rsid w:val="00C604D7"/>
    <w:rsid w:val="00C606EE"/>
    <w:rsid w:val="00C6078D"/>
    <w:rsid w:val="00C6570C"/>
    <w:rsid w:val="00C657CF"/>
    <w:rsid w:val="00C701BC"/>
    <w:rsid w:val="00C7379A"/>
    <w:rsid w:val="00C7433C"/>
    <w:rsid w:val="00C77424"/>
    <w:rsid w:val="00C80D62"/>
    <w:rsid w:val="00C8390B"/>
    <w:rsid w:val="00C83AAD"/>
    <w:rsid w:val="00C84A3D"/>
    <w:rsid w:val="00C86A5E"/>
    <w:rsid w:val="00C872F2"/>
    <w:rsid w:val="00C92539"/>
    <w:rsid w:val="00C92EBE"/>
    <w:rsid w:val="00C96BFD"/>
    <w:rsid w:val="00CA150E"/>
    <w:rsid w:val="00CA1B9E"/>
    <w:rsid w:val="00CA22DA"/>
    <w:rsid w:val="00CA5358"/>
    <w:rsid w:val="00CA5405"/>
    <w:rsid w:val="00CB19FD"/>
    <w:rsid w:val="00CB468D"/>
    <w:rsid w:val="00CB72EF"/>
    <w:rsid w:val="00CB756E"/>
    <w:rsid w:val="00CC22E6"/>
    <w:rsid w:val="00CD06F1"/>
    <w:rsid w:val="00CD3782"/>
    <w:rsid w:val="00CD4F2B"/>
    <w:rsid w:val="00CD502A"/>
    <w:rsid w:val="00CD75A2"/>
    <w:rsid w:val="00CE0C1D"/>
    <w:rsid w:val="00CE0D7C"/>
    <w:rsid w:val="00CE4034"/>
    <w:rsid w:val="00CE7861"/>
    <w:rsid w:val="00CE797D"/>
    <w:rsid w:val="00CF0C47"/>
    <w:rsid w:val="00CF12CF"/>
    <w:rsid w:val="00CF2A9D"/>
    <w:rsid w:val="00CF361C"/>
    <w:rsid w:val="00CF46AF"/>
    <w:rsid w:val="00CF516B"/>
    <w:rsid w:val="00CF597F"/>
    <w:rsid w:val="00D03FEC"/>
    <w:rsid w:val="00D060D2"/>
    <w:rsid w:val="00D14394"/>
    <w:rsid w:val="00D2093D"/>
    <w:rsid w:val="00D242CD"/>
    <w:rsid w:val="00D2616A"/>
    <w:rsid w:val="00D32104"/>
    <w:rsid w:val="00D3347A"/>
    <w:rsid w:val="00D341C3"/>
    <w:rsid w:val="00D352AC"/>
    <w:rsid w:val="00D3602E"/>
    <w:rsid w:val="00D42843"/>
    <w:rsid w:val="00D43192"/>
    <w:rsid w:val="00D43929"/>
    <w:rsid w:val="00D45487"/>
    <w:rsid w:val="00D45DDE"/>
    <w:rsid w:val="00D47E50"/>
    <w:rsid w:val="00D47F84"/>
    <w:rsid w:val="00D5152A"/>
    <w:rsid w:val="00D52371"/>
    <w:rsid w:val="00D53F4D"/>
    <w:rsid w:val="00D5550D"/>
    <w:rsid w:val="00D55BC6"/>
    <w:rsid w:val="00D60949"/>
    <w:rsid w:val="00D60EF7"/>
    <w:rsid w:val="00D61C01"/>
    <w:rsid w:val="00D65145"/>
    <w:rsid w:val="00D66902"/>
    <w:rsid w:val="00D74314"/>
    <w:rsid w:val="00D82674"/>
    <w:rsid w:val="00D834A0"/>
    <w:rsid w:val="00D84337"/>
    <w:rsid w:val="00D843AD"/>
    <w:rsid w:val="00D848FE"/>
    <w:rsid w:val="00D84A9D"/>
    <w:rsid w:val="00D85ACD"/>
    <w:rsid w:val="00D872C3"/>
    <w:rsid w:val="00D87CF7"/>
    <w:rsid w:val="00D90C46"/>
    <w:rsid w:val="00D90C8B"/>
    <w:rsid w:val="00D918B8"/>
    <w:rsid w:val="00D91D39"/>
    <w:rsid w:val="00D92505"/>
    <w:rsid w:val="00D95928"/>
    <w:rsid w:val="00D95FB7"/>
    <w:rsid w:val="00D970D9"/>
    <w:rsid w:val="00D97350"/>
    <w:rsid w:val="00DA0E9B"/>
    <w:rsid w:val="00DA1805"/>
    <w:rsid w:val="00DA267C"/>
    <w:rsid w:val="00DA2872"/>
    <w:rsid w:val="00DA5101"/>
    <w:rsid w:val="00DA79EF"/>
    <w:rsid w:val="00DB0C0B"/>
    <w:rsid w:val="00DB2AA6"/>
    <w:rsid w:val="00DB349C"/>
    <w:rsid w:val="00DB39D1"/>
    <w:rsid w:val="00DB3B74"/>
    <w:rsid w:val="00DB5133"/>
    <w:rsid w:val="00DC02CA"/>
    <w:rsid w:val="00DC1F8D"/>
    <w:rsid w:val="00DC5870"/>
    <w:rsid w:val="00DD0384"/>
    <w:rsid w:val="00DD0901"/>
    <w:rsid w:val="00DD138D"/>
    <w:rsid w:val="00DD199E"/>
    <w:rsid w:val="00DD3BD0"/>
    <w:rsid w:val="00DD3DD8"/>
    <w:rsid w:val="00DE08F8"/>
    <w:rsid w:val="00DE16B6"/>
    <w:rsid w:val="00DE36CA"/>
    <w:rsid w:val="00DE4054"/>
    <w:rsid w:val="00DE4688"/>
    <w:rsid w:val="00DE4E1D"/>
    <w:rsid w:val="00DE6711"/>
    <w:rsid w:val="00DE68B4"/>
    <w:rsid w:val="00DE7823"/>
    <w:rsid w:val="00DE7E63"/>
    <w:rsid w:val="00DF270E"/>
    <w:rsid w:val="00DF2911"/>
    <w:rsid w:val="00DF2CEE"/>
    <w:rsid w:val="00DF2E5B"/>
    <w:rsid w:val="00E013C3"/>
    <w:rsid w:val="00E01E02"/>
    <w:rsid w:val="00E05340"/>
    <w:rsid w:val="00E05A38"/>
    <w:rsid w:val="00E05F63"/>
    <w:rsid w:val="00E1174A"/>
    <w:rsid w:val="00E11BAB"/>
    <w:rsid w:val="00E12388"/>
    <w:rsid w:val="00E14FA2"/>
    <w:rsid w:val="00E233A5"/>
    <w:rsid w:val="00E26D66"/>
    <w:rsid w:val="00E30A95"/>
    <w:rsid w:val="00E35048"/>
    <w:rsid w:val="00E367C5"/>
    <w:rsid w:val="00E36AEA"/>
    <w:rsid w:val="00E3713E"/>
    <w:rsid w:val="00E37E71"/>
    <w:rsid w:val="00E412C8"/>
    <w:rsid w:val="00E42847"/>
    <w:rsid w:val="00E45F25"/>
    <w:rsid w:val="00E46064"/>
    <w:rsid w:val="00E470B6"/>
    <w:rsid w:val="00E57149"/>
    <w:rsid w:val="00E5782C"/>
    <w:rsid w:val="00E57F71"/>
    <w:rsid w:val="00E604A1"/>
    <w:rsid w:val="00E615A8"/>
    <w:rsid w:val="00E620D6"/>
    <w:rsid w:val="00E626FA"/>
    <w:rsid w:val="00E62DF9"/>
    <w:rsid w:val="00E72170"/>
    <w:rsid w:val="00E739BC"/>
    <w:rsid w:val="00E73AA8"/>
    <w:rsid w:val="00E7715F"/>
    <w:rsid w:val="00E80228"/>
    <w:rsid w:val="00E81A2F"/>
    <w:rsid w:val="00E8203C"/>
    <w:rsid w:val="00E8270B"/>
    <w:rsid w:val="00E8295A"/>
    <w:rsid w:val="00E84D4A"/>
    <w:rsid w:val="00E86D5F"/>
    <w:rsid w:val="00E876A8"/>
    <w:rsid w:val="00E939AF"/>
    <w:rsid w:val="00E946D4"/>
    <w:rsid w:val="00E95472"/>
    <w:rsid w:val="00EA147E"/>
    <w:rsid w:val="00EA273E"/>
    <w:rsid w:val="00EA2CBE"/>
    <w:rsid w:val="00EA2ED4"/>
    <w:rsid w:val="00EA491A"/>
    <w:rsid w:val="00EB07F9"/>
    <w:rsid w:val="00EB1583"/>
    <w:rsid w:val="00EB4B3C"/>
    <w:rsid w:val="00EB7086"/>
    <w:rsid w:val="00EC23FB"/>
    <w:rsid w:val="00EC26F3"/>
    <w:rsid w:val="00EC4562"/>
    <w:rsid w:val="00EC5896"/>
    <w:rsid w:val="00EC6800"/>
    <w:rsid w:val="00ED084A"/>
    <w:rsid w:val="00ED1218"/>
    <w:rsid w:val="00ED124D"/>
    <w:rsid w:val="00ED167D"/>
    <w:rsid w:val="00ED6A47"/>
    <w:rsid w:val="00ED7681"/>
    <w:rsid w:val="00EE13BC"/>
    <w:rsid w:val="00EE18FA"/>
    <w:rsid w:val="00EE1E28"/>
    <w:rsid w:val="00EE2BFF"/>
    <w:rsid w:val="00EE340B"/>
    <w:rsid w:val="00EE41C2"/>
    <w:rsid w:val="00EE4DD4"/>
    <w:rsid w:val="00EE5386"/>
    <w:rsid w:val="00EE7990"/>
    <w:rsid w:val="00EF010A"/>
    <w:rsid w:val="00EF1C57"/>
    <w:rsid w:val="00EF5034"/>
    <w:rsid w:val="00EF63C6"/>
    <w:rsid w:val="00F0002B"/>
    <w:rsid w:val="00F00253"/>
    <w:rsid w:val="00F018E0"/>
    <w:rsid w:val="00F01FC2"/>
    <w:rsid w:val="00F02E35"/>
    <w:rsid w:val="00F02E6E"/>
    <w:rsid w:val="00F034FB"/>
    <w:rsid w:val="00F036E0"/>
    <w:rsid w:val="00F0400A"/>
    <w:rsid w:val="00F048ED"/>
    <w:rsid w:val="00F05606"/>
    <w:rsid w:val="00F06BF8"/>
    <w:rsid w:val="00F105F5"/>
    <w:rsid w:val="00F1075A"/>
    <w:rsid w:val="00F13DF1"/>
    <w:rsid w:val="00F1474D"/>
    <w:rsid w:val="00F17CE1"/>
    <w:rsid w:val="00F2082E"/>
    <w:rsid w:val="00F22E82"/>
    <w:rsid w:val="00F232A8"/>
    <w:rsid w:val="00F26406"/>
    <w:rsid w:val="00F27EC6"/>
    <w:rsid w:val="00F30211"/>
    <w:rsid w:val="00F3277D"/>
    <w:rsid w:val="00F337BF"/>
    <w:rsid w:val="00F33D14"/>
    <w:rsid w:val="00F36295"/>
    <w:rsid w:val="00F45338"/>
    <w:rsid w:val="00F463F1"/>
    <w:rsid w:val="00F473B6"/>
    <w:rsid w:val="00F52B8B"/>
    <w:rsid w:val="00F52CA8"/>
    <w:rsid w:val="00F52E57"/>
    <w:rsid w:val="00F5371D"/>
    <w:rsid w:val="00F53DC7"/>
    <w:rsid w:val="00F53E06"/>
    <w:rsid w:val="00F54188"/>
    <w:rsid w:val="00F54CC0"/>
    <w:rsid w:val="00F5693F"/>
    <w:rsid w:val="00F60476"/>
    <w:rsid w:val="00F61BF0"/>
    <w:rsid w:val="00F648CE"/>
    <w:rsid w:val="00F652C7"/>
    <w:rsid w:val="00F66D19"/>
    <w:rsid w:val="00F70165"/>
    <w:rsid w:val="00F70CB0"/>
    <w:rsid w:val="00F727A5"/>
    <w:rsid w:val="00F76C51"/>
    <w:rsid w:val="00F8033D"/>
    <w:rsid w:val="00F8039B"/>
    <w:rsid w:val="00F80E09"/>
    <w:rsid w:val="00F8147B"/>
    <w:rsid w:val="00F847A9"/>
    <w:rsid w:val="00F84BB8"/>
    <w:rsid w:val="00F856CA"/>
    <w:rsid w:val="00F860CF"/>
    <w:rsid w:val="00F8772E"/>
    <w:rsid w:val="00F93A90"/>
    <w:rsid w:val="00F942A2"/>
    <w:rsid w:val="00F95030"/>
    <w:rsid w:val="00F95CB6"/>
    <w:rsid w:val="00FA0340"/>
    <w:rsid w:val="00FA4044"/>
    <w:rsid w:val="00FA5041"/>
    <w:rsid w:val="00FA5562"/>
    <w:rsid w:val="00FA5CC1"/>
    <w:rsid w:val="00FA5FE9"/>
    <w:rsid w:val="00FA67D2"/>
    <w:rsid w:val="00FB302F"/>
    <w:rsid w:val="00FB5A92"/>
    <w:rsid w:val="00FB7F4E"/>
    <w:rsid w:val="00FC1C69"/>
    <w:rsid w:val="00FC3739"/>
    <w:rsid w:val="00FC5282"/>
    <w:rsid w:val="00FC6D8C"/>
    <w:rsid w:val="00FD0651"/>
    <w:rsid w:val="00FD6B84"/>
    <w:rsid w:val="00FE09B0"/>
    <w:rsid w:val="00FE0C3E"/>
    <w:rsid w:val="00FE3301"/>
    <w:rsid w:val="00FE3485"/>
    <w:rsid w:val="00FE55E4"/>
    <w:rsid w:val="00FE5605"/>
    <w:rsid w:val="00FE5AD9"/>
    <w:rsid w:val="00FE7A33"/>
    <w:rsid w:val="00FF003C"/>
    <w:rsid w:val="00FF2C97"/>
    <w:rsid w:val="00FF47F6"/>
    <w:rsid w:val="00FF6E9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 w:unhideWhenUsed="0" w:qFormat="1"/>
    <w:lsdException w:name="heading 6" w:semiHidden="0" w:uiPriority="1" w:unhideWhenUsed="0" w:qFormat="1"/>
    <w:lsdException w:name="heading 7" w:uiPriority="99" w:qFormat="1"/>
    <w:lsdException w:name="heading 8" w:uiPriority="99" w:qFormat="1"/>
    <w:lsdException w:name="heading 9" w:uiPriority="9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9" w:uiPriority="99"/>
    <w:lsdException w:name="annotation text" w:uiPriority="99"/>
    <w:lsdException w:name="caption" w:qFormat="1"/>
    <w:lsdException w:name="table of figures" w:uiPriority="99"/>
    <w:lsdException w:name="annotation reference" w:uiPriority="99"/>
    <w:lsdException w:name="page number" w:uiPriority="99" w:unhideWhenUsed="0"/>
    <w:lsdException w:name="endnote text" w:uiPriority="99"/>
    <w:lsdException w:name="table of authorities" w:uiPriority="99"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Document Map" w:uiPriority="99" w:unhideWhenUsed="0"/>
    <w:lsdException w:name="annotation subject" w:uiPriority="99"/>
    <w:lsdException w:name="No List" w:uiPriority="99"/>
    <w:lsdException w:name="Table Grid" w:semiHidden="0" w:uiPriority="59"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99" w:unhideWhenUsed="0"/>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E26D66"/>
    <w:pPr>
      <w:keepLines/>
    </w:pPr>
    <w:rPr>
      <w:rFonts w:eastAsiaTheme="minorHAnsi"/>
      <w:lang w:eastAsia="en-US"/>
    </w:rPr>
  </w:style>
  <w:style w:type="paragraph" w:styleId="Heading1">
    <w:name w:val="heading 1"/>
    <w:basedOn w:val="Normal"/>
    <w:next w:val="Normal"/>
    <w:link w:val="Heading1Char"/>
    <w:qFormat/>
    <w:rsid w:val="007202D5"/>
    <w:pPr>
      <w:keepNext/>
      <w:pageBreakBefore/>
      <w:spacing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7D3469"/>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7D3469"/>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7D3469"/>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7D3469"/>
    <w:pPr>
      <w:keepNext/>
      <w:spacing w:before="360"/>
      <w:outlineLvl w:val="4"/>
    </w:pPr>
    <w:rPr>
      <w:b/>
      <w:bCs/>
      <w:iCs/>
      <w:szCs w:val="26"/>
    </w:rPr>
  </w:style>
  <w:style w:type="paragraph" w:styleId="Heading6">
    <w:name w:val="heading 6"/>
    <w:basedOn w:val="Normal"/>
    <w:next w:val="Normal"/>
    <w:link w:val="Heading6Char"/>
    <w:uiPriority w:val="1"/>
    <w:semiHidden/>
    <w:qFormat/>
    <w:rsid w:val="007D3469"/>
    <w:pPr>
      <w:spacing w:before="360"/>
      <w:outlineLvl w:val="5"/>
    </w:pPr>
    <w:rPr>
      <w:b/>
      <w:bCs/>
      <w:i/>
      <w:szCs w:val="22"/>
    </w:rPr>
  </w:style>
  <w:style w:type="paragraph" w:styleId="Heading7">
    <w:name w:val="heading 7"/>
    <w:basedOn w:val="Normal"/>
    <w:next w:val="Normal"/>
    <w:uiPriority w:val="99"/>
    <w:semiHidden/>
    <w:qFormat/>
    <w:rsid w:val="007D3469"/>
    <w:pPr>
      <w:spacing w:after="60"/>
      <w:outlineLvl w:val="6"/>
    </w:pPr>
  </w:style>
  <w:style w:type="paragraph" w:styleId="Heading8">
    <w:name w:val="heading 8"/>
    <w:basedOn w:val="Normal"/>
    <w:next w:val="Normal"/>
    <w:uiPriority w:val="99"/>
    <w:semiHidden/>
    <w:qFormat/>
    <w:rsid w:val="007D3469"/>
    <w:pPr>
      <w:spacing w:after="60"/>
      <w:outlineLvl w:val="7"/>
    </w:pPr>
    <w:rPr>
      <w:i/>
      <w:iCs/>
    </w:rPr>
  </w:style>
  <w:style w:type="paragraph" w:styleId="Heading9">
    <w:name w:val="heading 9"/>
    <w:basedOn w:val="Normal"/>
    <w:next w:val="Normal"/>
    <w:uiPriority w:val="99"/>
    <w:semiHidden/>
    <w:qFormat/>
    <w:rsid w:val="007D3469"/>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7D3469"/>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rsid w:val="005F76CC"/>
    <w:pPr>
      <w:spacing w:before="40" w:after="40"/>
      <w:contextualSpacing/>
    </w:pPr>
    <w:rPr>
      <w:i/>
      <w:sz w:val="20"/>
    </w:rPr>
  </w:style>
  <w:style w:type="paragraph" w:styleId="Header">
    <w:name w:val="header"/>
    <w:basedOn w:val="Normal"/>
    <w:rsid w:val="00DD3BD0"/>
    <w:pPr>
      <w:spacing w:before="40" w:after="40"/>
    </w:pPr>
    <w:rPr>
      <w:color w:val="808080" w:themeColor="background1" w:themeShade="80"/>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7202D5"/>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7D3469"/>
    <w:rPr>
      <w:b/>
      <w:bCs/>
    </w:rPr>
  </w:style>
  <w:style w:type="paragraph" w:styleId="Subtitle">
    <w:name w:val="Subtitle"/>
    <w:basedOn w:val="Normal"/>
    <w:uiPriority w:val="1"/>
    <w:semiHidden/>
    <w:qFormat/>
    <w:rsid w:val="007D3469"/>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7D3469"/>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semiHidden/>
    <w:rsid w:val="00E367C5"/>
    <w:pPr>
      <w:numPr>
        <w:numId w:val="8"/>
      </w:numPr>
      <w:outlineLvl w:val="5"/>
    </w:pPr>
  </w:style>
  <w:style w:type="paragraph" w:customStyle="1" w:styleId="Headingnumbered2">
    <w:name w:val="Heading numbered 2"/>
    <w:basedOn w:val="Heading2"/>
    <w:next w:val="Normal"/>
    <w:uiPriority w:val="1"/>
    <w:semiHidden/>
    <w:rsid w:val="00E367C5"/>
    <w:pPr>
      <w:numPr>
        <w:ilvl w:val="1"/>
        <w:numId w:val="8"/>
      </w:numPr>
      <w:outlineLvl w:val="6"/>
    </w:pPr>
  </w:style>
  <w:style w:type="paragraph" w:customStyle="1" w:styleId="Headingnumbered3">
    <w:name w:val="Heading numbered 3"/>
    <w:basedOn w:val="Normal"/>
    <w:next w:val="Normal"/>
    <w:uiPriority w:val="1"/>
    <w:semiHidden/>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semiHidden/>
    <w:rsid w:val="00E367C5"/>
    <w:pPr>
      <w:numPr>
        <w:ilvl w:val="3"/>
        <w:numId w:val="8"/>
      </w:numPr>
      <w:spacing w:before="360"/>
    </w:pPr>
    <w:rPr>
      <w:b/>
      <w:i/>
      <w:color w:val="1F546B"/>
    </w:rPr>
  </w:style>
  <w:style w:type="paragraph" w:customStyle="1" w:styleId="Numberedpara1">
    <w:name w:val="Numbered para 1"/>
    <w:basedOn w:val="Numberedpara1heading"/>
    <w:semiHidden/>
    <w:rsid w:val="00A313C6"/>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A840D6"/>
    <w:pPr>
      <w:numPr>
        <w:numId w:val="5"/>
      </w:numPr>
      <w:spacing w:before="80" w:after="80"/>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28"/>
      </w:numPr>
      <w:spacing w:before="80" w:after="80"/>
    </w:pPr>
  </w:style>
  <w:style w:type="paragraph" w:customStyle="1" w:styleId="List123">
    <w:name w:val="List 1 2 3"/>
    <w:basedOn w:val="Normal"/>
    <w:rsid w:val="00CF12CF"/>
    <w:pPr>
      <w:numPr>
        <w:numId w:val="30"/>
      </w:numPr>
      <w:spacing w:before="80" w:after="80"/>
    </w:pPr>
  </w:style>
  <w:style w:type="paragraph" w:styleId="FootnoteText">
    <w:name w:val="footnote text"/>
    <w:basedOn w:val="Normal"/>
    <w:link w:val="FootnoteTextChar"/>
    <w:rsid w:val="00890CE4"/>
    <w:pPr>
      <w:spacing w:before="60" w:after="60" w:line="192" w:lineRule="auto"/>
      <w:ind w:left="130" w:hanging="130"/>
    </w:pPr>
    <w:rPr>
      <w:sz w:val="20"/>
      <w:szCs w:val="20"/>
    </w:rPr>
  </w:style>
  <w:style w:type="character" w:styleId="FootnoteReference">
    <w:name w:val="footnote reference"/>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basedOn w:val="DefaultParagraphFont"/>
    <w:link w:val="Heading2"/>
    <w:rsid w:val="007D3469"/>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7D3469"/>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7D3469"/>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B969ED"/>
    <w:pPr>
      <w:numPr>
        <w:numId w:val="7"/>
      </w:numPr>
      <w:tabs>
        <w:tab w:val="left" w:pos="2268"/>
      </w:tabs>
      <w:spacing w:before="0"/>
      <w:outlineLvl w:val="7"/>
    </w:pPr>
  </w:style>
  <w:style w:type="paragraph" w:customStyle="1" w:styleId="NotforContentsheading1">
    <w:name w:val="Not for Contents heading 1"/>
    <w:basedOn w:val="Normal"/>
    <w:next w:val="Normal"/>
    <w:rsid w:val="00B62134"/>
    <w:pPr>
      <w:keepNext/>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7D3469"/>
    <w:pPr>
      <w:numPr>
        <w:ilvl w:val="1"/>
        <w:numId w:val="28"/>
      </w:numPr>
      <w:spacing w:before="80" w:after="80"/>
    </w:pPr>
  </w:style>
  <w:style w:type="paragraph" w:customStyle="1" w:styleId="NotforContentsheading2">
    <w:name w:val="Not for Contents heading 2"/>
    <w:basedOn w:val="Normal"/>
    <w:next w:val="Normal"/>
    <w:rsid w:val="00E367C5"/>
    <w:pPr>
      <w:keepNext/>
      <w:spacing w:before="360"/>
    </w:pPr>
    <w:rPr>
      <w:b/>
      <w:color w:val="1F546B"/>
      <w:sz w:val="36"/>
    </w:rPr>
  </w:style>
  <w:style w:type="character" w:customStyle="1" w:styleId="Heading3Char">
    <w:name w:val="Heading 3 Char"/>
    <w:link w:val="Heading3"/>
    <w:rsid w:val="007D3469"/>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687CA4"/>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7D3469"/>
    <w:rPr>
      <w:i/>
      <w:iCs/>
    </w:rPr>
  </w:style>
  <w:style w:type="character" w:styleId="IntenseEmphasis">
    <w:name w:val="Intense Emphasis"/>
    <w:uiPriority w:val="99"/>
    <w:semiHidden/>
    <w:qFormat/>
    <w:rsid w:val="007D3469"/>
    <w:rPr>
      <w:b/>
      <w:i/>
    </w:rPr>
  </w:style>
  <w:style w:type="paragraph" w:styleId="ListParagraph">
    <w:name w:val="List Paragraph"/>
    <w:basedOn w:val="List123"/>
    <w:uiPriority w:val="34"/>
    <w:qFormat/>
    <w:rsid w:val="007D3469"/>
    <w:pPr>
      <w:numPr>
        <w:numId w:val="0"/>
      </w:numPr>
    </w:pPr>
  </w:style>
  <w:style w:type="character" w:customStyle="1" w:styleId="Heading5Char">
    <w:name w:val="Heading 5 Char"/>
    <w:basedOn w:val="DefaultParagraphFont"/>
    <w:link w:val="Heading5"/>
    <w:uiPriority w:val="1"/>
    <w:semiHidden/>
    <w:rsid w:val="007D3469"/>
    <w:rPr>
      <w:rFonts w:eastAsiaTheme="minorHAnsi"/>
      <w:b/>
      <w:bCs/>
      <w:iCs/>
      <w:szCs w:val="26"/>
      <w:lang w:eastAsia="en-US"/>
    </w:rPr>
  </w:style>
  <w:style w:type="character" w:styleId="SubtleReference">
    <w:name w:val="Subtle Reference"/>
    <w:basedOn w:val="DefaultParagraphFont"/>
    <w:uiPriority w:val="99"/>
    <w:semiHidden/>
    <w:qFormat/>
    <w:rsid w:val="007D3469"/>
    <w:rPr>
      <w:rFonts w:ascii="Calibri" w:hAnsi="Calibri"/>
      <w:smallCaps/>
      <w:color w:val="A42F13" w:themeColor="accent2"/>
      <w:u w:val="single"/>
    </w:rPr>
  </w:style>
  <w:style w:type="character" w:styleId="BookTitle">
    <w:name w:val="Book Title"/>
    <w:basedOn w:val="DefaultParagraphFont"/>
    <w:uiPriority w:val="33"/>
    <w:semiHidden/>
    <w:qFormat/>
    <w:rsid w:val="007D3469"/>
    <w:rPr>
      <w:rFonts w:ascii="Calibri" w:hAnsi="Calibri"/>
      <w:b/>
      <w:bCs/>
      <w:smallCaps/>
      <w:spacing w:val="5"/>
    </w:rPr>
  </w:style>
  <w:style w:type="character" w:styleId="IntenseReference">
    <w:name w:val="Intense Reference"/>
    <w:basedOn w:val="DefaultParagraphFont"/>
    <w:uiPriority w:val="99"/>
    <w:semiHidden/>
    <w:qFormat/>
    <w:rsid w:val="007D3469"/>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7D3469"/>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7D3469"/>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7D3469"/>
    <w:pPr>
      <w:spacing w:before="40" w:after="40"/>
    </w:pPr>
    <w:rPr>
      <w:sz w:val="22"/>
    </w:rPr>
  </w:style>
  <w:style w:type="character" w:customStyle="1" w:styleId="Heading6Char">
    <w:name w:val="Heading 6 Char"/>
    <w:basedOn w:val="DefaultParagraphFont"/>
    <w:link w:val="Heading6"/>
    <w:uiPriority w:val="1"/>
    <w:semiHidden/>
    <w:rsid w:val="007D3469"/>
    <w:rPr>
      <w:rFonts w:eastAsiaTheme="minorHAnsi"/>
      <w:b/>
      <w:bCs/>
      <w:i/>
      <w:szCs w:val="22"/>
      <w:lang w:eastAsia="en-US"/>
    </w:rPr>
  </w:style>
  <w:style w:type="paragraph" w:customStyle="1" w:styleId="ListABClevel3">
    <w:name w:val="List A B C level 3"/>
    <w:basedOn w:val="Normal"/>
    <w:uiPriority w:val="1"/>
    <w:semiHidden/>
    <w:qFormat/>
    <w:rsid w:val="007D3469"/>
    <w:pPr>
      <w:numPr>
        <w:ilvl w:val="2"/>
        <w:numId w:val="28"/>
      </w:numPr>
      <w:spacing w:before="80" w:after="80"/>
    </w:pPr>
  </w:style>
  <w:style w:type="paragraph" w:customStyle="1" w:styleId="List123level2">
    <w:name w:val="List 1 2 3 level 2"/>
    <w:basedOn w:val="Normal"/>
    <w:uiPriority w:val="1"/>
    <w:semiHidden/>
    <w:qFormat/>
    <w:rsid w:val="007D3469"/>
    <w:pPr>
      <w:numPr>
        <w:ilvl w:val="1"/>
        <w:numId w:val="30"/>
      </w:numPr>
      <w:spacing w:before="80" w:after="80"/>
    </w:pPr>
  </w:style>
  <w:style w:type="paragraph" w:customStyle="1" w:styleId="List123level3">
    <w:name w:val="List 1 2 3 level 3"/>
    <w:basedOn w:val="Normal"/>
    <w:uiPriority w:val="1"/>
    <w:semiHidden/>
    <w:qFormat/>
    <w:rsid w:val="007D3469"/>
    <w:pPr>
      <w:numPr>
        <w:ilvl w:val="2"/>
        <w:numId w:val="30"/>
      </w:numPr>
      <w:spacing w:before="80" w:after="80"/>
    </w:pPr>
  </w:style>
  <w:style w:type="paragraph" w:customStyle="1" w:styleId="Legislationsection">
    <w:name w:val="Legislation section"/>
    <w:basedOn w:val="Normal"/>
    <w:semiHidden/>
    <w:qFormat/>
    <w:rsid w:val="007D3469"/>
    <w:pPr>
      <w:keepNext/>
      <w:numPr>
        <w:numId w:val="34"/>
      </w:numPr>
      <w:tabs>
        <w:tab w:val="left" w:pos="567"/>
      </w:tabs>
      <w:spacing w:after="60"/>
    </w:pPr>
    <w:rPr>
      <w:b/>
      <w:sz w:val="22"/>
    </w:rPr>
  </w:style>
  <w:style w:type="paragraph" w:customStyle="1" w:styleId="Legislationnumber">
    <w:name w:val="Legislation number"/>
    <w:basedOn w:val="Normal"/>
    <w:semiHidden/>
    <w:qFormat/>
    <w:rsid w:val="007D3469"/>
    <w:pPr>
      <w:numPr>
        <w:numId w:val="32"/>
      </w:numPr>
      <w:tabs>
        <w:tab w:val="left" w:pos="567"/>
      </w:tabs>
      <w:spacing w:before="60" w:after="60"/>
    </w:pPr>
    <w:rPr>
      <w:sz w:val="22"/>
    </w:rPr>
  </w:style>
  <w:style w:type="paragraph" w:customStyle="1" w:styleId="Legislationa">
    <w:name w:val="Legislation (a)"/>
    <w:basedOn w:val="Normal"/>
    <w:semiHidden/>
    <w:qFormat/>
    <w:rsid w:val="007D3469"/>
    <w:pPr>
      <w:numPr>
        <w:ilvl w:val="2"/>
        <w:numId w:val="34"/>
      </w:numPr>
      <w:spacing w:before="60" w:after="60"/>
    </w:pPr>
    <w:rPr>
      <w:sz w:val="22"/>
    </w:rPr>
  </w:style>
  <w:style w:type="paragraph" w:customStyle="1" w:styleId="Legislationi">
    <w:name w:val="Legislation (i)"/>
    <w:basedOn w:val="Normal"/>
    <w:semiHidden/>
    <w:qFormat/>
    <w:rsid w:val="007D3469"/>
    <w:pPr>
      <w:numPr>
        <w:ilvl w:val="3"/>
        <w:numId w:val="34"/>
      </w:numPr>
      <w:spacing w:before="60" w:after="60"/>
    </w:pPr>
    <w:rPr>
      <w:sz w:val="22"/>
    </w:rPr>
  </w:style>
  <w:style w:type="paragraph" w:customStyle="1" w:styleId="Numberedparaindentonly">
    <w:name w:val="Numbered para indent only"/>
    <w:basedOn w:val="Normal"/>
    <w:semiHidden/>
    <w:qFormat/>
    <w:rsid w:val="007D3469"/>
    <w:pPr>
      <w:spacing w:after="120"/>
      <w:ind w:left="567"/>
    </w:pPr>
  </w:style>
  <w:style w:type="paragraph" w:customStyle="1" w:styleId="Numberedparaheading">
    <w:name w:val="Numbered para heading"/>
    <w:basedOn w:val="BodyText"/>
    <w:semiHidden/>
    <w:rsid w:val="00091C3A"/>
    <w:rPr>
      <w:b/>
      <w:sz w:val="28"/>
    </w:rPr>
  </w:style>
  <w:style w:type="paragraph" w:customStyle="1" w:styleId="Spacer">
    <w:name w:val="Spacer"/>
    <w:basedOn w:val="Normal"/>
    <w:qFormat/>
    <w:rsid w:val="007D3469"/>
    <w:pPr>
      <w:spacing w:before="0" w:after="0"/>
    </w:pPr>
  </w:style>
  <w:style w:type="paragraph" w:customStyle="1" w:styleId="Page">
    <w:name w:val="Page"/>
    <w:basedOn w:val="Spacer"/>
    <w:semiHidden/>
    <w:qFormat/>
    <w:rsid w:val="007D3469"/>
    <w:pPr>
      <w:jc w:val="right"/>
    </w:pPr>
    <w:rPr>
      <w:color w:val="000000" w:themeColor="text1"/>
    </w:rPr>
  </w:style>
  <w:style w:type="table" w:customStyle="1" w:styleId="Blanktable">
    <w:name w:val="Blank table"/>
    <w:basedOn w:val="TableNormal"/>
    <w:uiPriority w:val="99"/>
    <w:rsid w:val="007202D5"/>
    <w:tblPr>
      <w:tblInd w:w="108" w:type="dxa"/>
    </w:tblPr>
  </w:style>
  <w:style w:type="paragraph" w:customStyle="1" w:styleId="Tinyline">
    <w:name w:val="Tiny line"/>
    <w:basedOn w:val="Normal"/>
    <w:qFormat/>
    <w:rsid w:val="007D3469"/>
    <w:pPr>
      <w:spacing w:before="0" w:after="0"/>
    </w:pPr>
    <w:rPr>
      <w:sz w:val="8"/>
    </w:rPr>
  </w:style>
  <w:style w:type="paragraph" w:customStyle="1" w:styleId="Numberedpara1heading">
    <w:name w:val="Numbered para 1 (heading)"/>
    <w:basedOn w:val="Normal"/>
    <w:semiHidden/>
    <w:rsid w:val="00A313C6"/>
    <w:rPr>
      <w:b/>
    </w:rPr>
  </w:style>
  <w:style w:type="paragraph" w:customStyle="1" w:styleId="Tablenormal12pt">
    <w:name w:val="Table normal 12pt"/>
    <w:basedOn w:val="Tablenormal0"/>
    <w:semiHidden/>
    <w:qFormat/>
    <w:rsid w:val="007D3469"/>
    <w:rPr>
      <w:sz w:val="24"/>
    </w:rPr>
  </w:style>
  <w:style w:type="paragraph" w:customStyle="1" w:styleId="Tableheading12pt">
    <w:name w:val="Table heading 12pt"/>
    <w:basedOn w:val="Tableheading"/>
    <w:semiHidden/>
    <w:qFormat/>
    <w:rsid w:val="007D3469"/>
    <w:pPr>
      <w:keepNext/>
    </w:pPr>
    <w:rPr>
      <w:sz w:val="24"/>
    </w:rPr>
  </w:style>
  <w:style w:type="paragraph" w:customStyle="1" w:styleId="Documentationpageheading">
    <w:name w:val="Documentation page heading"/>
    <w:basedOn w:val="Normal"/>
    <w:semiHidden/>
    <w:qFormat/>
    <w:rsid w:val="007D3469"/>
    <w:pPr>
      <w:spacing w:after="0"/>
    </w:pPr>
    <w:rPr>
      <w:b/>
      <w:color w:val="1F546B" w:themeColor="text2"/>
      <w:sz w:val="36"/>
    </w:rPr>
  </w:style>
  <w:style w:type="paragraph" w:customStyle="1" w:styleId="Documentationpagesubheading">
    <w:name w:val="Documentation page subheading"/>
    <w:basedOn w:val="Documentationpageheading"/>
    <w:semiHidden/>
    <w:qFormat/>
    <w:rsid w:val="007D3469"/>
    <w:rPr>
      <w:sz w:val="28"/>
    </w:rPr>
  </w:style>
  <w:style w:type="paragraph" w:customStyle="1" w:styleId="Documentationpagetable">
    <w:name w:val="Documentation page table"/>
    <w:basedOn w:val="Normal"/>
    <w:semiHidden/>
    <w:qFormat/>
    <w:rsid w:val="007D3469"/>
    <w:pPr>
      <w:spacing w:before="44" w:after="24"/>
    </w:pPr>
    <w:rPr>
      <w:rFonts w:cstheme="minorBidi"/>
      <w:sz w:val="20"/>
    </w:rPr>
  </w:style>
  <w:style w:type="paragraph" w:customStyle="1" w:styleId="Documentationpagetableheading">
    <w:name w:val="Documentation page table heading"/>
    <w:basedOn w:val="Normal"/>
    <w:semiHidden/>
    <w:qFormat/>
    <w:rsid w:val="007D3469"/>
    <w:pPr>
      <w:spacing w:before="40" w:after="40"/>
    </w:pPr>
    <w:rPr>
      <w:rFonts w:cstheme="minorBidi"/>
      <w:b/>
      <w:color w:val="FFFFFF" w:themeColor="background1"/>
      <w:sz w:val="20"/>
    </w:rPr>
  </w:style>
  <w:style w:type="paragraph" w:customStyle="1" w:styleId="Numberedparasubheading">
    <w:name w:val="Numbered para subheading"/>
    <w:basedOn w:val="Normal"/>
    <w:next w:val="Numberedpara2"/>
    <w:semiHidden/>
    <w:rsid w:val="00A313C6"/>
    <w:rPr>
      <w:b/>
      <w:i/>
    </w:rPr>
  </w:style>
  <w:style w:type="paragraph" w:customStyle="1" w:styleId="Title2">
    <w:name w:val="Title 2"/>
    <w:basedOn w:val="Title"/>
    <w:qFormat/>
    <w:rsid w:val="007D3469"/>
    <w:rPr>
      <w:sz w:val="52"/>
    </w:rPr>
  </w:style>
  <w:style w:type="paragraph" w:customStyle="1" w:styleId="Numberedpara2a">
    <w:name w:val="Numbered para 2 (a)"/>
    <w:basedOn w:val="Numberedpara3a"/>
    <w:semiHidden/>
    <w:rsid w:val="00A313C6"/>
  </w:style>
  <w:style w:type="paragraph" w:customStyle="1" w:styleId="Numberedpara3i">
    <w:name w:val="Numbered para 3 (i)"/>
    <w:basedOn w:val="Numberedpara4i"/>
    <w:semiHidden/>
    <w:rsid w:val="00A313C6"/>
  </w:style>
  <w:style w:type="character" w:customStyle="1" w:styleId="FooterChar">
    <w:name w:val="Footer Char"/>
    <w:basedOn w:val="DefaultParagraphFont"/>
    <w:link w:val="Footer"/>
    <w:rsid w:val="00DD3BD0"/>
    <w:rPr>
      <w:rFonts w:eastAsiaTheme="minorHAnsi"/>
      <w:i/>
      <w:sz w:val="20"/>
      <w:lang w:eastAsia="en-US"/>
    </w:rPr>
  </w:style>
  <w:style w:type="paragraph" w:customStyle="1" w:styleId="Numberedpara2subheading">
    <w:name w:val="Numbered para (2) subheading"/>
    <w:basedOn w:val="Normal"/>
    <w:next w:val="Normal"/>
    <w:semiHidden/>
    <w:qFormat/>
    <w:rsid w:val="007D3469"/>
    <w:pPr>
      <w:keepNext/>
      <w:spacing w:before="240" w:after="120"/>
    </w:pPr>
    <w:rPr>
      <w:b/>
      <w:i/>
    </w:rPr>
  </w:style>
  <w:style w:type="paragraph" w:customStyle="1" w:styleId="Numberedpara2level1">
    <w:name w:val="Numbered para (2) level 1"/>
    <w:basedOn w:val="Normal"/>
    <w:semiHidden/>
    <w:qFormat/>
    <w:rsid w:val="007D3469"/>
    <w:pPr>
      <w:numPr>
        <w:numId w:val="37"/>
      </w:numPr>
      <w:spacing w:after="120"/>
    </w:pPr>
  </w:style>
  <w:style w:type="paragraph" w:customStyle="1" w:styleId="Numberedpara2level2a">
    <w:name w:val="Numbered para (2) level 2 (a)"/>
    <w:basedOn w:val="Normal"/>
    <w:semiHidden/>
    <w:qFormat/>
    <w:rsid w:val="007D3469"/>
    <w:pPr>
      <w:numPr>
        <w:ilvl w:val="1"/>
        <w:numId w:val="37"/>
      </w:numPr>
      <w:spacing w:after="120"/>
    </w:pPr>
  </w:style>
  <w:style w:type="paragraph" w:customStyle="1" w:styleId="Numberedpara2level3i">
    <w:name w:val="Numbered para (2) level 3 (i)"/>
    <w:basedOn w:val="Normal"/>
    <w:semiHidden/>
    <w:qFormat/>
    <w:rsid w:val="007D3469"/>
    <w:pPr>
      <w:numPr>
        <w:ilvl w:val="2"/>
        <w:numId w:val="37"/>
      </w:numPr>
      <w:spacing w:after="120"/>
    </w:pPr>
  </w:style>
  <w:style w:type="paragraph" w:customStyle="1" w:styleId="Numberedpara2heading">
    <w:name w:val="Numbered para (2) heading"/>
    <w:basedOn w:val="Normal"/>
    <w:semiHidden/>
    <w:qFormat/>
    <w:rsid w:val="007D3469"/>
    <w:pPr>
      <w:keepNext/>
      <w:spacing w:before="240" w:after="120"/>
    </w:pPr>
    <w:rPr>
      <w:b/>
      <w:sz w:val="28"/>
    </w:rPr>
  </w:style>
  <w:style w:type="character" w:customStyle="1" w:styleId="Footersecurityclassification">
    <w:name w:val="Footer security classification"/>
    <w:basedOn w:val="DefaultParagraphFont"/>
    <w:uiPriority w:val="1"/>
    <w:qFormat/>
    <w:rsid w:val="007D3469"/>
    <w:rPr>
      <w:b/>
      <w:i/>
      <w:caps/>
      <w:smallCaps w:val="0"/>
      <w:sz w:val="22"/>
    </w:rPr>
  </w:style>
  <w:style w:type="paragraph" w:customStyle="1" w:styleId="Numberedpara11headingwithnumber">
    <w:name w:val="Numbered para (1) 1 (heading with number)"/>
    <w:basedOn w:val="Normal"/>
    <w:semiHidden/>
    <w:qFormat/>
    <w:rsid w:val="007D3469"/>
    <w:pPr>
      <w:keepNext/>
      <w:numPr>
        <w:numId w:val="38"/>
      </w:numPr>
      <w:spacing w:before="240" w:after="120"/>
    </w:pPr>
    <w:rPr>
      <w:b/>
      <w:sz w:val="28"/>
    </w:rPr>
  </w:style>
  <w:style w:type="paragraph" w:customStyle="1" w:styleId="Crossreference">
    <w:name w:val="Cross reference"/>
    <w:basedOn w:val="Normal"/>
    <w:semiHidden/>
    <w:qFormat/>
    <w:rsid w:val="007D3469"/>
    <w:rPr>
      <w:i/>
      <w:color w:val="1F546B" w:themeColor="text2"/>
      <w:u w:val="single"/>
    </w:rPr>
  </w:style>
  <w:style w:type="paragraph" w:customStyle="1" w:styleId="Numberedpara3heading">
    <w:name w:val="Numbered para (3) heading"/>
    <w:basedOn w:val="Normal"/>
    <w:semiHidden/>
    <w:qFormat/>
    <w:rsid w:val="007D3469"/>
    <w:pPr>
      <w:keepNext/>
      <w:spacing w:before="200" w:after="120"/>
    </w:pPr>
    <w:rPr>
      <w:b/>
    </w:rPr>
  </w:style>
  <w:style w:type="paragraph" w:customStyle="1" w:styleId="Numberedpara3subheading">
    <w:name w:val="Numbered para (3) subheading"/>
    <w:basedOn w:val="Normal"/>
    <w:semiHidden/>
    <w:qFormat/>
    <w:rsid w:val="007D3469"/>
    <w:pPr>
      <w:keepNext/>
      <w:spacing w:before="240" w:after="120"/>
    </w:pPr>
    <w:rPr>
      <w:b/>
      <w:i/>
    </w:rPr>
  </w:style>
  <w:style w:type="paragraph" w:customStyle="1" w:styleId="Numberedpara3level1">
    <w:name w:val="Numbered para (3) level 1"/>
    <w:basedOn w:val="Normal"/>
    <w:semiHidden/>
    <w:qFormat/>
    <w:rsid w:val="007D3469"/>
    <w:pPr>
      <w:numPr>
        <w:numId w:val="41"/>
      </w:numPr>
      <w:spacing w:after="120"/>
    </w:pPr>
  </w:style>
  <w:style w:type="paragraph" w:customStyle="1" w:styleId="Numberedpara3level211">
    <w:name w:val="Numbered para (3) level 2 (1.1)"/>
    <w:basedOn w:val="Normal"/>
    <w:semiHidden/>
    <w:qFormat/>
    <w:rsid w:val="007D3469"/>
    <w:pPr>
      <w:numPr>
        <w:ilvl w:val="1"/>
        <w:numId w:val="41"/>
      </w:numPr>
      <w:tabs>
        <w:tab w:val="num" w:pos="360"/>
      </w:tabs>
      <w:spacing w:after="120"/>
      <w:ind w:left="0" w:firstLine="0"/>
    </w:pPr>
  </w:style>
  <w:style w:type="paragraph" w:customStyle="1" w:styleId="Numberedpara3level3111">
    <w:name w:val="Numbered para (3) level 3 (1.1.1)"/>
    <w:basedOn w:val="Normal"/>
    <w:semiHidden/>
    <w:qFormat/>
    <w:rsid w:val="007D3469"/>
    <w:pPr>
      <w:numPr>
        <w:ilvl w:val="2"/>
        <w:numId w:val="41"/>
      </w:numPr>
      <w:tabs>
        <w:tab w:val="clear" w:pos="1247"/>
        <w:tab w:val="num" w:pos="360"/>
      </w:tabs>
      <w:spacing w:after="120"/>
      <w:ind w:left="0" w:firstLine="0"/>
    </w:pPr>
  </w:style>
  <w:style w:type="character" w:customStyle="1" w:styleId="TitleChar">
    <w:name w:val="Title Char"/>
    <w:basedOn w:val="DefaultParagraphFont"/>
    <w:link w:val="Title"/>
    <w:rsid w:val="007C42FA"/>
    <w:rPr>
      <w:rFonts w:eastAsiaTheme="minorHAnsi"/>
      <w:b/>
      <w:color w:val="1F546B"/>
      <w:sz w:val="80"/>
      <w:szCs w:val="80"/>
      <w:lang w:eastAsia="en-US"/>
    </w:rPr>
  </w:style>
  <w:style w:type="paragraph" w:customStyle="1" w:styleId="Securityclassificiation">
    <w:name w:val="Security classificiation"/>
    <w:basedOn w:val="Title2"/>
    <w:qFormat/>
    <w:rsid w:val="00342DBF"/>
    <w:pPr>
      <w:spacing w:before="240" w:after="0"/>
      <w:jc w:val="center"/>
    </w:pPr>
    <w:rPr>
      <w:caps/>
      <w:color w:val="000000" w:themeColor="text1"/>
      <w:sz w:val="32"/>
    </w:rPr>
  </w:style>
  <w:style w:type="paragraph" w:customStyle="1" w:styleId="LHcolumn">
    <w:name w:val="LH column"/>
    <w:basedOn w:val="Normal"/>
    <w:rsid w:val="00E26D66"/>
    <w:pPr>
      <w:keepLines w:val="0"/>
    </w:pPr>
    <w:rPr>
      <w:rFonts w:eastAsia="Calibri"/>
      <w:b/>
      <w:color w:val="1F546B" w:themeColor="text2"/>
      <w:w w:val="90"/>
      <w:szCs w:val="22"/>
    </w:rPr>
  </w:style>
  <w:style w:type="paragraph" w:customStyle="1" w:styleId="Coverimage">
    <w:name w:val="Cover image"/>
    <w:basedOn w:val="Spacer"/>
    <w:qFormat/>
    <w:rsid w:val="007D3469"/>
    <w:pPr>
      <w:jc w:val="right"/>
    </w:pPr>
  </w:style>
  <w:style w:type="character" w:customStyle="1" w:styleId="Crossreferences">
    <w:name w:val="Cross references"/>
    <w:basedOn w:val="DefaultParagraphFont"/>
    <w:uiPriority w:val="1"/>
    <w:qFormat/>
    <w:rsid w:val="00A840D6"/>
    <w:rPr>
      <w:i/>
      <w:color w:val="1F546B" w:themeColor="text2"/>
      <w:u w:val="single"/>
    </w:rPr>
  </w:style>
  <w:style w:type="character" w:customStyle="1" w:styleId="FootnoteTextChar">
    <w:name w:val="Footnote Text Char"/>
    <w:link w:val="FootnoteText"/>
    <w:rsid w:val="00A719DF"/>
    <w:rPr>
      <w:rFonts w:eastAsiaTheme="minorHAnsi"/>
      <w:sz w:val="20"/>
      <w:szCs w:val="20"/>
      <w:lang w:eastAsia="en-US"/>
    </w:rPr>
  </w:style>
  <w:style w:type="paragraph" w:customStyle="1" w:styleId="Tableheading2">
    <w:name w:val="Table heading 2"/>
    <w:basedOn w:val="Normal"/>
    <w:qFormat/>
    <w:rsid w:val="0053192C"/>
    <w:pPr>
      <w:keepLines w:val="0"/>
      <w:spacing w:before="44" w:after="24"/>
    </w:pPr>
    <w:rPr>
      <w:rFonts w:cstheme="minorBidi"/>
      <w:b/>
      <w:sz w:val="22"/>
    </w:rPr>
  </w:style>
  <w:style w:type="paragraph" w:styleId="CommentText">
    <w:name w:val="annotation text"/>
    <w:basedOn w:val="Normal"/>
    <w:link w:val="CommentTextChar"/>
    <w:uiPriority w:val="99"/>
    <w:semiHidden/>
    <w:unhideWhenUsed/>
    <w:rsid w:val="00D66902"/>
    <w:rPr>
      <w:sz w:val="20"/>
      <w:szCs w:val="20"/>
    </w:rPr>
  </w:style>
  <w:style w:type="character" w:customStyle="1" w:styleId="CommentTextChar">
    <w:name w:val="Comment Text Char"/>
    <w:basedOn w:val="DefaultParagraphFont"/>
    <w:link w:val="CommentText"/>
    <w:uiPriority w:val="99"/>
    <w:semiHidden/>
    <w:rsid w:val="00D66902"/>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D66902"/>
    <w:rPr>
      <w:b/>
      <w:bCs/>
    </w:rPr>
  </w:style>
  <w:style w:type="character" w:customStyle="1" w:styleId="CommentSubjectChar">
    <w:name w:val="Comment Subject Char"/>
    <w:basedOn w:val="CommentTextChar"/>
    <w:link w:val="CommentSubject"/>
    <w:uiPriority w:val="99"/>
    <w:semiHidden/>
    <w:rsid w:val="00D66902"/>
    <w:rPr>
      <w:rFonts w:eastAsiaTheme="minorHAnsi"/>
      <w:b/>
      <w:bCs/>
      <w:sz w:val="20"/>
      <w:szCs w:val="20"/>
      <w:lang w:eastAsia="en-US"/>
    </w:rPr>
  </w:style>
  <w:style w:type="paragraph" w:styleId="EndnoteText">
    <w:name w:val="endnote text"/>
    <w:basedOn w:val="Normal"/>
    <w:link w:val="EndnoteTextChar"/>
    <w:uiPriority w:val="99"/>
    <w:semiHidden/>
    <w:unhideWhenUsed/>
    <w:rsid w:val="00BA29B2"/>
    <w:pPr>
      <w:spacing w:before="0" w:after="0"/>
    </w:pPr>
    <w:rPr>
      <w:sz w:val="20"/>
      <w:szCs w:val="20"/>
    </w:rPr>
  </w:style>
  <w:style w:type="character" w:customStyle="1" w:styleId="EndnoteTextChar">
    <w:name w:val="Endnote Text Char"/>
    <w:basedOn w:val="DefaultParagraphFont"/>
    <w:link w:val="EndnoteText"/>
    <w:uiPriority w:val="99"/>
    <w:semiHidden/>
    <w:rsid w:val="00BA29B2"/>
    <w:rPr>
      <w:rFonts w:eastAsiaTheme="minorHAnsi"/>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 w:unhideWhenUsed="0" w:qFormat="1"/>
    <w:lsdException w:name="heading 6" w:semiHidden="0" w:uiPriority="1" w:unhideWhenUsed="0" w:qFormat="1"/>
    <w:lsdException w:name="heading 7" w:uiPriority="99" w:qFormat="1"/>
    <w:lsdException w:name="heading 8" w:uiPriority="99" w:qFormat="1"/>
    <w:lsdException w:name="heading 9" w:uiPriority="9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9" w:uiPriority="99"/>
    <w:lsdException w:name="annotation text" w:uiPriority="99"/>
    <w:lsdException w:name="caption" w:qFormat="1"/>
    <w:lsdException w:name="table of figures" w:uiPriority="99"/>
    <w:lsdException w:name="annotation reference" w:uiPriority="99"/>
    <w:lsdException w:name="page number" w:uiPriority="99" w:unhideWhenUsed="0"/>
    <w:lsdException w:name="endnote text" w:uiPriority="99"/>
    <w:lsdException w:name="table of authorities" w:uiPriority="99"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Document Map" w:uiPriority="99" w:unhideWhenUsed="0"/>
    <w:lsdException w:name="annotation subject" w:uiPriority="99"/>
    <w:lsdException w:name="No List" w:uiPriority="99"/>
    <w:lsdException w:name="Table Grid" w:semiHidden="0" w:uiPriority="59"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99" w:unhideWhenUsed="0"/>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E26D66"/>
    <w:pPr>
      <w:keepLines/>
    </w:pPr>
    <w:rPr>
      <w:rFonts w:eastAsiaTheme="minorHAnsi"/>
      <w:lang w:eastAsia="en-US"/>
    </w:rPr>
  </w:style>
  <w:style w:type="paragraph" w:styleId="Heading1">
    <w:name w:val="heading 1"/>
    <w:basedOn w:val="Normal"/>
    <w:next w:val="Normal"/>
    <w:link w:val="Heading1Char"/>
    <w:qFormat/>
    <w:rsid w:val="007202D5"/>
    <w:pPr>
      <w:keepNext/>
      <w:pageBreakBefore/>
      <w:spacing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7D3469"/>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7D3469"/>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7D3469"/>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7D3469"/>
    <w:pPr>
      <w:keepNext/>
      <w:spacing w:before="360"/>
      <w:outlineLvl w:val="4"/>
    </w:pPr>
    <w:rPr>
      <w:b/>
      <w:bCs/>
      <w:iCs/>
      <w:szCs w:val="26"/>
    </w:rPr>
  </w:style>
  <w:style w:type="paragraph" w:styleId="Heading6">
    <w:name w:val="heading 6"/>
    <w:basedOn w:val="Normal"/>
    <w:next w:val="Normal"/>
    <w:link w:val="Heading6Char"/>
    <w:uiPriority w:val="1"/>
    <w:semiHidden/>
    <w:qFormat/>
    <w:rsid w:val="007D3469"/>
    <w:pPr>
      <w:spacing w:before="360"/>
      <w:outlineLvl w:val="5"/>
    </w:pPr>
    <w:rPr>
      <w:b/>
      <w:bCs/>
      <w:i/>
      <w:szCs w:val="22"/>
    </w:rPr>
  </w:style>
  <w:style w:type="paragraph" w:styleId="Heading7">
    <w:name w:val="heading 7"/>
    <w:basedOn w:val="Normal"/>
    <w:next w:val="Normal"/>
    <w:uiPriority w:val="99"/>
    <w:semiHidden/>
    <w:qFormat/>
    <w:rsid w:val="007D3469"/>
    <w:pPr>
      <w:spacing w:after="60"/>
      <w:outlineLvl w:val="6"/>
    </w:pPr>
  </w:style>
  <w:style w:type="paragraph" w:styleId="Heading8">
    <w:name w:val="heading 8"/>
    <w:basedOn w:val="Normal"/>
    <w:next w:val="Normal"/>
    <w:uiPriority w:val="99"/>
    <w:semiHidden/>
    <w:qFormat/>
    <w:rsid w:val="007D3469"/>
    <w:pPr>
      <w:spacing w:after="60"/>
      <w:outlineLvl w:val="7"/>
    </w:pPr>
    <w:rPr>
      <w:i/>
      <w:iCs/>
    </w:rPr>
  </w:style>
  <w:style w:type="paragraph" w:styleId="Heading9">
    <w:name w:val="heading 9"/>
    <w:basedOn w:val="Normal"/>
    <w:next w:val="Normal"/>
    <w:uiPriority w:val="99"/>
    <w:semiHidden/>
    <w:qFormat/>
    <w:rsid w:val="007D3469"/>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7D3469"/>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rsid w:val="005F76CC"/>
    <w:pPr>
      <w:spacing w:before="40" w:after="40"/>
      <w:contextualSpacing/>
    </w:pPr>
    <w:rPr>
      <w:i/>
      <w:sz w:val="20"/>
    </w:rPr>
  </w:style>
  <w:style w:type="paragraph" w:styleId="Header">
    <w:name w:val="header"/>
    <w:basedOn w:val="Normal"/>
    <w:rsid w:val="00DD3BD0"/>
    <w:pPr>
      <w:spacing w:before="40" w:after="40"/>
    </w:pPr>
    <w:rPr>
      <w:color w:val="808080" w:themeColor="background1" w:themeShade="80"/>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7202D5"/>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7D3469"/>
    <w:rPr>
      <w:b/>
      <w:bCs/>
    </w:rPr>
  </w:style>
  <w:style w:type="paragraph" w:styleId="Subtitle">
    <w:name w:val="Subtitle"/>
    <w:basedOn w:val="Normal"/>
    <w:uiPriority w:val="1"/>
    <w:semiHidden/>
    <w:qFormat/>
    <w:rsid w:val="007D3469"/>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7D3469"/>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semiHidden/>
    <w:rsid w:val="00E367C5"/>
    <w:pPr>
      <w:numPr>
        <w:numId w:val="8"/>
      </w:numPr>
      <w:outlineLvl w:val="5"/>
    </w:pPr>
  </w:style>
  <w:style w:type="paragraph" w:customStyle="1" w:styleId="Headingnumbered2">
    <w:name w:val="Heading numbered 2"/>
    <w:basedOn w:val="Heading2"/>
    <w:next w:val="Normal"/>
    <w:uiPriority w:val="1"/>
    <w:semiHidden/>
    <w:rsid w:val="00E367C5"/>
    <w:pPr>
      <w:numPr>
        <w:ilvl w:val="1"/>
        <w:numId w:val="8"/>
      </w:numPr>
      <w:outlineLvl w:val="6"/>
    </w:pPr>
  </w:style>
  <w:style w:type="paragraph" w:customStyle="1" w:styleId="Headingnumbered3">
    <w:name w:val="Heading numbered 3"/>
    <w:basedOn w:val="Normal"/>
    <w:next w:val="Normal"/>
    <w:uiPriority w:val="1"/>
    <w:semiHidden/>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semiHidden/>
    <w:rsid w:val="00E367C5"/>
    <w:pPr>
      <w:numPr>
        <w:ilvl w:val="3"/>
        <w:numId w:val="8"/>
      </w:numPr>
      <w:spacing w:before="360"/>
    </w:pPr>
    <w:rPr>
      <w:b/>
      <w:i/>
      <w:color w:val="1F546B"/>
    </w:rPr>
  </w:style>
  <w:style w:type="paragraph" w:customStyle="1" w:styleId="Numberedpara1">
    <w:name w:val="Numbered para 1"/>
    <w:basedOn w:val="Numberedpara1heading"/>
    <w:semiHidden/>
    <w:rsid w:val="00A313C6"/>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A840D6"/>
    <w:pPr>
      <w:numPr>
        <w:numId w:val="5"/>
      </w:numPr>
      <w:spacing w:before="80" w:after="80"/>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28"/>
      </w:numPr>
      <w:spacing w:before="80" w:after="80"/>
    </w:pPr>
  </w:style>
  <w:style w:type="paragraph" w:customStyle="1" w:styleId="List123">
    <w:name w:val="List 1 2 3"/>
    <w:basedOn w:val="Normal"/>
    <w:rsid w:val="00CF12CF"/>
    <w:pPr>
      <w:numPr>
        <w:numId w:val="30"/>
      </w:numPr>
      <w:spacing w:before="80" w:after="80"/>
    </w:pPr>
  </w:style>
  <w:style w:type="paragraph" w:styleId="FootnoteText">
    <w:name w:val="footnote text"/>
    <w:basedOn w:val="Normal"/>
    <w:link w:val="FootnoteTextChar"/>
    <w:rsid w:val="00890CE4"/>
    <w:pPr>
      <w:spacing w:before="60" w:after="60" w:line="192" w:lineRule="auto"/>
      <w:ind w:left="130" w:hanging="130"/>
    </w:pPr>
    <w:rPr>
      <w:sz w:val="20"/>
      <w:szCs w:val="20"/>
    </w:rPr>
  </w:style>
  <w:style w:type="character" w:styleId="FootnoteReference">
    <w:name w:val="footnote reference"/>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basedOn w:val="DefaultParagraphFont"/>
    <w:link w:val="Heading2"/>
    <w:rsid w:val="007D3469"/>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7D3469"/>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7D3469"/>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B969ED"/>
    <w:pPr>
      <w:numPr>
        <w:numId w:val="7"/>
      </w:numPr>
      <w:tabs>
        <w:tab w:val="left" w:pos="2268"/>
      </w:tabs>
      <w:spacing w:before="0"/>
      <w:outlineLvl w:val="7"/>
    </w:pPr>
  </w:style>
  <w:style w:type="paragraph" w:customStyle="1" w:styleId="NotforContentsheading1">
    <w:name w:val="Not for Contents heading 1"/>
    <w:basedOn w:val="Normal"/>
    <w:next w:val="Normal"/>
    <w:rsid w:val="00B62134"/>
    <w:pPr>
      <w:keepNext/>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7D3469"/>
    <w:pPr>
      <w:numPr>
        <w:ilvl w:val="1"/>
        <w:numId w:val="28"/>
      </w:numPr>
      <w:spacing w:before="80" w:after="80"/>
    </w:pPr>
  </w:style>
  <w:style w:type="paragraph" w:customStyle="1" w:styleId="NotforContentsheading2">
    <w:name w:val="Not for Contents heading 2"/>
    <w:basedOn w:val="Normal"/>
    <w:next w:val="Normal"/>
    <w:rsid w:val="00E367C5"/>
    <w:pPr>
      <w:keepNext/>
      <w:spacing w:before="360"/>
    </w:pPr>
    <w:rPr>
      <w:b/>
      <w:color w:val="1F546B"/>
      <w:sz w:val="36"/>
    </w:rPr>
  </w:style>
  <w:style w:type="character" w:customStyle="1" w:styleId="Heading3Char">
    <w:name w:val="Heading 3 Char"/>
    <w:link w:val="Heading3"/>
    <w:rsid w:val="007D3469"/>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687CA4"/>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7D3469"/>
    <w:rPr>
      <w:i/>
      <w:iCs/>
    </w:rPr>
  </w:style>
  <w:style w:type="character" w:styleId="IntenseEmphasis">
    <w:name w:val="Intense Emphasis"/>
    <w:uiPriority w:val="99"/>
    <w:semiHidden/>
    <w:qFormat/>
    <w:rsid w:val="007D3469"/>
    <w:rPr>
      <w:b/>
      <w:i/>
    </w:rPr>
  </w:style>
  <w:style w:type="paragraph" w:styleId="ListParagraph">
    <w:name w:val="List Paragraph"/>
    <w:basedOn w:val="List123"/>
    <w:uiPriority w:val="34"/>
    <w:qFormat/>
    <w:rsid w:val="007D3469"/>
    <w:pPr>
      <w:numPr>
        <w:numId w:val="0"/>
      </w:numPr>
    </w:pPr>
  </w:style>
  <w:style w:type="character" w:customStyle="1" w:styleId="Heading5Char">
    <w:name w:val="Heading 5 Char"/>
    <w:basedOn w:val="DefaultParagraphFont"/>
    <w:link w:val="Heading5"/>
    <w:uiPriority w:val="1"/>
    <w:semiHidden/>
    <w:rsid w:val="007D3469"/>
    <w:rPr>
      <w:rFonts w:eastAsiaTheme="minorHAnsi"/>
      <w:b/>
      <w:bCs/>
      <w:iCs/>
      <w:szCs w:val="26"/>
      <w:lang w:eastAsia="en-US"/>
    </w:rPr>
  </w:style>
  <w:style w:type="character" w:styleId="SubtleReference">
    <w:name w:val="Subtle Reference"/>
    <w:basedOn w:val="DefaultParagraphFont"/>
    <w:uiPriority w:val="99"/>
    <w:semiHidden/>
    <w:qFormat/>
    <w:rsid w:val="007D3469"/>
    <w:rPr>
      <w:rFonts w:ascii="Calibri" w:hAnsi="Calibri"/>
      <w:smallCaps/>
      <w:color w:val="A42F13" w:themeColor="accent2"/>
      <w:u w:val="single"/>
    </w:rPr>
  </w:style>
  <w:style w:type="character" w:styleId="BookTitle">
    <w:name w:val="Book Title"/>
    <w:basedOn w:val="DefaultParagraphFont"/>
    <w:uiPriority w:val="33"/>
    <w:semiHidden/>
    <w:qFormat/>
    <w:rsid w:val="007D3469"/>
    <w:rPr>
      <w:rFonts w:ascii="Calibri" w:hAnsi="Calibri"/>
      <w:b/>
      <w:bCs/>
      <w:smallCaps/>
      <w:spacing w:val="5"/>
    </w:rPr>
  </w:style>
  <w:style w:type="character" w:styleId="IntenseReference">
    <w:name w:val="Intense Reference"/>
    <w:basedOn w:val="DefaultParagraphFont"/>
    <w:uiPriority w:val="99"/>
    <w:semiHidden/>
    <w:qFormat/>
    <w:rsid w:val="007D3469"/>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7D3469"/>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7D3469"/>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7D3469"/>
    <w:pPr>
      <w:spacing w:before="40" w:after="40"/>
    </w:pPr>
    <w:rPr>
      <w:sz w:val="22"/>
    </w:rPr>
  </w:style>
  <w:style w:type="character" w:customStyle="1" w:styleId="Heading6Char">
    <w:name w:val="Heading 6 Char"/>
    <w:basedOn w:val="DefaultParagraphFont"/>
    <w:link w:val="Heading6"/>
    <w:uiPriority w:val="1"/>
    <w:semiHidden/>
    <w:rsid w:val="007D3469"/>
    <w:rPr>
      <w:rFonts w:eastAsiaTheme="minorHAnsi"/>
      <w:b/>
      <w:bCs/>
      <w:i/>
      <w:szCs w:val="22"/>
      <w:lang w:eastAsia="en-US"/>
    </w:rPr>
  </w:style>
  <w:style w:type="paragraph" w:customStyle="1" w:styleId="ListABClevel3">
    <w:name w:val="List A B C level 3"/>
    <w:basedOn w:val="Normal"/>
    <w:uiPriority w:val="1"/>
    <w:semiHidden/>
    <w:qFormat/>
    <w:rsid w:val="007D3469"/>
    <w:pPr>
      <w:numPr>
        <w:ilvl w:val="2"/>
        <w:numId w:val="28"/>
      </w:numPr>
      <w:spacing w:before="80" w:after="80"/>
    </w:pPr>
  </w:style>
  <w:style w:type="paragraph" w:customStyle="1" w:styleId="List123level2">
    <w:name w:val="List 1 2 3 level 2"/>
    <w:basedOn w:val="Normal"/>
    <w:uiPriority w:val="1"/>
    <w:semiHidden/>
    <w:qFormat/>
    <w:rsid w:val="007D3469"/>
    <w:pPr>
      <w:numPr>
        <w:ilvl w:val="1"/>
        <w:numId w:val="30"/>
      </w:numPr>
      <w:spacing w:before="80" w:after="80"/>
    </w:pPr>
  </w:style>
  <w:style w:type="paragraph" w:customStyle="1" w:styleId="List123level3">
    <w:name w:val="List 1 2 3 level 3"/>
    <w:basedOn w:val="Normal"/>
    <w:uiPriority w:val="1"/>
    <w:semiHidden/>
    <w:qFormat/>
    <w:rsid w:val="007D3469"/>
    <w:pPr>
      <w:numPr>
        <w:ilvl w:val="2"/>
        <w:numId w:val="30"/>
      </w:numPr>
      <w:spacing w:before="80" w:after="80"/>
    </w:pPr>
  </w:style>
  <w:style w:type="paragraph" w:customStyle="1" w:styleId="Legislationsection">
    <w:name w:val="Legislation section"/>
    <w:basedOn w:val="Normal"/>
    <w:semiHidden/>
    <w:qFormat/>
    <w:rsid w:val="007D3469"/>
    <w:pPr>
      <w:keepNext/>
      <w:numPr>
        <w:numId w:val="34"/>
      </w:numPr>
      <w:tabs>
        <w:tab w:val="left" w:pos="567"/>
      </w:tabs>
      <w:spacing w:after="60"/>
    </w:pPr>
    <w:rPr>
      <w:b/>
      <w:sz w:val="22"/>
    </w:rPr>
  </w:style>
  <w:style w:type="paragraph" w:customStyle="1" w:styleId="Legislationnumber">
    <w:name w:val="Legislation number"/>
    <w:basedOn w:val="Normal"/>
    <w:semiHidden/>
    <w:qFormat/>
    <w:rsid w:val="007D3469"/>
    <w:pPr>
      <w:numPr>
        <w:numId w:val="32"/>
      </w:numPr>
      <w:tabs>
        <w:tab w:val="left" w:pos="567"/>
      </w:tabs>
      <w:spacing w:before="60" w:after="60"/>
    </w:pPr>
    <w:rPr>
      <w:sz w:val="22"/>
    </w:rPr>
  </w:style>
  <w:style w:type="paragraph" w:customStyle="1" w:styleId="Legislationa">
    <w:name w:val="Legislation (a)"/>
    <w:basedOn w:val="Normal"/>
    <w:semiHidden/>
    <w:qFormat/>
    <w:rsid w:val="007D3469"/>
    <w:pPr>
      <w:numPr>
        <w:ilvl w:val="2"/>
        <w:numId w:val="34"/>
      </w:numPr>
      <w:spacing w:before="60" w:after="60"/>
    </w:pPr>
    <w:rPr>
      <w:sz w:val="22"/>
    </w:rPr>
  </w:style>
  <w:style w:type="paragraph" w:customStyle="1" w:styleId="Legislationi">
    <w:name w:val="Legislation (i)"/>
    <w:basedOn w:val="Normal"/>
    <w:semiHidden/>
    <w:qFormat/>
    <w:rsid w:val="007D3469"/>
    <w:pPr>
      <w:numPr>
        <w:ilvl w:val="3"/>
        <w:numId w:val="34"/>
      </w:numPr>
      <w:spacing w:before="60" w:after="60"/>
    </w:pPr>
    <w:rPr>
      <w:sz w:val="22"/>
    </w:rPr>
  </w:style>
  <w:style w:type="paragraph" w:customStyle="1" w:styleId="Numberedparaindentonly">
    <w:name w:val="Numbered para indent only"/>
    <w:basedOn w:val="Normal"/>
    <w:semiHidden/>
    <w:qFormat/>
    <w:rsid w:val="007D3469"/>
    <w:pPr>
      <w:spacing w:after="120"/>
      <w:ind w:left="567"/>
    </w:pPr>
  </w:style>
  <w:style w:type="paragraph" w:customStyle="1" w:styleId="Numberedparaheading">
    <w:name w:val="Numbered para heading"/>
    <w:basedOn w:val="BodyText"/>
    <w:semiHidden/>
    <w:rsid w:val="00091C3A"/>
    <w:rPr>
      <w:b/>
      <w:sz w:val="28"/>
    </w:rPr>
  </w:style>
  <w:style w:type="paragraph" w:customStyle="1" w:styleId="Spacer">
    <w:name w:val="Spacer"/>
    <w:basedOn w:val="Normal"/>
    <w:qFormat/>
    <w:rsid w:val="007D3469"/>
    <w:pPr>
      <w:spacing w:before="0" w:after="0"/>
    </w:pPr>
  </w:style>
  <w:style w:type="paragraph" w:customStyle="1" w:styleId="Page">
    <w:name w:val="Page"/>
    <w:basedOn w:val="Spacer"/>
    <w:semiHidden/>
    <w:qFormat/>
    <w:rsid w:val="007D3469"/>
    <w:pPr>
      <w:jc w:val="right"/>
    </w:pPr>
    <w:rPr>
      <w:color w:val="000000" w:themeColor="text1"/>
    </w:rPr>
  </w:style>
  <w:style w:type="table" w:customStyle="1" w:styleId="Blanktable">
    <w:name w:val="Blank table"/>
    <w:basedOn w:val="TableNormal"/>
    <w:uiPriority w:val="99"/>
    <w:rsid w:val="007202D5"/>
    <w:tblPr>
      <w:tblInd w:w="108" w:type="dxa"/>
    </w:tblPr>
  </w:style>
  <w:style w:type="paragraph" w:customStyle="1" w:styleId="Tinyline">
    <w:name w:val="Tiny line"/>
    <w:basedOn w:val="Normal"/>
    <w:qFormat/>
    <w:rsid w:val="007D3469"/>
    <w:pPr>
      <w:spacing w:before="0" w:after="0"/>
    </w:pPr>
    <w:rPr>
      <w:sz w:val="8"/>
    </w:rPr>
  </w:style>
  <w:style w:type="paragraph" w:customStyle="1" w:styleId="Numberedpara1heading">
    <w:name w:val="Numbered para 1 (heading)"/>
    <w:basedOn w:val="Normal"/>
    <w:semiHidden/>
    <w:rsid w:val="00A313C6"/>
    <w:rPr>
      <w:b/>
    </w:rPr>
  </w:style>
  <w:style w:type="paragraph" w:customStyle="1" w:styleId="Tablenormal12pt">
    <w:name w:val="Table normal 12pt"/>
    <w:basedOn w:val="Tablenormal0"/>
    <w:semiHidden/>
    <w:qFormat/>
    <w:rsid w:val="007D3469"/>
    <w:rPr>
      <w:sz w:val="24"/>
    </w:rPr>
  </w:style>
  <w:style w:type="paragraph" w:customStyle="1" w:styleId="Tableheading12pt">
    <w:name w:val="Table heading 12pt"/>
    <w:basedOn w:val="Tableheading"/>
    <w:semiHidden/>
    <w:qFormat/>
    <w:rsid w:val="007D3469"/>
    <w:pPr>
      <w:keepNext/>
    </w:pPr>
    <w:rPr>
      <w:sz w:val="24"/>
    </w:rPr>
  </w:style>
  <w:style w:type="paragraph" w:customStyle="1" w:styleId="Documentationpageheading">
    <w:name w:val="Documentation page heading"/>
    <w:basedOn w:val="Normal"/>
    <w:semiHidden/>
    <w:qFormat/>
    <w:rsid w:val="007D3469"/>
    <w:pPr>
      <w:spacing w:after="0"/>
    </w:pPr>
    <w:rPr>
      <w:b/>
      <w:color w:val="1F546B" w:themeColor="text2"/>
      <w:sz w:val="36"/>
    </w:rPr>
  </w:style>
  <w:style w:type="paragraph" w:customStyle="1" w:styleId="Documentationpagesubheading">
    <w:name w:val="Documentation page subheading"/>
    <w:basedOn w:val="Documentationpageheading"/>
    <w:semiHidden/>
    <w:qFormat/>
    <w:rsid w:val="007D3469"/>
    <w:rPr>
      <w:sz w:val="28"/>
    </w:rPr>
  </w:style>
  <w:style w:type="paragraph" w:customStyle="1" w:styleId="Documentationpagetable">
    <w:name w:val="Documentation page table"/>
    <w:basedOn w:val="Normal"/>
    <w:semiHidden/>
    <w:qFormat/>
    <w:rsid w:val="007D3469"/>
    <w:pPr>
      <w:spacing w:before="44" w:after="24"/>
    </w:pPr>
    <w:rPr>
      <w:rFonts w:cstheme="minorBidi"/>
      <w:sz w:val="20"/>
    </w:rPr>
  </w:style>
  <w:style w:type="paragraph" w:customStyle="1" w:styleId="Documentationpagetableheading">
    <w:name w:val="Documentation page table heading"/>
    <w:basedOn w:val="Normal"/>
    <w:semiHidden/>
    <w:qFormat/>
    <w:rsid w:val="007D3469"/>
    <w:pPr>
      <w:spacing w:before="40" w:after="40"/>
    </w:pPr>
    <w:rPr>
      <w:rFonts w:cstheme="minorBidi"/>
      <w:b/>
      <w:color w:val="FFFFFF" w:themeColor="background1"/>
      <w:sz w:val="20"/>
    </w:rPr>
  </w:style>
  <w:style w:type="paragraph" w:customStyle="1" w:styleId="Numberedparasubheading">
    <w:name w:val="Numbered para subheading"/>
    <w:basedOn w:val="Normal"/>
    <w:next w:val="Numberedpara2"/>
    <w:semiHidden/>
    <w:rsid w:val="00A313C6"/>
    <w:rPr>
      <w:b/>
      <w:i/>
    </w:rPr>
  </w:style>
  <w:style w:type="paragraph" w:customStyle="1" w:styleId="Title2">
    <w:name w:val="Title 2"/>
    <w:basedOn w:val="Title"/>
    <w:qFormat/>
    <w:rsid w:val="007D3469"/>
    <w:rPr>
      <w:sz w:val="52"/>
    </w:rPr>
  </w:style>
  <w:style w:type="paragraph" w:customStyle="1" w:styleId="Numberedpara2a">
    <w:name w:val="Numbered para 2 (a)"/>
    <w:basedOn w:val="Numberedpara3a"/>
    <w:semiHidden/>
    <w:rsid w:val="00A313C6"/>
  </w:style>
  <w:style w:type="paragraph" w:customStyle="1" w:styleId="Numberedpara3i">
    <w:name w:val="Numbered para 3 (i)"/>
    <w:basedOn w:val="Numberedpara4i"/>
    <w:semiHidden/>
    <w:rsid w:val="00A313C6"/>
  </w:style>
  <w:style w:type="character" w:customStyle="1" w:styleId="FooterChar">
    <w:name w:val="Footer Char"/>
    <w:basedOn w:val="DefaultParagraphFont"/>
    <w:link w:val="Footer"/>
    <w:rsid w:val="00DD3BD0"/>
    <w:rPr>
      <w:rFonts w:eastAsiaTheme="minorHAnsi"/>
      <w:i/>
      <w:sz w:val="20"/>
      <w:lang w:eastAsia="en-US"/>
    </w:rPr>
  </w:style>
  <w:style w:type="paragraph" w:customStyle="1" w:styleId="Numberedpara2subheading">
    <w:name w:val="Numbered para (2) subheading"/>
    <w:basedOn w:val="Normal"/>
    <w:next w:val="Normal"/>
    <w:semiHidden/>
    <w:qFormat/>
    <w:rsid w:val="007D3469"/>
    <w:pPr>
      <w:keepNext/>
      <w:spacing w:before="240" w:after="120"/>
    </w:pPr>
    <w:rPr>
      <w:b/>
      <w:i/>
    </w:rPr>
  </w:style>
  <w:style w:type="paragraph" w:customStyle="1" w:styleId="Numberedpara2level1">
    <w:name w:val="Numbered para (2) level 1"/>
    <w:basedOn w:val="Normal"/>
    <w:semiHidden/>
    <w:qFormat/>
    <w:rsid w:val="007D3469"/>
    <w:pPr>
      <w:numPr>
        <w:numId w:val="37"/>
      </w:numPr>
      <w:spacing w:after="120"/>
    </w:pPr>
  </w:style>
  <w:style w:type="paragraph" w:customStyle="1" w:styleId="Numberedpara2level2a">
    <w:name w:val="Numbered para (2) level 2 (a)"/>
    <w:basedOn w:val="Normal"/>
    <w:semiHidden/>
    <w:qFormat/>
    <w:rsid w:val="007D3469"/>
    <w:pPr>
      <w:numPr>
        <w:ilvl w:val="1"/>
        <w:numId w:val="37"/>
      </w:numPr>
      <w:spacing w:after="120"/>
    </w:pPr>
  </w:style>
  <w:style w:type="paragraph" w:customStyle="1" w:styleId="Numberedpara2level3i">
    <w:name w:val="Numbered para (2) level 3 (i)"/>
    <w:basedOn w:val="Normal"/>
    <w:semiHidden/>
    <w:qFormat/>
    <w:rsid w:val="007D3469"/>
    <w:pPr>
      <w:numPr>
        <w:ilvl w:val="2"/>
        <w:numId w:val="37"/>
      </w:numPr>
      <w:spacing w:after="120"/>
    </w:pPr>
  </w:style>
  <w:style w:type="paragraph" w:customStyle="1" w:styleId="Numberedpara2heading">
    <w:name w:val="Numbered para (2) heading"/>
    <w:basedOn w:val="Normal"/>
    <w:semiHidden/>
    <w:qFormat/>
    <w:rsid w:val="007D3469"/>
    <w:pPr>
      <w:keepNext/>
      <w:spacing w:before="240" w:after="120"/>
    </w:pPr>
    <w:rPr>
      <w:b/>
      <w:sz w:val="28"/>
    </w:rPr>
  </w:style>
  <w:style w:type="character" w:customStyle="1" w:styleId="Footersecurityclassification">
    <w:name w:val="Footer security classification"/>
    <w:basedOn w:val="DefaultParagraphFont"/>
    <w:uiPriority w:val="1"/>
    <w:qFormat/>
    <w:rsid w:val="007D3469"/>
    <w:rPr>
      <w:b/>
      <w:i/>
      <w:caps/>
      <w:smallCaps w:val="0"/>
      <w:sz w:val="22"/>
    </w:rPr>
  </w:style>
  <w:style w:type="paragraph" w:customStyle="1" w:styleId="Numberedpara11headingwithnumber">
    <w:name w:val="Numbered para (1) 1 (heading with number)"/>
    <w:basedOn w:val="Normal"/>
    <w:semiHidden/>
    <w:qFormat/>
    <w:rsid w:val="007D3469"/>
    <w:pPr>
      <w:keepNext/>
      <w:numPr>
        <w:numId w:val="38"/>
      </w:numPr>
      <w:spacing w:before="240" w:after="120"/>
    </w:pPr>
    <w:rPr>
      <w:b/>
      <w:sz w:val="28"/>
    </w:rPr>
  </w:style>
  <w:style w:type="paragraph" w:customStyle="1" w:styleId="Crossreference">
    <w:name w:val="Cross reference"/>
    <w:basedOn w:val="Normal"/>
    <w:semiHidden/>
    <w:qFormat/>
    <w:rsid w:val="007D3469"/>
    <w:rPr>
      <w:i/>
      <w:color w:val="1F546B" w:themeColor="text2"/>
      <w:u w:val="single"/>
    </w:rPr>
  </w:style>
  <w:style w:type="paragraph" w:customStyle="1" w:styleId="Numberedpara3heading">
    <w:name w:val="Numbered para (3) heading"/>
    <w:basedOn w:val="Normal"/>
    <w:semiHidden/>
    <w:qFormat/>
    <w:rsid w:val="007D3469"/>
    <w:pPr>
      <w:keepNext/>
      <w:spacing w:before="200" w:after="120"/>
    </w:pPr>
    <w:rPr>
      <w:b/>
    </w:rPr>
  </w:style>
  <w:style w:type="paragraph" w:customStyle="1" w:styleId="Numberedpara3subheading">
    <w:name w:val="Numbered para (3) subheading"/>
    <w:basedOn w:val="Normal"/>
    <w:semiHidden/>
    <w:qFormat/>
    <w:rsid w:val="007D3469"/>
    <w:pPr>
      <w:keepNext/>
      <w:spacing w:before="240" w:after="120"/>
    </w:pPr>
    <w:rPr>
      <w:b/>
      <w:i/>
    </w:rPr>
  </w:style>
  <w:style w:type="paragraph" w:customStyle="1" w:styleId="Numberedpara3level1">
    <w:name w:val="Numbered para (3) level 1"/>
    <w:basedOn w:val="Normal"/>
    <w:semiHidden/>
    <w:qFormat/>
    <w:rsid w:val="007D3469"/>
    <w:pPr>
      <w:numPr>
        <w:numId w:val="41"/>
      </w:numPr>
      <w:spacing w:after="120"/>
    </w:pPr>
  </w:style>
  <w:style w:type="paragraph" w:customStyle="1" w:styleId="Numberedpara3level211">
    <w:name w:val="Numbered para (3) level 2 (1.1)"/>
    <w:basedOn w:val="Normal"/>
    <w:semiHidden/>
    <w:qFormat/>
    <w:rsid w:val="007D3469"/>
    <w:pPr>
      <w:numPr>
        <w:ilvl w:val="1"/>
        <w:numId w:val="41"/>
      </w:numPr>
      <w:tabs>
        <w:tab w:val="num" w:pos="360"/>
      </w:tabs>
      <w:spacing w:after="120"/>
      <w:ind w:left="0" w:firstLine="0"/>
    </w:pPr>
  </w:style>
  <w:style w:type="paragraph" w:customStyle="1" w:styleId="Numberedpara3level3111">
    <w:name w:val="Numbered para (3) level 3 (1.1.1)"/>
    <w:basedOn w:val="Normal"/>
    <w:semiHidden/>
    <w:qFormat/>
    <w:rsid w:val="007D3469"/>
    <w:pPr>
      <w:numPr>
        <w:ilvl w:val="2"/>
        <w:numId w:val="41"/>
      </w:numPr>
      <w:tabs>
        <w:tab w:val="clear" w:pos="1247"/>
        <w:tab w:val="num" w:pos="360"/>
      </w:tabs>
      <w:spacing w:after="120"/>
      <w:ind w:left="0" w:firstLine="0"/>
    </w:pPr>
  </w:style>
  <w:style w:type="character" w:customStyle="1" w:styleId="TitleChar">
    <w:name w:val="Title Char"/>
    <w:basedOn w:val="DefaultParagraphFont"/>
    <w:link w:val="Title"/>
    <w:rsid w:val="007C42FA"/>
    <w:rPr>
      <w:rFonts w:eastAsiaTheme="minorHAnsi"/>
      <w:b/>
      <w:color w:val="1F546B"/>
      <w:sz w:val="80"/>
      <w:szCs w:val="80"/>
      <w:lang w:eastAsia="en-US"/>
    </w:rPr>
  </w:style>
  <w:style w:type="paragraph" w:customStyle="1" w:styleId="Securityclassificiation">
    <w:name w:val="Security classificiation"/>
    <w:basedOn w:val="Title2"/>
    <w:qFormat/>
    <w:rsid w:val="00342DBF"/>
    <w:pPr>
      <w:spacing w:before="240" w:after="0"/>
      <w:jc w:val="center"/>
    </w:pPr>
    <w:rPr>
      <w:caps/>
      <w:color w:val="000000" w:themeColor="text1"/>
      <w:sz w:val="32"/>
    </w:rPr>
  </w:style>
  <w:style w:type="paragraph" w:customStyle="1" w:styleId="LHcolumn">
    <w:name w:val="LH column"/>
    <w:basedOn w:val="Normal"/>
    <w:rsid w:val="00E26D66"/>
    <w:pPr>
      <w:keepLines w:val="0"/>
    </w:pPr>
    <w:rPr>
      <w:rFonts w:eastAsia="Calibri"/>
      <w:b/>
      <w:color w:val="1F546B" w:themeColor="text2"/>
      <w:w w:val="90"/>
      <w:szCs w:val="22"/>
    </w:rPr>
  </w:style>
  <w:style w:type="paragraph" w:customStyle="1" w:styleId="Coverimage">
    <w:name w:val="Cover image"/>
    <w:basedOn w:val="Spacer"/>
    <w:qFormat/>
    <w:rsid w:val="007D3469"/>
    <w:pPr>
      <w:jc w:val="right"/>
    </w:pPr>
  </w:style>
  <w:style w:type="character" w:customStyle="1" w:styleId="Crossreferences">
    <w:name w:val="Cross references"/>
    <w:basedOn w:val="DefaultParagraphFont"/>
    <w:uiPriority w:val="1"/>
    <w:qFormat/>
    <w:rsid w:val="00A840D6"/>
    <w:rPr>
      <w:i/>
      <w:color w:val="1F546B" w:themeColor="text2"/>
      <w:u w:val="single"/>
    </w:rPr>
  </w:style>
  <w:style w:type="character" w:customStyle="1" w:styleId="FootnoteTextChar">
    <w:name w:val="Footnote Text Char"/>
    <w:link w:val="FootnoteText"/>
    <w:rsid w:val="00A719DF"/>
    <w:rPr>
      <w:rFonts w:eastAsiaTheme="minorHAnsi"/>
      <w:sz w:val="20"/>
      <w:szCs w:val="20"/>
      <w:lang w:eastAsia="en-US"/>
    </w:rPr>
  </w:style>
  <w:style w:type="paragraph" w:customStyle="1" w:styleId="Tableheading2">
    <w:name w:val="Table heading 2"/>
    <w:basedOn w:val="Normal"/>
    <w:qFormat/>
    <w:rsid w:val="0053192C"/>
    <w:pPr>
      <w:keepLines w:val="0"/>
      <w:spacing w:before="44" w:after="24"/>
    </w:pPr>
    <w:rPr>
      <w:rFonts w:cstheme="minorBidi"/>
      <w:b/>
      <w:sz w:val="22"/>
    </w:rPr>
  </w:style>
  <w:style w:type="paragraph" w:styleId="CommentText">
    <w:name w:val="annotation text"/>
    <w:basedOn w:val="Normal"/>
    <w:link w:val="CommentTextChar"/>
    <w:uiPriority w:val="99"/>
    <w:semiHidden/>
    <w:unhideWhenUsed/>
    <w:rsid w:val="00D66902"/>
    <w:rPr>
      <w:sz w:val="20"/>
      <w:szCs w:val="20"/>
    </w:rPr>
  </w:style>
  <w:style w:type="character" w:customStyle="1" w:styleId="CommentTextChar">
    <w:name w:val="Comment Text Char"/>
    <w:basedOn w:val="DefaultParagraphFont"/>
    <w:link w:val="CommentText"/>
    <w:uiPriority w:val="99"/>
    <w:semiHidden/>
    <w:rsid w:val="00D66902"/>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D66902"/>
    <w:rPr>
      <w:b/>
      <w:bCs/>
    </w:rPr>
  </w:style>
  <w:style w:type="character" w:customStyle="1" w:styleId="CommentSubjectChar">
    <w:name w:val="Comment Subject Char"/>
    <w:basedOn w:val="CommentTextChar"/>
    <w:link w:val="CommentSubject"/>
    <w:uiPriority w:val="99"/>
    <w:semiHidden/>
    <w:rsid w:val="00D66902"/>
    <w:rPr>
      <w:rFonts w:eastAsiaTheme="minorHAnsi"/>
      <w:b/>
      <w:bCs/>
      <w:sz w:val="20"/>
      <w:szCs w:val="20"/>
      <w:lang w:eastAsia="en-US"/>
    </w:rPr>
  </w:style>
  <w:style w:type="paragraph" w:styleId="EndnoteText">
    <w:name w:val="endnote text"/>
    <w:basedOn w:val="Normal"/>
    <w:link w:val="EndnoteTextChar"/>
    <w:uiPriority w:val="99"/>
    <w:semiHidden/>
    <w:unhideWhenUsed/>
    <w:rsid w:val="00BA29B2"/>
    <w:pPr>
      <w:spacing w:before="0" w:after="0"/>
    </w:pPr>
    <w:rPr>
      <w:sz w:val="20"/>
      <w:szCs w:val="20"/>
    </w:rPr>
  </w:style>
  <w:style w:type="character" w:customStyle="1" w:styleId="EndnoteTextChar">
    <w:name w:val="Endnote Text Char"/>
    <w:basedOn w:val="DefaultParagraphFont"/>
    <w:link w:val="EndnoteText"/>
    <w:uiPriority w:val="99"/>
    <w:semiHidden/>
    <w:rsid w:val="00BA29B2"/>
    <w:rPr>
      <w:rFonts w:eastAsiaTheme="minorHAns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634362">
      <w:bodyDiv w:val="1"/>
      <w:marLeft w:val="0"/>
      <w:marRight w:val="0"/>
      <w:marTop w:val="0"/>
      <w:marBottom w:val="0"/>
      <w:divBdr>
        <w:top w:val="none" w:sz="0" w:space="0" w:color="auto"/>
        <w:left w:val="none" w:sz="0" w:space="0" w:color="auto"/>
        <w:bottom w:val="none" w:sz="0" w:space="0" w:color="auto"/>
        <w:right w:val="none" w:sz="0" w:space="0" w:color="auto"/>
      </w:divBdr>
      <w:divsChild>
        <w:div w:id="201476130">
          <w:marLeft w:val="0"/>
          <w:marRight w:val="0"/>
          <w:marTop w:val="0"/>
          <w:marBottom w:val="0"/>
          <w:divBdr>
            <w:top w:val="none" w:sz="0" w:space="0" w:color="auto"/>
            <w:left w:val="none" w:sz="0" w:space="0" w:color="auto"/>
            <w:bottom w:val="none" w:sz="0" w:space="0" w:color="auto"/>
            <w:right w:val="none" w:sz="0" w:space="0" w:color="auto"/>
          </w:divBdr>
          <w:divsChild>
            <w:div w:id="1159349907">
              <w:marLeft w:val="0"/>
              <w:marRight w:val="0"/>
              <w:marTop w:val="0"/>
              <w:marBottom w:val="0"/>
              <w:divBdr>
                <w:top w:val="none" w:sz="0" w:space="0" w:color="auto"/>
                <w:left w:val="none" w:sz="0" w:space="0" w:color="auto"/>
                <w:bottom w:val="none" w:sz="0" w:space="0" w:color="auto"/>
                <w:right w:val="none" w:sz="0" w:space="0" w:color="auto"/>
              </w:divBdr>
              <w:divsChild>
                <w:div w:id="678848568">
                  <w:marLeft w:val="0"/>
                  <w:marRight w:val="0"/>
                  <w:marTop w:val="105"/>
                  <w:marBottom w:val="0"/>
                  <w:divBdr>
                    <w:top w:val="none" w:sz="0" w:space="0" w:color="auto"/>
                    <w:left w:val="none" w:sz="0" w:space="0" w:color="auto"/>
                    <w:bottom w:val="none" w:sz="0" w:space="0" w:color="auto"/>
                    <w:right w:val="none" w:sz="0" w:space="0" w:color="auto"/>
                  </w:divBdr>
                  <w:divsChild>
                    <w:div w:id="20397632">
                      <w:marLeft w:val="450"/>
                      <w:marRight w:val="225"/>
                      <w:marTop w:val="0"/>
                      <w:marBottom w:val="0"/>
                      <w:divBdr>
                        <w:top w:val="none" w:sz="0" w:space="0" w:color="auto"/>
                        <w:left w:val="none" w:sz="0" w:space="0" w:color="auto"/>
                        <w:bottom w:val="none" w:sz="0" w:space="0" w:color="auto"/>
                        <w:right w:val="none" w:sz="0" w:space="0" w:color="auto"/>
                      </w:divBdr>
                      <w:divsChild>
                        <w:div w:id="1773016232">
                          <w:marLeft w:val="0"/>
                          <w:marRight w:val="0"/>
                          <w:marTop w:val="0"/>
                          <w:marBottom w:val="600"/>
                          <w:divBdr>
                            <w:top w:val="single" w:sz="6" w:space="0" w:color="314664"/>
                            <w:left w:val="single" w:sz="6" w:space="0" w:color="314664"/>
                            <w:bottom w:val="single" w:sz="6" w:space="0" w:color="314664"/>
                            <w:right w:val="single" w:sz="6" w:space="0" w:color="314664"/>
                          </w:divBdr>
                          <w:divsChild>
                            <w:div w:id="679284886">
                              <w:marLeft w:val="0"/>
                              <w:marRight w:val="0"/>
                              <w:marTop w:val="0"/>
                              <w:marBottom w:val="0"/>
                              <w:divBdr>
                                <w:top w:val="none" w:sz="0" w:space="0" w:color="auto"/>
                                <w:left w:val="none" w:sz="0" w:space="0" w:color="auto"/>
                                <w:bottom w:val="none" w:sz="0" w:space="0" w:color="auto"/>
                                <w:right w:val="none" w:sz="0" w:space="0" w:color="auto"/>
                              </w:divBdr>
                              <w:divsChild>
                                <w:div w:id="27875278">
                                  <w:marLeft w:val="0"/>
                                  <w:marRight w:val="0"/>
                                  <w:marTop w:val="0"/>
                                  <w:marBottom w:val="0"/>
                                  <w:divBdr>
                                    <w:top w:val="none" w:sz="0" w:space="0" w:color="auto"/>
                                    <w:left w:val="none" w:sz="0" w:space="0" w:color="auto"/>
                                    <w:bottom w:val="none" w:sz="0" w:space="0" w:color="auto"/>
                                    <w:right w:val="none" w:sz="0" w:space="0" w:color="auto"/>
                                  </w:divBdr>
                                  <w:divsChild>
                                    <w:div w:id="2142067578">
                                      <w:marLeft w:val="0"/>
                                      <w:marRight w:val="0"/>
                                      <w:marTop w:val="0"/>
                                      <w:marBottom w:val="0"/>
                                      <w:divBdr>
                                        <w:top w:val="none" w:sz="0" w:space="0" w:color="auto"/>
                                        <w:left w:val="none" w:sz="0" w:space="0" w:color="auto"/>
                                        <w:bottom w:val="none" w:sz="0" w:space="0" w:color="auto"/>
                                        <w:right w:val="none" w:sz="0" w:space="0" w:color="auto"/>
                                      </w:divBdr>
                                      <w:divsChild>
                                        <w:div w:id="1962564414">
                                          <w:marLeft w:val="0"/>
                                          <w:marRight w:val="0"/>
                                          <w:marTop w:val="0"/>
                                          <w:marBottom w:val="0"/>
                                          <w:divBdr>
                                            <w:top w:val="none" w:sz="0" w:space="0" w:color="auto"/>
                                            <w:left w:val="none" w:sz="0" w:space="0" w:color="auto"/>
                                            <w:bottom w:val="none" w:sz="0" w:space="0" w:color="auto"/>
                                            <w:right w:val="none" w:sz="0" w:space="0" w:color="auto"/>
                                          </w:divBdr>
                                          <w:divsChild>
                                            <w:div w:id="487357812">
                                              <w:marLeft w:val="0"/>
                                              <w:marRight w:val="0"/>
                                              <w:marTop w:val="0"/>
                                              <w:marBottom w:val="0"/>
                                              <w:divBdr>
                                                <w:top w:val="none" w:sz="0" w:space="0" w:color="auto"/>
                                                <w:left w:val="none" w:sz="0" w:space="0" w:color="auto"/>
                                                <w:bottom w:val="none" w:sz="0" w:space="0" w:color="auto"/>
                                                <w:right w:val="none" w:sz="0" w:space="0" w:color="auto"/>
                                              </w:divBdr>
                                              <w:divsChild>
                                                <w:div w:id="777065030">
                                                  <w:marLeft w:val="0"/>
                                                  <w:marRight w:val="0"/>
                                                  <w:marTop w:val="0"/>
                                                  <w:marBottom w:val="0"/>
                                                  <w:divBdr>
                                                    <w:top w:val="none" w:sz="0" w:space="0" w:color="auto"/>
                                                    <w:left w:val="none" w:sz="0" w:space="0" w:color="auto"/>
                                                    <w:bottom w:val="none" w:sz="0" w:space="0" w:color="auto"/>
                                                    <w:right w:val="none" w:sz="0" w:space="0" w:color="auto"/>
                                                  </w:divBdr>
                                                  <w:divsChild>
                                                    <w:div w:id="1764253514">
                                                      <w:marLeft w:val="0"/>
                                                      <w:marRight w:val="0"/>
                                                      <w:marTop w:val="0"/>
                                                      <w:marBottom w:val="0"/>
                                                      <w:divBdr>
                                                        <w:top w:val="none" w:sz="0" w:space="0" w:color="auto"/>
                                                        <w:left w:val="none" w:sz="0" w:space="0" w:color="auto"/>
                                                        <w:bottom w:val="none" w:sz="0" w:space="0" w:color="auto"/>
                                                        <w:right w:val="none" w:sz="0" w:space="0" w:color="auto"/>
                                                      </w:divBdr>
                                                      <w:divsChild>
                                                        <w:div w:id="2083600627">
                                                          <w:marLeft w:val="0"/>
                                                          <w:marRight w:val="0"/>
                                                          <w:marTop w:val="0"/>
                                                          <w:marBottom w:val="0"/>
                                                          <w:divBdr>
                                                            <w:top w:val="none" w:sz="0" w:space="0" w:color="auto"/>
                                                            <w:left w:val="none" w:sz="0" w:space="0" w:color="auto"/>
                                                            <w:bottom w:val="none" w:sz="0" w:space="0" w:color="auto"/>
                                                            <w:right w:val="none" w:sz="0" w:space="0" w:color="auto"/>
                                                          </w:divBdr>
                                                          <w:divsChild>
                                                            <w:div w:id="909535269">
                                                              <w:marLeft w:val="0"/>
                                                              <w:marRight w:val="0"/>
                                                              <w:marTop w:val="0"/>
                                                              <w:marBottom w:val="0"/>
                                                              <w:divBdr>
                                                                <w:top w:val="none" w:sz="0" w:space="0" w:color="auto"/>
                                                                <w:left w:val="none" w:sz="0" w:space="0" w:color="auto"/>
                                                                <w:bottom w:val="none" w:sz="0" w:space="0" w:color="auto"/>
                                                                <w:right w:val="none" w:sz="0" w:space="0" w:color="auto"/>
                                                              </w:divBdr>
                                                              <w:divsChild>
                                                                <w:div w:id="645206098">
                                                                  <w:marLeft w:val="0"/>
                                                                  <w:marRight w:val="0"/>
                                                                  <w:marTop w:val="83"/>
                                                                  <w:marBottom w:val="0"/>
                                                                  <w:divBdr>
                                                                    <w:top w:val="none" w:sz="0" w:space="0" w:color="auto"/>
                                                                    <w:left w:val="none" w:sz="0" w:space="0" w:color="auto"/>
                                                                    <w:bottom w:val="none" w:sz="0" w:space="0" w:color="auto"/>
                                                                    <w:right w:val="none" w:sz="0" w:space="0" w:color="auto"/>
                                                                  </w:divBdr>
                                                                  <w:divsChild>
                                                                    <w:div w:id="875236397">
                                                                      <w:marLeft w:val="0"/>
                                                                      <w:marRight w:val="0"/>
                                                                      <w:marTop w:val="0"/>
                                                                      <w:marBottom w:val="0"/>
                                                                      <w:divBdr>
                                                                        <w:top w:val="none" w:sz="0" w:space="0" w:color="auto"/>
                                                                        <w:left w:val="none" w:sz="0" w:space="0" w:color="auto"/>
                                                                        <w:bottom w:val="none" w:sz="0" w:space="0" w:color="auto"/>
                                                                        <w:right w:val="none" w:sz="0" w:space="0" w:color="auto"/>
                                                                      </w:divBdr>
                                                                      <w:divsChild>
                                                                        <w:div w:id="760176041">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453635">
      <w:bodyDiv w:val="1"/>
      <w:marLeft w:val="0"/>
      <w:marRight w:val="0"/>
      <w:marTop w:val="0"/>
      <w:marBottom w:val="0"/>
      <w:divBdr>
        <w:top w:val="none" w:sz="0" w:space="0" w:color="auto"/>
        <w:left w:val="none" w:sz="0" w:space="0" w:color="auto"/>
        <w:bottom w:val="none" w:sz="0" w:space="0" w:color="auto"/>
        <w:right w:val="none" w:sz="0" w:space="0" w:color="auto"/>
      </w:divBdr>
      <w:divsChild>
        <w:div w:id="218397674">
          <w:marLeft w:val="0"/>
          <w:marRight w:val="0"/>
          <w:marTop w:val="0"/>
          <w:marBottom w:val="0"/>
          <w:divBdr>
            <w:top w:val="none" w:sz="0" w:space="0" w:color="auto"/>
            <w:left w:val="none" w:sz="0" w:space="0" w:color="auto"/>
            <w:bottom w:val="none" w:sz="0" w:space="0" w:color="auto"/>
            <w:right w:val="none" w:sz="0" w:space="0" w:color="auto"/>
          </w:divBdr>
          <w:divsChild>
            <w:div w:id="1667514906">
              <w:marLeft w:val="0"/>
              <w:marRight w:val="0"/>
              <w:marTop w:val="0"/>
              <w:marBottom w:val="0"/>
              <w:divBdr>
                <w:top w:val="none" w:sz="0" w:space="0" w:color="auto"/>
                <w:left w:val="none" w:sz="0" w:space="0" w:color="auto"/>
                <w:bottom w:val="none" w:sz="0" w:space="0" w:color="auto"/>
                <w:right w:val="none" w:sz="0" w:space="0" w:color="auto"/>
              </w:divBdr>
              <w:divsChild>
                <w:div w:id="1465199538">
                  <w:marLeft w:val="0"/>
                  <w:marRight w:val="0"/>
                  <w:marTop w:val="105"/>
                  <w:marBottom w:val="0"/>
                  <w:divBdr>
                    <w:top w:val="none" w:sz="0" w:space="0" w:color="auto"/>
                    <w:left w:val="none" w:sz="0" w:space="0" w:color="auto"/>
                    <w:bottom w:val="none" w:sz="0" w:space="0" w:color="auto"/>
                    <w:right w:val="none" w:sz="0" w:space="0" w:color="auto"/>
                  </w:divBdr>
                  <w:divsChild>
                    <w:div w:id="2018606194">
                      <w:marLeft w:val="450"/>
                      <w:marRight w:val="225"/>
                      <w:marTop w:val="0"/>
                      <w:marBottom w:val="0"/>
                      <w:divBdr>
                        <w:top w:val="none" w:sz="0" w:space="0" w:color="auto"/>
                        <w:left w:val="none" w:sz="0" w:space="0" w:color="auto"/>
                        <w:bottom w:val="none" w:sz="0" w:space="0" w:color="auto"/>
                        <w:right w:val="none" w:sz="0" w:space="0" w:color="auto"/>
                      </w:divBdr>
                      <w:divsChild>
                        <w:div w:id="826289602">
                          <w:marLeft w:val="0"/>
                          <w:marRight w:val="0"/>
                          <w:marTop w:val="0"/>
                          <w:marBottom w:val="600"/>
                          <w:divBdr>
                            <w:top w:val="single" w:sz="6" w:space="0" w:color="314664"/>
                            <w:left w:val="single" w:sz="6" w:space="0" w:color="314664"/>
                            <w:bottom w:val="single" w:sz="6" w:space="0" w:color="314664"/>
                            <w:right w:val="single" w:sz="6" w:space="0" w:color="314664"/>
                          </w:divBdr>
                          <w:divsChild>
                            <w:div w:id="1249118720">
                              <w:marLeft w:val="0"/>
                              <w:marRight w:val="0"/>
                              <w:marTop w:val="0"/>
                              <w:marBottom w:val="0"/>
                              <w:divBdr>
                                <w:top w:val="none" w:sz="0" w:space="0" w:color="auto"/>
                                <w:left w:val="none" w:sz="0" w:space="0" w:color="auto"/>
                                <w:bottom w:val="none" w:sz="0" w:space="0" w:color="auto"/>
                                <w:right w:val="none" w:sz="0" w:space="0" w:color="auto"/>
                              </w:divBdr>
                              <w:divsChild>
                                <w:div w:id="325286642">
                                  <w:marLeft w:val="0"/>
                                  <w:marRight w:val="0"/>
                                  <w:marTop w:val="0"/>
                                  <w:marBottom w:val="0"/>
                                  <w:divBdr>
                                    <w:top w:val="none" w:sz="0" w:space="0" w:color="auto"/>
                                    <w:left w:val="none" w:sz="0" w:space="0" w:color="auto"/>
                                    <w:bottom w:val="none" w:sz="0" w:space="0" w:color="auto"/>
                                    <w:right w:val="none" w:sz="0" w:space="0" w:color="auto"/>
                                  </w:divBdr>
                                  <w:divsChild>
                                    <w:div w:id="1147237358">
                                      <w:marLeft w:val="0"/>
                                      <w:marRight w:val="0"/>
                                      <w:marTop w:val="0"/>
                                      <w:marBottom w:val="0"/>
                                      <w:divBdr>
                                        <w:top w:val="none" w:sz="0" w:space="0" w:color="auto"/>
                                        <w:left w:val="none" w:sz="0" w:space="0" w:color="auto"/>
                                        <w:bottom w:val="none" w:sz="0" w:space="0" w:color="auto"/>
                                        <w:right w:val="none" w:sz="0" w:space="0" w:color="auto"/>
                                      </w:divBdr>
                                      <w:divsChild>
                                        <w:div w:id="415326447">
                                          <w:marLeft w:val="0"/>
                                          <w:marRight w:val="0"/>
                                          <w:marTop w:val="0"/>
                                          <w:marBottom w:val="0"/>
                                          <w:divBdr>
                                            <w:top w:val="none" w:sz="0" w:space="0" w:color="auto"/>
                                            <w:left w:val="none" w:sz="0" w:space="0" w:color="auto"/>
                                            <w:bottom w:val="none" w:sz="0" w:space="0" w:color="auto"/>
                                            <w:right w:val="none" w:sz="0" w:space="0" w:color="auto"/>
                                          </w:divBdr>
                                          <w:divsChild>
                                            <w:div w:id="836118962">
                                              <w:marLeft w:val="0"/>
                                              <w:marRight w:val="0"/>
                                              <w:marTop w:val="0"/>
                                              <w:marBottom w:val="0"/>
                                              <w:divBdr>
                                                <w:top w:val="none" w:sz="0" w:space="0" w:color="auto"/>
                                                <w:left w:val="none" w:sz="0" w:space="0" w:color="auto"/>
                                                <w:bottom w:val="none" w:sz="0" w:space="0" w:color="auto"/>
                                                <w:right w:val="none" w:sz="0" w:space="0" w:color="auto"/>
                                              </w:divBdr>
                                              <w:divsChild>
                                                <w:div w:id="777793881">
                                                  <w:marLeft w:val="0"/>
                                                  <w:marRight w:val="0"/>
                                                  <w:marTop w:val="0"/>
                                                  <w:marBottom w:val="0"/>
                                                  <w:divBdr>
                                                    <w:top w:val="none" w:sz="0" w:space="0" w:color="auto"/>
                                                    <w:left w:val="none" w:sz="0" w:space="0" w:color="auto"/>
                                                    <w:bottom w:val="none" w:sz="0" w:space="0" w:color="auto"/>
                                                    <w:right w:val="none" w:sz="0" w:space="0" w:color="auto"/>
                                                  </w:divBdr>
                                                  <w:divsChild>
                                                    <w:div w:id="1085764857">
                                                      <w:marLeft w:val="0"/>
                                                      <w:marRight w:val="0"/>
                                                      <w:marTop w:val="0"/>
                                                      <w:marBottom w:val="0"/>
                                                      <w:divBdr>
                                                        <w:top w:val="none" w:sz="0" w:space="0" w:color="auto"/>
                                                        <w:left w:val="none" w:sz="0" w:space="0" w:color="auto"/>
                                                        <w:bottom w:val="none" w:sz="0" w:space="0" w:color="auto"/>
                                                        <w:right w:val="none" w:sz="0" w:space="0" w:color="auto"/>
                                                      </w:divBdr>
                                                      <w:divsChild>
                                                        <w:div w:id="1966036793">
                                                          <w:marLeft w:val="0"/>
                                                          <w:marRight w:val="0"/>
                                                          <w:marTop w:val="0"/>
                                                          <w:marBottom w:val="0"/>
                                                          <w:divBdr>
                                                            <w:top w:val="none" w:sz="0" w:space="0" w:color="auto"/>
                                                            <w:left w:val="none" w:sz="0" w:space="0" w:color="auto"/>
                                                            <w:bottom w:val="none" w:sz="0" w:space="0" w:color="auto"/>
                                                            <w:right w:val="none" w:sz="0" w:space="0" w:color="auto"/>
                                                          </w:divBdr>
                                                          <w:divsChild>
                                                            <w:div w:id="1630741680">
                                                              <w:marLeft w:val="0"/>
                                                              <w:marRight w:val="0"/>
                                                              <w:marTop w:val="0"/>
                                                              <w:marBottom w:val="0"/>
                                                              <w:divBdr>
                                                                <w:top w:val="none" w:sz="0" w:space="0" w:color="auto"/>
                                                                <w:left w:val="none" w:sz="0" w:space="0" w:color="auto"/>
                                                                <w:bottom w:val="none" w:sz="0" w:space="0" w:color="auto"/>
                                                                <w:right w:val="none" w:sz="0" w:space="0" w:color="auto"/>
                                                              </w:divBdr>
                                                              <w:divsChild>
                                                                <w:div w:id="289242530">
                                                                  <w:marLeft w:val="0"/>
                                                                  <w:marRight w:val="0"/>
                                                                  <w:marTop w:val="83"/>
                                                                  <w:marBottom w:val="0"/>
                                                                  <w:divBdr>
                                                                    <w:top w:val="none" w:sz="0" w:space="0" w:color="auto"/>
                                                                    <w:left w:val="none" w:sz="0" w:space="0" w:color="auto"/>
                                                                    <w:bottom w:val="none" w:sz="0" w:space="0" w:color="auto"/>
                                                                    <w:right w:val="none" w:sz="0" w:space="0" w:color="auto"/>
                                                                  </w:divBdr>
                                                                  <w:divsChild>
                                                                    <w:div w:id="766004186">
                                                                      <w:marLeft w:val="0"/>
                                                                      <w:marRight w:val="0"/>
                                                                      <w:marTop w:val="0"/>
                                                                      <w:marBottom w:val="0"/>
                                                                      <w:divBdr>
                                                                        <w:top w:val="none" w:sz="0" w:space="0" w:color="auto"/>
                                                                        <w:left w:val="none" w:sz="0" w:space="0" w:color="auto"/>
                                                                        <w:bottom w:val="none" w:sz="0" w:space="0" w:color="auto"/>
                                                                        <w:right w:val="none" w:sz="0" w:space="0" w:color="auto"/>
                                                                      </w:divBdr>
                                                                      <w:divsChild>
                                                                        <w:div w:id="959453710">
                                                                          <w:marLeft w:val="0"/>
                                                                          <w:marRight w:val="0"/>
                                                                          <w:marTop w:val="83"/>
                                                                          <w:marBottom w:val="0"/>
                                                                          <w:divBdr>
                                                                            <w:top w:val="none" w:sz="0" w:space="0" w:color="auto"/>
                                                                            <w:left w:val="none" w:sz="0" w:space="0" w:color="auto"/>
                                                                            <w:bottom w:val="none" w:sz="0" w:space="0" w:color="auto"/>
                                                                            <w:right w:val="none" w:sz="0" w:space="0" w:color="auto"/>
                                                                          </w:divBdr>
                                                                        </w:div>
                                                                      </w:divsChild>
                                                                    </w:div>
                                                                    <w:div w:id="1055198206">
                                                                      <w:marLeft w:val="0"/>
                                                                      <w:marRight w:val="0"/>
                                                                      <w:marTop w:val="0"/>
                                                                      <w:marBottom w:val="0"/>
                                                                      <w:divBdr>
                                                                        <w:top w:val="none" w:sz="0" w:space="0" w:color="auto"/>
                                                                        <w:left w:val="none" w:sz="0" w:space="0" w:color="auto"/>
                                                                        <w:bottom w:val="none" w:sz="0" w:space="0" w:color="auto"/>
                                                                        <w:right w:val="none" w:sz="0" w:space="0" w:color="auto"/>
                                                                      </w:divBdr>
                                                                      <w:divsChild>
                                                                        <w:div w:id="22170397">
                                                                          <w:marLeft w:val="0"/>
                                                                          <w:marRight w:val="0"/>
                                                                          <w:marTop w:val="83"/>
                                                                          <w:marBottom w:val="0"/>
                                                                          <w:divBdr>
                                                                            <w:top w:val="none" w:sz="0" w:space="0" w:color="auto"/>
                                                                            <w:left w:val="none" w:sz="0" w:space="0" w:color="auto"/>
                                                                            <w:bottom w:val="none" w:sz="0" w:space="0" w:color="auto"/>
                                                                            <w:right w:val="none" w:sz="0" w:space="0" w:color="auto"/>
                                                                          </w:divBdr>
                                                                        </w:div>
                                                                      </w:divsChild>
                                                                    </w:div>
                                                                    <w:div w:id="2101825337">
                                                                      <w:marLeft w:val="0"/>
                                                                      <w:marRight w:val="0"/>
                                                                      <w:marTop w:val="0"/>
                                                                      <w:marBottom w:val="0"/>
                                                                      <w:divBdr>
                                                                        <w:top w:val="none" w:sz="0" w:space="0" w:color="auto"/>
                                                                        <w:left w:val="none" w:sz="0" w:space="0" w:color="auto"/>
                                                                        <w:bottom w:val="none" w:sz="0" w:space="0" w:color="auto"/>
                                                                        <w:right w:val="none" w:sz="0" w:space="0" w:color="auto"/>
                                                                      </w:divBdr>
                                                                      <w:divsChild>
                                                                        <w:div w:id="155338613">
                                                                          <w:marLeft w:val="0"/>
                                                                          <w:marRight w:val="0"/>
                                                                          <w:marTop w:val="83"/>
                                                                          <w:marBottom w:val="0"/>
                                                                          <w:divBdr>
                                                                            <w:top w:val="none" w:sz="0" w:space="0" w:color="auto"/>
                                                                            <w:left w:val="none" w:sz="0" w:space="0" w:color="auto"/>
                                                                            <w:bottom w:val="none" w:sz="0" w:space="0" w:color="auto"/>
                                                                            <w:right w:val="none" w:sz="0" w:space="0" w:color="auto"/>
                                                                          </w:divBdr>
                                                                        </w:div>
                                                                      </w:divsChild>
                                                                    </w:div>
                                                                    <w:div w:id="2044288508">
                                                                      <w:marLeft w:val="0"/>
                                                                      <w:marRight w:val="0"/>
                                                                      <w:marTop w:val="0"/>
                                                                      <w:marBottom w:val="0"/>
                                                                      <w:divBdr>
                                                                        <w:top w:val="none" w:sz="0" w:space="0" w:color="auto"/>
                                                                        <w:left w:val="none" w:sz="0" w:space="0" w:color="auto"/>
                                                                        <w:bottom w:val="none" w:sz="0" w:space="0" w:color="auto"/>
                                                                        <w:right w:val="none" w:sz="0" w:space="0" w:color="auto"/>
                                                                      </w:divBdr>
                                                                      <w:divsChild>
                                                                        <w:div w:id="1289504643">
                                                                          <w:marLeft w:val="0"/>
                                                                          <w:marRight w:val="0"/>
                                                                          <w:marTop w:val="83"/>
                                                                          <w:marBottom w:val="0"/>
                                                                          <w:divBdr>
                                                                            <w:top w:val="none" w:sz="0" w:space="0" w:color="auto"/>
                                                                            <w:left w:val="none" w:sz="0" w:space="0" w:color="auto"/>
                                                                            <w:bottom w:val="none" w:sz="0" w:space="0" w:color="auto"/>
                                                                            <w:right w:val="none" w:sz="0" w:space="0" w:color="auto"/>
                                                                          </w:divBdr>
                                                                        </w:div>
                                                                      </w:divsChild>
                                                                    </w:div>
                                                                    <w:div w:id="1930575537">
                                                                      <w:marLeft w:val="0"/>
                                                                      <w:marRight w:val="0"/>
                                                                      <w:marTop w:val="0"/>
                                                                      <w:marBottom w:val="0"/>
                                                                      <w:divBdr>
                                                                        <w:top w:val="none" w:sz="0" w:space="0" w:color="auto"/>
                                                                        <w:left w:val="none" w:sz="0" w:space="0" w:color="auto"/>
                                                                        <w:bottom w:val="none" w:sz="0" w:space="0" w:color="auto"/>
                                                                        <w:right w:val="none" w:sz="0" w:space="0" w:color="auto"/>
                                                                      </w:divBdr>
                                                                      <w:divsChild>
                                                                        <w:div w:id="866022084">
                                                                          <w:marLeft w:val="0"/>
                                                                          <w:marRight w:val="0"/>
                                                                          <w:marTop w:val="83"/>
                                                                          <w:marBottom w:val="0"/>
                                                                          <w:divBdr>
                                                                            <w:top w:val="none" w:sz="0" w:space="0" w:color="auto"/>
                                                                            <w:left w:val="none" w:sz="0" w:space="0" w:color="auto"/>
                                                                            <w:bottom w:val="none" w:sz="0" w:space="0" w:color="auto"/>
                                                                            <w:right w:val="none" w:sz="0" w:space="0" w:color="auto"/>
                                                                          </w:divBdr>
                                                                        </w:div>
                                                                      </w:divsChild>
                                                                    </w:div>
                                                                    <w:div w:id="1982688048">
                                                                      <w:marLeft w:val="0"/>
                                                                      <w:marRight w:val="0"/>
                                                                      <w:marTop w:val="0"/>
                                                                      <w:marBottom w:val="0"/>
                                                                      <w:divBdr>
                                                                        <w:top w:val="none" w:sz="0" w:space="0" w:color="auto"/>
                                                                        <w:left w:val="none" w:sz="0" w:space="0" w:color="auto"/>
                                                                        <w:bottom w:val="none" w:sz="0" w:space="0" w:color="auto"/>
                                                                        <w:right w:val="none" w:sz="0" w:space="0" w:color="auto"/>
                                                                      </w:divBdr>
                                                                      <w:divsChild>
                                                                        <w:div w:id="672227641">
                                                                          <w:marLeft w:val="0"/>
                                                                          <w:marRight w:val="0"/>
                                                                          <w:marTop w:val="83"/>
                                                                          <w:marBottom w:val="0"/>
                                                                          <w:divBdr>
                                                                            <w:top w:val="none" w:sz="0" w:space="0" w:color="auto"/>
                                                                            <w:left w:val="none" w:sz="0" w:space="0" w:color="auto"/>
                                                                            <w:bottom w:val="none" w:sz="0" w:space="0" w:color="auto"/>
                                                                            <w:right w:val="none" w:sz="0" w:space="0" w:color="auto"/>
                                                                          </w:divBdr>
                                                                        </w:div>
                                                                      </w:divsChild>
                                                                    </w:div>
                                                                    <w:div w:id="2004040687">
                                                                      <w:marLeft w:val="0"/>
                                                                      <w:marRight w:val="0"/>
                                                                      <w:marTop w:val="0"/>
                                                                      <w:marBottom w:val="0"/>
                                                                      <w:divBdr>
                                                                        <w:top w:val="none" w:sz="0" w:space="0" w:color="auto"/>
                                                                        <w:left w:val="none" w:sz="0" w:space="0" w:color="auto"/>
                                                                        <w:bottom w:val="none" w:sz="0" w:space="0" w:color="auto"/>
                                                                        <w:right w:val="none" w:sz="0" w:space="0" w:color="auto"/>
                                                                      </w:divBdr>
                                                                      <w:divsChild>
                                                                        <w:div w:id="800459096">
                                                                          <w:marLeft w:val="0"/>
                                                                          <w:marRight w:val="0"/>
                                                                          <w:marTop w:val="83"/>
                                                                          <w:marBottom w:val="0"/>
                                                                          <w:divBdr>
                                                                            <w:top w:val="none" w:sz="0" w:space="0" w:color="auto"/>
                                                                            <w:left w:val="none" w:sz="0" w:space="0" w:color="auto"/>
                                                                            <w:bottom w:val="none" w:sz="0" w:space="0" w:color="auto"/>
                                                                            <w:right w:val="none" w:sz="0" w:space="0" w:color="auto"/>
                                                                          </w:divBdr>
                                                                        </w:div>
                                                                      </w:divsChild>
                                                                    </w:div>
                                                                    <w:div w:id="1428429342">
                                                                      <w:marLeft w:val="0"/>
                                                                      <w:marRight w:val="0"/>
                                                                      <w:marTop w:val="0"/>
                                                                      <w:marBottom w:val="0"/>
                                                                      <w:divBdr>
                                                                        <w:top w:val="none" w:sz="0" w:space="0" w:color="auto"/>
                                                                        <w:left w:val="none" w:sz="0" w:space="0" w:color="auto"/>
                                                                        <w:bottom w:val="none" w:sz="0" w:space="0" w:color="auto"/>
                                                                        <w:right w:val="none" w:sz="0" w:space="0" w:color="auto"/>
                                                                      </w:divBdr>
                                                                      <w:divsChild>
                                                                        <w:div w:id="1430660127">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9228007">
      <w:bodyDiv w:val="1"/>
      <w:marLeft w:val="0"/>
      <w:marRight w:val="0"/>
      <w:marTop w:val="0"/>
      <w:marBottom w:val="0"/>
      <w:divBdr>
        <w:top w:val="none" w:sz="0" w:space="0" w:color="auto"/>
        <w:left w:val="none" w:sz="0" w:space="0" w:color="auto"/>
        <w:bottom w:val="none" w:sz="0" w:space="0" w:color="auto"/>
        <w:right w:val="none" w:sz="0" w:space="0" w:color="auto"/>
      </w:divBdr>
      <w:divsChild>
        <w:div w:id="80882494">
          <w:marLeft w:val="0"/>
          <w:marRight w:val="0"/>
          <w:marTop w:val="0"/>
          <w:marBottom w:val="0"/>
          <w:divBdr>
            <w:top w:val="none" w:sz="0" w:space="0" w:color="auto"/>
            <w:left w:val="none" w:sz="0" w:space="0" w:color="auto"/>
            <w:bottom w:val="none" w:sz="0" w:space="0" w:color="auto"/>
            <w:right w:val="none" w:sz="0" w:space="0" w:color="auto"/>
          </w:divBdr>
          <w:divsChild>
            <w:div w:id="1553880864">
              <w:marLeft w:val="0"/>
              <w:marRight w:val="0"/>
              <w:marTop w:val="0"/>
              <w:marBottom w:val="0"/>
              <w:divBdr>
                <w:top w:val="none" w:sz="0" w:space="0" w:color="auto"/>
                <w:left w:val="none" w:sz="0" w:space="0" w:color="auto"/>
                <w:bottom w:val="none" w:sz="0" w:space="0" w:color="auto"/>
                <w:right w:val="none" w:sz="0" w:space="0" w:color="auto"/>
              </w:divBdr>
              <w:divsChild>
                <w:div w:id="1844126615">
                  <w:marLeft w:val="0"/>
                  <w:marRight w:val="0"/>
                  <w:marTop w:val="105"/>
                  <w:marBottom w:val="0"/>
                  <w:divBdr>
                    <w:top w:val="none" w:sz="0" w:space="0" w:color="auto"/>
                    <w:left w:val="none" w:sz="0" w:space="0" w:color="auto"/>
                    <w:bottom w:val="none" w:sz="0" w:space="0" w:color="auto"/>
                    <w:right w:val="none" w:sz="0" w:space="0" w:color="auto"/>
                  </w:divBdr>
                  <w:divsChild>
                    <w:div w:id="1312707993">
                      <w:marLeft w:val="450"/>
                      <w:marRight w:val="225"/>
                      <w:marTop w:val="0"/>
                      <w:marBottom w:val="0"/>
                      <w:divBdr>
                        <w:top w:val="none" w:sz="0" w:space="0" w:color="auto"/>
                        <w:left w:val="none" w:sz="0" w:space="0" w:color="auto"/>
                        <w:bottom w:val="none" w:sz="0" w:space="0" w:color="auto"/>
                        <w:right w:val="none" w:sz="0" w:space="0" w:color="auto"/>
                      </w:divBdr>
                      <w:divsChild>
                        <w:div w:id="14306021">
                          <w:marLeft w:val="0"/>
                          <w:marRight w:val="0"/>
                          <w:marTop w:val="0"/>
                          <w:marBottom w:val="600"/>
                          <w:divBdr>
                            <w:top w:val="single" w:sz="6" w:space="0" w:color="314664"/>
                            <w:left w:val="single" w:sz="6" w:space="0" w:color="314664"/>
                            <w:bottom w:val="single" w:sz="6" w:space="0" w:color="314664"/>
                            <w:right w:val="single" w:sz="6" w:space="0" w:color="314664"/>
                          </w:divBdr>
                          <w:divsChild>
                            <w:div w:id="1324427210">
                              <w:marLeft w:val="0"/>
                              <w:marRight w:val="0"/>
                              <w:marTop w:val="0"/>
                              <w:marBottom w:val="0"/>
                              <w:divBdr>
                                <w:top w:val="none" w:sz="0" w:space="0" w:color="auto"/>
                                <w:left w:val="none" w:sz="0" w:space="0" w:color="auto"/>
                                <w:bottom w:val="none" w:sz="0" w:space="0" w:color="auto"/>
                                <w:right w:val="none" w:sz="0" w:space="0" w:color="auto"/>
                              </w:divBdr>
                              <w:divsChild>
                                <w:div w:id="155805352">
                                  <w:marLeft w:val="0"/>
                                  <w:marRight w:val="0"/>
                                  <w:marTop w:val="0"/>
                                  <w:marBottom w:val="0"/>
                                  <w:divBdr>
                                    <w:top w:val="none" w:sz="0" w:space="0" w:color="auto"/>
                                    <w:left w:val="none" w:sz="0" w:space="0" w:color="auto"/>
                                    <w:bottom w:val="none" w:sz="0" w:space="0" w:color="auto"/>
                                    <w:right w:val="none" w:sz="0" w:space="0" w:color="auto"/>
                                  </w:divBdr>
                                  <w:divsChild>
                                    <w:div w:id="1767456562">
                                      <w:marLeft w:val="0"/>
                                      <w:marRight w:val="0"/>
                                      <w:marTop w:val="0"/>
                                      <w:marBottom w:val="0"/>
                                      <w:divBdr>
                                        <w:top w:val="none" w:sz="0" w:space="0" w:color="auto"/>
                                        <w:left w:val="none" w:sz="0" w:space="0" w:color="auto"/>
                                        <w:bottom w:val="none" w:sz="0" w:space="0" w:color="auto"/>
                                        <w:right w:val="none" w:sz="0" w:space="0" w:color="auto"/>
                                      </w:divBdr>
                                      <w:divsChild>
                                        <w:div w:id="817838961">
                                          <w:marLeft w:val="0"/>
                                          <w:marRight w:val="0"/>
                                          <w:marTop w:val="0"/>
                                          <w:marBottom w:val="0"/>
                                          <w:divBdr>
                                            <w:top w:val="none" w:sz="0" w:space="0" w:color="auto"/>
                                            <w:left w:val="none" w:sz="0" w:space="0" w:color="auto"/>
                                            <w:bottom w:val="none" w:sz="0" w:space="0" w:color="auto"/>
                                            <w:right w:val="none" w:sz="0" w:space="0" w:color="auto"/>
                                          </w:divBdr>
                                          <w:divsChild>
                                            <w:div w:id="528182281">
                                              <w:marLeft w:val="0"/>
                                              <w:marRight w:val="0"/>
                                              <w:marTop w:val="0"/>
                                              <w:marBottom w:val="0"/>
                                              <w:divBdr>
                                                <w:top w:val="none" w:sz="0" w:space="0" w:color="auto"/>
                                                <w:left w:val="none" w:sz="0" w:space="0" w:color="auto"/>
                                                <w:bottom w:val="none" w:sz="0" w:space="0" w:color="auto"/>
                                                <w:right w:val="none" w:sz="0" w:space="0" w:color="auto"/>
                                              </w:divBdr>
                                              <w:divsChild>
                                                <w:div w:id="1722748656">
                                                  <w:marLeft w:val="0"/>
                                                  <w:marRight w:val="0"/>
                                                  <w:marTop w:val="0"/>
                                                  <w:marBottom w:val="0"/>
                                                  <w:divBdr>
                                                    <w:top w:val="none" w:sz="0" w:space="0" w:color="auto"/>
                                                    <w:left w:val="none" w:sz="0" w:space="0" w:color="auto"/>
                                                    <w:bottom w:val="none" w:sz="0" w:space="0" w:color="auto"/>
                                                    <w:right w:val="none" w:sz="0" w:space="0" w:color="auto"/>
                                                  </w:divBdr>
                                                  <w:divsChild>
                                                    <w:div w:id="368341396">
                                                      <w:marLeft w:val="0"/>
                                                      <w:marRight w:val="0"/>
                                                      <w:marTop w:val="0"/>
                                                      <w:marBottom w:val="0"/>
                                                      <w:divBdr>
                                                        <w:top w:val="none" w:sz="0" w:space="0" w:color="auto"/>
                                                        <w:left w:val="none" w:sz="0" w:space="0" w:color="auto"/>
                                                        <w:bottom w:val="none" w:sz="0" w:space="0" w:color="auto"/>
                                                        <w:right w:val="none" w:sz="0" w:space="0" w:color="auto"/>
                                                      </w:divBdr>
                                                      <w:divsChild>
                                                        <w:div w:id="605968878">
                                                          <w:marLeft w:val="0"/>
                                                          <w:marRight w:val="0"/>
                                                          <w:marTop w:val="0"/>
                                                          <w:marBottom w:val="0"/>
                                                          <w:divBdr>
                                                            <w:top w:val="none" w:sz="0" w:space="0" w:color="auto"/>
                                                            <w:left w:val="none" w:sz="0" w:space="0" w:color="auto"/>
                                                            <w:bottom w:val="none" w:sz="0" w:space="0" w:color="auto"/>
                                                            <w:right w:val="none" w:sz="0" w:space="0" w:color="auto"/>
                                                          </w:divBdr>
                                                          <w:divsChild>
                                                            <w:div w:id="2130777717">
                                                              <w:marLeft w:val="0"/>
                                                              <w:marRight w:val="0"/>
                                                              <w:marTop w:val="0"/>
                                                              <w:marBottom w:val="0"/>
                                                              <w:divBdr>
                                                                <w:top w:val="none" w:sz="0" w:space="0" w:color="auto"/>
                                                                <w:left w:val="none" w:sz="0" w:space="0" w:color="auto"/>
                                                                <w:bottom w:val="none" w:sz="0" w:space="0" w:color="auto"/>
                                                                <w:right w:val="none" w:sz="0" w:space="0" w:color="auto"/>
                                                              </w:divBdr>
                                                              <w:divsChild>
                                                                <w:div w:id="1569458033">
                                                                  <w:marLeft w:val="0"/>
                                                                  <w:marRight w:val="0"/>
                                                                  <w:marTop w:val="83"/>
                                                                  <w:marBottom w:val="0"/>
                                                                  <w:divBdr>
                                                                    <w:top w:val="none" w:sz="0" w:space="0" w:color="auto"/>
                                                                    <w:left w:val="none" w:sz="0" w:space="0" w:color="auto"/>
                                                                    <w:bottom w:val="none" w:sz="0" w:space="0" w:color="auto"/>
                                                                    <w:right w:val="none" w:sz="0" w:space="0" w:color="auto"/>
                                                                  </w:divBdr>
                                                                  <w:divsChild>
                                                                    <w:div w:id="151335712">
                                                                      <w:marLeft w:val="0"/>
                                                                      <w:marRight w:val="0"/>
                                                                      <w:marTop w:val="0"/>
                                                                      <w:marBottom w:val="0"/>
                                                                      <w:divBdr>
                                                                        <w:top w:val="none" w:sz="0" w:space="0" w:color="auto"/>
                                                                        <w:left w:val="none" w:sz="0" w:space="0" w:color="auto"/>
                                                                        <w:bottom w:val="none" w:sz="0" w:space="0" w:color="auto"/>
                                                                        <w:right w:val="none" w:sz="0" w:space="0" w:color="auto"/>
                                                                      </w:divBdr>
                                                                      <w:divsChild>
                                                                        <w:div w:id="199049884">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eader" Target="header1.xml"/><Relationship Id="rId19" Type="http://schemas.openxmlformats.org/officeDocument/2006/relationships/chart" Target="charts/chart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gamblingreview@dia.govt.n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lgprdfile02.dia.govt.nz\shared$\diatemplates\Templates\Documents%20-%20Report.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tautautr\AppData\Local\Microsoft\Windows\Temporary%20Internet%20Files\Content.Outlook\P2CUII61\gambling-expenditure-statistics-1980%20to%202015.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wlgprdfile02\home$\tautautr\home\My%20Documents\C4%20Gambling%20Review%20Meetings\Spreadsheets\Copy%20of%20C4%20Review%20-%202015%20Stats%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wlgprdfile02\home$\tautautr\home\My%20Documents\C4%20Gambling%20Review%20Meetings\Spreadsheets\Copy%20of%20C4%20Review%20-%202015%20Stats%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tautautr\AppData\Local\Microsoft\Windows\Temporary%20Internet%20Files\Content.Outlook\P2CUII61\C4%20Review%20-%202015%20Stats%20-%20v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tautautr\AppData\Local\Microsoft\Windows\Temporary%20Internet%20Files\Content.Outlook\P2CUII61\C4%20Review%20-%202015%20Stats%20-%20v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sz="1800" b="1" i="0" baseline="0">
                <a:effectLst/>
              </a:rPr>
              <a:t>Gambling Expenditure in New Zealand 1980 - 2015 (Inflation Adjusted)</a:t>
            </a:r>
            <a:endParaRPr lang="en-NZ">
              <a:effectLst/>
            </a:endParaRPr>
          </a:p>
        </c:rich>
      </c:tx>
      <c:overlay val="0"/>
      <c:spPr>
        <a:noFill/>
        <a:ln w="25400">
          <a:noFill/>
        </a:ln>
      </c:spPr>
    </c:title>
    <c:autoTitleDeleted val="0"/>
    <c:plotArea>
      <c:layout/>
      <c:lineChart>
        <c:grouping val="standard"/>
        <c:varyColors val="0"/>
        <c:ser>
          <c:idx val="0"/>
          <c:order val="0"/>
          <c:tx>
            <c:strRef>
              <c:f>Graphs!$A$10</c:f>
              <c:strCache>
                <c:ptCount val="1"/>
                <c:pt idx="0">
                  <c:v>NZ RACING BOARD (TAB)</c:v>
                </c:pt>
              </c:strCache>
            </c:strRef>
          </c:tx>
          <c:spPr>
            <a:ln w="28575" cap="rnd">
              <a:solidFill>
                <a:schemeClr val="accent1"/>
              </a:solidFill>
              <a:round/>
            </a:ln>
            <a:effectLst/>
          </c:spPr>
          <c:marker>
            <c:symbol val="none"/>
          </c:marker>
          <c:cat>
            <c:strRef>
              <c:f>Graphs!$B$9:$AK$9</c:f>
              <c:strCache>
                <c:ptCount val="36"/>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strCache>
            </c:strRef>
          </c:cat>
          <c:val>
            <c:numRef>
              <c:f>Graphs!$B$10:$AK$10</c:f>
              <c:numCache>
                <c:formatCode>0</c:formatCode>
                <c:ptCount val="36"/>
                <c:pt idx="0">
                  <c:v>457.14285714285717</c:v>
                </c:pt>
                <c:pt idx="1">
                  <c:v>424</c:v>
                </c:pt>
                <c:pt idx="2">
                  <c:v>437.93103448275866</c:v>
                </c:pt>
                <c:pt idx="3">
                  <c:v>451.61290322580646</c:v>
                </c:pt>
                <c:pt idx="4">
                  <c:v>460.60606060606057</c:v>
                </c:pt>
                <c:pt idx="5">
                  <c:v>431.57894736842104</c:v>
                </c:pt>
                <c:pt idx="6">
                  <c:v>348.07692307692304</c:v>
                </c:pt>
                <c:pt idx="7">
                  <c:v>422</c:v>
                </c:pt>
                <c:pt idx="8">
                  <c:v>415.09433962264148</c:v>
                </c:pt>
                <c:pt idx="9">
                  <c:v>421.81818181818176</c:v>
                </c:pt>
                <c:pt idx="10">
                  <c:v>383.33333333333337</c:v>
                </c:pt>
                <c:pt idx="11">
                  <c:v>363.93442622950823</c:v>
                </c:pt>
                <c:pt idx="12">
                  <c:v>327.41935483870969</c:v>
                </c:pt>
                <c:pt idx="13">
                  <c:v>314.28571428571428</c:v>
                </c:pt>
                <c:pt idx="14">
                  <c:v>315.87301587301585</c:v>
                </c:pt>
                <c:pt idx="15">
                  <c:v>316.66666666666663</c:v>
                </c:pt>
                <c:pt idx="16">
                  <c:v>310.29411764705878</c:v>
                </c:pt>
                <c:pt idx="17">
                  <c:v>319.11764705882348</c:v>
                </c:pt>
                <c:pt idx="18">
                  <c:v>314.28571428571428</c:v>
                </c:pt>
                <c:pt idx="19">
                  <c:v>326.08695652173918</c:v>
                </c:pt>
                <c:pt idx="20">
                  <c:v>319.71830985915494</c:v>
                </c:pt>
                <c:pt idx="21">
                  <c:v>306.84931506849318</c:v>
                </c:pt>
                <c:pt idx="22">
                  <c:v>304</c:v>
                </c:pt>
                <c:pt idx="23">
                  <c:v>307.89473684210526</c:v>
                </c:pt>
                <c:pt idx="24">
                  <c:v>305.98846153846159</c:v>
                </c:pt>
                <c:pt idx="25">
                  <c:v>309.12499999999994</c:v>
                </c:pt>
                <c:pt idx="26">
                  <c:v>300.36395348837198</c:v>
                </c:pt>
                <c:pt idx="27">
                  <c:v>316.64941176470592</c:v>
                </c:pt>
                <c:pt idx="28">
                  <c:v>309.57499999999993</c:v>
                </c:pt>
                <c:pt idx="29">
                  <c:v>299.16666666666669</c:v>
                </c:pt>
                <c:pt idx="30">
                  <c:v>302.60108695652178</c:v>
                </c:pt>
                <c:pt idx="31">
                  <c:v>284.15937500000013</c:v>
                </c:pt>
                <c:pt idx="32">
                  <c:v>291.70206185567014</c:v>
                </c:pt>
                <c:pt idx="33">
                  <c:v>300.29081632653049</c:v>
                </c:pt>
                <c:pt idx="34">
                  <c:v>310</c:v>
                </c:pt>
                <c:pt idx="35">
                  <c:v>325</c:v>
                </c:pt>
              </c:numCache>
            </c:numRef>
          </c:val>
          <c:smooth val="0"/>
        </c:ser>
        <c:ser>
          <c:idx val="1"/>
          <c:order val="1"/>
          <c:tx>
            <c:strRef>
              <c:f>Graphs!$A$11</c:f>
              <c:strCache>
                <c:ptCount val="1"/>
                <c:pt idx="0">
                  <c:v>NZ LOTTERIES COMMISSION</c:v>
                </c:pt>
              </c:strCache>
            </c:strRef>
          </c:tx>
          <c:spPr>
            <a:ln w="28575" cap="rnd">
              <a:solidFill>
                <a:schemeClr val="accent2"/>
              </a:solidFill>
              <a:round/>
            </a:ln>
            <a:effectLst/>
          </c:spPr>
          <c:marker>
            <c:symbol val="none"/>
          </c:marker>
          <c:cat>
            <c:strRef>
              <c:f>Graphs!$B$9:$AK$9</c:f>
              <c:strCache>
                <c:ptCount val="36"/>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strCache>
            </c:strRef>
          </c:cat>
          <c:val>
            <c:numRef>
              <c:f>Graphs!$B$11:$AK$11</c:f>
              <c:numCache>
                <c:formatCode>0</c:formatCode>
                <c:ptCount val="36"/>
                <c:pt idx="0">
                  <c:v>104.76190476190476</c:v>
                </c:pt>
                <c:pt idx="1">
                  <c:v>104</c:v>
                </c:pt>
                <c:pt idx="2">
                  <c:v>96.551724137931046</c:v>
                </c:pt>
                <c:pt idx="3">
                  <c:v>90.322580645161295</c:v>
                </c:pt>
                <c:pt idx="4">
                  <c:v>118.18181818181817</c:v>
                </c:pt>
                <c:pt idx="5">
                  <c:v>105.26315789473684</c:v>
                </c:pt>
                <c:pt idx="6">
                  <c:v>76.92307692307692</c:v>
                </c:pt>
                <c:pt idx="7">
                  <c:v>76</c:v>
                </c:pt>
                <c:pt idx="8">
                  <c:v>179.24528301886792</c:v>
                </c:pt>
                <c:pt idx="9">
                  <c:v>352.72727272727269</c:v>
                </c:pt>
                <c:pt idx="10">
                  <c:v>420</c:v>
                </c:pt>
                <c:pt idx="11">
                  <c:v>403.27868852459017</c:v>
                </c:pt>
                <c:pt idx="12">
                  <c:v>403.22580645161293</c:v>
                </c:pt>
                <c:pt idx="13">
                  <c:v>392.06349206349205</c:v>
                </c:pt>
                <c:pt idx="14">
                  <c:v>428.57142857142856</c:v>
                </c:pt>
                <c:pt idx="15">
                  <c:v>416.66666666666663</c:v>
                </c:pt>
                <c:pt idx="16">
                  <c:v>413.23529411764702</c:v>
                </c:pt>
                <c:pt idx="17">
                  <c:v>419.11764705882348</c:v>
                </c:pt>
                <c:pt idx="18">
                  <c:v>411.53857142857146</c:v>
                </c:pt>
                <c:pt idx="19">
                  <c:v>417.39130434782612</c:v>
                </c:pt>
                <c:pt idx="20">
                  <c:v>389.77605633802818</c:v>
                </c:pt>
                <c:pt idx="21">
                  <c:v>367.75890410958897</c:v>
                </c:pt>
                <c:pt idx="22">
                  <c:v>335.13866666666667</c:v>
                </c:pt>
                <c:pt idx="23">
                  <c:v>314.04210526315791</c:v>
                </c:pt>
                <c:pt idx="24">
                  <c:v>360.96025641025636</c:v>
                </c:pt>
                <c:pt idx="25">
                  <c:v>350.10374999999993</c:v>
                </c:pt>
                <c:pt idx="26">
                  <c:v>373.31395348837214</c:v>
                </c:pt>
                <c:pt idx="27">
                  <c:v>388.8729411764707</c:v>
                </c:pt>
                <c:pt idx="28">
                  <c:v>393.13977272727277</c:v>
                </c:pt>
                <c:pt idx="29">
                  <c:v>448.66777777777781</c:v>
                </c:pt>
                <c:pt idx="30">
                  <c:v>376.76304347826084</c:v>
                </c:pt>
                <c:pt idx="31">
                  <c:v>421.3302083333333</c:v>
                </c:pt>
                <c:pt idx="32">
                  <c:v>431.68969072164953</c:v>
                </c:pt>
                <c:pt idx="33">
                  <c:v>440.63673469387766</c:v>
                </c:pt>
                <c:pt idx="34">
                  <c:v>463</c:v>
                </c:pt>
                <c:pt idx="35">
                  <c:v>420</c:v>
                </c:pt>
              </c:numCache>
            </c:numRef>
          </c:val>
          <c:smooth val="0"/>
        </c:ser>
        <c:ser>
          <c:idx val="2"/>
          <c:order val="2"/>
          <c:tx>
            <c:strRef>
              <c:f>Graphs!$A$12</c:f>
              <c:strCache>
                <c:ptCount val="1"/>
                <c:pt idx="0">
                  <c:v>GAMING MACHINES (outside Casinos)</c:v>
                </c:pt>
              </c:strCache>
            </c:strRef>
          </c:tx>
          <c:spPr>
            <a:ln w="28575" cap="rnd">
              <a:solidFill>
                <a:schemeClr val="accent3"/>
              </a:solidFill>
              <a:round/>
            </a:ln>
            <a:effectLst/>
          </c:spPr>
          <c:marker>
            <c:symbol val="none"/>
          </c:marker>
          <c:cat>
            <c:strRef>
              <c:f>Graphs!$B$9:$AK$9</c:f>
              <c:strCache>
                <c:ptCount val="36"/>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strCache>
            </c:strRef>
          </c:cat>
          <c:val>
            <c:numRef>
              <c:f>Graphs!$B$12:$AK$12</c:f>
              <c:numCache>
                <c:formatCode>0</c:formatCode>
                <c:ptCount val="36"/>
                <c:pt idx="0">
                  <c:v>0</c:v>
                </c:pt>
                <c:pt idx="1">
                  <c:v>0</c:v>
                </c:pt>
                <c:pt idx="2">
                  <c:v>0</c:v>
                </c:pt>
                <c:pt idx="3">
                  <c:v>0</c:v>
                </c:pt>
                <c:pt idx="4">
                  <c:v>0</c:v>
                </c:pt>
                <c:pt idx="5">
                  <c:v>0</c:v>
                </c:pt>
                <c:pt idx="6">
                  <c:v>0</c:v>
                </c:pt>
                <c:pt idx="7">
                  <c:v>0</c:v>
                </c:pt>
                <c:pt idx="8">
                  <c:v>0</c:v>
                </c:pt>
                <c:pt idx="9">
                  <c:v>0</c:v>
                </c:pt>
                <c:pt idx="10">
                  <c:v>0</c:v>
                </c:pt>
                <c:pt idx="11">
                  <c:v>175.40983606557378</c:v>
                </c:pt>
                <c:pt idx="12">
                  <c:v>177.41935483870967</c:v>
                </c:pt>
                <c:pt idx="13">
                  <c:v>193.65079365079364</c:v>
                </c:pt>
                <c:pt idx="14">
                  <c:v>230.15873015873015</c:v>
                </c:pt>
                <c:pt idx="15">
                  <c:v>259.09090909090907</c:v>
                </c:pt>
                <c:pt idx="16">
                  <c:v>289.70588235294116</c:v>
                </c:pt>
                <c:pt idx="17">
                  <c:v>338.23529411764702</c:v>
                </c:pt>
                <c:pt idx="18">
                  <c:v>417.14285714285717</c:v>
                </c:pt>
                <c:pt idx="19">
                  <c:v>521.73913043478262</c:v>
                </c:pt>
                <c:pt idx="20">
                  <c:v>633.28346478873243</c:v>
                </c:pt>
                <c:pt idx="21">
                  <c:v>818.2616438356165</c:v>
                </c:pt>
                <c:pt idx="22">
                  <c:v>1036.4081466666667</c:v>
                </c:pt>
                <c:pt idx="23">
                  <c:v>1238.7254210526316</c:v>
                </c:pt>
                <c:pt idx="24">
                  <c:v>1326.9230769230769</c:v>
                </c:pt>
                <c:pt idx="25">
                  <c:v>1283.7441624999999</c:v>
                </c:pt>
                <c:pt idx="26">
                  <c:v>1052.9988372093023</c:v>
                </c:pt>
                <c:pt idx="27">
                  <c:v>1118.1905882352942</c:v>
                </c:pt>
                <c:pt idx="28">
                  <c:v>1066.2670454545455</c:v>
                </c:pt>
                <c:pt idx="29">
                  <c:v>987.88830555555546</c:v>
                </c:pt>
                <c:pt idx="30">
                  <c:v>923.00273586956519</c:v>
                </c:pt>
                <c:pt idx="31">
                  <c:v>891.87124166666661</c:v>
                </c:pt>
                <c:pt idx="32">
                  <c:v>880.36541806185573</c:v>
                </c:pt>
                <c:pt idx="33">
                  <c:v>843.87755102040819</c:v>
                </c:pt>
                <c:pt idx="34">
                  <c:v>806</c:v>
                </c:pt>
                <c:pt idx="35">
                  <c:v>818</c:v>
                </c:pt>
              </c:numCache>
            </c:numRef>
          </c:val>
          <c:smooth val="0"/>
        </c:ser>
        <c:ser>
          <c:idx val="3"/>
          <c:order val="3"/>
          <c:tx>
            <c:strRef>
              <c:f>Graphs!$A$13</c:f>
              <c:strCache>
                <c:ptCount val="1"/>
                <c:pt idx="0">
                  <c:v>CASINOS</c:v>
                </c:pt>
              </c:strCache>
            </c:strRef>
          </c:tx>
          <c:spPr>
            <a:ln w="28575" cap="rnd">
              <a:solidFill>
                <a:schemeClr val="accent4"/>
              </a:solidFill>
              <a:round/>
            </a:ln>
            <a:effectLst/>
          </c:spPr>
          <c:marker>
            <c:symbol val="none"/>
          </c:marker>
          <c:cat>
            <c:strRef>
              <c:f>Graphs!$B$9:$AK$9</c:f>
              <c:strCache>
                <c:ptCount val="36"/>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pt idx="34">
                  <c:v>2014</c:v>
                </c:pt>
                <c:pt idx="35">
                  <c:v>2015</c:v>
                </c:pt>
              </c:strCache>
            </c:strRef>
          </c:cat>
          <c:val>
            <c:numRef>
              <c:f>Graphs!$B$13:$AK$13</c:f>
              <c:numCache>
                <c:formatCode>0</c:formatCode>
                <c:ptCount val="3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60.606060606060602</c:v>
                </c:pt>
                <c:pt idx="16">
                  <c:v>172.64705882352942</c:v>
                </c:pt>
                <c:pt idx="17">
                  <c:v>354.41176470588232</c:v>
                </c:pt>
                <c:pt idx="18">
                  <c:v>349.75243571428575</c:v>
                </c:pt>
                <c:pt idx="19">
                  <c:v>426.08695652173918</c:v>
                </c:pt>
                <c:pt idx="20">
                  <c:v>483.78164647887326</c:v>
                </c:pt>
                <c:pt idx="21">
                  <c:v>505.89589041095888</c:v>
                </c:pt>
                <c:pt idx="22">
                  <c:v>546.66858933333333</c:v>
                </c:pt>
                <c:pt idx="23">
                  <c:v>600.8681578947369</c:v>
                </c:pt>
                <c:pt idx="24">
                  <c:v>620.51282051282044</c:v>
                </c:pt>
                <c:pt idx="25">
                  <c:v>590.40658624999992</c:v>
                </c:pt>
                <c:pt idx="26">
                  <c:v>572.71040813953493</c:v>
                </c:pt>
                <c:pt idx="27">
                  <c:v>552.22285294117648</c:v>
                </c:pt>
                <c:pt idx="28">
                  <c:v>541.88305339772728</c:v>
                </c:pt>
                <c:pt idx="29">
                  <c:v>517.11033583333335</c:v>
                </c:pt>
                <c:pt idx="30">
                  <c:v>478.26086956521738</c:v>
                </c:pt>
                <c:pt idx="31">
                  <c:v>466.66666666666669</c:v>
                </c:pt>
                <c:pt idx="32">
                  <c:v>497.93814432989694</c:v>
                </c:pt>
                <c:pt idx="33">
                  <c:v>500</c:v>
                </c:pt>
                <c:pt idx="34">
                  <c:v>486</c:v>
                </c:pt>
                <c:pt idx="35">
                  <c:v>527</c:v>
                </c:pt>
              </c:numCache>
            </c:numRef>
          </c:val>
          <c:smooth val="0"/>
        </c:ser>
        <c:dLbls>
          <c:showLegendKey val="0"/>
          <c:showVal val="0"/>
          <c:showCatName val="0"/>
          <c:showSerName val="0"/>
          <c:showPercent val="0"/>
          <c:showBubbleSize val="0"/>
        </c:dLbls>
        <c:marker val="1"/>
        <c:smooth val="0"/>
        <c:axId val="133679744"/>
        <c:axId val="133689728"/>
      </c:lineChart>
      <c:catAx>
        <c:axId val="133679744"/>
        <c:scaling>
          <c:orientation val="minMax"/>
        </c:scaling>
        <c:delete val="0"/>
        <c:axPos val="b"/>
        <c:numFmt formatCode="@"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689728"/>
        <c:crosses val="autoZero"/>
        <c:auto val="1"/>
        <c:lblAlgn val="ctr"/>
        <c:lblOffset val="100"/>
        <c:noMultiLvlLbl val="0"/>
      </c:catAx>
      <c:valAx>
        <c:axId val="1336897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$M (Inflation Adjusted using CPI indexed against Q2 2015)</a:t>
                </a:r>
              </a:p>
            </c:rich>
          </c:tx>
          <c:overlay val="0"/>
          <c:spPr>
            <a:noFill/>
            <a:ln w="25400">
              <a:noFill/>
            </a:ln>
          </c:spPr>
        </c:title>
        <c:numFmt formatCode="0"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679744"/>
        <c:crosses val="autoZero"/>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b="1">
                <a:solidFill>
                  <a:sysClr val="windowText" lastClr="000000"/>
                </a:solidFill>
              </a:rPr>
              <a:t>Allocation of Club gaming machine proceeds</a:t>
            </a:r>
          </a:p>
        </c:rich>
      </c:tx>
      <c:overlay val="0"/>
      <c:spPr>
        <a:noFill/>
        <a:ln>
          <a:noFill/>
        </a:ln>
        <a:effectLst/>
      </c:spPr>
    </c:title>
    <c:autoTitleDeleted val="0"/>
    <c:view3D>
      <c:rotX val="90"/>
      <c:rotY val="10"/>
      <c:depthPercent val="100"/>
      <c:rAngAx val="0"/>
      <c:perspective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ln w="66675">
              <a:solidFill>
                <a:schemeClr val="bg1"/>
              </a:solidFill>
            </a:ln>
          </c:spPr>
          <c:dPt>
            <c:idx val="0"/>
            <c:bubble3D val="0"/>
            <c:spPr>
              <a:solidFill>
                <a:schemeClr val="accent1"/>
              </a:solidFill>
              <a:ln w="66675">
                <a:solidFill>
                  <a:schemeClr val="bg1"/>
                </a:solidFill>
              </a:ln>
              <a:effectLst/>
              <a:sp3d contourW="25400">
                <a:contourClr>
                  <a:schemeClr val="lt1"/>
                </a:contourClr>
              </a:sp3d>
            </c:spPr>
          </c:dPt>
          <c:dPt>
            <c:idx val="1"/>
            <c:bubble3D val="0"/>
            <c:spPr>
              <a:solidFill>
                <a:schemeClr val="accent2">
                  <a:lumMod val="40000"/>
                  <a:lumOff val="60000"/>
                </a:schemeClr>
              </a:solidFill>
              <a:ln w="66675">
                <a:solidFill>
                  <a:schemeClr val="bg1"/>
                </a:solidFill>
              </a:ln>
              <a:effectLst/>
              <a:sp3d contourW="25400">
                <a:contourClr>
                  <a:schemeClr val="lt1"/>
                </a:contourClr>
              </a:sp3d>
            </c:spPr>
          </c:dPt>
          <c:dPt>
            <c:idx val="2"/>
            <c:bubble3D val="0"/>
            <c:spPr>
              <a:solidFill>
                <a:schemeClr val="bg1">
                  <a:lumMod val="65000"/>
                </a:schemeClr>
              </a:solidFill>
              <a:ln w="66675">
                <a:solidFill>
                  <a:schemeClr val="bg1"/>
                </a:solidFill>
              </a:ln>
              <a:effectLst/>
              <a:sp3d contourW="25400">
                <a:contourClr>
                  <a:schemeClr val="lt1"/>
                </a:contourClr>
              </a:sp3d>
            </c:spPr>
          </c:dPt>
          <c:dPt>
            <c:idx val="3"/>
            <c:bubble3D val="0"/>
            <c:spPr>
              <a:solidFill>
                <a:schemeClr val="accent4"/>
              </a:solidFill>
              <a:ln w="66675">
                <a:solidFill>
                  <a:schemeClr val="bg1"/>
                </a:solidFill>
              </a:ln>
              <a:effectLst/>
              <a:sp3d contourW="25400">
                <a:contourClr>
                  <a:schemeClr val="lt1"/>
                </a:contourClr>
              </a:sp3d>
            </c:spPr>
          </c:dPt>
          <c:dPt>
            <c:idx val="4"/>
            <c:bubble3D val="0"/>
            <c:spPr>
              <a:solidFill>
                <a:schemeClr val="accent5">
                  <a:lumMod val="60000"/>
                  <a:lumOff val="40000"/>
                </a:schemeClr>
              </a:solidFill>
              <a:ln w="66675">
                <a:solidFill>
                  <a:schemeClr val="bg1"/>
                </a:solidFill>
              </a:ln>
            </c:spPr>
          </c:dPt>
          <c:dLbls>
            <c:dLbl>
              <c:idx val="0"/>
              <c:layout>
                <c:manualLayout>
                  <c:x val="-0.15051923637750408"/>
                  <c:y val="0.13954685967284391"/>
                </c:manualLayout>
              </c:layout>
              <c:tx>
                <c:rich>
                  <a:bodyPr/>
                  <a:lstStyle/>
                  <a:p>
                    <a:r>
                      <a:rPr lang="en-US">
                        <a:solidFill>
                          <a:sysClr val="windowText" lastClr="000000"/>
                        </a:solidFill>
                      </a:rPr>
                      <a:t>Gaming Duty
23%</a:t>
                    </a:r>
                    <a:endParaRPr lang="en-US"/>
                  </a:p>
                </c:rich>
              </c:tx>
              <c:showLegendKey val="0"/>
              <c:showVal val="0"/>
              <c:showCatName val="1"/>
              <c:showSerName val="0"/>
              <c:showPercent val="1"/>
              <c:showBubbleSize val="0"/>
            </c:dLbl>
            <c:dLbl>
              <c:idx val="1"/>
              <c:layout>
                <c:manualLayout>
                  <c:x val="-3.4826031361464434E-3"/>
                  <c:y val="-4.0295023728094591E-2"/>
                </c:manualLayout>
              </c:layout>
              <c:showLegendKey val="0"/>
              <c:showVal val="0"/>
              <c:showCatName val="1"/>
              <c:showSerName val="0"/>
              <c:showPercent val="1"/>
              <c:showBubbleSize val="0"/>
            </c:dLbl>
            <c:dLbl>
              <c:idx val="2"/>
              <c:layout>
                <c:manualLayout>
                  <c:x val="1.0225093658164524E-2"/>
                  <c:y val="6.1568970545348496E-2"/>
                </c:manualLayout>
              </c:layout>
              <c:showLegendKey val="0"/>
              <c:showVal val="0"/>
              <c:showCatName val="1"/>
              <c:showSerName val="0"/>
              <c:showPercent val="1"/>
              <c:showBubbleSize val="0"/>
            </c:dLbl>
            <c:dLbl>
              <c:idx val="3"/>
              <c:layout>
                <c:manualLayout>
                  <c:x val="-2.9773470623864325E-2"/>
                  <c:y val="-0.20689562289562288"/>
                </c:manualLayout>
              </c:layout>
              <c:showLegendKey val="0"/>
              <c:showVal val="0"/>
              <c:showCatName val="1"/>
              <c:showSerName val="0"/>
              <c:showPercent val="1"/>
              <c:showBubbleSize val="0"/>
            </c:dLbl>
            <c:dLbl>
              <c:idx val="4"/>
              <c:layout>
                <c:manualLayout>
                  <c:x val="0.21542643067052517"/>
                  <c:y val="0.15957793154643549"/>
                </c:manualLayout>
              </c:layout>
              <c:showLegendKey val="0"/>
              <c:showVal val="0"/>
              <c:showCatName val="1"/>
              <c:showSerName val="0"/>
              <c:showPercent val="1"/>
              <c:showBubbleSize val="0"/>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'Costs Models'!$B$9:$B$13</c:f>
              <c:strCache>
                <c:ptCount val="5"/>
                <c:pt idx="0">
                  <c:v>Gaming Duty</c:v>
                </c:pt>
                <c:pt idx="1">
                  <c:v>Problem Gambling Levy (from 1 July)</c:v>
                </c:pt>
                <c:pt idx="2">
                  <c:v>Fees to DIA</c:v>
                </c:pt>
                <c:pt idx="3">
                  <c:v>Application to Authorised Purposes (Usual Minimum)</c:v>
                </c:pt>
                <c:pt idx="4">
                  <c:v>Club Operating Costs (Maximum)</c:v>
                </c:pt>
              </c:strCache>
            </c:strRef>
          </c:cat>
          <c:val>
            <c:numRef>
              <c:f>'Costs Models'!$C$9:$C$13</c:f>
              <c:numCache>
                <c:formatCode>0.00%</c:formatCode>
                <c:ptCount val="5"/>
                <c:pt idx="0" formatCode="0%">
                  <c:v>0.23</c:v>
                </c:pt>
                <c:pt idx="1">
                  <c:v>1.4999999999999999E-2</c:v>
                </c:pt>
                <c:pt idx="2">
                  <c:v>3.0700000000000002E-2</c:v>
                </c:pt>
                <c:pt idx="3">
                  <c:v>0.37119999999999997</c:v>
                </c:pt>
                <c:pt idx="4">
                  <c:v>0.35310000000000002</c:v>
                </c:pt>
              </c:numCache>
            </c:numRef>
          </c:val>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NZ"/>
              <a:t>Allocation</a:t>
            </a:r>
            <a:r>
              <a:rPr lang="en-NZ" baseline="0"/>
              <a:t> of Non-club societies gaming machine proceeds</a:t>
            </a:r>
            <a:endParaRPr lang="en-NZ"/>
          </a:p>
        </c:rich>
      </c:tx>
      <c:overlay val="0"/>
    </c:title>
    <c:autoTitleDeleted val="0"/>
    <c:view3D>
      <c:rotX val="90"/>
      <c:rotY val="0"/>
      <c:depthPercent val="100"/>
      <c:rAngAx val="0"/>
      <c:perspective val="0"/>
    </c:view3D>
    <c:floor>
      <c:thickness val="0"/>
    </c:floor>
    <c:sideWall>
      <c:thickness val="0"/>
    </c:sideWall>
    <c:backWall>
      <c:thickness val="0"/>
    </c:backWall>
    <c:plotArea>
      <c:layout/>
      <c:pie3DChart>
        <c:varyColors val="1"/>
        <c:ser>
          <c:idx val="0"/>
          <c:order val="0"/>
          <c:explosion val="1"/>
          <c:dPt>
            <c:idx val="0"/>
            <c:bubble3D val="0"/>
            <c:spPr>
              <a:solidFill>
                <a:schemeClr val="accent1"/>
              </a:solidFill>
            </c:spPr>
          </c:dPt>
          <c:dPt>
            <c:idx val="1"/>
            <c:bubble3D val="0"/>
            <c:spPr>
              <a:solidFill>
                <a:schemeClr val="accent2">
                  <a:lumMod val="60000"/>
                  <a:lumOff val="40000"/>
                </a:schemeClr>
              </a:solidFill>
            </c:spPr>
          </c:dPt>
          <c:dPt>
            <c:idx val="2"/>
            <c:bubble3D val="0"/>
            <c:spPr>
              <a:solidFill>
                <a:schemeClr val="bg1">
                  <a:lumMod val="75000"/>
                </a:schemeClr>
              </a:solidFill>
            </c:spPr>
          </c:dPt>
          <c:dPt>
            <c:idx val="3"/>
            <c:bubble3D val="0"/>
            <c:spPr>
              <a:solidFill>
                <a:schemeClr val="accent4"/>
              </a:solidFill>
            </c:spPr>
          </c:dPt>
          <c:dPt>
            <c:idx val="4"/>
            <c:bubble3D val="0"/>
            <c:spPr>
              <a:solidFill>
                <a:schemeClr val="accent5">
                  <a:lumMod val="40000"/>
                  <a:lumOff val="60000"/>
                </a:schemeClr>
              </a:solidFill>
            </c:spPr>
          </c:dPt>
          <c:dPt>
            <c:idx val="5"/>
            <c:bubble3D val="0"/>
            <c:spPr>
              <a:solidFill>
                <a:schemeClr val="accent6">
                  <a:lumMod val="40000"/>
                  <a:lumOff val="60000"/>
                </a:schemeClr>
              </a:solidFill>
            </c:spPr>
          </c:dPt>
          <c:dLbls>
            <c:dLbl>
              <c:idx val="0"/>
              <c:layout>
                <c:manualLayout>
                  <c:x val="-0.13685604684029881"/>
                  <c:y val="0.13866226399119466"/>
                </c:manualLayout>
              </c:layout>
              <c:numFmt formatCode="0%" sourceLinked="0"/>
              <c:spPr/>
              <c:txPr>
                <a:bodyPr/>
                <a:lstStyle/>
                <a:p>
                  <a:pPr>
                    <a:defRPr b="1"/>
                  </a:pPr>
                  <a:endParaRPr lang="en-US"/>
                </a:p>
              </c:txPr>
              <c:showLegendKey val="0"/>
              <c:showVal val="0"/>
              <c:showCatName val="1"/>
              <c:showSerName val="0"/>
              <c:showPercent val="1"/>
              <c:showBubbleSize val="0"/>
            </c:dLbl>
            <c:dLbl>
              <c:idx val="1"/>
              <c:layout>
                <c:manualLayout>
                  <c:x val="3.3961011283845928E-3"/>
                  <c:y val="-9.8196384726102787E-2"/>
                </c:manualLayout>
              </c:layout>
              <c:showLegendKey val="0"/>
              <c:showVal val="0"/>
              <c:showCatName val="1"/>
              <c:showSerName val="0"/>
              <c:showPercent val="1"/>
              <c:showBubbleSize val="0"/>
            </c:dLbl>
            <c:dLbl>
              <c:idx val="2"/>
              <c:layout>
                <c:manualLayout>
                  <c:x val="3.8077394171882363E-2"/>
                  <c:y val="5.0187325374650746E-2"/>
                </c:manualLayout>
              </c:layout>
              <c:tx>
                <c:rich>
                  <a:bodyPr/>
                  <a:lstStyle/>
                  <a:p>
                    <a:pPr>
                      <a:defRPr b="1"/>
                    </a:pPr>
                    <a:r>
                      <a:rPr lang="en-US" b="1"/>
                      <a:t>Fees to DIA
3.07%</a:t>
                    </a:r>
                    <a:endParaRPr lang="en-US"/>
                  </a:p>
                </c:rich>
              </c:tx>
              <c:numFmt formatCode="0%" sourceLinked="0"/>
              <c:spPr/>
              <c:showLegendKey val="0"/>
              <c:showVal val="0"/>
              <c:showCatName val="1"/>
              <c:showSerName val="0"/>
              <c:showPercent val="1"/>
              <c:showBubbleSize val="0"/>
            </c:dLbl>
            <c:dLbl>
              <c:idx val="3"/>
              <c:layout>
                <c:manualLayout>
                  <c:x val="-6.967126545079301E-2"/>
                  <c:y val="-0.18395161290322581"/>
                </c:manualLayout>
              </c:layout>
              <c:tx>
                <c:rich>
                  <a:bodyPr/>
                  <a:lstStyle/>
                  <a:p>
                    <a:r>
                      <a:rPr lang="en-US" b="1"/>
                      <a:t>Distribution to Community (Minimum)
40%</a:t>
                    </a:r>
                    <a:endParaRPr lang="en-US"/>
                  </a:p>
                </c:rich>
              </c:tx>
              <c:showLegendKey val="0"/>
              <c:showVal val="0"/>
              <c:showCatName val="1"/>
              <c:showSerName val="0"/>
              <c:showPercent val="1"/>
              <c:showBubbleSize val="0"/>
            </c:dLbl>
            <c:dLbl>
              <c:idx val="4"/>
              <c:tx>
                <c:rich>
                  <a:bodyPr/>
                  <a:lstStyle/>
                  <a:p>
                    <a:pPr>
                      <a:defRPr b="1"/>
                    </a:pPr>
                    <a:r>
                      <a:rPr lang="en-US" b="1"/>
                      <a:t>Society Operating Costs (Maximum)
16.43%</a:t>
                    </a:r>
                    <a:endParaRPr lang="en-US"/>
                  </a:p>
                </c:rich>
              </c:tx>
              <c:numFmt formatCode="0%" sourceLinked="0"/>
              <c:spPr/>
              <c:showLegendKey val="0"/>
              <c:showVal val="0"/>
              <c:showCatName val="1"/>
              <c:showSerName val="0"/>
              <c:showPercent val="1"/>
              <c:showBubbleSize val="0"/>
            </c:dLbl>
            <c:dLbl>
              <c:idx val="5"/>
              <c:tx>
                <c:rich>
                  <a:bodyPr/>
                  <a:lstStyle/>
                  <a:p>
                    <a:r>
                      <a:rPr lang="en-US" b="1"/>
                      <a:t>Venue Payments (Maximum)
16%</a:t>
                    </a:r>
                    <a:endParaRPr lang="en-US"/>
                  </a:p>
                </c:rich>
              </c:tx>
              <c:showLegendKey val="0"/>
              <c:showVal val="0"/>
              <c:showCatName val="1"/>
              <c:showSerName val="0"/>
              <c:showPercent val="1"/>
              <c:showBubbleSize val="0"/>
            </c:dLbl>
            <c:numFmt formatCode="0.00%" sourceLinked="0"/>
            <c:txPr>
              <a:bodyPr/>
              <a:lstStyle/>
              <a:p>
                <a:pPr>
                  <a:defRPr b="1"/>
                </a:pPr>
                <a:endParaRPr lang="en-US"/>
              </a:p>
            </c:txPr>
            <c:showLegendKey val="0"/>
            <c:showVal val="0"/>
            <c:showCatName val="1"/>
            <c:showSerName val="0"/>
            <c:showPercent val="1"/>
            <c:showBubbleSize val="0"/>
            <c:showLeaderLines val="1"/>
          </c:dLbls>
          <c:cat>
            <c:strRef>
              <c:f>'Costs Models'!$B$29:$B$34</c:f>
              <c:strCache>
                <c:ptCount val="6"/>
                <c:pt idx="0">
                  <c:v>Gaming Duty</c:v>
                </c:pt>
                <c:pt idx="1">
                  <c:v>Problem Gambling Levy (from 1 July)</c:v>
                </c:pt>
                <c:pt idx="2">
                  <c:v>Fees to DIA</c:v>
                </c:pt>
                <c:pt idx="3">
                  <c:v>Distribution to Community (Minimum)</c:v>
                </c:pt>
                <c:pt idx="4">
                  <c:v>Society Operating Costs (Maximum)</c:v>
                </c:pt>
                <c:pt idx="5">
                  <c:v>Venue Payments (Maximum)</c:v>
                </c:pt>
              </c:strCache>
            </c:strRef>
          </c:cat>
          <c:val>
            <c:numRef>
              <c:f>'Costs Models'!$C$29:$C$34</c:f>
              <c:numCache>
                <c:formatCode>0.00%</c:formatCode>
                <c:ptCount val="6"/>
                <c:pt idx="0">
                  <c:v>0.23</c:v>
                </c:pt>
                <c:pt idx="1">
                  <c:v>1.4999999999999999E-2</c:v>
                </c:pt>
                <c:pt idx="2">
                  <c:v>3.0700000000000002E-2</c:v>
                </c:pt>
                <c:pt idx="3">
                  <c:v>0.4</c:v>
                </c:pt>
                <c:pt idx="4">
                  <c:v>0.1643</c:v>
                </c:pt>
                <c:pt idx="5">
                  <c:v>0.16</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rot="0" vert="horz"/>
          <a:lstStyle/>
          <a:p>
            <a:pPr>
              <a:defRPr/>
            </a:pPr>
            <a:r>
              <a:rPr lang="en-NZ"/>
              <a:t>Grants - Top Recipient Groups 2006 - 2015</a:t>
            </a:r>
          </a:p>
        </c:rich>
      </c:tx>
      <c:overlay val="0"/>
    </c:title>
    <c:autoTitleDeleted val="0"/>
    <c:plotArea>
      <c:layout/>
      <c:pieChart>
        <c:varyColors val="1"/>
        <c:ser>
          <c:idx val="0"/>
          <c:order val="0"/>
          <c:tx>
            <c:strRef>
              <c:f>'Grants Table and Graphs'!$C$17</c:f>
              <c:strCache>
                <c:ptCount val="1"/>
                <c:pt idx="0">
                  <c:v>2006 - 2015</c:v>
                </c:pt>
              </c:strCache>
            </c:strRef>
          </c:tx>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Pt>
            <c:idx val="12"/>
            <c:bubble3D val="0"/>
          </c:dPt>
          <c:dLbls>
            <c:dLbl>
              <c:idx val="0"/>
              <c:layout>
                <c:manualLayout>
                  <c:x val="-6.5922214268670967E-2"/>
                  <c:y val="-5.6872265966754154E-2"/>
                </c:manualLayout>
              </c:layout>
              <c:dLblPos val="bestFit"/>
              <c:showLegendKey val="0"/>
              <c:showVal val="1"/>
              <c:showCatName val="0"/>
              <c:showSerName val="0"/>
              <c:showPercent val="0"/>
              <c:showBubbleSize val="0"/>
            </c:dLbl>
            <c:dLbl>
              <c:idx val="1"/>
              <c:layout>
                <c:manualLayout>
                  <c:x val="-6.4102904492310361E-2"/>
                  <c:y val="0.10691447944006999"/>
                </c:manualLayout>
              </c:layout>
              <c:dLblPos val="bestFit"/>
              <c:showLegendKey val="0"/>
              <c:showVal val="1"/>
              <c:showCatName val="0"/>
              <c:showSerName val="0"/>
              <c:showPercent val="0"/>
              <c:showBubbleSize val="0"/>
            </c:dLbl>
            <c:dLbl>
              <c:idx val="2"/>
              <c:layout>
                <c:manualLayout>
                  <c:x val="-5.7887854927225008E-2"/>
                  <c:y val="8.9411636045494316E-3"/>
                </c:manualLayout>
              </c:layout>
              <c:dLblPos val="bestFit"/>
              <c:showLegendKey val="0"/>
              <c:showVal val="1"/>
              <c:showCatName val="0"/>
              <c:showSerName val="0"/>
              <c:showPercent val="0"/>
              <c:showBubbleSize val="0"/>
            </c:dLbl>
            <c:dLbl>
              <c:idx val="4"/>
              <c:layout>
                <c:manualLayout>
                  <c:x val="1.465564738292011E-2"/>
                  <c:y val="1.9646325459317587E-2"/>
                </c:manualLayout>
              </c:layout>
              <c:dLblPos val="bestFit"/>
              <c:showLegendKey val="0"/>
              <c:showVal val="1"/>
              <c:showCatName val="0"/>
              <c:showSerName val="0"/>
              <c:showPercent val="0"/>
              <c:showBubbleSize val="0"/>
            </c:dLbl>
            <c:dLbl>
              <c:idx val="5"/>
              <c:layout>
                <c:manualLayout>
                  <c:x val="1.7961432506887053E-2"/>
                  <c:y val="-2.4197725284339458E-2"/>
                </c:manualLayout>
              </c:layout>
              <c:dLblPos val="bestFit"/>
              <c:showLegendKey val="0"/>
              <c:showVal val="1"/>
              <c:showCatName val="0"/>
              <c:showSerName val="0"/>
              <c:showPercent val="0"/>
              <c:showBubbleSize val="0"/>
            </c:dLbl>
            <c:dLbl>
              <c:idx val="6"/>
              <c:layout>
                <c:manualLayout>
                  <c:x val="2.2644628099173555E-2"/>
                  <c:y val="1.2825896762904637E-2"/>
                </c:manualLayout>
              </c:layout>
              <c:dLblPos val="bestFit"/>
              <c:showLegendKey val="0"/>
              <c:showVal val="1"/>
              <c:showCatName val="0"/>
              <c:showSerName val="0"/>
              <c:showPercent val="0"/>
              <c:showBubbleSize val="0"/>
            </c:dLbl>
            <c:dLbl>
              <c:idx val="8"/>
              <c:layout>
                <c:manualLayout>
                  <c:x val="2.2930217175614595E-2"/>
                  <c:y val="2.8346894077484863E-2"/>
                </c:manualLayout>
              </c:layout>
              <c:dLblPos val="bestFit"/>
              <c:showLegendKey val="0"/>
              <c:showVal val="1"/>
              <c:showCatName val="0"/>
              <c:showSerName val="0"/>
              <c:showPercent val="0"/>
              <c:showBubbleSize val="0"/>
            </c:dLbl>
            <c:txPr>
              <a:bodyPr rot="0" vert="horz"/>
              <a:lstStyle/>
              <a:p>
                <a:pPr>
                  <a:defRPr/>
                </a:pPr>
                <a:endParaRPr lang="en-US"/>
              </a:p>
            </c:txPr>
            <c:dLblPos val="bestFit"/>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'Grants Table and Graphs'!$A$18:$A$30</c:f>
              <c:strCache>
                <c:ptCount val="13"/>
                <c:pt idx="0">
                  <c:v>Other Sports</c:v>
                </c:pt>
                <c:pt idx="1">
                  <c:v>Community Group</c:v>
                </c:pt>
                <c:pt idx="2">
                  <c:v>Rugby</c:v>
                </c:pt>
                <c:pt idx="3">
                  <c:v>Other</c:v>
                </c:pt>
                <c:pt idx="4">
                  <c:v>Education</c:v>
                </c:pt>
                <c:pt idx="5">
                  <c:v>Racing</c:v>
                </c:pt>
                <c:pt idx="6">
                  <c:v>Community Services</c:v>
                </c:pt>
                <c:pt idx="7">
                  <c:v>Soccer</c:v>
                </c:pt>
                <c:pt idx="8">
                  <c:v>Health Related</c:v>
                </c:pt>
                <c:pt idx="9">
                  <c:v>Arts</c:v>
                </c:pt>
                <c:pt idx="10">
                  <c:v>Water Sports (Sailing, Swimming, Fishing, Water Polo)</c:v>
                </c:pt>
                <c:pt idx="11">
                  <c:v>Cricket</c:v>
                </c:pt>
                <c:pt idx="12">
                  <c:v>Search and Rescue (excludes Surf Clubs)</c:v>
                </c:pt>
              </c:strCache>
            </c:strRef>
          </c:cat>
          <c:val>
            <c:numRef>
              <c:f>'Grants Table and Graphs'!$C$18:$C$30</c:f>
              <c:numCache>
                <c:formatCode>_-"$"* #,##0_-;\-"$"* #,##0_-;_-"$"* "-"??_-;_-@_-</c:formatCode>
                <c:ptCount val="13"/>
                <c:pt idx="0">
                  <c:v>651034896.10274005</c:v>
                </c:pt>
                <c:pt idx="1">
                  <c:v>383471377.2113108</c:v>
                </c:pt>
                <c:pt idx="2">
                  <c:v>239084381.12801963</c:v>
                </c:pt>
                <c:pt idx="3">
                  <c:v>235474491.76202962</c:v>
                </c:pt>
                <c:pt idx="4">
                  <c:v>217726631.48429927</c:v>
                </c:pt>
                <c:pt idx="5">
                  <c:v>140030884.2000002</c:v>
                </c:pt>
                <c:pt idx="6">
                  <c:v>112306560.98440017</c:v>
                </c:pt>
                <c:pt idx="7">
                  <c:v>106671266.75531</c:v>
                </c:pt>
                <c:pt idx="8">
                  <c:v>100802954.81000997</c:v>
                </c:pt>
                <c:pt idx="9">
                  <c:v>99674311.480660096</c:v>
                </c:pt>
                <c:pt idx="10">
                  <c:v>93977614.36104995</c:v>
                </c:pt>
                <c:pt idx="11">
                  <c:v>82842294.193389937</c:v>
                </c:pt>
                <c:pt idx="12">
                  <c:v>71018106.779999971</c:v>
                </c:pt>
              </c:numCache>
            </c:numRef>
          </c:val>
        </c:ser>
        <c:dLbls>
          <c:dLblPos val="ctr"/>
          <c:showLegendKey val="0"/>
          <c:showVal val="0"/>
          <c:showCatName val="0"/>
          <c:showSerName val="0"/>
          <c:showPercent val="1"/>
          <c:showBubbleSize val="0"/>
          <c:showLeaderLines val="1"/>
        </c:dLbls>
        <c:firstSliceAng val="0"/>
      </c:pieChart>
    </c:plotArea>
    <c:legend>
      <c:legendPos val="r"/>
      <c:overlay val="0"/>
      <c:txPr>
        <a:bodyPr rot="0" vert="horz"/>
        <a:lstStyle/>
        <a:p>
          <a:pPr>
            <a:defRPr/>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Class</a:t>
            </a:r>
            <a:r>
              <a:rPr lang="en-NZ" baseline="0"/>
              <a:t> 4 Grants - Time Series - Percentage of funding for Main Recipient Groups by Year</a:t>
            </a:r>
            <a:endParaRPr lang="en-NZ"/>
          </a:p>
        </c:rich>
      </c:tx>
      <c:overlay val="0"/>
      <c:spPr>
        <a:noFill/>
        <a:ln>
          <a:noFill/>
        </a:ln>
        <a:effectLst/>
      </c:spPr>
    </c:title>
    <c:autoTitleDeleted val="0"/>
    <c:plotArea>
      <c:layout/>
      <c:barChart>
        <c:barDir val="col"/>
        <c:grouping val="clustered"/>
        <c:varyColors val="0"/>
        <c:ser>
          <c:idx val="0"/>
          <c:order val="0"/>
          <c:tx>
            <c:strRef>
              <c:f>'Grants Table and Graphs'!$B$2</c:f>
              <c:strCache>
                <c:ptCount val="1"/>
                <c:pt idx="0">
                  <c:v>2005</c:v>
                </c:pt>
              </c:strCache>
            </c:strRef>
          </c:tx>
          <c:spPr>
            <a:solidFill>
              <a:schemeClr val="accent1"/>
            </a:solidFill>
            <a:ln>
              <a:noFill/>
            </a:ln>
            <a:effectLst/>
          </c:spPr>
          <c:invertIfNegative val="0"/>
          <c:cat>
            <c:strRef>
              <c:f>'Grants Table and Graphs'!$A$3:$A$15</c:f>
              <c:strCache>
                <c:ptCount val="13"/>
                <c:pt idx="0">
                  <c:v>Other Sports</c:v>
                </c:pt>
                <c:pt idx="1">
                  <c:v>Community Group</c:v>
                </c:pt>
                <c:pt idx="2">
                  <c:v>Rugby</c:v>
                </c:pt>
                <c:pt idx="3">
                  <c:v>Other</c:v>
                </c:pt>
                <c:pt idx="4">
                  <c:v>Education</c:v>
                </c:pt>
                <c:pt idx="5">
                  <c:v>Racing</c:v>
                </c:pt>
                <c:pt idx="6">
                  <c:v>Community Services</c:v>
                </c:pt>
                <c:pt idx="7">
                  <c:v>Soccer</c:v>
                </c:pt>
                <c:pt idx="8">
                  <c:v>Health Related</c:v>
                </c:pt>
                <c:pt idx="9">
                  <c:v>Arts</c:v>
                </c:pt>
                <c:pt idx="10">
                  <c:v>Water Sports (Sailing, Swimming, Fishing, Water Polo)</c:v>
                </c:pt>
                <c:pt idx="11">
                  <c:v>Cricket</c:v>
                </c:pt>
                <c:pt idx="12">
                  <c:v>Search and Rescue (excludes Surf Clubs)</c:v>
                </c:pt>
              </c:strCache>
            </c:strRef>
          </c:cat>
          <c:val>
            <c:numRef>
              <c:f>'Grants Table and Graphs'!$B$3:$B$15</c:f>
              <c:numCache>
                <c:formatCode>0.0%</c:formatCode>
                <c:ptCount val="13"/>
                <c:pt idx="0">
                  <c:v>0.28363129927164427</c:v>
                </c:pt>
                <c:pt idx="1">
                  <c:v>0.15089018676863225</c:v>
                </c:pt>
                <c:pt idx="2">
                  <c:v>5.6240291256463577E-2</c:v>
                </c:pt>
                <c:pt idx="3">
                  <c:v>0.10477131496027932</c:v>
                </c:pt>
                <c:pt idx="4">
                  <c:v>8.5006828175621496E-2</c:v>
                </c:pt>
                <c:pt idx="5">
                  <c:v>3.4451693608478197E-2</c:v>
                </c:pt>
                <c:pt idx="6">
                  <c:v>6.6104615221837845E-2</c:v>
                </c:pt>
                <c:pt idx="7">
                  <c:v>3.1973125107706314E-2</c:v>
                </c:pt>
                <c:pt idx="8">
                  <c:v>4.1864784693351385E-2</c:v>
                </c:pt>
                <c:pt idx="9">
                  <c:v>3.9674167451447993E-2</c:v>
                </c:pt>
                <c:pt idx="10">
                  <c:v>3.8890560830411862E-2</c:v>
                </c:pt>
                <c:pt idx="11">
                  <c:v>4.9138242514969316E-2</c:v>
                </c:pt>
                <c:pt idx="12">
                  <c:v>1.7362890139156088E-2</c:v>
                </c:pt>
              </c:numCache>
            </c:numRef>
          </c:val>
        </c:ser>
        <c:ser>
          <c:idx val="1"/>
          <c:order val="1"/>
          <c:tx>
            <c:strRef>
              <c:f>'Grants Table and Graphs'!$D$2</c:f>
              <c:strCache>
                <c:ptCount val="1"/>
                <c:pt idx="0">
                  <c:v>2010</c:v>
                </c:pt>
              </c:strCache>
            </c:strRef>
          </c:tx>
          <c:spPr>
            <a:solidFill>
              <a:schemeClr val="accent2"/>
            </a:solidFill>
            <a:ln>
              <a:noFill/>
            </a:ln>
            <a:effectLst/>
          </c:spPr>
          <c:invertIfNegative val="0"/>
          <c:cat>
            <c:strRef>
              <c:f>'Grants Table and Graphs'!$A$3:$A$15</c:f>
              <c:strCache>
                <c:ptCount val="13"/>
                <c:pt idx="0">
                  <c:v>Other Sports</c:v>
                </c:pt>
                <c:pt idx="1">
                  <c:v>Community Group</c:v>
                </c:pt>
                <c:pt idx="2">
                  <c:v>Rugby</c:v>
                </c:pt>
                <c:pt idx="3">
                  <c:v>Other</c:v>
                </c:pt>
                <c:pt idx="4">
                  <c:v>Education</c:v>
                </c:pt>
                <c:pt idx="5">
                  <c:v>Racing</c:v>
                </c:pt>
                <c:pt idx="6">
                  <c:v>Community Services</c:v>
                </c:pt>
                <c:pt idx="7">
                  <c:v>Soccer</c:v>
                </c:pt>
                <c:pt idx="8">
                  <c:v>Health Related</c:v>
                </c:pt>
                <c:pt idx="9">
                  <c:v>Arts</c:v>
                </c:pt>
                <c:pt idx="10">
                  <c:v>Water Sports (Sailing, Swimming, Fishing, Water Polo)</c:v>
                </c:pt>
                <c:pt idx="11">
                  <c:v>Cricket</c:v>
                </c:pt>
                <c:pt idx="12">
                  <c:v>Search and Rescue (excludes Surf Clubs)</c:v>
                </c:pt>
              </c:strCache>
            </c:strRef>
          </c:cat>
          <c:val>
            <c:numRef>
              <c:f>'Grants Table and Graphs'!$D$3:$D$15</c:f>
              <c:numCache>
                <c:formatCode>0.0%</c:formatCode>
                <c:ptCount val="13"/>
                <c:pt idx="0">
                  <c:v>0.25551655038710103</c:v>
                </c:pt>
                <c:pt idx="1">
                  <c:v>0.14940398132519175</c:v>
                </c:pt>
                <c:pt idx="2">
                  <c:v>9.2208502680656251E-2</c:v>
                </c:pt>
                <c:pt idx="3">
                  <c:v>0.11043228793500466</c:v>
                </c:pt>
                <c:pt idx="4">
                  <c:v>8.4390264913246554E-2</c:v>
                </c:pt>
                <c:pt idx="5">
                  <c:v>3.7348237743899781E-2</c:v>
                </c:pt>
                <c:pt idx="6">
                  <c:v>4.5956664588525556E-2</c:v>
                </c:pt>
                <c:pt idx="7">
                  <c:v>3.9672544983397361E-2</c:v>
                </c:pt>
                <c:pt idx="8">
                  <c:v>3.8426234490193785E-2</c:v>
                </c:pt>
                <c:pt idx="9">
                  <c:v>4.0565854769884939E-2</c:v>
                </c:pt>
                <c:pt idx="10">
                  <c:v>3.6726237473467517E-2</c:v>
                </c:pt>
                <c:pt idx="11">
                  <c:v>3.1759974202227301E-2</c:v>
                </c:pt>
                <c:pt idx="12">
                  <c:v>3.7592664507203499E-2</c:v>
                </c:pt>
              </c:numCache>
            </c:numRef>
          </c:val>
        </c:ser>
        <c:ser>
          <c:idx val="2"/>
          <c:order val="2"/>
          <c:tx>
            <c:strRef>
              <c:f>'Grants Table and Graphs'!$G$2</c:f>
              <c:strCache>
                <c:ptCount val="1"/>
                <c:pt idx="0">
                  <c:v>2015</c:v>
                </c:pt>
              </c:strCache>
            </c:strRef>
          </c:tx>
          <c:spPr>
            <a:solidFill>
              <a:schemeClr val="accent3"/>
            </a:solidFill>
            <a:ln>
              <a:noFill/>
            </a:ln>
            <a:effectLst/>
          </c:spPr>
          <c:invertIfNegative val="0"/>
          <c:cat>
            <c:strRef>
              <c:f>'Grants Table and Graphs'!$A$3:$A$15</c:f>
              <c:strCache>
                <c:ptCount val="13"/>
                <c:pt idx="0">
                  <c:v>Other Sports</c:v>
                </c:pt>
                <c:pt idx="1">
                  <c:v>Community Group</c:v>
                </c:pt>
                <c:pt idx="2">
                  <c:v>Rugby</c:v>
                </c:pt>
                <c:pt idx="3">
                  <c:v>Other</c:v>
                </c:pt>
                <c:pt idx="4">
                  <c:v>Education</c:v>
                </c:pt>
                <c:pt idx="5">
                  <c:v>Racing</c:v>
                </c:pt>
                <c:pt idx="6">
                  <c:v>Community Services</c:v>
                </c:pt>
                <c:pt idx="7">
                  <c:v>Soccer</c:v>
                </c:pt>
                <c:pt idx="8">
                  <c:v>Health Related</c:v>
                </c:pt>
                <c:pt idx="9">
                  <c:v>Arts</c:v>
                </c:pt>
                <c:pt idx="10">
                  <c:v>Water Sports (Sailing, Swimming, Fishing, Water Polo)</c:v>
                </c:pt>
                <c:pt idx="11">
                  <c:v>Cricket</c:v>
                </c:pt>
                <c:pt idx="12">
                  <c:v>Search and Rescue (excludes Surf Clubs)</c:v>
                </c:pt>
              </c:strCache>
            </c:strRef>
          </c:cat>
          <c:val>
            <c:numRef>
              <c:f>'Grants Table and Graphs'!$F$3:$F$15</c:f>
              <c:numCache>
                <c:formatCode>0.0%</c:formatCode>
                <c:ptCount val="13"/>
                <c:pt idx="0">
                  <c:v>0.26958162777630673</c:v>
                </c:pt>
                <c:pt idx="1">
                  <c:v>0.17875893002436646</c:v>
                </c:pt>
                <c:pt idx="2">
                  <c:v>9.3283154942930713E-2</c:v>
                </c:pt>
                <c:pt idx="3">
                  <c:v>8.0647821029275507E-2</c:v>
                </c:pt>
                <c:pt idx="4">
                  <c:v>9.4281036489351336E-2</c:v>
                </c:pt>
                <c:pt idx="5">
                  <c:v>1.0366203974013824E-2</c:v>
                </c:pt>
                <c:pt idx="6">
                  <c:v>4.0580972540428181E-2</c:v>
                </c:pt>
                <c:pt idx="7">
                  <c:v>4.4268679233666147E-2</c:v>
                </c:pt>
                <c:pt idx="8">
                  <c:v>4.2004219316139138E-2</c:v>
                </c:pt>
                <c:pt idx="9">
                  <c:v>4.3417693998467254E-2</c:v>
                </c:pt>
                <c:pt idx="10">
                  <c:v>4.1351380889206174E-2</c:v>
                </c:pt>
                <c:pt idx="11">
                  <c:v>3.6858605997545979E-2</c:v>
                </c:pt>
                <c:pt idx="12">
                  <c:v>2.4599673788302506E-2</c:v>
                </c:pt>
              </c:numCache>
            </c:numRef>
          </c:val>
        </c:ser>
        <c:dLbls>
          <c:showLegendKey val="0"/>
          <c:showVal val="0"/>
          <c:showCatName val="0"/>
          <c:showSerName val="0"/>
          <c:showPercent val="0"/>
          <c:showBubbleSize val="0"/>
        </c:dLbls>
        <c:gapWidth val="150"/>
        <c:axId val="133658880"/>
        <c:axId val="136187904"/>
      </c:barChart>
      <c:catAx>
        <c:axId val="133658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187904"/>
        <c:crosses val="autoZero"/>
        <c:auto val="1"/>
        <c:lblAlgn val="ctr"/>
        <c:lblOffset val="100"/>
        <c:noMultiLvlLbl val="0"/>
      </c:catAx>
      <c:valAx>
        <c:axId val="1361879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658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7514F-CBAB-4778-8B3D-08B04BCB9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 Report</Template>
  <TotalTime>4909</TotalTime>
  <Pages>32</Pages>
  <Words>9685</Words>
  <Characters>55207</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Department of Internal Affairs</Company>
  <LinksUpToDate>false</LinksUpToDate>
  <CharactersWithSpaces>64763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 Barnard</dc:creator>
  <dc:description>Released 1 February 2011</dc:description>
  <cp:lastModifiedBy>Trina Tautau</cp:lastModifiedBy>
  <cp:revision>822</cp:revision>
  <cp:lastPrinted>2016-06-07T01:59:00Z</cp:lastPrinted>
  <dcterms:created xsi:type="dcterms:W3CDTF">2016-04-17T21:40:00Z</dcterms:created>
  <dcterms:modified xsi:type="dcterms:W3CDTF">2016-07-01T01:48:00Z</dcterms:modified>
</cp:coreProperties>
</file>