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F09D5C" w14:textId="4BF7EB14" w:rsidR="007361D6" w:rsidRPr="00ED61F1" w:rsidRDefault="00D80E76" w:rsidP="00ED61F1">
      <w:pPr>
        <w:pStyle w:val="Heading1"/>
        <w:spacing w:before="120"/>
        <w:contextualSpacing/>
        <w:rPr>
          <w:rFonts w:ascii="Arial" w:eastAsia="Arial" w:hAnsi="Arial" w:cs="Arial"/>
          <w:color w:val="1F546B" w:themeColor="text2"/>
          <w:kern w:val="32"/>
          <w:sz w:val="52"/>
          <w:szCs w:val="52"/>
        </w:rPr>
      </w:pPr>
      <w:bookmarkStart w:id="0" w:name="_Toc487637421"/>
      <w:bookmarkStart w:id="1" w:name="_GoBack"/>
      <w:bookmarkEnd w:id="1"/>
      <w:r>
        <w:rPr>
          <w:rFonts w:ascii="Arial" w:eastAsia="Arial" w:hAnsi="Arial" w:cs="Arial"/>
          <w:color w:val="1F546B" w:themeColor="text2"/>
          <w:kern w:val="32"/>
          <w:sz w:val="52"/>
          <w:szCs w:val="52"/>
        </w:rPr>
        <w:t>Regulatory</w:t>
      </w:r>
      <w:r w:rsidR="4915CBC5" w:rsidRPr="00ED61F1">
        <w:rPr>
          <w:rFonts w:ascii="Arial" w:eastAsia="Arial" w:hAnsi="Arial" w:cs="Arial"/>
          <w:color w:val="1F546B" w:themeColor="text2"/>
          <w:kern w:val="32"/>
          <w:sz w:val="52"/>
          <w:szCs w:val="52"/>
        </w:rPr>
        <w:t xml:space="preserve"> impact statement: Casino venue licence renewal fee regulations</w:t>
      </w:r>
      <w:bookmarkEnd w:id="0"/>
    </w:p>
    <w:p w14:paraId="18F09D5D" w14:textId="77777777" w:rsidR="007361D6" w:rsidRDefault="007361D6" w:rsidP="001C0C30"/>
    <w:p w14:paraId="18F09D5E" w14:textId="77777777" w:rsidR="007361D6" w:rsidRPr="00931013" w:rsidRDefault="007361D6" w:rsidP="7B7C828E">
      <w:pPr>
        <w:pStyle w:val="Heading1"/>
        <w:spacing w:before="120"/>
        <w:contextualSpacing/>
        <w:rPr>
          <w:rFonts w:ascii="Arial" w:eastAsia="Arial" w:hAnsi="Arial" w:cs="Arial"/>
          <w:color w:val="1F546B" w:themeColor="text2"/>
          <w:sz w:val="52"/>
          <w:szCs w:val="52"/>
        </w:rPr>
      </w:pPr>
      <w:bookmarkStart w:id="2" w:name="_Toc487637422"/>
      <w:r w:rsidRPr="7B7C828E">
        <w:rPr>
          <w:rFonts w:ascii="Arial" w:eastAsia="Arial" w:hAnsi="Arial" w:cs="Arial"/>
          <w:color w:val="1F546B" w:themeColor="text2"/>
          <w:kern w:val="32"/>
          <w:sz w:val="52"/>
          <w:szCs w:val="52"/>
        </w:rPr>
        <w:t>Agency disclosure statement</w:t>
      </w:r>
      <w:bookmarkEnd w:id="2"/>
    </w:p>
    <w:p w14:paraId="18F09D5F" w14:textId="22151E8B" w:rsidR="007361D6" w:rsidRPr="001C0C30" w:rsidRDefault="005656A5" w:rsidP="007361D6">
      <w:r>
        <w:t xml:space="preserve">This </w:t>
      </w:r>
      <w:r w:rsidR="00D80E76">
        <w:t>Regulatory Impact Statement (RIS)</w:t>
      </w:r>
      <w:r w:rsidR="4915CBC5">
        <w:t xml:space="preserve"> has been prepared by the Department of </w:t>
      </w:r>
      <w:r w:rsidR="006B2347">
        <w:t>Internal Affairs (the Department).</w:t>
      </w:r>
    </w:p>
    <w:p w14:paraId="18F09D60" w14:textId="153FD1E9" w:rsidR="007361D6" w:rsidRDefault="3A6F2CAD" w:rsidP="007361D6">
      <w:r>
        <w:t xml:space="preserve">It provides an analysis of options </w:t>
      </w:r>
      <w:r w:rsidR="002B2DCE">
        <w:t>for</w:t>
      </w:r>
      <w:r>
        <w:t xml:space="preserve"> regulations </w:t>
      </w:r>
      <w:r w:rsidR="002B2DCE">
        <w:t xml:space="preserve">to </w:t>
      </w:r>
      <w:r>
        <w:t xml:space="preserve">set </w:t>
      </w:r>
      <w:r w:rsidR="002B2DCE">
        <w:t xml:space="preserve">a </w:t>
      </w:r>
      <w:r>
        <w:t>fee for casino venue licence renewal applications</w:t>
      </w:r>
      <w:r w:rsidR="00B915FA">
        <w:t xml:space="preserve"> (renewal fee)</w:t>
      </w:r>
      <w:r>
        <w:t>.</w:t>
      </w:r>
    </w:p>
    <w:p w14:paraId="5547F664" w14:textId="031A118C" w:rsidR="00ED61F1" w:rsidRPr="00934303" w:rsidRDefault="00ED61F1" w:rsidP="00ED61F1">
      <w:r>
        <w:t xml:space="preserve">The analysis in this RIS </w:t>
      </w:r>
      <w:r w:rsidR="00F4480F">
        <w:t xml:space="preserve">has been undertaken in reliance on </w:t>
      </w:r>
      <w:r>
        <w:t xml:space="preserve">the expected costs to process a casino venue licence renewal application </w:t>
      </w:r>
      <w:r w:rsidR="00F4480F">
        <w:t>provided</w:t>
      </w:r>
      <w:r>
        <w:t xml:space="preserve"> by the Gambling Commission.</w:t>
      </w:r>
    </w:p>
    <w:p w14:paraId="6DB04669" w14:textId="0406A9D6" w:rsidR="009C2A78" w:rsidRPr="009C2A78" w:rsidRDefault="009C2A78" w:rsidP="00ED61F1">
      <w:pPr>
        <w:keepNext/>
        <w:rPr>
          <w:b/>
          <w:i/>
        </w:rPr>
      </w:pPr>
      <w:r w:rsidRPr="009C2A78">
        <w:rPr>
          <w:b/>
          <w:i/>
        </w:rPr>
        <w:t>Assumptions</w:t>
      </w:r>
    </w:p>
    <w:p w14:paraId="38DDE717" w14:textId="785052CA" w:rsidR="00ED61F1" w:rsidRPr="00934303" w:rsidRDefault="00ED61F1" w:rsidP="00ED61F1">
      <w:pPr>
        <w:keepNext/>
      </w:pPr>
      <w:r>
        <w:t>The key assumptions in this RIS are:</w:t>
      </w:r>
    </w:p>
    <w:p w14:paraId="33F74069" w14:textId="77777777" w:rsidR="00ED61F1" w:rsidRDefault="00ED61F1" w:rsidP="00ED61F1">
      <w:pPr>
        <w:pStyle w:val="ListParagraph"/>
        <w:numPr>
          <w:ilvl w:val="0"/>
          <w:numId w:val="1"/>
        </w:numPr>
        <w:rPr>
          <w:rFonts w:eastAsia="Calibri" w:cs="Calibri"/>
        </w:rPr>
      </w:pPr>
      <w:r w:rsidRPr="2C4DD829">
        <w:rPr>
          <w:rFonts w:eastAsia="Calibri" w:cs="Calibri"/>
        </w:rPr>
        <w:t xml:space="preserve">The level of complexity in processing a casino venue licence renewal application is not unusually high. </w:t>
      </w:r>
    </w:p>
    <w:p w14:paraId="2F6EDAEE" w14:textId="4C6482BA" w:rsidR="00ED61F1" w:rsidRDefault="00ED61F1" w:rsidP="00ED61F1">
      <w:pPr>
        <w:pStyle w:val="ListParagraph"/>
        <w:numPr>
          <w:ilvl w:val="0"/>
          <w:numId w:val="1"/>
        </w:numPr>
        <w:rPr>
          <w:rFonts w:eastAsia="Calibri" w:cs="Calibri"/>
        </w:rPr>
      </w:pPr>
      <w:r w:rsidRPr="2C4DD829">
        <w:rPr>
          <w:rFonts w:eastAsia="Calibri" w:cs="Calibri"/>
        </w:rPr>
        <w:t xml:space="preserve">The level of human resources required to process an application </w:t>
      </w:r>
      <w:r w:rsidR="002B2DCE">
        <w:rPr>
          <w:rFonts w:eastAsia="Calibri" w:cs="Calibri"/>
        </w:rPr>
        <w:t>has</w:t>
      </w:r>
      <w:r w:rsidRPr="2C4DD829">
        <w:rPr>
          <w:rFonts w:eastAsia="Calibri" w:cs="Calibri"/>
        </w:rPr>
        <w:t xml:space="preserve"> been allocated on the basis of a standard level of complexity. </w:t>
      </w:r>
    </w:p>
    <w:p w14:paraId="4AD1ADAF" w14:textId="77777777" w:rsidR="00ED61F1" w:rsidRDefault="00ED61F1" w:rsidP="00ED61F1">
      <w:pPr>
        <w:pStyle w:val="ListParagraph"/>
        <w:numPr>
          <w:ilvl w:val="0"/>
          <w:numId w:val="1"/>
        </w:numPr>
        <w:rPr>
          <w:rFonts w:eastAsia="Calibri" w:cs="Calibri"/>
        </w:rPr>
      </w:pPr>
      <w:r w:rsidRPr="2C4DD829">
        <w:rPr>
          <w:rFonts w:eastAsia="Calibri" w:cs="Calibri"/>
        </w:rPr>
        <w:t xml:space="preserve">Two public hearings will be conducted by the Gambling Commission as part of the application process. This is the statutory minimum and assumes that an application is not overly contentious. </w:t>
      </w:r>
    </w:p>
    <w:p w14:paraId="62E4F6E7" w14:textId="186F0170" w:rsidR="00ED61F1" w:rsidRDefault="00ED61F1" w:rsidP="00ED61F1">
      <w:pPr>
        <w:pStyle w:val="ListParagraph"/>
        <w:numPr>
          <w:ilvl w:val="0"/>
          <w:numId w:val="1"/>
        </w:numPr>
        <w:rPr>
          <w:rFonts w:eastAsia="Calibri" w:cs="Calibri"/>
        </w:rPr>
      </w:pPr>
      <w:r w:rsidRPr="2C4DD829">
        <w:rPr>
          <w:rFonts w:eastAsia="Calibri" w:cs="Calibri"/>
        </w:rPr>
        <w:t xml:space="preserve">There is sufficient availability at the average seasonal cost of other resources, such as travel, accomodation and venue hire. </w:t>
      </w:r>
    </w:p>
    <w:p w14:paraId="37E9EAA8" w14:textId="3785EF12" w:rsidR="009C2A78" w:rsidRDefault="00E57F30" w:rsidP="00E57F30">
      <w:pPr>
        <w:rPr>
          <w:rFonts w:eastAsia="Calibri" w:cs="Calibri"/>
        </w:rPr>
      </w:pPr>
      <w:r>
        <w:rPr>
          <w:rFonts w:eastAsia="Calibri" w:cs="Calibri"/>
        </w:rPr>
        <w:t xml:space="preserve">All figures contained in this document are GST inclusive, unless specified otherwise. </w:t>
      </w:r>
    </w:p>
    <w:p w14:paraId="3B2D78E1" w14:textId="57E6CC02" w:rsidR="00066CDA" w:rsidRDefault="00066CDA" w:rsidP="00E57F30">
      <w:pPr>
        <w:rPr>
          <w:rFonts w:eastAsia="Calibri" w:cs="Calibri"/>
          <w:b/>
          <w:i/>
        </w:rPr>
      </w:pPr>
      <w:r>
        <w:rPr>
          <w:rFonts w:eastAsia="Calibri" w:cs="Calibri"/>
          <w:b/>
          <w:i/>
        </w:rPr>
        <w:t>Accuracy of costings</w:t>
      </w:r>
    </w:p>
    <w:p w14:paraId="6E28A008" w14:textId="77777777" w:rsidR="00325E7F" w:rsidRDefault="00066CDA" w:rsidP="00E57F30">
      <w:pPr>
        <w:rPr>
          <w:rFonts w:eastAsia="Calibri" w:cs="Calibri"/>
        </w:rPr>
      </w:pPr>
      <w:r>
        <w:rPr>
          <w:rFonts w:eastAsia="Calibri" w:cs="Calibri"/>
        </w:rPr>
        <w:t xml:space="preserve">The Gambling Commission expects that the cost of processing casino venue licence renewal applications will be the same for all applications. </w:t>
      </w:r>
      <w:r w:rsidR="00325E7F">
        <w:rPr>
          <w:rFonts w:eastAsia="Calibri" w:cs="Calibri"/>
        </w:rPr>
        <w:t xml:space="preserve">The Department has relied on this expectation in undertaking the analysis in this RIS. </w:t>
      </w:r>
    </w:p>
    <w:p w14:paraId="11F0A496" w14:textId="7C3BBCD8" w:rsidR="00066CDA" w:rsidRPr="00E57F30" w:rsidRDefault="00D57AF6" w:rsidP="00E57F30">
      <w:pPr>
        <w:rPr>
          <w:rFonts w:eastAsia="Calibri" w:cs="Calibri"/>
        </w:rPr>
      </w:pPr>
      <w:r>
        <w:rPr>
          <w:rFonts w:eastAsia="Calibri" w:cs="Calibri"/>
        </w:rPr>
        <w:t xml:space="preserve">Only one venue licence renewal application (Christchurch Casino) will initially be subject to the renewal fee in this RIS. </w:t>
      </w:r>
      <w:r w:rsidR="00325E7F">
        <w:rPr>
          <w:rFonts w:eastAsia="Calibri" w:cs="Calibri"/>
        </w:rPr>
        <w:t>The Department intends to review the renewal fee</w:t>
      </w:r>
      <w:r>
        <w:rPr>
          <w:rFonts w:eastAsia="Calibri" w:cs="Calibri"/>
        </w:rPr>
        <w:t xml:space="preserve"> for accuracy</w:t>
      </w:r>
      <w:r w:rsidR="00325E7F">
        <w:rPr>
          <w:rFonts w:eastAsia="Calibri" w:cs="Calibri"/>
        </w:rPr>
        <w:t xml:space="preserve"> as part of the next gambling fees review in 2018/19. </w:t>
      </w:r>
      <w:r w:rsidR="00066CDA">
        <w:rPr>
          <w:rFonts w:eastAsia="Calibri" w:cs="Calibri"/>
        </w:rPr>
        <w:t xml:space="preserve"> </w:t>
      </w:r>
      <w:r>
        <w:rPr>
          <w:rFonts w:eastAsia="Calibri" w:cs="Calibri"/>
        </w:rPr>
        <w:t xml:space="preserve">This review will </w:t>
      </w:r>
      <w:r w:rsidR="005C7E38">
        <w:rPr>
          <w:rFonts w:eastAsia="Calibri" w:cs="Calibri"/>
        </w:rPr>
        <w:t>determine</w:t>
      </w:r>
      <w:r>
        <w:rPr>
          <w:rFonts w:eastAsia="Calibri" w:cs="Calibri"/>
        </w:rPr>
        <w:t xml:space="preserve"> whether the renewal fee </w:t>
      </w:r>
      <w:r w:rsidR="001503DD">
        <w:rPr>
          <w:rFonts w:eastAsia="Calibri" w:cs="Calibri"/>
        </w:rPr>
        <w:t xml:space="preserve">is accurate or </w:t>
      </w:r>
      <w:r>
        <w:rPr>
          <w:rFonts w:eastAsia="Calibri" w:cs="Calibri"/>
        </w:rPr>
        <w:t>needs to be amended based on the actual cost of processing Christchurch Casino’s renewal application.</w:t>
      </w:r>
    </w:p>
    <w:p w14:paraId="6E61CFFF" w14:textId="77777777" w:rsidR="00B17517" w:rsidRDefault="00B17517" w:rsidP="009C2A78">
      <w:pPr>
        <w:rPr>
          <w:b/>
          <w:i/>
        </w:rPr>
      </w:pPr>
    </w:p>
    <w:p w14:paraId="6AB37F12" w14:textId="1472C03A" w:rsidR="009C2A78" w:rsidRDefault="009C2A78" w:rsidP="009C2A78">
      <w:pPr>
        <w:rPr>
          <w:b/>
          <w:i/>
        </w:rPr>
      </w:pPr>
      <w:r w:rsidRPr="009C2A78">
        <w:rPr>
          <w:b/>
          <w:i/>
        </w:rPr>
        <w:lastRenderedPageBreak/>
        <w:t>Time constraints</w:t>
      </w:r>
    </w:p>
    <w:p w14:paraId="18B348C7" w14:textId="74B4BCF9" w:rsidR="009C2A78" w:rsidRDefault="00335B73" w:rsidP="009C2A78">
      <w:r>
        <w:t>On 16 May 2017</w:t>
      </w:r>
      <w:r w:rsidR="002B2DCE">
        <w:t>,</w:t>
      </w:r>
      <w:r>
        <w:t xml:space="preserve"> the Minister of Internal Affairs received a letter from the Gambling Commission informing the Minister that Christchurch Casino’s </w:t>
      </w:r>
      <w:r w:rsidR="002B2DCE">
        <w:t>v</w:t>
      </w:r>
      <w:r>
        <w:t xml:space="preserve">enue </w:t>
      </w:r>
      <w:r w:rsidR="002B2DCE">
        <w:t>l</w:t>
      </w:r>
      <w:r>
        <w:t xml:space="preserve">icence was due for renewal in November 2019, and that no fee for the renewal application had been set. </w:t>
      </w:r>
    </w:p>
    <w:p w14:paraId="4886D909" w14:textId="1A1FD5DE" w:rsidR="00335B73" w:rsidRDefault="00335B73" w:rsidP="009C2A78">
      <w:r>
        <w:t xml:space="preserve">The Department began work </w:t>
      </w:r>
      <w:r w:rsidR="002B2DCE">
        <w:t>on</w:t>
      </w:r>
      <w:r>
        <w:t xml:space="preserve"> regulations </w:t>
      </w:r>
      <w:r w:rsidR="002B2DCE">
        <w:t xml:space="preserve">to </w:t>
      </w:r>
      <w:r>
        <w:t>set</w:t>
      </w:r>
      <w:r w:rsidR="002B2DCE">
        <w:t xml:space="preserve"> a</w:t>
      </w:r>
      <w:r>
        <w:t xml:space="preserve"> renewal fee immediately. However</w:t>
      </w:r>
      <w:r w:rsidR="002B2DCE">
        <w:t>,</w:t>
      </w:r>
      <w:r>
        <w:t xml:space="preserve"> the timeframe for getting regulations in place is very tight</w:t>
      </w:r>
      <w:r w:rsidR="002B2DCE">
        <w:t>.</w:t>
      </w:r>
      <w:r>
        <w:t xml:space="preserve"> </w:t>
      </w:r>
      <w:r w:rsidR="002B2DCE">
        <w:t xml:space="preserve">The regulations </w:t>
      </w:r>
      <w:r>
        <w:t xml:space="preserve">need to be completed before the General Election on 23 September 2017 in order to </w:t>
      </w:r>
      <w:r w:rsidR="002B2DCE">
        <w:t>provide for</w:t>
      </w:r>
      <w:r>
        <w:t xml:space="preserve"> Christchurch Casino’s renewal application</w:t>
      </w:r>
      <w:r w:rsidR="002B2DCE">
        <w:t>,</w:t>
      </w:r>
      <w:r>
        <w:t xml:space="preserve"> which is anticipated to be made on</w:t>
      </w:r>
      <w:r w:rsidR="002B2DCE">
        <w:t>, or close to,</w:t>
      </w:r>
      <w:r>
        <w:t xml:space="preserve"> the earliest possible date of 4 November 2017.</w:t>
      </w:r>
    </w:p>
    <w:p w14:paraId="2A931270" w14:textId="2E4A4486" w:rsidR="00D54EF2" w:rsidRDefault="00B915FA" w:rsidP="009C2A78">
      <w:r>
        <w:t>Because of this, the options for setting the renewal fee have been developed using a streamlined process that departs somewhat from the standard regulation</w:t>
      </w:r>
      <w:r w:rsidR="002B2DCE">
        <w:t>-</w:t>
      </w:r>
      <w:r>
        <w:t xml:space="preserve">making process. </w:t>
      </w:r>
      <w:r w:rsidR="00D54EF2">
        <w:t>Key departures are:</w:t>
      </w:r>
    </w:p>
    <w:p w14:paraId="6E87E272" w14:textId="303DB64F" w:rsidR="00D54EF2" w:rsidRDefault="00D54EF2" w:rsidP="0054029E">
      <w:pPr>
        <w:pStyle w:val="ListParagraph"/>
        <w:numPr>
          <w:ilvl w:val="0"/>
          <w:numId w:val="39"/>
        </w:numPr>
      </w:pPr>
      <w:r>
        <w:t>shorter, more target</w:t>
      </w:r>
      <w:r w:rsidR="002B2DCE">
        <w:t>e</w:t>
      </w:r>
      <w:r>
        <w:t>d consultation periods</w:t>
      </w:r>
      <w:r w:rsidR="002B2DCE">
        <w:t>, by the Department and the Gambling Commission</w:t>
      </w:r>
      <w:r>
        <w:t>;</w:t>
      </w:r>
    </w:p>
    <w:p w14:paraId="771C13BC" w14:textId="768EAA60" w:rsidR="00D54EF2" w:rsidRDefault="00D54EF2" w:rsidP="0054029E">
      <w:pPr>
        <w:pStyle w:val="ListParagraph"/>
        <w:numPr>
          <w:ilvl w:val="0"/>
          <w:numId w:val="39"/>
        </w:numPr>
      </w:pPr>
      <w:r>
        <w:t xml:space="preserve">seeking Cabinet approval only twice, </w:t>
      </w:r>
      <w:r w:rsidR="002B2DCE">
        <w:t>instead of the normal</w:t>
      </w:r>
      <w:r>
        <w:t xml:space="preserve"> three </w:t>
      </w:r>
      <w:r w:rsidR="00BE51D1">
        <w:t>Cabinet processes</w:t>
      </w:r>
      <w:r>
        <w:t>; and</w:t>
      </w:r>
    </w:p>
    <w:p w14:paraId="75A3A18D" w14:textId="2781B90F" w:rsidR="00D54EF2" w:rsidRDefault="00D54EF2" w:rsidP="0054029E">
      <w:pPr>
        <w:pStyle w:val="ListParagraph"/>
        <w:numPr>
          <w:ilvl w:val="0"/>
          <w:numId w:val="39"/>
        </w:numPr>
      </w:pPr>
      <w:r>
        <w:t xml:space="preserve">seeking an exemption to the 28-day rule. </w:t>
      </w:r>
    </w:p>
    <w:p w14:paraId="2A570BD9" w14:textId="77777777" w:rsidR="00D54EF2" w:rsidRPr="009C2A78" w:rsidRDefault="00D54EF2" w:rsidP="00D54EF2">
      <w:pPr>
        <w:pStyle w:val="ListParagraph"/>
        <w:numPr>
          <w:ilvl w:val="0"/>
          <w:numId w:val="0"/>
        </w:numPr>
        <w:ind w:left="720"/>
      </w:pPr>
    </w:p>
    <w:p w14:paraId="114EBB43" w14:textId="2C7F4500" w:rsidR="009C2A78" w:rsidRDefault="009C2A78" w:rsidP="009C2A78">
      <w:pPr>
        <w:rPr>
          <w:b/>
          <w:i/>
        </w:rPr>
      </w:pPr>
      <w:r w:rsidRPr="009C2A78">
        <w:rPr>
          <w:b/>
          <w:i/>
        </w:rPr>
        <w:t>Targeted consultation</w:t>
      </w:r>
    </w:p>
    <w:p w14:paraId="52AF5C93" w14:textId="06B232CA" w:rsidR="009C2A78" w:rsidRDefault="00D54EF2" w:rsidP="009C2A78">
      <w:pPr>
        <w:rPr>
          <w:rFonts w:eastAsia="Calibri" w:cs="Calibri"/>
        </w:rPr>
      </w:pPr>
      <w:r>
        <w:rPr>
          <w:rFonts w:eastAsia="Calibri" w:cs="Calibri"/>
        </w:rPr>
        <w:t>A short, targeted period of consultation on the proposed regulations setting the renewal fee was undertaken by the Department. This was jus</w:t>
      </w:r>
      <w:r w:rsidR="00AE11B0">
        <w:rPr>
          <w:rFonts w:eastAsia="Calibri" w:cs="Calibri"/>
        </w:rPr>
        <w:t xml:space="preserve">tified on the basis that consultation was solely on the discrete point of the amount and method of setting the renewal fee and would not affect the decision to grant a renewal by the Gambling Commission in any way. </w:t>
      </w:r>
    </w:p>
    <w:p w14:paraId="04D96BB4" w14:textId="15118A9D" w:rsidR="006C3C5A" w:rsidRPr="00D54EF2" w:rsidRDefault="006C3C5A" w:rsidP="009C2A78">
      <w:pPr>
        <w:rPr>
          <w:rFonts w:eastAsia="Calibri" w:cs="Calibri"/>
          <w:b/>
        </w:rPr>
      </w:pPr>
      <w:r>
        <w:rPr>
          <w:rFonts w:eastAsia="Calibri" w:cs="Calibri"/>
        </w:rPr>
        <w:t>Taking into account the assumptions</w:t>
      </w:r>
      <w:r w:rsidR="006004C6">
        <w:rPr>
          <w:rFonts w:eastAsia="Calibri" w:cs="Calibri"/>
        </w:rPr>
        <w:t xml:space="preserve"> and time constraints outlined</w:t>
      </w:r>
      <w:r>
        <w:rPr>
          <w:rFonts w:eastAsia="Calibri" w:cs="Calibri"/>
        </w:rPr>
        <w:t xml:space="preserve">, </w:t>
      </w:r>
      <w:r w:rsidR="006004C6">
        <w:rPr>
          <w:rFonts w:eastAsia="Calibri" w:cs="Calibri"/>
        </w:rPr>
        <w:t>the Department</w:t>
      </w:r>
      <w:r>
        <w:rPr>
          <w:rFonts w:eastAsia="Calibri" w:cs="Calibri"/>
        </w:rPr>
        <w:t xml:space="preserve"> consider</w:t>
      </w:r>
      <w:r w:rsidR="006004C6">
        <w:rPr>
          <w:rFonts w:eastAsia="Calibri" w:cs="Calibri"/>
        </w:rPr>
        <w:t>s</w:t>
      </w:r>
      <w:r>
        <w:rPr>
          <w:rFonts w:eastAsia="Calibri" w:cs="Calibri"/>
        </w:rPr>
        <w:t xml:space="preserve"> that decision-makers can rely on the analysis in this RIS.</w:t>
      </w:r>
    </w:p>
    <w:p w14:paraId="496160CE" w14:textId="77777777" w:rsidR="00ED61F1" w:rsidRDefault="00ED61F1" w:rsidP="007361D6"/>
    <w:p w14:paraId="14D67F7C" w14:textId="77777777" w:rsidR="00DF4383" w:rsidRPr="001C0C30" w:rsidRDefault="00DF4383" w:rsidP="007361D6"/>
    <w:p w14:paraId="6B87D626" w14:textId="46E8A74C" w:rsidR="005656A5" w:rsidRDefault="005656A5" w:rsidP="00A75E7C">
      <w:pPr>
        <w:spacing w:after="0"/>
      </w:pPr>
      <w:r>
        <w:t>Raj Krishnan</w:t>
      </w:r>
    </w:p>
    <w:p w14:paraId="26E553C3" w14:textId="65C6651B" w:rsidR="005656A5" w:rsidRDefault="005656A5" w:rsidP="00A75E7C">
      <w:pPr>
        <w:spacing w:before="0"/>
      </w:pPr>
      <w:r>
        <w:t>General Manger, Policy</w:t>
      </w:r>
    </w:p>
    <w:p w14:paraId="026F15A0" w14:textId="50118694" w:rsidR="00DF4383" w:rsidRPr="00DF4383" w:rsidRDefault="00DF4383" w:rsidP="00A75E7C">
      <w:pPr>
        <w:spacing w:before="0"/>
        <w:rPr>
          <w:u w:val="single"/>
        </w:rPr>
      </w:pPr>
      <w:r>
        <w:rPr>
          <w:u w:val="single"/>
        </w:rPr>
        <w:t xml:space="preserve">     </w:t>
      </w:r>
      <w:r w:rsidRPr="00DF4383">
        <w:rPr>
          <w:u w:val="single"/>
        </w:rPr>
        <w:t>/</w:t>
      </w:r>
      <w:r>
        <w:rPr>
          <w:u w:val="single"/>
        </w:rPr>
        <w:t xml:space="preserve">     </w:t>
      </w:r>
      <w:r w:rsidRPr="00DF4383">
        <w:rPr>
          <w:u w:val="single"/>
        </w:rPr>
        <w:t>/</w:t>
      </w:r>
      <w:r>
        <w:rPr>
          <w:u w:val="single"/>
        </w:rPr>
        <w:t xml:space="preserve"> 2017</w:t>
      </w:r>
      <w:r w:rsidRPr="00DF4383">
        <w:rPr>
          <w:u w:val="single"/>
        </w:rPr>
        <w:t xml:space="preserve">         </w:t>
      </w:r>
    </w:p>
    <w:p w14:paraId="67D71859" w14:textId="77777777" w:rsidR="00A75E7C" w:rsidRDefault="00A75E7C" w:rsidP="00A75E7C">
      <w:pPr>
        <w:spacing w:before="0"/>
      </w:pPr>
    </w:p>
    <w:p w14:paraId="18F09D6F" w14:textId="77777777" w:rsidR="00B84E9B" w:rsidRDefault="00B84E9B" w:rsidP="00B84E9B">
      <w:r>
        <w:br w:type="page"/>
      </w:r>
    </w:p>
    <w:p w14:paraId="18F09D70" w14:textId="77777777" w:rsidR="0037298A" w:rsidRPr="00931013" w:rsidRDefault="0037298A" w:rsidP="7B7C828E">
      <w:pPr>
        <w:pStyle w:val="Heading1"/>
        <w:spacing w:before="360"/>
        <w:contextualSpacing/>
        <w:rPr>
          <w:rFonts w:ascii="Arial" w:eastAsia="Arial" w:hAnsi="Arial" w:cs="Arial"/>
          <w:color w:val="1F546B" w:themeColor="text2"/>
          <w:sz w:val="52"/>
          <w:szCs w:val="52"/>
        </w:rPr>
      </w:pPr>
      <w:bookmarkStart w:id="3" w:name="_Toc487637423"/>
      <w:r w:rsidRPr="7B7C828E">
        <w:rPr>
          <w:rFonts w:ascii="Arial" w:eastAsia="Arial" w:hAnsi="Arial" w:cs="Arial"/>
          <w:color w:val="1F546B" w:themeColor="text2"/>
          <w:kern w:val="32"/>
          <w:sz w:val="52"/>
          <w:szCs w:val="52"/>
        </w:rPr>
        <w:lastRenderedPageBreak/>
        <w:t>Contents</w:t>
      </w:r>
      <w:bookmarkEnd w:id="3"/>
    </w:p>
    <w:p w14:paraId="070F9931" w14:textId="77777777" w:rsidR="00B17517" w:rsidRDefault="00473E2F">
      <w:pPr>
        <w:pStyle w:val="TOC1"/>
        <w:rPr>
          <w:rFonts w:asciiTheme="minorHAnsi" w:eastAsiaTheme="minorEastAsia" w:hAnsiTheme="minorHAnsi" w:cstheme="minorBidi"/>
          <w:noProof/>
          <w:color w:val="auto"/>
          <w:sz w:val="22"/>
          <w:szCs w:val="22"/>
          <w:lang w:eastAsia="en-NZ"/>
        </w:rPr>
      </w:pPr>
      <w:r w:rsidRPr="00931013">
        <w:rPr>
          <w:rStyle w:val="Hyperlink"/>
          <w:b/>
        </w:rPr>
        <w:fldChar w:fldCharType="begin"/>
      </w:r>
      <w:r w:rsidRPr="00931013">
        <w:rPr>
          <w:rStyle w:val="Hyperlink"/>
          <w:b/>
        </w:rPr>
        <w:instrText xml:space="preserve"> TOC \o "1-2" \h \z \u </w:instrText>
      </w:r>
      <w:r w:rsidRPr="00931013">
        <w:rPr>
          <w:rStyle w:val="Hyperlink"/>
          <w:b/>
        </w:rPr>
        <w:fldChar w:fldCharType="separate"/>
      </w:r>
      <w:hyperlink w:anchor="_Toc487637421" w:history="1">
        <w:r w:rsidR="00B17517" w:rsidRPr="00446E34">
          <w:rPr>
            <w:rStyle w:val="Hyperlink"/>
            <w:rFonts w:ascii="Arial" w:eastAsia="Arial" w:hAnsi="Arial" w:cs="Arial"/>
            <w:noProof/>
            <w:kern w:val="32"/>
          </w:rPr>
          <w:t>Regulatory impact statement: Casino venue licence renewal fee regulations</w:t>
        </w:r>
        <w:r w:rsidR="00B17517">
          <w:rPr>
            <w:noProof/>
            <w:webHidden/>
          </w:rPr>
          <w:tab/>
        </w:r>
        <w:r w:rsidR="00B17517">
          <w:rPr>
            <w:noProof/>
            <w:webHidden/>
          </w:rPr>
          <w:fldChar w:fldCharType="begin"/>
        </w:r>
        <w:r w:rsidR="00B17517">
          <w:rPr>
            <w:noProof/>
            <w:webHidden/>
          </w:rPr>
          <w:instrText xml:space="preserve"> PAGEREF _Toc487637421 \h </w:instrText>
        </w:r>
        <w:r w:rsidR="00B17517">
          <w:rPr>
            <w:noProof/>
            <w:webHidden/>
          </w:rPr>
        </w:r>
        <w:r w:rsidR="00B17517">
          <w:rPr>
            <w:noProof/>
            <w:webHidden/>
          </w:rPr>
          <w:fldChar w:fldCharType="separate"/>
        </w:r>
        <w:r w:rsidR="00605641">
          <w:rPr>
            <w:noProof/>
            <w:webHidden/>
          </w:rPr>
          <w:t>1</w:t>
        </w:r>
        <w:r w:rsidR="00B17517">
          <w:rPr>
            <w:noProof/>
            <w:webHidden/>
          </w:rPr>
          <w:fldChar w:fldCharType="end"/>
        </w:r>
      </w:hyperlink>
    </w:p>
    <w:p w14:paraId="7C74A285" w14:textId="77777777" w:rsidR="00B17517" w:rsidRDefault="00D40573">
      <w:pPr>
        <w:pStyle w:val="TOC1"/>
        <w:rPr>
          <w:rFonts w:asciiTheme="minorHAnsi" w:eastAsiaTheme="minorEastAsia" w:hAnsiTheme="minorHAnsi" w:cstheme="minorBidi"/>
          <w:noProof/>
          <w:color w:val="auto"/>
          <w:sz w:val="22"/>
          <w:szCs w:val="22"/>
          <w:lang w:eastAsia="en-NZ"/>
        </w:rPr>
      </w:pPr>
      <w:hyperlink w:anchor="_Toc487637422" w:history="1">
        <w:r w:rsidR="00B17517" w:rsidRPr="00446E34">
          <w:rPr>
            <w:rStyle w:val="Hyperlink"/>
            <w:rFonts w:ascii="Arial" w:eastAsia="Arial" w:hAnsi="Arial" w:cs="Arial"/>
            <w:noProof/>
            <w:kern w:val="32"/>
          </w:rPr>
          <w:t>Agency disclosure statement</w:t>
        </w:r>
        <w:r w:rsidR="00B17517">
          <w:rPr>
            <w:noProof/>
            <w:webHidden/>
          </w:rPr>
          <w:tab/>
        </w:r>
        <w:r w:rsidR="00B17517">
          <w:rPr>
            <w:noProof/>
            <w:webHidden/>
          </w:rPr>
          <w:fldChar w:fldCharType="begin"/>
        </w:r>
        <w:r w:rsidR="00B17517">
          <w:rPr>
            <w:noProof/>
            <w:webHidden/>
          </w:rPr>
          <w:instrText xml:space="preserve"> PAGEREF _Toc487637422 \h </w:instrText>
        </w:r>
        <w:r w:rsidR="00B17517">
          <w:rPr>
            <w:noProof/>
            <w:webHidden/>
          </w:rPr>
        </w:r>
        <w:r w:rsidR="00B17517">
          <w:rPr>
            <w:noProof/>
            <w:webHidden/>
          </w:rPr>
          <w:fldChar w:fldCharType="separate"/>
        </w:r>
        <w:r w:rsidR="00605641">
          <w:rPr>
            <w:noProof/>
            <w:webHidden/>
          </w:rPr>
          <w:t>1</w:t>
        </w:r>
        <w:r w:rsidR="00B17517">
          <w:rPr>
            <w:noProof/>
            <w:webHidden/>
          </w:rPr>
          <w:fldChar w:fldCharType="end"/>
        </w:r>
      </w:hyperlink>
    </w:p>
    <w:p w14:paraId="218BD196" w14:textId="77777777" w:rsidR="00B17517" w:rsidRDefault="00D40573">
      <w:pPr>
        <w:pStyle w:val="TOC1"/>
        <w:rPr>
          <w:rFonts w:asciiTheme="minorHAnsi" w:eastAsiaTheme="minorEastAsia" w:hAnsiTheme="minorHAnsi" w:cstheme="minorBidi"/>
          <w:noProof/>
          <w:color w:val="auto"/>
          <w:sz w:val="22"/>
          <w:szCs w:val="22"/>
          <w:lang w:eastAsia="en-NZ"/>
        </w:rPr>
      </w:pPr>
      <w:hyperlink w:anchor="_Toc487637423" w:history="1">
        <w:r w:rsidR="00B17517" w:rsidRPr="00446E34">
          <w:rPr>
            <w:rStyle w:val="Hyperlink"/>
            <w:rFonts w:ascii="Arial" w:eastAsia="Arial" w:hAnsi="Arial" w:cs="Arial"/>
            <w:noProof/>
            <w:kern w:val="32"/>
          </w:rPr>
          <w:t>Contents</w:t>
        </w:r>
        <w:r w:rsidR="00B17517">
          <w:rPr>
            <w:noProof/>
            <w:webHidden/>
          </w:rPr>
          <w:tab/>
        </w:r>
        <w:r w:rsidR="00B17517">
          <w:rPr>
            <w:noProof/>
            <w:webHidden/>
          </w:rPr>
          <w:fldChar w:fldCharType="begin"/>
        </w:r>
        <w:r w:rsidR="00B17517">
          <w:rPr>
            <w:noProof/>
            <w:webHidden/>
          </w:rPr>
          <w:instrText xml:space="preserve"> PAGEREF _Toc487637423 \h </w:instrText>
        </w:r>
        <w:r w:rsidR="00B17517">
          <w:rPr>
            <w:noProof/>
            <w:webHidden/>
          </w:rPr>
        </w:r>
        <w:r w:rsidR="00B17517">
          <w:rPr>
            <w:noProof/>
            <w:webHidden/>
          </w:rPr>
          <w:fldChar w:fldCharType="separate"/>
        </w:r>
        <w:r w:rsidR="00605641">
          <w:rPr>
            <w:noProof/>
            <w:webHidden/>
          </w:rPr>
          <w:t>3</w:t>
        </w:r>
        <w:r w:rsidR="00B17517">
          <w:rPr>
            <w:noProof/>
            <w:webHidden/>
          </w:rPr>
          <w:fldChar w:fldCharType="end"/>
        </w:r>
      </w:hyperlink>
    </w:p>
    <w:p w14:paraId="0BF43858" w14:textId="77777777" w:rsidR="00B17517" w:rsidRDefault="00D40573">
      <w:pPr>
        <w:pStyle w:val="TOC1"/>
        <w:rPr>
          <w:rFonts w:asciiTheme="minorHAnsi" w:eastAsiaTheme="minorEastAsia" w:hAnsiTheme="minorHAnsi" w:cstheme="minorBidi"/>
          <w:noProof/>
          <w:color w:val="auto"/>
          <w:sz w:val="22"/>
          <w:szCs w:val="22"/>
          <w:lang w:eastAsia="en-NZ"/>
        </w:rPr>
      </w:pPr>
      <w:hyperlink w:anchor="_Toc487637424" w:history="1">
        <w:r w:rsidR="00B17517" w:rsidRPr="00446E34">
          <w:rPr>
            <w:rStyle w:val="Hyperlink"/>
            <w:rFonts w:ascii="Arial" w:eastAsia="Arial" w:hAnsi="Arial" w:cs="Arial"/>
            <w:noProof/>
            <w:kern w:val="32"/>
          </w:rPr>
          <w:t>Executive summary</w:t>
        </w:r>
        <w:r w:rsidR="00B17517">
          <w:rPr>
            <w:noProof/>
            <w:webHidden/>
          </w:rPr>
          <w:tab/>
        </w:r>
        <w:r w:rsidR="00B17517">
          <w:rPr>
            <w:noProof/>
            <w:webHidden/>
          </w:rPr>
          <w:fldChar w:fldCharType="begin"/>
        </w:r>
        <w:r w:rsidR="00B17517">
          <w:rPr>
            <w:noProof/>
            <w:webHidden/>
          </w:rPr>
          <w:instrText xml:space="preserve"> PAGEREF _Toc487637424 \h </w:instrText>
        </w:r>
        <w:r w:rsidR="00B17517">
          <w:rPr>
            <w:noProof/>
            <w:webHidden/>
          </w:rPr>
        </w:r>
        <w:r w:rsidR="00B17517">
          <w:rPr>
            <w:noProof/>
            <w:webHidden/>
          </w:rPr>
          <w:fldChar w:fldCharType="separate"/>
        </w:r>
        <w:r w:rsidR="00605641">
          <w:rPr>
            <w:noProof/>
            <w:webHidden/>
          </w:rPr>
          <w:t>4</w:t>
        </w:r>
        <w:r w:rsidR="00B17517">
          <w:rPr>
            <w:noProof/>
            <w:webHidden/>
          </w:rPr>
          <w:fldChar w:fldCharType="end"/>
        </w:r>
      </w:hyperlink>
    </w:p>
    <w:p w14:paraId="33223B12"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25" w:history="1">
        <w:r w:rsidR="00B17517" w:rsidRPr="00446E34">
          <w:rPr>
            <w:rStyle w:val="Hyperlink"/>
            <w:rFonts w:ascii="Arial" w:eastAsia="Arial" w:hAnsi="Arial" w:cs="Arial"/>
          </w:rPr>
          <w:t>Status quo and problem definition</w:t>
        </w:r>
        <w:r w:rsidR="00B17517">
          <w:rPr>
            <w:webHidden/>
          </w:rPr>
          <w:tab/>
        </w:r>
        <w:r w:rsidR="00B17517">
          <w:rPr>
            <w:webHidden/>
          </w:rPr>
          <w:fldChar w:fldCharType="begin"/>
        </w:r>
        <w:r w:rsidR="00B17517">
          <w:rPr>
            <w:webHidden/>
          </w:rPr>
          <w:instrText xml:space="preserve"> PAGEREF _Toc487637425 \h </w:instrText>
        </w:r>
        <w:r w:rsidR="00B17517">
          <w:rPr>
            <w:webHidden/>
          </w:rPr>
        </w:r>
        <w:r w:rsidR="00B17517">
          <w:rPr>
            <w:webHidden/>
          </w:rPr>
          <w:fldChar w:fldCharType="separate"/>
        </w:r>
        <w:r w:rsidR="00605641">
          <w:rPr>
            <w:webHidden/>
          </w:rPr>
          <w:t>5</w:t>
        </w:r>
        <w:r w:rsidR="00B17517">
          <w:rPr>
            <w:webHidden/>
          </w:rPr>
          <w:fldChar w:fldCharType="end"/>
        </w:r>
      </w:hyperlink>
    </w:p>
    <w:p w14:paraId="4340F6BC" w14:textId="77777777" w:rsidR="00B17517" w:rsidRDefault="00D40573">
      <w:pPr>
        <w:pStyle w:val="TOC2"/>
        <w:rPr>
          <w:rFonts w:asciiTheme="minorHAnsi" w:eastAsiaTheme="minorEastAsia" w:hAnsiTheme="minorHAnsi" w:cstheme="minorBidi"/>
          <w:sz w:val="22"/>
          <w:szCs w:val="22"/>
          <w:lang w:eastAsia="en-NZ"/>
        </w:rPr>
      </w:pPr>
      <w:hyperlink w:anchor="_Toc487637426" w:history="1">
        <w:r w:rsidR="00B17517" w:rsidRPr="00446E34">
          <w:rPr>
            <w:rStyle w:val="Hyperlink"/>
            <w:rFonts w:eastAsia="Arial" w:cs="Arial"/>
          </w:rPr>
          <w:t>Background</w:t>
        </w:r>
        <w:r w:rsidR="00B17517">
          <w:rPr>
            <w:webHidden/>
          </w:rPr>
          <w:tab/>
        </w:r>
        <w:r w:rsidR="00B17517">
          <w:rPr>
            <w:webHidden/>
          </w:rPr>
          <w:fldChar w:fldCharType="begin"/>
        </w:r>
        <w:r w:rsidR="00B17517">
          <w:rPr>
            <w:webHidden/>
          </w:rPr>
          <w:instrText xml:space="preserve"> PAGEREF _Toc487637426 \h </w:instrText>
        </w:r>
        <w:r w:rsidR="00B17517">
          <w:rPr>
            <w:webHidden/>
          </w:rPr>
        </w:r>
        <w:r w:rsidR="00B17517">
          <w:rPr>
            <w:webHidden/>
          </w:rPr>
          <w:fldChar w:fldCharType="separate"/>
        </w:r>
        <w:r w:rsidR="00605641">
          <w:rPr>
            <w:webHidden/>
          </w:rPr>
          <w:t>5</w:t>
        </w:r>
        <w:r w:rsidR="00B17517">
          <w:rPr>
            <w:webHidden/>
          </w:rPr>
          <w:fldChar w:fldCharType="end"/>
        </w:r>
      </w:hyperlink>
    </w:p>
    <w:p w14:paraId="2E4651EE" w14:textId="77777777" w:rsidR="00B17517" w:rsidRDefault="00D40573">
      <w:pPr>
        <w:pStyle w:val="TOC2"/>
        <w:rPr>
          <w:rFonts w:asciiTheme="minorHAnsi" w:eastAsiaTheme="minorEastAsia" w:hAnsiTheme="minorHAnsi" w:cstheme="minorBidi"/>
          <w:sz w:val="22"/>
          <w:szCs w:val="22"/>
          <w:lang w:eastAsia="en-NZ"/>
        </w:rPr>
      </w:pPr>
      <w:hyperlink w:anchor="_Toc487637427" w:history="1">
        <w:r w:rsidR="00B17517" w:rsidRPr="00446E34">
          <w:rPr>
            <w:rStyle w:val="Hyperlink"/>
            <w:rFonts w:eastAsia="Arial" w:cs="Arial"/>
          </w:rPr>
          <w:t>Problem definition</w:t>
        </w:r>
        <w:r w:rsidR="00B17517">
          <w:rPr>
            <w:webHidden/>
          </w:rPr>
          <w:tab/>
        </w:r>
        <w:r w:rsidR="00B17517">
          <w:rPr>
            <w:webHidden/>
          </w:rPr>
          <w:fldChar w:fldCharType="begin"/>
        </w:r>
        <w:r w:rsidR="00B17517">
          <w:rPr>
            <w:webHidden/>
          </w:rPr>
          <w:instrText xml:space="preserve"> PAGEREF _Toc487637427 \h </w:instrText>
        </w:r>
        <w:r w:rsidR="00B17517">
          <w:rPr>
            <w:webHidden/>
          </w:rPr>
        </w:r>
        <w:r w:rsidR="00B17517">
          <w:rPr>
            <w:webHidden/>
          </w:rPr>
          <w:fldChar w:fldCharType="separate"/>
        </w:r>
        <w:r w:rsidR="00605641">
          <w:rPr>
            <w:webHidden/>
          </w:rPr>
          <w:t>6</w:t>
        </w:r>
        <w:r w:rsidR="00B17517">
          <w:rPr>
            <w:webHidden/>
          </w:rPr>
          <w:fldChar w:fldCharType="end"/>
        </w:r>
      </w:hyperlink>
    </w:p>
    <w:p w14:paraId="5AC1E3D0" w14:textId="77777777" w:rsidR="00B17517" w:rsidRDefault="00D40573">
      <w:pPr>
        <w:pStyle w:val="TOC2"/>
        <w:rPr>
          <w:rFonts w:asciiTheme="minorHAnsi" w:eastAsiaTheme="minorEastAsia" w:hAnsiTheme="minorHAnsi" w:cstheme="minorBidi"/>
          <w:sz w:val="22"/>
          <w:szCs w:val="22"/>
          <w:lang w:eastAsia="en-NZ"/>
        </w:rPr>
      </w:pPr>
      <w:hyperlink w:anchor="_Toc487637428" w:history="1">
        <w:r w:rsidR="00B17517" w:rsidRPr="00446E34">
          <w:rPr>
            <w:rStyle w:val="Hyperlink"/>
            <w:rFonts w:eastAsia="Arial" w:cs="Arial"/>
          </w:rPr>
          <w:t>Statutory authority</w:t>
        </w:r>
        <w:r w:rsidR="00B17517">
          <w:rPr>
            <w:webHidden/>
          </w:rPr>
          <w:tab/>
        </w:r>
        <w:r w:rsidR="00B17517">
          <w:rPr>
            <w:webHidden/>
          </w:rPr>
          <w:fldChar w:fldCharType="begin"/>
        </w:r>
        <w:r w:rsidR="00B17517">
          <w:rPr>
            <w:webHidden/>
          </w:rPr>
          <w:instrText xml:space="preserve"> PAGEREF _Toc487637428 \h </w:instrText>
        </w:r>
        <w:r w:rsidR="00B17517">
          <w:rPr>
            <w:webHidden/>
          </w:rPr>
        </w:r>
        <w:r w:rsidR="00B17517">
          <w:rPr>
            <w:webHidden/>
          </w:rPr>
          <w:fldChar w:fldCharType="separate"/>
        </w:r>
        <w:r w:rsidR="00605641">
          <w:rPr>
            <w:webHidden/>
          </w:rPr>
          <w:t>6</w:t>
        </w:r>
        <w:r w:rsidR="00B17517">
          <w:rPr>
            <w:webHidden/>
          </w:rPr>
          <w:fldChar w:fldCharType="end"/>
        </w:r>
      </w:hyperlink>
    </w:p>
    <w:p w14:paraId="5B4D7FEC"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29" w:history="1">
        <w:r w:rsidR="00B17517" w:rsidRPr="00446E34">
          <w:rPr>
            <w:rStyle w:val="Hyperlink"/>
            <w:rFonts w:ascii="Arial" w:eastAsia="Arial" w:hAnsi="Arial" w:cs="Arial"/>
          </w:rPr>
          <w:t>Objectives and criteria</w:t>
        </w:r>
        <w:r w:rsidR="00B17517">
          <w:rPr>
            <w:webHidden/>
          </w:rPr>
          <w:tab/>
        </w:r>
        <w:r w:rsidR="00B17517">
          <w:rPr>
            <w:webHidden/>
          </w:rPr>
          <w:fldChar w:fldCharType="begin"/>
        </w:r>
        <w:r w:rsidR="00B17517">
          <w:rPr>
            <w:webHidden/>
          </w:rPr>
          <w:instrText xml:space="preserve"> PAGEREF _Toc487637429 \h </w:instrText>
        </w:r>
        <w:r w:rsidR="00B17517">
          <w:rPr>
            <w:webHidden/>
          </w:rPr>
        </w:r>
        <w:r w:rsidR="00B17517">
          <w:rPr>
            <w:webHidden/>
          </w:rPr>
          <w:fldChar w:fldCharType="separate"/>
        </w:r>
        <w:r w:rsidR="00605641">
          <w:rPr>
            <w:webHidden/>
          </w:rPr>
          <w:t>7</w:t>
        </w:r>
        <w:r w:rsidR="00B17517">
          <w:rPr>
            <w:webHidden/>
          </w:rPr>
          <w:fldChar w:fldCharType="end"/>
        </w:r>
      </w:hyperlink>
    </w:p>
    <w:p w14:paraId="47316703"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30" w:history="1">
        <w:r w:rsidR="00B17517" w:rsidRPr="00446E34">
          <w:rPr>
            <w:rStyle w:val="Hyperlink"/>
            <w:rFonts w:ascii="Arial" w:eastAsia="Arial" w:hAnsi="Arial" w:cs="Arial"/>
          </w:rPr>
          <w:t>Options and impact analysis</w:t>
        </w:r>
        <w:r w:rsidR="00B17517">
          <w:rPr>
            <w:webHidden/>
          </w:rPr>
          <w:tab/>
        </w:r>
        <w:r w:rsidR="00B17517">
          <w:rPr>
            <w:webHidden/>
          </w:rPr>
          <w:fldChar w:fldCharType="begin"/>
        </w:r>
        <w:r w:rsidR="00B17517">
          <w:rPr>
            <w:webHidden/>
          </w:rPr>
          <w:instrText xml:space="preserve"> PAGEREF _Toc487637430 \h </w:instrText>
        </w:r>
        <w:r w:rsidR="00B17517">
          <w:rPr>
            <w:webHidden/>
          </w:rPr>
        </w:r>
        <w:r w:rsidR="00B17517">
          <w:rPr>
            <w:webHidden/>
          </w:rPr>
          <w:fldChar w:fldCharType="separate"/>
        </w:r>
        <w:r w:rsidR="00605641">
          <w:rPr>
            <w:webHidden/>
          </w:rPr>
          <w:t>9</w:t>
        </w:r>
        <w:r w:rsidR="00B17517">
          <w:rPr>
            <w:webHidden/>
          </w:rPr>
          <w:fldChar w:fldCharType="end"/>
        </w:r>
      </w:hyperlink>
    </w:p>
    <w:p w14:paraId="4D49B59B" w14:textId="77777777" w:rsidR="00B17517" w:rsidRDefault="00D40573">
      <w:pPr>
        <w:pStyle w:val="TOC2"/>
        <w:rPr>
          <w:rFonts w:asciiTheme="minorHAnsi" w:eastAsiaTheme="minorEastAsia" w:hAnsiTheme="minorHAnsi" w:cstheme="minorBidi"/>
          <w:sz w:val="22"/>
          <w:szCs w:val="22"/>
          <w:lang w:eastAsia="en-NZ"/>
        </w:rPr>
      </w:pPr>
      <w:hyperlink w:anchor="_Toc487637431" w:history="1">
        <w:r w:rsidR="00B17517" w:rsidRPr="00446E34">
          <w:rPr>
            <w:rStyle w:val="Hyperlink"/>
          </w:rPr>
          <w:t>Option one: fixed fee</w:t>
        </w:r>
        <w:r w:rsidR="00B17517">
          <w:rPr>
            <w:webHidden/>
          </w:rPr>
          <w:tab/>
        </w:r>
        <w:r w:rsidR="00B17517">
          <w:rPr>
            <w:webHidden/>
          </w:rPr>
          <w:fldChar w:fldCharType="begin"/>
        </w:r>
        <w:r w:rsidR="00B17517">
          <w:rPr>
            <w:webHidden/>
          </w:rPr>
          <w:instrText xml:space="preserve"> PAGEREF _Toc487637431 \h </w:instrText>
        </w:r>
        <w:r w:rsidR="00B17517">
          <w:rPr>
            <w:webHidden/>
          </w:rPr>
        </w:r>
        <w:r w:rsidR="00B17517">
          <w:rPr>
            <w:webHidden/>
          </w:rPr>
          <w:fldChar w:fldCharType="separate"/>
        </w:r>
        <w:r w:rsidR="00605641">
          <w:rPr>
            <w:webHidden/>
          </w:rPr>
          <w:t>10</w:t>
        </w:r>
        <w:r w:rsidR="00B17517">
          <w:rPr>
            <w:webHidden/>
          </w:rPr>
          <w:fldChar w:fldCharType="end"/>
        </w:r>
      </w:hyperlink>
    </w:p>
    <w:p w14:paraId="1FC8DB25" w14:textId="77777777" w:rsidR="00B17517" w:rsidRDefault="00D40573">
      <w:pPr>
        <w:pStyle w:val="TOC2"/>
        <w:rPr>
          <w:rFonts w:asciiTheme="minorHAnsi" w:eastAsiaTheme="minorEastAsia" w:hAnsiTheme="minorHAnsi" w:cstheme="minorBidi"/>
          <w:sz w:val="22"/>
          <w:szCs w:val="22"/>
          <w:lang w:eastAsia="en-NZ"/>
        </w:rPr>
      </w:pPr>
      <w:hyperlink w:anchor="_Toc487637432" w:history="1">
        <w:r w:rsidR="00B17517" w:rsidRPr="00446E34">
          <w:rPr>
            <w:rStyle w:val="Hyperlink"/>
          </w:rPr>
          <w:t>Option two: two-tier fee structure: fixed fee + variable adjustment</w:t>
        </w:r>
        <w:r w:rsidR="00B17517">
          <w:rPr>
            <w:webHidden/>
          </w:rPr>
          <w:tab/>
        </w:r>
        <w:r w:rsidR="00B17517">
          <w:rPr>
            <w:webHidden/>
          </w:rPr>
          <w:fldChar w:fldCharType="begin"/>
        </w:r>
        <w:r w:rsidR="00B17517">
          <w:rPr>
            <w:webHidden/>
          </w:rPr>
          <w:instrText xml:space="preserve"> PAGEREF _Toc487637432 \h </w:instrText>
        </w:r>
        <w:r w:rsidR="00B17517">
          <w:rPr>
            <w:webHidden/>
          </w:rPr>
        </w:r>
        <w:r w:rsidR="00B17517">
          <w:rPr>
            <w:webHidden/>
          </w:rPr>
          <w:fldChar w:fldCharType="separate"/>
        </w:r>
        <w:r w:rsidR="00605641">
          <w:rPr>
            <w:webHidden/>
          </w:rPr>
          <w:t>10</w:t>
        </w:r>
        <w:r w:rsidR="00B17517">
          <w:rPr>
            <w:webHidden/>
          </w:rPr>
          <w:fldChar w:fldCharType="end"/>
        </w:r>
      </w:hyperlink>
    </w:p>
    <w:p w14:paraId="778BDA21"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33" w:history="1">
        <w:r w:rsidR="00B17517" w:rsidRPr="00446E34">
          <w:rPr>
            <w:rStyle w:val="Hyperlink"/>
            <w:rFonts w:ascii="Arial" w:eastAsia="Arial" w:hAnsi="Arial" w:cs="Arial"/>
          </w:rPr>
          <w:t>Consultation</w:t>
        </w:r>
        <w:r w:rsidR="00B17517">
          <w:rPr>
            <w:webHidden/>
          </w:rPr>
          <w:tab/>
        </w:r>
        <w:r w:rsidR="00B17517">
          <w:rPr>
            <w:webHidden/>
          </w:rPr>
          <w:fldChar w:fldCharType="begin"/>
        </w:r>
        <w:r w:rsidR="00B17517">
          <w:rPr>
            <w:webHidden/>
          </w:rPr>
          <w:instrText xml:space="preserve"> PAGEREF _Toc487637433 \h </w:instrText>
        </w:r>
        <w:r w:rsidR="00B17517">
          <w:rPr>
            <w:webHidden/>
          </w:rPr>
        </w:r>
        <w:r w:rsidR="00B17517">
          <w:rPr>
            <w:webHidden/>
          </w:rPr>
          <w:fldChar w:fldCharType="separate"/>
        </w:r>
        <w:r w:rsidR="00605641">
          <w:rPr>
            <w:webHidden/>
          </w:rPr>
          <w:t>12</w:t>
        </w:r>
        <w:r w:rsidR="00B17517">
          <w:rPr>
            <w:webHidden/>
          </w:rPr>
          <w:fldChar w:fldCharType="end"/>
        </w:r>
      </w:hyperlink>
    </w:p>
    <w:p w14:paraId="4B3C0CF6"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34" w:history="1">
        <w:r w:rsidR="00B17517" w:rsidRPr="00446E34">
          <w:rPr>
            <w:rStyle w:val="Hyperlink"/>
            <w:rFonts w:ascii="Arial" w:eastAsia="Arial" w:hAnsi="Arial" w:cs="Arial"/>
          </w:rPr>
          <w:t>Conclusions and recommendations</w:t>
        </w:r>
        <w:r w:rsidR="00B17517">
          <w:rPr>
            <w:webHidden/>
          </w:rPr>
          <w:tab/>
        </w:r>
        <w:r w:rsidR="00B17517">
          <w:rPr>
            <w:webHidden/>
          </w:rPr>
          <w:fldChar w:fldCharType="begin"/>
        </w:r>
        <w:r w:rsidR="00B17517">
          <w:rPr>
            <w:webHidden/>
          </w:rPr>
          <w:instrText xml:space="preserve"> PAGEREF _Toc487637434 \h </w:instrText>
        </w:r>
        <w:r w:rsidR="00B17517">
          <w:rPr>
            <w:webHidden/>
          </w:rPr>
        </w:r>
        <w:r w:rsidR="00B17517">
          <w:rPr>
            <w:webHidden/>
          </w:rPr>
          <w:fldChar w:fldCharType="separate"/>
        </w:r>
        <w:r w:rsidR="00605641">
          <w:rPr>
            <w:webHidden/>
          </w:rPr>
          <w:t>14</w:t>
        </w:r>
        <w:r w:rsidR="00B17517">
          <w:rPr>
            <w:webHidden/>
          </w:rPr>
          <w:fldChar w:fldCharType="end"/>
        </w:r>
      </w:hyperlink>
    </w:p>
    <w:p w14:paraId="59CA25A3"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35" w:history="1">
        <w:r w:rsidR="00B17517" w:rsidRPr="00446E34">
          <w:rPr>
            <w:rStyle w:val="Hyperlink"/>
            <w:rFonts w:ascii="Arial" w:eastAsia="Arial" w:hAnsi="Arial" w:cs="Arial"/>
          </w:rPr>
          <w:t>Implementation plan</w:t>
        </w:r>
        <w:r w:rsidR="00B17517">
          <w:rPr>
            <w:webHidden/>
          </w:rPr>
          <w:tab/>
        </w:r>
        <w:r w:rsidR="00B17517">
          <w:rPr>
            <w:webHidden/>
          </w:rPr>
          <w:fldChar w:fldCharType="begin"/>
        </w:r>
        <w:r w:rsidR="00B17517">
          <w:rPr>
            <w:webHidden/>
          </w:rPr>
          <w:instrText xml:space="preserve"> PAGEREF _Toc487637435 \h </w:instrText>
        </w:r>
        <w:r w:rsidR="00B17517">
          <w:rPr>
            <w:webHidden/>
          </w:rPr>
        </w:r>
        <w:r w:rsidR="00B17517">
          <w:rPr>
            <w:webHidden/>
          </w:rPr>
          <w:fldChar w:fldCharType="separate"/>
        </w:r>
        <w:r w:rsidR="00605641">
          <w:rPr>
            <w:webHidden/>
          </w:rPr>
          <w:t>14</w:t>
        </w:r>
        <w:r w:rsidR="00B17517">
          <w:rPr>
            <w:webHidden/>
          </w:rPr>
          <w:fldChar w:fldCharType="end"/>
        </w:r>
      </w:hyperlink>
    </w:p>
    <w:p w14:paraId="3B12CA1D" w14:textId="77777777" w:rsidR="00B17517" w:rsidRDefault="00D40573" w:rsidP="005B7016">
      <w:pPr>
        <w:pStyle w:val="TOC2"/>
        <w:ind w:left="0"/>
        <w:rPr>
          <w:rFonts w:asciiTheme="minorHAnsi" w:eastAsiaTheme="minorEastAsia" w:hAnsiTheme="minorHAnsi" w:cstheme="minorBidi"/>
          <w:sz w:val="22"/>
          <w:szCs w:val="22"/>
          <w:lang w:eastAsia="en-NZ"/>
        </w:rPr>
      </w:pPr>
      <w:hyperlink w:anchor="_Toc487637436" w:history="1">
        <w:r w:rsidR="00B17517" w:rsidRPr="00446E34">
          <w:rPr>
            <w:rStyle w:val="Hyperlink"/>
            <w:rFonts w:ascii="Arial" w:eastAsia="Arial" w:hAnsi="Arial" w:cs="Arial"/>
          </w:rPr>
          <w:t>Monitoring, evaluation, and review</w:t>
        </w:r>
        <w:r w:rsidR="00B17517">
          <w:rPr>
            <w:webHidden/>
          </w:rPr>
          <w:tab/>
        </w:r>
        <w:r w:rsidR="00B17517">
          <w:rPr>
            <w:webHidden/>
          </w:rPr>
          <w:fldChar w:fldCharType="begin"/>
        </w:r>
        <w:r w:rsidR="00B17517">
          <w:rPr>
            <w:webHidden/>
          </w:rPr>
          <w:instrText xml:space="preserve"> PAGEREF _Toc487637436 \h </w:instrText>
        </w:r>
        <w:r w:rsidR="00B17517">
          <w:rPr>
            <w:webHidden/>
          </w:rPr>
        </w:r>
        <w:r w:rsidR="00B17517">
          <w:rPr>
            <w:webHidden/>
          </w:rPr>
          <w:fldChar w:fldCharType="separate"/>
        </w:r>
        <w:r w:rsidR="00605641">
          <w:rPr>
            <w:webHidden/>
          </w:rPr>
          <w:t>14</w:t>
        </w:r>
        <w:r w:rsidR="00B17517">
          <w:rPr>
            <w:webHidden/>
          </w:rPr>
          <w:fldChar w:fldCharType="end"/>
        </w:r>
      </w:hyperlink>
    </w:p>
    <w:p w14:paraId="18F09D7A" w14:textId="77777777" w:rsidR="00264E9B" w:rsidRDefault="00473E2F" w:rsidP="00BE0F28">
      <w:r w:rsidRPr="00931013">
        <w:rPr>
          <w:rStyle w:val="Hyperlink"/>
          <w:b/>
        </w:rPr>
        <w:fldChar w:fldCharType="end"/>
      </w:r>
      <w:r w:rsidR="00264E9B">
        <w:br w:type="page"/>
      </w:r>
    </w:p>
    <w:p w14:paraId="18F09D7B" w14:textId="77777777" w:rsidR="007361D6" w:rsidRPr="00931013" w:rsidRDefault="00264E9B" w:rsidP="7B7C828E">
      <w:pPr>
        <w:pStyle w:val="Heading1"/>
        <w:spacing w:before="360"/>
        <w:contextualSpacing/>
        <w:rPr>
          <w:rFonts w:ascii="Arial" w:eastAsia="Arial" w:hAnsi="Arial" w:cs="Arial"/>
          <w:color w:val="1F546B" w:themeColor="text2"/>
          <w:sz w:val="52"/>
          <w:szCs w:val="52"/>
        </w:rPr>
      </w:pPr>
      <w:bookmarkStart w:id="4" w:name="_Toc487637424"/>
      <w:r w:rsidRPr="7B7C828E">
        <w:rPr>
          <w:rFonts w:ascii="Arial" w:eastAsia="Arial" w:hAnsi="Arial" w:cs="Arial"/>
          <w:color w:val="1F546B" w:themeColor="text2"/>
          <w:kern w:val="32"/>
          <w:sz w:val="52"/>
          <w:szCs w:val="52"/>
        </w:rPr>
        <w:t>Executive summary</w:t>
      </w:r>
      <w:bookmarkEnd w:id="4"/>
    </w:p>
    <w:p w14:paraId="4C13ADEA" w14:textId="77777777" w:rsidR="0019270A" w:rsidRDefault="004F5344" w:rsidP="0054029E">
      <w:pPr>
        <w:pStyle w:val="ListParagraph"/>
        <w:numPr>
          <w:ilvl w:val="0"/>
          <w:numId w:val="40"/>
        </w:numPr>
        <w:ind w:left="360"/>
      </w:pPr>
      <w:r>
        <w:t xml:space="preserve">The Gambling Act 2003 </w:t>
      </w:r>
      <w:r w:rsidR="00CA6C62">
        <w:t xml:space="preserve">(the Act) </w:t>
      </w:r>
      <w:r>
        <w:t>allows for the renewal of existing casino venue li</w:t>
      </w:r>
      <w:r w:rsidR="00CA6C62">
        <w:t>cences, issued under the Casino</w:t>
      </w:r>
      <w:r>
        <w:t xml:space="preserve"> Control Act 1990 (repealed). The first</w:t>
      </w:r>
      <w:r w:rsidR="00CA6C62">
        <w:t xml:space="preserve"> application for a</w:t>
      </w:r>
      <w:r>
        <w:t xml:space="preserve"> casino venue licence renewal under the </w:t>
      </w:r>
      <w:r w:rsidR="00CA6C62">
        <w:t>Act</w:t>
      </w:r>
      <w:r>
        <w:t xml:space="preserve"> </w:t>
      </w:r>
      <w:r w:rsidR="00CA6C62">
        <w:t>may be made</w:t>
      </w:r>
      <w:r>
        <w:t xml:space="preserve"> from 4 November 2017. The Act enables regulations to be set charging fees for the Gambling Commission’s costs of undertaking the application process. </w:t>
      </w:r>
    </w:p>
    <w:p w14:paraId="1C9CD2A9" w14:textId="4FEB5CDA" w:rsidR="0019270A" w:rsidRDefault="006060C7" w:rsidP="0054029E">
      <w:pPr>
        <w:pStyle w:val="ListParagraph"/>
        <w:numPr>
          <w:ilvl w:val="0"/>
          <w:numId w:val="40"/>
        </w:numPr>
        <w:ind w:left="360"/>
      </w:pPr>
      <w:r>
        <w:t>T</w:t>
      </w:r>
      <w:r w:rsidR="00C739D3">
        <w:t xml:space="preserve">he Gambling (Fees) Regulations 2015 do not contain a fee for the renewal of casino venue licences. </w:t>
      </w:r>
    </w:p>
    <w:p w14:paraId="1EC44D7D" w14:textId="77777777" w:rsidR="0019270A" w:rsidRDefault="0019270A" w:rsidP="0054029E">
      <w:pPr>
        <w:pStyle w:val="ListParagraph"/>
        <w:numPr>
          <w:ilvl w:val="0"/>
          <w:numId w:val="40"/>
        </w:numPr>
        <w:ind w:left="360"/>
      </w:pPr>
      <w:r>
        <w:t>This Re</w:t>
      </w:r>
      <w:r w:rsidR="00524D67">
        <w:t>gulatory Impact Statement (RIS) sets out the details of the assessment by the Department of Internal Affairs (the Department) of options for making regulations to set the casino venue licence renewal fee</w:t>
      </w:r>
      <w:r w:rsidR="00AD7EB0">
        <w:t xml:space="preserve"> (renewal fee)</w:t>
      </w:r>
      <w:r w:rsidR="00524D67">
        <w:t xml:space="preserve">. </w:t>
      </w:r>
    </w:p>
    <w:p w14:paraId="082AC3BF" w14:textId="04E3E99F" w:rsidR="00356E0A" w:rsidRDefault="00356E0A" w:rsidP="0054029E">
      <w:pPr>
        <w:pStyle w:val="ListParagraph"/>
        <w:numPr>
          <w:ilvl w:val="0"/>
          <w:numId w:val="40"/>
        </w:numPr>
        <w:ind w:left="360"/>
      </w:pPr>
      <w:r>
        <w:t>The Department has undertaken its assessment with reference to the objectives of the renewal fee. These are to:</w:t>
      </w:r>
    </w:p>
    <w:p w14:paraId="4F8B3FCB" w14:textId="77777777" w:rsidR="00356E0A" w:rsidRDefault="00356E0A" w:rsidP="005B7016">
      <w:pPr>
        <w:pStyle w:val="ListParagraph"/>
        <w:numPr>
          <w:ilvl w:val="1"/>
          <w:numId w:val="41"/>
        </w:numPr>
        <w:ind w:left="1276" w:hanging="567"/>
      </w:pPr>
      <w:r w:rsidRPr="00722062">
        <w:t xml:space="preserve">fully meet the Commission’s reasonable and necessary costs in the processing of casino venue licence renewal applications; </w:t>
      </w:r>
    </w:p>
    <w:p w14:paraId="37019810" w14:textId="77777777" w:rsidR="00356E0A" w:rsidRDefault="00356E0A" w:rsidP="005B7016">
      <w:pPr>
        <w:pStyle w:val="ListParagraph"/>
        <w:numPr>
          <w:ilvl w:val="1"/>
          <w:numId w:val="41"/>
        </w:numPr>
        <w:ind w:left="1276" w:hanging="567"/>
      </w:pPr>
      <w:r w:rsidRPr="00722062">
        <w:t>ensure that costs are accurately and transparently accounted for in the setting of the renewal fee; and</w:t>
      </w:r>
    </w:p>
    <w:p w14:paraId="05C4FD1E" w14:textId="6AF66AFD" w:rsidR="00356E0A" w:rsidRDefault="00356E0A" w:rsidP="005B7016">
      <w:pPr>
        <w:pStyle w:val="ListParagraph"/>
        <w:numPr>
          <w:ilvl w:val="1"/>
          <w:numId w:val="41"/>
        </w:numPr>
        <w:ind w:left="1276" w:hanging="567"/>
      </w:pPr>
      <w:r w:rsidRPr="00722062">
        <w:t>ensure that the full cost is paid by the applicant and does not fall on the taxpayer.</w:t>
      </w:r>
    </w:p>
    <w:p w14:paraId="65B48165" w14:textId="46371F40" w:rsidR="00643B96" w:rsidRDefault="007925C8" w:rsidP="0054029E">
      <w:pPr>
        <w:pStyle w:val="ListParagraph"/>
        <w:numPr>
          <w:ilvl w:val="0"/>
          <w:numId w:val="40"/>
        </w:numPr>
        <w:ind w:left="360"/>
      </w:pPr>
      <w:r>
        <w:t>Based on the analysis in this document we recommend that the renewal fee is set as follows:</w:t>
      </w:r>
    </w:p>
    <w:p w14:paraId="41750F57" w14:textId="2B426B91" w:rsidR="00643B96" w:rsidRDefault="007925C8" w:rsidP="005B7016">
      <w:pPr>
        <w:pStyle w:val="ListParagraph"/>
        <w:numPr>
          <w:ilvl w:val="1"/>
          <w:numId w:val="59"/>
        </w:numPr>
        <w:ind w:left="1276" w:hanging="567"/>
      </w:pPr>
      <w:r>
        <w:t>An initial fixed fee is $151,000</w:t>
      </w:r>
      <w:r w:rsidR="000802AD">
        <w:rPr>
          <w:rStyle w:val="FootnoteReference"/>
        </w:rPr>
        <w:footnoteReference w:id="1"/>
      </w:r>
      <w:r>
        <w:t xml:space="preserve"> that is set in regulations;</w:t>
      </w:r>
      <w:r w:rsidR="00643B96">
        <w:t xml:space="preserve"> </w:t>
      </w:r>
    </w:p>
    <w:p w14:paraId="7EB602A2" w14:textId="42DA43CA" w:rsidR="007925C8" w:rsidRDefault="007925C8" w:rsidP="005B7016">
      <w:pPr>
        <w:pStyle w:val="ListParagraph"/>
        <w:numPr>
          <w:ilvl w:val="1"/>
          <w:numId w:val="59"/>
        </w:numPr>
        <w:ind w:left="1276" w:hanging="567"/>
      </w:pPr>
      <w:r>
        <w:t>The provision for an adjustment to the fee</w:t>
      </w:r>
      <w:r w:rsidRPr="00A61754">
        <w:t>, if necessary, upon completion of the application process. The adjustment will allow for either:</w:t>
      </w:r>
    </w:p>
    <w:p w14:paraId="65AADFC5" w14:textId="77777777" w:rsidR="0054029E" w:rsidRDefault="007925C8" w:rsidP="00DC7C3D">
      <w:pPr>
        <w:pStyle w:val="ListParagraph"/>
        <w:numPr>
          <w:ilvl w:val="1"/>
          <w:numId w:val="36"/>
        </w:numPr>
        <w:spacing w:before="56" w:after="32"/>
        <w:ind w:left="1843"/>
      </w:pPr>
      <w:r>
        <w:t xml:space="preserve">repayment of excess funds to the applicant where the fixed fee paid exceeds the actual costs incurred; or </w:t>
      </w:r>
    </w:p>
    <w:p w14:paraId="4E6B17DE" w14:textId="487F8D31" w:rsidR="007925C8" w:rsidRDefault="007925C8" w:rsidP="00DC7C3D">
      <w:pPr>
        <w:pStyle w:val="ListParagraph"/>
        <w:numPr>
          <w:ilvl w:val="1"/>
          <w:numId w:val="36"/>
        </w:numPr>
        <w:spacing w:before="56" w:after="32"/>
        <w:ind w:left="1843"/>
      </w:pPr>
      <w:r>
        <w:t>an additional payment by the applicant, capped at $49,000, if the actual costs incurred are greater than the fee already paid.</w:t>
      </w:r>
    </w:p>
    <w:p w14:paraId="2BE3D1D3" w14:textId="2A82A3D2" w:rsidR="007925C8" w:rsidRDefault="007925C8" w:rsidP="005B7016">
      <w:pPr>
        <w:pStyle w:val="ListParagraph"/>
        <w:numPr>
          <w:ilvl w:val="1"/>
          <w:numId w:val="59"/>
        </w:numPr>
        <w:ind w:left="1276" w:hanging="567"/>
      </w:pPr>
      <w:r>
        <w:t xml:space="preserve">A cap of $200,000 for the total fee. </w:t>
      </w:r>
    </w:p>
    <w:p w14:paraId="430FFDEB" w14:textId="27EB4A1D" w:rsidR="007925C8" w:rsidRDefault="007925C8" w:rsidP="007925C8"/>
    <w:p w14:paraId="66E981CA" w14:textId="77777777" w:rsidR="00AA6E6E" w:rsidRDefault="00AA6E6E" w:rsidP="54DD0197">
      <w:pPr>
        <w:pStyle w:val="Heading1"/>
        <w:spacing w:before="360"/>
        <w:contextualSpacing/>
        <w:rPr>
          <w:rFonts w:ascii="Arial" w:eastAsia="Arial" w:hAnsi="Arial" w:cs="Arial"/>
          <w:color w:val="1F546B" w:themeColor="text2"/>
          <w:kern w:val="32"/>
          <w:sz w:val="52"/>
          <w:szCs w:val="52"/>
        </w:rPr>
      </w:pPr>
      <w:r>
        <w:rPr>
          <w:rFonts w:ascii="Arial" w:eastAsia="Arial" w:hAnsi="Arial" w:cs="Arial"/>
          <w:color w:val="1F546B" w:themeColor="text2"/>
          <w:kern w:val="32"/>
          <w:sz w:val="52"/>
          <w:szCs w:val="52"/>
        </w:rPr>
        <w:br w:type="page"/>
      </w:r>
    </w:p>
    <w:p w14:paraId="15C82D94" w14:textId="60280ABD" w:rsidR="00264E9B" w:rsidRPr="00C45D56" w:rsidRDefault="00264E9B" w:rsidP="00C45D56">
      <w:pPr>
        <w:pStyle w:val="Heading2"/>
        <w:spacing w:before="360"/>
        <w:contextualSpacing/>
        <w:rPr>
          <w:rFonts w:ascii="Arial" w:eastAsia="Arial" w:hAnsi="Arial" w:cs="Arial"/>
          <w:i w:val="0"/>
          <w:color w:val="1F546B" w:themeColor="text2"/>
          <w:sz w:val="36"/>
          <w:szCs w:val="36"/>
        </w:rPr>
      </w:pPr>
      <w:bookmarkStart w:id="5" w:name="_Toc487637425"/>
      <w:r w:rsidRPr="00C45D56">
        <w:rPr>
          <w:rFonts w:ascii="Arial" w:eastAsia="Arial" w:hAnsi="Arial" w:cs="Arial"/>
          <w:i w:val="0"/>
          <w:color w:val="1F546B" w:themeColor="text2"/>
          <w:sz w:val="36"/>
          <w:szCs w:val="36"/>
        </w:rPr>
        <w:t>Status quo</w:t>
      </w:r>
      <w:r w:rsidR="00677CF5" w:rsidRPr="00C45D56">
        <w:rPr>
          <w:rFonts w:ascii="Arial" w:eastAsia="Arial" w:hAnsi="Arial" w:cs="Arial"/>
          <w:i w:val="0"/>
          <w:color w:val="1F546B" w:themeColor="text2"/>
          <w:sz w:val="36"/>
          <w:szCs w:val="36"/>
        </w:rPr>
        <w:t xml:space="preserve"> </w:t>
      </w:r>
      <w:r w:rsidR="00D80E76">
        <w:rPr>
          <w:rFonts w:ascii="Arial" w:eastAsia="Arial" w:hAnsi="Arial" w:cs="Arial"/>
          <w:i w:val="0"/>
          <w:color w:val="1F546B" w:themeColor="text2"/>
          <w:sz w:val="36"/>
          <w:szCs w:val="36"/>
        </w:rPr>
        <w:t>and problem definition</w:t>
      </w:r>
      <w:bookmarkEnd w:id="5"/>
    </w:p>
    <w:p w14:paraId="1F66DD49" w14:textId="77777777" w:rsidR="00C45D56" w:rsidRDefault="00C45D56" w:rsidP="7B7C828E">
      <w:pPr>
        <w:pStyle w:val="Heading2"/>
        <w:spacing w:before="360"/>
        <w:contextualSpacing/>
        <w:rPr>
          <w:rFonts w:asciiTheme="minorHAnsi" w:eastAsia="Arial" w:hAnsiTheme="minorHAnsi" w:cs="Arial"/>
          <w:i w:val="0"/>
          <w:sz w:val="28"/>
          <w:szCs w:val="36"/>
        </w:rPr>
      </w:pPr>
    </w:p>
    <w:p w14:paraId="48FF60C8" w14:textId="7B30CF05" w:rsidR="00931013" w:rsidRPr="002B3D5D" w:rsidRDefault="002B3D5D" w:rsidP="7B7C828E">
      <w:pPr>
        <w:pStyle w:val="Heading2"/>
        <w:spacing w:before="360"/>
        <w:contextualSpacing/>
        <w:rPr>
          <w:rFonts w:asciiTheme="minorHAnsi" w:eastAsia="Arial" w:hAnsiTheme="minorHAnsi" w:cs="Arial"/>
          <w:sz w:val="28"/>
          <w:szCs w:val="36"/>
        </w:rPr>
      </w:pPr>
      <w:bookmarkStart w:id="6" w:name="_Toc487637426"/>
      <w:r>
        <w:rPr>
          <w:rFonts w:asciiTheme="minorHAnsi" w:eastAsia="Arial" w:hAnsiTheme="minorHAnsi" w:cs="Arial"/>
          <w:sz w:val="28"/>
          <w:szCs w:val="36"/>
        </w:rPr>
        <w:t>Background</w:t>
      </w:r>
      <w:bookmarkEnd w:id="6"/>
      <w:r>
        <w:rPr>
          <w:rFonts w:asciiTheme="minorHAnsi" w:eastAsia="Arial" w:hAnsiTheme="minorHAnsi" w:cs="Arial"/>
          <w:sz w:val="28"/>
          <w:szCs w:val="36"/>
        </w:rPr>
        <w:t xml:space="preserve"> </w:t>
      </w:r>
    </w:p>
    <w:p w14:paraId="40E94709" w14:textId="724DBCB5" w:rsidR="00931013" w:rsidRPr="00C60544" w:rsidRDefault="00C60544" w:rsidP="00C60544">
      <w:pPr>
        <w:pStyle w:val="ListParagraph"/>
        <w:numPr>
          <w:ilvl w:val="0"/>
          <w:numId w:val="29"/>
        </w:numPr>
        <w:rPr>
          <w:rFonts w:asciiTheme="minorHAnsi" w:hAnsiTheme="minorHAnsi"/>
        </w:rPr>
      </w:pPr>
      <w:r>
        <w:t xml:space="preserve">Gambling regulatory functions undertaken by the Department of Internal Affairs (the Department) and the Gambling Commission (the Commission) are funded through fees paid by gambling operators. </w:t>
      </w:r>
      <w:r w:rsidR="00931013" w:rsidRPr="00DF78D3">
        <w:t>The Commission is responsible for considering all licensing decisions related to casinos and operates independently of the Department in performing its functions under the</w:t>
      </w:r>
      <w:r w:rsidR="00931013">
        <w:t xml:space="preserve"> Gambling</w:t>
      </w:r>
      <w:r w:rsidR="00931013" w:rsidRPr="00DF78D3">
        <w:t xml:space="preserve"> Act</w:t>
      </w:r>
      <w:r w:rsidR="00931013">
        <w:t xml:space="preserve"> 2003 (the Act)</w:t>
      </w:r>
      <w:r w:rsidR="00931013" w:rsidRPr="00DF78D3">
        <w:t>.</w:t>
      </w:r>
    </w:p>
    <w:p w14:paraId="5056F0B2" w14:textId="22F5B694" w:rsidR="00931013" w:rsidRDefault="00931013" w:rsidP="00EE679E">
      <w:pPr>
        <w:pStyle w:val="ListParagraph"/>
        <w:numPr>
          <w:ilvl w:val="0"/>
          <w:numId w:val="29"/>
        </w:numPr>
      </w:pPr>
      <w:r w:rsidRPr="00DF78D3">
        <w:t xml:space="preserve">Under the </w:t>
      </w:r>
      <w:r>
        <w:t>Act</w:t>
      </w:r>
      <w:r w:rsidRPr="00DF78D3">
        <w:t>, no new casino venue licences can be issued</w:t>
      </w:r>
      <w:r w:rsidR="00EA77AF">
        <w:t>. H</w:t>
      </w:r>
      <w:r w:rsidRPr="00DF78D3">
        <w:t>owever</w:t>
      </w:r>
      <w:r w:rsidR="00EA77AF">
        <w:t>,</w:t>
      </w:r>
      <w:r w:rsidRPr="00DF78D3">
        <w:t xml:space="preserve"> existing licence holders retain their licences granted under the now repealed Casino Control Act 1990. A casino venue licence expires 25 years after the date the casino commenced operating and, at the expiry of this period, may be renewed under the Act for a further 15 years.</w:t>
      </w:r>
      <w:r>
        <w:rPr>
          <w:rStyle w:val="FootnoteReference"/>
        </w:rPr>
        <w:footnoteReference w:id="2"/>
      </w:r>
    </w:p>
    <w:p w14:paraId="325CC0FF" w14:textId="4EC8BA04" w:rsidR="00931013" w:rsidRDefault="00931013" w:rsidP="00EE679E">
      <w:pPr>
        <w:pStyle w:val="ListParagraph"/>
        <w:numPr>
          <w:ilvl w:val="0"/>
          <w:numId w:val="29"/>
        </w:numPr>
      </w:pPr>
      <w:r>
        <w:t>The Act sets out the requirements for the casino venue licence renewal application process. This requires:</w:t>
      </w:r>
    </w:p>
    <w:p w14:paraId="2F8365C2" w14:textId="77777777" w:rsidR="00DC7C3D" w:rsidRDefault="00931013" w:rsidP="0057043C">
      <w:pPr>
        <w:pStyle w:val="ListParagraph"/>
        <w:numPr>
          <w:ilvl w:val="1"/>
          <w:numId w:val="44"/>
        </w:numPr>
        <w:ind w:hanging="578"/>
      </w:pPr>
      <w:r>
        <w:t xml:space="preserve">a </w:t>
      </w:r>
      <w:r w:rsidR="00602B3F">
        <w:t>c</w:t>
      </w:r>
      <w:r>
        <w:t xml:space="preserve">asino </w:t>
      </w:r>
      <w:r w:rsidR="00602B3F">
        <w:t>i</w:t>
      </w:r>
      <w:r>
        <w:t xml:space="preserve">mpact </w:t>
      </w:r>
      <w:r w:rsidR="00602B3F">
        <w:t>r</w:t>
      </w:r>
      <w:r>
        <w:t>eport to be tabled, prepared by an approved person, independent of the applicant;</w:t>
      </w:r>
      <w:r>
        <w:rPr>
          <w:rStyle w:val="FootnoteReference"/>
        </w:rPr>
        <w:footnoteReference w:id="3"/>
      </w:r>
    </w:p>
    <w:p w14:paraId="44E3623B" w14:textId="6255497B" w:rsidR="00DC7C3D" w:rsidRDefault="00602B3F" w:rsidP="0057043C">
      <w:pPr>
        <w:pStyle w:val="ListParagraph"/>
        <w:numPr>
          <w:ilvl w:val="1"/>
          <w:numId w:val="44"/>
        </w:numPr>
        <w:ind w:hanging="578"/>
      </w:pPr>
      <w:r>
        <w:t xml:space="preserve">that the casino impact report </w:t>
      </w:r>
      <w:r w:rsidR="00931013">
        <w:t>show</w:t>
      </w:r>
      <w:r>
        <w:t>s</w:t>
      </w:r>
      <w:r w:rsidR="00931013">
        <w:t xml:space="preserve"> </w:t>
      </w:r>
      <w:r>
        <w:t>the expected social and economic effects locally, regionally, and on New Zealand generally of the continued operation of the casino;</w:t>
      </w:r>
      <w:r w:rsidR="00D44087">
        <w:rPr>
          <w:rStyle w:val="FootnoteReference"/>
        </w:rPr>
        <w:footnoteReference w:id="4"/>
      </w:r>
      <w:r w:rsidR="00931013">
        <w:t xml:space="preserve"> </w:t>
      </w:r>
      <w:r w:rsidR="00E05FC8">
        <w:t>and</w:t>
      </w:r>
    </w:p>
    <w:p w14:paraId="3DAA448A" w14:textId="683F0A33" w:rsidR="00602B3F" w:rsidRDefault="00602B3F" w:rsidP="0057043C">
      <w:pPr>
        <w:pStyle w:val="ListParagraph"/>
        <w:numPr>
          <w:ilvl w:val="1"/>
          <w:numId w:val="44"/>
        </w:numPr>
        <w:ind w:hanging="578"/>
      </w:pPr>
      <w:r>
        <w:t>community participation</w:t>
      </w:r>
      <w:r w:rsidR="00E05FC8">
        <w:t xml:space="preserve"> in the application process through submissions, public hearings and public realease of the casino impact report.</w:t>
      </w:r>
      <w:r w:rsidR="00D44087">
        <w:rPr>
          <w:rStyle w:val="FootnoteReference"/>
        </w:rPr>
        <w:footnoteReference w:id="5"/>
      </w:r>
    </w:p>
    <w:p w14:paraId="5408FCAC" w14:textId="66C864CD" w:rsidR="00931013" w:rsidRPr="00DF78D3" w:rsidRDefault="00931013" w:rsidP="00EE679E">
      <w:pPr>
        <w:pStyle w:val="ListParagraph"/>
        <w:numPr>
          <w:ilvl w:val="0"/>
          <w:numId w:val="29"/>
        </w:numPr>
      </w:pPr>
      <w:r>
        <w:t>These provisions ensure that communities have a say in the licensing of casinos in their area and that social and economi</w:t>
      </w:r>
      <w:r w:rsidR="00893770">
        <w:t>c impacts are considered</w:t>
      </w:r>
      <w:r>
        <w:t>.</w:t>
      </w:r>
    </w:p>
    <w:p w14:paraId="77D23D54" w14:textId="0EE77028" w:rsidR="00931013" w:rsidRPr="00DF78D3" w:rsidRDefault="00931013" w:rsidP="00EE679E">
      <w:pPr>
        <w:pStyle w:val="ListParagraph"/>
        <w:numPr>
          <w:ilvl w:val="0"/>
          <w:numId w:val="29"/>
        </w:numPr>
      </w:pPr>
      <w:r w:rsidRPr="00DF78D3">
        <w:t>There are six casinos in New Zealand that curr</w:t>
      </w:r>
      <w:r w:rsidR="00A15DFC">
        <w:t>ently hold venue licences, four</w:t>
      </w:r>
      <w:r w:rsidRPr="00DF78D3">
        <w:t xml:space="preserve"> of which are operated by SKYCIT</w:t>
      </w:r>
      <w:r w:rsidR="00D44087">
        <w:t xml:space="preserve">Y Entertainment Group Limited. </w:t>
      </w:r>
      <w:r w:rsidRPr="00DF78D3">
        <w:t>The venue licence expiry dates for each casino are:</w:t>
      </w:r>
    </w:p>
    <w:p w14:paraId="5787C077" w14:textId="52A48D7E" w:rsidR="00931013" w:rsidRDefault="00931013" w:rsidP="009C72B0">
      <w:pPr>
        <w:pStyle w:val="ListParagraph"/>
        <w:numPr>
          <w:ilvl w:val="0"/>
          <w:numId w:val="0"/>
        </w:numPr>
        <w:ind w:left="1440"/>
        <w:rPr>
          <w:rFonts w:asciiTheme="minorHAnsi" w:hAnsiTheme="minorHAnsi"/>
        </w:rPr>
      </w:pPr>
      <w:r>
        <w:rPr>
          <w:rFonts w:asciiTheme="minorHAnsi" w:hAnsiTheme="minorHAnsi"/>
        </w:rPr>
        <w:t>Christchurch Casino</w:t>
      </w:r>
      <w:r>
        <w:rPr>
          <w:rFonts w:asciiTheme="minorHAnsi" w:hAnsiTheme="minorHAnsi"/>
        </w:rPr>
        <w:tab/>
      </w:r>
      <w:r>
        <w:rPr>
          <w:rFonts w:asciiTheme="minorHAnsi" w:hAnsiTheme="minorHAnsi"/>
        </w:rPr>
        <w:tab/>
      </w:r>
      <w:r>
        <w:rPr>
          <w:rFonts w:asciiTheme="minorHAnsi" w:hAnsiTheme="minorHAnsi"/>
        </w:rPr>
        <w:tab/>
      </w:r>
      <w:r w:rsidR="00A15DFC">
        <w:rPr>
          <w:rFonts w:asciiTheme="minorHAnsi" w:hAnsiTheme="minorHAnsi"/>
        </w:rPr>
        <w:tab/>
      </w:r>
      <w:r>
        <w:rPr>
          <w:rFonts w:asciiTheme="minorHAnsi" w:hAnsiTheme="minorHAnsi"/>
        </w:rPr>
        <w:t>November 2019</w:t>
      </w:r>
    </w:p>
    <w:p w14:paraId="0DEF864D" w14:textId="531F384E" w:rsidR="00931013" w:rsidRDefault="00931013" w:rsidP="009C72B0">
      <w:pPr>
        <w:pStyle w:val="ListParagraph"/>
        <w:numPr>
          <w:ilvl w:val="0"/>
          <w:numId w:val="0"/>
        </w:numPr>
        <w:ind w:left="1440"/>
        <w:rPr>
          <w:rFonts w:asciiTheme="minorHAnsi" w:hAnsiTheme="minorHAnsi"/>
        </w:rPr>
      </w:pPr>
      <w:r>
        <w:rPr>
          <w:rFonts w:asciiTheme="minorHAnsi" w:hAnsiTheme="minorHAnsi"/>
        </w:rPr>
        <w:t>Dunedin Casino</w:t>
      </w:r>
      <w:r>
        <w:rPr>
          <w:rFonts w:asciiTheme="minorHAnsi" w:hAnsiTheme="minorHAnsi"/>
        </w:rPr>
        <w:tab/>
      </w:r>
      <w:r>
        <w:rPr>
          <w:rFonts w:asciiTheme="minorHAnsi" w:hAnsiTheme="minorHAnsi"/>
        </w:rPr>
        <w:tab/>
      </w:r>
      <w:r>
        <w:rPr>
          <w:rFonts w:asciiTheme="minorHAnsi" w:hAnsiTheme="minorHAnsi"/>
        </w:rPr>
        <w:tab/>
      </w:r>
      <w:r w:rsidR="00A15DFC">
        <w:rPr>
          <w:rFonts w:asciiTheme="minorHAnsi" w:hAnsiTheme="minorHAnsi"/>
        </w:rPr>
        <w:tab/>
      </w:r>
      <w:r>
        <w:rPr>
          <w:rFonts w:asciiTheme="minorHAnsi" w:hAnsiTheme="minorHAnsi"/>
        </w:rPr>
        <w:t>October 2024</w:t>
      </w:r>
    </w:p>
    <w:p w14:paraId="38FFEF1F" w14:textId="55239F56" w:rsidR="00931013" w:rsidRDefault="00A15DFC" w:rsidP="009C72B0">
      <w:pPr>
        <w:pStyle w:val="ListParagraph"/>
        <w:numPr>
          <w:ilvl w:val="0"/>
          <w:numId w:val="0"/>
        </w:numPr>
        <w:ind w:left="1440"/>
        <w:rPr>
          <w:rFonts w:asciiTheme="minorHAnsi" w:hAnsiTheme="minorHAnsi"/>
        </w:rPr>
      </w:pPr>
      <w:r>
        <w:rPr>
          <w:rFonts w:asciiTheme="minorHAnsi" w:hAnsiTheme="minorHAnsi"/>
        </w:rPr>
        <w:t xml:space="preserve">SKYCITY </w:t>
      </w:r>
      <w:r w:rsidR="00931013">
        <w:rPr>
          <w:rFonts w:asciiTheme="minorHAnsi" w:hAnsiTheme="minorHAnsi"/>
        </w:rPr>
        <w:t>Wharf Casino Queenstown</w:t>
      </w:r>
      <w:r w:rsidR="00931013">
        <w:rPr>
          <w:rFonts w:asciiTheme="minorHAnsi" w:hAnsiTheme="minorHAnsi"/>
        </w:rPr>
        <w:tab/>
        <w:t>September 2024</w:t>
      </w:r>
    </w:p>
    <w:p w14:paraId="4D85461D" w14:textId="3C5FF605" w:rsidR="00931013" w:rsidRDefault="00931013" w:rsidP="009C72B0">
      <w:pPr>
        <w:pStyle w:val="ListParagraph"/>
        <w:numPr>
          <w:ilvl w:val="0"/>
          <w:numId w:val="0"/>
        </w:numPr>
        <w:ind w:left="1440"/>
        <w:rPr>
          <w:rFonts w:asciiTheme="minorHAnsi" w:hAnsiTheme="minorHAnsi"/>
        </w:rPr>
      </w:pPr>
      <w:r>
        <w:rPr>
          <w:rFonts w:asciiTheme="minorHAnsi" w:hAnsiTheme="minorHAnsi"/>
        </w:rPr>
        <w:t>SKYCITY Queenstown</w:t>
      </w:r>
      <w:r>
        <w:rPr>
          <w:rFonts w:asciiTheme="minorHAnsi" w:hAnsiTheme="minorHAnsi"/>
        </w:rPr>
        <w:tab/>
      </w:r>
      <w:r>
        <w:rPr>
          <w:rFonts w:asciiTheme="minorHAnsi" w:hAnsiTheme="minorHAnsi"/>
        </w:rPr>
        <w:tab/>
      </w:r>
      <w:r w:rsidR="00A15DFC">
        <w:rPr>
          <w:rFonts w:asciiTheme="minorHAnsi" w:hAnsiTheme="minorHAnsi"/>
        </w:rPr>
        <w:tab/>
      </w:r>
      <w:r>
        <w:rPr>
          <w:rFonts w:asciiTheme="minorHAnsi" w:hAnsiTheme="minorHAnsi"/>
        </w:rPr>
        <w:t>December 2025</w:t>
      </w:r>
    </w:p>
    <w:p w14:paraId="0CDF95D0" w14:textId="0820A03C" w:rsidR="00931013" w:rsidRDefault="00931013" w:rsidP="009C72B0">
      <w:pPr>
        <w:pStyle w:val="ListParagraph"/>
        <w:numPr>
          <w:ilvl w:val="0"/>
          <w:numId w:val="0"/>
        </w:numPr>
        <w:ind w:left="1440"/>
        <w:rPr>
          <w:rFonts w:asciiTheme="minorHAnsi" w:hAnsiTheme="minorHAnsi"/>
        </w:rPr>
      </w:pPr>
      <w:r>
        <w:rPr>
          <w:rFonts w:asciiTheme="minorHAnsi" w:hAnsiTheme="minorHAnsi"/>
        </w:rPr>
        <w:t>SKYCITY Hamilton</w:t>
      </w:r>
      <w:r>
        <w:rPr>
          <w:rFonts w:asciiTheme="minorHAnsi" w:hAnsiTheme="minorHAnsi"/>
        </w:rPr>
        <w:tab/>
      </w:r>
      <w:r>
        <w:rPr>
          <w:rFonts w:asciiTheme="minorHAnsi" w:hAnsiTheme="minorHAnsi"/>
        </w:rPr>
        <w:tab/>
      </w:r>
      <w:r>
        <w:rPr>
          <w:rFonts w:asciiTheme="minorHAnsi" w:hAnsiTheme="minorHAnsi"/>
        </w:rPr>
        <w:tab/>
      </w:r>
      <w:r w:rsidR="00A15DFC">
        <w:rPr>
          <w:rFonts w:asciiTheme="minorHAnsi" w:hAnsiTheme="minorHAnsi"/>
        </w:rPr>
        <w:tab/>
      </w:r>
      <w:r>
        <w:rPr>
          <w:rFonts w:asciiTheme="minorHAnsi" w:hAnsiTheme="minorHAnsi"/>
        </w:rPr>
        <w:t>September 2027</w:t>
      </w:r>
    </w:p>
    <w:p w14:paraId="7151A2AE" w14:textId="1520FD3A" w:rsidR="000B05E1" w:rsidRDefault="00931013" w:rsidP="009C72B0">
      <w:pPr>
        <w:pStyle w:val="ListParagraph"/>
        <w:numPr>
          <w:ilvl w:val="0"/>
          <w:numId w:val="0"/>
        </w:numPr>
        <w:ind w:left="1440"/>
        <w:rPr>
          <w:rFonts w:asciiTheme="minorHAnsi" w:hAnsiTheme="minorHAnsi"/>
        </w:rPr>
      </w:pPr>
      <w:r>
        <w:rPr>
          <w:rFonts w:asciiTheme="minorHAnsi" w:hAnsiTheme="minorHAnsi"/>
        </w:rPr>
        <w:t>SKYCITY Auckland</w:t>
      </w:r>
      <w:r>
        <w:rPr>
          <w:rFonts w:asciiTheme="minorHAnsi" w:hAnsiTheme="minorHAnsi"/>
        </w:rPr>
        <w:tab/>
      </w:r>
      <w:r>
        <w:rPr>
          <w:rFonts w:asciiTheme="minorHAnsi" w:hAnsiTheme="minorHAnsi"/>
        </w:rPr>
        <w:tab/>
      </w:r>
      <w:r>
        <w:rPr>
          <w:rFonts w:asciiTheme="minorHAnsi" w:hAnsiTheme="minorHAnsi"/>
        </w:rPr>
        <w:tab/>
      </w:r>
      <w:r w:rsidR="00A15DFC">
        <w:rPr>
          <w:rFonts w:asciiTheme="minorHAnsi" w:hAnsiTheme="minorHAnsi"/>
        </w:rPr>
        <w:tab/>
      </w:r>
      <w:r>
        <w:rPr>
          <w:rFonts w:asciiTheme="minorHAnsi" w:hAnsiTheme="minorHAnsi"/>
        </w:rPr>
        <w:t>June 2048</w:t>
      </w:r>
    </w:p>
    <w:p w14:paraId="5BF5B77E" w14:textId="77777777" w:rsidR="00C60544" w:rsidRPr="00AE4ADA" w:rsidRDefault="00C60544" w:rsidP="00AE4ADA">
      <w:pPr>
        <w:rPr>
          <w:rFonts w:asciiTheme="minorHAnsi" w:hAnsiTheme="minorHAnsi"/>
        </w:rPr>
      </w:pPr>
    </w:p>
    <w:p w14:paraId="2A0E5564" w14:textId="2CCCA2AB" w:rsidR="00D80E76" w:rsidRPr="00542040" w:rsidRDefault="00D80E76" w:rsidP="00542040">
      <w:pPr>
        <w:pStyle w:val="Heading2"/>
        <w:spacing w:before="360"/>
        <w:contextualSpacing/>
        <w:rPr>
          <w:rFonts w:asciiTheme="minorHAnsi" w:eastAsia="Arial" w:hAnsiTheme="minorHAnsi" w:cs="Arial"/>
          <w:sz w:val="28"/>
          <w:szCs w:val="36"/>
        </w:rPr>
      </w:pPr>
      <w:bookmarkStart w:id="7" w:name="_Toc487637427"/>
      <w:r w:rsidRPr="00542040">
        <w:rPr>
          <w:rFonts w:asciiTheme="minorHAnsi" w:eastAsia="Arial" w:hAnsiTheme="minorHAnsi" w:cs="Arial"/>
          <w:sz w:val="28"/>
          <w:szCs w:val="36"/>
        </w:rPr>
        <w:t>Problem definition</w:t>
      </w:r>
      <w:bookmarkEnd w:id="7"/>
    </w:p>
    <w:p w14:paraId="03BB15F8" w14:textId="77777777" w:rsidR="00C60544" w:rsidRDefault="00C60544" w:rsidP="00C60544">
      <w:pPr>
        <w:pStyle w:val="ListParagraph"/>
        <w:numPr>
          <w:ilvl w:val="0"/>
          <w:numId w:val="29"/>
        </w:numPr>
      </w:pPr>
      <w:r>
        <w:t xml:space="preserve">The current Gambling (Fees) Regulations 2015 set out annual casino fees and fees for venue licence applications, but not for renewal of casino venue licences. </w:t>
      </w:r>
    </w:p>
    <w:p w14:paraId="3B46816B" w14:textId="520A1E79" w:rsidR="00C60544" w:rsidRDefault="00C60544" w:rsidP="00C60544">
      <w:pPr>
        <w:pStyle w:val="ListParagraph"/>
        <w:numPr>
          <w:ilvl w:val="0"/>
          <w:numId w:val="29"/>
        </w:numPr>
      </w:pPr>
      <w:r>
        <w:t xml:space="preserve">When a casino venue licence is nearing expiry, an application for renewal can be made </w:t>
      </w:r>
      <w:r w:rsidR="00830191">
        <w:t xml:space="preserve">to the Commission </w:t>
      </w:r>
      <w:r>
        <w:t xml:space="preserve">between 12 </w:t>
      </w:r>
      <w:r w:rsidR="00830191">
        <w:t xml:space="preserve">and 24 </w:t>
      </w:r>
      <w:r>
        <w:t>months prior to the date of expiry. The first casino venue licence able to be renewed under the Act is due for expiry in November 2019.</w:t>
      </w:r>
    </w:p>
    <w:p w14:paraId="77EAFB64" w14:textId="662E21B2" w:rsidR="00C60544" w:rsidRPr="00C60544" w:rsidRDefault="00C60544" w:rsidP="00C60544">
      <w:pPr>
        <w:pStyle w:val="ListParagraph"/>
        <w:numPr>
          <w:ilvl w:val="0"/>
          <w:numId w:val="29"/>
        </w:numPr>
      </w:pPr>
      <w:r>
        <w:t xml:space="preserve">The earliest possible date for a renewal application </w:t>
      </w:r>
      <w:r w:rsidR="00830191">
        <w:t xml:space="preserve">to be made </w:t>
      </w:r>
      <w:r>
        <w:t xml:space="preserve">is </w:t>
      </w:r>
      <w:r w:rsidR="00830191">
        <w:t xml:space="preserve">4 </w:t>
      </w:r>
      <w:r>
        <w:t>November 2017</w:t>
      </w:r>
      <w:r w:rsidR="00830191">
        <w:t xml:space="preserve"> (for Christchurch Casino)</w:t>
      </w:r>
      <w:r>
        <w:t xml:space="preserve">, therefore there is a need for </w:t>
      </w:r>
      <w:r w:rsidR="00830191">
        <w:t>r</w:t>
      </w:r>
      <w:r>
        <w:t xml:space="preserve">egulations setting the renewal fee, or the method of assessing the fee, to be in place before then. </w:t>
      </w:r>
    </w:p>
    <w:p w14:paraId="3E7987F9" w14:textId="03C8DDF4" w:rsidR="00A75E7C" w:rsidRPr="002B3D5D" w:rsidRDefault="00F279A7" w:rsidP="002B3D5D">
      <w:pPr>
        <w:pStyle w:val="Heading2"/>
        <w:spacing w:before="360"/>
        <w:contextualSpacing/>
        <w:rPr>
          <w:rFonts w:asciiTheme="minorHAnsi" w:eastAsia="Arial" w:hAnsiTheme="minorHAnsi" w:cs="Arial"/>
          <w:sz w:val="28"/>
          <w:szCs w:val="36"/>
        </w:rPr>
      </w:pPr>
      <w:bookmarkStart w:id="8" w:name="_Toc487637428"/>
      <w:r>
        <w:rPr>
          <w:rFonts w:asciiTheme="minorHAnsi" w:eastAsia="Arial" w:hAnsiTheme="minorHAnsi" w:cs="Arial"/>
          <w:sz w:val="28"/>
          <w:szCs w:val="36"/>
        </w:rPr>
        <w:t>Statutory a</w:t>
      </w:r>
      <w:r w:rsidR="002B3D5D" w:rsidRPr="002B3D5D">
        <w:rPr>
          <w:rFonts w:asciiTheme="minorHAnsi" w:eastAsia="Arial" w:hAnsiTheme="minorHAnsi" w:cs="Arial"/>
          <w:sz w:val="28"/>
          <w:szCs w:val="36"/>
        </w:rPr>
        <w:t>uthority</w:t>
      </w:r>
      <w:bookmarkEnd w:id="8"/>
    </w:p>
    <w:p w14:paraId="254EB73A" w14:textId="12CF8574" w:rsidR="000B05E1" w:rsidRPr="00682381" w:rsidRDefault="00682381" w:rsidP="00682381">
      <w:pPr>
        <w:pStyle w:val="ListParagraph"/>
        <w:numPr>
          <w:ilvl w:val="0"/>
          <w:numId w:val="29"/>
        </w:numPr>
        <w:rPr>
          <w:rFonts w:asciiTheme="minorHAnsi" w:hAnsiTheme="minorHAnsi"/>
        </w:rPr>
      </w:pPr>
      <w:r>
        <w:rPr>
          <w:rFonts w:asciiTheme="minorHAnsi" w:hAnsiTheme="minorHAnsi"/>
        </w:rPr>
        <w:t xml:space="preserve">The authority for </w:t>
      </w:r>
      <w:r w:rsidR="00F279A7">
        <w:rPr>
          <w:rFonts w:asciiTheme="minorHAnsi" w:hAnsiTheme="minorHAnsi"/>
        </w:rPr>
        <w:t xml:space="preserve">the </w:t>
      </w:r>
      <w:r>
        <w:rPr>
          <w:rFonts w:asciiTheme="minorHAnsi" w:hAnsiTheme="minorHAnsi"/>
        </w:rPr>
        <w:t>m</w:t>
      </w:r>
      <w:r w:rsidR="000B05E1">
        <w:rPr>
          <w:rFonts w:asciiTheme="minorHAnsi" w:hAnsiTheme="minorHAnsi"/>
        </w:rPr>
        <w:t>aking of regulations to cover the co</w:t>
      </w:r>
      <w:r>
        <w:rPr>
          <w:rFonts w:asciiTheme="minorHAnsi" w:hAnsiTheme="minorHAnsi"/>
        </w:rPr>
        <w:t>s</w:t>
      </w:r>
      <w:r w:rsidR="000B05E1">
        <w:rPr>
          <w:rFonts w:asciiTheme="minorHAnsi" w:hAnsiTheme="minorHAnsi"/>
        </w:rPr>
        <w:t>ts of the Commission in perform</w:t>
      </w:r>
      <w:r>
        <w:rPr>
          <w:rFonts w:asciiTheme="minorHAnsi" w:hAnsiTheme="minorHAnsi"/>
        </w:rPr>
        <w:t xml:space="preserve">ing its statutory functions comes from section 370 of the Act. This provides that </w:t>
      </w:r>
      <w:r w:rsidR="000B05E1" w:rsidRPr="00682381">
        <w:rPr>
          <w:rFonts w:asciiTheme="minorHAnsi" w:hAnsiTheme="minorHAnsi"/>
        </w:rPr>
        <w:t>regulations may be made prescribing fees or charges payable to enable the recovery of the direct or indirect costs of the Department, the Commission or the Police in:</w:t>
      </w:r>
    </w:p>
    <w:p w14:paraId="31F874AD" w14:textId="47F6C5F7" w:rsidR="000B05E1" w:rsidRDefault="000327A7" w:rsidP="00EE679E">
      <w:pPr>
        <w:pStyle w:val="ListParagraph"/>
        <w:numPr>
          <w:ilvl w:val="0"/>
          <w:numId w:val="31"/>
        </w:numPr>
        <w:rPr>
          <w:rFonts w:asciiTheme="minorHAnsi" w:hAnsiTheme="minorHAnsi"/>
        </w:rPr>
      </w:pPr>
      <w:r>
        <w:rPr>
          <w:rFonts w:asciiTheme="minorHAnsi" w:hAnsiTheme="minorHAnsi"/>
        </w:rPr>
        <w:t>p</w:t>
      </w:r>
      <w:r w:rsidR="000B05E1">
        <w:rPr>
          <w:rFonts w:asciiTheme="minorHAnsi" w:hAnsiTheme="minorHAnsi"/>
        </w:rPr>
        <w:t>ublishing and informing people a</w:t>
      </w:r>
      <w:r w:rsidR="00542040">
        <w:rPr>
          <w:rFonts w:asciiTheme="minorHAnsi" w:hAnsiTheme="minorHAnsi"/>
        </w:rPr>
        <w:t>b</w:t>
      </w:r>
      <w:r w:rsidR="000B05E1">
        <w:rPr>
          <w:rFonts w:asciiTheme="minorHAnsi" w:hAnsiTheme="minorHAnsi"/>
        </w:rPr>
        <w:t>out the Act;</w:t>
      </w:r>
    </w:p>
    <w:p w14:paraId="5C07A1BD" w14:textId="60F90F90" w:rsidR="000B05E1" w:rsidRDefault="000327A7" w:rsidP="00EE679E">
      <w:pPr>
        <w:pStyle w:val="ListParagraph"/>
        <w:numPr>
          <w:ilvl w:val="0"/>
          <w:numId w:val="31"/>
        </w:numPr>
        <w:rPr>
          <w:rFonts w:asciiTheme="minorHAnsi" w:hAnsiTheme="minorHAnsi"/>
        </w:rPr>
      </w:pPr>
      <w:r>
        <w:rPr>
          <w:rFonts w:asciiTheme="minorHAnsi" w:hAnsiTheme="minorHAnsi"/>
        </w:rPr>
        <w:t>a</w:t>
      </w:r>
      <w:r w:rsidR="000B05E1">
        <w:rPr>
          <w:rFonts w:asciiTheme="minorHAnsi" w:hAnsiTheme="minorHAnsi"/>
        </w:rPr>
        <w:t>dministering the Act;</w:t>
      </w:r>
    </w:p>
    <w:p w14:paraId="7AFA950B" w14:textId="132DF82B" w:rsidR="000B05E1" w:rsidRDefault="000327A7" w:rsidP="00EE679E">
      <w:pPr>
        <w:pStyle w:val="ListParagraph"/>
        <w:numPr>
          <w:ilvl w:val="0"/>
          <w:numId w:val="31"/>
        </w:numPr>
        <w:rPr>
          <w:rFonts w:asciiTheme="minorHAnsi" w:hAnsiTheme="minorHAnsi"/>
        </w:rPr>
      </w:pPr>
      <w:r>
        <w:rPr>
          <w:rFonts w:asciiTheme="minorHAnsi" w:hAnsiTheme="minorHAnsi"/>
        </w:rPr>
        <w:t>e</w:t>
      </w:r>
      <w:r w:rsidR="000B05E1">
        <w:rPr>
          <w:rFonts w:asciiTheme="minorHAnsi" w:hAnsiTheme="minorHAnsi"/>
        </w:rPr>
        <w:t>nforcing and monitoring compliance with the Act; and</w:t>
      </w:r>
    </w:p>
    <w:p w14:paraId="77FD160F" w14:textId="0C29DB80" w:rsidR="000B05E1" w:rsidRDefault="000327A7" w:rsidP="00EE679E">
      <w:pPr>
        <w:pStyle w:val="ListParagraph"/>
        <w:numPr>
          <w:ilvl w:val="0"/>
          <w:numId w:val="31"/>
        </w:numPr>
        <w:rPr>
          <w:rFonts w:asciiTheme="minorHAnsi" w:hAnsiTheme="minorHAnsi"/>
        </w:rPr>
      </w:pPr>
      <w:r>
        <w:rPr>
          <w:rFonts w:asciiTheme="minorHAnsi" w:hAnsiTheme="minorHAnsi"/>
        </w:rPr>
        <w:t>d</w:t>
      </w:r>
      <w:r w:rsidR="000B05E1">
        <w:rPr>
          <w:rFonts w:asciiTheme="minorHAnsi" w:hAnsiTheme="minorHAnsi"/>
        </w:rPr>
        <w:t>oing</w:t>
      </w:r>
      <w:r w:rsidR="00666207">
        <w:rPr>
          <w:rFonts w:asciiTheme="minorHAnsi" w:hAnsiTheme="minorHAnsi"/>
        </w:rPr>
        <w:t xml:space="preserve"> anything else authorised or req</w:t>
      </w:r>
      <w:r w:rsidR="000B05E1">
        <w:rPr>
          <w:rFonts w:asciiTheme="minorHAnsi" w:hAnsiTheme="minorHAnsi"/>
        </w:rPr>
        <w:t xml:space="preserve">uired by the Act. </w:t>
      </w:r>
    </w:p>
    <w:p w14:paraId="415463B2" w14:textId="596A43FB" w:rsidR="000B05E1" w:rsidRDefault="000B05E1" w:rsidP="00EE679E">
      <w:pPr>
        <w:pStyle w:val="ListParagraph"/>
        <w:numPr>
          <w:ilvl w:val="0"/>
          <w:numId w:val="29"/>
        </w:numPr>
        <w:rPr>
          <w:rFonts w:asciiTheme="minorHAnsi" w:hAnsiTheme="minorHAnsi"/>
        </w:rPr>
      </w:pPr>
      <w:r>
        <w:rPr>
          <w:rFonts w:asciiTheme="minorHAnsi" w:hAnsiTheme="minorHAnsi"/>
        </w:rPr>
        <w:t>The object and intent of charging fees for</w:t>
      </w:r>
      <w:r w:rsidR="00B4746C">
        <w:rPr>
          <w:rFonts w:asciiTheme="minorHAnsi" w:hAnsiTheme="minorHAnsi"/>
        </w:rPr>
        <w:t xml:space="preserve"> a casino venue licence renewal application (renewal fee) </w:t>
      </w:r>
      <w:r>
        <w:rPr>
          <w:rFonts w:asciiTheme="minorHAnsi" w:hAnsiTheme="minorHAnsi"/>
        </w:rPr>
        <w:t xml:space="preserve">is to recover the full costs of the Commission’s services in processing the renewal application. If </w:t>
      </w:r>
      <w:r w:rsidR="000327A7">
        <w:rPr>
          <w:rFonts w:asciiTheme="minorHAnsi" w:hAnsiTheme="minorHAnsi"/>
        </w:rPr>
        <w:t>an application i</w:t>
      </w:r>
      <w:r>
        <w:rPr>
          <w:rFonts w:asciiTheme="minorHAnsi" w:hAnsiTheme="minorHAnsi"/>
        </w:rPr>
        <w:t xml:space="preserve">s not successful, the renewal fee will not be refunded. </w:t>
      </w:r>
    </w:p>
    <w:p w14:paraId="32AB4B43" w14:textId="572AB7A5" w:rsidR="00753CB5" w:rsidRPr="000B05E1" w:rsidRDefault="00753CB5" w:rsidP="005B7016">
      <w:pPr>
        <w:pStyle w:val="ListParagraph"/>
        <w:numPr>
          <w:ilvl w:val="0"/>
          <w:numId w:val="0"/>
        </w:numPr>
        <w:ind w:left="567"/>
        <w:rPr>
          <w:rFonts w:asciiTheme="minorHAnsi" w:hAnsiTheme="minorHAnsi"/>
        </w:rPr>
      </w:pPr>
    </w:p>
    <w:p w14:paraId="58A9E61F" w14:textId="77777777" w:rsidR="00666207" w:rsidRDefault="00666207" w:rsidP="000B05E1">
      <w:pPr>
        <w:pStyle w:val="Heading2"/>
        <w:spacing w:before="360"/>
        <w:contextualSpacing/>
        <w:rPr>
          <w:rFonts w:ascii="Arial" w:eastAsia="Arial" w:hAnsi="Arial" w:cs="Arial"/>
          <w:i w:val="0"/>
          <w:color w:val="1F546B" w:themeColor="text2"/>
          <w:sz w:val="36"/>
          <w:szCs w:val="36"/>
        </w:rPr>
      </w:pPr>
    </w:p>
    <w:p w14:paraId="32A6EB85" w14:textId="77777777" w:rsidR="00666207" w:rsidRDefault="00666207" w:rsidP="00666207">
      <w:pPr>
        <w:pStyle w:val="Numberedpara3level1"/>
      </w:pPr>
      <w:r>
        <w:br w:type="page"/>
      </w:r>
    </w:p>
    <w:p w14:paraId="18F09D80" w14:textId="74F25828" w:rsidR="00264E9B" w:rsidRPr="000B05E1" w:rsidRDefault="00542040" w:rsidP="000B05E1">
      <w:pPr>
        <w:pStyle w:val="Heading2"/>
        <w:spacing w:before="360"/>
        <w:contextualSpacing/>
        <w:rPr>
          <w:rFonts w:ascii="Arial" w:eastAsia="Arial" w:hAnsi="Arial" w:cs="Arial"/>
          <w:i w:val="0"/>
          <w:color w:val="1F546B" w:themeColor="text2"/>
          <w:sz w:val="36"/>
          <w:szCs w:val="36"/>
        </w:rPr>
      </w:pPr>
      <w:bookmarkStart w:id="9" w:name="_Toc487637429"/>
      <w:r>
        <w:rPr>
          <w:rFonts w:ascii="Arial" w:eastAsia="Arial" w:hAnsi="Arial" w:cs="Arial"/>
          <w:i w:val="0"/>
          <w:color w:val="1F546B" w:themeColor="text2"/>
          <w:sz w:val="36"/>
          <w:szCs w:val="36"/>
        </w:rPr>
        <w:t>Objectives and criteria</w:t>
      </w:r>
      <w:bookmarkEnd w:id="9"/>
    </w:p>
    <w:p w14:paraId="5733B914" w14:textId="1CD42A82" w:rsidR="00722062" w:rsidRDefault="00B4775B" w:rsidP="00722062">
      <w:pPr>
        <w:pStyle w:val="Numberedpara3level211"/>
        <w:numPr>
          <w:ilvl w:val="0"/>
          <w:numId w:val="29"/>
        </w:numPr>
      </w:pPr>
      <w:bookmarkStart w:id="10" w:name="_Ref485892515"/>
      <w:bookmarkEnd w:id="10"/>
      <w:r>
        <w:t xml:space="preserve">The </w:t>
      </w:r>
      <w:r w:rsidR="00124B67">
        <w:t>key objectives of the renewal fee are to:</w:t>
      </w:r>
    </w:p>
    <w:p w14:paraId="3A5FC00A" w14:textId="5C46D774" w:rsidR="00722062" w:rsidRDefault="00542040" w:rsidP="009C72B0">
      <w:pPr>
        <w:pStyle w:val="Numberedpara3level211"/>
        <w:numPr>
          <w:ilvl w:val="1"/>
          <w:numId w:val="27"/>
        </w:numPr>
        <w:ind w:hanging="538"/>
      </w:pPr>
      <w:r w:rsidRPr="00722062">
        <w:t xml:space="preserve">fully meet the Commission’s reasonable and necessary costs in the processing of casino venue licence renewal applications; </w:t>
      </w:r>
    </w:p>
    <w:p w14:paraId="15D1E003" w14:textId="77777777" w:rsidR="00722062" w:rsidRDefault="00542040" w:rsidP="009C72B0">
      <w:pPr>
        <w:pStyle w:val="Numberedpara3level211"/>
        <w:numPr>
          <w:ilvl w:val="1"/>
          <w:numId w:val="27"/>
        </w:numPr>
        <w:ind w:hanging="538"/>
      </w:pPr>
      <w:r w:rsidRPr="00722062">
        <w:t>ensure that costs are accurately and transparently accounted for in the setting of the renewal fee; and</w:t>
      </w:r>
    </w:p>
    <w:p w14:paraId="73ED9451" w14:textId="1F9138BC" w:rsidR="00542040" w:rsidRPr="00722062" w:rsidRDefault="00542040" w:rsidP="009C72B0">
      <w:pPr>
        <w:pStyle w:val="Numberedpara3level211"/>
        <w:numPr>
          <w:ilvl w:val="1"/>
          <w:numId w:val="27"/>
        </w:numPr>
        <w:ind w:hanging="538"/>
      </w:pPr>
      <w:proofErr w:type="gramStart"/>
      <w:r w:rsidRPr="00722062">
        <w:t>ensure</w:t>
      </w:r>
      <w:proofErr w:type="gramEnd"/>
      <w:r w:rsidRPr="00722062">
        <w:t xml:space="preserve"> that the full cost is paid by the ap</w:t>
      </w:r>
      <w:r w:rsidR="005E25EA">
        <w:t>plicant.</w:t>
      </w:r>
    </w:p>
    <w:p w14:paraId="562F91F2" w14:textId="24F84E4F" w:rsidR="00B610EF" w:rsidRDefault="00B4775B" w:rsidP="00B610EF">
      <w:pPr>
        <w:pStyle w:val="Numberedpara3level211"/>
        <w:numPr>
          <w:ilvl w:val="0"/>
          <w:numId w:val="29"/>
        </w:numPr>
      </w:pPr>
      <w:r>
        <w:t xml:space="preserve">The objectives of the renewal fee stem from a number of sources. </w:t>
      </w:r>
      <w:r w:rsidR="00B610EF">
        <w:t>As noted above, section 370 of the Act provides the statutory authority for the renewal fee on a cost recovery basis. As per Treasury instructions,</w:t>
      </w:r>
      <w:r w:rsidR="00B610EF">
        <w:rPr>
          <w:rStyle w:val="FootnoteReference"/>
        </w:rPr>
        <w:footnoteReference w:id="6"/>
      </w:r>
      <w:r w:rsidR="00B610EF" w:rsidRPr="29E65A09">
        <w:rPr>
          <w:rFonts w:eastAsia="Calibri" w:cs="Calibri"/>
        </w:rPr>
        <w:t xml:space="preserve"> </w:t>
      </w:r>
      <w:r w:rsidR="00B610EF">
        <w:t xml:space="preserve"> the Department operates a memorandum account to administer all cost recovered gambling fees. </w:t>
      </w:r>
      <w:r w:rsidR="00B610EF" w:rsidRPr="29E65A09">
        <w:rPr>
          <w:rFonts w:eastAsia="Calibri" w:cs="Calibri"/>
        </w:rPr>
        <w:t>Section 228 of the Act requires the Department to service the Commission to perform its functions. As such, the Department’s memorandum account for administering gambling fees includes the costs of the Commission to consider casino venue licence renewal applications.</w:t>
      </w:r>
    </w:p>
    <w:p w14:paraId="1D5E73E0" w14:textId="77777777" w:rsidR="00E96BC4" w:rsidRDefault="00B610EF" w:rsidP="005B7016">
      <w:pPr>
        <w:pStyle w:val="NumbersLevel1"/>
        <w:numPr>
          <w:ilvl w:val="0"/>
          <w:numId w:val="29"/>
        </w:numPr>
        <w:rPr>
          <w:rFonts w:eastAsia="Calibri" w:cs="Calibri"/>
        </w:rPr>
      </w:pPr>
      <w:r w:rsidRPr="00A277A8">
        <w:rPr>
          <w:rFonts w:ascii="Calibri" w:eastAsia="Calibri" w:hAnsi="Calibri" w:cs="Calibri"/>
          <w:sz w:val="24"/>
        </w:rPr>
        <w:t xml:space="preserve">The Department’s under-recovery of costs to regulate the gambling sector generally is reflected by a deficit in the Department’s memorandum account. To prevent this deficit from growing significantly, full cost recovery of the application process is necessary. </w:t>
      </w:r>
    </w:p>
    <w:p w14:paraId="63CFAA0E" w14:textId="4B9026D3" w:rsidR="00B4775B" w:rsidRPr="005B7016" w:rsidRDefault="00B610EF" w:rsidP="005B7016">
      <w:pPr>
        <w:pStyle w:val="NumbersLevel1"/>
        <w:numPr>
          <w:ilvl w:val="0"/>
          <w:numId w:val="29"/>
        </w:numPr>
        <w:rPr>
          <w:rFonts w:eastAsia="Calibri" w:cs="Calibri"/>
        </w:rPr>
      </w:pPr>
      <w:r w:rsidRPr="00A277A8">
        <w:rPr>
          <w:rFonts w:ascii="Calibri" w:eastAsia="Calibri" w:hAnsi="Calibri" w:cs="Calibri"/>
          <w:sz w:val="24"/>
        </w:rPr>
        <w:t xml:space="preserve">It is also not appropriate for the burden of regulatory costs to fall on the taxpayer. The Treasury </w:t>
      </w:r>
      <w:r w:rsidRPr="00A277A8">
        <w:rPr>
          <w:rFonts w:ascii="Calibri" w:eastAsia="Calibri" w:hAnsi="Calibri" w:cs="Calibri"/>
          <w:i/>
          <w:iCs/>
          <w:sz w:val="24"/>
        </w:rPr>
        <w:t>Guidelines for Setting Charges</w:t>
      </w:r>
      <w:r w:rsidRPr="00A277A8">
        <w:rPr>
          <w:rFonts w:ascii="Calibri" w:eastAsia="Calibri" w:hAnsi="Calibri" w:cs="Calibri"/>
          <w:sz w:val="24"/>
        </w:rPr>
        <w:t xml:space="preserve"> </w:t>
      </w:r>
      <w:r w:rsidRPr="00A277A8">
        <w:rPr>
          <w:rFonts w:ascii="Calibri" w:eastAsia="Calibri" w:hAnsi="Calibri" w:cs="Calibri"/>
          <w:i/>
          <w:iCs/>
          <w:sz w:val="24"/>
        </w:rPr>
        <w:t>in the Public Sector</w:t>
      </w:r>
      <w:r w:rsidRPr="00A277A8">
        <w:rPr>
          <w:rFonts w:ascii="Calibri" w:eastAsia="Calibri" w:hAnsi="Calibri" w:cs="Calibri"/>
          <w:sz w:val="24"/>
        </w:rPr>
        <w:t xml:space="preserve"> (Treasury guidelines) note that those that give rise to costs should be responsible for covering them and that a key aim of fees is to reduce the reliance on funding from tax.</w:t>
      </w:r>
      <w:r w:rsidRPr="00A97B7E">
        <w:rPr>
          <w:rStyle w:val="FootnoteReference"/>
        </w:rPr>
        <w:t xml:space="preserve"> </w:t>
      </w:r>
      <w:r>
        <w:rPr>
          <w:rStyle w:val="FootnoteReference"/>
        </w:rPr>
        <w:footnoteReference w:id="7"/>
      </w:r>
      <w:r w:rsidRPr="00A277A8">
        <w:rPr>
          <w:rFonts w:ascii="Calibri" w:eastAsia="Calibri" w:hAnsi="Calibri" w:cs="Calibri"/>
          <w:sz w:val="24"/>
        </w:rPr>
        <w:t xml:space="preserve">  </w:t>
      </w:r>
    </w:p>
    <w:p w14:paraId="382989D6" w14:textId="126F707B" w:rsidR="006765FF" w:rsidRDefault="00BE51D1" w:rsidP="00EE679E">
      <w:pPr>
        <w:pStyle w:val="Numberedpara3level1"/>
        <w:numPr>
          <w:ilvl w:val="0"/>
          <w:numId w:val="29"/>
        </w:numPr>
      </w:pPr>
      <w:r>
        <w:t>The Department has</w:t>
      </w:r>
      <w:r w:rsidR="006765FF">
        <w:t xml:space="preserve"> </w:t>
      </w:r>
      <w:r w:rsidR="00542040">
        <w:t xml:space="preserve">assessed </w:t>
      </w:r>
      <w:r w:rsidR="00830191">
        <w:t xml:space="preserve">each of </w:t>
      </w:r>
      <w:r w:rsidR="00542040">
        <w:t xml:space="preserve">the options </w:t>
      </w:r>
      <w:r w:rsidR="00830191">
        <w:t xml:space="preserve">identified </w:t>
      </w:r>
      <w:r w:rsidR="00542040">
        <w:t>for setting the renewal fee against criteria</w:t>
      </w:r>
      <w:r w:rsidR="00AB0F41">
        <w:t xml:space="preserve"> developed with reference to the principles set out in the Treasury guidelines</w:t>
      </w:r>
      <w:r w:rsidR="00AB0F41">
        <w:rPr>
          <w:rStyle w:val="FootnoteReference"/>
        </w:rPr>
        <w:footnoteReference w:id="8"/>
      </w:r>
      <w:r w:rsidR="00AB0F41">
        <w:t xml:space="preserve"> and the Office of the Auditor-General Good Practice Guide</w:t>
      </w:r>
      <w:r w:rsidR="00AB0F41">
        <w:rPr>
          <w:rStyle w:val="FootnoteReference"/>
        </w:rPr>
        <w:footnoteReference w:id="9"/>
      </w:r>
      <w:r w:rsidR="00AB0F41">
        <w:t>. The criteria are</w:t>
      </w:r>
      <w:r w:rsidR="00542040">
        <w:t>:</w:t>
      </w:r>
    </w:p>
    <w:p w14:paraId="5B23B363" w14:textId="2F213D5D" w:rsidR="0007799C" w:rsidRDefault="0007799C" w:rsidP="009C72B0">
      <w:pPr>
        <w:pStyle w:val="Numberedpara3level211"/>
        <w:numPr>
          <w:ilvl w:val="1"/>
          <w:numId w:val="27"/>
        </w:numPr>
        <w:ind w:hanging="538"/>
      </w:pPr>
      <w:r w:rsidRPr="009C72B0">
        <w:rPr>
          <w:b/>
        </w:rPr>
        <w:t>Effective</w:t>
      </w:r>
      <w:r w:rsidR="0095263C" w:rsidRPr="009C72B0">
        <w:rPr>
          <w:b/>
        </w:rPr>
        <w:t>ness</w:t>
      </w:r>
      <w:r w:rsidRPr="009C72B0">
        <w:t>:</w:t>
      </w:r>
      <w:r>
        <w:t xml:space="preserve"> the option achieves the desired outcomes and addresses the p</w:t>
      </w:r>
      <w:r w:rsidR="00C13A4B">
        <w:t>roblem identified;</w:t>
      </w:r>
    </w:p>
    <w:p w14:paraId="6C8D0753" w14:textId="6ABCE286" w:rsidR="0007799C" w:rsidRDefault="0095263C" w:rsidP="009C72B0">
      <w:pPr>
        <w:pStyle w:val="Numberedpara3level211"/>
        <w:numPr>
          <w:ilvl w:val="1"/>
          <w:numId w:val="27"/>
        </w:numPr>
        <w:ind w:hanging="538"/>
      </w:pPr>
      <w:r w:rsidRPr="009C72B0">
        <w:rPr>
          <w:b/>
        </w:rPr>
        <w:t>Efficiency</w:t>
      </w:r>
      <w:r w:rsidR="0007799C" w:rsidRPr="009C72B0">
        <w:t>:</w:t>
      </w:r>
      <w:r w:rsidR="0007799C">
        <w:t xml:space="preserve"> the option is practicable an</w:t>
      </w:r>
      <w:r w:rsidR="00C13A4B">
        <w:t>d</w:t>
      </w:r>
      <w:r w:rsidR="0007799C">
        <w:t xml:space="preserve"> provides certainty to the applicant and the Commission as to the amount and when and how the renewal fee is charged;</w:t>
      </w:r>
    </w:p>
    <w:p w14:paraId="71C4BEE5" w14:textId="386F93D9" w:rsidR="0007799C" w:rsidRDefault="0007799C" w:rsidP="009C72B0">
      <w:pPr>
        <w:pStyle w:val="Numberedpara3level211"/>
        <w:numPr>
          <w:ilvl w:val="1"/>
          <w:numId w:val="27"/>
        </w:numPr>
        <w:ind w:hanging="538"/>
      </w:pPr>
      <w:r w:rsidRPr="009C72B0">
        <w:rPr>
          <w:b/>
        </w:rPr>
        <w:t>Equit</w:t>
      </w:r>
      <w:r w:rsidR="0095263C" w:rsidRPr="009C72B0">
        <w:rPr>
          <w:b/>
        </w:rPr>
        <w:t>y</w:t>
      </w:r>
      <w:r>
        <w:t xml:space="preserve">: the option fairly reflects the actual costs of the </w:t>
      </w:r>
      <w:r w:rsidR="00B4746C">
        <w:t>application</w:t>
      </w:r>
      <w:r>
        <w:t xml:space="preserve"> process for a particular applicant; </w:t>
      </w:r>
      <w:r w:rsidR="00AB5942">
        <w:t>and</w:t>
      </w:r>
    </w:p>
    <w:p w14:paraId="7AFB5779" w14:textId="019CF3ED" w:rsidR="0007799C" w:rsidRDefault="0007799C" w:rsidP="009C72B0">
      <w:pPr>
        <w:pStyle w:val="Numberedpara3level211"/>
        <w:numPr>
          <w:ilvl w:val="1"/>
          <w:numId w:val="27"/>
        </w:numPr>
        <w:ind w:hanging="538"/>
      </w:pPr>
      <w:r w:rsidRPr="009C72B0">
        <w:rPr>
          <w:b/>
        </w:rPr>
        <w:t>Transparen</w:t>
      </w:r>
      <w:r w:rsidR="0095263C" w:rsidRPr="009C72B0">
        <w:rPr>
          <w:b/>
        </w:rPr>
        <w:t>cy</w:t>
      </w:r>
      <w:r>
        <w:t xml:space="preserve">: the option is based on detailed and reasonable data estimating the cost of processing casino venue licence renewal applications. </w:t>
      </w:r>
    </w:p>
    <w:p w14:paraId="7D7D7BBC" w14:textId="12395DB2" w:rsidR="006765FF" w:rsidRPr="005B7016" w:rsidRDefault="00EC2448" w:rsidP="00F94DB3">
      <w:pPr>
        <w:pStyle w:val="Numberedpara3level3111"/>
        <w:numPr>
          <w:ilvl w:val="0"/>
          <w:numId w:val="29"/>
        </w:numPr>
        <w:rPr>
          <w:rFonts w:asciiTheme="minorHAnsi" w:hAnsiTheme="minorHAnsi"/>
        </w:rPr>
      </w:pPr>
      <w:r>
        <w:t xml:space="preserve">A summary of the Department’s analysis of the options against the above criteria is attached as </w:t>
      </w:r>
      <w:r w:rsidRPr="00F94DB3">
        <w:rPr>
          <w:b/>
        </w:rPr>
        <w:t>Appendix A</w:t>
      </w:r>
      <w:r>
        <w:t>.</w:t>
      </w:r>
    </w:p>
    <w:p w14:paraId="54A9A871" w14:textId="4527A1D7" w:rsidR="00C004C6" w:rsidRPr="00F94DB3" w:rsidRDefault="003B03ED" w:rsidP="00F94DB3">
      <w:pPr>
        <w:pStyle w:val="Numberedpara3level3111"/>
        <w:numPr>
          <w:ilvl w:val="0"/>
          <w:numId w:val="29"/>
        </w:numPr>
        <w:rPr>
          <w:rFonts w:asciiTheme="minorHAnsi" w:hAnsiTheme="minorHAnsi"/>
        </w:rPr>
      </w:pPr>
      <w:r>
        <w:rPr>
          <w:rFonts w:asciiTheme="minorHAnsi" w:hAnsiTheme="minorHAnsi"/>
        </w:rPr>
        <w:t xml:space="preserve">The Department considers that the renewal fee should be recovered on the actual costs of each application, rather than on an average or aggregate basis across applicants. </w:t>
      </w:r>
      <w:r w:rsidR="001A5524">
        <w:rPr>
          <w:rFonts w:asciiTheme="minorHAnsi" w:hAnsiTheme="minorHAnsi"/>
        </w:rPr>
        <w:t>The</w:t>
      </w:r>
      <w:r>
        <w:rPr>
          <w:rFonts w:asciiTheme="minorHAnsi" w:hAnsiTheme="minorHAnsi"/>
        </w:rPr>
        <w:t xml:space="preserve"> renewal fee only applies to a very small and specialised class of applicants</w:t>
      </w:r>
      <w:r w:rsidR="001A5524">
        <w:rPr>
          <w:rFonts w:asciiTheme="minorHAnsi" w:hAnsiTheme="minorHAnsi"/>
        </w:rPr>
        <w:t>. As such a</w:t>
      </w:r>
      <w:r>
        <w:rPr>
          <w:rFonts w:asciiTheme="minorHAnsi" w:hAnsiTheme="minorHAnsi"/>
        </w:rPr>
        <w:t>n average or aggregate fee is highly unlikely to have t</w:t>
      </w:r>
      <w:r w:rsidR="005412CB">
        <w:rPr>
          <w:rFonts w:asciiTheme="minorHAnsi" w:hAnsiTheme="minorHAnsi"/>
        </w:rPr>
        <w:t>he same smoothing effect as a fee</w:t>
      </w:r>
      <w:r w:rsidR="00AF32D0">
        <w:rPr>
          <w:rFonts w:asciiTheme="minorHAnsi" w:hAnsiTheme="minorHAnsi"/>
        </w:rPr>
        <w:t xml:space="preserve"> that applies</w:t>
      </w:r>
      <w:r>
        <w:rPr>
          <w:rFonts w:asciiTheme="minorHAnsi" w:hAnsiTheme="minorHAnsi"/>
        </w:rPr>
        <w:t xml:space="preserve"> to a large number of applicants. </w:t>
      </w:r>
    </w:p>
    <w:p w14:paraId="638F4E38" w14:textId="583ADB73" w:rsidR="000D6861" w:rsidRDefault="000D6861" w:rsidP="005B7016">
      <w:pPr>
        <w:pStyle w:val="Numberedpara3level211"/>
        <w:ind w:left="567"/>
        <w:rPr>
          <w:rFonts w:ascii="Arial" w:eastAsia="Arial" w:hAnsi="Arial" w:cs="Arial"/>
          <w:b/>
          <w:color w:val="1F546B" w:themeColor="text2"/>
          <w:sz w:val="36"/>
          <w:szCs w:val="36"/>
        </w:rPr>
      </w:pPr>
    </w:p>
    <w:p w14:paraId="61708AA1" w14:textId="77777777" w:rsidR="00B17517" w:rsidRDefault="00B17517">
      <w:pPr>
        <w:keepLines w:val="0"/>
        <w:rPr>
          <w:rFonts w:ascii="Arial" w:eastAsia="Arial" w:hAnsi="Arial" w:cs="Arial"/>
          <w:b/>
          <w:color w:val="1F546B" w:themeColor="text2"/>
          <w:sz w:val="36"/>
          <w:szCs w:val="36"/>
        </w:rPr>
      </w:pPr>
      <w:r>
        <w:rPr>
          <w:rFonts w:ascii="Arial" w:eastAsia="Arial" w:hAnsi="Arial" w:cs="Arial"/>
          <w:i/>
          <w:color w:val="1F546B" w:themeColor="text2"/>
          <w:sz w:val="36"/>
          <w:szCs w:val="36"/>
        </w:rPr>
        <w:br w:type="page"/>
      </w:r>
    </w:p>
    <w:p w14:paraId="18F09D82" w14:textId="49ABDE00" w:rsidR="00264E9B" w:rsidRPr="001B03BB" w:rsidRDefault="000D6861" w:rsidP="001B03BB">
      <w:pPr>
        <w:pStyle w:val="Heading2"/>
        <w:spacing w:before="360"/>
        <w:contextualSpacing/>
        <w:rPr>
          <w:rFonts w:ascii="Arial" w:eastAsia="Arial" w:hAnsi="Arial" w:cs="Arial"/>
          <w:i w:val="0"/>
          <w:color w:val="1F546B" w:themeColor="text2"/>
          <w:sz w:val="36"/>
          <w:szCs w:val="36"/>
        </w:rPr>
      </w:pPr>
      <w:bookmarkStart w:id="11" w:name="_Toc487637430"/>
      <w:r>
        <w:rPr>
          <w:rFonts w:ascii="Arial" w:eastAsia="Arial" w:hAnsi="Arial" w:cs="Arial"/>
          <w:i w:val="0"/>
          <w:color w:val="1F546B" w:themeColor="text2"/>
          <w:sz w:val="36"/>
          <w:szCs w:val="36"/>
        </w:rPr>
        <w:t>Options</w:t>
      </w:r>
      <w:r w:rsidR="00287EB7">
        <w:rPr>
          <w:rFonts w:ascii="Arial" w:eastAsia="Arial" w:hAnsi="Arial" w:cs="Arial"/>
          <w:i w:val="0"/>
          <w:color w:val="1F546B" w:themeColor="text2"/>
          <w:sz w:val="36"/>
          <w:szCs w:val="36"/>
        </w:rPr>
        <w:t xml:space="preserve"> and impact analysis</w:t>
      </w:r>
      <w:bookmarkEnd w:id="11"/>
      <w:r>
        <w:rPr>
          <w:rFonts w:ascii="Arial" w:eastAsia="Arial" w:hAnsi="Arial" w:cs="Arial"/>
          <w:i w:val="0"/>
          <w:color w:val="1F546B" w:themeColor="text2"/>
          <w:sz w:val="36"/>
          <w:szCs w:val="36"/>
        </w:rPr>
        <w:t xml:space="preserve"> </w:t>
      </w:r>
    </w:p>
    <w:p w14:paraId="009DFF48" w14:textId="10EBA09B" w:rsidR="00955595" w:rsidRDefault="00BE51D1" w:rsidP="00F32B4B">
      <w:pPr>
        <w:pStyle w:val="ListParagraph"/>
        <w:numPr>
          <w:ilvl w:val="0"/>
          <w:numId w:val="29"/>
        </w:numPr>
      </w:pPr>
      <w:r>
        <w:t>The Department</w:t>
      </w:r>
      <w:r w:rsidR="00EF41B8">
        <w:t xml:space="preserve"> </w:t>
      </w:r>
      <w:r>
        <w:t xml:space="preserve">has </w:t>
      </w:r>
      <w:r w:rsidR="00EF41B8">
        <w:t>developed two opti</w:t>
      </w:r>
      <w:r w:rsidR="00955595">
        <w:t xml:space="preserve">ons for setting the renewal fee, as set out in </w:t>
      </w:r>
      <w:r w:rsidR="00955595" w:rsidRPr="00955595">
        <w:rPr>
          <w:b/>
        </w:rPr>
        <w:t>Table 1</w:t>
      </w:r>
      <w:r w:rsidR="00955595">
        <w:t>.</w:t>
      </w:r>
    </w:p>
    <w:p w14:paraId="3E2A699F" w14:textId="28100F77" w:rsidR="00FB4747" w:rsidRDefault="00FB4747" w:rsidP="00F32B4B">
      <w:pPr>
        <w:pStyle w:val="ListParagraph"/>
        <w:numPr>
          <w:ilvl w:val="0"/>
          <w:numId w:val="29"/>
        </w:numPr>
      </w:pPr>
      <w:r>
        <w:t xml:space="preserve">All figures are GST inclusive, except where specified otherwise. </w:t>
      </w:r>
    </w:p>
    <w:p w14:paraId="4647EB87" w14:textId="3EAEE212" w:rsidR="00772D47" w:rsidRPr="00955595" w:rsidRDefault="00955595" w:rsidP="00772D47">
      <w:pPr>
        <w:rPr>
          <w:b/>
          <w:sz w:val="22"/>
        </w:rPr>
      </w:pPr>
      <w:r w:rsidRPr="00955595">
        <w:rPr>
          <w:b/>
          <w:sz w:val="22"/>
        </w:rPr>
        <w:t>Table 1: options for setting the casino venue licence renewal fee</w:t>
      </w:r>
    </w:p>
    <w:tbl>
      <w:tblPr>
        <w:tblStyle w:val="RIS"/>
        <w:tblW w:w="5000" w:type="pct"/>
        <w:tblInd w:w="0" w:type="dxa"/>
        <w:tblLook w:val="04A0" w:firstRow="1" w:lastRow="0" w:firstColumn="1" w:lastColumn="0" w:noHBand="0" w:noVBand="1"/>
      </w:tblPr>
      <w:tblGrid>
        <w:gridCol w:w="2598"/>
        <w:gridCol w:w="2898"/>
        <w:gridCol w:w="3791"/>
      </w:tblGrid>
      <w:tr w:rsidR="00772D47" w14:paraId="0A466779" w14:textId="77777777" w:rsidTr="00A61754">
        <w:trPr>
          <w:cnfStyle w:val="100000000000" w:firstRow="1" w:lastRow="0" w:firstColumn="0" w:lastColumn="0" w:oddVBand="0" w:evenVBand="0" w:oddHBand="0" w:evenHBand="0" w:firstRowFirstColumn="0" w:firstRowLastColumn="0" w:lastRowFirstColumn="0" w:lastRowLastColumn="0"/>
        </w:trPr>
        <w:tc>
          <w:tcPr>
            <w:tcW w:w="1399" w:type="pct"/>
            <w:shd w:val="clear" w:color="auto" w:fill="1F546B" w:themeFill="text2"/>
          </w:tcPr>
          <w:p w14:paraId="3788D61A" w14:textId="56C1C262" w:rsidR="00772D47" w:rsidRPr="00955595" w:rsidRDefault="00772D47" w:rsidP="00772D47">
            <w:r w:rsidRPr="00955595">
              <w:t>Option</w:t>
            </w:r>
          </w:p>
        </w:tc>
        <w:tc>
          <w:tcPr>
            <w:tcW w:w="1560" w:type="pct"/>
            <w:shd w:val="clear" w:color="auto" w:fill="1F546B" w:themeFill="text2"/>
          </w:tcPr>
          <w:p w14:paraId="178A7B0A" w14:textId="23ADE288" w:rsidR="00772D47" w:rsidRPr="00955595" w:rsidRDefault="00772D47" w:rsidP="00772D47">
            <w:r w:rsidRPr="00955595">
              <w:t>Fee ($)</w:t>
            </w:r>
          </w:p>
        </w:tc>
        <w:tc>
          <w:tcPr>
            <w:tcW w:w="2042" w:type="pct"/>
            <w:shd w:val="clear" w:color="auto" w:fill="1F546B" w:themeFill="text2"/>
          </w:tcPr>
          <w:p w14:paraId="369EEF12" w14:textId="624B0949" w:rsidR="00772D47" w:rsidRPr="00955595" w:rsidRDefault="00772D47" w:rsidP="00772D47">
            <w:r w:rsidRPr="00955595">
              <w:t>Description</w:t>
            </w:r>
          </w:p>
        </w:tc>
      </w:tr>
      <w:tr w:rsidR="00772D47" w14:paraId="54A30FBD" w14:textId="77777777" w:rsidTr="00A61754">
        <w:tc>
          <w:tcPr>
            <w:tcW w:w="1399" w:type="pct"/>
          </w:tcPr>
          <w:p w14:paraId="49FC4FF1" w14:textId="3A7D058B" w:rsidR="00772D47" w:rsidRPr="00772D47" w:rsidRDefault="00772D47" w:rsidP="0054029E">
            <w:pPr>
              <w:pStyle w:val="ListParagraph"/>
              <w:numPr>
                <w:ilvl w:val="0"/>
                <w:numId w:val="34"/>
              </w:numPr>
              <w:spacing w:before="56" w:after="32"/>
              <w:rPr>
                <w:b/>
              </w:rPr>
            </w:pPr>
            <w:r w:rsidRPr="00772D47">
              <w:rPr>
                <w:b/>
              </w:rPr>
              <w:t>Fixed</w:t>
            </w:r>
            <w:r w:rsidR="00830191">
              <w:rPr>
                <w:b/>
              </w:rPr>
              <w:t xml:space="preserve"> </w:t>
            </w:r>
            <w:r w:rsidRPr="00772D47">
              <w:rPr>
                <w:b/>
              </w:rPr>
              <w:t>fee</w:t>
            </w:r>
          </w:p>
        </w:tc>
        <w:tc>
          <w:tcPr>
            <w:tcW w:w="1560" w:type="pct"/>
          </w:tcPr>
          <w:p w14:paraId="6F93B939" w14:textId="1D5480A2" w:rsidR="00772D47" w:rsidRDefault="0001052D" w:rsidP="00772D47">
            <w:r>
              <w:t>151,000</w:t>
            </w:r>
            <w:r w:rsidR="00772D47">
              <w:t xml:space="preserve"> upon application</w:t>
            </w:r>
          </w:p>
        </w:tc>
        <w:tc>
          <w:tcPr>
            <w:tcW w:w="2042" w:type="pct"/>
          </w:tcPr>
          <w:p w14:paraId="09AF8889" w14:textId="77777777" w:rsidR="00772D47" w:rsidRPr="00772D47" w:rsidRDefault="00772D47" w:rsidP="0054029E">
            <w:pPr>
              <w:pStyle w:val="ListParagraph"/>
              <w:numPr>
                <w:ilvl w:val="0"/>
                <w:numId w:val="35"/>
              </w:numPr>
              <w:spacing w:before="56" w:after="32"/>
            </w:pPr>
            <w:r w:rsidRPr="00772D47">
              <w:t xml:space="preserve">One-off, fixed fee payable upon application. </w:t>
            </w:r>
          </w:p>
          <w:p w14:paraId="54CCD446" w14:textId="77777777" w:rsidR="00772D47" w:rsidRPr="00772D47" w:rsidRDefault="00772D47" w:rsidP="0054029E">
            <w:pPr>
              <w:pStyle w:val="ListParagraph"/>
              <w:numPr>
                <w:ilvl w:val="0"/>
                <w:numId w:val="35"/>
              </w:numPr>
              <w:spacing w:before="56" w:after="32"/>
            </w:pPr>
            <w:r w:rsidRPr="00772D47">
              <w:t xml:space="preserve">Based upon the estimated costs for a set number of days to complete the application process. </w:t>
            </w:r>
          </w:p>
          <w:p w14:paraId="1135B666" w14:textId="0B44123A" w:rsidR="00772D47" w:rsidRPr="00A5469C" w:rsidRDefault="00A5469C" w:rsidP="0054029E">
            <w:pPr>
              <w:pStyle w:val="ListParagraph"/>
              <w:numPr>
                <w:ilvl w:val="0"/>
                <w:numId w:val="35"/>
              </w:numPr>
              <w:spacing w:before="56" w:after="32"/>
            </w:pPr>
            <w:r>
              <w:t xml:space="preserve">The fixed fee will be set in </w:t>
            </w:r>
            <w:r w:rsidR="00A63A6C">
              <w:t>r</w:t>
            </w:r>
            <w:r>
              <w:t>egulations and will apply to all applications.</w:t>
            </w:r>
          </w:p>
        </w:tc>
      </w:tr>
      <w:tr w:rsidR="00772D47" w14:paraId="73B08A97" w14:textId="77777777" w:rsidTr="00A61754">
        <w:tc>
          <w:tcPr>
            <w:tcW w:w="1399" w:type="pct"/>
          </w:tcPr>
          <w:p w14:paraId="0E9FB7B4" w14:textId="00F01F65" w:rsidR="00772D47" w:rsidRPr="00772D47" w:rsidRDefault="00772D47" w:rsidP="0054029E">
            <w:pPr>
              <w:pStyle w:val="ListParagraph"/>
              <w:numPr>
                <w:ilvl w:val="0"/>
                <w:numId w:val="34"/>
              </w:numPr>
              <w:spacing w:before="56" w:after="32"/>
              <w:rPr>
                <w:b/>
              </w:rPr>
            </w:pPr>
            <w:r w:rsidRPr="00772D47">
              <w:rPr>
                <w:b/>
              </w:rPr>
              <w:t xml:space="preserve">Two-tiered fee (fixed fee + </w:t>
            </w:r>
            <w:r w:rsidR="00A5469C">
              <w:rPr>
                <w:b/>
              </w:rPr>
              <w:t xml:space="preserve">capped </w:t>
            </w:r>
            <w:r w:rsidRPr="00772D47">
              <w:rPr>
                <w:b/>
              </w:rPr>
              <w:t>variable adjustment)</w:t>
            </w:r>
            <w:r>
              <w:rPr>
                <w:b/>
              </w:rPr>
              <w:t xml:space="preserve"> - </w:t>
            </w:r>
            <w:r>
              <w:rPr>
                <w:i/>
              </w:rPr>
              <w:t>preferred</w:t>
            </w:r>
          </w:p>
        </w:tc>
        <w:tc>
          <w:tcPr>
            <w:tcW w:w="1560" w:type="pct"/>
          </w:tcPr>
          <w:p w14:paraId="0C4AE89A" w14:textId="242767B8" w:rsidR="00772D47" w:rsidRDefault="00725FB4" w:rsidP="00772D47">
            <w:r>
              <w:t>151,000</w:t>
            </w:r>
            <w:r w:rsidR="00772D47">
              <w:t xml:space="preserve"> upon application</w:t>
            </w:r>
          </w:p>
          <w:p w14:paraId="53230F61" w14:textId="1A833755" w:rsidR="00772D47" w:rsidRDefault="00772D47" w:rsidP="00772D47">
            <w:r>
              <w:t>and</w:t>
            </w:r>
          </w:p>
          <w:p w14:paraId="5FD355D4" w14:textId="500000BC" w:rsidR="00772D47" w:rsidRDefault="00772D47" w:rsidP="00772D47">
            <w:r>
              <w:t>adjustment after completion</w:t>
            </w:r>
            <w:r w:rsidR="00A5469C">
              <w:t xml:space="preserve"> </w:t>
            </w:r>
          </w:p>
          <w:p w14:paraId="47E1CA7D" w14:textId="77777777" w:rsidR="00A5469C" w:rsidRDefault="00A5469C" w:rsidP="00772D47"/>
          <w:p w14:paraId="20573967" w14:textId="709BEDE8" w:rsidR="00A5469C" w:rsidRDefault="00A5469C" w:rsidP="00772D47">
            <w:r>
              <w:t>*The tota</w:t>
            </w:r>
            <w:r w:rsidR="0001052D">
              <w:t>l fee will be capped at 200,0</w:t>
            </w:r>
            <w:r>
              <w:t>00</w:t>
            </w:r>
          </w:p>
        </w:tc>
        <w:tc>
          <w:tcPr>
            <w:tcW w:w="2042" w:type="pct"/>
          </w:tcPr>
          <w:p w14:paraId="2E96B833" w14:textId="43B79832" w:rsidR="00955595" w:rsidRDefault="00955595" w:rsidP="005B7016">
            <w:pPr>
              <w:pStyle w:val="ListParagraph"/>
              <w:numPr>
                <w:ilvl w:val="0"/>
                <w:numId w:val="35"/>
              </w:numPr>
              <w:spacing w:before="56" w:after="32"/>
            </w:pPr>
            <w:r w:rsidRPr="00A61754">
              <w:t>Initial fixed fee p</w:t>
            </w:r>
            <w:r w:rsidR="00E554A2">
              <w:t>ayable upon application. This will</w:t>
            </w:r>
            <w:r w:rsidRPr="00A61754">
              <w:t xml:space="preserve"> </w:t>
            </w:r>
            <w:r w:rsidR="00A63A6C">
              <w:t xml:space="preserve">be </w:t>
            </w:r>
            <w:r w:rsidRPr="00A61754">
              <w:t xml:space="preserve">set at the same rate as in option 1 and is based upon the same estimates and cost data. </w:t>
            </w:r>
          </w:p>
          <w:p w14:paraId="1807F460" w14:textId="64484A12" w:rsidR="00A5469C" w:rsidRPr="00A61754" w:rsidRDefault="00A5469C" w:rsidP="005B7016">
            <w:pPr>
              <w:pStyle w:val="ListParagraph"/>
              <w:numPr>
                <w:ilvl w:val="0"/>
                <w:numId w:val="35"/>
              </w:numPr>
              <w:spacing w:before="56" w:after="32"/>
            </w:pPr>
            <w:r>
              <w:t xml:space="preserve">The fixed fee will be set in </w:t>
            </w:r>
            <w:r w:rsidR="00A63A6C">
              <w:t>r</w:t>
            </w:r>
            <w:r>
              <w:t>egulations and will apply to all applications.</w:t>
            </w:r>
          </w:p>
          <w:p w14:paraId="697B48C8" w14:textId="278EADC2" w:rsidR="00955595" w:rsidRDefault="00A61754" w:rsidP="005B7016">
            <w:pPr>
              <w:pStyle w:val="ListParagraph"/>
              <w:numPr>
                <w:ilvl w:val="0"/>
                <w:numId w:val="35"/>
              </w:numPr>
              <w:spacing w:before="56" w:after="32"/>
            </w:pPr>
            <w:r w:rsidRPr="00A61754">
              <w:t>An adjustment to the fee will be made, if necessary, upon completion of the application process. The adjustment will allow for either:</w:t>
            </w:r>
          </w:p>
          <w:p w14:paraId="7D2DE92A" w14:textId="07DAC02E" w:rsidR="00A61754" w:rsidRPr="000347B0" w:rsidRDefault="00A61754" w:rsidP="005B7016">
            <w:pPr>
              <w:pStyle w:val="ListParagraph"/>
              <w:numPr>
                <w:ilvl w:val="0"/>
                <w:numId w:val="35"/>
              </w:numPr>
              <w:spacing w:before="56" w:after="32"/>
              <w:ind w:left="741"/>
            </w:pPr>
            <w:r w:rsidRPr="000347B0">
              <w:t xml:space="preserve">repayment of excess funds to the applicant where the </w:t>
            </w:r>
            <w:r w:rsidR="00A63A6C" w:rsidRPr="000347B0">
              <w:t xml:space="preserve">fixed </w:t>
            </w:r>
            <w:r w:rsidRPr="000347B0">
              <w:t>fee paid exceeds the actual costs incurred; or</w:t>
            </w:r>
          </w:p>
          <w:p w14:paraId="4D41E30F" w14:textId="39C5924C" w:rsidR="00772D47" w:rsidRPr="000347B0" w:rsidRDefault="00A61754" w:rsidP="005B7016">
            <w:pPr>
              <w:pStyle w:val="ListParagraph"/>
              <w:numPr>
                <w:ilvl w:val="0"/>
                <w:numId w:val="35"/>
              </w:numPr>
              <w:spacing w:before="56" w:after="32"/>
              <w:ind w:left="741"/>
            </w:pPr>
            <w:r w:rsidRPr="009B586E">
              <w:t>an additional payment by the applicant</w:t>
            </w:r>
            <w:r w:rsidR="0001052D" w:rsidRPr="000347B0">
              <w:t>, capped at $49,000</w:t>
            </w:r>
            <w:r w:rsidR="00E554A2" w:rsidRPr="000347B0">
              <w:t>,</w:t>
            </w:r>
            <w:r w:rsidRPr="000347B0">
              <w:t xml:space="preserve"> if the actual costs incurred </w:t>
            </w:r>
            <w:r w:rsidR="00A63A6C" w:rsidRPr="000347B0">
              <w:t>are greater</w:t>
            </w:r>
            <w:r w:rsidRPr="000347B0">
              <w:t xml:space="preserve"> than the fee already paid</w:t>
            </w:r>
            <w:r w:rsidR="00EF2305" w:rsidRPr="000347B0">
              <w:t>*</w:t>
            </w:r>
            <w:r w:rsidRPr="000347B0">
              <w:t>.</w:t>
            </w:r>
          </w:p>
        </w:tc>
      </w:tr>
    </w:tbl>
    <w:p w14:paraId="16B2F00F" w14:textId="21DFAE34" w:rsidR="00772D47" w:rsidRDefault="00772D47" w:rsidP="00772D47"/>
    <w:p w14:paraId="6DD1C823" w14:textId="19FB1AF5" w:rsidR="001A163D" w:rsidRPr="005507D8" w:rsidRDefault="001A163D" w:rsidP="001A163D">
      <w:pPr>
        <w:pStyle w:val="ListParagraph"/>
        <w:numPr>
          <w:ilvl w:val="0"/>
          <w:numId w:val="29"/>
        </w:numPr>
      </w:pPr>
      <w:r w:rsidRPr="005B7016">
        <w:t xml:space="preserve">The primary difference between the two options is that option one is a preset fee, and option two is an actual cost recovery fee. The renewal fee in this RIS will only apply to one renewal application, as the renewal fee will be reviewed in the next gambling fees review in 2018/19. This will present an oportunity to review the renewal fee and reconsider the options based on the experience of applying the renewal fee to the first renewal application. </w:t>
      </w:r>
    </w:p>
    <w:p w14:paraId="061CE9FC" w14:textId="45A925DB" w:rsidR="00C45D56" w:rsidRDefault="00C45D56" w:rsidP="00C45D56">
      <w:pPr>
        <w:pStyle w:val="ListParagraph"/>
        <w:numPr>
          <w:ilvl w:val="0"/>
          <w:numId w:val="29"/>
        </w:numPr>
      </w:pPr>
      <w:r>
        <w:t>Both options are consistent with the statutory authority for charging fees in section 370 of the Act.</w:t>
      </w:r>
    </w:p>
    <w:p w14:paraId="02D4A72B" w14:textId="5B2A03D2" w:rsidR="00B8390B" w:rsidRDefault="00F32B4B" w:rsidP="00725FB4">
      <w:pPr>
        <w:pStyle w:val="ListParagraph"/>
        <w:numPr>
          <w:ilvl w:val="0"/>
          <w:numId w:val="29"/>
        </w:numPr>
      </w:pPr>
      <w:r>
        <w:t xml:space="preserve">A detailed breakdown of </w:t>
      </w:r>
      <w:r w:rsidR="00B3323D">
        <w:t>the cost components</w:t>
      </w:r>
      <w:r>
        <w:t xml:space="preserve"> by activity and the daily rates for each activity is attached a</w:t>
      </w:r>
      <w:r w:rsidR="00EC2448">
        <w:t>s</w:t>
      </w:r>
      <w:r>
        <w:t xml:space="preserve"> </w:t>
      </w:r>
      <w:r w:rsidRPr="00F32B4B">
        <w:rPr>
          <w:b/>
        </w:rPr>
        <w:t xml:space="preserve">Appendix </w:t>
      </w:r>
      <w:r>
        <w:rPr>
          <w:b/>
        </w:rPr>
        <w:t>B</w:t>
      </w:r>
      <w:r>
        <w:t xml:space="preserve">. </w:t>
      </w:r>
      <w:bookmarkStart w:id="12" w:name="_Toc485653641"/>
    </w:p>
    <w:p w14:paraId="5E6FB219" w14:textId="4532E303" w:rsidR="00C22E3D" w:rsidRPr="00A5469C" w:rsidRDefault="00C22E3D" w:rsidP="00A5469C">
      <w:pPr>
        <w:pStyle w:val="Heading2"/>
        <w:rPr>
          <w:i w:val="0"/>
          <w:sz w:val="28"/>
        </w:rPr>
      </w:pPr>
      <w:bookmarkStart w:id="13" w:name="_Toc487637431"/>
      <w:r w:rsidRPr="00B12390">
        <w:rPr>
          <w:i w:val="0"/>
          <w:sz w:val="28"/>
        </w:rPr>
        <w:t xml:space="preserve">Option </w:t>
      </w:r>
      <w:r w:rsidR="00A63A6C">
        <w:rPr>
          <w:i w:val="0"/>
          <w:sz w:val="28"/>
        </w:rPr>
        <w:t>o</w:t>
      </w:r>
      <w:r w:rsidRPr="00B12390">
        <w:rPr>
          <w:i w:val="0"/>
          <w:sz w:val="28"/>
        </w:rPr>
        <w:t>ne: fixed fee</w:t>
      </w:r>
      <w:bookmarkEnd w:id="12"/>
      <w:bookmarkEnd w:id="13"/>
    </w:p>
    <w:p w14:paraId="641CE2D9" w14:textId="443C84F1" w:rsidR="00397355" w:rsidRDefault="00397355" w:rsidP="00EE679E">
      <w:pPr>
        <w:pStyle w:val="ListParagraph"/>
        <w:numPr>
          <w:ilvl w:val="0"/>
          <w:numId w:val="29"/>
        </w:numPr>
      </w:pPr>
      <w:r>
        <w:t>Option one proposes a fixed fee of $151,000, payable upon application. The fee is based on estimates by the Commission of the total cost of processing a renewal application.</w:t>
      </w:r>
    </w:p>
    <w:p w14:paraId="7E104FF5" w14:textId="77777777" w:rsidR="00C22E3D" w:rsidRDefault="00C22E3D" w:rsidP="00EE679E">
      <w:pPr>
        <w:pStyle w:val="ListParagraph"/>
        <w:numPr>
          <w:ilvl w:val="0"/>
          <w:numId w:val="29"/>
        </w:numPr>
      </w:pPr>
      <w:r>
        <w:t xml:space="preserve">A fixed fee is a recognised and common approach to setting a renewal fee. It is consistent with the approach taken elsewhere in the Gambling (Fees) Regulations 2015. </w:t>
      </w:r>
    </w:p>
    <w:p w14:paraId="0D566B40" w14:textId="4D5E5869" w:rsidR="00C45D56" w:rsidRDefault="00C45D56" w:rsidP="00C45D56">
      <w:pPr>
        <w:pStyle w:val="ListParagraph"/>
        <w:numPr>
          <w:ilvl w:val="0"/>
          <w:numId w:val="29"/>
        </w:numPr>
      </w:pPr>
      <w:r>
        <w:t xml:space="preserve">The benefit of option one is that it offers the greatest certainty to applicants as to the fee payable in advance of making an application. It is relatively simple to set and can be implemented effectively and efficiently. </w:t>
      </w:r>
      <w:r w:rsidR="00D615B6">
        <w:t>Because the renewal fee will only apply to a very small and specific pool of stakeholders, the risk of a disproportionate impact that can sometimes occur with a flat fee is limited.</w:t>
      </w:r>
    </w:p>
    <w:p w14:paraId="17E711FD" w14:textId="2F178D87" w:rsidR="007F4067" w:rsidRDefault="00C45D56" w:rsidP="001D1ED6">
      <w:pPr>
        <w:pStyle w:val="ListParagraph"/>
        <w:numPr>
          <w:ilvl w:val="0"/>
          <w:numId w:val="29"/>
        </w:numPr>
      </w:pPr>
      <w:r>
        <w:t>The</w:t>
      </w:r>
      <w:r w:rsidR="00497F2E">
        <w:t>re is a risk in</w:t>
      </w:r>
      <w:r>
        <w:t xml:space="preserve"> setting a fixed fee in circumstances where the Commission has yet to consider a renewal application</w:t>
      </w:r>
      <w:r w:rsidR="00497F2E">
        <w:t xml:space="preserve">. </w:t>
      </w:r>
      <w:r w:rsidR="001D1ED6">
        <w:t>The Department has based its detailed costings upon specific information provided by the Commission relating to the expected work involved in the application process. However, b</w:t>
      </w:r>
      <w:r w:rsidR="00497F2E">
        <w:t xml:space="preserve">ecause there is no precedent for the </w:t>
      </w:r>
      <w:r w:rsidR="007F4067">
        <w:t xml:space="preserve">Department </w:t>
      </w:r>
      <w:r w:rsidR="00497F2E">
        <w:t xml:space="preserve">to base its estimates on, </w:t>
      </w:r>
      <w:r>
        <w:t xml:space="preserve"> there could be a discrepancy between the renewal fee paid and the actual costs of the Commission to complete the application process. </w:t>
      </w:r>
    </w:p>
    <w:p w14:paraId="52D852E7" w14:textId="20B192CD" w:rsidR="00C22E3D" w:rsidRPr="00F77E5C" w:rsidRDefault="001D1ED6" w:rsidP="00EE679E">
      <w:pPr>
        <w:pStyle w:val="ListParagraph"/>
        <w:numPr>
          <w:ilvl w:val="0"/>
          <w:numId w:val="29"/>
        </w:numPr>
      </w:pPr>
      <w:r w:rsidRPr="001D1ED6">
        <w:t>Based on the analysis above, t</w:t>
      </w:r>
      <w:r w:rsidR="00F51883" w:rsidRPr="001D1ED6">
        <w:t xml:space="preserve">his option is </w:t>
      </w:r>
      <w:r w:rsidR="00F51883" w:rsidRPr="00F51883">
        <w:rPr>
          <w:u w:val="single"/>
        </w:rPr>
        <w:t xml:space="preserve">not </w:t>
      </w:r>
      <w:r w:rsidR="00E74DCB">
        <w:rPr>
          <w:u w:val="single"/>
        </w:rPr>
        <w:t>preferred</w:t>
      </w:r>
      <w:r w:rsidR="00F51883">
        <w:t>.</w:t>
      </w:r>
    </w:p>
    <w:p w14:paraId="6ADA7146" w14:textId="0F3BD59E" w:rsidR="00C22E3D" w:rsidRPr="00B12390" w:rsidRDefault="00C22E3D" w:rsidP="00C22E3D">
      <w:pPr>
        <w:pStyle w:val="Heading2"/>
        <w:rPr>
          <w:i w:val="0"/>
          <w:sz w:val="28"/>
        </w:rPr>
      </w:pPr>
      <w:bookmarkStart w:id="14" w:name="_Toc485653642"/>
      <w:bookmarkStart w:id="15" w:name="_Toc487637432"/>
      <w:r w:rsidRPr="00B12390">
        <w:rPr>
          <w:i w:val="0"/>
          <w:sz w:val="28"/>
        </w:rPr>
        <w:t xml:space="preserve">Option </w:t>
      </w:r>
      <w:r w:rsidR="00A63A6C">
        <w:rPr>
          <w:i w:val="0"/>
          <w:sz w:val="28"/>
        </w:rPr>
        <w:t>t</w:t>
      </w:r>
      <w:r w:rsidRPr="00B12390">
        <w:rPr>
          <w:i w:val="0"/>
          <w:sz w:val="28"/>
        </w:rPr>
        <w:t xml:space="preserve">wo: two-tier fee structure: fixed fee + variable </w:t>
      </w:r>
      <w:r w:rsidR="00AC6181" w:rsidRPr="00B12390">
        <w:rPr>
          <w:i w:val="0"/>
          <w:sz w:val="28"/>
        </w:rPr>
        <w:t>adjustment</w:t>
      </w:r>
      <w:bookmarkEnd w:id="14"/>
      <w:bookmarkEnd w:id="15"/>
    </w:p>
    <w:p w14:paraId="5EE93BF0" w14:textId="01D4B0C8" w:rsidR="00907A31" w:rsidRDefault="00907A31" w:rsidP="008274C3">
      <w:pPr>
        <w:pStyle w:val="ListParagraph"/>
        <w:numPr>
          <w:ilvl w:val="0"/>
          <w:numId w:val="29"/>
        </w:numPr>
      </w:pPr>
      <w:r>
        <w:t>Option two proposes a</w:t>
      </w:r>
      <w:r w:rsidR="00E55D0C">
        <w:t xml:space="preserve">n initial fixed fee of $151,000, </w:t>
      </w:r>
      <w:r>
        <w:t>with a</w:t>
      </w:r>
      <w:r w:rsidR="00E55D0C">
        <w:t>n additional</w:t>
      </w:r>
      <w:r>
        <w:t xml:space="preserve"> variable adjustment based on the actual cost of</w:t>
      </w:r>
      <w:r w:rsidR="00EE2B71">
        <w:t xml:space="preserve"> the Com</w:t>
      </w:r>
      <w:r w:rsidR="005B3F35">
        <w:t>m</w:t>
      </w:r>
      <w:r w:rsidR="00EE2B71">
        <w:t>ission to process a</w:t>
      </w:r>
      <w:r>
        <w:t xml:space="preserve"> renewal application. </w:t>
      </w:r>
      <w:r w:rsidR="005E0DD9">
        <w:t>The total fee would be capped at $200,000.</w:t>
      </w:r>
    </w:p>
    <w:p w14:paraId="57D0348F" w14:textId="6447F347" w:rsidR="008274C3" w:rsidRDefault="008274C3" w:rsidP="008274C3">
      <w:pPr>
        <w:pStyle w:val="ListParagraph"/>
        <w:numPr>
          <w:ilvl w:val="0"/>
          <w:numId w:val="29"/>
        </w:numPr>
      </w:pPr>
      <w:r>
        <w:t>This option is the most equitable</w:t>
      </w:r>
      <w:r w:rsidR="00397355">
        <w:t>,</w:t>
      </w:r>
      <w:r>
        <w:t xml:space="preserve"> </w:t>
      </w:r>
      <w:r w:rsidR="00397355">
        <w:t xml:space="preserve">both </w:t>
      </w:r>
      <w:r>
        <w:t>for applicants and the public generally. It recognises that the cost of processing applications could vary depending on the specific application and ensures that the ful</w:t>
      </w:r>
      <w:r w:rsidR="005529EC">
        <w:t>l cost is paid by the applicant.</w:t>
      </w:r>
    </w:p>
    <w:p w14:paraId="6ACE5017" w14:textId="00BBFCD0" w:rsidR="00EB4F47" w:rsidRDefault="00AA1F86" w:rsidP="004E7601">
      <w:pPr>
        <w:pStyle w:val="ListParagraph"/>
        <w:numPr>
          <w:ilvl w:val="0"/>
          <w:numId w:val="29"/>
        </w:numPr>
      </w:pPr>
      <w:r>
        <w:t xml:space="preserve">The purpose of full cost recovery is to recover only those costs incurred that are considered reasonable and necessary in order to meet the policy objective. While a fixed fee provides </w:t>
      </w:r>
      <w:r w:rsidR="00EB4F47">
        <w:t xml:space="preserve">more </w:t>
      </w:r>
      <w:r>
        <w:t xml:space="preserve">certainty to the applicant, it does not necessarily protect against the over-recovery of costs or costs which may not be considered reasonable and necessary, for example in circumstances where an application is less complex to process than expected.  </w:t>
      </w:r>
    </w:p>
    <w:p w14:paraId="30B7F585" w14:textId="7885B84E" w:rsidR="00AA1F86" w:rsidRDefault="008274C3" w:rsidP="008274C3">
      <w:pPr>
        <w:pStyle w:val="ListParagraph"/>
        <w:numPr>
          <w:ilvl w:val="0"/>
          <w:numId w:val="29"/>
        </w:numPr>
      </w:pPr>
      <w:r>
        <w:t>The provision for adjustment of the renewal fee where it differs from the initial fixed fee ensures against over or under-recove</w:t>
      </w:r>
      <w:r w:rsidR="00AA1F86">
        <w:t xml:space="preserve">ry of costs. The cap specifying the maximum amount over which the renewal fee must not exceed provides a degree of certainty to applicants as to the maximum amount they may be required to pay. </w:t>
      </w:r>
    </w:p>
    <w:p w14:paraId="153FF04B" w14:textId="77777777" w:rsidR="00740AF2" w:rsidRDefault="008274C3" w:rsidP="008274C3">
      <w:pPr>
        <w:pStyle w:val="ListParagraph"/>
        <w:numPr>
          <w:ilvl w:val="0"/>
          <w:numId w:val="29"/>
        </w:numPr>
      </w:pPr>
      <w:r>
        <w:t xml:space="preserve">It is most likely that </w:t>
      </w:r>
      <w:r w:rsidR="00397355">
        <w:t>an</w:t>
      </w:r>
      <w:r>
        <w:t xml:space="preserve"> adjustment would only apply to applications that are r</w:t>
      </w:r>
      <w:r w:rsidR="00375BBD">
        <w:t xml:space="preserve">elatively more or less complex </w:t>
      </w:r>
      <w:r>
        <w:t xml:space="preserve">for the Commission to process. </w:t>
      </w:r>
      <w:r w:rsidR="00375BBD">
        <w:t xml:space="preserve">The level of complexity will directly affect the level of resources required. </w:t>
      </w:r>
      <w:r>
        <w:t xml:space="preserve">The </w:t>
      </w:r>
      <w:r w:rsidR="008A5672">
        <w:t xml:space="preserve">full range of costs for the </w:t>
      </w:r>
      <w:r>
        <w:t>expected work involved to process applications that are of an un</w:t>
      </w:r>
      <w:r w:rsidR="007407C8">
        <w:t>expected complexity is from $151</w:t>
      </w:r>
      <w:r>
        <w:t>,000 to $200,000. This range has been based o</w:t>
      </w:r>
      <w:r w:rsidR="00397355">
        <w:t>n</w:t>
      </w:r>
      <w:r>
        <w:t xml:space="preserve"> detailed information provided to the Department by the Commission.</w:t>
      </w:r>
    </w:p>
    <w:p w14:paraId="1840D866" w14:textId="6B65D0D8" w:rsidR="008274C3" w:rsidRDefault="00740AF2" w:rsidP="008274C3">
      <w:pPr>
        <w:pStyle w:val="ListParagraph"/>
        <w:numPr>
          <w:ilvl w:val="0"/>
          <w:numId w:val="29"/>
        </w:numPr>
      </w:pPr>
      <w:r>
        <w:t xml:space="preserve">The Commission has advised that it considers the cost of most, if not all, applications will be at the lower end of the range. An application may incur costs at the top of the range, though this would be a rare case. The Department has relied on the Commission’s expertise and </w:t>
      </w:r>
      <w:r w:rsidR="00AA1F86">
        <w:t xml:space="preserve"> considers it reasonable to cap the adjustment for additional payment at $49,000, therefore setting the maximum possible renewal fee at $200,000.</w:t>
      </w:r>
    </w:p>
    <w:p w14:paraId="29C3FAE2" w14:textId="43FCEB16" w:rsidR="00EA01A9" w:rsidRDefault="008274C3" w:rsidP="00AA1F86">
      <w:pPr>
        <w:pStyle w:val="ListParagraph"/>
        <w:numPr>
          <w:ilvl w:val="0"/>
          <w:numId w:val="29"/>
        </w:numPr>
      </w:pPr>
      <w:r>
        <w:t xml:space="preserve">This will enable more effective cost recovery and will be fully </w:t>
      </w:r>
      <w:r w:rsidR="00AA1F86">
        <w:t>transparent as to actual</w:t>
      </w:r>
      <w:r w:rsidR="00DE7D40">
        <w:t xml:space="preserve"> costs incurred.</w:t>
      </w:r>
      <w:r w:rsidR="004E7601">
        <w:t xml:space="preserve"> However, because the total renewal fee is relatively uncertain until the a</w:t>
      </w:r>
      <w:r w:rsidR="00EA01A9">
        <w:t>p</w:t>
      </w:r>
      <w:r w:rsidR="004E7601">
        <w:t>plication process is complete, this option could be less efficient</w:t>
      </w:r>
      <w:r w:rsidR="005507D8">
        <w:t xml:space="preserve"> than option one</w:t>
      </w:r>
      <w:r w:rsidR="004E7601">
        <w:t xml:space="preserve"> in terms of charging and collecting the total renewal fee. </w:t>
      </w:r>
    </w:p>
    <w:p w14:paraId="742BB357" w14:textId="7ADF0EB3" w:rsidR="00EA01A9" w:rsidRDefault="00EA01A9" w:rsidP="00AA1F86">
      <w:pPr>
        <w:pStyle w:val="ListParagraph"/>
        <w:numPr>
          <w:ilvl w:val="0"/>
          <w:numId w:val="29"/>
        </w:numPr>
      </w:pPr>
      <w:r>
        <w:t xml:space="preserve">How the adjustment will be assessed and the final fee communicated to applicants has not been determined at this stage. It is likely that this part of the process will incur additional costs for the Commission which will be passed on to applicants as part of the adjusted final fee. </w:t>
      </w:r>
      <w:r w:rsidR="00704979">
        <w:t xml:space="preserve">For this reason, the Department has proposed to set the initial fixed fee at $151,000 rather </w:t>
      </w:r>
      <w:r w:rsidR="00704979" w:rsidRPr="002D2193">
        <w:rPr>
          <w:bCs/>
        </w:rPr>
        <w:t>$150,295</w:t>
      </w:r>
      <w:r w:rsidR="00704979">
        <w:rPr>
          <w:bCs/>
        </w:rPr>
        <w:t xml:space="preserve"> as estimated by the Commission</w:t>
      </w:r>
      <w:r w:rsidR="001370B6">
        <w:rPr>
          <w:bCs/>
        </w:rPr>
        <w:t xml:space="preserve"> (</w:t>
      </w:r>
      <w:r w:rsidR="001370B6">
        <w:rPr>
          <w:b/>
          <w:bCs/>
        </w:rPr>
        <w:t>Appendix B</w:t>
      </w:r>
      <w:r w:rsidR="001370B6">
        <w:rPr>
          <w:bCs/>
        </w:rPr>
        <w:t>)</w:t>
      </w:r>
      <w:r w:rsidR="00704979">
        <w:rPr>
          <w:bCs/>
        </w:rPr>
        <w:t xml:space="preserve">. It is expected that any additional costs </w:t>
      </w:r>
      <w:r w:rsidR="000F317A">
        <w:rPr>
          <w:bCs/>
        </w:rPr>
        <w:t>related to d</w:t>
      </w:r>
      <w:r w:rsidR="00ED7E93">
        <w:rPr>
          <w:bCs/>
        </w:rPr>
        <w:t xml:space="preserve">etermining and communicating any </w:t>
      </w:r>
      <w:r w:rsidR="00704979">
        <w:rPr>
          <w:bCs/>
        </w:rPr>
        <w:t xml:space="preserve">adjustment would be absorbed by the rounding up of the initial fixed fee. </w:t>
      </w:r>
    </w:p>
    <w:p w14:paraId="70BB4A02" w14:textId="1C5B3448" w:rsidR="008274C3" w:rsidRDefault="004E7601" w:rsidP="00AA1F86">
      <w:pPr>
        <w:pStyle w:val="ListParagraph"/>
        <w:numPr>
          <w:ilvl w:val="0"/>
          <w:numId w:val="29"/>
        </w:numPr>
      </w:pPr>
      <w:r>
        <w:t xml:space="preserve">The Department </w:t>
      </w:r>
      <w:r w:rsidR="00CA7B1A">
        <w:t>has assessed the</w:t>
      </w:r>
      <w:r w:rsidR="00A01611">
        <w:t xml:space="preserve"> disadvantages noted above</w:t>
      </w:r>
      <w:r w:rsidR="00EA01A9">
        <w:t xml:space="preserve"> and considers that they are </w:t>
      </w:r>
      <w:r>
        <w:t>trade-of</w:t>
      </w:r>
      <w:r w:rsidR="00EA01A9">
        <w:t>fs that are</w:t>
      </w:r>
      <w:r>
        <w:t xml:space="preserve"> necessary in order to fulfill the statutory and policy intent of full cost recovery.</w:t>
      </w:r>
      <w:r w:rsidR="00704979">
        <w:t xml:space="preserve"> </w:t>
      </w:r>
    </w:p>
    <w:p w14:paraId="264B653E" w14:textId="32BAAE8C" w:rsidR="008274C3" w:rsidRDefault="004E7601" w:rsidP="00EE679E">
      <w:pPr>
        <w:pStyle w:val="Bullet"/>
        <w:numPr>
          <w:ilvl w:val="0"/>
          <w:numId w:val="29"/>
        </w:numPr>
      </w:pPr>
      <w:r>
        <w:t xml:space="preserve">This is the </w:t>
      </w:r>
      <w:r w:rsidR="00E74DCB">
        <w:rPr>
          <w:u w:val="single"/>
        </w:rPr>
        <w:t xml:space="preserve">preferred </w:t>
      </w:r>
      <w:r w:rsidRPr="00200FB9">
        <w:rPr>
          <w:u w:val="single"/>
        </w:rPr>
        <w:t>option</w:t>
      </w:r>
      <w:r>
        <w:t>.</w:t>
      </w:r>
    </w:p>
    <w:p w14:paraId="0BBC4F4A" w14:textId="2F295392" w:rsidR="00E2269C" w:rsidRDefault="00E2269C" w:rsidP="00BF6D8C">
      <w:pPr>
        <w:pStyle w:val="Heading2"/>
        <w:spacing w:before="360"/>
        <w:contextualSpacing/>
        <w:rPr>
          <w:rFonts w:ascii="Arial" w:eastAsia="Arial" w:hAnsi="Arial" w:cs="Arial"/>
          <w:i w:val="0"/>
          <w:color w:val="1F546B" w:themeColor="text2"/>
          <w:sz w:val="36"/>
          <w:szCs w:val="36"/>
        </w:rPr>
      </w:pPr>
      <w:r>
        <w:rPr>
          <w:rFonts w:ascii="Arial" w:eastAsia="Arial" w:hAnsi="Arial" w:cs="Arial"/>
          <w:i w:val="0"/>
          <w:color w:val="1F546B" w:themeColor="text2"/>
          <w:sz w:val="36"/>
          <w:szCs w:val="36"/>
        </w:rPr>
        <w:br w:type="page"/>
      </w:r>
    </w:p>
    <w:p w14:paraId="52E55331" w14:textId="080039F6" w:rsidR="00BF6D8C" w:rsidRPr="00BF6D8C" w:rsidRDefault="00264E9B" w:rsidP="00BF6D8C">
      <w:pPr>
        <w:pStyle w:val="Heading2"/>
        <w:spacing w:before="360"/>
        <w:contextualSpacing/>
        <w:rPr>
          <w:rFonts w:ascii="Arial" w:eastAsia="Arial" w:hAnsi="Arial" w:cs="Arial"/>
          <w:color w:val="1F546B" w:themeColor="text2"/>
          <w:sz w:val="36"/>
          <w:szCs w:val="36"/>
        </w:rPr>
      </w:pPr>
      <w:bookmarkStart w:id="16" w:name="_Toc487637433"/>
      <w:r w:rsidRPr="001B03BB">
        <w:rPr>
          <w:rFonts w:ascii="Arial" w:eastAsia="Arial" w:hAnsi="Arial" w:cs="Arial"/>
          <w:i w:val="0"/>
          <w:color w:val="1F546B" w:themeColor="text2"/>
          <w:sz w:val="36"/>
          <w:szCs w:val="36"/>
        </w:rPr>
        <w:t>Consul</w:t>
      </w:r>
      <w:r w:rsidR="00BF6D8C">
        <w:rPr>
          <w:rFonts w:ascii="Arial" w:eastAsia="Arial" w:hAnsi="Arial" w:cs="Arial"/>
          <w:i w:val="0"/>
          <w:color w:val="1F546B" w:themeColor="text2"/>
          <w:sz w:val="36"/>
          <w:szCs w:val="36"/>
        </w:rPr>
        <w:t>tation</w:t>
      </w:r>
      <w:bookmarkEnd w:id="16"/>
    </w:p>
    <w:p w14:paraId="0222D3D4" w14:textId="6313888C" w:rsidR="00EE679E" w:rsidRPr="00EE679E" w:rsidRDefault="00EE679E" w:rsidP="00EE679E">
      <w:pPr>
        <w:pStyle w:val="ListParagraph"/>
        <w:numPr>
          <w:ilvl w:val="0"/>
          <w:numId w:val="29"/>
        </w:numPr>
      </w:pPr>
      <w:r w:rsidRPr="00EE679E">
        <w:t>Section 372 of the Act contains specific consultation requirements that must be met before regulations are made. Th</w:t>
      </w:r>
      <w:r w:rsidR="00397355">
        <w:t>ese</w:t>
      </w:r>
      <w:r w:rsidRPr="00EE679E">
        <w:t xml:space="preserve"> include:</w:t>
      </w:r>
    </w:p>
    <w:p w14:paraId="24827EAB" w14:textId="77777777" w:rsidR="00282148" w:rsidRDefault="00EE679E" w:rsidP="00282148">
      <w:pPr>
        <w:pStyle w:val="ListParagraph"/>
        <w:numPr>
          <w:ilvl w:val="1"/>
          <w:numId w:val="46"/>
        </w:numPr>
        <w:ind w:left="1276" w:hanging="567"/>
      </w:pPr>
      <w:r>
        <w:t>g</w:t>
      </w:r>
      <w:r w:rsidRPr="00EE679E">
        <w:t>iving adequate and appropriate notice of intention to make the regulations;</w:t>
      </w:r>
    </w:p>
    <w:p w14:paraId="6A982755" w14:textId="77777777" w:rsidR="00282148" w:rsidRDefault="00EE679E" w:rsidP="00282148">
      <w:pPr>
        <w:pStyle w:val="ListParagraph"/>
        <w:numPr>
          <w:ilvl w:val="1"/>
          <w:numId w:val="46"/>
        </w:numPr>
        <w:ind w:left="1276" w:hanging="567"/>
      </w:pPr>
      <w:r>
        <w:t>g</w:t>
      </w:r>
      <w:r w:rsidRPr="00EE679E">
        <w:t xml:space="preserve">iving reasonable </w:t>
      </w:r>
      <w:r>
        <w:t>opportun</w:t>
      </w:r>
      <w:r w:rsidRPr="00EE679E">
        <w:t>ity for interested persons to make submissions; and</w:t>
      </w:r>
    </w:p>
    <w:p w14:paraId="5A344670" w14:textId="6A29D8CB" w:rsidR="00EE679E" w:rsidRDefault="00EE679E" w:rsidP="00282148">
      <w:pPr>
        <w:pStyle w:val="ListParagraph"/>
        <w:numPr>
          <w:ilvl w:val="1"/>
          <w:numId w:val="46"/>
        </w:numPr>
        <w:ind w:left="1276" w:hanging="567"/>
      </w:pPr>
      <w:r>
        <w:t>a</w:t>
      </w:r>
      <w:r w:rsidRPr="00EE679E">
        <w:t xml:space="preserve">dequate and appropriate consideration of submissions. </w:t>
      </w:r>
    </w:p>
    <w:p w14:paraId="6FC4DAD2" w14:textId="77777777" w:rsidR="008D3278" w:rsidRDefault="008D3278" w:rsidP="008D3278">
      <w:pPr>
        <w:pStyle w:val="ListParagraph"/>
        <w:numPr>
          <w:ilvl w:val="0"/>
          <w:numId w:val="29"/>
        </w:numPr>
        <w:rPr>
          <w:noProof w:val="0"/>
        </w:rPr>
      </w:pPr>
      <w:r>
        <w:t xml:space="preserve">The Department undertook consultation from 22-30 June 2017 on the proposed regulations in two ways: specific and targeted consultation with casino operators and other key stakeholders; and general public consultation through the Department’s website. </w:t>
      </w:r>
    </w:p>
    <w:p w14:paraId="15649852" w14:textId="3EDC50C3" w:rsidR="00200FB9" w:rsidRDefault="00200FB9" w:rsidP="00200FB9">
      <w:pPr>
        <w:pStyle w:val="ListParagraph"/>
        <w:numPr>
          <w:ilvl w:val="0"/>
          <w:numId w:val="29"/>
        </w:numPr>
      </w:pPr>
      <w:r>
        <w:t xml:space="preserve">A truncated priod of consultation was undertaken for two reasons. First, consultation was on the discrete point of the amount and method of setting the renewal fee. It is of an administrative nature solely for the purpose of processing a renewal application and will not affect the decision of the Commission to grant a renewal in any way. Secondly, the proposed renewal fee </w:t>
      </w:r>
      <w:r w:rsidR="008D3278">
        <w:t xml:space="preserve">does </w:t>
      </w:r>
      <w:r>
        <w:t>not require compliance on the part of the public and only affect</w:t>
      </w:r>
      <w:r w:rsidR="008D3278">
        <w:t>s</w:t>
      </w:r>
      <w:r>
        <w:t xml:space="preserve"> a specific and limited group of stakeholders. </w:t>
      </w:r>
    </w:p>
    <w:p w14:paraId="4EC80BA7" w14:textId="77DD72F2" w:rsidR="00200FB9" w:rsidRDefault="00200FB9" w:rsidP="0001052D">
      <w:pPr>
        <w:pStyle w:val="ListParagraph"/>
        <w:numPr>
          <w:ilvl w:val="0"/>
          <w:numId w:val="29"/>
        </w:numPr>
      </w:pPr>
      <w:r>
        <w:t>Based on these factors, the Department considered that a short, targeted consultation was justified and met the requirements under section 372 of the Act.</w:t>
      </w:r>
    </w:p>
    <w:p w14:paraId="5EC6EEB1" w14:textId="77777777" w:rsidR="00200FB9" w:rsidRPr="00EE679E" w:rsidRDefault="00200FB9" w:rsidP="00200FB9">
      <w:pPr>
        <w:pStyle w:val="ListParagraph"/>
        <w:numPr>
          <w:ilvl w:val="0"/>
          <w:numId w:val="0"/>
        </w:numPr>
        <w:ind w:left="567"/>
      </w:pPr>
    </w:p>
    <w:p w14:paraId="54791F64" w14:textId="6DE832B0" w:rsidR="00BF6D8C" w:rsidRPr="00BF6D8C" w:rsidRDefault="00BF6D8C" w:rsidP="00BF6D8C">
      <w:pPr>
        <w:pStyle w:val="Numberedpara3level1"/>
        <w:numPr>
          <w:ilvl w:val="0"/>
          <w:numId w:val="0"/>
        </w:numPr>
        <w:ind w:left="567" w:hanging="567"/>
        <w:rPr>
          <w:b/>
          <w:sz w:val="28"/>
        </w:rPr>
      </w:pPr>
      <w:r w:rsidRPr="00BF6D8C">
        <w:rPr>
          <w:b/>
          <w:sz w:val="28"/>
        </w:rPr>
        <w:t>Targeted consultation</w:t>
      </w:r>
    </w:p>
    <w:p w14:paraId="3825BB52" w14:textId="70C6BD4D" w:rsidR="00EE679E" w:rsidRDefault="00EA3F36" w:rsidP="00B718B2">
      <w:pPr>
        <w:pStyle w:val="Numberedpara3level1"/>
        <w:numPr>
          <w:ilvl w:val="0"/>
          <w:numId w:val="29"/>
        </w:numPr>
      </w:pPr>
      <w:r>
        <w:t xml:space="preserve">The Department consulted with </w:t>
      </w:r>
      <w:r w:rsidR="008D3278">
        <w:t>the following casino operators</w:t>
      </w:r>
      <w:r>
        <w:t xml:space="preserve"> </w:t>
      </w:r>
      <w:r w:rsidR="008D3278">
        <w:t>that are</w:t>
      </w:r>
      <w:r w:rsidR="00A73474">
        <w:t xml:space="preserve"> affected by the proposed renewal fee and regulations</w:t>
      </w:r>
      <w:r w:rsidR="008D3278">
        <w:t>:</w:t>
      </w:r>
      <w:r w:rsidR="00A73474">
        <w:t xml:space="preserve"> </w:t>
      </w:r>
    </w:p>
    <w:p w14:paraId="1840D079" w14:textId="7454AE6F" w:rsidR="00282148" w:rsidRDefault="008D3278" w:rsidP="00282148">
      <w:pPr>
        <w:pStyle w:val="ListParagraph"/>
        <w:numPr>
          <w:ilvl w:val="1"/>
          <w:numId w:val="50"/>
        </w:numPr>
        <w:ind w:left="1276" w:hanging="567"/>
      </w:pPr>
      <w:r>
        <w:t>Christchurch Casinos Limited;</w:t>
      </w:r>
    </w:p>
    <w:p w14:paraId="3BBA8D23" w14:textId="77777777" w:rsidR="00282148" w:rsidRDefault="008D3278" w:rsidP="00282148">
      <w:pPr>
        <w:pStyle w:val="ListParagraph"/>
        <w:numPr>
          <w:ilvl w:val="1"/>
          <w:numId w:val="50"/>
        </w:numPr>
        <w:ind w:left="1276" w:hanging="567"/>
      </w:pPr>
      <w:r>
        <w:t>Dunedin Casinos Limited; and</w:t>
      </w:r>
    </w:p>
    <w:p w14:paraId="2A9D8F04" w14:textId="7F673D91" w:rsidR="008D3278" w:rsidRDefault="008D3278" w:rsidP="00282148">
      <w:pPr>
        <w:pStyle w:val="ListParagraph"/>
        <w:numPr>
          <w:ilvl w:val="1"/>
          <w:numId w:val="50"/>
        </w:numPr>
        <w:ind w:left="1276" w:hanging="567"/>
      </w:pPr>
      <w:r>
        <w:t>SKYCITY Entertainment Group.</w:t>
      </w:r>
      <w:r w:rsidR="00D44087">
        <w:rPr>
          <w:rStyle w:val="FootnoteReference"/>
        </w:rPr>
        <w:footnoteReference w:id="10"/>
      </w:r>
    </w:p>
    <w:p w14:paraId="78B977C0" w14:textId="0547E728" w:rsidR="008D3278" w:rsidRDefault="00907A31" w:rsidP="00F94DB3">
      <w:pPr>
        <w:pStyle w:val="Numberedpara3level1"/>
        <w:numPr>
          <w:ilvl w:val="0"/>
          <w:numId w:val="29"/>
        </w:numPr>
      </w:pPr>
      <w:r>
        <w:t>The Department also consulted with the Problem Gambling Foundation and the Salvation Army. Both are key stakeholders in terms of the impacts of harm from gambling.</w:t>
      </w:r>
    </w:p>
    <w:p w14:paraId="5E413104" w14:textId="6B04DC07" w:rsidR="00FB0576" w:rsidRDefault="009776B9" w:rsidP="00F94DB3">
      <w:pPr>
        <w:pStyle w:val="Numberedpara3level1"/>
        <w:numPr>
          <w:ilvl w:val="0"/>
          <w:numId w:val="29"/>
        </w:numPr>
      </w:pPr>
      <w:r>
        <w:t>Submissions were received from all of the targeted stakeholders. The majority</w:t>
      </w:r>
      <w:r w:rsidR="00FB0576">
        <w:t xml:space="preserve"> agreed that option two presents the fairest possible option for setting the renewal fee. Submitters cited as reasons for their preference the certainty provided by specifying the maximum total renewal fee</w:t>
      </w:r>
      <w:r w:rsidR="002D2287">
        <w:t xml:space="preserve">, and the provision for adjustment. </w:t>
      </w:r>
      <w:r w:rsidR="00E83A47">
        <w:t xml:space="preserve">In particular, Christchurch Casinos Limited noted that the provision for adjustment enables a level of scalability in the renewal fee to reflect the varying shapes and sizes of </w:t>
      </w:r>
      <w:r w:rsidR="001D28D0">
        <w:t>casinos in New Zealand.</w:t>
      </w:r>
    </w:p>
    <w:p w14:paraId="1FFADB31" w14:textId="319829CD" w:rsidR="00681C1A" w:rsidRDefault="00681C1A" w:rsidP="00F94DB3">
      <w:pPr>
        <w:pStyle w:val="Numberedpara3level1"/>
        <w:numPr>
          <w:ilvl w:val="0"/>
          <w:numId w:val="29"/>
        </w:numPr>
      </w:pPr>
      <w:r>
        <w:t>Submitters agreed that the application process is costly and time consuming. They considered that the level of the renewal fee proposed under option two ($151,000</w:t>
      </w:r>
      <w:r w:rsidR="00D44087">
        <w:t>,</w:t>
      </w:r>
      <w:r>
        <w:t xml:space="preserve"> with a cap of $200,000) is reasonable, and that the Act provides for the recovery of </w:t>
      </w:r>
      <w:r w:rsidR="00636CB3">
        <w:t>this cost.</w:t>
      </w:r>
      <w:r>
        <w:t xml:space="preserve"> </w:t>
      </w:r>
    </w:p>
    <w:p w14:paraId="26DA22F3" w14:textId="77777777" w:rsidR="000B7B42" w:rsidRDefault="009776B9" w:rsidP="009776B9">
      <w:pPr>
        <w:pStyle w:val="Numberedpara3level1"/>
        <w:numPr>
          <w:ilvl w:val="0"/>
          <w:numId w:val="29"/>
        </w:numPr>
      </w:pPr>
      <w:r>
        <w:t xml:space="preserve">Dunedin Casinos Limited was the only submitter in favour of option one. It considered that the greater certainty and simplicity provided by option one was better suited for a casino of its relatively smaller size. </w:t>
      </w:r>
    </w:p>
    <w:p w14:paraId="603D817B" w14:textId="35887032" w:rsidR="009776B9" w:rsidRDefault="000B7B42" w:rsidP="009776B9">
      <w:pPr>
        <w:pStyle w:val="Numberedpara3level1"/>
        <w:numPr>
          <w:ilvl w:val="0"/>
          <w:numId w:val="29"/>
        </w:numPr>
      </w:pPr>
      <w:r>
        <w:t xml:space="preserve">The Department understands Dunedin Casinos Limited’s position and has considered its comments. Overall however, the Department considers that option two is appropriate as it offers a more tailored approach that is flexible to the characteristics of all casinos and applications. </w:t>
      </w:r>
    </w:p>
    <w:p w14:paraId="73393467" w14:textId="77777777" w:rsidR="00BF6D8C" w:rsidRPr="00BF6D8C" w:rsidRDefault="00BF6D8C" w:rsidP="00BF6D8C">
      <w:pPr>
        <w:pStyle w:val="Numberedpara3level1"/>
        <w:numPr>
          <w:ilvl w:val="0"/>
          <w:numId w:val="0"/>
        </w:numPr>
        <w:rPr>
          <w:b/>
          <w:sz w:val="28"/>
        </w:rPr>
      </w:pPr>
      <w:r w:rsidRPr="00BF6D8C">
        <w:rPr>
          <w:b/>
          <w:sz w:val="28"/>
        </w:rPr>
        <w:t>Public consultation</w:t>
      </w:r>
    </w:p>
    <w:p w14:paraId="18F09D85" w14:textId="1CC1128B" w:rsidR="00264E9B" w:rsidRDefault="00463F60" w:rsidP="00EE679E">
      <w:pPr>
        <w:pStyle w:val="Numberedpara3level1"/>
        <w:numPr>
          <w:ilvl w:val="0"/>
          <w:numId w:val="29"/>
        </w:numPr>
      </w:pPr>
      <w:r>
        <w:t>The Department made the proposal available for public consultation</w:t>
      </w:r>
      <w:r w:rsidR="00144B7B">
        <w:t xml:space="preserve"> and invited submissions</w:t>
      </w:r>
      <w:r>
        <w:t xml:space="preserve"> on its website</w:t>
      </w:r>
      <w:r w:rsidR="00144B7B">
        <w:t>.</w:t>
      </w:r>
    </w:p>
    <w:p w14:paraId="349F6B45" w14:textId="1C10BEB4" w:rsidR="00F94DB3" w:rsidRPr="00D31ABB" w:rsidRDefault="00D31ABB" w:rsidP="00EE679E">
      <w:pPr>
        <w:pStyle w:val="Numberedpara3level1"/>
        <w:numPr>
          <w:ilvl w:val="0"/>
          <w:numId w:val="29"/>
        </w:numPr>
      </w:pPr>
      <w:r w:rsidRPr="00D31ABB">
        <w:t xml:space="preserve">No public submissions were received by the Department. </w:t>
      </w:r>
    </w:p>
    <w:p w14:paraId="71182C42" w14:textId="77777777" w:rsidR="00E2269C" w:rsidRDefault="00E2269C" w:rsidP="00580B0E">
      <w:pPr>
        <w:pStyle w:val="Heading2"/>
        <w:spacing w:before="360"/>
        <w:contextualSpacing/>
        <w:rPr>
          <w:rFonts w:ascii="Arial" w:eastAsia="Arial" w:hAnsi="Arial" w:cs="Arial"/>
          <w:i w:val="0"/>
          <w:color w:val="1F546B" w:themeColor="text2"/>
          <w:sz w:val="36"/>
          <w:szCs w:val="36"/>
        </w:rPr>
      </w:pPr>
      <w:r>
        <w:rPr>
          <w:rFonts w:ascii="Arial" w:eastAsia="Arial" w:hAnsi="Arial" w:cs="Arial"/>
          <w:i w:val="0"/>
          <w:color w:val="1F546B" w:themeColor="text2"/>
          <w:sz w:val="36"/>
          <w:szCs w:val="36"/>
        </w:rPr>
        <w:br w:type="page"/>
      </w:r>
    </w:p>
    <w:p w14:paraId="18F09D86" w14:textId="1F4D3C8A" w:rsidR="00264E9B" w:rsidRPr="00580B0E" w:rsidRDefault="00264E9B" w:rsidP="00580B0E">
      <w:pPr>
        <w:pStyle w:val="Heading2"/>
        <w:spacing w:before="360"/>
        <w:contextualSpacing/>
        <w:rPr>
          <w:rFonts w:ascii="Arial" w:eastAsia="Arial" w:hAnsi="Arial" w:cs="Arial"/>
          <w:i w:val="0"/>
          <w:color w:val="1F546B" w:themeColor="text2"/>
          <w:sz w:val="36"/>
          <w:szCs w:val="36"/>
        </w:rPr>
      </w:pPr>
      <w:bookmarkStart w:id="17" w:name="_Toc487637434"/>
      <w:r w:rsidRPr="00580B0E">
        <w:rPr>
          <w:rFonts w:ascii="Arial" w:eastAsia="Arial" w:hAnsi="Arial" w:cs="Arial"/>
          <w:i w:val="0"/>
          <w:color w:val="1F546B" w:themeColor="text2"/>
          <w:sz w:val="36"/>
          <w:szCs w:val="36"/>
        </w:rPr>
        <w:t>Conclusions and recommendations</w:t>
      </w:r>
      <w:bookmarkEnd w:id="17"/>
    </w:p>
    <w:p w14:paraId="4B57E434" w14:textId="77777777" w:rsidR="00C63A86" w:rsidRDefault="00C63A86" w:rsidP="00EE679E">
      <w:pPr>
        <w:pStyle w:val="Numberedpara3level1"/>
        <w:numPr>
          <w:ilvl w:val="0"/>
          <w:numId w:val="29"/>
        </w:numPr>
      </w:pPr>
      <w:r>
        <w:t>The Department has developed two options for the making of regulations setting the casino venue licence renewal fee.</w:t>
      </w:r>
    </w:p>
    <w:p w14:paraId="2C786B86" w14:textId="182227F4" w:rsidR="00C63A86" w:rsidRDefault="00C63A86" w:rsidP="00EE679E">
      <w:pPr>
        <w:pStyle w:val="Numberedpara3level1"/>
        <w:numPr>
          <w:ilvl w:val="0"/>
          <w:numId w:val="29"/>
        </w:numPr>
      </w:pPr>
      <w:r>
        <w:t xml:space="preserve">Option one is a fixed fee </w:t>
      </w:r>
      <w:r w:rsidR="00CB5DF4">
        <w:t>of $151,000</w:t>
      </w:r>
      <w:r w:rsidR="005E0DD9">
        <w:t xml:space="preserve"> </w:t>
      </w:r>
      <w:r>
        <w:t xml:space="preserve">that is set by regulation. The total fee will be due and payable when a renewal application is made. </w:t>
      </w:r>
    </w:p>
    <w:p w14:paraId="6249DA72" w14:textId="503D0223" w:rsidR="00C63A86" w:rsidRDefault="00C63A86" w:rsidP="00EE679E">
      <w:pPr>
        <w:pStyle w:val="Numberedpara3level1"/>
        <w:numPr>
          <w:ilvl w:val="0"/>
          <w:numId w:val="29"/>
        </w:numPr>
      </w:pPr>
      <w:r>
        <w:t xml:space="preserve">Option two is a two-tiered fee, made up of an initial fixed fee of the same amount and nature as in option one. There will also be provision for an adjustment where the initial fixed fee does not meet, or </w:t>
      </w:r>
      <w:r w:rsidR="00907A31">
        <w:t>exceeds</w:t>
      </w:r>
      <w:r>
        <w:t>, the actual costs of processing the application. Th</w:t>
      </w:r>
      <w:r w:rsidR="00907A31">
        <w:t>e</w:t>
      </w:r>
      <w:r>
        <w:t xml:space="preserve"> adjustment will be payable by the applicant, or refund</w:t>
      </w:r>
      <w:r w:rsidR="00907A31">
        <w:t>ed</w:t>
      </w:r>
      <w:r>
        <w:t xml:space="preserve"> by the Commission, upon completion of the application process. </w:t>
      </w:r>
      <w:r w:rsidR="00907A31">
        <w:t xml:space="preserve">Any adjustment upwards will be </w:t>
      </w:r>
      <w:r w:rsidR="005E0DD9">
        <w:t>at a maximum of</w:t>
      </w:r>
      <w:r w:rsidR="00907A31">
        <w:t xml:space="preserve"> $49,000</w:t>
      </w:r>
      <w:r w:rsidR="00F051C4">
        <w:t xml:space="preserve"> </w:t>
      </w:r>
      <w:r w:rsidR="005E0DD9">
        <w:t>and the total</w:t>
      </w:r>
      <w:r w:rsidR="00F94DB3">
        <w:t xml:space="preserve"> </w:t>
      </w:r>
      <w:r w:rsidR="005E0DD9">
        <w:t>fee payable will be capped at $200,000.</w:t>
      </w:r>
    </w:p>
    <w:p w14:paraId="461DA52C" w14:textId="41A3C056" w:rsidR="00580B0E" w:rsidRDefault="002C06EB" w:rsidP="00F46ED8">
      <w:pPr>
        <w:pStyle w:val="Numberedpara3level1"/>
        <w:numPr>
          <w:ilvl w:val="0"/>
          <w:numId w:val="29"/>
        </w:numPr>
      </w:pPr>
      <w:r>
        <w:t xml:space="preserve">Based on the analysis in this document, </w:t>
      </w:r>
      <w:r w:rsidR="00EC2448">
        <w:t>the Department</w:t>
      </w:r>
      <w:r>
        <w:t xml:space="preserve"> </w:t>
      </w:r>
      <w:r w:rsidR="00E2269C">
        <w:t>recommend</w:t>
      </w:r>
      <w:r w:rsidR="00EC2448">
        <w:t>s</w:t>
      </w:r>
      <w:r w:rsidR="00E2269C">
        <w:t xml:space="preserve"> that</w:t>
      </w:r>
      <w:r w:rsidR="00C63A86">
        <w:t xml:space="preserve"> </w:t>
      </w:r>
      <w:r w:rsidR="002F4305">
        <w:t xml:space="preserve">regulations are made setting the renewal fee under </w:t>
      </w:r>
      <w:r w:rsidR="00D92E0E" w:rsidRPr="00E17560">
        <w:rPr>
          <w:b/>
        </w:rPr>
        <w:t>o</w:t>
      </w:r>
      <w:r w:rsidR="002F4305" w:rsidRPr="002F4305">
        <w:rPr>
          <w:b/>
        </w:rPr>
        <w:t>ption two</w:t>
      </w:r>
      <w:r w:rsidR="002F4305">
        <w:t xml:space="preserve">. </w:t>
      </w:r>
    </w:p>
    <w:p w14:paraId="18F09D88" w14:textId="77777777" w:rsidR="00264E9B" w:rsidRPr="00580B0E" w:rsidRDefault="00264E9B" w:rsidP="00580B0E">
      <w:pPr>
        <w:pStyle w:val="Heading2"/>
        <w:spacing w:before="360"/>
        <w:contextualSpacing/>
        <w:rPr>
          <w:rFonts w:ascii="Arial" w:eastAsia="Arial" w:hAnsi="Arial" w:cs="Arial"/>
          <w:i w:val="0"/>
          <w:color w:val="1F546B" w:themeColor="text2"/>
          <w:sz w:val="36"/>
          <w:szCs w:val="36"/>
        </w:rPr>
      </w:pPr>
      <w:bookmarkStart w:id="18" w:name="_Toc487637435"/>
      <w:r w:rsidRPr="00580B0E">
        <w:rPr>
          <w:rFonts w:ascii="Arial" w:eastAsia="Arial" w:hAnsi="Arial" w:cs="Arial"/>
          <w:i w:val="0"/>
          <w:color w:val="1F546B" w:themeColor="text2"/>
          <w:sz w:val="36"/>
          <w:szCs w:val="36"/>
        </w:rPr>
        <w:t>Implementation plan</w:t>
      </w:r>
      <w:bookmarkEnd w:id="18"/>
    </w:p>
    <w:p w14:paraId="5DED54D7" w14:textId="07814FE0" w:rsidR="000F317A" w:rsidRDefault="00603D3B" w:rsidP="00EE679E">
      <w:pPr>
        <w:pStyle w:val="Numberedpara3level1"/>
        <w:numPr>
          <w:ilvl w:val="0"/>
          <w:numId w:val="29"/>
        </w:numPr>
      </w:pPr>
      <w:r>
        <w:t xml:space="preserve">If Ministers agree to the preferred policy option, this would be given effect by amendment to the Gambling (Fees) Regulations 2015. The regulations would subsequently be introduced </w:t>
      </w:r>
      <w:r w:rsidR="00064F6E">
        <w:t xml:space="preserve">to enable recovery of the Commission’s costs in processing casino venue licence renewal applications. </w:t>
      </w:r>
    </w:p>
    <w:p w14:paraId="18F09D8A" w14:textId="77777777" w:rsidR="00264E9B" w:rsidRPr="00580B0E" w:rsidRDefault="00264E9B" w:rsidP="00580B0E">
      <w:pPr>
        <w:pStyle w:val="Heading2"/>
        <w:spacing w:before="360"/>
        <w:contextualSpacing/>
        <w:rPr>
          <w:rFonts w:ascii="Arial" w:eastAsia="Arial" w:hAnsi="Arial" w:cs="Arial"/>
          <w:i w:val="0"/>
          <w:color w:val="1F546B" w:themeColor="text2"/>
          <w:sz w:val="36"/>
          <w:szCs w:val="36"/>
        </w:rPr>
      </w:pPr>
      <w:bookmarkStart w:id="19" w:name="_Toc487637436"/>
      <w:r w:rsidRPr="00580B0E">
        <w:rPr>
          <w:rFonts w:ascii="Arial" w:eastAsia="Arial" w:hAnsi="Arial" w:cs="Arial"/>
          <w:i w:val="0"/>
          <w:color w:val="1F546B" w:themeColor="text2"/>
          <w:sz w:val="36"/>
          <w:szCs w:val="36"/>
        </w:rPr>
        <w:t>Monitoring, evaluation, and review</w:t>
      </w:r>
      <w:bookmarkEnd w:id="19"/>
    </w:p>
    <w:p w14:paraId="17DDFB73" w14:textId="5757ABA9" w:rsidR="000F317A" w:rsidRDefault="000F317A" w:rsidP="000F317A">
      <w:pPr>
        <w:pStyle w:val="Numberedpara3level1"/>
        <w:numPr>
          <w:ilvl w:val="0"/>
          <w:numId w:val="29"/>
        </w:numPr>
      </w:pPr>
      <w:r>
        <w:t>The Department will monitor the effect of the renewal fee following its implementation. The Department’s intention is to review the renewal fee as part of its regular review of gambling fees. The next review is scheduled for 2018/19 and will include the renewal fee using the experience of applying the fee to the first renewal as a basis for review. This means that the renewal fee may change before other casino venue licences are due to expire.</w:t>
      </w:r>
    </w:p>
    <w:p w14:paraId="473A75EB" w14:textId="3746C0B9" w:rsidR="00AC6181" w:rsidRDefault="000F317A" w:rsidP="005B7016">
      <w:pPr>
        <w:sectPr w:rsidR="00AC6181" w:rsidSect="00DA3688">
          <w:headerReference w:type="default" r:id="rId13"/>
          <w:footerReference w:type="default" r:id="rId14"/>
          <w:headerReference w:type="first" r:id="rId15"/>
          <w:footerReference w:type="first" r:id="rId16"/>
          <w:pgSz w:w="11907" w:h="16840" w:code="9"/>
          <w:pgMar w:top="1418" w:right="1418" w:bottom="992" w:left="1418" w:header="425" w:footer="635" w:gutter="0"/>
          <w:cols w:space="708"/>
          <w:titlePg/>
          <w:docGrid w:linePitch="360"/>
        </w:sectPr>
      </w:pPr>
      <w:r w:rsidDel="000F317A">
        <w:t xml:space="preserve"> </w:t>
      </w:r>
    </w:p>
    <w:p w14:paraId="18F09D8D" w14:textId="2A898569" w:rsidR="000F4DA1" w:rsidRDefault="00AC6181" w:rsidP="00605414">
      <w:pPr>
        <w:pStyle w:val="Headingappendix"/>
        <w:rPr>
          <w:rFonts w:eastAsia="Times New Roman" w:cs="Arial"/>
          <w:bCs/>
          <w:color w:val="1F546B" w:themeColor="text2"/>
          <w:kern w:val="32"/>
          <w:sz w:val="48"/>
          <w:szCs w:val="32"/>
        </w:rPr>
      </w:pPr>
      <w:r w:rsidRPr="00AC6181">
        <w:rPr>
          <w:rFonts w:eastAsia="Times New Roman" w:cs="Arial"/>
          <w:bCs/>
          <w:color w:val="1F546B" w:themeColor="text2"/>
          <w:kern w:val="32"/>
          <w:sz w:val="48"/>
          <w:szCs w:val="32"/>
        </w:rPr>
        <w:t>Summary of analysis of options for regulations setting the casino venue licence renewal fee</w:t>
      </w:r>
    </w:p>
    <w:p w14:paraId="21D9B534" w14:textId="2EA4149B" w:rsidR="00B12390" w:rsidRPr="00B12390" w:rsidRDefault="00955595" w:rsidP="00B12390">
      <w:pPr>
        <w:rPr>
          <w:b/>
        </w:rPr>
      </w:pPr>
      <w:r>
        <w:rPr>
          <w:b/>
        </w:rPr>
        <w:t>Table 2</w:t>
      </w:r>
      <w:r w:rsidR="00B12390" w:rsidRPr="00B12390">
        <w:rPr>
          <w:b/>
        </w:rPr>
        <w:t xml:space="preserve">: </w:t>
      </w:r>
      <w:r>
        <w:rPr>
          <w:b/>
        </w:rPr>
        <w:t xml:space="preserve">analysis of </w:t>
      </w:r>
      <w:r w:rsidR="00B12390" w:rsidRPr="00B12390">
        <w:rPr>
          <w:b/>
        </w:rPr>
        <w:t>options for setting the casino venue licence renewal fee</w:t>
      </w:r>
    </w:p>
    <w:tbl>
      <w:tblPr>
        <w:tblStyle w:val="DIATable"/>
        <w:tblW w:w="4977" w:type="pct"/>
        <w:tblInd w:w="0" w:type="dxa"/>
        <w:tblLook w:val="04A0" w:firstRow="1" w:lastRow="0" w:firstColumn="1" w:lastColumn="0" w:noHBand="0" w:noVBand="1"/>
      </w:tblPr>
      <w:tblGrid>
        <w:gridCol w:w="2094"/>
        <w:gridCol w:w="2706"/>
        <w:gridCol w:w="2236"/>
        <w:gridCol w:w="2187"/>
        <w:gridCol w:w="2184"/>
        <w:gridCol w:w="3172"/>
      </w:tblGrid>
      <w:tr w:rsidR="00AC6181" w:rsidRPr="000B64F8" w14:paraId="1D29D735" w14:textId="77777777" w:rsidTr="00905002">
        <w:trPr>
          <w:cnfStyle w:val="100000000000" w:firstRow="1" w:lastRow="0" w:firstColumn="0" w:lastColumn="0" w:oddVBand="0" w:evenVBand="0" w:oddHBand="0" w:evenHBand="0" w:firstRowFirstColumn="0" w:firstRowLastColumn="0" w:lastRowFirstColumn="0" w:lastRowLastColumn="0"/>
          <w:trHeight w:val="1884"/>
          <w:tblHeader/>
        </w:trPr>
        <w:tc>
          <w:tcPr>
            <w:tcW w:w="718" w:type="pct"/>
            <w:tcBorders>
              <w:top w:val="single" w:sz="4" w:space="0" w:color="FFFFFF" w:themeColor="background1"/>
              <w:bottom w:val="single" w:sz="4" w:space="0" w:color="auto"/>
            </w:tcBorders>
          </w:tcPr>
          <w:p w14:paraId="24B2A0FB" w14:textId="77777777" w:rsidR="00AC6181" w:rsidRPr="000B64F8" w:rsidRDefault="00AC6181" w:rsidP="00B04519">
            <w:pPr>
              <w:keepNext w:val="0"/>
              <w:keepLines w:val="0"/>
              <w:spacing w:after="120"/>
              <w:rPr>
                <w:rFonts w:eastAsia="Times New Roman"/>
              </w:rPr>
            </w:pPr>
            <w:r w:rsidRPr="00F84576">
              <w:rPr>
                <w:rFonts w:eastAsia="Times New Roman" w:cs="Arial"/>
                <w:bCs/>
                <w:spacing w:val="16"/>
                <w:sz w:val="32"/>
                <w:szCs w:val="26"/>
              </w:rPr>
              <w:t>Options</w:t>
            </w:r>
          </w:p>
        </w:tc>
        <w:tc>
          <w:tcPr>
            <w:tcW w:w="928" w:type="pct"/>
            <w:tcBorders>
              <w:top w:val="single" w:sz="4" w:space="0" w:color="FFFFFF" w:themeColor="background1"/>
            </w:tcBorders>
          </w:tcPr>
          <w:p w14:paraId="7B08D0B8" w14:textId="7AF9DD3C" w:rsidR="00AC6181" w:rsidRPr="006568C3" w:rsidRDefault="00AC6181" w:rsidP="00AC6181">
            <w:pPr>
              <w:keepLines w:val="0"/>
              <w:rPr>
                <w:rFonts w:eastAsia="Times New Roman"/>
                <w:bCs/>
                <w:sz w:val="20"/>
              </w:rPr>
            </w:pPr>
            <w:r>
              <w:rPr>
                <w:rFonts w:eastAsia="Times New Roman"/>
                <w:bCs/>
                <w:sz w:val="20"/>
              </w:rPr>
              <w:t>Effective:</w:t>
            </w:r>
            <w:r w:rsidR="00C13A4B">
              <w:t xml:space="preserve"> </w:t>
            </w:r>
            <w:r w:rsidR="00C13A4B" w:rsidRPr="00C13A4B">
              <w:rPr>
                <w:b w:val="0"/>
                <w:sz w:val="20"/>
              </w:rPr>
              <w:t>the option achieves the desired outcomes and addresses the problem identified</w:t>
            </w:r>
          </w:p>
        </w:tc>
        <w:tc>
          <w:tcPr>
            <w:tcW w:w="767" w:type="pct"/>
            <w:tcBorders>
              <w:top w:val="single" w:sz="4" w:space="0" w:color="FFFFFF" w:themeColor="background1"/>
              <w:left w:val="single" w:sz="4" w:space="0" w:color="FFFFFF" w:themeColor="background1"/>
              <w:bottom w:val="single" w:sz="6" w:space="0" w:color="1F546B" w:themeColor="text2"/>
              <w:right w:val="single" w:sz="4" w:space="0" w:color="FFFFFF" w:themeColor="background1"/>
            </w:tcBorders>
          </w:tcPr>
          <w:p w14:paraId="06E5FB77" w14:textId="6F339A66" w:rsidR="00AC6181" w:rsidRPr="00550A04" w:rsidRDefault="00AC6181" w:rsidP="00AC6181">
            <w:pPr>
              <w:keepNext w:val="0"/>
              <w:keepLines w:val="0"/>
              <w:rPr>
                <w:rFonts w:eastAsia="Times New Roman"/>
                <w:sz w:val="20"/>
              </w:rPr>
            </w:pPr>
            <w:r w:rsidRPr="006568C3">
              <w:rPr>
                <w:rFonts w:eastAsia="Times New Roman"/>
                <w:bCs/>
                <w:sz w:val="20"/>
              </w:rPr>
              <w:t>Efficient</w:t>
            </w:r>
            <w:r w:rsidRPr="006568C3">
              <w:rPr>
                <w:rFonts w:eastAsia="Times New Roman"/>
                <w:sz w:val="20"/>
              </w:rPr>
              <w:t xml:space="preserve">: </w:t>
            </w:r>
            <w:r w:rsidR="00C13A4B" w:rsidRPr="00C13A4B">
              <w:rPr>
                <w:b w:val="0"/>
                <w:sz w:val="20"/>
              </w:rPr>
              <w:t>the option is practicable an</w:t>
            </w:r>
            <w:r w:rsidR="00C13A4B">
              <w:rPr>
                <w:b w:val="0"/>
                <w:sz w:val="20"/>
              </w:rPr>
              <w:t>d</w:t>
            </w:r>
            <w:r w:rsidR="00C13A4B" w:rsidRPr="00C13A4B">
              <w:rPr>
                <w:b w:val="0"/>
                <w:sz w:val="20"/>
              </w:rPr>
              <w:t xml:space="preserve"> provides certainty to the applicant and the Commission as to the amount and when and how the renewal fee is charged</w:t>
            </w:r>
          </w:p>
        </w:tc>
        <w:tc>
          <w:tcPr>
            <w:tcW w:w="750" w:type="pct"/>
            <w:tcBorders>
              <w:top w:val="single" w:sz="4" w:space="0" w:color="FFFFFF" w:themeColor="background1"/>
              <w:left w:val="single" w:sz="4" w:space="0" w:color="FFFFFF" w:themeColor="background1"/>
              <w:bottom w:val="single" w:sz="6" w:space="0" w:color="1F546B" w:themeColor="text2"/>
            </w:tcBorders>
          </w:tcPr>
          <w:p w14:paraId="3FECACEB" w14:textId="3F235AD4" w:rsidR="00AC6181" w:rsidRPr="006568C3" w:rsidRDefault="00AC6181" w:rsidP="00817BFA">
            <w:pPr>
              <w:keepNext w:val="0"/>
              <w:keepLines w:val="0"/>
              <w:spacing w:after="120"/>
              <w:rPr>
                <w:rFonts w:eastAsia="Times New Roman"/>
                <w:sz w:val="20"/>
              </w:rPr>
            </w:pPr>
            <w:r w:rsidRPr="006568C3">
              <w:rPr>
                <w:rFonts w:eastAsia="Times New Roman"/>
                <w:bCs/>
                <w:sz w:val="20"/>
              </w:rPr>
              <w:t>Equitable</w:t>
            </w:r>
            <w:r w:rsidRPr="006568C3">
              <w:rPr>
                <w:rFonts w:eastAsia="Times New Roman"/>
                <w:sz w:val="20"/>
              </w:rPr>
              <w:t xml:space="preserve">: </w:t>
            </w:r>
            <w:r w:rsidR="00C13A4B" w:rsidRPr="00817BFA">
              <w:rPr>
                <w:b w:val="0"/>
                <w:sz w:val="20"/>
              </w:rPr>
              <w:t>the option fairly reflects the actual costs of the application process for a particular applicant</w:t>
            </w:r>
          </w:p>
        </w:tc>
        <w:tc>
          <w:tcPr>
            <w:tcW w:w="749" w:type="pct"/>
            <w:tcBorders>
              <w:top w:val="single" w:sz="4" w:space="0" w:color="FFFFFF" w:themeColor="background1"/>
              <w:bottom w:val="single" w:sz="6" w:space="0" w:color="1F546B" w:themeColor="text2"/>
            </w:tcBorders>
          </w:tcPr>
          <w:p w14:paraId="75B27F0C" w14:textId="2996CF8D" w:rsidR="00AC6181" w:rsidRPr="006568C3" w:rsidRDefault="00AC6181" w:rsidP="001E6C75">
            <w:pPr>
              <w:keepNext w:val="0"/>
              <w:keepLines w:val="0"/>
              <w:spacing w:after="120"/>
              <w:rPr>
                <w:rFonts w:eastAsia="Times New Roman"/>
                <w:sz w:val="20"/>
              </w:rPr>
            </w:pPr>
            <w:r w:rsidRPr="006568C3">
              <w:rPr>
                <w:rFonts w:eastAsia="Times New Roman"/>
                <w:bCs/>
                <w:sz w:val="20"/>
              </w:rPr>
              <w:t>Transparent:</w:t>
            </w:r>
            <w:r w:rsidR="001E6C75">
              <w:rPr>
                <w:rFonts w:eastAsia="Times New Roman"/>
                <w:bCs/>
                <w:sz w:val="20"/>
              </w:rPr>
              <w:t xml:space="preserve"> </w:t>
            </w:r>
            <w:r w:rsidR="001E6C75" w:rsidRPr="001E6C75">
              <w:rPr>
                <w:b w:val="0"/>
                <w:sz w:val="20"/>
              </w:rPr>
              <w:t>the option is based on detailed and reasonable data estimating the cost of processing casino venue licence renewal applications</w:t>
            </w:r>
            <w:r w:rsidRPr="001E6C75">
              <w:rPr>
                <w:rFonts w:eastAsia="Times New Roman"/>
                <w:sz w:val="18"/>
              </w:rPr>
              <w:t xml:space="preserve"> </w:t>
            </w:r>
          </w:p>
        </w:tc>
        <w:tc>
          <w:tcPr>
            <w:tcW w:w="1088" w:type="pct"/>
            <w:tcBorders>
              <w:top w:val="single" w:sz="4" w:space="0" w:color="FFFFFF" w:themeColor="background1"/>
              <w:bottom w:val="single" w:sz="6" w:space="0" w:color="1F546B" w:themeColor="text2"/>
              <w:right w:val="single" w:sz="4" w:space="0" w:color="FFFFFF" w:themeColor="background1"/>
            </w:tcBorders>
          </w:tcPr>
          <w:p w14:paraId="10941D04" w14:textId="77777777" w:rsidR="00AC6181" w:rsidRPr="00682B5C" w:rsidRDefault="00AC6181" w:rsidP="00B04519">
            <w:pPr>
              <w:keepNext w:val="0"/>
              <w:keepLines w:val="0"/>
              <w:spacing w:after="120"/>
              <w:jc w:val="center"/>
              <w:rPr>
                <w:rFonts w:eastAsia="Times New Roman"/>
                <w:sz w:val="32"/>
                <w:szCs w:val="32"/>
              </w:rPr>
            </w:pPr>
            <w:r>
              <w:rPr>
                <w:rFonts w:eastAsia="Times New Roman"/>
                <w:sz w:val="32"/>
                <w:szCs w:val="32"/>
              </w:rPr>
              <w:t>Recommendation</w:t>
            </w:r>
          </w:p>
        </w:tc>
      </w:tr>
      <w:tr w:rsidR="00AC6181" w:rsidRPr="000B64F8" w14:paraId="4ED6CCBC" w14:textId="77777777" w:rsidTr="00905002">
        <w:trPr>
          <w:cantSplit w:val="0"/>
        </w:trPr>
        <w:tc>
          <w:tcPr>
            <w:tcW w:w="718" w:type="pct"/>
            <w:shd w:val="clear" w:color="auto" w:fill="E4F3F5" w:themeFill="accent1" w:themeFillTint="33"/>
          </w:tcPr>
          <w:p w14:paraId="28E834F6" w14:textId="10D88392" w:rsidR="00AC6181" w:rsidRPr="000D5188" w:rsidRDefault="00AC6181" w:rsidP="0054029E">
            <w:pPr>
              <w:pStyle w:val="ListParagraph"/>
              <w:keepLines w:val="0"/>
              <w:numPr>
                <w:ilvl w:val="0"/>
                <w:numId w:val="33"/>
              </w:numPr>
              <w:spacing w:before="360" w:after="120"/>
              <w:contextualSpacing/>
              <w:outlineLvl w:val="3"/>
              <w:rPr>
                <w:rFonts w:eastAsia="Times New Roman"/>
                <w:b/>
                <w:bCs/>
                <w:color w:val="1F546B" w:themeColor="text2"/>
                <w:sz w:val="20"/>
                <w:szCs w:val="28"/>
              </w:rPr>
            </w:pPr>
            <w:r>
              <w:rPr>
                <w:rFonts w:eastAsia="Times New Roman"/>
                <w:b/>
                <w:bCs/>
                <w:color w:val="1F546B" w:themeColor="text2"/>
                <w:sz w:val="20"/>
                <w:szCs w:val="28"/>
              </w:rPr>
              <w:t>Fixed Fee</w:t>
            </w:r>
          </w:p>
        </w:tc>
        <w:tc>
          <w:tcPr>
            <w:tcW w:w="928" w:type="pct"/>
          </w:tcPr>
          <w:p w14:paraId="6AE30A51" w14:textId="755D8C48" w:rsidR="00965B5E" w:rsidRDefault="00FB3437" w:rsidP="00B04519">
            <w:pPr>
              <w:keepLines w:val="0"/>
              <w:spacing w:after="120"/>
              <w:rPr>
                <w:rFonts w:eastAsia="Times New Roman"/>
                <w:sz w:val="20"/>
              </w:rPr>
            </w:pPr>
            <w:r w:rsidRPr="00243C38">
              <w:rPr>
                <w:b/>
                <w:color w:val="00B050"/>
                <w:sz w:val="28"/>
                <w:szCs w:val="28"/>
              </w:rPr>
              <w:sym w:font="Wingdings" w:char="F0FC"/>
            </w:r>
            <w:r w:rsidR="00965B5E">
              <w:rPr>
                <w:rFonts w:eastAsia="Times New Roman"/>
                <w:sz w:val="20"/>
              </w:rPr>
              <w:t xml:space="preserve"> </w:t>
            </w:r>
            <w:r w:rsidR="00985D2C">
              <w:rPr>
                <w:rFonts w:eastAsia="Times New Roman"/>
                <w:sz w:val="20"/>
              </w:rPr>
              <w:t>Meets the Commission’s costs to fulfil its statutory functions</w:t>
            </w:r>
          </w:p>
          <w:p w14:paraId="1E4C8163" w14:textId="262128C2" w:rsidR="00A216B0" w:rsidRDefault="00965B5E" w:rsidP="00B04519">
            <w:pPr>
              <w:keepLines w:val="0"/>
              <w:spacing w:after="120"/>
              <w:rPr>
                <w:b/>
                <w:color w:val="FF0000"/>
                <w:sz w:val="28"/>
                <w:szCs w:val="28"/>
              </w:rPr>
            </w:pPr>
            <w:r w:rsidRPr="00243C38">
              <w:rPr>
                <w:b/>
                <w:color w:val="FF0000"/>
                <w:sz w:val="28"/>
                <w:szCs w:val="28"/>
              </w:rPr>
              <w:sym w:font="Wingdings" w:char="F0FB"/>
            </w:r>
            <w:r w:rsidR="00C879F8">
              <w:rPr>
                <w:sz w:val="20"/>
                <w:szCs w:val="28"/>
              </w:rPr>
              <w:t>M</w:t>
            </w:r>
            <w:r w:rsidR="00A216B0" w:rsidRPr="00A216B0">
              <w:rPr>
                <w:sz w:val="20"/>
                <w:szCs w:val="28"/>
              </w:rPr>
              <w:t xml:space="preserve">ay not </w:t>
            </w:r>
            <w:r w:rsidR="00340886">
              <w:rPr>
                <w:sz w:val="20"/>
                <w:szCs w:val="28"/>
              </w:rPr>
              <w:t>achieve</w:t>
            </w:r>
            <w:r w:rsidR="00A216B0" w:rsidRPr="00A216B0">
              <w:rPr>
                <w:sz w:val="20"/>
                <w:szCs w:val="28"/>
              </w:rPr>
              <w:t xml:space="preserve"> full cost recovery – it is impossible to estimate in advance the exact cost</w:t>
            </w:r>
          </w:p>
          <w:p w14:paraId="39EB4E4F" w14:textId="2CC12D6A" w:rsidR="00AC6181" w:rsidRPr="00965B5E" w:rsidRDefault="00A216B0" w:rsidP="00B04519">
            <w:pPr>
              <w:keepLines w:val="0"/>
              <w:spacing w:after="120"/>
              <w:rPr>
                <w:b/>
                <w:color w:val="FF0000"/>
                <w:sz w:val="28"/>
                <w:szCs w:val="28"/>
              </w:rPr>
            </w:pPr>
            <w:r w:rsidRPr="00243C38">
              <w:rPr>
                <w:b/>
                <w:color w:val="FF0000"/>
                <w:sz w:val="28"/>
                <w:szCs w:val="28"/>
              </w:rPr>
              <w:sym w:font="Wingdings" w:char="F0FB"/>
            </w:r>
            <w:r w:rsidR="00965B5E">
              <w:rPr>
                <w:rFonts w:eastAsia="Times New Roman"/>
                <w:sz w:val="20"/>
              </w:rPr>
              <w:t>If the fee is t</w:t>
            </w:r>
            <w:r w:rsidR="00212211">
              <w:rPr>
                <w:rFonts w:eastAsia="Times New Roman"/>
                <w:sz w:val="20"/>
              </w:rPr>
              <w:t>oo low the additional cost will</w:t>
            </w:r>
            <w:r w:rsidR="00965B5E">
              <w:rPr>
                <w:rFonts w:eastAsia="Times New Roman"/>
                <w:sz w:val="20"/>
              </w:rPr>
              <w:t xml:space="preserve"> fall on the taxpayer</w:t>
            </w:r>
          </w:p>
        </w:tc>
        <w:tc>
          <w:tcPr>
            <w:tcW w:w="767" w:type="pct"/>
            <w:shd w:val="clear" w:color="auto" w:fill="auto"/>
          </w:tcPr>
          <w:p w14:paraId="53D83138" w14:textId="694B6601" w:rsidR="00965B5E" w:rsidRDefault="00F95790" w:rsidP="00965B5E">
            <w:pPr>
              <w:keepLines w:val="0"/>
              <w:spacing w:after="120"/>
              <w:rPr>
                <w:b/>
                <w:color w:val="00B050"/>
                <w:sz w:val="28"/>
                <w:szCs w:val="28"/>
              </w:rPr>
            </w:pPr>
            <w:r w:rsidRPr="00243C38">
              <w:rPr>
                <w:b/>
                <w:color w:val="00B050"/>
                <w:sz w:val="28"/>
                <w:szCs w:val="28"/>
              </w:rPr>
              <w:sym w:font="Wingdings" w:char="F0FC"/>
            </w:r>
            <w:r w:rsidRPr="00965B5E">
              <w:rPr>
                <w:rFonts w:eastAsia="Times New Roman"/>
                <w:sz w:val="20"/>
              </w:rPr>
              <w:t>Simple to set and charge: full payment will accompany an application</w:t>
            </w:r>
          </w:p>
          <w:p w14:paraId="3CD3CAE6" w14:textId="677B0946" w:rsidR="00965B5E" w:rsidRDefault="00EC77D8" w:rsidP="00965B5E">
            <w:pPr>
              <w:keepLines w:val="0"/>
              <w:spacing w:after="120"/>
              <w:rPr>
                <w:b/>
                <w:color w:val="00B050"/>
                <w:sz w:val="28"/>
                <w:szCs w:val="28"/>
              </w:rPr>
            </w:pPr>
            <w:r w:rsidRPr="00243C38">
              <w:rPr>
                <w:b/>
                <w:color w:val="00B050"/>
                <w:sz w:val="28"/>
                <w:szCs w:val="28"/>
              </w:rPr>
              <w:sym w:font="Wingdings" w:char="F0FC"/>
            </w:r>
            <w:r w:rsidR="00F95790" w:rsidRPr="00965B5E">
              <w:rPr>
                <w:rFonts w:eastAsia="Times New Roman"/>
                <w:sz w:val="20"/>
              </w:rPr>
              <w:t>Applicants know the exact amount to be paid when they make an application</w:t>
            </w:r>
          </w:p>
          <w:p w14:paraId="53C7692A" w14:textId="241BA6BC" w:rsidR="00AC6181" w:rsidRPr="00965B5E" w:rsidRDefault="00EC77D8" w:rsidP="00965B5E">
            <w:pPr>
              <w:keepLines w:val="0"/>
              <w:spacing w:after="120"/>
              <w:rPr>
                <w:b/>
                <w:color w:val="00B050"/>
                <w:sz w:val="28"/>
                <w:szCs w:val="28"/>
              </w:rPr>
            </w:pPr>
            <w:r w:rsidRPr="00243C38">
              <w:rPr>
                <w:b/>
                <w:color w:val="00B050"/>
                <w:sz w:val="28"/>
                <w:szCs w:val="28"/>
              </w:rPr>
              <w:sym w:font="Wingdings" w:char="F0FC"/>
            </w:r>
            <w:r w:rsidR="00F95790" w:rsidRPr="00965B5E">
              <w:rPr>
                <w:rFonts w:eastAsia="Times New Roman"/>
                <w:sz w:val="20"/>
              </w:rPr>
              <w:t xml:space="preserve">The Commission </w:t>
            </w:r>
            <w:r w:rsidR="00733E42" w:rsidRPr="00965B5E">
              <w:rPr>
                <w:rFonts w:eastAsia="Times New Roman"/>
                <w:sz w:val="20"/>
              </w:rPr>
              <w:t>only has to collect</w:t>
            </w:r>
            <w:r w:rsidR="00FF4D35" w:rsidRPr="00965B5E">
              <w:rPr>
                <w:rFonts w:eastAsia="Times New Roman"/>
                <w:sz w:val="20"/>
              </w:rPr>
              <w:t xml:space="preserve"> and account for t</w:t>
            </w:r>
            <w:r w:rsidR="00733E42" w:rsidRPr="00965B5E">
              <w:rPr>
                <w:rFonts w:eastAsia="Times New Roman"/>
                <w:sz w:val="20"/>
              </w:rPr>
              <w:t>he fee once</w:t>
            </w:r>
          </w:p>
        </w:tc>
        <w:tc>
          <w:tcPr>
            <w:tcW w:w="750" w:type="pct"/>
            <w:shd w:val="clear" w:color="auto" w:fill="auto"/>
          </w:tcPr>
          <w:p w14:paraId="71A2F277" w14:textId="379AA1BF" w:rsidR="00AC6181" w:rsidRPr="00965B5E" w:rsidRDefault="00FB3437" w:rsidP="00965B5E">
            <w:pPr>
              <w:keepLines w:val="0"/>
              <w:spacing w:after="120"/>
              <w:rPr>
                <w:b/>
                <w:color w:val="FF0000"/>
                <w:sz w:val="28"/>
                <w:szCs w:val="28"/>
              </w:rPr>
            </w:pPr>
            <w:r w:rsidRPr="00243C38">
              <w:rPr>
                <w:b/>
                <w:color w:val="FF0000"/>
                <w:sz w:val="28"/>
                <w:szCs w:val="28"/>
              </w:rPr>
              <w:sym w:font="Wingdings" w:char="F0FB"/>
            </w:r>
            <w:r w:rsidRPr="00965B5E">
              <w:rPr>
                <w:rFonts w:eastAsia="Times New Roman"/>
                <w:sz w:val="20"/>
              </w:rPr>
              <w:t>Does not take into ac</w:t>
            </w:r>
            <w:r w:rsidR="00905002" w:rsidRPr="00965B5E">
              <w:rPr>
                <w:rFonts w:eastAsia="Times New Roman"/>
                <w:sz w:val="20"/>
              </w:rPr>
              <w:t>count differences between</w:t>
            </w:r>
            <w:r w:rsidRPr="00965B5E">
              <w:rPr>
                <w:rFonts w:eastAsia="Times New Roman"/>
                <w:sz w:val="20"/>
              </w:rPr>
              <w:t xml:space="preserve"> </w:t>
            </w:r>
            <w:r w:rsidR="005E0DD9">
              <w:rPr>
                <w:rFonts w:eastAsia="Times New Roman"/>
                <w:sz w:val="20"/>
              </w:rPr>
              <w:t xml:space="preserve">specific </w:t>
            </w:r>
            <w:r w:rsidRPr="00965B5E">
              <w:rPr>
                <w:rFonts w:eastAsia="Times New Roman"/>
                <w:sz w:val="20"/>
              </w:rPr>
              <w:t>applica</w:t>
            </w:r>
            <w:r w:rsidR="00905002" w:rsidRPr="00965B5E">
              <w:rPr>
                <w:rFonts w:eastAsia="Times New Roman"/>
                <w:sz w:val="20"/>
              </w:rPr>
              <w:t>nts</w:t>
            </w:r>
            <w:r w:rsidR="005E0DD9">
              <w:rPr>
                <w:rFonts w:eastAsia="Times New Roman"/>
                <w:sz w:val="20"/>
              </w:rPr>
              <w:t xml:space="preserve"> and applications</w:t>
            </w:r>
          </w:p>
          <w:p w14:paraId="760136CF" w14:textId="4F986C4B" w:rsidR="00905002" w:rsidRPr="00965B5E" w:rsidRDefault="00EC77D8" w:rsidP="00965B5E">
            <w:pPr>
              <w:keepLines w:val="0"/>
              <w:spacing w:after="120"/>
              <w:rPr>
                <w:b/>
                <w:color w:val="FF0000"/>
                <w:sz w:val="28"/>
                <w:szCs w:val="28"/>
              </w:rPr>
            </w:pPr>
            <w:r w:rsidRPr="00243C38">
              <w:rPr>
                <w:b/>
                <w:color w:val="FF0000"/>
                <w:sz w:val="28"/>
                <w:szCs w:val="28"/>
              </w:rPr>
              <w:sym w:font="Wingdings" w:char="F0FB"/>
            </w:r>
            <w:r w:rsidR="00905002" w:rsidRPr="00965B5E">
              <w:rPr>
                <w:rFonts w:eastAsia="Times New Roman"/>
                <w:sz w:val="20"/>
              </w:rPr>
              <w:t>The same fee will be charged to all applicants regardless of whether some applications cost more to process than others</w:t>
            </w:r>
          </w:p>
          <w:p w14:paraId="241A533D" w14:textId="2E98B01E" w:rsidR="00965B5E" w:rsidRPr="00965B5E" w:rsidRDefault="00965B5E" w:rsidP="00965B5E">
            <w:pPr>
              <w:keepLines w:val="0"/>
              <w:spacing w:after="120"/>
              <w:rPr>
                <w:b/>
                <w:color w:val="FF0000"/>
                <w:sz w:val="28"/>
                <w:szCs w:val="28"/>
              </w:rPr>
            </w:pPr>
          </w:p>
        </w:tc>
        <w:tc>
          <w:tcPr>
            <w:tcW w:w="749" w:type="pct"/>
            <w:shd w:val="clear" w:color="auto" w:fill="auto"/>
          </w:tcPr>
          <w:p w14:paraId="404AE5EE" w14:textId="630A83D7" w:rsidR="00AC6181" w:rsidRPr="00965B5E" w:rsidRDefault="00EC77D8" w:rsidP="00965B5E">
            <w:pPr>
              <w:keepLines w:val="0"/>
              <w:spacing w:after="120"/>
              <w:rPr>
                <w:b/>
                <w:color w:val="00B050"/>
                <w:sz w:val="28"/>
                <w:szCs w:val="28"/>
              </w:rPr>
            </w:pPr>
            <w:r w:rsidRPr="00243C38">
              <w:rPr>
                <w:b/>
                <w:color w:val="00B050"/>
                <w:sz w:val="28"/>
                <w:szCs w:val="28"/>
              </w:rPr>
              <w:sym w:font="Wingdings" w:char="F0FC"/>
            </w:r>
            <w:r w:rsidR="00D0067B" w:rsidRPr="00965B5E">
              <w:rPr>
                <w:rFonts w:eastAsia="Times New Roman"/>
                <w:sz w:val="20"/>
              </w:rPr>
              <w:t>Fee is based on specific costing data and information to estimate the</w:t>
            </w:r>
            <w:r w:rsidR="00EA453C" w:rsidRPr="00965B5E">
              <w:rPr>
                <w:rFonts w:eastAsia="Times New Roman"/>
                <w:sz w:val="20"/>
              </w:rPr>
              <w:t xml:space="preserve"> work and costs involved to process applications</w:t>
            </w:r>
          </w:p>
          <w:p w14:paraId="20F822FA" w14:textId="21DDFE4D" w:rsidR="00D0067B" w:rsidRPr="00965B5E" w:rsidRDefault="00D0067B" w:rsidP="00965B5E">
            <w:pPr>
              <w:keepLines w:val="0"/>
              <w:spacing w:after="120"/>
              <w:rPr>
                <w:b/>
                <w:color w:val="FF0000"/>
                <w:sz w:val="28"/>
                <w:szCs w:val="28"/>
              </w:rPr>
            </w:pPr>
            <w:r w:rsidRPr="00243C38">
              <w:rPr>
                <w:b/>
                <w:color w:val="FF0000"/>
                <w:sz w:val="28"/>
                <w:szCs w:val="28"/>
              </w:rPr>
              <w:sym w:font="Wingdings" w:char="F0FB"/>
            </w:r>
            <w:r w:rsidRPr="00965B5E">
              <w:rPr>
                <w:rFonts w:eastAsia="Times New Roman"/>
                <w:sz w:val="20"/>
              </w:rPr>
              <w:t>No application for renewal has been made under the Act before – there could be a discrepancy between the expected and actual work involved to process applications</w:t>
            </w:r>
          </w:p>
        </w:tc>
        <w:tc>
          <w:tcPr>
            <w:tcW w:w="1088" w:type="pct"/>
            <w:shd w:val="clear" w:color="auto" w:fill="auto"/>
          </w:tcPr>
          <w:p w14:paraId="7DE17F1F" w14:textId="208247EF" w:rsidR="00AC6181" w:rsidRPr="000D5188" w:rsidRDefault="00D87C3F" w:rsidP="00E74DCB">
            <w:pPr>
              <w:keepLines w:val="0"/>
              <w:spacing w:after="120"/>
              <w:rPr>
                <w:rFonts w:eastAsia="Times New Roman"/>
                <w:sz w:val="20"/>
              </w:rPr>
            </w:pPr>
            <w:r>
              <w:rPr>
                <w:rFonts w:eastAsia="Times New Roman"/>
                <w:sz w:val="20"/>
              </w:rPr>
              <w:t>Not</w:t>
            </w:r>
            <w:r w:rsidR="00F21D0A">
              <w:rPr>
                <w:rFonts w:eastAsia="Times New Roman"/>
                <w:sz w:val="20"/>
              </w:rPr>
              <w:t xml:space="preserve"> </w:t>
            </w:r>
            <w:r w:rsidR="00E74DCB">
              <w:rPr>
                <w:rFonts w:eastAsia="Times New Roman"/>
                <w:sz w:val="20"/>
              </w:rPr>
              <w:t>preferred</w:t>
            </w:r>
          </w:p>
        </w:tc>
      </w:tr>
      <w:tr w:rsidR="00AC6181" w:rsidRPr="000B64F8" w14:paraId="651B49FE" w14:textId="77777777" w:rsidTr="00905002">
        <w:tc>
          <w:tcPr>
            <w:tcW w:w="718" w:type="pct"/>
            <w:shd w:val="clear" w:color="auto" w:fill="E4F3F5" w:themeFill="accent1" w:themeFillTint="33"/>
          </w:tcPr>
          <w:p w14:paraId="21792788" w14:textId="1463B767" w:rsidR="00AC6181" w:rsidRPr="000D5188" w:rsidRDefault="00AC6181" w:rsidP="0054029E">
            <w:pPr>
              <w:pStyle w:val="ListParagraph"/>
              <w:keepLines w:val="0"/>
              <w:numPr>
                <w:ilvl w:val="0"/>
                <w:numId w:val="33"/>
              </w:numPr>
              <w:spacing w:before="360" w:after="120"/>
              <w:contextualSpacing/>
              <w:outlineLvl w:val="3"/>
              <w:rPr>
                <w:rFonts w:eastAsia="Times New Roman"/>
                <w:b/>
                <w:bCs/>
                <w:color w:val="1F546B" w:themeColor="text2"/>
                <w:sz w:val="20"/>
                <w:szCs w:val="28"/>
              </w:rPr>
            </w:pPr>
            <w:r>
              <w:rPr>
                <w:rFonts w:eastAsia="Times New Roman"/>
                <w:b/>
                <w:bCs/>
                <w:color w:val="1F546B" w:themeColor="text2"/>
                <w:sz w:val="20"/>
                <w:szCs w:val="28"/>
              </w:rPr>
              <w:t xml:space="preserve">Two-tiered fee (fixed fee + </w:t>
            </w:r>
            <w:r w:rsidR="00B04519">
              <w:rPr>
                <w:rFonts w:eastAsia="Times New Roman"/>
                <w:b/>
                <w:bCs/>
                <w:color w:val="1F546B" w:themeColor="text2"/>
                <w:sz w:val="20"/>
                <w:szCs w:val="28"/>
              </w:rPr>
              <w:t xml:space="preserve">variable </w:t>
            </w:r>
            <w:r>
              <w:rPr>
                <w:rFonts w:eastAsia="Times New Roman"/>
                <w:b/>
                <w:bCs/>
                <w:color w:val="1F546B" w:themeColor="text2"/>
                <w:sz w:val="20"/>
                <w:szCs w:val="28"/>
              </w:rPr>
              <w:t>adjustment)</w:t>
            </w:r>
          </w:p>
        </w:tc>
        <w:tc>
          <w:tcPr>
            <w:tcW w:w="928" w:type="pct"/>
          </w:tcPr>
          <w:p w14:paraId="15BAB9EA" w14:textId="56177156" w:rsidR="00340886" w:rsidRDefault="00FB3437" w:rsidP="00B04519">
            <w:pPr>
              <w:keepLines w:val="0"/>
              <w:spacing w:after="120"/>
              <w:rPr>
                <w:sz w:val="20"/>
                <w:szCs w:val="28"/>
              </w:rPr>
            </w:pPr>
            <w:r w:rsidRPr="00243C38">
              <w:rPr>
                <w:b/>
                <w:color w:val="00B050"/>
                <w:sz w:val="28"/>
                <w:szCs w:val="28"/>
              </w:rPr>
              <w:sym w:font="Wingdings" w:char="F0FC"/>
            </w:r>
            <w:r w:rsidR="00C879F8">
              <w:rPr>
                <w:sz w:val="20"/>
                <w:szCs w:val="28"/>
              </w:rPr>
              <w:t>A</w:t>
            </w:r>
            <w:r w:rsidR="00340886" w:rsidRPr="00340886">
              <w:rPr>
                <w:sz w:val="20"/>
                <w:szCs w:val="28"/>
              </w:rPr>
              <w:t>chieves full cost recovery</w:t>
            </w:r>
            <w:r w:rsidR="00340886">
              <w:rPr>
                <w:sz w:val="20"/>
                <w:szCs w:val="28"/>
              </w:rPr>
              <w:t xml:space="preserve"> and </w:t>
            </w:r>
            <w:r w:rsidR="005E0DD9">
              <w:rPr>
                <w:sz w:val="20"/>
                <w:szCs w:val="28"/>
              </w:rPr>
              <w:t xml:space="preserve">provides for </w:t>
            </w:r>
            <w:r w:rsidR="00340886">
              <w:rPr>
                <w:sz w:val="20"/>
                <w:szCs w:val="28"/>
              </w:rPr>
              <w:t>safeguards against over or under recovery</w:t>
            </w:r>
          </w:p>
          <w:p w14:paraId="39B67C38" w14:textId="63D47531" w:rsidR="00340886" w:rsidRDefault="00340886" w:rsidP="00B04519">
            <w:pPr>
              <w:keepLines w:val="0"/>
              <w:spacing w:after="120"/>
              <w:rPr>
                <w:sz w:val="20"/>
                <w:szCs w:val="28"/>
              </w:rPr>
            </w:pPr>
            <w:r w:rsidRPr="00243C38">
              <w:rPr>
                <w:b/>
                <w:color w:val="00B050"/>
                <w:sz w:val="28"/>
                <w:szCs w:val="28"/>
              </w:rPr>
              <w:sym w:font="Wingdings" w:char="F0FC"/>
            </w:r>
            <w:r w:rsidR="00C879F8">
              <w:rPr>
                <w:sz w:val="20"/>
                <w:szCs w:val="28"/>
              </w:rPr>
              <w:t>F</w:t>
            </w:r>
            <w:r>
              <w:rPr>
                <w:sz w:val="20"/>
                <w:szCs w:val="28"/>
              </w:rPr>
              <w:t>ull cost is borne by the applicant</w:t>
            </w:r>
          </w:p>
          <w:p w14:paraId="00CF1679" w14:textId="2829997F" w:rsidR="00AC6181" w:rsidRPr="000D5188" w:rsidRDefault="00403135" w:rsidP="00B04519">
            <w:pPr>
              <w:keepLines w:val="0"/>
              <w:spacing w:after="120"/>
              <w:rPr>
                <w:rFonts w:ascii="Cambria Math" w:eastAsia="Times New Roman" w:hAnsi="Cambria Math"/>
                <w:color w:val="FF0000"/>
                <w:sz w:val="20"/>
              </w:rPr>
            </w:pPr>
            <w:r w:rsidRPr="00243C38">
              <w:rPr>
                <w:b/>
                <w:color w:val="FF0000"/>
                <w:sz w:val="28"/>
                <w:szCs w:val="28"/>
              </w:rPr>
              <w:sym w:font="Wingdings" w:char="F0FB"/>
            </w:r>
            <w:r>
              <w:rPr>
                <w:rFonts w:eastAsia="Times New Roman"/>
                <w:sz w:val="20"/>
              </w:rPr>
              <w:t>Applicants may dispute the variable adjustment if the fee is adjusted upwards</w:t>
            </w:r>
          </w:p>
        </w:tc>
        <w:tc>
          <w:tcPr>
            <w:tcW w:w="767" w:type="pct"/>
            <w:shd w:val="clear" w:color="auto" w:fill="auto"/>
          </w:tcPr>
          <w:p w14:paraId="379DD5FF" w14:textId="6A8A69D1" w:rsidR="009248A2" w:rsidRDefault="009248A2" w:rsidP="009248A2">
            <w:pPr>
              <w:keepLines w:val="0"/>
              <w:spacing w:after="120"/>
              <w:rPr>
                <w:sz w:val="20"/>
                <w:szCs w:val="28"/>
              </w:rPr>
            </w:pPr>
            <w:r w:rsidRPr="00243C38">
              <w:rPr>
                <w:b/>
                <w:color w:val="00B050"/>
                <w:sz w:val="28"/>
                <w:szCs w:val="28"/>
              </w:rPr>
              <w:sym w:font="Wingdings" w:char="F0FC"/>
            </w:r>
            <w:r w:rsidR="00C879F8">
              <w:rPr>
                <w:sz w:val="20"/>
                <w:szCs w:val="28"/>
              </w:rPr>
              <w:t>A</w:t>
            </w:r>
            <w:r>
              <w:rPr>
                <w:sz w:val="20"/>
                <w:szCs w:val="28"/>
              </w:rPr>
              <w:t>mount payable upon application is certain</w:t>
            </w:r>
          </w:p>
          <w:p w14:paraId="22E9D66C" w14:textId="138DD17A" w:rsidR="009248A2" w:rsidRDefault="009248A2" w:rsidP="009248A2">
            <w:pPr>
              <w:keepLines w:val="0"/>
              <w:spacing w:after="120"/>
              <w:rPr>
                <w:rFonts w:eastAsia="Times New Roman"/>
                <w:sz w:val="20"/>
              </w:rPr>
            </w:pPr>
            <w:r w:rsidRPr="00243C38">
              <w:rPr>
                <w:b/>
                <w:color w:val="FF0000"/>
                <w:sz w:val="28"/>
                <w:szCs w:val="28"/>
              </w:rPr>
              <w:sym w:font="Wingdings" w:char="F0FB"/>
            </w:r>
            <w:r w:rsidR="00C879F8">
              <w:rPr>
                <w:rFonts w:eastAsia="Times New Roman"/>
                <w:sz w:val="20"/>
              </w:rPr>
              <w:t>W</w:t>
            </w:r>
            <w:r w:rsidR="00472971">
              <w:rPr>
                <w:rFonts w:eastAsia="Times New Roman"/>
                <w:sz w:val="20"/>
              </w:rPr>
              <w:t>hether applicants will be required to pay an additional fee is not known until completion</w:t>
            </w:r>
          </w:p>
          <w:p w14:paraId="3D42BD7D" w14:textId="5F2867A3" w:rsidR="00472971" w:rsidRDefault="00472971" w:rsidP="009248A2">
            <w:pPr>
              <w:keepLines w:val="0"/>
              <w:spacing w:after="120"/>
              <w:rPr>
                <w:rFonts w:eastAsia="Times New Roman"/>
                <w:sz w:val="20"/>
              </w:rPr>
            </w:pPr>
            <w:r w:rsidRPr="00243C38">
              <w:rPr>
                <w:b/>
                <w:color w:val="FF0000"/>
                <w:sz w:val="28"/>
                <w:szCs w:val="28"/>
              </w:rPr>
              <w:sym w:font="Wingdings" w:char="F0FB"/>
            </w:r>
            <w:r w:rsidR="00C879F8">
              <w:rPr>
                <w:rFonts w:eastAsia="Times New Roman"/>
                <w:sz w:val="20"/>
              </w:rPr>
              <w:t>W</w:t>
            </w:r>
            <w:r>
              <w:rPr>
                <w:rFonts w:eastAsia="Times New Roman"/>
                <w:sz w:val="20"/>
              </w:rPr>
              <w:t>hether the Commission is required to refund an applicant is not known until completion</w:t>
            </w:r>
          </w:p>
          <w:p w14:paraId="5485CCE2" w14:textId="33784631" w:rsidR="00AC6181" w:rsidRPr="000D5188" w:rsidRDefault="00AC6181" w:rsidP="00B04519">
            <w:pPr>
              <w:keepLines w:val="0"/>
              <w:spacing w:after="120"/>
              <w:rPr>
                <w:rFonts w:eastAsia="Times New Roman"/>
                <w:sz w:val="20"/>
              </w:rPr>
            </w:pPr>
          </w:p>
        </w:tc>
        <w:tc>
          <w:tcPr>
            <w:tcW w:w="750" w:type="pct"/>
            <w:shd w:val="clear" w:color="auto" w:fill="auto"/>
          </w:tcPr>
          <w:p w14:paraId="43B3A949" w14:textId="6FC9DAC0" w:rsidR="00C879F8" w:rsidRDefault="00212211" w:rsidP="00212211">
            <w:pPr>
              <w:keepLines w:val="0"/>
              <w:spacing w:after="120"/>
              <w:rPr>
                <w:sz w:val="20"/>
                <w:szCs w:val="28"/>
              </w:rPr>
            </w:pPr>
            <w:r w:rsidRPr="00243C38">
              <w:rPr>
                <w:b/>
                <w:color w:val="00B050"/>
                <w:sz w:val="28"/>
                <w:szCs w:val="28"/>
              </w:rPr>
              <w:sym w:font="Wingdings" w:char="F0FC"/>
            </w:r>
            <w:r w:rsidR="00C879F8">
              <w:rPr>
                <w:sz w:val="20"/>
                <w:szCs w:val="28"/>
              </w:rPr>
              <w:t>R</w:t>
            </w:r>
            <w:r>
              <w:rPr>
                <w:sz w:val="20"/>
                <w:szCs w:val="28"/>
              </w:rPr>
              <w:t>ecognises differences</w:t>
            </w:r>
            <w:r w:rsidR="00C879F8">
              <w:rPr>
                <w:sz w:val="20"/>
                <w:szCs w:val="28"/>
              </w:rPr>
              <w:t xml:space="preserve"> between </w:t>
            </w:r>
            <w:r w:rsidR="005E0DD9">
              <w:rPr>
                <w:sz w:val="20"/>
                <w:szCs w:val="28"/>
              </w:rPr>
              <w:t xml:space="preserve">specific </w:t>
            </w:r>
            <w:r w:rsidR="00C879F8">
              <w:rPr>
                <w:sz w:val="20"/>
                <w:szCs w:val="28"/>
              </w:rPr>
              <w:t>applicants</w:t>
            </w:r>
            <w:r w:rsidR="00072F3C">
              <w:rPr>
                <w:sz w:val="20"/>
                <w:szCs w:val="28"/>
              </w:rPr>
              <w:t xml:space="preserve"> and applications</w:t>
            </w:r>
          </w:p>
          <w:p w14:paraId="62CD5B21" w14:textId="45B469BF" w:rsidR="00212211" w:rsidRDefault="00C879F8" w:rsidP="00212211">
            <w:pPr>
              <w:keepLines w:val="0"/>
              <w:spacing w:after="120"/>
              <w:rPr>
                <w:sz w:val="20"/>
                <w:szCs w:val="28"/>
              </w:rPr>
            </w:pPr>
            <w:r w:rsidRPr="00243C38">
              <w:rPr>
                <w:b/>
                <w:color w:val="00B050"/>
                <w:sz w:val="28"/>
                <w:szCs w:val="28"/>
              </w:rPr>
              <w:sym w:font="Wingdings" w:char="F0FC"/>
            </w:r>
            <w:r>
              <w:rPr>
                <w:sz w:val="20"/>
                <w:szCs w:val="28"/>
              </w:rPr>
              <w:t>E</w:t>
            </w:r>
            <w:r w:rsidR="00212211">
              <w:rPr>
                <w:sz w:val="20"/>
                <w:szCs w:val="28"/>
              </w:rPr>
              <w:t>ach applicant only pays what their application costs</w:t>
            </w:r>
          </w:p>
          <w:p w14:paraId="4DFF5ADC" w14:textId="77777777" w:rsidR="00212211" w:rsidRDefault="00212211" w:rsidP="00212211">
            <w:pPr>
              <w:keepLines w:val="0"/>
              <w:spacing w:after="120"/>
              <w:rPr>
                <w:sz w:val="20"/>
                <w:szCs w:val="28"/>
              </w:rPr>
            </w:pPr>
          </w:p>
          <w:p w14:paraId="2C11D4D7" w14:textId="233E27F3" w:rsidR="00AC6181" w:rsidRPr="000D5188" w:rsidRDefault="00AC6181" w:rsidP="00B04519">
            <w:pPr>
              <w:keepLines w:val="0"/>
              <w:spacing w:after="120"/>
              <w:rPr>
                <w:rFonts w:eastAsia="Times New Roman"/>
                <w:sz w:val="20"/>
              </w:rPr>
            </w:pPr>
          </w:p>
        </w:tc>
        <w:tc>
          <w:tcPr>
            <w:tcW w:w="749" w:type="pct"/>
            <w:shd w:val="clear" w:color="auto" w:fill="auto"/>
          </w:tcPr>
          <w:p w14:paraId="0D326AB0" w14:textId="6433C9A5" w:rsidR="00212211" w:rsidRPr="00965B5E" w:rsidRDefault="00212211" w:rsidP="00212211">
            <w:pPr>
              <w:keepLines w:val="0"/>
              <w:spacing w:after="120"/>
              <w:rPr>
                <w:b/>
                <w:color w:val="00B050"/>
                <w:sz w:val="28"/>
                <w:szCs w:val="28"/>
              </w:rPr>
            </w:pPr>
            <w:r w:rsidRPr="00243C38">
              <w:rPr>
                <w:b/>
                <w:color w:val="00B050"/>
                <w:sz w:val="28"/>
                <w:szCs w:val="28"/>
              </w:rPr>
              <w:sym w:font="Wingdings" w:char="F0FC"/>
            </w:r>
            <w:r w:rsidR="00C879F8">
              <w:rPr>
                <w:rFonts w:eastAsia="Times New Roman"/>
                <w:sz w:val="20"/>
              </w:rPr>
              <w:t>F</w:t>
            </w:r>
            <w:r w:rsidRPr="00965B5E">
              <w:rPr>
                <w:rFonts w:eastAsia="Times New Roman"/>
                <w:sz w:val="20"/>
              </w:rPr>
              <w:t>ee is based on specific costing data and information to estimate the work and costs involved to process applications</w:t>
            </w:r>
          </w:p>
          <w:p w14:paraId="431F14AC" w14:textId="27EBFC63" w:rsidR="00AC6181" w:rsidRPr="000D5188" w:rsidRDefault="00AC6181" w:rsidP="00B04519">
            <w:pPr>
              <w:keepLines w:val="0"/>
              <w:spacing w:after="120"/>
              <w:rPr>
                <w:rFonts w:eastAsia="Times New Roman"/>
                <w:sz w:val="20"/>
              </w:rPr>
            </w:pPr>
          </w:p>
        </w:tc>
        <w:tc>
          <w:tcPr>
            <w:tcW w:w="1088" w:type="pct"/>
            <w:shd w:val="clear" w:color="auto" w:fill="auto"/>
          </w:tcPr>
          <w:p w14:paraId="255265E2" w14:textId="7F639252" w:rsidR="00AC6181" w:rsidRPr="00A96B30" w:rsidRDefault="00E74DCB" w:rsidP="00AF43A7">
            <w:pPr>
              <w:keepLines w:val="0"/>
              <w:spacing w:after="120"/>
              <w:rPr>
                <w:rFonts w:asciiTheme="minorHAnsi" w:eastAsia="Times New Roman" w:hAnsiTheme="minorHAnsi"/>
                <w:b/>
                <w:sz w:val="20"/>
              </w:rPr>
            </w:pPr>
            <w:r>
              <w:rPr>
                <w:rFonts w:asciiTheme="minorHAnsi" w:eastAsia="Times New Roman" w:hAnsiTheme="minorHAnsi"/>
                <w:b/>
                <w:sz w:val="20"/>
              </w:rPr>
              <w:t>Preferred</w:t>
            </w:r>
            <w:r w:rsidR="00AF43A7">
              <w:rPr>
                <w:rFonts w:asciiTheme="minorHAnsi" w:eastAsia="Times New Roman" w:hAnsiTheme="minorHAnsi"/>
                <w:b/>
                <w:sz w:val="20"/>
              </w:rPr>
              <w:t xml:space="preserve"> </w:t>
            </w:r>
            <w:r w:rsidR="00D87C3F" w:rsidRPr="00A96B30">
              <w:rPr>
                <w:rFonts w:asciiTheme="minorHAnsi" w:eastAsia="Times New Roman" w:hAnsiTheme="minorHAnsi"/>
                <w:b/>
                <w:sz w:val="20"/>
              </w:rPr>
              <w:t>option</w:t>
            </w:r>
          </w:p>
        </w:tc>
      </w:tr>
    </w:tbl>
    <w:p w14:paraId="18F09D8E" w14:textId="55224859" w:rsidR="0088686D" w:rsidRDefault="0088686D" w:rsidP="001C0C30"/>
    <w:p w14:paraId="5D1D06A1" w14:textId="77777777" w:rsidR="00F32B4B" w:rsidRDefault="00F32B4B" w:rsidP="001C0C30">
      <w:pPr>
        <w:sectPr w:rsidR="00F32B4B" w:rsidSect="00AC6181">
          <w:pgSz w:w="16840" w:h="11907" w:orient="landscape" w:code="9"/>
          <w:pgMar w:top="1418" w:right="1418" w:bottom="1418" w:left="992" w:header="425" w:footer="635" w:gutter="0"/>
          <w:cols w:space="708"/>
          <w:titlePg/>
          <w:docGrid w:linePitch="360"/>
        </w:sectPr>
      </w:pPr>
    </w:p>
    <w:p w14:paraId="1E3B174D" w14:textId="03CEB2F4" w:rsidR="00F32B4B" w:rsidRDefault="00F32B4B" w:rsidP="00F32B4B">
      <w:pPr>
        <w:pStyle w:val="Headingappendix"/>
        <w:rPr>
          <w:rFonts w:eastAsia="Times New Roman" w:cs="Arial"/>
          <w:bCs/>
          <w:color w:val="1F546B" w:themeColor="text2"/>
          <w:kern w:val="32"/>
          <w:sz w:val="48"/>
          <w:szCs w:val="32"/>
        </w:rPr>
      </w:pPr>
      <w:r>
        <w:rPr>
          <w:rFonts w:eastAsia="Times New Roman" w:cs="Arial"/>
          <w:bCs/>
          <w:color w:val="1F546B" w:themeColor="text2"/>
          <w:kern w:val="32"/>
          <w:sz w:val="48"/>
          <w:szCs w:val="32"/>
        </w:rPr>
        <w:t>Detailed cost components</w:t>
      </w:r>
    </w:p>
    <w:p w14:paraId="3D943058" w14:textId="3BF4B3E8" w:rsidR="00F32B4B" w:rsidRPr="00F81674" w:rsidRDefault="00F32B4B" w:rsidP="00F32B4B">
      <w:pPr>
        <w:rPr>
          <w:b/>
          <w:bCs/>
        </w:rPr>
      </w:pPr>
      <w:r w:rsidRPr="29E65A09">
        <w:rPr>
          <w:b/>
          <w:bCs/>
        </w:rPr>
        <w:t xml:space="preserve">Table </w:t>
      </w:r>
      <w:r w:rsidR="00D92E0E">
        <w:rPr>
          <w:b/>
          <w:bCs/>
        </w:rPr>
        <w:t>3</w:t>
      </w:r>
      <w:r w:rsidRPr="29E65A09">
        <w:rPr>
          <w:b/>
          <w:bCs/>
        </w:rPr>
        <w:t xml:space="preserve">: Estimated costs by activity and duration  </w:t>
      </w:r>
    </w:p>
    <w:tbl>
      <w:tblPr>
        <w:tblStyle w:val="DIATable"/>
        <w:tblW w:w="5019" w:type="pct"/>
        <w:tblInd w:w="0" w:type="dxa"/>
        <w:tblLook w:val="04A0" w:firstRow="1" w:lastRow="0" w:firstColumn="1" w:lastColumn="0" w:noHBand="0" w:noVBand="1"/>
      </w:tblPr>
      <w:tblGrid>
        <w:gridCol w:w="4219"/>
        <w:gridCol w:w="1700"/>
        <w:gridCol w:w="1561"/>
        <w:gridCol w:w="1842"/>
      </w:tblGrid>
      <w:tr w:rsidR="00CB5DF4" w14:paraId="2CF8F1C3" w14:textId="77777777" w:rsidTr="00D06112">
        <w:trPr>
          <w:cnfStyle w:val="100000000000" w:firstRow="1" w:lastRow="0" w:firstColumn="0" w:lastColumn="0" w:oddVBand="0" w:evenVBand="0" w:oddHBand="0" w:evenHBand="0" w:firstRowFirstColumn="0" w:firstRowLastColumn="0" w:lastRowFirstColumn="0" w:lastRowLastColumn="0"/>
        </w:trPr>
        <w:tc>
          <w:tcPr>
            <w:tcW w:w="2263" w:type="pct"/>
          </w:tcPr>
          <w:p w14:paraId="790F8259" w14:textId="77777777" w:rsidR="00F32B4B" w:rsidRDefault="00F32B4B" w:rsidP="00F32B4B">
            <w:r>
              <w:t>Activity</w:t>
            </w:r>
          </w:p>
        </w:tc>
        <w:tc>
          <w:tcPr>
            <w:tcW w:w="912" w:type="pct"/>
          </w:tcPr>
          <w:p w14:paraId="63087D20" w14:textId="77777777" w:rsidR="00F32B4B" w:rsidRDefault="00F32B4B" w:rsidP="00F32B4B">
            <w:r>
              <w:t>Estimated duration (days)</w:t>
            </w:r>
          </w:p>
        </w:tc>
        <w:tc>
          <w:tcPr>
            <w:tcW w:w="837" w:type="pct"/>
          </w:tcPr>
          <w:p w14:paraId="57B52AF0" w14:textId="77777777" w:rsidR="00F32B4B" w:rsidRDefault="00F32B4B" w:rsidP="00F32B4B">
            <w:r>
              <w:t>Cost for total duration</w:t>
            </w:r>
          </w:p>
        </w:tc>
        <w:tc>
          <w:tcPr>
            <w:tcW w:w="988" w:type="pct"/>
          </w:tcPr>
          <w:p w14:paraId="5C3D0BC2" w14:textId="77777777" w:rsidR="00F32B4B" w:rsidRDefault="00F32B4B" w:rsidP="00F32B4B">
            <w:r>
              <w:t>Total estimated cost</w:t>
            </w:r>
          </w:p>
        </w:tc>
      </w:tr>
      <w:tr w:rsidR="00F32B4B" w14:paraId="0A470DA0" w14:textId="77777777" w:rsidTr="00D06112">
        <w:tc>
          <w:tcPr>
            <w:tcW w:w="4012" w:type="pct"/>
            <w:gridSpan w:val="3"/>
            <w:shd w:val="clear" w:color="auto" w:fill="000000" w:themeFill="text1"/>
          </w:tcPr>
          <w:p w14:paraId="655F88F9" w14:textId="77777777" w:rsidR="00F32B4B" w:rsidRPr="00683DE0" w:rsidRDefault="00F32B4B" w:rsidP="00F32B4B">
            <w:pPr>
              <w:rPr>
                <w:b/>
                <w:bCs/>
              </w:rPr>
            </w:pPr>
            <w:r w:rsidRPr="29E65A09">
              <w:rPr>
                <w:b/>
                <w:bCs/>
              </w:rPr>
              <w:t>Pre-application</w:t>
            </w:r>
          </w:p>
        </w:tc>
        <w:tc>
          <w:tcPr>
            <w:tcW w:w="988" w:type="pct"/>
            <w:shd w:val="clear" w:color="auto" w:fill="000000" w:themeFill="text1"/>
          </w:tcPr>
          <w:p w14:paraId="1D16AF12" w14:textId="77777777" w:rsidR="00F32B4B" w:rsidRPr="00683DE0" w:rsidRDefault="00F32B4B" w:rsidP="00F32B4B">
            <w:pPr>
              <w:rPr>
                <w:b/>
              </w:rPr>
            </w:pPr>
          </w:p>
        </w:tc>
      </w:tr>
      <w:tr w:rsidR="00CB5DF4" w14:paraId="0A814CFC" w14:textId="77777777" w:rsidTr="00D06112">
        <w:tc>
          <w:tcPr>
            <w:tcW w:w="2263" w:type="pct"/>
          </w:tcPr>
          <w:p w14:paraId="62E25C8F" w14:textId="77777777" w:rsidR="00F32B4B" w:rsidRDefault="00F32B4B" w:rsidP="00F32B4B">
            <w:r>
              <w:t>Commissioners’ fees (Chief Gambling Commissioner and 4 Commissioners)</w:t>
            </w:r>
          </w:p>
        </w:tc>
        <w:tc>
          <w:tcPr>
            <w:tcW w:w="912" w:type="pct"/>
          </w:tcPr>
          <w:p w14:paraId="2105C4F3" w14:textId="77777777" w:rsidR="00F32B4B" w:rsidRDefault="00F32B4B" w:rsidP="00F32B4B">
            <w:r>
              <w:t>1</w:t>
            </w:r>
          </w:p>
        </w:tc>
        <w:tc>
          <w:tcPr>
            <w:tcW w:w="837" w:type="pct"/>
          </w:tcPr>
          <w:p w14:paraId="75616070" w14:textId="77777777" w:rsidR="00F32B4B" w:rsidRDefault="00F32B4B" w:rsidP="00F32B4B"/>
        </w:tc>
        <w:tc>
          <w:tcPr>
            <w:tcW w:w="988" w:type="pct"/>
          </w:tcPr>
          <w:p w14:paraId="33BD9170" w14:textId="77777777" w:rsidR="00F32B4B" w:rsidRDefault="00F32B4B" w:rsidP="00F32B4B">
            <w:r>
              <w:t>$2,650.00</w:t>
            </w:r>
          </w:p>
        </w:tc>
      </w:tr>
      <w:tr w:rsidR="00CB5DF4" w14:paraId="44A6D62B" w14:textId="77777777" w:rsidTr="00D06112">
        <w:tc>
          <w:tcPr>
            <w:tcW w:w="2263" w:type="pct"/>
          </w:tcPr>
          <w:p w14:paraId="1D73041D" w14:textId="77777777" w:rsidR="00F32B4B" w:rsidRDefault="00F32B4B" w:rsidP="00F32B4B">
            <w:r>
              <w:t xml:space="preserve">Legal expenses and advice </w:t>
            </w:r>
          </w:p>
        </w:tc>
        <w:tc>
          <w:tcPr>
            <w:tcW w:w="912" w:type="pct"/>
          </w:tcPr>
          <w:p w14:paraId="60719896" w14:textId="77777777" w:rsidR="00F32B4B" w:rsidRDefault="00F32B4B" w:rsidP="00F32B4B"/>
        </w:tc>
        <w:tc>
          <w:tcPr>
            <w:tcW w:w="837" w:type="pct"/>
          </w:tcPr>
          <w:p w14:paraId="00F79A59" w14:textId="77777777" w:rsidR="00F32B4B" w:rsidRDefault="00F32B4B" w:rsidP="00F32B4B"/>
        </w:tc>
        <w:tc>
          <w:tcPr>
            <w:tcW w:w="988" w:type="pct"/>
          </w:tcPr>
          <w:p w14:paraId="35E8F25E" w14:textId="77777777" w:rsidR="00F32B4B" w:rsidRDefault="00F32B4B" w:rsidP="00F32B4B">
            <w:r>
              <w:t>$3,750.00</w:t>
            </w:r>
          </w:p>
        </w:tc>
      </w:tr>
      <w:tr w:rsidR="00CB5DF4" w14:paraId="64A0F374" w14:textId="77777777" w:rsidTr="00D06112">
        <w:tc>
          <w:tcPr>
            <w:tcW w:w="2263" w:type="pct"/>
          </w:tcPr>
          <w:p w14:paraId="4F7302A4" w14:textId="77777777" w:rsidR="00F32B4B" w:rsidRDefault="00F32B4B" w:rsidP="00F32B4B">
            <w:r>
              <w:t>Chief Gambling Commissioner and Executive Director travel to meet local Council:</w:t>
            </w:r>
          </w:p>
        </w:tc>
        <w:tc>
          <w:tcPr>
            <w:tcW w:w="912" w:type="pct"/>
          </w:tcPr>
          <w:p w14:paraId="0A393150" w14:textId="77777777" w:rsidR="00F32B4B" w:rsidRDefault="00F32B4B" w:rsidP="00F32B4B">
            <w:r>
              <w:t>1</w:t>
            </w:r>
          </w:p>
        </w:tc>
        <w:tc>
          <w:tcPr>
            <w:tcW w:w="837" w:type="pct"/>
          </w:tcPr>
          <w:p w14:paraId="4F257479" w14:textId="77777777" w:rsidR="00F32B4B" w:rsidRDefault="00F32B4B" w:rsidP="00F32B4B"/>
        </w:tc>
        <w:tc>
          <w:tcPr>
            <w:tcW w:w="988" w:type="pct"/>
          </w:tcPr>
          <w:p w14:paraId="6AF21873" w14:textId="77777777" w:rsidR="00F32B4B" w:rsidRDefault="00F32B4B" w:rsidP="00F32B4B"/>
        </w:tc>
      </w:tr>
      <w:tr w:rsidR="00CB5DF4" w14:paraId="4E585408" w14:textId="77777777" w:rsidTr="00D06112">
        <w:tc>
          <w:tcPr>
            <w:tcW w:w="2263" w:type="pct"/>
          </w:tcPr>
          <w:p w14:paraId="0DA896C4" w14:textId="77777777" w:rsidR="00F32B4B" w:rsidRPr="0023229C" w:rsidRDefault="00F32B4B" w:rsidP="0054029E">
            <w:pPr>
              <w:pStyle w:val="ListParagraph"/>
              <w:numPr>
                <w:ilvl w:val="0"/>
                <w:numId w:val="38"/>
              </w:numPr>
              <w:spacing w:before="56" w:after="32"/>
            </w:pPr>
            <w:r>
              <w:t>Fees</w:t>
            </w:r>
          </w:p>
        </w:tc>
        <w:tc>
          <w:tcPr>
            <w:tcW w:w="912" w:type="pct"/>
          </w:tcPr>
          <w:p w14:paraId="17AC86B7" w14:textId="77777777" w:rsidR="00F32B4B" w:rsidRPr="00AB70F2" w:rsidRDefault="00F32B4B" w:rsidP="00F32B4B">
            <w:pPr>
              <w:rPr>
                <w:u w:val="single"/>
              </w:rPr>
            </w:pPr>
          </w:p>
        </w:tc>
        <w:tc>
          <w:tcPr>
            <w:tcW w:w="837" w:type="pct"/>
          </w:tcPr>
          <w:p w14:paraId="50B8E615" w14:textId="77777777" w:rsidR="00F32B4B" w:rsidRPr="0023229C" w:rsidRDefault="00F32B4B" w:rsidP="00F32B4B">
            <w:r>
              <w:t>$750.00</w:t>
            </w:r>
          </w:p>
        </w:tc>
        <w:tc>
          <w:tcPr>
            <w:tcW w:w="988" w:type="pct"/>
          </w:tcPr>
          <w:p w14:paraId="605F9808" w14:textId="77777777" w:rsidR="00F32B4B" w:rsidRPr="0023229C" w:rsidRDefault="00F32B4B" w:rsidP="00F32B4B"/>
        </w:tc>
      </w:tr>
      <w:tr w:rsidR="00CB5DF4" w14:paraId="21DF2EBF" w14:textId="77777777" w:rsidTr="00D06112">
        <w:tc>
          <w:tcPr>
            <w:tcW w:w="2263" w:type="pct"/>
          </w:tcPr>
          <w:p w14:paraId="2D9C8AAD" w14:textId="77777777" w:rsidR="00F32B4B" w:rsidRPr="00491D0B" w:rsidRDefault="00F32B4B" w:rsidP="0054029E">
            <w:pPr>
              <w:pStyle w:val="ListParagraph"/>
              <w:numPr>
                <w:ilvl w:val="0"/>
                <w:numId w:val="38"/>
              </w:numPr>
              <w:spacing w:before="56" w:after="32"/>
            </w:pPr>
            <w:r>
              <w:t>Travel related expenses</w:t>
            </w:r>
          </w:p>
        </w:tc>
        <w:tc>
          <w:tcPr>
            <w:tcW w:w="912" w:type="pct"/>
          </w:tcPr>
          <w:p w14:paraId="6980EB88" w14:textId="77777777" w:rsidR="00F32B4B" w:rsidRPr="00AB70F2" w:rsidRDefault="00F32B4B" w:rsidP="00F32B4B">
            <w:pPr>
              <w:rPr>
                <w:u w:val="single"/>
              </w:rPr>
            </w:pPr>
          </w:p>
        </w:tc>
        <w:tc>
          <w:tcPr>
            <w:tcW w:w="837" w:type="pct"/>
          </w:tcPr>
          <w:p w14:paraId="11D8B4B3" w14:textId="77777777" w:rsidR="00F32B4B" w:rsidRPr="00683DE0" w:rsidRDefault="00F32B4B" w:rsidP="00F32B4B">
            <w:r>
              <w:t>$1,400.00</w:t>
            </w:r>
          </w:p>
        </w:tc>
        <w:tc>
          <w:tcPr>
            <w:tcW w:w="988" w:type="pct"/>
          </w:tcPr>
          <w:p w14:paraId="4198E6E8" w14:textId="77777777" w:rsidR="00F32B4B" w:rsidRDefault="00F32B4B" w:rsidP="00F32B4B">
            <w:r>
              <w:t>$2,150.00</w:t>
            </w:r>
          </w:p>
        </w:tc>
      </w:tr>
      <w:tr w:rsidR="00CB5DF4" w14:paraId="5F6BB76D" w14:textId="77777777" w:rsidTr="00D06112">
        <w:trPr>
          <w:trHeight w:val="397"/>
        </w:trPr>
        <w:tc>
          <w:tcPr>
            <w:tcW w:w="2263" w:type="pct"/>
            <w:shd w:val="clear" w:color="auto" w:fill="D9D9D9" w:themeFill="background1" w:themeFillShade="D9"/>
          </w:tcPr>
          <w:p w14:paraId="0A110E69" w14:textId="77777777" w:rsidR="00F32B4B" w:rsidRPr="00734DE1" w:rsidRDefault="00F32B4B" w:rsidP="00F32B4B"/>
        </w:tc>
        <w:tc>
          <w:tcPr>
            <w:tcW w:w="912" w:type="pct"/>
            <w:shd w:val="clear" w:color="auto" w:fill="D9D9D9" w:themeFill="background1" w:themeFillShade="D9"/>
          </w:tcPr>
          <w:p w14:paraId="4B628E63" w14:textId="77777777" w:rsidR="00F32B4B" w:rsidRPr="00734DE1" w:rsidRDefault="00F32B4B" w:rsidP="00F32B4B">
            <w:r>
              <w:t>2</w:t>
            </w:r>
          </w:p>
        </w:tc>
        <w:tc>
          <w:tcPr>
            <w:tcW w:w="837" w:type="pct"/>
            <w:shd w:val="clear" w:color="auto" w:fill="D9D9D9" w:themeFill="background1" w:themeFillShade="D9"/>
          </w:tcPr>
          <w:p w14:paraId="1EFD474E" w14:textId="77777777" w:rsidR="00F32B4B" w:rsidRPr="00734DE1" w:rsidRDefault="00F32B4B" w:rsidP="00F32B4B">
            <w:pPr>
              <w:rPr>
                <w:u w:val="single"/>
              </w:rPr>
            </w:pPr>
          </w:p>
        </w:tc>
        <w:tc>
          <w:tcPr>
            <w:tcW w:w="988" w:type="pct"/>
            <w:shd w:val="clear" w:color="auto" w:fill="D9D9D9" w:themeFill="background1" w:themeFillShade="D9"/>
          </w:tcPr>
          <w:p w14:paraId="75A53EEB" w14:textId="77777777" w:rsidR="00F32B4B" w:rsidRPr="00734DE1" w:rsidRDefault="00F32B4B" w:rsidP="00F32B4B">
            <w:pPr>
              <w:rPr>
                <w:u w:val="single"/>
              </w:rPr>
            </w:pPr>
            <w:r w:rsidRPr="29E65A09">
              <w:rPr>
                <w:u w:val="single"/>
              </w:rPr>
              <w:t>$8,550.00</w:t>
            </w:r>
          </w:p>
        </w:tc>
      </w:tr>
      <w:tr w:rsidR="00F32B4B" w14:paraId="636080BC" w14:textId="77777777" w:rsidTr="00D06112">
        <w:tc>
          <w:tcPr>
            <w:tcW w:w="4012" w:type="pct"/>
            <w:gridSpan w:val="3"/>
            <w:shd w:val="clear" w:color="auto" w:fill="000000" w:themeFill="text1"/>
          </w:tcPr>
          <w:p w14:paraId="4268CCC1" w14:textId="77777777" w:rsidR="00F32B4B" w:rsidRPr="00683DE0" w:rsidRDefault="00F32B4B" w:rsidP="00F32B4B">
            <w:pPr>
              <w:rPr>
                <w:b/>
                <w:bCs/>
              </w:rPr>
            </w:pPr>
            <w:r w:rsidRPr="29E65A09">
              <w:rPr>
                <w:b/>
                <w:bCs/>
              </w:rPr>
              <w:t>Application</w:t>
            </w:r>
          </w:p>
        </w:tc>
        <w:tc>
          <w:tcPr>
            <w:tcW w:w="988" w:type="pct"/>
            <w:shd w:val="clear" w:color="auto" w:fill="000000" w:themeFill="text1"/>
          </w:tcPr>
          <w:p w14:paraId="4983E121" w14:textId="77777777" w:rsidR="00F32B4B" w:rsidRDefault="00F32B4B" w:rsidP="00F32B4B">
            <w:pPr>
              <w:rPr>
                <w:b/>
              </w:rPr>
            </w:pPr>
          </w:p>
        </w:tc>
      </w:tr>
      <w:tr w:rsidR="00CB5DF4" w14:paraId="0155F900" w14:textId="77777777" w:rsidTr="00F729C3">
        <w:trPr>
          <w:trHeight w:val="385"/>
        </w:trPr>
        <w:tc>
          <w:tcPr>
            <w:tcW w:w="2263" w:type="pct"/>
            <w:shd w:val="clear" w:color="auto" w:fill="auto"/>
          </w:tcPr>
          <w:p w14:paraId="68CF9444" w14:textId="0FE613A8" w:rsidR="00F32B4B" w:rsidRPr="00734DE1" w:rsidRDefault="00F729C3" w:rsidP="00F32B4B">
            <w:r>
              <w:t>External expert advisor on casino impact report (CIR) and renewal process</w:t>
            </w:r>
          </w:p>
        </w:tc>
        <w:tc>
          <w:tcPr>
            <w:tcW w:w="912" w:type="pct"/>
            <w:shd w:val="clear" w:color="auto" w:fill="auto"/>
          </w:tcPr>
          <w:p w14:paraId="7E77DF19" w14:textId="4ADE2791" w:rsidR="00F32B4B" w:rsidRPr="00734DE1" w:rsidRDefault="00F729C3" w:rsidP="00F32B4B">
            <w:r>
              <w:t>12</w:t>
            </w:r>
          </w:p>
        </w:tc>
        <w:tc>
          <w:tcPr>
            <w:tcW w:w="837" w:type="pct"/>
            <w:shd w:val="clear" w:color="auto" w:fill="auto"/>
          </w:tcPr>
          <w:p w14:paraId="57B6BF96" w14:textId="77777777" w:rsidR="00F32B4B" w:rsidRPr="00734DE1" w:rsidRDefault="00F32B4B" w:rsidP="00F32B4B">
            <w:pPr>
              <w:rPr>
                <w:u w:val="single"/>
              </w:rPr>
            </w:pPr>
          </w:p>
        </w:tc>
        <w:tc>
          <w:tcPr>
            <w:tcW w:w="988" w:type="pct"/>
            <w:shd w:val="clear" w:color="auto" w:fill="auto"/>
          </w:tcPr>
          <w:p w14:paraId="18E0C0ED" w14:textId="47A0B207" w:rsidR="00F32B4B" w:rsidRPr="00F729C3" w:rsidRDefault="00F729C3" w:rsidP="00F32B4B">
            <w:r w:rsidRPr="00F729C3">
              <w:t>$18,000.00</w:t>
            </w:r>
          </w:p>
        </w:tc>
      </w:tr>
      <w:tr w:rsidR="00F729C3" w14:paraId="6D02056C" w14:textId="77777777" w:rsidTr="00F729C3">
        <w:trPr>
          <w:trHeight w:val="385"/>
        </w:trPr>
        <w:tc>
          <w:tcPr>
            <w:tcW w:w="2263" w:type="pct"/>
            <w:shd w:val="clear" w:color="auto" w:fill="D9D9D9" w:themeFill="background1" w:themeFillShade="D9"/>
          </w:tcPr>
          <w:p w14:paraId="40601D72" w14:textId="4E88B34B" w:rsidR="00F729C3" w:rsidRDefault="00F729C3" w:rsidP="00F32B4B"/>
        </w:tc>
        <w:tc>
          <w:tcPr>
            <w:tcW w:w="912" w:type="pct"/>
            <w:shd w:val="clear" w:color="auto" w:fill="D9D9D9" w:themeFill="background1" w:themeFillShade="D9"/>
          </w:tcPr>
          <w:p w14:paraId="4256873D" w14:textId="447A3D57" w:rsidR="00F729C3" w:rsidRDefault="00F729C3" w:rsidP="00F32B4B">
            <w:r>
              <w:t>12</w:t>
            </w:r>
          </w:p>
        </w:tc>
        <w:tc>
          <w:tcPr>
            <w:tcW w:w="837" w:type="pct"/>
            <w:shd w:val="clear" w:color="auto" w:fill="D9D9D9" w:themeFill="background1" w:themeFillShade="D9"/>
          </w:tcPr>
          <w:p w14:paraId="0C8F0D6C" w14:textId="77777777" w:rsidR="00F729C3" w:rsidRPr="00734DE1" w:rsidRDefault="00F729C3" w:rsidP="00F32B4B">
            <w:pPr>
              <w:rPr>
                <w:u w:val="single"/>
              </w:rPr>
            </w:pPr>
          </w:p>
        </w:tc>
        <w:tc>
          <w:tcPr>
            <w:tcW w:w="988" w:type="pct"/>
            <w:shd w:val="clear" w:color="auto" w:fill="D9D9D9" w:themeFill="background1" w:themeFillShade="D9"/>
          </w:tcPr>
          <w:p w14:paraId="6702AF0A" w14:textId="49654EB1" w:rsidR="00F729C3" w:rsidRPr="29E65A09" w:rsidRDefault="00F729C3" w:rsidP="00F32B4B">
            <w:pPr>
              <w:rPr>
                <w:u w:val="single"/>
              </w:rPr>
            </w:pPr>
            <w:r w:rsidRPr="29E65A09">
              <w:rPr>
                <w:u w:val="single"/>
              </w:rPr>
              <w:t>$18,000.00</w:t>
            </w:r>
          </w:p>
        </w:tc>
      </w:tr>
      <w:tr w:rsidR="00F729C3" w14:paraId="3718E8CA" w14:textId="77777777" w:rsidTr="00D06112">
        <w:tc>
          <w:tcPr>
            <w:tcW w:w="4012" w:type="pct"/>
            <w:gridSpan w:val="3"/>
            <w:shd w:val="clear" w:color="auto" w:fill="000000" w:themeFill="text1"/>
          </w:tcPr>
          <w:p w14:paraId="5A3E319E" w14:textId="77777777" w:rsidR="00F729C3" w:rsidRPr="00683DE0" w:rsidRDefault="00F729C3" w:rsidP="00F32B4B">
            <w:pPr>
              <w:rPr>
                <w:b/>
                <w:bCs/>
              </w:rPr>
            </w:pPr>
            <w:r w:rsidRPr="29E65A09">
              <w:rPr>
                <w:b/>
                <w:bCs/>
              </w:rPr>
              <w:t>Public consultation</w:t>
            </w:r>
          </w:p>
        </w:tc>
        <w:tc>
          <w:tcPr>
            <w:tcW w:w="988" w:type="pct"/>
            <w:shd w:val="clear" w:color="auto" w:fill="000000" w:themeFill="text1"/>
          </w:tcPr>
          <w:p w14:paraId="1F025238" w14:textId="77777777" w:rsidR="00F729C3" w:rsidRPr="00683DE0" w:rsidRDefault="00F729C3" w:rsidP="00F32B4B">
            <w:pPr>
              <w:rPr>
                <w:b/>
              </w:rPr>
            </w:pPr>
          </w:p>
        </w:tc>
      </w:tr>
      <w:tr w:rsidR="00F729C3" w14:paraId="411D8AB8" w14:textId="77777777" w:rsidTr="00D06112">
        <w:trPr>
          <w:trHeight w:val="346"/>
        </w:trPr>
        <w:tc>
          <w:tcPr>
            <w:tcW w:w="2263" w:type="pct"/>
          </w:tcPr>
          <w:p w14:paraId="51A75AEF" w14:textId="77777777" w:rsidR="00F729C3" w:rsidRDefault="00F729C3" w:rsidP="00F32B4B">
            <w:r>
              <w:t>Advertising</w:t>
            </w:r>
          </w:p>
        </w:tc>
        <w:tc>
          <w:tcPr>
            <w:tcW w:w="912" w:type="pct"/>
          </w:tcPr>
          <w:p w14:paraId="1C585C97" w14:textId="77777777" w:rsidR="00F729C3" w:rsidRDefault="00F729C3" w:rsidP="00F32B4B"/>
        </w:tc>
        <w:tc>
          <w:tcPr>
            <w:tcW w:w="837" w:type="pct"/>
          </w:tcPr>
          <w:p w14:paraId="04E4D790" w14:textId="59C3D8E9" w:rsidR="00F729C3" w:rsidRDefault="00F729C3" w:rsidP="00F32B4B"/>
        </w:tc>
        <w:tc>
          <w:tcPr>
            <w:tcW w:w="988" w:type="pct"/>
          </w:tcPr>
          <w:p w14:paraId="5A2E6675" w14:textId="77777777" w:rsidR="00F729C3" w:rsidRDefault="00F729C3" w:rsidP="00F32B4B">
            <w:r>
              <w:t>$3,000.00</w:t>
            </w:r>
          </w:p>
        </w:tc>
      </w:tr>
      <w:tr w:rsidR="00F729C3" w14:paraId="4093518F" w14:textId="77777777" w:rsidTr="00D06112">
        <w:trPr>
          <w:trHeight w:val="678"/>
        </w:trPr>
        <w:tc>
          <w:tcPr>
            <w:tcW w:w="2263" w:type="pct"/>
          </w:tcPr>
          <w:p w14:paraId="255F841F" w14:textId="77777777" w:rsidR="00F729C3" w:rsidRPr="00734DE1" w:rsidRDefault="00F729C3" w:rsidP="00F32B4B">
            <w:pPr>
              <w:spacing w:after="0"/>
            </w:pPr>
            <w:r>
              <w:t>Commissioners’ travel (Chief Gambling Commissioner and 4 Commissioners)</w:t>
            </w:r>
          </w:p>
        </w:tc>
        <w:tc>
          <w:tcPr>
            <w:tcW w:w="912" w:type="pct"/>
          </w:tcPr>
          <w:p w14:paraId="5C5C537B" w14:textId="77777777" w:rsidR="00F729C3" w:rsidRDefault="00F729C3" w:rsidP="00F32B4B">
            <w:r>
              <w:t>6</w:t>
            </w:r>
          </w:p>
          <w:p w14:paraId="5CFB74B1" w14:textId="77777777" w:rsidR="00F729C3" w:rsidRDefault="00F729C3" w:rsidP="00F32B4B"/>
        </w:tc>
        <w:tc>
          <w:tcPr>
            <w:tcW w:w="837" w:type="pct"/>
          </w:tcPr>
          <w:p w14:paraId="35B8906E" w14:textId="77777777" w:rsidR="00F729C3" w:rsidRDefault="00F729C3" w:rsidP="00F32B4B">
            <w:r>
              <w:t xml:space="preserve"> </w:t>
            </w:r>
          </w:p>
          <w:p w14:paraId="0489958B" w14:textId="77777777" w:rsidR="00F729C3" w:rsidRDefault="00F729C3" w:rsidP="00F32B4B"/>
        </w:tc>
        <w:tc>
          <w:tcPr>
            <w:tcW w:w="988" w:type="pct"/>
          </w:tcPr>
          <w:p w14:paraId="2D3AB736" w14:textId="77777777" w:rsidR="00F729C3" w:rsidRDefault="00F729C3" w:rsidP="00F32B4B"/>
        </w:tc>
      </w:tr>
      <w:tr w:rsidR="00F729C3" w14:paraId="4E9E55C7" w14:textId="77777777" w:rsidTr="00D06112">
        <w:tc>
          <w:tcPr>
            <w:tcW w:w="2263" w:type="pct"/>
          </w:tcPr>
          <w:p w14:paraId="6EACA49A" w14:textId="77777777" w:rsidR="00F729C3" w:rsidRPr="00734DE1" w:rsidRDefault="00F729C3" w:rsidP="0054029E">
            <w:pPr>
              <w:pStyle w:val="ListParagraph"/>
              <w:numPr>
                <w:ilvl w:val="0"/>
                <w:numId w:val="38"/>
              </w:numPr>
              <w:spacing w:before="56" w:after="32"/>
            </w:pPr>
            <w:r>
              <w:t>Fees</w:t>
            </w:r>
          </w:p>
        </w:tc>
        <w:tc>
          <w:tcPr>
            <w:tcW w:w="912" w:type="pct"/>
          </w:tcPr>
          <w:p w14:paraId="703396FD" w14:textId="77777777" w:rsidR="00F729C3" w:rsidRDefault="00F729C3" w:rsidP="00F32B4B"/>
        </w:tc>
        <w:tc>
          <w:tcPr>
            <w:tcW w:w="837" w:type="pct"/>
          </w:tcPr>
          <w:p w14:paraId="06344919" w14:textId="77777777" w:rsidR="00F729C3" w:rsidRDefault="00F729C3" w:rsidP="00F32B4B">
            <w:r>
              <w:t>$15,900.00</w:t>
            </w:r>
          </w:p>
        </w:tc>
        <w:tc>
          <w:tcPr>
            <w:tcW w:w="988" w:type="pct"/>
          </w:tcPr>
          <w:p w14:paraId="1EE4E7D3" w14:textId="77777777" w:rsidR="00F729C3" w:rsidRDefault="00F729C3" w:rsidP="00F32B4B"/>
        </w:tc>
      </w:tr>
      <w:tr w:rsidR="00F729C3" w14:paraId="5398C4C6" w14:textId="77777777" w:rsidTr="00D06112">
        <w:tc>
          <w:tcPr>
            <w:tcW w:w="2263" w:type="pct"/>
          </w:tcPr>
          <w:p w14:paraId="2B4DA21D" w14:textId="77777777" w:rsidR="00F729C3" w:rsidRPr="0081299F" w:rsidRDefault="00F729C3" w:rsidP="0054029E">
            <w:pPr>
              <w:pStyle w:val="ListParagraph"/>
              <w:numPr>
                <w:ilvl w:val="0"/>
                <w:numId w:val="38"/>
              </w:numPr>
              <w:spacing w:before="56" w:after="32"/>
            </w:pPr>
            <w:r>
              <w:t>Travel related expenses</w:t>
            </w:r>
          </w:p>
        </w:tc>
        <w:tc>
          <w:tcPr>
            <w:tcW w:w="912" w:type="pct"/>
          </w:tcPr>
          <w:p w14:paraId="5C50FED0" w14:textId="77777777" w:rsidR="00F729C3" w:rsidRDefault="00F729C3" w:rsidP="00F32B4B"/>
        </w:tc>
        <w:tc>
          <w:tcPr>
            <w:tcW w:w="837" w:type="pct"/>
          </w:tcPr>
          <w:p w14:paraId="2A4C47F5" w14:textId="77777777" w:rsidR="00F729C3" w:rsidRDefault="00F729C3" w:rsidP="00F32B4B">
            <w:r>
              <w:t>$13,775.00</w:t>
            </w:r>
          </w:p>
        </w:tc>
        <w:tc>
          <w:tcPr>
            <w:tcW w:w="988" w:type="pct"/>
          </w:tcPr>
          <w:p w14:paraId="4B71460A" w14:textId="77777777" w:rsidR="00F729C3" w:rsidRDefault="00F729C3" w:rsidP="00F32B4B">
            <w:r>
              <w:t>$29,675.00</w:t>
            </w:r>
          </w:p>
        </w:tc>
      </w:tr>
      <w:tr w:rsidR="00F729C3" w14:paraId="13261378" w14:textId="77777777" w:rsidTr="00D06112">
        <w:tc>
          <w:tcPr>
            <w:tcW w:w="2263" w:type="pct"/>
          </w:tcPr>
          <w:p w14:paraId="26C1C349" w14:textId="77777777" w:rsidR="00F729C3" w:rsidRDefault="00F729C3" w:rsidP="00F32B4B">
            <w:r>
              <w:t>Legal Advisor in attendance</w:t>
            </w:r>
          </w:p>
        </w:tc>
        <w:tc>
          <w:tcPr>
            <w:tcW w:w="912" w:type="pct"/>
          </w:tcPr>
          <w:p w14:paraId="726D9BD0" w14:textId="77777777" w:rsidR="00F729C3" w:rsidRDefault="00F729C3" w:rsidP="00F32B4B">
            <w:r>
              <w:t>3</w:t>
            </w:r>
          </w:p>
        </w:tc>
        <w:tc>
          <w:tcPr>
            <w:tcW w:w="837" w:type="pct"/>
          </w:tcPr>
          <w:p w14:paraId="71FF61A9" w14:textId="77777777" w:rsidR="00F729C3" w:rsidRDefault="00F729C3" w:rsidP="00F32B4B"/>
        </w:tc>
        <w:tc>
          <w:tcPr>
            <w:tcW w:w="988" w:type="pct"/>
          </w:tcPr>
          <w:p w14:paraId="6D528E32" w14:textId="77777777" w:rsidR="00F729C3" w:rsidRDefault="00F729C3" w:rsidP="00F32B4B"/>
        </w:tc>
      </w:tr>
      <w:tr w:rsidR="00F729C3" w14:paraId="664B8C85" w14:textId="77777777" w:rsidTr="00D06112">
        <w:tc>
          <w:tcPr>
            <w:tcW w:w="2263" w:type="pct"/>
          </w:tcPr>
          <w:p w14:paraId="36C5AD73" w14:textId="77777777" w:rsidR="00F729C3" w:rsidRPr="00734DE1" w:rsidRDefault="00F729C3" w:rsidP="0054029E">
            <w:pPr>
              <w:pStyle w:val="ListParagraph"/>
              <w:numPr>
                <w:ilvl w:val="0"/>
                <w:numId w:val="38"/>
              </w:numPr>
              <w:spacing w:before="56" w:after="32"/>
            </w:pPr>
            <w:r>
              <w:t>Fees</w:t>
            </w:r>
          </w:p>
        </w:tc>
        <w:tc>
          <w:tcPr>
            <w:tcW w:w="912" w:type="pct"/>
          </w:tcPr>
          <w:p w14:paraId="589BD9DC" w14:textId="77777777" w:rsidR="00F729C3" w:rsidRDefault="00F729C3" w:rsidP="00F32B4B"/>
        </w:tc>
        <w:tc>
          <w:tcPr>
            <w:tcW w:w="837" w:type="pct"/>
          </w:tcPr>
          <w:p w14:paraId="6E01B8E4" w14:textId="77777777" w:rsidR="00F729C3" w:rsidRDefault="00F729C3" w:rsidP="00F32B4B">
            <w:r>
              <w:t>$9,360.00</w:t>
            </w:r>
          </w:p>
        </w:tc>
        <w:tc>
          <w:tcPr>
            <w:tcW w:w="988" w:type="pct"/>
          </w:tcPr>
          <w:p w14:paraId="531EF937" w14:textId="77777777" w:rsidR="00F729C3" w:rsidRDefault="00F729C3" w:rsidP="00F32B4B"/>
        </w:tc>
      </w:tr>
      <w:tr w:rsidR="00F729C3" w14:paraId="6220E9AF" w14:textId="77777777" w:rsidTr="00D06112">
        <w:tc>
          <w:tcPr>
            <w:tcW w:w="2263" w:type="pct"/>
          </w:tcPr>
          <w:p w14:paraId="7B5AA67A" w14:textId="77777777" w:rsidR="00F729C3" w:rsidRPr="00734DE1" w:rsidRDefault="00F729C3" w:rsidP="0054029E">
            <w:pPr>
              <w:pStyle w:val="ListParagraph"/>
              <w:numPr>
                <w:ilvl w:val="0"/>
                <w:numId w:val="38"/>
              </w:numPr>
              <w:spacing w:before="56" w:after="32"/>
            </w:pPr>
            <w:r>
              <w:t>Travel related expenses</w:t>
            </w:r>
          </w:p>
        </w:tc>
        <w:tc>
          <w:tcPr>
            <w:tcW w:w="912" w:type="pct"/>
          </w:tcPr>
          <w:p w14:paraId="5FB18031" w14:textId="77777777" w:rsidR="00F729C3" w:rsidRDefault="00F729C3" w:rsidP="00F32B4B"/>
        </w:tc>
        <w:tc>
          <w:tcPr>
            <w:tcW w:w="837" w:type="pct"/>
          </w:tcPr>
          <w:p w14:paraId="378FCAF7" w14:textId="77777777" w:rsidR="00F729C3" w:rsidRDefault="00F729C3" w:rsidP="00F32B4B">
            <w:r>
              <w:t>$1,790.00</w:t>
            </w:r>
          </w:p>
        </w:tc>
        <w:tc>
          <w:tcPr>
            <w:tcW w:w="988" w:type="pct"/>
          </w:tcPr>
          <w:p w14:paraId="226A468A" w14:textId="77777777" w:rsidR="00F729C3" w:rsidRDefault="00F729C3" w:rsidP="00F32B4B">
            <w:r>
              <w:t>$11,150.00</w:t>
            </w:r>
          </w:p>
        </w:tc>
      </w:tr>
      <w:tr w:rsidR="00F729C3" w14:paraId="713DABDD" w14:textId="77777777" w:rsidTr="00D06112">
        <w:tc>
          <w:tcPr>
            <w:tcW w:w="2263" w:type="pct"/>
          </w:tcPr>
          <w:p w14:paraId="23B1B857" w14:textId="77777777" w:rsidR="00F729C3" w:rsidRDefault="00F729C3" w:rsidP="00F32B4B">
            <w:r>
              <w:t>1 Secretariat in attendance</w:t>
            </w:r>
          </w:p>
        </w:tc>
        <w:tc>
          <w:tcPr>
            <w:tcW w:w="912" w:type="pct"/>
          </w:tcPr>
          <w:p w14:paraId="73F9AC4E" w14:textId="77777777" w:rsidR="00F729C3" w:rsidRDefault="00F729C3" w:rsidP="00F32B4B">
            <w:r>
              <w:t>6</w:t>
            </w:r>
          </w:p>
        </w:tc>
        <w:tc>
          <w:tcPr>
            <w:tcW w:w="837" w:type="pct"/>
          </w:tcPr>
          <w:p w14:paraId="4C543036" w14:textId="77777777" w:rsidR="00F729C3" w:rsidRDefault="00F729C3" w:rsidP="00F32B4B"/>
        </w:tc>
        <w:tc>
          <w:tcPr>
            <w:tcW w:w="988" w:type="pct"/>
          </w:tcPr>
          <w:p w14:paraId="54CA5577" w14:textId="77777777" w:rsidR="00F729C3" w:rsidRDefault="00F729C3" w:rsidP="00F32B4B"/>
        </w:tc>
      </w:tr>
      <w:tr w:rsidR="00F729C3" w14:paraId="56E2D429" w14:textId="77777777" w:rsidTr="00D06112">
        <w:tc>
          <w:tcPr>
            <w:tcW w:w="2263" w:type="pct"/>
          </w:tcPr>
          <w:p w14:paraId="65F7443B" w14:textId="77777777" w:rsidR="00F729C3" w:rsidRPr="00734DE1" w:rsidRDefault="00F729C3" w:rsidP="0054029E">
            <w:pPr>
              <w:pStyle w:val="ListParagraph"/>
              <w:numPr>
                <w:ilvl w:val="0"/>
                <w:numId w:val="38"/>
              </w:numPr>
              <w:spacing w:before="56" w:after="32"/>
            </w:pPr>
            <w:r>
              <w:t>Fees</w:t>
            </w:r>
          </w:p>
        </w:tc>
        <w:tc>
          <w:tcPr>
            <w:tcW w:w="912" w:type="pct"/>
          </w:tcPr>
          <w:p w14:paraId="5A016A84" w14:textId="77777777" w:rsidR="00F729C3" w:rsidRDefault="00F729C3" w:rsidP="00F32B4B"/>
        </w:tc>
        <w:tc>
          <w:tcPr>
            <w:tcW w:w="837" w:type="pct"/>
          </w:tcPr>
          <w:p w14:paraId="0360370E" w14:textId="77777777" w:rsidR="00F729C3" w:rsidRDefault="00F729C3" w:rsidP="00F32B4B">
            <w:r>
              <w:t>$3,000.00</w:t>
            </w:r>
          </w:p>
        </w:tc>
        <w:tc>
          <w:tcPr>
            <w:tcW w:w="988" w:type="pct"/>
          </w:tcPr>
          <w:p w14:paraId="1D2CB32F" w14:textId="77777777" w:rsidR="00F729C3" w:rsidRDefault="00F729C3" w:rsidP="00F32B4B"/>
        </w:tc>
      </w:tr>
      <w:tr w:rsidR="00F729C3" w14:paraId="0F1B5B4D" w14:textId="77777777" w:rsidTr="00D06112">
        <w:tc>
          <w:tcPr>
            <w:tcW w:w="2263" w:type="pct"/>
          </w:tcPr>
          <w:p w14:paraId="56F20AAD" w14:textId="77777777" w:rsidR="00F729C3" w:rsidRPr="00734DE1" w:rsidRDefault="00F729C3" w:rsidP="0054029E">
            <w:pPr>
              <w:pStyle w:val="ListParagraph"/>
              <w:numPr>
                <w:ilvl w:val="0"/>
                <w:numId w:val="38"/>
              </w:numPr>
              <w:spacing w:before="56" w:after="32"/>
            </w:pPr>
            <w:r>
              <w:t>Travel related expenses</w:t>
            </w:r>
          </w:p>
        </w:tc>
        <w:tc>
          <w:tcPr>
            <w:tcW w:w="912" w:type="pct"/>
          </w:tcPr>
          <w:p w14:paraId="1E906A43" w14:textId="77777777" w:rsidR="00F729C3" w:rsidRDefault="00F729C3" w:rsidP="00F32B4B"/>
        </w:tc>
        <w:tc>
          <w:tcPr>
            <w:tcW w:w="837" w:type="pct"/>
          </w:tcPr>
          <w:p w14:paraId="254956E5" w14:textId="77777777" w:rsidR="00F729C3" w:rsidRDefault="00F729C3" w:rsidP="00F32B4B">
            <w:r>
              <w:t>$5,710.00</w:t>
            </w:r>
          </w:p>
        </w:tc>
        <w:tc>
          <w:tcPr>
            <w:tcW w:w="988" w:type="pct"/>
          </w:tcPr>
          <w:p w14:paraId="09975EC5" w14:textId="77777777" w:rsidR="00F729C3" w:rsidRDefault="00F729C3" w:rsidP="00F32B4B">
            <w:r>
              <w:t>$8,710.00</w:t>
            </w:r>
          </w:p>
        </w:tc>
      </w:tr>
      <w:tr w:rsidR="00F729C3" w14:paraId="33FFF4DE" w14:textId="77777777" w:rsidTr="00D06112">
        <w:tc>
          <w:tcPr>
            <w:tcW w:w="2263" w:type="pct"/>
          </w:tcPr>
          <w:p w14:paraId="278A4123" w14:textId="75B93923" w:rsidR="00F729C3" w:rsidRDefault="00F729C3" w:rsidP="00F32B4B">
            <w:r>
              <w:t>Venue hire</w:t>
            </w:r>
          </w:p>
        </w:tc>
        <w:tc>
          <w:tcPr>
            <w:tcW w:w="912" w:type="pct"/>
          </w:tcPr>
          <w:p w14:paraId="7DF19CF9" w14:textId="77777777" w:rsidR="00F729C3" w:rsidRDefault="00F729C3" w:rsidP="00F32B4B">
            <w:r>
              <w:t>2</w:t>
            </w:r>
          </w:p>
        </w:tc>
        <w:tc>
          <w:tcPr>
            <w:tcW w:w="837" w:type="pct"/>
          </w:tcPr>
          <w:p w14:paraId="392004AD" w14:textId="77777777" w:rsidR="00F729C3" w:rsidRDefault="00F729C3" w:rsidP="00F32B4B">
            <w:r>
              <w:t>$4,000.00</w:t>
            </w:r>
          </w:p>
        </w:tc>
        <w:tc>
          <w:tcPr>
            <w:tcW w:w="988" w:type="pct"/>
          </w:tcPr>
          <w:p w14:paraId="1C60433B" w14:textId="70A143F6" w:rsidR="00F729C3" w:rsidRDefault="00F729C3" w:rsidP="00F32B4B">
            <w:r>
              <w:t>$4,000.00</w:t>
            </w:r>
          </w:p>
        </w:tc>
      </w:tr>
      <w:tr w:rsidR="00F729C3" w14:paraId="2D95550B" w14:textId="77777777" w:rsidTr="00D06112">
        <w:tc>
          <w:tcPr>
            <w:tcW w:w="2263" w:type="pct"/>
          </w:tcPr>
          <w:p w14:paraId="7D61B898" w14:textId="06A12F53" w:rsidR="00F729C3" w:rsidRDefault="00F729C3" w:rsidP="00F32B4B">
            <w:r>
              <w:t>Transcriptionist</w:t>
            </w:r>
          </w:p>
        </w:tc>
        <w:tc>
          <w:tcPr>
            <w:tcW w:w="912" w:type="pct"/>
          </w:tcPr>
          <w:p w14:paraId="28F39828" w14:textId="77777777" w:rsidR="00F729C3" w:rsidRDefault="00F729C3" w:rsidP="00F32B4B">
            <w:r>
              <w:t>2</w:t>
            </w:r>
          </w:p>
        </w:tc>
        <w:tc>
          <w:tcPr>
            <w:tcW w:w="837" w:type="pct"/>
          </w:tcPr>
          <w:p w14:paraId="2420F074" w14:textId="77777777" w:rsidR="00F729C3" w:rsidRDefault="00F729C3" w:rsidP="00F32B4B">
            <w:r>
              <w:t>$5,000.00</w:t>
            </w:r>
          </w:p>
        </w:tc>
        <w:tc>
          <w:tcPr>
            <w:tcW w:w="988" w:type="pct"/>
          </w:tcPr>
          <w:p w14:paraId="1EB55547" w14:textId="70E119A1" w:rsidR="00F729C3" w:rsidRDefault="00F729C3" w:rsidP="00F32B4B">
            <w:r>
              <w:t>$5,000.00</w:t>
            </w:r>
          </w:p>
        </w:tc>
      </w:tr>
      <w:tr w:rsidR="00F729C3" w14:paraId="031E14F6" w14:textId="77777777" w:rsidTr="00D06112">
        <w:tc>
          <w:tcPr>
            <w:tcW w:w="2263" w:type="pct"/>
            <w:shd w:val="clear" w:color="auto" w:fill="D9D9D9" w:themeFill="background1" w:themeFillShade="D9"/>
          </w:tcPr>
          <w:p w14:paraId="54EC4F13" w14:textId="77777777" w:rsidR="00F729C3" w:rsidRDefault="00F729C3" w:rsidP="00F32B4B"/>
        </w:tc>
        <w:tc>
          <w:tcPr>
            <w:tcW w:w="912" w:type="pct"/>
            <w:shd w:val="clear" w:color="auto" w:fill="D9D9D9" w:themeFill="background1" w:themeFillShade="D9"/>
          </w:tcPr>
          <w:p w14:paraId="08A28211" w14:textId="0D8CE2AF" w:rsidR="00F729C3" w:rsidRDefault="00F729C3" w:rsidP="00F32B4B">
            <w:r>
              <w:t>19</w:t>
            </w:r>
          </w:p>
        </w:tc>
        <w:tc>
          <w:tcPr>
            <w:tcW w:w="837" w:type="pct"/>
            <w:shd w:val="clear" w:color="auto" w:fill="D9D9D9" w:themeFill="background1" w:themeFillShade="D9"/>
          </w:tcPr>
          <w:p w14:paraId="5D648ACF" w14:textId="77777777" w:rsidR="00F729C3" w:rsidRPr="00AB70F2" w:rsidRDefault="00F729C3" w:rsidP="00F32B4B">
            <w:pPr>
              <w:rPr>
                <w:u w:val="single"/>
              </w:rPr>
            </w:pPr>
          </w:p>
        </w:tc>
        <w:tc>
          <w:tcPr>
            <w:tcW w:w="988" w:type="pct"/>
            <w:shd w:val="clear" w:color="auto" w:fill="D9D9D9" w:themeFill="background1" w:themeFillShade="D9"/>
          </w:tcPr>
          <w:p w14:paraId="752E0FB9" w14:textId="77777777" w:rsidR="00F729C3" w:rsidRPr="00AB70F2" w:rsidRDefault="00F729C3" w:rsidP="00F32B4B">
            <w:pPr>
              <w:rPr>
                <w:u w:val="single"/>
              </w:rPr>
            </w:pPr>
            <w:r w:rsidRPr="29E65A09">
              <w:rPr>
                <w:u w:val="single"/>
              </w:rPr>
              <w:t>$61,535.00</w:t>
            </w:r>
          </w:p>
        </w:tc>
      </w:tr>
      <w:tr w:rsidR="00F729C3" w14:paraId="6A8E788A" w14:textId="77777777" w:rsidTr="00C05778">
        <w:tc>
          <w:tcPr>
            <w:tcW w:w="5000" w:type="pct"/>
            <w:gridSpan w:val="4"/>
            <w:shd w:val="clear" w:color="auto" w:fill="000000" w:themeFill="text1"/>
          </w:tcPr>
          <w:p w14:paraId="3416D24C" w14:textId="6A7A9A08" w:rsidR="00F729C3" w:rsidRPr="00B64D04" w:rsidRDefault="00F729C3" w:rsidP="00F32B4B">
            <w:pPr>
              <w:rPr>
                <w:b/>
                <w:bCs/>
              </w:rPr>
            </w:pPr>
            <w:r w:rsidRPr="29E65A09">
              <w:rPr>
                <w:b/>
                <w:bCs/>
              </w:rPr>
              <w:t>Decision</w:t>
            </w:r>
            <w:r>
              <w:rPr>
                <w:b/>
                <w:bCs/>
              </w:rPr>
              <w:t xml:space="preserve"> and other</w:t>
            </w:r>
          </w:p>
        </w:tc>
      </w:tr>
      <w:tr w:rsidR="00F729C3" w14:paraId="0B9C7C43" w14:textId="77777777" w:rsidTr="00D06112">
        <w:tc>
          <w:tcPr>
            <w:tcW w:w="2263" w:type="pct"/>
          </w:tcPr>
          <w:p w14:paraId="76B3292F" w14:textId="77777777" w:rsidR="00F729C3" w:rsidRDefault="00F729C3" w:rsidP="00F32B4B">
            <w:r>
              <w:t>Additional legal advice</w:t>
            </w:r>
          </w:p>
        </w:tc>
        <w:tc>
          <w:tcPr>
            <w:tcW w:w="912" w:type="pct"/>
          </w:tcPr>
          <w:p w14:paraId="523FF539" w14:textId="77777777" w:rsidR="00F729C3" w:rsidRDefault="00F729C3" w:rsidP="00F32B4B">
            <w:r>
              <w:t>8</w:t>
            </w:r>
          </w:p>
        </w:tc>
        <w:tc>
          <w:tcPr>
            <w:tcW w:w="837" w:type="pct"/>
          </w:tcPr>
          <w:p w14:paraId="7AAF5D00" w14:textId="77777777" w:rsidR="00F729C3" w:rsidRDefault="00F729C3" w:rsidP="00F32B4B"/>
        </w:tc>
        <w:tc>
          <w:tcPr>
            <w:tcW w:w="988" w:type="pct"/>
          </w:tcPr>
          <w:p w14:paraId="348FCC46" w14:textId="77777777" w:rsidR="00F729C3" w:rsidRDefault="00F729C3" w:rsidP="00F32B4B">
            <w:r>
              <w:t>$24,960.00</w:t>
            </w:r>
          </w:p>
        </w:tc>
      </w:tr>
      <w:tr w:rsidR="00F729C3" w14:paraId="4FAEB4A8" w14:textId="77777777" w:rsidTr="00D06112">
        <w:tc>
          <w:tcPr>
            <w:tcW w:w="2263" w:type="pct"/>
          </w:tcPr>
          <w:p w14:paraId="0D57E039" w14:textId="11A30A8D" w:rsidR="00F729C3" w:rsidRDefault="00F729C3" w:rsidP="00E01ACB">
            <w:r>
              <w:t>Commissioners’ decision (Chief Gambling Commissioner and 4 Commissioners)</w:t>
            </w:r>
          </w:p>
        </w:tc>
        <w:tc>
          <w:tcPr>
            <w:tcW w:w="912" w:type="pct"/>
          </w:tcPr>
          <w:p w14:paraId="7F41A1ED" w14:textId="77777777" w:rsidR="00F729C3" w:rsidRDefault="00F729C3" w:rsidP="00F32B4B">
            <w:r>
              <w:t>5</w:t>
            </w:r>
          </w:p>
        </w:tc>
        <w:tc>
          <w:tcPr>
            <w:tcW w:w="837" w:type="pct"/>
          </w:tcPr>
          <w:p w14:paraId="13EDFC48" w14:textId="77777777" w:rsidR="00F729C3" w:rsidRDefault="00F729C3" w:rsidP="00F32B4B"/>
        </w:tc>
        <w:tc>
          <w:tcPr>
            <w:tcW w:w="988" w:type="pct"/>
          </w:tcPr>
          <w:p w14:paraId="2BF42150" w14:textId="77777777" w:rsidR="00F729C3" w:rsidRDefault="00F729C3" w:rsidP="00F32B4B">
            <w:r>
              <w:t>$13,250.00</w:t>
            </w:r>
          </w:p>
        </w:tc>
      </w:tr>
      <w:tr w:rsidR="00F729C3" w14:paraId="6769599C" w14:textId="77777777" w:rsidTr="00D06112">
        <w:tc>
          <w:tcPr>
            <w:tcW w:w="2263" w:type="pct"/>
            <w:shd w:val="clear" w:color="auto" w:fill="auto"/>
          </w:tcPr>
          <w:p w14:paraId="0DC4C6F0" w14:textId="1E728A8D" w:rsidR="00F729C3" w:rsidRDefault="00F729C3" w:rsidP="00F32B4B">
            <w:r>
              <w:t>Secretariat support fees (2 people)</w:t>
            </w:r>
          </w:p>
        </w:tc>
        <w:tc>
          <w:tcPr>
            <w:tcW w:w="912" w:type="pct"/>
            <w:shd w:val="clear" w:color="auto" w:fill="auto"/>
          </w:tcPr>
          <w:p w14:paraId="5110AB65" w14:textId="36540B41" w:rsidR="00F729C3" w:rsidRDefault="00F729C3" w:rsidP="00F32B4B">
            <w:r>
              <w:t xml:space="preserve">24 </w:t>
            </w:r>
          </w:p>
        </w:tc>
        <w:tc>
          <w:tcPr>
            <w:tcW w:w="837" w:type="pct"/>
            <w:shd w:val="clear" w:color="auto" w:fill="auto"/>
          </w:tcPr>
          <w:p w14:paraId="078C231A" w14:textId="73F71CFC" w:rsidR="00F729C3" w:rsidRPr="00AB70F2" w:rsidRDefault="00F729C3" w:rsidP="00F32B4B">
            <w:pPr>
              <w:rPr>
                <w:u w:val="single"/>
              </w:rPr>
            </w:pPr>
          </w:p>
        </w:tc>
        <w:tc>
          <w:tcPr>
            <w:tcW w:w="988" w:type="pct"/>
            <w:shd w:val="clear" w:color="auto" w:fill="auto"/>
          </w:tcPr>
          <w:p w14:paraId="262B5505" w14:textId="34C90285" w:rsidR="00F729C3" w:rsidRPr="29E65A09" w:rsidRDefault="00F729C3" w:rsidP="00F32B4B">
            <w:pPr>
              <w:rPr>
                <w:u w:val="single"/>
              </w:rPr>
            </w:pPr>
            <w:r>
              <w:t>$24,000.00</w:t>
            </w:r>
          </w:p>
        </w:tc>
      </w:tr>
      <w:tr w:rsidR="00F729C3" w14:paraId="4545A9BF" w14:textId="77777777" w:rsidTr="00D06112">
        <w:tc>
          <w:tcPr>
            <w:tcW w:w="2263" w:type="pct"/>
            <w:shd w:val="clear" w:color="auto" w:fill="D9D9D9" w:themeFill="background1" w:themeFillShade="D9"/>
          </w:tcPr>
          <w:p w14:paraId="7C556C84" w14:textId="77777777" w:rsidR="00F729C3" w:rsidRDefault="00F729C3" w:rsidP="00F32B4B"/>
        </w:tc>
        <w:tc>
          <w:tcPr>
            <w:tcW w:w="912" w:type="pct"/>
            <w:shd w:val="clear" w:color="auto" w:fill="D9D9D9" w:themeFill="background1" w:themeFillShade="D9"/>
          </w:tcPr>
          <w:p w14:paraId="7430FBD6" w14:textId="732A31E5" w:rsidR="00F729C3" w:rsidRDefault="00F729C3" w:rsidP="00F32B4B">
            <w:r>
              <w:t>37</w:t>
            </w:r>
          </w:p>
        </w:tc>
        <w:tc>
          <w:tcPr>
            <w:tcW w:w="837" w:type="pct"/>
            <w:shd w:val="clear" w:color="auto" w:fill="D9D9D9" w:themeFill="background1" w:themeFillShade="D9"/>
          </w:tcPr>
          <w:p w14:paraId="163A3290" w14:textId="77777777" w:rsidR="00F729C3" w:rsidRPr="00AB70F2" w:rsidRDefault="00F729C3" w:rsidP="00F32B4B">
            <w:pPr>
              <w:rPr>
                <w:u w:val="single"/>
              </w:rPr>
            </w:pPr>
          </w:p>
        </w:tc>
        <w:tc>
          <w:tcPr>
            <w:tcW w:w="988" w:type="pct"/>
            <w:shd w:val="clear" w:color="auto" w:fill="D9D9D9" w:themeFill="background1" w:themeFillShade="D9"/>
          </w:tcPr>
          <w:p w14:paraId="51B26E7E" w14:textId="11D59E9D" w:rsidR="00F729C3" w:rsidRPr="00AB70F2" w:rsidRDefault="00F729C3" w:rsidP="00D06112">
            <w:pPr>
              <w:rPr>
                <w:u w:val="single"/>
              </w:rPr>
            </w:pPr>
            <w:r w:rsidRPr="29E65A09">
              <w:rPr>
                <w:u w:val="single"/>
              </w:rPr>
              <w:t>$</w:t>
            </w:r>
            <w:r>
              <w:rPr>
                <w:u w:val="single"/>
              </w:rPr>
              <w:t>62,210.00</w:t>
            </w:r>
          </w:p>
        </w:tc>
      </w:tr>
      <w:tr w:rsidR="00F729C3" w14:paraId="478F9065" w14:textId="77777777" w:rsidTr="00F729C3">
        <w:trPr>
          <w:trHeight w:val="409"/>
        </w:trPr>
        <w:tc>
          <w:tcPr>
            <w:tcW w:w="2263" w:type="pct"/>
            <w:shd w:val="clear" w:color="auto" w:fill="000000" w:themeFill="text1"/>
          </w:tcPr>
          <w:p w14:paraId="4D380C02" w14:textId="77777777" w:rsidR="00F729C3" w:rsidRPr="00B64D04" w:rsidRDefault="00F729C3" w:rsidP="00F32B4B">
            <w:pPr>
              <w:rPr>
                <w:b/>
                <w:bCs/>
              </w:rPr>
            </w:pPr>
            <w:r w:rsidRPr="29E65A09">
              <w:rPr>
                <w:b/>
                <w:bCs/>
              </w:rPr>
              <w:t xml:space="preserve">TOTAL </w:t>
            </w:r>
          </w:p>
        </w:tc>
        <w:tc>
          <w:tcPr>
            <w:tcW w:w="912" w:type="pct"/>
            <w:shd w:val="clear" w:color="auto" w:fill="000000" w:themeFill="text1"/>
          </w:tcPr>
          <w:p w14:paraId="7A3176B9" w14:textId="228DE99C" w:rsidR="00F729C3" w:rsidRPr="00B64D04" w:rsidRDefault="00F729C3" w:rsidP="00F32B4B">
            <w:pPr>
              <w:rPr>
                <w:b/>
                <w:bCs/>
              </w:rPr>
            </w:pPr>
            <w:r>
              <w:rPr>
                <w:b/>
                <w:bCs/>
              </w:rPr>
              <w:t>70</w:t>
            </w:r>
          </w:p>
        </w:tc>
        <w:tc>
          <w:tcPr>
            <w:tcW w:w="837" w:type="pct"/>
            <w:shd w:val="clear" w:color="auto" w:fill="000000" w:themeFill="text1"/>
          </w:tcPr>
          <w:p w14:paraId="56A49AC8" w14:textId="77777777" w:rsidR="00F729C3" w:rsidRPr="00AB70F2" w:rsidRDefault="00F729C3" w:rsidP="00F32B4B">
            <w:pPr>
              <w:rPr>
                <w:u w:val="single"/>
              </w:rPr>
            </w:pPr>
          </w:p>
        </w:tc>
        <w:tc>
          <w:tcPr>
            <w:tcW w:w="988" w:type="pct"/>
            <w:shd w:val="clear" w:color="auto" w:fill="000000" w:themeFill="text1"/>
          </w:tcPr>
          <w:p w14:paraId="03D2C300" w14:textId="77777777" w:rsidR="00F729C3" w:rsidRPr="00B64D04" w:rsidRDefault="00F729C3" w:rsidP="00F32B4B">
            <w:pPr>
              <w:rPr>
                <w:b/>
                <w:bCs/>
              </w:rPr>
            </w:pPr>
            <w:r w:rsidRPr="29E65A09">
              <w:rPr>
                <w:b/>
                <w:bCs/>
              </w:rPr>
              <w:t>$150,295.00</w:t>
            </w:r>
          </w:p>
        </w:tc>
      </w:tr>
    </w:tbl>
    <w:p w14:paraId="39850607" w14:textId="35D16ECF" w:rsidR="00F32B4B" w:rsidRPr="0077793D" w:rsidRDefault="00F32B4B" w:rsidP="00F32B4B">
      <w:pPr>
        <w:rPr>
          <w:b/>
          <w:bCs/>
        </w:rPr>
      </w:pPr>
      <w:r w:rsidRPr="29E65A09">
        <w:rPr>
          <w:b/>
          <w:bCs/>
        </w:rPr>
        <w:t xml:space="preserve">Table </w:t>
      </w:r>
      <w:r w:rsidR="00D92E0E">
        <w:rPr>
          <w:b/>
          <w:bCs/>
        </w:rPr>
        <w:t>4</w:t>
      </w:r>
      <w:r w:rsidRPr="29E65A09">
        <w:rPr>
          <w:b/>
          <w:bCs/>
        </w:rPr>
        <w:t>: Rate assumptions for estimated costs</w:t>
      </w:r>
    </w:p>
    <w:tbl>
      <w:tblPr>
        <w:tblStyle w:val="DIATable"/>
        <w:tblW w:w="5000" w:type="pct"/>
        <w:tblInd w:w="0" w:type="dxa"/>
        <w:tblLook w:val="04A0" w:firstRow="1" w:lastRow="0" w:firstColumn="1" w:lastColumn="0" w:noHBand="0" w:noVBand="1"/>
      </w:tblPr>
      <w:tblGrid>
        <w:gridCol w:w="4383"/>
        <w:gridCol w:w="4904"/>
      </w:tblGrid>
      <w:tr w:rsidR="00F32B4B" w14:paraId="776B658E" w14:textId="77777777" w:rsidTr="00F32B4B">
        <w:trPr>
          <w:cnfStyle w:val="100000000000" w:firstRow="1" w:lastRow="0" w:firstColumn="0" w:lastColumn="0" w:oddVBand="0" w:evenVBand="0" w:oddHBand="0" w:evenHBand="0" w:firstRowFirstColumn="0" w:firstRowLastColumn="0" w:lastRowFirstColumn="0" w:lastRowLastColumn="0"/>
        </w:trPr>
        <w:tc>
          <w:tcPr>
            <w:tcW w:w="2360" w:type="pct"/>
          </w:tcPr>
          <w:p w14:paraId="3F450000" w14:textId="77777777" w:rsidR="00F32B4B" w:rsidRDefault="00F32B4B" w:rsidP="00F32B4B">
            <w:r>
              <w:t>Activity</w:t>
            </w:r>
          </w:p>
        </w:tc>
        <w:tc>
          <w:tcPr>
            <w:tcW w:w="2640" w:type="pct"/>
          </w:tcPr>
          <w:p w14:paraId="551DE873" w14:textId="77777777" w:rsidR="00F32B4B" w:rsidRDefault="00F32B4B" w:rsidP="00F32B4B">
            <w:r>
              <w:t>Rate</w:t>
            </w:r>
          </w:p>
        </w:tc>
      </w:tr>
      <w:tr w:rsidR="00F32B4B" w14:paraId="7B3CB540" w14:textId="77777777" w:rsidTr="00F32B4B">
        <w:tc>
          <w:tcPr>
            <w:tcW w:w="2360" w:type="pct"/>
          </w:tcPr>
          <w:p w14:paraId="6E23FA5C" w14:textId="77777777" w:rsidR="00F32B4B" w:rsidRDefault="00F32B4B" w:rsidP="00F32B4B">
            <w:r>
              <w:t xml:space="preserve">Chief Gambling Commissioner fees (includes time processing application, meetings, </w:t>
            </w:r>
            <w:proofErr w:type="spellStart"/>
            <w:r>
              <w:t>etc</w:t>
            </w:r>
            <w:proofErr w:type="spellEnd"/>
            <w:r>
              <w:t>)</w:t>
            </w:r>
          </w:p>
        </w:tc>
        <w:tc>
          <w:tcPr>
            <w:tcW w:w="2640" w:type="pct"/>
          </w:tcPr>
          <w:p w14:paraId="75488C56" w14:textId="77777777" w:rsidR="00F32B4B" w:rsidRDefault="00F32B4B" w:rsidP="00F32B4B">
            <w:r>
              <w:t>$750.00 per day</w:t>
            </w:r>
          </w:p>
        </w:tc>
      </w:tr>
      <w:tr w:rsidR="00F32B4B" w14:paraId="04A2B704" w14:textId="77777777" w:rsidTr="00F32B4B">
        <w:tc>
          <w:tcPr>
            <w:tcW w:w="2360" w:type="pct"/>
          </w:tcPr>
          <w:p w14:paraId="63025BBF" w14:textId="77777777" w:rsidR="00F32B4B" w:rsidRDefault="00F32B4B" w:rsidP="00F32B4B">
            <w:r>
              <w:t>Gambling Commissioners’ fees</w:t>
            </w:r>
          </w:p>
        </w:tc>
        <w:tc>
          <w:tcPr>
            <w:tcW w:w="2640" w:type="pct"/>
          </w:tcPr>
          <w:p w14:paraId="6C86A632" w14:textId="77777777" w:rsidR="00F32B4B" w:rsidRDefault="00F32B4B" w:rsidP="00F32B4B">
            <w:r>
              <w:t>$475.00 per day</w:t>
            </w:r>
          </w:p>
        </w:tc>
      </w:tr>
      <w:tr w:rsidR="00F32B4B" w14:paraId="4A895FA6" w14:textId="77777777" w:rsidTr="00F32B4B">
        <w:tc>
          <w:tcPr>
            <w:tcW w:w="2360" w:type="pct"/>
          </w:tcPr>
          <w:p w14:paraId="7153C8AD" w14:textId="77777777" w:rsidR="00F32B4B" w:rsidRPr="003366B8" w:rsidRDefault="00F32B4B" w:rsidP="00F32B4B">
            <w:r>
              <w:t>Secretariat fees (time/overheads)</w:t>
            </w:r>
          </w:p>
        </w:tc>
        <w:tc>
          <w:tcPr>
            <w:tcW w:w="2640" w:type="pct"/>
          </w:tcPr>
          <w:p w14:paraId="364685D7" w14:textId="77777777" w:rsidR="00F32B4B" w:rsidRPr="003366B8" w:rsidRDefault="00F32B4B" w:rsidP="00F32B4B">
            <w:r>
              <w:t>$500.00 per day</w:t>
            </w:r>
          </w:p>
        </w:tc>
      </w:tr>
      <w:tr w:rsidR="00F32B4B" w14:paraId="74817167" w14:textId="77777777" w:rsidTr="00F32B4B">
        <w:tc>
          <w:tcPr>
            <w:tcW w:w="2360" w:type="pct"/>
          </w:tcPr>
          <w:p w14:paraId="13273548" w14:textId="77777777" w:rsidR="00F32B4B" w:rsidRDefault="00F32B4B" w:rsidP="00F32B4B">
            <w:r>
              <w:t>Legal fees</w:t>
            </w:r>
          </w:p>
        </w:tc>
        <w:tc>
          <w:tcPr>
            <w:tcW w:w="2640" w:type="pct"/>
          </w:tcPr>
          <w:p w14:paraId="6233B3B1" w14:textId="77777777" w:rsidR="00F32B4B" w:rsidRDefault="00F32B4B" w:rsidP="00F32B4B">
            <w:r>
              <w:t>$3,120.00 per day</w:t>
            </w:r>
          </w:p>
        </w:tc>
      </w:tr>
      <w:tr w:rsidR="00F32B4B" w14:paraId="2BCE2AF4" w14:textId="77777777" w:rsidTr="00F32B4B">
        <w:tc>
          <w:tcPr>
            <w:tcW w:w="2360" w:type="pct"/>
          </w:tcPr>
          <w:p w14:paraId="24E87009" w14:textId="77777777" w:rsidR="00F32B4B" w:rsidRDefault="00F32B4B" w:rsidP="00F32B4B">
            <w:r>
              <w:t>External expert fees</w:t>
            </w:r>
          </w:p>
        </w:tc>
        <w:tc>
          <w:tcPr>
            <w:tcW w:w="2640" w:type="pct"/>
          </w:tcPr>
          <w:p w14:paraId="041EC73D" w14:textId="77777777" w:rsidR="00F32B4B" w:rsidRDefault="00F32B4B" w:rsidP="00F32B4B">
            <w:r>
              <w:t>$1,500.00 per day</w:t>
            </w:r>
          </w:p>
        </w:tc>
      </w:tr>
      <w:tr w:rsidR="00F32B4B" w14:paraId="5AB3074A" w14:textId="77777777" w:rsidTr="00F32B4B">
        <w:tc>
          <w:tcPr>
            <w:tcW w:w="2360" w:type="pct"/>
          </w:tcPr>
          <w:p w14:paraId="1F52AA89" w14:textId="77777777" w:rsidR="00F32B4B" w:rsidRDefault="00F32B4B" w:rsidP="00F32B4B">
            <w:r>
              <w:t>Transcriptionist</w:t>
            </w:r>
          </w:p>
        </w:tc>
        <w:tc>
          <w:tcPr>
            <w:tcW w:w="2640" w:type="pct"/>
          </w:tcPr>
          <w:p w14:paraId="4164FFB8" w14:textId="77777777" w:rsidR="00F32B4B" w:rsidRDefault="00F32B4B" w:rsidP="00F32B4B">
            <w:r>
              <w:t>$2,500.00 per day (includes hours used, set up and down, finalisation of records)</w:t>
            </w:r>
          </w:p>
        </w:tc>
      </w:tr>
      <w:tr w:rsidR="00F32B4B" w14:paraId="2FC72B4F" w14:textId="77777777" w:rsidTr="00F32B4B">
        <w:tc>
          <w:tcPr>
            <w:tcW w:w="2360" w:type="pct"/>
          </w:tcPr>
          <w:p w14:paraId="212B8CBC" w14:textId="77777777" w:rsidR="00F32B4B" w:rsidRDefault="00F32B4B" w:rsidP="00F32B4B">
            <w:r>
              <w:t>Advertising</w:t>
            </w:r>
          </w:p>
        </w:tc>
        <w:tc>
          <w:tcPr>
            <w:tcW w:w="2640" w:type="pct"/>
          </w:tcPr>
          <w:p w14:paraId="1EC2BC86" w14:textId="77777777" w:rsidR="00F32B4B" w:rsidRDefault="00F32B4B" w:rsidP="00F32B4B">
            <w:r>
              <w:t>$3,000 total (average assumed)</w:t>
            </w:r>
          </w:p>
        </w:tc>
      </w:tr>
      <w:tr w:rsidR="00F32B4B" w14:paraId="44E4AF09" w14:textId="77777777" w:rsidTr="00F32B4B">
        <w:tc>
          <w:tcPr>
            <w:tcW w:w="2360" w:type="pct"/>
          </w:tcPr>
          <w:p w14:paraId="06D54C3F" w14:textId="77777777" w:rsidR="00F32B4B" w:rsidRDefault="00F32B4B" w:rsidP="00F32B4B">
            <w:r>
              <w:t>Flights (return)</w:t>
            </w:r>
          </w:p>
        </w:tc>
        <w:tc>
          <w:tcPr>
            <w:tcW w:w="2640" w:type="pct"/>
          </w:tcPr>
          <w:p w14:paraId="3FDAB87F" w14:textId="77777777" w:rsidR="00F32B4B" w:rsidRDefault="00F32B4B" w:rsidP="00F32B4B">
            <w:r>
              <w:t>$500.00 per person (average assumed)</w:t>
            </w:r>
          </w:p>
        </w:tc>
      </w:tr>
      <w:tr w:rsidR="00F32B4B" w14:paraId="7F786FE0" w14:textId="77777777" w:rsidTr="00F32B4B">
        <w:tc>
          <w:tcPr>
            <w:tcW w:w="2360" w:type="pct"/>
          </w:tcPr>
          <w:p w14:paraId="141BD060" w14:textId="77777777" w:rsidR="00F32B4B" w:rsidRDefault="00F32B4B" w:rsidP="00F32B4B">
            <w:r>
              <w:t xml:space="preserve">Travel related costs </w:t>
            </w:r>
          </w:p>
        </w:tc>
        <w:tc>
          <w:tcPr>
            <w:tcW w:w="2640" w:type="pct"/>
          </w:tcPr>
          <w:p w14:paraId="0A15C021" w14:textId="77777777" w:rsidR="00F32B4B" w:rsidRDefault="00F32B4B" w:rsidP="00F32B4B">
            <w:r>
              <w:t xml:space="preserve">$355.00 per day per person </w:t>
            </w:r>
          </w:p>
        </w:tc>
      </w:tr>
      <w:tr w:rsidR="00F32B4B" w14:paraId="62539AFA" w14:textId="77777777" w:rsidTr="00F32B4B">
        <w:tc>
          <w:tcPr>
            <w:tcW w:w="2360" w:type="pct"/>
          </w:tcPr>
          <w:p w14:paraId="4A68E5ED" w14:textId="77777777" w:rsidR="00F32B4B" w:rsidRDefault="00F32B4B" w:rsidP="00F32B4B">
            <w:r>
              <w:t>Venue hire</w:t>
            </w:r>
          </w:p>
        </w:tc>
        <w:tc>
          <w:tcPr>
            <w:tcW w:w="2640" w:type="pct"/>
          </w:tcPr>
          <w:p w14:paraId="3549912F" w14:textId="77777777" w:rsidR="00F32B4B" w:rsidRDefault="00F32B4B" w:rsidP="00F32B4B">
            <w:r>
              <w:t xml:space="preserve">$2,000.00 per day </w:t>
            </w:r>
          </w:p>
        </w:tc>
      </w:tr>
    </w:tbl>
    <w:p w14:paraId="3C6D6008" w14:textId="77777777" w:rsidR="00F32B4B" w:rsidRDefault="00F32B4B" w:rsidP="00F32B4B"/>
    <w:p w14:paraId="3274CCB7" w14:textId="371288F6" w:rsidR="00F32B4B" w:rsidRPr="001C0C30" w:rsidRDefault="00F32B4B" w:rsidP="001C0C30"/>
    <w:sectPr w:rsidR="00F32B4B" w:rsidRPr="001C0C30" w:rsidSect="00F729C3">
      <w:footerReference w:type="first" r:id="rId17"/>
      <w:pgSz w:w="11907" w:h="16840" w:code="9"/>
      <w:pgMar w:top="1135" w:right="1418" w:bottom="992" w:left="1418" w:header="397"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09D93" w14:textId="77777777" w:rsidR="000D1052" w:rsidRDefault="000D1052">
      <w:r>
        <w:separator/>
      </w:r>
    </w:p>
    <w:p w14:paraId="18F09D94" w14:textId="77777777" w:rsidR="000D1052" w:rsidRDefault="000D1052"/>
    <w:p w14:paraId="18F09D95" w14:textId="77777777" w:rsidR="000D1052" w:rsidRDefault="000D1052"/>
  </w:endnote>
  <w:endnote w:type="continuationSeparator" w:id="0">
    <w:p w14:paraId="18F09D96" w14:textId="77777777" w:rsidR="000D1052" w:rsidRDefault="000D1052">
      <w:r>
        <w:continuationSeparator/>
      </w:r>
    </w:p>
    <w:p w14:paraId="18F09D97" w14:textId="77777777" w:rsidR="000D1052" w:rsidRDefault="000D1052"/>
    <w:p w14:paraId="18F09D98" w14:textId="77777777" w:rsidR="000D1052" w:rsidRDefault="000D1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9D9A" w14:textId="67A42663" w:rsidR="000D1052" w:rsidRDefault="000D1052" w:rsidP="00147399">
    <w:pPr>
      <w:pStyle w:val="Footer"/>
      <w:tabs>
        <w:tab w:val="center" w:pos="5103"/>
        <w:tab w:val="right" w:pos="9071"/>
      </w:tabs>
      <w:ind w:right="-1"/>
      <w:jc w:val="right"/>
    </w:pPr>
    <w:r>
      <w:tab/>
    </w:r>
    <w:r>
      <w:tab/>
    </w:r>
    <w:r>
      <w:tab/>
    </w:r>
    <w:r>
      <w:tab/>
    </w:r>
    <w:r>
      <w:tab/>
    </w:r>
    <w:r>
      <w:tab/>
    </w:r>
    <w:r>
      <w:tab/>
    </w:r>
    <w:r>
      <w:tab/>
    </w:r>
    <w:r>
      <w:tab/>
    </w:r>
    <w:r>
      <w:tab/>
      <w:t xml:space="preserve">Page </w:t>
    </w:r>
    <w:r w:rsidRPr="7B7C828E">
      <w:rPr>
        <w:noProof/>
      </w:rPr>
      <w:fldChar w:fldCharType="begin"/>
    </w:r>
    <w:r>
      <w:instrText xml:space="preserve"> PAGE  \* Arabic  \* MERGEFORMAT </w:instrText>
    </w:r>
    <w:r w:rsidRPr="7B7C828E">
      <w:fldChar w:fldCharType="separate"/>
    </w:r>
    <w:r w:rsidR="00D40573">
      <w:rPr>
        <w:noProof/>
      </w:rPr>
      <w:t>18</w:t>
    </w:r>
    <w:r w:rsidRPr="7B7C828E">
      <w:rPr>
        <w:noProof/>
      </w:rPr>
      <w:fldChar w:fldCharType="end"/>
    </w:r>
    <w:r>
      <w:t xml:space="preserve"> of </w:t>
    </w:r>
    <w:r w:rsidR="00D40573">
      <w:fldChar w:fldCharType="begin"/>
    </w:r>
    <w:r w:rsidR="00D40573">
      <w:instrText xml:space="preserve"> NUMPAGES   \* MERGEFORMAT </w:instrText>
    </w:r>
    <w:r w:rsidR="00D40573">
      <w:fldChar w:fldCharType="separate"/>
    </w:r>
    <w:r w:rsidR="00D40573">
      <w:rPr>
        <w:noProof/>
      </w:rPr>
      <w:t>18</w:t>
    </w:r>
    <w:r w:rsidR="00D40573">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0DF3FA" w14:textId="700C50E1" w:rsidR="000D1052" w:rsidRDefault="000D1052" w:rsidP="00147399">
    <w:pPr>
      <w:pStyle w:val="Footer"/>
      <w:jc w:val="right"/>
    </w:pPr>
    <w:r>
      <w:t xml:space="preserve">Page </w:t>
    </w:r>
    <w:r w:rsidR="00D40573">
      <w:t>1 of 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EC0681" w14:textId="77777777" w:rsidR="00D40573" w:rsidRDefault="00D40573" w:rsidP="00147399">
    <w:pPr>
      <w:pStyle w:val="Footer"/>
      <w:jc w:val="right"/>
    </w:pPr>
    <w:r>
      <w:t>Page 17 of 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F09D8F" w14:textId="77777777" w:rsidR="000D1052" w:rsidRDefault="000D1052" w:rsidP="00F86809">
      <w:pPr>
        <w:pStyle w:val="Spacer"/>
      </w:pPr>
      <w:r>
        <w:separator/>
      </w:r>
    </w:p>
  </w:footnote>
  <w:footnote w:type="continuationSeparator" w:id="0">
    <w:p w14:paraId="18F09D90" w14:textId="77777777" w:rsidR="000D1052" w:rsidRDefault="000D1052">
      <w:r>
        <w:continuationSeparator/>
      </w:r>
    </w:p>
    <w:p w14:paraId="18F09D91" w14:textId="77777777" w:rsidR="000D1052" w:rsidRDefault="000D1052"/>
    <w:p w14:paraId="18F09D92" w14:textId="77777777" w:rsidR="000D1052" w:rsidRDefault="000D1052"/>
  </w:footnote>
  <w:footnote w:id="1">
    <w:p w14:paraId="117AB3A1" w14:textId="668F0A18" w:rsidR="000D1052" w:rsidRDefault="000D1052">
      <w:pPr>
        <w:pStyle w:val="FootnoteText"/>
      </w:pPr>
      <w:r>
        <w:rPr>
          <w:rStyle w:val="FootnoteReference"/>
        </w:rPr>
        <w:footnoteRef/>
      </w:r>
      <w:r>
        <w:t xml:space="preserve"> All amounts related to proposed fees in this RIS are GST inclusive.</w:t>
      </w:r>
    </w:p>
  </w:footnote>
  <w:footnote w:id="2">
    <w:p w14:paraId="55A805AA" w14:textId="77777777" w:rsidR="000D1052" w:rsidRDefault="000D1052" w:rsidP="00931013">
      <w:pPr>
        <w:pStyle w:val="FootnoteText"/>
      </w:pPr>
      <w:r>
        <w:rPr>
          <w:rStyle w:val="FootnoteReference"/>
        </w:rPr>
        <w:footnoteRef/>
      </w:r>
      <w:r>
        <w:t xml:space="preserve"> This does not apply to SKYCITY Auckland Casino which has had its casino venue licence extended to 2048 under the New Zealand International Convention Centre Act 2013.</w:t>
      </w:r>
    </w:p>
  </w:footnote>
  <w:footnote w:id="3">
    <w:p w14:paraId="29EE30E3" w14:textId="77777777" w:rsidR="000D1052" w:rsidRDefault="000D1052" w:rsidP="00931013">
      <w:pPr>
        <w:pStyle w:val="FootnoteText"/>
      </w:pPr>
      <w:r>
        <w:rPr>
          <w:rStyle w:val="FootnoteReference"/>
        </w:rPr>
        <w:footnoteRef/>
      </w:r>
      <w:r>
        <w:t xml:space="preserve"> Gambling Act 2003, s 134(3)</w:t>
      </w:r>
    </w:p>
  </w:footnote>
  <w:footnote w:id="4">
    <w:p w14:paraId="7CF0EF63" w14:textId="0221168C" w:rsidR="000D1052" w:rsidRDefault="000D1052">
      <w:pPr>
        <w:pStyle w:val="FootnoteText"/>
      </w:pPr>
      <w:r>
        <w:rPr>
          <w:rStyle w:val="FootnoteReference"/>
        </w:rPr>
        <w:footnoteRef/>
      </w:r>
      <w:r>
        <w:t xml:space="preserve"> Gambling Act 2003, s 134(3)(a)</w:t>
      </w:r>
    </w:p>
  </w:footnote>
  <w:footnote w:id="5">
    <w:p w14:paraId="557736C5" w14:textId="1952D02E" w:rsidR="000D1052" w:rsidRDefault="000D1052">
      <w:pPr>
        <w:pStyle w:val="FootnoteText"/>
      </w:pPr>
      <w:r>
        <w:rPr>
          <w:rStyle w:val="FootnoteReference"/>
        </w:rPr>
        <w:footnoteRef/>
      </w:r>
      <w:r>
        <w:t xml:space="preserve"> Gambling Act 2003, s 135</w:t>
      </w:r>
    </w:p>
  </w:footnote>
  <w:footnote w:id="6">
    <w:p w14:paraId="0C100B86" w14:textId="77777777" w:rsidR="000D1052" w:rsidRPr="003C0CF0" w:rsidRDefault="000D1052" w:rsidP="00B610EF">
      <w:pPr>
        <w:pStyle w:val="FootnoteText"/>
        <w:rPr>
          <w:i/>
          <w:iCs/>
        </w:rPr>
      </w:pPr>
      <w:r>
        <w:rPr>
          <w:rStyle w:val="FootnoteReference"/>
        </w:rPr>
        <w:footnoteRef/>
      </w:r>
      <w:r>
        <w:t xml:space="preserve"> </w:t>
      </w:r>
      <w:proofErr w:type="gramStart"/>
      <w:r>
        <w:t>Treasury Instructions 2013.</w:t>
      </w:r>
      <w:proofErr w:type="gramEnd"/>
    </w:p>
  </w:footnote>
  <w:footnote w:id="7">
    <w:p w14:paraId="3B53D53E" w14:textId="77777777" w:rsidR="000D1052" w:rsidRPr="00A46717" w:rsidRDefault="000D1052" w:rsidP="00B610EF">
      <w:pPr>
        <w:pStyle w:val="FootnoteText"/>
      </w:pPr>
      <w:r>
        <w:rPr>
          <w:rStyle w:val="FootnoteReference"/>
        </w:rPr>
        <w:footnoteRef/>
      </w:r>
      <w:r>
        <w:t xml:space="preserve"> </w:t>
      </w:r>
      <w:r w:rsidRPr="29E65A09">
        <w:rPr>
          <w:i/>
          <w:iCs/>
        </w:rPr>
        <w:t>Guidelines for Setting Charges in the Public Sector</w:t>
      </w:r>
      <w:r>
        <w:t xml:space="preserve">, </w:t>
      </w:r>
      <w:proofErr w:type="gramStart"/>
      <w:r>
        <w:t>The</w:t>
      </w:r>
      <w:proofErr w:type="gramEnd"/>
      <w:r>
        <w:t xml:space="preserve"> Treasury, April 2017. </w:t>
      </w:r>
    </w:p>
  </w:footnote>
  <w:footnote w:id="8">
    <w:p w14:paraId="5E314949" w14:textId="1721CF56" w:rsidR="000D1052" w:rsidRPr="00A46717" w:rsidRDefault="000D1052" w:rsidP="00AB0F41">
      <w:pPr>
        <w:pStyle w:val="FootnoteText"/>
      </w:pPr>
      <w:r>
        <w:rPr>
          <w:rStyle w:val="FootnoteReference"/>
        </w:rPr>
        <w:footnoteRef/>
      </w:r>
      <w:r>
        <w:t xml:space="preserve"> </w:t>
      </w:r>
      <w:proofErr w:type="gramStart"/>
      <w:r w:rsidRPr="005B7016">
        <w:rPr>
          <w:iCs/>
        </w:rPr>
        <w:t>Ibid.</w:t>
      </w:r>
      <w:proofErr w:type="gramEnd"/>
      <w:r>
        <w:t xml:space="preserve"> </w:t>
      </w:r>
    </w:p>
  </w:footnote>
  <w:footnote w:id="9">
    <w:p w14:paraId="6DA5CD99" w14:textId="77777777" w:rsidR="000D1052" w:rsidRPr="00871AA3" w:rsidRDefault="000D1052" w:rsidP="00AB0F41">
      <w:pPr>
        <w:pStyle w:val="FootnoteText"/>
        <w:rPr>
          <w:u w:val="single"/>
        </w:rPr>
      </w:pPr>
      <w:r>
        <w:rPr>
          <w:rStyle w:val="FootnoteReference"/>
        </w:rPr>
        <w:footnoteRef/>
      </w:r>
      <w:proofErr w:type="gramStart"/>
      <w:r w:rsidRPr="29E65A09">
        <w:rPr>
          <w:i/>
          <w:iCs/>
        </w:rPr>
        <w:t>Charging Fees for Public Sector Goods and Services.</w:t>
      </w:r>
      <w:proofErr w:type="gramEnd"/>
      <w:r w:rsidRPr="29E65A09">
        <w:rPr>
          <w:i/>
          <w:iCs/>
        </w:rPr>
        <w:t xml:space="preserve"> Good Practice Guide</w:t>
      </w:r>
      <w:r>
        <w:t>, Office of the Auditor-General, June 2008.</w:t>
      </w:r>
    </w:p>
  </w:footnote>
  <w:footnote w:id="10">
    <w:p w14:paraId="36B1D14C" w14:textId="65CBFCC5" w:rsidR="000D1052" w:rsidRDefault="000D1052">
      <w:pPr>
        <w:pStyle w:val="FootnoteText"/>
      </w:pPr>
      <w:r>
        <w:rPr>
          <w:rStyle w:val="FootnoteReference"/>
        </w:rPr>
        <w:footnoteRef/>
      </w:r>
      <w:r>
        <w:t xml:space="preserve"> SKYCITY Entertainment Group operates four of the six casinos in New Zealand.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9D99" w14:textId="5629158A" w:rsidR="000D1052" w:rsidRPr="001D5EC0" w:rsidRDefault="000D1052" w:rsidP="00147399">
    <w:pPr>
      <w:pStyle w:val="Header"/>
      <w:tabs>
        <w:tab w:val="center" w:pos="4536"/>
      </w:tabs>
      <w:jc w:val="center"/>
    </w:pPr>
    <w:r>
      <w:rPr>
        <w:rStyle w:val="Headersecurityclassification"/>
      </w:rPr>
      <w:t>in confidence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09D9B" w14:textId="30350BEB" w:rsidR="000D1052" w:rsidRDefault="000D1052" w:rsidP="00F729C3">
    <w:pPr>
      <w:pStyle w:val="Footersecurityclassification"/>
      <w:tabs>
        <w:tab w:val="center" w:pos="4536"/>
      </w:tabs>
      <w:spacing w:after="0"/>
      <w:jc w:val="center"/>
    </w:pPr>
    <w:r w:rsidRPr="00147399">
      <w:rPr>
        <w:rStyle w:val="Headersecurityclassification"/>
      </w:rPr>
      <w:t xml:space="preserve"> </w:t>
    </w:r>
    <w:r w:rsidRPr="7B7C828E">
      <w:rPr>
        <w:rStyle w:val="Headersecurityclassification"/>
      </w:rPr>
      <w:t>in 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0">
    <w:nsid w:val="06D835AC"/>
    <w:multiLevelType w:val="multilevel"/>
    <w:tmpl w:val="7B88AE9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nsid w:val="08E141AB"/>
    <w:multiLevelType w:val="multilevel"/>
    <w:tmpl w:val="22964920"/>
    <w:lvl w:ilvl="0">
      <w:start w:val="36"/>
      <w:numFmt w:val="decimal"/>
      <w:lvlText w:val="%1"/>
      <w:lvlJc w:val="left"/>
      <w:pPr>
        <w:ind w:left="420" w:hanging="420"/>
      </w:pPr>
      <w:rPr>
        <w:rFonts w:hint="default"/>
      </w:rPr>
    </w:lvl>
    <w:lvl w:ilvl="1">
      <w:start w:val="1"/>
      <w:numFmt w:val="decimal"/>
      <w:lvlText w:val="%1.%2"/>
      <w:lvlJc w:val="left"/>
      <w:pPr>
        <w:ind w:left="1707" w:hanging="42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2">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3">
    <w:nsid w:val="12045580"/>
    <w:multiLevelType w:val="hybridMultilevel"/>
    <w:tmpl w:val="BD866CF0"/>
    <w:lvl w:ilvl="0" w:tplc="72D60400">
      <w:start w:val="1"/>
      <w:numFmt w:val="decimal"/>
      <w:lvlText w:val="%1.1"/>
      <w:lvlJc w:val="left"/>
      <w:pPr>
        <w:ind w:left="1996" w:hanging="360"/>
      </w:pPr>
      <w:rPr>
        <w:rFonts w:hint="default"/>
      </w:rPr>
    </w:lvl>
    <w:lvl w:ilvl="1" w:tplc="14090019" w:tentative="1">
      <w:start w:val="1"/>
      <w:numFmt w:val="lowerLetter"/>
      <w:lvlText w:val="%2."/>
      <w:lvlJc w:val="left"/>
      <w:pPr>
        <w:ind w:left="2716" w:hanging="360"/>
      </w:pPr>
    </w:lvl>
    <w:lvl w:ilvl="2" w:tplc="1409001B" w:tentative="1">
      <w:start w:val="1"/>
      <w:numFmt w:val="lowerRoman"/>
      <w:lvlText w:val="%3."/>
      <w:lvlJc w:val="right"/>
      <w:pPr>
        <w:ind w:left="3436" w:hanging="180"/>
      </w:pPr>
    </w:lvl>
    <w:lvl w:ilvl="3" w:tplc="1409000F" w:tentative="1">
      <w:start w:val="1"/>
      <w:numFmt w:val="decimal"/>
      <w:lvlText w:val="%4."/>
      <w:lvlJc w:val="left"/>
      <w:pPr>
        <w:ind w:left="4156" w:hanging="360"/>
      </w:pPr>
    </w:lvl>
    <w:lvl w:ilvl="4" w:tplc="14090019" w:tentative="1">
      <w:start w:val="1"/>
      <w:numFmt w:val="lowerLetter"/>
      <w:lvlText w:val="%5."/>
      <w:lvlJc w:val="left"/>
      <w:pPr>
        <w:ind w:left="4876" w:hanging="360"/>
      </w:pPr>
    </w:lvl>
    <w:lvl w:ilvl="5" w:tplc="1409001B" w:tentative="1">
      <w:start w:val="1"/>
      <w:numFmt w:val="lowerRoman"/>
      <w:lvlText w:val="%6."/>
      <w:lvlJc w:val="right"/>
      <w:pPr>
        <w:ind w:left="5596" w:hanging="180"/>
      </w:pPr>
    </w:lvl>
    <w:lvl w:ilvl="6" w:tplc="1409000F" w:tentative="1">
      <w:start w:val="1"/>
      <w:numFmt w:val="decimal"/>
      <w:lvlText w:val="%7."/>
      <w:lvlJc w:val="left"/>
      <w:pPr>
        <w:ind w:left="6316" w:hanging="360"/>
      </w:pPr>
    </w:lvl>
    <w:lvl w:ilvl="7" w:tplc="14090019" w:tentative="1">
      <w:start w:val="1"/>
      <w:numFmt w:val="lowerLetter"/>
      <w:lvlText w:val="%8."/>
      <w:lvlJc w:val="left"/>
      <w:pPr>
        <w:ind w:left="7036" w:hanging="360"/>
      </w:pPr>
    </w:lvl>
    <w:lvl w:ilvl="8" w:tplc="1409001B" w:tentative="1">
      <w:start w:val="1"/>
      <w:numFmt w:val="lowerRoman"/>
      <w:lvlText w:val="%9."/>
      <w:lvlJc w:val="right"/>
      <w:pPr>
        <w:ind w:left="7756" w:hanging="180"/>
      </w:pPr>
    </w:lvl>
  </w:abstractNum>
  <w:abstractNum w:abstractNumId="14">
    <w:nsid w:val="123475F5"/>
    <w:multiLevelType w:val="hybridMultilevel"/>
    <w:tmpl w:val="B6AA1260"/>
    <w:lvl w:ilvl="0" w:tplc="04827220">
      <w:start w:val="1"/>
      <w:numFmt w:val="lowerLetter"/>
      <w:lvlText w:val="(%1)"/>
      <w:lvlJc w:val="left"/>
      <w:pPr>
        <w:ind w:left="1287" w:hanging="360"/>
      </w:pPr>
      <w:rPr>
        <w:rFonts w:hint="default"/>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15">
    <w:nsid w:val="17CD3F5F"/>
    <w:multiLevelType w:val="hybridMultilevel"/>
    <w:tmpl w:val="ABA698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189428BA"/>
    <w:multiLevelType w:val="hybridMultilevel"/>
    <w:tmpl w:val="EBBC27CC"/>
    <w:lvl w:ilvl="0" w:tplc="8BF84A90">
      <w:start w:val="1"/>
      <w:numFmt w:val="bullet"/>
      <w:pStyle w:val="ListParagraph"/>
      <w:lvlText w:val=""/>
      <w:lvlJc w:val="left"/>
      <w:pPr>
        <w:ind w:left="1287" w:hanging="360"/>
      </w:pPr>
      <w:rPr>
        <w:rFonts w:ascii="Symbol" w:hAnsi="Symbol" w:hint="default"/>
        <w:sz w:val="18"/>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17">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8">
    <w:nsid w:val="20FA54E9"/>
    <w:multiLevelType w:val="hybridMultilevel"/>
    <w:tmpl w:val="49BE745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9">
    <w:nsid w:val="2CF56F26"/>
    <w:multiLevelType w:val="hybridMultilevel"/>
    <w:tmpl w:val="3880FE5A"/>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7E9ECFEC">
      <w:start w:val="1"/>
      <w:numFmt w:val="lowerLetter"/>
      <w:lvlText w:val="(%3)"/>
      <w:lvlJc w:val="right"/>
      <w:pPr>
        <w:ind w:left="1800" w:hanging="180"/>
      </w:pPr>
      <w:rPr>
        <w:rFonts w:asciiTheme="minorHAnsi" w:eastAsia="Times New Roman" w:hAnsiTheme="minorHAnsi" w:cs="Times New Roman"/>
      </w:rPr>
    </w:lvl>
    <w:lvl w:ilvl="3" w:tplc="1409000F">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0">
    <w:nsid w:val="368F5832"/>
    <w:multiLevelType w:val="multilevel"/>
    <w:tmpl w:val="28E4FFFC"/>
    <w:lvl w:ilvl="0">
      <w:start w:val="1"/>
      <w:numFmt w:val="upperLetter"/>
      <w:pStyle w:val="Headingappendix"/>
      <w:suff w:val="space"/>
      <w:lvlText w:val="Appendix %1:"/>
      <w:lvlJc w:val="left"/>
      <w:pPr>
        <w:ind w:left="0" w:firstLine="0"/>
      </w:pPr>
      <w:rPr>
        <w:rFonts w:hint="default"/>
        <w:color w:val="1F546B" w:themeColor="text2"/>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6A35512"/>
    <w:multiLevelType w:val="multilevel"/>
    <w:tmpl w:val="CFDEF352"/>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nsid w:val="3B574590"/>
    <w:multiLevelType w:val="hybridMultilevel"/>
    <w:tmpl w:val="25FA6AA4"/>
    <w:lvl w:ilvl="0" w:tplc="8F8C9B5A">
      <w:start w:val="12"/>
      <w:numFmt w:val="decimal"/>
      <w:lvlText w:val="12.%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3BEA2F70"/>
    <w:multiLevelType w:val="hybridMultilevel"/>
    <w:tmpl w:val="034E36EA"/>
    <w:lvl w:ilvl="0" w:tplc="0F185D8A">
      <w:start w:val="1"/>
      <w:numFmt w:val="decimal"/>
      <w:lvlText w:val="%1."/>
      <w:lvlJc w:val="left"/>
      <w:pPr>
        <w:ind w:left="567" w:hanging="567"/>
      </w:pPr>
      <w:rPr>
        <w:rFonts w:hint="default"/>
      </w:rPr>
    </w:lvl>
    <w:lvl w:ilvl="1" w:tplc="72D60400">
      <w:start w:val="1"/>
      <w:numFmt w:val="decimal"/>
      <w:lvlText w:val="%2.1"/>
      <w:lvlJc w:val="left"/>
      <w:pPr>
        <w:ind w:left="1440" w:hanging="36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nsid w:val="3EF03781"/>
    <w:multiLevelType w:val="multilevel"/>
    <w:tmpl w:val="B0289CDE"/>
    <w:lvl w:ilvl="0">
      <w:start w:val="1"/>
      <w:numFmt w:val="decimal"/>
      <w:pStyle w:val="Numberedpara3level1"/>
      <w:lvlText w:val="%1."/>
      <w:lvlJc w:val="left"/>
      <w:pPr>
        <w:tabs>
          <w:tab w:val="num" w:pos="567"/>
        </w:tabs>
        <w:ind w:left="567" w:hanging="567"/>
      </w:pPr>
      <w:rPr>
        <w:rFonts w:ascii="Calibri" w:hAnsi="Calibri" w:hint="default"/>
        <w:caps w:val="0"/>
        <w:strike w:val="0"/>
        <w:dstrike w:val="0"/>
        <w:vanish w:val="0"/>
        <w:sz w:val="24"/>
        <w:vertAlign w:val="baseline"/>
      </w:rPr>
    </w:lvl>
    <w:lvl w:ilvl="1">
      <w:start w:val="1"/>
      <w:numFmt w:val="decimal"/>
      <w:lvlText w:val="12.%2"/>
      <w:lvlJc w:val="left"/>
      <w:pPr>
        <w:ind w:left="1247" w:hanging="680"/>
      </w:pPr>
      <w:rPr>
        <w:rFonts w:hint="default"/>
        <w:caps w:val="0"/>
        <w:strike w:val="0"/>
        <w:dstrike w:val="0"/>
        <w:vanish w:val="0"/>
        <w:vertAlign w:val="baseline"/>
      </w:rPr>
    </w:lvl>
    <w:lvl w:ilvl="2">
      <w:start w:val="1"/>
      <w:numFmt w:val="decimal"/>
      <w:pStyle w:val="Numberedpara3level3111"/>
      <w:lvlText w:val="%1.%2.%3"/>
      <w:lvlJc w:val="left"/>
      <w:pPr>
        <w:ind w:left="2155" w:hanging="908"/>
      </w:pPr>
      <w:rPr>
        <w:rFonts w:ascii="Calibri" w:hAnsi="Calibri" w:hint="default"/>
        <w:caps w:val="0"/>
        <w:strike w:val="0"/>
        <w:dstrike w:val="0"/>
        <w:vanish w:val="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9DD5D1B"/>
    <w:multiLevelType w:val="multilevel"/>
    <w:tmpl w:val="1D1AF662"/>
    <w:lvl w:ilvl="0">
      <w:start w:val="13"/>
      <w:numFmt w:val="decimal"/>
      <w:lvlText w:val="%1"/>
      <w:lvlJc w:val="left"/>
      <w:pPr>
        <w:ind w:left="420" w:hanging="420"/>
      </w:pPr>
      <w:rPr>
        <w:rFonts w:hint="default"/>
      </w:rPr>
    </w:lvl>
    <w:lvl w:ilvl="1">
      <w:start w:val="1"/>
      <w:numFmt w:val="decimal"/>
      <w:lvlText w:val="%1.%2"/>
      <w:lvlJc w:val="left"/>
      <w:pPr>
        <w:ind w:left="1667" w:hanging="4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461" w:hanging="72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315" w:hanging="108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169" w:hanging="1440"/>
      </w:pPr>
      <w:rPr>
        <w:rFonts w:hint="default"/>
      </w:rPr>
    </w:lvl>
    <w:lvl w:ilvl="8">
      <w:start w:val="1"/>
      <w:numFmt w:val="decimal"/>
      <w:lvlText w:val="%1.%2.%3.%4.%5.%6.%7.%8.%9"/>
      <w:lvlJc w:val="left"/>
      <w:pPr>
        <w:ind w:left="11776" w:hanging="1800"/>
      </w:pPr>
      <w:rPr>
        <w:rFonts w:hint="default"/>
      </w:rPr>
    </w:lvl>
  </w:abstractNum>
  <w:abstractNum w:abstractNumId="28">
    <w:nsid w:val="528D27EC"/>
    <w:multiLevelType w:val="multilevel"/>
    <w:tmpl w:val="A062706E"/>
    <w:lvl w:ilvl="0">
      <w:start w:val="32"/>
      <w:numFmt w:val="decimal"/>
      <w:lvlText w:val="%1"/>
      <w:lvlJc w:val="left"/>
      <w:pPr>
        <w:ind w:left="420" w:hanging="420"/>
      </w:pPr>
      <w:rPr>
        <w:rFonts w:hint="default"/>
      </w:rPr>
    </w:lvl>
    <w:lvl w:ilvl="1">
      <w:start w:val="1"/>
      <w:numFmt w:val="decimal"/>
      <w:lvlText w:val="%1.%2"/>
      <w:lvlJc w:val="left"/>
      <w:pPr>
        <w:ind w:left="2121" w:hanging="42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29">
    <w:nsid w:val="54EA5655"/>
    <w:multiLevelType w:val="hybridMultilevel"/>
    <w:tmpl w:val="38206B44"/>
    <w:lvl w:ilvl="0" w:tplc="1409000F">
      <w:start w:val="1"/>
      <w:numFmt w:val="decimal"/>
      <w:lvlText w:val="%1."/>
      <w:lvlJc w:val="left"/>
      <w:pPr>
        <w:ind w:left="2880" w:hanging="360"/>
      </w:pPr>
      <w:rPr>
        <w:rFonts w:hint="default"/>
      </w:rPr>
    </w:lvl>
    <w:lvl w:ilvl="1" w:tplc="14090019">
      <w:start w:val="1"/>
      <w:numFmt w:val="lowerLetter"/>
      <w:lvlText w:val="%2."/>
      <w:lvlJc w:val="left"/>
      <w:pPr>
        <w:ind w:left="3600" w:hanging="360"/>
      </w:pPr>
    </w:lvl>
    <w:lvl w:ilvl="2" w:tplc="1409001B" w:tentative="1">
      <w:start w:val="1"/>
      <w:numFmt w:val="lowerRoman"/>
      <w:lvlText w:val="%3."/>
      <w:lvlJc w:val="right"/>
      <w:pPr>
        <w:ind w:left="4320" w:hanging="180"/>
      </w:pPr>
    </w:lvl>
    <w:lvl w:ilvl="3" w:tplc="1409000F" w:tentative="1">
      <w:start w:val="1"/>
      <w:numFmt w:val="decimal"/>
      <w:lvlText w:val="%4."/>
      <w:lvlJc w:val="left"/>
      <w:pPr>
        <w:ind w:left="5040" w:hanging="360"/>
      </w:pPr>
    </w:lvl>
    <w:lvl w:ilvl="4" w:tplc="14090019" w:tentative="1">
      <w:start w:val="1"/>
      <w:numFmt w:val="lowerLetter"/>
      <w:lvlText w:val="%5."/>
      <w:lvlJc w:val="left"/>
      <w:pPr>
        <w:ind w:left="5760" w:hanging="360"/>
      </w:pPr>
    </w:lvl>
    <w:lvl w:ilvl="5" w:tplc="1409001B" w:tentative="1">
      <w:start w:val="1"/>
      <w:numFmt w:val="lowerRoman"/>
      <w:lvlText w:val="%6."/>
      <w:lvlJc w:val="right"/>
      <w:pPr>
        <w:ind w:left="6480" w:hanging="180"/>
      </w:pPr>
    </w:lvl>
    <w:lvl w:ilvl="6" w:tplc="1409000F" w:tentative="1">
      <w:start w:val="1"/>
      <w:numFmt w:val="decimal"/>
      <w:lvlText w:val="%7."/>
      <w:lvlJc w:val="left"/>
      <w:pPr>
        <w:ind w:left="7200" w:hanging="360"/>
      </w:pPr>
    </w:lvl>
    <w:lvl w:ilvl="7" w:tplc="14090019" w:tentative="1">
      <w:start w:val="1"/>
      <w:numFmt w:val="lowerLetter"/>
      <w:lvlText w:val="%8."/>
      <w:lvlJc w:val="left"/>
      <w:pPr>
        <w:ind w:left="7920" w:hanging="360"/>
      </w:pPr>
    </w:lvl>
    <w:lvl w:ilvl="8" w:tplc="1409001B" w:tentative="1">
      <w:start w:val="1"/>
      <w:numFmt w:val="lowerRoman"/>
      <w:lvlText w:val="%9."/>
      <w:lvlJc w:val="right"/>
      <w:pPr>
        <w:ind w:left="8640" w:hanging="180"/>
      </w:pPr>
    </w:lvl>
  </w:abstractNum>
  <w:abstractNum w:abstractNumId="3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98E6CEB"/>
    <w:multiLevelType w:val="multilevel"/>
    <w:tmpl w:val="B3147ED6"/>
    <w:lvl w:ilvl="0">
      <w:start w:val="1"/>
      <w:numFmt w:val="decimal"/>
      <w:pStyle w:val="Numberedpara2level1"/>
      <w:lvlText w:val="%1."/>
      <w:lvlJc w:val="left"/>
      <w:pPr>
        <w:tabs>
          <w:tab w:val="num" w:pos="567"/>
        </w:tabs>
        <w:ind w:left="567" w:hanging="567"/>
      </w:pPr>
      <w:rPr>
        <w:rFonts w:hint="default"/>
      </w:rPr>
    </w:lvl>
    <w:lvl w:ilvl="1">
      <w:start w:val="1"/>
      <w:numFmt w:val="decimal"/>
      <w:pStyle w:val="Numberedpara2level2a"/>
      <w:lvlText w:val="%1.%2"/>
      <w:lvlJc w:val="left"/>
      <w:pPr>
        <w:ind w:left="1247" w:hanging="680"/>
      </w:pPr>
      <w:rPr>
        <w:rFonts w:hint="default"/>
      </w:rPr>
    </w:lvl>
    <w:lvl w:ilvl="2">
      <w:start w:val="1"/>
      <w:numFmt w:val="decimal"/>
      <w:pStyle w:val="Numberedpara2level3i"/>
      <w:lvlText w:val="%1.%2.%3"/>
      <w:lvlJc w:val="left"/>
      <w:pPr>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ADD1114"/>
    <w:multiLevelType w:val="hybridMultilevel"/>
    <w:tmpl w:val="A13632DE"/>
    <w:lvl w:ilvl="0" w:tplc="AFA4B588">
      <w:start w:val="1"/>
      <w:numFmt w:val="decimal"/>
      <w:lvlText w:val="%1"/>
      <w:lvlJc w:val="left"/>
      <w:pPr>
        <w:ind w:left="360" w:hanging="360"/>
      </w:pPr>
      <w:rPr>
        <w:rFonts w:hint="default"/>
      </w:r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nsid w:val="5E6A42F1"/>
    <w:multiLevelType w:val="hybridMultilevel"/>
    <w:tmpl w:val="AAB6837A"/>
    <w:lvl w:ilvl="0" w:tplc="6218C412">
      <w:start w:val="1"/>
      <w:numFmt w:val="bullet"/>
      <w:lvlText w:val=""/>
      <w:lvlJc w:val="left"/>
      <w:pPr>
        <w:ind w:left="720" w:hanging="360"/>
      </w:pPr>
      <w:rPr>
        <w:rFonts w:ascii="Symbol" w:hAnsi="Symbol" w:hint="default"/>
      </w:rPr>
    </w:lvl>
    <w:lvl w:ilvl="1" w:tplc="9104E59E">
      <w:start w:val="1"/>
      <w:numFmt w:val="bullet"/>
      <w:lvlText w:val="o"/>
      <w:lvlJc w:val="left"/>
      <w:pPr>
        <w:ind w:left="1440" w:hanging="360"/>
      </w:pPr>
      <w:rPr>
        <w:rFonts w:ascii="Courier New" w:hAnsi="Courier New" w:hint="default"/>
      </w:rPr>
    </w:lvl>
    <w:lvl w:ilvl="2" w:tplc="8398C862">
      <w:start w:val="1"/>
      <w:numFmt w:val="bullet"/>
      <w:lvlText w:val=""/>
      <w:lvlJc w:val="left"/>
      <w:pPr>
        <w:ind w:left="2160" w:hanging="360"/>
      </w:pPr>
      <w:rPr>
        <w:rFonts w:ascii="Wingdings" w:hAnsi="Wingdings" w:hint="default"/>
      </w:rPr>
    </w:lvl>
    <w:lvl w:ilvl="3" w:tplc="E6F00D94">
      <w:start w:val="1"/>
      <w:numFmt w:val="bullet"/>
      <w:lvlText w:val=""/>
      <w:lvlJc w:val="left"/>
      <w:pPr>
        <w:ind w:left="2880" w:hanging="360"/>
      </w:pPr>
      <w:rPr>
        <w:rFonts w:ascii="Symbol" w:hAnsi="Symbol" w:hint="default"/>
      </w:rPr>
    </w:lvl>
    <w:lvl w:ilvl="4" w:tplc="48740AF6">
      <w:start w:val="1"/>
      <w:numFmt w:val="bullet"/>
      <w:lvlText w:val="o"/>
      <w:lvlJc w:val="left"/>
      <w:pPr>
        <w:ind w:left="3600" w:hanging="360"/>
      </w:pPr>
      <w:rPr>
        <w:rFonts w:ascii="Courier New" w:hAnsi="Courier New" w:hint="default"/>
      </w:rPr>
    </w:lvl>
    <w:lvl w:ilvl="5" w:tplc="D0A25668">
      <w:start w:val="1"/>
      <w:numFmt w:val="bullet"/>
      <w:lvlText w:val=""/>
      <w:lvlJc w:val="left"/>
      <w:pPr>
        <w:ind w:left="4320" w:hanging="360"/>
      </w:pPr>
      <w:rPr>
        <w:rFonts w:ascii="Wingdings" w:hAnsi="Wingdings" w:hint="default"/>
      </w:rPr>
    </w:lvl>
    <w:lvl w:ilvl="6" w:tplc="6400CF58">
      <w:start w:val="1"/>
      <w:numFmt w:val="bullet"/>
      <w:lvlText w:val=""/>
      <w:lvlJc w:val="left"/>
      <w:pPr>
        <w:ind w:left="5040" w:hanging="360"/>
      </w:pPr>
      <w:rPr>
        <w:rFonts w:ascii="Symbol" w:hAnsi="Symbol" w:hint="default"/>
      </w:rPr>
    </w:lvl>
    <w:lvl w:ilvl="7" w:tplc="E1E23906">
      <w:start w:val="1"/>
      <w:numFmt w:val="bullet"/>
      <w:lvlText w:val="o"/>
      <w:lvlJc w:val="left"/>
      <w:pPr>
        <w:ind w:left="5760" w:hanging="360"/>
      </w:pPr>
      <w:rPr>
        <w:rFonts w:ascii="Courier New" w:hAnsi="Courier New" w:hint="default"/>
      </w:rPr>
    </w:lvl>
    <w:lvl w:ilvl="8" w:tplc="1E1208D8">
      <w:start w:val="1"/>
      <w:numFmt w:val="bullet"/>
      <w:lvlText w:val=""/>
      <w:lvlJc w:val="left"/>
      <w:pPr>
        <w:ind w:left="6480" w:hanging="360"/>
      </w:pPr>
      <w:rPr>
        <w:rFonts w:ascii="Wingdings" w:hAnsi="Wingdings" w:hint="default"/>
      </w:rPr>
    </w:lvl>
  </w:abstractNum>
  <w:abstractNum w:abstractNumId="34">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5">
    <w:nsid w:val="5FD40A31"/>
    <w:multiLevelType w:val="multilevel"/>
    <w:tmpl w:val="D7E882D2"/>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6">
    <w:nsid w:val="605E4881"/>
    <w:multiLevelType w:val="multilevel"/>
    <w:tmpl w:val="91329392"/>
    <w:lvl w:ilvl="0">
      <w:start w:val="3"/>
      <w:numFmt w:val="decimal"/>
      <w:lvlText w:val="%1"/>
      <w:lvlJc w:val="left"/>
      <w:pPr>
        <w:ind w:left="720" w:hanging="360"/>
      </w:pPr>
      <w:rPr>
        <w:rFonts w:hint="default"/>
      </w:rPr>
    </w:lvl>
    <w:lvl w:ilvl="1">
      <w:start w:val="1"/>
      <w:numFmt w:val="bullet"/>
      <w:lvlText w:val=""/>
      <w:lvlJc w:val="left"/>
      <w:pPr>
        <w:ind w:left="1647" w:hanging="360"/>
      </w:pPr>
      <w:rPr>
        <w:rFonts w:ascii="Symbol" w:hAnsi="Symbol" w:hint="default"/>
      </w:rPr>
    </w:lvl>
    <w:lvl w:ilvl="2">
      <w:start w:val="1"/>
      <w:numFmt w:val="decimal"/>
      <w:lvlText w:val="%1.%2.%3"/>
      <w:lvlJc w:val="left"/>
      <w:pPr>
        <w:ind w:left="2934" w:hanging="720"/>
      </w:pPr>
      <w:rPr>
        <w:rFonts w:hint="default"/>
      </w:rPr>
    </w:lvl>
    <w:lvl w:ilvl="3">
      <w:start w:val="1"/>
      <w:numFmt w:val="decimal"/>
      <w:lvlText w:val="%1.%2.%3.%4"/>
      <w:lvlJc w:val="left"/>
      <w:pPr>
        <w:ind w:left="3861" w:hanging="720"/>
      </w:pPr>
      <w:rPr>
        <w:rFonts w:hint="default"/>
      </w:rPr>
    </w:lvl>
    <w:lvl w:ilvl="4">
      <w:start w:val="1"/>
      <w:numFmt w:val="decimal"/>
      <w:lvlText w:val="%1.%2.%3.%4.%5"/>
      <w:lvlJc w:val="left"/>
      <w:pPr>
        <w:ind w:left="5148" w:hanging="1080"/>
      </w:pPr>
      <w:rPr>
        <w:rFonts w:hint="default"/>
      </w:rPr>
    </w:lvl>
    <w:lvl w:ilvl="5">
      <w:start w:val="1"/>
      <w:numFmt w:val="decimal"/>
      <w:lvlText w:val="%1.%2.%3.%4.%5.%6"/>
      <w:lvlJc w:val="left"/>
      <w:pPr>
        <w:ind w:left="607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289" w:hanging="1440"/>
      </w:pPr>
      <w:rPr>
        <w:rFonts w:hint="default"/>
      </w:rPr>
    </w:lvl>
    <w:lvl w:ilvl="8">
      <w:start w:val="1"/>
      <w:numFmt w:val="decimal"/>
      <w:lvlText w:val="%1.%2.%3.%4.%5.%6.%7.%8.%9"/>
      <w:lvlJc w:val="left"/>
      <w:pPr>
        <w:ind w:left="9576" w:hanging="1800"/>
      </w:pPr>
      <w:rPr>
        <w:rFonts w:hint="default"/>
      </w:rPr>
    </w:lvl>
  </w:abstractNum>
  <w:abstractNum w:abstractNumId="37">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8">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9">
    <w:nsid w:val="69E677D4"/>
    <w:multiLevelType w:val="hybridMultilevel"/>
    <w:tmpl w:val="98A0DFC2"/>
    <w:lvl w:ilvl="0" w:tplc="14090001">
      <w:start w:val="1"/>
      <w:numFmt w:val="bullet"/>
      <w:lvlText w:val=""/>
      <w:lvlJc w:val="left"/>
      <w:pPr>
        <w:ind w:left="1287" w:hanging="360"/>
      </w:pPr>
      <w:rPr>
        <w:rFonts w:ascii="Symbol" w:hAnsi="Symbol" w:hint="default"/>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40">
    <w:nsid w:val="6B2A7B0B"/>
    <w:multiLevelType w:val="multilevel"/>
    <w:tmpl w:val="F34E9048"/>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1">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42">
    <w:nsid w:val="6E342154"/>
    <w:multiLevelType w:val="hybridMultilevel"/>
    <w:tmpl w:val="B06E1CB6"/>
    <w:lvl w:ilvl="0" w:tplc="14090001">
      <w:start w:val="1"/>
      <w:numFmt w:val="bullet"/>
      <w:lvlText w:val=""/>
      <w:lvlJc w:val="left"/>
      <w:pPr>
        <w:ind w:left="1701" w:hanging="567"/>
      </w:pPr>
      <w:rPr>
        <w:rFonts w:ascii="Symbol" w:hAnsi="Symbol" w:hint="default"/>
      </w:rPr>
    </w:lvl>
    <w:lvl w:ilvl="1" w:tplc="72D60400">
      <w:start w:val="1"/>
      <w:numFmt w:val="decimal"/>
      <w:lvlText w:val="%2.1"/>
      <w:lvlJc w:val="left"/>
      <w:pPr>
        <w:ind w:left="2574" w:hanging="360"/>
      </w:pPr>
      <w:rPr>
        <w:rFonts w:hint="default"/>
      </w:r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43">
    <w:nsid w:val="6FB303D2"/>
    <w:multiLevelType w:val="multilevel"/>
    <w:tmpl w:val="9DAEBB06"/>
    <w:lvl w:ilvl="0">
      <w:start w:val="36"/>
      <w:numFmt w:val="decimal"/>
      <w:lvlText w:val="%1"/>
      <w:lvlJc w:val="left"/>
      <w:pPr>
        <w:ind w:left="420" w:hanging="420"/>
      </w:pPr>
      <w:rPr>
        <w:rFonts w:hint="default"/>
      </w:rPr>
    </w:lvl>
    <w:lvl w:ilvl="1">
      <w:start w:val="1"/>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4">
    <w:nsid w:val="71371F2C"/>
    <w:multiLevelType w:val="hybridMultilevel"/>
    <w:tmpl w:val="89F61A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nsid w:val="763C3D9D"/>
    <w:multiLevelType w:val="multilevel"/>
    <w:tmpl w:val="CCC07810"/>
    <w:lvl w:ilvl="0">
      <w:start w:val="5"/>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6">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7">
    <w:nsid w:val="76A32DCA"/>
    <w:multiLevelType w:val="hybridMultilevel"/>
    <w:tmpl w:val="B532BA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nsid w:val="7A6F4248"/>
    <w:multiLevelType w:val="multilevel"/>
    <w:tmpl w:val="02582CA8"/>
    <w:lvl w:ilvl="0">
      <w:start w:val="4"/>
      <w:numFmt w:val="decimal"/>
      <w:lvlText w:val="%1"/>
      <w:lvlJc w:val="left"/>
      <w:pPr>
        <w:ind w:left="360" w:hanging="360"/>
      </w:pPr>
      <w:rPr>
        <w:rFonts w:hint="default"/>
      </w:rPr>
    </w:lvl>
    <w:lvl w:ilvl="1">
      <w:start w:val="1"/>
      <w:numFmt w:val="decimal"/>
      <w:lvlText w:val="%1.%2"/>
      <w:lvlJc w:val="left"/>
      <w:pPr>
        <w:ind w:left="1497" w:hanging="360"/>
      </w:pPr>
      <w:rPr>
        <w:rFonts w:hint="default"/>
      </w:rPr>
    </w:lvl>
    <w:lvl w:ilvl="2">
      <w:start w:val="1"/>
      <w:numFmt w:val="decimal"/>
      <w:lvlText w:val="%1.%2.%3"/>
      <w:lvlJc w:val="left"/>
      <w:pPr>
        <w:ind w:left="2994" w:hanging="720"/>
      </w:pPr>
      <w:rPr>
        <w:rFonts w:hint="default"/>
      </w:rPr>
    </w:lvl>
    <w:lvl w:ilvl="3">
      <w:start w:val="1"/>
      <w:numFmt w:val="decimal"/>
      <w:lvlText w:val="%1.%2.%3.%4"/>
      <w:lvlJc w:val="left"/>
      <w:pPr>
        <w:ind w:left="4131" w:hanging="720"/>
      </w:pPr>
      <w:rPr>
        <w:rFonts w:hint="default"/>
      </w:rPr>
    </w:lvl>
    <w:lvl w:ilvl="4">
      <w:start w:val="1"/>
      <w:numFmt w:val="decimal"/>
      <w:lvlText w:val="%1.%2.%3.%4.%5"/>
      <w:lvlJc w:val="left"/>
      <w:pPr>
        <w:ind w:left="5628" w:hanging="1080"/>
      </w:pPr>
      <w:rPr>
        <w:rFonts w:hint="default"/>
      </w:rPr>
    </w:lvl>
    <w:lvl w:ilvl="5">
      <w:start w:val="1"/>
      <w:numFmt w:val="decimal"/>
      <w:lvlText w:val="%1.%2.%3.%4.%5.%6"/>
      <w:lvlJc w:val="left"/>
      <w:pPr>
        <w:ind w:left="6765" w:hanging="1080"/>
      </w:pPr>
      <w:rPr>
        <w:rFonts w:hint="default"/>
      </w:rPr>
    </w:lvl>
    <w:lvl w:ilvl="6">
      <w:start w:val="1"/>
      <w:numFmt w:val="decimal"/>
      <w:lvlText w:val="%1.%2.%3.%4.%5.%6.%7"/>
      <w:lvlJc w:val="left"/>
      <w:pPr>
        <w:ind w:left="8262" w:hanging="1440"/>
      </w:pPr>
      <w:rPr>
        <w:rFonts w:hint="default"/>
      </w:rPr>
    </w:lvl>
    <w:lvl w:ilvl="7">
      <w:start w:val="1"/>
      <w:numFmt w:val="decimal"/>
      <w:lvlText w:val="%1.%2.%3.%4.%5.%6.%7.%8"/>
      <w:lvlJc w:val="left"/>
      <w:pPr>
        <w:ind w:left="9399" w:hanging="1440"/>
      </w:pPr>
      <w:rPr>
        <w:rFonts w:hint="default"/>
      </w:rPr>
    </w:lvl>
    <w:lvl w:ilvl="8">
      <w:start w:val="1"/>
      <w:numFmt w:val="decimal"/>
      <w:lvlText w:val="%1.%2.%3.%4.%5.%6.%7.%8.%9"/>
      <w:lvlJc w:val="left"/>
      <w:pPr>
        <w:ind w:left="10896" w:hanging="1800"/>
      </w:pPr>
      <w:rPr>
        <w:rFonts w:hint="default"/>
      </w:rPr>
    </w:lvl>
  </w:abstractNum>
  <w:abstractNum w:abstractNumId="49">
    <w:nsid w:val="7C4D7178"/>
    <w:multiLevelType w:val="hybridMultilevel"/>
    <w:tmpl w:val="D25EDCCC"/>
    <w:lvl w:ilvl="0" w:tplc="14090001">
      <w:start w:val="1"/>
      <w:numFmt w:val="bullet"/>
      <w:lvlText w:val=""/>
      <w:lvlJc w:val="left"/>
      <w:pPr>
        <w:ind w:left="1440" w:hanging="360"/>
      </w:pPr>
      <w:rPr>
        <w:rFonts w:ascii="Symbol" w:hAnsi="Symbol" w:hint="default"/>
      </w:rPr>
    </w:lvl>
    <w:lvl w:ilvl="1" w:tplc="2C9A57A8">
      <w:start w:val="1"/>
      <w:numFmt w:val="lowerLetter"/>
      <w:lvlText w:val="%2."/>
      <w:lvlJc w:val="left"/>
      <w:pPr>
        <w:ind w:left="2160" w:hanging="360"/>
      </w:pPr>
      <w:rPr>
        <w:rFonts w:ascii="Calibri" w:eastAsiaTheme="minorHAnsi" w:hAnsi="Calibri" w:cs="Times New Roman"/>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0">
    <w:nsid w:val="7FB75198"/>
    <w:multiLevelType w:val="hybridMultilevel"/>
    <w:tmpl w:val="8E1C4038"/>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33"/>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0"/>
  </w:num>
  <w:num w:numId="12">
    <w:abstractNumId w:val="34"/>
  </w:num>
  <w:num w:numId="13">
    <w:abstractNumId w:val="24"/>
  </w:num>
  <w:num w:numId="14">
    <w:abstractNumId w:val="16"/>
  </w:num>
  <w:num w:numId="15">
    <w:abstractNumId w:val="17"/>
  </w:num>
  <w:num w:numId="16">
    <w:abstractNumId w:val="35"/>
  </w:num>
  <w:num w:numId="17">
    <w:abstractNumId w:val="38"/>
  </w:num>
  <w:num w:numId="18">
    <w:abstractNumId w:val="41"/>
  </w:num>
  <w:num w:numId="19">
    <w:abstractNumId w:val="9"/>
  </w:num>
  <w:num w:numId="20">
    <w:abstractNumId w:val="20"/>
  </w:num>
  <w:num w:numId="21">
    <w:abstractNumId w:val="46"/>
  </w:num>
  <w:num w:numId="22">
    <w:abstractNumId w:val="40"/>
  </w:num>
  <w:num w:numId="23">
    <w:abstractNumId w:val="37"/>
  </w:num>
  <w:num w:numId="24">
    <w:abstractNumId w:val="26"/>
  </w:num>
  <w:num w:numId="25">
    <w:abstractNumId w:val="12"/>
  </w:num>
  <w:num w:numId="26">
    <w:abstractNumId w:val="31"/>
  </w:num>
  <w:num w:numId="27">
    <w:abstractNumId w:val="25"/>
  </w:num>
  <w:num w:numId="28">
    <w:abstractNumId w:val="18"/>
  </w:num>
  <w:num w:numId="29">
    <w:abstractNumId w:val="23"/>
  </w:num>
  <w:num w:numId="30">
    <w:abstractNumId w:val="39"/>
  </w:num>
  <w:num w:numId="31">
    <w:abstractNumId w:val="14"/>
  </w:num>
  <w:num w:numId="32">
    <w:abstractNumId w:val="27"/>
  </w:num>
  <w:num w:numId="33">
    <w:abstractNumId w:val="32"/>
  </w:num>
  <w:num w:numId="34">
    <w:abstractNumId w:val="50"/>
  </w:num>
  <w:num w:numId="35">
    <w:abstractNumId w:val="47"/>
  </w:num>
  <w:num w:numId="36">
    <w:abstractNumId w:val="49"/>
  </w:num>
  <w:num w:numId="37">
    <w:abstractNumId w:val="42"/>
  </w:num>
  <w:num w:numId="38">
    <w:abstractNumId w:val="44"/>
  </w:num>
  <w:num w:numId="39">
    <w:abstractNumId w:val="15"/>
  </w:num>
  <w:num w:numId="40">
    <w:abstractNumId w:val="29"/>
  </w:num>
  <w:num w:numId="41">
    <w:abstractNumId w:val="10"/>
  </w:num>
  <w:num w:numId="42">
    <w:abstractNumId w:val="16"/>
  </w:num>
  <w:num w:numId="43">
    <w:abstractNumId w:val="16"/>
  </w:num>
  <w:num w:numId="44">
    <w:abstractNumId w:val="21"/>
  </w:num>
  <w:num w:numId="45">
    <w:abstractNumId w:val="16"/>
  </w:num>
  <w:num w:numId="46">
    <w:abstractNumId w:val="28"/>
  </w:num>
  <w:num w:numId="47">
    <w:abstractNumId w:val="16"/>
  </w:num>
  <w:num w:numId="48">
    <w:abstractNumId w:val="11"/>
  </w:num>
  <w:num w:numId="49">
    <w:abstractNumId w:val="16"/>
  </w:num>
  <w:num w:numId="50">
    <w:abstractNumId w:val="43"/>
  </w:num>
  <w:num w:numId="51">
    <w:abstractNumId w:val="16"/>
  </w:num>
  <w:num w:numId="52">
    <w:abstractNumId w:val="48"/>
  </w:num>
  <w:num w:numId="53">
    <w:abstractNumId w:val="16"/>
  </w:num>
  <w:num w:numId="54">
    <w:abstractNumId w:val="16"/>
  </w:num>
  <w:num w:numId="55">
    <w:abstractNumId w:val="13"/>
  </w:num>
  <w:num w:numId="56">
    <w:abstractNumId w:val="22"/>
  </w:num>
  <w:num w:numId="57">
    <w:abstractNumId w:val="16"/>
  </w:num>
  <w:num w:numId="58">
    <w:abstractNumId w:val="16"/>
  </w:num>
  <w:num w:numId="59">
    <w:abstractNumId w:val="45"/>
  </w:num>
  <w:num w:numId="60">
    <w:abstractNumId w:val="16"/>
  </w:num>
  <w:num w:numId="61">
    <w:abstractNumId w:val="36"/>
  </w:num>
  <w:num w:numId="62">
    <w:abstractNumId w:val="19"/>
  </w:num>
  <w:num w:numId="63">
    <w:abstractNumId w:val="25"/>
  </w:num>
  <w:num w:numId="64">
    <w:abstractNumId w:val="25"/>
  </w:num>
  <w:num w:numId="6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4097"/>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819"/>
    <w:rsid w:val="00003360"/>
    <w:rsid w:val="00005919"/>
    <w:rsid w:val="0001052D"/>
    <w:rsid w:val="00015020"/>
    <w:rsid w:val="0001647B"/>
    <w:rsid w:val="00020010"/>
    <w:rsid w:val="000327A7"/>
    <w:rsid w:val="0003422B"/>
    <w:rsid w:val="00034673"/>
    <w:rsid w:val="000347B0"/>
    <w:rsid w:val="00036671"/>
    <w:rsid w:val="00037226"/>
    <w:rsid w:val="000409E2"/>
    <w:rsid w:val="00044EA1"/>
    <w:rsid w:val="00056374"/>
    <w:rsid w:val="0005649A"/>
    <w:rsid w:val="00063BB2"/>
    <w:rsid w:val="00064F6E"/>
    <w:rsid w:val="00065F18"/>
    <w:rsid w:val="00066CDA"/>
    <w:rsid w:val="00067005"/>
    <w:rsid w:val="00072F3C"/>
    <w:rsid w:val="00076035"/>
    <w:rsid w:val="00077013"/>
    <w:rsid w:val="0007799C"/>
    <w:rsid w:val="000802AD"/>
    <w:rsid w:val="00086F9C"/>
    <w:rsid w:val="00091C3A"/>
    <w:rsid w:val="000B05E1"/>
    <w:rsid w:val="000B7B42"/>
    <w:rsid w:val="000D1052"/>
    <w:rsid w:val="000D61F6"/>
    <w:rsid w:val="000D6861"/>
    <w:rsid w:val="000E21DA"/>
    <w:rsid w:val="000E2EBD"/>
    <w:rsid w:val="000E3240"/>
    <w:rsid w:val="000E5871"/>
    <w:rsid w:val="000E677B"/>
    <w:rsid w:val="000F317A"/>
    <w:rsid w:val="000F4ADF"/>
    <w:rsid w:val="000F4DA1"/>
    <w:rsid w:val="000F61AF"/>
    <w:rsid w:val="0010171C"/>
    <w:rsid w:val="00101FEC"/>
    <w:rsid w:val="00102FAD"/>
    <w:rsid w:val="00106520"/>
    <w:rsid w:val="00115674"/>
    <w:rsid w:val="00121870"/>
    <w:rsid w:val="00124B67"/>
    <w:rsid w:val="001338B7"/>
    <w:rsid w:val="001370B6"/>
    <w:rsid w:val="00140ED2"/>
    <w:rsid w:val="00143E7C"/>
    <w:rsid w:val="00144B7B"/>
    <w:rsid w:val="00147399"/>
    <w:rsid w:val="001503DD"/>
    <w:rsid w:val="001555D8"/>
    <w:rsid w:val="00156749"/>
    <w:rsid w:val="0016433D"/>
    <w:rsid w:val="00184C0F"/>
    <w:rsid w:val="001906A5"/>
    <w:rsid w:val="0019270A"/>
    <w:rsid w:val="001A10C6"/>
    <w:rsid w:val="001A163D"/>
    <w:rsid w:val="001A5524"/>
    <w:rsid w:val="001A5F55"/>
    <w:rsid w:val="001B03BB"/>
    <w:rsid w:val="001C0031"/>
    <w:rsid w:val="001C0363"/>
    <w:rsid w:val="001C0C30"/>
    <w:rsid w:val="001D0111"/>
    <w:rsid w:val="001D1221"/>
    <w:rsid w:val="001D18B3"/>
    <w:rsid w:val="001D1ED6"/>
    <w:rsid w:val="001D28D0"/>
    <w:rsid w:val="001D5EC0"/>
    <w:rsid w:val="001E64FC"/>
    <w:rsid w:val="001E6C75"/>
    <w:rsid w:val="001F0724"/>
    <w:rsid w:val="002007DF"/>
    <w:rsid w:val="00200FB9"/>
    <w:rsid w:val="00201DFE"/>
    <w:rsid w:val="00205FE8"/>
    <w:rsid w:val="00206BA3"/>
    <w:rsid w:val="00212211"/>
    <w:rsid w:val="00215160"/>
    <w:rsid w:val="002224B4"/>
    <w:rsid w:val="00226D5E"/>
    <w:rsid w:val="00237A3D"/>
    <w:rsid w:val="00240E83"/>
    <w:rsid w:val="00247EB5"/>
    <w:rsid w:val="002502D1"/>
    <w:rsid w:val="00260A17"/>
    <w:rsid w:val="00264E9B"/>
    <w:rsid w:val="00270EEC"/>
    <w:rsid w:val="002806A2"/>
    <w:rsid w:val="00280856"/>
    <w:rsid w:val="00282148"/>
    <w:rsid w:val="00284DFE"/>
    <w:rsid w:val="00287EB7"/>
    <w:rsid w:val="0029100C"/>
    <w:rsid w:val="002911D2"/>
    <w:rsid w:val="00297CC7"/>
    <w:rsid w:val="002A194F"/>
    <w:rsid w:val="002A4BD9"/>
    <w:rsid w:val="002A4FE7"/>
    <w:rsid w:val="002B1CEB"/>
    <w:rsid w:val="002B2DCE"/>
    <w:rsid w:val="002B3D5D"/>
    <w:rsid w:val="002C06EB"/>
    <w:rsid w:val="002C4E14"/>
    <w:rsid w:val="002D2287"/>
    <w:rsid w:val="002D3125"/>
    <w:rsid w:val="002D4F42"/>
    <w:rsid w:val="002F4305"/>
    <w:rsid w:val="0030084C"/>
    <w:rsid w:val="003039E1"/>
    <w:rsid w:val="003129BA"/>
    <w:rsid w:val="003148FC"/>
    <w:rsid w:val="003247F4"/>
    <w:rsid w:val="00325E7F"/>
    <w:rsid w:val="00330820"/>
    <w:rsid w:val="00335B73"/>
    <w:rsid w:val="00340886"/>
    <w:rsid w:val="003465C8"/>
    <w:rsid w:val="003513B7"/>
    <w:rsid w:val="00356E0A"/>
    <w:rsid w:val="003609CF"/>
    <w:rsid w:val="00367A49"/>
    <w:rsid w:val="0037016B"/>
    <w:rsid w:val="00370FC0"/>
    <w:rsid w:val="0037298A"/>
    <w:rsid w:val="00373206"/>
    <w:rsid w:val="003737ED"/>
    <w:rsid w:val="00375B80"/>
    <w:rsid w:val="00375BBD"/>
    <w:rsid w:val="00376B75"/>
    <w:rsid w:val="00377352"/>
    <w:rsid w:val="00397355"/>
    <w:rsid w:val="003A10DA"/>
    <w:rsid w:val="003A12C8"/>
    <w:rsid w:val="003A6FFE"/>
    <w:rsid w:val="003A7695"/>
    <w:rsid w:val="003B03ED"/>
    <w:rsid w:val="003B3A23"/>
    <w:rsid w:val="003B6592"/>
    <w:rsid w:val="003C772C"/>
    <w:rsid w:val="003E54D4"/>
    <w:rsid w:val="003E7C7C"/>
    <w:rsid w:val="003F2B58"/>
    <w:rsid w:val="003F5886"/>
    <w:rsid w:val="0040020C"/>
    <w:rsid w:val="00401CA0"/>
    <w:rsid w:val="00403135"/>
    <w:rsid w:val="0040700B"/>
    <w:rsid w:val="00407F54"/>
    <w:rsid w:val="00411341"/>
    <w:rsid w:val="00413966"/>
    <w:rsid w:val="00415CDB"/>
    <w:rsid w:val="004231DC"/>
    <w:rsid w:val="0042551E"/>
    <w:rsid w:val="00433AD8"/>
    <w:rsid w:val="00445144"/>
    <w:rsid w:val="004552A0"/>
    <w:rsid w:val="004558F0"/>
    <w:rsid w:val="00457E34"/>
    <w:rsid w:val="004601BA"/>
    <w:rsid w:val="00460A83"/>
    <w:rsid w:val="00460B3F"/>
    <w:rsid w:val="00463681"/>
    <w:rsid w:val="00463F60"/>
    <w:rsid w:val="00464752"/>
    <w:rsid w:val="00472971"/>
    <w:rsid w:val="00473E2F"/>
    <w:rsid w:val="00476068"/>
    <w:rsid w:val="004763B3"/>
    <w:rsid w:val="00477619"/>
    <w:rsid w:val="00486E6E"/>
    <w:rsid w:val="00487488"/>
    <w:rsid w:val="004875DF"/>
    <w:rsid w:val="00487C1D"/>
    <w:rsid w:val="00494C6F"/>
    <w:rsid w:val="00497F2E"/>
    <w:rsid w:val="004A5823"/>
    <w:rsid w:val="004B0AAF"/>
    <w:rsid w:val="004B3924"/>
    <w:rsid w:val="004C4DDD"/>
    <w:rsid w:val="004C6953"/>
    <w:rsid w:val="004C7001"/>
    <w:rsid w:val="004D1706"/>
    <w:rsid w:val="004D243F"/>
    <w:rsid w:val="004D7473"/>
    <w:rsid w:val="004E20A7"/>
    <w:rsid w:val="004E5C35"/>
    <w:rsid w:val="004E7601"/>
    <w:rsid w:val="004F5344"/>
    <w:rsid w:val="004F5DEF"/>
    <w:rsid w:val="00501C4B"/>
    <w:rsid w:val="005073C5"/>
    <w:rsid w:val="00510D73"/>
    <w:rsid w:val="00512ACB"/>
    <w:rsid w:val="00514BCE"/>
    <w:rsid w:val="0052216D"/>
    <w:rsid w:val="00524D67"/>
    <w:rsid w:val="00525D9E"/>
    <w:rsid w:val="00526115"/>
    <w:rsid w:val="00533FAF"/>
    <w:rsid w:val="005366B6"/>
    <w:rsid w:val="0054029E"/>
    <w:rsid w:val="005412CB"/>
    <w:rsid w:val="00542040"/>
    <w:rsid w:val="005507D8"/>
    <w:rsid w:val="005529EC"/>
    <w:rsid w:val="00554BCD"/>
    <w:rsid w:val="005576BD"/>
    <w:rsid w:val="00561A97"/>
    <w:rsid w:val="00563DAC"/>
    <w:rsid w:val="005656A5"/>
    <w:rsid w:val="005675E0"/>
    <w:rsid w:val="0057043C"/>
    <w:rsid w:val="00570A71"/>
    <w:rsid w:val="00570C00"/>
    <w:rsid w:val="00575F62"/>
    <w:rsid w:val="00580B0E"/>
    <w:rsid w:val="0058206B"/>
    <w:rsid w:val="00585690"/>
    <w:rsid w:val="00595B33"/>
    <w:rsid w:val="0059662F"/>
    <w:rsid w:val="005B211A"/>
    <w:rsid w:val="005B3F35"/>
    <w:rsid w:val="005B7016"/>
    <w:rsid w:val="005C7E38"/>
    <w:rsid w:val="005D3066"/>
    <w:rsid w:val="005D45C0"/>
    <w:rsid w:val="005E0DD9"/>
    <w:rsid w:val="005E25EA"/>
    <w:rsid w:val="005E4B13"/>
    <w:rsid w:val="005E4C02"/>
    <w:rsid w:val="005F01DF"/>
    <w:rsid w:val="005F76CC"/>
    <w:rsid w:val="005F7FF8"/>
    <w:rsid w:val="006004C4"/>
    <w:rsid w:val="006004C6"/>
    <w:rsid w:val="00600CA4"/>
    <w:rsid w:val="00602416"/>
    <w:rsid w:val="006025CE"/>
    <w:rsid w:val="00602B3F"/>
    <w:rsid w:val="00603D3B"/>
    <w:rsid w:val="006041F2"/>
    <w:rsid w:val="00605414"/>
    <w:rsid w:val="00605641"/>
    <w:rsid w:val="006060C7"/>
    <w:rsid w:val="006064F5"/>
    <w:rsid w:val="00607D64"/>
    <w:rsid w:val="00616900"/>
    <w:rsid w:val="00617298"/>
    <w:rsid w:val="006253E5"/>
    <w:rsid w:val="00636CB3"/>
    <w:rsid w:val="00637753"/>
    <w:rsid w:val="00643B96"/>
    <w:rsid w:val="00645819"/>
    <w:rsid w:val="0066206A"/>
    <w:rsid w:val="00662410"/>
    <w:rsid w:val="00662716"/>
    <w:rsid w:val="00666207"/>
    <w:rsid w:val="006755BE"/>
    <w:rsid w:val="006765FF"/>
    <w:rsid w:val="00676C9F"/>
    <w:rsid w:val="00677B13"/>
    <w:rsid w:val="00677CF5"/>
    <w:rsid w:val="00677F4E"/>
    <w:rsid w:val="00681A08"/>
    <w:rsid w:val="00681C1A"/>
    <w:rsid w:val="00682381"/>
    <w:rsid w:val="00685ECF"/>
    <w:rsid w:val="006875B8"/>
    <w:rsid w:val="00687CEA"/>
    <w:rsid w:val="00694E01"/>
    <w:rsid w:val="00695171"/>
    <w:rsid w:val="00695B75"/>
    <w:rsid w:val="006A1A95"/>
    <w:rsid w:val="006A38B7"/>
    <w:rsid w:val="006A5C31"/>
    <w:rsid w:val="006B1CB2"/>
    <w:rsid w:val="006B1DD1"/>
    <w:rsid w:val="006B2347"/>
    <w:rsid w:val="006B3396"/>
    <w:rsid w:val="006C195E"/>
    <w:rsid w:val="006C3C5A"/>
    <w:rsid w:val="006C7435"/>
    <w:rsid w:val="006D638F"/>
    <w:rsid w:val="006E7BF7"/>
    <w:rsid w:val="00701D45"/>
    <w:rsid w:val="00704979"/>
    <w:rsid w:val="007068C8"/>
    <w:rsid w:val="00715B8F"/>
    <w:rsid w:val="00716381"/>
    <w:rsid w:val="00722062"/>
    <w:rsid w:val="00724072"/>
    <w:rsid w:val="00725FB4"/>
    <w:rsid w:val="0073106E"/>
    <w:rsid w:val="00733E42"/>
    <w:rsid w:val="007361D6"/>
    <w:rsid w:val="007407C8"/>
    <w:rsid w:val="00740AF2"/>
    <w:rsid w:val="00751EF4"/>
    <w:rsid w:val="00753CB5"/>
    <w:rsid w:val="00755142"/>
    <w:rsid w:val="00756BB7"/>
    <w:rsid w:val="0075764B"/>
    <w:rsid w:val="007576B8"/>
    <w:rsid w:val="00760C01"/>
    <w:rsid w:val="00761293"/>
    <w:rsid w:val="00767C04"/>
    <w:rsid w:val="00772D47"/>
    <w:rsid w:val="007736A2"/>
    <w:rsid w:val="00781171"/>
    <w:rsid w:val="00781526"/>
    <w:rsid w:val="00784A6B"/>
    <w:rsid w:val="007925C8"/>
    <w:rsid w:val="007A206D"/>
    <w:rsid w:val="007A6226"/>
    <w:rsid w:val="007B3C61"/>
    <w:rsid w:val="007D1918"/>
    <w:rsid w:val="007D41E5"/>
    <w:rsid w:val="007E3244"/>
    <w:rsid w:val="007F03F2"/>
    <w:rsid w:val="007F4067"/>
    <w:rsid w:val="008065D7"/>
    <w:rsid w:val="00816E30"/>
    <w:rsid w:val="00817BFA"/>
    <w:rsid w:val="0082264B"/>
    <w:rsid w:val="008274C3"/>
    <w:rsid w:val="0082765B"/>
    <w:rsid w:val="00830191"/>
    <w:rsid w:val="008352B1"/>
    <w:rsid w:val="00835BD7"/>
    <w:rsid w:val="008428E8"/>
    <w:rsid w:val="00843D71"/>
    <w:rsid w:val="00846F11"/>
    <w:rsid w:val="0084745A"/>
    <w:rsid w:val="00870045"/>
    <w:rsid w:val="00876E5F"/>
    <w:rsid w:val="00884A12"/>
    <w:rsid w:val="0088686D"/>
    <w:rsid w:val="00890CE4"/>
    <w:rsid w:val="00891ED7"/>
    <w:rsid w:val="00893770"/>
    <w:rsid w:val="00894A83"/>
    <w:rsid w:val="008A318C"/>
    <w:rsid w:val="008A5672"/>
    <w:rsid w:val="008B7B54"/>
    <w:rsid w:val="008C2D6D"/>
    <w:rsid w:val="008C3187"/>
    <w:rsid w:val="008C5E4F"/>
    <w:rsid w:val="008D21E9"/>
    <w:rsid w:val="008D3278"/>
    <w:rsid w:val="008D5C26"/>
    <w:rsid w:val="008D63B7"/>
    <w:rsid w:val="008D6A03"/>
    <w:rsid w:val="008D6CA7"/>
    <w:rsid w:val="008E7FEE"/>
    <w:rsid w:val="008F31F5"/>
    <w:rsid w:val="008F5AFB"/>
    <w:rsid w:val="008F67F5"/>
    <w:rsid w:val="008F6BCE"/>
    <w:rsid w:val="00900D4B"/>
    <w:rsid w:val="00902568"/>
    <w:rsid w:val="00905002"/>
    <w:rsid w:val="00905F9B"/>
    <w:rsid w:val="00907A31"/>
    <w:rsid w:val="00907FC3"/>
    <w:rsid w:val="00912AB3"/>
    <w:rsid w:val="009170B9"/>
    <w:rsid w:val="00923A87"/>
    <w:rsid w:val="009248A2"/>
    <w:rsid w:val="00927482"/>
    <w:rsid w:val="00931013"/>
    <w:rsid w:val="00936FF5"/>
    <w:rsid w:val="0095112B"/>
    <w:rsid w:val="0095263C"/>
    <w:rsid w:val="00955595"/>
    <w:rsid w:val="0095712A"/>
    <w:rsid w:val="009659A2"/>
    <w:rsid w:val="00965B5E"/>
    <w:rsid w:val="00966C08"/>
    <w:rsid w:val="00973A6D"/>
    <w:rsid w:val="009776B9"/>
    <w:rsid w:val="00985D2C"/>
    <w:rsid w:val="009865AA"/>
    <w:rsid w:val="00987080"/>
    <w:rsid w:val="0098765A"/>
    <w:rsid w:val="009968B0"/>
    <w:rsid w:val="009A6CB2"/>
    <w:rsid w:val="009B0982"/>
    <w:rsid w:val="009B4C99"/>
    <w:rsid w:val="009B586E"/>
    <w:rsid w:val="009C12F2"/>
    <w:rsid w:val="009C13FB"/>
    <w:rsid w:val="009C2A78"/>
    <w:rsid w:val="009C72B0"/>
    <w:rsid w:val="009D1EB6"/>
    <w:rsid w:val="009D28CF"/>
    <w:rsid w:val="009D3CC4"/>
    <w:rsid w:val="009E5D36"/>
    <w:rsid w:val="009E6375"/>
    <w:rsid w:val="009E7CA0"/>
    <w:rsid w:val="009F3BE7"/>
    <w:rsid w:val="00A000B0"/>
    <w:rsid w:val="00A0154B"/>
    <w:rsid w:val="00A01611"/>
    <w:rsid w:val="00A04392"/>
    <w:rsid w:val="00A069CE"/>
    <w:rsid w:val="00A109D8"/>
    <w:rsid w:val="00A15A95"/>
    <w:rsid w:val="00A15DFC"/>
    <w:rsid w:val="00A16003"/>
    <w:rsid w:val="00A167D7"/>
    <w:rsid w:val="00A20359"/>
    <w:rsid w:val="00A20936"/>
    <w:rsid w:val="00A216B0"/>
    <w:rsid w:val="00A23D39"/>
    <w:rsid w:val="00A23EC2"/>
    <w:rsid w:val="00A24FBB"/>
    <w:rsid w:val="00A32453"/>
    <w:rsid w:val="00A3453E"/>
    <w:rsid w:val="00A42ED2"/>
    <w:rsid w:val="00A44B33"/>
    <w:rsid w:val="00A50E00"/>
    <w:rsid w:val="00A52529"/>
    <w:rsid w:val="00A5302B"/>
    <w:rsid w:val="00A53624"/>
    <w:rsid w:val="00A5469C"/>
    <w:rsid w:val="00A554D2"/>
    <w:rsid w:val="00A5578A"/>
    <w:rsid w:val="00A55EAF"/>
    <w:rsid w:val="00A5766B"/>
    <w:rsid w:val="00A61754"/>
    <w:rsid w:val="00A63A6C"/>
    <w:rsid w:val="00A73474"/>
    <w:rsid w:val="00A75E7C"/>
    <w:rsid w:val="00A77512"/>
    <w:rsid w:val="00A80A0E"/>
    <w:rsid w:val="00A863E3"/>
    <w:rsid w:val="00A96B30"/>
    <w:rsid w:val="00A97BFB"/>
    <w:rsid w:val="00AA1F86"/>
    <w:rsid w:val="00AA6E6E"/>
    <w:rsid w:val="00AB0BBC"/>
    <w:rsid w:val="00AB0F41"/>
    <w:rsid w:val="00AB3A92"/>
    <w:rsid w:val="00AB478B"/>
    <w:rsid w:val="00AB47AC"/>
    <w:rsid w:val="00AB4AD9"/>
    <w:rsid w:val="00AB5942"/>
    <w:rsid w:val="00AC6181"/>
    <w:rsid w:val="00AD2225"/>
    <w:rsid w:val="00AD6E77"/>
    <w:rsid w:val="00AD7A25"/>
    <w:rsid w:val="00AD7EB0"/>
    <w:rsid w:val="00AE11B0"/>
    <w:rsid w:val="00AE2666"/>
    <w:rsid w:val="00AE4ADA"/>
    <w:rsid w:val="00AF32D0"/>
    <w:rsid w:val="00AF3A5A"/>
    <w:rsid w:val="00AF3E15"/>
    <w:rsid w:val="00AF43A7"/>
    <w:rsid w:val="00AF5218"/>
    <w:rsid w:val="00B04519"/>
    <w:rsid w:val="00B0480E"/>
    <w:rsid w:val="00B1026A"/>
    <w:rsid w:val="00B12390"/>
    <w:rsid w:val="00B16049"/>
    <w:rsid w:val="00B17517"/>
    <w:rsid w:val="00B21166"/>
    <w:rsid w:val="00B2567F"/>
    <w:rsid w:val="00B263AE"/>
    <w:rsid w:val="00B302E6"/>
    <w:rsid w:val="00B3323D"/>
    <w:rsid w:val="00B33A6C"/>
    <w:rsid w:val="00B437C6"/>
    <w:rsid w:val="00B47091"/>
    <w:rsid w:val="00B4746C"/>
    <w:rsid w:val="00B4775B"/>
    <w:rsid w:val="00B56534"/>
    <w:rsid w:val="00B57A21"/>
    <w:rsid w:val="00B610EF"/>
    <w:rsid w:val="00B62C3E"/>
    <w:rsid w:val="00B645DE"/>
    <w:rsid w:val="00B65294"/>
    <w:rsid w:val="00B65857"/>
    <w:rsid w:val="00B66698"/>
    <w:rsid w:val="00B71376"/>
    <w:rsid w:val="00B718B2"/>
    <w:rsid w:val="00B745DC"/>
    <w:rsid w:val="00B8390B"/>
    <w:rsid w:val="00B84350"/>
    <w:rsid w:val="00B84E9B"/>
    <w:rsid w:val="00B855A6"/>
    <w:rsid w:val="00B91098"/>
    <w:rsid w:val="00B915FA"/>
    <w:rsid w:val="00B91904"/>
    <w:rsid w:val="00B92735"/>
    <w:rsid w:val="00B969ED"/>
    <w:rsid w:val="00B97759"/>
    <w:rsid w:val="00BA77F1"/>
    <w:rsid w:val="00BB0D90"/>
    <w:rsid w:val="00BB60C6"/>
    <w:rsid w:val="00BB7984"/>
    <w:rsid w:val="00BC6A06"/>
    <w:rsid w:val="00BD137C"/>
    <w:rsid w:val="00BE0F28"/>
    <w:rsid w:val="00BE3BC7"/>
    <w:rsid w:val="00BE51D1"/>
    <w:rsid w:val="00BF1AB7"/>
    <w:rsid w:val="00BF5BFF"/>
    <w:rsid w:val="00BF6D8C"/>
    <w:rsid w:val="00BF7FE9"/>
    <w:rsid w:val="00C004C6"/>
    <w:rsid w:val="00C03596"/>
    <w:rsid w:val="00C0553D"/>
    <w:rsid w:val="00C05778"/>
    <w:rsid w:val="00C05EEC"/>
    <w:rsid w:val="00C13A4B"/>
    <w:rsid w:val="00C15A13"/>
    <w:rsid w:val="00C17E5D"/>
    <w:rsid w:val="00C22E3D"/>
    <w:rsid w:val="00C238D9"/>
    <w:rsid w:val="00C24A9D"/>
    <w:rsid w:val="00C2677E"/>
    <w:rsid w:val="00C305E1"/>
    <w:rsid w:val="00C31542"/>
    <w:rsid w:val="00C32086"/>
    <w:rsid w:val="00C45D56"/>
    <w:rsid w:val="00C60544"/>
    <w:rsid w:val="00C6078D"/>
    <w:rsid w:val="00C61D23"/>
    <w:rsid w:val="00C63A86"/>
    <w:rsid w:val="00C657CF"/>
    <w:rsid w:val="00C739D3"/>
    <w:rsid w:val="00C80D62"/>
    <w:rsid w:val="00C8388B"/>
    <w:rsid w:val="00C84257"/>
    <w:rsid w:val="00C84944"/>
    <w:rsid w:val="00C86DA4"/>
    <w:rsid w:val="00C879F8"/>
    <w:rsid w:val="00C96BFD"/>
    <w:rsid w:val="00C96C98"/>
    <w:rsid w:val="00CA5358"/>
    <w:rsid w:val="00CA6C62"/>
    <w:rsid w:val="00CA7B1A"/>
    <w:rsid w:val="00CB1DCA"/>
    <w:rsid w:val="00CB2367"/>
    <w:rsid w:val="00CB5DF4"/>
    <w:rsid w:val="00CD502A"/>
    <w:rsid w:val="00CD64A6"/>
    <w:rsid w:val="00CF12CF"/>
    <w:rsid w:val="00CF4BE3"/>
    <w:rsid w:val="00CF5B2B"/>
    <w:rsid w:val="00D0067B"/>
    <w:rsid w:val="00D060D2"/>
    <w:rsid w:val="00D06112"/>
    <w:rsid w:val="00D13E2D"/>
    <w:rsid w:val="00D14394"/>
    <w:rsid w:val="00D242CD"/>
    <w:rsid w:val="00D31ABB"/>
    <w:rsid w:val="00D341C3"/>
    <w:rsid w:val="00D40573"/>
    <w:rsid w:val="00D42843"/>
    <w:rsid w:val="00D44087"/>
    <w:rsid w:val="00D5152A"/>
    <w:rsid w:val="00D54EF2"/>
    <w:rsid w:val="00D553B3"/>
    <w:rsid w:val="00D57AF6"/>
    <w:rsid w:val="00D615B6"/>
    <w:rsid w:val="00D62D58"/>
    <w:rsid w:val="00D65145"/>
    <w:rsid w:val="00D71D29"/>
    <w:rsid w:val="00D74314"/>
    <w:rsid w:val="00D80E76"/>
    <w:rsid w:val="00D81410"/>
    <w:rsid w:val="00D826C2"/>
    <w:rsid w:val="00D87C3F"/>
    <w:rsid w:val="00D92505"/>
    <w:rsid w:val="00D92E0E"/>
    <w:rsid w:val="00DA267C"/>
    <w:rsid w:val="00DA3688"/>
    <w:rsid w:val="00DA5101"/>
    <w:rsid w:val="00DA63AA"/>
    <w:rsid w:val="00DA79EF"/>
    <w:rsid w:val="00DB0C0B"/>
    <w:rsid w:val="00DB1333"/>
    <w:rsid w:val="00DB3B74"/>
    <w:rsid w:val="00DC5870"/>
    <w:rsid w:val="00DC7C3D"/>
    <w:rsid w:val="00DD0384"/>
    <w:rsid w:val="00DD0901"/>
    <w:rsid w:val="00DD5BEC"/>
    <w:rsid w:val="00DE16B6"/>
    <w:rsid w:val="00DE3323"/>
    <w:rsid w:val="00DE36CA"/>
    <w:rsid w:val="00DE7D40"/>
    <w:rsid w:val="00DE7E63"/>
    <w:rsid w:val="00DF4383"/>
    <w:rsid w:val="00DF77A2"/>
    <w:rsid w:val="00E01ACB"/>
    <w:rsid w:val="00E05FC8"/>
    <w:rsid w:val="00E17560"/>
    <w:rsid w:val="00E2269C"/>
    <w:rsid w:val="00E2462B"/>
    <w:rsid w:val="00E367C5"/>
    <w:rsid w:val="00E37E71"/>
    <w:rsid w:val="00E42486"/>
    <w:rsid w:val="00E42847"/>
    <w:rsid w:val="00E46064"/>
    <w:rsid w:val="00E52276"/>
    <w:rsid w:val="00E53294"/>
    <w:rsid w:val="00E554A2"/>
    <w:rsid w:val="00E55D0C"/>
    <w:rsid w:val="00E57F30"/>
    <w:rsid w:val="00E604A1"/>
    <w:rsid w:val="00E73AA8"/>
    <w:rsid w:val="00E74DCB"/>
    <w:rsid w:val="00E760A8"/>
    <w:rsid w:val="00E779D3"/>
    <w:rsid w:val="00E80228"/>
    <w:rsid w:val="00E83A47"/>
    <w:rsid w:val="00E86D2A"/>
    <w:rsid w:val="00E957C7"/>
    <w:rsid w:val="00E96BC4"/>
    <w:rsid w:val="00EA01A9"/>
    <w:rsid w:val="00EA2ED4"/>
    <w:rsid w:val="00EA3F36"/>
    <w:rsid w:val="00EA453C"/>
    <w:rsid w:val="00EA491A"/>
    <w:rsid w:val="00EA77AF"/>
    <w:rsid w:val="00EB1583"/>
    <w:rsid w:val="00EB4F47"/>
    <w:rsid w:val="00EB54A9"/>
    <w:rsid w:val="00EC23FB"/>
    <w:rsid w:val="00EC2448"/>
    <w:rsid w:val="00EC77D8"/>
    <w:rsid w:val="00ED5B26"/>
    <w:rsid w:val="00ED61F1"/>
    <w:rsid w:val="00ED7681"/>
    <w:rsid w:val="00ED7E93"/>
    <w:rsid w:val="00EE243C"/>
    <w:rsid w:val="00EE2B71"/>
    <w:rsid w:val="00EE3A7A"/>
    <w:rsid w:val="00EE679E"/>
    <w:rsid w:val="00EF2305"/>
    <w:rsid w:val="00EF41B8"/>
    <w:rsid w:val="00EF63C6"/>
    <w:rsid w:val="00F034FB"/>
    <w:rsid w:val="00F045F4"/>
    <w:rsid w:val="00F04D75"/>
    <w:rsid w:val="00F051C4"/>
    <w:rsid w:val="00F05606"/>
    <w:rsid w:val="00F105F5"/>
    <w:rsid w:val="00F1075A"/>
    <w:rsid w:val="00F10907"/>
    <w:rsid w:val="00F10D56"/>
    <w:rsid w:val="00F1634A"/>
    <w:rsid w:val="00F20AC1"/>
    <w:rsid w:val="00F21D0A"/>
    <w:rsid w:val="00F22E82"/>
    <w:rsid w:val="00F2483A"/>
    <w:rsid w:val="00F279A7"/>
    <w:rsid w:val="00F32680"/>
    <w:rsid w:val="00F32B4B"/>
    <w:rsid w:val="00F337BF"/>
    <w:rsid w:val="00F33D14"/>
    <w:rsid w:val="00F4480F"/>
    <w:rsid w:val="00F46ED8"/>
    <w:rsid w:val="00F473B6"/>
    <w:rsid w:val="00F47C43"/>
    <w:rsid w:val="00F51883"/>
    <w:rsid w:val="00F52852"/>
    <w:rsid w:val="00F52E57"/>
    <w:rsid w:val="00F53E06"/>
    <w:rsid w:val="00F54188"/>
    <w:rsid w:val="00F54CC0"/>
    <w:rsid w:val="00F646A0"/>
    <w:rsid w:val="00F700E7"/>
    <w:rsid w:val="00F71371"/>
    <w:rsid w:val="00F727A5"/>
    <w:rsid w:val="00F729C3"/>
    <w:rsid w:val="00F827D7"/>
    <w:rsid w:val="00F847A9"/>
    <w:rsid w:val="00F86809"/>
    <w:rsid w:val="00F94DB3"/>
    <w:rsid w:val="00F95790"/>
    <w:rsid w:val="00FA5FE9"/>
    <w:rsid w:val="00FA67D2"/>
    <w:rsid w:val="00FB0576"/>
    <w:rsid w:val="00FB0E14"/>
    <w:rsid w:val="00FB302F"/>
    <w:rsid w:val="00FB3437"/>
    <w:rsid w:val="00FB4747"/>
    <w:rsid w:val="00FB5A92"/>
    <w:rsid w:val="00FC1C69"/>
    <w:rsid w:val="00FC3739"/>
    <w:rsid w:val="00FE5AD9"/>
    <w:rsid w:val="00FE7A33"/>
    <w:rsid w:val="00FF4D35"/>
    <w:rsid w:val="06032402"/>
    <w:rsid w:val="098E3403"/>
    <w:rsid w:val="0EE36F78"/>
    <w:rsid w:val="1072FC35"/>
    <w:rsid w:val="1203B275"/>
    <w:rsid w:val="1274DC9D"/>
    <w:rsid w:val="17DAEE42"/>
    <w:rsid w:val="18CB2465"/>
    <w:rsid w:val="1BCF6EB1"/>
    <w:rsid w:val="1E9A77D7"/>
    <w:rsid w:val="2302E925"/>
    <w:rsid w:val="244E089E"/>
    <w:rsid w:val="26A3C354"/>
    <w:rsid w:val="293BDAAB"/>
    <w:rsid w:val="29D4C0D6"/>
    <w:rsid w:val="2B076B15"/>
    <w:rsid w:val="2C4DD829"/>
    <w:rsid w:val="2FBD257F"/>
    <w:rsid w:val="39A76B1D"/>
    <w:rsid w:val="3A6F2CAD"/>
    <w:rsid w:val="3B83A97E"/>
    <w:rsid w:val="3CCF649F"/>
    <w:rsid w:val="3CD5BD93"/>
    <w:rsid w:val="40E2CAB7"/>
    <w:rsid w:val="4915CBC5"/>
    <w:rsid w:val="49EFB338"/>
    <w:rsid w:val="4F9F1FB7"/>
    <w:rsid w:val="50D90CB9"/>
    <w:rsid w:val="51F2A5C1"/>
    <w:rsid w:val="51F635C6"/>
    <w:rsid w:val="54DD0197"/>
    <w:rsid w:val="5654EBC1"/>
    <w:rsid w:val="5ACB3EE2"/>
    <w:rsid w:val="5B679687"/>
    <w:rsid w:val="5BA89BFF"/>
    <w:rsid w:val="5E65C01D"/>
    <w:rsid w:val="60663EC4"/>
    <w:rsid w:val="633F5763"/>
    <w:rsid w:val="636A8910"/>
    <w:rsid w:val="647AD7FC"/>
    <w:rsid w:val="6534BE21"/>
    <w:rsid w:val="6B831726"/>
    <w:rsid w:val="70A07766"/>
    <w:rsid w:val="71842D77"/>
    <w:rsid w:val="762479FA"/>
    <w:rsid w:val="78A2082E"/>
    <w:rsid w:val="7B7C828E"/>
    <w:rsid w:val="7CF6375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8F0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76"/>
    <w:pPr>
      <w:keepLines/>
    </w:pPr>
    <w:rPr>
      <w:rFonts w:eastAsiaTheme="minorHAnsi"/>
      <w:lang w:eastAsia="en-US"/>
    </w:rPr>
  </w:style>
  <w:style w:type="paragraph" w:styleId="Heading1">
    <w:name w:val="heading 1"/>
    <w:basedOn w:val="Normal"/>
    <w:next w:val="Numberedpara3level1"/>
    <w:link w:val="Heading1Char"/>
    <w:uiPriority w:val="9"/>
    <w:qFormat/>
    <w:rsid w:val="003E54D4"/>
    <w:pPr>
      <w:keepNext/>
      <w:spacing w:before="240" w:after="120"/>
      <w:outlineLvl w:val="0"/>
    </w:pPr>
    <w:rPr>
      <w:b/>
      <w:sz w:val="28"/>
    </w:rPr>
  </w:style>
  <w:style w:type="paragraph" w:styleId="Heading2">
    <w:name w:val="heading 2"/>
    <w:basedOn w:val="Normal"/>
    <w:next w:val="Numberedpara3level1"/>
    <w:link w:val="Heading2Char"/>
    <w:qFormat/>
    <w:rsid w:val="00E52276"/>
    <w:pPr>
      <w:keepNext/>
      <w:spacing w:before="240" w:after="120"/>
      <w:outlineLvl w:val="1"/>
    </w:pPr>
    <w:rPr>
      <w:b/>
      <w:i/>
      <w:sz w:val="26"/>
    </w:rPr>
  </w:style>
  <w:style w:type="paragraph" w:styleId="Heading3">
    <w:name w:val="heading 3"/>
    <w:basedOn w:val="Normal"/>
    <w:next w:val="Normal"/>
    <w:link w:val="Heading3Char"/>
    <w:qFormat/>
    <w:rsid w:val="00E52276"/>
    <w:pPr>
      <w:keepNext/>
      <w:spacing w:before="240" w:after="120"/>
      <w:contextualSpacing/>
      <w:outlineLvl w:val="2"/>
    </w:pPr>
    <w:rPr>
      <w:rFonts w:cs="Arial"/>
      <w:bCs/>
      <w:i/>
      <w:sz w:val="26"/>
      <w:szCs w:val="26"/>
    </w:rPr>
  </w:style>
  <w:style w:type="paragraph" w:styleId="Heading4">
    <w:name w:val="heading 4"/>
    <w:basedOn w:val="Normal"/>
    <w:next w:val="Normal"/>
    <w:link w:val="Heading4Char"/>
    <w:semiHidden/>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2"/>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1"/>
      </w:numPr>
    </w:pPr>
  </w:style>
  <w:style w:type="numbering" w:styleId="ArticleSection">
    <w:name w:val="Outline List 3"/>
    <w:basedOn w:val="NoList"/>
    <w:semiHidden/>
    <w:rsid w:val="00065F18"/>
    <w:pPr>
      <w:numPr>
        <w:numId w:val="13"/>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3"/>
      </w:numPr>
    </w:pPr>
  </w:style>
  <w:style w:type="paragraph" w:styleId="ListBullet3">
    <w:name w:val="List Bullet 3"/>
    <w:basedOn w:val="Normal"/>
    <w:uiPriority w:val="99"/>
    <w:semiHidden/>
    <w:rsid w:val="00065F18"/>
    <w:pPr>
      <w:numPr>
        <w:numId w:val="4"/>
      </w:numPr>
    </w:pPr>
  </w:style>
  <w:style w:type="paragraph" w:styleId="ListBullet4">
    <w:name w:val="List Bullet 4"/>
    <w:basedOn w:val="Normal"/>
    <w:uiPriority w:val="99"/>
    <w:semiHidden/>
    <w:rsid w:val="00065F18"/>
    <w:pPr>
      <w:numPr>
        <w:numId w:val="5"/>
      </w:numPr>
    </w:pPr>
  </w:style>
  <w:style w:type="paragraph" w:styleId="ListBullet5">
    <w:name w:val="List Bullet 5"/>
    <w:basedOn w:val="Normal"/>
    <w:uiPriority w:val="99"/>
    <w:semiHidden/>
    <w:rsid w:val="00065F18"/>
    <w:pPr>
      <w:numPr>
        <w:numId w:val="6"/>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2"/>
      </w:numPr>
    </w:pPr>
  </w:style>
  <w:style w:type="paragraph" w:styleId="ListNumber2">
    <w:name w:val="List Number 2"/>
    <w:basedOn w:val="Normal"/>
    <w:uiPriority w:val="99"/>
    <w:semiHidden/>
    <w:rsid w:val="00065F18"/>
    <w:pPr>
      <w:numPr>
        <w:numId w:val="7"/>
      </w:numPr>
    </w:pPr>
  </w:style>
  <w:style w:type="paragraph" w:styleId="ListNumber3">
    <w:name w:val="List Number 3"/>
    <w:basedOn w:val="Normal"/>
    <w:uiPriority w:val="99"/>
    <w:semiHidden/>
    <w:rsid w:val="00065F18"/>
    <w:pPr>
      <w:numPr>
        <w:numId w:val="8"/>
      </w:numPr>
    </w:pPr>
  </w:style>
  <w:style w:type="paragraph" w:styleId="ListNumber4">
    <w:name w:val="List Number 4"/>
    <w:basedOn w:val="Normal"/>
    <w:uiPriority w:val="99"/>
    <w:semiHidden/>
    <w:rsid w:val="00065F18"/>
    <w:pPr>
      <w:numPr>
        <w:numId w:val="9"/>
      </w:numPr>
    </w:pPr>
  </w:style>
  <w:style w:type="paragraph" w:styleId="ListNumber5">
    <w:name w:val="List Number 5"/>
    <w:basedOn w:val="Normal"/>
    <w:uiPriority w:val="99"/>
    <w:semiHidden/>
    <w:rsid w:val="00065F18"/>
    <w:pPr>
      <w:numPr>
        <w:numId w:val="10"/>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3E54D4"/>
    <w:rPr>
      <w:rFonts w:eastAsiaTheme="minorHAnsi"/>
      <w:b/>
      <w:sz w:val="28"/>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5"/>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5"/>
      </w:numPr>
      <w:outlineLvl w:val="5"/>
    </w:pPr>
  </w:style>
  <w:style w:type="paragraph" w:customStyle="1" w:styleId="Headingnumbered2">
    <w:name w:val="Heading numbered 2"/>
    <w:basedOn w:val="Heading2"/>
    <w:next w:val="Normal"/>
    <w:uiPriority w:val="1"/>
    <w:semiHidden/>
    <w:rsid w:val="00065F18"/>
    <w:pPr>
      <w:numPr>
        <w:ilvl w:val="1"/>
        <w:numId w:val="15"/>
      </w:numPr>
      <w:outlineLvl w:val="6"/>
    </w:pPr>
  </w:style>
  <w:style w:type="paragraph" w:customStyle="1" w:styleId="Headingnumbered3">
    <w:name w:val="Heading numbered 3"/>
    <w:basedOn w:val="Normal"/>
    <w:next w:val="Normal"/>
    <w:uiPriority w:val="1"/>
    <w:semiHidden/>
    <w:rsid w:val="00065F18"/>
    <w:pPr>
      <w:numPr>
        <w:ilvl w:val="2"/>
        <w:numId w:val="15"/>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5"/>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unhideWhenUsed/>
    <w:rsid w:val="00065F18"/>
    <w:pPr>
      <w:numPr>
        <w:ilvl w:val="2"/>
        <w:numId w:val="25"/>
      </w:numPr>
      <w:spacing w:after="120"/>
    </w:pPr>
  </w:style>
  <w:style w:type="paragraph" w:customStyle="1" w:styleId="Numberedpara1level4i">
    <w:name w:val="Numbered para (1) level 4 (i)"/>
    <w:basedOn w:val="Normal"/>
    <w:semiHidden/>
    <w:unhideWhenUsed/>
    <w:rsid w:val="00065F18"/>
    <w:pPr>
      <w:numPr>
        <w:ilvl w:val="3"/>
        <w:numId w:val="25"/>
      </w:numPr>
      <w:spacing w:after="120"/>
    </w:pPr>
  </w:style>
  <w:style w:type="paragraph" w:customStyle="1" w:styleId="Bullet">
    <w:name w:val="Bullet"/>
    <w:basedOn w:val="Normal"/>
    <w:rsid w:val="00065F18"/>
    <w:pPr>
      <w:numPr>
        <w:numId w:val="16"/>
      </w:numPr>
      <w:spacing w:before="80" w:after="80"/>
    </w:pPr>
    <w:rPr>
      <w:noProof/>
    </w:rPr>
  </w:style>
  <w:style w:type="paragraph" w:customStyle="1" w:styleId="Bulletlevel2">
    <w:name w:val="Bullet level 2"/>
    <w:basedOn w:val="Normal"/>
    <w:uiPriority w:val="1"/>
    <w:semiHidden/>
    <w:rsid w:val="00065F18"/>
    <w:pPr>
      <w:numPr>
        <w:ilvl w:val="1"/>
        <w:numId w:val="16"/>
      </w:numPr>
      <w:spacing w:before="80" w:after="80"/>
    </w:pPr>
  </w:style>
  <w:style w:type="paragraph" w:customStyle="1" w:styleId="Bulletlevel3">
    <w:name w:val="Bullet level 3"/>
    <w:basedOn w:val="Normal"/>
    <w:uiPriority w:val="1"/>
    <w:semiHidden/>
    <w:rsid w:val="00065F18"/>
    <w:pPr>
      <w:numPr>
        <w:ilvl w:val="2"/>
        <w:numId w:val="16"/>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065F18"/>
    <w:pPr>
      <w:numPr>
        <w:numId w:val="22"/>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37298A"/>
    <w:pPr>
      <w:tabs>
        <w:tab w:val="right" w:leader="dot" w:pos="9072"/>
      </w:tabs>
      <w:spacing w:before="200" w:after="60"/>
      <w:ind w:right="567"/>
    </w:pPr>
    <w:rPr>
      <w:color w:val="000000" w:themeColor="text1"/>
    </w:rPr>
  </w:style>
  <w:style w:type="paragraph" w:styleId="TOC2">
    <w:name w:val="toc 2"/>
    <w:basedOn w:val="Normal"/>
    <w:next w:val="Normal"/>
    <w:uiPriority w:val="39"/>
    <w:rsid w:val="00473E2F"/>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rsid w:val="00E52276"/>
    <w:rPr>
      <w:rFonts w:eastAsiaTheme="minorHAnsi"/>
      <w:b/>
      <w:i/>
      <w:sz w:val="26"/>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7"/>
      </w:numPr>
    </w:pPr>
  </w:style>
  <w:style w:type="paragraph" w:customStyle="1" w:styleId="Tablebulletlevel2">
    <w:name w:val="Table bullet level 2"/>
    <w:basedOn w:val="Tablenormal0"/>
    <w:uiPriority w:val="99"/>
    <w:semiHidden/>
    <w:rsid w:val="00065F18"/>
    <w:pPr>
      <w:numPr>
        <w:ilvl w:val="1"/>
        <w:numId w:val="17"/>
      </w:numPr>
    </w:pPr>
  </w:style>
  <w:style w:type="paragraph" w:customStyle="1" w:styleId="TableBulletListLevel3">
    <w:name w:val="Table Bullet List Level 3"/>
    <w:basedOn w:val="BodyTextTable"/>
    <w:uiPriority w:val="11"/>
    <w:semiHidden/>
    <w:rsid w:val="00065F18"/>
    <w:pPr>
      <w:numPr>
        <w:ilvl w:val="2"/>
        <w:numId w:val="17"/>
      </w:numPr>
      <w:spacing w:before="60" w:after="60"/>
    </w:pPr>
  </w:style>
  <w:style w:type="paragraph" w:customStyle="1" w:styleId="Tablelist123">
    <w:name w:val="Table list 1 2 3"/>
    <w:basedOn w:val="Tablenormal0"/>
    <w:rsid w:val="00065F18"/>
    <w:pPr>
      <w:numPr>
        <w:numId w:val="19"/>
      </w:numPr>
    </w:pPr>
  </w:style>
  <w:style w:type="paragraph" w:customStyle="1" w:styleId="Tablelist123level2">
    <w:name w:val="Table list 1 2 3 level 2"/>
    <w:basedOn w:val="Tablenormal0"/>
    <w:semiHidden/>
    <w:rsid w:val="00065F18"/>
    <w:pPr>
      <w:numPr>
        <w:ilvl w:val="1"/>
        <w:numId w:val="19"/>
      </w:numPr>
    </w:pPr>
  </w:style>
  <w:style w:type="character" w:customStyle="1" w:styleId="Heading4Char">
    <w:name w:val="Heading 4 Char"/>
    <w:basedOn w:val="DefaultParagraphFont"/>
    <w:link w:val="Heading4"/>
    <w:semiHidden/>
    <w:rsid w:val="00264E9B"/>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8"/>
      </w:numPr>
    </w:pPr>
  </w:style>
  <w:style w:type="paragraph" w:customStyle="1" w:styleId="BodyTextTableLevel2">
    <w:name w:val="Body Text Table Level 2"/>
    <w:basedOn w:val="BodyTextTable"/>
    <w:uiPriority w:val="11"/>
    <w:semiHidden/>
    <w:rsid w:val="00065F18"/>
    <w:pPr>
      <w:numPr>
        <w:ilvl w:val="1"/>
        <w:numId w:val="18"/>
      </w:numPr>
    </w:pPr>
  </w:style>
  <w:style w:type="paragraph" w:customStyle="1" w:styleId="BodyTextTableLevel3">
    <w:name w:val="Body Text Table Level 3"/>
    <w:basedOn w:val="BodyTextTable"/>
    <w:uiPriority w:val="11"/>
    <w:semiHidden/>
    <w:rsid w:val="00065F18"/>
    <w:pPr>
      <w:numPr>
        <w:ilvl w:val="3"/>
        <w:numId w:val="19"/>
      </w:numPr>
    </w:pPr>
  </w:style>
  <w:style w:type="paragraph" w:styleId="Caption">
    <w:name w:val="caption"/>
    <w:basedOn w:val="Normal"/>
    <w:next w:val="Normal"/>
    <w:qFormat/>
    <w:rsid w:val="00662410"/>
    <w:pPr>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1D5EC0"/>
    <w:pPr>
      <w:pageBreakBefore/>
      <w:numPr>
        <w:numId w:val="20"/>
      </w:numPr>
      <w:tabs>
        <w:tab w:val="left" w:pos="2268"/>
      </w:tabs>
      <w:spacing w:before="0"/>
      <w:outlineLvl w:val="7"/>
    </w:pPr>
    <w:rPr>
      <w:color w:val="000000" w:themeColor="text1"/>
    </w:rPr>
  </w:style>
  <w:style w:type="paragraph" w:customStyle="1" w:styleId="NotforContentsheading1">
    <w:name w:val="Not for Contents heading 1"/>
    <w:basedOn w:val="Normal"/>
    <w:next w:val="Normal"/>
    <w:rsid w:val="008C2D6D"/>
    <w:pPr>
      <w:spacing w:before="400"/>
    </w:pPr>
    <w:rPr>
      <w:b/>
      <w:color w:val="000000" w:themeColor="text1"/>
      <w:sz w:val="48"/>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21"/>
      </w:numPr>
      <w:spacing w:before="80" w:after="80"/>
    </w:pPr>
  </w:style>
  <w:style w:type="paragraph" w:customStyle="1" w:styleId="NotforContentsheading2">
    <w:name w:val="Not for Contents heading 2"/>
    <w:basedOn w:val="Normal"/>
    <w:next w:val="Normal"/>
    <w:rsid w:val="00B84E9B"/>
    <w:pPr>
      <w:spacing w:after="120"/>
    </w:pPr>
    <w:rPr>
      <w:b/>
      <w:sz w:val="32"/>
    </w:rPr>
  </w:style>
  <w:style w:type="character" w:customStyle="1" w:styleId="Heading3Char">
    <w:name w:val="Heading 3 Char"/>
    <w:link w:val="Heading3"/>
    <w:rsid w:val="00E52276"/>
    <w:rPr>
      <w:rFonts w:eastAsiaTheme="minorHAnsi" w:cs="Arial"/>
      <w:bCs/>
      <w:i/>
      <w:sz w:val="26"/>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Bullet"/>
    <w:uiPriority w:val="34"/>
    <w:qFormat/>
    <w:rsid w:val="00065F18"/>
    <w:pPr>
      <w:numPr>
        <w:numId w:val="14"/>
      </w:numPr>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Footersecurityclassification">
    <w:name w:val="Footer security classification"/>
    <w:basedOn w:val="Footer"/>
    <w:qFormat/>
    <w:rsid w:val="001D5EC0"/>
    <w:rPr>
      <w:i w:val="0"/>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21"/>
      </w:numPr>
      <w:spacing w:before="80" w:after="80"/>
    </w:pPr>
  </w:style>
  <w:style w:type="paragraph" w:customStyle="1" w:styleId="List123level2">
    <w:name w:val="List 1 2 3 level 2"/>
    <w:basedOn w:val="Normal"/>
    <w:uiPriority w:val="1"/>
    <w:semiHidden/>
    <w:qFormat/>
    <w:rsid w:val="00065F18"/>
    <w:pPr>
      <w:numPr>
        <w:ilvl w:val="1"/>
        <w:numId w:val="22"/>
      </w:numPr>
    </w:pPr>
  </w:style>
  <w:style w:type="paragraph" w:customStyle="1" w:styleId="List123level3">
    <w:name w:val="List 1 2 3 level 3"/>
    <w:basedOn w:val="Normal"/>
    <w:uiPriority w:val="1"/>
    <w:semiHidden/>
    <w:qFormat/>
    <w:rsid w:val="00065F18"/>
    <w:pPr>
      <w:numPr>
        <w:ilvl w:val="2"/>
        <w:numId w:val="22"/>
      </w:numPr>
    </w:pPr>
  </w:style>
  <w:style w:type="paragraph" w:customStyle="1" w:styleId="Legislationsection">
    <w:name w:val="Legislation section"/>
    <w:basedOn w:val="Normal"/>
    <w:semiHidden/>
    <w:qFormat/>
    <w:rsid w:val="00065F18"/>
    <w:pPr>
      <w:numPr>
        <w:numId w:val="24"/>
      </w:numPr>
      <w:tabs>
        <w:tab w:val="left" w:pos="567"/>
      </w:tabs>
      <w:spacing w:after="60"/>
    </w:pPr>
    <w:rPr>
      <w:b/>
      <w:sz w:val="22"/>
    </w:rPr>
  </w:style>
  <w:style w:type="paragraph" w:customStyle="1" w:styleId="Legislationnumber">
    <w:name w:val="Legislation number"/>
    <w:basedOn w:val="Normal"/>
    <w:semiHidden/>
    <w:qFormat/>
    <w:rsid w:val="00065F18"/>
    <w:pPr>
      <w:numPr>
        <w:numId w:val="23"/>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4"/>
      </w:numPr>
      <w:spacing w:before="60" w:after="60"/>
    </w:pPr>
    <w:rPr>
      <w:sz w:val="22"/>
    </w:rPr>
  </w:style>
  <w:style w:type="paragraph" w:customStyle="1" w:styleId="Legislationi">
    <w:name w:val="Legislation (i)"/>
    <w:basedOn w:val="Normal"/>
    <w:semiHidden/>
    <w:qFormat/>
    <w:rsid w:val="00065F18"/>
    <w:pPr>
      <w:numPr>
        <w:ilvl w:val="3"/>
        <w:numId w:val="24"/>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level1">
    <w:name w:val="Numbered para (2) level 1"/>
    <w:basedOn w:val="Normal"/>
    <w:semiHidden/>
    <w:qFormat/>
    <w:rsid w:val="00065F18"/>
    <w:pPr>
      <w:numPr>
        <w:numId w:val="26"/>
      </w:numPr>
      <w:spacing w:after="120"/>
    </w:pPr>
  </w:style>
  <w:style w:type="paragraph" w:customStyle="1" w:styleId="Numberedpara2level2a">
    <w:name w:val="Numbered para (2) level 2 (a)"/>
    <w:basedOn w:val="Normal"/>
    <w:semiHidden/>
    <w:qFormat/>
    <w:rsid w:val="00065F18"/>
    <w:pPr>
      <w:numPr>
        <w:ilvl w:val="1"/>
        <w:numId w:val="26"/>
      </w:numPr>
      <w:spacing w:after="120"/>
    </w:pPr>
  </w:style>
  <w:style w:type="paragraph" w:customStyle="1" w:styleId="Numberedpara2level3i">
    <w:name w:val="Numbered para (2) level 3 (i)"/>
    <w:basedOn w:val="Normal"/>
    <w:semiHidden/>
    <w:qFormat/>
    <w:rsid w:val="00065F18"/>
    <w:pPr>
      <w:numPr>
        <w:ilvl w:val="2"/>
        <w:numId w:val="26"/>
      </w:numPr>
      <w:spacing w:after="120"/>
    </w:pPr>
  </w:style>
  <w:style w:type="paragraph" w:customStyle="1" w:styleId="Title2">
    <w:name w:val="Title 2"/>
    <w:basedOn w:val="Title"/>
    <w:qFormat/>
    <w:rsid w:val="00065F18"/>
    <w:rPr>
      <w:sz w:val="52"/>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Headersecurityclassification">
    <w:name w:val="Header security classification"/>
    <w:basedOn w:val="DefaultParagraphFont"/>
    <w:uiPriority w:val="1"/>
    <w:qFormat/>
    <w:rsid w:val="001D5EC0"/>
    <w:rPr>
      <w:rFonts w:ascii="Calibri" w:hAnsi="Calibri"/>
      <w:b/>
      <w:i w:val="0"/>
      <w:caps/>
      <w:smallCaps w:val="0"/>
      <w:color w:val="000000" w:themeColor="text1"/>
      <w:sz w:val="22"/>
    </w:rPr>
  </w:style>
  <w:style w:type="paragraph" w:customStyle="1" w:styleId="Numberedpara1level211">
    <w:name w:val="Numbered para (1) level 2 (1.1)"/>
    <w:basedOn w:val="Normal"/>
    <w:semiHidden/>
    <w:unhideWhenUsed/>
    <w:rsid w:val="00065F18"/>
    <w:pPr>
      <w:numPr>
        <w:ilvl w:val="1"/>
        <w:numId w:val="25"/>
      </w:numPr>
      <w:spacing w:after="120"/>
    </w:pPr>
  </w:style>
  <w:style w:type="paragraph" w:customStyle="1" w:styleId="Numberedpara11headingwithnumber">
    <w:name w:val="Numbered para (1) 1 (heading with number)"/>
    <w:basedOn w:val="Normal"/>
    <w:semiHidden/>
    <w:unhideWhenUsed/>
    <w:qFormat/>
    <w:rsid w:val="00065F18"/>
    <w:pPr>
      <w:numPr>
        <w:numId w:val="25"/>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FinancialtableLHC">
    <w:name w:val="Financial table LHC"/>
    <w:basedOn w:val="Normal"/>
    <w:semiHidden/>
    <w:qFormat/>
    <w:rsid w:val="00A5302B"/>
    <w:pPr>
      <w:spacing w:before="0" w:after="0"/>
      <w:contextualSpacing/>
    </w:pPr>
    <w:rPr>
      <w:sz w:val="22"/>
    </w:rPr>
  </w:style>
  <w:style w:type="paragraph" w:customStyle="1" w:styleId="Financialtablefigures">
    <w:name w:val="Financial table figures"/>
    <w:basedOn w:val="FinancialtableLHC"/>
    <w:semiHidden/>
    <w:qFormat/>
    <w:rsid w:val="00A5302B"/>
    <w:pPr>
      <w:jc w:val="right"/>
    </w:pPr>
  </w:style>
  <w:style w:type="paragraph" w:customStyle="1" w:styleId="Financialtableyears">
    <w:name w:val="Financial table years"/>
    <w:basedOn w:val="Financialtablefigures"/>
    <w:semiHidden/>
    <w:qFormat/>
    <w:rsid w:val="00A5302B"/>
    <w:pPr>
      <w:jc w:val="center"/>
    </w:pPr>
    <w:rPr>
      <w:b/>
      <w:sz w:val="20"/>
    </w:rPr>
  </w:style>
  <w:style w:type="paragraph" w:customStyle="1" w:styleId="Tablesource">
    <w:name w:val="Table source"/>
    <w:basedOn w:val="Normal"/>
    <w:qFormat/>
    <w:rsid w:val="00662410"/>
    <w:pPr>
      <w:spacing w:before="80" w:after="120"/>
      <w:ind w:left="567"/>
    </w:pPr>
    <w:rPr>
      <w:sz w:val="22"/>
    </w:rPr>
  </w:style>
  <w:style w:type="paragraph" w:customStyle="1" w:styleId="Numberedpara3subheading">
    <w:name w:val="Numbered para (3) subheading"/>
    <w:basedOn w:val="Normal"/>
    <w:next w:val="Normal"/>
    <w:semiHidden/>
    <w:qFormat/>
    <w:rsid w:val="0088686D"/>
    <w:pPr>
      <w:spacing w:before="240" w:after="120"/>
    </w:pPr>
    <w:rPr>
      <w:b/>
      <w:i/>
    </w:rPr>
  </w:style>
  <w:style w:type="paragraph" w:customStyle="1" w:styleId="Numberedpara3level1">
    <w:name w:val="Numbered para (3) level 1"/>
    <w:basedOn w:val="Normal"/>
    <w:qFormat/>
    <w:rsid w:val="0088686D"/>
    <w:pPr>
      <w:numPr>
        <w:numId w:val="27"/>
      </w:numPr>
      <w:spacing w:after="120"/>
    </w:pPr>
  </w:style>
  <w:style w:type="paragraph" w:customStyle="1" w:styleId="Numberedpara3level211">
    <w:name w:val="Numbered para (3) level 2 (1.1)"/>
    <w:basedOn w:val="Normal"/>
    <w:qFormat/>
    <w:rsid w:val="0088686D"/>
    <w:pPr>
      <w:spacing w:after="120"/>
    </w:pPr>
  </w:style>
  <w:style w:type="paragraph" w:customStyle="1" w:styleId="Numberedpara3level3111">
    <w:name w:val="Numbered para (3) level 3 (1.1.1)"/>
    <w:basedOn w:val="Normal"/>
    <w:qFormat/>
    <w:rsid w:val="0088686D"/>
    <w:pPr>
      <w:numPr>
        <w:ilvl w:val="2"/>
        <w:numId w:val="27"/>
      </w:numPr>
      <w:spacing w:after="120"/>
    </w:pPr>
  </w:style>
  <w:style w:type="paragraph" w:customStyle="1" w:styleId="Numberedpara3heading">
    <w:name w:val="Numbered para (3) heading"/>
    <w:basedOn w:val="Normal"/>
    <w:semiHidden/>
    <w:qFormat/>
    <w:rsid w:val="0088686D"/>
    <w:pPr>
      <w:keepNext/>
      <w:spacing w:before="200" w:after="120"/>
    </w:pPr>
    <w:rPr>
      <w:b/>
    </w:rPr>
  </w:style>
  <w:style w:type="table" w:customStyle="1" w:styleId="RIS">
    <w:name w:val="__RIS"/>
    <w:basedOn w:val="TableNormal"/>
    <w:uiPriority w:val="99"/>
    <w:rsid w:val="00FB0E14"/>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customStyle="1" w:styleId="Crossreferences">
    <w:name w:val="Cross references"/>
    <w:basedOn w:val="DefaultParagraphFont"/>
    <w:uiPriority w:val="1"/>
    <w:qFormat/>
    <w:rsid w:val="00E52276"/>
    <w:rPr>
      <w:i/>
      <w:u w:val="single"/>
    </w:rPr>
  </w:style>
  <w:style w:type="character" w:customStyle="1" w:styleId="FootnoteTextChar">
    <w:name w:val="Footnote Text Char"/>
    <w:link w:val="FootnoteText"/>
    <w:rsid w:val="00931013"/>
    <w:rPr>
      <w:rFonts w:eastAsiaTheme="minorHAnsi"/>
      <w:sz w:val="20"/>
      <w:szCs w:val="20"/>
      <w:lang w:eastAsia="en-US"/>
    </w:rPr>
  </w:style>
  <w:style w:type="table" w:customStyle="1" w:styleId="DIATable">
    <w:name w:val="_DIA Table"/>
    <w:basedOn w:val="TableNormal"/>
    <w:uiPriority w:val="99"/>
    <w:rsid w:val="00AC6181"/>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CommentText">
    <w:name w:val="annotation text"/>
    <w:basedOn w:val="Normal"/>
    <w:link w:val="CommentTextChar"/>
    <w:uiPriority w:val="99"/>
    <w:semiHidden/>
    <w:unhideWhenUsed/>
    <w:rsid w:val="00C84257"/>
    <w:rPr>
      <w:sz w:val="20"/>
      <w:szCs w:val="20"/>
    </w:rPr>
  </w:style>
  <w:style w:type="character" w:customStyle="1" w:styleId="CommentTextChar">
    <w:name w:val="Comment Text Char"/>
    <w:basedOn w:val="DefaultParagraphFont"/>
    <w:link w:val="CommentText"/>
    <w:uiPriority w:val="99"/>
    <w:semiHidden/>
    <w:rsid w:val="00C8425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84257"/>
    <w:rPr>
      <w:b/>
      <w:bCs/>
    </w:rPr>
  </w:style>
  <w:style w:type="character" w:customStyle="1" w:styleId="CommentSubjectChar">
    <w:name w:val="Comment Subject Char"/>
    <w:basedOn w:val="CommentTextChar"/>
    <w:link w:val="CommentSubject"/>
    <w:uiPriority w:val="99"/>
    <w:semiHidden/>
    <w:rsid w:val="00C84257"/>
    <w:rPr>
      <w:rFonts w:eastAsiaTheme="minorHAnsi"/>
      <w:b/>
      <w:bCs/>
      <w:sz w:val="20"/>
      <w:szCs w:val="20"/>
      <w:lang w:eastAsia="en-US"/>
    </w:rPr>
  </w:style>
  <w:style w:type="paragraph" w:customStyle="1" w:styleId="NumbersLevel1">
    <w:name w:val="Numbers Level 1"/>
    <w:basedOn w:val="BodyText"/>
    <w:rsid w:val="00B4775B"/>
    <w:pPr>
      <w:keepLines w:val="0"/>
      <w:tabs>
        <w:tab w:val="num" w:pos="709"/>
      </w:tabs>
      <w:spacing w:before="0" w:line="280" w:lineRule="atLeast"/>
      <w:ind w:left="709" w:hanging="709"/>
      <w:jc w:val="both"/>
    </w:pPr>
    <w:rPr>
      <w:rFonts w:ascii="Arial" w:eastAsia="Times New Roman" w:hAnsi="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1" w:unhideWhenUsed="0" w:qFormat="1"/>
    <w:lsdException w:name="heading 6" w:semiHidden="0" w:uiPriority="1"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footnote text" w:uiPriority="0"/>
    <w:lsdException w:name="header" w:uiPriority="0"/>
    <w:lsdException w:name="footer" w:uiPriority="0"/>
    <w:lsdException w:name="caption" w:uiPriority="0" w:qFormat="1"/>
    <w:lsdException w:name="footnote reference" w:uiPriority="0"/>
    <w:lsdException w:name="List Number" w:semiHidden="0" w:unhideWhenUsed="0"/>
    <w:lsdException w:name="List 2" w:uiPriority="3"/>
    <w:lsdException w:name="List 4" w:semiHidden="0" w:unhideWhenUsed="0"/>
    <w:lsdException w:name="List 5" w:semiHidden="0" w:unhideWhenUsed="0"/>
    <w:lsdException w:name="Title" w:semiHidden="0" w:uiPriority="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nhideWhenUsed="0"/>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276"/>
    <w:pPr>
      <w:keepLines/>
    </w:pPr>
    <w:rPr>
      <w:rFonts w:eastAsiaTheme="minorHAnsi"/>
      <w:lang w:eastAsia="en-US"/>
    </w:rPr>
  </w:style>
  <w:style w:type="paragraph" w:styleId="Heading1">
    <w:name w:val="heading 1"/>
    <w:basedOn w:val="Normal"/>
    <w:next w:val="Numberedpara3level1"/>
    <w:link w:val="Heading1Char"/>
    <w:uiPriority w:val="9"/>
    <w:qFormat/>
    <w:rsid w:val="003E54D4"/>
    <w:pPr>
      <w:keepNext/>
      <w:spacing w:before="240" w:after="120"/>
      <w:outlineLvl w:val="0"/>
    </w:pPr>
    <w:rPr>
      <w:b/>
      <w:sz w:val="28"/>
    </w:rPr>
  </w:style>
  <w:style w:type="paragraph" w:styleId="Heading2">
    <w:name w:val="heading 2"/>
    <w:basedOn w:val="Normal"/>
    <w:next w:val="Numberedpara3level1"/>
    <w:link w:val="Heading2Char"/>
    <w:qFormat/>
    <w:rsid w:val="00E52276"/>
    <w:pPr>
      <w:keepNext/>
      <w:spacing w:before="240" w:after="120"/>
      <w:outlineLvl w:val="1"/>
    </w:pPr>
    <w:rPr>
      <w:b/>
      <w:i/>
      <w:sz w:val="26"/>
    </w:rPr>
  </w:style>
  <w:style w:type="paragraph" w:styleId="Heading3">
    <w:name w:val="heading 3"/>
    <w:basedOn w:val="Normal"/>
    <w:next w:val="Normal"/>
    <w:link w:val="Heading3Char"/>
    <w:qFormat/>
    <w:rsid w:val="00E52276"/>
    <w:pPr>
      <w:keepNext/>
      <w:spacing w:before="240" w:after="120"/>
      <w:contextualSpacing/>
      <w:outlineLvl w:val="2"/>
    </w:pPr>
    <w:rPr>
      <w:rFonts w:cs="Arial"/>
      <w:bCs/>
      <w:i/>
      <w:sz w:val="26"/>
      <w:szCs w:val="26"/>
    </w:rPr>
  </w:style>
  <w:style w:type="paragraph" w:styleId="Heading4">
    <w:name w:val="heading 4"/>
    <w:basedOn w:val="Normal"/>
    <w:next w:val="Normal"/>
    <w:link w:val="Heading4Char"/>
    <w:semiHidden/>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12"/>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11"/>
      </w:numPr>
    </w:pPr>
  </w:style>
  <w:style w:type="numbering" w:styleId="ArticleSection">
    <w:name w:val="Outline List 3"/>
    <w:basedOn w:val="NoList"/>
    <w:semiHidden/>
    <w:rsid w:val="00065F18"/>
    <w:pPr>
      <w:numPr>
        <w:numId w:val="13"/>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65F18"/>
    <w:pPr>
      <w:numPr>
        <w:numId w:val="0"/>
      </w:numPr>
    </w:pPr>
  </w:style>
  <w:style w:type="paragraph" w:styleId="ListBullet2">
    <w:name w:val="List Bullet 2"/>
    <w:basedOn w:val="Normal"/>
    <w:uiPriority w:val="99"/>
    <w:semiHidden/>
    <w:rsid w:val="00065F18"/>
    <w:pPr>
      <w:numPr>
        <w:numId w:val="3"/>
      </w:numPr>
    </w:pPr>
  </w:style>
  <w:style w:type="paragraph" w:styleId="ListBullet3">
    <w:name w:val="List Bullet 3"/>
    <w:basedOn w:val="Normal"/>
    <w:uiPriority w:val="99"/>
    <w:semiHidden/>
    <w:rsid w:val="00065F18"/>
    <w:pPr>
      <w:numPr>
        <w:numId w:val="4"/>
      </w:numPr>
    </w:pPr>
  </w:style>
  <w:style w:type="paragraph" w:styleId="ListBullet4">
    <w:name w:val="List Bullet 4"/>
    <w:basedOn w:val="Normal"/>
    <w:uiPriority w:val="99"/>
    <w:semiHidden/>
    <w:rsid w:val="00065F18"/>
    <w:pPr>
      <w:numPr>
        <w:numId w:val="5"/>
      </w:numPr>
    </w:pPr>
  </w:style>
  <w:style w:type="paragraph" w:styleId="ListBullet5">
    <w:name w:val="List Bullet 5"/>
    <w:basedOn w:val="Normal"/>
    <w:uiPriority w:val="99"/>
    <w:semiHidden/>
    <w:rsid w:val="00065F18"/>
    <w:pPr>
      <w:numPr>
        <w:numId w:val="6"/>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Normal"/>
    <w:uiPriority w:val="99"/>
    <w:semiHidden/>
    <w:rsid w:val="00065F18"/>
    <w:pPr>
      <w:numPr>
        <w:numId w:val="2"/>
      </w:numPr>
    </w:pPr>
  </w:style>
  <w:style w:type="paragraph" w:styleId="ListNumber2">
    <w:name w:val="List Number 2"/>
    <w:basedOn w:val="Normal"/>
    <w:uiPriority w:val="99"/>
    <w:semiHidden/>
    <w:rsid w:val="00065F18"/>
    <w:pPr>
      <w:numPr>
        <w:numId w:val="7"/>
      </w:numPr>
    </w:pPr>
  </w:style>
  <w:style w:type="paragraph" w:styleId="ListNumber3">
    <w:name w:val="List Number 3"/>
    <w:basedOn w:val="Normal"/>
    <w:uiPriority w:val="99"/>
    <w:semiHidden/>
    <w:rsid w:val="00065F18"/>
    <w:pPr>
      <w:numPr>
        <w:numId w:val="8"/>
      </w:numPr>
    </w:pPr>
  </w:style>
  <w:style w:type="paragraph" w:styleId="ListNumber4">
    <w:name w:val="List Number 4"/>
    <w:basedOn w:val="Normal"/>
    <w:uiPriority w:val="99"/>
    <w:semiHidden/>
    <w:rsid w:val="00065F18"/>
    <w:pPr>
      <w:numPr>
        <w:numId w:val="9"/>
      </w:numPr>
    </w:pPr>
  </w:style>
  <w:style w:type="paragraph" w:styleId="ListNumber5">
    <w:name w:val="List Number 5"/>
    <w:basedOn w:val="Normal"/>
    <w:uiPriority w:val="99"/>
    <w:semiHidden/>
    <w:rsid w:val="00065F18"/>
    <w:pPr>
      <w:numPr>
        <w:numId w:val="10"/>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uiPriority w:val="9"/>
    <w:rsid w:val="003E54D4"/>
    <w:rPr>
      <w:rFonts w:eastAsiaTheme="minorHAnsi"/>
      <w:b/>
      <w:sz w:val="28"/>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5"/>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065F18"/>
    <w:pPr>
      <w:numPr>
        <w:numId w:val="15"/>
      </w:numPr>
      <w:outlineLvl w:val="5"/>
    </w:pPr>
  </w:style>
  <w:style w:type="paragraph" w:customStyle="1" w:styleId="Headingnumbered2">
    <w:name w:val="Heading numbered 2"/>
    <w:basedOn w:val="Heading2"/>
    <w:next w:val="Normal"/>
    <w:uiPriority w:val="1"/>
    <w:semiHidden/>
    <w:rsid w:val="00065F18"/>
    <w:pPr>
      <w:numPr>
        <w:ilvl w:val="1"/>
        <w:numId w:val="15"/>
      </w:numPr>
      <w:outlineLvl w:val="6"/>
    </w:pPr>
  </w:style>
  <w:style w:type="paragraph" w:customStyle="1" w:styleId="Headingnumbered3">
    <w:name w:val="Heading numbered 3"/>
    <w:basedOn w:val="Normal"/>
    <w:next w:val="Normal"/>
    <w:uiPriority w:val="1"/>
    <w:semiHidden/>
    <w:rsid w:val="00065F18"/>
    <w:pPr>
      <w:numPr>
        <w:ilvl w:val="2"/>
        <w:numId w:val="15"/>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065F18"/>
    <w:pPr>
      <w:numPr>
        <w:ilvl w:val="3"/>
        <w:numId w:val="15"/>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unhideWhenUsed/>
    <w:rsid w:val="00065F18"/>
    <w:pPr>
      <w:numPr>
        <w:ilvl w:val="2"/>
        <w:numId w:val="25"/>
      </w:numPr>
      <w:spacing w:after="120"/>
    </w:pPr>
  </w:style>
  <w:style w:type="paragraph" w:customStyle="1" w:styleId="Numberedpara1level4i">
    <w:name w:val="Numbered para (1) level 4 (i)"/>
    <w:basedOn w:val="Normal"/>
    <w:semiHidden/>
    <w:unhideWhenUsed/>
    <w:rsid w:val="00065F18"/>
    <w:pPr>
      <w:numPr>
        <w:ilvl w:val="3"/>
        <w:numId w:val="25"/>
      </w:numPr>
      <w:spacing w:after="120"/>
    </w:pPr>
  </w:style>
  <w:style w:type="paragraph" w:customStyle="1" w:styleId="Bullet">
    <w:name w:val="Bullet"/>
    <w:basedOn w:val="Normal"/>
    <w:rsid w:val="00065F18"/>
    <w:pPr>
      <w:numPr>
        <w:numId w:val="16"/>
      </w:numPr>
      <w:spacing w:before="80" w:after="80"/>
    </w:pPr>
    <w:rPr>
      <w:noProof/>
    </w:rPr>
  </w:style>
  <w:style w:type="paragraph" w:customStyle="1" w:styleId="Bulletlevel2">
    <w:name w:val="Bullet level 2"/>
    <w:basedOn w:val="Normal"/>
    <w:uiPriority w:val="1"/>
    <w:semiHidden/>
    <w:rsid w:val="00065F18"/>
    <w:pPr>
      <w:numPr>
        <w:ilvl w:val="1"/>
        <w:numId w:val="16"/>
      </w:numPr>
      <w:spacing w:before="80" w:after="80"/>
    </w:pPr>
  </w:style>
  <w:style w:type="paragraph" w:customStyle="1" w:styleId="Bulletlevel3">
    <w:name w:val="Bullet level 3"/>
    <w:basedOn w:val="Normal"/>
    <w:uiPriority w:val="1"/>
    <w:semiHidden/>
    <w:rsid w:val="00065F18"/>
    <w:pPr>
      <w:numPr>
        <w:ilvl w:val="2"/>
        <w:numId w:val="16"/>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21"/>
      </w:numPr>
      <w:spacing w:before="80" w:after="80"/>
    </w:pPr>
  </w:style>
  <w:style w:type="paragraph" w:customStyle="1" w:styleId="List123">
    <w:name w:val="List 1 2 3"/>
    <w:basedOn w:val="Normal"/>
    <w:rsid w:val="00065F18"/>
    <w:pPr>
      <w:numPr>
        <w:numId w:val="22"/>
      </w:numPr>
      <w:spacing w:before="80" w:after="80"/>
    </w:pPr>
  </w:style>
  <w:style w:type="paragraph" w:styleId="FootnoteText">
    <w:name w:val="footnote text"/>
    <w:basedOn w:val="Normal"/>
    <w:link w:val="FootnoteTextChar"/>
    <w:rsid w:val="00065F18"/>
    <w:pPr>
      <w:spacing w:before="60" w:after="60" w:line="192" w:lineRule="auto"/>
      <w:ind w:left="130" w:hanging="130"/>
    </w:pPr>
    <w:rPr>
      <w:sz w:val="20"/>
      <w:szCs w:val="20"/>
    </w:rPr>
  </w:style>
  <w:style w:type="character" w:styleId="FootnoteReference">
    <w:name w:val="footnote reference"/>
    <w:rsid w:val="00065F18"/>
    <w:rPr>
      <w:rFonts w:ascii="Calibri" w:hAnsi="Calibri"/>
      <w:sz w:val="24"/>
      <w:vertAlign w:val="superscript"/>
    </w:rPr>
  </w:style>
  <w:style w:type="paragraph" w:styleId="TOC1">
    <w:name w:val="toc 1"/>
    <w:basedOn w:val="Normal"/>
    <w:next w:val="Normal"/>
    <w:uiPriority w:val="39"/>
    <w:rsid w:val="0037298A"/>
    <w:pPr>
      <w:tabs>
        <w:tab w:val="right" w:leader="dot" w:pos="9072"/>
      </w:tabs>
      <w:spacing w:before="200" w:after="60"/>
      <w:ind w:right="567"/>
    </w:pPr>
    <w:rPr>
      <w:color w:val="000000" w:themeColor="text1"/>
    </w:rPr>
  </w:style>
  <w:style w:type="paragraph" w:styleId="TOC2">
    <w:name w:val="toc 2"/>
    <w:basedOn w:val="Normal"/>
    <w:next w:val="Normal"/>
    <w:uiPriority w:val="39"/>
    <w:rsid w:val="00473E2F"/>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065F18"/>
    <w:pPr>
      <w:spacing w:before="40" w:after="40"/>
    </w:pPr>
    <w:rPr>
      <w:b/>
      <w:color w:val="FFFFFF" w:themeColor="background1"/>
      <w:sz w:val="22"/>
    </w:rPr>
  </w:style>
  <w:style w:type="character" w:customStyle="1" w:styleId="Heading2Char">
    <w:name w:val="Heading 2 Char"/>
    <w:basedOn w:val="DefaultParagraphFont"/>
    <w:link w:val="Heading2"/>
    <w:rsid w:val="00E52276"/>
    <w:rPr>
      <w:rFonts w:eastAsiaTheme="minorHAnsi"/>
      <w:b/>
      <w:i/>
      <w:sz w:val="26"/>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7"/>
      </w:numPr>
    </w:pPr>
  </w:style>
  <w:style w:type="paragraph" w:customStyle="1" w:styleId="Tablebulletlevel2">
    <w:name w:val="Table bullet level 2"/>
    <w:basedOn w:val="Tablenormal0"/>
    <w:uiPriority w:val="99"/>
    <w:semiHidden/>
    <w:rsid w:val="00065F18"/>
    <w:pPr>
      <w:numPr>
        <w:ilvl w:val="1"/>
        <w:numId w:val="17"/>
      </w:numPr>
    </w:pPr>
  </w:style>
  <w:style w:type="paragraph" w:customStyle="1" w:styleId="TableBulletListLevel3">
    <w:name w:val="Table Bullet List Level 3"/>
    <w:basedOn w:val="BodyTextTable"/>
    <w:uiPriority w:val="11"/>
    <w:semiHidden/>
    <w:rsid w:val="00065F18"/>
    <w:pPr>
      <w:numPr>
        <w:ilvl w:val="2"/>
        <w:numId w:val="17"/>
      </w:numPr>
      <w:spacing w:before="60" w:after="60"/>
    </w:pPr>
  </w:style>
  <w:style w:type="paragraph" w:customStyle="1" w:styleId="Tablelist123">
    <w:name w:val="Table list 1 2 3"/>
    <w:basedOn w:val="Tablenormal0"/>
    <w:rsid w:val="00065F18"/>
    <w:pPr>
      <w:numPr>
        <w:numId w:val="19"/>
      </w:numPr>
    </w:pPr>
  </w:style>
  <w:style w:type="paragraph" w:customStyle="1" w:styleId="Tablelist123level2">
    <w:name w:val="Table list 1 2 3 level 2"/>
    <w:basedOn w:val="Tablenormal0"/>
    <w:semiHidden/>
    <w:rsid w:val="00065F18"/>
    <w:pPr>
      <w:numPr>
        <w:ilvl w:val="1"/>
        <w:numId w:val="19"/>
      </w:numPr>
    </w:pPr>
  </w:style>
  <w:style w:type="character" w:customStyle="1" w:styleId="Heading4Char">
    <w:name w:val="Heading 4 Char"/>
    <w:basedOn w:val="DefaultParagraphFont"/>
    <w:link w:val="Heading4"/>
    <w:semiHidden/>
    <w:rsid w:val="00264E9B"/>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8"/>
      </w:numPr>
    </w:pPr>
  </w:style>
  <w:style w:type="paragraph" w:customStyle="1" w:styleId="BodyTextTableLevel2">
    <w:name w:val="Body Text Table Level 2"/>
    <w:basedOn w:val="BodyTextTable"/>
    <w:uiPriority w:val="11"/>
    <w:semiHidden/>
    <w:rsid w:val="00065F18"/>
    <w:pPr>
      <w:numPr>
        <w:ilvl w:val="1"/>
        <w:numId w:val="18"/>
      </w:numPr>
    </w:pPr>
  </w:style>
  <w:style w:type="paragraph" w:customStyle="1" w:styleId="BodyTextTableLevel3">
    <w:name w:val="Body Text Table Level 3"/>
    <w:basedOn w:val="BodyTextTable"/>
    <w:uiPriority w:val="11"/>
    <w:semiHidden/>
    <w:rsid w:val="00065F18"/>
    <w:pPr>
      <w:numPr>
        <w:ilvl w:val="3"/>
        <w:numId w:val="19"/>
      </w:numPr>
    </w:pPr>
  </w:style>
  <w:style w:type="paragraph" w:styleId="Caption">
    <w:name w:val="caption"/>
    <w:basedOn w:val="Normal"/>
    <w:next w:val="Normal"/>
    <w:qFormat/>
    <w:rsid w:val="00662410"/>
    <w:pPr>
      <w:spacing w:before="80" w:after="80"/>
      <w:ind w:left="567"/>
    </w:pPr>
    <w:rPr>
      <w:b/>
      <w:bCs/>
      <w:sz w:val="22"/>
      <w:szCs w:val="20"/>
    </w:rPr>
  </w:style>
  <w:style w:type="paragraph" w:customStyle="1" w:styleId="WhiteSpace">
    <w:name w:val="White Space"/>
    <w:basedOn w:val="Normal"/>
    <w:uiPriority w:val="99"/>
    <w:semiHidden/>
    <w:rsid w:val="00065F18"/>
    <w:rPr>
      <w:sz w:val="12"/>
    </w:rPr>
  </w:style>
  <w:style w:type="paragraph" w:customStyle="1" w:styleId="Headingappendix">
    <w:name w:val="Heading appendix"/>
    <w:basedOn w:val="Heading1"/>
    <w:next w:val="Normal"/>
    <w:rsid w:val="001D5EC0"/>
    <w:pPr>
      <w:pageBreakBefore/>
      <w:numPr>
        <w:numId w:val="20"/>
      </w:numPr>
      <w:tabs>
        <w:tab w:val="left" w:pos="2268"/>
      </w:tabs>
      <w:spacing w:before="0"/>
      <w:outlineLvl w:val="7"/>
    </w:pPr>
    <w:rPr>
      <w:color w:val="000000" w:themeColor="text1"/>
    </w:rPr>
  </w:style>
  <w:style w:type="paragraph" w:customStyle="1" w:styleId="NotforContentsheading1">
    <w:name w:val="Not for Contents heading 1"/>
    <w:basedOn w:val="Normal"/>
    <w:next w:val="Normal"/>
    <w:rsid w:val="008C2D6D"/>
    <w:pPr>
      <w:spacing w:before="400"/>
    </w:pPr>
    <w:rPr>
      <w:b/>
      <w:color w:val="000000" w:themeColor="text1"/>
      <w:sz w:val="48"/>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21"/>
      </w:numPr>
      <w:spacing w:before="80" w:after="80"/>
    </w:pPr>
  </w:style>
  <w:style w:type="paragraph" w:customStyle="1" w:styleId="NotforContentsheading2">
    <w:name w:val="Not for Contents heading 2"/>
    <w:basedOn w:val="Normal"/>
    <w:next w:val="Normal"/>
    <w:rsid w:val="00B84E9B"/>
    <w:pPr>
      <w:spacing w:after="120"/>
    </w:pPr>
    <w:rPr>
      <w:b/>
      <w:sz w:val="32"/>
    </w:rPr>
  </w:style>
  <w:style w:type="character" w:customStyle="1" w:styleId="Heading3Char">
    <w:name w:val="Heading 3 Char"/>
    <w:link w:val="Heading3"/>
    <w:rsid w:val="00E52276"/>
    <w:rPr>
      <w:rFonts w:eastAsiaTheme="minorHAnsi" w:cs="Arial"/>
      <w:bCs/>
      <w:i/>
      <w:sz w:val="26"/>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Bullet"/>
    <w:uiPriority w:val="34"/>
    <w:qFormat/>
    <w:rsid w:val="00065F18"/>
    <w:pPr>
      <w:numPr>
        <w:numId w:val="14"/>
      </w:numPr>
    </w:pPr>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Footersecurityclassification">
    <w:name w:val="Footer security classification"/>
    <w:basedOn w:val="Footer"/>
    <w:qFormat/>
    <w:rsid w:val="001D5EC0"/>
    <w:rPr>
      <w:i w:val="0"/>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21"/>
      </w:numPr>
      <w:spacing w:before="80" w:after="80"/>
    </w:pPr>
  </w:style>
  <w:style w:type="paragraph" w:customStyle="1" w:styleId="List123level2">
    <w:name w:val="List 1 2 3 level 2"/>
    <w:basedOn w:val="Normal"/>
    <w:uiPriority w:val="1"/>
    <w:semiHidden/>
    <w:qFormat/>
    <w:rsid w:val="00065F18"/>
    <w:pPr>
      <w:numPr>
        <w:ilvl w:val="1"/>
        <w:numId w:val="22"/>
      </w:numPr>
    </w:pPr>
  </w:style>
  <w:style w:type="paragraph" w:customStyle="1" w:styleId="List123level3">
    <w:name w:val="List 1 2 3 level 3"/>
    <w:basedOn w:val="Normal"/>
    <w:uiPriority w:val="1"/>
    <w:semiHidden/>
    <w:qFormat/>
    <w:rsid w:val="00065F18"/>
    <w:pPr>
      <w:numPr>
        <w:ilvl w:val="2"/>
        <w:numId w:val="22"/>
      </w:numPr>
    </w:pPr>
  </w:style>
  <w:style w:type="paragraph" w:customStyle="1" w:styleId="Legislationsection">
    <w:name w:val="Legislation section"/>
    <w:basedOn w:val="Normal"/>
    <w:semiHidden/>
    <w:qFormat/>
    <w:rsid w:val="00065F18"/>
    <w:pPr>
      <w:numPr>
        <w:numId w:val="24"/>
      </w:numPr>
      <w:tabs>
        <w:tab w:val="left" w:pos="567"/>
      </w:tabs>
      <w:spacing w:after="60"/>
    </w:pPr>
    <w:rPr>
      <w:b/>
      <w:sz w:val="22"/>
    </w:rPr>
  </w:style>
  <w:style w:type="paragraph" w:customStyle="1" w:styleId="Legislationnumber">
    <w:name w:val="Legislation number"/>
    <w:basedOn w:val="Normal"/>
    <w:semiHidden/>
    <w:qFormat/>
    <w:rsid w:val="00065F18"/>
    <w:pPr>
      <w:numPr>
        <w:numId w:val="23"/>
      </w:numPr>
      <w:tabs>
        <w:tab w:val="left" w:pos="567"/>
      </w:tabs>
      <w:spacing w:before="60" w:after="60"/>
    </w:pPr>
    <w:rPr>
      <w:sz w:val="22"/>
    </w:rPr>
  </w:style>
  <w:style w:type="paragraph" w:customStyle="1" w:styleId="Legislationa">
    <w:name w:val="Legislation (a)"/>
    <w:basedOn w:val="Normal"/>
    <w:semiHidden/>
    <w:qFormat/>
    <w:rsid w:val="00065F18"/>
    <w:pPr>
      <w:numPr>
        <w:ilvl w:val="2"/>
        <w:numId w:val="24"/>
      </w:numPr>
      <w:spacing w:before="60" w:after="60"/>
    </w:pPr>
    <w:rPr>
      <w:sz w:val="22"/>
    </w:rPr>
  </w:style>
  <w:style w:type="paragraph" w:customStyle="1" w:styleId="Legislationi">
    <w:name w:val="Legislation (i)"/>
    <w:basedOn w:val="Normal"/>
    <w:semiHidden/>
    <w:qFormat/>
    <w:rsid w:val="00065F18"/>
    <w:pPr>
      <w:numPr>
        <w:ilvl w:val="3"/>
        <w:numId w:val="24"/>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level1">
    <w:name w:val="Numbered para (2) level 1"/>
    <w:basedOn w:val="Normal"/>
    <w:semiHidden/>
    <w:qFormat/>
    <w:rsid w:val="00065F18"/>
    <w:pPr>
      <w:numPr>
        <w:numId w:val="26"/>
      </w:numPr>
      <w:spacing w:after="120"/>
    </w:pPr>
  </w:style>
  <w:style w:type="paragraph" w:customStyle="1" w:styleId="Numberedpara2level2a">
    <w:name w:val="Numbered para (2) level 2 (a)"/>
    <w:basedOn w:val="Normal"/>
    <w:semiHidden/>
    <w:qFormat/>
    <w:rsid w:val="00065F18"/>
    <w:pPr>
      <w:numPr>
        <w:ilvl w:val="1"/>
        <w:numId w:val="26"/>
      </w:numPr>
      <w:spacing w:after="120"/>
    </w:pPr>
  </w:style>
  <w:style w:type="paragraph" w:customStyle="1" w:styleId="Numberedpara2level3i">
    <w:name w:val="Numbered para (2) level 3 (i)"/>
    <w:basedOn w:val="Normal"/>
    <w:semiHidden/>
    <w:qFormat/>
    <w:rsid w:val="00065F18"/>
    <w:pPr>
      <w:numPr>
        <w:ilvl w:val="2"/>
        <w:numId w:val="26"/>
      </w:numPr>
      <w:spacing w:after="120"/>
    </w:pPr>
  </w:style>
  <w:style w:type="paragraph" w:customStyle="1" w:styleId="Title2">
    <w:name w:val="Title 2"/>
    <w:basedOn w:val="Title"/>
    <w:qFormat/>
    <w:rsid w:val="00065F18"/>
    <w:rPr>
      <w:sz w:val="52"/>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Headersecurityclassification">
    <w:name w:val="Header security classification"/>
    <w:basedOn w:val="DefaultParagraphFont"/>
    <w:uiPriority w:val="1"/>
    <w:qFormat/>
    <w:rsid w:val="001D5EC0"/>
    <w:rPr>
      <w:rFonts w:ascii="Calibri" w:hAnsi="Calibri"/>
      <w:b/>
      <w:i w:val="0"/>
      <w:caps/>
      <w:smallCaps w:val="0"/>
      <w:color w:val="000000" w:themeColor="text1"/>
      <w:sz w:val="22"/>
    </w:rPr>
  </w:style>
  <w:style w:type="paragraph" w:customStyle="1" w:styleId="Numberedpara1level211">
    <w:name w:val="Numbered para (1) level 2 (1.1)"/>
    <w:basedOn w:val="Normal"/>
    <w:semiHidden/>
    <w:unhideWhenUsed/>
    <w:rsid w:val="00065F18"/>
    <w:pPr>
      <w:numPr>
        <w:ilvl w:val="1"/>
        <w:numId w:val="25"/>
      </w:numPr>
      <w:spacing w:after="120"/>
    </w:pPr>
  </w:style>
  <w:style w:type="paragraph" w:customStyle="1" w:styleId="Numberedpara11headingwithnumber">
    <w:name w:val="Numbered para (1) 1 (heading with number)"/>
    <w:basedOn w:val="Normal"/>
    <w:semiHidden/>
    <w:unhideWhenUsed/>
    <w:qFormat/>
    <w:rsid w:val="00065F18"/>
    <w:pPr>
      <w:numPr>
        <w:numId w:val="25"/>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FinancialtableLHC">
    <w:name w:val="Financial table LHC"/>
    <w:basedOn w:val="Normal"/>
    <w:semiHidden/>
    <w:qFormat/>
    <w:rsid w:val="00A5302B"/>
    <w:pPr>
      <w:spacing w:before="0" w:after="0"/>
      <w:contextualSpacing/>
    </w:pPr>
    <w:rPr>
      <w:sz w:val="22"/>
    </w:rPr>
  </w:style>
  <w:style w:type="paragraph" w:customStyle="1" w:styleId="Financialtablefigures">
    <w:name w:val="Financial table figures"/>
    <w:basedOn w:val="FinancialtableLHC"/>
    <w:semiHidden/>
    <w:qFormat/>
    <w:rsid w:val="00A5302B"/>
    <w:pPr>
      <w:jc w:val="right"/>
    </w:pPr>
  </w:style>
  <w:style w:type="paragraph" w:customStyle="1" w:styleId="Financialtableyears">
    <w:name w:val="Financial table years"/>
    <w:basedOn w:val="Financialtablefigures"/>
    <w:semiHidden/>
    <w:qFormat/>
    <w:rsid w:val="00A5302B"/>
    <w:pPr>
      <w:jc w:val="center"/>
    </w:pPr>
    <w:rPr>
      <w:b/>
      <w:sz w:val="20"/>
    </w:rPr>
  </w:style>
  <w:style w:type="paragraph" w:customStyle="1" w:styleId="Tablesource">
    <w:name w:val="Table source"/>
    <w:basedOn w:val="Normal"/>
    <w:qFormat/>
    <w:rsid w:val="00662410"/>
    <w:pPr>
      <w:spacing w:before="80" w:after="120"/>
      <w:ind w:left="567"/>
    </w:pPr>
    <w:rPr>
      <w:sz w:val="22"/>
    </w:rPr>
  </w:style>
  <w:style w:type="paragraph" w:customStyle="1" w:styleId="Numberedpara3subheading">
    <w:name w:val="Numbered para (3) subheading"/>
    <w:basedOn w:val="Normal"/>
    <w:next w:val="Normal"/>
    <w:semiHidden/>
    <w:qFormat/>
    <w:rsid w:val="0088686D"/>
    <w:pPr>
      <w:spacing w:before="240" w:after="120"/>
    </w:pPr>
    <w:rPr>
      <w:b/>
      <w:i/>
    </w:rPr>
  </w:style>
  <w:style w:type="paragraph" w:customStyle="1" w:styleId="Numberedpara3level1">
    <w:name w:val="Numbered para (3) level 1"/>
    <w:basedOn w:val="Normal"/>
    <w:qFormat/>
    <w:rsid w:val="0088686D"/>
    <w:pPr>
      <w:numPr>
        <w:numId w:val="27"/>
      </w:numPr>
      <w:spacing w:after="120"/>
    </w:pPr>
  </w:style>
  <w:style w:type="paragraph" w:customStyle="1" w:styleId="Numberedpara3level211">
    <w:name w:val="Numbered para (3) level 2 (1.1)"/>
    <w:basedOn w:val="Normal"/>
    <w:qFormat/>
    <w:rsid w:val="0088686D"/>
    <w:pPr>
      <w:spacing w:after="120"/>
    </w:pPr>
  </w:style>
  <w:style w:type="paragraph" w:customStyle="1" w:styleId="Numberedpara3level3111">
    <w:name w:val="Numbered para (3) level 3 (1.1.1)"/>
    <w:basedOn w:val="Normal"/>
    <w:qFormat/>
    <w:rsid w:val="0088686D"/>
    <w:pPr>
      <w:numPr>
        <w:ilvl w:val="2"/>
        <w:numId w:val="27"/>
      </w:numPr>
      <w:spacing w:after="120"/>
    </w:pPr>
  </w:style>
  <w:style w:type="paragraph" w:customStyle="1" w:styleId="Numberedpara3heading">
    <w:name w:val="Numbered para (3) heading"/>
    <w:basedOn w:val="Normal"/>
    <w:semiHidden/>
    <w:qFormat/>
    <w:rsid w:val="0088686D"/>
    <w:pPr>
      <w:keepNext/>
      <w:spacing w:before="200" w:after="120"/>
    </w:pPr>
    <w:rPr>
      <w:b/>
    </w:rPr>
  </w:style>
  <w:style w:type="table" w:customStyle="1" w:styleId="RIS">
    <w:name w:val="__RIS"/>
    <w:basedOn w:val="TableNormal"/>
    <w:uiPriority w:val="99"/>
    <w:rsid w:val="00FB0E14"/>
    <w:pPr>
      <w:spacing w:before="56" w:after="32"/>
    </w:pPr>
    <w:rPr>
      <w:rFonts w:eastAsiaTheme="minorHAnsi" w:cstheme="minorBidi"/>
      <w:sz w:val="22"/>
      <w:lang w:eastAsia="en-US"/>
    </w:rPr>
    <w:tblPr>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trPr>
      <w:cantSplit/>
    </w:trPr>
    <w:tblStylePr w:type="firstRow">
      <w:pPr>
        <w:wordWrap/>
        <w:spacing w:beforeLines="0" w:before="60" w:beforeAutospacing="0" w:afterLines="0" w:after="24" w:afterAutospacing="0" w:line="240" w:lineRule="auto"/>
        <w:contextualSpacing w:val="0"/>
      </w:pPr>
      <w:rPr>
        <w:rFonts w:ascii="Calibri" w:hAnsi="Calibri"/>
        <w:b/>
        <w:color w:val="FFFFFF" w:themeColor="background1"/>
        <w:sz w:val="22"/>
      </w:rPr>
      <w:tblPr/>
      <w:trPr>
        <w:tblHeader/>
      </w:trPr>
      <w:tcPr>
        <w:tcBorders>
          <w:top w:val="single" w:sz="12" w:space="0" w:color="000000" w:themeColor="text1"/>
          <w:left w:val="single" w:sz="12" w:space="0" w:color="000000" w:themeColor="text1"/>
          <w:bottom w:val="nil"/>
          <w:right w:val="single" w:sz="12" w:space="0" w:color="000000" w:themeColor="text1"/>
          <w:insideH w:val="single" w:sz="6" w:space="0" w:color="FFFFFF" w:themeColor="background1"/>
          <w:insideV w:val="single" w:sz="6" w:space="0" w:color="FFFFFF" w:themeColor="background1"/>
          <w:tl2br w:val="nil"/>
          <w:tr2bl w:val="nil"/>
        </w:tcBorders>
        <w:shd w:val="clear" w:color="auto" w:fill="000000" w:themeFill="text1"/>
      </w:tcPr>
    </w:tblStylePr>
  </w:style>
  <w:style w:type="character" w:customStyle="1" w:styleId="Crossreferences">
    <w:name w:val="Cross references"/>
    <w:basedOn w:val="DefaultParagraphFont"/>
    <w:uiPriority w:val="1"/>
    <w:qFormat/>
    <w:rsid w:val="00E52276"/>
    <w:rPr>
      <w:i/>
      <w:u w:val="single"/>
    </w:rPr>
  </w:style>
  <w:style w:type="character" w:customStyle="1" w:styleId="FootnoteTextChar">
    <w:name w:val="Footnote Text Char"/>
    <w:link w:val="FootnoteText"/>
    <w:rsid w:val="00931013"/>
    <w:rPr>
      <w:rFonts w:eastAsiaTheme="minorHAnsi"/>
      <w:sz w:val="20"/>
      <w:szCs w:val="20"/>
      <w:lang w:eastAsia="en-US"/>
    </w:rPr>
  </w:style>
  <w:style w:type="table" w:customStyle="1" w:styleId="DIATable">
    <w:name w:val="_DIA Table"/>
    <w:basedOn w:val="TableNormal"/>
    <w:uiPriority w:val="99"/>
    <w:rsid w:val="00AC6181"/>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paragraph" w:styleId="CommentText">
    <w:name w:val="annotation text"/>
    <w:basedOn w:val="Normal"/>
    <w:link w:val="CommentTextChar"/>
    <w:uiPriority w:val="99"/>
    <w:semiHidden/>
    <w:unhideWhenUsed/>
    <w:rsid w:val="00C84257"/>
    <w:rPr>
      <w:sz w:val="20"/>
      <w:szCs w:val="20"/>
    </w:rPr>
  </w:style>
  <w:style w:type="character" w:customStyle="1" w:styleId="CommentTextChar">
    <w:name w:val="Comment Text Char"/>
    <w:basedOn w:val="DefaultParagraphFont"/>
    <w:link w:val="CommentText"/>
    <w:uiPriority w:val="99"/>
    <w:semiHidden/>
    <w:rsid w:val="00C84257"/>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C84257"/>
    <w:rPr>
      <w:b/>
      <w:bCs/>
    </w:rPr>
  </w:style>
  <w:style w:type="character" w:customStyle="1" w:styleId="CommentSubjectChar">
    <w:name w:val="Comment Subject Char"/>
    <w:basedOn w:val="CommentTextChar"/>
    <w:link w:val="CommentSubject"/>
    <w:uiPriority w:val="99"/>
    <w:semiHidden/>
    <w:rsid w:val="00C84257"/>
    <w:rPr>
      <w:rFonts w:eastAsiaTheme="minorHAnsi"/>
      <w:b/>
      <w:bCs/>
      <w:sz w:val="20"/>
      <w:szCs w:val="20"/>
      <w:lang w:eastAsia="en-US"/>
    </w:rPr>
  </w:style>
  <w:style w:type="paragraph" w:customStyle="1" w:styleId="NumbersLevel1">
    <w:name w:val="Numbers Level 1"/>
    <w:basedOn w:val="BodyText"/>
    <w:rsid w:val="00B4775B"/>
    <w:pPr>
      <w:keepLines w:val="0"/>
      <w:tabs>
        <w:tab w:val="num" w:pos="709"/>
      </w:tabs>
      <w:spacing w:before="0" w:line="280" w:lineRule="atLeast"/>
      <w:ind w:left="709" w:hanging="709"/>
      <w:jc w:val="both"/>
    </w:pPr>
    <w:rPr>
      <w:rFonts w:ascii="Arial" w:eastAsia="Times New Roman"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30155">
      <w:bodyDiv w:val="1"/>
      <w:marLeft w:val="0"/>
      <w:marRight w:val="0"/>
      <w:marTop w:val="0"/>
      <w:marBottom w:val="0"/>
      <w:divBdr>
        <w:top w:val="none" w:sz="0" w:space="0" w:color="auto"/>
        <w:left w:val="none" w:sz="0" w:space="0" w:color="auto"/>
        <w:bottom w:val="none" w:sz="0" w:space="0" w:color="auto"/>
        <w:right w:val="none" w:sz="0" w:space="0" w:color="auto"/>
      </w:divBdr>
    </w:div>
    <w:div w:id="74876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lgprdfile02.dia.govt.nz\shared$\diatemplates\templates\Other%20Templates\Ministerial%20Templates\Cabinet%20papers\Regulatory%20impact%20statement.dotx" TargetMode="Externa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971A"/>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DIANotes xmlns="c648a002-e47e-48ed-a207-3b8ce1d893d3" xsi:nil="true"/>
    <TaxCatchAll xmlns="c648a002-e47e-48ed-a207-3b8ce1d893d3">
      <Value>58</Value>
      <Value>2</Value>
      <Value>1</Value>
    </TaxCatchAll>
    <DIAReferenceNumber xmlns="c648a002-e47e-48ed-a207-3b8ce1d893d3" xsi:nil="true"/>
    <ea3c6b56d556460fbeed1cb795bcbdf8 xmlns="c648a002-e47e-48ed-a207-3b8ce1d893d3">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a3c6b56d556460fbeed1cb795bcbdf8>
    <ne5f47e8ab014cf1a0e7ab674d56d1d4 xmlns="c648a002-e47e-48ed-a207-3b8ce1d893d3">
      <Terms xmlns="http://schemas.microsoft.com/office/infopath/2007/PartnerControls"/>
    </ne5f47e8ab014cf1a0e7ab674d56d1d4>
    <TaxKeywordTaxHTField xmlns="c648a002-e47e-48ed-a207-3b8ce1d893d3">
      <Terms xmlns="http://schemas.microsoft.com/office/infopath/2007/PartnerControls"/>
    </TaxKeywordTaxHTField>
    <abd14fc118d74ac191cda88615a8467c xmlns="c648a002-e47e-48ed-a207-3b8ce1d893d3">
      <Terms xmlns="http://schemas.microsoft.com/office/infopath/2007/PartnerControls">
        <TermInfo xmlns="http://schemas.microsoft.com/office/infopath/2007/PartnerControls">
          <TermName xmlns="http://schemas.microsoft.com/office/infopath/2007/PartnerControls">Reference</TermName>
          <TermId xmlns="http://schemas.microsoft.com/office/infopath/2007/PartnerControls">f1e4c8d9-6c5d-427d-ac8f-8edbeb582d14</TermId>
        </TermInfo>
      </Terms>
    </abd14fc118d74ac191cda88615a8467c>
    <ibcdf046507a4866915a2e2c01cb5df8 xmlns="c648a002-e47e-48ed-a207-3b8ce1d893d3">
      <Terms xmlns="http://schemas.microsoft.com/office/infopath/2007/PartnerControls"/>
    </ibcdf046507a4866915a2e2c01cb5df8>
    <_dlc_DocId xmlns="c648a002-e47e-48ed-a207-3b8ce1d893d3">YXQARP2T7VWH-63-23</_dlc_DocId>
    <_dlc_DocIdUrl xmlns="c648a002-e47e-48ed-a207-3b8ce1d893d3">
      <Url>https://dia.cohesion.net.nz/Sites/GMB/PLM/PLI/CSG/_layouts/15/DocIdRedir.aspx?ID=YXQARP2T7VWH-63-23</Url>
      <Description>YXQARP2T7VWH-63-23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49660294334AA143926F4E305B5A274C" ma:contentTypeVersion="7" ma:contentTypeDescription="Administration Document" ma:contentTypeScope="" ma:versionID="40a758acadf0dec630e37520080fbc5d">
  <xsd:schema xmlns:xsd="http://www.w3.org/2001/XMLSchema" xmlns:xs="http://www.w3.org/2001/XMLSchema" xmlns:p="http://schemas.microsoft.com/office/2006/metadata/properties" xmlns:ns3="01be4277-2979-4a68-876d-b92b25fceece" xmlns:ns4="c648a002-e47e-48ed-a207-3b8ce1d893d3" targetNamespace="http://schemas.microsoft.com/office/2006/metadata/properties" ma:root="true" ma:fieldsID="313f51da7e74a5993f4c1f7ead8697ad" ns3:_="" ns4:_="">
    <xsd:import namespace="01be4277-2979-4a68-876d-b92b25fceece"/>
    <xsd:import namespace="c648a002-e47e-48ed-a207-3b8ce1d893d3"/>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abd14fc118d74ac191cda88615a8467c" minOccurs="0"/>
                <xsd:element ref="ns4:ea3c6b56d556460fbeed1cb795bcbdf8" minOccurs="0"/>
                <xsd:element ref="ns4:DIANotes" minOccurs="0"/>
                <xsd:element ref="ns4:_dlc_DocId" minOccurs="0"/>
                <xsd:element ref="ns4:_dlc_DocIdUrl" minOccurs="0"/>
                <xsd:element ref="ns4:_dlc_DocIdPersistId" minOccurs="0"/>
                <xsd:element ref="ns4:ne5f47e8ab014cf1a0e7ab674d56d1d4" minOccurs="0"/>
                <xsd:element ref="ns4:ibcdf046507a4866915a2e2c01cb5df8" minOccurs="0"/>
                <xsd:element ref="ns4:DIAReference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93895e98-8daa-4392-8163-da238c93d801" ma:anchorId="978073f0-d730-4e80-b383-365c25da5311"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48a002-e47e-48ed-a207-3b8ce1d893d3"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95d9ccfa-b826-4801-901a-dfd490111967}" ma:internalName="TaxCatchAll" ma:showField="CatchAllData"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5d9ccfa-b826-4801-901a-dfd490111967}" ma:internalName="TaxCatchAllLabel" ma:readOnly="true" ma:showField="CatchAllDataLabel" ma:web="c648a002-e47e-48ed-a207-3b8ce1d893d3">
      <xsd:complexType>
        <xsd:complexContent>
          <xsd:extension base="dms:MultiChoiceLookup">
            <xsd:sequence>
              <xsd:element name="Value" type="dms:Lookup" maxOccurs="unbounded" minOccurs="0" nillable="true"/>
            </xsd:sequence>
          </xsd:extension>
        </xsd:complexContent>
      </xsd:complexType>
    </xsd:element>
    <xsd:element name="abd14fc118d74ac191cda88615a8467c" ma:index="14" ma:taxonomy="true" ma:internalName="abd14fc118d74ac191cda88615a8467c" ma:taxonomyFieldName="DIAAdministrationDocumentType" ma:displayName="Administration Document Type" ma:fieldId="{abd14fc1-18d7-4ac1-91cd-a88615a8467c}"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a3c6b56d556460fbeed1cb795bcbdf8" ma:index="16" ma:taxonomy="true" ma:internalName="ea3c6b56d556460fbeed1cb795bcbdf8" ma:taxonomyFieldName="DIASecurityClassification" ma:displayName="Security Classification" ma:default="2;#UNCLASSIFIED|875d92a8-67e2-4a32-9472-8fe99549e1eb" ma:fieldId="{ea3c6b56-d556-460f-beed-1cb795bcbdf8}"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ne5f47e8ab014cf1a0e7ab674d56d1d4" ma:index="23" nillable="true" ma:taxonomy="true" ma:internalName="ne5f47e8ab014cf1a0e7ab674d56d1d4" ma:taxonomyFieldName="DIALegislation" ma:displayName="Legislation" ma:fieldId="{7e5f47e8-ab01-4cf1-a0e7-ab674d56d1d4}"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ibcdf046507a4866915a2e2c01cb5df8" ma:index="25" nillable="true" ma:taxonomy="true" ma:internalName="ibcdf046507a4866915a2e2c01cb5df8" ma:taxonomyFieldName="DIAPortfolio" ma:displayName="Portfolio" ma:fieldId="{2bcdf046-507a-4866-915a-2e2c01cb5df8}"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6" nillable="true" ma:displayName="Reference Number" ma:description="Use to specify the reference number" ma:internalName="DIAReferenceNumb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2884-AAEB-4739-BFFF-6CF03DF4E0B3}">
  <ds:schemaRefs>
    <ds:schemaRef ds:uri="http://www.w3.org/XML/1998/namespace"/>
    <ds:schemaRef ds:uri="http://schemas.microsoft.com/office/2006/metadata/properties"/>
    <ds:schemaRef ds:uri="http://purl.org/dc/elements/1.1/"/>
    <ds:schemaRef ds:uri="http://purl.org/dc/terms/"/>
    <ds:schemaRef ds:uri="http://purl.org/dc/dcmitype/"/>
    <ds:schemaRef ds:uri="http://schemas.microsoft.com/office/2006/documentManagement/types"/>
    <ds:schemaRef ds:uri="http://schemas.openxmlformats.org/package/2006/metadata/core-properties"/>
    <ds:schemaRef ds:uri="c648a002-e47e-48ed-a207-3b8ce1d893d3"/>
    <ds:schemaRef ds:uri="http://schemas.microsoft.com/office/infopath/2007/PartnerControls"/>
    <ds:schemaRef ds:uri="01be4277-2979-4a68-876d-b92b25fceece"/>
  </ds:schemaRefs>
</ds:datastoreItem>
</file>

<file path=customXml/itemProps2.xml><?xml version="1.0" encoding="utf-8"?>
<ds:datastoreItem xmlns:ds="http://schemas.openxmlformats.org/officeDocument/2006/customXml" ds:itemID="{C007B258-3AFE-405D-ADE4-7D06DD1F3DE4}">
  <ds:schemaRefs>
    <ds:schemaRef ds:uri="http://schemas.microsoft.com/sharepoint/v3/contenttype/forms"/>
  </ds:schemaRefs>
</ds:datastoreItem>
</file>

<file path=customXml/itemProps3.xml><?xml version="1.0" encoding="utf-8"?>
<ds:datastoreItem xmlns:ds="http://schemas.openxmlformats.org/officeDocument/2006/customXml" ds:itemID="{E3D3BA72-11EF-4D5A-977F-2CD0F081FA93}">
  <ds:schemaRefs>
    <ds:schemaRef ds:uri="http://schemas.microsoft.com/sharepoint/events"/>
  </ds:schemaRefs>
</ds:datastoreItem>
</file>

<file path=customXml/itemProps4.xml><?xml version="1.0" encoding="utf-8"?>
<ds:datastoreItem xmlns:ds="http://schemas.openxmlformats.org/officeDocument/2006/customXml" ds:itemID="{5A28D7BC-6AB5-4B57-9F36-A6BF99997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c648a002-e47e-48ed-a207-3b8ce1d893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F1084EE-C5AE-4214-BB5A-173DAC66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Regulatory impact statement</Template>
  <TotalTime>186</TotalTime>
  <Pages>18</Pages>
  <Words>4419</Words>
  <Characters>24284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28646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Trangmar</dc:creator>
  <cp:lastModifiedBy>Rachel Trangmar</cp:lastModifiedBy>
  <cp:revision>50</cp:revision>
  <cp:lastPrinted>2017-07-17T22:33:00Z</cp:lastPrinted>
  <dcterms:created xsi:type="dcterms:W3CDTF">2017-07-11T21:10:00Z</dcterms:created>
  <dcterms:modified xsi:type="dcterms:W3CDTF">2017-07-17T22:46:00Z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0x0101005496552013C0BA46BE88192D5C6EB20B00351512A5ABB74CC687DC2977C156D0BF0049660294334AA143926F4E305B5A274C</vt:lpwstr>
  </property>
  <property fmtid="{D5CDD505-2E9C-101B-9397-08002B2CF9AE}" pid="3" name="d4d88d9c404441259a20c2016d5c4fc4">
    <vt:lpwstr>Correspondence|dcd6b05f-dc80-4336-b228-09aebf3d212c</vt:lpwstr>
  </property>
  <property fmtid="{D5CDD505-2E9C-101B-9397-08002B2CF9AE}" pid="4" name="_dlc_DocIdItemGuid">
    <vt:lpwstr>d104d003-091c-4a95-a9af-6309af846358</vt:lpwstr>
  </property>
  <property fmtid="{D5CDD505-2E9C-101B-9397-08002B2CF9AE}" pid="5" name="TaxKeyword">
    <vt:lpwstr/>
  </property>
  <property fmtid="{D5CDD505-2E9C-101B-9397-08002B2CF9AE}" pid="6" name="DIALegislation">
    <vt:lpwstr/>
  </property>
  <property fmtid="{D5CDD505-2E9C-101B-9397-08002B2CF9AE}" pid="7" name="DIAAdministrationDocumentType">
    <vt:lpwstr>58;#Reference|f1e4c8d9-6c5d-427d-ac8f-8edbeb582d14</vt:lpwstr>
  </property>
  <property fmtid="{D5CDD505-2E9C-101B-9397-08002B2CF9AE}" pid="8" name="DIAPortfolio">
    <vt:lpwstr/>
  </property>
  <property fmtid="{D5CDD505-2E9C-101B-9397-08002B2CF9AE}" pid="9" name="C3Topic">
    <vt:lpwstr/>
  </property>
  <property fmtid="{D5CDD505-2E9C-101B-9397-08002B2CF9AE}" pid="10" name="DIASecurityClassification">
    <vt:lpwstr>2;#UNCLASSIFIED|875d92a8-67e2-4a32-9472-8fe99549e1eb</vt:lpwstr>
  </property>
  <property fmtid="{D5CDD505-2E9C-101B-9397-08002B2CF9AE}" pid="11" name="DIAEmailContentType">
    <vt:lpwstr>1;#Correspondence|dcd6b05f-dc80-4336-b228-09aebf3d212c</vt:lpwstr>
  </property>
</Properties>
</file>