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42" w:rsidRDefault="00932C42" w:rsidP="005E2EE4">
      <w:pPr>
        <w:pStyle w:val="Title"/>
        <w:jc w:val="both"/>
      </w:pPr>
    </w:p>
    <w:p w:rsidR="00932C42" w:rsidRDefault="00932C42" w:rsidP="005E2EE4">
      <w:pPr>
        <w:pStyle w:val="Title"/>
        <w:jc w:val="both"/>
      </w:pPr>
    </w:p>
    <w:p w:rsidR="002C55C7" w:rsidRDefault="00115DD9" w:rsidP="00A77AE8">
      <w:pPr>
        <w:pStyle w:val="Title"/>
      </w:pPr>
      <w:r>
        <w:t xml:space="preserve">Consultation: </w:t>
      </w:r>
    </w:p>
    <w:p w:rsidR="00115DD9" w:rsidRDefault="009F58AD" w:rsidP="00A77AE8">
      <w:pPr>
        <w:pStyle w:val="Title"/>
      </w:pPr>
      <w:r>
        <w:t xml:space="preserve">Account-Based </w:t>
      </w:r>
      <w:r w:rsidR="002C55C7">
        <w:t xml:space="preserve">Cashless </w:t>
      </w:r>
      <w:r w:rsidR="00015335">
        <w:t>Gambling</w:t>
      </w:r>
      <w:r w:rsidR="00D31BFA">
        <w:t xml:space="preserve"> </w:t>
      </w:r>
      <w:r w:rsidR="002C55C7">
        <w:t>in Casinos</w:t>
      </w:r>
      <w:r w:rsidR="00115DD9">
        <w:t xml:space="preserve"> </w:t>
      </w:r>
    </w:p>
    <w:p w:rsidR="00115DD9" w:rsidRDefault="00115DD9" w:rsidP="00A77AE8">
      <w:pPr>
        <w:pStyle w:val="Title"/>
      </w:pPr>
      <w:r>
        <w:t xml:space="preserve"> </w:t>
      </w:r>
    </w:p>
    <w:p w:rsidR="00115DD9" w:rsidRDefault="00115DD9" w:rsidP="00A77AE8">
      <w:pPr>
        <w:pStyle w:val="Title2"/>
      </w:pPr>
      <w:r>
        <w:t>Department of Internal Affairs</w:t>
      </w:r>
    </w:p>
    <w:p w:rsidR="00115DD9" w:rsidRDefault="00115DD9" w:rsidP="00A77AE8">
      <w:pPr>
        <w:pStyle w:val="Title2"/>
      </w:pPr>
      <w:proofErr w:type="spellStart"/>
      <w:r>
        <w:t>Te</w:t>
      </w:r>
      <w:proofErr w:type="spellEnd"/>
      <w:r>
        <w:t xml:space="preserve"> </w:t>
      </w:r>
      <w:proofErr w:type="spellStart"/>
      <w:r>
        <w:t>Tari</w:t>
      </w:r>
      <w:proofErr w:type="spellEnd"/>
      <w:r>
        <w:t xml:space="preserve"> </w:t>
      </w:r>
      <w:proofErr w:type="spellStart"/>
      <w:r>
        <w:t>Taiwhenua</w:t>
      </w:r>
      <w:proofErr w:type="spellEnd"/>
    </w:p>
    <w:p w:rsidR="00115DD9" w:rsidRDefault="00136483" w:rsidP="00A77AE8">
      <w:pPr>
        <w:pStyle w:val="Title2"/>
      </w:pPr>
      <w:r>
        <w:t>September</w:t>
      </w:r>
      <w:r w:rsidR="002C55C7">
        <w:t xml:space="preserve"> 2016</w:t>
      </w:r>
    </w:p>
    <w:p w:rsidR="00115DD9" w:rsidRPr="00932C42" w:rsidRDefault="00115DD9" w:rsidP="005E2EE4">
      <w:pPr>
        <w:keepLines w:val="0"/>
        <w:jc w:val="both"/>
        <w:rPr>
          <w:b/>
          <w:color w:val="1F546B"/>
          <w:sz w:val="52"/>
          <w:szCs w:val="80"/>
        </w:rPr>
      </w:pPr>
      <w:r>
        <w:br w:type="page"/>
      </w:r>
    </w:p>
    <w:p w:rsidR="00115DD9" w:rsidRDefault="00115DD9" w:rsidP="005E2EE4">
      <w:pPr>
        <w:pStyle w:val="Heading1"/>
        <w:numPr>
          <w:ilvl w:val="0"/>
          <w:numId w:val="30"/>
        </w:numPr>
        <w:spacing w:after="240"/>
        <w:ind w:left="567" w:hanging="567"/>
        <w:jc w:val="both"/>
      </w:pPr>
      <w:bookmarkStart w:id="0" w:name="_Toc437434761"/>
      <w:r>
        <w:lastRenderedPageBreak/>
        <w:t>What is this document about?</w:t>
      </w:r>
      <w:bookmarkEnd w:id="0"/>
    </w:p>
    <w:p w:rsidR="00115DD9" w:rsidRPr="005E1508" w:rsidRDefault="00115DD9" w:rsidP="005E2EE4">
      <w:pPr>
        <w:jc w:val="both"/>
      </w:pPr>
      <w:r w:rsidRPr="005E1508">
        <w:t xml:space="preserve">This document invites your comments about proposed changes to the Gambling Act </w:t>
      </w:r>
      <w:r w:rsidRPr="0064307B">
        <w:t>(</w:t>
      </w:r>
      <w:r w:rsidR="002C55C7" w:rsidRPr="0064307B">
        <w:t>Casino</w:t>
      </w:r>
      <w:r w:rsidRPr="0064307B">
        <w:t xml:space="preserve"> Gambling Equipment)</w:t>
      </w:r>
      <w:r>
        <w:t xml:space="preserve"> Minimum Standard. The proposed amendments would</w:t>
      </w:r>
      <w:r w:rsidR="00734953">
        <w:t xml:space="preserve"> set the standard for </w:t>
      </w:r>
      <w:r w:rsidR="004C3D4C">
        <w:t xml:space="preserve">the use of </w:t>
      </w:r>
      <w:r w:rsidR="002D124E">
        <w:t xml:space="preserve">account-based </w:t>
      </w:r>
      <w:r w:rsidR="004C3D4C">
        <w:t xml:space="preserve">cashless </w:t>
      </w:r>
      <w:r w:rsidR="00272495">
        <w:t xml:space="preserve">gambling </w:t>
      </w:r>
      <w:r w:rsidR="004C3D4C">
        <w:t xml:space="preserve">in </w:t>
      </w:r>
      <w:r w:rsidR="00734953">
        <w:t>New Zealand casino</w:t>
      </w:r>
      <w:r w:rsidR="004C3D4C">
        <w:t>s</w:t>
      </w:r>
      <w:r w:rsidR="00734953">
        <w:t>.</w:t>
      </w:r>
    </w:p>
    <w:p w:rsidR="00115DD9" w:rsidRDefault="00115DD9" w:rsidP="005E2EE4">
      <w:pPr>
        <w:pStyle w:val="Heading2"/>
        <w:jc w:val="both"/>
      </w:pPr>
      <w:bookmarkStart w:id="1" w:name="_Toc437434762"/>
      <w:r>
        <w:t>Consultation requirements</w:t>
      </w:r>
      <w:bookmarkEnd w:id="1"/>
    </w:p>
    <w:p w:rsidR="00115DD9" w:rsidRDefault="00115DD9" w:rsidP="005E2EE4">
      <w:pPr>
        <w:pStyle w:val="Default"/>
        <w:jc w:val="both"/>
      </w:pPr>
      <w:r w:rsidRPr="005E1508">
        <w:t xml:space="preserve">Section 372 of the Gambling Act 2003 (the Act) requires that, before </w:t>
      </w:r>
      <w:r w:rsidR="00931932">
        <w:t xml:space="preserve">minimum </w:t>
      </w:r>
      <w:r w:rsidRPr="005E1508">
        <w:t xml:space="preserve">standards are made, persons and organisations that are likely to be substantially affected must be consulted and given a reasonable opportunity to respond. Submissions will be given adequate and appropriate consideration. </w:t>
      </w:r>
    </w:p>
    <w:p w:rsidR="006D5643" w:rsidRDefault="006D5643" w:rsidP="005E2EE4">
      <w:pPr>
        <w:pStyle w:val="Heading2"/>
        <w:spacing w:after="240"/>
        <w:jc w:val="both"/>
      </w:pPr>
      <w:bookmarkStart w:id="2" w:name="_Toc437434767"/>
      <w:r>
        <w:t>Framework for analysis</w:t>
      </w:r>
      <w:bookmarkEnd w:id="2"/>
    </w:p>
    <w:p w:rsidR="006D5643" w:rsidRDefault="00223125" w:rsidP="005E2EE4">
      <w:pPr>
        <w:pStyle w:val="Default"/>
        <w:spacing w:after="240"/>
        <w:jc w:val="both"/>
      </w:pPr>
      <w:r w:rsidRPr="00223125">
        <w:t xml:space="preserve">The Department seeks your comment on this proposal. </w:t>
      </w:r>
      <w:r>
        <w:t xml:space="preserve"> </w:t>
      </w:r>
      <w:r w:rsidR="006D5643">
        <w:t>After receiving your submissions</w:t>
      </w:r>
      <w:r w:rsidR="00272495">
        <w:t>, the proposal</w:t>
      </w:r>
      <w:r w:rsidR="006D5643">
        <w:t xml:space="preserve"> </w:t>
      </w:r>
      <w:r w:rsidR="006D5643" w:rsidRPr="003D4592">
        <w:t xml:space="preserve">will be assessed </w:t>
      </w:r>
      <w:r w:rsidR="006D5643" w:rsidRPr="00EC4593">
        <w:rPr>
          <w:rFonts w:cs="Arial"/>
          <w:szCs w:val="22"/>
        </w:rPr>
        <w:t xml:space="preserve">to ensure </w:t>
      </w:r>
      <w:r w:rsidR="00272495">
        <w:rPr>
          <w:rFonts w:cs="Arial"/>
          <w:szCs w:val="22"/>
        </w:rPr>
        <w:t>it</w:t>
      </w:r>
      <w:r w:rsidR="006D5643">
        <w:rPr>
          <w:rFonts w:cs="Arial"/>
          <w:szCs w:val="22"/>
        </w:rPr>
        <w:t xml:space="preserve"> do</w:t>
      </w:r>
      <w:r w:rsidR="00272495">
        <w:rPr>
          <w:rFonts w:cs="Arial"/>
          <w:szCs w:val="22"/>
        </w:rPr>
        <w:t>es</w:t>
      </w:r>
      <w:r w:rsidR="006D5643" w:rsidRPr="00EC4593">
        <w:rPr>
          <w:rFonts w:cs="Arial"/>
          <w:szCs w:val="22"/>
        </w:rPr>
        <w:t xml:space="preserve"> not </w:t>
      </w:r>
      <w:r w:rsidR="005D1D59">
        <w:rPr>
          <w:rFonts w:cs="Arial"/>
          <w:szCs w:val="22"/>
        </w:rPr>
        <w:t xml:space="preserve">detract </w:t>
      </w:r>
      <w:r w:rsidR="006D5643" w:rsidRPr="00EC4593">
        <w:rPr>
          <w:rFonts w:cs="Arial"/>
          <w:szCs w:val="22"/>
        </w:rPr>
        <w:t xml:space="preserve">from </w:t>
      </w:r>
      <w:r w:rsidR="005D1D59">
        <w:rPr>
          <w:rFonts w:cs="Arial"/>
          <w:szCs w:val="22"/>
        </w:rPr>
        <w:t>the</w:t>
      </w:r>
      <w:r w:rsidR="006D5643" w:rsidRPr="00EC4593">
        <w:rPr>
          <w:rFonts w:cs="Arial"/>
          <w:szCs w:val="22"/>
        </w:rPr>
        <w:t xml:space="preserve"> purposes of the </w:t>
      </w:r>
      <w:r w:rsidR="006D5643" w:rsidRPr="003D4592">
        <w:t xml:space="preserve">Act. </w:t>
      </w:r>
    </w:p>
    <w:p w:rsidR="006D5643" w:rsidRPr="003D4592" w:rsidRDefault="006D5643" w:rsidP="005E2EE4">
      <w:pPr>
        <w:pStyle w:val="Default"/>
        <w:spacing w:after="240"/>
        <w:jc w:val="both"/>
      </w:pPr>
      <w:r w:rsidRPr="003D4592">
        <w:t xml:space="preserve">Comment in relation to the purposes of the Act is valued, with particular reference to whether </w:t>
      </w:r>
      <w:r w:rsidR="00911227">
        <w:t>the proposal</w:t>
      </w:r>
      <w:r w:rsidRPr="003D4592">
        <w:t xml:space="preserve"> will impact on the</w:t>
      </w:r>
      <w:r w:rsidR="00A748D7">
        <w:t xml:space="preserve"> following</w:t>
      </w:r>
      <w:r w:rsidRPr="003D4592">
        <w:t xml:space="preserve"> purposes: </w:t>
      </w:r>
    </w:p>
    <w:p w:rsidR="006D5643" w:rsidRPr="003D4592" w:rsidRDefault="006D5643" w:rsidP="005E2EE4">
      <w:pPr>
        <w:pStyle w:val="Default"/>
        <w:numPr>
          <w:ilvl w:val="0"/>
          <w:numId w:val="27"/>
        </w:numPr>
        <w:spacing w:after="120"/>
        <w:jc w:val="both"/>
      </w:pPr>
      <w:r>
        <w:t>p</w:t>
      </w:r>
      <w:r w:rsidRPr="003D4592">
        <w:t>revent</w:t>
      </w:r>
      <w:r w:rsidR="00A748D7">
        <w:t>ing</w:t>
      </w:r>
      <w:r w:rsidRPr="003D4592">
        <w:t xml:space="preserve"> and minimis</w:t>
      </w:r>
      <w:r w:rsidR="00A748D7">
        <w:t>ing</w:t>
      </w:r>
      <w:r w:rsidRPr="003D4592">
        <w:t xml:space="preserve"> the harm from gambling, including problem gambling</w:t>
      </w:r>
      <w:r>
        <w:t>;</w:t>
      </w:r>
      <w:r w:rsidRPr="003D4592">
        <w:t xml:space="preserve"> </w:t>
      </w:r>
    </w:p>
    <w:p w:rsidR="006D5643" w:rsidRDefault="006D5643" w:rsidP="005E2EE4">
      <w:pPr>
        <w:pStyle w:val="Default"/>
        <w:numPr>
          <w:ilvl w:val="0"/>
          <w:numId w:val="27"/>
        </w:numPr>
        <w:spacing w:after="120"/>
        <w:jc w:val="both"/>
      </w:pPr>
      <w:r>
        <w:t>f</w:t>
      </w:r>
      <w:r w:rsidRPr="003D4592">
        <w:t>acilitat</w:t>
      </w:r>
      <w:r w:rsidR="00A748D7">
        <w:t>ing</w:t>
      </w:r>
      <w:r w:rsidRPr="003D4592">
        <w:t xml:space="preserve"> responsible gambling</w:t>
      </w:r>
      <w:r>
        <w:t>;</w:t>
      </w:r>
      <w:r w:rsidR="004002E7">
        <w:t xml:space="preserve"> and</w:t>
      </w:r>
    </w:p>
    <w:p w:rsidR="006D5643" w:rsidRPr="008D71D9" w:rsidRDefault="006D5643" w:rsidP="005E2EE4">
      <w:pPr>
        <w:pStyle w:val="Default"/>
        <w:numPr>
          <w:ilvl w:val="0"/>
          <w:numId w:val="27"/>
        </w:numPr>
        <w:spacing w:after="120"/>
        <w:jc w:val="both"/>
        <w:rPr>
          <w:rFonts w:asciiTheme="minorHAnsi" w:hAnsiTheme="minorHAnsi"/>
        </w:rPr>
      </w:pPr>
      <w:proofErr w:type="gramStart"/>
      <w:r>
        <w:t>l</w:t>
      </w:r>
      <w:r w:rsidRPr="003D4592">
        <w:t>imit</w:t>
      </w:r>
      <w:r w:rsidR="00A748D7">
        <w:t>ing</w:t>
      </w:r>
      <w:proofErr w:type="gramEnd"/>
      <w:r w:rsidR="00A748D7">
        <w:t xml:space="preserve"> </w:t>
      </w:r>
      <w:r w:rsidRPr="003D4592">
        <w:t>opportunities for crime or dishonesty associated with gambling and the conduct of gambling</w:t>
      </w:r>
      <w:r>
        <w:t>.</w:t>
      </w:r>
    </w:p>
    <w:p w:rsidR="00B52AB5" w:rsidRDefault="006D5643" w:rsidP="00B52AB5">
      <w:pPr>
        <w:pStyle w:val="Default"/>
        <w:spacing w:before="120" w:after="200"/>
        <w:jc w:val="both"/>
        <w:rPr>
          <w:rFonts w:asciiTheme="minorHAnsi" w:hAnsiTheme="minorHAnsi"/>
        </w:rPr>
      </w:pPr>
      <w:r w:rsidRPr="008D71D9">
        <w:rPr>
          <w:rFonts w:asciiTheme="minorHAnsi" w:hAnsiTheme="minorHAnsi"/>
        </w:rPr>
        <w:t>To guide the assessment against the purposes listed above, referen</w:t>
      </w:r>
      <w:r w:rsidR="00E66FC7">
        <w:rPr>
          <w:rFonts w:asciiTheme="minorHAnsi" w:hAnsiTheme="minorHAnsi"/>
        </w:rPr>
        <w:t xml:space="preserve">ce is made to the Department’s </w:t>
      </w:r>
      <w:r w:rsidR="00E66FC7" w:rsidRPr="00E66FC7">
        <w:rPr>
          <w:rFonts w:asciiTheme="minorHAnsi" w:hAnsiTheme="minorHAnsi"/>
          <w:i/>
        </w:rPr>
        <w:t>I</w:t>
      </w:r>
      <w:r w:rsidRPr="00E66FC7">
        <w:rPr>
          <w:rFonts w:asciiTheme="minorHAnsi" w:hAnsiTheme="minorHAnsi"/>
          <w:i/>
        </w:rPr>
        <w:t xml:space="preserve">nternal </w:t>
      </w:r>
      <w:r w:rsidR="00E66FC7" w:rsidRPr="00E66FC7">
        <w:rPr>
          <w:rFonts w:asciiTheme="minorHAnsi" w:hAnsiTheme="minorHAnsi"/>
          <w:i/>
        </w:rPr>
        <w:t>G</w:t>
      </w:r>
      <w:r w:rsidRPr="00E66FC7">
        <w:rPr>
          <w:rFonts w:asciiTheme="minorHAnsi" w:hAnsiTheme="minorHAnsi"/>
          <w:i/>
        </w:rPr>
        <w:t>uidelines on Harm Prevention, Harm Minimisation and Responsible Gambling</w:t>
      </w:r>
      <w:r w:rsidRPr="008D71D9">
        <w:rPr>
          <w:rFonts w:asciiTheme="minorHAnsi" w:hAnsiTheme="minorHAnsi"/>
        </w:rPr>
        <w:t>.</w:t>
      </w:r>
      <w:r>
        <w:rPr>
          <w:rFonts w:asciiTheme="minorHAnsi" w:hAnsiTheme="minorHAnsi"/>
        </w:rPr>
        <w:t xml:space="preserve"> </w:t>
      </w:r>
      <w:r w:rsidRPr="008D71D9">
        <w:rPr>
          <w:rFonts w:asciiTheme="minorHAnsi" w:hAnsiTheme="minorHAnsi"/>
        </w:rPr>
        <w:t xml:space="preserve"> The guidelines are derived from the Act and associated regulations, the principles and processes of administrative law, and best practice in regard to good regulation. These guidelines require the Department to take</w:t>
      </w:r>
      <w:r w:rsidRPr="008D71D9">
        <w:rPr>
          <w:rFonts w:asciiTheme="minorHAnsi" w:hAnsiTheme="minorHAnsi" w:cs="Arial"/>
        </w:rPr>
        <w:t xml:space="preserve"> an evidence based approach in the first instance</w:t>
      </w:r>
      <w:r w:rsidRPr="008D71D9">
        <w:rPr>
          <w:rFonts w:asciiTheme="minorHAnsi" w:hAnsiTheme="minorHAnsi"/>
        </w:rPr>
        <w:t xml:space="preserve">. </w:t>
      </w:r>
    </w:p>
    <w:p w:rsidR="00B52AB5" w:rsidRPr="003D4592" w:rsidRDefault="00B52AB5" w:rsidP="00B52AB5">
      <w:pPr>
        <w:pStyle w:val="Default"/>
        <w:spacing w:before="120" w:after="200"/>
        <w:jc w:val="both"/>
        <w:rPr>
          <w:color w:val="auto"/>
        </w:rPr>
      </w:pPr>
      <w:r w:rsidRPr="003D4592">
        <w:rPr>
          <w:color w:val="auto"/>
        </w:rPr>
        <w:t xml:space="preserve">A copy of the guidelines can be found on the Department’s website at: </w:t>
      </w:r>
    </w:p>
    <w:p w:rsidR="00B52AB5" w:rsidRPr="003D4592" w:rsidRDefault="00C123CF" w:rsidP="00B52AB5">
      <w:pPr>
        <w:pStyle w:val="BodyText"/>
        <w:spacing w:after="120"/>
        <w:jc w:val="both"/>
      </w:pPr>
      <w:hyperlink r:id="rId9" w:history="1">
        <w:r w:rsidR="00B52AB5" w:rsidRPr="003D4592">
          <w:rPr>
            <w:rStyle w:val="Hyperlink"/>
          </w:rPr>
          <w:t>http://www.dia.govt.nz/pubforms.nsf/URL/GamingOperationalPolicy.pdf/$file/GamingOperationalPolicy.pdf</w:t>
        </w:r>
      </w:hyperlink>
    </w:p>
    <w:p w:rsidR="006D5643" w:rsidRPr="008D71D9" w:rsidRDefault="00B52AB5" w:rsidP="005E2EE4">
      <w:pPr>
        <w:pStyle w:val="Default"/>
        <w:jc w:val="both"/>
        <w:rPr>
          <w:rFonts w:asciiTheme="minorHAnsi" w:hAnsiTheme="minorHAnsi"/>
        </w:rPr>
      </w:pPr>
      <w:r>
        <w:rPr>
          <w:rFonts w:asciiTheme="minorHAnsi" w:hAnsiTheme="minorHAnsi"/>
        </w:rPr>
        <w:t>In</w:t>
      </w:r>
      <w:r w:rsidR="006D5643" w:rsidRPr="008D71D9">
        <w:rPr>
          <w:rFonts w:asciiTheme="minorHAnsi" w:hAnsiTheme="minorHAnsi"/>
        </w:rPr>
        <w:t xml:space="preserve"> the absence of evidence a precautionary approach will be taken where there is reasonable concern that significant and/or widespread harm may occur. In </w:t>
      </w:r>
      <w:r>
        <w:rPr>
          <w:rFonts w:asciiTheme="minorHAnsi" w:hAnsiTheme="minorHAnsi"/>
        </w:rPr>
        <w:t>such cases</w:t>
      </w:r>
      <w:r w:rsidR="00223125">
        <w:rPr>
          <w:rFonts w:asciiTheme="minorHAnsi" w:hAnsiTheme="minorHAnsi"/>
        </w:rPr>
        <w:t xml:space="preserve"> the Department assesses the proposal</w:t>
      </w:r>
      <w:r w:rsidR="006D5643" w:rsidRPr="008D71D9">
        <w:rPr>
          <w:rFonts w:asciiTheme="minorHAnsi" w:hAnsiTheme="minorHAnsi"/>
        </w:rPr>
        <w:t xml:space="preserve"> against known harm determinants. </w:t>
      </w:r>
      <w:r w:rsidR="006F46A2">
        <w:rPr>
          <w:rFonts w:asciiTheme="minorHAnsi" w:hAnsiTheme="minorHAnsi" w:cs="Arial"/>
        </w:rPr>
        <w:t>We consider</w:t>
      </w:r>
      <w:r w:rsidR="006D5643" w:rsidRPr="008D71D9">
        <w:rPr>
          <w:rFonts w:asciiTheme="minorHAnsi" w:hAnsiTheme="minorHAnsi" w:cs="Arial"/>
        </w:rPr>
        <w:t xml:space="preserve"> that the proper base for making this assessment is to measure those </w:t>
      </w:r>
      <w:r w:rsidR="006F46A2">
        <w:rPr>
          <w:rFonts w:asciiTheme="minorHAnsi" w:hAnsiTheme="minorHAnsi" w:cs="Arial"/>
        </w:rPr>
        <w:t>factors</w:t>
      </w:r>
      <w:r w:rsidR="006F46A2" w:rsidRPr="008D71D9">
        <w:rPr>
          <w:rFonts w:asciiTheme="minorHAnsi" w:hAnsiTheme="minorHAnsi" w:cs="Arial"/>
        </w:rPr>
        <w:t xml:space="preserve"> </w:t>
      </w:r>
      <w:r w:rsidR="006D5643" w:rsidRPr="008D71D9">
        <w:rPr>
          <w:rFonts w:asciiTheme="minorHAnsi" w:hAnsiTheme="minorHAnsi" w:cs="Arial"/>
        </w:rPr>
        <w:t xml:space="preserve">against the potential for harm that already exists under approved </w:t>
      </w:r>
      <w:r w:rsidR="006D5643">
        <w:rPr>
          <w:rFonts w:asciiTheme="minorHAnsi" w:hAnsiTheme="minorHAnsi" w:cs="Arial"/>
        </w:rPr>
        <w:t>standards</w:t>
      </w:r>
      <w:r w:rsidR="006D5643" w:rsidRPr="008D71D9">
        <w:rPr>
          <w:rFonts w:asciiTheme="minorHAnsi" w:hAnsiTheme="minorHAnsi" w:cs="Arial"/>
        </w:rPr>
        <w:t xml:space="preserve">. </w:t>
      </w:r>
    </w:p>
    <w:p w:rsidR="006D5643" w:rsidRPr="005E1508" w:rsidRDefault="006D5643" w:rsidP="005E2EE4">
      <w:pPr>
        <w:pStyle w:val="Default"/>
        <w:jc w:val="both"/>
      </w:pPr>
    </w:p>
    <w:p w:rsidR="00115DD9" w:rsidRDefault="00115DD9" w:rsidP="005E2EE4">
      <w:pPr>
        <w:pStyle w:val="Heading2"/>
        <w:jc w:val="both"/>
      </w:pPr>
      <w:bookmarkStart w:id="3" w:name="_Toc437434763"/>
      <w:r>
        <w:lastRenderedPageBreak/>
        <w:t>Sending us your submission</w:t>
      </w:r>
      <w:bookmarkEnd w:id="3"/>
    </w:p>
    <w:p w:rsidR="002C55C7" w:rsidRPr="002C55C7" w:rsidRDefault="002C55C7" w:rsidP="005E2EE4">
      <w:pPr>
        <w:spacing w:after="200"/>
        <w:jc w:val="both"/>
        <w:rPr>
          <w:rFonts w:eastAsia="Calibri"/>
        </w:rPr>
      </w:pPr>
      <w:r w:rsidRPr="002C55C7">
        <w:rPr>
          <w:rFonts w:eastAsia="Calibri"/>
        </w:rPr>
        <w:t xml:space="preserve">Please address your submissions to </w:t>
      </w:r>
      <w:hyperlink r:id="rId10" w:history="1">
        <w:r w:rsidRPr="002C55C7">
          <w:rPr>
            <w:rFonts w:eastAsia="Calibri" w:cs="Arial"/>
            <w:color w:val="0000FF"/>
            <w:u w:val="single"/>
          </w:rPr>
          <w:t>sharlene.hogan@dia.govt.nz</w:t>
        </w:r>
      </w:hyperlink>
      <w:r w:rsidRPr="002C55C7">
        <w:rPr>
          <w:rFonts w:eastAsia="Calibri"/>
        </w:rPr>
        <w:t xml:space="preserve"> or:</w:t>
      </w:r>
    </w:p>
    <w:p w:rsidR="002C55C7" w:rsidRPr="002C55C7" w:rsidRDefault="002C55C7" w:rsidP="005E2EE4">
      <w:pPr>
        <w:spacing w:after="0"/>
        <w:contextualSpacing/>
        <w:jc w:val="both"/>
        <w:rPr>
          <w:rFonts w:eastAsia="Calibri"/>
        </w:rPr>
      </w:pPr>
      <w:r w:rsidRPr="002C55C7">
        <w:rPr>
          <w:rFonts w:eastAsia="Calibri"/>
        </w:rPr>
        <w:t>Sharlene Hogan</w:t>
      </w:r>
    </w:p>
    <w:p w:rsidR="002C55C7" w:rsidRPr="002C55C7" w:rsidRDefault="002C55C7" w:rsidP="005E2EE4">
      <w:pPr>
        <w:spacing w:after="0"/>
        <w:contextualSpacing/>
        <w:jc w:val="both"/>
        <w:rPr>
          <w:rFonts w:eastAsia="Calibri"/>
        </w:rPr>
      </w:pPr>
      <w:r w:rsidRPr="002C55C7">
        <w:rPr>
          <w:rFonts w:eastAsia="Calibri"/>
        </w:rPr>
        <w:t>Policy Advisor, Operational Policy</w:t>
      </w:r>
    </w:p>
    <w:p w:rsidR="002C55C7" w:rsidRPr="002C55C7" w:rsidRDefault="002C55C7" w:rsidP="005E2EE4">
      <w:pPr>
        <w:spacing w:after="0"/>
        <w:contextualSpacing/>
        <w:jc w:val="both"/>
        <w:rPr>
          <w:rFonts w:eastAsia="Calibri"/>
        </w:rPr>
      </w:pPr>
      <w:r w:rsidRPr="002C55C7">
        <w:rPr>
          <w:rFonts w:eastAsia="Calibri"/>
        </w:rPr>
        <w:t xml:space="preserve">Department of Internal Affairs </w:t>
      </w:r>
      <w:proofErr w:type="spellStart"/>
      <w:r w:rsidRPr="002C55C7">
        <w:rPr>
          <w:rFonts w:eastAsia="Calibri"/>
        </w:rPr>
        <w:t>Te</w:t>
      </w:r>
      <w:proofErr w:type="spellEnd"/>
      <w:r w:rsidRPr="002C55C7">
        <w:rPr>
          <w:rFonts w:eastAsia="Calibri"/>
        </w:rPr>
        <w:t xml:space="preserve"> </w:t>
      </w:r>
      <w:proofErr w:type="spellStart"/>
      <w:r w:rsidRPr="002C55C7">
        <w:rPr>
          <w:rFonts w:eastAsia="Calibri"/>
        </w:rPr>
        <w:t>Tari</w:t>
      </w:r>
      <w:proofErr w:type="spellEnd"/>
      <w:r w:rsidRPr="002C55C7">
        <w:rPr>
          <w:rFonts w:eastAsia="Calibri"/>
        </w:rPr>
        <w:t xml:space="preserve"> </w:t>
      </w:r>
      <w:proofErr w:type="spellStart"/>
      <w:r w:rsidRPr="002C55C7">
        <w:rPr>
          <w:rFonts w:eastAsia="Calibri"/>
        </w:rPr>
        <w:t>Taiwhenua</w:t>
      </w:r>
      <w:proofErr w:type="spellEnd"/>
    </w:p>
    <w:p w:rsidR="002C55C7" w:rsidRPr="002C55C7" w:rsidRDefault="002C55C7" w:rsidP="005E2EE4">
      <w:pPr>
        <w:spacing w:after="0"/>
        <w:contextualSpacing/>
        <w:jc w:val="both"/>
        <w:rPr>
          <w:rFonts w:eastAsia="Calibri"/>
        </w:rPr>
      </w:pPr>
      <w:r w:rsidRPr="002C55C7">
        <w:rPr>
          <w:rFonts w:eastAsia="Calibri"/>
        </w:rPr>
        <w:t>PO Box 805</w:t>
      </w:r>
    </w:p>
    <w:p w:rsidR="002C55C7" w:rsidRPr="002C55C7" w:rsidRDefault="002C55C7" w:rsidP="005E2EE4">
      <w:pPr>
        <w:spacing w:before="0" w:after="200"/>
        <w:jc w:val="both"/>
        <w:rPr>
          <w:rFonts w:eastAsia="Calibri"/>
        </w:rPr>
      </w:pPr>
      <w:r w:rsidRPr="002C55C7">
        <w:rPr>
          <w:rFonts w:eastAsia="Calibri"/>
        </w:rPr>
        <w:t>Wellington 6140</w:t>
      </w:r>
    </w:p>
    <w:p w:rsidR="002C55C7" w:rsidRDefault="002C55C7" w:rsidP="005E2EE4">
      <w:pPr>
        <w:spacing w:after="200"/>
        <w:jc w:val="both"/>
        <w:rPr>
          <w:rFonts w:eastAsia="Calibri"/>
        </w:rPr>
      </w:pPr>
      <w:r w:rsidRPr="002C55C7">
        <w:rPr>
          <w:rFonts w:eastAsia="Calibri"/>
        </w:rPr>
        <w:t xml:space="preserve">Should you require further information on </w:t>
      </w:r>
      <w:r w:rsidR="00446437" w:rsidRPr="002C55C7">
        <w:rPr>
          <w:rFonts w:eastAsia="Calibri"/>
        </w:rPr>
        <w:t>th</w:t>
      </w:r>
      <w:r w:rsidR="00446437">
        <w:rPr>
          <w:rFonts w:eastAsia="Calibri"/>
        </w:rPr>
        <w:t>is</w:t>
      </w:r>
      <w:r w:rsidR="00446437" w:rsidRPr="002C55C7">
        <w:rPr>
          <w:rFonts w:eastAsia="Calibri"/>
        </w:rPr>
        <w:t xml:space="preserve"> </w:t>
      </w:r>
      <w:r w:rsidRPr="002C55C7">
        <w:rPr>
          <w:rFonts w:eastAsia="Calibri"/>
        </w:rPr>
        <w:t xml:space="preserve">proposal, please contact Sharlene on the above email address or on telephone number 04 495 7207 or Cath Anyan, Senior </w:t>
      </w:r>
      <w:r w:rsidR="00CE3F27">
        <w:rPr>
          <w:rFonts w:eastAsia="Calibri"/>
        </w:rPr>
        <w:t xml:space="preserve">Policy </w:t>
      </w:r>
      <w:r w:rsidRPr="002C55C7">
        <w:rPr>
          <w:rFonts w:eastAsia="Calibri"/>
        </w:rPr>
        <w:t>Advisor, on 04 495 7271.</w:t>
      </w:r>
    </w:p>
    <w:p w:rsidR="006D5643" w:rsidRPr="002C55C7" w:rsidRDefault="00635C70" w:rsidP="005E2EE4">
      <w:pPr>
        <w:spacing w:after="200"/>
        <w:jc w:val="both"/>
        <w:rPr>
          <w:rFonts w:eastAsia="Calibri"/>
        </w:rPr>
      </w:pPr>
      <w:r w:rsidRPr="00635C70">
        <w:rPr>
          <w:rFonts w:eastAsia="Calibri"/>
        </w:rPr>
        <w:t>Should you requ</w:t>
      </w:r>
      <w:r>
        <w:rPr>
          <w:rFonts w:eastAsia="Calibri"/>
        </w:rPr>
        <w:t>ire further information on the technical aspects of th</w:t>
      </w:r>
      <w:r w:rsidR="00446437">
        <w:rPr>
          <w:rFonts w:eastAsia="Calibri"/>
        </w:rPr>
        <w:t>is</w:t>
      </w:r>
      <w:r w:rsidRPr="00635C70">
        <w:rPr>
          <w:rFonts w:eastAsia="Calibri"/>
        </w:rPr>
        <w:t xml:space="preserve"> proposal, please contact </w:t>
      </w:r>
      <w:r w:rsidR="00CF0D66">
        <w:rPr>
          <w:rFonts w:eastAsia="Calibri"/>
        </w:rPr>
        <w:t xml:space="preserve">Bruce Manuge on </w:t>
      </w:r>
      <w:hyperlink r:id="rId11" w:history="1">
        <w:r w:rsidR="00CF0D66" w:rsidRPr="006F39B2">
          <w:rPr>
            <w:rStyle w:val="Hyperlink"/>
            <w:rFonts w:eastAsia="Calibri"/>
          </w:rPr>
          <w:t>bruce.manuge@dia.govt.nz</w:t>
        </w:r>
      </w:hyperlink>
      <w:r w:rsidR="00CF0D66">
        <w:rPr>
          <w:rFonts w:eastAsia="Calibri"/>
        </w:rPr>
        <w:t xml:space="preserve"> or on telephone </w:t>
      </w:r>
      <w:r w:rsidR="00446437">
        <w:rPr>
          <w:rFonts w:eastAsia="Calibri"/>
        </w:rPr>
        <w:t xml:space="preserve">number </w:t>
      </w:r>
      <w:r w:rsidR="00CF0D66">
        <w:rPr>
          <w:rFonts w:eastAsia="Calibri"/>
        </w:rPr>
        <w:t>04 495 9343</w:t>
      </w:r>
      <w:r w:rsidR="00BE3FF4">
        <w:rPr>
          <w:rFonts w:eastAsia="Calibri"/>
        </w:rPr>
        <w:t>.</w:t>
      </w:r>
    </w:p>
    <w:p w:rsidR="002C55C7" w:rsidRDefault="002C55C7" w:rsidP="005E2EE4">
      <w:pPr>
        <w:spacing w:after="200"/>
        <w:jc w:val="both"/>
        <w:rPr>
          <w:rFonts w:eastAsia="Calibri"/>
        </w:rPr>
      </w:pPr>
      <w:r w:rsidRPr="002C55C7">
        <w:rPr>
          <w:rFonts w:eastAsia="Calibri"/>
        </w:rPr>
        <w:t>Any submissions need t</w:t>
      </w:r>
      <w:r w:rsidR="00A12225">
        <w:rPr>
          <w:rFonts w:eastAsia="Calibri"/>
        </w:rPr>
        <w:t>o</w:t>
      </w:r>
      <w:r w:rsidR="001E1741">
        <w:rPr>
          <w:rFonts w:eastAsia="Calibri"/>
        </w:rPr>
        <w:t xml:space="preserve"> be received by 5 pm on Friday 30</w:t>
      </w:r>
      <w:r w:rsidR="00A12225">
        <w:rPr>
          <w:rFonts w:eastAsia="Calibri"/>
        </w:rPr>
        <w:t xml:space="preserve"> September</w:t>
      </w:r>
      <w:r>
        <w:rPr>
          <w:rFonts w:eastAsia="Calibri"/>
        </w:rPr>
        <w:t xml:space="preserve"> 2016</w:t>
      </w:r>
      <w:r w:rsidRPr="002C55C7">
        <w:rPr>
          <w:rFonts w:eastAsia="Calibri"/>
        </w:rPr>
        <w:t>.</w:t>
      </w:r>
    </w:p>
    <w:p w:rsidR="00BF558A" w:rsidRPr="00BA50B0" w:rsidRDefault="00BF558A" w:rsidP="00BF558A">
      <w:pPr>
        <w:pStyle w:val="BodyText"/>
        <w:jc w:val="both"/>
      </w:pPr>
      <w:r w:rsidRPr="00BA50B0">
        <w:t xml:space="preserve">Please note that all submissions may be made publicly available.  Even if you request confidentiality, we may have to release your submission at a later date if a request is made under the Official Information Act 1982.  In your submission please highlight </w:t>
      </w:r>
      <w:r w:rsidR="009B7F6A">
        <w:t>any</w:t>
      </w:r>
      <w:r w:rsidRPr="00BA50B0">
        <w:t xml:space="preserve"> information you would prefer was withheld should a request be made.</w:t>
      </w:r>
      <w:r w:rsidRPr="00BA50B0">
        <w:rPr>
          <w:rStyle w:val="FootnoteReference"/>
        </w:rPr>
        <w:footnoteReference w:id="1"/>
      </w:r>
      <w:r w:rsidRPr="00BA50B0">
        <w:t xml:space="preserve">  </w:t>
      </w:r>
    </w:p>
    <w:p w:rsidR="00BF558A" w:rsidRPr="002C55C7" w:rsidRDefault="00BF558A" w:rsidP="005E2EE4">
      <w:pPr>
        <w:spacing w:after="200"/>
        <w:jc w:val="both"/>
        <w:rPr>
          <w:rFonts w:eastAsia="Calibri"/>
        </w:rPr>
      </w:pPr>
    </w:p>
    <w:p w:rsidR="00115DD9" w:rsidRDefault="00115DD9" w:rsidP="005E2EE4">
      <w:pPr>
        <w:keepLines w:val="0"/>
        <w:jc w:val="both"/>
      </w:pPr>
      <w:r>
        <w:br w:type="page"/>
      </w:r>
    </w:p>
    <w:p w:rsidR="00115DD9" w:rsidRDefault="00115DD9" w:rsidP="005E2EE4">
      <w:pPr>
        <w:pStyle w:val="Heading1"/>
        <w:numPr>
          <w:ilvl w:val="0"/>
          <w:numId w:val="30"/>
        </w:numPr>
        <w:ind w:left="567" w:hanging="567"/>
        <w:jc w:val="both"/>
      </w:pPr>
      <w:bookmarkStart w:id="4" w:name="_Toc437434764"/>
      <w:r>
        <w:lastRenderedPageBreak/>
        <w:t>Background information</w:t>
      </w:r>
      <w:bookmarkEnd w:id="4"/>
    </w:p>
    <w:p w:rsidR="001A55DD" w:rsidRDefault="001A55DD" w:rsidP="005E2EE4">
      <w:pPr>
        <w:jc w:val="both"/>
      </w:pPr>
    </w:p>
    <w:p w:rsidR="007F3E1A" w:rsidRDefault="003B2897" w:rsidP="005E2EE4">
      <w:pPr>
        <w:jc w:val="both"/>
      </w:pPr>
      <w:r w:rsidRPr="003B2897">
        <w:t xml:space="preserve">Cashless gambling </w:t>
      </w:r>
      <w:r w:rsidR="00193678">
        <w:t>refers to the replacement of legal tender</w:t>
      </w:r>
      <w:r w:rsidR="00CF0D66">
        <w:t xml:space="preserve"> </w:t>
      </w:r>
      <w:r w:rsidR="00C141FE">
        <w:t>(</w:t>
      </w:r>
      <w:r w:rsidR="00486710">
        <w:t>i.e.</w:t>
      </w:r>
      <w:r w:rsidR="00CF0D66">
        <w:t xml:space="preserve"> coins and banknotes</w:t>
      </w:r>
      <w:r w:rsidR="00C141FE">
        <w:t>)</w:t>
      </w:r>
      <w:r w:rsidR="00CF0D66">
        <w:t xml:space="preserve"> </w:t>
      </w:r>
      <w:r w:rsidR="00E60A07">
        <w:t>with currency substitutes</w:t>
      </w:r>
      <w:r w:rsidR="00CF0D66">
        <w:t xml:space="preserve"> for the playing of gaming mach</w:t>
      </w:r>
      <w:r w:rsidR="00193678">
        <w:t>in</w:t>
      </w:r>
      <w:r w:rsidR="00CF0D66">
        <w:t>es or table games</w:t>
      </w:r>
      <w:r w:rsidR="00E60A07">
        <w:t xml:space="preserve">. </w:t>
      </w:r>
      <w:r>
        <w:t xml:space="preserve"> </w:t>
      </w:r>
      <w:r w:rsidRPr="003B2897">
        <w:t xml:space="preserve">Cashless </w:t>
      </w:r>
      <w:r w:rsidR="00CF0D66">
        <w:t>currency</w:t>
      </w:r>
      <w:r w:rsidR="00CF0D66" w:rsidRPr="003B2897">
        <w:t xml:space="preserve"> </w:t>
      </w:r>
      <w:r w:rsidRPr="003B2897">
        <w:t>come</w:t>
      </w:r>
      <w:r w:rsidR="00BE3FF4">
        <w:t>s</w:t>
      </w:r>
      <w:r w:rsidRPr="003B2897">
        <w:t xml:space="preserve"> in many forms, and </w:t>
      </w:r>
      <w:r>
        <w:t>can be</w:t>
      </w:r>
      <w:r w:rsidRPr="003B2897">
        <w:t xml:space="preserve"> either account or non-account based</w:t>
      </w:r>
      <w:r w:rsidR="009158FC">
        <w:t xml:space="preserve"> (refer to page 6</w:t>
      </w:r>
      <w:r w:rsidR="007175C5">
        <w:t xml:space="preserve"> for further information)</w:t>
      </w:r>
      <w:r w:rsidRPr="003B2897">
        <w:t xml:space="preserve">. </w:t>
      </w:r>
    </w:p>
    <w:p w:rsidR="007175C5" w:rsidRDefault="003B2897" w:rsidP="005E2EE4">
      <w:pPr>
        <w:jc w:val="both"/>
      </w:pPr>
      <w:r w:rsidRPr="003B2897">
        <w:t>Account</w:t>
      </w:r>
      <w:r w:rsidR="00F15253">
        <w:t>-</w:t>
      </w:r>
      <w:r w:rsidRPr="003B2897">
        <w:t>based systems require</w:t>
      </w:r>
      <w:r w:rsidR="000B6B02">
        <w:t xml:space="preserve"> the</w:t>
      </w:r>
      <w:r w:rsidRPr="003B2897">
        <w:t xml:space="preserve"> identification and establishment of </w:t>
      </w:r>
      <w:r w:rsidR="000B6B02">
        <w:t>a</w:t>
      </w:r>
      <w:r w:rsidR="00104A02">
        <w:t xml:space="preserve"> </w:t>
      </w:r>
      <w:r w:rsidR="00707EFF">
        <w:t xml:space="preserve">casino </w:t>
      </w:r>
      <w:r w:rsidRPr="003B2897">
        <w:t xml:space="preserve">account and </w:t>
      </w:r>
      <w:r w:rsidR="000B6B02">
        <w:t xml:space="preserve">the </w:t>
      </w:r>
      <w:r w:rsidRPr="003B2897">
        <w:t xml:space="preserve">use </w:t>
      </w:r>
      <w:r w:rsidR="00193678">
        <w:t xml:space="preserve">of </w:t>
      </w:r>
      <w:r w:rsidRPr="003B2897">
        <w:t xml:space="preserve">a </w:t>
      </w:r>
      <w:r w:rsidR="00F15253">
        <w:t xml:space="preserve">mechanism to access the </w:t>
      </w:r>
      <w:r w:rsidR="00826832">
        <w:t>account</w:t>
      </w:r>
      <w:r w:rsidR="00707EFF">
        <w:t>,</w:t>
      </w:r>
      <w:r w:rsidR="00F15253">
        <w:t xml:space="preserve"> such as a </w:t>
      </w:r>
      <w:r w:rsidR="00193678">
        <w:t>‘</w:t>
      </w:r>
      <w:r w:rsidR="00486710" w:rsidRPr="003B2897">
        <w:t>player</w:t>
      </w:r>
      <w:r w:rsidR="00486710">
        <w:t>’s</w:t>
      </w:r>
      <w:r w:rsidRPr="003B2897">
        <w:t xml:space="preserve"> card</w:t>
      </w:r>
      <w:r w:rsidR="00193678">
        <w:t>’</w:t>
      </w:r>
      <w:r w:rsidRPr="003B2897">
        <w:t>.</w:t>
      </w:r>
      <w:r w:rsidR="00BE3FF4">
        <w:t xml:space="preserve"> </w:t>
      </w:r>
      <w:r w:rsidRPr="003B2897">
        <w:t xml:space="preserve"> </w:t>
      </w:r>
      <w:r w:rsidR="00486710">
        <w:t>Traditional</w:t>
      </w:r>
      <w:r w:rsidR="00CF0D66">
        <w:t xml:space="preserve"> n</w:t>
      </w:r>
      <w:r w:rsidRPr="003B2897">
        <w:t xml:space="preserve">on-account based </w:t>
      </w:r>
      <w:r w:rsidR="00CF0D66">
        <w:t>ca</w:t>
      </w:r>
      <w:r w:rsidR="00193678">
        <w:t>s</w:t>
      </w:r>
      <w:r w:rsidR="00CF0D66">
        <w:t>hless</w:t>
      </w:r>
      <w:r w:rsidR="000B6B02">
        <w:t xml:space="preserve"> systems</w:t>
      </w:r>
      <w:r w:rsidR="00CF0D66" w:rsidRPr="003B2897">
        <w:t xml:space="preserve"> </w:t>
      </w:r>
      <w:r w:rsidR="00486710" w:rsidRPr="003B2897">
        <w:t>include tokens</w:t>
      </w:r>
      <w:r w:rsidRPr="003B2897">
        <w:t xml:space="preserve">, </w:t>
      </w:r>
      <w:r w:rsidR="00CF0D66">
        <w:t xml:space="preserve">use of printed tickets with a </w:t>
      </w:r>
      <w:r w:rsidR="001C1085">
        <w:t>monetary</w:t>
      </w:r>
      <w:r w:rsidR="00CF0D66">
        <w:t xml:space="preserve"> value</w:t>
      </w:r>
      <w:r w:rsidRPr="003B2897">
        <w:t xml:space="preserve">, and some forms of </w:t>
      </w:r>
      <w:r w:rsidR="00CF0D66">
        <w:t xml:space="preserve">pre-loaded </w:t>
      </w:r>
      <w:r w:rsidR="00486710">
        <w:t>anonymous</w:t>
      </w:r>
      <w:r w:rsidR="001C1085">
        <w:t xml:space="preserve"> </w:t>
      </w:r>
      <w:r w:rsidRPr="003B2897">
        <w:t>magnetic strip debit cards.</w:t>
      </w:r>
      <w:r w:rsidR="00CF0D66">
        <w:t xml:space="preserve">  </w:t>
      </w:r>
      <w:r w:rsidR="001C1085">
        <w:t>The use of tickets</w:t>
      </w:r>
      <w:r w:rsidR="00CF0D66">
        <w:t xml:space="preserve"> is referred to as </w:t>
      </w:r>
      <w:r w:rsidR="00193678">
        <w:t xml:space="preserve">either </w:t>
      </w:r>
      <w:r w:rsidR="00CF0D66">
        <w:t xml:space="preserve">Ticket </w:t>
      </w:r>
      <w:proofErr w:type="gramStart"/>
      <w:r w:rsidR="00CF0D66">
        <w:t>In</w:t>
      </w:r>
      <w:proofErr w:type="gramEnd"/>
      <w:r w:rsidR="00CF0D66">
        <w:t xml:space="preserve"> Cash Out or Ticket In Ticket Out (TITO)</w:t>
      </w:r>
      <w:r w:rsidR="001C1085">
        <w:t xml:space="preserve"> </w:t>
      </w:r>
      <w:r w:rsidR="00084281">
        <w:t>and involves</w:t>
      </w:r>
      <w:r w:rsidR="001C1085">
        <w:t xml:space="preserve"> a gaming machine </w:t>
      </w:r>
      <w:r w:rsidR="00084281">
        <w:t>printing</w:t>
      </w:r>
      <w:r w:rsidR="001C1085">
        <w:t xml:space="preserve"> a ticket when the player cashes out.  </w:t>
      </w:r>
      <w:r w:rsidR="007175C5" w:rsidDel="007175C5">
        <w:t xml:space="preserve"> </w:t>
      </w:r>
    </w:p>
    <w:p w:rsidR="00480254" w:rsidRDefault="009C3BF5" w:rsidP="005E2EE4">
      <w:pPr>
        <w:jc w:val="both"/>
      </w:pPr>
      <w:r w:rsidRPr="009C3BF5">
        <w:t xml:space="preserve">Over the years, the Department has received and considered applications from New Zealand casinos for various forms of cashless gambling.  Currently, </w:t>
      </w:r>
      <w:r w:rsidR="00664AA9">
        <w:t>SkyCity Auckland</w:t>
      </w:r>
      <w:r w:rsidR="00241F6F">
        <w:t xml:space="preserve"> is permitted to offer card-based and ticket-based cashless gambling</w:t>
      </w:r>
      <w:r w:rsidR="00664AA9">
        <w:t>, and Christchurch casino</w:t>
      </w:r>
      <w:r w:rsidR="00241F6F">
        <w:t xml:space="preserve"> is permitted to offer a limited form of cashless gambling</w:t>
      </w:r>
      <w:r w:rsidR="005B1F1E">
        <w:rPr>
          <w:rStyle w:val="FootnoteReference"/>
        </w:rPr>
        <w:footnoteReference w:id="2"/>
      </w:r>
      <w:r w:rsidRPr="009C3BF5">
        <w:t>.</w:t>
      </w:r>
      <w:r>
        <w:t xml:space="preserve"> </w:t>
      </w:r>
    </w:p>
    <w:p w:rsidR="00480254" w:rsidRDefault="00480254" w:rsidP="005E2EE4">
      <w:pPr>
        <w:jc w:val="both"/>
      </w:pPr>
      <w:r>
        <w:t>The ad hoc approach to cashless gambling in New Zealand casinos</w:t>
      </w:r>
      <w:r w:rsidR="00FC7F0A" w:rsidRPr="00FC7F0A">
        <w:t xml:space="preserve"> </w:t>
      </w:r>
      <w:r>
        <w:t>has created a “patchy” environment where minimum standards are created in response to particular requests from casinos and tailored to the particular way the requesting casino wishes to operate. In addition, SkyCity Auckland has been permitted to introduce forms of cashless gambling that are not permitted in the other casinos by virtue of the regulatory concessions contained in the</w:t>
      </w:r>
      <w:r w:rsidR="00FA4F3F">
        <w:t xml:space="preserve"> New Zealand International Convention Centre Act.</w:t>
      </w:r>
    </w:p>
    <w:p w:rsidR="00115DD9" w:rsidRDefault="003F7394" w:rsidP="005E2EE4">
      <w:pPr>
        <w:jc w:val="both"/>
      </w:pPr>
      <w:r>
        <w:t xml:space="preserve">The </w:t>
      </w:r>
      <w:r w:rsidR="00015335" w:rsidRPr="008C6A05">
        <w:t xml:space="preserve">Department </w:t>
      </w:r>
      <w:r w:rsidR="00FA4F3F">
        <w:t xml:space="preserve">has </w:t>
      </w:r>
      <w:r w:rsidR="00015335" w:rsidRPr="008C6A05">
        <w:t>received an application f</w:t>
      </w:r>
      <w:r w:rsidR="004F0A88">
        <w:t>rom Dunedin Casinos Limited</w:t>
      </w:r>
      <w:r w:rsidR="00015335" w:rsidRPr="008C6A05">
        <w:t xml:space="preserve"> </w:t>
      </w:r>
      <w:r w:rsidR="007821DD">
        <w:t xml:space="preserve">to introduce </w:t>
      </w:r>
      <w:r w:rsidR="00FE0A53">
        <w:t>TITO</w:t>
      </w:r>
      <w:r w:rsidR="00FA4F3F">
        <w:t xml:space="preserve"> and</w:t>
      </w:r>
      <w:r w:rsidR="00FE0A53">
        <w:t xml:space="preserve"> </w:t>
      </w:r>
      <w:r w:rsidR="009158FC">
        <w:t>consider</w:t>
      </w:r>
      <w:r w:rsidR="00676936">
        <w:t xml:space="preserve">s </w:t>
      </w:r>
      <w:r w:rsidR="003F5688">
        <w:t>that</w:t>
      </w:r>
      <w:r w:rsidR="00C24488">
        <w:t>,</w:t>
      </w:r>
      <w:r w:rsidR="00FA4F3F">
        <w:t xml:space="preserve"> rather than deal with the application in isolation,</w:t>
      </w:r>
      <w:r w:rsidR="003F5688">
        <w:t xml:space="preserve"> it is now time</w:t>
      </w:r>
      <w:r w:rsidR="00C141FE">
        <w:t>ly</w:t>
      </w:r>
      <w:r w:rsidR="003F5688">
        <w:t xml:space="preserve"> to </w:t>
      </w:r>
      <w:r w:rsidR="00676936">
        <w:t>develop</w:t>
      </w:r>
      <w:r w:rsidR="00FE0A53">
        <w:t xml:space="preserve"> </w:t>
      </w:r>
      <w:r w:rsidR="00C141FE">
        <w:t xml:space="preserve">a comprehensive </w:t>
      </w:r>
      <w:r w:rsidR="000F57CC">
        <w:t xml:space="preserve">minimum </w:t>
      </w:r>
      <w:r w:rsidR="00C141FE">
        <w:t xml:space="preserve">standard for </w:t>
      </w:r>
      <w:r w:rsidR="00F15253">
        <w:t xml:space="preserve">account-based </w:t>
      </w:r>
      <w:r w:rsidR="003F5688">
        <w:t xml:space="preserve">cashless </w:t>
      </w:r>
      <w:r w:rsidR="00FE0A53">
        <w:t xml:space="preserve">gambling </w:t>
      </w:r>
      <w:r w:rsidR="008C6A05">
        <w:t>in New Zealand casinos</w:t>
      </w:r>
      <w:r w:rsidR="003031A6">
        <w:t xml:space="preserve">.  We have developed a draft </w:t>
      </w:r>
      <w:r w:rsidR="000F57CC">
        <w:t xml:space="preserve">minimum </w:t>
      </w:r>
      <w:r w:rsidR="003031A6">
        <w:t>standard</w:t>
      </w:r>
      <w:r w:rsidR="00664AA9">
        <w:t xml:space="preserve"> </w:t>
      </w:r>
      <w:r w:rsidR="000F57CC">
        <w:t xml:space="preserve">that sets </w:t>
      </w:r>
      <w:r w:rsidR="001C1085">
        <w:t xml:space="preserve">out </w:t>
      </w:r>
      <w:r w:rsidR="00FE0A53">
        <w:t>proposed</w:t>
      </w:r>
      <w:r w:rsidR="001C1085">
        <w:t xml:space="preserve"> technical </w:t>
      </w:r>
      <w:r w:rsidR="003031A6">
        <w:t xml:space="preserve">requirements </w:t>
      </w:r>
      <w:r w:rsidR="001C1085">
        <w:t>for account</w:t>
      </w:r>
      <w:r w:rsidR="00C141FE">
        <w:t>-</w:t>
      </w:r>
      <w:r w:rsidR="001C1085">
        <w:t xml:space="preserve">based cashless </w:t>
      </w:r>
      <w:r w:rsidR="00CE3F27">
        <w:t xml:space="preserve">systems </w:t>
      </w:r>
      <w:r w:rsidR="00FE0A53">
        <w:t>and accompanying harm minimisation requirements.</w:t>
      </w:r>
    </w:p>
    <w:p w:rsidR="00BE60FE" w:rsidRDefault="00BE60FE" w:rsidP="005E2EE4">
      <w:pPr>
        <w:jc w:val="both"/>
      </w:pPr>
      <w:r>
        <w:t>Note that this proposal</w:t>
      </w:r>
      <w:r w:rsidRPr="00BE60FE">
        <w:t xml:space="preserve"> does not </w:t>
      </w:r>
      <w:r>
        <w:t>affect the</w:t>
      </w:r>
      <w:r w:rsidRPr="00BE60FE">
        <w:t xml:space="preserve"> </w:t>
      </w:r>
      <w:r w:rsidR="004008A7">
        <w:t xml:space="preserve">regulatory </w:t>
      </w:r>
      <w:r>
        <w:t>concessions</w:t>
      </w:r>
      <w:r w:rsidRPr="00BE60FE">
        <w:t xml:space="preserve"> </w:t>
      </w:r>
      <w:r>
        <w:t xml:space="preserve">at </w:t>
      </w:r>
      <w:r w:rsidRPr="00BE60FE">
        <w:t xml:space="preserve">SkyCity Auckland as prescribed by the New Zealand International Convention Centre </w:t>
      </w:r>
      <w:r w:rsidR="004008A7">
        <w:t>Act</w:t>
      </w:r>
      <w:r w:rsidRPr="00BE60FE">
        <w:t>.</w:t>
      </w:r>
    </w:p>
    <w:p w:rsidR="00115DD9" w:rsidRPr="002E58AF" w:rsidRDefault="00115DD9" w:rsidP="005E2EE4">
      <w:pPr>
        <w:pStyle w:val="Heading3"/>
        <w:spacing w:after="240"/>
        <w:jc w:val="both"/>
        <w:rPr>
          <w:szCs w:val="28"/>
        </w:rPr>
      </w:pPr>
      <w:bookmarkStart w:id="5" w:name="_Toc437434766"/>
      <w:r w:rsidRPr="002E58AF">
        <w:rPr>
          <w:szCs w:val="28"/>
        </w:rPr>
        <w:lastRenderedPageBreak/>
        <w:t>Relevant legislation</w:t>
      </w:r>
      <w:bookmarkEnd w:id="5"/>
    </w:p>
    <w:p w:rsidR="00115DD9" w:rsidRPr="005E1508" w:rsidRDefault="00115DD9" w:rsidP="005E2EE4">
      <w:pPr>
        <w:pStyle w:val="BodyText"/>
        <w:spacing w:after="240" w:line="280" w:lineRule="atLeast"/>
        <w:jc w:val="both"/>
      </w:pPr>
      <w:r w:rsidRPr="005E1508">
        <w:rPr>
          <w:b/>
        </w:rPr>
        <w:t>Section 327</w:t>
      </w:r>
      <w:r>
        <w:t xml:space="preserve"> of the Act</w:t>
      </w:r>
      <w:r w:rsidRPr="005E1508">
        <w:t xml:space="preserve"> gives the Secretary for Internal Affairs (the Secretary) the power to prescribe minimum standards for </w:t>
      </w:r>
      <w:r w:rsidR="00C706D7">
        <w:t xml:space="preserve">the </w:t>
      </w:r>
      <w:r w:rsidRPr="005E1508">
        <w:t xml:space="preserve">design, manufacture, and performance of gambling equipment, by notification in the </w:t>
      </w:r>
      <w:r w:rsidRPr="005E1508">
        <w:rPr>
          <w:i/>
        </w:rPr>
        <w:t>Gazette.</w:t>
      </w:r>
      <w:r w:rsidRPr="005E1508">
        <w:t xml:space="preserve"> The Secretary is permitted to amend or revoke minimum standards at any time, provided that any changes are notified in the </w:t>
      </w:r>
      <w:r w:rsidRPr="005E1508">
        <w:rPr>
          <w:i/>
        </w:rPr>
        <w:t>Gazette.</w:t>
      </w:r>
      <w:r w:rsidRPr="005E1508">
        <w:t xml:space="preserve"> </w:t>
      </w:r>
    </w:p>
    <w:p w:rsidR="00115DD9" w:rsidRPr="00090717" w:rsidRDefault="00115DD9" w:rsidP="005E2EE4">
      <w:pPr>
        <w:autoSpaceDE w:val="0"/>
        <w:autoSpaceDN w:val="0"/>
        <w:adjustRightInd w:val="0"/>
        <w:jc w:val="both"/>
        <w:rPr>
          <w:rFonts w:cs="TimesNewRomanPSMT"/>
          <w:lang w:eastAsia="en-NZ"/>
        </w:rPr>
      </w:pPr>
      <w:r w:rsidRPr="005E1508">
        <w:rPr>
          <w:rFonts w:cs="TimesNewRomanPSMT"/>
          <w:b/>
          <w:lang w:eastAsia="en-NZ"/>
        </w:rPr>
        <w:t xml:space="preserve">Section 328(2) </w:t>
      </w:r>
      <w:r w:rsidRPr="005E1508">
        <w:rPr>
          <w:rFonts w:cs="TimesNewRomanPSMT"/>
          <w:lang w:eastAsia="en-NZ"/>
        </w:rPr>
        <w:t>of the Act</w:t>
      </w:r>
      <w:r w:rsidRPr="005E1508">
        <w:rPr>
          <w:rFonts w:cs="TimesNewRomanPSMT"/>
          <w:b/>
          <w:lang w:eastAsia="en-NZ"/>
        </w:rPr>
        <w:t xml:space="preserve"> </w:t>
      </w:r>
      <w:r w:rsidRPr="00B676D2">
        <w:rPr>
          <w:rFonts w:cs="TimesNewRomanPSMT"/>
          <w:lang w:eastAsia="en-NZ"/>
        </w:rPr>
        <w:t>s</w:t>
      </w:r>
      <w:r w:rsidRPr="005E1508">
        <w:rPr>
          <w:rFonts w:cs="TimesNewRomanPSMT"/>
          <w:lang w:eastAsia="en-NZ"/>
        </w:rPr>
        <w:t>tates that if no minimum standard exists in respect of a particular item of gambling equipment, a person may apply to the Secretary for a minimum standard to be prescribed.</w:t>
      </w:r>
    </w:p>
    <w:p w:rsidR="00336F82" w:rsidRPr="00336F82" w:rsidRDefault="00336F82" w:rsidP="005E2EE4">
      <w:pPr>
        <w:pStyle w:val="Heading3"/>
        <w:spacing w:after="240"/>
        <w:jc w:val="both"/>
        <w:rPr>
          <w:szCs w:val="28"/>
        </w:rPr>
      </w:pPr>
      <w:r w:rsidRPr="00336F82">
        <w:rPr>
          <w:szCs w:val="28"/>
        </w:rPr>
        <w:t xml:space="preserve">Current forms of cashless </w:t>
      </w:r>
      <w:r>
        <w:rPr>
          <w:szCs w:val="28"/>
        </w:rPr>
        <w:t xml:space="preserve">gambling </w:t>
      </w:r>
      <w:r w:rsidRPr="00336F82">
        <w:rPr>
          <w:szCs w:val="28"/>
        </w:rPr>
        <w:t>in New Zealand</w:t>
      </w:r>
    </w:p>
    <w:p w:rsidR="00053A48" w:rsidRDefault="00053A48" w:rsidP="005E2EE4">
      <w:pPr>
        <w:jc w:val="both"/>
      </w:pPr>
      <w:r w:rsidRPr="00053A48">
        <w:rPr>
          <w:u w:val="single"/>
        </w:rPr>
        <w:t>Ticket In Ticket Out (TITO)</w:t>
      </w:r>
      <w:r>
        <w:t xml:space="preserve"> </w:t>
      </w:r>
      <w:r w:rsidRPr="00053A48">
        <w:rPr>
          <w:i/>
        </w:rPr>
        <w:t>(restricted to SkyCity Auckland)</w:t>
      </w:r>
    </w:p>
    <w:p w:rsidR="00902EBE" w:rsidRDefault="00053A48" w:rsidP="005E2EE4">
      <w:pPr>
        <w:jc w:val="both"/>
      </w:pPr>
      <w:r>
        <w:t xml:space="preserve">TITO systems allow patrons to load a credit value onto tickets or vouchers </w:t>
      </w:r>
      <w:r w:rsidR="00151740">
        <w:t xml:space="preserve">via a cashier or </w:t>
      </w:r>
      <w:r>
        <w:t xml:space="preserve">a kiosk before they commence play on a machine.  Tickets are then placed in the machine in lieu of cash, usually via a modified banknote acceptor device.  </w:t>
      </w:r>
      <w:r w:rsidR="00FD05EF">
        <w:t>G</w:t>
      </w:r>
      <w:r>
        <w:t>aming machines print tickets with a credit value that can be inserted into another machine or redeemed by the cashier</w:t>
      </w:r>
      <w:r w:rsidR="00FD05EF">
        <w:t xml:space="preserve"> or at a kiosk</w:t>
      </w:r>
      <w:r>
        <w:t>.</w:t>
      </w:r>
    </w:p>
    <w:p w:rsidR="00053A48" w:rsidRDefault="00053A48" w:rsidP="005E2EE4">
      <w:pPr>
        <w:jc w:val="both"/>
      </w:pPr>
      <w:r w:rsidRPr="00053A48">
        <w:rPr>
          <w:u w:val="single"/>
        </w:rPr>
        <w:t xml:space="preserve">Cashless Card-Based </w:t>
      </w:r>
      <w:r w:rsidRPr="00053A48">
        <w:rPr>
          <w:i/>
        </w:rPr>
        <w:t>(restricted to SkyCity Auckland under the New Zealand International Convention Centre Agreement)</w:t>
      </w:r>
    </w:p>
    <w:p w:rsidR="00053A48" w:rsidRDefault="00053A48" w:rsidP="005E2EE4">
      <w:pPr>
        <w:jc w:val="both"/>
      </w:pPr>
      <w:r>
        <w:t>The cashless</w:t>
      </w:r>
      <w:r w:rsidR="002366B0">
        <w:t xml:space="preserve"> </w:t>
      </w:r>
      <w:r>
        <w:t>card</w:t>
      </w:r>
      <w:r w:rsidR="002366B0">
        <w:t>-</w:t>
      </w:r>
      <w:r>
        <w:t xml:space="preserve">based technology uses </w:t>
      </w:r>
      <w:r w:rsidR="002366B0">
        <w:t>a</w:t>
      </w:r>
      <w:r>
        <w:t xml:space="preserve"> loyalty card (or </w:t>
      </w:r>
      <w:r w:rsidR="002366B0">
        <w:t>a</w:t>
      </w:r>
      <w:r>
        <w:t xml:space="preserve"> white card for </w:t>
      </w:r>
      <w:r w:rsidR="0048100A">
        <w:t xml:space="preserve">players </w:t>
      </w:r>
      <w:r>
        <w:t>who are</w:t>
      </w:r>
      <w:r w:rsidR="002366B0">
        <w:t xml:space="preserve"> not</w:t>
      </w:r>
      <w:r>
        <w:t xml:space="preserve"> loyalty club members)</w:t>
      </w:r>
      <w:r w:rsidR="0048100A">
        <w:t xml:space="preserve"> to access a casino account</w:t>
      </w:r>
      <w:r>
        <w:t xml:space="preserve">. </w:t>
      </w:r>
      <w:r w:rsidR="0048100A">
        <w:t xml:space="preserve"> </w:t>
      </w:r>
      <w:r>
        <w:t xml:space="preserve">Any wins </w:t>
      </w:r>
      <w:r w:rsidR="0048100A">
        <w:t>are</w:t>
      </w:r>
      <w:r w:rsidR="00B45C7D">
        <w:t xml:space="preserve"> </w:t>
      </w:r>
      <w:r>
        <w:t xml:space="preserve">converted to cash by the cashier or </w:t>
      </w:r>
      <w:r w:rsidR="002366B0">
        <w:t xml:space="preserve">at </w:t>
      </w:r>
      <w:r>
        <w:t xml:space="preserve">a kiosk. </w:t>
      </w:r>
    </w:p>
    <w:p w:rsidR="00053A48" w:rsidRDefault="00053A48" w:rsidP="005E2EE4">
      <w:pPr>
        <w:jc w:val="both"/>
      </w:pPr>
      <w:r w:rsidRPr="00053A48">
        <w:rPr>
          <w:u w:val="single"/>
        </w:rPr>
        <w:t>Cashless Front Money</w:t>
      </w:r>
      <w:r>
        <w:t xml:space="preserve"> </w:t>
      </w:r>
      <w:r w:rsidRPr="00053A48">
        <w:rPr>
          <w:i/>
        </w:rPr>
        <w:t>(</w:t>
      </w:r>
      <w:r w:rsidR="003605B7">
        <w:rPr>
          <w:i/>
        </w:rPr>
        <w:t>c</w:t>
      </w:r>
      <w:r w:rsidR="000458E3">
        <w:rPr>
          <w:i/>
        </w:rPr>
        <w:t xml:space="preserve">urrently in use in </w:t>
      </w:r>
      <w:r w:rsidRPr="00053A48">
        <w:rPr>
          <w:i/>
        </w:rPr>
        <w:t xml:space="preserve">Christchurch Casino but </w:t>
      </w:r>
      <w:r w:rsidR="00193678">
        <w:rPr>
          <w:i/>
        </w:rPr>
        <w:t xml:space="preserve">can be </w:t>
      </w:r>
      <w:r w:rsidR="000458E3">
        <w:rPr>
          <w:i/>
        </w:rPr>
        <w:t>adopted in any</w:t>
      </w:r>
      <w:r w:rsidR="00193678">
        <w:rPr>
          <w:i/>
        </w:rPr>
        <w:t xml:space="preserve"> </w:t>
      </w:r>
      <w:r w:rsidRPr="00053A48">
        <w:rPr>
          <w:i/>
        </w:rPr>
        <w:t>New Zealand casino)</w:t>
      </w:r>
      <w:r>
        <w:t xml:space="preserve"> </w:t>
      </w:r>
    </w:p>
    <w:p w:rsidR="00336F82" w:rsidRPr="00C376B6" w:rsidRDefault="00053A48" w:rsidP="005E2EE4">
      <w:pPr>
        <w:jc w:val="both"/>
      </w:pPr>
      <w:r>
        <w:t xml:space="preserve">Front Money requires the patron to have a deposit account with the casino.  The funds are downloaded from the deposit account directly to a gaming machine.  The loyalty card is the mechanism by which the patron signs in and downloads the money </w:t>
      </w:r>
      <w:r w:rsidR="00F86313">
        <w:t xml:space="preserve">from their account but it is not </w:t>
      </w:r>
      <w:r>
        <w:t>a stored value card – the cash equivalent credits go directly from the deposit account to the gaming machine.  Any c</w:t>
      </w:r>
      <w:r w:rsidR="000C50BD">
        <w:t>redits must be paid out in cash.</w:t>
      </w:r>
    </w:p>
    <w:p w:rsidR="00115DD9" w:rsidRPr="002F7FE5" w:rsidRDefault="002F7FE5" w:rsidP="005E2EE4">
      <w:pPr>
        <w:pStyle w:val="Heading3"/>
        <w:spacing w:after="240"/>
        <w:jc w:val="both"/>
        <w:rPr>
          <w:szCs w:val="28"/>
        </w:rPr>
      </w:pPr>
      <w:r w:rsidRPr="002F7FE5">
        <w:rPr>
          <w:szCs w:val="28"/>
        </w:rPr>
        <w:t>Cashless Gambling – Interim Position Paper 2006</w:t>
      </w:r>
    </w:p>
    <w:p w:rsidR="009B0561" w:rsidRDefault="002F7FE5" w:rsidP="004D344C">
      <w:pPr>
        <w:keepLines w:val="0"/>
        <w:autoSpaceDE w:val="0"/>
        <w:autoSpaceDN w:val="0"/>
        <w:adjustRightInd w:val="0"/>
        <w:spacing w:before="0" w:after="0"/>
        <w:jc w:val="both"/>
      </w:pPr>
      <w:r>
        <w:t>The Department published a</w:t>
      </w:r>
      <w:r w:rsidR="00BB004F">
        <w:t>n interim</w:t>
      </w:r>
      <w:r>
        <w:t xml:space="preserve"> position paper on cashless gambling in 2006.</w:t>
      </w:r>
      <w:r>
        <w:rPr>
          <w:rStyle w:val="FootnoteReference"/>
        </w:rPr>
        <w:footnoteReference w:id="3"/>
      </w:r>
      <w:r w:rsidR="00FE13D3">
        <w:t xml:space="preserve">  This paper considered </w:t>
      </w:r>
      <w:r w:rsidR="006F6C53">
        <w:t>the</w:t>
      </w:r>
      <w:r w:rsidR="009B0EED">
        <w:t xml:space="preserve"> basis, if any, </w:t>
      </w:r>
      <w:r w:rsidR="006F6C53">
        <w:t xml:space="preserve">on which </w:t>
      </w:r>
      <w:r w:rsidR="009B0EED">
        <w:t xml:space="preserve">the Department would consider the introduction of cashless technologies under the Act.  </w:t>
      </w:r>
      <w:r w:rsidR="00404743">
        <w:t>A number of cashless technologies were discussed in the paper</w:t>
      </w:r>
      <w:r w:rsidR="009B0561">
        <w:t xml:space="preserve"> including account-based cashless system</w:t>
      </w:r>
      <w:r w:rsidR="00665ACC">
        <w:t>s</w:t>
      </w:r>
      <w:r w:rsidR="00404743">
        <w:t xml:space="preserve">.  </w:t>
      </w:r>
      <w:r w:rsidR="0026609E">
        <w:t>The</w:t>
      </w:r>
      <w:r w:rsidR="00F9461E">
        <w:t xml:space="preserve"> Department </w:t>
      </w:r>
      <w:r w:rsidR="00F9461E">
        <w:lastRenderedPageBreak/>
        <w:t>considered</w:t>
      </w:r>
      <w:r w:rsidR="00453324">
        <w:t xml:space="preserve"> that</w:t>
      </w:r>
      <w:r w:rsidR="0026609E">
        <w:t xml:space="preserve"> at that time</w:t>
      </w:r>
      <w:r w:rsidR="00453324">
        <w:t xml:space="preserve"> there were insufficient mitigating controls available to outweigh the potential harm of cashless gambling, while acknowledging that cashless systems with appropriate controls may facilitate responsible gambling practices and the provision of player information. </w:t>
      </w:r>
    </w:p>
    <w:p w:rsidR="009B0561" w:rsidRDefault="009B0561" w:rsidP="004D344C">
      <w:pPr>
        <w:keepLines w:val="0"/>
        <w:autoSpaceDE w:val="0"/>
        <w:autoSpaceDN w:val="0"/>
        <w:adjustRightInd w:val="0"/>
        <w:spacing w:before="0" w:after="0"/>
        <w:jc w:val="both"/>
      </w:pPr>
    </w:p>
    <w:p w:rsidR="00BB0B56" w:rsidRDefault="0026609E" w:rsidP="004D344C">
      <w:pPr>
        <w:keepLines w:val="0"/>
        <w:autoSpaceDE w:val="0"/>
        <w:autoSpaceDN w:val="0"/>
        <w:adjustRightInd w:val="0"/>
        <w:spacing w:before="0" w:after="0"/>
        <w:jc w:val="both"/>
      </w:pPr>
      <w:r>
        <w:t>The</w:t>
      </w:r>
      <w:r w:rsidR="00404743">
        <w:t xml:space="preserve"> Department </w:t>
      </w:r>
      <w:r w:rsidR="00BB0B56">
        <w:t xml:space="preserve">took the position </w:t>
      </w:r>
      <w:r w:rsidR="009B0561">
        <w:t xml:space="preserve">in 2006 </w:t>
      </w:r>
      <w:r w:rsidR="00BB0B56">
        <w:t xml:space="preserve">that new standards for cashless technologies </w:t>
      </w:r>
      <w:r w:rsidR="00FA689C">
        <w:t xml:space="preserve">should </w:t>
      </w:r>
      <w:r w:rsidR="00BB0B56">
        <w:t>not be considered until the Department was satisfied that the technology would have a neutral or beneficial effect on gambling harm.</w:t>
      </w:r>
    </w:p>
    <w:p w:rsidR="00BB0B56" w:rsidRDefault="00BB0B56" w:rsidP="004D344C">
      <w:pPr>
        <w:keepLines w:val="0"/>
        <w:autoSpaceDE w:val="0"/>
        <w:autoSpaceDN w:val="0"/>
        <w:adjustRightInd w:val="0"/>
        <w:spacing w:before="0" w:after="0"/>
        <w:jc w:val="both"/>
      </w:pPr>
    </w:p>
    <w:p w:rsidR="006B126C" w:rsidRDefault="009B0561" w:rsidP="004D344C">
      <w:pPr>
        <w:keepLines w:val="0"/>
        <w:autoSpaceDE w:val="0"/>
        <w:autoSpaceDN w:val="0"/>
        <w:adjustRightInd w:val="0"/>
        <w:spacing w:before="0" w:after="0"/>
        <w:jc w:val="both"/>
      </w:pPr>
      <w:r>
        <w:t xml:space="preserve">The </w:t>
      </w:r>
      <w:r w:rsidR="00CC0E3E">
        <w:t>casino environment has changed significantly since 2006</w:t>
      </w:r>
      <w:r w:rsidR="00AA13C9">
        <w:t xml:space="preserve">.  </w:t>
      </w:r>
      <w:r w:rsidR="0026609E">
        <w:t>All</w:t>
      </w:r>
      <w:r w:rsidR="00AA13C9">
        <w:t xml:space="preserve"> casinos in New Zealand have updated their C</w:t>
      </w:r>
      <w:r w:rsidR="0026609E">
        <w:t>asino Monitoring system</w:t>
      </w:r>
      <w:r w:rsidR="00DD3901">
        <w:t xml:space="preserve"> and have introduced</w:t>
      </w:r>
      <w:r w:rsidR="00193678">
        <w:t xml:space="preserve"> </w:t>
      </w:r>
      <w:r w:rsidR="003B6DBB">
        <w:t>features such as pre-</w:t>
      </w:r>
      <w:r w:rsidR="00486710">
        <w:t>commitment</w:t>
      </w:r>
      <w:r w:rsidR="003B6DBB">
        <w:t xml:space="preserve"> and </w:t>
      </w:r>
      <w:r w:rsidR="00F52445">
        <w:t>the ability to use technology to monitor and analyse the gambling patterns of individual patrons</w:t>
      </w:r>
      <w:r>
        <w:t xml:space="preserve">.  </w:t>
      </w:r>
      <w:r w:rsidR="00603423">
        <w:t>When play is ‘carded’ (i.e.</w:t>
      </w:r>
      <w:r w:rsidR="006B126C">
        <w:t xml:space="preserve"> the player has a </w:t>
      </w:r>
      <w:r w:rsidR="00D845DA">
        <w:t>casino account and uses a loyalty card to play</w:t>
      </w:r>
      <w:r w:rsidR="00603423">
        <w:t>)</w:t>
      </w:r>
      <w:r w:rsidR="006B126C">
        <w:t xml:space="preserve"> patterns of play including spend</w:t>
      </w:r>
      <w:r w:rsidR="00BB7204">
        <w:t>ing</w:t>
      </w:r>
      <w:r w:rsidR="006B126C">
        <w:t>, duration of play and frequency of visits can be tracked b</w:t>
      </w:r>
      <w:r w:rsidR="00D845DA">
        <w:t xml:space="preserve">y the system.  This provides the casino with visible and accurate information to assist in identifying potential problem gambling risk among carded players.  </w:t>
      </w:r>
      <w:r w:rsidR="0039686B" w:rsidRPr="00FE6A3F">
        <w:t>Carded play also supports casinos in meeting their customer due diligence obligations</w:t>
      </w:r>
      <w:r w:rsidR="00FE6A3F" w:rsidRPr="00FE6A3F">
        <w:t xml:space="preserve"> under the Anti-Money Laundering and Countering Financing of Terrorism Act 2009</w:t>
      </w:r>
      <w:r w:rsidR="0039686B" w:rsidRPr="00FE6A3F">
        <w:t>.</w:t>
      </w:r>
      <w:r w:rsidR="00D845DA">
        <w:t xml:space="preserve">    </w:t>
      </w:r>
    </w:p>
    <w:p w:rsidR="006B126C" w:rsidRDefault="006B126C" w:rsidP="004D344C">
      <w:pPr>
        <w:keepLines w:val="0"/>
        <w:autoSpaceDE w:val="0"/>
        <w:autoSpaceDN w:val="0"/>
        <w:adjustRightInd w:val="0"/>
        <w:spacing w:before="0" w:after="0"/>
        <w:jc w:val="both"/>
      </w:pPr>
    </w:p>
    <w:p w:rsidR="004D344C" w:rsidRPr="004D344C" w:rsidRDefault="006B126C" w:rsidP="004D344C">
      <w:pPr>
        <w:keepLines w:val="0"/>
        <w:autoSpaceDE w:val="0"/>
        <w:autoSpaceDN w:val="0"/>
        <w:adjustRightInd w:val="0"/>
        <w:spacing w:before="0" w:after="0"/>
        <w:jc w:val="both"/>
      </w:pPr>
      <w:r>
        <w:t>G</w:t>
      </w:r>
      <w:r w:rsidR="009B0561">
        <w:t>iven th</w:t>
      </w:r>
      <w:r>
        <w:t>e above</w:t>
      </w:r>
      <w:r w:rsidR="009128A0">
        <w:t>, the Department has reassessed</w:t>
      </w:r>
      <w:r w:rsidR="009B0561">
        <w:t xml:space="preserve"> its position </w:t>
      </w:r>
      <w:r w:rsidR="00B56462">
        <w:t>on</w:t>
      </w:r>
      <w:r w:rsidR="009B0561">
        <w:t xml:space="preserve"> the use of account-based cashless gambling within the casino environment.  </w:t>
      </w:r>
    </w:p>
    <w:p w:rsidR="006D5643" w:rsidRPr="00844425" w:rsidRDefault="006D5643" w:rsidP="005E2EE4">
      <w:pPr>
        <w:pStyle w:val="Heading3"/>
        <w:spacing w:after="240"/>
        <w:jc w:val="both"/>
        <w:rPr>
          <w:szCs w:val="28"/>
        </w:rPr>
      </w:pPr>
      <w:r w:rsidRPr="00844425">
        <w:rPr>
          <w:szCs w:val="28"/>
        </w:rPr>
        <w:t xml:space="preserve">Risks associated with </w:t>
      </w:r>
      <w:r w:rsidR="00942927">
        <w:rPr>
          <w:szCs w:val="28"/>
        </w:rPr>
        <w:t xml:space="preserve">account-based </w:t>
      </w:r>
      <w:r w:rsidRPr="00844425">
        <w:rPr>
          <w:szCs w:val="28"/>
        </w:rPr>
        <w:t xml:space="preserve">cashless </w:t>
      </w:r>
      <w:r w:rsidR="00844425" w:rsidRPr="00844425">
        <w:rPr>
          <w:szCs w:val="28"/>
        </w:rPr>
        <w:t>gambling</w:t>
      </w:r>
    </w:p>
    <w:p w:rsidR="00CB7D03" w:rsidRPr="00CD1031" w:rsidRDefault="00CB7D03" w:rsidP="005E2EE4">
      <w:pPr>
        <w:jc w:val="both"/>
        <w:rPr>
          <w:b/>
        </w:rPr>
      </w:pPr>
      <w:r w:rsidRPr="00CD1031">
        <w:rPr>
          <w:b/>
        </w:rPr>
        <w:t>Extended, Intensive and Repetitive Play</w:t>
      </w:r>
    </w:p>
    <w:p w:rsidR="00C10E6C" w:rsidRDefault="0052584E" w:rsidP="005E2EE4">
      <w:pPr>
        <w:jc w:val="both"/>
      </w:pPr>
      <w:r>
        <w:t>The p</w:t>
      </w:r>
      <w:r w:rsidR="00C10E6C">
        <w:t xml:space="preserve">otential risk of cashless </w:t>
      </w:r>
      <w:r>
        <w:t>gambling (particularly on gaming machines)</w:t>
      </w:r>
      <w:r w:rsidR="00C10E6C">
        <w:t xml:space="preserve"> </w:t>
      </w:r>
      <w:r>
        <w:t>is</w:t>
      </w:r>
      <w:r w:rsidR="00C10E6C">
        <w:t xml:space="preserve"> that, without </w:t>
      </w:r>
      <w:r w:rsidR="006E228F">
        <w:t>mitigation</w:t>
      </w:r>
      <w:r w:rsidR="00C10E6C">
        <w:t xml:space="preserve">, </w:t>
      </w:r>
      <w:r>
        <w:t>it</w:t>
      </w:r>
      <w:r w:rsidR="00C10E6C">
        <w:t xml:space="preserve"> may facilitate gambling behaviours such as continuous play</w:t>
      </w:r>
      <w:r w:rsidR="00D155DB">
        <w:t>. This is</w:t>
      </w:r>
      <w:r w:rsidR="00C10E6C">
        <w:t xml:space="preserve"> because breaks in play (e.g. having to </w:t>
      </w:r>
      <w:r w:rsidR="00D155DB">
        <w:t>put more cash into the machine</w:t>
      </w:r>
      <w:r w:rsidR="00C10E6C">
        <w:t xml:space="preserve">) are likely to be reduced.  </w:t>
      </w:r>
    </w:p>
    <w:p w:rsidR="004804AE" w:rsidRDefault="00C10E6C" w:rsidP="005E2EE4">
      <w:pPr>
        <w:jc w:val="both"/>
      </w:pPr>
      <w:r>
        <w:t xml:space="preserve">Cashless </w:t>
      </w:r>
      <w:r w:rsidR="006109A3">
        <w:t>gambling</w:t>
      </w:r>
      <w:r>
        <w:t xml:space="preserve"> may also undermine the intention of the statutory banknote provision.  </w:t>
      </w:r>
      <w:r w:rsidR="00CD1031" w:rsidRPr="00CD1031">
        <w:t>The</w:t>
      </w:r>
      <w:r w:rsidR="00CB7D03" w:rsidRPr="00CD1031">
        <w:t xml:space="preserve"> Act states that gaming machines in casinos must not accept banknotes with a denom</w:t>
      </w:r>
      <w:r>
        <w:t xml:space="preserve">ination greater than $20.  This </w:t>
      </w:r>
      <w:r w:rsidR="00CB7D03" w:rsidRPr="00CD1031">
        <w:t xml:space="preserve">restriction was intended to </w:t>
      </w:r>
      <w:r w:rsidR="006E228F">
        <w:t xml:space="preserve">slow down play and </w:t>
      </w:r>
      <w:r w:rsidR="00CB7D03" w:rsidRPr="00CD1031">
        <w:t>mitigate to some extent the continuous nature of gambling on gaming machines</w:t>
      </w:r>
      <w:r w:rsidR="006E228F">
        <w:t xml:space="preserve">. </w:t>
      </w:r>
      <w:r w:rsidR="004D29CE">
        <w:t xml:space="preserve"> </w:t>
      </w:r>
      <w:r w:rsidR="006E228F">
        <w:t>It was also intended to</w:t>
      </w:r>
      <w:r w:rsidR="00BF07FE">
        <w:t xml:space="preserve"> assist in discouraging</w:t>
      </w:r>
      <w:r w:rsidR="00CD1031" w:rsidRPr="00CD1031">
        <w:t xml:space="preserve"> hig</w:t>
      </w:r>
      <w:r w:rsidR="00BF07FE">
        <w:t>h levels of spend</w:t>
      </w:r>
      <w:r w:rsidR="00E5067A">
        <w:t>ing</w:t>
      </w:r>
      <w:r w:rsidR="00BF07FE">
        <w:t xml:space="preserve"> and facilitating</w:t>
      </w:r>
      <w:r w:rsidR="00CD1031" w:rsidRPr="00CD1031">
        <w:t xml:space="preserve"> breaks in play.</w:t>
      </w:r>
      <w:r w:rsidR="00CB7D03" w:rsidRPr="00CD1031">
        <w:t xml:space="preserve"> </w:t>
      </w:r>
    </w:p>
    <w:p w:rsidR="00CB7D03" w:rsidRPr="00CD1031" w:rsidRDefault="00CB7D03" w:rsidP="005E2EE4">
      <w:pPr>
        <w:jc w:val="both"/>
      </w:pPr>
      <w:r w:rsidRPr="00CD1031">
        <w:t>The introduction of cashless gambling functionality is not prohibited by the existence of the $20 note restriction</w:t>
      </w:r>
      <w:r w:rsidR="00EB4836">
        <w:t>. H</w:t>
      </w:r>
      <w:r w:rsidRPr="00CD1031">
        <w:t xml:space="preserve">owever, it is arguable that its introduction could </w:t>
      </w:r>
      <w:r w:rsidR="00C10E6C">
        <w:t xml:space="preserve">diminish </w:t>
      </w:r>
      <w:r w:rsidRPr="00CD1031">
        <w:t xml:space="preserve">some of the intended benefits. The ability to download credits directly has the potential to reinforce continuous play </w:t>
      </w:r>
      <w:r w:rsidR="00E5067A">
        <w:t>by</w:t>
      </w:r>
      <w:r w:rsidRPr="00CD1031">
        <w:t xml:space="preserve"> eliminat</w:t>
      </w:r>
      <w:r w:rsidR="00E5067A">
        <w:t>ing</w:t>
      </w:r>
      <w:r w:rsidRPr="00CD1031">
        <w:t xml:space="preserve"> the need for a player to leave the machine to access more cash.</w:t>
      </w:r>
    </w:p>
    <w:p w:rsidR="00CB7D03" w:rsidRPr="00BF07FE" w:rsidRDefault="00CB7D03" w:rsidP="005E2EE4">
      <w:pPr>
        <w:jc w:val="both"/>
      </w:pPr>
      <w:r w:rsidRPr="00BF07FE">
        <w:t xml:space="preserve">There is also </w:t>
      </w:r>
      <w:r w:rsidR="006E228F">
        <w:t xml:space="preserve">an </w:t>
      </w:r>
      <w:r w:rsidRPr="00BF07FE">
        <w:t xml:space="preserve">argument that establishing credits on a gaming machine directly from an account rather than through the physical insertion of </w:t>
      </w:r>
      <w:r w:rsidR="002E1494">
        <w:t>cash</w:t>
      </w:r>
      <w:r w:rsidRPr="00BF07FE">
        <w:t xml:space="preserve"> </w:t>
      </w:r>
      <w:r w:rsidR="0006007E">
        <w:t>increases</w:t>
      </w:r>
      <w:r w:rsidRPr="00BF07FE">
        <w:t xml:space="preserve"> the potential for dissociative behaviour.  That is, the removal of physical currency may aggravate disconnections with reality.</w:t>
      </w:r>
      <w:r w:rsidR="004804AE" w:rsidDel="004804AE">
        <w:t xml:space="preserve"> </w:t>
      </w:r>
    </w:p>
    <w:p w:rsidR="00844425" w:rsidRPr="00BF07FE" w:rsidRDefault="00CB7D03" w:rsidP="005E2EE4">
      <w:pPr>
        <w:jc w:val="both"/>
      </w:pPr>
      <w:r w:rsidRPr="004116F8">
        <w:lastRenderedPageBreak/>
        <w:t xml:space="preserve">Countering this is the argument that players having a </w:t>
      </w:r>
      <w:r w:rsidR="002E1494">
        <w:t>defined</w:t>
      </w:r>
      <w:r w:rsidRPr="004116F8">
        <w:t xml:space="preserve"> sum of money </w:t>
      </w:r>
      <w:r w:rsidR="002E1494">
        <w:t>in their casino account</w:t>
      </w:r>
      <w:r w:rsidR="0047146D">
        <w:t xml:space="preserve">, </w:t>
      </w:r>
      <w:r w:rsidR="002E1494">
        <w:t>and defined</w:t>
      </w:r>
      <w:r w:rsidRPr="004116F8">
        <w:t xml:space="preserve"> incremen</w:t>
      </w:r>
      <w:r w:rsidR="002E1494">
        <w:t>ts for download to machines</w:t>
      </w:r>
      <w:r w:rsidR="0047146D">
        <w:t>,</w:t>
      </w:r>
      <w:r w:rsidR="002E1494">
        <w:t xml:space="preserve"> make it</w:t>
      </w:r>
      <w:r w:rsidRPr="004116F8">
        <w:t xml:space="preserve"> less likely </w:t>
      </w:r>
      <w:r w:rsidR="002E1494">
        <w:t xml:space="preserve">that </w:t>
      </w:r>
      <w:r w:rsidRPr="004116F8">
        <w:t>players would lose track of spend</w:t>
      </w:r>
      <w:r w:rsidR="00BF4C45">
        <w:t>ing</w:t>
      </w:r>
      <w:r w:rsidRPr="004116F8">
        <w:t xml:space="preserve"> than through the </w:t>
      </w:r>
      <w:r w:rsidR="002E1494">
        <w:t>frequent insertion of cash</w:t>
      </w:r>
      <w:r w:rsidRPr="005E2EE4">
        <w:t>.</w:t>
      </w:r>
    </w:p>
    <w:p w:rsidR="006D5643" w:rsidRPr="00844425" w:rsidRDefault="006D5643" w:rsidP="005E2EE4">
      <w:pPr>
        <w:pStyle w:val="Heading3"/>
        <w:spacing w:after="240"/>
        <w:jc w:val="both"/>
        <w:rPr>
          <w:szCs w:val="28"/>
        </w:rPr>
      </w:pPr>
      <w:r w:rsidRPr="00844425">
        <w:rPr>
          <w:szCs w:val="28"/>
        </w:rPr>
        <w:t>Benefits ass</w:t>
      </w:r>
      <w:r w:rsidR="00844425" w:rsidRPr="00844425">
        <w:rPr>
          <w:szCs w:val="28"/>
        </w:rPr>
        <w:t xml:space="preserve">ociated with </w:t>
      </w:r>
      <w:r w:rsidR="00942927">
        <w:rPr>
          <w:szCs w:val="28"/>
        </w:rPr>
        <w:t xml:space="preserve">account-based </w:t>
      </w:r>
      <w:r w:rsidR="00844425" w:rsidRPr="00844425">
        <w:rPr>
          <w:szCs w:val="28"/>
        </w:rPr>
        <w:t>cashless gambling</w:t>
      </w:r>
    </w:p>
    <w:p w:rsidR="00CB7D03" w:rsidRPr="001526D2" w:rsidRDefault="00CB7D03" w:rsidP="005E2EE4">
      <w:pPr>
        <w:jc w:val="both"/>
        <w:rPr>
          <w:b/>
        </w:rPr>
      </w:pPr>
      <w:r w:rsidRPr="001526D2">
        <w:rPr>
          <w:b/>
        </w:rPr>
        <w:t>Informed Participation and Host Responsibility</w:t>
      </w:r>
    </w:p>
    <w:p w:rsidR="00C10E6C" w:rsidRPr="005E2EE4" w:rsidRDefault="00C10E6C" w:rsidP="00C10E6C">
      <w:pPr>
        <w:jc w:val="both"/>
      </w:pPr>
      <w:r>
        <w:t xml:space="preserve">The proposed </w:t>
      </w:r>
      <w:r w:rsidR="00367B1A">
        <w:t>standard</w:t>
      </w:r>
      <w:r w:rsidR="00367B1A" w:rsidRPr="005E2EE4">
        <w:t xml:space="preserve"> </w:t>
      </w:r>
      <w:r>
        <w:t>supports</w:t>
      </w:r>
      <w:r w:rsidR="00461834">
        <w:t xml:space="preserve"> the</w:t>
      </w:r>
      <w:r>
        <w:t xml:space="preserve"> </w:t>
      </w:r>
      <w:r w:rsidRPr="005E2EE4">
        <w:t>visibility of player transactions and allows for direct observation</w:t>
      </w:r>
      <w:r>
        <w:t xml:space="preserve"> of </w:t>
      </w:r>
      <w:r w:rsidR="00461834">
        <w:t>changes</w:t>
      </w:r>
      <w:r>
        <w:t xml:space="preserve"> in player rates and patterns</w:t>
      </w:r>
      <w:r w:rsidRPr="005E2EE4">
        <w:t xml:space="preserve"> of play.</w:t>
      </w:r>
      <w:r>
        <w:t xml:space="preserve">  This is because a</w:t>
      </w:r>
      <w:r w:rsidRPr="005E2EE4">
        <w:t xml:space="preserve">ny player who uses the </w:t>
      </w:r>
      <w:r>
        <w:t>system</w:t>
      </w:r>
      <w:r w:rsidRPr="005E2EE4">
        <w:t xml:space="preserve"> is engaging in carded play and </w:t>
      </w:r>
      <w:r>
        <w:t>their</w:t>
      </w:r>
      <w:r w:rsidRPr="005E2EE4">
        <w:t xml:space="preserve"> data </w:t>
      </w:r>
      <w:r>
        <w:t xml:space="preserve">is </w:t>
      </w:r>
      <w:r w:rsidRPr="005E2EE4">
        <w:t>recorded and available for analysis in accordance with casinos’ host responsibility programmes.</w:t>
      </w:r>
    </w:p>
    <w:p w:rsidR="008E494B" w:rsidRDefault="008E494B" w:rsidP="005E2EE4">
      <w:pPr>
        <w:jc w:val="both"/>
      </w:pPr>
      <w:r>
        <w:t xml:space="preserve">Players would be required to have </w:t>
      </w:r>
      <w:r w:rsidR="00826832">
        <w:t xml:space="preserve">an account to use the </w:t>
      </w:r>
      <w:r w:rsidR="00461272">
        <w:t xml:space="preserve">cashless </w:t>
      </w:r>
      <w:r w:rsidR="00826832">
        <w:t xml:space="preserve">facility, </w:t>
      </w:r>
      <w:r w:rsidR="009C6126">
        <w:t>with t</w:t>
      </w:r>
      <w:r w:rsidRPr="008E494B">
        <w:t>he lodgement of funds and</w:t>
      </w:r>
      <w:r w:rsidR="009C6126">
        <w:t>/or</w:t>
      </w:r>
      <w:r w:rsidRPr="008E494B">
        <w:t xml:space="preserve"> the setting of increments for download </w:t>
      </w:r>
      <w:r w:rsidR="009C6126">
        <w:t>being</w:t>
      </w:r>
      <w:r w:rsidRPr="008E494B">
        <w:t xml:space="preserve"> point</w:t>
      </w:r>
      <w:r>
        <w:t>s</w:t>
      </w:r>
      <w:r w:rsidRPr="008E494B">
        <w:t xml:space="preserve"> of int</w:t>
      </w:r>
      <w:r>
        <w:t>eraction with casino staff that</w:t>
      </w:r>
      <w:r w:rsidRPr="008E494B">
        <w:t xml:space="preserve"> can support host responsibility outcomes.  </w:t>
      </w:r>
      <w:r w:rsidR="007907A4">
        <w:t>It also allows for full customer due diligence in the setting up of such accounts.</w:t>
      </w:r>
    </w:p>
    <w:p w:rsidR="00C10E6C" w:rsidRDefault="00CB7D03" w:rsidP="005E2EE4">
      <w:pPr>
        <w:jc w:val="both"/>
      </w:pPr>
      <w:r w:rsidRPr="001526D2">
        <w:t>The</w:t>
      </w:r>
      <w:r w:rsidR="0045323B">
        <w:t>re is an argument that the</w:t>
      </w:r>
      <w:r w:rsidRPr="001526D2">
        <w:t xml:space="preserve"> abilit</w:t>
      </w:r>
      <w:r w:rsidR="008E494B">
        <w:t>y to have a pre-defined amount of funds in a casino</w:t>
      </w:r>
      <w:r w:rsidRPr="001526D2">
        <w:t xml:space="preserve"> </w:t>
      </w:r>
      <w:r w:rsidR="008E494B">
        <w:t xml:space="preserve">account </w:t>
      </w:r>
      <w:r w:rsidRPr="001526D2">
        <w:t>helps support informed participation by players</w:t>
      </w:r>
      <w:r w:rsidR="00306CC0">
        <w:t xml:space="preserve"> because it </w:t>
      </w:r>
      <w:r w:rsidR="001526D2" w:rsidRPr="001526D2">
        <w:t>is another tool</w:t>
      </w:r>
      <w:r w:rsidRPr="001526D2">
        <w:t xml:space="preserve"> </w:t>
      </w:r>
      <w:r w:rsidR="00306CC0">
        <w:t xml:space="preserve">that </w:t>
      </w:r>
      <w:r w:rsidRPr="001526D2">
        <w:t xml:space="preserve">players can </w:t>
      </w:r>
      <w:r w:rsidR="001526D2" w:rsidRPr="001526D2">
        <w:t>use</w:t>
      </w:r>
      <w:r w:rsidRPr="001526D2">
        <w:t xml:space="preserve"> to manage play.</w:t>
      </w:r>
      <w:r w:rsidR="001526D2" w:rsidRPr="001526D2">
        <w:t xml:space="preserve">  </w:t>
      </w:r>
      <w:r w:rsidRPr="001526D2">
        <w:t>When a player accesses their account at a machine, th</w:t>
      </w:r>
      <w:r w:rsidR="00C377C4">
        <w:t>eir account balance information is available.</w:t>
      </w:r>
      <w:r w:rsidRPr="001526D2">
        <w:t xml:space="preserve">  This </w:t>
      </w:r>
      <w:r w:rsidR="00C377C4">
        <w:t>may</w:t>
      </w:r>
      <w:r w:rsidRPr="001526D2">
        <w:t xml:space="preserve"> help a player keep track of</w:t>
      </w:r>
      <w:r w:rsidR="00C377C4">
        <w:t xml:space="preserve"> </w:t>
      </w:r>
      <w:r w:rsidRPr="001526D2">
        <w:t>their rate of play.</w:t>
      </w:r>
    </w:p>
    <w:p w:rsidR="00F46F1A" w:rsidRPr="005E2EE4" w:rsidRDefault="000E4731" w:rsidP="005E2EE4">
      <w:pPr>
        <w:jc w:val="both"/>
      </w:pPr>
      <w:r>
        <w:t>The use of this system</w:t>
      </w:r>
      <w:r w:rsidR="00F46F1A" w:rsidRPr="005E2EE4">
        <w:t xml:space="preserve"> allows players to end a session at a time of their choosing. </w:t>
      </w:r>
      <w:r w:rsidR="009C6126">
        <w:t xml:space="preserve">At the end of a session, </w:t>
      </w:r>
      <w:r w:rsidR="00F46F1A" w:rsidRPr="005E2EE4">
        <w:t>the machine transfers credits to the player</w:t>
      </w:r>
      <w:r w:rsidR="009C6126">
        <w:t xml:space="preserve">’s account, </w:t>
      </w:r>
      <w:r w:rsidR="00F46F1A" w:rsidRPr="005E2EE4">
        <w:t xml:space="preserve">which can </w:t>
      </w:r>
      <w:r w:rsidR="009C6126">
        <w:t xml:space="preserve">then </w:t>
      </w:r>
      <w:r w:rsidR="00F46F1A" w:rsidRPr="005E2EE4">
        <w:t xml:space="preserve">be collected at the cashier, or retained for play at a later date. Importantly, this allows the player to act on an impulse to </w:t>
      </w:r>
      <w:r w:rsidR="009C6126">
        <w:t>stop playing</w:t>
      </w:r>
      <w:r w:rsidR="00F46F1A" w:rsidRPr="005E2EE4">
        <w:t xml:space="preserve"> without having to wait for a machine attendant. In a study of large venues with ticket redemption machines it was concluded that the ability to quickly end a session had a potentially protective function.</w:t>
      </w:r>
      <w:r w:rsidR="00F46F1A" w:rsidRPr="001838EC">
        <w:rPr>
          <w:rStyle w:val="FootnoteReference"/>
          <w:i/>
          <w:szCs w:val="20"/>
        </w:rPr>
        <w:footnoteReference w:id="4"/>
      </w:r>
    </w:p>
    <w:p w:rsidR="00CB7D03" w:rsidRPr="005E2EE4" w:rsidRDefault="00CB7D03" w:rsidP="005E2EE4">
      <w:pPr>
        <w:jc w:val="both"/>
        <w:rPr>
          <w:b/>
        </w:rPr>
      </w:pPr>
      <w:r w:rsidRPr="005E2EE4">
        <w:rPr>
          <w:b/>
        </w:rPr>
        <w:t>Security</w:t>
      </w:r>
    </w:p>
    <w:p w:rsidR="00CB7D03" w:rsidRPr="005E2EE4" w:rsidRDefault="00CB7D03" w:rsidP="005E2EE4">
      <w:pPr>
        <w:jc w:val="both"/>
      </w:pPr>
      <w:r w:rsidRPr="005E2EE4">
        <w:t xml:space="preserve">One of the purposes of the </w:t>
      </w:r>
      <w:r w:rsidR="009B0EED">
        <w:t>Act</w:t>
      </w:r>
      <w:r w:rsidRPr="005E2EE4">
        <w:t xml:space="preserve"> is to limit opportunities for crime and dishonesty associated with gambling.</w:t>
      </w:r>
    </w:p>
    <w:p w:rsidR="00CB7D03" w:rsidRPr="005E2EE4" w:rsidRDefault="00CB7D03" w:rsidP="005E2EE4">
      <w:pPr>
        <w:jc w:val="both"/>
      </w:pPr>
      <w:r w:rsidRPr="005E2EE4">
        <w:t xml:space="preserve">Patrons are currently required to carry cash and load that cash into gaming machines. The absence of privacy means that other patrons are able to see the volume of cash loaded into machines and/or the volume of cash held by a person.  </w:t>
      </w:r>
      <w:r w:rsidR="005E2EE4" w:rsidRPr="005E2EE4">
        <w:t>T</w:t>
      </w:r>
      <w:r w:rsidRPr="005E2EE4">
        <w:t xml:space="preserve">his </w:t>
      </w:r>
      <w:r w:rsidR="005E2EE4" w:rsidRPr="005E2EE4">
        <w:t>may pose</w:t>
      </w:r>
      <w:r w:rsidRPr="005E2EE4">
        <w:t xml:space="preserve"> a risk to the personal safety of individuals.</w:t>
      </w:r>
    </w:p>
    <w:p w:rsidR="00CB7D03" w:rsidRPr="005E2EE4" w:rsidRDefault="009C6126" w:rsidP="005E2EE4">
      <w:pPr>
        <w:jc w:val="both"/>
      </w:pPr>
      <w:r>
        <w:t>From a</w:t>
      </w:r>
      <w:r w:rsidR="00F666C2">
        <w:t xml:space="preserve"> casino </w:t>
      </w:r>
      <w:r>
        <w:t>operational perspective, i</w:t>
      </w:r>
      <w:r w:rsidR="00CB7D03" w:rsidRPr="005E2EE4">
        <w:t xml:space="preserve">t is also argued that the use of </w:t>
      </w:r>
      <w:r w:rsidR="00EF723E">
        <w:t>cashless gambling</w:t>
      </w:r>
      <w:r w:rsidR="00CB7D03" w:rsidRPr="005E2EE4">
        <w:t xml:space="preserve"> would </w:t>
      </w:r>
      <w:r w:rsidR="008E494B">
        <w:t xml:space="preserve">reduce cash handling and increase accountability </w:t>
      </w:r>
      <w:r w:rsidR="002D0B27">
        <w:t xml:space="preserve">for </w:t>
      </w:r>
      <w:r w:rsidR="008E494B">
        <w:t>funds</w:t>
      </w:r>
      <w:r w:rsidR="00CB7D03" w:rsidRPr="005E2EE4">
        <w:t>.</w:t>
      </w:r>
    </w:p>
    <w:p w:rsidR="005E2EE4" w:rsidRDefault="005E2EE4" w:rsidP="005E2EE4">
      <w:pPr>
        <w:jc w:val="both"/>
        <w:rPr>
          <w:b/>
          <w:i/>
        </w:rPr>
      </w:pPr>
      <w:r w:rsidRPr="005E2EE4">
        <w:rPr>
          <w:b/>
        </w:rPr>
        <w:lastRenderedPageBreak/>
        <w:t xml:space="preserve">Anti-Money Laundering </w:t>
      </w:r>
    </w:p>
    <w:p w:rsidR="005E2EE4" w:rsidRPr="005E2EE4" w:rsidRDefault="00306CC0" w:rsidP="005E2EE4">
      <w:pPr>
        <w:jc w:val="both"/>
      </w:pPr>
      <w:r>
        <w:t>The</w:t>
      </w:r>
      <w:r w:rsidR="005E2EE4" w:rsidRPr="005E2EE4">
        <w:t xml:space="preserve"> use of </w:t>
      </w:r>
      <w:r w:rsidR="005077D6">
        <w:t xml:space="preserve">account-based cashless gambling </w:t>
      </w:r>
      <w:r>
        <w:t>is likely to</w:t>
      </w:r>
      <w:r w:rsidR="005E2EE4">
        <w:t xml:space="preserve"> enhance the visibility of</w:t>
      </w:r>
      <w:r w:rsidR="005E2EE4" w:rsidRPr="005E2EE4">
        <w:t xml:space="preserve"> transactions and simplify aspects of anti-money laundering monitoring.</w:t>
      </w:r>
      <w:r w:rsidR="00B62409">
        <w:t xml:space="preserve">  </w:t>
      </w:r>
      <w:r w:rsidR="009F00C2">
        <w:t>It provides</w:t>
      </w:r>
      <w:r w:rsidR="00B62409">
        <w:t xml:space="preserve"> </w:t>
      </w:r>
      <w:r w:rsidR="00E20A36">
        <w:t>opportunities</w:t>
      </w:r>
      <w:r w:rsidR="00B62409">
        <w:t xml:space="preserve"> to conduct customer due diligence for </w:t>
      </w:r>
      <w:r w:rsidR="009D1ECA">
        <w:t>anti-money laundering</w:t>
      </w:r>
      <w:r w:rsidR="00B62409">
        <w:t xml:space="preserve"> purposes on players </w:t>
      </w:r>
      <w:r w:rsidR="00474BA0">
        <w:t>using</w:t>
      </w:r>
      <w:r w:rsidR="00B62409">
        <w:t xml:space="preserve"> the system.</w:t>
      </w:r>
    </w:p>
    <w:p w:rsidR="00053A48" w:rsidRDefault="00053A48" w:rsidP="005E2EE4">
      <w:pPr>
        <w:pStyle w:val="Heading3"/>
        <w:spacing w:after="240"/>
        <w:jc w:val="both"/>
        <w:rPr>
          <w:szCs w:val="28"/>
        </w:rPr>
      </w:pPr>
      <w:r w:rsidRPr="00053A48">
        <w:rPr>
          <w:szCs w:val="28"/>
        </w:rPr>
        <w:t>Other jurisdictions</w:t>
      </w:r>
    </w:p>
    <w:p w:rsidR="001520A8" w:rsidRPr="00D64EA9" w:rsidRDefault="00E25624" w:rsidP="005E2EE4">
      <w:pPr>
        <w:jc w:val="both"/>
      </w:pPr>
      <w:r w:rsidRPr="00D64EA9">
        <w:t>Card-based gam</w:t>
      </w:r>
      <w:r w:rsidR="00732849">
        <w:t>bl</w:t>
      </w:r>
      <w:r w:rsidRPr="00D64EA9">
        <w:t xml:space="preserve">ing technology is now in use in most Australian jurisdictions, </w:t>
      </w:r>
      <w:r w:rsidR="001520A8" w:rsidRPr="00D64EA9">
        <w:t>a number of U.S. states</w:t>
      </w:r>
      <w:r w:rsidR="00196308">
        <w:t xml:space="preserve"> and</w:t>
      </w:r>
      <w:r w:rsidR="001520A8" w:rsidRPr="00D64EA9">
        <w:t xml:space="preserve"> some provinces in </w:t>
      </w:r>
      <w:r w:rsidRPr="00D64EA9">
        <w:t>Canada</w:t>
      </w:r>
      <w:r w:rsidR="001520A8" w:rsidRPr="00D64EA9">
        <w:t xml:space="preserve"> and South Africa</w:t>
      </w:r>
      <w:r w:rsidRPr="00D64EA9">
        <w:t xml:space="preserve">.  </w:t>
      </w:r>
      <w:r w:rsidR="004E716F" w:rsidRPr="00D64EA9">
        <w:t xml:space="preserve">In some parts of the world, such as Norway, a cashless account-based system is the only option </w:t>
      </w:r>
      <w:r w:rsidR="009C6126">
        <w:t xml:space="preserve">for gambling </w:t>
      </w:r>
      <w:r w:rsidR="004E716F" w:rsidRPr="00D64EA9">
        <w:t>– all players must be carded</w:t>
      </w:r>
      <w:r w:rsidR="009C6126">
        <w:t xml:space="preserve"> and identifiable</w:t>
      </w:r>
      <w:r w:rsidR="004E716F" w:rsidRPr="00D64EA9">
        <w:t>.</w:t>
      </w:r>
    </w:p>
    <w:p w:rsidR="006F7C48" w:rsidRDefault="00E25624" w:rsidP="005E2EE4">
      <w:pPr>
        <w:jc w:val="both"/>
      </w:pPr>
      <w:r w:rsidRPr="00D64EA9">
        <w:t>Other forms of cashless</w:t>
      </w:r>
      <w:r w:rsidR="000612CB">
        <w:t xml:space="preserve"> gambling</w:t>
      </w:r>
      <w:r w:rsidR="00435905" w:rsidRPr="00D64EA9">
        <w:t>,</w:t>
      </w:r>
      <w:r w:rsidRPr="00D64EA9">
        <w:t xml:space="preserve"> such as TITO</w:t>
      </w:r>
      <w:r w:rsidR="00435905" w:rsidRPr="00D64EA9">
        <w:t>,</w:t>
      </w:r>
      <w:r w:rsidRPr="00D64EA9">
        <w:t xml:space="preserve"> </w:t>
      </w:r>
      <w:r w:rsidR="00435905" w:rsidRPr="00D64EA9">
        <w:t>are</w:t>
      </w:r>
      <w:r w:rsidRPr="00D64EA9">
        <w:t xml:space="preserve"> also widely used in </w:t>
      </w:r>
      <w:r w:rsidR="004E716F" w:rsidRPr="00D64EA9">
        <w:t xml:space="preserve">North America, Australia and </w:t>
      </w:r>
      <w:r w:rsidRPr="00D64EA9">
        <w:t>the United Kingdom.</w:t>
      </w:r>
    </w:p>
    <w:p w:rsidR="006F7C48" w:rsidRDefault="006F7C48">
      <w:pPr>
        <w:keepLines w:val="0"/>
      </w:pPr>
      <w:r>
        <w:br w:type="page"/>
      </w:r>
    </w:p>
    <w:p w:rsidR="002E58AF" w:rsidRDefault="00196308" w:rsidP="005E2EE4">
      <w:pPr>
        <w:pStyle w:val="Heading1"/>
        <w:numPr>
          <w:ilvl w:val="0"/>
          <w:numId w:val="30"/>
        </w:numPr>
        <w:ind w:left="567" w:hanging="567"/>
        <w:jc w:val="both"/>
      </w:pPr>
      <w:bookmarkStart w:id="6" w:name="_Toc437434770"/>
      <w:r>
        <w:lastRenderedPageBreak/>
        <w:t>Proposed standard</w:t>
      </w:r>
    </w:p>
    <w:p w:rsidR="00115DD9" w:rsidRPr="00336F82" w:rsidRDefault="00F41C61" w:rsidP="005E2EE4">
      <w:pPr>
        <w:pStyle w:val="Heading3"/>
        <w:spacing w:after="240"/>
        <w:jc w:val="both"/>
        <w:rPr>
          <w:szCs w:val="28"/>
        </w:rPr>
      </w:pPr>
      <w:r>
        <w:rPr>
          <w:szCs w:val="28"/>
        </w:rPr>
        <w:t>Proposed standard</w:t>
      </w:r>
      <w:r w:rsidR="00115DD9" w:rsidRPr="00336F82">
        <w:rPr>
          <w:szCs w:val="28"/>
        </w:rPr>
        <w:t xml:space="preserve"> </w:t>
      </w:r>
      <w:r w:rsidR="00395B15" w:rsidRPr="00336F82">
        <w:rPr>
          <w:szCs w:val="28"/>
        </w:rPr>
        <w:t>for</w:t>
      </w:r>
      <w:r w:rsidR="00115DD9" w:rsidRPr="00336F82">
        <w:rPr>
          <w:szCs w:val="28"/>
        </w:rPr>
        <w:t xml:space="preserve"> </w:t>
      </w:r>
      <w:bookmarkEnd w:id="6"/>
      <w:r w:rsidR="00942927">
        <w:rPr>
          <w:szCs w:val="28"/>
        </w:rPr>
        <w:t xml:space="preserve">account-based </w:t>
      </w:r>
      <w:r w:rsidR="00395B15" w:rsidRPr="00336F82">
        <w:rPr>
          <w:szCs w:val="28"/>
        </w:rPr>
        <w:t>cashless gambling</w:t>
      </w:r>
    </w:p>
    <w:p w:rsidR="00EC43CA" w:rsidRDefault="00D31BFA" w:rsidP="005E2EE4">
      <w:pPr>
        <w:pStyle w:val="Default"/>
        <w:jc w:val="both"/>
      </w:pPr>
      <w:r>
        <w:t>As set out above, there are currently several forms of cashless gambling in place in New Zealand casinos.  The Department propose</w:t>
      </w:r>
      <w:r w:rsidR="00F41C61">
        <w:t xml:space="preserve">s to develop a single standard for </w:t>
      </w:r>
      <w:r w:rsidR="00E30751">
        <w:t xml:space="preserve">account-based </w:t>
      </w:r>
      <w:r>
        <w:t xml:space="preserve">cashless </w:t>
      </w:r>
      <w:r w:rsidR="00F41C61">
        <w:t xml:space="preserve">gambling </w:t>
      </w:r>
      <w:r>
        <w:t>in casinos.</w:t>
      </w:r>
      <w:r w:rsidR="001C1085">
        <w:t xml:space="preserve">  This standard will be aligned with the technical </w:t>
      </w:r>
      <w:r w:rsidR="00486710">
        <w:t>requirements</w:t>
      </w:r>
      <w:r w:rsidR="001C1085">
        <w:t xml:space="preserve"> for </w:t>
      </w:r>
      <w:r w:rsidR="00486710">
        <w:t>card</w:t>
      </w:r>
      <w:r w:rsidR="00994D3A">
        <w:t>-</w:t>
      </w:r>
      <w:r w:rsidR="001C1085">
        <w:t>based cashless already in place for Sky</w:t>
      </w:r>
      <w:r w:rsidR="00DA381C">
        <w:t>C</w:t>
      </w:r>
      <w:r w:rsidR="001C1085">
        <w:t>ity Auckland.  This will ensure that</w:t>
      </w:r>
      <w:r w:rsidR="007A7DDB">
        <w:t xml:space="preserve"> the</w:t>
      </w:r>
      <w:r w:rsidR="001C1085">
        <w:t xml:space="preserve"> approved casino monitoring and banknote software and hardware</w:t>
      </w:r>
      <w:r w:rsidR="007A7DDB">
        <w:t xml:space="preserve"> that </w:t>
      </w:r>
      <w:proofErr w:type="gramStart"/>
      <w:r w:rsidR="007A7DDB">
        <w:t>is</w:t>
      </w:r>
      <w:proofErr w:type="gramEnd"/>
      <w:r w:rsidR="007A7DDB">
        <w:t xml:space="preserve"> already in use in SkyCity Auckland and in Christchurch</w:t>
      </w:r>
      <w:r w:rsidR="001C1085">
        <w:t xml:space="preserve"> would not require modification.</w:t>
      </w:r>
    </w:p>
    <w:p w:rsidR="005810CE" w:rsidRDefault="005810CE" w:rsidP="005E2EE4">
      <w:pPr>
        <w:pStyle w:val="Default"/>
        <w:jc w:val="both"/>
      </w:pPr>
    </w:p>
    <w:p w:rsidR="005810CE" w:rsidRDefault="005810CE" w:rsidP="005E2EE4">
      <w:pPr>
        <w:pStyle w:val="Default"/>
        <w:jc w:val="both"/>
      </w:pPr>
      <w:r>
        <w:t xml:space="preserve">As the proposed standard would be aligned with the requirements already in place for Auckland and Christchurch, those casinos would not have to remove or replace their existing cashless gambling systems. </w:t>
      </w:r>
      <w:r w:rsidR="005C32A5">
        <w:t>Nor would other casinos have to introduce cashless gambling if they did not wish to do so</w:t>
      </w:r>
      <w:r w:rsidR="003A7017">
        <w:t>. The</w:t>
      </w:r>
      <w:r w:rsidR="005C32A5">
        <w:t xml:space="preserve"> standard would not make cashless gambling compulsory, but if a casino wished to offer cashless gambling it would have to comply with the standard.</w:t>
      </w:r>
      <w:r w:rsidR="004B62A1">
        <w:t xml:space="preserve"> The proposed standard would also put the casinos on a more level playing field as they would have to offer similar cashless gambling systems with similar harm minimisation controls.</w:t>
      </w:r>
    </w:p>
    <w:p w:rsidR="00EC43CA" w:rsidRDefault="00EC43CA" w:rsidP="005E2EE4">
      <w:pPr>
        <w:pStyle w:val="Default"/>
        <w:jc w:val="both"/>
      </w:pPr>
    </w:p>
    <w:p w:rsidR="00015335" w:rsidRDefault="00F41C61" w:rsidP="005E2EE4">
      <w:pPr>
        <w:pStyle w:val="Default"/>
        <w:jc w:val="both"/>
      </w:pPr>
      <w:r>
        <w:t xml:space="preserve">The draft standard </w:t>
      </w:r>
      <w:r w:rsidR="002F66E1">
        <w:t>is set out in full</w:t>
      </w:r>
      <w:r>
        <w:t xml:space="preserve"> at </w:t>
      </w:r>
      <w:r w:rsidRPr="00F41C61">
        <w:rPr>
          <w:b/>
        </w:rPr>
        <w:t>Appendix A</w:t>
      </w:r>
      <w:r>
        <w:t>.</w:t>
      </w:r>
    </w:p>
    <w:p w:rsidR="00B24AAB" w:rsidRDefault="00B24AAB" w:rsidP="00196308">
      <w:pPr>
        <w:pStyle w:val="Default"/>
        <w:jc w:val="both"/>
      </w:pPr>
    </w:p>
    <w:p w:rsidR="00196308" w:rsidRDefault="00196308" w:rsidP="00196308">
      <w:pPr>
        <w:pStyle w:val="Default"/>
        <w:jc w:val="both"/>
      </w:pPr>
      <w:r>
        <w:t>The proposed standard will not change the unique regulatory environment of SkyCity Auckland as prescribed by the New Zealand International Convention Centre A</w:t>
      </w:r>
      <w:r w:rsidR="00474BA0">
        <w:t>c</w:t>
      </w:r>
      <w:r>
        <w:t>t.</w:t>
      </w:r>
    </w:p>
    <w:p w:rsidR="00196308" w:rsidRDefault="00196308" w:rsidP="005E2EE4">
      <w:pPr>
        <w:pStyle w:val="Default"/>
        <w:jc w:val="both"/>
      </w:pPr>
    </w:p>
    <w:p w:rsidR="002F66E1" w:rsidRDefault="00D31BFA" w:rsidP="005E2EE4">
      <w:pPr>
        <w:pStyle w:val="Default"/>
        <w:jc w:val="both"/>
      </w:pPr>
      <w:r>
        <w:t>The Department’s primary objective</w:t>
      </w:r>
      <w:r w:rsidR="00196308">
        <w:t xml:space="preserve"> in proposing the standard</w:t>
      </w:r>
      <w:r>
        <w:t xml:space="preserve"> is to uphold the </w:t>
      </w:r>
      <w:r w:rsidR="00FA4104">
        <w:t xml:space="preserve">Gambling </w:t>
      </w:r>
      <w:r>
        <w:t xml:space="preserve">Act’s objectives </w:t>
      </w:r>
      <w:r w:rsidR="00FA4104">
        <w:t>of</w:t>
      </w:r>
      <w:r w:rsidR="002F66E1">
        <w:t>:</w:t>
      </w:r>
      <w:r>
        <w:t xml:space="preserve"> </w:t>
      </w:r>
    </w:p>
    <w:p w:rsidR="00663AEA" w:rsidRPr="003D4592" w:rsidRDefault="00663AEA" w:rsidP="005E2EE4">
      <w:pPr>
        <w:pStyle w:val="Default"/>
        <w:numPr>
          <w:ilvl w:val="0"/>
          <w:numId w:val="27"/>
        </w:numPr>
        <w:spacing w:after="120"/>
        <w:jc w:val="both"/>
      </w:pPr>
      <w:r>
        <w:t>p</w:t>
      </w:r>
      <w:r w:rsidRPr="003D4592">
        <w:t>revent</w:t>
      </w:r>
      <w:r w:rsidR="00FA4104">
        <w:t>ing</w:t>
      </w:r>
      <w:r w:rsidRPr="003D4592">
        <w:t xml:space="preserve"> and minimis</w:t>
      </w:r>
      <w:r w:rsidR="00FA4104">
        <w:t>ing</w:t>
      </w:r>
      <w:r w:rsidRPr="003D4592">
        <w:t xml:space="preserve"> the harm from gambling, including problem gambling</w:t>
      </w:r>
      <w:r>
        <w:t>;</w:t>
      </w:r>
      <w:r w:rsidRPr="003D4592">
        <w:t xml:space="preserve"> </w:t>
      </w:r>
    </w:p>
    <w:p w:rsidR="00663AEA" w:rsidRDefault="00663AEA" w:rsidP="005E2EE4">
      <w:pPr>
        <w:pStyle w:val="Default"/>
        <w:numPr>
          <w:ilvl w:val="0"/>
          <w:numId w:val="27"/>
        </w:numPr>
        <w:spacing w:after="120"/>
        <w:jc w:val="both"/>
      </w:pPr>
      <w:r>
        <w:t>f</w:t>
      </w:r>
      <w:r w:rsidRPr="003D4592">
        <w:t>acilitat</w:t>
      </w:r>
      <w:r w:rsidR="00FA4104">
        <w:t>ing</w:t>
      </w:r>
      <w:r w:rsidRPr="003D4592">
        <w:t xml:space="preserve"> responsible gambling</w:t>
      </w:r>
      <w:r>
        <w:t>;</w:t>
      </w:r>
    </w:p>
    <w:p w:rsidR="00663AEA" w:rsidRPr="003D4592" w:rsidRDefault="00663AEA" w:rsidP="005E2EE4">
      <w:pPr>
        <w:pStyle w:val="Default"/>
        <w:numPr>
          <w:ilvl w:val="0"/>
          <w:numId w:val="27"/>
        </w:numPr>
        <w:spacing w:after="120"/>
        <w:jc w:val="both"/>
      </w:pPr>
      <w:r w:rsidRPr="0043717D">
        <w:t>ensur</w:t>
      </w:r>
      <w:r w:rsidR="00FA4104">
        <w:t>ing</w:t>
      </w:r>
      <w:r w:rsidRPr="0043717D">
        <w:t xml:space="preserve"> the </w:t>
      </w:r>
      <w:r>
        <w:t>integrity and fairness of games; and</w:t>
      </w:r>
    </w:p>
    <w:p w:rsidR="00663AEA" w:rsidRPr="008D71D9" w:rsidRDefault="00663AEA" w:rsidP="005E2EE4">
      <w:pPr>
        <w:pStyle w:val="Default"/>
        <w:numPr>
          <w:ilvl w:val="0"/>
          <w:numId w:val="27"/>
        </w:numPr>
        <w:spacing w:after="120"/>
        <w:jc w:val="both"/>
        <w:rPr>
          <w:rFonts w:asciiTheme="minorHAnsi" w:hAnsiTheme="minorHAnsi"/>
        </w:rPr>
      </w:pPr>
      <w:proofErr w:type="gramStart"/>
      <w:r>
        <w:t>l</w:t>
      </w:r>
      <w:r w:rsidRPr="003D4592">
        <w:t>imit</w:t>
      </w:r>
      <w:r w:rsidR="00FA4104">
        <w:t>ing</w:t>
      </w:r>
      <w:proofErr w:type="gramEnd"/>
      <w:r w:rsidRPr="003D4592">
        <w:t xml:space="preserve"> opportunities for crime or dishonesty associated with gambling and the conduct of gambling</w:t>
      </w:r>
      <w:r>
        <w:t>.</w:t>
      </w:r>
    </w:p>
    <w:p w:rsidR="00D31BFA" w:rsidRDefault="00D31BFA" w:rsidP="005E2EE4">
      <w:pPr>
        <w:pStyle w:val="Default"/>
        <w:jc w:val="both"/>
      </w:pPr>
      <w:r>
        <w:t>The Department must also consider any potentially relevant obligations under the Anti-Money Laundering and Counter</w:t>
      </w:r>
      <w:r w:rsidR="00E30751">
        <w:t>ing Financing of Terrorism Act 2009</w:t>
      </w:r>
      <w:r>
        <w:t>.</w:t>
      </w:r>
    </w:p>
    <w:p w:rsidR="00814946" w:rsidRDefault="00814946">
      <w:pPr>
        <w:keepLines w:val="0"/>
        <w:rPr>
          <w:rFonts w:cs="Arial"/>
          <w:b/>
          <w:bCs/>
          <w:color w:val="1F546B"/>
          <w:sz w:val="28"/>
          <w:szCs w:val="28"/>
        </w:rPr>
      </w:pPr>
      <w:r>
        <w:rPr>
          <w:szCs w:val="28"/>
        </w:rPr>
        <w:br w:type="page"/>
      </w:r>
    </w:p>
    <w:p w:rsidR="002E58AF" w:rsidRPr="002E58AF" w:rsidRDefault="00061F66" w:rsidP="005E2EE4">
      <w:pPr>
        <w:pStyle w:val="Heading3"/>
        <w:spacing w:after="240"/>
        <w:jc w:val="both"/>
        <w:rPr>
          <w:szCs w:val="28"/>
        </w:rPr>
      </w:pPr>
      <w:r>
        <w:rPr>
          <w:szCs w:val="28"/>
        </w:rPr>
        <w:lastRenderedPageBreak/>
        <w:t>Current c</w:t>
      </w:r>
      <w:r w:rsidR="002E58AF" w:rsidRPr="002E58AF">
        <w:rPr>
          <w:szCs w:val="28"/>
        </w:rPr>
        <w:t>ontrols</w:t>
      </w:r>
    </w:p>
    <w:p w:rsidR="002F66E1" w:rsidRDefault="002F66E1" w:rsidP="005E2EE4">
      <w:pPr>
        <w:pStyle w:val="Default"/>
        <w:jc w:val="both"/>
      </w:pPr>
      <w:r>
        <w:t xml:space="preserve">There are a number of controls already in place that aim to assist in upholding </w:t>
      </w:r>
      <w:r w:rsidR="00CD41F8">
        <w:t xml:space="preserve">the Act’s objectives.  </w:t>
      </w:r>
      <w:r w:rsidR="009F0752" w:rsidRPr="009F0752">
        <w:t>These controls will not be affected by the proposed standard</w:t>
      </w:r>
      <w:r w:rsidR="009F0752">
        <w:t xml:space="preserve"> and</w:t>
      </w:r>
      <w:r w:rsidR="00CD41F8">
        <w:t xml:space="preserve"> include:</w:t>
      </w:r>
    </w:p>
    <w:p w:rsidR="002F66E1" w:rsidRDefault="002F66E1" w:rsidP="005E2EE4">
      <w:pPr>
        <w:pStyle w:val="Default"/>
        <w:jc w:val="both"/>
      </w:pPr>
    </w:p>
    <w:p w:rsidR="00646D90" w:rsidRDefault="002F66E1" w:rsidP="002610DA">
      <w:pPr>
        <w:pStyle w:val="Default"/>
        <w:numPr>
          <w:ilvl w:val="0"/>
          <w:numId w:val="33"/>
        </w:numPr>
        <w:ind w:left="570"/>
        <w:jc w:val="both"/>
        <w:rPr>
          <w:b/>
          <w:color w:val="auto"/>
        </w:rPr>
      </w:pPr>
      <w:r w:rsidRPr="0078521F">
        <w:rPr>
          <w:b/>
          <w:color w:val="auto"/>
        </w:rPr>
        <w:t xml:space="preserve">Player Information </w:t>
      </w:r>
      <w:r w:rsidR="0078521F" w:rsidRPr="0078521F">
        <w:rPr>
          <w:b/>
          <w:color w:val="auto"/>
        </w:rPr>
        <w:t>Displays (PIDS) and Pop-Ups</w:t>
      </w:r>
    </w:p>
    <w:p w:rsidR="007A1791" w:rsidRPr="0078521F" w:rsidRDefault="007A1791" w:rsidP="00646D90">
      <w:pPr>
        <w:pStyle w:val="Default"/>
        <w:ind w:left="570"/>
        <w:jc w:val="both"/>
        <w:rPr>
          <w:b/>
          <w:color w:val="auto"/>
        </w:rPr>
      </w:pPr>
    </w:p>
    <w:p w:rsidR="00D31BFA" w:rsidRPr="0078521F" w:rsidRDefault="002F66E1" w:rsidP="002610DA">
      <w:pPr>
        <w:pStyle w:val="Default"/>
        <w:ind w:left="567"/>
        <w:jc w:val="both"/>
        <w:rPr>
          <w:color w:val="auto"/>
        </w:rPr>
      </w:pPr>
      <w:r w:rsidRPr="0078521F">
        <w:rPr>
          <w:color w:val="auto"/>
        </w:rPr>
        <w:t>These are already required on all New Zealand Electronic Gaming Machines</w:t>
      </w:r>
      <w:r w:rsidR="00A61651" w:rsidRPr="0078521F">
        <w:rPr>
          <w:color w:val="auto"/>
        </w:rPr>
        <w:t>.</w:t>
      </w:r>
      <w:r w:rsidR="007A1791" w:rsidRPr="0078521F">
        <w:rPr>
          <w:color w:val="auto"/>
        </w:rPr>
        <w:t xml:space="preserve">  </w:t>
      </w:r>
      <w:r w:rsidR="007F3B71" w:rsidRPr="0078521F">
        <w:rPr>
          <w:color w:val="auto"/>
        </w:rPr>
        <w:t>This feature interrupts play at irregula</w:t>
      </w:r>
      <w:bookmarkStart w:id="7" w:name="_GoBack"/>
      <w:bookmarkEnd w:id="7"/>
      <w:r w:rsidR="007F3B71" w:rsidRPr="0078521F">
        <w:rPr>
          <w:color w:val="auto"/>
        </w:rPr>
        <w:t>r intervals (not exceeding 30 minutes of continuous play)</w:t>
      </w:r>
      <w:r w:rsidR="007A1791" w:rsidRPr="0078521F">
        <w:rPr>
          <w:color w:val="auto"/>
        </w:rPr>
        <w:t xml:space="preserve"> and displays information about the </w:t>
      </w:r>
      <w:r w:rsidR="001C1085">
        <w:rPr>
          <w:color w:val="auto"/>
        </w:rPr>
        <w:t xml:space="preserve">current </w:t>
      </w:r>
      <w:r w:rsidR="007A1791" w:rsidRPr="0078521F">
        <w:rPr>
          <w:color w:val="auto"/>
        </w:rPr>
        <w:t xml:space="preserve">session of play including </w:t>
      </w:r>
      <w:r w:rsidR="00826CBC" w:rsidRPr="0078521F">
        <w:rPr>
          <w:color w:val="auto"/>
        </w:rPr>
        <w:t>the duration</w:t>
      </w:r>
      <w:r w:rsidR="007A1791" w:rsidRPr="0078521F">
        <w:rPr>
          <w:color w:val="auto"/>
        </w:rPr>
        <w:t xml:space="preserve">, the amount the player has spent and the player’s net wins or losses. </w:t>
      </w:r>
    </w:p>
    <w:p w:rsidR="009E315F" w:rsidRDefault="009E315F" w:rsidP="009E315F">
      <w:pPr>
        <w:pStyle w:val="Default"/>
        <w:ind w:left="570"/>
        <w:jc w:val="both"/>
        <w:rPr>
          <w:b/>
          <w:color w:val="auto"/>
        </w:rPr>
      </w:pPr>
    </w:p>
    <w:p w:rsidR="00CD41F8" w:rsidRDefault="00CD41F8" w:rsidP="002610DA">
      <w:pPr>
        <w:pStyle w:val="Default"/>
        <w:numPr>
          <w:ilvl w:val="0"/>
          <w:numId w:val="33"/>
        </w:numPr>
        <w:ind w:left="570"/>
        <w:jc w:val="both"/>
        <w:rPr>
          <w:b/>
          <w:color w:val="auto"/>
        </w:rPr>
      </w:pPr>
      <w:r w:rsidRPr="0078521F">
        <w:rPr>
          <w:b/>
          <w:color w:val="auto"/>
        </w:rPr>
        <w:t>Host Responsibility Programme</w:t>
      </w:r>
    </w:p>
    <w:p w:rsidR="00646D90" w:rsidRPr="0078521F" w:rsidRDefault="00646D90" w:rsidP="00646D90">
      <w:pPr>
        <w:pStyle w:val="Default"/>
        <w:ind w:left="570"/>
        <w:jc w:val="both"/>
        <w:rPr>
          <w:b/>
          <w:color w:val="auto"/>
        </w:rPr>
      </w:pPr>
    </w:p>
    <w:p w:rsidR="00CD41F8" w:rsidRPr="0078521F" w:rsidRDefault="00CD41F8" w:rsidP="002610DA">
      <w:pPr>
        <w:pStyle w:val="Default"/>
        <w:ind w:left="570"/>
        <w:jc w:val="both"/>
        <w:rPr>
          <w:color w:val="auto"/>
        </w:rPr>
      </w:pPr>
      <w:r w:rsidRPr="0078521F">
        <w:rPr>
          <w:color w:val="auto"/>
        </w:rPr>
        <w:t xml:space="preserve">All New Zealand casinos are required, as a condition of their </w:t>
      </w:r>
      <w:r w:rsidR="00EE7B89">
        <w:rPr>
          <w:color w:val="auto"/>
        </w:rPr>
        <w:t>operating licence, to have a Host Responsibility Programme (HRP)</w:t>
      </w:r>
      <w:r w:rsidRPr="0078521F">
        <w:rPr>
          <w:color w:val="auto"/>
        </w:rPr>
        <w:t>.  The HRP</w:t>
      </w:r>
      <w:r w:rsidR="00571D1D">
        <w:rPr>
          <w:color w:val="auto"/>
        </w:rPr>
        <w:t>s are approved and regularly reviewed by the Gambling Commission</w:t>
      </w:r>
      <w:r w:rsidR="000612CB">
        <w:rPr>
          <w:color w:val="auto"/>
        </w:rPr>
        <w:t>,</w:t>
      </w:r>
      <w:r w:rsidRPr="0078521F">
        <w:rPr>
          <w:color w:val="auto"/>
        </w:rPr>
        <w:t xml:space="preserve"> </w:t>
      </w:r>
      <w:r w:rsidR="00571D1D">
        <w:rPr>
          <w:color w:val="auto"/>
        </w:rPr>
        <w:t xml:space="preserve">and </w:t>
      </w:r>
      <w:r w:rsidRPr="0078521F">
        <w:rPr>
          <w:color w:val="auto"/>
        </w:rPr>
        <w:t>place significant obligations on casino operators to prevent gambling-related harm and detect potential and actual problem gamblers.  This includes</w:t>
      </w:r>
      <w:r w:rsidR="000612CB">
        <w:rPr>
          <w:color w:val="auto"/>
        </w:rPr>
        <w:t xml:space="preserve">, </w:t>
      </w:r>
      <w:r w:rsidRPr="0078521F">
        <w:rPr>
          <w:color w:val="auto"/>
        </w:rPr>
        <w:t>among other things:</w:t>
      </w:r>
    </w:p>
    <w:p w:rsidR="00CD41F8" w:rsidRPr="0078521F" w:rsidRDefault="00CD41F8" w:rsidP="002610DA">
      <w:pPr>
        <w:pStyle w:val="Default"/>
        <w:numPr>
          <w:ilvl w:val="0"/>
          <w:numId w:val="34"/>
        </w:numPr>
        <w:ind w:left="1494"/>
        <w:jc w:val="both"/>
        <w:rPr>
          <w:color w:val="auto"/>
        </w:rPr>
      </w:pPr>
      <w:r w:rsidRPr="0078521F">
        <w:rPr>
          <w:color w:val="auto"/>
        </w:rPr>
        <w:t>a policy setting out indicators of problem gambling and the steps to be taken in identifying actual or potential problem gamblers;</w:t>
      </w:r>
    </w:p>
    <w:p w:rsidR="00CD41F8" w:rsidRPr="0078521F" w:rsidRDefault="006D1290" w:rsidP="002610DA">
      <w:pPr>
        <w:pStyle w:val="Default"/>
        <w:numPr>
          <w:ilvl w:val="0"/>
          <w:numId w:val="34"/>
        </w:numPr>
        <w:ind w:left="1494"/>
        <w:jc w:val="both"/>
        <w:rPr>
          <w:color w:val="auto"/>
        </w:rPr>
      </w:pPr>
      <w:r w:rsidRPr="0078521F">
        <w:rPr>
          <w:color w:val="auto"/>
        </w:rPr>
        <w:t>the provision of staff training in problem gambling;</w:t>
      </w:r>
    </w:p>
    <w:p w:rsidR="006D1290" w:rsidRPr="0078521F" w:rsidRDefault="006D1290" w:rsidP="002610DA">
      <w:pPr>
        <w:pStyle w:val="Default"/>
        <w:numPr>
          <w:ilvl w:val="0"/>
          <w:numId w:val="34"/>
        </w:numPr>
        <w:ind w:left="1494"/>
        <w:jc w:val="both"/>
        <w:rPr>
          <w:color w:val="auto"/>
        </w:rPr>
      </w:pPr>
      <w:r w:rsidRPr="0078521F">
        <w:rPr>
          <w:color w:val="auto"/>
        </w:rPr>
        <w:t>the provision of exclusion, self-exclusion and limitation programmes;</w:t>
      </w:r>
      <w:r w:rsidR="00742D0D" w:rsidRPr="0078521F">
        <w:rPr>
          <w:color w:val="auto"/>
        </w:rPr>
        <w:t xml:space="preserve"> and</w:t>
      </w:r>
    </w:p>
    <w:p w:rsidR="006D1290" w:rsidRPr="0078521F" w:rsidRDefault="00742D0D" w:rsidP="002610DA">
      <w:pPr>
        <w:pStyle w:val="Default"/>
        <w:numPr>
          <w:ilvl w:val="0"/>
          <w:numId w:val="34"/>
        </w:numPr>
        <w:ind w:left="1494"/>
        <w:jc w:val="both"/>
        <w:rPr>
          <w:color w:val="auto"/>
        </w:rPr>
      </w:pPr>
      <w:proofErr w:type="gramStart"/>
      <w:r w:rsidRPr="0078521F">
        <w:rPr>
          <w:color w:val="auto"/>
        </w:rPr>
        <w:t>responsible</w:t>
      </w:r>
      <w:proofErr w:type="gramEnd"/>
      <w:r w:rsidRPr="0078521F">
        <w:rPr>
          <w:color w:val="auto"/>
        </w:rPr>
        <w:t xml:space="preserve"> practices in marketing and advertising of the casino, and in the conduct of promotions.</w:t>
      </w:r>
    </w:p>
    <w:p w:rsidR="00B95439" w:rsidRPr="0078521F" w:rsidRDefault="00B95439" w:rsidP="002610DA">
      <w:pPr>
        <w:pStyle w:val="ListParagraph"/>
        <w:numPr>
          <w:ilvl w:val="0"/>
          <w:numId w:val="33"/>
        </w:numPr>
        <w:ind w:left="570"/>
        <w:jc w:val="both"/>
        <w:rPr>
          <w:rFonts w:eastAsia="Times New Roman" w:cs="Calibri"/>
          <w:b/>
          <w:lang w:eastAsia="en-NZ"/>
        </w:rPr>
      </w:pPr>
      <w:r w:rsidRPr="0078521F">
        <w:rPr>
          <w:rFonts w:eastAsia="Times New Roman" w:cs="Calibri"/>
          <w:b/>
          <w:lang w:eastAsia="en-NZ"/>
        </w:rPr>
        <w:t>Anti-Money Laundering and Countering Financing of Terrorism</w:t>
      </w:r>
      <w:r w:rsidR="00CD41F8" w:rsidRPr="0078521F">
        <w:rPr>
          <w:rFonts w:eastAsia="Times New Roman" w:cs="Calibri"/>
          <w:b/>
          <w:lang w:eastAsia="en-NZ"/>
        </w:rPr>
        <w:t xml:space="preserve"> Act 2009</w:t>
      </w:r>
      <w:r w:rsidRPr="0078521F">
        <w:rPr>
          <w:rFonts w:eastAsia="Times New Roman" w:cs="Calibri"/>
          <w:b/>
          <w:lang w:eastAsia="en-NZ"/>
        </w:rPr>
        <w:t xml:space="preserve"> (AML/CFT Act)</w:t>
      </w:r>
    </w:p>
    <w:p w:rsidR="005577B7" w:rsidRPr="0078521F" w:rsidRDefault="00B95439" w:rsidP="002610DA">
      <w:pPr>
        <w:ind w:left="567"/>
        <w:jc w:val="both"/>
        <w:rPr>
          <w:rFonts w:eastAsia="Times New Roman" w:cs="Calibri"/>
          <w:lang w:eastAsia="en-NZ"/>
        </w:rPr>
      </w:pPr>
      <w:r w:rsidRPr="0078521F">
        <w:rPr>
          <w:rFonts w:eastAsia="Times New Roman" w:cs="Calibri"/>
          <w:lang w:eastAsia="en-NZ"/>
        </w:rPr>
        <w:t>All New Zealand casinos have obligations under the AML/CFT Act.  These include obligations to comply with customer due diligence requirements</w:t>
      </w:r>
      <w:r w:rsidR="001644C5">
        <w:rPr>
          <w:rFonts w:eastAsia="Times New Roman" w:cs="Calibri"/>
          <w:lang w:eastAsia="en-NZ"/>
        </w:rPr>
        <w:t>,</w:t>
      </w:r>
      <w:r w:rsidRPr="0078521F">
        <w:rPr>
          <w:rFonts w:eastAsia="Times New Roman" w:cs="Calibri"/>
          <w:lang w:eastAsia="en-NZ"/>
        </w:rPr>
        <w:t xml:space="preserve"> as well as monitoring and record-keeping requirements. </w:t>
      </w:r>
    </w:p>
    <w:p w:rsidR="00061F66" w:rsidRPr="00061F66" w:rsidRDefault="00061F66" w:rsidP="005E2EE4">
      <w:pPr>
        <w:pStyle w:val="Heading3"/>
        <w:spacing w:after="240"/>
        <w:jc w:val="both"/>
        <w:rPr>
          <w:szCs w:val="28"/>
        </w:rPr>
      </w:pPr>
      <w:r w:rsidRPr="00061F66">
        <w:rPr>
          <w:szCs w:val="28"/>
        </w:rPr>
        <w:t>Controls included in proposed standard</w:t>
      </w:r>
    </w:p>
    <w:p w:rsidR="00115DD9" w:rsidRDefault="00115DD9" w:rsidP="005E2EE4">
      <w:pPr>
        <w:pStyle w:val="Default"/>
        <w:jc w:val="both"/>
        <w:rPr>
          <w:rFonts w:asciiTheme="minorHAnsi" w:hAnsiTheme="minorHAnsi"/>
        </w:rPr>
      </w:pPr>
      <w:r w:rsidRPr="00AA0AC6">
        <w:rPr>
          <w:rFonts w:asciiTheme="minorHAnsi" w:hAnsiTheme="minorHAnsi"/>
        </w:rPr>
        <w:t>With the</w:t>
      </w:r>
      <w:r>
        <w:rPr>
          <w:rFonts w:asciiTheme="minorHAnsi" w:hAnsiTheme="minorHAnsi"/>
        </w:rPr>
        <w:t xml:space="preserve"> above</w:t>
      </w:r>
      <w:r w:rsidRPr="00AA0AC6">
        <w:rPr>
          <w:rFonts w:asciiTheme="minorHAnsi" w:hAnsiTheme="minorHAnsi"/>
        </w:rPr>
        <w:t xml:space="preserve"> objectives </w:t>
      </w:r>
      <w:r w:rsidR="002F66E1">
        <w:rPr>
          <w:rFonts w:asciiTheme="minorHAnsi" w:hAnsiTheme="minorHAnsi"/>
        </w:rPr>
        <w:t xml:space="preserve">and considerations </w:t>
      </w:r>
      <w:r w:rsidRPr="00AA0AC6">
        <w:rPr>
          <w:rFonts w:asciiTheme="minorHAnsi" w:hAnsiTheme="minorHAnsi"/>
        </w:rPr>
        <w:t xml:space="preserve">in mind, </w:t>
      </w:r>
      <w:r>
        <w:rPr>
          <w:rFonts w:asciiTheme="minorHAnsi" w:hAnsiTheme="minorHAnsi"/>
        </w:rPr>
        <w:t xml:space="preserve">and to ensure that the </w:t>
      </w:r>
      <w:r w:rsidR="00395B15">
        <w:rPr>
          <w:rFonts w:asciiTheme="minorHAnsi" w:hAnsiTheme="minorHAnsi"/>
        </w:rPr>
        <w:t xml:space="preserve">associated </w:t>
      </w:r>
      <w:r>
        <w:rPr>
          <w:rFonts w:asciiTheme="minorHAnsi" w:hAnsiTheme="minorHAnsi"/>
        </w:rPr>
        <w:t xml:space="preserve">benefits will be achieved, </w:t>
      </w:r>
      <w:r w:rsidRPr="00AA0AC6">
        <w:rPr>
          <w:rFonts w:asciiTheme="minorHAnsi" w:hAnsiTheme="minorHAnsi"/>
        </w:rPr>
        <w:t xml:space="preserve">the </w:t>
      </w:r>
      <w:r>
        <w:rPr>
          <w:rFonts w:asciiTheme="minorHAnsi" w:hAnsiTheme="minorHAnsi"/>
        </w:rPr>
        <w:t xml:space="preserve">Department proposes to prescribe </w:t>
      </w:r>
      <w:r w:rsidR="00470B4F">
        <w:rPr>
          <w:rFonts w:asciiTheme="minorHAnsi" w:hAnsiTheme="minorHAnsi"/>
        </w:rPr>
        <w:t xml:space="preserve">the following </w:t>
      </w:r>
      <w:r>
        <w:rPr>
          <w:rFonts w:asciiTheme="minorHAnsi" w:hAnsiTheme="minorHAnsi"/>
        </w:rPr>
        <w:t>requirements:</w:t>
      </w:r>
    </w:p>
    <w:p w:rsidR="00115DD9" w:rsidRDefault="00115DD9" w:rsidP="005E2EE4">
      <w:pPr>
        <w:pStyle w:val="Default"/>
        <w:jc w:val="both"/>
        <w:rPr>
          <w:rFonts w:asciiTheme="minorHAnsi" w:hAnsiTheme="minorHAnsi"/>
        </w:rPr>
      </w:pPr>
    </w:p>
    <w:p w:rsidR="00061F66" w:rsidRPr="00FA4104" w:rsidRDefault="00571D1D" w:rsidP="00010C06">
      <w:pPr>
        <w:pStyle w:val="Default"/>
        <w:numPr>
          <w:ilvl w:val="0"/>
          <w:numId w:val="29"/>
        </w:numPr>
        <w:spacing w:after="240"/>
        <w:jc w:val="both"/>
        <w:rPr>
          <w:rFonts w:asciiTheme="minorHAnsi" w:hAnsiTheme="minorHAnsi"/>
          <w:b/>
        </w:rPr>
      </w:pPr>
      <w:r w:rsidRPr="00FA4104">
        <w:rPr>
          <w:rFonts w:asciiTheme="minorHAnsi" w:hAnsiTheme="minorHAnsi"/>
          <w:b/>
        </w:rPr>
        <w:t>Cashless gambling cannot be anonymous and must be account-based</w:t>
      </w:r>
      <w:r w:rsidR="00707EFF" w:rsidRPr="00FA4104">
        <w:rPr>
          <w:rFonts w:asciiTheme="minorHAnsi" w:hAnsiTheme="minorHAnsi"/>
          <w:b/>
        </w:rPr>
        <w:t>,</w:t>
      </w:r>
      <w:r w:rsidR="00010C06" w:rsidRPr="00FA4104">
        <w:rPr>
          <w:rFonts w:asciiTheme="minorHAnsi" w:hAnsiTheme="minorHAnsi"/>
          <w:b/>
        </w:rPr>
        <w:t xml:space="preserve"> meaning that players are identifiable and play </w:t>
      </w:r>
      <w:r w:rsidR="00DA381C" w:rsidRPr="00FA4104">
        <w:rPr>
          <w:rFonts w:asciiTheme="minorHAnsi" w:hAnsiTheme="minorHAnsi"/>
          <w:b/>
        </w:rPr>
        <w:t>can be monitored</w:t>
      </w:r>
    </w:p>
    <w:p w:rsidR="00877DCD" w:rsidRDefault="00010C06" w:rsidP="0099067D">
      <w:pPr>
        <w:pStyle w:val="Default"/>
        <w:ind w:left="360"/>
        <w:jc w:val="both"/>
        <w:rPr>
          <w:rFonts w:asciiTheme="minorHAnsi" w:hAnsiTheme="minorHAnsi"/>
        </w:rPr>
      </w:pPr>
      <w:r>
        <w:rPr>
          <w:rFonts w:asciiTheme="minorHAnsi" w:hAnsiTheme="minorHAnsi"/>
        </w:rPr>
        <w:t>The aim of an account-based system is that</w:t>
      </w:r>
      <w:r w:rsidR="00CB7D03" w:rsidRPr="00010C06">
        <w:rPr>
          <w:rFonts w:asciiTheme="minorHAnsi" w:hAnsiTheme="minorHAnsi"/>
        </w:rPr>
        <w:t xml:space="preserve"> any player who uses the proposed functionality is </w:t>
      </w:r>
      <w:r w:rsidR="00FA4104">
        <w:rPr>
          <w:rFonts w:asciiTheme="minorHAnsi" w:hAnsiTheme="minorHAnsi"/>
        </w:rPr>
        <w:t>identifiable and</w:t>
      </w:r>
      <w:r w:rsidR="00CB7D03" w:rsidRPr="00010C06">
        <w:rPr>
          <w:rFonts w:asciiTheme="minorHAnsi" w:hAnsiTheme="minorHAnsi"/>
        </w:rPr>
        <w:t xml:space="preserve"> his/her </w:t>
      </w:r>
      <w:r w:rsidR="00FA4104">
        <w:rPr>
          <w:rFonts w:asciiTheme="minorHAnsi" w:hAnsiTheme="minorHAnsi"/>
        </w:rPr>
        <w:t xml:space="preserve">gambling data is </w:t>
      </w:r>
      <w:r w:rsidR="00CB7D03" w:rsidRPr="00010C06">
        <w:rPr>
          <w:rFonts w:asciiTheme="minorHAnsi" w:hAnsiTheme="minorHAnsi"/>
        </w:rPr>
        <w:t>recorded and available for analysis in accordance with casinos’ host responsibility programmes.</w:t>
      </w:r>
      <w:r w:rsidR="00EE7B89" w:rsidRPr="00EE7B89">
        <w:rPr>
          <w:rFonts w:asciiTheme="minorHAnsi" w:hAnsiTheme="minorHAnsi"/>
        </w:rPr>
        <w:t xml:space="preserve"> </w:t>
      </w:r>
      <w:r w:rsidR="00EE7B89">
        <w:rPr>
          <w:rFonts w:asciiTheme="minorHAnsi" w:hAnsiTheme="minorHAnsi"/>
        </w:rPr>
        <w:t xml:space="preserve"> </w:t>
      </w:r>
    </w:p>
    <w:p w:rsidR="00877DCD" w:rsidRDefault="00877DCD" w:rsidP="0099067D">
      <w:pPr>
        <w:pStyle w:val="Default"/>
        <w:ind w:left="360"/>
        <w:jc w:val="both"/>
        <w:rPr>
          <w:rFonts w:asciiTheme="minorHAnsi" w:hAnsiTheme="minorHAnsi"/>
        </w:rPr>
      </w:pPr>
    </w:p>
    <w:p w:rsidR="00CB7D03" w:rsidRDefault="001216FF" w:rsidP="0099067D">
      <w:pPr>
        <w:pStyle w:val="Default"/>
        <w:ind w:left="360"/>
        <w:jc w:val="both"/>
        <w:rPr>
          <w:rFonts w:asciiTheme="minorHAnsi" w:hAnsiTheme="minorHAnsi"/>
        </w:rPr>
      </w:pPr>
      <w:r>
        <w:rPr>
          <w:rFonts w:asciiTheme="minorHAnsi" w:hAnsiTheme="minorHAnsi"/>
        </w:rPr>
        <w:t>The</w:t>
      </w:r>
      <w:r w:rsidR="00EE7B89">
        <w:rPr>
          <w:rFonts w:asciiTheme="minorHAnsi" w:hAnsiTheme="minorHAnsi"/>
        </w:rPr>
        <w:t xml:space="preserve"> </w:t>
      </w:r>
      <w:r w:rsidR="00EE7B89" w:rsidRPr="00EE7B89">
        <w:rPr>
          <w:rFonts w:asciiTheme="minorHAnsi" w:hAnsiTheme="minorHAnsi"/>
        </w:rPr>
        <w:t>visibility of player transactions allow</w:t>
      </w:r>
      <w:r w:rsidR="00EE7B89">
        <w:rPr>
          <w:rFonts w:asciiTheme="minorHAnsi" w:hAnsiTheme="minorHAnsi"/>
        </w:rPr>
        <w:t>s</w:t>
      </w:r>
      <w:r w:rsidR="00EE7B89" w:rsidRPr="00EE7B89">
        <w:rPr>
          <w:rFonts w:asciiTheme="minorHAnsi" w:hAnsiTheme="minorHAnsi"/>
        </w:rPr>
        <w:t xml:space="preserve"> for observation of changes </w:t>
      </w:r>
      <w:r w:rsidR="006B2978">
        <w:rPr>
          <w:rFonts w:asciiTheme="minorHAnsi" w:hAnsiTheme="minorHAnsi"/>
        </w:rPr>
        <w:t xml:space="preserve">in the patron’s rate or </w:t>
      </w:r>
      <w:r w:rsidR="00EE7B89" w:rsidRPr="00EE7B89">
        <w:rPr>
          <w:rFonts w:asciiTheme="minorHAnsi" w:hAnsiTheme="minorHAnsi"/>
        </w:rPr>
        <w:t>pattern of play.</w:t>
      </w:r>
    </w:p>
    <w:p w:rsidR="00732849" w:rsidRPr="00010C06" w:rsidRDefault="00732849" w:rsidP="0099067D">
      <w:pPr>
        <w:pStyle w:val="Default"/>
        <w:ind w:left="360"/>
        <w:jc w:val="both"/>
        <w:rPr>
          <w:rFonts w:asciiTheme="minorHAnsi" w:hAnsiTheme="minorHAnsi"/>
        </w:rPr>
      </w:pPr>
    </w:p>
    <w:p w:rsidR="00612073" w:rsidRDefault="00612073" w:rsidP="0099067D">
      <w:pPr>
        <w:pStyle w:val="Default"/>
        <w:ind w:left="360"/>
        <w:jc w:val="both"/>
        <w:rPr>
          <w:rFonts w:asciiTheme="minorHAnsi" w:hAnsiTheme="minorHAnsi"/>
        </w:rPr>
      </w:pPr>
      <w:r w:rsidRPr="00010C06">
        <w:rPr>
          <w:rFonts w:asciiTheme="minorHAnsi" w:hAnsiTheme="minorHAnsi"/>
        </w:rPr>
        <w:t xml:space="preserve">As the proposal relies on an account linked to an individual where </w:t>
      </w:r>
      <w:r w:rsidR="00F17EB6">
        <w:rPr>
          <w:rFonts w:asciiTheme="minorHAnsi" w:hAnsiTheme="minorHAnsi"/>
        </w:rPr>
        <w:t>ide</w:t>
      </w:r>
      <w:r w:rsidR="007B4C9E">
        <w:rPr>
          <w:rFonts w:asciiTheme="minorHAnsi" w:hAnsiTheme="minorHAnsi"/>
        </w:rPr>
        <w:t>ntity</w:t>
      </w:r>
      <w:r w:rsidRPr="00010C06">
        <w:rPr>
          <w:rFonts w:asciiTheme="minorHAnsi" w:hAnsiTheme="minorHAnsi"/>
        </w:rPr>
        <w:t xml:space="preserve"> has been confirmed, it does not raise issues of player anonymity that can occur with </w:t>
      </w:r>
      <w:r w:rsidR="00010C06">
        <w:rPr>
          <w:rFonts w:asciiTheme="minorHAnsi" w:hAnsiTheme="minorHAnsi"/>
        </w:rPr>
        <w:t xml:space="preserve">some other cashless </w:t>
      </w:r>
      <w:r w:rsidRPr="00010C06">
        <w:rPr>
          <w:rFonts w:asciiTheme="minorHAnsi" w:hAnsiTheme="minorHAnsi"/>
        </w:rPr>
        <w:t>technologies.</w:t>
      </w:r>
    </w:p>
    <w:p w:rsidR="00646D90" w:rsidRDefault="00646D90" w:rsidP="00814946">
      <w:pPr>
        <w:pStyle w:val="Default"/>
        <w:ind w:left="360"/>
        <w:jc w:val="both"/>
        <w:rPr>
          <w:rFonts w:asciiTheme="minorHAnsi" w:hAnsiTheme="minorHAnsi"/>
        </w:rPr>
      </w:pPr>
    </w:p>
    <w:p w:rsidR="00115DD9" w:rsidRPr="006D26B7" w:rsidRDefault="0067634B" w:rsidP="005E2EE4">
      <w:pPr>
        <w:pStyle w:val="Default"/>
        <w:numPr>
          <w:ilvl w:val="0"/>
          <w:numId w:val="29"/>
        </w:numPr>
        <w:spacing w:after="240"/>
        <w:jc w:val="both"/>
        <w:rPr>
          <w:rFonts w:asciiTheme="minorHAnsi" w:hAnsiTheme="minorHAnsi"/>
          <w:b/>
          <w:i/>
          <w:color w:val="auto"/>
        </w:rPr>
      </w:pPr>
      <w:r w:rsidRPr="006D26B7">
        <w:rPr>
          <w:rFonts w:asciiTheme="minorHAnsi" w:hAnsiTheme="minorHAnsi"/>
          <w:b/>
          <w:color w:val="auto"/>
        </w:rPr>
        <w:t>Download</w:t>
      </w:r>
      <w:r w:rsidR="000A2511" w:rsidRPr="006D26B7">
        <w:rPr>
          <w:rFonts w:asciiTheme="minorHAnsi" w:hAnsiTheme="minorHAnsi"/>
          <w:b/>
          <w:color w:val="auto"/>
        </w:rPr>
        <w:t xml:space="preserve"> and </w:t>
      </w:r>
      <w:r w:rsidRPr="006D26B7">
        <w:rPr>
          <w:rFonts w:asciiTheme="minorHAnsi" w:hAnsiTheme="minorHAnsi"/>
          <w:b/>
          <w:color w:val="auto"/>
        </w:rPr>
        <w:t>spend</w:t>
      </w:r>
      <w:r w:rsidR="000A2511" w:rsidRPr="006D26B7">
        <w:rPr>
          <w:rFonts w:asciiTheme="minorHAnsi" w:hAnsiTheme="minorHAnsi"/>
          <w:b/>
          <w:color w:val="auto"/>
        </w:rPr>
        <w:t>ing</w:t>
      </w:r>
      <w:r w:rsidRPr="006D26B7">
        <w:rPr>
          <w:rFonts w:asciiTheme="minorHAnsi" w:hAnsiTheme="minorHAnsi"/>
          <w:b/>
          <w:color w:val="auto"/>
        </w:rPr>
        <w:t xml:space="preserve"> l</w:t>
      </w:r>
      <w:r w:rsidR="003F385B" w:rsidRPr="006D26B7">
        <w:rPr>
          <w:rFonts w:asciiTheme="minorHAnsi" w:hAnsiTheme="minorHAnsi"/>
          <w:b/>
          <w:color w:val="auto"/>
        </w:rPr>
        <w:t>imits</w:t>
      </w:r>
    </w:p>
    <w:p w:rsidR="00EE7B89" w:rsidRDefault="00EE7B89" w:rsidP="0099067D">
      <w:pPr>
        <w:pStyle w:val="Default"/>
        <w:ind w:left="360"/>
        <w:jc w:val="both"/>
        <w:rPr>
          <w:rFonts w:asciiTheme="minorHAnsi" w:hAnsiTheme="minorHAnsi"/>
        </w:rPr>
      </w:pPr>
      <w:r w:rsidRPr="00EE7B89">
        <w:rPr>
          <w:rFonts w:asciiTheme="minorHAnsi" w:hAnsiTheme="minorHAnsi"/>
        </w:rPr>
        <w:t xml:space="preserve">These controls </w:t>
      </w:r>
      <w:r>
        <w:rPr>
          <w:rFonts w:asciiTheme="minorHAnsi" w:hAnsiTheme="minorHAnsi"/>
        </w:rPr>
        <w:t xml:space="preserve">also </w:t>
      </w:r>
      <w:r w:rsidRPr="00EE7B89">
        <w:rPr>
          <w:rFonts w:asciiTheme="minorHAnsi" w:hAnsiTheme="minorHAnsi"/>
        </w:rPr>
        <w:t xml:space="preserve">aim to </w:t>
      </w:r>
      <w:r w:rsidR="000A2511">
        <w:rPr>
          <w:rFonts w:asciiTheme="minorHAnsi" w:hAnsiTheme="minorHAnsi"/>
        </w:rPr>
        <w:t xml:space="preserve">limit the amount that patrons can download at any one time. They help to enforce breaks in play by requiring the patron to </w:t>
      </w:r>
      <w:r w:rsidR="00283AC0">
        <w:rPr>
          <w:rFonts w:asciiTheme="minorHAnsi" w:hAnsiTheme="minorHAnsi"/>
        </w:rPr>
        <w:t>stop gambling and decide whether</w:t>
      </w:r>
      <w:r w:rsidR="000A2511">
        <w:rPr>
          <w:rFonts w:asciiTheme="minorHAnsi" w:hAnsiTheme="minorHAnsi"/>
        </w:rPr>
        <w:t xml:space="preserve"> to download more money at more frequent intervals</w:t>
      </w:r>
      <w:r w:rsidRPr="00EE7B89">
        <w:rPr>
          <w:rFonts w:asciiTheme="minorHAnsi" w:hAnsiTheme="minorHAnsi"/>
        </w:rPr>
        <w:t>.</w:t>
      </w:r>
    </w:p>
    <w:p w:rsidR="001C04BF" w:rsidRDefault="001C04BF" w:rsidP="001C04BF">
      <w:pPr>
        <w:pStyle w:val="Default"/>
        <w:ind w:left="360"/>
        <w:jc w:val="both"/>
        <w:rPr>
          <w:rFonts w:asciiTheme="minorHAnsi" w:hAnsiTheme="minorHAnsi"/>
        </w:rPr>
      </w:pPr>
    </w:p>
    <w:p w:rsidR="003D0350" w:rsidRDefault="003D0350" w:rsidP="003D0350">
      <w:pPr>
        <w:pStyle w:val="Default"/>
        <w:ind w:left="360"/>
        <w:jc w:val="both"/>
        <w:rPr>
          <w:rFonts w:asciiTheme="minorHAnsi" w:hAnsiTheme="minorHAnsi"/>
        </w:rPr>
      </w:pPr>
      <w:r>
        <w:rPr>
          <w:rFonts w:asciiTheme="minorHAnsi" w:hAnsiTheme="minorHAnsi"/>
        </w:rPr>
        <w:t xml:space="preserve">Under the New Zealand International Convention Centre Act, patrons in non-restricted areas at SkyCity in Auckland may download up to $5,999 onto a gaming machine or at a table game. Patrons in restricted areas (i.e. VIP salons) may download an unlimited amount. </w:t>
      </w:r>
    </w:p>
    <w:p w:rsidR="003D0350" w:rsidRDefault="003D0350" w:rsidP="003D0350">
      <w:pPr>
        <w:pStyle w:val="Default"/>
        <w:ind w:left="360"/>
        <w:jc w:val="both"/>
        <w:rPr>
          <w:rFonts w:asciiTheme="minorHAnsi" w:hAnsiTheme="minorHAnsi"/>
        </w:rPr>
      </w:pPr>
    </w:p>
    <w:p w:rsidR="003D0350" w:rsidRDefault="003D0350" w:rsidP="003D0350">
      <w:pPr>
        <w:pStyle w:val="Default"/>
        <w:ind w:left="360"/>
        <w:jc w:val="both"/>
        <w:rPr>
          <w:rFonts w:asciiTheme="minorHAnsi" w:hAnsiTheme="minorHAnsi"/>
        </w:rPr>
      </w:pPr>
      <w:r>
        <w:rPr>
          <w:rFonts w:asciiTheme="minorHAnsi" w:hAnsiTheme="minorHAnsi"/>
        </w:rPr>
        <w:t>In contrast, patrons using cashless front money in Christchurch casino are limited to $500 for non-VIP patrons and $5,999 for VIP patrons.</w:t>
      </w:r>
    </w:p>
    <w:p w:rsidR="003D0350" w:rsidRDefault="003D0350" w:rsidP="003D0350">
      <w:pPr>
        <w:pStyle w:val="Default"/>
        <w:ind w:left="360"/>
        <w:jc w:val="both"/>
        <w:rPr>
          <w:rFonts w:asciiTheme="minorHAnsi" w:hAnsiTheme="minorHAnsi"/>
        </w:rPr>
      </w:pPr>
    </w:p>
    <w:p w:rsidR="003D0350" w:rsidRDefault="003D0350" w:rsidP="003D0350">
      <w:pPr>
        <w:pStyle w:val="Default"/>
        <w:ind w:left="360"/>
        <w:jc w:val="both"/>
        <w:rPr>
          <w:rFonts w:asciiTheme="minorHAnsi" w:hAnsiTheme="minorHAnsi"/>
        </w:rPr>
      </w:pPr>
      <w:r>
        <w:rPr>
          <w:rFonts w:asciiTheme="minorHAnsi" w:hAnsiTheme="minorHAnsi"/>
        </w:rPr>
        <w:t>We welcome your comments on appropriate download limits, taking into account the casino environment and the type of patrons who typically play in the VIP salons.</w:t>
      </w:r>
    </w:p>
    <w:p w:rsidR="00010C06" w:rsidRPr="00115237" w:rsidRDefault="00010C06" w:rsidP="0099067D">
      <w:pPr>
        <w:pStyle w:val="Default"/>
        <w:ind w:left="360"/>
        <w:jc w:val="both"/>
        <w:rPr>
          <w:rFonts w:asciiTheme="minorHAnsi" w:hAnsiTheme="minorHAnsi"/>
        </w:rPr>
      </w:pPr>
    </w:p>
    <w:p w:rsidR="00115DD9" w:rsidRPr="006D26B7" w:rsidRDefault="00115DD9" w:rsidP="005E2EE4">
      <w:pPr>
        <w:pStyle w:val="Default"/>
        <w:numPr>
          <w:ilvl w:val="0"/>
          <w:numId w:val="29"/>
        </w:numPr>
        <w:spacing w:after="240"/>
        <w:jc w:val="both"/>
        <w:rPr>
          <w:rFonts w:asciiTheme="minorHAnsi" w:hAnsiTheme="minorHAnsi"/>
          <w:b/>
        </w:rPr>
      </w:pPr>
      <w:r w:rsidRPr="006D26B7">
        <w:rPr>
          <w:rFonts w:asciiTheme="minorHAnsi" w:hAnsiTheme="minorHAnsi"/>
          <w:b/>
          <w:color w:val="auto"/>
        </w:rPr>
        <w:t>Security and integrity features</w:t>
      </w:r>
    </w:p>
    <w:p w:rsidR="00CB7D03" w:rsidRDefault="00CF3ED0" w:rsidP="005E2EE4">
      <w:pPr>
        <w:pStyle w:val="Default"/>
        <w:spacing w:after="240"/>
        <w:ind w:left="360"/>
        <w:jc w:val="both"/>
        <w:rPr>
          <w:rFonts w:asciiTheme="minorHAnsi" w:hAnsiTheme="minorHAnsi"/>
        </w:rPr>
      </w:pPr>
      <w:r>
        <w:rPr>
          <w:rFonts w:asciiTheme="minorHAnsi" w:hAnsiTheme="minorHAnsi"/>
        </w:rPr>
        <w:t xml:space="preserve">It is intended that </w:t>
      </w:r>
      <w:r w:rsidR="006D26B7">
        <w:rPr>
          <w:rFonts w:asciiTheme="minorHAnsi" w:hAnsiTheme="minorHAnsi"/>
        </w:rPr>
        <w:t xml:space="preserve">account-based cashless gambling </w:t>
      </w:r>
      <w:r>
        <w:rPr>
          <w:rFonts w:asciiTheme="minorHAnsi" w:hAnsiTheme="minorHAnsi"/>
        </w:rPr>
        <w:t xml:space="preserve">will </w:t>
      </w:r>
      <w:r w:rsidR="006D26B7">
        <w:rPr>
          <w:rFonts w:asciiTheme="minorHAnsi" w:hAnsiTheme="minorHAnsi"/>
        </w:rPr>
        <w:t>enhance</w:t>
      </w:r>
      <w:r w:rsidRPr="00CF3ED0">
        <w:rPr>
          <w:rFonts w:asciiTheme="minorHAnsi" w:hAnsiTheme="minorHAnsi"/>
        </w:rPr>
        <w:t xml:space="preserve"> </w:t>
      </w:r>
      <w:r>
        <w:rPr>
          <w:rFonts w:asciiTheme="minorHAnsi" w:hAnsiTheme="minorHAnsi"/>
        </w:rPr>
        <w:t xml:space="preserve">some </w:t>
      </w:r>
      <w:r w:rsidRPr="00CF3ED0">
        <w:rPr>
          <w:rFonts w:asciiTheme="minorHAnsi" w:hAnsiTheme="minorHAnsi"/>
        </w:rPr>
        <w:t>aspects of anti-money laundering monitoring</w:t>
      </w:r>
      <w:r>
        <w:rPr>
          <w:rFonts w:asciiTheme="minorHAnsi" w:hAnsiTheme="minorHAnsi"/>
        </w:rPr>
        <w:t>.  This is</w:t>
      </w:r>
      <w:r w:rsidR="00CB7D03" w:rsidRPr="00CB7D03">
        <w:rPr>
          <w:rFonts w:asciiTheme="minorHAnsi" w:hAnsiTheme="minorHAnsi"/>
        </w:rPr>
        <w:t xml:space="preserve"> </w:t>
      </w:r>
      <w:r>
        <w:rPr>
          <w:rFonts w:asciiTheme="minorHAnsi" w:hAnsiTheme="minorHAnsi"/>
        </w:rPr>
        <w:t xml:space="preserve">because </w:t>
      </w:r>
      <w:r w:rsidR="00CB7D03" w:rsidRPr="00CB7D03">
        <w:rPr>
          <w:rFonts w:asciiTheme="minorHAnsi" w:hAnsiTheme="minorHAnsi"/>
        </w:rPr>
        <w:t xml:space="preserve">the use of this facility would </w:t>
      </w:r>
      <w:r>
        <w:rPr>
          <w:rFonts w:asciiTheme="minorHAnsi" w:hAnsiTheme="minorHAnsi"/>
        </w:rPr>
        <w:t xml:space="preserve">require the casino to </w:t>
      </w:r>
      <w:r w:rsidR="00FE18A3">
        <w:rPr>
          <w:rFonts w:asciiTheme="minorHAnsi" w:hAnsiTheme="minorHAnsi"/>
        </w:rPr>
        <w:t xml:space="preserve">complete </w:t>
      </w:r>
      <w:r>
        <w:rPr>
          <w:rFonts w:asciiTheme="minorHAnsi" w:hAnsiTheme="minorHAnsi"/>
        </w:rPr>
        <w:t xml:space="preserve">identification checks when setting up a player account, and </w:t>
      </w:r>
      <w:r w:rsidR="00CB7D03" w:rsidRPr="00CB7D03">
        <w:rPr>
          <w:rFonts w:asciiTheme="minorHAnsi" w:hAnsiTheme="minorHAnsi"/>
        </w:rPr>
        <w:t>enhance</w:t>
      </w:r>
      <w:r>
        <w:rPr>
          <w:rFonts w:asciiTheme="minorHAnsi" w:hAnsiTheme="minorHAnsi"/>
        </w:rPr>
        <w:t>s</w:t>
      </w:r>
      <w:r w:rsidR="00CB7D03" w:rsidRPr="00CB7D03">
        <w:rPr>
          <w:rFonts w:asciiTheme="minorHAnsi" w:hAnsiTheme="minorHAnsi"/>
        </w:rPr>
        <w:t xml:space="preserve"> the visi</w:t>
      </w:r>
      <w:r>
        <w:rPr>
          <w:rFonts w:asciiTheme="minorHAnsi" w:hAnsiTheme="minorHAnsi"/>
        </w:rPr>
        <w:t xml:space="preserve">bility of </w:t>
      </w:r>
      <w:r w:rsidR="001216FF">
        <w:rPr>
          <w:rFonts w:asciiTheme="minorHAnsi" w:hAnsiTheme="minorHAnsi"/>
        </w:rPr>
        <w:t xml:space="preserve">player </w:t>
      </w:r>
      <w:r>
        <w:rPr>
          <w:rFonts w:asciiTheme="minorHAnsi" w:hAnsiTheme="minorHAnsi"/>
        </w:rPr>
        <w:t>transactions</w:t>
      </w:r>
      <w:r w:rsidR="00CB7D03" w:rsidRPr="00CB7D03">
        <w:rPr>
          <w:rFonts w:asciiTheme="minorHAnsi" w:hAnsiTheme="minorHAnsi"/>
        </w:rPr>
        <w:t>.</w:t>
      </w:r>
    </w:p>
    <w:p w:rsidR="0099067D" w:rsidRPr="00ED1A40" w:rsidRDefault="00ED1A40" w:rsidP="005E2EE4">
      <w:pPr>
        <w:pStyle w:val="Default"/>
        <w:numPr>
          <w:ilvl w:val="0"/>
          <w:numId w:val="29"/>
        </w:numPr>
        <w:spacing w:after="240"/>
        <w:jc w:val="both"/>
        <w:rPr>
          <w:rFonts w:asciiTheme="minorHAnsi" w:hAnsiTheme="minorHAnsi"/>
          <w:b/>
          <w:color w:val="auto"/>
        </w:rPr>
      </w:pPr>
      <w:r>
        <w:rPr>
          <w:rFonts w:asciiTheme="minorHAnsi" w:hAnsiTheme="minorHAnsi"/>
          <w:b/>
          <w:color w:val="auto"/>
        </w:rPr>
        <w:t>Pre-commitment</w:t>
      </w:r>
    </w:p>
    <w:p w:rsidR="00115DD9" w:rsidRDefault="00B950EC" w:rsidP="0099067D">
      <w:pPr>
        <w:pStyle w:val="Default"/>
        <w:spacing w:after="240"/>
        <w:ind w:left="360"/>
        <w:jc w:val="both"/>
        <w:rPr>
          <w:rFonts w:asciiTheme="minorHAnsi" w:hAnsiTheme="minorHAnsi"/>
          <w:color w:val="auto"/>
        </w:rPr>
      </w:pPr>
      <w:r w:rsidRPr="00B950EC">
        <w:rPr>
          <w:rFonts w:asciiTheme="minorHAnsi" w:hAnsiTheme="minorHAnsi"/>
          <w:color w:val="auto"/>
        </w:rPr>
        <w:t>Th</w:t>
      </w:r>
      <w:r w:rsidR="00AF7A17">
        <w:rPr>
          <w:rFonts w:asciiTheme="minorHAnsi" w:hAnsiTheme="minorHAnsi"/>
          <w:color w:val="auto"/>
        </w:rPr>
        <w:t xml:space="preserve">e proposed standard </w:t>
      </w:r>
      <w:r w:rsidR="00ED1A40">
        <w:rPr>
          <w:rFonts w:asciiTheme="minorHAnsi" w:hAnsiTheme="minorHAnsi"/>
          <w:color w:val="auto"/>
        </w:rPr>
        <w:t>provides</w:t>
      </w:r>
      <w:r w:rsidR="00AF7A17">
        <w:rPr>
          <w:rFonts w:asciiTheme="minorHAnsi" w:hAnsiTheme="minorHAnsi"/>
          <w:color w:val="auto"/>
        </w:rPr>
        <w:t xml:space="preserve"> that pre-commitment</w:t>
      </w:r>
      <w:r w:rsidRPr="00B950EC">
        <w:rPr>
          <w:rFonts w:asciiTheme="minorHAnsi" w:hAnsiTheme="minorHAnsi"/>
          <w:color w:val="auto"/>
        </w:rPr>
        <w:t xml:space="preserve"> must be m</w:t>
      </w:r>
      <w:r w:rsidR="00AF7A17">
        <w:rPr>
          <w:rFonts w:asciiTheme="minorHAnsi" w:hAnsiTheme="minorHAnsi"/>
          <w:color w:val="auto"/>
        </w:rPr>
        <w:t>ade available to all players</w:t>
      </w:r>
      <w:r w:rsidR="0062771D">
        <w:rPr>
          <w:rFonts w:asciiTheme="minorHAnsi" w:hAnsiTheme="minorHAnsi"/>
          <w:color w:val="auto"/>
        </w:rPr>
        <w:t xml:space="preserve">, </w:t>
      </w:r>
      <w:r w:rsidR="001C1085">
        <w:rPr>
          <w:rFonts w:asciiTheme="minorHAnsi" w:hAnsiTheme="minorHAnsi"/>
          <w:color w:val="auto"/>
        </w:rPr>
        <w:t>though its use by players is voluntary</w:t>
      </w:r>
      <w:r w:rsidR="00AF7A17">
        <w:rPr>
          <w:rFonts w:asciiTheme="minorHAnsi" w:hAnsiTheme="minorHAnsi"/>
          <w:color w:val="auto"/>
        </w:rPr>
        <w:t>.  This</w:t>
      </w:r>
      <w:r w:rsidRPr="00B950EC">
        <w:rPr>
          <w:rFonts w:asciiTheme="minorHAnsi" w:hAnsiTheme="minorHAnsi"/>
          <w:color w:val="auto"/>
        </w:rPr>
        <w:t xml:space="preserve"> </w:t>
      </w:r>
      <w:r w:rsidR="00ED1A40">
        <w:rPr>
          <w:rFonts w:asciiTheme="minorHAnsi" w:hAnsiTheme="minorHAnsi"/>
          <w:color w:val="auto"/>
        </w:rPr>
        <w:t>gives patrons the option of setting</w:t>
      </w:r>
      <w:r w:rsidRPr="00B950EC">
        <w:rPr>
          <w:rFonts w:asciiTheme="minorHAnsi" w:hAnsiTheme="minorHAnsi"/>
          <w:color w:val="auto"/>
        </w:rPr>
        <w:t xml:space="preserve"> personal limits on time and spend</w:t>
      </w:r>
      <w:r w:rsidR="00B849CE">
        <w:rPr>
          <w:rFonts w:asciiTheme="minorHAnsi" w:hAnsiTheme="minorHAnsi"/>
          <w:color w:val="auto"/>
        </w:rPr>
        <w:t>ing</w:t>
      </w:r>
      <w:r w:rsidR="00AF7A17">
        <w:rPr>
          <w:rFonts w:asciiTheme="minorHAnsi" w:hAnsiTheme="minorHAnsi"/>
          <w:color w:val="auto"/>
        </w:rPr>
        <w:t>.</w:t>
      </w:r>
    </w:p>
    <w:p w:rsidR="00646D90" w:rsidRDefault="00646D90">
      <w:pPr>
        <w:keepLines w:val="0"/>
        <w:rPr>
          <w:rFonts w:asciiTheme="minorHAnsi" w:eastAsia="Times New Roman" w:hAnsiTheme="minorHAnsi" w:cs="Calibri"/>
          <w:lang w:eastAsia="en-NZ"/>
        </w:rPr>
      </w:pPr>
      <w:r>
        <w:rPr>
          <w:rFonts w:asciiTheme="minorHAnsi" w:hAnsiTheme="minorHAnsi"/>
        </w:rPr>
        <w:br w:type="page"/>
      </w:r>
    </w:p>
    <w:p w:rsidR="00115DD9" w:rsidRPr="00E23E40" w:rsidRDefault="00115DD9" w:rsidP="005E2EE4">
      <w:pPr>
        <w:pStyle w:val="Heading1"/>
        <w:spacing w:after="480"/>
        <w:jc w:val="both"/>
        <w:rPr>
          <w:rFonts w:asciiTheme="minorHAnsi" w:eastAsia="Times New Roman" w:hAnsiTheme="minorHAnsi" w:cs="Calibri"/>
          <w:lang w:eastAsia="en-NZ"/>
        </w:rPr>
      </w:pPr>
      <w:bookmarkStart w:id="8" w:name="_Toc437434771"/>
      <w:r>
        <w:lastRenderedPageBreak/>
        <w:t>4. Questions for submitters</w:t>
      </w:r>
      <w:bookmarkEnd w:id="8"/>
    </w:p>
    <w:p w:rsidR="0043717D" w:rsidRDefault="00115DD9" w:rsidP="005E2EE4">
      <w:pPr>
        <w:ind w:left="426" w:hanging="426"/>
        <w:jc w:val="both"/>
        <w:rPr>
          <w:i/>
        </w:rPr>
      </w:pPr>
      <w:r>
        <w:rPr>
          <w:i/>
        </w:rPr>
        <w:t xml:space="preserve">1) </w:t>
      </w:r>
      <w:r>
        <w:rPr>
          <w:i/>
        </w:rPr>
        <w:tab/>
        <w:t xml:space="preserve">Do you think that </w:t>
      </w:r>
      <w:r w:rsidR="0043717D">
        <w:rPr>
          <w:i/>
        </w:rPr>
        <w:t xml:space="preserve">the proposed controls for </w:t>
      </w:r>
      <w:r w:rsidR="00AF7A17">
        <w:rPr>
          <w:i/>
        </w:rPr>
        <w:t xml:space="preserve">account-based </w:t>
      </w:r>
      <w:r w:rsidR="0043717D">
        <w:rPr>
          <w:i/>
        </w:rPr>
        <w:t xml:space="preserve">cashless </w:t>
      </w:r>
      <w:r w:rsidR="00015335">
        <w:rPr>
          <w:i/>
        </w:rPr>
        <w:t>gambling</w:t>
      </w:r>
      <w:r w:rsidR="0043717D">
        <w:rPr>
          <w:i/>
        </w:rPr>
        <w:t xml:space="preserve"> in casinos</w:t>
      </w:r>
      <w:r>
        <w:rPr>
          <w:i/>
        </w:rPr>
        <w:t xml:space="preserve"> </w:t>
      </w:r>
      <w:r w:rsidR="0043717D">
        <w:rPr>
          <w:i/>
        </w:rPr>
        <w:t xml:space="preserve">are </w:t>
      </w:r>
      <w:r w:rsidR="00F1711E">
        <w:rPr>
          <w:i/>
        </w:rPr>
        <w:t xml:space="preserve">appropriate </w:t>
      </w:r>
      <w:r w:rsidR="0043717D">
        <w:rPr>
          <w:i/>
        </w:rPr>
        <w:t>for</w:t>
      </w:r>
      <w:r>
        <w:rPr>
          <w:i/>
        </w:rPr>
        <w:t xml:space="preserve"> the </w:t>
      </w:r>
      <w:r w:rsidRPr="00D8200C">
        <w:rPr>
          <w:b/>
          <w:i/>
        </w:rPr>
        <w:t>prevention and minimisation of harm</w:t>
      </w:r>
      <w:r>
        <w:rPr>
          <w:i/>
        </w:rPr>
        <w:t xml:space="preserve"> from gambling?</w:t>
      </w:r>
      <w:r w:rsidR="0043717D">
        <w:rPr>
          <w:i/>
        </w:rPr>
        <w:t xml:space="preserve"> </w:t>
      </w:r>
      <w:r>
        <w:rPr>
          <w:i/>
        </w:rPr>
        <w:t xml:space="preserve"> Why</w:t>
      </w:r>
      <w:r w:rsidR="0043717D">
        <w:rPr>
          <w:i/>
        </w:rPr>
        <w:t xml:space="preserve"> or why not</w:t>
      </w:r>
      <w:r>
        <w:rPr>
          <w:i/>
        </w:rPr>
        <w:t>?</w:t>
      </w:r>
    </w:p>
    <w:p w:rsidR="00115DD9" w:rsidRDefault="00115DD9" w:rsidP="002915BD">
      <w:pPr>
        <w:ind w:left="426" w:hanging="426"/>
        <w:jc w:val="both"/>
        <w:rPr>
          <w:i/>
        </w:rPr>
      </w:pPr>
      <w:r>
        <w:rPr>
          <w:i/>
        </w:rPr>
        <w:t xml:space="preserve">2) </w:t>
      </w:r>
      <w:r>
        <w:rPr>
          <w:i/>
        </w:rPr>
        <w:tab/>
      </w:r>
      <w:r w:rsidR="0043717D">
        <w:rPr>
          <w:i/>
        </w:rPr>
        <w:t xml:space="preserve">Are there any other controls that you think should be included as requirements for the </w:t>
      </w:r>
      <w:r w:rsidR="0043717D" w:rsidRPr="0043717D">
        <w:rPr>
          <w:b/>
          <w:i/>
        </w:rPr>
        <w:t>prevention and minimisation of harm</w:t>
      </w:r>
      <w:r w:rsidR="0043717D">
        <w:rPr>
          <w:i/>
        </w:rPr>
        <w:t xml:space="preserve">, and to </w:t>
      </w:r>
      <w:r w:rsidR="0043717D" w:rsidRPr="0043717D">
        <w:rPr>
          <w:b/>
          <w:i/>
        </w:rPr>
        <w:t>facilitate responsible gambling</w:t>
      </w:r>
      <w:r w:rsidR="0043717D">
        <w:rPr>
          <w:i/>
        </w:rPr>
        <w:t xml:space="preserve">? </w:t>
      </w:r>
    </w:p>
    <w:p w:rsidR="00115DD9" w:rsidRDefault="002915BD" w:rsidP="005E2EE4">
      <w:pPr>
        <w:ind w:left="426" w:hanging="426"/>
        <w:jc w:val="both"/>
        <w:rPr>
          <w:i/>
        </w:rPr>
      </w:pPr>
      <w:r>
        <w:rPr>
          <w:i/>
        </w:rPr>
        <w:t>3</w:t>
      </w:r>
      <w:r w:rsidR="00115DD9">
        <w:rPr>
          <w:i/>
        </w:rPr>
        <w:t>)</w:t>
      </w:r>
      <w:r w:rsidR="00115DD9">
        <w:rPr>
          <w:i/>
        </w:rPr>
        <w:tab/>
        <w:t xml:space="preserve">Do you think </w:t>
      </w:r>
      <w:r w:rsidR="0043717D">
        <w:rPr>
          <w:i/>
        </w:rPr>
        <w:t xml:space="preserve">the proposed controls are </w:t>
      </w:r>
      <w:r w:rsidR="00F1711E">
        <w:rPr>
          <w:i/>
        </w:rPr>
        <w:t>appropriate</w:t>
      </w:r>
      <w:r w:rsidR="00115DD9">
        <w:rPr>
          <w:i/>
        </w:rPr>
        <w:t xml:space="preserve"> in regards to </w:t>
      </w:r>
      <w:r w:rsidR="00115DD9">
        <w:rPr>
          <w:b/>
          <w:i/>
        </w:rPr>
        <w:t>limiting opportunities for crime or dishonesty</w:t>
      </w:r>
      <w:r w:rsidR="00115DD9">
        <w:rPr>
          <w:i/>
        </w:rPr>
        <w:t>? Why</w:t>
      </w:r>
      <w:r w:rsidR="0043717D">
        <w:rPr>
          <w:i/>
        </w:rPr>
        <w:t xml:space="preserve"> or why not</w:t>
      </w:r>
      <w:r w:rsidR="00115DD9">
        <w:rPr>
          <w:i/>
        </w:rPr>
        <w:t>?</w:t>
      </w:r>
    </w:p>
    <w:p w:rsidR="00115DD9" w:rsidRPr="00EE0F55" w:rsidRDefault="002915BD" w:rsidP="005E2EE4">
      <w:pPr>
        <w:ind w:left="426" w:hanging="426"/>
        <w:jc w:val="both"/>
        <w:rPr>
          <w:i/>
        </w:rPr>
      </w:pPr>
      <w:r>
        <w:rPr>
          <w:i/>
        </w:rPr>
        <w:t>4</w:t>
      </w:r>
      <w:r w:rsidR="0043717D">
        <w:rPr>
          <w:i/>
        </w:rPr>
        <w:t>)</w:t>
      </w:r>
      <w:r w:rsidR="0043717D">
        <w:rPr>
          <w:i/>
        </w:rPr>
        <w:tab/>
      </w:r>
      <w:r w:rsidR="0043717D" w:rsidRPr="0043717D">
        <w:rPr>
          <w:i/>
        </w:rPr>
        <w:t>Are there any other controls that you think should be included as requirements</w:t>
      </w:r>
      <w:r w:rsidR="0043717D">
        <w:rPr>
          <w:i/>
        </w:rPr>
        <w:t xml:space="preserve"> in regards to </w:t>
      </w:r>
      <w:r w:rsidR="0043717D" w:rsidRPr="0043717D">
        <w:rPr>
          <w:b/>
          <w:i/>
        </w:rPr>
        <w:t>limit</w:t>
      </w:r>
      <w:r w:rsidR="0043717D">
        <w:rPr>
          <w:b/>
          <w:i/>
        </w:rPr>
        <w:t>ing</w:t>
      </w:r>
      <w:r w:rsidR="0043717D" w:rsidRPr="0043717D">
        <w:rPr>
          <w:b/>
          <w:i/>
        </w:rPr>
        <w:t xml:space="preserve"> the opportunities for crime or dishonesty</w:t>
      </w:r>
      <w:r w:rsidR="0043717D" w:rsidRPr="0043717D">
        <w:rPr>
          <w:i/>
        </w:rPr>
        <w:t>?</w:t>
      </w:r>
    </w:p>
    <w:p w:rsidR="00115DD9" w:rsidRDefault="002915BD" w:rsidP="005E2EE4">
      <w:pPr>
        <w:pStyle w:val="Default"/>
        <w:spacing w:after="120"/>
        <w:ind w:left="448" w:hanging="448"/>
        <w:jc w:val="both"/>
        <w:rPr>
          <w:rFonts w:asciiTheme="minorHAnsi" w:hAnsiTheme="minorHAnsi"/>
          <w:i/>
          <w:color w:val="auto"/>
        </w:rPr>
      </w:pPr>
      <w:r>
        <w:rPr>
          <w:rFonts w:asciiTheme="minorHAnsi" w:hAnsiTheme="minorHAnsi"/>
          <w:i/>
          <w:color w:val="auto"/>
        </w:rPr>
        <w:t>5</w:t>
      </w:r>
      <w:r w:rsidR="00115DD9">
        <w:rPr>
          <w:rFonts w:asciiTheme="minorHAnsi" w:hAnsiTheme="minorHAnsi"/>
          <w:i/>
          <w:color w:val="auto"/>
        </w:rPr>
        <w:t>)</w:t>
      </w:r>
      <w:r w:rsidR="00115DD9">
        <w:rPr>
          <w:rFonts w:asciiTheme="minorHAnsi" w:hAnsiTheme="minorHAnsi"/>
          <w:i/>
          <w:color w:val="auto"/>
        </w:rPr>
        <w:tab/>
        <w:t xml:space="preserve">Are you aware of any additional research or evidence into the harms and benefits that may be associated with </w:t>
      </w:r>
      <w:r w:rsidR="00AF7A17">
        <w:rPr>
          <w:rFonts w:asciiTheme="minorHAnsi" w:hAnsiTheme="minorHAnsi"/>
          <w:i/>
          <w:color w:val="auto"/>
        </w:rPr>
        <w:t xml:space="preserve">account-based </w:t>
      </w:r>
      <w:r w:rsidR="0043717D">
        <w:rPr>
          <w:rFonts w:asciiTheme="minorHAnsi" w:hAnsiTheme="minorHAnsi"/>
          <w:i/>
          <w:color w:val="auto"/>
        </w:rPr>
        <w:t>cashless</w:t>
      </w:r>
      <w:r w:rsidR="00015335">
        <w:rPr>
          <w:rFonts w:asciiTheme="minorHAnsi" w:hAnsiTheme="minorHAnsi"/>
          <w:i/>
          <w:color w:val="auto"/>
        </w:rPr>
        <w:t xml:space="preserve"> gambling</w:t>
      </w:r>
      <w:r w:rsidR="00115DD9">
        <w:rPr>
          <w:rFonts w:asciiTheme="minorHAnsi" w:hAnsiTheme="minorHAnsi"/>
          <w:i/>
          <w:color w:val="auto"/>
        </w:rPr>
        <w:t>? If so, please provide this in your submission.</w:t>
      </w:r>
    </w:p>
    <w:p w:rsidR="00115DD9" w:rsidRDefault="00115DD9" w:rsidP="005E2EE4">
      <w:pPr>
        <w:keepLines w:val="0"/>
        <w:jc w:val="both"/>
        <w:rPr>
          <w:rFonts w:asciiTheme="minorHAnsi" w:hAnsiTheme="minorHAnsi"/>
        </w:rPr>
      </w:pPr>
    </w:p>
    <w:sectPr w:rsidR="00115DD9" w:rsidSect="00654F6F">
      <w:headerReference w:type="default" r:id="rId12"/>
      <w:footerReference w:type="default" r:id="rId13"/>
      <w:headerReference w:type="first" r:id="rId14"/>
      <w:type w:val="continuous"/>
      <w:pgSz w:w="11907" w:h="16840" w:code="9"/>
      <w:pgMar w:top="1191" w:right="1418" w:bottom="2127" w:left="1418" w:header="425"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01" w:rsidRDefault="00DF5301">
      <w:r>
        <w:separator/>
      </w:r>
    </w:p>
  </w:endnote>
  <w:endnote w:type="continuationSeparator" w:id="0">
    <w:p w:rsidR="00DF5301" w:rsidRDefault="00DF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757895"/>
      <w:docPartObj>
        <w:docPartGallery w:val="Page Numbers (Bottom of Page)"/>
        <w:docPartUnique/>
      </w:docPartObj>
    </w:sdtPr>
    <w:sdtEndPr>
      <w:rPr>
        <w:noProof/>
      </w:rPr>
    </w:sdtEndPr>
    <w:sdtContent>
      <w:p w:rsidR="00D845DA" w:rsidRDefault="00D845DA">
        <w:pPr>
          <w:pStyle w:val="Footer"/>
          <w:jc w:val="right"/>
        </w:pPr>
        <w:r>
          <w:fldChar w:fldCharType="begin"/>
        </w:r>
        <w:r>
          <w:instrText xml:space="preserve"> PAGE   \* MERGEFORMAT </w:instrText>
        </w:r>
        <w:r>
          <w:fldChar w:fldCharType="separate"/>
        </w:r>
        <w:r w:rsidR="00C123CF">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01" w:rsidRDefault="00DF5301" w:rsidP="001C6D4C">
      <w:pPr>
        <w:pStyle w:val="Spacer"/>
      </w:pPr>
      <w:r>
        <w:separator/>
      </w:r>
    </w:p>
    <w:p w:rsidR="00DF5301" w:rsidRDefault="00DF5301" w:rsidP="001C6D4C">
      <w:pPr>
        <w:pStyle w:val="Spacer"/>
      </w:pPr>
    </w:p>
  </w:footnote>
  <w:footnote w:type="continuationSeparator" w:id="0">
    <w:p w:rsidR="00DF5301" w:rsidRDefault="00DF5301">
      <w:r>
        <w:continuationSeparator/>
      </w:r>
    </w:p>
  </w:footnote>
  <w:footnote w:id="1">
    <w:p w:rsidR="00BF558A" w:rsidRPr="00BA50B0" w:rsidRDefault="00BF558A" w:rsidP="00BF558A">
      <w:pPr>
        <w:pStyle w:val="FootnoteText"/>
        <w:ind w:left="0" w:firstLine="0"/>
      </w:pPr>
      <w:r>
        <w:rPr>
          <w:rStyle w:val="FootnoteReference"/>
        </w:rPr>
        <w:footnoteRef/>
      </w:r>
      <w:r>
        <w:t xml:space="preserve"> </w:t>
      </w:r>
      <w:r w:rsidRPr="003E4339">
        <w:rPr>
          <w:sz w:val="16"/>
          <w:szCs w:val="16"/>
        </w:rPr>
        <w:t>While you may indicate the information you would like withheld, it can only be withheld if it meets the relevant criteria under the Official Information Act 1982.</w:t>
      </w:r>
    </w:p>
  </w:footnote>
  <w:footnote w:id="2">
    <w:p w:rsidR="005B1F1E" w:rsidRDefault="005B1F1E">
      <w:pPr>
        <w:pStyle w:val="FootnoteText"/>
      </w:pPr>
      <w:r>
        <w:rPr>
          <w:rStyle w:val="FootnoteReference"/>
        </w:rPr>
        <w:footnoteRef/>
      </w:r>
      <w:r>
        <w:t xml:space="preserve"> Patrons can download money directly to gaming machines from their casino deposit accounts but cannot load credits back to their accounts; they must cash out when they finish gambling.</w:t>
      </w:r>
    </w:p>
  </w:footnote>
  <w:footnote w:id="3">
    <w:p w:rsidR="00D845DA" w:rsidRDefault="00D845DA" w:rsidP="002F7FE5">
      <w:pPr>
        <w:pStyle w:val="FootnoteText"/>
      </w:pPr>
      <w:r>
        <w:rPr>
          <w:rStyle w:val="FootnoteReference"/>
        </w:rPr>
        <w:footnoteRef/>
      </w:r>
      <w:proofErr w:type="gramStart"/>
      <w:r w:rsidRPr="002F7FE5">
        <w:rPr>
          <w:sz w:val="16"/>
          <w:szCs w:val="16"/>
        </w:rPr>
        <w:t>Hill, M. and Reid, K. (2006) Cashless Gambling – Interim Position Paper.</w:t>
      </w:r>
      <w:proofErr w:type="gramEnd"/>
      <w:r w:rsidRPr="002F7FE5">
        <w:rPr>
          <w:sz w:val="16"/>
          <w:szCs w:val="16"/>
        </w:rPr>
        <w:t xml:space="preserve"> New Zealand Department of Internal Affairs, Gambling Compliance at </w:t>
      </w:r>
      <w:hyperlink r:id="rId1" w:history="1">
        <w:r w:rsidRPr="002F7FE5">
          <w:rPr>
            <w:rStyle w:val="Hyperlink"/>
            <w:sz w:val="16"/>
            <w:szCs w:val="16"/>
          </w:rPr>
          <w:t>https://www.dia.govt.nz/diawebsite.nsf/Files/CashlessGamblingPaper/$file/CashlessGamblingPaper.pdf</w:t>
        </w:r>
      </w:hyperlink>
    </w:p>
  </w:footnote>
  <w:footnote w:id="4">
    <w:p w:rsidR="00D845DA" w:rsidRPr="00720C2B" w:rsidRDefault="00D845DA" w:rsidP="00F46F1A">
      <w:pPr>
        <w:pStyle w:val="FootnoteText"/>
        <w:rPr>
          <w:sz w:val="16"/>
          <w:szCs w:val="16"/>
        </w:rPr>
      </w:pPr>
      <w:r>
        <w:rPr>
          <w:rStyle w:val="FootnoteReference"/>
        </w:rPr>
        <w:footnoteRef/>
      </w:r>
      <w:r>
        <w:t xml:space="preserve"> </w:t>
      </w:r>
      <w:r w:rsidRPr="00720C2B">
        <w:rPr>
          <w:sz w:val="16"/>
          <w:szCs w:val="16"/>
        </w:rPr>
        <w:t xml:space="preserve">Carter, C. (2006). Ticket </w:t>
      </w:r>
      <w:proofErr w:type="gramStart"/>
      <w:r w:rsidRPr="00720C2B">
        <w:rPr>
          <w:sz w:val="16"/>
          <w:szCs w:val="16"/>
        </w:rPr>
        <w:t>In</w:t>
      </w:r>
      <w:proofErr w:type="gramEnd"/>
      <w:r w:rsidRPr="00720C2B">
        <w:rPr>
          <w:sz w:val="16"/>
          <w:szCs w:val="16"/>
        </w:rPr>
        <w:t xml:space="preserve"> Ticket Out Trial and the Impact on Problem Gamblers. Sydney, Office of</w:t>
      </w:r>
      <w:r>
        <w:rPr>
          <w:sz w:val="16"/>
          <w:szCs w:val="16"/>
        </w:rPr>
        <w:t xml:space="preserve"> </w:t>
      </w:r>
      <w:r w:rsidRPr="00720C2B">
        <w:rPr>
          <w:sz w:val="16"/>
          <w:szCs w:val="16"/>
        </w:rPr>
        <w:t>Liquor, Gaming and Racing, NSW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DA" w:rsidRPr="000644C0" w:rsidRDefault="00D845DA" w:rsidP="000644C0">
    <w:pPr>
      <w:pStyle w:val="Foo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DA" w:rsidRDefault="00D845DA" w:rsidP="000901DD">
    <w:pPr>
      <w:pStyle w:val="Header"/>
      <w:tabs>
        <w:tab w:val="right" w:pos="9072"/>
      </w:tabs>
    </w:pPr>
    <w:r>
      <w:rPr>
        <w:noProof/>
        <w:lang w:eastAsia="en-NZ"/>
      </w:rPr>
      <w:drawing>
        <wp:anchor distT="0" distB="360045" distL="114300" distR="114300" simplePos="0" relativeHeight="251657216" behindDoc="0" locked="0" layoutInCell="1" allowOverlap="1" wp14:anchorId="36E9883D" wp14:editId="381C65C6">
          <wp:simplePos x="0" y="0"/>
          <wp:positionH relativeFrom="page">
            <wp:posOffset>3348355</wp:posOffset>
          </wp:positionH>
          <wp:positionV relativeFrom="page">
            <wp:posOffset>504190</wp:posOffset>
          </wp:positionV>
          <wp:extent cx="3708000" cy="655200"/>
          <wp:effectExtent l="0" t="0" r="0" b="0"/>
          <wp:wrapTopAndBottom/>
          <wp:docPr id="1" name="Picture 1"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45DA" w:rsidRDefault="00D84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1F50FE"/>
    <w:multiLevelType w:val="hybridMultilevel"/>
    <w:tmpl w:val="5D7A8446"/>
    <w:lvl w:ilvl="0" w:tplc="F37A4368">
      <w:start w:val="1"/>
      <w:numFmt w:val="decimal"/>
      <w:pStyle w:val="Briefingtext"/>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8090001">
      <w:start w:val="1"/>
      <w:numFmt w:val="bullet"/>
      <w:lvlText w:val=""/>
      <w:lvlJc w:val="left"/>
      <w:pPr>
        <w:tabs>
          <w:tab w:val="num" w:pos="1440"/>
        </w:tabs>
        <w:ind w:left="144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nsid w:val="20102C12"/>
    <w:multiLevelType w:val="hybridMultilevel"/>
    <w:tmpl w:val="DF486E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45859C0"/>
    <w:multiLevelType w:val="hybridMultilevel"/>
    <w:tmpl w:val="C0C851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C593EBE"/>
    <w:multiLevelType w:val="hybridMultilevel"/>
    <w:tmpl w:val="A08817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BAA627B"/>
    <w:multiLevelType w:val="hybridMultilevel"/>
    <w:tmpl w:val="EB361BC8"/>
    <w:lvl w:ilvl="0" w:tplc="070EF938">
      <w:start w:val="1"/>
      <w:numFmt w:val="decimal"/>
      <w:lvlText w:val="%1)"/>
      <w:lvlJc w:val="left"/>
      <w:pPr>
        <w:ind w:left="720" w:hanging="360"/>
      </w:pPr>
      <w:rPr>
        <w:rFonts w:hint="default"/>
        <w:i w:val="0"/>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nsid w:val="6B0E4957"/>
    <w:multiLevelType w:val="hybridMultilevel"/>
    <w:tmpl w:val="A32A06A6"/>
    <w:lvl w:ilvl="0" w:tplc="534AB27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nsid w:val="70E41EA0"/>
    <w:multiLevelType w:val="hybridMultilevel"/>
    <w:tmpl w:val="0972BCBC"/>
    <w:lvl w:ilvl="0" w:tplc="14090001">
      <w:start w:val="1"/>
      <w:numFmt w:val="bullet"/>
      <w:lvlText w:val=""/>
      <w:lvlJc w:val="left"/>
      <w:pPr>
        <w:ind w:left="2061" w:hanging="360"/>
      </w:pPr>
      <w:rPr>
        <w:rFonts w:ascii="Symbol" w:hAnsi="Symbol" w:hint="default"/>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32">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3">
    <w:nsid w:val="76FC0602"/>
    <w:multiLevelType w:val="hybridMultilevel"/>
    <w:tmpl w:val="0964B4FE"/>
    <w:lvl w:ilvl="0" w:tplc="21C025AE">
      <w:start w:val="1"/>
      <w:numFmt w:val="decimal"/>
      <w:lvlText w:val="%1)"/>
      <w:lvlJc w:val="left"/>
      <w:pPr>
        <w:ind w:left="1137" w:hanging="570"/>
      </w:pPr>
      <w:rPr>
        <w:rFonts w:hint="default"/>
        <w:b w:val="0"/>
      </w:rPr>
    </w:lvl>
    <w:lvl w:ilvl="1" w:tplc="14090001">
      <w:start w:val="1"/>
      <w:numFmt w:val="bullet"/>
      <w:lvlText w:val=""/>
      <w:lvlJc w:val="left"/>
      <w:pPr>
        <w:ind w:left="1647" w:hanging="360"/>
      </w:pPr>
      <w:rPr>
        <w:rFonts w:ascii="Symbol" w:hAnsi="Symbol" w:hint="default"/>
      </w:rPr>
    </w:lvl>
    <w:lvl w:ilvl="2" w:tplc="1409001B">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4">
    <w:nsid w:val="7BF5291C"/>
    <w:multiLevelType w:val="hybridMultilevel"/>
    <w:tmpl w:val="D84EB8FE"/>
    <w:lvl w:ilvl="0" w:tplc="9A8207BE">
      <w:start w:val="1"/>
      <w:numFmt w:val="decimal"/>
      <w:lvlText w:val="%1)"/>
      <w:lvlJc w:val="left"/>
      <w:pPr>
        <w:ind w:left="360" w:hanging="360"/>
      </w:pPr>
      <w:rPr>
        <w:rFonts w:hint="default"/>
        <w:b w:val="0"/>
        <w:i w:val="0"/>
        <w:u w:val="none"/>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4"/>
  </w:num>
  <w:num w:numId="2">
    <w:abstractNumId w:val="22"/>
  </w:num>
  <w:num w:numId="3">
    <w:abstractNumId w:val="19"/>
  </w:num>
  <w:num w:numId="4">
    <w:abstractNumId w:val="30"/>
  </w:num>
  <w:num w:numId="5">
    <w:abstractNumId w:val="25"/>
  </w:num>
  <w:num w:numId="6">
    <w:abstractNumId w:val="27"/>
  </w:num>
  <w:num w:numId="7">
    <w:abstractNumId w:val="17"/>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32"/>
  </w:num>
  <w:num w:numId="21">
    <w:abstractNumId w:val="29"/>
  </w:num>
  <w:num w:numId="22">
    <w:abstractNumId w:val="26"/>
  </w:num>
  <w:num w:numId="23">
    <w:abstractNumId w:val="20"/>
  </w:num>
  <w:num w:numId="24">
    <w:abstractNumId w:val="18"/>
  </w:num>
  <w:num w:numId="25">
    <w:abstractNumId w:val="13"/>
  </w:num>
  <w:num w:numId="26">
    <w:abstractNumId w:val="10"/>
  </w:num>
  <w:num w:numId="27">
    <w:abstractNumId w:val="21"/>
  </w:num>
  <w:num w:numId="28">
    <w:abstractNumId w:val="12"/>
  </w:num>
  <w:num w:numId="29">
    <w:abstractNumId w:val="34"/>
  </w:num>
  <w:num w:numId="30">
    <w:abstractNumId w:val="28"/>
  </w:num>
  <w:num w:numId="31">
    <w:abstractNumId w:val="23"/>
  </w:num>
  <w:num w:numId="32">
    <w:abstractNumId w:val="15"/>
  </w:num>
  <w:num w:numId="33">
    <w:abstractNumId w:val="33"/>
  </w:num>
  <w:num w:numId="34">
    <w:abstractNumId w:val="31"/>
  </w:num>
  <w:num w:numId="3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66"/>
    <w:rsid w:val="00000868"/>
    <w:rsid w:val="00000916"/>
    <w:rsid w:val="00003360"/>
    <w:rsid w:val="00010C06"/>
    <w:rsid w:val="000119B1"/>
    <w:rsid w:val="00011BCF"/>
    <w:rsid w:val="00015335"/>
    <w:rsid w:val="00020010"/>
    <w:rsid w:val="00022BDF"/>
    <w:rsid w:val="00023B12"/>
    <w:rsid w:val="00024333"/>
    <w:rsid w:val="0002485C"/>
    <w:rsid w:val="000252E6"/>
    <w:rsid w:val="00034673"/>
    <w:rsid w:val="00034F24"/>
    <w:rsid w:val="00035462"/>
    <w:rsid w:val="0003650D"/>
    <w:rsid w:val="00036EFE"/>
    <w:rsid w:val="0003765E"/>
    <w:rsid w:val="000409E2"/>
    <w:rsid w:val="0004415F"/>
    <w:rsid w:val="00044EA1"/>
    <w:rsid w:val="000458E3"/>
    <w:rsid w:val="00053A48"/>
    <w:rsid w:val="00054E23"/>
    <w:rsid w:val="00056DB7"/>
    <w:rsid w:val="0006007E"/>
    <w:rsid w:val="000612CB"/>
    <w:rsid w:val="00061F66"/>
    <w:rsid w:val="00063BB2"/>
    <w:rsid w:val="000644C0"/>
    <w:rsid w:val="0006732C"/>
    <w:rsid w:val="0007068B"/>
    <w:rsid w:val="00072B7D"/>
    <w:rsid w:val="00072C7A"/>
    <w:rsid w:val="00076035"/>
    <w:rsid w:val="00077013"/>
    <w:rsid w:val="00077EA7"/>
    <w:rsid w:val="0008403F"/>
    <w:rsid w:val="00084281"/>
    <w:rsid w:val="000901DD"/>
    <w:rsid w:val="00090717"/>
    <w:rsid w:val="00091534"/>
    <w:rsid w:val="00091C3A"/>
    <w:rsid w:val="000A2115"/>
    <w:rsid w:val="000A2511"/>
    <w:rsid w:val="000B6B02"/>
    <w:rsid w:val="000C4B1F"/>
    <w:rsid w:val="000C50BD"/>
    <w:rsid w:val="000C6423"/>
    <w:rsid w:val="000D02EE"/>
    <w:rsid w:val="000D6F08"/>
    <w:rsid w:val="000E4731"/>
    <w:rsid w:val="000E555B"/>
    <w:rsid w:val="000E64F7"/>
    <w:rsid w:val="000E677B"/>
    <w:rsid w:val="000F4ADF"/>
    <w:rsid w:val="000F57CC"/>
    <w:rsid w:val="000F59E8"/>
    <w:rsid w:val="000F61AF"/>
    <w:rsid w:val="0010171C"/>
    <w:rsid w:val="00102FAD"/>
    <w:rsid w:val="00104A02"/>
    <w:rsid w:val="00107AE6"/>
    <w:rsid w:val="00114CFA"/>
    <w:rsid w:val="00115237"/>
    <w:rsid w:val="001154CC"/>
    <w:rsid w:val="00115DD9"/>
    <w:rsid w:val="001177D3"/>
    <w:rsid w:val="001216FF"/>
    <w:rsid w:val="00121870"/>
    <w:rsid w:val="00122653"/>
    <w:rsid w:val="001254AB"/>
    <w:rsid w:val="00127485"/>
    <w:rsid w:val="00131E7B"/>
    <w:rsid w:val="001338EC"/>
    <w:rsid w:val="00136483"/>
    <w:rsid w:val="00151740"/>
    <w:rsid w:val="001520A8"/>
    <w:rsid w:val="001526D2"/>
    <w:rsid w:val="00163BFE"/>
    <w:rsid w:val="0016433D"/>
    <w:rsid w:val="001644C5"/>
    <w:rsid w:val="001669DD"/>
    <w:rsid w:val="00173B4F"/>
    <w:rsid w:val="00174DA6"/>
    <w:rsid w:val="001763E3"/>
    <w:rsid w:val="001823BF"/>
    <w:rsid w:val="00183257"/>
    <w:rsid w:val="001838EC"/>
    <w:rsid w:val="00187F6D"/>
    <w:rsid w:val="00192A67"/>
    <w:rsid w:val="00193678"/>
    <w:rsid w:val="001955BC"/>
    <w:rsid w:val="00196308"/>
    <w:rsid w:val="001A420E"/>
    <w:rsid w:val="001A55DD"/>
    <w:rsid w:val="001A5F55"/>
    <w:rsid w:val="001B0E80"/>
    <w:rsid w:val="001B2067"/>
    <w:rsid w:val="001B303F"/>
    <w:rsid w:val="001B54E1"/>
    <w:rsid w:val="001B58FF"/>
    <w:rsid w:val="001B6323"/>
    <w:rsid w:val="001C0031"/>
    <w:rsid w:val="001C04BF"/>
    <w:rsid w:val="001C1085"/>
    <w:rsid w:val="001C2326"/>
    <w:rsid w:val="001C4364"/>
    <w:rsid w:val="001C6D4C"/>
    <w:rsid w:val="001D0111"/>
    <w:rsid w:val="001D3466"/>
    <w:rsid w:val="001E1741"/>
    <w:rsid w:val="00205380"/>
    <w:rsid w:val="00205FE8"/>
    <w:rsid w:val="00206405"/>
    <w:rsid w:val="00206BA3"/>
    <w:rsid w:val="00214499"/>
    <w:rsid w:val="00215160"/>
    <w:rsid w:val="00215164"/>
    <w:rsid w:val="00217ACB"/>
    <w:rsid w:val="0022044A"/>
    <w:rsid w:val="002224B4"/>
    <w:rsid w:val="00223125"/>
    <w:rsid w:val="002256D2"/>
    <w:rsid w:val="00226D5E"/>
    <w:rsid w:val="00231F47"/>
    <w:rsid w:val="002344CC"/>
    <w:rsid w:val="002366B0"/>
    <w:rsid w:val="00237A3D"/>
    <w:rsid w:val="00240E83"/>
    <w:rsid w:val="002412C6"/>
    <w:rsid w:val="00241F6F"/>
    <w:rsid w:val="00246816"/>
    <w:rsid w:val="002502D1"/>
    <w:rsid w:val="00250B74"/>
    <w:rsid w:val="0025464B"/>
    <w:rsid w:val="00255704"/>
    <w:rsid w:val="00255CA6"/>
    <w:rsid w:val="00255D6C"/>
    <w:rsid w:val="00257B04"/>
    <w:rsid w:val="002610DA"/>
    <w:rsid w:val="00263CE7"/>
    <w:rsid w:val="002647D1"/>
    <w:rsid w:val="0026609E"/>
    <w:rsid w:val="00270EEC"/>
    <w:rsid w:val="00272495"/>
    <w:rsid w:val="00272496"/>
    <w:rsid w:val="0027480E"/>
    <w:rsid w:val="00274C03"/>
    <w:rsid w:val="00275C1A"/>
    <w:rsid w:val="002806A2"/>
    <w:rsid w:val="00280D2C"/>
    <w:rsid w:val="00283AC0"/>
    <w:rsid w:val="002915BD"/>
    <w:rsid w:val="00291AE4"/>
    <w:rsid w:val="002969AE"/>
    <w:rsid w:val="00296CEC"/>
    <w:rsid w:val="00297CC7"/>
    <w:rsid w:val="002A13FF"/>
    <w:rsid w:val="002A194F"/>
    <w:rsid w:val="002A4BD9"/>
    <w:rsid w:val="002A4FE7"/>
    <w:rsid w:val="002B1CEB"/>
    <w:rsid w:val="002B57F4"/>
    <w:rsid w:val="002C2E36"/>
    <w:rsid w:val="002C3CB5"/>
    <w:rsid w:val="002C55C7"/>
    <w:rsid w:val="002C613E"/>
    <w:rsid w:val="002D0B27"/>
    <w:rsid w:val="002D124E"/>
    <w:rsid w:val="002D7658"/>
    <w:rsid w:val="002E022E"/>
    <w:rsid w:val="002E1494"/>
    <w:rsid w:val="002E1679"/>
    <w:rsid w:val="002E58AF"/>
    <w:rsid w:val="002F113D"/>
    <w:rsid w:val="002F60D1"/>
    <w:rsid w:val="002F66E1"/>
    <w:rsid w:val="002F7FE5"/>
    <w:rsid w:val="0030084C"/>
    <w:rsid w:val="003024C1"/>
    <w:rsid w:val="003031A6"/>
    <w:rsid w:val="00304360"/>
    <w:rsid w:val="00306CC0"/>
    <w:rsid w:val="003129BA"/>
    <w:rsid w:val="003148FC"/>
    <w:rsid w:val="0032484F"/>
    <w:rsid w:val="00330820"/>
    <w:rsid w:val="00332731"/>
    <w:rsid w:val="003333E1"/>
    <w:rsid w:val="00336F82"/>
    <w:rsid w:val="003439F8"/>
    <w:rsid w:val="0034735A"/>
    <w:rsid w:val="00350FA0"/>
    <w:rsid w:val="00356224"/>
    <w:rsid w:val="003605B7"/>
    <w:rsid w:val="00367102"/>
    <w:rsid w:val="00367B1A"/>
    <w:rsid w:val="00370FC0"/>
    <w:rsid w:val="00373206"/>
    <w:rsid w:val="00373624"/>
    <w:rsid w:val="0037412F"/>
    <w:rsid w:val="0037449C"/>
    <w:rsid w:val="0038314D"/>
    <w:rsid w:val="00395B15"/>
    <w:rsid w:val="00395B62"/>
    <w:rsid w:val="0039686B"/>
    <w:rsid w:val="003A10DA"/>
    <w:rsid w:val="003A12C8"/>
    <w:rsid w:val="003A4F22"/>
    <w:rsid w:val="003A6B98"/>
    <w:rsid w:val="003A6FFE"/>
    <w:rsid w:val="003A7017"/>
    <w:rsid w:val="003B2897"/>
    <w:rsid w:val="003B3A23"/>
    <w:rsid w:val="003B6DBB"/>
    <w:rsid w:val="003B7363"/>
    <w:rsid w:val="003C580A"/>
    <w:rsid w:val="003D0350"/>
    <w:rsid w:val="003D4592"/>
    <w:rsid w:val="003E2BDE"/>
    <w:rsid w:val="003E48A4"/>
    <w:rsid w:val="003E5772"/>
    <w:rsid w:val="003E7293"/>
    <w:rsid w:val="003F385B"/>
    <w:rsid w:val="003F3CD1"/>
    <w:rsid w:val="003F55CB"/>
    <w:rsid w:val="003F5688"/>
    <w:rsid w:val="003F5886"/>
    <w:rsid w:val="003F7394"/>
    <w:rsid w:val="003F796C"/>
    <w:rsid w:val="0040020C"/>
    <w:rsid w:val="004002E7"/>
    <w:rsid w:val="004005C0"/>
    <w:rsid w:val="004008A7"/>
    <w:rsid w:val="00404743"/>
    <w:rsid w:val="0040700B"/>
    <w:rsid w:val="00407F54"/>
    <w:rsid w:val="00410F60"/>
    <w:rsid w:val="00411341"/>
    <w:rsid w:val="004116F8"/>
    <w:rsid w:val="00413966"/>
    <w:rsid w:val="00415CDB"/>
    <w:rsid w:val="004208BB"/>
    <w:rsid w:val="00421B80"/>
    <w:rsid w:val="00421D03"/>
    <w:rsid w:val="004229AF"/>
    <w:rsid w:val="004231DC"/>
    <w:rsid w:val="0042551E"/>
    <w:rsid w:val="0042634B"/>
    <w:rsid w:val="00433AD8"/>
    <w:rsid w:val="00435905"/>
    <w:rsid w:val="0043717D"/>
    <w:rsid w:val="004371F4"/>
    <w:rsid w:val="00440E19"/>
    <w:rsid w:val="00446437"/>
    <w:rsid w:val="0045323B"/>
    <w:rsid w:val="00453324"/>
    <w:rsid w:val="004552A0"/>
    <w:rsid w:val="00456CCF"/>
    <w:rsid w:val="00457015"/>
    <w:rsid w:val="00457544"/>
    <w:rsid w:val="004578BE"/>
    <w:rsid w:val="00460A83"/>
    <w:rsid w:val="00461272"/>
    <w:rsid w:val="00461834"/>
    <w:rsid w:val="00462231"/>
    <w:rsid w:val="00467C1F"/>
    <w:rsid w:val="00470B4F"/>
    <w:rsid w:val="0047146D"/>
    <w:rsid w:val="004723ED"/>
    <w:rsid w:val="00474BA0"/>
    <w:rsid w:val="004771DD"/>
    <w:rsid w:val="00477619"/>
    <w:rsid w:val="00480254"/>
    <w:rsid w:val="004804AE"/>
    <w:rsid w:val="0048100A"/>
    <w:rsid w:val="0048441E"/>
    <w:rsid w:val="00485C94"/>
    <w:rsid w:val="00486710"/>
    <w:rsid w:val="00486E6E"/>
    <w:rsid w:val="00495612"/>
    <w:rsid w:val="004972F6"/>
    <w:rsid w:val="004A4292"/>
    <w:rsid w:val="004A5823"/>
    <w:rsid w:val="004B0AAF"/>
    <w:rsid w:val="004B3924"/>
    <w:rsid w:val="004B3E80"/>
    <w:rsid w:val="004B62A1"/>
    <w:rsid w:val="004C2AD0"/>
    <w:rsid w:val="004C3BC3"/>
    <w:rsid w:val="004C3D4C"/>
    <w:rsid w:val="004C4DDD"/>
    <w:rsid w:val="004D1706"/>
    <w:rsid w:val="004D243F"/>
    <w:rsid w:val="004D29CE"/>
    <w:rsid w:val="004D344C"/>
    <w:rsid w:val="004D409F"/>
    <w:rsid w:val="004D6BFF"/>
    <w:rsid w:val="004D7473"/>
    <w:rsid w:val="004D74C2"/>
    <w:rsid w:val="004E0F69"/>
    <w:rsid w:val="004E49B9"/>
    <w:rsid w:val="004E4ED2"/>
    <w:rsid w:val="004E716F"/>
    <w:rsid w:val="004E76BC"/>
    <w:rsid w:val="004F0A88"/>
    <w:rsid w:val="004F10DE"/>
    <w:rsid w:val="004F2D33"/>
    <w:rsid w:val="004F2F97"/>
    <w:rsid w:val="004F4676"/>
    <w:rsid w:val="004F6CDB"/>
    <w:rsid w:val="005001D9"/>
    <w:rsid w:val="005077D6"/>
    <w:rsid w:val="00512ACB"/>
    <w:rsid w:val="00515260"/>
    <w:rsid w:val="0051774E"/>
    <w:rsid w:val="0052012D"/>
    <w:rsid w:val="00521451"/>
    <w:rsid w:val="0052216D"/>
    <w:rsid w:val="0052584E"/>
    <w:rsid w:val="00526115"/>
    <w:rsid w:val="00527FDC"/>
    <w:rsid w:val="00530E69"/>
    <w:rsid w:val="00532429"/>
    <w:rsid w:val="00533FAF"/>
    <w:rsid w:val="005366B6"/>
    <w:rsid w:val="00543CC9"/>
    <w:rsid w:val="005528E5"/>
    <w:rsid w:val="005577B7"/>
    <w:rsid w:val="005608F4"/>
    <w:rsid w:val="00561A97"/>
    <w:rsid w:val="00563DAC"/>
    <w:rsid w:val="005675E0"/>
    <w:rsid w:val="00570C00"/>
    <w:rsid w:val="00571D1D"/>
    <w:rsid w:val="005755A2"/>
    <w:rsid w:val="00577BB8"/>
    <w:rsid w:val="005808C9"/>
    <w:rsid w:val="00580AFD"/>
    <w:rsid w:val="005810CE"/>
    <w:rsid w:val="0058206B"/>
    <w:rsid w:val="005822D6"/>
    <w:rsid w:val="00585690"/>
    <w:rsid w:val="005872C6"/>
    <w:rsid w:val="0059004C"/>
    <w:rsid w:val="00590667"/>
    <w:rsid w:val="005930E3"/>
    <w:rsid w:val="00594B91"/>
    <w:rsid w:val="00595B33"/>
    <w:rsid w:val="00595C01"/>
    <w:rsid w:val="0059662F"/>
    <w:rsid w:val="005B1F1E"/>
    <w:rsid w:val="005B327C"/>
    <w:rsid w:val="005B463A"/>
    <w:rsid w:val="005C073B"/>
    <w:rsid w:val="005C2B6D"/>
    <w:rsid w:val="005C31A8"/>
    <w:rsid w:val="005C32A5"/>
    <w:rsid w:val="005C3736"/>
    <w:rsid w:val="005D1D59"/>
    <w:rsid w:val="005D224C"/>
    <w:rsid w:val="005D3066"/>
    <w:rsid w:val="005E1508"/>
    <w:rsid w:val="005E2C5B"/>
    <w:rsid w:val="005E2EE4"/>
    <w:rsid w:val="005E3715"/>
    <w:rsid w:val="005E4B13"/>
    <w:rsid w:val="005E4C02"/>
    <w:rsid w:val="005F01DF"/>
    <w:rsid w:val="005F028D"/>
    <w:rsid w:val="005F13C0"/>
    <w:rsid w:val="005F76CC"/>
    <w:rsid w:val="005F7FF8"/>
    <w:rsid w:val="006009F8"/>
    <w:rsid w:val="00600CA4"/>
    <w:rsid w:val="00601C17"/>
    <w:rsid w:val="00602416"/>
    <w:rsid w:val="00603423"/>
    <w:rsid w:val="00603BF3"/>
    <w:rsid w:val="006041F2"/>
    <w:rsid w:val="006109A3"/>
    <w:rsid w:val="00610B7D"/>
    <w:rsid w:val="00612073"/>
    <w:rsid w:val="0061268D"/>
    <w:rsid w:val="006138A4"/>
    <w:rsid w:val="00617CD8"/>
    <w:rsid w:val="00621FC0"/>
    <w:rsid w:val="006252A2"/>
    <w:rsid w:val="0062725F"/>
    <w:rsid w:val="00627577"/>
    <w:rsid w:val="0062771D"/>
    <w:rsid w:val="00630F6C"/>
    <w:rsid w:val="006355D3"/>
    <w:rsid w:val="00635C70"/>
    <w:rsid w:val="0064307B"/>
    <w:rsid w:val="00644E90"/>
    <w:rsid w:val="0064690C"/>
    <w:rsid w:val="00646C6C"/>
    <w:rsid w:val="00646D90"/>
    <w:rsid w:val="006514FC"/>
    <w:rsid w:val="00651A9A"/>
    <w:rsid w:val="00652A6D"/>
    <w:rsid w:val="006533A4"/>
    <w:rsid w:val="00654F6F"/>
    <w:rsid w:val="006604FF"/>
    <w:rsid w:val="00662716"/>
    <w:rsid w:val="00663AEA"/>
    <w:rsid w:val="006649B6"/>
    <w:rsid w:val="00664AA9"/>
    <w:rsid w:val="00665ACC"/>
    <w:rsid w:val="0067032D"/>
    <w:rsid w:val="00671EFC"/>
    <w:rsid w:val="00673581"/>
    <w:rsid w:val="00674676"/>
    <w:rsid w:val="00675603"/>
    <w:rsid w:val="0067634B"/>
    <w:rsid w:val="00676936"/>
    <w:rsid w:val="00676F0E"/>
    <w:rsid w:val="00677B13"/>
    <w:rsid w:val="00677F4E"/>
    <w:rsid w:val="00681A08"/>
    <w:rsid w:val="00685ECF"/>
    <w:rsid w:val="006875B8"/>
    <w:rsid w:val="00687CEA"/>
    <w:rsid w:val="00695B75"/>
    <w:rsid w:val="00696712"/>
    <w:rsid w:val="006A1A95"/>
    <w:rsid w:val="006A38B7"/>
    <w:rsid w:val="006A3FC8"/>
    <w:rsid w:val="006A42F1"/>
    <w:rsid w:val="006A4D2F"/>
    <w:rsid w:val="006A584B"/>
    <w:rsid w:val="006B126C"/>
    <w:rsid w:val="006B19AA"/>
    <w:rsid w:val="006B1CB2"/>
    <w:rsid w:val="006B1DD1"/>
    <w:rsid w:val="006B2978"/>
    <w:rsid w:val="006B3396"/>
    <w:rsid w:val="006C6AF4"/>
    <w:rsid w:val="006C7EAD"/>
    <w:rsid w:val="006D1290"/>
    <w:rsid w:val="006D172F"/>
    <w:rsid w:val="006D26B7"/>
    <w:rsid w:val="006D40CA"/>
    <w:rsid w:val="006D40F6"/>
    <w:rsid w:val="006D5643"/>
    <w:rsid w:val="006D638F"/>
    <w:rsid w:val="006E173F"/>
    <w:rsid w:val="006E228F"/>
    <w:rsid w:val="006E3041"/>
    <w:rsid w:val="006E4DF8"/>
    <w:rsid w:val="006E69CA"/>
    <w:rsid w:val="006E7BF7"/>
    <w:rsid w:val="006E7DA9"/>
    <w:rsid w:val="006F012B"/>
    <w:rsid w:val="006F15C9"/>
    <w:rsid w:val="006F247A"/>
    <w:rsid w:val="006F2FD0"/>
    <w:rsid w:val="006F46A2"/>
    <w:rsid w:val="006F54E6"/>
    <w:rsid w:val="006F5BF8"/>
    <w:rsid w:val="006F6C53"/>
    <w:rsid w:val="006F7C48"/>
    <w:rsid w:val="00702C66"/>
    <w:rsid w:val="00703FD0"/>
    <w:rsid w:val="007068C8"/>
    <w:rsid w:val="00706C7C"/>
    <w:rsid w:val="00707EFF"/>
    <w:rsid w:val="00715B8F"/>
    <w:rsid w:val="007175C5"/>
    <w:rsid w:val="0072047F"/>
    <w:rsid w:val="007208ED"/>
    <w:rsid w:val="00720C2B"/>
    <w:rsid w:val="007217B8"/>
    <w:rsid w:val="00721CA0"/>
    <w:rsid w:val="00730342"/>
    <w:rsid w:val="0073106E"/>
    <w:rsid w:val="00732849"/>
    <w:rsid w:val="00733884"/>
    <w:rsid w:val="00734953"/>
    <w:rsid w:val="00734E7E"/>
    <w:rsid w:val="00740F9F"/>
    <w:rsid w:val="00742D0D"/>
    <w:rsid w:val="0075025C"/>
    <w:rsid w:val="00755EE1"/>
    <w:rsid w:val="00756BB7"/>
    <w:rsid w:val="0075764B"/>
    <w:rsid w:val="00760314"/>
    <w:rsid w:val="00760C01"/>
    <w:rsid w:val="00761293"/>
    <w:rsid w:val="00766080"/>
    <w:rsid w:val="00766C49"/>
    <w:rsid w:val="00766E29"/>
    <w:rsid w:val="00767C04"/>
    <w:rsid w:val="00767E0D"/>
    <w:rsid w:val="00771E2F"/>
    <w:rsid w:val="007736A2"/>
    <w:rsid w:val="007749E1"/>
    <w:rsid w:val="00774A4A"/>
    <w:rsid w:val="00775963"/>
    <w:rsid w:val="00780679"/>
    <w:rsid w:val="00781493"/>
    <w:rsid w:val="007821DD"/>
    <w:rsid w:val="00782648"/>
    <w:rsid w:val="0078521F"/>
    <w:rsid w:val="007907A4"/>
    <w:rsid w:val="00793B4E"/>
    <w:rsid w:val="00795552"/>
    <w:rsid w:val="00795752"/>
    <w:rsid w:val="00796F9A"/>
    <w:rsid w:val="007A1791"/>
    <w:rsid w:val="007A6226"/>
    <w:rsid w:val="007A7DDB"/>
    <w:rsid w:val="007B2FAF"/>
    <w:rsid w:val="007B3C61"/>
    <w:rsid w:val="007B4C9E"/>
    <w:rsid w:val="007B79FC"/>
    <w:rsid w:val="007C71AC"/>
    <w:rsid w:val="007D0DA7"/>
    <w:rsid w:val="007D1918"/>
    <w:rsid w:val="007D677D"/>
    <w:rsid w:val="007E4B95"/>
    <w:rsid w:val="007E62DA"/>
    <w:rsid w:val="007F3B71"/>
    <w:rsid w:val="007F3E1A"/>
    <w:rsid w:val="007F549B"/>
    <w:rsid w:val="007F54D5"/>
    <w:rsid w:val="008011DC"/>
    <w:rsid w:val="00801B5B"/>
    <w:rsid w:val="00804F1E"/>
    <w:rsid w:val="00806E1E"/>
    <w:rsid w:val="0080740E"/>
    <w:rsid w:val="00814946"/>
    <w:rsid w:val="0082264B"/>
    <w:rsid w:val="00826574"/>
    <w:rsid w:val="00826832"/>
    <w:rsid w:val="00826CBC"/>
    <w:rsid w:val="0082765B"/>
    <w:rsid w:val="00827E74"/>
    <w:rsid w:val="00832067"/>
    <w:rsid w:val="00834EB5"/>
    <w:rsid w:val="008352A9"/>
    <w:rsid w:val="008356C9"/>
    <w:rsid w:val="00835BD7"/>
    <w:rsid w:val="0083600E"/>
    <w:rsid w:val="00843D71"/>
    <w:rsid w:val="00844425"/>
    <w:rsid w:val="0084745A"/>
    <w:rsid w:val="00854409"/>
    <w:rsid w:val="00855A8C"/>
    <w:rsid w:val="00860E2F"/>
    <w:rsid w:val="00865E7A"/>
    <w:rsid w:val="00870045"/>
    <w:rsid w:val="00876E5F"/>
    <w:rsid w:val="00877DCD"/>
    <w:rsid w:val="00886285"/>
    <w:rsid w:val="00890CE4"/>
    <w:rsid w:val="00893D5A"/>
    <w:rsid w:val="00894177"/>
    <w:rsid w:val="008A1694"/>
    <w:rsid w:val="008A17CB"/>
    <w:rsid w:val="008A3282"/>
    <w:rsid w:val="008B30DD"/>
    <w:rsid w:val="008B7F65"/>
    <w:rsid w:val="008C0CBF"/>
    <w:rsid w:val="008C2678"/>
    <w:rsid w:val="008C3187"/>
    <w:rsid w:val="008C33D4"/>
    <w:rsid w:val="008C5E4F"/>
    <w:rsid w:val="008C6A05"/>
    <w:rsid w:val="008D1F70"/>
    <w:rsid w:val="008D63B7"/>
    <w:rsid w:val="008D6A03"/>
    <w:rsid w:val="008D71D9"/>
    <w:rsid w:val="008E14FC"/>
    <w:rsid w:val="008E3041"/>
    <w:rsid w:val="008E3ACD"/>
    <w:rsid w:val="008E494B"/>
    <w:rsid w:val="008E69BD"/>
    <w:rsid w:val="008E6D1A"/>
    <w:rsid w:val="008E7FEE"/>
    <w:rsid w:val="008F43E1"/>
    <w:rsid w:val="008F67F5"/>
    <w:rsid w:val="008F68B2"/>
    <w:rsid w:val="008F6BCE"/>
    <w:rsid w:val="008F732C"/>
    <w:rsid w:val="008F7975"/>
    <w:rsid w:val="00900D4B"/>
    <w:rsid w:val="00902EBE"/>
    <w:rsid w:val="009036FC"/>
    <w:rsid w:val="0090729F"/>
    <w:rsid w:val="00910E20"/>
    <w:rsid w:val="00911227"/>
    <w:rsid w:val="0091152F"/>
    <w:rsid w:val="009128A0"/>
    <w:rsid w:val="009158FC"/>
    <w:rsid w:val="00915D9D"/>
    <w:rsid w:val="009170B9"/>
    <w:rsid w:val="00920FD4"/>
    <w:rsid w:val="00924828"/>
    <w:rsid w:val="00925124"/>
    <w:rsid w:val="00927482"/>
    <w:rsid w:val="009316F2"/>
    <w:rsid w:val="00931932"/>
    <w:rsid w:val="00932C42"/>
    <w:rsid w:val="00942927"/>
    <w:rsid w:val="00943B3A"/>
    <w:rsid w:val="00945C3F"/>
    <w:rsid w:val="0095112B"/>
    <w:rsid w:val="00963F13"/>
    <w:rsid w:val="00967681"/>
    <w:rsid w:val="00970DA1"/>
    <w:rsid w:val="009724ED"/>
    <w:rsid w:val="00973332"/>
    <w:rsid w:val="00973A6D"/>
    <w:rsid w:val="00977FF5"/>
    <w:rsid w:val="0098403A"/>
    <w:rsid w:val="009865AA"/>
    <w:rsid w:val="00987080"/>
    <w:rsid w:val="0098765A"/>
    <w:rsid w:val="0099067D"/>
    <w:rsid w:val="00994D3A"/>
    <w:rsid w:val="009952C0"/>
    <w:rsid w:val="00995AEF"/>
    <w:rsid w:val="009968B0"/>
    <w:rsid w:val="00996A48"/>
    <w:rsid w:val="009A4633"/>
    <w:rsid w:val="009A5B89"/>
    <w:rsid w:val="009A6595"/>
    <w:rsid w:val="009A66F5"/>
    <w:rsid w:val="009A6CB2"/>
    <w:rsid w:val="009B0561"/>
    <w:rsid w:val="009B0982"/>
    <w:rsid w:val="009B0EED"/>
    <w:rsid w:val="009B1FA4"/>
    <w:rsid w:val="009B2EF7"/>
    <w:rsid w:val="009B351B"/>
    <w:rsid w:val="009B4C99"/>
    <w:rsid w:val="009B6C1D"/>
    <w:rsid w:val="009B7F6A"/>
    <w:rsid w:val="009C185F"/>
    <w:rsid w:val="009C2FCD"/>
    <w:rsid w:val="009C3BF5"/>
    <w:rsid w:val="009C41FF"/>
    <w:rsid w:val="009C5B40"/>
    <w:rsid w:val="009C6126"/>
    <w:rsid w:val="009C6B22"/>
    <w:rsid w:val="009D1ECA"/>
    <w:rsid w:val="009D28CF"/>
    <w:rsid w:val="009D31DD"/>
    <w:rsid w:val="009D36D8"/>
    <w:rsid w:val="009D7EB0"/>
    <w:rsid w:val="009E009A"/>
    <w:rsid w:val="009E1465"/>
    <w:rsid w:val="009E315F"/>
    <w:rsid w:val="009E3930"/>
    <w:rsid w:val="009E482A"/>
    <w:rsid w:val="009E5D36"/>
    <w:rsid w:val="009E6BB4"/>
    <w:rsid w:val="009E7352"/>
    <w:rsid w:val="009E7CA0"/>
    <w:rsid w:val="009F00C2"/>
    <w:rsid w:val="009F0752"/>
    <w:rsid w:val="009F0D0A"/>
    <w:rsid w:val="009F58AD"/>
    <w:rsid w:val="00A02DCF"/>
    <w:rsid w:val="00A02FBB"/>
    <w:rsid w:val="00A03052"/>
    <w:rsid w:val="00A04392"/>
    <w:rsid w:val="00A045A4"/>
    <w:rsid w:val="00A059AC"/>
    <w:rsid w:val="00A102E6"/>
    <w:rsid w:val="00A10CA5"/>
    <w:rsid w:val="00A12225"/>
    <w:rsid w:val="00A147CA"/>
    <w:rsid w:val="00A16003"/>
    <w:rsid w:val="00A167D7"/>
    <w:rsid w:val="00A245D5"/>
    <w:rsid w:val="00A24FBB"/>
    <w:rsid w:val="00A25E0C"/>
    <w:rsid w:val="00A26923"/>
    <w:rsid w:val="00A275E1"/>
    <w:rsid w:val="00A42ED2"/>
    <w:rsid w:val="00A44B33"/>
    <w:rsid w:val="00A50E00"/>
    <w:rsid w:val="00A52529"/>
    <w:rsid w:val="00A53624"/>
    <w:rsid w:val="00A55EAF"/>
    <w:rsid w:val="00A5766B"/>
    <w:rsid w:val="00A61651"/>
    <w:rsid w:val="00A67F89"/>
    <w:rsid w:val="00A71EE3"/>
    <w:rsid w:val="00A73BAA"/>
    <w:rsid w:val="00A748D7"/>
    <w:rsid w:val="00A749E3"/>
    <w:rsid w:val="00A77AE8"/>
    <w:rsid w:val="00A77B3B"/>
    <w:rsid w:val="00A806B0"/>
    <w:rsid w:val="00A863E3"/>
    <w:rsid w:val="00A86CCC"/>
    <w:rsid w:val="00A903F9"/>
    <w:rsid w:val="00A904B8"/>
    <w:rsid w:val="00A942F2"/>
    <w:rsid w:val="00A9690E"/>
    <w:rsid w:val="00AA13C9"/>
    <w:rsid w:val="00AB3A92"/>
    <w:rsid w:val="00AB3E28"/>
    <w:rsid w:val="00AB478B"/>
    <w:rsid w:val="00AB4AD9"/>
    <w:rsid w:val="00AB635D"/>
    <w:rsid w:val="00AB7EE8"/>
    <w:rsid w:val="00AC5D1A"/>
    <w:rsid w:val="00AD65ED"/>
    <w:rsid w:val="00AD6E77"/>
    <w:rsid w:val="00AD7A25"/>
    <w:rsid w:val="00AE334D"/>
    <w:rsid w:val="00AF3A5A"/>
    <w:rsid w:val="00AF5218"/>
    <w:rsid w:val="00AF7A17"/>
    <w:rsid w:val="00B01135"/>
    <w:rsid w:val="00B01182"/>
    <w:rsid w:val="00B0480E"/>
    <w:rsid w:val="00B04EA8"/>
    <w:rsid w:val="00B1026A"/>
    <w:rsid w:val="00B11356"/>
    <w:rsid w:val="00B14B3E"/>
    <w:rsid w:val="00B17C05"/>
    <w:rsid w:val="00B21166"/>
    <w:rsid w:val="00B235EC"/>
    <w:rsid w:val="00B24AAB"/>
    <w:rsid w:val="00B263AE"/>
    <w:rsid w:val="00B34557"/>
    <w:rsid w:val="00B40588"/>
    <w:rsid w:val="00B41428"/>
    <w:rsid w:val="00B45C34"/>
    <w:rsid w:val="00B45C7D"/>
    <w:rsid w:val="00B47091"/>
    <w:rsid w:val="00B52AB5"/>
    <w:rsid w:val="00B56462"/>
    <w:rsid w:val="00B56B9F"/>
    <w:rsid w:val="00B56C12"/>
    <w:rsid w:val="00B62409"/>
    <w:rsid w:val="00B62C3E"/>
    <w:rsid w:val="00B645DE"/>
    <w:rsid w:val="00B65857"/>
    <w:rsid w:val="00B66698"/>
    <w:rsid w:val="00B676D2"/>
    <w:rsid w:val="00B7260E"/>
    <w:rsid w:val="00B745DC"/>
    <w:rsid w:val="00B80CDA"/>
    <w:rsid w:val="00B817D3"/>
    <w:rsid w:val="00B837D1"/>
    <w:rsid w:val="00B8382B"/>
    <w:rsid w:val="00B84350"/>
    <w:rsid w:val="00B849CE"/>
    <w:rsid w:val="00B855A6"/>
    <w:rsid w:val="00B91098"/>
    <w:rsid w:val="00B91904"/>
    <w:rsid w:val="00B91BFC"/>
    <w:rsid w:val="00B921F7"/>
    <w:rsid w:val="00B92735"/>
    <w:rsid w:val="00B950EC"/>
    <w:rsid w:val="00B95439"/>
    <w:rsid w:val="00B96689"/>
    <w:rsid w:val="00B969ED"/>
    <w:rsid w:val="00BA197B"/>
    <w:rsid w:val="00BA2C33"/>
    <w:rsid w:val="00BA3AAC"/>
    <w:rsid w:val="00BB004F"/>
    <w:rsid w:val="00BB070C"/>
    <w:rsid w:val="00BB0B56"/>
    <w:rsid w:val="00BB0D90"/>
    <w:rsid w:val="00BB18F0"/>
    <w:rsid w:val="00BB197A"/>
    <w:rsid w:val="00BB2386"/>
    <w:rsid w:val="00BB52B3"/>
    <w:rsid w:val="00BB60C6"/>
    <w:rsid w:val="00BB705F"/>
    <w:rsid w:val="00BB7204"/>
    <w:rsid w:val="00BB7984"/>
    <w:rsid w:val="00BC6A06"/>
    <w:rsid w:val="00BD137C"/>
    <w:rsid w:val="00BD3FDB"/>
    <w:rsid w:val="00BD60D9"/>
    <w:rsid w:val="00BE3FF4"/>
    <w:rsid w:val="00BE5E89"/>
    <w:rsid w:val="00BE60FE"/>
    <w:rsid w:val="00BE7155"/>
    <w:rsid w:val="00BF03AC"/>
    <w:rsid w:val="00BF07FE"/>
    <w:rsid w:val="00BF1BB1"/>
    <w:rsid w:val="00BF2BD4"/>
    <w:rsid w:val="00BF4C45"/>
    <w:rsid w:val="00BF558A"/>
    <w:rsid w:val="00BF790D"/>
    <w:rsid w:val="00C004B4"/>
    <w:rsid w:val="00C03596"/>
    <w:rsid w:val="00C03BBB"/>
    <w:rsid w:val="00C04C37"/>
    <w:rsid w:val="00C10E6C"/>
    <w:rsid w:val="00C123CF"/>
    <w:rsid w:val="00C12F0B"/>
    <w:rsid w:val="00C132E0"/>
    <w:rsid w:val="00C141FE"/>
    <w:rsid w:val="00C15A13"/>
    <w:rsid w:val="00C2307B"/>
    <w:rsid w:val="00C2342B"/>
    <w:rsid w:val="00C238D9"/>
    <w:rsid w:val="00C24488"/>
    <w:rsid w:val="00C24A9D"/>
    <w:rsid w:val="00C2677E"/>
    <w:rsid w:val="00C27E1D"/>
    <w:rsid w:val="00C31542"/>
    <w:rsid w:val="00C376B6"/>
    <w:rsid w:val="00C377C4"/>
    <w:rsid w:val="00C415D6"/>
    <w:rsid w:val="00C43CA2"/>
    <w:rsid w:val="00C450F8"/>
    <w:rsid w:val="00C47642"/>
    <w:rsid w:val="00C53F5B"/>
    <w:rsid w:val="00C57C33"/>
    <w:rsid w:val="00C603D4"/>
    <w:rsid w:val="00C6078D"/>
    <w:rsid w:val="00C61616"/>
    <w:rsid w:val="00C657CF"/>
    <w:rsid w:val="00C70400"/>
    <w:rsid w:val="00C706D7"/>
    <w:rsid w:val="00C80D62"/>
    <w:rsid w:val="00C90769"/>
    <w:rsid w:val="00C90EA8"/>
    <w:rsid w:val="00C90EC4"/>
    <w:rsid w:val="00C948A1"/>
    <w:rsid w:val="00C96BFD"/>
    <w:rsid w:val="00CA01D1"/>
    <w:rsid w:val="00CA1459"/>
    <w:rsid w:val="00CA1FC1"/>
    <w:rsid w:val="00CA4ECC"/>
    <w:rsid w:val="00CA5358"/>
    <w:rsid w:val="00CB1808"/>
    <w:rsid w:val="00CB3396"/>
    <w:rsid w:val="00CB7D03"/>
    <w:rsid w:val="00CC0E3E"/>
    <w:rsid w:val="00CC6A6B"/>
    <w:rsid w:val="00CD0F41"/>
    <w:rsid w:val="00CD1031"/>
    <w:rsid w:val="00CD11D1"/>
    <w:rsid w:val="00CD2925"/>
    <w:rsid w:val="00CD3ECB"/>
    <w:rsid w:val="00CD41F8"/>
    <w:rsid w:val="00CD502A"/>
    <w:rsid w:val="00CD72FD"/>
    <w:rsid w:val="00CE25C7"/>
    <w:rsid w:val="00CE2CB8"/>
    <w:rsid w:val="00CE3F27"/>
    <w:rsid w:val="00CE6A64"/>
    <w:rsid w:val="00CF0D66"/>
    <w:rsid w:val="00CF12CF"/>
    <w:rsid w:val="00CF3ED0"/>
    <w:rsid w:val="00D0483C"/>
    <w:rsid w:val="00D05BB6"/>
    <w:rsid w:val="00D060D2"/>
    <w:rsid w:val="00D079CA"/>
    <w:rsid w:val="00D11468"/>
    <w:rsid w:val="00D14394"/>
    <w:rsid w:val="00D15345"/>
    <w:rsid w:val="00D155DB"/>
    <w:rsid w:val="00D242CD"/>
    <w:rsid w:val="00D31BFA"/>
    <w:rsid w:val="00D32355"/>
    <w:rsid w:val="00D341C3"/>
    <w:rsid w:val="00D34737"/>
    <w:rsid w:val="00D3522E"/>
    <w:rsid w:val="00D35FB6"/>
    <w:rsid w:val="00D42843"/>
    <w:rsid w:val="00D5152A"/>
    <w:rsid w:val="00D54BCC"/>
    <w:rsid w:val="00D5642B"/>
    <w:rsid w:val="00D61E32"/>
    <w:rsid w:val="00D64AB9"/>
    <w:rsid w:val="00D64EA9"/>
    <w:rsid w:val="00D65145"/>
    <w:rsid w:val="00D735AF"/>
    <w:rsid w:val="00D74314"/>
    <w:rsid w:val="00D75023"/>
    <w:rsid w:val="00D767C1"/>
    <w:rsid w:val="00D76A43"/>
    <w:rsid w:val="00D778C8"/>
    <w:rsid w:val="00D8200C"/>
    <w:rsid w:val="00D8370A"/>
    <w:rsid w:val="00D845DA"/>
    <w:rsid w:val="00D84B5D"/>
    <w:rsid w:val="00D855AE"/>
    <w:rsid w:val="00D90635"/>
    <w:rsid w:val="00D92505"/>
    <w:rsid w:val="00D94B8F"/>
    <w:rsid w:val="00DA0CB9"/>
    <w:rsid w:val="00DA267C"/>
    <w:rsid w:val="00DA381C"/>
    <w:rsid w:val="00DA5101"/>
    <w:rsid w:val="00DA79EF"/>
    <w:rsid w:val="00DB0C0B"/>
    <w:rsid w:val="00DB2BA4"/>
    <w:rsid w:val="00DB3B74"/>
    <w:rsid w:val="00DC2F52"/>
    <w:rsid w:val="00DC5870"/>
    <w:rsid w:val="00DD0384"/>
    <w:rsid w:val="00DD0901"/>
    <w:rsid w:val="00DD21E9"/>
    <w:rsid w:val="00DD2F77"/>
    <w:rsid w:val="00DD3901"/>
    <w:rsid w:val="00DE16B6"/>
    <w:rsid w:val="00DE36CA"/>
    <w:rsid w:val="00DE4F8D"/>
    <w:rsid w:val="00DE7948"/>
    <w:rsid w:val="00DE7E63"/>
    <w:rsid w:val="00DF5301"/>
    <w:rsid w:val="00E10E0A"/>
    <w:rsid w:val="00E20A36"/>
    <w:rsid w:val="00E223A3"/>
    <w:rsid w:val="00E23E40"/>
    <w:rsid w:val="00E25624"/>
    <w:rsid w:val="00E30751"/>
    <w:rsid w:val="00E312D2"/>
    <w:rsid w:val="00E34C57"/>
    <w:rsid w:val="00E35345"/>
    <w:rsid w:val="00E367C5"/>
    <w:rsid w:val="00E36919"/>
    <w:rsid w:val="00E37E71"/>
    <w:rsid w:val="00E42847"/>
    <w:rsid w:val="00E43A9B"/>
    <w:rsid w:val="00E458AB"/>
    <w:rsid w:val="00E46064"/>
    <w:rsid w:val="00E5067A"/>
    <w:rsid w:val="00E50DA4"/>
    <w:rsid w:val="00E52EBC"/>
    <w:rsid w:val="00E55510"/>
    <w:rsid w:val="00E56DE5"/>
    <w:rsid w:val="00E604A1"/>
    <w:rsid w:val="00E60A07"/>
    <w:rsid w:val="00E6289F"/>
    <w:rsid w:val="00E66FC7"/>
    <w:rsid w:val="00E73AA8"/>
    <w:rsid w:val="00E76AFA"/>
    <w:rsid w:val="00E80228"/>
    <w:rsid w:val="00E90CB5"/>
    <w:rsid w:val="00E94F6B"/>
    <w:rsid w:val="00EA2ED4"/>
    <w:rsid w:val="00EA491A"/>
    <w:rsid w:val="00EA632B"/>
    <w:rsid w:val="00EA711A"/>
    <w:rsid w:val="00EB1583"/>
    <w:rsid w:val="00EB4836"/>
    <w:rsid w:val="00EC23FB"/>
    <w:rsid w:val="00EC43CA"/>
    <w:rsid w:val="00EC5798"/>
    <w:rsid w:val="00ED0CEE"/>
    <w:rsid w:val="00ED148D"/>
    <w:rsid w:val="00ED1A40"/>
    <w:rsid w:val="00ED227C"/>
    <w:rsid w:val="00ED7681"/>
    <w:rsid w:val="00EE0F55"/>
    <w:rsid w:val="00EE49DD"/>
    <w:rsid w:val="00EE7B89"/>
    <w:rsid w:val="00EF060B"/>
    <w:rsid w:val="00EF40C6"/>
    <w:rsid w:val="00EF63C6"/>
    <w:rsid w:val="00EF723E"/>
    <w:rsid w:val="00F034FB"/>
    <w:rsid w:val="00F03905"/>
    <w:rsid w:val="00F04C22"/>
    <w:rsid w:val="00F05606"/>
    <w:rsid w:val="00F105F5"/>
    <w:rsid w:val="00F1075A"/>
    <w:rsid w:val="00F13C4C"/>
    <w:rsid w:val="00F14615"/>
    <w:rsid w:val="00F15253"/>
    <w:rsid w:val="00F1711E"/>
    <w:rsid w:val="00F17EB6"/>
    <w:rsid w:val="00F21BAF"/>
    <w:rsid w:val="00F222C6"/>
    <w:rsid w:val="00F22E82"/>
    <w:rsid w:val="00F25CDE"/>
    <w:rsid w:val="00F3056C"/>
    <w:rsid w:val="00F311FE"/>
    <w:rsid w:val="00F337BF"/>
    <w:rsid w:val="00F33D14"/>
    <w:rsid w:val="00F35B2A"/>
    <w:rsid w:val="00F4089E"/>
    <w:rsid w:val="00F41C61"/>
    <w:rsid w:val="00F44E4F"/>
    <w:rsid w:val="00F46997"/>
    <w:rsid w:val="00F46F1A"/>
    <w:rsid w:val="00F473B6"/>
    <w:rsid w:val="00F518E1"/>
    <w:rsid w:val="00F52445"/>
    <w:rsid w:val="00F52E57"/>
    <w:rsid w:val="00F53E06"/>
    <w:rsid w:val="00F54188"/>
    <w:rsid w:val="00F54CC0"/>
    <w:rsid w:val="00F5743D"/>
    <w:rsid w:val="00F61674"/>
    <w:rsid w:val="00F666C2"/>
    <w:rsid w:val="00F727A5"/>
    <w:rsid w:val="00F80CEE"/>
    <w:rsid w:val="00F847A9"/>
    <w:rsid w:val="00F86313"/>
    <w:rsid w:val="00F8775A"/>
    <w:rsid w:val="00F87D8A"/>
    <w:rsid w:val="00F93AB3"/>
    <w:rsid w:val="00F9461E"/>
    <w:rsid w:val="00FA37C2"/>
    <w:rsid w:val="00FA4104"/>
    <w:rsid w:val="00FA4F3F"/>
    <w:rsid w:val="00FA5FE9"/>
    <w:rsid w:val="00FA67D2"/>
    <w:rsid w:val="00FA689C"/>
    <w:rsid w:val="00FA6CEA"/>
    <w:rsid w:val="00FB14A9"/>
    <w:rsid w:val="00FB302F"/>
    <w:rsid w:val="00FB483D"/>
    <w:rsid w:val="00FB54FC"/>
    <w:rsid w:val="00FB5A92"/>
    <w:rsid w:val="00FC09F6"/>
    <w:rsid w:val="00FC0A83"/>
    <w:rsid w:val="00FC131C"/>
    <w:rsid w:val="00FC1C69"/>
    <w:rsid w:val="00FC3739"/>
    <w:rsid w:val="00FC7F0A"/>
    <w:rsid w:val="00FD05EF"/>
    <w:rsid w:val="00FE04EF"/>
    <w:rsid w:val="00FE08C4"/>
    <w:rsid w:val="00FE0A53"/>
    <w:rsid w:val="00FE0DA1"/>
    <w:rsid w:val="00FE0F45"/>
    <w:rsid w:val="00FE13D3"/>
    <w:rsid w:val="00FE143E"/>
    <w:rsid w:val="00FE18A3"/>
    <w:rsid w:val="00FE1B04"/>
    <w:rsid w:val="00FE4165"/>
    <w:rsid w:val="00FE5AD9"/>
    <w:rsid w:val="00FE6A3F"/>
    <w:rsid w:val="00FE7A33"/>
    <w:rsid w:val="00FF0DF3"/>
    <w:rsid w:val="00FF56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nhideWhenUsed="0"/>
    <w:lsdException w:name="endnote text" w:uiPriority="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115DD9"/>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rsid w:val="00890CE4"/>
    <w:pPr>
      <w:spacing w:before="60" w:after="60" w:line="192" w:lineRule="auto"/>
      <w:ind w:left="130" w:hanging="130"/>
    </w:pPr>
    <w:rPr>
      <w:sz w:val="20"/>
      <w:szCs w:val="20"/>
    </w:rPr>
  </w:style>
  <w:style w:type="character" w:styleId="FootnoteReference">
    <w:name w:val="footnote reference"/>
    <w:uiPriority w:val="99"/>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39"/>
    <w:rsid w:val="005675E0"/>
    <w:pPr>
      <w:tabs>
        <w:tab w:val="right" w:pos="9072"/>
      </w:tabs>
      <w:spacing w:before="200"/>
      <w:ind w:left="567" w:right="567" w:hanging="567"/>
    </w:pPr>
    <w:rPr>
      <w:b/>
    </w:rPr>
  </w:style>
  <w:style w:type="paragraph" w:styleId="TOC7">
    <w:name w:val="toc 7"/>
    <w:basedOn w:val="Normal"/>
    <w:next w:val="Normal"/>
    <w:autoRedefine/>
    <w:uiPriority w:val="39"/>
    <w:rsid w:val="005675E0"/>
    <w:pPr>
      <w:tabs>
        <w:tab w:val="left" w:pos="567"/>
        <w:tab w:val="right" w:pos="9072"/>
      </w:tabs>
      <w:ind w:left="567" w:right="567" w:hanging="567"/>
    </w:pPr>
  </w:style>
  <w:style w:type="paragraph" w:styleId="TOC8">
    <w:name w:val="toc 8"/>
    <w:basedOn w:val="Normal"/>
    <w:next w:val="Normal"/>
    <w:autoRedefine/>
    <w:uiPriority w:val="39"/>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basedOn w:val="List123"/>
    <w:uiPriority w:val="34"/>
    <w:qFormat/>
    <w:rsid w:val="00E76AFA"/>
    <w:pPr>
      <w:numPr>
        <w:numId w:val="0"/>
      </w:numPr>
    </w:pPr>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21"/>
      </w:numPr>
      <w:spacing w:before="80" w:after="80"/>
    </w:pPr>
  </w:style>
  <w:style w:type="paragraph" w:customStyle="1" w:styleId="List123level3">
    <w:name w:val="List 1 2 3 level 3"/>
    <w:basedOn w:val="Normal"/>
    <w:uiPriority w:val="1"/>
    <w:semiHidden/>
    <w:qFormat/>
    <w:rsid w:val="00E76AFA"/>
    <w:pPr>
      <w:numPr>
        <w:ilvl w:val="2"/>
        <w:numId w:val="21"/>
      </w:numPr>
      <w:spacing w:before="80" w:after="80"/>
    </w:pPr>
  </w:style>
  <w:style w:type="paragraph" w:customStyle="1" w:styleId="Legislationsection">
    <w:name w:val="Legislation section"/>
    <w:basedOn w:val="Normal"/>
    <w:semiHidden/>
    <w:qFormat/>
    <w:rsid w:val="00E76AFA"/>
    <w:pPr>
      <w:keepNext/>
      <w:numPr>
        <w:numId w:val="23"/>
      </w:numPr>
      <w:tabs>
        <w:tab w:val="left" w:pos="567"/>
      </w:tabs>
      <w:spacing w:after="60"/>
    </w:pPr>
    <w:rPr>
      <w:b/>
      <w:sz w:val="22"/>
    </w:rPr>
  </w:style>
  <w:style w:type="paragraph" w:customStyle="1" w:styleId="Legislationnumber">
    <w:name w:val="Legislation number"/>
    <w:basedOn w:val="Normal"/>
    <w:semiHidden/>
    <w:qFormat/>
    <w:rsid w:val="00E76AFA"/>
    <w:pPr>
      <w:numPr>
        <w:numId w:val="22"/>
      </w:numPr>
      <w:tabs>
        <w:tab w:val="left" w:pos="567"/>
      </w:tabs>
      <w:spacing w:before="60" w:after="60"/>
    </w:pPr>
    <w:rPr>
      <w:sz w:val="22"/>
    </w:rPr>
  </w:style>
  <w:style w:type="paragraph" w:customStyle="1" w:styleId="Legislationa">
    <w:name w:val="Legislation (a)"/>
    <w:basedOn w:val="Normal"/>
    <w:semiHidden/>
    <w:qFormat/>
    <w:rsid w:val="00E76AFA"/>
    <w:pPr>
      <w:numPr>
        <w:ilvl w:val="2"/>
        <w:numId w:val="23"/>
      </w:numPr>
      <w:spacing w:before="60" w:after="60"/>
    </w:pPr>
    <w:rPr>
      <w:sz w:val="22"/>
    </w:rPr>
  </w:style>
  <w:style w:type="paragraph" w:customStyle="1" w:styleId="Legislationi">
    <w:name w:val="Legislation (i)"/>
    <w:basedOn w:val="Normal"/>
    <w:semiHidden/>
    <w:qFormat/>
    <w:rsid w:val="00E76AFA"/>
    <w:pPr>
      <w:numPr>
        <w:ilvl w:val="3"/>
        <w:numId w:val="23"/>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5"/>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semiHidden/>
    <w:qFormat/>
    <w:rsid w:val="00E76AFA"/>
    <w:pPr>
      <w:numPr>
        <w:numId w:val="24"/>
      </w:numPr>
      <w:spacing w:after="120"/>
    </w:pPr>
  </w:style>
  <w:style w:type="paragraph" w:customStyle="1" w:styleId="Numberedpara2level2a">
    <w:name w:val="Numbered para (2) level 2 (a)"/>
    <w:basedOn w:val="Normal"/>
    <w:semiHidden/>
    <w:qFormat/>
    <w:rsid w:val="00E76AFA"/>
    <w:pPr>
      <w:numPr>
        <w:ilvl w:val="1"/>
        <w:numId w:val="24"/>
      </w:numPr>
      <w:spacing w:after="120"/>
    </w:pPr>
  </w:style>
  <w:style w:type="paragraph" w:customStyle="1" w:styleId="Numberedpara2level3i">
    <w:name w:val="Numbered para (2) level 3 (i)"/>
    <w:basedOn w:val="Normal"/>
    <w:semiHidden/>
    <w:qFormat/>
    <w:rsid w:val="00E76AFA"/>
    <w:pPr>
      <w:numPr>
        <w:ilvl w:val="2"/>
        <w:numId w:val="24"/>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uiPriority w:val="99"/>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qFormat/>
    <w:rsid w:val="00E76AFA"/>
    <w:pPr>
      <w:numPr>
        <w:numId w:val="26"/>
      </w:numPr>
      <w:spacing w:after="120"/>
    </w:pPr>
  </w:style>
  <w:style w:type="paragraph" w:customStyle="1" w:styleId="Numberedpara3level211">
    <w:name w:val="Numbered para (3) level 2 (1.1)"/>
    <w:basedOn w:val="Normal"/>
    <w:qFormat/>
    <w:rsid w:val="00E76AFA"/>
    <w:pPr>
      <w:numPr>
        <w:ilvl w:val="1"/>
        <w:numId w:val="26"/>
      </w:numPr>
      <w:spacing w:after="120"/>
    </w:pPr>
  </w:style>
  <w:style w:type="paragraph" w:customStyle="1" w:styleId="Numberedpara3level3111">
    <w:name w:val="Numbered para (3) level 3 (1.1.1)"/>
    <w:basedOn w:val="Normal"/>
    <w:qFormat/>
    <w:rsid w:val="00E76AFA"/>
    <w:pPr>
      <w:numPr>
        <w:ilvl w:val="2"/>
        <w:numId w:val="26"/>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paragraph" w:customStyle="1" w:styleId="Default">
    <w:name w:val="Default"/>
    <w:rsid w:val="00EC5798"/>
    <w:pPr>
      <w:autoSpaceDE w:val="0"/>
      <w:autoSpaceDN w:val="0"/>
      <w:adjustRightInd w:val="0"/>
      <w:spacing w:before="0" w:after="0"/>
    </w:pPr>
    <w:rPr>
      <w:rFonts w:cs="Calibri"/>
      <w:color w:val="000000"/>
    </w:rPr>
  </w:style>
  <w:style w:type="character" w:customStyle="1" w:styleId="label">
    <w:name w:val="label"/>
    <w:basedOn w:val="DefaultParagraphFont"/>
    <w:rsid w:val="00854409"/>
  </w:style>
  <w:style w:type="character" w:customStyle="1" w:styleId="spc1">
    <w:name w:val="spc1"/>
    <w:basedOn w:val="DefaultParagraphFont"/>
    <w:rsid w:val="00854409"/>
    <w:rPr>
      <w:strike w:val="0"/>
      <w:dstrike w:val="0"/>
      <w:u w:val="none"/>
      <w:effect w:val="none"/>
    </w:rPr>
  </w:style>
  <w:style w:type="paragraph" w:customStyle="1" w:styleId="labelled4">
    <w:name w:val="labelled4"/>
    <w:basedOn w:val="Normal"/>
    <w:rsid w:val="00854409"/>
    <w:pPr>
      <w:keepLines w:val="0"/>
      <w:spacing w:before="0" w:after="0" w:line="288" w:lineRule="atLeast"/>
      <w:ind w:right="240"/>
    </w:pPr>
    <w:rPr>
      <w:rFonts w:ascii="Times New Roman" w:eastAsia="Times New Roman" w:hAnsi="Times New Roman"/>
      <w:color w:val="000000"/>
      <w:lang w:eastAsia="en-NZ"/>
    </w:rPr>
  </w:style>
  <w:style w:type="paragraph" w:styleId="EndnoteText">
    <w:name w:val="endnote text"/>
    <w:basedOn w:val="Normal"/>
    <w:link w:val="EndnoteTextChar"/>
    <w:semiHidden/>
    <w:unhideWhenUsed/>
    <w:rsid w:val="00332731"/>
    <w:pPr>
      <w:spacing w:before="0" w:after="0"/>
    </w:pPr>
    <w:rPr>
      <w:sz w:val="20"/>
      <w:szCs w:val="20"/>
    </w:rPr>
  </w:style>
  <w:style w:type="character" w:customStyle="1" w:styleId="EndnoteTextChar">
    <w:name w:val="Endnote Text Char"/>
    <w:basedOn w:val="DefaultParagraphFont"/>
    <w:link w:val="EndnoteText"/>
    <w:semiHidden/>
    <w:rsid w:val="00332731"/>
    <w:rPr>
      <w:rFonts w:eastAsiaTheme="minorHAnsi"/>
      <w:sz w:val="20"/>
      <w:szCs w:val="20"/>
      <w:lang w:eastAsia="en-US"/>
    </w:rPr>
  </w:style>
  <w:style w:type="paragraph" w:styleId="Quote">
    <w:name w:val="Quote"/>
    <w:basedOn w:val="BodyText"/>
    <w:next w:val="BodyText"/>
    <w:link w:val="QuoteChar"/>
    <w:qFormat/>
    <w:rsid w:val="00BF790D"/>
    <w:pPr>
      <w:keepLines w:val="0"/>
      <w:spacing w:after="0" w:line="280" w:lineRule="exact"/>
      <w:ind w:left="340"/>
      <w:jc w:val="both"/>
    </w:pPr>
    <w:rPr>
      <w:rFonts w:ascii="Times New Roman" w:eastAsia="Times New Roman" w:hAnsi="Times New Roman"/>
      <w:szCs w:val="20"/>
      <w:lang w:val="en-AU" w:eastAsia="en-AU"/>
    </w:rPr>
  </w:style>
  <w:style w:type="character" w:customStyle="1" w:styleId="QuoteChar">
    <w:name w:val="Quote Char"/>
    <w:basedOn w:val="DefaultParagraphFont"/>
    <w:link w:val="Quote"/>
    <w:rsid w:val="00BF790D"/>
    <w:rPr>
      <w:rFonts w:ascii="Times New Roman" w:hAnsi="Times New Roman"/>
      <w:szCs w:val="20"/>
      <w:lang w:val="en-AU" w:eastAsia="en-AU"/>
    </w:rPr>
  </w:style>
  <w:style w:type="paragraph" w:customStyle="1" w:styleId="RepNormal">
    <w:name w:val="Rep_Normal"/>
    <w:basedOn w:val="NoSpacing"/>
    <w:qFormat/>
    <w:rsid w:val="00DA0CB9"/>
    <w:pPr>
      <w:keepLines w:val="0"/>
      <w:jc w:val="both"/>
    </w:pPr>
    <w:rPr>
      <w:rFonts w:ascii="Times New Roman" w:hAnsi="Times New Roman" w:cstheme="minorBidi"/>
      <w:sz w:val="22"/>
      <w:szCs w:val="22"/>
    </w:rPr>
  </w:style>
  <w:style w:type="paragraph" w:styleId="NoSpacing">
    <w:name w:val="No Spacing"/>
    <w:uiPriority w:val="1"/>
    <w:semiHidden/>
    <w:qFormat/>
    <w:rsid w:val="00DA0CB9"/>
    <w:pPr>
      <w:keepLines/>
      <w:spacing w:before="0" w:after="0"/>
    </w:pPr>
    <w:rPr>
      <w:rFonts w:eastAsiaTheme="minorHAnsi"/>
      <w:lang w:eastAsia="en-US"/>
    </w:rPr>
  </w:style>
  <w:style w:type="paragraph" w:styleId="TOC9">
    <w:name w:val="toc 9"/>
    <w:basedOn w:val="Normal"/>
    <w:next w:val="Normal"/>
    <w:autoRedefine/>
    <w:uiPriority w:val="39"/>
    <w:unhideWhenUsed/>
    <w:rsid w:val="00E458AB"/>
    <w:pPr>
      <w:keepLines w:val="0"/>
      <w:spacing w:before="0" w:after="100" w:line="276" w:lineRule="auto"/>
      <w:ind w:left="1760"/>
    </w:pPr>
    <w:rPr>
      <w:rFonts w:asciiTheme="minorHAnsi" w:eastAsiaTheme="minorEastAsia" w:hAnsiTheme="minorHAnsi" w:cstheme="minorBidi"/>
      <w:sz w:val="22"/>
      <w:szCs w:val="22"/>
      <w:lang w:eastAsia="en-NZ"/>
    </w:rPr>
  </w:style>
  <w:style w:type="character" w:customStyle="1" w:styleId="FootnoteTextChar">
    <w:name w:val="Footnote Text Char"/>
    <w:link w:val="FootnoteText"/>
    <w:uiPriority w:val="99"/>
    <w:rsid w:val="00CB3396"/>
    <w:rPr>
      <w:rFonts w:eastAsiaTheme="minorHAnsi"/>
      <w:sz w:val="20"/>
      <w:szCs w:val="20"/>
      <w:lang w:eastAsia="en-US"/>
    </w:rPr>
  </w:style>
  <w:style w:type="paragraph" w:customStyle="1" w:styleId="label9">
    <w:name w:val="label9"/>
    <w:basedOn w:val="Normal"/>
    <w:rsid w:val="004E0F69"/>
    <w:pPr>
      <w:keepLines w:val="0"/>
      <w:spacing w:before="0" w:after="0" w:line="288" w:lineRule="atLeast"/>
    </w:pPr>
    <w:rPr>
      <w:rFonts w:ascii="Times New Roman" w:eastAsia="Times New Roman" w:hAnsi="Times New Roman"/>
      <w:color w:val="000000"/>
      <w:lang w:eastAsia="en-NZ"/>
    </w:rPr>
  </w:style>
  <w:style w:type="paragraph" w:customStyle="1" w:styleId="BlockText0">
    <w:name w:val="Block_Text"/>
    <w:basedOn w:val="Normal"/>
    <w:rsid w:val="008D71D9"/>
    <w:pPr>
      <w:keepLines w:val="0"/>
      <w:spacing w:before="0" w:after="0"/>
    </w:pPr>
    <w:rPr>
      <w:rFonts w:ascii="Times New Roman" w:eastAsia="Times New Roman" w:hAnsi="Times New Roman"/>
      <w:szCs w:val="20"/>
      <w:lang w:val="en-US"/>
    </w:rPr>
  </w:style>
  <w:style w:type="paragraph" w:customStyle="1" w:styleId="Briefingtext">
    <w:name w:val="Briefing text"/>
    <w:basedOn w:val="Normal"/>
    <w:rsid w:val="008D71D9"/>
    <w:pPr>
      <w:keepLines w:val="0"/>
      <w:numPr>
        <w:numId w:val="28"/>
      </w:numPr>
      <w:tabs>
        <w:tab w:val="clear" w:pos="720"/>
        <w:tab w:val="left" w:pos="567"/>
      </w:tabs>
      <w:spacing w:before="0" w:after="120"/>
      <w:ind w:left="567" w:hanging="567"/>
      <w:jc w:val="both"/>
    </w:pPr>
    <w:rPr>
      <w:rFonts w:ascii="Arial Mäori" w:eastAsia="Times New Roman" w:hAnsi="Arial Mäori"/>
    </w:rPr>
  </w:style>
  <w:style w:type="paragraph" w:styleId="CommentText">
    <w:name w:val="annotation text"/>
    <w:basedOn w:val="Normal"/>
    <w:link w:val="CommentTextChar"/>
    <w:uiPriority w:val="99"/>
    <w:semiHidden/>
    <w:rsid w:val="0064690C"/>
    <w:rPr>
      <w:rFonts w:eastAsia="Times New Roman"/>
      <w:sz w:val="20"/>
      <w:szCs w:val="20"/>
    </w:rPr>
  </w:style>
  <w:style w:type="character" w:customStyle="1" w:styleId="CommentTextChar">
    <w:name w:val="Comment Text Char"/>
    <w:basedOn w:val="DefaultParagraphFont"/>
    <w:link w:val="CommentText"/>
    <w:uiPriority w:val="99"/>
    <w:semiHidden/>
    <w:rsid w:val="0064690C"/>
    <w:rPr>
      <w:sz w:val="20"/>
      <w:szCs w:val="20"/>
      <w:lang w:eastAsia="en-US"/>
    </w:rPr>
  </w:style>
  <w:style w:type="character" w:customStyle="1" w:styleId="HeaderChar">
    <w:name w:val="Header Char"/>
    <w:basedOn w:val="DefaultParagraphFont"/>
    <w:link w:val="Header"/>
    <w:rsid w:val="00932C42"/>
    <w:rPr>
      <w:rFonts w:eastAsiaTheme="minorHAnsi"/>
      <w:i/>
      <w:color w:val="A6A6A6" w:themeColor="background1" w:themeShade="A6"/>
      <w:sz w:val="22"/>
      <w:lang w:eastAsia="en-US"/>
    </w:rPr>
  </w:style>
  <w:style w:type="character" w:customStyle="1" w:styleId="TitleChar">
    <w:name w:val="Title Char"/>
    <w:basedOn w:val="DefaultParagraphFont"/>
    <w:link w:val="Title"/>
    <w:rsid w:val="00115DD9"/>
    <w:rPr>
      <w:rFonts w:eastAsiaTheme="minorHAnsi"/>
      <w:b/>
      <w:color w:val="1F546B"/>
      <w:sz w:val="80"/>
      <w:szCs w:val="80"/>
      <w:lang w:eastAsia="en-US"/>
    </w:rPr>
  </w:style>
  <w:style w:type="paragraph" w:styleId="CommentSubject">
    <w:name w:val="annotation subject"/>
    <w:basedOn w:val="CommentText"/>
    <w:next w:val="CommentText"/>
    <w:link w:val="CommentSubjectChar"/>
    <w:uiPriority w:val="99"/>
    <w:semiHidden/>
    <w:unhideWhenUsed/>
    <w:rsid w:val="001526D2"/>
    <w:rPr>
      <w:rFonts w:eastAsiaTheme="minorHAnsi"/>
      <w:b/>
      <w:bCs/>
    </w:rPr>
  </w:style>
  <w:style w:type="character" w:customStyle="1" w:styleId="CommentSubjectChar">
    <w:name w:val="Comment Subject Char"/>
    <w:basedOn w:val="CommentTextChar"/>
    <w:link w:val="CommentSubject"/>
    <w:uiPriority w:val="99"/>
    <w:semiHidden/>
    <w:rsid w:val="001526D2"/>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nhideWhenUsed="0"/>
    <w:lsdException w:name="endnote text" w:uiPriority="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115DD9"/>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rsid w:val="00890CE4"/>
    <w:pPr>
      <w:spacing w:before="60" w:after="60" w:line="192" w:lineRule="auto"/>
      <w:ind w:left="130" w:hanging="130"/>
    </w:pPr>
    <w:rPr>
      <w:sz w:val="20"/>
      <w:szCs w:val="20"/>
    </w:rPr>
  </w:style>
  <w:style w:type="character" w:styleId="FootnoteReference">
    <w:name w:val="footnote reference"/>
    <w:uiPriority w:val="99"/>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39"/>
    <w:rsid w:val="005675E0"/>
    <w:pPr>
      <w:tabs>
        <w:tab w:val="right" w:pos="9072"/>
      </w:tabs>
      <w:spacing w:before="200"/>
      <w:ind w:left="567" w:right="567" w:hanging="567"/>
    </w:pPr>
    <w:rPr>
      <w:b/>
    </w:rPr>
  </w:style>
  <w:style w:type="paragraph" w:styleId="TOC7">
    <w:name w:val="toc 7"/>
    <w:basedOn w:val="Normal"/>
    <w:next w:val="Normal"/>
    <w:autoRedefine/>
    <w:uiPriority w:val="39"/>
    <w:rsid w:val="005675E0"/>
    <w:pPr>
      <w:tabs>
        <w:tab w:val="left" w:pos="567"/>
        <w:tab w:val="right" w:pos="9072"/>
      </w:tabs>
      <w:ind w:left="567" w:right="567" w:hanging="567"/>
    </w:pPr>
  </w:style>
  <w:style w:type="paragraph" w:styleId="TOC8">
    <w:name w:val="toc 8"/>
    <w:basedOn w:val="Normal"/>
    <w:next w:val="Normal"/>
    <w:autoRedefine/>
    <w:uiPriority w:val="39"/>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basedOn w:val="List123"/>
    <w:uiPriority w:val="34"/>
    <w:qFormat/>
    <w:rsid w:val="00E76AFA"/>
    <w:pPr>
      <w:numPr>
        <w:numId w:val="0"/>
      </w:numPr>
    </w:pPr>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21"/>
      </w:numPr>
      <w:spacing w:before="80" w:after="80"/>
    </w:pPr>
  </w:style>
  <w:style w:type="paragraph" w:customStyle="1" w:styleId="List123level3">
    <w:name w:val="List 1 2 3 level 3"/>
    <w:basedOn w:val="Normal"/>
    <w:uiPriority w:val="1"/>
    <w:semiHidden/>
    <w:qFormat/>
    <w:rsid w:val="00E76AFA"/>
    <w:pPr>
      <w:numPr>
        <w:ilvl w:val="2"/>
        <w:numId w:val="21"/>
      </w:numPr>
      <w:spacing w:before="80" w:after="80"/>
    </w:pPr>
  </w:style>
  <w:style w:type="paragraph" w:customStyle="1" w:styleId="Legislationsection">
    <w:name w:val="Legislation section"/>
    <w:basedOn w:val="Normal"/>
    <w:semiHidden/>
    <w:qFormat/>
    <w:rsid w:val="00E76AFA"/>
    <w:pPr>
      <w:keepNext/>
      <w:numPr>
        <w:numId w:val="23"/>
      </w:numPr>
      <w:tabs>
        <w:tab w:val="left" w:pos="567"/>
      </w:tabs>
      <w:spacing w:after="60"/>
    </w:pPr>
    <w:rPr>
      <w:b/>
      <w:sz w:val="22"/>
    </w:rPr>
  </w:style>
  <w:style w:type="paragraph" w:customStyle="1" w:styleId="Legislationnumber">
    <w:name w:val="Legislation number"/>
    <w:basedOn w:val="Normal"/>
    <w:semiHidden/>
    <w:qFormat/>
    <w:rsid w:val="00E76AFA"/>
    <w:pPr>
      <w:numPr>
        <w:numId w:val="22"/>
      </w:numPr>
      <w:tabs>
        <w:tab w:val="left" w:pos="567"/>
      </w:tabs>
      <w:spacing w:before="60" w:after="60"/>
    </w:pPr>
    <w:rPr>
      <w:sz w:val="22"/>
    </w:rPr>
  </w:style>
  <w:style w:type="paragraph" w:customStyle="1" w:styleId="Legislationa">
    <w:name w:val="Legislation (a)"/>
    <w:basedOn w:val="Normal"/>
    <w:semiHidden/>
    <w:qFormat/>
    <w:rsid w:val="00E76AFA"/>
    <w:pPr>
      <w:numPr>
        <w:ilvl w:val="2"/>
        <w:numId w:val="23"/>
      </w:numPr>
      <w:spacing w:before="60" w:after="60"/>
    </w:pPr>
    <w:rPr>
      <w:sz w:val="22"/>
    </w:rPr>
  </w:style>
  <w:style w:type="paragraph" w:customStyle="1" w:styleId="Legislationi">
    <w:name w:val="Legislation (i)"/>
    <w:basedOn w:val="Normal"/>
    <w:semiHidden/>
    <w:qFormat/>
    <w:rsid w:val="00E76AFA"/>
    <w:pPr>
      <w:numPr>
        <w:ilvl w:val="3"/>
        <w:numId w:val="23"/>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5"/>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semiHidden/>
    <w:qFormat/>
    <w:rsid w:val="00E76AFA"/>
    <w:pPr>
      <w:numPr>
        <w:numId w:val="24"/>
      </w:numPr>
      <w:spacing w:after="120"/>
    </w:pPr>
  </w:style>
  <w:style w:type="paragraph" w:customStyle="1" w:styleId="Numberedpara2level2a">
    <w:name w:val="Numbered para (2) level 2 (a)"/>
    <w:basedOn w:val="Normal"/>
    <w:semiHidden/>
    <w:qFormat/>
    <w:rsid w:val="00E76AFA"/>
    <w:pPr>
      <w:numPr>
        <w:ilvl w:val="1"/>
        <w:numId w:val="24"/>
      </w:numPr>
      <w:spacing w:after="120"/>
    </w:pPr>
  </w:style>
  <w:style w:type="paragraph" w:customStyle="1" w:styleId="Numberedpara2level3i">
    <w:name w:val="Numbered para (2) level 3 (i)"/>
    <w:basedOn w:val="Normal"/>
    <w:semiHidden/>
    <w:qFormat/>
    <w:rsid w:val="00E76AFA"/>
    <w:pPr>
      <w:numPr>
        <w:ilvl w:val="2"/>
        <w:numId w:val="24"/>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uiPriority w:val="99"/>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qFormat/>
    <w:rsid w:val="00E76AFA"/>
    <w:pPr>
      <w:numPr>
        <w:numId w:val="26"/>
      </w:numPr>
      <w:spacing w:after="120"/>
    </w:pPr>
  </w:style>
  <w:style w:type="paragraph" w:customStyle="1" w:styleId="Numberedpara3level211">
    <w:name w:val="Numbered para (3) level 2 (1.1)"/>
    <w:basedOn w:val="Normal"/>
    <w:qFormat/>
    <w:rsid w:val="00E76AFA"/>
    <w:pPr>
      <w:numPr>
        <w:ilvl w:val="1"/>
        <w:numId w:val="26"/>
      </w:numPr>
      <w:spacing w:after="120"/>
    </w:pPr>
  </w:style>
  <w:style w:type="paragraph" w:customStyle="1" w:styleId="Numberedpara3level3111">
    <w:name w:val="Numbered para (3) level 3 (1.1.1)"/>
    <w:basedOn w:val="Normal"/>
    <w:qFormat/>
    <w:rsid w:val="00E76AFA"/>
    <w:pPr>
      <w:numPr>
        <w:ilvl w:val="2"/>
        <w:numId w:val="26"/>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paragraph" w:customStyle="1" w:styleId="Default">
    <w:name w:val="Default"/>
    <w:rsid w:val="00EC5798"/>
    <w:pPr>
      <w:autoSpaceDE w:val="0"/>
      <w:autoSpaceDN w:val="0"/>
      <w:adjustRightInd w:val="0"/>
      <w:spacing w:before="0" w:after="0"/>
    </w:pPr>
    <w:rPr>
      <w:rFonts w:cs="Calibri"/>
      <w:color w:val="000000"/>
    </w:rPr>
  </w:style>
  <w:style w:type="character" w:customStyle="1" w:styleId="label">
    <w:name w:val="label"/>
    <w:basedOn w:val="DefaultParagraphFont"/>
    <w:rsid w:val="00854409"/>
  </w:style>
  <w:style w:type="character" w:customStyle="1" w:styleId="spc1">
    <w:name w:val="spc1"/>
    <w:basedOn w:val="DefaultParagraphFont"/>
    <w:rsid w:val="00854409"/>
    <w:rPr>
      <w:strike w:val="0"/>
      <w:dstrike w:val="0"/>
      <w:u w:val="none"/>
      <w:effect w:val="none"/>
    </w:rPr>
  </w:style>
  <w:style w:type="paragraph" w:customStyle="1" w:styleId="labelled4">
    <w:name w:val="labelled4"/>
    <w:basedOn w:val="Normal"/>
    <w:rsid w:val="00854409"/>
    <w:pPr>
      <w:keepLines w:val="0"/>
      <w:spacing w:before="0" w:after="0" w:line="288" w:lineRule="atLeast"/>
      <w:ind w:right="240"/>
    </w:pPr>
    <w:rPr>
      <w:rFonts w:ascii="Times New Roman" w:eastAsia="Times New Roman" w:hAnsi="Times New Roman"/>
      <w:color w:val="000000"/>
      <w:lang w:eastAsia="en-NZ"/>
    </w:rPr>
  </w:style>
  <w:style w:type="paragraph" w:styleId="EndnoteText">
    <w:name w:val="endnote text"/>
    <w:basedOn w:val="Normal"/>
    <w:link w:val="EndnoteTextChar"/>
    <w:semiHidden/>
    <w:unhideWhenUsed/>
    <w:rsid w:val="00332731"/>
    <w:pPr>
      <w:spacing w:before="0" w:after="0"/>
    </w:pPr>
    <w:rPr>
      <w:sz w:val="20"/>
      <w:szCs w:val="20"/>
    </w:rPr>
  </w:style>
  <w:style w:type="character" w:customStyle="1" w:styleId="EndnoteTextChar">
    <w:name w:val="Endnote Text Char"/>
    <w:basedOn w:val="DefaultParagraphFont"/>
    <w:link w:val="EndnoteText"/>
    <w:semiHidden/>
    <w:rsid w:val="00332731"/>
    <w:rPr>
      <w:rFonts w:eastAsiaTheme="minorHAnsi"/>
      <w:sz w:val="20"/>
      <w:szCs w:val="20"/>
      <w:lang w:eastAsia="en-US"/>
    </w:rPr>
  </w:style>
  <w:style w:type="paragraph" w:styleId="Quote">
    <w:name w:val="Quote"/>
    <w:basedOn w:val="BodyText"/>
    <w:next w:val="BodyText"/>
    <w:link w:val="QuoteChar"/>
    <w:qFormat/>
    <w:rsid w:val="00BF790D"/>
    <w:pPr>
      <w:keepLines w:val="0"/>
      <w:spacing w:after="0" w:line="280" w:lineRule="exact"/>
      <w:ind w:left="340"/>
      <w:jc w:val="both"/>
    </w:pPr>
    <w:rPr>
      <w:rFonts w:ascii="Times New Roman" w:eastAsia="Times New Roman" w:hAnsi="Times New Roman"/>
      <w:szCs w:val="20"/>
      <w:lang w:val="en-AU" w:eastAsia="en-AU"/>
    </w:rPr>
  </w:style>
  <w:style w:type="character" w:customStyle="1" w:styleId="QuoteChar">
    <w:name w:val="Quote Char"/>
    <w:basedOn w:val="DefaultParagraphFont"/>
    <w:link w:val="Quote"/>
    <w:rsid w:val="00BF790D"/>
    <w:rPr>
      <w:rFonts w:ascii="Times New Roman" w:hAnsi="Times New Roman"/>
      <w:szCs w:val="20"/>
      <w:lang w:val="en-AU" w:eastAsia="en-AU"/>
    </w:rPr>
  </w:style>
  <w:style w:type="paragraph" w:customStyle="1" w:styleId="RepNormal">
    <w:name w:val="Rep_Normal"/>
    <w:basedOn w:val="NoSpacing"/>
    <w:qFormat/>
    <w:rsid w:val="00DA0CB9"/>
    <w:pPr>
      <w:keepLines w:val="0"/>
      <w:jc w:val="both"/>
    </w:pPr>
    <w:rPr>
      <w:rFonts w:ascii="Times New Roman" w:hAnsi="Times New Roman" w:cstheme="minorBidi"/>
      <w:sz w:val="22"/>
      <w:szCs w:val="22"/>
    </w:rPr>
  </w:style>
  <w:style w:type="paragraph" w:styleId="NoSpacing">
    <w:name w:val="No Spacing"/>
    <w:uiPriority w:val="1"/>
    <w:semiHidden/>
    <w:qFormat/>
    <w:rsid w:val="00DA0CB9"/>
    <w:pPr>
      <w:keepLines/>
      <w:spacing w:before="0" w:after="0"/>
    </w:pPr>
    <w:rPr>
      <w:rFonts w:eastAsiaTheme="minorHAnsi"/>
      <w:lang w:eastAsia="en-US"/>
    </w:rPr>
  </w:style>
  <w:style w:type="paragraph" w:styleId="TOC9">
    <w:name w:val="toc 9"/>
    <w:basedOn w:val="Normal"/>
    <w:next w:val="Normal"/>
    <w:autoRedefine/>
    <w:uiPriority w:val="39"/>
    <w:unhideWhenUsed/>
    <w:rsid w:val="00E458AB"/>
    <w:pPr>
      <w:keepLines w:val="0"/>
      <w:spacing w:before="0" w:after="100" w:line="276" w:lineRule="auto"/>
      <w:ind w:left="1760"/>
    </w:pPr>
    <w:rPr>
      <w:rFonts w:asciiTheme="minorHAnsi" w:eastAsiaTheme="minorEastAsia" w:hAnsiTheme="minorHAnsi" w:cstheme="minorBidi"/>
      <w:sz w:val="22"/>
      <w:szCs w:val="22"/>
      <w:lang w:eastAsia="en-NZ"/>
    </w:rPr>
  </w:style>
  <w:style w:type="character" w:customStyle="1" w:styleId="FootnoteTextChar">
    <w:name w:val="Footnote Text Char"/>
    <w:link w:val="FootnoteText"/>
    <w:uiPriority w:val="99"/>
    <w:rsid w:val="00CB3396"/>
    <w:rPr>
      <w:rFonts w:eastAsiaTheme="minorHAnsi"/>
      <w:sz w:val="20"/>
      <w:szCs w:val="20"/>
      <w:lang w:eastAsia="en-US"/>
    </w:rPr>
  </w:style>
  <w:style w:type="paragraph" w:customStyle="1" w:styleId="label9">
    <w:name w:val="label9"/>
    <w:basedOn w:val="Normal"/>
    <w:rsid w:val="004E0F69"/>
    <w:pPr>
      <w:keepLines w:val="0"/>
      <w:spacing w:before="0" w:after="0" w:line="288" w:lineRule="atLeast"/>
    </w:pPr>
    <w:rPr>
      <w:rFonts w:ascii="Times New Roman" w:eastAsia="Times New Roman" w:hAnsi="Times New Roman"/>
      <w:color w:val="000000"/>
      <w:lang w:eastAsia="en-NZ"/>
    </w:rPr>
  </w:style>
  <w:style w:type="paragraph" w:customStyle="1" w:styleId="BlockText0">
    <w:name w:val="Block_Text"/>
    <w:basedOn w:val="Normal"/>
    <w:rsid w:val="008D71D9"/>
    <w:pPr>
      <w:keepLines w:val="0"/>
      <w:spacing w:before="0" w:after="0"/>
    </w:pPr>
    <w:rPr>
      <w:rFonts w:ascii="Times New Roman" w:eastAsia="Times New Roman" w:hAnsi="Times New Roman"/>
      <w:szCs w:val="20"/>
      <w:lang w:val="en-US"/>
    </w:rPr>
  </w:style>
  <w:style w:type="paragraph" w:customStyle="1" w:styleId="Briefingtext">
    <w:name w:val="Briefing text"/>
    <w:basedOn w:val="Normal"/>
    <w:rsid w:val="008D71D9"/>
    <w:pPr>
      <w:keepLines w:val="0"/>
      <w:numPr>
        <w:numId w:val="28"/>
      </w:numPr>
      <w:tabs>
        <w:tab w:val="clear" w:pos="720"/>
        <w:tab w:val="left" w:pos="567"/>
      </w:tabs>
      <w:spacing w:before="0" w:after="120"/>
      <w:ind w:left="567" w:hanging="567"/>
      <w:jc w:val="both"/>
    </w:pPr>
    <w:rPr>
      <w:rFonts w:ascii="Arial Mäori" w:eastAsia="Times New Roman" w:hAnsi="Arial Mäori"/>
    </w:rPr>
  </w:style>
  <w:style w:type="paragraph" w:styleId="CommentText">
    <w:name w:val="annotation text"/>
    <w:basedOn w:val="Normal"/>
    <w:link w:val="CommentTextChar"/>
    <w:uiPriority w:val="99"/>
    <w:semiHidden/>
    <w:rsid w:val="0064690C"/>
    <w:rPr>
      <w:rFonts w:eastAsia="Times New Roman"/>
      <w:sz w:val="20"/>
      <w:szCs w:val="20"/>
    </w:rPr>
  </w:style>
  <w:style w:type="character" w:customStyle="1" w:styleId="CommentTextChar">
    <w:name w:val="Comment Text Char"/>
    <w:basedOn w:val="DefaultParagraphFont"/>
    <w:link w:val="CommentText"/>
    <w:uiPriority w:val="99"/>
    <w:semiHidden/>
    <w:rsid w:val="0064690C"/>
    <w:rPr>
      <w:sz w:val="20"/>
      <w:szCs w:val="20"/>
      <w:lang w:eastAsia="en-US"/>
    </w:rPr>
  </w:style>
  <w:style w:type="character" w:customStyle="1" w:styleId="HeaderChar">
    <w:name w:val="Header Char"/>
    <w:basedOn w:val="DefaultParagraphFont"/>
    <w:link w:val="Header"/>
    <w:rsid w:val="00932C42"/>
    <w:rPr>
      <w:rFonts w:eastAsiaTheme="minorHAnsi"/>
      <w:i/>
      <w:color w:val="A6A6A6" w:themeColor="background1" w:themeShade="A6"/>
      <w:sz w:val="22"/>
      <w:lang w:eastAsia="en-US"/>
    </w:rPr>
  </w:style>
  <w:style w:type="character" w:customStyle="1" w:styleId="TitleChar">
    <w:name w:val="Title Char"/>
    <w:basedOn w:val="DefaultParagraphFont"/>
    <w:link w:val="Title"/>
    <w:rsid w:val="00115DD9"/>
    <w:rPr>
      <w:rFonts w:eastAsiaTheme="minorHAnsi"/>
      <w:b/>
      <w:color w:val="1F546B"/>
      <w:sz w:val="80"/>
      <w:szCs w:val="80"/>
      <w:lang w:eastAsia="en-US"/>
    </w:rPr>
  </w:style>
  <w:style w:type="paragraph" w:styleId="CommentSubject">
    <w:name w:val="annotation subject"/>
    <w:basedOn w:val="CommentText"/>
    <w:next w:val="CommentText"/>
    <w:link w:val="CommentSubjectChar"/>
    <w:uiPriority w:val="99"/>
    <w:semiHidden/>
    <w:unhideWhenUsed/>
    <w:rsid w:val="001526D2"/>
    <w:rPr>
      <w:rFonts w:eastAsiaTheme="minorHAnsi"/>
      <w:b/>
      <w:bCs/>
    </w:rPr>
  </w:style>
  <w:style w:type="character" w:customStyle="1" w:styleId="CommentSubjectChar">
    <w:name w:val="Comment Subject Char"/>
    <w:basedOn w:val="CommentTextChar"/>
    <w:link w:val="CommentSubject"/>
    <w:uiPriority w:val="99"/>
    <w:semiHidden/>
    <w:rsid w:val="001526D2"/>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728">
      <w:bodyDiv w:val="1"/>
      <w:marLeft w:val="0"/>
      <w:marRight w:val="0"/>
      <w:marTop w:val="0"/>
      <w:marBottom w:val="0"/>
      <w:divBdr>
        <w:top w:val="none" w:sz="0" w:space="0" w:color="auto"/>
        <w:left w:val="none" w:sz="0" w:space="0" w:color="auto"/>
        <w:bottom w:val="none" w:sz="0" w:space="0" w:color="auto"/>
        <w:right w:val="none" w:sz="0" w:space="0" w:color="auto"/>
      </w:divBdr>
      <w:divsChild>
        <w:div w:id="1726441045">
          <w:marLeft w:val="0"/>
          <w:marRight w:val="0"/>
          <w:marTop w:val="0"/>
          <w:marBottom w:val="0"/>
          <w:divBdr>
            <w:top w:val="none" w:sz="0" w:space="0" w:color="auto"/>
            <w:left w:val="none" w:sz="0" w:space="0" w:color="auto"/>
            <w:bottom w:val="none" w:sz="0" w:space="0" w:color="auto"/>
            <w:right w:val="none" w:sz="0" w:space="0" w:color="auto"/>
          </w:divBdr>
          <w:divsChild>
            <w:div w:id="1694724160">
              <w:marLeft w:val="0"/>
              <w:marRight w:val="0"/>
              <w:marTop w:val="0"/>
              <w:marBottom w:val="0"/>
              <w:divBdr>
                <w:top w:val="none" w:sz="0" w:space="0" w:color="auto"/>
                <w:left w:val="none" w:sz="0" w:space="0" w:color="auto"/>
                <w:bottom w:val="none" w:sz="0" w:space="0" w:color="auto"/>
                <w:right w:val="none" w:sz="0" w:space="0" w:color="auto"/>
              </w:divBdr>
              <w:divsChild>
                <w:div w:id="2002461878">
                  <w:marLeft w:val="0"/>
                  <w:marRight w:val="0"/>
                  <w:marTop w:val="105"/>
                  <w:marBottom w:val="0"/>
                  <w:divBdr>
                    <w:top w:val="none" w:sz="0" w:space="0" w:color="auto"/>
                    <w:left w:val="none" w:sz="0" w:space="0" w:color="auto"/>
                    <w:bottom w:val="none" w:sz="0" w:space="0" w:color="auto"/>
                    <w:right w:val="none" w:sz="0" w:space="0" w:color="auto"/>
                  </w:divBdr>
                  <w:divsChild>
                    <w:div w:id="189757141">
                      <w:marLeft w:val="450"/>
                      <w:marRight w:val="225"/>
                      <w:marTop w:val="0"/>
                      <w:marBottom w:val="0"/>
                      <w:divBdr>
                        <w:top w:val="none" w:sz="0" w:space="0" w:color="auto"/>
                        <w:left w:val="none" w:sz="0" w:space="0" w:color="auto"/>
                        <w:bottom w:val="none" w:sz="0" w:space="0" w:color="auto"/>
                        <w:right w:val="none" w:sz="0" w:space="0" w:color="auto"/>
                      </w:divBdr>
                      <w:divsChild>
                        <w:div w:id="1442988384">
                          <w:marLeft w:val="0"/>
                          <w:marRight w:val="0"/>
                          <w:marTop w:val="0"/>
                          <w:marBottom w:val="600"/>
                          <w:divBdr>
                            <w:top w:val="single" w:sz="6" w:space="0" w:color="314664"/>
                            <w:left w:val="single" w:sz="6" w:space="0" w:color="314664"/>
                            <w:bottom w:val="single" w:sz="6" w:space="0" w:color="314664"/>
                            <w:right w:val="single" w:sz="6" w:space="0" w:color="314664"/>
                          </w:divBdr>
                          <w:divsChild>
                            <w:div w:id="130171274">
                              <w:marLeft w:val="0"/>
                              <w:marRight w:val="0"/>
                              <w:marTop w:val="0"/>
                              <w:marBottom w:val="0"/>
                              <w:divBdr>
                                <w:top w:val="none" w:sz="0" w:space="0" w:color="auto"/>
                                <w:left w:val="none" w:sz="0" w:space="0" w:color="auto"/>
                                <w:bottom w:val="none" w:sz="0" w:space="0" w:color="auto"/>
                                <w:right w:val="none" w:sz="0" w:space="0" w:color="auto"/>
                              </w:divBdr>
                              <w:divsChild>
                                <w:div w:id="1928493051">
                                  <w:marLeft w:val="0"/>
                                  <w:marRight w:val="0"/>
                                  <w:marTop w:val="0"/>
                                  <w:marBottom w:val="0"/>
                                  <w:divBdr>
                                    <w:top w:val="none" w:sz="0" w:space="0" w:color="auto"/>
                                    <w:left w:val="none" w:sz="0" w:space="0" w:color="auto"/>
                                    <w:bottom w:val="none" w:sz="0" w:space="0" w:color="auto"/>
                                    <w:right w:val="none" w:sz="0" w:space="0" w:color="auto"/>
                                  </w:divBdr>
                                  <w:divsChild>
                                    <w:div w:id="364335983">
                                      <w:marLeft w:val="0"/>
                                      <w:marRight w:val="0"/>
                                      <w:marTop w:val="0"/>
                                      <w:marBottom w:val="0"/>
                                      <w:divBdr>
                                        <w:top w:val="none" w:sz="0" w:space="0" w:color="auto"/>
                                        <w:left w:val="none" w:sz="0" w:space="0" w:color="auto"/>
                                        <w:bottom w:val="none" w:sz="0" w:space="0" w:color="auto"/>
                                        <w:right w:val="none" w:sz="0" w:space="0" w:color="auto"/>
                                      </w:divBdr>
                                      <w:divsChild>
                                        <w:div w:id="1871062236">
                                          <w:marLeft w:val="0"/>
                                          <w:marRight w:val="0"/>
                                          <w:marTop w:val="0"/>
                                          <w:marBottom w:val="0"/>
                                          <w:divBdr>
                                            <w:top w:val="none" w:sz="0" w:space="0" w:color="auto"/>
                                            <w:left w:val="none" w:sz="0" w:space="0" w:color="auto"/>
                                            <w:bottom w:val="none" w:sz="0" w:space="0" w:color="auto"/>
                                            <w:right w:val="none" w:sz="0" w:space="0" w:color="auto"/>
                                          </w:divBdr>
                                          <w:divsChild>
                                            <w:div w:id="698775006">
                                              <w:marLeft w:val="0"/>
                                              <w:marRight w:val="0"/>
                                              <w:marTop w:val="0"/>
                                              <w:marBottom w:val="0"/>
                                              <w:divBdr>
                                                <w:top w:val="none" w:sz="0" w:space="0" w:color="auto"/>
                                                <w:left w:val="none" w:sz="0" w:space="0" w:color="auto"/>
                                                <w:bottom w:val="none" w:sz="0" w:space="0" w:color="auto"/>
                                                <w:right w:val="none" w:sz="0" w:space="0" w:color="auto"/>
                                              </w:divBdr>
                                              <w:divsChild>
                                                <w:div w:id="1264874477">
                                                  <w:marLeft w:val="0"/>
                                                  <w:marRight w:val="0"/>
                                                  <w:marTop w:val="0"/>
                                                  <w:marBottom w:val="0"/>
                                                  <w:divBdr>
                                                    <w:top w:val="none" w:sz="0" w:space="0" w:color="auto"/>
                                                    <w:left w:val="none" w:sz="0" w:space="0" w:color="auto"/>
                                                    <w:bottom w:val="none" w:sz="0" w:space="0" w:color="auto"/>
                                                    <w:right w:val="none" w:sz="0" w:space="0" w:color="auto"/>
                                                  </w:divBdr>
                                                </w:div>
                                                <w:div w:id="1735853680">
                                                  <w:marLeft w:val="0"/>
                                                  <w:marRight w:val="0"/>
                                                  <w:marTop w:val="0"/>
                                                  <w:marBottom w:val="0"/>
                                                  <w:divBdr>
                                                    <w:top w:val="none" w:sz="0" w:space="0" w:color="auto"/>
                                                    <w:left w:val="none" w:sz="0" w:space="0" w:color="auto"/>
                                                    <w:bottom w:val="none" w:sz="0" w:space="0" w:color="auto"/>
                                                    <w:right w:val="none" w:sz="0" w:space="0" w:color="auto"/>
                                                  </w:divBdr>
                                                </w:div>
                                                <w:div w:id="63258394">
                                                  <w:marLeft w:val="0"/>
                                                  <w:marRight w:val="0"/>
                                                  <w:marTop w:val="0"/>
                                                  <w:marBottom w:val="0"/>
                                                  <w:divBdr>
                                                    <w:top w:val="none" w:sz="0" w:space="0" w:color="auto"/>
                                                    <w:left w:val="none" w:sz="0" w:space="0" w:color="auto"/>
                                                    <w:bottom w:val="none" w:sz="0" w:space="0" w:color="auto"/>
                                                    <w:right w:val="none" w:sz="0" w:space="0" w:color="auto"/>
                                                  </w:divBdr>
                                                </w:div>
                                                <w:div w:id="15471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58308">
      <w:bodyDiv w:val="1"/>
      <w:marLeft w:val="0"/>
      <w:marRight w:val="0"/>
      <w:marTop w:val="0"/>
      <w:marBottom w:val="0"/>
      <w:divBdr>
        <w:top w:val="none" w:sz="0" w:space="0" w:color="auto"/>
        <w:left w:val="none" w:sz="0" w:space="0" w:color="auto"/>
        <w:bottom w:val="none" w:sz="0" w:space="0" w:color="auto"/>
        <w:right w:val="none" w:sz="0" w:space="0" w:color="auto"/>
      </w:divBdr>
      <w:divsChild>
        <w:div w:id="1961493411">
          <w:marLeft w:val="0"/>
          <w:marRight w:val="0"/>
          <w:marTop w:val="0"/>
          <w:marBottom w:val="0"/>
          <w:divBdr>
            <w:top w:val="none" w:sz="0" w:space="0" w:color="auto"/>
            <w:left w:val="none" w:sz="0" w:space="0" w:color="auto"/>
            <w:bottom w:val="none" w:sz="0" w:space="0" w:color="auto"/>
            <w:right w:val="none" w:sz="0" w:space="0" w:color="auto"/>
          </w:divBdr>
          <w:divsChild>
            <w:div w:id="1005983005">
              <w:marLeft w:val="0"/>
              <w:marRight w:val="0"/>
              <w:marTop w:val="0"/>
              <w:marBottom w:val="0"/>
              <w:divBdr>
                <w:top w:val="none" w:sz="0" w:space="0" w:color="auto"/>
                <w:left w:val="none" w:sz="0" w:space="0" w:color="auto"/>
                <w:bottom w:val="none" w:sz="0" w:space="0" w:color="auto"/>
                <w:right w:val="none" w:sz="0" w:space="0" w:color="auto"/>
              </w:divBdr>
              <w:divsChild>
                <w:div w:id="961960467">
                  <w:marLeft w:val="0"/>
                  <w:marRight w:val="0"/>
                  <w:marTop w:val="105"/>
                  <w:marBottom w:val="0"/>
                  <w:divBdr>
                    <w:top w:val="none" w:sz="0" w:space="0" w:color="auto"/>
                    <w:left w:val="none" w:sz="0" w:space="0" w:color="auto"/>
                    <w:bottom w:val="none" w:sz="0" w:space="0" w:color="auto"/>
                    <w:right w:val="none" w:sz="0" w:space="0" w:color="auto"/>
                  </w:divBdr>
                  <w:divsChild>
                    <w:div w:id="84615612">
                      <w:marLeft w:val="450"/>
                      <w:marRight w:val="225"/>
                      <w:marTop w:val="0"/>
                      <w:marBottom w:val="0"/>
                      <w:divBdr>
                        <w:top w:val="none" w:sz="0" w:space="0" w:color="auto"/>
                        <w:left w:val="none" w:sz="0" w:space="0" w:color="auto"/>
                        <w:bottom w:val="none" w:sz="0" w:space="0" w:color="auto"/>
                        <w:right w:val="none" w:sz="0" w:space="0" w:color="auto"/>
                      </w:divBdr>
                      <w:divsChild>
                        <w:div w:id="76098056">
                          <w:marLeft w:val="0"/>
                          <w:marRight w:val="0"/>
                          <w:marTop w:val="0"/>
                          <w:marBottom w:val="600"/>
                          <w:divBdr>
                            <w:top w:val="single" w:sz="6" w:space="0" w:color="314664"/>
                            <w:left w:val="single" w:sz="6" w:space="0" w:color="314664"/>
                            <w:bottom w:val="single" w:sz="6" w:space="0" w:color="314664"/>
                            <w:right w:val="single" w:sz="6" w:space="0" w:color="314664"/>
                          </w:divBdr>
                          <w:divsChild>
                            <w:div w:id="1646007804">
                              <w:marLeft w:val="0"/>
                              <w:marRight w:val="0"/>
                              <w:marTop w:val="0"/>
                              <w:marBottom w:val="0"/>
                              <w:divBdr>
                                <w:top w:val="none" w:sz="0" w:space="0" w:color="auto"/>
                                <w:left w:val="none" w:sz="0" w:space="0" w:color="auto"/>
                                <w:bottom w:val="none" w:sz="0" w:space="0" w:color="auto"/>
                                <w:right w:val="none" w:sz="0" w:space="0" w:color="auto"/>
                              </w:divBdr>
                              <w:divsChild>
                                <w:div w:id="1532187763">
                                  <w:marLeft w:val="0"/>
                                  <w:marRight w:val="0"/>
                                  <w:marTop w:val="0"/>
                                  <w:marBottom w:val="0"/>
                                  <w:divBdr>
                                    <w:top w:val="none" w:sz="0" w:space="0" w:color="auto"/>
                                    <w:left w:val="none" w:sz="0" w:space="0" w:color="auto"/>
                                    <w:bottom w:val="none" w:sz="0" w:space="0" w:color="auto"/>
                                    <w:right w:val="none" w:sz="0" w:space="0" w:color="auto"/>
                                  </w:divBdr>
                                  <w:divsChild>
                                    <w:div w:id="934900920">
                                      <w:marLeft w:val="0"/>
                                      <w:marRight w:val="0"/>
                                      <w:marTop w:val="0"/>
                                      <w:marBottom w:val="0"/>
                                      <w:divBdr>
                                        <w:top w:val="none" w:sz="0" w:space="0" w:color="auto"/>
                                        <w:left w:val="none" w:sz="0" w:space="0" w:color="auto"/>
                                        <w:bottom w:val="none" w:sz="0" w:space="0" w:color="auto"/>
                                        <w:right w:val="none" w:sz="0" w:space="0" w:color="auto"/>
                                      </w:divBdr>
                                      <w:divsChild>
                                        <w:div w:id="310794571">
                                          <w:marLeft w:val="0"/>
                                          <w:marRight w:val="0"/>
                                          <w:marTop w:val="0"/>
                                          <w:marBottom w:val="0"/>
                                          <w:divBdr>
                                            <w:top w:val="none" w:sz="0" w:space="0" w:color="auto"/>
                                            <w:left w:val="none" w:sz="0" w:space="0" w:color="auto"/>
                                            <w:bottom w:val="none" w:sz="0" w:space="0" w:color="auto"/>
                                            <w:right w:val="none" w:sz="0" w:space="0" w:color="auto"/>
                                          </w:divBdr>
                                          <w:divsChild>
                                            <w:div w:id="135076272">
                                              <w:marLeft w:val="0"/>
                                              <w:marRight w:val="0"/>
                                              <w:marTop w:val="0"/>
                                              <w:marBottom w:val="0"/>
                                              <w:divBdr>
                                                <w:top w:val="none" w:sz="0" w:space="0" w:color="auto"/>
                                                <w:left w:val="none" w:sz="0" w:space="0" w:color="auto"/>
                                                <w:bottom w:val="none" w:sz="0" w:space="0" w:color="auto"/>
                                                <w:right w:val="none" w:sz="0" w:space="0" w:color="auto"/>
                                              </w:divBdr>
                                              <w:divsChild>
                                                <w:div w:id="1545946089">
                                                  <w:marLeft w:val="0"/>
                                                  <w:marRight w:val="0"/>
                                                  <w:marTop w:val="0"/>
                                                  <w:marBottom w:val="0"/>
                                                  <w:divBdr>
                                                    <w:top w:val="none" w:sz="0" w:space="0" w:color="auto"/>
                                                    <w:left w:val="none" w:sz="0" w:space="0" w:color="auto"/>
                                                    <w:bottom w:val="none" w:sz="0" w:space="0" w:color="auto"/>
                                                    <w:right w:val="none" w:sz="0" w:space="0" w:color="auto"/>
                                                  </w:divBdr>
                                                </w:div>
                                                <w:div w:id="18555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377956">
      <w:bodyDiv w:val="1"/>
      <w:marLeft w:val="0"/>
      <w:marRight w:val="0"/>
      <w:marTop w:val="0"/>
      <w:marBottom w:val="0"/>
      <w:divBdr>
        <w:top w:val="none" w:sz="0" w:space="0" w:color="auto"/>
        <w:left w:val="none" w:sz="0" w:space="0" w:color="auto"/>
        <w:bottom w:val="none" w:sz="0" w:space="0" w:color="auto"/>
        <w:right w:val="none" w:sz="0" w:space="0" w:color="auto"/>
      </w:divBdr>
      <w:divsChild>
        <w:div w:id="1375077968">
          <w:marLeft w:val="0"/>
          <w:marRight w:val="0"/>
          <w:marTop w:val="0"/>
          <w:marBottom w:val="0"/>
          <w:divBdr>
            <w:top w:val="none" w:sz="0" w:space="0" w:color="auto"/>
            <w:left w:val="none" w:sz="0" w:space="0" w:color="auto"/>
            <w:bottom w:val="none" w:sz="0" w:space="0" w:color="auto"/>
            <w:right w:val="none" w:sz="0" w:space="0" w:color="auto"/>
          </w:divBdr>
          <w:divsChild>
            <w:div w:id="383256619">
              <w:marLeft w:val="0"/>
              <w:marRight w:val="0"/>
              <w:marTop w:val="0"/>
              <w:marBottom w:val="0"/>
              <w:divBdr>
                <w:top w:val="none" w:sz="0" w:space="0" w:color="auto"/>
                <w:left w:val="none" w:sz="0" w:space="0" w:color="auto"/>
                <w:bottom w:val="none" w:sz="0" w:space="0" w:color="auto"/>
                <w:right w:val="none" w:sz="0" w:space="0" w:color="auto"/>
              </w:divBdr>
              <w:divsChild>
                <w:div w:id="1789199374">
                  <w:marLeft w:val="0"/>
                  <w:marRight w:val="0"/>
                  <w:marTop w:val="105"/>
                  <w:marBottom w:val="0"/>
                  <w:divBdr>
                    <w:top w:val="none" w:sz="0" w:space="0" w:color="auto"/>
                    <w:left w:val="none" w:sz="0" w:space="0" w:color="auto"/>
                    <w:bottom w:val="none" w:sz="0" w:space="0" w:color="auto"/>
                    <w:right w:val="none" w:sz="0" w:space="0" w:color="auto"/>
                  </w:divBdr>
                  <w:divsChild>
                    <w:div w:id="813982136">
                      <w:marLeft w:val="450"/>
                      <w:marRight w:val="225"/>
                      <w:marTop w:val="0"/>
                      <w:marBottom w:val="0"/>
                      <w:divBdr>
                        <w:top w:val="none" w:sz="0" w:space="0" w:color="auto"/>
                        <w:left w:val="none" w:sz="0" w:space="0" w:color="auto"/>
                        <w:bottom w:val="none" w:sz="0" w:space="0" w:color="auto"/>
                        <w:right w:val="none" w:sz="0" w:space="0" w:color="auto"/>
                      </w:divBdr>
                      <w:divsChild>
                        <w:div w:id="1518811131">
                          <w:marLeft w:val="0"/>
                          <w:marRight w:val="0"/>
                          <w:marTop w:val="0"/>
                          <w:marBottom w:val="600"/>
                          <w:divBdr>
                            <w:top w:val="single" w:sz="6" w:space="0" w:color="314664"/>
                            <w:left w:val="single" w:sz="6" w:space="0" w:color="314664"/>
                            <w:bottom w:val="single" w:sz="6" w:space="0" w:color="314664"/>
                            <w:right w:val="single" w:sz="6" w:space="0" w:color="314664"/>
                          </w:divBdr>
                          <w:divsChild>
                            <w:div w:id="1619796810">
                              <w:marLeft w:val="0"/>
                              <w:marRight w:val="0"/>
                              <w:marTop w:val="0"/>
                              <w:marBottom w:val="0"/>
                              <w:divBdr>
                                <w:top w:val="none" w:sz="0" w:space="0" w:color="auto"/>
                                <w:left w:val="none" w:sz="0" w:space="0" w:color="auto"/>
                                <w:bottom w:val="none" w:sz="0" w:space="0" w:color="auto"/>
                                <w:right w:val="none" w:sz="0" w:space="0" w:color="auto"/>
                              </w:divBdr>
                              <w:divsChild>
                                <w:div w:id="377243328">
                                  <w:marLeft w:val="0"/>
                                  <w:marRight w:val="0"/>
                                  <w:marTop w:val="0"/>
                                  <w:marBottom w:val="0"/>
                                  <w:divBdr>
                                    <w:top w:val="none" w:sz="0" w:space="0" w:color="auto"/>
                                    <w:left w:val="none" w:sz="0" w:space="0" w:color="auto"/>
                                    <w:bottom w:val="none" w:sz="0" w:space="0" w:color="auto"/>
                                    <w:right w:val="none" w:sz="0" w:space="0" w:color="auto"/>
                                  </w:divBdr>
                                  <w:divsChild>
                                    <w:div w:id="1673945152">
                                      <w:marLeft w:val="0"/>
                                      <w:marRight w:val="0"/>
                                      <w:marTop w:val="0"/>
                                      <w:marBottom w:val="0"/>
                                      <w:divBdr>
                                        <w:top w:val="none" w:sz="0" w:space="0" w:color="auto"/>
                                        <w:left w:val="none" w:sz="0" w:space="0" w:color="auto"/>
                                        <w:bottom w:val="none" w:sz="0" w:space="0" w:color="auto"/>
                                        <w:right w:val="none" w:sz="0" w:space="0" w:color="auto"/>
                                      </w:divBdr>
                                      <w:divsChild>
                                        <w:div w:id="1633945590">
                                          <w:marLeft w:val="0"/>
                                          <w:marRight w:val="0"/>
                                          <w:marTop w:val="0"/>
                                          <w:marBottom w:val="0"/>
                                          <w:divBdr>
                                            <w:top w:val="none" w:sz="0" w:space="0" w:color="auto"/>
                                            <w:left w:val="none" w:sz="0" w:space="0" w:color="auto"/>
                                            <w:bottom w:val="none" w:sz="0" w:space="0" w:color="auto"/>
                                            <w:right w:val="none" w:sz="0" w:space="0" w:color="auto"/>
                                          </w:divBdr>
                                          <w:divsChild>
                                            <w:div w:id="1830245318">
                                              <w:marLeft w:val="0"/>
                                              <w:marRight w:val="0"/>
                                              <w:marTop w:val="0"/>
                                              <w:marBottom w:val="0"/>
                                              <w:divBdr>
                                                <w:top w:val="none" w:sz="0" w:space="0" w:color="auto"/>
                                                <w:left w:val="none" w:sz="0" w:space="0" w:color="auto"/>
                                                <w:bottom w:val="none" w:sz="0" w:space="0" w:color="auto"/>
                                                <w:right w:val="none" w:sz="0" w:space="0" w:color="auto"/>
                                              </w:divBdr>
                                              <w:divsChild>
                                                <w:div w:id="493643727">
                                                  <w:marLeft w:val="0"/>
                                                  <w:marRight w:val="0"/>
                                                  <w:marTop w:val="0"/>
                                                  <w:marBottom w:val="0"/>
                                                  <w:divBdr>
                                                    <w:top w:val="none" w:sz="0" w:space="0" w:color="auto"/>
                                                    <w:left w:val="none" w:sz="0" w:space="0" w:color="auto"/>
                                                    <w:bottom w:val="none" w:sz="0" w:space="0" w:color="auto"/>
                                                    <w:right w:val="none" w:sz="0" w:space="0" w:color="auto"/>
                                                  </w:divBdr>
                                                </w:div>
                                                <w:div w:id="3554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79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ce.manuge@dia.govt.n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harlene.hogan@dia.govt.nz" TargetMode="External"/><Relationship Id="rId4" Type="http://schemas.microsoft.com/office/2007/relationships/stylesWithEffects" Target="stylesWithEffects.xml"/><Relationship Id="rId9" Type="http://schemas.openxmlformats.org/officeDocument/2006/relationships/hyperlink" Target="http://www.dia.govt.nz/pubforms.nsf/URL/GamingOperationalPolicy.pdf/$file/GamingOperationalPolicy.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ia.govt.nz/diawebsite.nsf/Files/CashlessGamblingPaper/$file/CashlessGamblingPape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Documents%20-%20Project.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3CFB-455A-46B0-96A3-306286BD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 Project.dotx</Template>
  <TotalTime>16</TotalTime>
  <Pages>12</Pages>
  <Words>3134</Words>
  <Characters>17866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Montgomery</dc:creator>
  <cp:lastModifiedBy>Sharlene Hogan</cp:lastModifiedBy>
  <cp:revision>11</cp:revision>
  <cp:lastPrinted>2016-08-03T02:49:00Z</cp:lastPrinted>
  <dcterms:created xsi:type="dcterms:W3CDTF">2016-08-26T02:39:00Z</dcterms:created>
  <dcterms:modified xsi:type="dcterms:W3CDTF">2016-09-01T22:44:00Z</dcterms:modified>
</cp:coreProperties>
</file>