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D9" w:rsidRPr="00C80B03" w:rsidRDefault="008D5CD9" w:rsidP="00FC6C30">
      <w:pPr>
        <w:pStyle w:val="Heading1"/>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bookmarkStart w:id="8" w:name="_Toc441759247"/>
      <w:bookmarkStart w:id="9" w:name="_Toc443378635"/>
      <w:bookmarkStart w:id="10" w:name="_Toc445125246"/>
      <w:bookmarkStart w:id="11" w:name="_Toc445883476"/>
      <w:bookmarkStart w:id="12" w:name="_Toc446419202"/>
      <w:bookmarkStart w:id="13" w:name="_Toc447722589"/>
      <w:bookmarkStart w:id="14" w:name="_Toc448240232"/>
      <w:bookmarkStart w:id="15" w:name="_Toc448499763"/>
      <w:bookmarkStart w:id="16" w:name="_Toc111173195"/>
      <w:bookmarkStart w:id="17" w:name="_Toc112306482"/>
      <w:bookmarkStart w:id="18" w:name="_Toc114287559"/>
      <w:bookmarkStart w:id="19" w:name="_Toc115188196"/>
      <w:bookmarkStart w:id="20" w:name="_Toc118514380"/>
      <w:bookmarkStart w:id="21" w:name="_Toc110071692"/>
      <w:bookmarkStart w:id="22" w:name="_Toc110072564"/>
      <w:bookmarkStart w:id="23" w:name="_Toc138735614"/>
      <w:bookmarkStart w:id="24" w:name="_Toc139335927"/>
      <w:bookmarkStart w:id="25" w:name="_Toc362526401"/>
      <w:bookmarkStart w:id="26" w:name="_GoBack"/>
      <w:bookmarkEnd w:id="26"/>
      <w:r w:rsidRPr="00C80B03">
        <w:t>Regulatory Impact Statement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D5CD9" w:rsidRDefault="00A124B4" w:rsidP="00FC6C30">
      <w:pPr>
        <w:pStyle w:val="Heading2"/>
      </w:pPr>
      <w:bookmarkStart w:id="27" w:name="_Toc441759248"/>
      <w:bookmarkStart w:id="28" w:name="_Toc443378636"/>
      <w:bookmarkStart w:id="29" w:name="_Toc445125247"/>
      <w:bookmarkStart w:id="30" w:name="_Toc445883477"/>
      <w:bookmarkStart w:id="31" w:name="_Toc446419203"/>
      <w:bookmarkStart w:id="32" w:name="_Toc447722590"/>
      <w:bookmarkStart w:id="33" w:name="_Toc448240233"/>
      <w:bookmarkStart w:id="34" w:name="_Toc448499764"/>
      <w:r>
        <w:t xml:space="preserve">Class 4 gambling </w:t>
      </w:r>
      <w:r w:rsidR="00F64683">
        <w:t>venue payment</w:t>
      </w:r>
      <w:r w:rsidR="00FC6C30">
        <w:t xml:space="preserve"> </w:t>
      </w:r>
      <w:r>
        <w:t>regulations</w:t>
      </w:r>
      <w:bookmarkEnd w:id="27"/>
      <w:bookmarkEnd w:id="28"/>
      <w:bookmarkEnd w:id="29"/>
      <w:bookmarkEnd w:id="30"/>
      <w:bookmarkEnd w:id="31"/>
      <w:bookmarkEnd w:id="32"/>
      <w:bookmarkEnd w:id="33"/>
      <w:bookmarkEnd w:id="34"/>
    </w:p>
    <w:p w:rsidR="008D5CD9" w:rsidRPr="000E4844" w:rsidRDefault="008D5CD9" w:rsidP="00A124B4">
      <w:pPr>
        <w:pStyle w:val="Heading3"/>
        <w:rPr>
          <w:sz w:val="22"/>
          <w:szCs w:val="22"/>
        </w:rPr>
      </w:pPr>
      <w:bookmarkStart w:id="35" w:name="_Toc362434943"/>
      <w:bookmarkStart w:id="36" w:name="_Toc362589329"/>
      <w:bookmarkStart w:id="37" w:name="_Toc362619029"/>
      <w:bookmarkStart w:id="38" w:name="_Toc362940593"/>
      <w:bookmarkStart w:id="39" w:name="_Toc363047101"/>
      <w:bookmarkStart w:id="40" w:name="_Toc441759249"/>
      <w:bookmarkStart w:id="41" w:name="_Toc443378637"/>
      <w:bookmarkStart w:id="42" w:name="_Toc445125248"/>
      <w:bookmarkStart w:id="43" w:name="_Toc445883478"/>
      <w:bookmarkStart w:id="44" w:name="_Toc446419204"/>
      <w:bookmarkStart w:id="45" w:name="_Toc447722591"/>
      <w:bookmarkStart w:id="46" w:name="_Toc448240234"/>
      <w:bookmarkStart w:id="47" w:name="_Toc448499765"/>
      <w:r w:rsidRPr="000E4844">
        <w:rPr>
          <w:sz w:val="22"/>
          <w:szCs w:val="22"/>
        </w:rPr>
        <w:t>Agency Disclosure Statement</w:t>
      </w:r>
      <w:bookmarkEnd w:id="35"/>
      <w:bookmarkEnd w:id="36"/>
      <w:bookmarkEnd w:id="37"/>
      <w:bookmarkEnd w:id="38"/>
      <w:bookmarkEnd w:id="39"/>
      <w:bookmarkEnd w:id="40"/>
      <w:bookmarkEnd w:id="41"/>
      <w:bookmarkEnd w:id="42"/>
      <w:bookmarkEnd w:id="43"/>
      <w:bookmarkEnd w:id="44"/>
      <w:bookmarkEnd w:id="45"/>
      <w:bookmarkEnd w:id="46"/>
      <w:bookmarkEnd w:id="47"/>
      <w:r w:rsidRPr="000E4844">
        <w:rPr>
          <w:sz w:val="22"/>
          <w:szCs w:val="22"/>
        </w:rPr>
        <w:t xml:space="preserve"> </w:t>
      </w:r>
    </w:p>
    <w:p w:rsidR="008D5CD9" w:rsidRDefault="008D5CD9" w:rsidP="001F492F">
      <w:pPr>
        <w:pStyle w:val="ListParagraph"/>
        <w:ind w:right="170"/>
        <w:rPr>
          <w:rFonts w:cs="Arial"/>
          <w:sz w:val="22"/>
          <w:szCs w:val="22"/>
        </w:rPr>
      </w:pPr>
      <w:r w:rsidRPr="000E4844">
        <w:rPr>
          <w:rFonts w:cs="Arial"/>
          <w:sz w:val="22"/>
          <w:szCs w:val="22"/>
        </w:rPr>
        <w:t xml:space="preserve">This Regulatory Impact Statement has been prepared by </w:t>
      </w:r>
      <w:r w:rsidR="00C01165" w:rsidRPr="000E4844">
        <w:rPr>
          <w:rFonts w:cs="Arial"/>
          <w:sz w:val="22"/>
          <w:szCs w:val="22"/>
        </w:rPr>
        <w:t>the Department of Internal Affairs</w:t>
      </w:r>
      <w:r w:rsidR="00F468EB">
        <w:rPr>
          <w:rFonts w:cs="Arial"/>
          <w:sz w:val="22"/>
          <w:szCs w:val="22"/>
        </w:rPr>
        <w:t xml:space="preserve"> (the Department)</w:t>
      </w:r>
      <w:r w:rsidRPr="000E4844">
        <w:rPr>
          <w:rFonts w:cs="Arial"/>
          <w:sz w:val="22"/>
          <w:szCs w:val="22"/>
        </w:rPr>
        <w:t xml:space="preserve">. It </w:t>
      </w:r>
      <w:r w:rsidR="00121DAE" w:rsidRPr="000E4844">
        <w:rPr>
          <w:rFonts w:cs="Arial"/>
          <w:sz w:val="22"/>
          <w:szCs w:val="22"/>
        </w:rPr>
        <w:t xml:space="preserve">uses </w:t>
      </w:r>
      <w:r w:rsidR="001A0E60">
        <w:rPr>
          <w:rFonts w:cs="Arial"/>
          <w:sz w:val="22"/>
          <w:szCs w:val="22"/>
        </w:rPr>
        <w:t xml:space="preserve">a combination of cost benefit and </w:t>
      </w:r>
      <w:r w:rsidR="00121DAE" w:rsidRPr="000E4844">
        <w:rPr>
          <w:rFonts w:cs="Arial"/>
          <w:sz w:val="22"/>
          <w:szCs w:val="22"/>
        </w:rPr>
        <w:t xml:space="preserve">multi-criteria analysis to consider a range of options for </w:t>
      </w:r>
      <w:r w:rsidR="00D74BA6" w:rsidRPr="000E4844">
        <w:rPr>
          <w:rFonts w:cs="Arial"/>
          <w:sz w:val="22"/>
          <w:szCs w:val="22"/>
        </w:rPr>
        <w:t>a new venue payments regime for Class 4</w:t>
      </w:r>
      <w:r w:rsidR="006A525B" w:rsidRPr="000E4844">
        <w:rPr>
          <w:rFonts w:cs="Arial"/>
          <w:sz w:val="22"/>
          <w:szCs w:val="22"/>
        </w:rPr>
        <w:t xml:space="preserve"> </w:t>
      </w:r>
      <w:r w:rsidR="00D74BA6" w:rsidRPr="00F33129">
        <w:rPr>
          <w:rFonts w:asciiTheme="minorHAnsi" w:hAnsiTheme="minorHAnsi" w:cs="Arial"/>
          <w:sz w:val="22"/>
          <w:szCs w:val="22"/>
        </w:rPr>
        <w:t>gambling</w:t>
      </w:r>
      <w:r w:rsidR="003210B2" w:rsidRPr="00F33129">
        <w:rPr>
          <w:rStyle w:val="FootnoteReference"/>
          <w:rFonts w:asciiTheme="minorHAnsi" w:hAnsiTheme="minorHAnsi" w:cs="Arial"/>
          <w:szCs w:val="22"/>
        </w:rPr>
        <w:footnoteReference w:id="1"/>
      </w:r>
      <w:r w:rsidR="00D74BA6" w:rsidRPr="00F33129">
        <w:rPr>
          <w:rFonts w:asciiTheme="minorHAnsi" w:hAnsiTheme="minorHAnsi" w:cs="Arial"/>
          <w:sz w:val="22"/>
          <w:szCs w:val="22"/>
        </w:rPr>
        <w:t>.</w:t>
      </w:r>
      <w:r w:rsidRPr="00F33129">
        <w:rPr>
          <w:rFonts w:asciiTheme="minorHAnsi" w:hAnsiTheme="minorHAnsi" w:cs="Arial"/>
          <w:sz w:val="22"/>
          <w:szCs w:val="22"/>
        </w:rPr>
        <w:t xml:space="preserve"> </w:t>
      </w:r>
      <w:r w:rsidR="005F329B" w:rsidRPr="00F33129">
        <w:rPr>
          <w:rFonts w:asciiTheme="minorHAnsi" w:hAnsiTheme="minorHAnsi" w:cs="Arial"/>
          <w:sz w:val="22"/>
          <w:szCs w:val="22"/>
        </w:rPr>
        <w:t>The recommendations</w:t>
      </w:r>
      <w:r w:rsidR="005F329B" w:rsidRPr="000E4844">
        <w:rPr>
          <w:rFonts w:cs="Arial"/>
          <w:sz w:val="22"/>
          <w:szCs w:val="22"/>
        </w:rPr>
        <w:t xml:space="preserve"> have been made after significant consultation with the sector.</w:t>
      </w:r>
    </w:p>
    <w:p w:rsidR="00D6403C" w:rsidRPr="00D6403C" w:rsidRDefault="00D6403C" w:rsidP="00D6403C">
      <w:pPr>
        <w:pStyle w:val="ListParagraph"/>
        <w:ind w:right="170"/>
        <w:rPr>
          <w:rFonts w:cs="Arial"/>
          <w:sz w:val="22"/>
          <w:szCs w:val="22"/>
        </w:rPr>
      </w:pPr>
      <w:r w:rsidRPr="00D6403C">
        <w:rPr>
          <w:rFonts w:cs="Arial"/>
          <w:sz w:val="22"/>
          <w:szCs w:val="22"/>
        </w:rPr>
        <w:t>The analysis has been undertaken at the same time as Cabinet has been considering a broader review of the class 4 gambling sector to determine if it remains fit-for-purpose. A new regime will be successful if it contributes to the outcome sought for the wider class 4 gambling reform, which is for class 4 gambling to have a low cost, risk based regulatory framework that ensures sustainable fund-raising for the community.</w:t>
      </w:r>
    </w:p>
    <w:p w:rsidR="00414DE9" w:rsidRPr="000E4844" w:rsidRDefault="00414DE9" w:rsidP="00CB5B8C">
      <w:pPr>
        <w:pStyle w:val="Heading4"/>
        <w:rPr>
          <w:sz w:val="22"/>
          <w:szCs w:val="22"/>
        </w:rPr>
      </w:pPr>
      <w:r w:rsidRPr="000E4844">
        <w:rPr>
          <w:sz w:val="22"/>
          <w:szCs w:val="22"/>
        </w:rPr>
        <w:t>Time constraints</w:t>
      </w:r>
    </w:p>
    <w:p w:rsidR="004D1303" w:rsidRDefault="00F468EB" w:rsidP="004D1303">
      <w:pPr>
        <w:pStyle w:val="ListParagraph"/>
        <w:ind w:right="170"/>
        <w:rPr>
          <w:rFonts w:cs="Arial"/>
          <w:sz w:val="22"/>
          <w:szCs w:val="22"/>
        </w:rPr>
      </w:pPr>
      <w:r>
        <w:rPr>
          <w:rFonts w:cs="Arial"/>
          <w:sz w:val="22"/>
          <w:szCs w:val="22"/>
        </w:rPr>
        <w:t>T</w:t>
      </w:r>
      <w:r w:rsidR="004D1303" w:rsidRPr="000E4844">
        <w:rPr>
          <w:rFonts w:cs="Arial"/>
          <w:sz w:val="22"/>
          <w:szCs w:val="22"/>
        </w:rPr>
        <w:t xml:space="preserve">he Gazette notice that </w:t>
      </w:r>
      <w:r>
        <w:rPr>
          <w:rFonts w:cs="Arial"/>
          <w:sz w:val="22"/>
          <w:szCs w:val="22"/>
        </w:rPr>
        <w:t xml:space="preserve">currently </w:t>
      </w:r>
      <w:r w:rsidR="004D1303" w:rsidRPr="000E4844">
        <w:rPr>
          <w:rFonts w:cs="Arial"/>
          <w:sz w:val="22"/>
          <w:szCs w:val="22"/>
        </w:rPr>
        <w:t xml:space="preserve">limits venue payments will no longer be supported by the law within a year of the Gambling Amendment Act 2015 (No 2) passing. </w:t>
      </w:r>
      <w:r w:rsidR="00033E92">
        <w:rPr>
          <w:rFonts w:cs="Arial"/>
          <w:sz w:val="22"/>
          <w:szCs w:val="22"/>
        </w:rPr>
        <w:t xml:space="preserve">To provide for venue payments, new regulations </w:t>
      </w:r>
      <w:r w:rsidR="004D1303" w:rsidRPr="000E4844">
        <w:rPr>
          <w:rFonts w:cs="Arial"/>
          <w:sz w:val="22"/>
          <w:szCs w:val="22"/>
        </w:rPr>
        <w:t xml:space="preserve">are required to be in place by </w:t>
      </w:r>
      <w:r w:rsidR="004D1303" w:rsidRPr="000E4844">
        <w:rPr>
          <w:rFonts w:cs="Arial"/>
          <w:b/>
          <w:sz w:val="22"/>
          <w:szCs w:val="22"/>
        </w:rPr>
        <w:t>21 October 2016</w:t>
      </w:r>
      <w:r w:rsidR="00033E92">
        <w:rPr>
          <w:rFonts w:cs="Arial"/>
          <w:sz w:val="22"/>
          <w:szCs w:val="22"/>
        </w:rPr>
        <w:t>.</w:t>
      </w:r>
    </w:p>
    <w:p w:rsidR="00B16011" w:rsidRPr="00B16011" w:rsidRDefault="006E3177" w:rsidP="00B16011">
      <w:pPr>
        <w:pStyle w:val="Heading4"/>
        <w:rPr>
          <w:sz w:val="22"/>
          <w:szCs w:val="22"/>
        </w:rPr>
      </w:pPr>
      <w:r>
        <w:rPr>
          <w:sz w:val="22"/>
          <w:szCs w:val="22"/>
        </w:rPr>
        <w:t>Venue payment data analysis</w:t>
      </w:r>
    </w:p>
    <w:p w:rsidR="00B16011" w:rsidRPr="00B16011" w:rsidRDefault="00B16011" w:rsidP="00B16011">
      <w:pPr>
        <w:pStyle w:val="ListParagraph"/>
        <w:ind w:right="170"/>
        <w:rPr>
          <w:rFonts w:cs="Arial"/>
          <w:sz w:val="22"/>
          <w:szCs w:val="22"/>
        </w:rPr>
      </w:pPr>
      <w:r w:rsidRPr="00B16011">
        <w:rPr>
          <w:rFonts w:cs="Arial"/>
          <w:sz w:val="22"/>
          <w:szCs w:val="22"/>
        </w:rPr>
        <w:t xml:space="preserve">The </w:t>
      </w:r>
      <w:r>
        <w:rPr>
          <w:rFonts w:cs="Arial"/>
          <w:sz w:val="22"/>
          <w:szCs w:val="22"/>
        </w:rPr>
        <w:t xml:space="preserve">analysis used the </w:t>
      </w:r>
      <w:r w:rsidRPr="00B16011">
        <w:rPr>
          <w:rFonts w:cs="Arial"/>
          <w:sz w:val="22"/>
          <w:szCs w:val="22"/>
        </w:rPr>
        <w:t>following two sample sets of venue payment data:</w:t>
      </w:r>
    </w:p>
    <w:p w:rsidR="00B16011" w:rsidRPr="00B16011" w:rsidRDefault="00B16011" w:rsidP="00E4305C">
      <w:pPr>
        <w:pStyle w:val="ListParagraph"/>
        <w:numPr>
          <w:ilvl w:val="0"/>
          <w:numId w:val="19"/>
        </w:numPr>
        <w:ind w:right="170"/>
        <w:rPr>
          <w:rFonts w:cs="Arial"/>
          <w:sz w:val="22"/>
          <w:szCs w:val="22"/>
        </w:rPr>
      </w:pPr>
      <w:r w:rsidRPr="00B16011">
        <w:rPr>
          <w:rFonts w:cs="Arial"/>
          <w:sz w:val="22"/>
          <w:szCs w:val="22"/>
        </w:rPr>
        <w:t xml:space="preserve">sample 1: data on 324 venues’ average </w:t>
      </w:r>
      <w:r w:rsidR="0009412A">
        <w:rPr>
          <w:rFonts w:cs="Arial"/>
          <w:sz w:val="22"/>
          <w:szCs w:val="22"/>
        </w:rPr>
        <w:t>gaming machine proceeds (</w:t>
      </w:r>
      <w:r w:rsidRPr="00B16011">
        <w:rPr>
          <w:rFonts w:cs="Arial"/>
          <w:sz w:val="22"/>
          <w:szCs w:val="22"/>
        </w:rPr>
        <w:t>GMP</w:t>
      </w:r>
      <w:r w:rsidR="0009412A">
        <w:rPr>
          <w:rFonts w:cs="Arial"/>
          <w:sz w:val="22"/>
          <w:szCs w:val="22"/>
        </w:rPr>
        <w:t>)</w:t>
      </w:r>
      <w:r w:rsidRPr="00B16011">
        <w:rPr>
          <w:rFonts w:cs="Arial"/>
          <w:sz w:val="22"/>
          <w:szCs w:val="22"/>
        </w:rPr>
        <w:t xml:space="preserve"> and venue payments </w:t>
      </w:r>
      <w:r w:rsidR="00F468EB" w:rsidRPr="00B16011">
        <w:rPr>
          <w:rFonts w:cs="Arial"/>
          <w:sz w:val="22"/>
          <w:szCs w:val="22"/>
        </w:rPr>
        <w:t>from 2013 to late 2014</w:t>
      </w:r>
      <w:r w:rsidR="00F468EB">
        <w:rPr>
          <w:rFonts w:cs="Arial"/>
          <w:sz w:val="22"/>
          <w:szCs w:val="22"/>
        </w:rPr>
        <w:t xml:space="preserve"> </w:t>
      </w:r>
      <w:r w:rsidRPr="00B16011">
        <w:rPr>
          <w:rFonts w:cs="Arial"/>
          <w:sz w:val="22"/>
          <w:szCs w:val="22"/>
        </w:rPr>
        <w:t>supplied to the Department by societies</w:t>
      </w:r>
      <w:r w:rsidR="00E03205" w:rsidRPr="007E6D6F">
        <w:rPr>
          <w:rStyle w:val="FootnoteReference"/>
          <w:rFonts w:asciiTheme="minorHAnsi" w:hAnsiTheme="minorHAnsi" w:cs="Arial"/>
          <w:szCs w:val="22"/>
        </w:rPr>
        <w:footnoteReference w:id="2"/>
      </w:r>
      <w:r w:rsidRPr="00B16011">
        <w:rPr>
          <w:rFonts w:cs="Arial"/>
          <w:sz w:val="22"/>
          <w:szCs w:val="22"/>
        </w:rPr>
        <w:t>; and</w:t>
      </w:r>
    </w:p>
    <w:p w:rsidR="00B16011" w:rsidRPr="00B16011" w:rsidRDefault="00B16011" w:rsidP="00E4305C">
      <w:pPr>
        <w:pStyle w:val="ListParagraph"/>
        <w:numPr>
          <w:ilvl w:val="0"/>
          <w:numId w:val="19"/>
        </w:numPr>
        <w:ind w:right="170"/>
        <w:rPr>
          <w:rFonts w:cs="Arial"/>
          <w:sz w:val="22"/>
          <w:szCs w:val="22"/>
        </w:rPr>
      </w:pPr>
      <w:r w:rsidRPr="00B16011">
        <w:rPr>
          <w:rFonts w:cs="Arial"/>
          <w:sz w:val="22"/>
          <w:szCs w:val="22"/>
        </w:rPr>
        <w:t>sample 2: data on 1269 venues’ average GMP and turnover for January to June 2015.</w:t>
      </w:r>
    </w:p>
    <w:p w:rsidR="00B16011" w:rsidRDefault="00B16011" w:rsidP="00B16011">
      <w:pPr>
        <w:pStyle w:val="ListParagraph"/>
        <w:ind w:right="170"/>
        <w:rPr>
          <w:rFonts w:cs="Arial"/>
          <w:sz w:val="22"/>
          <w:szCs w:val="22"/>
        </w:rPr>
      </w:pPr>
      <w:r w:rsidRPr="00B16011">
        <w:rPr>
          <w:rFonts w:cs="Arial"/>
          <w:sz w:val="22"/>
          <w:szCs w:val="22"/>
        </w:rPr>
        <w:t xml:space="preserve">The primary limitation of sample 1 is that the data contained within it does not come from one fixed time period. It is based on information supplied to the Department, primarily for the 2014 financial year, though two of the societies provided information from the 2013 financial year. </w:t>
      </w:r>
      <w:r w:rsidR="00A310FC">
        <w:rPr>
          <w:rFonts w:cs="Arial"/>
          <w:sz w:val="22"/>
          <w:szCs w:val="22"/>
        </w:rPr>
        <w:t>This limitation is mitigated somewhat by t</w:t>
      </w:r>
      <w:r w:rsidRPr="00B16011">
        <w:rPr>
          <w:rFonts w:cs="Arial"/>
          <w:sz w:val="22"/>
          <w:szCs w:val="22"/>
        </w:rPr>
        <w:t>he sample 2 dataset</w:t>
      </w:r>
      <w:r w:rsidR="00A310FC">
        <w:rPr>
          <w:rFonts w:cs="Arial"/>
          <w:sz w:val="22"/>
          <w:szCs w:val="22"/>
        </w:rPr>
        <w:t xml:space="preserve"> which</w:t>
      </w:r>
      <w:r w:rsidRPr="00B16011">
        <w:rPr>
          <w:rFonts w:cs="Arial"/>
          <w:sz w:val="22"/>
          <w:szCs w:val="22"/>
        </w:rPr>
        <w:t xml:space="preserve"> provides data for the entire Class 4 venue population. </w:t>
      </w:r>
    </w:p>
    <w:p w:rsidR="0058397F" w:rsidRDefault="0058397F" w:rsidP="006E3177">
      <w:pPr>
        <w:pStyle w:val="Heading4"/>
        <w:rPr>
          <w:sz w:val="22"/>
          <w:szCs w:val="22"/>
        </w:rPr>
      </w:pPr>
      <w:r>
        <w:rPr>
          <w:sz w:val="22"/>
          <w:szCs w:val="22"/>
        </w:rPr>
        <w:t>Tensions between policy objectives</w:t>
      </w:r>
    </w:p>
    <w:p w:rsidR="0058397F" w:rsidRPr="0058397F" w:rsidRDefault="0058397F" w:rsidP="0058397F">
      <w:pPr>
        <w:pStyle w:val="ListParagraph"/>
        <w:ind w:right="170"/>
        <w:rPr>
          <w:rFonts w:cs="Arial"/>
          <w:sz w:val="22"/>
          <w:szCs w:val="22"/>
        </w:rPr>
      </w:pPr>
      <w:r w:rsidRPr="0058397F">
        <w:rPr>
          <w:rFonts w:cs="Arial"/>
          <w:sz w:val="22"/>
          <w:szCs w:val="22"/>
        </w:rPr>
        <w:t xml:space="preserve">The primary policy objective is to simplify compliance and reduce administrative time and cost for societies and venues, thereby maximising returns to the community – without growing gambling and increasing harm. </w:t>
      </w:r>
    </w:p>
    <w:p w:rsidR="0058397F" w:rsidRPr="0058397F" w:rsidRDefault="0033450E" w:rsidP="0058397F">
      <w:pPr>
        <w:pStyle w:val="ListParagraph"/>
        <w:ind w:right="170"/>
        <w:rPr>
          <w:rFonts w:cs="Arial"/>
          <w:sz w:val="22"/>
          <w:szCs w:val="22"/>
        </w:rPr>
      </w:pPr>
      <w:r>
        <w:rPr>
          <w:rFonts w:cs="Arial"/>
          <w:sz w:val="22"/>
          <w:szCs w:val="22"/>
        </w:rPr>
        <w:t>The Department acknowledges that t</w:t>
      </w:r>
      <w:r w:rsidR="0058397F" w:rsidRPr="0058397F">
        <w:rPr>
          <w:rFonts w:cs="Arial"/>
          <w:sz w:val="22"/>
          <w:szCs w:val="22"/>
        </w:rPr>
        <w:t xml:space="preserve">here is an inherent tension between the objectives of maximising returns and not increasing problem gambling because in isolation from each other they </w:t>
      </w:r>
      <w:r w:rsidR="00E71EA0">
        <w:rPr>
          <w:rFonts w:cs="Arial"/>
          <w:sz w:val="22"/>
          <w:szCs w:val="22"/>
        </w:rPr>
        <w:t xml:space="preserve">may </w:t>
      </w:r>
      <w:r w:rsidR="0058397F" w:rsidRPr="0058397F">
        <w:rPr>
          <w:rFonts w:cs="Arial"/>
          <w:sz w:val="22"/>
          <w:szCs w:val="22"/>
        </w:rPr>
        <w:t>have opposing outcomes</w:t>
      </w:r>
      <w:r w:rsidR="00063DCF">
        <w:rPr>
          <w:rFonts w:cs="Arial"/>
          <w:sz w:val="22"/>
          <w:szCs w:val="22"/>
        </w:rPr>
        <w:t>.</w:t>
      </w:r>
    </w:p>
    <w:p w:rsidR="006E3177" w:rsidRPr="006E3177" w:rsidRDefault="006E3177" w:rsidP="006E3177">
      <w:pPr>
        <w:pStyle w:val="Heading4"/>
        <w:rPr>
          <w:sz w:val="22"/>
          <w:szCs w:val="22"/>
        </w:rPr>
      </w:pPr>
      <w:r w:rsidRPr="006E3177">
        <w:rPr>
          <w:sz w:val="22"/>
          <w:szCs w:val="22"/>
        </w:rPr>
        <w:lastRenderedPageBreak/>
        <w:t>Preferences from consultation</w:t>
      </w:r>
    </w:p>
    <w:p w:rsidR="00FD2BBE" w:rsidRPr="00FD2BBE" w:rsidRDefault="00A42B92" w:rsidP="00240398">
      <w:pPr>
        <w:pStyle w:val="ListParagraph"/>
        <w:ind w:right="170"/>
        <w:rPr>
          <w:rFonts w:cs="Arial"/>
          <w:sz w:val="22"/>
          <w:szCs w:val="22"/>
        </w:rPr>
      </w:pPr>
      <w:r>
        <w:rPr>
          <w:rFonts w:cs="Arial"/>
          <w:sz w:val="22"/>
          <w:szCs w:val="22"/>
        </w:rPr>
        <w:t xml:space="preserve">From September 2015 to March 2016, the Department convened an external sector working group </w:t>
      </w:r>
      <w:r w:rsidR="00DA038F">
        <w:rPr>
          <w:rFonts w:cs="Arial"/>
          <w:sz w:val="22"/>
          <w:szCs w:val="22"/>
        </w:rPr>
        <w:t xml:space="preserve">to </w:t>
      </w:r>
      <w:r w:rsidR="00CD578D">
        <w:rPr>
          <w:rFonts w:cs="Arial"/>
          <w:sz w:val="22"/>
          <w:szCs w:val="22"/>
        </w:rPr>
        <w:t xml:space="preserve">co-design </w:t>
      </w:r>
      <w:r>
        <w:rPr>
          <w:rFonts w:cs="Arial"/>
          <w:sz w:val="22"/>
          <w:szCs w:val="22"/>
        </w:rPr>
        <w:t>the new venue payment regime.</w:t>
      </w:r>
      <w:r w:rsidR="00FD2BBE">
        <w:rPr>
          <w:rFonts w:cs="Arial"/>
          <w:sz w:val="22"/>
          <w:szCs w:val="22"/>
        </w:rPr>
        <w:t xml:space="preserve"> </w:t>
      </w:r>
    </w:p>
    <w:p w:rsidR="006E3177" w:rsidRPr="00B16011" w:rsidRDefault="00A42B92" w:rsidP="00B16011">
      <w:pPr>
        <w:pStyle w:val="ListParagraph"/>
        <w:ind w:right="170"/>
        <w:rPr>
          <w:rFonts w:cs="Arial"/>
          <w:sz w:val="22"/>
          <w:szCs w:val="22"/>
        </w:rPr>
      </w:pPr>
      <w:r>
        <w:rPr>
          <w:rFonts w:cs="Arial"/>
          <w:sz w:val="22"/>
          <w:szCs w:val="22"/>
        </w:rPr>
        <w:t>Industry members of the working group preferred that the new regime be commission</w:t>
      </w:r>
      <w:r w:rsidR="004575DB">
        <w:rPr>
          <w:rFonts w:cs="Arial"/>
          <w:sz w:val="22"/>
          <w:szCs w:val="22"/>
        </w:rPr>
        <w:t>-</w:t>
      </w:r>
      <w:r>
        <w:rPr>
          <w:rFonts w:cs="Arial"/>
          <w:sz w:val="22"/>
          <w:szCs w:val="22"/>
        </w:rPr>
        <w:t>based</w:t>
      </w:r>
      <w:r w:rsidR="004575DB">
        <w:rPr>
          <w:rFonts w:cs="Arial"/>
          <w:sz w:val="22"/>
          <w:szCs w:val="22"/>
        </w:rPr>
        <w:t>, calculated as</w:t>
      </w:r>
      <w:r>
        <w:rPr>
          <w:rFonts w:cs="Arial"/>
          <w:sz w:val="22"/>
          <w:szCs w:val="22"/>
        </w:rPr>
        <w:t xml:space="preserve"> a percentage of turnover. The problem gambling service provider members of the working group were opposed to any commission</w:t>
      </w:r>
      <w:r w:rsidR="00FD2BBE">
        <w:rPr>
          <w:rFonts w:cs="Arial"/>
          <w:sz w:val="22"/>
          <w:szCs w:val="22"/>
        </w:rPr>
        <w:t>-</w:t>
      </w:r>
      <w:r>
        <w:rPr>
          <w:rFonts w:cs="Arial"/>
          <w:sz w:val="22"/>
          <w:szCs w:val="22"/>
        </w:rPr>
        <w:t>based scheme without the introduction of additional harm minimisation commitments.</w:t>
      </w:r>
    </w:p>
    <w:p w:rsidR="008D5CD9" w:rsidRDefault="008D5CD9" w:rsidP="007424C5">
      <w:pPr>
        <w:pStyle w:val="ListParagraph"/>
        <w:ind w:right="170"/>
        <w:rPr>
          <w:rFonts w:cs="Arial"/>
          <w:sz w:val="22"/>
          <w:szCs w:val="22"/>
        </w:rPr>
      </w:pPr>
    </w:p>
    <w:p w:rsidR="00A333FB" w:rsidRDefault="00A333FB" w:rsidP="007424C5">
      <w:pPr>
        <w:pStyle w:val="ListParagraph"/>
        <w:ind w:right="170"/>
        <w:rPr>
          <w:rFonts w:cs="Arial"/>
          <w:sz w:val="22"/>
          <w:szCs w:val="22"/>
        </w:rPr>
      </w:pPr>
    </w:p>
    <w:p w:rsidR="00A333FB" w:rsidRDefault="00A333FB" w:rsidP="007424C5">
      <w:pPr>
        <w:pStyle w:val="ListParagraph"/>
        <w:ind w:right="170"/>
        <w:rPr>
          <w:rFonts w:cs="Arial"/>
          <w:sz w:val="22"/>
          <w:szCs w:val="22"/>
        </w:rPr>
      </w:pPr>
    </w:p>
    <w:p w:rsidR="00A333FB" w:rsidRDefault="00A333FB" w:rsidP="007424C5">
      <w:pPr>
        <w:pStyle w:val="ListParagraph"/>
        <w:ind w:right="170"/>
        <w:rPr>
          <w:rFonts w:cs="Arial"/>
          <w:sz w:val="22"/>
          <w:szCs w:val="22"/>
        </w:rPr>
      </w:pPr>
    </w:p>
    <w:tbl>
      <w:tblPr>
        <w:tblStyle w:val="Blanktable"/>
        <w:tblW w:w="0" w:type="auto"/>
        <w:tblInd w:w="0" w:type="dxa"/>
        <w:tblBorders>
          <w:bottom w:val="single" w:sz="4" w:space="0" w:color="auto"/>
        </w:tblBorders>
        <w:tblLook w:val="04A0" w:firstRow="1" w:lastRow="0" w:firstColumn="1" w:lastColumn="0" w:noHBand="0" w:noVBand="1"/>
      </w:tblPr>
      <w:tblGrid>
        <w:gridCol w:w="628"/>
        <w:gridCol w:w="402"/>
        <w:gridCol w:w="251"/>
        <w:gridCol w:w="987"/>
      </w:tblGrid>
      <w:tr w:rsidR="00A333FB" w:rsidRPr="00A333FB" w:rsidTr="00A333FB">
        <w:trPr>
          <w:cantSplit/>
        </w:trPr>
        <w:tc>
          <w:tcPr>
            <w:tcW w:w="2268" w:type="dxa"/>
            <w:gridSpan w:val="4"/>
            <w:tcMar>
              <w:left w:w="0" w:type="dxa"/>
            </w:tcMar>
          </w:tcPr>
          <w:p w:rsidR="00A333FB" w:rsidRPr="00A333FB" w:rsidRDefault="00A333FB" w:rsidP="00A333FB">
            <w:pPr>
              <w:pStyle w:val="Ministerssign-off"/>
              <w:keepNext/>
              <w:rPr>
                <w:b w:val="0"/>
                <w:sz w:val="22"/>
                <w:szCs w:val="22"/>
              </w:rPr>
            </w:pPr>
            <w:r>
              <w:rPr>
                <w:b w:val="0"/>
                <w:sz w:val="22"/>
                <w:szCs w:val="22"/>
              </w:rPr>
              <w:t>Steve Waldegrave</w:t>
            </w:r>
          </w:p>
        </w:tc>
      </w:tr>
      <w:tr w:rsidR="00A333FB" w:rsidRPr="00A333FB" w:rsidTr="00A333FB">
        <w:trPr>
          <w:cantSplit/>
        </w:trPr>
        <w:tc>
          <w:tcPr>
            <w:tcW w:w="2268" w:type="dxa"/>
            <w:gridSpan w:val="4"/>
            <w:tcMar>
              <w:left w:w="0" w:type="dxa"/>
            </w:tcMar>
          </w:tcPr>
          <w:p w:rsidR="00A333FB" w:rsidRPr="00A333FB" w:rsidRDefault="00A333FB" w:rsidP="00A333FB">
            <w:pPr>
              <w:pStyle w:val="Ministerssign-off"/>
              <w:keepNext/>
              <w:rPr>
                <w:b w:val="0"/>
                <w:sz w:val="22"/>
                <w:szCs w:val="22"/>
              </w:rPr>
            </w:pPr>
            <w:r>
              <w:rPr>
                <w:b w:val="0"/>
                <w:sz w:val="22"/>
                <w:szCs w:val="22"/>
              </w:rPr>
              <w:t>General Manager Policy</w:t>
            </w:r>
          </w:p>
        </w:tc>
      </w:tr>
      <w:tr w:rsidR="00A333FB" w:rsidRPr="00A333FB" w:rsidTr="00A333FB">
        <w:trPr>
          <w:cantSplit/>
          <w:trHeight w:hRule="exact" w:val="501"/>
        </w:trPr>
        <w:tc>
          <w:tcPr>
            <w:tcW w:w="628" w:type="dxa"/>
            <w:tcMar>
              <w:left w:w="57" w:type="dxa"/>
              <w:right w:w="57" w:type="dxa"/>
            </w:tcMar>
          </w:tcPr>
          <w:p w:rsidR="00A333FB" w:rsidRPr="00A333FB" w:rsidRDefault="00A333FB" w:rsidP="00E349F3">
            <w:pPr>
              <w:rPr>
                <w:sz w:val="22"/>
                <w:szCs w:val="22"/>
              </w:rPr>
            </w:pPr>
          </w:p>
        </w:tc>
        <w:tc>
          <w:tcPr>
            <w:tcW w:w="402" w:type="dxa"/>
            <w:tcMar>
              <w:left w:w="57" w:type="dxa"/>
              <w:right w:w="57" w:type="dxa"/>
            </w:tcMar>
          </w:tcPr>
          <w:p w:rsidR="00A333FB" w:rsidRPr="00A333FB" w:rsidRDefault="00A333FB" w:rsidP="00E349F3">
            <w:pPr>
              <w:rPr>
                <w:sz w:val="22"/>
                <w:szCs w:val="22"/>
              </w:rPr>
            </w:pPr>
            <w:r w:rsidRPr="00A333FB">
              <w:rPr>
                <w:sz w:val="22"/>
                <w:szCs w:val="22"/>
              </w:rPr>
              <w:t>/</w:t>
            </w:r>
          </w:p>
        </w:tc>
        <w:tc>
          <w:tcPr>
            <w:tcW w:w="251" w:type="dxa"/>
            <w:tcMar>
              <w:left w:w="57" w:type="dxa"/>
              <w:right w:w="57" w:type="dxa"/>
            </w:tcMar>
          </w:tcPr>
          <w:p w:rsidR="00A333FB" w:rsidRPr="00A333FB" w:rsidRDefault="00A333FB" w:rsidP="00E349F3">
            <w:pPr>
              <w:rPr>
                <w:sz w:val="22"/>
                <w:szCs w:val="22"/>
              </w:rPr>
            </w:pPr>
          </w:p>
        </w:tc>
        <w:tc>
          <w:tcPr>
            <w:tcW w:w="987" w:type="dxa"/>
            <w:tcMar>
              <w:left w:w="57" w:type="dxa"/>
              <w:right w:w="57" w:type="dxa"/>
            </w:tcMar>
          </w:tcPr>
          <w:p w:rsidR="00A333FB" w:rsidRPr="00A333FB" w:rsidRDefault="00A333FB" w:rsidP="00E349F3">
            <w:pPr>
              <w:rPr>
                <w:sz w:val="22"/>
                <w:szCs w:val="22"/>
              </w:rPr>
            </w:pPr>
            <w:r w:rsidRPr="00A333FB">
              <w:rPr>
                <w:sz w:val="22"/>
                <w:szCs w:val="22"/>
              </w:rPr>
              <w:t>/</w:t>
            </w:r>
          </w:p>
          <w:p w:rsidR="00A333FB" w:rsidRPr="00A333FB" w:rsidRDefault="00A333FB" w:rsidP="00E349F3">
            <w:pPr>
              <w:rPr>
                <w:sz w:val="22"/>
                <w:szCs w:val="22"/>
              </w:rPr>
            </w:pPr>
          </w:p>
        </w:tc>
      </w:tr>
    </w:tbl>
    <w:p w:rsidR="00A333FB" w:rsidRDefault="00A333FB" w:rsidP="00A333FB">
      <w:pPr>
        <w:pStyle w:val="Text"/>
        <w:spacing w:before="0" w:after="180" w:line="280" w:lineRule="atLeast"/>
        <w:ind w:right="170"/>
        <w:rPr>
          <w:rFonts w:cs="Arial"/>
          <w:sz w:val="22"/>
          <w:szCs w:val="22"/>
        </w:rPr>
      </w:pPr>
    </w:p>
    <w:p w:rsidR="00CC10A5" w:rsidRDefault="00CC10A5" w:rsidP="00CC10A5">
      <w:bookmarkStart w:id="48" w:name="_Toc362368103"/>
      <w:bookmarkStart w:id="49" w:name="_Toc362434944"/>
      <w:bookmarkStart w:id="50" w:name="_Toc362589330"/>
      <w:bookmarkStart w:id="51" w:name="_Toc362619030"/>
      <w:bookmarkStart w:id="52" w:name="_Toc362940594"/>
      <w:bookmarkStart w:id="53" w:name="_Toc363047102"/>
    </w:p>
    <w:p w:rsidR="002C557A" w:rsidRPr="00590CA9" w:rsidRDefault="00C80B03" w:rsidP="00CC10A5">
      <w:pPr>
        <w:pStyle w:val="Heading2"/>
      </w:pPr>
      <w:r w:rsidRPr="00590CA9">
        <w:br w:type="page"/>
      </w:r>
      <w:bookmarkStart w:id="54" w:name="_Toc441759250"/>
      <w:bookmarkStart w:id="55" w:name="_Toc443378638"/>
      <w:bookmarkStart w:id="56" w:name="_Toc445125249"/>
      <w:bookmarkStart w:id="57" w:name="_Toc445883479"/>
      <w:bookmarkStart w:id="58" w:name="_Toc446419205"/>
      <w:bookmarkStart w:id="59" w:name="_Toc448240235"/>
      <w:bookmarkStart w:id="60" w:name="_Toc448499766"/>
      <w:r w:rsidR="002C557A" w:rsidRPr="00590CA9">
        <w:lastRenderedPageBreak/>
        <w:t>Table of Contents</w:t>
      </w:r>
      <w:bookmarkEnd w:id="54"/>
      <w:bookmarkEnd w:id="55"/>
      <w:bookmarkEnd w:id="56"/>
      <w:bookmarkEnd w:id="57"/>
      <w:bookmarkEnd w:id="58"/>
      <w:bookmarkEnd w:id="59"/>
      <w:bookmarkEnd w:id="60"/>
    </w:p>
    <w:p w:rsidR="00051999" w:rsidRPr="00051999" w:rsidRDefault="00051999" w:rsidP="00051999">
      <w:pPr>
        <w:pStyle w:val="TOC1"/>
        <w:tabs>
          <w:tab w:val="right" w:leader="dot" w:pos="9061"/>
        </w:tabs>
        <w:spacing w:before="60" w:after="60"/>
        <w:rPr>
          <w:rFonts w:ascii="Calibri" w:eastAsiaTheme="minorEastAsia" w:hAnsi="Calibri" w:cstheme="minorBidi"/>
          <w:smallCaps/>
          <w:noProof/>
          <w:sz w:val="22"/>
          <w:szCs w:val="22"/>
          <w:lang w:eastAsia="en-NZ"/>
        </w:rPr>
      </w:pPr>
      <w:r>
        <w:rPr>
          <w:rStyle w:val="Hyperlink"/>
          <w:b w:val="0"/>
          <w:bCs w:val="0"/>
          <w:iCs/>
          <w:caps w:val="0"/>
          <w:color w:val="0000FF"/>
          <w:szCs w:val="24"/>
        </w:rPr>
        <w:fldChar w:fldCharType="begin"/>
      </w:r>
      <w:r>
        <w:rPr>
          <w:rStyle w:val="Hyperlink"/>
          <w:b w:val="0"/>
          <w:bCs w:val="0"/>
          <w:iCs/>
          <w:caps w:val="0"/>
          <w:color w:val="0000FF"/>
          <w:szCs w:val="24"/>
        </w:rPr>
        <w:instrText xml:space="preserve"> TOC \o "1-3" \h \z \u </w:instrText>
      </w:r>
      <w:r>
        <w:rPr>
          <w:rStyle w:val="Hyperlink"/>
          <w:b w:val="0"/>
          <w:bCs w:val="0"/>
          <w:iCs/>
          <w:caps w:val="0"/>
          <w:color w:val="0000FF"/>
          <w:szCs w:val="24"/>
        </w:rPr>
        <w:fldChar w:fldCharType="separate"/>
      </w:r>
    </w:p>
    <w:p w:rsidR="00051999" w:rsidRPr="00051999" w:rsidRDefault="00051999" w:rsidP="00051999">
      <w:pPr>
        <w:pStyle w:val="TOC2"/>
        <w:tabs>
          <w:tab w:val="right" w:leader="dot" w:pos="9061"/>
        </w:tabs>
        <w:spacing w:before="60" w:after="60"/>
        <w:rPr>
          <w:rFonts w:ascii="Calibri" w:eastAsiaTheme="minorEastAsia" w:hAnsi="Calibri" w:cstheme="minorBidi"/>
          <w:b/>
          <w:smallCaps w:val="0"/>
          <w:noProof/>
          <w:sz w:val="22"/>
          <w:szCs w:val="22"/>
          <w:lang w:eastAsia="en-NZ"/>
        </w:rPr>
      </w:pPr>
    </w:p>
    <w:p w:rsidR="00051999" w:rsidRPr="00051999" w:rsidRDefault="00AE664D" w:rsidP="00051999">
      <w:pPr>
        <w:pStyle w:val="TOC2"/>
        <w:tabs>
          <w:tab w:val="right" w:leader="dot" w:pos="9061"/>
        </w:tabs>
        <w:spacing w:before="60" w:after="60"/>
        <w:rPr>
          <w:rFonts w:ascii="Calibri" w:eastAsiaTheme="minorEastAsia" w:hAnsi="Calibri" w:cstheme="minorBidi"/>
          <w:b/>
          <w:smallCaps w:val="0"/>
          <w:noProof/>
          <w:sz w:val="22"/>
          <w:szCs w:val="22"/>
          <w:lang w:eastAsia="en-NZ"/>
        </w:rPr>
      </w:pPr>
      <w:hyperlink w:anchor="_Toc448499767" w:history="1">
        <w:r w:rsidR="00051999" w:rsidRPr="00051999">
          <w:rPr>
            <w:rStyle w:val="Hyperlink"/>
            <w:rFonts w:ascii="Calibri" w:hAnsi="Calibri"/>
            <w:b/>
            <w:noProof/>
            <w:sz w:val="22"/>
          </w:rPr>
          <w:t>Executive summary</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_Toc448499767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4</w:t>
        </w:r>
        <w:r w:rsidR="00051999" w:rsidRPr="00051999">
          <w:rPr>
            <w:rFonts w:ascii="Calibri" w:hAnsi="Calibri"/>
            <w:b/>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smallCaps w:val="0"/>
          <w:noProof/>
          <w:sz w:val="22"/>
          <w:szCs w:val="22"/>
          <w:lang w:eastAsia="en-NZ"/>
        </w:rPr>
      </w:pPr>
      <w:hyperlink w:anchor="_Toc448499768" w:history="1">
        <w:r w:rsidR="00051999" w:rsidRPr="00051999">
          <w:rPr>
            <w:rStyle w:val="Hyperlink"/>
            <w:rFonts w:ascii="Calibri" w:hAnsi="Calibri"/>
            <w:b/>
            <w:noProof/>
            <w:sz w:val="22"/>
          </w:rPr>
          <w:t>Status quo and problem definition</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_Toc448499768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6</w:t>
        </w:r>
        <w:r w:rsidR="00051999" w:rsidRPr="00051999">
          <w:rPr>
            <w:rFonts w:ascii="Calibri" w:hAnsi="Calibri"/>
            <w:b/>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69" w:history="1">
        <w:r w:rsidR="00051999" w:rsidRPr="00051999">
          <w:rPr>
            <w:rStyle w:val="Hyperlink"/>
            <w:rFonts w:ascii="Calibri" w:hAnsi="Calibri"/>
            <w:i w:val="0"/>
            <w:noProof/>
            <w:sz w:val="22"/>
          </w:rPr>
          <w:t>Background</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_Toc448499769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6</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0" w:history="1">
        <w:r w:rsidR="00051999" w:rsidRPr="00051999">
          <w:rPr>
            <w:rStyle w:val="Hyperlink"/>
            <w:rFonts w:ascii="Calibri" w:hAnsi="Calibri"/>
            <w:i w:val="0"/>
            <w:noProof/>
            <w:sz w:val="22"/>
          </w:rPr>
          <w:t>Status quo: the current venue payments regime</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_Toc448499770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7</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1" w:history="1">
        <w:r w:rsidR="00051999" w:rsidRPr="00051999">
          <w:rPr>
            <w:rStyle w:val="Hyperlink"/>
            <w:rFonts w:ascii="Calibri" w:hAnsi="Calibri"/>
            <w:i w:val="0"/>
            <w:noProof/>
            <w:sz w:val="22"/>
          </w:rPr>
          <w:t>Problem definition</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_Toc448499771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8</w:t>
        </w:r>
        <w:r w:rsidR="00051999" w:rsidRPr="00051999">
          <w:rPr>
            <w:rFonts w:ascii="Calibri" w:hAnsi="Calibri"/>
            <w:i w:val="0"/>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smallCaps w:val="0"/>
          <w:noProof/>
          <w:sz w:val="22"/>
          <w:szCs w:val="22"/>
          <w:lang w:eastAsia="en-NZ"/>
        </w:rPr>
      </w:pPr>
      <w:hyperlink w:anchor="_Toc448499772" w:history="1">
        <w:r w:rsidR="00051999" w:rsidRPr="00051999">
          <w:rPr>
            <w:rStyle w:val="Hyperlink"/>
            <w:rFonts w:ascii="Calibri" w:hAnsi="Calibri"/>
            <w:b/>
            <w:noProof/>
            <w:sz w:val="22"/>
          </w:rPr>
          <w:t>Objectives</w:t>
        </w:r>
        <w:r w:rsidR="00051999" w:rsidRPr="00051999">
          <w:rPr>
            <w:rFonts w:ascii="Calibri" w:hAnsi="Calibri"/>
            <w:noProof/>
            <w:webHidden/>
            <w:sz w:val="22"/>
          </w:rPr>
          <w:tab/>
        </w:r>
        <w:r w:rsidR="00051999" w:rsidRPr="00051999">
          <w:rPr>
            <w:rFonts w:ascii="Calibri" w:hAnsi="Calibri"/>
            <w:noProof/>
            <w:webHidden/>
            <w:sz w:val="22"/>
          </w:rPr>
          <w:fldChar w:fldCharType="begin"/>
        </w:r>
        <w:r w:rsidR="00051999" w:rsidRPr="00051999">
          <w:rPr>
            <w:rFonts w:ascii="Calibri" w:hAnsi="Calibri"/>
            <w:noProof/>
            <w:webHidden/>
            <w:sz w:val="22"/>
          </w:rPr>
          <w:instrText xml:space="preserve"> PAGEREF _Toc448499772 \h </w:instrText>
        </w:r>
        <w:r w:rsidR="00051999" w:rsidRPr="00051999">
          <w:rPr>
            <w:rFonts w:ascii="Calibri" w:hAnsi="Calibri"/>
            <w:noProof/>
            <w:webHidden/>
            <w:sz w:val="22"/>
          </w:rPr>
        </w:r>
        <w:r w:rsidR="00051999" w:rsidRPr="00051999">
          <w:rPr>
            <w:rFonts w:ascii="Calibri" w:hAnsi="Calibri"/>
            <w:noProof/>
            <w:webHidden/>
            <w:sz w:val="22"/>
          </w:rPr>
          <w:fldChar w:fldCharType="separate"/>
        </w:r>
        <w:r w:rsidR="003727CD">
          <w:rPr>
            <w:rFonts w:ascii="Calibri" w:hAnsi="Calibri"/>
            <w:noProof/>
            <w:webHidden/>
            <w:sz w:val="22"/>
          </w:rPr>
          <w:t>10</w:t>
        </w:r>
        <w:r w:rsidR="00051999" w:rsidRPr="00051999">
          <w:rPr>
            <w:rFonts w:ascii="Calibri" w:hAnsi="Calibri"/>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3" w:history="1">
        <w:r w:rsidR="00051999" w:rsidRPr="00051999">
          <w:rPr>
            <w:rStyle w:val="Hyperlink"/>
            <w:rFonts w:ascii="Calibri" w:hAnsi="Calibri"/>
            <w:i w:val="0"/>
            <w:noProof/>
            <w:sz w:val="22"/>
          </w:rPr>
          <w:t>Policy objectives</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_Toc448499773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10</w:t>
        </w:r>
        <w:r w:rsidR="00051999" w:rsidRPr="00051999">
          <w:rPr>
            <w:rFonts w:ascii="Calibri" w:hAnsi="Calibri"/>
            <w:i w:val="0"/>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b/>
          <w:smallCaps w:val="0"/>
          <w:noProof/>
          <w:sz w:val="22"/>
          <w:szCs w:val="22"/>
          <w:lang w:eastAsia="en-NZ"/>
        </w:rPr>
      </w:pPr>
      <w:hyperlink w:anchor="_Toc448499774" w:history="1">
        <w:r w:rsidR="00051999" w:rsidRPr="00051999">
          <w:rPr>
            <w:rStyle w:val="Hyperlink"/>
            <w:rFonts w:ascii="Calibri" w:hAnsi="Calibri"/>
            <w:b/>
            <w:noProof/>
            <w:sz w:val="22"/>
          </w:rPr>
          <w:t>Options and impact analysis</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_Toc448499774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10</w:t>
        </w:r>
        <w:r w:rsidR="00051999" w:rsidRPr="00051999">
          <w:rPr>
            <w:rFonts w:ascii="Calibri" w:hAnsi="Calibri"/>
            <w:b/>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5" w:history="1">
        <w:r w:rsidR="00051999" w:rsidRPr="00051999">
          <w:rPr>
            <w:rStyle w:val="Hyperlink"/>
            <w:rFonts w:ascii="Calibri" w:hAnsi="Calibri"/>
            <w:i w:val="0"/>
            <w:noProof/>
            <w:sz w:val="22"/>
          </w:rPr>
          <w:t>Key decision points</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_Toc448499775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10</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6" w:history="1">
        <w:r w:rsidR="00051999" w:rsidRPr="00051999">
          <w:rPr>
            <w:rStyle w:val="Hyperlink"/>
            <w:rFonts w:ascii="Calibri" w:hAnsi="Calibri"/>
            <w:i w:val="0"/>
            <w:noProof/>
            <w:sz w:val="22"/>
          </w:rPr>
          <w:t>Impact analysis</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_Toc448499776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12</w:t>
        </w:r>
        <w:r w:rsidR="00051999" w:rsidRPr="00051999">
          <w:rPr>
            <w:rFonts w:ascii="Calibri" w:hAnsi="Calibri"/>
            <w:i w:val="0"/>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b/>
          <w:smallCaps w:val="0"/>
          <w:noProof/>
          <w:sz w:val="22"/>
          <w:szCs w:val="22"/>
          <w:lang w:eastAsia="en-NZ"/>
        </w:rPr>
      </w:pPr>
      <w:hyperlink w:anchor="_Toc448499777" w:history="1">
        <w:r w:rsidR="00051999" w:rsidRPr="00051999">
          <w:rPr>
            <w:rStyle w:val="Hyperlink"/>
            <w:rFonts w:ascii="Calibri" w:hAnsi="Calibri"/>
            <w:b/>
            <w:noProof/>
            <w:sz w:val="22"/>
          </w:rPr>
          <w:t>Consultation</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_Toc448499777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24</w:t>
        </w:r>
        <w:r w:rsidR="00051999" w:rsidRPr="00051999">
          <w:rPr>
            <w:rFonts w:ascii="Calibri" w:hAnsi="Calibri"/>
            <w:b/>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8" w:history="1">
        <w:r w:rsidR="00051999" w:rsidRPr="00051999">
          <w:rPr>
            <w:rStyle w:val="Hyperlink"/>
            <w:rFonts w:ascii="Calibri" w:hAnsi="Calibri"/>
            <w:i w:val="0"/>
            <w:noProof/>
            <w:sz w:val="22"/>
          </w:rPr>
          <w:t>2013/14 public consultation</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_Toc448499778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24</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79" w:history="1">
        <w:r w:rsidR="00051999" w:rsidRPr="00051999">
          <w:rPr>
            <w:rStyle w:val="Hyperlink"/>
            <w:rFonts w:ascii="Calibri" w:hAnsi="Calibri"/>
            <w:i w:val="0"/>
            <w:noProof/>
            <w:sz w:val="22"/>
          </w:rPr>
          <w:t>Working Group</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_Toc448499779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25</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80" w:history="1">
        <w:r w:rsidR="00051999" w:rsidRPr="00051999">
          <w:rPr>
            <w:rStyle w:val="Hyperlink"/>
            <w:rFonts w:ascii="Calibri" w:hAnsi="Calibri"/>
            <w:i w:val="0"/>
            <w:noProof/>
            <w:sz w:val="22"/>
          </w:rPr>
          <w:t>Consultation with Crown agencies</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_Toc448499780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27</w:t>
        </w:r>
        <w:r w:rsidR="00051999" w:rsidRPr="00051999">
          <w:rPr>
            <w:rFonts w:ascii="Calibri" w:hAnsi="Calibri"/>
            <w:i w:val="0"/>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smallCaps w:val="0"/>
          <w:noProof/>
          <w:sz w:val="22"/>
          <w:szCs w:val="22"/>
          <w:lang w:eastAsia="en-NZ"/>
        </w:rPr>
      </w:pPr>
      <w:hyperlink w:anchor="_Toc448499781" w:history="1">
        <w:r w:rsidR="00051999" w:rsidRPr="00051999">
          <w:rPr>
            <w:rStyle w:val="Hyperlink"/>
            <w:rFonts w:ascii="Calibri" w:hAnsi="Calibri"/>
            <w:b/>
            <w:noProof/>
            <w:sz w:val="22"/>
          </w:rPr>
          <w:t>Conclusion</w:t>
        </w:r>
        <w:r w:rsidR="00051999" w:rsidRPr="00051999">
          <w:rPr>
            <w:rFonts w:ascii="Calibri" w:hAnsi="Calibri"/>
            <w:noProof/>
            <w:webHidden/>
            <w:sz w:val="22"/>
          </w:rPr>
          <w:tab/>
        </w:r>
        <w:r w:rsidR="00051999" w:rsidRPr="00051999">
          <w:rPr>
            <w:rFonts w:ascii="Calibri" w:hAnsi="Calibri"/>
            <w:noProof/>
            <w:webHidden/>
            <w:sz w:val="22"/>
          </w:rPr>
          <w:fldChar w:fldCharType="begin"/>
        </w:r>
        <w:r w:rsidR="00051999" w:rsidRPr="00051999">
          <w:rPr>
            <w:rFonts w:ascii="Calibri" w:hAnsi="Calibri"/>
            <w:noProof/>
            <w:webHidden/>
            <w:sz w:val="22"/>
          </w:rPr>
          <w:instrText xml:space="preserve"> PAGEREF _Toc448499781 \h </w:instrText>
        </w:r>
        <w:r w:rsidR="00051999" w:rsidRPr="00051999">
          <w:rPr>
            <w:rFonts w:ascii="Calibri" w:hAnsi="Calibri"/>
            <w:noProof/>
            <w:webHidden/>
            <w:sz w:val="22"/>
          </w:rPr>
        </w:r>
        <w:r w:rsidR="00051999" w:rsidRPr="00051999">
          <w:rPr>
            <w:rFonts w:ascii="Calibri" w:hAnsi="Calibri"/>
            <w:noProof/>
            <w:webHidden/>
            <w:sz w:val="22"/>
          </w:rPr>
          <w:fldChar w:fldCharType="separate"/>
        </w:r>
        <w:r w:rsidR="003727CD">
          <w:rPr>
            <w:rFonts w:ascii="Calibri" w:hAnsi="Calibri"/>
            <w:noProof/>
            <w:webHidden/>
            <w:sz w:val="22"/>
          </w:rPr>
          <w:t>27</w:t>
        </w:r>
        <w:r w:rsidR="00051999" w:rsidRPr="00051999">
          <w:rPr>
            <w:rFonts w:ascii="Calibri" w:hAnsi="Calibri"/>
            <w:noProof/>
            <w:webHidden/>
            <w:sz w:val="22"/>
          </w:rPr>
          <w:fldChar w:fldCharType="end"/>
        </w:r>
      </w:hyperlink>
    </w:p>
    <w:p w:rsidR="00051999" w:rsidRPr="00051999" w:rsidRDefault="00AE664D" w:rsidP="00051999">
      <w:pPr>
        <w:pStyle w:val="TOC2"/>
        <w:tabs>
          <w:tab w:val="right" w:leader="dot" w:pos="9061"/>
        </w:tabs>
        <w:spacing w:before="60" w:after="60"/>
        <w:rPr>
          <w:rFonts w:ascii="Calibri" w:eastAsiaTheme="minorEastAsia" w:hAnsi="Calibri" w:cstheme="minorBidi"/>
          <w:b/>
          <w:smallCaps w:val="0"/>
          <w:noProof/>
          <w:sz w:val="22"/>
          <w:szCs w:val="22"/>
          <w:lang w:eastAsia="en-NZ"/>
        </w:rPr>
      </w:pPr>
      <w:hyperlink w:anchor="_Toc448499782" w:history="1">
        <w:r w:rsidR="00051999" w:rsidRPr="00051999">
          <w:rPr>
            <w:rStyle w:val="Hyperlink"/>
            <w:rFonts w:ascii="Calibri" w:hAnsi="Calibri"/>
            <w:b/>
            <w:noProof/>
            <w:sz w:val="22"/>
          </w:rPr>
          <w:t>Implementation</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_Toc448499782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28</w:t>
        </w:r>
        <w:r w:rsidR="00051999" w:rsidRPr="00051999">
          <w:rPr>
            <w:rFonts w:ascii="Calibri" w:hAnsi="Calibri"/>
            <w:b/>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83" w:history="1">
        <w:r w:rsidR="00051999" w:rsidRPr="00051999">
          <w:rPr>
            <w:rStyle w:val="Hyperlink"/>
            <w:rFonts w:ascii="Calibri" w:hAnsi="Calibri"/>
            <w:i w:val="0"/>
            <w:noProof/>
            <w:sz w:val="22"/>
          </w:rPr>
          <w:t>Implementation issues</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_Toc448499783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28</w:t>
        </w:r>
        <w:r w:rsidR="00051999" w:rsidRPr="00051999">
          <w:rPr>
            <w:rFonts w:ascii="Calibri" w:hAnsi="Calibri"/>
            <w:i w:val="0"/>
            <w:noProof/>
            <w:webHidden/>
            <w:sz w:val="22"/>
          </w:rPr>
          <w:fldChar w:fldCharType="end"/>
        </w:r>
      </w:hyperlink>
    </w:p>
    <w:p w:rsidR="00051999" w:rsidRPr="00051999" w:rsidRDefault="00AE664D" w:rsidP="00051999">
      <w:pPr>
        <w:pStyle w:val="TOC3"/>
        <w:tabs>
          <w:tab w:val="right" w:leader="dot" w:pos="9061"/>
        </w:tabs>
        <w:spacing w:before="60" w:after="60"/>
        <w:rPr>
          <w:rFonts w:ascii="Calibri" w:eastAsiaTheme="minorEastAsia" w:hAnsi="Calibri" w:cstheme="minorBidi"/>
          <w:i w:val="0"/>
          <w:iCs w:val="0"/>
          <w:noProof/>
          <w:sz w:val="22"/>
          <w:szCs w:val="22"/>
          <w:lang w:eastAsia="en-NZ"/>
        </w:rPr>
      </w:pPr>
      <w:hyperlink w:anchor="_Toc448499784" w:history="1">
        <w:r w:rsidR="00051999" w:rsidRPr="00051999">
          <w:rPr>
            <w:rStyle w:val="Hyperlink"/>
            <w:rFonts w:ascii="Calibri" w:hAnsi="Calibri"/>
            <w:i w:val="0"/>
            <w:noProof/>
            <w:sz w:val="22"/>
          </w:rPr>
          <w:t>Implementation timeframe</w:t>
        </w:r>
        <w:r w:rsidR="00051999" w:rsidRPr="00051999">
          <w:rPr>
            <w:rFonts w:ascii="Calibri" w:hAnsi="Calibri"/>
            <w:i w:val="0"/>
            <w:noProof/>
            <w:webHidden/>
            <w:sz w:val="22"/>
          </w:rPr>
          <w:tab/>
        </w:r>
        <w:r w:rsidR="00051999" w:rsidRPr="00051999">
          <w:rPr>
            <w:rFonts w:ascii="Calibri" w:hAnsi="Calibri"/>
            <w:i w:val="0"/>
            <w:noProof/>
            <w:webHidden/>
            <w:sz w:val="22"/>
          </w:rPr>
          <w:fldChar w:fldCharType="begin"/>
        </w:r>
        <w:r w:rsidR="00051999" w:rsidRPr="00051999">
          <w:rPr>
            <w:rFonts w:ascii="Calibri" w:hAnsi="Calibri"/>
            <w:i w:val="0"/>
            <w:noProof/>
            <w:webHidden/>
            <w:sz w:val="22"/>
          </w:rPr>
          <w:instrText xml:space="preserve"> PAGEREF _Toc448499784 \h </w:instrText>
        </w:r>
        <w:r w:rsidR="00051999" w:rsidRPr="00051999">
          <w:rPr>
            <w:rFonts w:ascii="Calibri" w:hAnsi="Calibri"/>
            <w:i w:val="0"/>
            <w:noProof/>
            <w:webHidden/>
            <w:sz w:val="22"/>
          </w:rPr>
        </w:r>
        <w:r w:rsidR="00051999" w:rsidRPr="00051999">
          <w:rPr>
            <w:rFonts w:ascii="Calibri" w:hAnsi="Calibri"/>
            <w:i w:val="0"/>
            <w:noProof/>
            <w:webHidden/>
            <w:sz w:val="22"/>
          </w:rPr>
          <w:fldChar w:fldCharType="separate"/>
        </w:r>
        <w:r w:rsidR="003727CD">
          <w:rPr>
            <w:rFonts w:ascii="Calibri" w:hAnsi="Calibri"/>
            <w:i w:val="0"/>
            <w:noProof/>
            <w:webHidden/>
            <w:sz w:val="22"/>
          </w:rPr>
          <w:t>30</w:t>
        </w:r>
        <w:r w:rsidR="00051999" w:rsidRPr="00051999">
          <w:rPr>
            <w:rFonts w:ascii="Calibri" w:hAnsi="Calibri"/>
            <w:i w:val="0"/>
            <w:noProof/>
            <w:webHidden/>
            <w:sz w:val="22"/>
          </w:rPr>
          <w:fldChar w:fldCharType="end"/>
        </w:r>
      </w:hyperlink>
    </w:p>
    <w:p w:rsidR="00051999" w:rsidRPr="00051999" w:rsidRDefault="00AE664D" w:rsidP="00051999">
      <w:pPr>
        <w:pStyle w:val="TOC2"/>
        <w:tabs>
          <w:tab w:val="right" w:leader="dot" w:pos="9061"/>
        </w:tabs>
        <w:spacing w:before="60" w:after="60"/>
        <w:rPr>
          <w:rFonts w:eastAsiaTheme="minorEastAsia" w:cstheme="minorBidi"/>
          <w:b/>
          <w:smallCaps w:val="0"/>
          <w:noProof/>
          <w:sz w:val="22"/>
          <w:szCs w:val="22"/>
          <w:lang w:eastAsia="en-NZ"/>
        </w:rPr>
      </w:pPr>
      <w:hyperlink w:anchor="_Toc448499785" w:history="1">
        <w:r w:rsidR="00051999" w:rsidRPr="00051999">
          <w:rPr>
            <w:rStyle w:val="Hyperlink"/>
            <w:rFonts w:ascii="Calibri" w:hAnsi="Calibri"/>
            <w:b/>
            <w:noProof/>
            <w:sz w:val="22"/>
          </w:rPr>
          <w:t>Monitoring, evaluation and review</w:t>
        </w:r>
        <w:r w:rsidR="00051999" w:rsidRPr="00051999">
          <w:rPr>
            <w:rFonts w:ascii="Calibri" w:hAnsi="Calibri"/>
            <w:b/>
            <w:noProof/>
            <w:webHidden/>
            <w:sz w:val="22"/>
          </w:rPr>
          <w:tab/>
        </w:r>
        <w:r w:rsidR="00051999" w:rsidRPr="00051999">
          <w:rPr>
            <w:rFonts w:ascii="Calibri" w:hAnsi="Calibri"/>
            <w:b/>
            <w:noProof/>
            <w:webHidden/>
            <w:sz w:val="22"/>
          </w:rPr>
          <w:fldChar w:fldCharType="begin"/>
        </w:r>
        <w:r w:rsidR="00051999" w:rsidRPr="00051999">
          <w:rPr>
            <w:rFonts w:ascii="Calibri" w:hAnsi="Calibri"/>
            <w:b/>
            <w:noProof/>
            <w:webHidden/>
            <w:sz w:val="22"/>
          </w:rPr>
          <w:instrText xml:space="preserve"> PAGEREF _Toc448499785 \h </w:instrText>
        </w:r>
        <w:r w:rsidR="00051999" w:rsidRPr="00051999">
          <w:rPr>
            <w:rFonts w:ascii="Calibri" w:hAnsi="Calibri"/>
            <w:b/>
            <w:noProof/>
            <w:webHidden/>
            <w:sz w:val="22"/>
          </w:rPr>
        </w:r>
        <w:r w:rsidR="00051999" w:rsidRPr="00051999">
          <w:rPr>
            <w:rFonts w:ascii="Calibri" w:hAnsi="Calibri"/>
            <w:b/>
            <w:noProof/>
            <w:webHidden/>
            <w:sz w:val="22"/>
          </w:rPr>
          <w:fldChar w:fldCharType="separate"/>
        </w:r>
        <w:r w:rsidR="003727CD">
          <w:rPr>
            <w:rFonts w:ascii="Calibri" w:hAnsi="Calibri"/>
            <w:b/>
            <w:noProof/>
            <w:webHidden/>
            <w:sz w:val="22"/>
          </w:rPr>
          <w:t>31</w:t>
        </w:r>
        <w:r w:rsidR="00051999" w:rsidRPr="00051999">
          <w:rPr>
            <w:rFonts w:ascii="Calibri" w:hAnsi="Calibri"/>
            <w:b/>
            <w:noProof/>
            <w:webHidden/>
            <w:sz w:val="22"/>
          </w:rPr>
          <w:fldChar w:fldCharType="end"/>
        </w:r>
      </w:hyperlink>
    </w:p>
    <w:p w:rsidR="008D5CD9" w:rsidRPr="00590CA9" w:rsidRDefault="00051999" w:rsidP="00A17642">
      <w:pPr>
        <w:pStyle w:val="Heading2"/>
        <w:spacing w:before="0" w:after="0"/>
      </w:pPr>
      <w:r>
        <w:rPr>
          <w:rStyle w:val="Hyperlink"/>
          <w:rFonts w:asciiTheme="minorHAnsi" w:hAnsiTheme="minorHAnsi" w:cs="Times New Roman"/>
          <w:b w:val="0"/>
          <w:bCs w:val="0"/>
          <w:iCs w:val="0"/>
          <w:caps/>
          <w:color w:val="0000FF"/>
          <w:sz w:val="20"/>
          <w:szCs w:val="24"/>
        </w:rPr>
        <w:fldChar w:fldCharType="end"/>
      </w:r>
      <w:r w:rsidR="002C557A" w:rsidRPr="00590CA9">
        <w:br w:type="page"/>
      </w:r>
      <w:bookmarkStart w:id="61" w:name="_Toc448240236"/>
      <w:bookmarkStart w:id="62" w:name="_Toc448499767"/>
      <w:r w:rsidR="007276CD" w:rsidRPr="00590CA9">
        <w:lastRenderedPageBreak/>
        <w:t>Executive s</w:t>
      </w:r>
      <w:r w:rsidR="008D5CD9" w:rsidRPr="00590CA9">
        <w:t>ummary</w:t>
      </w:r>
      <w:bookmarkEnd w:id="48"/>
      <w:bookmarkEnd w:id="49"/>
      <w:bookmarkEnd w:id="50"/>
      <w:bookmarkEnd w:id="51"/>
      <w:bookmarkEnd w:id="52"/>
      <w:bookmarkEnd w:id="53"/>
      <w:bookmarkEnd w:id="61"/>
      <w:bookmarkEnd w:id="62"/>
    </w:p>
    <w:p w:rsidR="00E416AA" w:rsidRDefault="00E416AA" w:rsidP="00B10F7B">
      <w:pPr>
        <w:pStyle w:val="Numberedpara3level1"/>
      </w:pPr>
      <w:bookmarkStart w:id="63" w:name="_Toc362368104"/>
      <w:bookmarkStart w:id="64" w:name="_Toc362434945"/>
      <w:bookmarkStart w:id="65" w:name="_Toc362589331"/>
      <w:bookmarkStart w:id="66" w:name="_Toc362619031"/>
      <w:bookmarkStart w:id="67" w:name="_Toc362940595"/>
      <w:bookmarkStart w:id="68" w:name="_Toc363047103"/>
      <w:r>
        <w:t>Gambling in New Zealand is regulated by the Gambling Act 2003.</w:t>
      </w:r>
      <w:r w:rsidR="00B10F7B">
        <w:t xml:space="preserve"> </w:t>
      </w:r>
      <w:r>
        <w:t>Class 4 gambling is gambling on gaming machines (‘pokies’) in pubs, hotels and clubs.</w:t>
      </w:r>
      <w:r w:rsidR="00B10F7B">
        <w:t xml:space="preserve"> </w:t>
      </w:r>
      <w:r>
        <w:t xml:space="preserve">The </w:t>
      </w:r>
      <w:r w:rsidR="00B00614">
        <w:t xml:space="preserve">current </w:t>
      </w:r>
      <w:r>
        <w:t xml:space="preserve">regime for </w:t>
      </w:r>
      <w:r w:rsidR="00795BB3">
        <w:t>paying</w:t>
      </w:r>
      <w:r>
        <w:t xml:space="preserve"> </w:t>
      </w:r>
      <w:r w:rsidR="00240398">
        <w:t xml:space="preserve">non-club </w:t>
      </w:r>
      <w:r>
        <w:t xml:space="preserve">venues for hosting gaming machines and </w:t>
      </w:r>
      <w:r w:rsidR="00DF2C35">
        <w:t xml:space="preserve">the </w:t>
      </w:r>
      <w:r>
        <w:t xml:space="preserve">costs associated with meeting regulatory obligations </w:t>
      </w:r>
      <w:r w:rsidR="00240398">
        <w:t>will</w:t>
      </w:r>
      <w:r w:rsidR="00B00614">
        <w:t xml:space="preserve"> no longer </w:t>
      </w:r>
      <w:r w:rsidR="00240398">
        <w:t xml:space="preserve">be </w:t>
      </w:r>
      <w:r w:rsidR="00B00614">
        <w:t xml:space="preserve">supported by law </w:t>
      </w:r>
      <w:r w:rsidR="00D873E5">
        <w:t>from</w:t>
      </w:r>
      <w:r>
        <w:t xml:space="preserve"> 21 October 2016.</w:t>
      </w:r>
    </w:p>
    <w:p w:rsidR="00E349F3" w:rsidRDefault="00E349F3" w:rsidP="00B10F7B">
      <w:pPr>
        <w:pStyle w:val="Numberedpara3level1"/>
      </w:pPr>
      <w:r>
        <w:t>Non-club venues currently receive a capped payment for hosting machines that reimburses them for the ‘actual, reasonable and necessary’</w:t>
      </w:r>
      <w:r w:rsidR="0047491A">
        <w:t xml:space="preserve"> (ARN)</w:t>
      </w:r>
      <w:r>
        <w:t xml:space="preserve"> costs of operating class 4 gambling. These costs are limited depending on the number of machines and the number of hours that the venue operates each week.</w:t>
      </w:r>
    </w:p>
    <w:p w:rsidR="009453C0" w:rsidRDefault="00E416AA" w:rsidP="00B10F7B">
      <w:pPr>
        <w:pStyle w:val="Numberedpara3level1"/>
      </w:pPr>
      <w:r>
        <w:t xml:space="preserve">In consultation with the class 4 gambling sector, the Department recommends </w:t>
      </w:r>
      <w:r w:rsidR="00E349F3">
        <w:t>that venues be paid</w:t>
      </w:r>
      <w:r w:rsidR="0074413F">
        <w:t xml:space="preserve"> on the basis of a commission</w:t>
      </w:r>
      <w:r>
        <w:t>, calculated on a percentage of turnover.</w:t>
      </w:r>
      <w:r w:rsidR="00B10F7B">
        <w:t xml:space="preserve"> </w:t>
      </w:r>
    </w:p>
    <w:p w:rsidR="00E416AA" w:rsidRPr="0074413F" w:rsidRDefault="00E416AA" w:rsidP="00B10F7B">
      <w:pPr>
        <w:pStyle w:val="Numberedpara3level1"/>
      </w:pPr>
      <w:r>
        <w:t xml:space="preserve">The total </w:t>
      </w:r>
      <w:r w:rsidRPr="0074413F">
        <w:t xml:space="preserve">funding pool for venue </w:t>
      </w:r>
      <w:r w:rsidRPr="0074413F">
        <w:rPr>
          <w:rFonts w:asciiTheme="minorHAnsi" w:hAnsiTheme="minorHAnsi"/>
        </w:rPr>
        <w:t xml:space="preserve">payments </w:t>
      </w:r>
      <w:r w:rsidR="00B861D7" w:rsidRPr="0074413F">
        <w:rPr>
          <w:rFonts w:asciiTheme="minorHAnsi" w:hAnsiTheme="minorHAnsi"/>
        </w:rPr>
        <w:t xml:space="preserve">remains the same as the status quo, i.e </w:t>
      </w:r>
      <w:r w:rsidRPr="0074413F">
        <w:rPr>
          <w:rFonts w:asciiTheme="minorHAnsi" w:hAnsiTheme="minorHAnsi"/>
        </w:rPr>
        <w:t>16</w:t>
      </w:r>
      <w:r w:rsidR="00D61242" w:rsidRPr="0074413F">
        <w:rPr>
          <w:rFonts w:asciiTheme="minorHAnsi" w:hAnsiTheme="minorHAnsi"/>
        </w:rPr>
        <w:t xml:space="preserve"> per cent</w:t>
      </w:r>
      <w:r w:rsidRPr="0074413F">
        <w:rPr>
          <w:rFonts w:asciiTheme="minorHAnsi" w:hAnsiTheme="minorHAnsi"/>
        </w:rPr>
        <w:t xml:space="preserve"> of gaming machine proceeds (GMP)</w:t>
      </w:r>
      <w:r w:rsidR="0074413F" w:rsidRPr="0074413F">
        <w:rPr>
          <w:rStyle w:val="FootnoteReference"/>
          <w:rFonts w:asciiTheme="minorHAnsi" w:hAnsiTheme="minorHAnsi"/>
          <w:szCs w:val="16"/>
        </w:rPr>
        <w:footnoteReference w:id="3"/>
      </w:r>
      <w:r w:rsidRPr="0074413F">
        <w:rPr>
          <w:rFonts w:asciiTheme="minorHAnsi" w:hAnsiTheme="minorHAnsi"/>
        </w:rPr>
        <w:t>, excluding</w:t>
      </w:r>
      <w:r w:rsidRPr="0074413F">
        <w:t xml:space="preserve"> GST.</w:t>
      </w:r>
    </w:p>
    <w:p w:rsidR="00E416AA" w:rsidRDefault="00E416AA" w:rsidP="00B10F7B">
      <w:pPr>
        <w:pStyle w:val="Numberedpara3level1"/>
      </w:pPr>
      <w:r>
        <w:t>Analysis of actual data shows that a commission rate of 1.28</w:t>
      </w:r>
      <w:r w:rsidR="00D61242">
        <w:t xml:space="preserve"> per cent</w:t>
      </w:r>
      <w:r>
        <w:t xml:space="preserve"> is the approximate equivalent of 16</w:t>
      </w:r>
      <w:r w:rsidR="00D61242">
        <w:t xml:space="preserve"> per cent</w:t>
      </w:r>
      <w:r>
        <w:t xml:space="preserve"> GMP, excluding GST.</w:t>
      </w:r>
      <w:r w:rsidR="00B10F7B">
        <w:t xml:space="preserve"> </w:t>
      </w:r>
      <w:r>
        <w:t xml:space="preserve">Under the new regime, each venue will be paid </w:t>
      </w:r>
      <w:r w:rsidR="00B861D7">
        <w:t xml:space="preserve">up to </w:t>
      </w:r>
      <w:r>
        <w:t>1.28</w:t>
      </w:r>
      <w:r w:rsidR="00D61242">
        <w:t xml:space="preserve"> per cent</w:t>
      </w:r>
      <w:r>
        <w:t xml:space="preserve"> of </w:t>
      </w:r>
      <w:r w:rsidR="00B861D7">
        <w:t xml:space="preserve">weekly </w:t>
      </w:r>
      <w:r>
        <w:t xml:space="preserve">turnover. </w:t>
      </w:r>
      <w:r w:rsidR="00B10F7B">
        <w:t>Under the regulation making powers, total p</w:t>
      </w:r>
      <w:r>
        <w:t xml:space="preserve">ayments </w:t>
      </w:r>
      <w:r w:rsidR="00B10F7B">
        <w:t xml:space="preserve">may not </w:t>
      </w:r>
      <w:r>
        <w:t>exceed 16</w:t>
      </w:r>
      <w:r w:rsidR="00D61242">
        <w:t xml:space="preserve"> per cent</w:t>
      </w:r>
      <w:r>
        <w:t xml:space="preserve"> of GMP</w:t>
      </w:r>
      <w:r w:rsidR="00EB1CDC">
        <w:t xml:space="preserve"> (</w:t>
      </w:r>
      <w:r>
        <w:t>excluding GST</w:t>
      </w:r>
      <w:r w:rsidR="00EB1CDC">
        <w:t>)</w:t>
      </w:r>
      <w:r>
        <w:t xml:space="preserve"> on an annual basis</w:t>
      </w:r>
      <w:r w:rsidR="00B861D7">
        <w:t xml:space="preserve"> per venue</w:t>
      </w:r>
      <w:r>
        <w:t>.</w:t>
      </w:r>
    </w:p>
    <w:p w:rsidR="00B861D7" w:rsidRDefault="00B861D7" w:rsidP="00B10F7B">
      <w:pPr>
        <w:pStyle w:val="Numberedpara3level1"/>
      </w:pPr>
      <w:r>
        <w:t>The Department, in conjunction with the working group, will prepare guidance material for the sector on how to manage venue payments to avoid breaching the 16</w:t>
      </w:r>
      <w:r w:rsidR="00D61242">
        <w:t xml:space="preserve"> per cent</w:t>
      </w:r>
      <w:r>
        <w:t xml:space="preserve"> GMP annual limit. These will be communicated to the sector prior to enactment. </w:t>
      </w:r>
    </w:p>
    <w:p w:rsidR="00AD0BAA" w:rsidRDefault="00AD0BAA" w:rsidP="00B10F7B">
      <w:pPr>
        <w:pStyle w:val="Numberedpara3level1"/>
      </w:pPr>
      <w:r>
        <w:t xml:space="preserve">Some venue operators will receive more money under the new regime compared to the status quo, and some will receive less. Overall, </w:t>
      </w:r>
      <w:r w:rsidR="00EB1CDC">
        <w:t>modelling indicates</w:t>
      </w:r>
      <w:r>
        <w:t xml:space="preserve"> that 55</w:t>
      </w:r>
      <w:r w:rsidR="00EB1CDC">
        <w:t xml:space="preserve"> per cent</w:t>
      </w:r>
      <w:r>
        <w:t xml:space="preserve"> of venues will be better off.</w:t>
      </w:r>
    </w:p>
    <w:p w:rsidR="00AD0BAA" w:rsidRDefault="00AD0BAA" w:rsidP="00B10F7B">
      <w:pPr>
        <w:pStyle w:val="Numberedpara3level1"/>
      </w:pPr>
      <w:r>
        <w:t>Any losses may be offset by savings achieved through reduced operating hours and staff costs, the decommissioning of redundant machines, and reduced administration and compliance costs.</w:t>
      </w:r>
    </w:p>
    <w:p w:rsidR="004575DB" w:rsidRDefault="00B861D7" w:rsidP="00B10F7B">
      <w:pPr>
        <w:pStyle w:val="Numberedpara3level1"/>
      </w:pPr>
      <w:r>
        <w:t>The new regime will</w:t>
      </w:r>
      <w:r w:rsidR="00795BB3">
        <w:t xml:space="preserve"> significantly simplify compliance, reducing administrative time and costs for societies and venues, thereby maximising returns to the community</w:t>
      </w:r>
      <w:r w:rsidR="004575DB">
        <w:t>.</w:t>
      </w:r>
      <w:r w:rsidR="00795BB3" w:rsidRPr="00795BB3">
        <w:t xml:space="preserve"> </w:t>
      </w:r>
      <w:r w:rsidR="00EB1CDC">
        <w:t>The Department</w:t>
      </w:r>
      <w:r w:rsidR="00795BB3">
        <w:t>, as regulator of the gambling sector, will also have significantly reduced monitoring and auditing costs.</w:t>
      </w:r>
    </w:p>
    <w:p w:rsidR="009453C0" w:rsidRDefault="00482930" w:rsidP="004575DB">
      <w:pPr>
        <w:pStyle w:val="Numberedpara3level1"/>
        <w:keepLines/>
        <w:ind w:right="-143"/>
      </w:pPr>
      <w:r>
        <w:t>Problem gambling is not expected to increase with the new regime. However, t</w:t>
      </w:r>
      <w:r w:rsidR="00795BB3">
        <w:t xml:space="preserve">he recommended regime will affect the behaviour of venue operators and their staff. </w:t>
      </w:r>
      <w:r w:rsidR="00EB1CDC">
        <w:t>There is a potential risk that i</w:t>
      </w:r>
      <w:r w:rsidR="00795BB3">
        <w:t>t may incentivise venue operators to diminish or ignore their responsibilities with respect to the prevention and minimisation of gambling harm. Conversely</w:t>
      </w:r>
      <w:r w:rsidR="00EB1CDC">
        <w:t>,</w:t>
      </w:r>
      <w:r w:rsidR="00795BB3">
        <w:t xml:space="preserve"> venues will be adequately funded to provide sufficient resources to increase supervision and better manage the gaming environment</w:t>
      </w:r>
      <w:r w:rsidR="00EB1CDC">
        <w:t xml:space="preserve"> compared to the status quo</w:t>
      </w:r>
      <w:r w:rsidR="00FC4059">
        <w:t xml:space="preserve"> which limits payments for undertaking harm minimisation tasks</w:t>
      </w:r>
      <w:r w:rsidR="00795BB3">
        <w:t xml:space="preserve">. </w:t>
      </w:r>
    </w:p>
    <w:p w:rsidR="004575DB" w:rsidRDefault="009453C0" w:rsidP="009453C0">
      <w:pPr>
        <w:pStyle w:val="Numberedpara3level1"/>
        <w:keepLines/>
        <w:ind w:right="-143"/>
      </w:pPr>
      <w:r>
        <w:lastRenderedPageBreak/>
        <w:t>The Department</w:t>
      </w:r>
      <w:r w:rsidR="000D0A59">
        <w:t xml:space="preserve"> will monitor the new regime for any impacts on problem gambling by </w:t>
      </w:r>
      <w:r>
        <w:t>access</w:t>
      </w:r>
      <w:r w:rsidR="000D0A59">
        <w:t>ing</w:t>
      </w:r>
      <w:r>
        <w:t xml:space="preserve"> Ministry of Health information about the number of class 4 gamblers who seek and access problem gambling ser</w:t>
      </w:r>
      <w:r w:rsidR="000D0A59">
        <w:t>vices.</w:t>
      </w:r>
    </w:p>
    <w:p w:rsidR="00B861D7" w:rsidRDefault="00B861D7" w:rsidP="00B10F7B">
      <w:pPr>
        <w:pStyle w:val="Numberedpara3level1"/>
      </w:pPr>
      <w:r>
        <w:t xml:space="preserve">The proposed regime has been developed through a collaborative process and will be ‘championed’ by members of the class 4 </w:t>
      </w:r>
      <w:r w:rsidR="00B6488C">
        <w:t>working group</w:t>
      </w:r>
      <w:r>
        <w:t xml:space="preserve"> (e.g. the Hospitality Association and societies involved in design of the preferred option), which may significantly assist the wider sector to easily transition to the new regime.</w:t>
      </w:r>
    </w:p>
    <w:p w:rsidR="00D6403C" w:rsidRPr="007569A8" w:rsidRDefault="00D6403C" w:rsidP="00D6403C">
      <w:pPr>
        <w:pStyle w:val="Numberedpara3level1"/>
      </w:pPr>
      <w:r>
        <w:t>The development of the new regime has been undertaken at the same time as Cabinet has been considering a broader review of the class 4 gambling sector to determine if it remains fit-for-purpose. A new regime will be successful if it contributes to the outcome sought for the wider class 4 gambling reform, which is for class 4 gambling to have a low cost, risk based regulatory framework that ensures sustainable fund-raising for the community.</w:t>
      </w:r>
    </w:p>
    <w:p w:rsidR="007569A8" w:rsidRDefault="007569A8" w:rsidP="007569A8">
      <w:pPr>
        <w:pStyle w:val="Numberedpara3level1"/>
        <w:numPr>
          <w:ilvl w:val="0"/>
          <w:numId w:val="0"/>
        </w:numPr>
      </w:pPr>
    </w:p>
    <w:p w:rsidR="006F1A7C" w:rsidRDefault="00C80B03" w:rsidP="00235A5C">
      <w:pPr>
        <w:pStyle w:val="Heading2"/>
      </w:pPr>
      <w:r w:rsidRPr="00590CA9">
        <w:br w:type="page"/>
      </w:r>
      <w:bookmarkStart w:id="69" w:name="_Toc448240237"/>
      <w:bookmarkStart w:id="70" w:name="_Toc448499768"/>
      <w:bookmarkEnd w:id="63"/>
      <w:bookmarkEnd w:id="64"/>
      <w:bookmarkEnd w:id="65"/>
      <w:bookmarkEnd w:id="66"/>
      <w:bookmarkEnd w:id="67"/>
      <w:bookmarkEnd w:id="68"/>
      <w:r w:rsidR="007C5203">
        <w:lastRenderedPageBreak/>
        <w:t>Status quo and problem definition</w:t>
      </w:r>
      <w:bookmarkEnd w:id="69"/>
      <w:bookmarkEnd w:id="70"/>
    </w:p>
    <w:p w:rsidR="001A0E60" w:rsidRDefault="002741F7" w:rsidP="001A0E60">
      <w:pPr>
        <w:pStyle w:val="Heading3"/>
      </w:pPr>
      <w:bookmarkStart w:id="71" w:name="_Toc448240238"/>
      <w:bookmarkStart w:id="72" w:name="_Toc448499769"/>
      <w:r>
        <w:t>Background</w:t>
      </w:r>
      <w:bookmarkEnd w:id="71"/>
      <w:bookmarkEnd w:id="72"/>
    </w:p>
    <w:p w:rsidR="001A0E60" w:rsidRDefault="001A0E60" w:rsidP="00465D4B">
      <w:pPr>
        <w:pStyle w:val="Numberedpara3level1"/>
      </w:pPr>
      <w:r>
        <w:t>Gambling in New Zealand is a regulated by the Gambling Act 2003</w:t>
      </w:r>
      <w:r w:rsidR="00855EB5">
        <w:t xml:space="preserve"> (Gambling Act)</w:t>
      </w:r>
      <w:r>
        <w:t xml:space="preserve">. </w:t>
      </w:r>
      <w:r w:rsidR="00D24AF1">
        <w:t xml:space="preserve">The </w:t>
      </w:r>
      <w:r w:rsidR="005405B6">
        <w:t>main</w:t>
      </w:r>
      <w:r>
        <w:t xml:space="preserve"> purpose</w:t>
      </w:r>
      <w:r w:rsidR="005405B6">
        <w:t>s</w:t>
      </w:r>
      <w:r>
        <w:t xml:space="preserve"> of the Gambling Act </w:t>
      </w:r>
      <w:r w:rsidR="00D24AF1">
        <w:t>include</w:t>
      </w:r>
      <w:r>
        <w:t>:</w:t>
      </w:r>
    </w:p>
    <w:p w:rsidR="001A0E60" w:rsidRDefault="005405B6" w:rsidP="00465D4B">
      <w:pPr>
        <w:pStyle w:val="Numberedpara3level211"/>
        <w:ind w:left="1134" w:hanging="567"/>
      </w:pPr>
      <w:r>
        <w:t>e</w:t>
      </w:r>
      <w:r w:rsidR="001A0E60">
        <w:t>nsur</w:t>
      </w:r>
      <w:r w:rsidR="00D24AF1">
        <w:t>ing</w:t>
      </w:r>
      <w:r w:rsidR="001A0E60">
        <w:t xml:space="preserve"> that money from gambling benefits the community</w:t>
      </w:r>
      <w:r w:rsidR="007D525B">
        <w:t>;</w:t>
      </w:r>
    </w:p>
    <w:p w:rsidR="007D525B" w:rsidRDefault="005405B6" w:rsidP="00465D4B">
      <w:pPr>
        <w:pStyle w:val="Numberedpara3level211"/>
        <w:ind w:left="1134" w:hanging="567"/>
      </w:pPr>
      <w:r>
        <w:t>c</w:t>
      </w:r>
      <w:r w:rsidR="001A0E60">
        <w:t>ontro</w:t>
      </w:r>
      <w:r w:rsidR="00D24AF1">
        <w:t>l</w:t>
      </w:r>
      <w:r w:rsidR="001A0E60">
        <w:t>l</w:t>
      </w:r>
      <w:r w:rsidR="00D24AF1">
        <w:t>ing</w:t>
      </w:r>
      <w:r w:rsidR="001A0E60">
        <w:t xml:space="preserve"> the growth of gambling</w:t>
      </w:r>
      <w:r w:rsidR="007D525B">
        <w:t>; and</w:t>
      </w:r>
    </w:p>
    <w:p w:rsidR="001A0E60" w:rsidRDefault="005405B6" w:rsidP="00465D4B">
      <w:pPr>
        <w:pStyle w:val="Numberedpara3level211"/>
        <w:ind w:left="1134" w:hanging="567"/>
      </w:pPr>
      <w:r>
        <w:t>prevent</w:t>
      </w:r>
      <w:r w:rsidR="00D24AF1">
        <w:t>ing</w:t>
      </w:r>
      <w:r>
        <w:t xml:space="preserve"> and minimis</w:t>
      </w:r>
      <w:r w:rsidR="00D24AF1">
        <w:t>ing</w:t>
      </w:r>
      <w:r>
        <w:t xml:space="preserve"> harm caused by gambling.</w:t>
      </w:r>
    </w:p>
    <w:p w:rsidR="001A0E60" w:rsidRDefault="005405B6" w:rsidP="00465D4B">
      <w:pPr>
        <w:pStyle w:val="Numberedpara3level1"/>
      </w:pPr>
      <w:r>
        <w:t>There are six classes of gambling</w:t>
      </w:r>
      <w:r w:rsidR="009F0AC7">
        <w:t xml:space="preserve"> described in the Gambling Act. Class </w:t>
      </w:r>
      <w:r w:rsidR="009F0AC7" w:rsidRPr="00493AFC">
        <w:t>4</w:t>
      </w:r>
      <w:r w:rsidR="00F116B3">
        <w:t xml:space="preserve"> </w:t>
      </w:r>
      <w:r w:rsidR="009F0AC7" w:rsidRPr="00493AFC">
        <w:t>gambling</w:t>
      </w:r>
      <w:r w:rsidR="009F0AC7">
        <w:t xml:space="preserve"> is</w:t>
      </w:r>
      <w:r w:rsidR="009F0AC7" w:rsidRPr="00493AFC">
        <w:t xml:space="preserve"> gambling involving the operation of gaming machines, also known as ‘pokies</w:t>
      </w:r>
      <w:r w:rsidR="00F116B3">
        <w:t>’</w:t>
      </w:r>
      <w:r w:rsidR="009F0AC7">
        <w:t xml:space="preserve">. </w:t>
      </w:r>
    </w:p>
    <w:p w:rsidR="007D525B" w:rsidRDefault="007D525B" w:rsidP="00465D4B">
      <w:pPr>
        <w:pStyle w:val="Numberedpara3level1"/>
      </w:pPr>
      <w:r w:rsidRPr="007D525B">
        <w:t>This Regulatory Impact Statement</w:t>
      </w:r>
      <w:r w:rsidR="00C42542">
        <w:t xml:space="preserve"> (RIS)</w:t>
      </w:r>
      <w:r w:rsidRPr="007D525B">
        <w:t xml:space="preserve"> provides an analysis of </w:t>
      </w:r>
      <w:r w:rsidR="00D24AF1">
        <w:t xml:space="preserve">options for </w:t>
      </w:r>
      <w:r>
        <w:t>how</w:t>
      </w:r>
      <w:r w:rsidR="00F116B3">
        <w:t xml:space="preserve"> </w:t>
      </w:r>
      <w:r w:rsidR="001C006A">
        <w:t xml:space="preserve">class </w:t>
      </w:r>
      <w:r w:rsidRPr="007D525B">
        <w:t xml:space="preserve">4 </w:t>
      </w:r>
      <w:r w:rsidR="00B94848">
        <w:t xml:space="preserve">commercial </w:t>
      </w:r>
      <w:r w:rsidRPr="007D525B">
        <w:t>gambling</w:t>
      </w:r>
      <w:r>
        <w:t xml:space="preserve"> venues </w:t>
      </w:r>
      <w:r w:rsidR="00212F9F">
        <w:t xml:space="preserve">could be </w:t>
      </w:r>
      <w:r>
        <w:t>paid</w:t>
      </w:r>
      <w:r w:rsidR="00D24AF1">
        <w:t xml:space="preserve"> for the costs of hosting gaming machines in their premises</w:t>
      </w:r>
      <w:r w:rsidR="00677EF7">
        <w:t xml:space="preserve"> </w:t>
      </w:r>
      <w:r w:rsidR="00B94848">
        <w:t>compared to the status quo</w:t>
      </w:r>
      <w:r w:rsidR="00D24AF1">
        <w:t>.</w:t>
      </w:r>
      <w:r>
        <w:t xml:space="preserve"> </w:t>
      </w:r>
      <w:r w:rsidR="00B94848">
        <w:t>Not-for-profit corporate societies are responsible for paying venues for these costs.</w:t>
      </w:r>
    </w:p>
    <w:p w:rsidR="007D525B" w:rsidRDefault="00212F9F" w:rsidP="00465D4B">
      <w:pPr>
        <w:pStyle w:val="Numberedpara3level1"/>
      </w:pPr>
      <w:r>
        <w:t xml:space="preserve">The analysis </w:t>
      </w:r>
      <w:r w:rsidR="007D525B" w:rsidRPr="001F06A3">
        <w:rPr>
          <w:u w:val="single"/>
        </w:rPr>
        <w:t>excludes</w:t>
      </w:r>
      <w:r w:rsidR="007D525B" w:rsidRPr="001F06A3">
        <w:t xml:space="preserve"> </w:t>
      </w:r>
      <w:r w:rsidR="001C006A">
        <w:t>class 4</w:t>
      </w:r>
      <w:r>
        <w:t xml:space="preserve"> gambling</w:t>
      </w:r>
      <w:r w:rsidR="007D525B" w:rsidRPr="007D525B">
        <w:t xml:space="preserve"> in non-commercial clubs (e.g. RSAs, Cosmopolitan Clubs, Workingman Clubs and other sports clubs)</w:t>
      </w:r>
      <w:r w:rsidR="00967334">
        <w:t xml:space="preserve"> </w:t>
      </w:r>
      <w:r w:rsidR="007D525B" w:rsidRPr="007D525B">
        <w:t xml:space="preserve">because they operate gaming machines in their own premises and therefore do not pay </w:t>
      </w:r>
      <w:r w:rsidR="00B94848">
        <w:t xml:space="preserve">venue </w:t>
      </w:r>
      <w:r w:rsidR="007D525B" w:rsidRPr="007D525B">
        <w:t>costs</w:t>
      </w:r>
      <w:r w:rsidR="00B94848">
        <w:t xml:space="preserve"> to an external party</w:t>
      </w:r>
      <w:r w:rsidR="007D525B" w:rsidRPr="007D525B">
        <w:t xml:space="preserve">. </w:t>
      </w:r>
    </w:p>
    <w:p w:rsidR="00842457" w:rsidRDefault="00842457" w:rsidP="00842457">
      <w:pPr>
        <w:pStyle w:val="Heading4"/>
      </w:pPr>
      <w:r>
        <w:t xml:space="preserve">Size of the </w:t>
      </w:r>
      <w:r w:rsidR="001C006A">
        <w:t>class 4</w:t>
      </w:r>
      <w:r>
        <w:t xml:space="preserve"> sector</w:t>
      </w:r>
    </w:p>
    <w:p w:rsidR="00677EF7" w:rsidRDefault="009636D9" w:rsidP="007D525B">
      <w:pPr>
        <w:pStyle w:val="Numberedpara3level1"/>
      </w:pPr>
      <w:r>
        <w:t xml:space="preserve">As at 31 December 2015, there were 966 (non-club) venues (hosting a total of 13,016 gaming machines) and 38 </w:t>
      </w:r>
      <w:r w:rsidR="005442AB">
        <w:t xml:space="preserve">corporate </w:t>
      </w:r>
      <w:r>
        <w:t>societies in operation.</w:t>
      </w:r>
      <w:r w:rsidR="00244DD3">
        <w:t xml:space="preserve"> Venues are categorised </w:t>
      </w:r>
      <w:r w:rsidR="007B42C4">
        <w:t>from</w:t>
      </w:r>
      <w:r w:rsidR="00244DD3">
        <w:t xml:space="preserve"> A+ to E based on their annual </w:t>
      </w:r>
      <w:r w:rsidR="00967334" w:rsidRPr="00235540">
        <w:rPr>
          <w:b/>
        </w:rPr>
        <w:t>gaming machine proceeds (</w:t>
      </w:r>
      <w:r w:rsidR="00244DD3" w:rsidRPr="00235540">
        <w:rPr>
          <w:b/>
        </w:rPr>
        <w:t>GMP</w:t>
      </w:r>
      <w:r w:rsidR="00967334" w:rsidRPr="00235540">
        <w:rPr>
          <w:b/>
        </w:rPr>
        <w:t>)</w:t>
      </w:r>
      <w:r w:rsidR="00967334">
        <w:t xml:space="preserve"> –</w:t>
      </w:r>
      <w:r w:rsidR="00235540">
        <w:t xml:space="preserve"> which is defined </w:t>
      </w:r>
      <w:r w:rsidR="00C42542">
        <w:t xml:space="preserve">in this RIS </w:t>
      </w:r>
      <w:r w:rsidR="00235540">
        <w:t>as turnover less prizes and exclusive of GST. The categories are s</w:t>
      </w:r>
      <w:r w:rsidR="00244DD3">
        <w:t xml:space="preserve">hown in </w:t>
      </w:r>
      <w:r w:rsidR="00967334">
        <w:t>T</w:t>
      </w:r>
      <w:r w:rsidR="00244DD3">
        <w:t>able</w:t>
      </w:r>
      <w:r w:rsidR="00967334">
        <w:t xml:space="preserve"> 1</w:t>
      </w:r>
      <w:r w:rsidR="00244DD3">
        <w:t xml:space="preserve"> below.</w:t>
      </w:r>
    </w:p>
    <w:p w:rsidR="00C422EA" w:rsidRPr="00C422EA" w:rsidRDefault="00C422EA" w:rsidP="00C124CD">
      <w:pPr>
        <w:pStyle w:val="Numberedpara3level1"/>
        <w:numPr>
          <w:ilvl w:val="0"/>
          <w:numId w:val="0"/>
        </w:numPr>
        <w:rPr>
          <w:b/>
          <w:i/>
        </w:rPr>
      </w:pPr>
      <w:r>
        <w:rPr>
          <w:b/>
          <w:i/>
        </w:rPr>
        <w:t xml:space="preserve">Table </w:t>
      </w:r>
      <w:r w:rsidR="00967334">
        <w:rPr>
          <w:b/>
          <w:i/>
        </w:rPr>
        <w:t>1</w:t>
      </w:r>
      <w:r>
        <w:rPr>
          <w:b/>
          <w:i/>
        </w:rPr>
        <w:t>: Categorisation of venues based on GMP</w:t>
      </w:r>
    </w:p>
    <w:tbl>
      <w:tblPr>
        <w:tblW w:w="5000" w:type="pct"/>
        <w:tblLook w:val="04A0" w:firstRow="1" w:lastRow="0" w:firstColumn="1" w:lastColumn="0" w:noHBand="0" w:noVBand="1"/>
      </w:tblPr>
      <w:tblGrid>
        <w:gridCol w:w="1692"/>
        <w:gridCol w:w="4699"/>
        <w:gridCol w:w="2896"/>
      </w:tblGrid>
      <w:tr w:rsidR="00C422EA" w:rsidRPr="00C422EA" w:rsidTr="00C124CD">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0B5369"/>
            <w:noWrap/>
            <w:vAlign w:val="bottom"/>
          </w:tcPr>
          <w:p w:rsidR="00C422EA" w:rsidRPr="007B0A9C" w:rsidRDefault="00C422EA" w:rsidP="00C124CD">
            <w:pPr>
              <w:spacing w:before="60" w:after="60"/>
              <w:rPr>
                <w:rFonts w:eastAsia="Times New Roman"/>
                <w:b/>
                <w:color w:val="FFFFFF"/>
                <w:sz w:val="22"/>
                <w:szCs w:val="22"/>
                <w:lang w:eastAsia="en-NZ"/>
              </w:rPr>
            </w:pPr>
            <w:r w:rsidRPr="007B0A9C">
              <w:rPr>
                <w:rFonts w:eastAsia="Times New Roman"/>
                <w:b/>
                <w:color w:val="FFFFFF"/>
                <w:sz w:val="22"/>
                <w:szCs w:val="22"/>
                <w:lang w:eastAsia="en-NZ"/>
              </w:rPr>
              <w:t>Category</w:t>
            </w:r>
          </w:p>
        </w:tc>
        <w:tc>
          <w:tcPr>
            <w:tcW w:w="4089" w:type="pct"/>
            <w:gridSpan w:val="2"/>
            <w:tcBorders>
              <w:top w:val="single" w:sz="4" w:space="0" w:color="auto"/>
              <w:left w:val="nil"/>
              <w:bottom w:val="single" w:sz="4" w:space="0" w:color="auto"/>
              <w:right w:val="single" w:sz="4" w:space="0" w:color="auto"/>
            </w:tcBorders>
            <w:shd w:val="clear" w:color="auto" w:fill="0B5369"/>
            <w:noWrap/>
            <w:vAlign w:val="bottom"/>
          </w:tcPr>
          <w:p w:rsidR="00C422EA" w:rsidRPr="007B0A9C" w:rsidRDefault="00967334" w:rsidP="00C124CD">
            <w:pPr>
              <w:spacing w:before="60" w:after="60"/>
              <w:jc w:val="center"/>
              <w:rPr>
                <w:rFonts w:eastAsia="Times New Roman"/>
                <w:b/>
                <w:color w:val="FFFFFF"/>
                <w:sz w:val="22"/>
                <w:szCs w:val="22"/>
                <w:lang w:eastAsia="en-NZ"/>
              </w:rPr>
            </w:pPr>
            <w:r>
              <w:rPr>
                <w:rFonts w:eastAsia="Times New Roman"/>
                <w:b/>
                <w:color w:val="FFFFFF"/>
                <w:sz w:val="22"/>
                <w:szCs w:val="22"/>
                <w:lang w:eastAsia="en-NZ"/>
              </w:rPr>
              <w:t xml:space="preserve">Annual </w:t>
            </w:r>
            <w:r w:rsidR="00C422EA" w:rsidRPr="007B0A9C">
              <w:rPr>
                <w:rFonts w:eastAsia="Times New Roman"/>
                <w:b/>
                <w:color w:val="FFFFFF"/>
                <w:sz w:val="22"/>
                <w:szCs w:val="22"/>
                <w:lang w:eastAsia="en-NZ"/>
              </w:rPr>
              <w:t>GMP</w:t>
            </w:r>
            <w:r w:rsidR="00B94848">
              <w:rPr>
                <w:rFonts w:eastAsia="Times New Roman"/>
                <w:b/>
                <w:color w:val="FFFFFF"/>
                <w:sz w:val="22"/>
                <w:szCs w:val="22"/>
                <w:lang w:eastAsia="en-NZ"/>
              </w:rPr>
              <w:t xml:space="preserve"> </w:t>
            </w:r>
          </w:p>
        </w:tc>
      </w:tr>
      <w:tr w:rsidR="00C422EA" w:rsidRPr="00C422EA" w:rsidTr="00C124CD">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A+</w:t>
            </w:r>
          </w:p>
        </w:tc>
        <w:tc>
          <w:tcPr>
            <w:tcW w:w="2530" w:type="pct"/>
            <w:tcBorders>
              <w:top w:val="single" w:sz="4" w:space="0" w:color="auto"/>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More than</w:t>
            </w:r>
          </w:p>
        </w:tc>
        <w:tc>
          <w:tcPr>
            <w:tcW w:w="1559" w:type="pct"/>
            <w:tcBorders>
              <w:top w:val="single" w:sz="4" w:space="0" w:color="auto"/>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$2,000,000</w:t>
            </w:r>
          </w:p>
        </w:tc>
      </w:tr>
      <w:tr w:rsidR="00C422EA" w:rsidRPr="00C422EA" w:rsidTr="00C124CD">
        <w:trPr>
          <w:trHeight w:val="300"/>
        </w:trPr>
        <w:tc>
          <w:tcPr>
            <w:tcW w:w="911" w:type="pct"/>
            <w:tcBorders>
              <w:top w:val="nil"/>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A</w:t>
            </w:r>
          </w:p>
        </w:tc>
        <w:tc>
          <w:tcPr>
            <w:tcW w:w="2530"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From $1,000,000 to</w:t>
            </w:r>
          </w:p>
        </w:tc>
        <w:tc>
          <w:tcPr>
            <w:tcW w:w="1559"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$1,999,999</w:t>
            </w:r>
          </w:p>
        </w:tc>
      </w:tr>
      <w:tr w:rsidR="00C422EA" w:rsidRPr="00C422EA" w:rsidTr="00C124CD">
        <w:trPr>
          <w:trHeight w:val="300"/>
        </w:trPr>
        <w:tc>
          <w:tcPr>
            <w:tcW w:w="911" w:type="pct"/>
            <w:tcBorders>
              <w:top w:val="nil"/>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B</w:t>
            </w:r>
          </w:p>
        </w:tc>
        <w:tc>
          <w:tcPr>
            <w:tcW w:w="2530"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From $500,001 to</w:t>
            </w:r>
          </w:p>
        </w:tc>
        <w:tc>
          <w:tcPr>
            <w:tcW w:w="1559"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$999,999</w:t>
            </w:r>
          </w:p>
        </w:tc>
      </w:tr>
      <w:tr w:rsidR="00C422EA" w:rsidRPr="00C422EA" w:rsidTr="00C124CD">
        <w:trPr>
          <w:trHeight w:val="300"/>
        </w:trPr>
        <w:tc>
          <w:tcPr>
            <w:tcW w:w="911" w:type="pct"/>
            <w:tcBorders>
              <w:top w:val="nil"/>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C</w:t>
            </w:r>
          </w:p>
        </w:tc>
        <w:tc>
          <w:tcPr>
            <w:tcW w:w="2530"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From $200,001 to</w:t>
            </w:r>
          </w:p>
        </w:tc>
        <w:tc>
          <w:tcPr>
            <w:tcW w:w="1559"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$500,000</w:t>
            </w:r>
          </w:p>
        </w:tc>
      </w:tr>
      <w:tr w:rsidR="00C422EA" w:rsidRPr="00C422EA" w:rsidTr="00C124CD">
        <w:trPr>
          <w:trHeight w:val="300"/>
        </w:trPr>
        <w:tc>
          <w:tcPr>
            <w:tcW w:w="911" w:type="pct"/>
            <w:tcBorders>
              <w:top w:val="nil"/>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D</w:t>
            </w:r>
          </w:p>
        </w:tc>
        <w:tc>
          <w:tcPr>
            <w:tcW w:w="2530"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Less than</w:t>
            </w:r>
          </w:p>
        </w:tc>
        <w:tc>
          <w:tcPr>
            <w:tcW w:w="1559"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$200,000</w:t>
            </w:r>
          </w:p>
        </w:tc>
      </w:tr>
      <w:tr w:rsidR="00C422EA" w:rsidRPr="00C422EA" w:rsidTr="00C124CD">
        <w:trPr>
          <w:trHeight w:val="300"/>
        </w:trPr>
        <w:tc>
          <w:tcPr>
            <w:tcW w:w="911" w:type="pct"/>
            <w:tcBorders>
              <w:top w:val="nil"/>
              <w:left w:val="single" w:sz="4" w:space="0" w:color="auto"/>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rPr>
                <w:rFonts w:eastAsia="Times New Roman"/>
                <w:sz w:val="22"/>
                <w:szCs w:val="22"/>
                <w:lang w:eastAsia="en-NZ"/>
              </w:rPr>
            </w:pPr>
            <w:r w:rsidRPr="00C422EA">
              <w:rPr>
                <w:rFonts w:eastAsia="Times New Roman"/>
                <w:sz w:val="22"/>
                <w:szCs w:val="22"/>
                <w:lang w:eastAsia="en-NZ"/>
              </w:rPr>
              <w:t>E</w:t>
            </w:r>
          </w:p>
        </w:tc>
        <w:tc>
          <w:tcPr>
            <w:tcW w:w="2530"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Less than</w:t>
            </w:r>
          </w:p>
        </w:tc>
        <w:tc>
          <w:tcPr>
            <w:tcW w:w="1559" w:type="pct"/>
            <w:tcBorders>
              <w:top w:val="nil"/>
              <w:left w:val="nil"/>
              <w:bottom w:val="single" w:sz="4" w:space="0" w:color="auto"/>
              <w:right w:val="single" w:sz="4" w:space="0" w:color="auto"/>
            </w:tcBorders>
            <w:shd w:val="clear" w:color="auto" w:fill="auto"/>
            <w:noWrap/>
            <w:vAlign w:val="bottom"/>
            <w:hideMark/>
          </w:tcPr>
          <w:p w:rsidR="00C422EA" w:rsidRPr="00C422EA" w:rsidRDefault="00C422EA" w:rsidP="00C124CD">
            <w:pPr>
              <w:spacing w:before="60" w:after="60"/>
              <w:jc w:val="center"/>
              <w:rPr>
                <w:rFonts w:eastAsia="Times New Roman"/>
                <w:sz w:val="22"/>
                <w:szCs w:val="22"/>
                <w:lang w:eastAsia="en-NZ"/>
              </w:rPr>
            </w:pPr>
            <w:r w:rsidRPr="00C422EA">
              <w:rPr>
                <w:rFonts w:eastAsia="Times New Roman"/>
                <w:sz w:val="22"/>
                <w:szCs w:val="22"/>
                <w:lang w:eastAsia="en-NZ"/>
              </w:rPr>
              <w:t>$100,000</w:t>
            </w:r>
          </w:p>
        </w:tc>
      </w:tr>
    </w:tbl>
    <w:p w:rsidR="00842457" w:rsidRDefault="00842457" w:rsidP="00842457">
      <w:pPr>
        <w:pStyle w:val="Heading4"/>
      </w:pPr>
      <w:r>
        <w:t>Allocation of class 4 gaming machine proceeds</w:t>
      </w:r>
    </w:p>
    <w:p w:rsidR="00842457" w:rsidRDefault="00842457" w:rsidP="00842457">
      <w:pPr>
        <w:pStyle w:val="Numberedpara3level1"/>
      </w:pPr>
      <w:r>
        <w:t xml:space="preserve">Total </w:t>
      </w:r>
      <w:r w:rsidR="001C006A">
        <w:t>class 4</w:t>
      </w:r>
      <w:r>
        <w:t xml:space="preserve"> gaming machine </w:t>
      </w:r>
      <w:r w:rsidRPr="007D525B">
        <w:t xml:space="preserve">proceeds </w:t>
      </w:r>
      <w:r w:rsidR="00EA62DC">
        <w:t>are</w:t>
      </w:r>
      <w:r>
        <w:t xml:space="preserve"> allocated as illustrated in Figure </w:t>
      </w:r>
      <w:r w:rsidR="00111B9D">
        <w:t>1</w:t>
      </w:r>
      <w:r w:rsidR="00F116B3">
        <w:t>.</w:t>
      </w:r>
      <w:r w:rsidR="00111B9D">
        <w:t xml:space="preserve"> The total funding pool available for payments</w:t>
      </w:r>
      <w:r w:rsidR="005F491F">
        <w:t xml:space="preserve"> across all venues</w:t>
      </w:r>
      <w:r w:rsidR="00111B9D">
        <w:t xml:space="preserve"> in the new regime </w:t>
      </w:r>
      <w:r w:rsidR="00C744DB">
        <w:t xml:space="preserve">will </w:t>
      </w:r>
      <w:r w:rsidR="00111B9D">
        <w:t>remain unchanged</w:t>
      </w:r>
      <w:r w:rsidR="008277FB">
        <w:t xml:space="preserve"> (i.e 16</w:t>
      </w:r>
      <w:r w:rsidR="00D61242">
        <w:t xml:space="preserve"> per cent</w:t>
      </w:r>
      <w:r w:rsidR="008277FB">
        <w:t xml:space="preserve"> of </w:t>
      </w:r>
      <w:r w:rsidR="005F491F">
        <w:t xml:space="preserve">GST exclusive </w:t>
      </w:r>
      <w:r w:rsidR="008277FB">
        <w:t>GMP)</w:t>
      </w:r>
      <w:r w:rsidR="0047491A">
        <w:t>, which means that there is no impact on the current allocation model.</w:t>
      </w:r>
    </w:p>
    <w:p w:rsidR="00370DC1" w:rsidRPr="00370DC1" w:rsidRDefault="00111B9D" w:rsidP="00370DC1">
      <w:pPr>
        <w:pStyle w:val="Numberedpara3level1"/>
        <w:numPr>
          <w:ilvl w:val="0"/>
          <w:numId w:val="0"/>
        </w:numPr>
        <w:ind w:left="567"/>
        <w:rPr>
          <w:b/>
          <w:i/>
        </w:rPr>
      </w:pPr>
      <w:r>
        <w:rPr>
          <w:b/>
          <w:i/>
        </w:rPr>
        <w:lastRenderedPageBreak/>
        <w:t>Figure 1</w:t>
      </w:r>
      <w:r w:rsidR="00370DC1" w:rsidRPr="00370DC1">
        <w:rPr>
          <w:b/>
          <w:i/>
        </w:rPr>
        <w:t xml:space="preserve">: Allocation of </w:t>
      </w:r>
      <w:r w:rsidR="00D12914">
        <w:rPr>
          <w:b/>
          <w:i/>
        </w:rPr>
        <w:t>c</w:t>
      </w:r>
      <w:r w:rsidR="00370DC1" w:rsidRPr="00370DC1">
        <w:rPr>
          <w:b/>
          <w:i/>
        </w:rPr>
        <w:t>lass 4 gaming machine proceeds</w:t>
      </w:r>
    </w:p>
    <w:p w:rsidR="00842457" w:rsidRDefault="00BA682D" w:rsidP="00842457">
      <w:pPr>
        <w:ind w:left="567"/>
      </w:pPr>
      <w:r>
        <w:rPr>
          <w:noProof/>
          <w:lang w:eastAsia="en-NZ"/>
        </w:rPr>
        <w:drawing>
          <wp:inline distT="0" distB="0" distL="0" distR="0" wp14:anchorId="59E63CA3" wp14:editId="70B12436">
            <wp:extent cx="4460875" cy="3053080"/>
            <wp:effectExtent l="19050" t="19050" r="1587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0875" cy="3053080"/>
                    </a:xfrm>
                    <a:prstGeom prst="rect">
                      <a:avLst/>
                    </a:prstGeom>
                    <a:noFill/>
                    <a:ln w="6350" cmpd="sng">
                      <a:solidFill>
                        <a:srgbClr val="000000"/>
                      </a:solidFill>
                      <a:miter lim="800000"/>
                      <a:headEnd/>
                      <a:tailEnd/>
                    </a:ln>
                    <a:effectLst/>
                  </pic:spPr>
                </pic:pic>
              </a:graphicData>
            </a:graphic>
          </wp:inline>
        </w:drawing>
      </w:r>
    </w:p>
    <w:p w:rsidR="00DE0BF2" w:rsidRDefault="00DE0BF2" w:rsidP="00DE0BF2">
      <w:pPr>
        <w:pStyle w:val="Heading4"/>
      </w:pPr>
      <w:bookmarkStart w:id="73" w:name="_Toc448240239"/>
      <w:bookmarkStart w:id="74" w:name="_Toc448499770"/>
      <w:r>
        <w:t>Wider class 4 gambling reforms</w:t>
      </w:r>
    </w:p>
    <w:p w:rsidR="00DE0BF2" w:rsidRDefault="00D6403C" w:rsidP="00D6403C">
      <w:pPr>
        <w:pStyle w:val="Numberedpara3level1"/>
        <w:keepLines/>
      </w:pPr>
      <w:r>
        <w:t xml:space="preserve">The analysis has been undertaken at the same time as Cabinet has been considering a broader review of the class 4 gambling sector to determine if it remains fit-for-purpose. The outcome sought is for class 4 gambling to have a low cost, risk based regulatory framework that ensures sustainable fund-raising for the community. </w:t>
      </w:r>
      <w:r w:rsidR="00DE0BF2">
        <w:t>Th</w:t>
      </w:r>
      <w:r>
        <w:t>is</w:t>
      </w:r>
      <w:r w:rsidR="00DE0BF2">
        <w:t xml:space="preserve"> could </w:t>
      </w:r>
      <w:r>
        <w:t xml:space="preserve">lead to </w:t>
      </w:r>
      <w:r w:rsidR="00DE0BF2">
        <w:t xml:space="preserve">reviewing other ways to reduce venue costs and result in further changes in the sector in the future. </w:t>
      </w:r>
    </w:p>
    <w:p w:rsidR="009B22FD" w:rsidRPr="002A68EC" w:rsidRDefault="00203005" w:rsidP="009B22FD">
      <w:pPr>
        <w:pStyle w:val="Heading3"/>
      </w:pPr>
      <w:r>
        <w:t>Status quo: t</w:t>
      </w:r>
      <w:r w:rsidR="009B22FD" w:rsidRPr="002A68EC">
        <w:t>he current venue payment</w:t>
      </w:r>
      <w:r w:rsidR="006B7F2F" w:rsidRPr="002A68EC">
        <w:t>s</w:t>
      </w:r>
      <w:r w:rsidR="009B22FD" w:rsidRPr="002A68EC">
        <w:t xml:space="preserve"> regime</w:t>
      </w:r>
      <w:bookmarkEnd w:id="73"/>
      <w:bookmarkEnd w:id="74"/>
    </w:p>
    <w:p w:rsidR="00CB0009" w:rsidRDefault="006D5DE3" w:rsidP="00CB0009">
      <w:pPr>
        <w:pStyle w:val="Numberedpara3level1"/>
      </w:pPr>
      <w:r>
        <w:t xml:space="preserve">Venues that host gaming machines get paid </w:t>
      </w:r>
      <w:r w:rsidR="00CB0009">
        <w:t xml:space="preserve">a weekly venue payment </w:t>
      </w:r>
      <w:r>
        <w:t xml:space="preserve">to </w:t>
      </w:r>
      <w:r w:rsidR="00CB0009">
        <w:t>recompense them for</w:t>
      </w:r>
      <w:r w:rsidR="00212F9F">
        <w:t xml:space="preserve"> their ‘actual, reasonable and necessary’ costs</w:t>
      </w:r>
      <w:r w:rsidR="00111B9D">
        <w:t xml:space="preserve">, up to certain limits. These costs and </w:t>
      </w:r>
      <w:r w:rsidR="00967334">
        <w:t xml:space="preserve">limits are described in Table </w:t>
      </w:r>
      <w:r w:rsidR="00111B9D">
        <w:t>2</w:t>
      </w:r>
      <w:r w:rsidR="00967334">
        <w:t>.</w:t>
      </w:r>
    </w:p>
    <w:p w:rsidR="006B28EC" w:rsidRDefault="006B28EC" w:rsidP="00C124CD">
      <w:pPr>
        <w:pStyle w:val="Numberedpara3level1"/>
        <w:numPr>
          <w:ilvl w:val="0"/>
          <w:numId w:val="0"/>
        </w:numPr>
        <w:ind w:left="567" w:hanging="567"/>
        <w:rPr>
          <w:b/>
          <w:i/>
        </w:rPr>
      </w:pPr>
      <w:r w:rsidRPr="006B28EC">
        <w:rPr>
          <w:b/>
          <w:i/>
        </w:rPr>
        <w:t xml:space="preserve">Table </w:t>
      </w:r>
      <w:r w:rsidR="00111B9D">
        <w:rPr>
          <w:b/>
          <w:i/>
        </w:rPr>
        <w:t>2</w:t>
      </w:r>
      <w:r w:rsidRPr="006B28EC">
        <w:rPr>
          <w:b/>
          <w:i/>
        </w:rPr>
        <w:t xml:space="preserve">: </w:t>
      </w:r>
      <w:r>
        <w:rPr>
          <w:b/>
          <w:i/>
        </w:rPr>
        <w:t>Cost limits for venue payments under the current regime</w:t>
      </w:r>
    </w:p>
    <w:p w:rsidR="004942F6" w:rsidRPr="004942F6" w:rsidRDefault="004942F6" w:rsidP="00C124CD">
      <w:pPr>
        <w:pStyle w:val="Numberedpara3level1"/>
        <w:numPr>
          <w:ilvl w:val="0"/>
          <w:numId w:val="0"/>
        </w:numPr>
        <w:spacing w:before="0"/>
        <w:ind w:left="567" w:hanging="567"/>
        <w:rPr>
          <w:sz w:val="22"/>
          <w:szCs w:val="22"/>
        </w:rPr>
      </w:pPr>
      <w:r>
        <w:rPr>
          <w:sz w:val="22"/>
          <w:szCs w:val="22"/>
        </w:rPr>
        <w:t xml:space="preserve">Ref: </w:t>
      </w:r>
      <w:r w:rsidRPr="004942F6">
        <w:rPr>
          <w:i/>
          <w:sz w:val="22"/>
          <w:szCs w:val="22"/>
        </w:rPr>
        <w:t xml:space="preserve">New Zealand Gazette, </w:t>
      </w:r>
      <w:r w:rsidRPr="004942F6">
        <w:rPr>
          <w:sz w:val="22"/>
          <w:szCs w:val="22"/>
        </w:rPr>
        <w:t>17/7/2008, No.114, p.3027.</w:t>
      </w:r>
    </w:p>
    <w:tbl>
      <w:tblPr>
        <w:tblW w:w="5000" w:type="pct"/>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726"/>
        <w:gridCol w:w="2714"/>
        <w:gridCol w:w="5847"/>
      </w:tblGrid>
      <w:tr w:rsidR="006B28EC" w:rsidRPr="00370DC1" w:rsidTr="00C124CD">
        <w:trPr>
          <w:cantSplit/>
        </w:trPr>
        <w:tc>
          <w:tcPr>
            <w:tcW w:w="391" w:type="pct"/>
            <w:tcBorders>
              <w:top w:val="single" w:sz="6" w:space="0" w:color="1F546B"/>
              <w:left w:val="single" w:sz="12" w:space="0" w:color="1F546B"/>
              <w:bottom w:val="single" w:sz="12" w:space="0" w:color="1F546B"/>
              <w:right w:val="single" w:sz="6" w:space="0" w:color="FFFFFF"/>
              <w:tl2br w:val="nil"/>
              <w:tr2bl w:val="nil"/>
            </w:tcBorders>
            <w:shd w:val="clear" w:color="auto" w:fill="0B5369"/>
          </w:tcPr>
          <w:p w:rsidR="006B28EC" w:rsidRPr="00370DC1" w:rsidRDefault="006B28EC" w:rsidP="00C124CD">
            <w:pPr>
              <w:spacing w:before="60" w:after="60" w:line="276" w:lineRule="auto"/>
              <w:rPr>
                <w:b/>
                <w:color w:val="FFFFFF"/>
                <w:sz w:val="22"/>
                <w:szCs w:val="22"/>
              </w:rPr>
            </w:pPr>
            <w:r w:rsidRPr="00370DC1">
              <w:rPr>
                <w:b/>
                <w:color w:val="FFFFFF"/>
                <w:sz w:val="22"/>
                <w:szCs w:val="22"/>
              </w:rPr>
              <w:t>Limit</w:t>
            </w:r>
          </w:p>
        </w:tc>
        <w:tc>
          <w:tcPr>
            <w:tcW w:w="1461"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6B28EC" w:rsidRPr="00370DC1" w:rsidRDefault="006B28EC" w:rsidP="00C124CD">
            <w:pPr>
              <w:spacing w:before="60" w:after="60" w:line="276" w:lineRule="auto"/>
              <w:rPr>
                <w:b/>
                <w:color w:val="FFFFFF"/>
                <w:sz w:val="22"/>
                <w:szCs w:val="22"/>
              </w:rPr>
            </w:pPr>
            <w:r w:rsidRPr="00370DC1">
              <w:rPr>
                <w:b/>
                <w:color w:val="FFFFFF"/>
                <w:sz w:val="22"/>
                <w:szCs w:val="22"/>
              </w:rPr>
              <w:t>Description</w:t>
            </w:r>
          </w:p>
        </w:tc>
        <w:tc>
          <w:tcPr>
            <w:tcW w:w="3148" w:type="pct"/>
            <w:tcBorders>
              <w:top w:val="single" w:sz="6" w:space="0" w:color="1F546B"/>
              <w:left w:val="single" w:sz="6" w:space="0" w:color="FFFFFF"/>
              <w:bottom w:val="single" w:sz="12" w:space="0" w:color="1F546B"/>
              <w:right w:val="single" w:sz="12" w:space="0" w:color="1F546B"/>
              <w:tl2br w:val="nil"/>
              <w:tr2bl w:val="nil"/>
            </w:tcBorders>
            <w:shd w:val="clear" w:color="auto" w:fill="0B5369"/>
          </w:tcPr>
          <w:p w:rsidR="006B28EC" w:rsidRPr="00370DC1" w:rsidRDefault="006B28EC" w:rsidP="00C124CD">
            <w:pPr>
              <w:spacing w:before="60" w:after="60" w:line="276" w:lineRule="auto"/>
              <w:rPr>
                <w:b/>
                <w:color w:val="FFFFFF"/>
                <w:sz w:val="22"/>
                <w:szCs w:val="22"/>
              </w:rPr>
            </w:pPr>
            <w:r w:rsidRPr="00370DC1">
              <w:rPr>
                <w:b/>
                <w:color w:val="FFFFFF"/>
                <w:sz w:val="22"/>
                <w:szCs w:val="22"/>
              </w:rPr>
              <w:t>Explanation</w:t>
            </w:r>
          </w:p>
        </w:tc>
      </w:tr>
      <w:tr w:rsidR="006B28EC" w:rsidRPr="00370DC1" w:rsidTr="00C124CD">
        <w:trPr>
          <w:cantSplit/>
        </w:trPr>
        <w:tc>
          <w:tcPr>
            <w:tcW w:w="391" w:type="pct"/>
            <w:shd w:val="clear" w:color="auto" w:fill="auto"/>
          </w:tcPr>
          <w:p w:rsidR="006B28EC" w:rsidRPr="00370DC1" w:rsidRDefault="006B28EC" w:rsidP="00C124CD">
            <w:pPr>
              <w:spacing w:before="60" w:after="60"/>
              <w:rPr>
                <w:sz w:val="22"/>
                <w:szCs w:val="22"/>
              </w:rPr>
            </w:pPr>
            <w:r w:rsidRPr="00370DC1">
              <w:rPr>
                <w:sz w:val="22"/>
                <w:szCs w:val="22"/>
              </w:rPr>
              <w:t>Limit A</w:t>
            </w:r>
          </w:p>
        </w:tc>
        <w:tc>
          <w:tcPr>
            <w:tcW w:w="1461" w:type="pct"/>
            <w:shd w:val="clear" w:color="auto" w:fill="auto"/>
          </w:tcPr>
          <w:p w:rsidR="006B28EC" w:rsidRPr="00370DC1" w:rsidRDefault="006B28EC" w:rsidP="00C124CD">
            <w:pPr>
              <w:spacing w:before="60" w:after="60"/>
              <w:rPr>
                <w:sz w:val="22"/>
                <w:szCs w:val="22"/>
              </w:rPr>
            </w:pPr>
            <w:r w:rsidRPr="00370DC1">
              <w:rPr>
                <w:sz w:val="22"/>
                <w:szCs w:val="22"/>
              </w:rPr>
              <w:t>Hourly Operating Costs (capped at $0.60 per gaming machine per hour)</w:t>
            </w:r>
          </w:p>
        </w:tc>
        <w:tc>
          <w:tcPr>
            <w:tcW w:w="3148" w:type="pct"/>
            <w:shd w:val="clear" w:color="auto" w:fill="auto"/>
          </w:tcPr>
          <w:p w:rsidR="006B28EC" w:rsidRPr="00370DC1" w:rsidRDefault="006B28EC" w:rsidP="0047491A">
            <w:pPr>
              <w:spacing w:before="60" w:after="60"/>
              <w:rPr>
                <w:sz w:val="22"/>
                <w:szCs w:val="22"/>
              </w:rPr>
            </w:pPr>
            <w:r w:rsidRPr="00370DC1">
              <w:rPr>
                <w:sz w:val="22"/>
                <w:szCs w:val="22"/>
              </w:rPr>
              <w:t>These cover the operation of gaming machines while they are available for use by the public. The main components are labour</w:t>
            </w:r>
            <w:r w:rsidR="00B67251">
              <w:rPr>
                <w:sz w:val="22"/>
                <w:szCs w:val="22"/>
              </w:rPr>
              <w:t xml:space="preserve">, </w:t>
            </w:r>
            <w:r w:rsidRPr="00370DC1">
              <w:rPr>
                <w:sz w:val="22"/>
                <w:szCs w:val="22"/>
              </w:rPr>
              <w:t>the performance of common gaming tasks, and electricity</w:t>
            </w:r>
            <w:r w:rsidR="006D257E" w:rsidRPr="00370DC1">
              <w:rPr>
                <w:sz w:val="22"/>
                <w:szCs w:val="22"/>
              </w:rPr>
              <w:t>.</w:t>
            </w:r>
          </w:p>
        </w:tc>
      </w:tr>
      <w:tr w:rsidR="006B28EC" w:rsidRPr="00370DC1" w:rsidTr="00C124CD">
        <w:trPr>
          <w:cantSplit/>
        </w:trPr>
        <w:tc>
          <w:tcPr>
            <w:tcW w:w="391" w:type="pct"/>
            <w:shd w:val="clear" w:color="auto" w:fill="auto"/>
          </w:tcPr>
          <w:p w:rsidR="006B28EC" w:rsidRPr="00370DC1" w:rsidRDefault="006B28EC" w:rsidP="00C124CD">
            <w:pPr>
              <w:spacing w:before="60" w:after="60"/>
              <w:rPr>
                <w:sz w:val="22"/>
                <w:szCs w:val="22"/>
              </w:rPr>
            </w:pPr>
            <w:r w:rsidRPr="00370DC1">
              <w:rPr>
                <w:sz w:val="22"/>
                <w:szCs w:val="22"/>
              </w:rPr>
              <w:t>Limit B</w:t>
            </w:r>
          </w:p>
        </w:tc>
        <w:tc>
          <w:tcPr>
            <w:tcW w:w="1461" w:type="pct"/>
            <w:shd w:val="clear" w:color="auto" w:fill="auto"/>
          </w:tcPr>
          <w:p w:rsidR="006B28EC" w:rsidRPr="00370DC1" w:rsidRDefault="006B28EC" w:rsidP="00C124CD">
            <w:pPr>
              <w:spacing w:before="60" w:after="60"/>
              <w:rPr>
                <w:sz w:val="22"/>
                <w:szCs w:val="22"/>
              </w:rPr>
            </w:pPr>
            <w:r w:rsidRPr="00370DC1">
              <w:rPr>
                <w:sz w:val="22"/>
                <w:szCs w:val="22"/>
              </w:rPr>
              <w:t>Weekly Operating Costs (capped at $75.00 per machine per week)</w:t>
            </w:r>
          </w:p>
        </w:tc>
        <w:tc>
          <w:tcPr>
            <w:tcW w:w="3148" w:type="pct"/>
            <w:shd w:val="clear" w:color="auto" w:fill="auto"/>
          </w:tcPr>
          <w:p w:rsidR="006B28EC" w:rsidRPr="00370DC1" w:rsidRDefault="006B28EC" w:rsidP="00C124CD">
            <w:pPr>
              <w:spacing w:before="60" w:after="60"/>
              <w:rPr>
                <w:sz w:val="22"/>
                <w:szCs w:val="22"/>
              </w:rPr>
            </w:pPr>
            <w:r w:rsidRPr="00370DC1">
              <w:rPr>
                <w:sz w:val="22"/>
                <w:szCs w:val="22"/>
              </w:rPr>
              <w:t>These include costs that typically occur outside operational hours. For example, cash reconciliations and balancing. Other costs covered are rental for use of venue floor space, insurance and interest</w:t>
            </w:r>
            <w:r w:rsidR="006D257E" w:rsidRPr="00370DC1">
              <w:rPr>
                <w:sz w:val="22"/>
                <w:szCs w:val="22"/>
              </w:rPr>
              <w:t>.</w:t>
            </w:r>
          </w:p>
        </w:tc>
      </w:tr>
      <w:tr w:rsidR="006B28EC" w:rsidRPr="00370DC1" w:rsidTr="00C124CD">
        <w:trPr>
          <w:cantSplit/>
        </w:trPr>
        <w:tc>
          <w:tcPr>
            <w:tcW w:w="391" w:type="pct"/>
            <w:shd w:val="clear" w:color="auto" w:fill="auto"/>
          </w:tcPr>
          <w:p w:rsidR="006B28EC" w:rsidRPr="00370DC1" w:rsidRDefault="006B28EC" w:rsidP="00C124CD">
            <w:pPr>
              <w:spacing w:before="60" w:after="60"/>
              <w:rPr>
                <w:sz w:val="22"/>
                <w:szCs w:val="22"/>
              </w:rPr>
            </w:pPr>
            <w:r w:rsidRPr="00370DC1">
              <w:rPr>
                <w:sz w:val="22"/>
                <w:szCs w:val="22"/>
              </w:rPr>
              <w:t>Limit C</w:t>
            </w:r>
          </w:p>
        </w:tc>
        <w:tc>
          <w:tcPr>
            <w:tcW w:w="1461" w:type="pct"/>
            <w:shd w:val="clear" w:color="auto" w:fill="auto"/>
          </w:tcPr>
          <w:p w:rsidR="006B28EC" w:rsidRPr="00370DC1" w:rsidRDefault="006B28EC" w:rsidP="00C124CD">
            <w:pPr>
              <w:spacing w:before="60" w:after="60"/>
              <w:rPr>
                <w:sz w:val="22"/>
                <w:szCs w:val="22"/>
              </w:rPr>
            </w:pPr>
            <w:r w:rsidRPr="00370DC1">
              <w:rPr>
                <w:sz w:val="22"/>
                <w:szCs w:val="22"/>
              </w:rPr>
              <w:t>Venue Operating Costs (capped at $800.00 per week)</w:t>
            </w:r>
          </w:p>
        </w:tc>
        <w:tc>
          <w:tcPr>
            <w:tcW w:w="3148" w:type="pct"/>
            <w:shd w:val="clear" w:color="auto" w:fill="auto"/>
          </w:tcPr>
          <w:p w:rsidR="006B28EC" w:rsidRPr="00370DC1" w:rsidRDefault="006B28EC" w:rsidP="00C124CD">
            <w:pPr>
              <w:spacing w:before="60" w:after="60"/>
              <w:rPr>
                <w:sz w:val="22"/>
                <w:szCs w:val="22"/>
              </w:rPr>
            </w:pPr>
            <w:r w:rsidRPr="00370DC1">
              <w:rPr>
                <w:sz w:val="22"/>
                <w:szCs w:val="22"/>
              </w:rPr>
              <w:t>These include costs not otherwise provided for. For example, security, labour costs such as banking of GMP, cleaning, liaison with the society and the Department, training etc</w:t>
            </w:r>
            <w:r w:rsidR="006D257E" w:rsidRPr="00370DC1">
              <w:rPr>
                <w:sz w:val="22"/>
                <w:szCs w:val="22"/>
              </w:rPr>
              <w:t>.</w:t>
            </w:r>
          </w:p>
        </w:tc>
      </w:tr>
      <w:tr w:rsidR="006B28EC" w:rsidRPr="00370DC1" w:rsidTr="00C124CD">
        <w:trPr>
          <w:cantSplit/>
        </w:trPr>
        <w:tc>
          <w:tcPr>
            <w:tcW w:w="391" w:type="pct"/>
            <w:shd w:val="clear" w:color="auto" w:fill="auto"/>
          </w:tcPr>
          <w:p w:rsidR="006B28EC" w:rsidRPr="00370DC1" w:rsidRDefault="006B28EC" w:rsidP="00C124CD">
            <w:pPr>
              <w:spacing w:before="60" w:after="60"/>
              <w:rPr>
                <w:sz w:val="22"/>
                <w:szCs w:val="22"/>
              </w:rPr>
            </w:pPr>
            <w:r w:rsidRPr="00370DC1">
              <w:rPr>
                <w:sz w:val="22"/>
                <w:szCs w:val="22"/>
              </w:rPr>
              <w:lastRenderedPageBreak/>
              <w:t>Limit D</w:t>
            </w:r>
          </w:p>
        </w:tc>
        <w:tc>
          <w:tcPr>
            <w:tcW w:w="1461" w:type="pct"/>
            <w:shd w:val="clear" w:color="auto" w:fill="auto"/>
          </w:tcPr>
          <w:p w:rsidR="006B28EC" w:rsidRPr="00370DC1" w:rsidRDefault="006B28EC" w:rsidP="00C124CD">
            <w:pPr>
              <w:spacing w:before="60" w:after="60"/>
              <w:rPr>
                <w:sz w:val="22"/>
                <w:szCs w:val="22"/>
              </w:rPr>
            </w:pPr>
            <w:r w:rsidRPr="00370DC1">
              <w:rPr>
                <w:sz w:val="22"/>
                <w:szCs w:val="22"/>
              </w:rPr>
              <w:t>Overall venue costs for each individual society</w:t>
            </w:r>
          </w:p>
        </w:tc>
        <w:tc>
          <w:tcPr>
            <w:tcW w:w="3148" w:type="pct"/>
            <w:shd w:val="clear" w:color="auto" w:fill="auto"/>
          </w:tcPr>
          <w:p w:rsidR="006B28EC" w:rsidRPr="00370DC1" w:rsidRDefault="006B28EC" w:rsidP="00C124CD">
            <w:pPr>
              <w:spacing w:before="60" w:after="60"/>
              <w:rPr>
                <w:sz w:val="22"/>
                <w:szCs w:val="22"/>
              </w:rPr>
            </w:pPr>
            <w:r w:rsidRPr="00370DC1">
              <w:rPr>
                <w:sz w:val="22"/>
                <w:szCs w:val="22"/>
              </w:rPr>
              <w:t>Capped at 16</w:t>
            </w:r>
            <w:r w:rsidR="004942F6">
              <w:rPr>
                <w:sz w:val="22"/>
                <w:szCs w:val="22"/>
              </w:rPr>
              <w:t>%</w:t>
            </w:r>
            <w:r w:rsidRPr="00370DC1">
              <w:rPr>
                <w:sz w:val="22"/>
                <w:szCs w:val="22"/>
              </w:rPr>
              <w:t xml:space="preserve"> of GMP, excluding GST, in any 12 month period</w:t>
            </w:r>
            <w:r w:rsidR="006D257E" w:rsidRPr="00370DC1">
              <w:rPr>
                <w:sz w:val="22"/>
                <w:szCs w:val="22"/>
              </w:rPr>
              <w:t>.</w:t>
            </w:r>
          </w:p>
        </w:tc>
      </w:tr>
    </w:tbl>
    <w:p w:rsidR="00393D31" w:rsidRDefault="00393D31" w:rsidP="00393D31">
      <w:pPr>
        <w:pStyle w:val="Numberedpara3level1"/>
      </w:pPr>
      <w:r>
        <w:t xml:space="preserve">The rationale for the current </w:t>
      </w:r>
      <w:r w:rsidR="00B10F7B">
        <w:t xml:space="preserve">payment </w:t>
      </w:r>
      <w:r>
        <w:t xml:space="preserve">is that venues should only be paid for costs that are ‘actual, reasonable and necessary’ in order to support the purpose of the Gambling Act to ensure that gambling money benefits the community. </w:t>
      </w:r>
    </w:p>
    <w:p w:rsidR="00393D31" w:rsidRPr="00750426" w:rsidRDefault="00393D31" w:rsidP="00393D31">
      <w:pPr>
        <w:pStyle w:val="Numberedpara3level1"/>
      </w:pPr>
      <w:r>
        <w:t xml:space="preserve">This model </w:t>
      </w:r>
      <w:r w:rsidR="005F491F">
        <w:t xml:space="preserve">is generally sufficient for low to </w:t>
      </w:r>
      <w:r>
        <w:t>medium revenue venues. However, s</w:t>
      </w:r>
      <w:r w:rsidRPr="00750426">
        <w:t xml:space="preserve">ome higher turnover venues are currently paid less than </w:t>
      </w:r>
      <w:r w:rsidR="005F491F">
        <w:t xml:space="preserve">is reasonable </w:t>
      </w:r>
      <w:r w:rsidRPr="00750426">
        <w:t xml:space="preserve">because these payments are constrained by Limit A (e.g. staffing) and Limit C (e.g. rent/insurance costs in </w:t>
      </w:r>
      <w:r>
        <w:t>central city</w:t>
      </w:r>
      <w:r w:rsidRPr="00750426">
        <w:t xml:space="preserve"> areas).</w:t>
      </w:r>
      <w:r>
        <w:t xml:space="preserve"> Cost recovery shortfalls are met by venues.</w:t>
      </w:r>
    </w:p>
    <w:p w:rsidR="00393D31" w:rsidRPr="007214A8" w:rsidRDefault="00393D31" w:rsidP="00393D31">
      <w:pPr>
        <w:pStyle w:val="Numberedpara3level1"/>
      </w:pPr>
      <w:r w:rsidRPr="007214A8">
        <w:t>If societies fail to comply with</w:t>
      </w:r>
      <w:r>
        <w:t xml:space="preserve"> Limit D their</w:t>
      </w:r>
      <w:r w:rsidRPr="007214A8">
        <w:t xml:space="preserve"> operating licence may be cancelled, suspended or not renewed</w:t>
      </w:r>
      <w:r w:rsidR="005F491F">
        <w:t xml:space="preserve"> (</w:t>
      </w:r>
      <w:r w:rsidR="00B66638">
        <w:t>the Department</w:t>
      </w:r>
      <w:r w:rsidR="00FF6F46">
        <w:t xml:space="preserve"> is able to use </w:t>
      </w:r>
      <w:r w:rsidR="00B66638">
        <w:t xml:space="preserve">its </w:t>
      </w:r>
      <w:r w:rsidR="009F0AC7">
        <w:t>discretion</w:t>
      </w:r>
      <w:r w:rsidR="00B66638">
        <w:t xml:space="preserve"> in th</w:t>
      </w:r>
      <w:r w:rsidR="00B10F7B">
        <w:t>ese</w:t>
      </w:r>
      <w:r w:rsidR="00B66638">
        <w:t xml:space="preserve"> circumstances</w:t>
      </w:r>
      <w:r w:rsidR="005F491F">
        <w:t>)</w:t>
      </w:r>
      <w:r w:rsidRPr="007214A8">
        <w:t>.</w:t>
      </w:r>
    </w:p>
    <w:p w:rsidR="009C1501" w:rsidRDefault="000C2B17" w:rsidP="00CB0009">
      <w:pPr>
        <w:pStyle w:val="Numberedpara3level1"/>
      </w:pPr>
      <w:r>
        <w:t xml:space="preserve">Table </w:t>
      </w:r>
      <w:r w:rsidR="00111B9D">
        <w:t>3</w:t>
      </w:r>
      <w:r>
        <w:t xml:space="preserve"> shows the average weekly venue payment amount u</w:t>
      </w:r>
      <w:r w:rsidR="009C1501">
        <w:t>nder the status quo.</w:t>
      </w:r>
    </w:p>
    <w:p w:rsidR="000C2B17" w:rsidRPr="000C2B17" w:rsidRDefault="00111B9D" w:rsidP="00C124CD">
      <w:pPr>
        <w:pStyle w:val="Numberedpara3level1"/>
        <w:numPr>
          <w:ilvl w:val="0"/>
          <w:numId w:val="0"/>
        </w:numPr>
        <w:rPr>
          <w:b/>
          <w:i/>
        </w:rPr>
      </w:pPr>
      <w:r>
        <w:rPr>
          <w:b/>
          <w:i/>
        </w:rPr>
        <w:t>Table 3</w:t>
      </w:r>
      <w:r w:rsidR="000C2B17">
        <w:rPr>
          <w:b/>
          <w:i/>
        </w:rPr>
        <w:t>: Average weekly venue payment under the status quo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072"/>
      </w:tblGrid>
      <w:tr w:rsidR="0037753C" w:rsidRPr="000209B5" w:rsidTr="00C124CD">
        <w:tc>
          <w:tcPr>
            <w:tcW w:w="1731" w:type="pct"/>
            <w:shd w:val="clear" w:color="auto" w:fill="0B5369"/>
          </w:tcPr>
          <w:p w:rsidR="0037753C" w:rsidRPr="000209B5" w:rsidRDefault="0037753C" w:rsidP="00C124CD">
            <w:pPr>
              <w:pStyle w:val="ListParagraph"/>
              <w:tabs>
                <w:tab w:val="left" w:pos="1202"/>
              </w:tabs>
              <w:spacing w:before="60" w:after="60"/>
              <w:rPr>
                <w:rFonts w:cs="Arial"/>
                <w:b/>
                <w:color w:val="FFFFFF"/>
                <w:sz w:val="22"/>
                <w:szCs w:val="22"/>
              </w:rPr>
            </w:pPr>
            <w:r>
              <w:rPr>
                <w:rFonts w:cs="Arial"/>
                <w:b/>
                <w:color w:val="FFFFFF"/>
                <w:sz w:val="22"/>
                <w:szCs w:val="22"/>
              </w:rPr>
              <w:t>Venue category</w:t>
            </w:r>
          </w:p>
        </w:tc>
        <w:tc>
          <w:tcPr>
            <w:tcW w:w="3269" w:type="pct"/>
            <w:shd w:val="clear" w:color="auto" w:fill="0B5369"/>
          </w:tcPr>
          <w:p w:rsidR="0037753C" w:rsidRPr="000209B5" w:rsidRDefault="004942F6" w:rsidP="00C124CD">
            <w:pPr>
              <w:pStyle w:val="ListParagraph"/>
              <w:tabs>
                <w:tab w:val="left" w:pos="1202"/>
              </w:tabs>
              <w:spacing w:before="60" w:after="60"/>
              <w:rPr>
                <w:rFonts w:cs="Arial"/>
                <w:b/>
                <w:color w:val="FFFFFF"/>
                <w:sz w:val="22"/>
                <w:szCs w:val="22"/>
              </w:rPr>
            </w:pPr>
            <w:r>
              <w:rPr>
                <w:rFonts w:cs="Arial"/>
                <w:b/>
                <w:color w:val="FFFFFF"/>
                <w:sz w:val="22"/>
                <w:szCs w:val="22"/>
              </w:rPr>
              <w:t>Average w</w:t>
            </w:r>
            <w:r w:rsidR="0037753C">
              <w:rPr>
                <w:rFonts w:cs="Arial"/>
                <w:b/>
                <w:color w:val="FFFFFF"/>
                <w:sz w:val="22"/>
                <w:szCs w:val="22"/>
              </w:rPr>
              <w:t>eekly v</w:t>
            </w:r>
            <w:r w:rsidR="0037753C" w:rsidRPr="000209B5">
              <w:rPr>
                <w:rFonts w:cs="Arial"/>
                <w:b/>
                <w:color w:val="FFFFFF"/>
                <w:sz w:val="22"/>
                <w:szCs w:val="22"/>
              </w:rPr>
              <w:t>enue payment under status quo</w:t>
            </w:r>
          </w:p>
        </w:tc>
      </w:tr>
      <w:tr w:rsidR="0037753C" w:rsidRPr="00B5395D" w:rsidTr="00C124CD">
        <w:tc>
          <w:tcPr>
            <w:tcW w:w="1731" w:type="pct"/>
          </w:tcPr>
          <w:p w:rsidR="0037753C" w:rsidRPr="000209B5" w:rsidRDefault="0037753C" w:rsidP="00C124CD">
            <w:pPr>
              <w:spacing w:before="60" w:after="60"/>
              <w:jc w:val="both"/>
              <w:rPr>
                <w:b/>
                <w:sz w:val="22"/>
                <w:szCs w:val="22"/>
              </w:rPr>
            </w:pPr>
            <w:r>
              <w:rPr>
                <w:b/>
                <w:sz w:val="22"/>
                <w:szCs w:val="22"/>
              </w:rPr>
              <w:t>E</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$222</w:t>
            </w:r>
          </w:p>
        </w:tc>
      </w:tr>
      <w:tr w:rsidR="0037753C" w:rsidRPr="00B5395D" w:rsidTr="00C124CD">
        <w:tc>
          <w:tcPr>
            <w:tcW w:w="1731" w:type="pct"/>
          </w:tcPr>
          <w:p w:rsidR="0037753C" w:rsidRPr="000209B5" w:rsidRDefault="0037753C" w:rsidP="00C124CD">
            <w:pPr>
              <w:spacing w:before="60" w:after="60"/>
              <w:jc w:val="both"/>
              <w:rPr>
                <w:b/>
                <w:sz w:val="22"/>
                <w:szCs w:val="22"/>
              </w:rPr>
            </w:pPr>
            <w:r>
              <w:rPr>
                <w:b/>
                <w:sz w:val="22"/>
                <w:szCs w:val="22"/>
              </w:rPr>
              <w:t>D</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$624</w:t>
            </w:r>
          </w:p>
        </w:tc>
      </w:tr>
      <w:tr w:rsidR="0037753C" w:rsidRPr="00B5395D" w:rsidTr="00C124CD">
        <w:tc>
          <w:tcPr>
            <w:tcW w:w="1731" w:type="pct"/>
          </w:tcPr>
          <w:p w:rsidR="0037753C" w:rsidRPr="000209B5" w:rsidRDefault="0037753C" w:rsidP="00C124CD">
            <w:pPr>
              <w:spacing w:before="60" w:after="60"/>
              <w:jc w:val="both"/>
              <w:rPr>
                <w:b/>
                <w:sz w:val="22"/>
                <w:szCs w:val="22"/>
              </w:rPr>
            </w:pPr>
            <w:r>
              <w:rPr>
                <w:b/>
                <w:sz w:val="22"/>
                <w:szCs w:val="22"/>
              </w:rPr>
              <w:t>C</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$1,449</w:t>
            </w:r>
          </w:p>
        </w:tc>
      </w:tr>
      <w:tr w:rsidR="0037753C" w:rsidRPr="00B5395D" w:rsidTr="00C124CD">
        <w:tc>
          <w:tcPr>
            <w:tcW w:w="1731" w:type="pct"/>
          </w:tcPr>
          <w:p w:rsidR="0037753C" w:rsidRPr="000209B5" w:rsidRDefault="0037753C" w:rsidP="00C124CD">
            <w:pPr>
              <w:spacing w:before="60" w:after="60"/>
              <w:jc w:val="both"/>
              <w:rPr>
                <w:b/>
                <w:sz w:val="22"/>
                <w:szCs w:val="22"/>
              </w:rPr>
            </w:pPr>
            <w:r>
              <w:rPr>
                <w:b/>
                <w:sz w:val="22"/>
                <w:szCs w:val="22"/>
              </w:rPr>
              <w:t>B</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$2,414</w:t>
            </w:r>
          </w:p>
        </w:tc>
      </w:tr>
      <w:tr w:rsidR="0037753C" w:rsidRPr="00B5395D" w:rsidTr="00C124CD">
        <w:tc>
          <w:tcPr>
            <w:tcW w:w="1731" w:type="pct"/>
          </w:tcPr>
          <w:p w:rsidR="0037753C" w:rsidRPr="000209B5" w:rsidRDefault="0037753C" w:rsidP="00C124CD">
            <w:pPr>
              <w:spacing w:before="60" w:after="60"/>
              <w:jc w:val="both"/>
              <w:rPr>
                <w:b/>
                <w:sz w:val="22"/>
                <w:szCs w:val="22"/>
              </w:rPr>
            </w:pPr>
            <w:r>
              <w:rPr>
                <w:b/>
                <w:sz w:val="22"/>
                <w:szCs w:val="22"/>
              </w:rPr>
              <w:t>A</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$2,925</w:t>
            </w:r>
          </w:p>
        </w:tc>
      </w:tr>
      <w:tr w:rsidR="0037753C" w:rsidRPr="00B5395D" w:rsidTr="00C124CD">
        <w:tc>
          <w:tcPr>
            <w:tcW w:w="1731" w:type="pct"/>
          </w:tcPr>
          <w:p w:rsidR="0037753C" w:rsidRDefault="0037753C" w:rsidP="00C124CD">
            <w:pPr>
              <w:spacing w:before="60" w:after="60"/>
              <w:jc w:val="both"/>
              <w:rPr>
                <w:b/>
                <w:sz w:val="22"/>
                <w:szCs w:val="22"/>
              </w:rPr>
            </w:pPr>
            <w:r>
              <w:rPr>
                <w:b/>
                <w:sz w:val="22"/>
                <w:szCs w:val="22"/>
              </w:rPr>
              <w:t>A+</w:t>
            </w:r>
          </w:p>
        </w:tc>
        <w:tc>
          <w:tcPr>
            <w:tcW w:w="3269" w:type="pct"/>
            <w:shd w:val="clear" w:color="auto" w:fill="auto"/>
          </w:tcPr>
          <w:p w:rsidR="0037753C" w:rsidRPr="00B5395D" w:rsidRDefault="0037753C" w:rsidP="00C124CD">
            <w:pPr>
              <w:spacing w:before="60" w:after="60"/>
              <w:jc w:val="both"/>
              <w:rPr>
                <w:sz w:val="22"/>
                <w:szCs w:val="22"/>
              </w:rPr>
            </w:pPr>
            <w:r>
              <w:rPr>
                <w:sz w:val="22"/>
                <w:szCs w:val="22"/>
              </w:rPr>
              <w:t>$2,957</w:t>
            </w:r>
          </w:p>
        </w:tc>
      </w:tr>
    </w:tbl>
    <w:p w:rsidR="006D257E" w:rsidRDefault="006D257E" w:rsidP="006D257E">
      <w:pPr>
        <w:pStyle w:val="Heading4"/>
      </w:pPr>
      <w:r>
        <w:t>Calculating costs: venue cost schedules</w:t>
      </w:r>
    </w:p>
    <w:p w:rsidR="00E06364" w:rsidRDefault="005D6B4C" w:rsidP="00E06364">
      <w:pPr>
        <w:pStyle w:val="Numberedpara3level1"/>
      </w:pPr>
      <w:r>
        <w:t>S</w:t>
      </w:r>
      <w:r w:rsidR="00E06364">
        <w:t>ociet</w:t>
      </w:r>
      <w:r w:rsidR="006374CC">
        <w:t>ies</w:t>
      </w:r>
      <w:r w:rsidR="00212F9F">
        <w:t xml:space="preserve"> and venues </w:t>
      </w:r>
      <w:r>
        <w:t xml:space="preserve">must </w:t>
      </w:r>
      <w:r w:rsidR="006374CC">
        <w:t xml:space="preserve">generate </w:t>
      </w:r>
      <w:r w:rsidR="00E06364">
        <w:t xml:space="preserve">a </w:t>
      </w:r>
      <w:r w:rsidR="006374CC">
        <w:t>‘</w:t>
      </w:r>
      <w:r w:rsidR="00E06364">
        <w:t>venue cost schedule</w:t>
      </w:r>
      <w:r w:rsidR="006374CC">
        <w:t>’</w:t>
      </w:r>
      <w:r>
        <w:t xml:space="preserve"> which </w:t>
      </w:r>
      <w:r w:rsidR="00E06364">
        <w:t>details the costs associated with the operation of</w:t>
      </w:r>
      <w:r w:rsidR="001C006A">
        <w:t xml:space="preserve"> class 4 </w:t>
      </w:r>
      <w:r w:rsidR="00E06364">
        <w:t xml:space="preserve">gambling within </w:t>
      </w:r>
      <w:r w:rsidR="00A80F74">
        <w:t>a</w:t>
      </w:r>
      <w:r w:rsidR="00E06364">
        <w:t xml:space="preserve"> </w:t>
      </w:r>
      <w:r w:rsidR="006374CC">
        <w:t xml:space="preserve">particular </w:t>
      </w:r>
      <w:r w:rsidR="00E06364">
        <w:t>venue. Venue payments must not exceed those agreed to in the schedule (but may be less)</w:t>
      </w:r>
      <w:r w:rsidR="00932FB5">
        <w:t xml:space="preserve">. </w:t>
      </w:r>
    </w:p>
    <w:p w:rsidR="00E06364" w:rsidRDefault="00E06364" w:rsidP="00E06364">
      <w:pPr>
        <w:pStyle w:val="Numberedpara3level1"/>
      </w:pPr>
      <w:r>
        <w:t>New venue cost schedules must be submitted to the Department at least every three years, whenever a venue enters an agreement with a different society, or any of the costs on the schedule change</w:t>
      </w:r>
      <w:r w:rsidR="00932FB5">
        <w:t xml:space="preserve">. </w:t>
      </w:r>
    </w:p>
    <w:p w:rsidR="00324EB8" w:rsidRDefault="00324EB8" w:rsidP="00324EB8">
      <w:pPr>
        <w:pStyle w:val="Heading3"/>
      </w:pPr>
      <w:bookmarkStart w:id="75" w:name="_Toc448240240"/>
      <w:bookmarkStart w:id="76" w:name="_Toc448499771"/>
      <w:r>
        <w:t>Problem</w:t>
      </w:r>
      <w:r w:rsidR="00203005">
        <w:t xml:space="preserve"> definition</w:t>
      </w:r>
      <w:bookmarkEnd w:id="75"/>
      <w:bookmarkEnd w:id="76"/>
    </w:p>
    <w:p w:rsidR="008C713D" w:rsidRDefault="008C713D" w:rsidP="008C713D">
      <w:pPr>
        <w:pStyle w:val="Heading4"/>
      </w:pPr>
      <w:r>
        <w:t>Root cause of the problem</w:t>
      </w:r>
    </w:p>
    <w:p w:rsidR="00F6758D" w:rsidRDefault="00F6758D" w:rsidP="00203005">
      <w:pPr>
        <w:pStyle w:val="Numberedpara3level1"/>
      </w:pPr>
      <w:r>
        <w:t>The National Party’s 2011 pre-election Policy Statement referred to reviewing the Gambling Act 2003, particularly class 4 gambling, and considering change if strong evidence emerges that the Act is not working as intended.</w:t>
      </w:r>
    </w:p>
    <w:p w:rsidR="008C713D" w:rsidRDefault="00F6758D" w:rsidP="00203005">
      <w:pPr>
        <w:pStyle w:val="Numberedpara3level1"/>
      </w:pPr>
      <w:r>
        <w:t xml:space="preserve">As a result of these commitments, </w:t>
      </w:r>
      <w:r w:rsidR="008C713D">
        <w:t xml:space="preserve">the Minister of Internal Affairs set priorities for </w:t>
      </w:r>
      <w:r>
        <w:t>improving class 4 gambling</w:t>
      </w:r>
      <w:r w:rsidR="00DB5664">
        <w:t xml:space="preserve"> </w:t>
      </w:r>
      <w:r w:rsidR="00870CBF">
        <w:t>– including</w:t>
      </w:r>
      <w:r w:rsidR="008C713D">
        <w:t xml:space="preserve"> </w:t>
      </w:r>
      <w:r w:rsidR="00DB5664">
        <w:t>‘</w:t>
      </w:r>
      <w:r w:rsidR="007D2481">
        <w:t>reducing operational, regulatory and compliance costs for the sector and the government’</w:t>
      </w:r>
      <w:r w:rsidR="008C713D">
        <w:t xml:space="preserve">. Simplifying compliance was </w:t>
      </w:r>
      <w:r w:rsidR="008C713D">
        <w:lastRenderedPageBreak/>
        <w:t xml:space="preserve">considered important because reduced compliance costs </w:t>
      </w:r>
      <w:r w:rsidR="00304D0F">
        <w:t>w</w:t>
      </w:r>
      <w:r w:rsidR="008C713D">
        <w:t>ould maximise the amount of money available to be returned to the community</w:t>
      </w:r>
      <w:r w:rsidR="00304D0F">
        <w:t>.</w:t>
      </w:r>
    </w:p>
    <w:p w:rsidR="008C713D" w:rsidRDefault="008C713D" w:rsidP="008C713D">
      <w:pPr>
        <w:pStyle w:val="Numberedpara3level1"/>
      </w:pPr>
      <w:bookmarkStart w:id="77" w:name="_Ref434476827"/>
      <w:r>
        <w:t xml:space="preserve">On 16 September 2013, Cabinet agreed to release a public consultation document with options for regulatory reform of the </w:t>
      </w:r>
      <w:r w:rsidR="001C006A">
        <w:t xml:space="preserve">class 4 </w:t>
      </w:r>
      <w:r>
        <w:t xml:space="preserve">sector [CAB Min (13) 32/8 refers]. One of the issues covered was options to reduce compliance costs arising from venue payments. </w:t>
      </w:r>
      <w:bookmarkEnd w:id="77"/>
    </w:p>
    <w:p w:rsidR="008C713D" w:rsidRDefault="008C713D" w:rsidP="008C713D">
      <w:pPr>
        <w:pStyle w:val="Numberedpara3level1"/>
      </w:pPr>
      <w:r>
        <w:t>On 16 April 2014, Cabinet agreed in principle to the development of a commission-based venue payment scheme [EGI Min (14) 7/16].</w:t>
      </w:r>
      <w:bookmarkStart w:id="78" w:name="_Ref434390890"/>
      <w:r>
        <w:t xml:space="preserve"> S</w:t>
      </w:r>
      <w:r w:rsidRPr="003033E1">
        <w:t xml:space="preserve">ection 30(b) of the Act </w:t>
      </w:r>
      <w:r>
        <w:t xml:space="preserve">originally </w:t>
      </w:r>
      <w:r w:rsidRPr="003033E1">
        <w:t>exclude</w:t>
      </w:r>
      <w:r>
        <w:t>d</w:t>
      </w:r>
      <w:r w:rsidRPr="003033E1">
        <w:t xml:space="preserve"> a commission-based approach to venue payments</w:t>
      </w:r>
      <w:r>
        <w:t>. However, under the Gambling Amendment Act 2015 (No 2), which was enacted on 21 October 2015, this has been</w:t>
      </w:r>
      <w:r w:rsidRPr="00C80B03">
        <w:t xml:space="preserve"> replaced with a section that allows for commission payments or other types of payments to venue operators, so long as it is specified in the </w:t>
      </w:r>
      <w:r>
        <w:t xml:space="preserve">new </w:t>
      </w:r>
      <w:r w:rsidRPr="00C80B03">
        <w:t>regulations.</w:t>
      </w:r>
      <w:bookmarkEnd w:id="78"/>
      <w:r>
        <w:t xml:space="preserve"> </w:t>
      </w:r>
    </w:p>
    <w:p w:rsidR="008C713D" w:rsidRPr="003932D8" w:rsidRDefault="008C713D" w:rsidP="008C713D">
      <w:pPr>
        <w:pStyle w:val="Numberedpara3level1"/>
      </w:pPr>
      <w:r>
        <w:t xml:space="preserve">The changes brought in by the Gambling Amendment Act 2015 (No 2) means that </w:t>
      </w:r>
      <w:r w:rsidRPr="00C80B03">
        <w:t xml:space="preserve">the </w:t>
      </w:r>
      <w:r>
        <w:t xml:space="preserve">current regime for venue payments </w:t>
      </w:r>
      <w:r w:rsidRPr="008C713D">
        <w:rPr>
          <w:u w:val="single"/>
        </w:rPr>
        <w:t>must be reviewed</w:t>
      </w:r>
      <w:r>
        <w:t xml:space="preserve"> because it </w:t>
      </w:r>
      <w:r w:rsidRPr="00C80B03">
        <w:t>will no longer be supported by the law</w:t>
      </w:r>
      <w:r>
        <w:t xml:space="preserve"> after 21 October 2016. </w:t>
      </w:r>
    </w:p>
    <w:p w:rsidR="008C713D" w:rsidRDefault="008C713D" w:rsidP="008C713D">
      <w:pPr>
        <w:pStyle w:val="Heading4"/>
      </w:pPr>
      <w:r>
        <w:t>Problems with the status quo</w:t>
      </w:r>
    </w:p>
    <w:p w:rsidR="00203005" w:rsidRDefault="00AC6AAD" w:rsidP="00203005">
      <w:pPr>
        <w:pStyle w:val="Numberedpara3level1"/>
      </w:pPr>
      <w:r>
        <w:t>As identified above, the current venue payments regime is complex to comply with, for both the sector and the regulator. O</w:t>
      </w:r>
      <w:r w:rsidR="00917DF4">
        <w:t xml:space="preserve">ther </w:t>
      </w:r>
      <w:r w:rsidR="00324EB8" w:rsidRPr="005F329B">
        <w:t>probl</w:t>
      </w:r>
      <w:r w:rsidR="00203005">
        <w:t>em</w:t>
      </w:r>
      <w:r w:rsidR="00917DF4">
        <w:t>s</w:t>
      </w:r>
      <w:r w:rsidR="00203005">
        <w:t xml:space="preserve"> with the current </w:t>
      </w:r>
      <w:r w:rsidR="00B04268">
        <w:t xml:space="preserve">venue payments regime </w:t>
      </w:r>
      <w:r w:rsidR="005F491F">
        <w:t>are</w:t>
      </w:r>
      <w:r w:rsidR="00B04268">
        <w:t xml:space="preserve"> t</w:t>
      </w:r>
      <w:r w:rsidR="00203005">
        <w:t>hat it:</w:t>
      </w:r>
    </w:p>
    <w:p w:rsidR="00A762FC" w:rsidRDefault="00A762FC" w:rsidP="00A762FC">
      <w:pPr>
        <w:pStyle w:val="Numberedpara3level211"/>
        <w:ind w:left="1134" w:hanging="567"/>
      </w:pPr>
      <w:r>
        <w:t>limits the ability of venues to fully resource and adequately undertake prevention and minimisation of gambling harm activities, as costs of these activities are limited under Limit A</w:t>
      </w:r>
      <w:r w:rsidR="000234A5" w:rsidRPr="00E17F7D">
        <w:rPr>
          <w:rStyle w:val="FootnoteReference"/>
          <w:rFonts w:ascii="Calibri" w:hAnsi="Calibri"/>
          <w:sz w:val="20"/>
          <w:szCs w:val="20"/>
          <w:vertAlign w:val="superscript"/>
        </w:rPr>
        <w:footnoteReference w:id="4"/>
      </w:r>
      <w:r w:rsidR="005F491F">
        <w:t>;</w:t>
      </w:r>
    </w:p>
    <w:p w:rsidR="0074134C" w:rsidRPr="00307613" w:rsidRDefault="00203005" w:rsidP="0074134C">
      <w:pPr>
        <w:pStyle w:val="Numberedpara3level211"/>
        <w:ind w:left="1134" w:hanging="567"/>
      </w:pPr>
      <w:r w:rsidRPr="00307613">
        <w:t xml:space="preserve">creates adversarial relationships between the regulator and the sector who are quick to litigate if </w:t>
      </w:r>
      <w:r w:rsidR="008F2428" w:rsidRPr="00307613">
        <w:t xml:space="preserve">venue </w:t>
      </w:r>
      <w:r w:rsidRPr="00307613">
        <w:t>cost schedules are disputed</w:t>
      </w:r>
      <w:r w:rsidR="00B16011">
        <w:t>. T</w:t>
      </w:r>
      <w:r w:rsidR="008F2428" w:rsidRPr="00307613">
        <w:t>his</w:t>
      </w:r>
      <w:r w:rsidRPr="00307613">
        <w:t xml:space="preserve"> is expensive and reso</w:t>
      </w:r>
      <w:r w:rsidR="00532453" w:rsidRPr="00307613">
        <w:t>ur</w:t>
      </w:r>
      <w:r w:rsidR="00471B40" w:rsidRPr="00307613">
        <w:t>ce intensive for both parties;</w:t>
      </w:r>
    </w:p>
    <w:p w:rsidR="008C319A" w:rsidRDefault="008F2428" w:rsidP="00A80F74">
      <w:pPr>
        <w:pStyle w:val="Numberedpara3level211"/>
        <w:ind w:left="1134" w:hanging="567"/>
      </w:pPr>
      <w:r>
        <w:t xml:space="preserve">creates inefficiencies by </w:t>
      </w:r>
      <w:r w:rsidR="00203005">
        <w:t>incentivis</w:t>
      </w:r>
      <w:r>
        <w:t>ing</w:t>
      </w:r>
      <w:r w:rsidR="00203005">
        <w:t xml:space="preserve"> venues to maximise their operating hours </w:t>
      </w:r>
      <w:r w:rsidR="00E7261E">
        <w:t xml:space="preserve">(within liquor licencing constraints) </w:t>
      </w:r>
      <w:r w:rsidR="00203005">
        <w:t>and numbers of gaming machines, even if there are no players, to maximise their costs under Limits A, B and C</w:t>
      </w:r>
      <w:r w:rsidR="00D31481">
        <w:t>;</w:t>
      </w:r>
    </w:p>
    <w:p w:rsidR="00A962C4" w:rsidRPr="002741F7" w:rsidRDefault="00A962C4" w:rsidP="00A962C4">
      <w:pPr>
        <w:pStyle w:val="Numberedpara3level211"/>
        <w:ind w:left="1134" w:hanging="567"/>
      </w:pPr>
      <w:r w:rsidRPr="002741F7">
        <w:t xml:space="preserve">is </w:t>
      </w:r>
      <w:r w:rsidR="005B77C6">
        <w:t xml:space="preserve">financially </w:t>
      </w:r>
      <w:r w:rsidRPr="002741F7">
        <w:t>out of date. Limits A, B and C have not been adjusted</w:t>
      </w:r>
      <w:r w:rsidR="002741F7" w:rsidRPr="002741F7">
        <w:t xml:space="preserve"> for inflation </w:t>
      </w:r>
      <w:r w:rsidRPr="002741F7">
        <w:t>since 2004 (GST for Limit D was clarified in 2008) so that some venues may no longer be appropriately compensated for their current costs</w:t>
      </w:r>
      <w:r w:rsidR="00B7194A" w:rsidRPr="002741F7">
        <w:t>;</w:t>
      </w:r>
    </w:p>
    <w:p w:rsidR="00A962C4" w:rsidRDefault="00532453" w:rsidP="00D31481">
      <w:pPr>
        <w:pStyle w:val="Numberedpara3level211"/>
        <w:ind w:left="1134" w:hanging="567"/>
      </w:pPr>
      <w:r>
        <w:t xml:space="preserve">potentially </w:t>
      </w:r>
      <w:r w:rsidR="005C7DC9">
        <w:t xml:space="preserve">gives higher revenue venues ‘market power’ as societies seek to obtain </w:t>
      </w:r>
      <w:r w:rsidR="00A962C4">
        <w:t>and</w:t>
      </w:r>
      <w:r w:rsidR="005C7DC9">
        <w:t>/</w:t>
      </w:r>
      <w:r w:rsidR="00A962C4">
        <w:t>or</w:t>
      </w:r>
      <w:r w:rsidR="005C7DC9">
        <w:t xml:space="preserve"> retain them</w:t>
      </w:r>
      <w:r w:rsidR="002741F7">
        <w:t xml:space="preserve"> (by providing them with excessive venue payments and venue enhancements)</w:t>
      </w:r>
      <w:r w:rsidR="005C7DC9">
        <w:t>, which may result in illegal comp</w:t>
      </w:r>
      <w:r w:rsidR="002741F7">
        <w:t>etition</w:t>
      </w:r>
      <w:r w:rsidR="005C7DC9">
        <w:t xml:space="preserve"> for venues</w:t>
      </w:r>
      <w:r w:rsidR="0028252F">
        <w:t>. The Department notes that venue churn has decreased in recent years suggesting that this is less of an issue than it once was</w:t>
      </w:r>
      <w:r w:rsidR="00A962C4">
        <w:t>;</w:t>
      </w:r>
      <w:r w:rsidR="00111B9D">
        <w:t xml:space="preserve"> and</w:t>
      </w:r>
    </w:p>
    <w:p w:rsidR="00873701" w:rsidRDefault="005C7DC9" w:rsidP="00B7194A">
      <w:pPr>
        <w:pStyle w:val="Numberedpara3level211"/>
        <w:ind w:left="1134" w:hanging="567"/>
      </w:pPr>
      <w:r>
        <w:lastRenderedPageBreak/>
        <w:t>allows societies to offset costs across their venue portfolio</w:t>
      </w:r>
      <w:r w:rsidR="007D004B">
        <w:t xml:space="preserve">, whereby any cost </w:t>
      </w:r>
      <w:r w:rsidR="000007BD">
        <w:t xml:space="preserve">savings can be used to top up payments to higher revenue venues </w:t>
      </w:r>
      <w:r w:rsidR="006F368E">
        <w:t>and</w:t>
      </w:r>
      <w:r w:rsidR="000007BD">
        <w:t xml:space="preserve"> subsidise lower revenue venues</w:t>
      </w:r>
      <w:r w:rsidR="00B7194A">
        <w:t xml:space="preserve"> (potentially propping up non-viable venues)</w:t>
      </w:r>
      <w:r w:rsidR="000007BD">
        <w:t>.</w:t>
      </w:r>
      <w:r w:rsidR="007D004B">
        <w:t xml:space="preserve"> </w:t>
      </w:r>
    </w:p>
    <w:p w:rsidR="008D5CD9" w:rsidRPr="00590CA9" w:rsidRDefault="008D5CD9" w:rsidP="0088541D">
      <w:pPr>
        <w:pStyle w:val="Heading2"/>
      </w:pPr>
      <w:bookmarkStart w:id="79" w:name="_Toc244580364"/>
      <w:bookmarkStart w:id="80" w:name="_Toc244587040"/>
      <w:bookmarkStart w:id="81" w:name="_Toc244857274"/>
      <w:bookmarkStart w:id="82" w:name="_Toc244912539"/>
      <w:bookmarkStart w:id="83" w:name="_Toc244916996"/>
      <w:bookmarkStart w:id="84" w:name="_Toc362368105"/>
      <w:bookmarkStart w:id="85" w:name="_Toc362434946"/>
      <w:bookmarkStart w:id="86" w:name="_Toc362589332"/>
      <w:bookmarkStart w:id="87" w:name="_Toc362619032"/>
      <w:bookmarkStart w:id="88" w:name="_Toc362940596"/>
      <w:bookmarkStart w:id="89" w:name="_Toc363047104"/>
      <w:bookmarkStart w:id="90" w:name="_Toc448240241"/>
      <w:bookmarkStart w:id="91" w:name="_Toc448499772"/>
      <w:r w:rsidRPr="00590CA9">
        <w:t>Objectives</w:t>
      </w:r>
      <w:bookmarkEnd w:id="79"/>
      <w:bookmarkEnd w:id="80"/>
      <w:bookmarkEnd w:id="81"/>
      <w:bookmarkEnd w:id="82"/>
      <w:bookmarkEnd w:id="83"/>
      <w:bookmarkEnd w:id="84"/>
      <w:bookmarkEnd w:id="85"/>
      <w:bookmarkEnd w:id="86"/>
      <w:bookmarkEnd w:id="87"/>
      <w:bookmarkEnd w:id="88"/>
      <w:bookmarkEnd w:id="89"/>
      <w:bookmarkEnd w:id="90"/>
      <w:bookmarkEnd w:id="91"/>
    </w:p>
    <w:p w:rsidR="00D07E7B" w:rsidRDefault="00D07E7B" w:rsidP="00A16859">
      <w:pPr>
        <w:pStyle w:val="Heading3"/>
      </w:pPr>
      <w:bookmarkStart w:id="92" w:name="_Toc448240242"/>
      <w:bookmarkStart w:id="93" w:name="_Toc448499773"/>
      <w:r>
        <w:t>Policy objective</w:t>
      </w:r>
      <w:r w:rsidR="00C72863">
        <w:t>s</w:t>
      </w:r>
      <w:bookmarkEnd w:id="92"/>
      <w:bookmarkEnd w:id="93"/>
    </w:p>
    <w:p w:rsidR="009A3055" w:rsidRDefault="00C72863" w:rsidP="00E04B38">
      <w:pPr>
        <w:pStyle w:val="Numberedpara3level1"/>
      </w:pPr>
      <w:r>
        <w:t>The p</w:t>
      </w:r>
      <w:r w:rsidR="009D0456">
        <w:t>rimary policy objective is to simplify compliance</w:t>
      </w:r>
      <w:r w:rsidR="00521FCF">
        <w:t xml:space="preserve"> and</w:t>
      </w:r>
      <w:r w:rsidR="009D0456">
        <w:t xml:space="preserve"> reduce administrative time and cost for societies and venues, thereby maximising returns to the community</w:t>
      </w:r>
      <w:r w:rsidR="009A3055">
        <w:t xml:space="preserve"> – without growing gambling and increasing harm</w:t>
      </w:r>
      <w:r w:rsidR="009D0456">
        <w:t xml:space="preserve">. </w:t>
      </w:r>
    </w:p>
    <w:p w:rsidR="009A3055" w:rsidRDefault="008E74B8" w:rsidP="00E04B38">
      <w:pPr>
        <w:pStyle w:val="Numberedpara3level1"/>
      </w:pPr>
      <w:r>
        <w:t>There is an inherent tension between the objectives of maximising returns and n</w:t>
      </w:r>
      <w:r w:rsidR="009A3055">
        <w:t>ot increasing problem gambling because in isolation from each other they have opposing outcomes i.e. as gambling opportunities reduce so does harm</w:t>
      </w:r>
      <w:r w:rsidR="005F491F">
        <w:t>,</w:t>
      </w:r>
      <w:r w:rsidR="009A3055">
        <w:t xml:space="preserve"> but funds would equally reduce</w:t>
      </w:r>
      <w:r>
        <w:t xml:space="preserve">. </w:t>
      </w:r>
      <w:r w:rsidR="009A3055">
        <w:t xml:space="preserve">This tension already exists for the sector under the status quo. </w:t>
      </w:r>
    </w:p>
    <w:p w:rsidR="009A3055" w:rsidRDefault="009A3055" w:rsidP="009A3055">
      <w:pPr>
        <w:pStyle w:val="Numberedpara3level1"/>
      </w:pPr>
      <w:r>
        <w:t>The Department considers that v</w:t>
      </w:r>
      <w:r w:rsidR="008E74B8">
        <w:t>enue payments on their own are unlikely to alter the behaviour of gamblers at the venue as there is no outward change</w:t>
      </w:r>
      <w:r w:rsidR="00B7574E">
        <w:t xml:space="preserve"> affecting gamblers</w:t>
      </w:r>
      <w:r w:rsidR="008E74B8">
        <w:t>.</w:t>
      </w:r>
      <w:r>
        <w:t xml:space="preserve"> The key policy question is whether the new venue payments regime introduces an incentive for venue operators to diminish or ignore their responsibilities with respect to the prevention and minimisation of gambling harm.</w:t>
      </w:r>
    </w:p>
    <w:p w:rsidR="00B2100F" w:rsidRDefault="009A3055" w:rsidP="00E04B38">
      <w:pPr>
        <w:pStyle w:val="Numberedpara3level1"/>
      </w:pPr>
      <w:r>
        <w:t>T</w:t>
      </w:r>
      <w:r w:rsidR="009D0456">
        <w:t xml:space="preserve">he secondary policy </w:t>
      </w:r>
      <w:r w:rsidR="00E04B38" w:rsidRPr="00C80B03">
        <w:t>objectives</w:t>
      </w:r>
      <w:r w:rsidR="00B2100F">
        <w:t xml:space="preserve"> are to:</w:t>
      </w:r>
    </w:p>
    <w:p w:rsidR="00397E87" w:rsidRDefault="00397E87" w:rsidP="00397E87">
      <w:pPr>
        <w:pStyle w:val="Numberedpara3level211"/>
        <w:ind w:left="1134" w:hanging="567"/>
      </w:pPr>
      <w:r>
        <w:t>ensure transparen</w:t>
      </w:r>
      <w:r w:rsidR="003C2E77">
        <w:t>cy</w:t>
      </w:r>
      <w:r>
        <w:t xml:space="preserve"> about what is being paid to whom, and for what purpose;</w:t>
      </w:r>
    </w:p>
    <w:p w:rsidR="00397E87" w:rsidRPr="005C2ECB" w:rsidRDefault="00397E87" w:rsidP="00397E87">
      <w:pPr>
        <w:pStyle w:val="Numberedpara3level211"/>
        <w:ind w:left="1134" w:hanging="567"/>
      </w:pPr>
      <w:r w:rsidRPr="005C2ECB">
        <w:t xml:space="preserve">minimise unintended behaviours between societies and venue operators; </w:t>
      </w:r>
      <w:r w:rsidR="00111B9D">
        <w:t>and</w:t>
      </w:r>
    </w:p>
    <w:p w:rsidR="009E2154" w:rsidRDefault="00111B9D" w:rsidP="009E2154">
      <w:pPr>
        <w:pStyle w:val="Numberedpara3level211"/>
        <w:ind w:left="1134" w:hanging="567"/>
      </w:pPr>
      <w:r>
        <w:t>fairly recompense</w:t>
      </w:r>
      <w:r w:rsidR="00C542DC">
        <w:t xml:space="preserve"> </w:t>
      </w:r>
      <w:r w:rsidR="00397E87" w:rsidRPr="005C2ECB">
        <w:t>venue operators for their c</w:t>
      </w:r>
      <w:r w:rsidR="00D5611A" w:rsidRPr="005C2ECB">
        <w:t>osts and the work that they do.</w:t>
      </w:r>
    </w:p>
    <w:p w:rsidR="002136EA" w:rsidRPr="00590CA9" w:rsidRDefault="002136EA" w:rsidP="00CB5B8C">
      <w:pPr>
        <w:pStyle w:val="Heading2"/>
      </w:pPr>
      <w:bookmarkStart w:id="94" w:name="_Toc448240243"/>
      <w:bookmarkStart w:id="95" w:name="_Toc448499774"/>
      <w:r w:rsidRPr="00590CA9">
        <w:t>Options and impact analysis</w:t>
      </w:r>
      <w:bookmarkEnd w:id="94"/>
      <w:bookmarkEnd w:id="95"/>
      <w:r w:rsidRPr="00590CA9">
        <w:t xml:space="preserve"> </w:t>
      </w:r>
    </w:p>
    <w:p w:rsidR="007516DE" w:rsidRDefault="003417DF" w:rsidP="00961D4B">
      <w:pPr>
        <w:pStyle w:val="Heading3"/>
      </w:pPr>
      <w:bookmarkStart w:id="96" w:name="_Toc448240244"/>
      <w:bookmarkStart w:id="97" w:name="_Toc448499775"/>
      <w:r>
        <w:t>Key decision points</w:t>
      </w:r>
      <w:bookmarkEnd w:id="96"/>
      <w:bookmarkEnd w:id="97"/>
    </w:p>
    <w:p w:rsidR="00961D4B" w:rsidRDefault="00FF6469" w:rsidP="00961D4B">
      <w:pPr>
        <w:pStyle w:val="Numberedpara3level1"/>
      </w:pPr>
      <w:r>
        <w:t>The new regime</w:t>
      </w:r>
      <w:r w:rsidR="00A31160">
        <w:t xml:space="preserve"> could be designed in a number of ways. </w:t>
      </w:r>
      <w:r w:rsidR="00961D4B">
        <w:t>The key decision points involve determining:</w:t>
      </w:r>
    </w:p>
    <w:p w:rsidR="00A31160" w:rsidRDefault="003417DF" w:rsidP="005B066E">
      <w:pPr>
        <w:pStyle w:val="Numberedpara3level211"/>
        <w:ind w:left="1134" w:hanging="567"/>
      </w:pPr>
      <w:r w:rsidRPr="003417DF">
        <w:rPr>
          <w:b/>
        </w:rPr>
        <w:t>Decision 1</w:t>
      </w:r>
      <w:r>
        <w:t xml:space="preserve">: </w:t>
      </w:r>
      <w:r w:rsidR="00A31160">
        <w:t>whether the new regime should be commission-based</w:t>
      </w:r>
      <w:r w:rsidR="00961D4B">
        <w:t xml:space="preserve">; </w:t>
      </w:r>
    </w:p>
    <w:p w:rsidR="00961D4B" w:rsidRDefault="00F864FB" w:rsidP="00F864FB">
      <w:pPr>
        <w:pStyle w:val="Numberedpara3level1"/>
      </w:pPr>
      <w:r>
        <w:t>I</w:t>
      </w:r>
      <w:r w:rsidR="00961D4B">
        <w:t>f the new regime is commission-based:</w:t>
      </w:r>
    </w:p>
    <w:p w:rsidR="00961D4B" w:rsidRDefault="003417DF" w:rsidP="00F864FB">
      <w:pPr>
        <w:pStyle w:val="Numberedpara3level211"/>
        <w:ind w:left="1134" w:hanging="567"/>
      </w:pPr>
      <w:r w:rsidRPr="003417DF">
        <w:rPr>
          <w:b/>
        </w:rPr>
        <w:t xml:space="preserve">Decision </w:t>
      </w:r>
      <w:r w:rsidR="00F864FB">
        <w:rPr>
          <w:b/>
        </w:rPr>
        <w:t>2</w:t>
      </w:r>
      <w:r>
        <w:t xml:space="preserve">: </w:t>
      </w:r>
      <w:r w:rsidR="00961D4B">
        <w:t xml:space="preserve">how the </w:t>
      </w:r>
      <w:r>
        <w:t>commission should be calculated</w:t>
      </w:r>
      <w:r w:rsidR="00961D4B">
        <w:t>; and</w:t>
      </w:r>
    </w:p>
    <w:p w:rsidR="00961D4B" w:rsidRDefault="00F864FB" w:rsidP="00F864FB">
      <w:pPr>
        <w:pStyle w:val="Numberedpara3level211"/>
        <w:ind w:left="1134" w:hanging="567"/>
      </w:pPr>
      <w:r>
        <w:rPr>
          <w:b/>
        </w:rPr>
        <w:t>Decision 3</w:t>
      </w:r>
      <w:r w:rsidR="003417DF">
        <w:t>: how the commission should be set</w:t>
      </w:r>
      <w:r>
        <w:t xml:space="preserve"> or </w:t>
      </w:r>
      <w:r w:rsidR="003417DF">
        <w:t>constrained</w:t>
      </w:r>
      <w:r w:rsidR="00961D4B">
        <w:t>.</w:t>
      </w:r>
    </w:p>
    <w:p w:rsidR="00FF6469" w:rsidRPr="00FF6469" w:rsidRDefault="005767F7" w:rsidP="00DF1340">
      <w:pPr>
        <w:pStyle w:val="Heading4"/>
        <w:rPr>
          <w:rFonts w:cs="Arial"/>
          <w:i w:val="0"/>
          <w:sz w:val="28"/>
          <w:szCs w:val="26"/>
        </w:rPr>
      </w:pPr>
      <w:r>
        <w:rPr>
          <w:rFonts w:cs="Arial"/>
          <w:i w:val="0"/>
          <w:sz w:val="28"/>
          <w:szCs w:val="26"/>
        </w:rPr>
        <w:t>Overview of o</w:t>
      </w:r>
      <w:r w:rsidR="00FF6469" w:rsidRPr="00FF6469">
        <w:rPr>
          <w:rFonts w:cs="Arial"/>
          <w:i w:val="0"/>
          <w:sz w:val="28"/>
          <w:szCs w:val="26"/>
        </w:rPr>
        <w:t>ptions</w:t>
      </w:r>
    </w:p>
    <w:p w:rsidR="009D7F78" w:rsidRDefault="001A7DE1" w:rsidP="009D7F78">
      <w:pPr>
        <w:pStyle w:val="Numberedpara3level1"/>
      </w:pPr>
      <w:r>
        <w:t>Each decision point has a number of options.</w:t>
      </w:r>
      <w:r w:rsidR="009D7F78">
        <w:t xml:space="preserve"> </w:t>
      </w:r>
      <w:r w:rsidR="009D7F78" w:rsidRPr="0041687F">
        <w:t>For Decision 1, five</w:t>
      </w:r>
      <w:r w:rsidR="009D7F78">
        <w:t xml:space="preserve"> options were considered. These were:</w:t>
      </w:r>
    </w:p>
    <w:p w:rsidR="009D7F78" w:rsidRPr="00311617" w:rsidRDefault="009D7F78" w:rsidP="009D7F78">
      <w:pPr>
        <w:pStyle w:val="Numberedpara3level211"/>
        <w:ind w:left="1134" w:hanging="567"/>
      </w:pPr>
      <w:r w:rsidRPr="009D7F78">
        <w:rPr>
          <w:b/>
        </w:rPr>
        <w:t>Option 1</w:t>
      </w:r>
      <w:r>
        <w:t>: t</w:t>
      </w:r>
      <w:r w:rsidRPr="00311617">
        <w:t xml:space="preserve">he status quo—regulations </w:t>
      </w:r>
      <w:r>
        <w:t>w</w:t>
      </w:r>
      <w:r w:rsidRPr="00311617">
        <w:t xml:space="preserve">ould replicate the current system as closely as </w:t>
      </w:r>
      <w:r>
        <w:t>possible</w:t>
      </w:r>
      <w:r w:rsidRPr="00311617">
        <w:t>;</w:t>
      </w:r>
    </w:p>
    <w:p w:rsidR="009D7F78" w:rsidRDefault="009D7F78" w:rsidP="009D7F78">
      <w:pPr>
        <w:pStyle w:val="Numberedpara3level211"/>
        <w:ind w:left="1134" w:hanging="567"/>
      </w:pPr>
      <w:r w:rsidRPr="009D7F78">
        <w:rPr>
          <w:b/>
        </w:rPr>
        <w:lastRenderedPageBreak/>
        <w:t>Option 2</w:t>
      </w:r>
      <w:r>
        <w:t>: a commission-based regime</w:t>
      </w:r>
      <w:r w:rsidRPr="00311617">
        <w:t>—a</w:t>
      </w:r>
      <w:r w:rsidR="004C5625">
        <w:t xml:space="preserve"> proportion of money would be paid to the venue operator;</w:t>
      </w:r>
    </w:p>
    <w:p w:rsidR="009D7F78" w:rsidRDefault="009D7F78" w:rsidP="009D7F78">
      <w:pPr>
        <w:pStyle w:val="Numberedpara3level211"/>
        <w:ind w:left="1134" w:hanging="567"/>
      </w:pPr>
      <w:r w:rsidRPr="009D7F78">
        <w:rPr>
          <w:b/>
        </w:rPr>
        <w:t>Option 3</w:t>
      </w:r>
      <w:r>
        <w:t>: a</w:t>
      </w:r>
      <w:r w:rsidRPr="00311617">
        <w:t xml:space="preserve"> fixed per gaming machine payment—a simple fee per gaming machine at a venue;</w:t>
      </w:r>
    </w:p>
    <w:p w:rsidR="009D7F78" w:rsidRPr="00311617" w:rsidRDefault="009D7F78" w:rsidP="009D7F78">
      <w:pPr>
        <w:pStyle w:val="Numberedpara3level211"/>
        <w:ind w:left="1134" w:hanging="567"/>
      </w:pPr>
      <w:r w:rsidRPr="009D7F78">
        <w:rPr>
          <w:b/>
        </w:rPr>
        <w:t>Option 4</w:t>
      </w:r>
      <w:r>
        <w:t xml:space="preserve">: a </w:t>
      </w:r>
      <w:r w:rsidRPr="00311617">
        <w:t>combination of fee per gaming machine and commission—a flat dollar payment per machine plus</w:t>
      </w:r>
      <w:r>
        <w:t xml:space="preserve"> a p</w:t>
      </w:r>
      <w:r w:rsidR="004C5625">
        <w:t>roportion</w:t>
      </w:r>
      <w:r>
        <w:t xml:space="preserve"> payment;</w:t>
      </w:r>
      <w:r w:rsidRPr="00311617">
        <w:t xml:space="preserve"> and</w:t>
      </w:r>
    </w:p>
    <w:p w:rsidR="009D7F78" w:rsidRPr="00311617" w:rsidRDefault="009D7F78" w:rsidP="009D7F78">
      <w:pPr>
        <w:pStyle w:val="Numberedpara3level211"/>
        <w:ind w:left="1134" w:hanging="567"/>
      </w:pPr>
      <w:r w:rsidRPr="009D7F78">
        <w:rPr>
          <w:b/>
        </w:rPr>
        <w:t>Option 5</w:t>
      </w:r>
      <w:r>
        <w:t>: a</w:t>
      </w:r>
      <w:r w:rsidRPr="00311617">
        <w:t xml:space="preserve"> formula that mimics the current costs and payments—a formula applying regression analysis could produce a line of ‘best fit’ </w:t>
      </w:r>
      <w:r>
        <w:t xml:space="preserve">replicating </w:t>
      </w:r>
      <w:r w:rsidRPr="00311617">
        <w:t>current payments.</w:t>
      </w:r>
    </w:p>
    <w:p w:rsidR="009D7F78" w:rsidRDefault="00F864FB" w:rsidP="001A7DE1">
      <w:pPr>
        <w:pStyle w:val="Numberedpara3level1"/>
      </w:pPr>
      <w:r w:rsidRPr="0041687F">
        <w:t>For Decision 2</w:t>
      </w:r>
      <w:r>
        <w:t>, two options were considered. These were:</w:t>
      </w:r>
    </w:p>
    <w:p w:rsidR="00F864FB" w:rsidRDefault="00F864FB" w:rsidP="00F864FB">
      <w:pPr>
        <w:pStyle w:val="Numberedpara3level211"/>
        <w:ind w:left="1134" w:hanging="567"/>
      </w:pPr>
      <w:r w:rsidRPr="00F864FB">
        <w:rPr>
          <w:b/>
        </w:rPr>
        <w:t>Option 6</w:t>
      </w:r>
      <w:r>
        <w:t>: the commission could be calculated as a percentage of turnover (the total gross amount wagered by gamblers); and</w:t>
      </w:r>
    </w:p>
    <w:p w:rsidR="00F864FB" w:rsidRDefault="00F864FB" w:rsidP="00F864FB">
      <w:pPr>
        <w:pStyle w:val="Numberedpara3level211"/>
        <w:ind w:left="1134" w:hanging="567"/>
      </w:pPr>
      <w:r w:rsidRPr="00F864FB">
        <w:rPr>
          <w:b/>
        </w:rPr>
        <w:t>Option 7</w:t>
      </w:r>
      <w:r>
        <w:t>: the commission could be calculated as a percentage of GMP (the amount of money left over once prizes and jackpots have been paid out).</w:t>
      </w:r>
    </w:p>
    <w:p w:rsidR="00F864FB" w:rsidRDefault="00F864FB" w:rsidP="00F864FB">
      <w:pPr>
        <w:pStyle w:val="Numberedpara3level1"/>
      </w:pPr>
      <w:r>
        <w:t xml:space="preserve">For </w:t>
      </w:r>
      <w:r w:rsidRPr="0041687F">
        <w:t>Decision 3, three</w:t>
      </w:r>
      <w:r>
        <w:t xml:space="preserve"> options were considered. These were:</w:t>
      </w:r>
    </w:p>
    <w:p w:rsidR="00F864FB" w:rsidRDefault="00F864FB" w:rsidP="00F864FB">
      <w:pPr>
        <w:pStyle w:val="Numberedpara3level211"/>
        <w:ind w:left="1134" w:hanging="567"/>
      </w:pPr>
      <w:r w:rsidRPr="00F864FB">
        <w:rPr>
          <w:b/>
        </w:rPr>
        <w:t>Option 8</w:t>
      </w:r>
      <w:r>
        <w:t>:</w:t>
      </w:r>
      <w:r w:rsidRPr="00F864FB">
        <w:t xml:space="preserve"> </w:t>
      </w:r>
      <w:r>
        <w:t>the commission could be based on a flat percentage rate; or</w:t>
      </w:r>
    </w:p>
    <w:p w:rsidR="00F864FB" w:rsidRPr="00634711" w:rsidRDefault="00F864FB" w:rsidP="00F864FB">
      <w:pPr>
        <w:pStyle w:val="Numberedpara3level211"/>
        <w:ind w:left="1134" w:hanging="567"/>
      </w:pPr>
      <w:r w:rsidRPr="00F864FB">
        <w:rPr>
          <w:b/>
        </w:rPr>
        <w:t>Option 9</w:t>
      </w:r>
      <w:r>
        <w:t>: tiered; or</w:t>
      </w:r>
    </w:p>
    <w:p w:rsidR="00F864FB" w:rsidRDefault="00F864FB" w:rsidP="00F864FB">
      <w:pPr>
        <w:pStyle w:val="Numberedpara3level211"/>
        <w:ind w:left="1134" w:hanging="567"/>
      </w:pPr>
      <w:r w:rsidRPr="00F864FB">
        <w:rPr>
          <w:b/>
        </w:rPr>
        <w:t>Option 10</w:t>
      </w:r>
      <w:r>
        <w:t>: capped.</w:t>
      </w:r>
    </w:p>
    <w:p w:rsidR="00C32993" w:rsidRDefault="00C32993" w:rsidP="00857E55">
      <w:pPr>
        <w:pStyle w:val="Heading4"/>
      </w:pPr>
      <w:r>
        <w:t>Non-regulatory approaches to venue payments</w:t>
      </w:r>
    </w:p>
    <w:p w:rsidR="00C32993" w:rsidRDefault="00B61DDB" w:rsidP="00B61DDB">
      <w:pPr>
        <w:pStyle w:val="Numberedpara3level1"/>
      </w:pPr>
      <w:r>
        <w:t xml:space="preserve">Section 30 of the Gambling Amendment Act 2015 allows for a commission payment to be paid to a venue operator that complies with regulations made under section 371(1)(dd). Section 116 of the Gambling Amendment Act 2015 replaces the current ARN limits that are currently specified by </w:t>
      </w:r>
      <w:r w:rsidRPr="00B61DDB">
        <w:t>Gazette</w:t>
      </w:r>
      <w:r>
        <w:t xml:space="preserve"> notice </w:t>
      </w:r>
      <w:r w:rsidRPr="00B61DDB">
        <w:t>17/7/2008, No.114, p.3027. As noted</w:t>
      </w:r>
      <w:r>
        <w:t xml:space="preserve"> this means that the current regime will no longer be supported by law after 21 October 2016 and will be revoked.</w:t>
      </w:r>
    </w:p>
    <w:p w:rsidR="00B61DDB" w:rsidRDefault="00B61DDB" w:rsidP="00B61DDB">
      <w:pPr>
        <w:pStyle w:val="Numberedpara3level1"/>
      </w:pPr>
      <w:r>
        <w:t xml:space="preserve">Regulations do not necessarily need to be made under s.371(1)(dd). Societies could be left to pay venues as they see fit after taxes, duties and returns to the community have been paid out. </w:t>
      </w:r>
    </w:p>
    <w:p w:rsidR="00223E80" w:rsidRDefault="008F6832" w:rsidP="00223E80">
      <w:pPr>
        <w:pStyle w:val="Numberedpara3level1"/>
      </w:pPr>
      <w:r>
        <w:t>However, a</w:t>
      </w:r>
      <w:r w:rsidR="00223E80">
        <w:t xml:space="preserve"> key </w:t>
      </w:r>
      <w:r>
        <w:t xml:space="preserve">premise </w:t>
      </w:r>
      <w:r w:rsidR="00223E80">
        <w:t xml:space="preserve">of the new regime was that it </w:t>
      </w:r>
      <w:r>
        <w:t xml:space="preserve">there would be </w:t>
      </w:r>
      <w:r w:rsidR="00223E80">
        <w:t>no significant increase overall in</w:t>
      </w:r>
      <w:r>
        <w:t xml:space="preserve"> the total funding pool available for venue payments, i.e </w:t>
      </w:r>
      <w:r w:rsidR="00223E80">
        <w:t>no more than current limit D</w:t>
      </w:r>
      <w:r w:rsidR="00E15B94">
        <w:t xml:space="preserve"> (</w:t>
      </w:r>
      <w:r w:rsidR="00D61242">
        <w:t xml:space="preserve">16 per cent </w:t>
      </w:r>
      <w:r>
        <w:t>of GMP, excluding GST</w:t>
      </w:r>
      <w:r w:rsidR="00E15B94">
        <w:t>)</w:t>
      </w:r>
      <w:r>
        <w:t>.</w:t>
      </w:r>
      <w:r w:rsidR="00223E80">
        <w:t xml:space="preserve"> A non-legislative option would not be able to </w:t>
      </w:r>
      <w:r w:rsidR="00B7574E">
        <w:t>hold payments to this limit.</w:t>
      </w:r>
    </w:p>
    <w:p w:rsidR="00223E80" w:rsidRDefault="00223E80" w:rsidP="00223E80">
      <w:pPr>
        <w:pStyle w:val="Numberedpara3level1"/>
      </w:pPr>
      <w:r>
        <w:t xml:space="preserve">In the absence of the current venue costs </w:t>
      </w:r>
      <w:r w:rsidR="004557D0" w:rsidRPr="004557D0">
        <w:rPr>
          <w:i/>
        </w:rPr>
        <w:t>Gazette</w:t>
      </w:r>
      <w:r>
        <w:t xml:space="preserve"> notice or a regulation under s371(1)(dd), each venue agreement</w:t>
      </w:r>
      <w:r w:rsidR="008F6832">
        <w:t xml:space="preserve"> would need to </w:t>
      </w:r>
      <w:r>
        <w:t>hav</w:t>
      </w:r>
      <w:r w:rsidR="008F6832">
        <w:t>e</w:t>
      </w:r>
      <w:r>
        <w:t xml:space="preserve"> an itemised list of costs associated with the operation of class 4 gambling at the venue</w:t>
      </w:r>
      <w:r w:rsidR="004557D0">
        <w:t xml:space="preserve"> [</w:t>
      </w:r>
      <w:r>
        <w:t>amendment to s</w:t>
      </w:r>
      <w:r w:rsidR="004557D0">
        <w:t>.</w:t>
      </w:r>
      <w:r>
        <w:t>69(1)(b)</w:t>
      </w:r>
      <w:r w:rsidR="004557D0">
        <w:t xml:space="preserve"> refers]</w:t>
      </w:r>
      <w:r>
        <w:t>. This would be even more complex and costly than the current regime.</w:t>
      </w:r>
    </w:p>
    <w:p w:rsidR="00857E55" w:rsidRDefault="00857E55" w:rsidP="00857E55">
      <w:pPr>
        <w:pStyle w:val="Heading4"/>
      </w:pPr>
      <w:r>
        <w:t>Criteria</w:t>
      </w:r>
    </w:p>
    <w:p w:rsidR="00857E55" w:rsidRDefault="00D17FB1" w:rsidP="00857E55">
      <w:pPr>
        <w:pStyle w:val="Numberedpara3level1"/>
      </w:pPr>
      <w:r>
        <w:t>T</w:t>
      </w:r>
      <w:r w:rsidR="00857E55">
        <w:t xml:space="preserve">he following </w:t>
      </w:r>
      <w:r w:rsidR="002B0795">
        <w:t xml:space="preserve">five </w:t>
      </w:r>
      <w:r w:rsidR="00857E55">
        <w:t>criteria were used when assessing each option:</w:t>
      </w:r>
    </w:p>
    <w:p w:rsidR="00857E55" w:rsidRPr="009E2154" w:rsidRDefault="002B0795" w:rsidP="00857E55">
      <w:pPr>
        <w:pStyle w:val="Numberedpara3level211"/>
        <w:ind w:left="1134" w:hanging="567"/>
      </w:pPr>
      <w:r w:rsidRPr="002B0795">
        <w:rPr>
          <w:b/>
        </w:rPr>
        <w:lastRenderedPageBreak/>
        <w:t>Criterion 1</w:t>
      </w:r>
      <w:r>
        <w:t xml:space="preserve">: </w:t>
      </w:r>
      <w:r w:rsidR="00C542DC">
        <w:t>is the option</w:t>
      </w:r>
      <w:r w:rsidR="00C542DC" w:rsidRPr="009E2154">
        <w:t xml:space="preserve"> </w:t>
      </w:r>
      <w:r w:rsidR="00C542DC">
        <w:t>simple</w:t>
      </w:r>
      <w:r w:rsidR="00C542DC" w:rsidRPr="009E2154">
        <w:t xml:space="preserve"> to comply</w:t>
      </w:r>
      <w:r w:rsidR="00C542DC">
        <w:t xml:space="preserve"> with, reducing administrative time and cost for societies and venues, thereby maximising</w:t>
      </w:r>
      <w:r w:rsidR="00891585">
        <w:t xml:space="preserve"> </w:t>
      </w:r>
      <w:r w:rsidR="00857E55" w:rsidRPr="009E2154">
        <w:t>funds that are available for the community</w:t>
      </w:r>
      <w:r w:rsidR="00857E55">
        <w:t>?</w:t>
      </w:r>
      <w:r w:rsidR="00857E55" w:rsidRPr="009E2154">
        <w:t>;</w:t>
      </w:r>
    </w:p>
    <w:p w:rsidR="00857E55" w:rsidRPr="009E2154" w:rsidRDefault="002B0795" w:rsidP="00857E55">
      <w:pPr>
        <w:pStyle w:val="Numberedpara3level211"/>
        <w:ind w:left="1134" w:hanging="567"/>
      </w:pPr>
      <w:r w:rsidRPr="002B0795">
        <w:rPr>
          <w:b/>
        </w:rPr>
        <w:t>Criterion 2</w:t>
      </w:r>
      <w:r>
        <w:t xml:space="preserve">: </w:t>
      </w:r>
      <w:r w:rsidR="00857E55">
        <w:t xml:space="preserve">does the option </w:t>
      </w:r>
      <w:r w:rsidR="008B58CA">
        <w:t>introduce an</w:t>
      </w:r>
      <w:r w:rsidR="00C542DC">
        <w:t xml:space="preserve"> incentive for venue operators to diminish or ignore their responsibilities with respect to prevention and</w:t>
      </w:r>
      <w:r w:rsidR="008B58CA">
        <w:t xml:space="preserve"> minimisation of gambling harm</w:t>
      </w:r>
      <w:r w:rsidR="00857E55">
        <w:t>?</w:t>
      </w:r>
      <w:r w:rsidR="00857E55" w:rsidRPr="009E2154">
        <w:t>;</w:t>
      </w:r>
    </w:p>
    <w:p w:rsidR="00857E55" w:rsidRPr="009E2154" w:rsidRDefault="002B0795" w:rsidP="00857E55">
      <w:pPr>
        <w:pStyle w:val="Numberedpara3level211"/>
        <w:ind w:left="1134" w:hanging="567"/>
      </w:pPr>
      <w:r w:rsidRPr="002B0795">
        <w:rPr>
          <w:b/>
        </w:rPr>
        <w:t>Criterion 3</w:t>
      </w:r>
      <w:r>
        <w:t xml:space="preserve">: </w:t>
      </w:r>
      <w:r w:rsidR="00857E55">
        <w:t xml:space="preserve">is the option </w:t>
      </w:r>
      <w:r w:rsidR="00857E55" w:rsidRPr="009E2154">
        <w:t>transparent</w:t>
      </w:r>
      <w:r w:rsidR="00C542DC">
        <w:t xml:space="preserve"> about what is being paid to whom and for what purpose</w:t>
      </w:r>
      <w:r w:rsidR="00857E55">
        <w:t>?</w:t>
      </w:r>
      <w:r w:rsidR="00857E55" w:rsidRPr="009E2154">
        <w:t xml:space="preserve">; </w:t>
      </w:r>
    </w:p>
    <w:p w:rsidR="00857E55" w:rsidRPr="005C2ECB" w:rsidRDefault="002B0795" w:rsidP="00857E55">
      <w:pPr>
        <w:pStyle w:val="Numberedpara3level211"/>
        <w:ind w:left="1134" w:hanging="567"/>
      </w:pPr>
      <w:r w:rsidRPr="002B0795">
        <w:rPr>
          <w:b/>
        </w:rPr>
        <w:t>Criterion 4</w:t>
      </w:r>
      <w:r>
        <w:t xml:space="preserve">: </w:t>
      </w:r>
      <w:r w:rsidR="00857E55" w:rsidRPr="005C2ECB">
        <w:t>does the option minimise unintended behaviours</w:t>
      </w:r>
      <w:bookmarkStart w:id="98" w:name="_Toc244580365"/>
      <w:bookmarkStart w:id="99" w:name="_Toc244587041"/>
      <w:bookmarkStart w:id="100" w:name="_Toc244857275"/>
      <w:bookmarkStart w:id="101" w:name="_Toc244912540"/>
      <w:bookmarkStart w:id="102" w:name="_Toc244916997"/>
      <w:bookmarkStart w:id="103" w:name="_Toc362368106"/>
      <w:bookmarkStart w:id="104" w:name="_Toc362434947"/>
      <w:bookmarkStart w:id="105" w:name="_Toc362589333"/>
      <w:bookmarkStart w:id="106" w:name="_Toc362619033"/>
      <w:bookmarkStart w:id="107" w:name="_Toc362940597"/>
      <w:bookmarkStart w:id="108" w:name="_Toc363047105"/>
      <w:r w:rsidR="00C542DC">
        <w:t xml:space="preserve"> between societies and venue operators</w:t>
      </w:r>
      <w:r w:rsidR="00857E55" w:rsidRPr="005C2ECB">
        <w:t>?; and</w:t>
      </w:r>
    </w:p>
    <w:p w:rsidR="00857E55" w:rsidRPr="005C2ECB" w:rsidRDefault="002B0795" w:rsidP="00857E55">
      <w:pPr>
        <w:pStyle w:val="Numberedpara3level211"/>
        <w:ind w:left="1134" w:hanging="567"/>
      </w:pPr>
      <w:r w:rsidRPr="002B0795">
        <w:rPr>
          <w:b/>
        </w:rPr>
        <w:t>Criterion 5</w:t>
      </w:r>
      <w:r>
        <w:t xml:space="preserve">: </w:t>
      </w:r>
      <w:r w:rsidR="00857E55" w:rsidRPr="005C2ECB">
        <w:t>does the option fairly recompense venue</w:t>
      </w:r>
      <w:r w:rsidR="00C542DC">
        <w:t xml:space="preserve"> operators</w:t>
      </w:r>
      <w:r w:rsidR="00857E55" w:rsidRPr="005C2ECB">
        <w:t xml:space="preserve"> for </w:t>
      </w:r>
      <w:r w:rsidR="00C542DC">
        <w:t xml:space="preserve">their </w:t>
      </w:r>
      <w:r w:rsidR="00857E55" w:rsidRPr="005C2ECB">
        <w:t>costs</w:t>
      </w:r>
      <w:r w:rsidR="00C542DC">
        <w:t xml:space="preserve"> and the work that they do</w:t>
      </w:r>
      <w:r w:rsidR="00857E55" w:rsidRPr="005C2ECB">
        <w:t>.</w:t>
      </w:r>
    </w:p>
    <w:p w:rsidR="00163AD5" w:rsidRDefault="00163AD5" w:rsidP="00163AD5">
      <w:pPr>
        <w:pStyle w:val="Heading4"/>
      </w:pPr>
      <w:r>
        <w:t>Data sets</w:t>
      </w:r>
    </w:p>
    <w:p w:rsidR="00163AD5" w:rsidRDefault="00163AD5" w:rsidP="00163AD5">
      <w:pPr>
        <w:pStyle w:val="Numberedpara3level1"/>
      </w:pPr>
      <w:r>
        <w:t>The following two sample sets of venue payment data were used</w:t>
      </w:r>
      <w:r w:rsidR="00A42F5A">
        <w:t xml:space="preserve"> for the assessment of options</w:t>
      </w:r>
      <w:r>
        <w:t>:</w:t>
      </w:r>
    </w:p>
    <w:p w:rsidR="00163AD5" w:rsidRDefault="00163AD5" w:rsidP="00163AD5">
      <w:pPr>
        <w:pStyle w:val="Numberedpara3level211"/>
        <w:ind w:left="1134" w:hanging="567"/>
      </w:pPr>
      <w:r>
        <w:t xml:space="preserve">sample 1: </w:t>
      </w:r>
      <w:r w:rsidRPr="004949BC">
        <w:t xml:space="preserve">data on </w:t>
      </w:r>
      <w:r>
        <w:t xml:space="preserve">324 venues’ </w:t>
      </w:r>
      <w:r w:rsidRPr="004949BC">
        <w:t xml:space="preserve">average </w:t>
      </w:r>
      <w:r>
        <w:t xml:space="preserve">GMP and </w:t>
      </w:r>
      <w:r w:rsidRPr="004949BC">
        <w:t xml:space="preserve">venue </w:t>
      </w:r>
      <w:r>
        <w:t xml:space="preserve">payments </w:t>
      </w:r>
      <w:r w:rsidRPr="004949BC">
        <w:t>supplied to the Department by societies from 2013 to late 2014</w:t>
      </w:r>
      <w:r>
        <w:t>; and</w:t>
      </w:r>
    </w:p>
    <w:p w:rsidR="00163AD5" w:rsidRDefault="00163AD5" w:rsidP="00163AD5">
      <w:pPr>
        <w:pStyle w:val="Numberedpara3level211"/>
        <w:ind w:left="1134" w:hanging="567"/>
      </w:pPr>
      <w:r>
        <w:t xml:space="preserve">sample 2: </w:t>
      </w:r>
      <w:r w:rsidRPr="004949BC">
        <w:t xml:space="preserve">data on </w:t>
      </w:r>
      <w:r>
        <w:t>1269 venues’ average GMP and turnover for January to June 2015.</w:t>
      </w:r>
    </w:p>
    <w:bookmarkEnd w:id="98"/>
    <w:bookmarkEnd w:id="99"/>
    <w:bookmarkEnd w:id="100"/>
    <w:bookmarkEnd w:id="101"/>
    <w:bookmarkEnd w:id="102"/>
    <w:bookmarkEnd w:id="103"/>
    <w:bookmarkEnd w:id="104"/>
    <w:bookmarkEnd w:id="105"/>
    <w:bookmarkEnd w:id="106"/>
    <w:bookmarkEnd w:id="107"/>
    <w:bookmarkEnd w:id="108"/>
    <w:p w:rsidR="00D17FB1" w:rsidRDefault="00D17FB1" w:rsidP="00D17FB1">
      <w:pPr>
        <w:pStyle w:val="Heading4"/>
      </w:pPr>
      <w:r>
        <w:t>Co-design of the preferred option</w:t>
      </w:r>
    </w:p>
    <w:p w:rsidR="00D17FB1" w:rsidRDefault="00D17FB1" w:rsidP="00D17FB1">
      <w:pPr>
        <w:pStyle w:val="Numberedpara3level1"/>
      </w:pPr>
      <w:r>
        <w:t xml:space="preserve">From </w:t>
      </w:r>
      <w:r w:rsidRPr="002E5B74">
        <w:t>September</w:t>
      </w:r>
      <w:r>
        <w:t xml:space="preserve"> 2015</w:t>
      </w:r>
      <w:r w:rsidRPr="002E5B74">
        <w:t xml:space="preserve"> </w:t>
      </w:r>
      <w:r>
        <w:t xml:space="preserve">to March 2016 </w:t>
      </w:r>
      <w:r w:rsidRPr="002E5B74">
        <w:t xml:space="preserve">the Department convened a </w:t>
      </w:r>
      <w:r>
        <w:t xml:space="preserve">working </w:t>
      </w:r>
      <w:r w:rsidRPr="002E5B74">
        <w:t xml:space="preserve">group to </w:t>
      </w:r>
      <w:r>
        <w:t xml:space="preserve">co-design </w:t>
      </w:r>
      <w:r w:rsidRPr="002E5B74">
        <w:t>a new venue payment</w:t>
      </w:r>
      <w:r>
        <w:t>s</w:t>
      </w:r>
      <w:r w:rsidRPr="002E5B74">
        <w:t xml:space="preserve"> regime for </w:t>
      </w:r>
      <w:r w:rsidR="001C006A">
        <w:t xml:space="preserve">class </w:t>
      </w:r>
      <w:r w:rsidRPr="002E5B74">
        <w:t xml:space="preserve">4 gambling. The </w:t>
      </w:r>
      <w:r>
        <w:t>working</w:t>
      </w:r>
      <w:r w:rsidRPr="002E5B74">
        <w:t xml:space="preserve"> group included </w:t>
      </w:r>
      <w:r>
        <w:t xml:space="preserve">participants </w:t>
      </w:r>
      <w:r w:rsidRPr="002E5B74">
        <w:t xml:space="preserve">from </w:t>
      </w:r>
      <w:r>
        <w:t xml:space="preserve">corporate </w:t>
      </w:r>
      <w:r w:rsidRPr="002E5B74">
        <w:t>societies</w:t>
      </w:r>
      <w:r>
        <w:t>,</w:t>
      </w:r>
      <w:r w:rsidRPr="002E5B74">
        <w:t xml:space="preserve"> venue operators</w:t>
      </w:r>
      <w:r>
        <w:t>,</w:t>
      </w:r>
      <w:r w:rsidRPr="002E5B74">
        <w:t xml:space="preserve"> </w:t>
      </w:r>
      <w:r>
        <w:t xml:space="preserve">and </w:t>
      </w:r>
      <w:r w:rsidRPr="002E5B74">
        <w:t>pro</w:t>
      </w:r>
      <w:r>
        <w:t xml:space="preserve">blem gambling service providers. The Department and the working group discussed each of the above decision points and options </w:t>
      </w:r>
      <w:r w:rsidR="00B43DC6">
        <w:t xml:space="preserve">in detail. The following impact analysis </w:t>
      </w:r>
      <w:r w:rsidR="0054250F">
        <w:t>includes</w:t>
      </w:r>
      <w:r w:rsidR="00B43DC6">
        <w:t xml:space="preserve"> the working group’s preference </w:t>
      </w:r>
      <w:r w:rsidR="0054250F">
        <w:t xml:space="preserve">for each </w:t>
      </w:r>
      <w:r w:rsidR="00EC468D">
        <w:t xml:space="preserve">decision point </w:t>
      </w:r>
      <w:r w:rsidR="00B43DC6">
        <w:t>and the Department’s comment.</w:t>
      </w:r>
    </w:p>
    <w:p w:rsidR="005B6799" w:rsidRDefault="005B6799" w:rsidP="005B6799">
      <w:pPr>
        <w:pStyle w:val="Heading3"/>
      </w:pPr>
      <w:bookmarkStart w:id="109" w:name="_Toc448240245"/>
      <w:bookmarkStart w:id="110" w:name="_Toc448499776"/>
      <w:r>
        <w:t>I</w:t>
      </w:r>
      <w:r w:rsidR="00163AD5">
        <w:t>mpact analysis</w:t>
      </w:r>
      <w:bookmarkEnd w:id="109"/>
      <w:bookmarkEnd w:id="110"/>
    </w:p>
    <w:p w:rsidR="00857E55" w:rsidRDefault="00C542DC" w:rsidP="00857E55">
      <w:pPr>
        <w:pStyle w:val="Heading4"/>
      </w:pPr>
      <w:r>
        <w:t>Decision 1: c</w:t>
      </w:r>
      <w:r w:rsidR="00857E55">
        <w:t xml:space="preserve">ommission-based or </w:t>
      </w:r>
      <w:r w:rsidR="00D038D8">
        <w:t>other system?</w:t>
      </w:r>
    </w:p>
    <w:p w:rsidR="00587983" w:rsidRDefault="0072444A" w:rsidP="00961D4B">
      <w:pPr>
        <w:pStyle w:val="Numberedpara3level1"/>
      </w:pPr>
      <w:r>
        <w:t>Four options were considered alongside a commission-based system. The following table (</w:t>
      </w:r>
      <w:r w:rsidR="00D038D8">
        <w:t xml:space="preserve">Table </w:t>
      </w:r>
      <w:r w:rsidR="00B3685A">
        <w:t>4</w:t>
      </w:r>
      <w:r>
        <w:t>)</w:t>
      </w:r>
      <w:r w:rsidR="00D038D8">
        <w:t xml:space="preserve"> </w:t>
      </w:r>
      <w:r w:rsidR="00877D1E">
        <w:t>describes</w:t>
      </w:r>
      <w:r w:rsidR="00895BC2">
        <w:t xml:space="preserve"> how each of the</w:t>
      </w:r>
      <w:r>
        <w:t xml:space="preserve"> op</w:t>
      </w:r>
      <w:r w:rsidR="00895BC2">
        <w:t xml:space="preserve">tions </w:t>
      </w:r>
      <w:r w:rsidR="00207300">
        <w:t>meet</w:t>
      </w:r>
      <w:r w:rsidR="00FB74DC">
        <w:t>s</w:t>
      </w:r>
      <w:r w:rsidR="00877D1E">
        <w:t xml:space="preserve"> </w:t>
      </w:r>
      <w:r w:rsidR="00895BC2">
        <w:t>the assessment criteria.</w:t>
      </w:r>
      <w:r w:rsidR="00163AD5">
        <w:t xml:space="preserve"> </w:t>
      </w:r>
    </w:p>
    <w:p w:rsidR="00A91B94" w:rsidRDefault="00A91B94" w:rsidP="00210066">
      <w:pPr>
        <w:pStyle w:val="Numberedpara3level1"/>
        <w:numPr>
          <w:ilvl w:val="0"/>
          <w:numId w:val="0"/>
        </w:numPr>
        <w:ind w:left="567"/>
      </w:pPr>
    </w:p>
    <w:p w:rsidR="00A91B94" w:rsidRDefault="00A91B94" w:rsidP="00A91B94">
      <w:pPr>
        <w:pStyle w:val="Numberedpara3level1"/>
        <w:numPr>
          <w:ilvl w:val="0"/>
          <w:numId w:val="0"/>
        </w:numPr>
        <w:ind w:left="567" w:hanging="567"/>
      </w:pPr>
    </w:p>
    <w:p w:rsidR="00A91B94" w:rsidRDefault="00A91B94" w:rsidP="00A91B94">
      <w:pPr>
        <w:pStyle w:val="Numberedpara3level1"/>
        <w:numPr>
          <w:ilvl w:val="0"/>
          <w:numId w:val="0"/>
        </w:numPr>
        <w:ind w:left="567" w:hanging="567"/>
        <w:sectPr w:rsidR="00A91B94" w:rsidSect="00353A1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134" w:left="1418" w:header="454" w:footer="454" w:gutter="0"/>
          <w:cols w:space="720"/>
          <w:titlePg/>
          <w:docGrid w:linePitch="326"/>
        </w:sectPr>
      </w:pPr>
    </w:p>
    <w:p w:rsidR="00961D4B" w:rsidRPr="00587983" w:rsidRDefault="00B3685A" w:rsidP="00C124CD">
      <w:pPr>
        <w:pStyle w:val="Numberedpara3level1"/>
        <w:numPr>
          <w:ilvl w:val="0"/>
          <w:numId w:val="0"/>
        </w:numPr>
        <w:rPr>
          <w:b/>
          <w:i/>
        </w:rPr>
      </w:pPr>
      <w:r>
        <w:rPr>
          <w:b/>
          <w:i/>
        </w:rPr>
        <w:lastRenderedPageBreak/>
        <w:t>Table 4</w:t>
      </w:r>
      <w:r w:rsidR="00587983">
        <w:rPr>
          <w:b/>
          <w:i/>
        </w:rPr>
        <w:t xml:space="preserve">: </w:t>
      </w:r>
      <w:r w:rsidR="0072444A">
        <w:rPr>
          <w:b/>
          <w:i/>
        </w:rPr>
        <w:t xml:space="preserve">Analysis of </w:t>
      </w:r>
      <w:r w:rsidR="00A04956">
        <w:rPr>
          <w:b/>
          <w:i/>
        </w:rPr>
        <w:t xml:space="preserve">Decision </w:t>
      </w:r>
      <w:r w:rsidR="0072444A">
        <w:rPr>
          <w:b/>
          <w:i/>
        </w:rPr>
        <w:t>1 – should the new venue payments regime be commission based, or some other system?</w:t>
      </w:r>
    </w:p>
    <w:tbl>
      <w:tblPr>
        <w:tblW w:w="5000" w:type="pct"/>
        <w:jc w:val="center"/>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2178"/>
        <w:gridCol w:w="3124"/>
        <w:gridCol w:w="2860"/>
        <w:gridCol w:w="1999"/>
        <w:gridCol w:w="2260"/>
        <w:gridCol w:w="2083"/>
      </w:tblGrid>
      <w:tr w:rsidR="00213F09" w:rsidRPr="00D150DA" w:rsidTr="00FB74DC">
        <w:trPr>
          <w:tblHeader/>
          <w:jc w:val="center"/>
        </w:trPr>
        <w:tc>
          <w:tcPr>
            <w:tcW w:w="751" w:type="pct"/>
            <w:tcBorders>
              <w:top w:val="single" w:sz="6" w:space="0" w:color="1F546B"/>
              <w:left w:val="single" w:sz="12" w:space="0" w:color="1F546B"/>
              <w:bottom w:val="single" w:sz="12" w:space="0" w:color="1F546B"/>
              <w:right w:val="single" w:sz="6" w:space="0" w:color="FFFFFF"/>
              <w:tl2br w:val="nil"/>
              <w:tr2bl w:val="nil"/>
            </w:tcBorders>
            <w:shd w:val="clear" w:color="auto" w:fill="0B5369"/>
          </w:tcPr>
          <w:p w:rsidR="00A84EE1" w:rsidRPr="00A84EE1" w:rsidRDefault="00A84EE1" w:rsidP="00936452">
            <w:pPr>
              <w:spacing w:after="120"/>
              <w:jc w:val="both"/>
              <w:rPr>
                <w:rFonts w:cs="Arial"/>
                <w:b/>
                <w:color w:val="FFFFFF"/>
                <w:sz w:val="22"/>
                <w:szCs w:val="22"/>
              </w:rPr>
            </w:pPr>
            <w:r w:rsidRPr="00A84EE1">
              <w:rPr>
                <w:rFonts w:cs="Arial"/>
                <w:b/>
                <w:color w:val="FFFFFF"/>
                <w:sz w:val="22"/>
                <w:szCs w:val="22"/>
              </w:rPr>
              <w:t>Criteria</w:t>
            </w:r>
          </w:p>
        </w:tc>
        <w:tc>
          <w:tcPr>
            <w:tcW w:w="1077"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72444A" w:rsidRDefault="0072444A" w:rsidP="00936452">
            <w:pPr>
              <w:spacing w:after="120"/>
              <w:rPr>
                <w:rFonts w:cs="Arial"/>
                <w:b/>
                <w:color w:val="FFFFFF"/>
                <w:sz w:val="22"/>
                <w:szCs w:val="22"/>
              </w:rPr>
            </w:pPr>
            <w:r>
              <w:rPr>
                <w:rFonts w:cs="Arial"/>
                <w:b/>
                <w:color w:val="FFFFFF"/>
                <w:sz w:val="22"/>
                <w:szCs w:val="22"/>
              </w:rPr>
              <w:t>Option 1:</w:t>
            </w:r>
          </w:p>
          <w:p w:rsidR="00A84EE1" w:rsidRPr="00A84EE1" w:rsidRDefault="00A84EE1" w:rsidP="00936452">
            <w:pPr>
              <w:spacing w:after="120"/>
              <w:rPr>
                <w:rFonts w:cs="Arial"/>
                <w:b/>
                <w:color w:val="FFFFFF"/>
                <w:sz w:val="22"/>
                <w:szCs w:val="22"/>
              </w:rPr>
            </w:pPr>
            <w:r w:rsidRPr="00A84EE1">
              <w:rPr>
                <w:rFonts w:cs="Arial"/>
                <w:b/>
                <w:color w:val="FFFFFF"/>
                <w:sz w:val="22"/>
                <w:szCs w:val="22"/>
              </w:rPr>
              <w:t>Status quo</w:t>
            </w:r>
          </w:p>
        </w:tc>
        <w:tc>
          <w:tcPr>
            <w:tcW w:w="986"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72444A" w:rsidRDefault="0072444A" w:rsidP="00936452">
            <w:pPr>
              <w:spacing w:after="120"/>
              <w:rPr>
                <w:rFonts w:cs="Arial"/>
                <w:b/>
                <w:color w:val="FFFFFF"/>
                <w:sz w:val="22"/>
                <w:szCs w:val="22"/>
              </w:rPr>
            </w:pPr>
            <w:r>
              <w:rPr>
                <w:rFonts w:cs="Arial"/>
                <w:b/>
                <w:color w:val="FFFFFF"/>
                <w:sz w:val="22"/>
                <w:szCs w:val="22"/>
              </w:rPr>
              <w:t>Option 2:</w:t>
            </w:r>
          </w:p>
          <w:p w:rsidR="00A84EE1" w:rsidRPr="00A84EE1" w:rsidRDefault="00A84EE1" w:rsidP="00936452">
            <w:pPr>
              <w:spacing w:after="120"/>
              <w:rPr>
                <w:rFonts w:cs="Arial"/>
                <w:b/>
                <w:color w:val="FFFFFF"/>
                <w:sz w:val="22"/>
                <w:szCs w:val="22"/>
              </w:rPr>
            </w:pPr>
            <w:r w:rsidRPr="00A84EE1">
              <w:rPr>
                <w:rFonts w:cs="Arial"/>
                <w:b/>
                <w:color w:val="FFFFFF"/>
                <w:sz w:val="22"/>
                <w:szCs w:val="22"/>
              </w:rPr>
              <w:t>Commission</w:t>
            </w:r>
          </w:p>
        </w:tc>
        <w:tc>
          <w:tcPr>
            <w:tcW w:w="689"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72444A" w:rsidRDefault="0072444A" w:rsidP="00936452">
            <w:pPr>
              <w:spacing w:after="120"/>
              <w:rPr>
                <w:rFonts w:cs="Arial"/>
                <w:b/>
                <w:color w:val="FFFFFF"/>
                <w:sz w:val="22"/>
                <w:szCs w:val="22"/>
              </w:rPr>
            </w:pPr>
            <w:r>
              <w:rPr>
                <w:rFonts w:cs="Arial"/>
                <w:b/>
                <w:color w:val="FFFFFF"/>
                <w:sz w:val="22"/>
                <w:szCs w:val="22"/>
              </w:rPr>
              <w:t>Option 3:</w:t>
            </w:r>
          </w:p>
          <w:p w:rsidR="00A84EE1" w:rsidRPr="00A84EE1" w:rsidRDefault="00A84EE1" w:rsidP="00936452">
            <w:pPr>
              <w:spacing w:after="120"/>
              <w:rPr>
                <w:rFonts w:cs="Arial"/>
                <w:b/>
                <w:color w:val="FFFFFF"/>
                <w:sz w:val="22"/>
                <w:szCs w:val="22"/>
              </w:rPr>
            </w:pPr>
            <w:r w:rsidRPr="00A84EE1">
              <w:rPr>
                <w:rFonts w:cs="Arial"/>
                <w:b/>
                <w:color w:val="FFFFFF"/>
                <w:sz w:val="22"/>
                <w:szCs w:val="22"/>
              </w:rPr>
              <w:t>Fixed payment per gaming machine</w:t>
            </w:r>
          </w:p>
        </w:tc>
        <w:tc>
          <w:tcPr>
            <w:tcW w:w="779"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72444A" w:rsidRDefault="0072444A" w:rsidP="00936452">
            <w:pPr>
              <w:spacing w:after="120"/>
              <w:rPr>
                <w:rFonts w:cs="Arial"/>
                <w:b/>
                <w:color w:val="FFFFFF"/>
                <w:sz w:val="22"/>
                <w:szCs w:val="22"/>
              </w:rPr>
            </w:pPr>
            <w:r>
              <w:rPr>
                <w:rFonts w:cs="Arial"/>
                <w:b/>
                <w:color w:val="FFFFFF"/>
                <w:sz w:val="22"/>
                <w:szCs w:val="22"/>
              </w:rPr>
              <w:t>Option 4:</w:t>
            </w:r>
          </w:p>
          <w:p w:rsidR="00A84EE1" w:rsidRPr="00A84EE1" w:rsidRDefault="00A84EE1" w:rsidP="00936452">
            <w:pPr>
              <w:spacing w:after="120"/>
              <w:rPr>
                <w:rFonts w:cs="Arial"/>
                <w:b/>
                <w:color w:val="FFFFFF"/>
                <w:sz w:val="22"/>
                <w:szCs w:val="22"/>
              </w:rPr>
            </w:pPr>
            <w:r w:rsidRPr="00A84EE1">
              <w:rPr>
                <w:rFonts w:cs="Arial"/>
                <w:b/>
                <w:color w:val="FFFFFF"/>
                <w:sz w:val="22"/>
                <w:szCs w:val="22"/>
              </w:rPr>
              <w:t>Combination of a fixed  fee plus commission</w:t>
            </w:r>
          </w:p>
        </w:tc>
        <w:tc>
          <w:tcPr>
            <w:tcW w:w="718" w:type="pct"/>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72444A" w:rsidRDefault="0072444A" w:rsidP="00936452">
            <w:pPr>
              <w:spacing w:after="120"/>
              <w:rPr>
                <w:rFonts w:cs="Arial"/>
                <w:b/>
                <w:color w:val="FFFFFF"/>
                <w:sz w:val="22"/>
                <w:szCs w:val="22"/>
              </w:rPr>
            </w:pPr>
            <w:r>
              <w:rPr>
                <w:rFonts w:cs="Arial"/>
                <w:b/>
                <w:color w:val="FFFFFF"/>
                <w:sz w:val="22"/>
                <w:szCs w:val="22"/>
              </w:rPr>
              <w:t>Option 5:</w:t>
            </w:r>
          </w:p>
          <w:p w:rsidR="00A84EE1" w:rsidRPr="00A84EE1" w:rsidRDefault="00A84EE1" w:rsidP="00936452">
            <w:pPr>
              <w:spacing w:after="120"/>
              <w:rPr>
                <w:rFonts w:cs="Arial"/>
                <w:b/>
                <w:color w:val="FFFFFF"/>
                <w:sz w:val="22"/>
                <w:szCs w:val="22"/>
              </w:rPr>
            </w:pPr>
            <w:r w:rsidRPr="00A84EE1">
              <w:rPr>
                <w:rFonts w:cs="Arial"/>
                <w:b/>
                <w:color w:val="FFFFFF"/>
                <w:sz w:val="22"/>
                <w:szCs w:val="22"/>
              </w:rPr>
              <w:t>Formula that mimics current actual payments and costs</w:t>
            </w:r>
          </w:p>
        </w:tc>
      </w:tr>
      <w:tr w:rsidR="00213F09" w:rsidRPr="00D150DA" w:rsidTr="00FB74DC">
        <w:trPr>
          <w:jc w:val="center"/>
        </w:trPr>
        <w:tc>
          <w:tcPr>
            <w:tcW w:w="751" w:type="pct"/>
            <w:shd w:val="clear" w:color="auto" w:fill="auto"/>
          </w:tcPr>
          <w:p w:rsidR="00A84EE1" w:rsidRPr="0072444A" w:rsidRDefault="0072444A" w:rsidP="0072444A">
            <w:pPr>
              <w:spacing w:after="120"/>
              <w:rPr>
                <w:b/>
                <w:sz w:val="22"/>
                <w:szCs w:val="22"/>
              </w:rPr>
            </w:pPr>
            <w:r>
              <w:rPr>
                <w:b/>
                <w:sz w:val="22"/>
                <w:szCs w:val="22"/>
              </w:rPr>
              <w:t>I</w:t>
            </w:r>
            <w:r w:rsidRPr="0072444A">
              <w:rPr>
                <w:b/>
                <w:sz w:val="22"/>
                <w:szCs w:val="22"/>
              </w:rPr>
              <w:t>s the option simple to comply with, reducing administrative time and cost for societies and venues, thereby maximising funds that are available for the community?</w:t>
            </w:r>
          </w:p>
        </w:tc>
        <w:tc>
          <w:tcPr>
            <w:tcW w:w="1077" w:type="pct"/>
            <w:shd w:val="clear" w:color="auto" w:fill="auto"/>
          </w:tcPr>
          <w:p w:rsidR="00A84EE1" w:rsidRPr="00A84EE1" w:rsidRDefault="0072444A" w:rsidP="00936452">
            <w:pPr>
              <w:spacing w:after="120"/>
              <w:rPr>
                <w:rFonts w:cs="Arial"/>
                <w:sz w:val="22"/>
                <w:szCs w:val="22"/>
              </w:rPr>
            </w:pPr>
            <w:r>
              <w:rPr>
                <w:rFonts w:cs="Arial"/>
                <w:sz w:val="22"/>
                <w:szCs w:val="22"/>
              </w:rPr>
              <w:t>No</w:t>
            </w:r>
            <w:r w:rsidR="00A84EE1" w:rsidRPr="00A84EE1">
              <w:rPr>
                <w:rFonts w:cs="Arial"/>
                <w:sz w:val="22"/>
                <w:szCs w:val="22"/>
              </w:rPr>
              <w:t xml:space="preserve">. </w:t>
            </w:r>
          </w:p>
          <w:p w:rsidR="00A84EE1" w:rsidRPr="00A84EE1" w:rsidRDefault="00A84EE1" w:rsidP="00936452">
            <w:pPr>
              <w:spacing w:after="120"/>
              <w:rPr>
                <w:rFonts w:cs="Arial"/>
                <w:sz w:val="22"/>
                <w:szCs w:val="22"/>
              </w:rPr>
            </w:pPr>
            <w:r w:rsidRPr="00A84EE1">
              <w:rPr>
                <w:rFonts w:cs="Arial"/>
                <w:sz w:val="22"/>
                <w:szCs w:val="22"/>
              </w:rPr>
              <w:t>The status quo is based on operating hours and machines and not productivity/revenue. It imposes significant administration costs for venues, societies and the regulator. The greater the administrative cost, the less opportunity there is for efficiencies, which in turn reduces the funds available for the community.</w:t>
            </w:r>
          </w:p>
        </w:tc>
        <w:tc>
          <w:tcPr>
            <w:tcW w:w="986" w:type="pct"/>
          </w:tcPr>
          <w:p w:rsidR="00A84EE1" w:rsidRPr="00A84EE1" w:rsidRDefault="0072444A" w:rsidP="00936452">
            <w:pPr>
              <w:pStyle w:val="Bullet"/>
              <w:numPr>
                <w:ilvl w:val="0"/>
                <w:numId w:val="0"/>
              </w:numPr>
              <w:spacing w:before="120" w:after="120"/>
              <w:rPr>
                <w:sz w:val="22"/>
                <w:szCs w:val="22"/>
              </w:rPr>
            </w:pPr>
            <w:r>
              <w:rPr>
                <w:sz w:val="22"/>
                <w:szCs w:val="22"/>
              </w:rPr>
              <w:t>Yes</w:t>
            </w:r>
            <w:r w:rsidR="00A84EE1" w:rsidRPr="00A84EE1">
              <w:rPr>
                <w:sz w:val="22"/>
                <w:szCs w:val="22"/>
              </w:rPr>
              <w:t xml:space="preserve">. </w:t>
            </w:r>
          </w:p>
          <w:p w:rsidR="00A84EE1" w:rsidRPr="00A84EE1" w:rsidRDefault="00A84EE1" w:rsidP="00936452">
            <w:pPr>
              <w:pStyle w:val="Bullet"/>
              <w:numPr>
                <w:ilvl w:val="0"/>
                <w:numId w:val="0"/>
              </w:numPr>
              <w:spacing w:before="120" w:after="120"/>
              <w:rPr>
                <w:sz w:val="22"/>
                <w:szCs w:val="22"/>
              </w:rPr>
            </w:pPr>
            <w:r w:rsidRPr="00A84EE1">
              <w:rPr>
                <w:sz w:val="22"/>
                <w:szCs w:val="22"/>
              </w:rPr>
              <w:t xml:space="preserve">A commission-based system </w:t>
            </w:r>
            <w:r w:rsidR="0047491A">
              <w:rPr>
                <w:sz w:val="22"/>
                <w:szCs w:val="22"/>
              </w:rPr>
              <w:t xml:space="preserve">removes the requirement to calculate costs based on ARN limits and complete detailed venue cost schedules. This </w:t>
            </w:r>
            <w:r w:rsidRPr="00A84EE1">
              <w:rPr>
                <w:sz w:val="22"/>
                <w:szCs w:val="22"/>
              </w:rPr>
              <w:t xml:space="preserve">significantly reduces administration costs for societies </w:t>
            </w:r>
            <w:r w:rsidR="0047491A">
              <w:rPr>
                <w:sz w:val="22"/>
                <w:szCs w:val="22"/>
              </w:rPr>
              <w:t>me</w:t>
            </w:r>
            <w:r w:rsidRPr="00A84EE1">
              <w:rPr>
                <w:sz w:val="22"/>
                <w:szCs w:val="22"/>
              </w:rPr>
              <w:t>aning that more money can be freed up and used for community purposes.</w:t>
            </w:r>
          </w:p>
          <w:p w:rsidR="00A84EE1" w:rsidRPr="00A84EE1" w:rsidRDefault="00A84EE1" w:rsidP="00936452">
            <w:pPr>
              <w:pStyle w:val="Bullet"/>
              <w:numPr>
                <w:ilvl w:val="0"/>
                <w:numId w:val="0"/>
              </w:numPr>
              <w:spacing w:before="120" w:after="120"/>
              <w:rPr>
                <w:sz w:val="22"/>
                <w:szCs w:val="22"/>
              </w:rPr>
            </w:pPr>
            <w:r w:rsidRPr="00A84EE1">
              <w:rPr>
                <w:sz w:val="22"/>
                <w:szCs w:val="22"/>
              </w:rPr>
              <w:t>However, the disestablishment of operating hours to underpin payments has the potential to reduce available funds through reducing gross proceeds generated. This may be offset by increased revenue in other venues.</w:t>
            </w:r>
          </w:p>
          <w:p w:rsidR="00A84EE1" w:rsidRDefault="00A84EE1" w:rsidP="00936452">
            <w:pPr>
              <w:pStyle w:val="Bullet"/>
              <w:numPr>
                <w:ilvl w:val="0"/>
                <w:numId w:val="0"/>
              </w:numPr>
              <w:spacing w:before="120" w:after="120"/>
              <w:rPr>
                <w:sz w:val="22"/>
                <w:szCs w:val="22"/>
              </w:rPr>
            </w:pPr>
            <w:r w:rsidRPr="00A84EE1">
              <w:rPr>
                <w:sz w:val="22"/>
                <w:szCs w:val="22"/>
              </w:rPr>
              <w:t xml:space="preserve">Overall, total funds to the community are expected to </w:t>
            </w:r>
            <w:r w:rsidRPr="00A84EE1">
              <w:rPr>
                <w:sz w:val="22"/>
                <w:szCs w:val="22"/>
              </w:rPr>
              <w:lastRenderedPageBreak/>
              <w:t>remain the same.</w:t>
            </w:r>
          </w:p>
          <w:p w:rsidR="00A42F5A" w:rsidRPr="00A84EE1" w:rsidRDefault="00A42F5A" w:rsidP="00936452">
            <w:pPr>
              <w:pStyle w:val="Bullet"/>
              <w:numPr>
                <w:ilvl w:val="0"/>
                <w:numId w:val="0"/>
              </w:numPr>
              <w:spacing w:before="120" w:after="120"/>
              <w:rPr>
                <w:sz w:val="22"/>
                <w:szCs w:val="22"/>
              </w:rPr>
            </w:pPr>
          </w:p>
        </w:tc>
        <w:tc>
          <w:tcPr>
            <w:tcW w:w="689" w:type="pct"/>
          </w:tcPr>
          <w:p w:rsidR="00A84EE1" w:rsidRPr="00A84EE1" w:rsidRDefault="0072444A" w:rsidP="00936452">
            <w:pPr>
              <w:pStyle w:val="Bullet"/>
              <w:numPr>
                <w:ilvl w:val="0"/>
                <w:numId w:val="0"/>
              </w:numPr>
              <w:spacing w:before="120" w:after="120"/>
              <w:rPr>
                <w:sz w:val="22"/>
                <w:szCs w:val="22"/>
              </w:rPr>
            </w:pPr>
            <w:r>
              <w:rPr>
                <w:sz w:val="22"/>
                <w:szCs w:val="22"/>
              </w:rPr>
              <w:lastRenderedPageBreak/>
              <w:t>No</w:t>
            </w:r>
            <w:r w:rsidR="00A84EE1" w:rsidRPr="00A84EE1">
              <w:rPr>
                <w:sz w:val="22"/>
                <w:szCs w:val="22"/>
              </w:rPr>
              <w:t xml:space="preserve">. </w:t>
            </w:r>
          </w:p>
          <w:p w:rsidR="00A84EE1" w:rsidRPr="00A84EE1" w:rsidRDefault="00A84EE1" w:rsidP="00936452">
            <w:pPr>
              <w:pStyle w:val="Bullet"/>
              <w:numPr>
                <w:ilvl w:val="0"/>
                <w:numId w:val="0"/>
              </w:numPr>
              <w:spacing w:before="120" w:after="120"/>
              <w:rPr>
                <w:sz w:val="22"/>
                <w:szCs w:val="22"/>
              </w:rPr>
            </w:pPr>
            <w:r w:rsidRPr="00A84EE1">
              <w:rPr>
                <w:sz w:val="22"/>
                <w:szCs w:val="22"/>
              </w:rPr>
              <w:t xml:space="preserve">There would </w:t>
            </w:r>
            <w:r w:rsidR="0047491A">
              <w:rPr>
                <w:sz w:val="22"/>
                <w:szCs w:val="22"/>
              </w:rPr>
              <w:t xml:space="preserve">be </w:t>
            </w:r>
            <w:r w:rsidRPr="00A84EE1">
              <w:rPr>
                <w:sz w:val="22"/>
                <w:szCs w:val="22"/>
              </w:rPr>
              <w:t>no incentive to operate machines to raise money for the community. It incentivises inefficient utilisation of gaming machines assets.</w:t>
            </w:r>
          </w:p>
        </w:tc>
        <w:tc>
          <w:tcPr>
            <w:tcW w:w="779" w:type="pct"/>
          </w:tcPr>
          <w:p w:rsidR="00A84EE1" w:rsidRPr="00A84EE1" w:rsidRDefault="0072444A" w:rsidP="00936452">
            <w:pPr>
              <w:pStyle w:val="Bullet"/>
              <w:numPr>
                <w:ilvl w:val="0"/>
                <w:numId w:val="0"/>
              </w:numPr>
              <w:spacing w:before="120" w:after="120"/>
              <w:rPr>
                <w:sz w:val="22"/>
                <w:szCs w:val="22"/>
              </w:rPr>
            </w:pPr>
            <w:r>
              <w:rPr>
                <w:sz w:val="22"/>
                <w:szCs w:val="22"/>
              </w:rPr>
              <w:t>No</w:t>
            </w:r>
            <w:r w:rsidR="00A84EE1" w:rsidRPr="00A84EE1">
              <w:rPr>
                <w:sz w:val="22"/>
                <w:szCs w:val="22"/>
              </w:rPr>
              <w:t xml:space="preserve">. </w:t>
            </w:r>
          </w:p>
          <w:p w:rsidR="00A84EE1" w:rsidRPr="00A84EE1" w:rsidRDefault="00A84EE1" w:rsidP="00936452">
            <w:pPr>
              <w:pStyle w:val="Bullet"/>
              <w:numPr>
                <w:ilvl w:val="0"/>
                <w:numId w:val="0"/>
              </w:numPr>
              <w:spacing w:before="120" w:after="120"/>
              <w:rPr>
                <w:sz w:val="22"/>
                <w:szCs w:val="22"/>
              </w:rPr>
            </w:pPr>
            <w:r w:rsidRPr="00A84EE1">
              <w:rPr>
                <w:sz w:val="22"/>
                <w:szCs w:val="22"/>
              </w:rPr>
              <w:t xml:space="preserve">But it would depend on how the fixed fee portion of the payment was set. If the resulting payment was inadequate to compensate venues for the costs, operating hours would reduce and gross profits and funds raised would fall. </w:t>
            </w:r>
          </w:p>
        </w:tc>
        <w:tc>
          <w:tcPr>
            <w:tcW w:w="718" w:type="pct"/>
          </w:tcPr>
          <w:p w:rsidR="00A84EE1" w:rsidRPr="00A84EE1" w:rsidRDefault="0072444A" w:rsidP="00936452">
            <w:pPr>
              <w:pStyle w:val="Bullet"/>
              <w:numPr>
                <w:ilvl w:val="0"/>
                <w:numId w:val="0"/>
              </w:numPr>
              <w:spacing w:before="120" w:after="120"/>
              <w:rPr>
                <w:sz w:val="22"/>
                <w:szCs w:val="22"/>
              </w:rPr>
            </w:pPr>
            <w:r>
              <w:rPr>
                <w:sz w:val="22"/>
                <w:szCs w:val="22"/>
              </w:rPr>
              <w:t>No</w:t>
            </w:r>
            <w:r w:rsidR="00A84EE1" w:rsidRPr="00A84EE1">
              <w:rPr>
                <w:sz w:val="22"/>
                <w:szCs w:val="22"/>
              </w:rPr>
              <w:t xml:space="preserve">. </w:t>
            </w:r>
          </w:p>
          <w:p w:rsidR="00A84EE1" w:rsidRPr="00A84EE1" w:rsidRDefault="00A84EE1" w:rsidP="00936452">
            <w:pPr>
              <w:pStyle w:val="Bullet"/>
              <w:numPr>
                <w:ilvl w:val="0"/>
                <w:numId w:val="0"/>
              </w:numPr>
              <w:spacing w:before="120" w:after="120"/>
              <w:rPr>
                <w:sz w:val="22"/>
                <w:szCs w:val="22"/>
              </w:rPr>
            </w:pPr>
            <w:r w:rsidRPr="00A84EE1">
              <w:rPr>
                <w:sz w:val="22"/>
                <w:szCs w:val="22"/>
              </w:rPr>
              <w:t>Productivity would be capped at what venues receive now. Venues would not open once the payment reached the cap and GMP would not be raised beyond this point. Proceeds to the community would be lost.</w:t>
            </w:r>
          </w:p>
        </w:tc>
      </w:tr>
      <w:tr w:rsidR="00213F09" w:rsidRPr="00D150DA" w:rsidTr="00FB74DC">
        <w:trPr>
          <w:jc w:val="center"/>
        </w:trPr>
        <w:tc>
          <w:tcPr>
            <w:tcW w:w="751" w:type="pct"/>
            <w:shd w:val="clear" w:color="auto" w:fill="auto"/>
          </w:tcPr>
          <w:p w:rsidR="0072444A" w:rsidRPr="0072444A" w:rsidRDefault="0072444A" w:rsidP="0072444A">
            <w:pPr>
              <w:spacing w:after="120"/>
              <w:rPr>
                <w:b/>
                <w:sz w:val="22"/>
                <w:szCs w:val="22"/>
              </w:rPr>
            </w:pPr>
            <w:r>
              <w:rPr>
                <w:b/>
                <w:sz w:val="22"/>
                <w:szCs w:val="22"/>
              </w:rPr>
              <w:lastRenderedPageBreak/>
              <w:t>D</w:t>
            </w:r>
            <w:r w:rsidRPr="0072444A">
              <w:rPr>
                <w:b/>
                <w:sz w:val="22"/>
                <w:szCs w:val="22"/>
              </w:rPr>
              <w:t xml:space="preserve">oes the option introduce </w:t>
            </w:r>
            <w:r w:rsidR="008B58CA">
              <w:rPr>
                <w:b/>
                <w:sz w:val="22"/>
                <w:szCs w:val="22"/>
              </w:rPr>
              <w:t xml:space="preserve">an </w:t>
            </w:r>
            <w:r w:rsidRPr="0072444A">
              <w:rPr>
                <w:b/>
                <w:sz w:val="22"/>
                <w:szCs w:val="22"/>
              </w:rPr>
              <w:t>incentive for venue operators to diminish or ignore their responsibilities with respect to prevention and minimisation of gam</w:t>
            </w:r>
            <w:r w:rsidR="008B58CA">
              <w:rPr>
                <w:b/>
                <w:sz w:val="22"/>
                <w:szCs w:val="22"/>
              </w:rPr>
              <w:t>bling harm</w:t>
            </w:r>
            <w:r w:rsidRPr="0072444A">
              <w:rPr>
                <w:b/>
                <w:sz w:val="22"/>
                <w:szCs w:val="22"/>
              </w:rPr>
              <w:t>?</w:t>
            </w:r>
          </w:p>
          <w:p w:rsidR="00A84EE1" w:rsidRPr="00A84EE1" w:rsidRDefault="00A84EE1" w:rsidP="00936452">
            <w:pPr>
              <w:spacing w:after="120"/>
              <w:ind w:left="567"/>
              <w:rPr>
                <w:rFonts w:cs="Arial"/>
                <w:b/>
                <w:sz w:val="22"/>
                <w:szCs w:val="22"/>
              </w:rPr>
            </w:pPr>
          </w:p>
        </w:tc>
        <w:tc>
          <w:tcPr>
            <w:tcW w:w="1077" w:type="pct"/>
            <w:shd w:val="clear" w:color="auto" w:fill="auto"/>
          </w:tcPr>
          <w:p w:rsidR="00A84EE1" w:rsidRPr="00A84EE1" w:rsidRDefault="007E2AB4" w:rsidP="00936452">
            <w:pPr>
              <w:spacing w:after="120"/>
              <w:rPr>
                <w:rFonts w:cs="Arial"/>
                <w:sz w:val="22"/>
                <w:szCs w:val="22"/>
              </w:rPr>
            </w:pPr>
            <w:r>
              <w:rPr>
                <w:rFonts w:cs="Arial"/>
                <w:sz w:val="22"/>
                <w:szCs w:val="22"/>
              </w:rPr>
              <w:t>Yes</w:t>
            </w:r>
            <w:r w:rsidR="0072444A">
              <w:rPr>
                <w:rFonts w:cs="Arial"/>
                <w:sz w:val="22"/>
                <w:szCs w:val="22"/>
              </w:rPr>
              <w:t>.</w:t>
            </w:r>
          </w:p>
          <w:p w:rsidR="00A84EE1" w:rsidRPr="00A84EE1" w:rsidRDefault="00A84EE1" w:rsidP="00936452">
            <w:pPr>
              <w:spacing w:after="120"/>
              <w:rPr>
                <w:rFonts w:cs="Arial"/>
                <w:b/>
                <w:sz w:val="22"/>
                <w:szCs w:val="22"/>
              </w:rPr>
            </w:pPr>
            <w:r w:rsidRPr="00A84EE1">
              <w:rPr>
                <w:rFonts w:cs="Arial"/>
                <w:sz w:val="22"/>
                <w:szCs w:val="22"/>
              </w:rPr>
              <w:t>Harm minimisation is treated as a ‘part-time task’ because no more than 2% of labour costs are permitted to be reimbursed under the ARN limits.</w:t>
            </w:r>
          </w:p>
        </w:tc>
        <w:tc>
          <w:tcPr>
            <w:tcW w:w="986" w:type="pct"/>
          </w:tcPr>
          <w:p w:rsidR="00A84EE1" w:rsidRPr="00A84EE1" w:rsidRDefault="00343306" w:rsidP="00936452">
            <w:pPr>
              <w:spacing w:after="120"/>
              <w:rPr>
                <w:rFonts w:cs="Arial"/>
                <w:sz w:val="22"/>
                <w:szCs w:val="22"/>
              </w:rPr>
            </w:pPr>
            <w:r>
              <w:rPr>
                <w:rFonts w:cs="Arial"/>
                <w:sz w:val="22"/>
                <w:szCs w:val="22"/>
              </w:rPr>
              <w:t>Potentially.</w:t>
            </w:r>
          </w:p>
          <w:p w:rsidR="0047491A" w:rsidRDefault="00343306" w:rsidP="007834D1">
            <w:pPr>
              <w:spacing w:after="120"/>
              <w:rPr>
                <w:rFonts w:cs="Arial"/>
                <w:sz w:val="22"/>
                <w:szCs w:val="22"/>
              </w:rPr>
            </w:pPr>
            <w:r w:rsidRPr="00343306">
              <w:rPr>
                <w:rFonts w:cs="Arial"/>
                <w:sz w:val="22"/>
                <w:szCs w:val="22"/>
              </w:rPr>
              <w:t xml:space="preserve">Problem gambling is not expected to increase with the new regime. However, the recommended regime will affect the behaviour of venue operators and their staff. </w:t>
            </w:r>
          </w:p>
          <w:p w:rsidR="0047491A" w:rsidRDefault="00343306" w:rsidP="007834D1">
            <w:pPr>
              <w:spacing w:after="120"/>
              <w:rPr>
                <w:rFonts w:cs="Arial"/>
                <w:sz w:val="22"/>
                <w:szCs w:val="22"/>
              </w:rPr>
            </w:pPr>
            <w:r w:rsidRPr="00343306">
              <w:rPr>
                <w:rFonts w:cs="Arial"/>
                <w:sz w:val="22"/>
                <w:szCs w:val="22"/>
              </w:rPr>
              <w:t>There is a potential risk that it may incentivise venue operators to diminish or ignore their responsibilities with respect to the prevention and minimisation of gambling harm</w:t>
            </w:r>
            <w:r w:rsidR="0047491A">
              <w:rPr>
                <w:rFonts w:cs="Arial"/>
                <w:sz w:val="22"/>
                <w:szCs w:val="22"/>
              </w:rPr>
              <w:t xml:space="preserve"> (because the greater the turnover the more they get paid; staff may turn a ‘blind eye’ on problem gamblers to maximise turnover)</w:t>
            </w:r>
            <w:r w:rsidRPr="00343306">
              <w:rPr>
                <w:rFonts w:cs="Arial"/>
                <w:sz w:val="22"/>
                <w:szCs w:val="22"/>
              </w:rPr>
              <w:t>.</w:t>
            </w:r>
          </w:p>
          <w:p w:rsidR="0098180D" w:rsidRPr="00A84EE1" w:rsidRDefault="00343306" w:rsidP="007834D1">
            <w:pPr>
              <w:spacing w:after="120"/>
              <w:rPr>
                <w:rFonts w:cs="Arial"/>
                <w:sz w:val="22"/>
                <w:szCs w:val="22"/>
              </w:rPr>
            </w:pPr>
            <w:r w:rsidRPr="00343306">
              <w:rPr>
                <w:rFonts w:cs="Arial"/>
                <w:sz w:val="22"/>
                <w:szCs w:val="22"/>
              </w:rPr>
              <w:t xml:space="preserve">Conversely, venues will be adequately funded to </w:t>
            </w:r>
            <w:r w:rsidRPr="00343306">
              <w:rPr>
                <w:rFonts w:cs="Arial"/>
                <w:sz w:val="22"/>
                <w:szCs w:val="22"/>
              </w:rPr>
              <w:lastRenderedPageBreak/>
              <w:t>provide sufficient resources to increase supervision and better manage the gaming environment compared to the status quo which limits payments for undertaking harm minimisation tasks</w:t>
            </w:r>
            <w:r>
              <w:rPr>
                <w:rFonts w:cs="Arial"/>
                <w:sz w:val="22"/>
                <w:szCs w:val="22"/>
              </w:rPr>
              <w:t>.</w:t>
            </w:r>
          </w:p>
        </w:tc>
        <w:tc>
          <w:tcPr>
            <w:tcW w:w="689" w:type="pct"/>
          </w:tcPr>
          <w:p w:rsidR="00A84EE1" w:rsidRPr="00A84EE1" w:rsidRDefault="0047491A" w:rsidP="00936452">
            <w:pPr>
              <w:spacing w:after="120"/>
              <w:rPr>
                <w:rFonts w:cs="Arial"/>
                <w:sz w:val="22"/>
                <w:szCs w:val="22"/>
              </w:rPr>
            </w:pPr>
            <w:r>
              <w:rPr>
                <w:rFonts w:cs="Arial"/>
                <w:sz w:val="22"/>
                <w:szCs w:val="22"/>
              </w:rPr>
              <w:lastRenderedPageBreak/>
              <w:t>No.</w:t>
            </w:r>
          </w:p>
          <w:p w:rsidR="0047491A" w:rsidRDefault="00A84EE1" w:rsidP="00936452">
            <w:pPr>
              <w:spacing w:after="120"/>
              <w:rPr>
                <w:rFonts w:cs="Arial"/>
                <w:sz w:val="22"/>
                <w:szCs w:val="22"/>
              </w:rPr>
            </w:pPr>
            <w:r w:rsidRPr="00A84EE1">
              <w:rPr>
                <w:rFonts w:cs="Arial"/>
                <w:sz w:val="22"/>
                <w:szCs w:val="22"/>
              </w:rPr>
              <w:t xml:space="preserve">More machines do not necessarily mean more problem gambling. </w:t>
            </w:r>
          </w:p>
          <w:p w:rsidR="00A84EE1" w:rsidRPr="00A84EE1" w:rsidRDefault="0047491A" w:rsidP="0047491A">
            <w:pPr>
              <w:spacing w:after="120"/>
              <w:rPr>
                <w:rFonts w:cs="Arial"/>
                <w:b/>
                <w:sz w:val="22"/>
                <w:szCs w:val="22"/>
              </w:rPr>
            </w:pPr>
            <w:r>
              <w:rPr>
                <w:rFonts w:cs="Arial"/>
                <w:sz w:val="22"/>
                <w:szCs w:val="22"/>
              </w:rPr>
              <w:t>However, b</w:t>
            </w:r>
            <w:r w:rsidR="00A84EE1" w:rsidRPr="00A84EE1">
              <w:rPr>
                <w:rFonts w:cs="Arial"/>
                <w:sz w:val="22"/>
                <w:szCs w:val="22"/>
              </w:rPr>
              <w:t xml:space="preserve">eing reimbursed on machine numbers does not explicitly incentivise investment in </w:t>
            </w:r>
            <w:r w:rsidR="00213F09" w:rsidRPr="00213F09">
              <w:rPr>
                <w:rFonts w:cs="Arial"/>
                <w:sz w:val="22"/>
                <w:szCs w:val="22"/>
              </w:rPr>
              <w:t>the prevention and minimisation of gambling harm</w:t>
            </w:r>
            <w:r w:rsidR="00A84EE1" w:rsidRPr="00A84EE1">
              <w:rPr>
                <w:rFonts w:cs="Arial"/>
                <w:sz w:val="22"/>
                <w:szCs w:val="22"/>
              </w:rPr>
              <w:t>.</w:t>
            </w:r>
          </w:p>
        </w:tc>
        <w:tc>
          <w:tcPr>
            <w:tcW w:w="779" w:type="pct"/>
          </w:tcPr>
          <w:p w:rsidR="00A84EE1" w:rsidRPr="00A84EE1" w:rsidRDefault="007E2AB4" w:rsidP="00936452">
            <w:pPr>
              <w:pStyle w:val="Bullet"/>
              <w:numPr>
                <w:ilvl w:val="0"/>
                <w:numId w:val="0"/>
              </w:numPr>
              <w:spacing w:before="120" w:after="120"/>
              <w:rPr>
                <w:sz w:val="22"/>
                <w:szCs w:val="22"/>
              </w:rPr>
            </w:pPr>
            <w:r>
              <w:rPr>
                <w:sz w:val="22"/>
                <w:szCs w:val="22"/>
              </w:rPr>
              <w:t>No</w:t>
            </w:r>
            <w:r w:rsidR="00A84EE1" w:rsidRPr="00A84EE1">
              <w:rPr>
                <w:sz w:val="22"/>
                <w:szCs w:val="22"/>
              </w:rPr>
              <w:t xml:space="preserve">. </w:t>
            </w:r>
          </w:p>
          <w:p w:rsidR="00A84EE1" w:rsidRPr="00A84EE1" w:rsidRDefault="00A84EE1" w:rsidP="00936452">
            <w:pPr>
              <w:pStyle w:val="Bullet"/>
              <w:numPr>
                <w:ilvl w:val="0"/>
                <w:numId w:val="0"/>
              </w:numPr>
              <w:spacing w:before="120" w:after="120"/>
              <w:rPr>
                <w:rFonts w:cs="Arial"/>
                <w:sz w:val="22"/>
                <w:szCs w:val="22"/>
              </w:rPr>
            </w:pPr>
            <w:r w:rsidRPr="00A84EE1">
              <w:rPr>
                <w:rFonts w:cs="Arial"/>
                <w:sz w:val="22"/>
                <w:szCs w:val="22"/>
              </w:rPr>
              <w:t xml:space="preserve">The same arguments apply as the </w:t>
            </w:r>
            <w:r w:rsidR="00213F09">
              <w:rPr>
                <w:rFonts w:cs="Arial"/>
                <w:sz w:val="22"/>
                <w:szCs w:val="22"/>
              </w:rPr>
              <w:t>commission-based</w:t>
            </w:r>
            <w:r w:rsidRPr="00A84EE1">
              <w:rPr>
                <w:rFonts w:cs="Arial"/>
                <w:sz w:val="22"/>
                <w:szCs w:val="22"/>
              </w:rPr>
              <w:t xml:space="preserve"> regime. </w:t>
            </w:r>
          </w:p>
          <w:p w:rsidR="00A84EE1" w:rsidRPr="00A84EE1" w:rsidRDefault="00A84EE1" w:rsidP="00936452">
            <w:pPr>
              <w:pStyle w:val="Bullet"/>
              <w:numPr>
                <w:ilvl w:val="0"/>
                <w:numId w:val="0"/>
              </w:numPr>
              <w:spacing w:before="120" w:after="120"/>
              <w:rPr>
                <w:rFonts w:cs="Arial"/>
                <w:sz w:val="22"/>
                <w:szCs w:val="22"/>
              </w:rPr>
            </w:pPr>
            <w:r w:rsidRPr="00A84EE1">
              <w:rPr>
                <w:rFonts w:cs="Arial"/>
                <w:sz w:val="22"/>
                <w:szCs w:val="22"/>
              </w:rPr>
              <w:t>Any moderation of this depends on how the fixed fee portion of the payment was to be calculated.</w:t>
            </w:r>
          </w:p>
        </w:tc>
        <w:tc>
          <w:tcPr>
            <w:tcW w:w="718" w:type="pct"/>
          </w:tcPr>
          <w:p w:rsidR="00A84EE1" w:rsidRPr="00A84EE1" w:rsidRDefault="007E2AB4" w:rsidP="00936452">
            <w:pPr>
              <w:spacing w:after="120"/>
              <w:rPr>
                <w:rFonts w:cs="Arial"/>
                <w:sz w:val="22"/>
                <w:szCs w:val="22"/>
              </w:rPr>
            </w:pPr>
            <w:r>
              <w:rPr>
                <w:rFonts w:cs="Arial"/>
                <w:sz w:val="22"/>
                <w:szCs w:val="22"/>
              </w:rPr>
              <w:t>Yes</w:t>
            </w:r>
            <w:r w:rsidR="00A84EE1" w:rsidRPr="00A84EE1">
              <w:rPr>
                <w:rFonts w:cs="Arial"/>
                <w:sz w:val="22"/>
                <w:szCs w:val="22"/>
              </w:rPr>
              <w:t>.</w:t>
            </w:r>
          </w:p>
          <w:p w:rsidR="00A84EE1" w:rsidRPr="00A84EE1" w:rsidRDefault="00A84EE1" w:rsidP="00936452">
            <w:pPr>
              <w:spacing w:after="120"/>
              <w:rPr>
                <w:rFonts w:cs="Arial"/>
                <w:sz w:val="22"/>
                <w:szCs w:val="22"/>
              </w:rPr>
            </w:pPr>
            <w:r w:rsidRPr="00A84EE1">
              <w:rPr>
                <w:rFonts w:cs="Arial"/>
                <w:sz w:val="22"/>
                <w:szCs w:val="22"/>
              </w:rPr>
              <w:t>The current system provides little financial resourcing for harm minimisation. Mimicking the same resourcing would produce the same result as the status quo.</w:t>
            </w:r>
          </w:p>
        </w:tc>
      </w:tr>
      <w:tr w:rsidR="00213F09" w:rsidRPr="00D150DA" w:rsidTr="00FB74DC">
        <w:trPr>
          <w:jc w:val="center"/>
        </w:trPr>
        <w:tc>
          <w:tcPr>
            <w:tcW w:w="751" w:type="pct"/>
            <w:shd w:val="clear" w:color="auto" w:fill="auto"/>
          </w:tcPr>
          <w:p w:rsidR="00A84EE1" w:rsidRPr="00A84EE1" w:rsidRDefault="00A84EE1" w:rsidP="00936452">
            <w:pPr>
              <w:pStyle w:val="Numberedpara3level211"/>
              <w:numPr>
                <w:ilvl w:val="0"/>
                <w:numId w:val="0"/>
              </w:numPr>
              <w:rPr>
                <w:b/>
                <w:sz w:val="22"/>
                <w:szCs w:val="22"/>
              </w:rPr>
            </w:pPr>
            <w:r w:rsidRPr="00A84EE1">
              <w:rPr>
                <w:b/>
                <w:sz w:val="22"/>
                <w:szCs w:val="22"/>
              </w:rPr>
              <w:lastRenderedPageBreak/>
              <w:t>Is the option transparent</w:t>
            </w:r>
            <w:r w:rsidR="0072444A">
              <w:rPr>
                <w:b/>
                <w:sz w:val="22"/>
                <w:szCs w:val="22"/>
              </w:rPr>
              <w:t xml:space="preserve"> about what is being paid to whom and for what purpose</w:t>
            </w:r>
            <w:r w:rsidRPr="00A84EE1">
              <w:rPr>
                <w:b/>
                <w:sz w:val="22"/>
                <w:szCs w:val="22"/>
              </w:rPr>
              <w:t>?</w:t>
            </w:r>
          </w:p>
          <w:p w:rsidR="00A84EE1" w:rsidRPr="00A84EE1" w:rsidRDefault="00A84EE1" w:rsidP="00936452">
            <w:pPr>
              <w:spacing w:after="120"/>
              <w:ind w:left="567"/>
              <w:rPr>
                <w:rFonts w:cs="Arial"/>
                <w:b/>
                <w:sz w:val="22"/>
                <w:szCs w:val="22"/>
              </w:rPr>
            </w:pPr>
          </w:p>
        </w:tc>
        <w:tc>
          <w:tcPr>
            <w:tcW w:w="1077" w:type="pct"/>
            <w:shd w:val="clear" w:color="auto" w:fill="auto"/>
          </w:tcPr>
          <w:p w:rsidR="00A84EE1" w:rsidRPr="00A84EE1" w:rsidRDefault="00A84EE1" w:rsidP="00936452">
            <w:pPr>
              <w:spacing w:after="120"/>
              <w:rPr>
                <w:rFonts w:cs="Arial"/>
                <w:sz w:val="22"/>
                <w:szCs w:val="22"/>
              </w:rPr>
            </w:pPr>
            <w:r w:rsidRPr="00A84EE1">
              <w:rPr>
                <w:rFonts w:cs="Arial"/>
                <w:sz w:val="22"/>
                <w:szCs w:val="22"/>
              </w:rPr>
              <w:t xml:space="preserve">No. </w:t>
            </w:r>
          </w:p>
          <w:p w:rsidR="00A84EE1" w:rsidRPr="00A84EE1" w:rsidRDefault="00A84EE1" w:rsidP="00936452">
            <w:pPr>
              <w:spacing w:after="120"/>
              <w:rPr>
                <w:rFonts w:cs="Arial"/>
                <w:sz w:val="22"/>
                <w:szCs w:val="22"/>
              </w:rPr>
            </w:pPr>
            <w:r w:rsidRPr="00A84EE1">
              <w:rPr>
                <w:rFonts w:cs="Arial"/>
                <w:sz w:val="22"/>
                <w:szCs w:val="22"/>
              </w:rPr>
              <w:t>Continual adjustments are required to ensure society costs do not exceed the Gazetted Limits.</w:t>
            </w:r>
          </w:p>
          <w:p w:rsidR="00A84EE1" w:rsidRPr="00A84EE1" w:rsidRDefault="00A84EE1" w:rsidP="00936452">
            <w:pPr>
              <w:spacing w:after="120"/>
              <w:ind w:left="567"/>
              <w:rPr>
                <w:rFonts w:cs="Arial"/>
                <w:sz w:val="22"/>
                <w:szCs w:val="22"/>
              </w:rPr>
            </w:pPr>
          </w:p>
        </w:tc>
        <w:tc>
          <w:tcPr>
            <w:tcW w:w="986" w:type="pct"/>
          </w:tcPr>
          <w:p w:rsidR="00A84EE1" w:rsidRPr="00A84EE1" w:rsidRDefault="00A84EE1" w:rsidP="00936452">
            <w:pPr>
              <w:spacing w:after="120"/>
              <w:rPr>
                <w:rFonts w:cs="Arial"/>
                <w:sz w:val="22"/>
                <w:szCs w:val="22"/>
              </w:rPr>
            </w:pPr>
            <w:r w:rsidRPr="00A84EE1">
              <w:rPr>
                <w:rFonts w:cs="Arial"/>
                <w:sz w:val="22"/>
                <w:szCs w:val="22"/>
              </w:rPr>
              <w:t xml:space="preserve">Yes. </w:t>
            </w:r>
          </w:p>
          <w:p w:rsidR="00A84EE1" w:rsidRPr="00A84EE1" w:rsidRDefault="00A84EE1" w:rsidP="00936452">
            <w:pPr>
              <w:spacing w:after="120"/>
              <w:rPr>
                <w:rFonts w:cs="Arial"/>
                <w:sz w:val="22"/>
                <w:szCs w:val="22"/>
              </w:rPr>
            </w:pPr>
            <w:r w:rsidRPr="00A84EE1">
              <w:rPr>
                <w:rFonts w:cs="Arial"/>
                <w:sz w:val="22"/>
                <w:szCs w:val="22"/>
              </w:rPr>
              <w:t>All venues would be paid on the same transparent basis.</w:t>
            </w:r>
          </w:p>
          <w:p w:rsidR="00A84EE1" w:rsidRPr="00A84EE1" w:rsidRDefault="00A84EE1" w:rsidP="00936452">
            <w:pPr>
              <w:spacing w:after="120"/>
              <w:rPr>
                <w:rFonts w:cs="Arial"/>
                <w:sz w:val="22"/>
                <w:szCs w:val="22"/>
              </w:rPr>
            </w:pPr>
          </w:p>
        </w:tc>
        <w:tc>
          <w:tcPr>
            <w:tcW w:w="689" w:type="pct"/>
          </w:tcPr>
          <w:p w:rsidR="00A84EE1" w:rsidRPr="00A84EE1" w:rsidRDefault="00D13EDE" w:rsidP="00936452">
            <w:pPr>
              <w:spacing w:after="120"/>
              <w:rPr>
                <w:rFonts w:cs="Arial"/>
                <w:sz w:val="22"/>
                <w:szCs w:val="22"/>
              </w:rPr>
            </w:pPr>
            <w:r>
              <w:rPr>
                <w:rFonts w:cs="Arial"/>
                <w:sz w:val="22"/>
                <w:szCs w:val="22"/>
              </w:rPr>
              <w:t>Partially.</w:t>
            </w:r>
          </w:p>
          <w:p w:rsidR="00A84EE1" w:rsidRPr="00A84EE1" w:rsidRDefault="00A84EE1" w:rsidP="00936452">
            <w:pPr>
              <w:spacing w:after="120"/>
              <w:rPr>
                <w:rFonts w:cs="Arial"/>
                <w:sz w:val="22"/>
                <w:szCs w:val="22"/>
              </w:rPr>
            </w:pPr>
            <w:r w:rsidRPr="00A84EE1">
              <w:rPr>
                <w:rFonts w:cs="Arial"/>
                <w:sz w:val="22"/>
                <w:szCs w:val="22"/>
              </w:rPr>
              <w:t>Yes, because all venues would be paid the same rate per machine, but no because this does not reflect the different costs to run machines across different venues.</w:t>
            </w:r>
          </w:p>
        </w:tc>
        <w:tc>
          <w:tcPr>
            <w:tcW w:w="779" w:type="pct"/>
          </w:tcPr>
          <w:p w:rsidR="00A84EE1" w:rsidRPr="00A84EE1" w:rsidRDefault="00A84EE1" w:rsidP="00936452">
            <w:pPr>
              <w:pStyle w:val="Bullet"/>
              <w:numPr>
                <w:ilvl w:val="0"/>
                <w:numId w:val="0"/>
              </w:numPr>
              <w:spacing w:before="120" w:after="120"/>
              <w:rPr>
                <w:sz w:val="22"/>
                <w:szCs w:val="22"/>
              </w:rPr>
            </w:pPr>
            <w:r w:rsidRPr="00A84EE1">
              <w:rPr>
                <w:sz w:val="22"/>
                <w:szCs w:val="22"/>
              </w:rPr>
              <w:t xml:space="preserve">No. </w:t>
            </w:r>
          </w:p>
          <w:p w:rsidR="00A84EE1" w:rsidRPr="00A84EE1" w:rsidRDefault="00A84EE1" w:rsidP="00936452">
            <w:pPr>
              <w:pStyle w:val="Bullet"/>
              <w:numPr>
                <w:ilvl w:val="0"/>
                <w:numId w:val="0"/>
              </w:numPr>
              <w:spacing w:before="120" w:after="120"/>
              <w:rPr>
                <w:sz w:val="22"/>
                <w:szCs w:val="22"/>
              </w:rPr>
            </w:pPr>
            <w:r w:rsidRPr="00A84EE1">
              <w:rPr>
                <w:sz w:val="22"/>
                <w:szCs w:val="22"/>
              </w:rPr>
              <w:t>The fixed fee component would have to be calculated and claimed individually.</w:t>
            </w:r>
          </w:p>
          <w:p w:rsidR="00A84EE1" w:rsidRPr="00A84EE1" w:rsidRDefault="00A84EE1" w:rsidP="00936452">
            <w:pPr>
              <w:pStyle w:val="Bullet"/>
              <w:numPr>
                <w:ilvl w:val="0"/>
                <w:numId w:val="0"/>
              </w:numPr>
              <w:spacing w:before="120" w:after="120"/>
              <w:rPr>
                <w:rFonts w:cs="Arial"/>
                <w:sz w:val="22"/>
                <w:szCs w:val="22"/>
              </w:rPr>
            </w:pPr>
          </w:p>
        </w:tc>
        <w:tc>
          <w:tcPr>
            <w:tcW w:w="718" w:type="pct"/>
          </w:tcPr>
          <w:p w:rsidR="00A84EE1" w:rsidRPr="00A84EE1" w:rsidRDefault="00A84EE1" w:rsidP="00936452">
            <w:pPr>
              <w:spacing w:after="120"/>
              <w:rPr>
                <w:rFonts w:cs="Arial"/>
                <w:sz w:val="22"/>
                <w:szCs w:val="22"/>
              </w:rPr>
            </w:pPr>
            <w:r w:rsidRPr="00A84EE1">
              <w:rPr>
                <w:rFonts w:cs="Arial"/>
                <w:sz w:val="22"/>
                <w:szCs w:val="22"/>
              </w:rPr>
              <w:t xml:space="preserve">Yes. </w:t>
            </w:r>
          </w:p>
          <w:p w:rsidR="00A84EE1" w:rsidRPr="00A84EE1" w:rsidRDefault="00A84EE1" w:rsidP="00936452">
            <w:pPr>
              <w:spacing w:after="120"/>
              <w:rPr>
                <w:rFonts w:cs="Arial"/>
                <w:sz w:val="22"/>
                <w:szCs w:val="22"/>
              </w:rPr>
            </w:pPr>
            <w:r w:rsidRPr="00A84EE1">
              <w:rPr>
                <w:rFonts w:cs="Arial"/>
                <w:sz w:val="22"/>
                <w:szCs w:val="22"/>
              </w:rPr>
              <w:t>Use of a standardised formula is a transparent approach.</w:t>
            </w:r>
          </w:p>
        </w:tc>
      </w:tr>
      <w:tr w:rsidR="00213F09" w:rsidRPr="00D150DA" w:rsidTr="00FB74DC">
        <w:trPr>
          <w:jc w:val="center"/>
        </w:trPr>
        <w:tc>
          <w:tcPr>
            <w:tcW w:w="751" w:type="pct"/>
            <w:shd w:val="clear" w:color="auto" w:fill="auto"/>
          </w:tcPr>
          <w:p w:rsidR="00A84EE1" w:rsidRPr="00A84EE1" w:rsidRDefault="00A84EE1" w:rsidP="00936452">
            <w:pPr>
              <w:pStyle w:val="Numberedpara3level211"/>
              <w:numPr>
                <w:ilvl w:val="0"/>
                <w:numId w:val="0"/>
              </w:numPr>
              <w:rPr>
                <w:b/>
                <w:sz w:val="22"/>
                <w:szCs w:val="22"/>
              </w:rPr>
            </w:pPr>
            <w:r w:rsidRPr="00A84EE1">
              <w:rPr>
                <w:b/>
                <w:sz w:val="22"/>
                <w:szCs w:val="22"/>
              </w:rPr>
              <w:t>Does the option minimise unintended behaviours</w:t>
            </w:r>
            <w:r w:rsidR="0072444A">
              <w:rPr>
                <w:b/>
                <w:sz w:val="22"/>
                <w:szCs w:val="22"/>
              </w:rPr>
              <w:t xml:space="preserve"> between societies and venue operators</w:t>
            </w:r>
            <w:r w:rsidRPr="00A84EE1">
              <w:rPr>
                <w:b/>
                <w:sz w:val="22"/>
                <w:szCs w:val="22"/>
              </w:rPr>
              <w:t>?</w:t>
            </w:r>
          </w:p>
          <w:p w:rsidR="00A84EE1" w:rsidRPr="00A84EE1" w:rsidRDefault="00A84EE1" w:rsidP="00936452">
            <w:pPr>
              <w:pStyle w:val="Numberedpara3level211"/>
              <w:numPr>
                <w:ilvl w:val="0"/>
                <w:numId w:val="0"/>
              </w:numPr>
              <w:rPr>
                <w:rFonts w:cs="Arial"/>
                <w:b/>
                <w:sz w:val="22"/>
                <w:szCs w:val="22"/>
              </w:rPr>
            </w:pPr>
          </w:p>
        </w:tc>
        <w:tc>
          <w:tcPr>
            <w:tcW w:w="1077" w:type="pct"/>
            <w:shd w:val="clear" w:color="auto" w:fill="auto"/>
          </w:tcPr>
          <w:p w:rsidR="00A84EE1" w:rsidRPr="00A84EE1" w:rsidRDefault="00A84EE1" w:rsidP="00936452">
            <w:pPr>
              <w:spacing w:after="120"/>
              <w:rPr>
                <w:sz w:val="22"/>
                <w:szCs w:val="22"/>
              </w:rPr>
            </w:pPr>
            <w:r w:rsidRPr="00A84EE1">
              <w:rPr>
                <w:sz w:val="22"/>
                <w:szCs w:val="22"/>
              </w:rPr>
              <w:lastRenderedPageBreak/>
              <w:t xml:space="preserve">No. </w:t>
            </w:r>
          </w:p>
          <w:p w:rsidR="00A84EE1" w:rsidRPr="00A84EE1" w:rsidRDefault="00A84EE1" w:rsidP="00936452">
            <w:pPr>
              <w:spacing w:after="120"/>
              <w:rPr>
                <w:sz w:val="22"/>
                <w:szCs w:val="22"/>
              </w:rPr>
            </w:pPr>
            <w:r w:rsidRPr="00A84EE1">
              <w:rPr>
                <w:sz w:val="22"/>
                <w:szCs w:val="22"/>
              </w:rPr>
              <w:t>The complexity of the status quo makes it difficult for an operator to determine what a legitimate offer of payment is.</w:t>
            </w:r>
          </w:p>
          <w:p w:rsidR="00A84EE1" w:rsidRPr="00A84EE1" w:rsidRDefault="00A84EE1" w:rsidP="00936452">
            <w:pPr>
              <w:spacing w:after="120"/>
              <w:rPr>
                <w:rFonts w:cs="Arial"/>
                <w:sz w:val="22"/>
                <w:szCs w:val="22"/>
              </w:rPr>
            </w:pPr>
            <w:r w:rsidRPr="00A84EE1">
              <w:rPr>
                <w:sz w:val="22"/>
                <w:szCs w:val="22"/>
              </w:rPr>
              <w:lastRenderedPageBreak/>
              <w:t>Societies may illegally compete for venues.</w:t>
            </w:r>
          </w:p>
        </w:tc>
        <w:tc>
          <w:tcPr>
            <w:tcW w:w="986" w:type="pct"/>
          </w:tcPr>
          <w:p w:rsidR="00A84EE1" w:rsidRPr="00A84EE1" w:rsidRDefault="00A84EE1" w:rsidP="00936452">
            <w:pPr>
              <w:spacing w:after="120"/>
              <w:rPr>
                <w:sz w:val="22"/>
                <w:szCs w:val="22"/>
              </w:rPr>
            </w:pPr>
            <w:r w:rsidRPr="00A84EE1">
              <w:rPr>
                <w:sz w:val="22"/>
                <w:szCs w:val="22"/>
              </w:rPr>
              <w:lastRenderedPageBreak/>
              <w:t xml:space="preserve">Yes. </w:t>
            </w:r>
          </w:p>
          <w:p w:rsidR="00A84EE1" w:rsidRPr="00A84EE1" w:rsidRDefault="00A84EE1" w:rsidP="00936452">
            <w:pPr>
              <w:spacing w:after="120"/>
              <w:rPr>
                <w:sz w:val="22"/>
                <w:szCs w:val="22"/>
              </w:rPr>
            </w:pPr>
            <w:r w:rsidRPr="00A84EE1">
              <w:rPr>
                <w:sz w:val="22"/>
                <w:szCs w:val="22"/>
              </w:rPr>
              <w:t>It is easily understood with no room for misinterpretation.</w:t>
            </w:r>
          </w:p>
          <w:p w:rsidR="00A84EE1" w:rsidRPr="00A84EE1" w:rsidRDefault="00A84EE1" w:rsidP="00936452">
            <w:pPr>
              <w:spacing w:after="120"/>
              <w:rPr>
                <w:sz w:val="22"/>
                <w:szCs w:val="22"/>
              </w:rPr>
            </w:pPr>
            <w:r w:rsidRPr="00A84EE1">
              <w:rPr>
                <w:sz w:val="22"/>
                <w:szCs w:val="22"/>
              </w:rPr>
              <w:t xml:space="preserve">A level playing field removes </w:t>
            </w:r>
            <w:r w:rsidRPr="00A84EE1">
              <w:rPr>
                <w:sz w:val="22"/>
                <w:szCs w:val="22"/>
              </w:rPr>
              <w:lastRenderedPageBreak/>
              <w:t>competition for venues because the issue of appropriate payment is resolved.</w:t>
            </w:r>
          </w:p>
          <w:p w:rsidR="00A84EE1" w:rsidRPr="00A84EE1" w:rsidRDefault="00A84EE1" w:rsidP="00936452">
            <w:pPr>
              <w:spacing w:after="120"/>
              <w:ind w:left="567"/>
              <w:rPr>
                <w:sz w:val="22"/>
                <w:szCs w:val="22"/>
              </w:rPr>
            </w:pPr>
          </w:p>
        </w:tc>
        <w:tc>
          <w:tcPr>
            <w:tcW w:w="689" w:type="pct"/>
          </w:tcPr>
          <w:p w:rsidR="00A84EE1" w:rsidRPr="00A84EE1" w:rsidRDefault="00A84EE1" w:rsidP="00936452">
            <w:pPr>
              <w:spacing w:after="120"/>
              <w:rPr>
                <w:sz w:val="22"/>
                <w:szCs w:val="22"/>
              </w:rPr>
            </w:pPr>
            <w:r w:rsidRPr="00A84EE1">
              <w:rPr>
                <w:sz w:val="22"/>
                <w:szCs w:val="22"/>
              </w:rPr>
              <w:lastRenderedPageBreak/>
              <w:t>No.</w:t>
            </w:r>
          </w:p>
          <w:p w:rsidR="00A84EE1" w:rsidRPr="00A84EE1" w:rsidRDefault="00A84EE1" w:rsidP="00A42F5A">
            <w:pPr>
              <w:spacing w:after="120"/>
              <w:rPr>
                <w:rFonts w:cs="Arial"/>
                <w:sz w:val="22"/>
                <w:szCs w:val="22"/>
              </w:rPr>
            </w:pPr>
            <w:r w:rsidRPr="00A84EE1">
              <w:rPr>
                <w:sz w:val="22"/>
                <w:szCs w:val="22"/>
              </w:rPr>
              <w:t>There is no incentive to raise funds for the community.</w:t>
            </w:r>
            <w:r w:rsidR="00A42F5A">
              <w:rPr>
                <w:sz w:val="22"/>
                <w:szCs w:val="22"/>
              </w:rPr>
              <w:t xml:space="preserve"> </w:t>
            </w:r>
            <w:r w:rsidRPr="00A84EE1">
              <w:rPr>
                <w:sz w:val="22"/>
                <w:szCs w:val="22"/>
              </w:rPr>
              <w:t xml:space="preserve">It incentivises the </w:t>
            </w:r>
            <w:r w:rsidRPr="00A84EE1">
              <w:rPr>
                <w:sz w:val="22"/>
                <w:szCs w:val="22"/>
              </w:rPr>
              <w:lastRenderedPageBreak/>
              <w:t>presence of machines in venues. Venues may move if societies seek to take machines out of venues.</w:t>
            </w:r>
          </w:p>
        </w:tc>
        <w:tc>
          <w:tcPr>
            <w:tcW w:w="779" w:type="pct"/>
          </w:tcPr>
          <w:p w:rsidR="00A84EE1" w:rsidRPr="00A84EE1" w:rsidRDefault="00A84EE1" w:rsidP="00936452">
            <w:pPr>
              <w:spacing w:after="120"/>
              <w:rPr>
                <w:sz w:val="22"/>
                <w:szCs w:val="22"/>
              </w:rPr>
            </w:pPr>
            <w:r w:rsidRPr="00A84EE1">
              <w:rPr>
                <w:sz w:val="22"/>
                <w:szCs w:val="22"/>
              </w:rPr>
              <w:lastRenderedPageBreak/>
              <w:t>No.</w:t>
            </w:r>
          </w:p>
          <w:p w:rsidR="00A84EE1" w:rsidRPr="00A84EE1" w:rsidRDefault="00A84EE1" w:rsidP="00936452">
            <w:pPr>
              <w:spacing w:after="120"/>
              <w:rPr>
                <w:rFonts w:cs="Arial"/>
                <w:sz w:val="22"/>
                <w:szCs w:val="22"/>
              </w:rPr>
            </w:pPr>
            <w:r w:rsidRPr="00A84EE1">
              <w:rPr>
                <w:sz w:val="22"/>
                <w:szCs w:val="22"/>
              </w:rPr>
              <w:t xml:space="preserve">But it depends on how the fixed fee component was calculated. The complexity could lead </w:t>
            </w:r>
            <w:r w:rsidRPr="00A84EE1">
              <w:rPr>
                <w:sz w:val="22"/>
                <w:szCs w:val="22"/>
              </w:rPr>
              <w:lastRenderedPageBreak/>
              <w:t>to competitive behaviour and alternative interpretations of the payment calculation.</w:t>
            </w:r>
          </w:p>
        </w:tc>
        <w:tc>
          <w:tcPr>
            <w:tcW w:w="718" w:type="pct"/>
          </w:tcPr>
          <w:p w:rsidR="00A84EE1" w:rsidRPr="00A84EE1" w:rsidRDefault="00A84EE1" w:rsidP="00936452">
            <w:pPr>
              <w:spacing w:after="120"/>
              <w:rPr>
                <w:sz w:val="22"/>
                <w:szCs w:val="22"/>
              </w:rPr>
            </w:pPr>
            <w:r w:rsidRPr="00A84EE1">
              <w:rPr>
                <w:sz w:val="22"/>
                <w:szCs w:val="22"/>
              </w:rPr>
              <w:lastRenderedPageBreak/>
              <w:t>Unable to determine.</w:t>
            </w:r>
          </w:p>
        </w:tc>
      </w:tr>
      <w:tr w:rsidR="00213F09" w:rsidRPr="00D150DA" w:rsidTr="00FB74DC">
        <w:trPr>
          <w:jc w:val="center"/>
        </w:trPr>
        <w:tc>
          <w:tcPr>
            <w:tcW w:w="751" w:type="pct"/>
            <w:shd w:val="clear" w:color="auto" w:fill="auto"/>
          </w:tcPr>
          <w:p w:rsidR="00A84EE1" w:rsidRPr="00A84EE1" w:rsidRDefault="00A84EE1" w:rsidP="00936452">
            <w:pPr>
              <w:pStyle w:val="Numberedpara3level211"/>
              <w:numPr>
                <w:ilvl w:val="0"/>
                <w:numId w:val="0"/>
              </w:numPr>
              <w:rPr>
                <w:b/>
                <w:sz w:val="22"/>
                <w:szCs w:val="22"/>
              </w:rPr>
            </w:pPr>
            <w:r w:rsidRPr="00A84EE1">
              <w:rPr>
                <w:b/>
                <w:sz w:val="22"/>
                <w:szCs w:val="22"/>
              </w:rPr>
              <w:lastRenderedPageBreak/>
              <w:t>Does the</w:t>
            </w:r>
            <w:r w:rsidR="00FB74DC">
              <w:rPr>
                <w:b/>
                <w:sz w:val="22"/>
                <w:szCs w:val="22"/>
              </w:rPr>
              <w:t xml:space="preserve"> option fairly recompense venue operators</w:t>
            </w:r>
            <w:r w:rsidRPr="00A84EE1">
              <w:rPr>
                <w:b/>
                <w:sz w:val="22"/>
                <w:szCs w:val="22"/>
              </w:rPr>
              <w:t xml:space="preserve"> for </w:t>
            </w:r>
            <w:r w:rsidR="00FB74DC">
              <w:rPr>
                <w:b/>
                <w:sz w:val="22"/>
                <w:szCs w:val="22"/>
              </w:rPr>
              <w:t xml:space="preserve">their </w:t>
            </w:r>
            <w:r w:rsidRPr="00A84EE1">
              <w:rPr>
                <w:b/>
                <w:sz w:val="22"/>
                <w:szCs w:val="22"/>
              </w:rPr>
              <w:t>costs</w:t>
            </w:r>
            <w:r w:rsidR="00FB74DC">
              <w:rPr>
                <w:b/>
                <w:sz w:val="22"/>
                <w:szCs w:val="22"/>
              </w:rPr>
              <w:t xml:space="preserve"> and they work that they do</w:t>
            </w:r>
            <w:r w:rsidRPr="00A84EE1">
              <w:rPr>
                <w:b/>
                <w:sz w:val="22"/>
                <w:szCs w:val="22"/>
              </w:rPr>
              <w:t>?</w:t>
            </w:r>
          </w:p>
        </w:tc>
        <w:tc>
          <w:tcPr>
            <w:tcW w:w="1077" w:type="pct"/>
            <w:shd w:val="clear" w:color="auto" w:fill="auto"/>
          </w:tcPr>
          <w:p w:rsidR="00A84EE1" w:rsidRPr="00A84EE1" w:rsidRDefault="00A84EE1" w:rsidP="00936452">
            <w:pPr>
              <w:spacing w:after="120"/>
              <w:rPr>
                <w:sz w:val="22"/>
                <w:szCs w:val="22"/>
              </w:rPr>
            </w:pPr>
            <w:r w:rsidRPr="00A84EE1">
              <w:rPr>
                <w:sz w:val="22"/>
                <w:szCs w:val="22"/>
              </w:rPr>
              <w:t>No.</w:t>
            </w:r>
          </w:p>
          <w:p w:rsidR="00A84EE1" w:rsidRPr="00A84EE1" w:rsidRDefault="00A84EE1" w:rsidP="00936452">
            <w:pPr>
              <w:spacing w:after="120"/>
              <w:rPr>
                <w:sz w:val="22"/>
                <w:szCs w:val="22"/>
              </w:rPr>
            </w:pPr>
            <w:r w:rsidRPr="00A84EE1">
              <w:rPr>
                <w:sz w:val="22"/>
                <w:szCs w:val="22"/>
              </w:rPr>
              <w:t>The status quo uses outdated upper limits on payments and uses marginal cost recovery instead of actual costs.</w:t>
            </w:r>
          </w:p>
        </w:tc>
        <w:tc>
          <w:tcPr>
            <w:tcW w:w="986" w:type="pct"/>
          </w:tcPr>
          <w:p w:rsidR="00A84EE1" w:rsidRPr="00A84EE1" w:rsidRDefault="00A84EE1" w:rsidP="00936452">
            <w:pPr>
              <w:spacing w:after="120"/>
              <w:rPr>
                <w:sz w:val="22"/>
                <w:szCs w:val="22"/>
              </w:rPr>
            </w:pPr>
            <w:r w:rsidRPr="00A84EE1">
              <w:rPr>
                <w:sz w:val="22"/>
                <w:szCs w:val="22"/>
              </w:rPr>
              <w:t>Yes.</w:t>
            </w:r>
          </w:p>
          <w:p w:rsidR="00A84EE1" w:rsidRPr="00A84EE1" w:rsidRDefault="00A84EE1" w:rsidP="00D13EDE">
            <w:pPr>
              <w:spacing w:after="120"/>
              <w:rPr>
                <w:sz w:val="22"/>
                <w:szCs w:val="22"/>
              </w:rPr>
            </w:pPr>
            <w:r w:rsidRPr="00A84EE1">
              <w:rPr>
                <w:sz w:val="22"/>
                <w:szCs w:val="22"/>
              </w:rPr>
              <w:t xml:space="preserve">A commission-based system provides </w:t>
            </w:r>
            <w:r w:rsidR="00D13EDE">
              <w:rPr>
                <w:sz w:val="22"/>
                <w:szCs w:val="22"/>
              </w:rPr>
              <w:t xml:space="preserve">fair </w:t>
            </w:r>
            <w:r w:rsidRPr="00A84EE1">
              <w:rPr>
                <w:sz w:val="22"/>
                <w:szCs w:val="22"/>
              </w:rPr>
              <w:t>compensation for effort and productivity.</w:t>
            </w:r>
          </w:p>
        </w:tc>
        <w:tc>
          <w:tcPr>
            <w:tcW w:w="689" w:type="pct"/>
          </w:tcPr>
          <w:p w:rsidR="00A84EE1" w:rsidRPr="00A84EE1" w:rsidRDefault="00A84EE1" w:rsidP="00936452">
            <w:pPr>
              <w:spacing w:after="120"/>
              <w:rPr>
                <w:sz w:val="22"/>
                <w:szCs w:val="22"/>
              </w:rPr>
            </w:pPr>
            <w:r w:rsidRPr="00A84EE1">
              <w:rPr>
                <w:sz w:val="22"/>
                <w:szCs w:val="22"/>
              </w:rPr>
              <w:t>No.</w:t>
            </w:r>
          </w:p>
          <w:p w:rsidR="00A84EE1" w:rsidRPr="00A84EE1" w:rsidRDefault="00A84EE1" w:rsidP="00936452">
            <w:pPr>
              <w:spacing w:after="120"/>
              <w:rPr>
                <w:sz w:val="22"/>
                <w:szCs w:val="22"/>
              </w:rPr>
            </w:pPr>
            <w:r w:rsidRPr="00A84EE1">
              <w:rPr>
                <w:sz w:val="22"/>
                <w:szCs w:val="22"/>
              </w:rPr>
              <w:t>The payment would be unrelated to actual costs incurred</w:t>
            </w:r>
          </w:p>
        </w:tc>
        <w:tc>
          <w:tcPr>
            <w:tcW w:w="779" w:type="pct"/>
          </w:tcPr>
          <w:p w:rsidR="00A84EE1" w:rsidRPr="00A84EE1" w:rsidRDefault="00A84EE1" w:rsidP="00936452">
            <w:pPr>
              <w:spacing w:after="120"/>
              <w:rPr>
                <w:sz w:val="22"/>
                <w:szCs w:val="22"/>
              </w:rPr>
            </w:pPr>
            <w:r w:rsidRPr="00A84EE1">
              <w:rPr>
                <w:sz w:val="22"/>
                <w:szCs w:val="22"/>
              </w:rPr>
              <w:t>Unknown.</w:t>
            </w:r>
          </w:p>
          <w:p w:rsidR="00A84EE1" w:rsidRPr="00A84EE1" w:rsidRDefault="00A84EE1" w:rsidP="00936452">
            <w:pPr>
              <w:spacing w:after="120"/>
              <w:rPr>
                <w:sz w:val="22"/>
                <w:szCs w:val="22"/>
              </w:rPr>
            </w:pPr>
            <w:r w:rsidRPr="00A84EE1">
              <w:rPr>
                <w:sz w:val="22"/>
                <w:szCs w:val="22"/>
              </w:rPr>
              <w:t>It would depend on how the fixed fee component was calculated.</w:t>
            </w:r>
          </w:p>
        </w:tc>
        <w:tc>
          <w:tcPr>
            <w:tcW w:w="718" w:type="pct"/>
          </w:tcPr>
          <w:p w:rsidR="00A84EE1" w:rsidRPr="00A84EE1" w:rsidRDefault="00A84EE1" w:rsidP="00936452">
            <w:pPr>
              <w:spacing w:after="120"/>
              <w:rPr>
                <w:sz w:val="22"/>
                <w:szCs w:val="22"/>
              </w:rPr>
            </w:pPr>
            <w:r w:rsidRPr="00A84EE1">
              <w:rPr>
                <w:sz w:val="22"/>
                <w:szCs w:val="22"/>
              </w:rPr>
              <w:t>No.</w:t>
            </w:r>
          </w:p>
        </w:tc>
      </w:tr>
    </w:tbl>
    <w:p w:rsidR="00587983" w:rsidRDefault="00587983" w:rsidP="00163AD5">
      <w:pPr>
        <w:pStyle w:val="Numberedpara3level1"/>
        <w:numPr>
          <w:ilvl w:val="0"/>
          <w:numId w:val="0"/>
        </w:numPr>
        <w:ind w:left="567"/>
      </w:pPr>
    </w:p>
    <w:p w:rsidR="00587983" w:rsidRDefault="00587983" w:rsidP="00163AD5">
      <w:pPr>
        <w:pStyle w:val="Numberedpara3level1"/>
        <w:numPr>
          <w:ilvl w:val="0"/>
          <w:numId w:val="0"/>
        </w:numPr>
        <w:ind w:left="567"/>
      </w:pPr>
    </w:p>
    <w:p w:rsidR="00587983" w:rsidRDefault="00587983" w:rsidP="00163AD5">
      <w:pPr>
        <w:pStyle w:val="Numberedpara3level1"/>
        <w:numPr>
          <w:ilvl w:val="0"/>
          <w:numId w:val="0"/>
        </w:numPr>
        <w:ind w:left="567"/>
      </w:pPr>
    </w:p>
    <w:p w:rsidR="00587983" w:rsidRDefault="00587983" w:rsidP="00163AD5">
      <w:pPr>
        <w:pStyle w:val="Numberedpara3level1"/>
        <w:numPr>
          <w:ilvl w:val="0"/>
          <w:numId w:val="0"/>
        </w:numPr>
        <w:ind w:left="567"/>
      </w:pPr>
    </w:p>
    <w:p w:rsidR="00587983" w:rsidRDefault="00587983" w:rsidP="00163AD5">
      <w:pPr>
        <w:pStyle w:val="Numberedpara3level1"/>
        <w:numPr>
          <w:ilvl w:val="0"/>
          <w:numId w:val="0"/>
        </w:numPr>
        <w:ind w:left="567"/>
        <w:sectPr w:rsidR="00587983" w:rsidSect="00587983">
          <w:pgSz w:w="16840" w:h="11907" w:orient="landscape" w:code="9"/>
          <w:pgMar w:top="1418" w:right="1418" w:bottom="1418" w:left="1134" w:header="454" w:footer="454" w:gutter="0"/>
          <w:cols w:space="720"/>
          <w:titlePg/>
          <w:docGrid w:linePitch="326"/>
        </w:sectPr>
      </w:pPr>
    </w:p>
    <w:p w:rsidR="0072444A" w:rsidRDefault="0072444A" w:rsidP="0072444A">
      <w:pPr>
        <w:pStyle w:val="Heading5"/>
      </w:pPr>
      <w:r>
        <w:lastRenderedPageBreak/>
        <w:t>Working group preference</w:t>
      </w:r>
    </w:p>
    <w:p w:rsidR="00A42F5A" w:rsidRDefault="0072444A" w:rsidP="0072444A">
      <w:pPr>
        <w:pStyle w:val="Numberedpara3level1"/>
      </w:pPr>
      <w:r>
        <w:t>I</w:t>
      </w:r>
      <w:r w:rsidRPr="00204A37">
        <w:t xml:space="preserve">ndustry members of the sector working group </w:t>
      </w:r>
      <w:r>
        <w:t xml:space="preserve">strongly </w:t>
      </w:r>
      <w:r w:rsidRPr="00204A37">
        <w:t xml:space="preserve">favour a commission-based </w:t>
      </w:r>
      <w:r w:rsidR="007A7462">
        <w:t>regime because they consider it</w:t>
      </w:r>
      <w:r w:rsidR="00A42F5A">
        <w:t>:</w:t>
      </w:r>
    </w:p>
    <w:p w:rsidR="00A42F5A" w:rsidRDefault="0072444A" w:rsidP="00A42F5A">
      <w:pPr>
        <w:pStyle w:val="ListParagraph"/>
        <w:numPr>
          <w:ilvl w:val="0"/>
          <w:numId w:val="15"/>
        </w:numPr>
        <w:spacing w:before="0" w:after="120"/>
      </w:pPr>
      <w:r>
        <w:t>to be the most simple and accurate way of fairly compensating venue operators for hosting gaming machines and the work required to meet regulatory obligations</w:t>
      </w:r>
      <w:r w:rsidR="00A42F5A">
        <w:t>;</w:t>
      </w:r>
    </w:p>
    <w:p w:rsidR="00A42F5A" w:rsidRDefault="00A42F5A" w:rsidP="00A42F5A">
      <w:pPr>
        <w:pStyle w:val="ListParagraph"/>
        <w:numPr>
          <w:ilvl w:val="0"/>
          <w:numId w:val="15"/>
        </w:numPr>
        <w:spacing w:before="0" w:after="120"/>
      </w:pPr>
      <w:r>
        <w:t xml:space="preserve">to be </w:t>
      </w:r>
      <w:r w:rsidR="0072444A">
        <w:t xml:space="preserve">the most cost effective for the sector and the regulator, and </w:t>
      </w:r>
    </w:p>
    <w:p w:rsidR="0072444A" w:rsidRDefault="0072444A" w:rsidP="00A42F5A">
      <w:pPr>
        <w:pStyle w:val="ListParagraph"/>
        <w:numPr>
          <w:ilvl w:val="0"/>
          <w:numId w:val="15"/>
        </w:numPr>
        <w:spacing w:before="0" w:after="120"/>
      </w:pPr>
      <w:r>
        <w:t>has the fewest opportunities for abuse of payments/claims.</w:t>
      </w:r>
    </w:p>
    <w:p w:rsidR="00F37812" w:rsidRPr="003D6740" w:rsidRDefault="0072444A" w:rsidP="00F37812">
      <w:pPr>
        <w:pStyle w:val="Numberedpara3level1"/>
      </w:pPr>
      <w:r>
        <w:t xml:space="preserve">However, </w:t>
      </w:r>
      <w:r w:rsidR="00F37812">
        <w:t>t</w:t>
      </w:r>
      <w:r w:rsidR="00F37812" w:rsidRPr="003D6740">
        <w:t xml:space="preserve">he problem gambling service providers </w:t>
      </w:r>
      <w:r w:rsidR="00F37812">
        <w:t xml:space="preserve">within the working group </w:t>
      </w:r>
      <w:r w:rsidR="00F37812" w:rsidRPr="003D6740">
        <w:t xml:space="preserve">were </w:t>
      </w:r>
      <w:r w:rsidR="00F37812">
        <w:t xml:space="preserve">strongly </w:t>
      </w:r>
      <w:r w:rsidR="00F37812" w:rsidRPr="003D6740">
        <w:t>opposed to a</w:t>
      </w:r>
      <w:r w:rsidR="00F37812">
        <w:t>ny</w:t>
      </w:r>
      <w:r w:rsidR="00F37812" w:rsidRPr="003D6740">
        <w:t xml:space="preserve"> commission</w:t>
      </w:r>
      <w:r w:rsidR="00F37812">
        <w:t>-</w:t>
      </w:r>
      <w:r w:rsidR="00F37812" w:rsidRPr="003D6740">
        <w:t>based payment scheme because</w:t>
      </w:r>
      <w:r w:rsidR="00F37812">
        <w:t xml:space="preserve"> they considered</w:t>
      </w:r>
      <w:r w:rsidR="00F37812" w:rsidRPr="003D6740">
        <w:t>:</w:t>
      </w:r>
    </w:p>
    <w:p w:rsidR="00F37812" w:rsidRPr="003D6740" w:rsidRDefault="00F37812" w:rsidP="00F37812">
      <w:pPr>
        <w:pStyle w:val="ListParagraph"/>
        <w:numPr>
          <w:ilvl w:val="0"/>
          <w:numId w:val="15"/>
        </w:numPr>
        <w:spacing w:before="0" w:after="120"/>
      </w:pPr>
      <w:r w:rsidRPr="00DD57E1">
        <w:t>it gives venues opportunities, should they wish, to maximise returns for their economic advantage, fundamentally changing the focus from raising money for community purposes and disincentivising good host responsibility; and</w:t>
      </w:r>
    </w:p>
    <w:p w:rsidR="00F37812" w:rsidRPr="003D6740" w:rsidRDefault="00F37812" w:rsidP="00F37812">
      <w:pPr>
        <w:pStyle w:val="ListParagraph"/>
        <w:numPr>
          <w:ilvl w:val="0"/>
          <w:numId w:val="15"/>
        </w:numPr>
        <w:spacing w:before="0" w:after="120"/>
      </w:pPr>
      <w:r w:rsidRPr="00DD57E1">
        <w:t xml:space="preserve">host responsibility could become a tick box exercise to meet minimum statutory requirements in an environment where </w:t>
      </w:r>
      <w:r>
        <w:t>the prevention and minimisation of gambling harm</w:t>
      </w:r>
      <w:r w:rsidRPr="00DD57E1">
        <w:t xml:space="preserve"> practices are already less than satisfactory (although practices do vary across the sector). </w:t>
      </w:r>
    </w:p>
    <w:p w:rsidR="0072444A" w:rsidRPr="00A04956" w:rsidRDefault="0072444A" w:rsidP="00A04956">
      <w:pPr>
        <w:pStyle w:val="Heading5"/>
      </w:pPr>
      <w:r w:rsidRPr="00A04956">
        <w:t>Department comment</w:t>
      </w:r>
    </w:p>
    <w:p w:rsidR="007A7462" w:rsidRDefault="007A7462" w:rsidP="0072444A">
      <w:pPr>
        <w:pStyle w:val="Numberedpara3level1"/>
      </w:pPr>
      <w:r>
        <w:t>The primary policy objective is to simplify compliance and reduce administrative time and cost for societies and venues, thereby maximising returns to the community – without growing gambling and increasing harm.</w:t>
      </w:r>
    </w:p>
    <w:p w:rsidR="00F37812" w:rsidRDefault="007A7462" w:rsidP="0072444A">
      <w:pPr>
        <w:pStyle w:val="Numberedpara3level1"/>
      </w:pPr>
      <w:r>
        <w:t>A</w:t>
      </w:r>
      <w:r w:rsidR="0072444A" w:rsidRPr="00474522">
        <w:t xml:space="preserve"> commission-based regime </w:t>
      </w:r>
      <w:r w:rsidR="00F37812">
        <w:t xml:space="preserve">is </w:t>
      </w:r>
      <w:r w:rsidR="00DD62C6">
        <w:t xml:space="preserve">significantly </w:t>
      </w:r>
      <w:r w:rsidR="00F37812">
        <w:t>simple</w:t>
      </w:r>
      <w:r w:rsidR="00BD2ADF">
        <w:t>r</w:t>
      </w:r>
      <w:r w:rsidR="00F37812">
        <w:t xml:space="preserve"> and eas</w:t>
      </w:r>
      <w:r w:rsidR="00BD2ADF">
        <w:t>ier</w:t>
      </w:r>
      <w:r w:rsidR="00F37812">
        <w:t xml:space="preserve"> to comply with</w:t>
      </w:r>
      <w:r w:rsidR="00DD62C6">
        <w:t xml:space="preserve"> than the status quo</w:t>
      </w:r>
      <w:r w:rsidR="00F37812">
        <w:t xml:space="preserve">. The performance of venues is key to the effectiveness of the gambling system and enabling fair and transparent compensation for venues is of critical importance. A commission-based system moves the policy settings from input control to an outcomes focus </w:t>
      </w:r>
      <w:r w:rsidR="00DD62C6">
        <w:t xml:space="preserve">and </w:t>
      </w:r>
      <w:r w:rsidR="00F37812">
        <w:t>recognis</w:t>
      </w:r>
      <w:r w:rsidR="00DD62C6">
        <w:t>es</w:t>
      </w:r>
      <w:r w:rsidR="00F37812">
        <w:t xml:space="preserve"> that venue operators are in the best position to ensure their business and regulatory obligations are met.</w:t>
      </w:r>
    </w:p>
    <w:p w:rsidR="0072444A" w:rsidRDefault="003C789A" w:rsidP="0072444A">
      <w:pPr>
        <w:pStyle w:val="Numberedpara3level1"/>
      </w:pPr>
      <w:r>
        <w:t>Nonetheless, t</w:t>
      </w:r>
      <w:r w:rsidR="00F37812">
        <w:t xml:space="preserve">he Department </w:t>
      </w:r>
      <w:r w:rsidR="0072444A" w:rsidRPr="00474522">
        <w:t>acknowledg</w:t>
      </w:r>
      <w:r w:rsidR="00F37812">
        <w:t xml:space="preserve">es </w:t>
      </w:r>
      <w:r w:rsidR="0072444A" w:rsidRPr="00474522">
        <w:t>that</w:t>
      </w:r>
      <w:r w:rsidR="00F37812">
        <w:t xml:space="preserve"> under</w:t>
      </w:r>
      <w:r w:rsidR="0072444A" w:rsidRPr="00474522">
        <w:t xml:space="preserve"> </w:t>
      </w:r>
      <w:r w:rsidR="00F37812">
        <w:t xml:space="preserve">a commission-based </w:t>
      </w:r>
      <w:r w:rsidR="0072444A" w:rsidRPr="00474522">
        <w:t xml:space="preserve">regime, venues </w:t>
      </w:r>
      <w:r w:rsidR="0072444A">
        <w:t>may be</w:t>
      </w:r>
      <w:r w:rsidR="0072444A" w:rsidRPr="00474522">
        <w:t xml:space="preserve"> incentivised to maximise income relative to costs and may therefore be incentivised to not intervene when problem gambling is suspected or occurring.</w:t>
      </w:r>
      <w:r w:rsidR="0072444A">
        <w:t xml:space="preserve"> </w:t>
      </w:r>
    </w:p>
    <w:p w:rsidR="0072444A" w:rsidRDefault="0072444A" w:rsidP="0072444A">
      <w:pPr>
        <w:pStyle w:val="Numberedpara3level1"/>
      </w:pPr>
      <w:r>
        <w:t xml:space="preserve">Counter-balancing this is the assumption that if venues are adequately </w:t>
      </w:r>
      <w:r w:rsidR="00F37812">
        <w:t xml:space="preserve">recompensed for costs, they </w:t>
      </w:r>
      <w:r w:rsidR="009C1349">
        <w:t xml:space="preserve">will </w:t>
      </w:r>
      <w:r>
        <w:t>have sufficient resources to increase supervision and management of the gaming environment and therefore become more effective in minimising harm.</w:t>
      </w:r>
    </w:p>
    <w:p w:rsidR="00F37812" w:rsidRDefault="009C1349" w:rsidP="00F37812">
      <w:pPr>
        <w:pStyle w:val="Numberedpara3level1"/>
      </w:pPr>
      <w:r>
        <w:t xml:space="preserve">How venue operators will respond to the new regime is difficult to predict in advance. </w:t>
      </w:r>
      <w:r w:rsidR="00E8467E">
        <w:t>The new payments regime is being introduced at the same time as other changes are taking place across the sector</w:t>
      </w:r>
      <w:r w:rsidR="004933F2">
        <w:t>, including freezing the minimal rate of return</w:t>
      </w:r>
      <w:r w:rsidR="003C789A">
        <w:t xml:space="preserve"> at 40</w:t>
      </w:r>
      <w:r w:rsidR="00D61242">
        <w:t xml:space="preserve"> per cent</w:t>
      </w:r>
      <w:r w:rsidR="003C789A">
        <w:t xml:space="preserve">, wider </w:t>
      </w:r>
      <w:r w:rsidR="001C006A">
        <w:t xml:space="preserve">class </w:t>
      </w:r>
      <w:r w:rsidR="003C789A">
        <w:t>4 reform,</w:t>
      </w:r>
      <w:r w:rsidR="004933F2">
        <w:t xml:space="preserve"> and the introduction of e</w:t>
      </w:r>
      <w:r w:rsidR="004933F2" w:rsidRPr="004933F2">
        <w:t>nhancements to the harm minimisation and prevention provisions of the Gambling Act</w:t>
      </w:r>
      <w:r w:rsidR="00244816">
        <w:t>;</w:t>
      </w:r>
      <w:r w:rsidR="00E8467E">
        <w:t xml:space="preserve"> </w:t>
      </w:r>
      <w:r w:rsidR="00244816">
        <w:t xml:space="preserve">all of </w:t>
      </w:r>
      <w:r w:rsidR="00E8467E">
        <w:t>which may have an impact on how venues respond to a commission-based approach.</w:t>
      </w:r>
    </w:p>
    <w:p w:rsidR="0072444A" w:rsidRPr="00474522" w:rsidRDefault="0072444A" w:rsidP="0072444A">
      <w:pPr>
        <w:pStyle w:val="Numberedpara3level1"/>
      </w:pPr>
      <w:r w:rsidRPr="00474522">
        <w:t xml:space="preserve">The Department </w:t>
      </w:r>
      <w:r>
        <w:t xml:space="preserve">will monitor the new regime for </w:t>
      </w:r>
      <w:r w:rsidR="00BD2ADF">
        <w:t>its impact on problem gambling</w:t>
      </w:r>
      <w:r>
        <w:t xml:space="preserve">. </w:t>
      </w:r>
    </w:p>
    <w:p w:rsidR="00163AD5" w:rsidRDefault="00A04956" w:rsidP="00EC1362">
      <w:pPr>
        <w:pStyle w:val="Heading4"/>
      </w:pPr>
      <w:r>
        <w:lastRenderedPageBreak/>
        <w:t>Decision 2: h</w:t>
      </w:r>
      <w:r w:rsidR="00EC1362">
        <w:t xml:space="preserve">ow </w:t>
      </w:r>
      <w:r w:rsidR="00DE4C46">
        <w:t>c</w:t>
      </w:r>
      <w:r w:rsidR="00D103B6">
        <w:t>ould th</w:t>
      </w:r>
      <w:r w:rsidR="00EC1362">
        <w:t>e commission be calculated?</w:t>
      </w:r>
    </w:p>
    <w:p w:rsidR="00D5686C" w:rsidRDefault="00EC1362" w:rsidP="00D5686C">
      <w:pPr>
        <w:pStyle w:val="Numberedpara3level1"/>
      </w:pPr>
      <w:r w:rsidRPr="006D7831">
        <w:t>The commission coul</w:t>
      </w:r>
      <w:r w:rsidR="00A04956">
        <w:t xml:space="preserve">d be calculated one of two ways; either as a percentage of turnover or as a percentage of GMP. </w:t>
      </w:r>
      <w:r w:rsidR="00D5686C">
        <w:t xml:space="preserve">Table </w:t>
      </w:r>
      <w:r w:rsidR="00B3685A">
        <w:t>5</w:t>
      </w:r>
      <w:r w:rsidR="00D5686C">
        <w:t xml:space="preserve"> describes how these options meet the assessment criteria. </w:t>
      </w:r>
    </w:p>
    <w:p w:rsidR="00835F73" w:rsidRPr="00835F73" w:rsidRDefault="00835F73" w:rsidP="0007668D">
      <w:pPr>
        <w:pStyle w:val="Numberedpara3level1"/>
        <w:numPr>
          <w:ilvl w:val="0"/>
          <w:numId w:val="0"/>
        </w:numPr>
        <w:ind w:left="567" w:hanging="567"/>
        <w:rPr>
          <w:b/>
          <w:i/>
        </w:rPr>
      </w:pPr>
      <w:r w:rsidRPr="00835F73">
        <w:rPr>
          <w:b/>
          <w:i/>
        </w:rPr>
        <w:t xml:space="preserve">Table 5: </w:t>
      </w:r>
      <w:r w:rsidR="00A04956">
        <w:rPr>
          <w:b/>
          <w:i/>
        </w:rPr>
        <w:t xml:space="preserve">Analysis of Decision 2 - </w:t>
      </w:r>
      <w:r w:rsidRPr="00835F73">
        <w:rPr>
          <w:b/>
          <w:i/>
        </w:rPr>
        <w:t>calculation methods for a commission-based regime</w:t>
      </w:r>
    </w:p>
    <w:tbl>
      <w:tblPr>
        <w:tblW w:w="0" w:type="auto"/>
        <w:jc w:val="center"/>
        <w:tblInd w:w="34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2761"/>
        <w:gridCol w:w="2977"/>
        <w:gridCol w:w="3201"/>
      </w:tblGrid>
      <w:tr w:rsidR="00C124CD" w:rsidRPr="00587983" w:rsidTr="00C124CD">
        <w:trPr>
          <w:tblHeader/>
          <w:jc w:val="center"/>
        </w:trPr>
        <w:tc>
          <w:tcPr>
            <w:tcW w:w="2761" w:type="dxa"/>
            <w:tcBorders>
              <w:top w:val="single" w:sz="6" w:space="0" w:color="1F546B"/>
              <w:left w:val="single" w:sz="12" w:space="0" w:color="1F546B"/>
              <w:bottom w:val="single" w:sz="12" w:space="0" w:color="1F546B"/>
              <w:right w:val="single" w:sz="6" w:space="0" w:color="FFFFFF"/>
              <w:tl2br w:val="nil"/>
              <w:tr2bl w:val="nil"/>
            </w:tcBorders>
            <w:shd w:val="clear" w:color="auto" w:fill="0B5369"/>
          </w:tcPr>
          <w:p w:rsidR="00835F73" w:rsidRPr="00BB18C2" w:rsidRDefault="00835F73" w:rsidP="00E233FF">
            <w:pPr>
              <w:spacing w:after="120"/>
              <w:jc w:val="both"/>
              <w:rPr>
                <w:rFonts w:cs="Arial"/>
                <w:b/>
                <w:color w:val="FFFFFF"/>
                <w:sz w:val="22"/>
                <w:szCs w:val="22"/>
              </w:rPr>
            </w:pPr>
            <w:r w:rsidRPr="00BB18C2">
              <w:rPr>
                <w:rFonts w:cs="Arial"/>
                <w:b/>
                <w:color w:val="FFFFFF"/>
                <w:sz w:val="22"/>
                <w:szCs w:val="22"/>
              </w:rPr>
              <w:t>Criteria</w:t>
            </w:r>
          </w:p>
        </w:tc>
        <w:tc>
          <w:tcPr>
            <w:tcW w:w="2977" w:type="dxa"/>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A6093C" w:rsidRDefault="00A6093C" w:rsidP="00E233FF">
            <w:pPr>
              <w:spacing w:after="120"/>
              <w:rPr>
                <w:rFonts w:cs="Arial"/>
                <w:b/>
                <w:color w:val="FFFFFF"/>
                <w:sz w:val="22"/>
                <w:szCs w:val="22"/>
              </w:rPr>
            </w:pPr>
            <w:r>
              <w:rPr>
                <w:rFonts w:cs="Arial"/>
                <w:b/>
                <w:color w:val="FFFFFF"/>
                <w:sz w:val="22"/>
                <w:szCs w:val="22"/>
              </w:rPr>
              <w:t>Option 6:</w:t>
            </w:r>
          </w:p>
          <w:p w:rsidR="00835F73" w:rsidRPr="00BB18C2" w:rsidRDefault="00835F73" w:rsidP="00E233FF">
            <w:pPr>
              <w:spacing w:after="120"/>
              <w:rPr>
                <w:rFonts w:cs="Arial"/>
                <w:b/>
                <w:color w:val="FFFFFF"/>
                <w:sz w:val="22"/>
                <w:szCs w:val="22"/>
              </w:rPr>
            </w:pPr>
            <w:r>
              <w:rPr>
                <w:rFonts w:cs="Arial"/>
                <w:b/>
                <w:color w:val="FFFFFF"/>
                <w:sz w:val="22"/>
                <w:szCs w:val="22"/>
              </w:rPr>
              <w:t>Turnover</w:t>
            </w:r>
          </w:p>
        </w:tc>
        <w:tc>
          <w:tcPr>
            <w:tcW w:w="3201" w:type="dxa"/>
            <w:tcBorders>
              <w:top w:val="single" w:sz="6" w:space="0" w:color="1F546B"/>
              <w:left w:val="single" w:sz="6" w:space="0" w:color="FFFFFF"/>
              <w:bottom w:val="single" w:sz="12" w:space="0" w:color="1F546B"/>
              <w:right w:val="single" w:sz="6" w:space="0" w:color="FFFFFF"/>
              <w:tl2br w:val="nil"/>
              <w:tr2bl w:val="nil"/>
            </w:tcBorders>
            <w:shd w:val="clear" w:color="auto" w:fill="0B5369"/>
          </w:tcPr>
          <w:p w:rsidR="00A6093C" w:rsidRDefault="00A6093C" w:rsidP="00E233FF">
            <w:pPr>
              <w:spacing w:after="120"/>
              <w:rPr>
                <w:rFonts w:cs="Arial"/>
                <w:b/>
                <w:color w:val="FFFFFF"/>
                <w:sz w:val="22"/>
                <w:szCs w:val="22"/>
              </w:rPr>
            </w:pPr>
            <w:r>
              <w:rPr>
                <w:rFonts w:cs="Arial"/>
                <w:b/>
                <w:color w:val="FFFFFF"/>
                <w:sz w:val="22"/>
                <w:szCs w:val="22"/>
              </w:rPr>
              <w:t>Option 7:</w:t>
            </w:r>
          </w:p>
          <w:p w:rsidR="00835F73" w:rsidRPr="00BB18C2" w:rsidRDefault="00835F73" w:rsidP="00E233FF">
            <w:pPr>
              <w:spacing w:after="120"/>
              <w:rPr>
                <w:rFonts w:cs="Arial"/>
                <w:b/>
                <w:color w:val="FFFFFF"/>
                <w:sz w:val="22"/>
                <w:szCs w:val="22"/>
              </w:rPr>
            </w:pPr>
            <w:r>
              <w:rPr>
                <w:rFonts w:cs="Arial"/>
                <w:b/>
                <w:color w:val="FFFFFF"/>
                <w:sz w:val="22"/>
                <w:szCs w:val="22"/>
              </w:rPr>
              <w:t>GMP</w:t>
            </w:r>
          </w:p>
        </w:tc>
      </w:tr>
      <w:tr w:rsidR="00835F73" w:rsidRPr="00587983" w:rsidTr="0007668D">
        <w:trPr>
          <w:jc w:val="center"/>
        </w:trPr>
        <w:tc>
          <w:tcPr>
            <w:tcW w:w="2761" w:type="dxa"/>
            <w:shd w:val="clear" w:color="auto" w:fill="auto"/>
          </w:tcPr>
          <w:p w:rsidR="00835F73" w:rsidRPr="00BB18C2" w:rsidRDefault="00A04956" w:rsidP="006D5F82">
            <w:pPr>
              <w:spacing w:after="120"/>
              <w:rPr>
                <w:rFonts w:cs="Arial"/>
                <w:b/>
                <w:sz w:val="22"/>
                <w:szCs w:val="22"/>
              </w:rPr>
            </w:pPr>
            <w:r>
              <w:rPr>
                <w:b/>
                <w:sz w:val="22"/>
                <w:szCs w:val="22"/>
              </w:rPr>
              <w:t>I</w:t>
            </w:r>
            <w:r w:rsidRPr="0072444A">
              <w:rPr>
                <w:b/>
                <w:sz w:val="22"/>
                <w:szCs w:val="22"/>
              </w:rPr>
              <w:t>s the option simple to comply with, reducing administrative time and cost for societies and venues, thereby maximising funds that are available for the community?</w:t>
            </w:r>
          </w:p>
        </w:tc>
        <w:tc>
          <w:tcPr>
            <w:tcW w:w="2977" w:type="dxa"/>
            <w:shd w:val="clear" w:color="auto" w:fill="auto"/>
          </w:tcPr>
          <w:p w:rsidR="00835F73" w:rsidRDefault="00A04956" w:rsidP="00E233FF">
            <w:pPr>
              <w:spacing w:after="120"/>
              <w:rPr>
                <w:rFonts w:cs="Arial"/>
                <w:sz w:val="22"/>
                <w:szCs w:val="22"/>
              </w:rPr>
            </w:pPr>
            <w:r>
              <w:rPr>
                <w:rFonts w:cs="Arial"/>
                <w:sz w:val="22"/>
                <w:szCs w:val="22"/>
              </w:rPr>
              <w:t>Yes</w:t>
            </w:r>
            <w:r w:rsidR="00835F73">
              <w:rPr>
                <w:rFonts w:cs="Arial"/>
                <w:sz w:val="22"/>
                <w:szCs w:val="22"/>
              </w:rPr>
              <w:t>.</w:t>
            </w:r>
          </w:p>
          <w:p w:rsidR="00835F73" w:rsidRDefault="00FB6981" w:rsidP="00E233FF">
            <w:pPr>
              <w:spacing w:after="120"/>
              <w:rPr>
                <w:rFonts w:cs="Arial"/>
                <w:sz w:val="22"/>
                <w:szCs w:val="22"/>
              </w:rPr>
            </w:pPr>
            <w:r>
              <w:rPr>
                <w:rFonts w:cs="Arial"/>
                <w:sz w:val="22"/>
                <w:szCs w:val="22"/>
              </w:rPr>
              <w:t xml:space="preserve">A percentage of turnover is a simple calculation. </w:t>
            </w:r>
            <w:r w:rsidR="00835F73">
              <w:rPr>
                <w:rFonts w:cs="Arial"/>
                <w:sz w:val="22"/>
                <w:szCs w:val="22"/>
              </w:rPr>
              <w:t>Reduced administration costs frees up more money that is available for community purposes.</w:t>
            </w:r>
          </w:p>
          <w:p w:rsidR="00A04956" w:rsidRPr="00BB18C2" w:rsidRDefault="00A04956" w:rsidP="00A04956">
            <w:pPr>
              <w:spacing w:after="120"/>
              <w:rPr>
                <w:rFonts w:cs="Arial"/>
                <w:sz w:val="22"/>
                <w:szCs w:val="22"/>
              </w:rPr>
            </w:pPr>
          </w:p>
        </w:tc>
        <w:tc>
          <w:tcPr>
            <w:tcW w:w="3201" w:type="dxa"/>
          </w:tcPr>
          <w:p w:rsidR="00835F73" w:rsidRDefault="00A04956" w:rsidP="00E233FF">
            <w:pPr>
              <w:pStyle w:val="Bullet"/>
              <w:numPr>
                <w:ilvl w:val="0"/>
                <w:numId w:val="0"/>
              </w:numPr>
              <w:spacing w:before="120" w:after="120"/>
              <w:rPr>
                <w:sz w:val="22"/>
                <w:szCs w:val="22"/>
              </w:rPr>
            </w:pPr>
            <w:r>
              <w:rPr>
                <w:sz w:val="22"/>
                <w:szCs w:val="22"/>
              </w:rPr>
              <w:t>No</w:t>
            </w:r>
            <w:r w:rsidR="00835F73">
              <w:rPr>
                <w:sz w:val="22"/>
                <w:szCs w:val="22"/>
              </w:rPr>
              <w:t>.</w:t>
            </w:r>
          </w:p>
          <w:p w:rsidR="006E4A20" w:rsidRDefault="006E4A20" w:rsidP="00E233FF">
            <w:pPr>
              <w:pStyle w:val="Bullet"/>
              <w:numPr>
                <w:ilvl w:val="0"/>
                <w:numId w:val="0"/>
              </w:numPr>
              <w:spacing w:before="120" w:after="120"/>
              <w:rPr>
                <w:rFonts w:cs="Arial"/>
                <w:sz w:val="22"/>
                <w:szCs w:val="22"/>
              </w:rPr>
            </w:pPr>
            <w:r>
              <w:rPr>
                <w:rFonts w:cs="Arial"/>
                <w:sz w:val="22"/>
                <w:szCs w:val="22"/>
              </w:rPr>
              <w:t>It is not simple because GMP is determined by the inherent volatility of the gaining machines and the RTP setting. As a result there is no reliable link between GMP and a venue operators costs.</w:t>
            </w:r>
          </w:p>
          <w:p w:rsidR="00835F73" w:rsidRPr="00587983" w:rsidRDefault="006E4A20" w:rsidP="006E4A20">
            <w:pPr>
              <w:pStyle w:val="Bullet"/>
              <w:numPr>
                <w:ilvl w:val="0"/>
                <w:numId w:val="0"/>
              </w:numPr>
              <w:spacing w:before="120" w:after="120"/>
              <w:rPr>
                <w:sz w:val="22"/>
                <w:szCs w:val="22"/>
              </w:rPr>
            </w:pPr>
            <w:r>
              <w:rPr>
                <w:rFonts w:cs="Arial"/>
                <w:sz w:val="22"/>
                <w:szCs w:val="22"/>
              </w:rPr>
              <w:t>In addition, t</w:t>
            </w:r>
            <w:r w:rsidR="00835F73">
              <w:rPr>
                <w:sz w:val="22"/>
                <w:szCs w:val="22"/>
              </w:rPr>
              <w:t>he volatility of GMP can occasionally mean venues incur negative payments. This may demotivate venues to host machines, especially smaller, rural sites.</w:t>
            </w:r>
          </w:p>
        </w:tc>
      </w:tr>
      <w:tr w:rsidR="00835F73" w:rsidRPr="00587983" w:rsidTr="0007668D">
        <w:trPr>
          <w:jc w:val="center"/>
        </w:trPr>
        <w:tc>
          <w:tcPr>
            <w:tcW w:w="2761" w:type="dxa"/>
            <w:shd w:val="clear" w:color="auto" w:fill="auto"/>
          </w:tcPr>
          <w:p w:rsidR="00A04956" w:rsidRPr="0072444A" w:rsidRDefault="00A04956" w:rsidP="00A04956">
            <w:pPr>
              <w:spacing w:after="120"/>
              <w:rPr>
                <w:b/>
                <w:sz w:val="22"/>
                <w:szCs w:val="22"/>
              </w:rPr>
            </w:pPr>
            <w:r>
              <w:rPr>
                <w:b/>
                <w:sz w:val="22"/>
                <w:szCs w:val="22"/>
              </w:rPr>
              <w:t>D</w:t>
            </w:r>
            <w:r w:rsidR="008B58CA">
              <w:rPr>
                <w:b/>
                <w:sz w:val="22"/>
                <w:szCs w:val="22"/>
              </w:rPr>
              <w:t>oes the option introduce an</w:t>
            </w:r>
            <w:r w:rsidRPr="0072444A">
              <w:rPr>
                <w:b/>
                <w:sz w:val="22"/>
                <w:szCs w:val="22"/>
              </w:rPr>
              <w:t xml:space="preserve"> incentive for venue operators to diminish or ignore their responsibilities with respect to prevention and minimisation of gam</w:t>
            </w:r>
            <w:r w:rsidR="008B58CA">
              <w:rPr>
                <w:b/>
                <w:sz w:val="22"/>
                <w:szCs w:val="22"/>
              </w:rPr>
              <w:t>bling harm</w:t>
            </w:r>
            <w:r w:rsidRPr="0072444A">
              <w:rPr>
                <w:b/>
                <w:sz w:val="22"/>
                <w:szCs w:val="22"/>
              </w:rPr>
              <w:t>?</w:t>
            </w:r>
          </w:p>
          <w:p w:rsidR="00835F73" w:rsidRPr="00BB18C2" w:rsidRDefault="00835F73" w:rsidP="00E233FF">
            <w:pPr>
              <w:spacing w:after="120"/>
              <w:rPr>
                <w:rFonts w:cs="Arial"/>
                <w:b/>
                <w:sz w:val="22"/>
                <w:szCs w:val="22"/>
              </w:rPr>
            </w:pPr>
          </w:p>
        </w:tc>
        <w:tc>
          <w:tcPr>
            <w:tcW w:w="2977" w:type="dxa"/>
            <w:shd w:val="clear" w:color="auto" w:fill="auto"/>
          </w:tcPr>
          <w:p w:rsidR="00835F73" w:rsidRDefault="006E4A20" w:rsidP="00E233FF">
            <w:pPr>
              <w:spacing w:after="120"/>
              <w:rPr>
                <w:rFonts w:cs="Arial"/>
                <w:sz w:val="22"/>
                <w:szCs w:val="22"/>
              </w:rPr>
            </w:pPr>
            <w:r>
              <w:rPr>
                <w:rFonts w:cs="Arial"/>
                <w:sz w:val="22"/>
                <w:szCs w:val="22"/>
              </w:rPr>
              <w:t>No</w:t>
            </w:r>
            <w:r w:rsidR="00835F73">
              <w:rPr>
                <w:rFonts w:cs="Arial"/>
                <w:sz w:val="22"/>
                <w:szCs w:val="22"/>
              </w:rPr>
              <w:t xml:space="preserve">. </w:t>
            </w:r>
          </w:p>
          <w:p w:rsidR="00835F73" w:rsidRDefault="00835F73" w:rsidP="00E233FF">
            <w:pPr>
              <w:spacing w:after="120"/>
              <w:rPr>
                <w:rFonts w:cs="Arial"/>
                <w:sz w:val="22"/>
                <w:szCs w:val="22"/>
              </w:rPr>
            </w:pPr>
            <w:r>
              <w:rPr>
                <w:rFonts w:cs="Arial"/>
                <w:sz w:val="22"/>
                <w:szCs w:val="22"/>
              </w:rPr>
              <w:t>There is an assumption that the volume of transactions increases harm, but this is not necessarily the case. Busy venues with high turnover may have more customers but the average bet</w:t>
            </w:r>
            <w:r w:rsidR="006D5F82">
              <w:rPr>
                <w:rFonts w:cs="Arial"/>
                <w:sz w:val="22"/>
                <w:szCs w:val="22"/>
              </w:rPr>
              <w:t xml:space="preserve"> per customer</w:t>
            </w:r>
            <w:r>
              <w:rPr>
                <w:rFonts w:cs="Arial"/>
                <w:sz w:val="22"/>
                <w:szCs w:val="22"/>
              </w:rPr>
              <w:t xml:space="preserve"> is lower.</w:t>
            </w:r>
          </w:p>
          <w:p w:rsidR="00835F73" w:rsidRPr="00D150DA" w:rsidRDefault="00835F73" w:rsidP="00E233FF">
            <w:pPr>
              <w:spacing w:after="120"/>
              <w:rPr>
                <w:rFonts w:cs="Arial"/>
                <w:sz w:val="22"/>
                <w:szCs w:val="22"/>
              </w:rPr>
            </w:pPr>
            <w:r>
              <w:rPr>
                <w:rFonts w:cs="Arial"/>
                <w:sz w:val="22"/>
                <w:szCs w:val="22"/>
              </w:rPr>
              <w:t xml:space="preserve">Adequate payments permit more effective resourcing of </w:t>
            </w:r>
            <w:r w:rsidR="006D5F82" w:rsidRPr="006D5F82">
              <w:rPr>
                <w:rFonts w:cs="Arial"/>
                <w:sz w:val="22"/>
                <w:szCs w:val="22"/>
              </w:rPr>
              <w:t>the prevention and minimisation of gambling harm</w:t>
            </w:r>
            <w:r>
              <w:rPr>
                <w:rFonts w:cs="Arial"/>
                <w:sz w:val="22"/>
                <w:szCs w:val="22"/>
              </w:rPr>
              <w:t>.</w:t>
            </w:r>
          </w:p>
        </w:tc>
        <w:tc>
          <w:tcPr>
            <w:tcW w:w="3201" w:type="dxa"/>
          </w:tcPr>
          <w:p w:rsidR="00835F73" w:rsidRDefault="006E4A20" w:rsidP="00E233FF">
            <w:pPr>
              <w:spacing w:after="120"/>
              <w:rPr>
                <w:rFonts w:cs="Arial"/>
                <w:sz w:val="22"/>
                <w:szCs w:val="22"/>
              </w:rPr>
            </w:pPr>
            <w:r>
              <w:rPr>
                <w:rFonts w:cs="Arial"/>
                <w:sz w:val="22"/>
                <w:szCs w:val="22"/>
              </w:rPr>
              <w:t>Yes</w:t>
            </w:r>
            <w:r w:rsidR="00835F73">
              <w:rPr>
                <w:rFonts w:cs="Arial"/>
                <w:sz w:val="22"/>
                <w:szCs w:val="22"/>
              </w:rPr>
              <w:t xml:space="preserve">. </w:t>
            </w:r>
          </w:p>
          <w:p w:rsidR="00835F73" w:rsidRPr="00BB18C2" w:rsidRDefault="00835F73" w:rsidP="00E233FF">
            <w:pPr>
              <w:spacing w:after="120"/>
              <w:rPr>
                <w:rFonts w:cs="Arial"/>
                <w:sz w:val="22"/>
                <w:szCs w:val="22"/>
              </w:rPr>
            </w:pPr>
            <w:r>
              <w:rPr>
                <w:rFonts w:cs="Arial"/>
                <w:sz w:val="22"/>
                <w:szCs w:val="22"/>
              </w:rPr>
              <w:t>The inconsistent nature of funding that results from using GMP may frustrate venues from employing additional resources to manage and monitor their gaming environments.</w:t>
            </w:r>
          </w:p>
        </w:tc>
      </w:tr>
      <w:tr w:rsidR="00835F73" w:rsidRPr="00587983" w:rsidTr="0007668D">
        <w:trPr>
          <w:jc w:val="center"/>
        </w:trPr>
        <w:tc>
          <w:tcPr>
            <w:tcW w:w="2761" w:type="dxa"/>
            <w:shd w:val="clear" w:color="auto" w:fill="auto"/>
          </w:tcPr>
          <w:p w:rsidR="00835F73" w:rsidRPr="00BB18C2" w:rsidRDefault="00835F73" w:rsidP="00E233FF">
            <w:pPr>
              <w:pStyle w:val="Numberedpara3level211"/>
              <w:numPr>
                <w:ilvl w:val="0"/>
                <w:numId w:val="0"/>
              </w:numPr>
              <w:rPr>
                <w:rFonts w:cs="Arial"/>
                <w:b/>
                <w:sz w:val="22"/>
                <w:szCs w:val="22"/>
              </w:rPr>
            </w:pPr>
            <w:r w:rsidRPr="00587983">
              <w:rPr>
                <w:b/>
                <w:sz w:val="22"/>
                <w:szCs w:val="22"/>
              </w:rPr>
              <w:t>Is the option transparent</w:t>
            </w:r>
            <w:r w:rsidR="00FB6981">
              <w:rPr>
                <w:b/>
                <w:sz w:val="22"/>
                <w:szCs w:val="22"/>
              </w:rPr>
              <w:t xml:space="preserve"> about what is being paid to whom and for what purpose</w:t>
            </w:r>
            <w:r w:rsidRPr="00587983">
              <w:rPr>
                <w:b/>
                <w:sz w:val="22"/>
                <w:szCs w:val="22"/>
              </w:rPr>
              <w:t>?</w:t>
            </w:r>
          </w:p>
        </w:tc>
        <w:tc>
          <w:tcPr>
            <w:tcW w:w="2977" w:type="dxa"/>
            <w:shd w:val="clear" w:color="auto" w:fill="auto"/>
          </w:tcPr>
          <w:p w:rsidR="00835F73" w:rsidRDefault="00835F73" w:rsidP="00E233FF">
            <w:pPr>
              <w:spacing w:after="120"/>
              <w:rPr>
                <w:rFonts w:cs="Arial"/>
                <w:sz w:val="22"/>
                <w:szCs w:val="22"/>
              </w:rPr>
            </w:pPr>
            <w:r>
              <w:rPr>
                <w:rFonts w:cs="Arial"/>
                <w:sz w:val="22"/>
                <w:szCs w:val="22"/>
              </w:rPr>
              <w:t>Yes.</w:t>
            </w:r>
          </w:p>
          <w:p w:rsidR="00835F73" w:rsidRPr="00BB18C2" w:rsidRDefault="00835F73" w:rsidP="00E233FF">
            <w:pPr>
              <w:spacing w:after="120"/>
              <w:rPr>
                <w:rFonts w:cs="Arial"/>
                <w:sz w:val="22"/>
                <w:szCs w:val="22"/>
              </w:rPr>
            </w:pPr>
            <w:r>
              <w:rPr>
                <w:rFonts w:cs="Arial"/>
                <w:sz w:val="22"/>
                <w:szCs w:val="22"/>
              </w:rPr>
              <w:t>RTP percentages can be manipulated upwards to increase turnover but because the majority of venues operate at the high end of RTPs, the effect on payments is marginal.</w:t>
            </w:r>
          </w:p>
        </w:tc>
        <w:tc>
          <w:tcPr>
            <w:tcW w:w="3201" w:type="dxa"/>
          </w:tcPr>
          <w:p w:rsidR="00835F73" w:rsidRDefault="00835F73" w:rsidP="00E233FF">
            <w:pPr>
              <w:spacing w:after="120"/>
              <w:rPr>
                <w:rFonts w:cs="Arial"/>
                <w:sz w:val="22"/>
                <w:szCs w:val="22"/>
              </w:rPr>
            </w:pPr>
            <w:r>
              <w:rPr>
                <w:rFonts w:cs="Arial"/>
                <w:sz w:val="22"/>
                <w:szCs w:val="22"/>
              </w:rPr>
              <w:t xml:space="preserve">No. </w:t>
            </w:r>
          </w:p>
          <w:p w:rsidR="00835F73" w:rsidRPr="00BB18C2" w:rsidRDefault="00835F73" w:rsidP="00E233FF">
            <w:pPr>
              <w:spacing w:after="120"/>
              <w:rPr>
                <w:rFonts w:cs="Arial"/>
                <w:sz w:val="22"/>
                <w:szCs w:val="22"/>
              </w:rPr>
            </w:pPr>
            <w:r>
              <w:rPr>
                <w:rFonts w:cs="Arial"/>
                <w:sz w:val="22"/>
                <w:szCs w:val="22"/>
              </w:rPr>
              <w:t>RTP percentages can be manipulated downwards to increase GMP. The effect on payments can be significant.</w:t>
            </w:r>
          </w:p>
        </w:tc>
      </w:tr>
      <w:tr w:rsidR="00835F73" w:rsidRPr="00587983" w:rsidTr="0007668D">
        <w:trPr>
          <w:jc w:val="center"/>
        </w:trPr>
        <w:tc>
          <w:tcPr>
            <w:tcW w:w="2761" w:type="dxa"/>
            <w:shd w:val="clear" w:color="auto" w:fill="auto"/>
          </w:tcPr>
          <w:p w:rsidR="00835F73" w:rsidRPr="00D150DA" w:rsidRDefault="00835F73" w:rsidP="00E233FF">
            <w:pPr>
              <w:pStyle w:val="Numberedpara3level211"/>
              <w:numPr>
                <w:ilvl w:val="0"/>
                <w:numId w:val="0"/>
              </w:numPr>
              <w:rPr>
                <w:rFonts w:cs="Arial"/>
                <w:b/>
                <w:sz w:val="22"/>
                <w:szCs w:val="22"/>
              </w:rPr>
            </w:pPr>
            <w:r w:rsidRPr="00D150DA">
              <w:rPr>
                <w:b/>
                <w:sz w:val="22"/>
                <w:szCs w:val="22"/>
              </w:rPr>
              <w:lastRenderedPageBreak/>
              <w:t>Does the option minimise unintended behaviours</w:t>
            </w:r>
            <w:r w:rsidR="00FB6981">
              <w:rPr>
                <w:b/>
                <w:sz w:val="22"/>
                <w:szCs w:val="22"/>
              </w:rPr>
              <w:t xml:space="preserve"> between societies and venue operators</w:t>
            </w:r>
            <w:r w:rsidRPr="00D150DA">
              <w:rPr>
                <w:b/>
                <w:sz w:val="22"/>
                <w:szCs w:val="22"/>
              </w:rPr>
              <w:t>?</w:t>
            </w:r>
          </w:p>
        </w:tc>
        <w:tc>
          <w:tcPr>
            <w:tcW w:w="2977" w:type="dxa"/>
            <w:shd w:val="clear" w:color="auto" w:fill="auto"/>
          </w:tcPr>
          <w:p w:rsidR="00835F73" w:rsidRDefault="00835F73" w:rsidP="00E233FF">
            <w:pPr>
              <w:spacing w:after="120"/>
              <w:rPr>
                <w:rFonts w:cs="Arial"/>
                <w:sz w:val="22"/>
                <w:szCs w:val="22"/>
              </w:rPr>
            </w:pPr>
            <w:r>
              <w:rPr>
                <w:rFonts w:cs="Arial"/>
                <w:sz w:val="22"/>
                <w:szCs w:val="22"/>
              </w:rPr>
              <w:t xml:space="preserve">Yes. </w:t>
            </w:r>
          </w:p>
          <w:p w:rsidR="00835F73" w:rsidRPr="00BB18C2" w:rsidRDefault="00835F73" w:rsidP="00E233FF">
            <w:pPr>
              <w:spacing w:after="120"/>
              <w:rPr>
                <w:rFonts w:cs="Arial"/>
                <w:sz w:val="22"/>
                <w:szCs w:val="22"/>
              </w:rPr>
            </w:pPr>
            <w:r>
              <w:rPr>
                <w:rFonts w:cs="Arial"/>
                <w:sz w:val="22"/>
                <w:szCs w:val="22"/>
              </w:rPr>
              <w:t>It manages competition and so does not disadvantage low turnover venues. There is minimal motivation to change RTP percentages.</w:t>
            </w:r>
          </w:p>
        </w:tc>
        <w:tc>
          <w:tcPr>
            <w:tcW w:w="3201" w:type="dxa"/>
          </w:tcPr>
          <w:p w:rsidR="00835F73" w:rsidRDefault="00835F73" w:rsidP="00E233FF">
            <w:pPr>
              <w:spacing w:after="120"/>
              <w:rPr>
                <w:sz w:val="22"/>
                <w:szCs w:val="22"/>
              </w:rPr>
            </w:pPr>
            <w:r>
              <w:rPr>
                <w:sz w:val="22"/>
                <w:szCs w:val="22"/>
              </w:rPr>
              <w:t xml:space="preserve">No. </w:t>
            </w:r>
          </w:p>
          <w:p w:rsidR="00835F73" w:rsidRPr="00BB18C2" w:rsidRDefault="00835F73" w:rsidP="00E233FF">
            <w:pPr>
              <w:spacing w:after="120"/>
              <w:rPr>
                <w:sz w:val="22"/>
                <w:szCs w:val="22"/>
              </w:rPr>
            </w:pPr>
            <w:r>
              <w:rPr>
                <w:sz w:val="22"/>
                <w:szCs w:val="22"/>
              </w:rPr>
              <w:t>It could incentivise venues to lower RTP percentages and jackpot contributions to increase GMP. This could result in competitive behaviour and introduce an inconsistent payment structure.</w:t>
            </w:r>
          </w:p>
        </w:tc>
      </w:tr>
      <w:tr w:rsidR="00835F73" w:rsidRPr="00587983" w:rsidTr="0007668D">
        <w:trPr>
          <w:jc w:val="center"/>
        </w:trPr>
        <w:tc>
          <w:tcPr>
            <w:tcW w:w="2761" w:type="dxa"/>
            <w:shd w:val="clear" w:color="auto" w:fill="auto"/>
          </w:tcPr>
          <w:p w:rsidR="00835F73" w:rsidRPr="00D150DA" w:rsidRDefault="00835F73" w:rsidP="00FB6981">
            <w:pPr>
              <w:pStyle w:val="Numberedpara3level211"/>
              <w:numPr>
                <w:ilvl w:val="0"/>
                <w:numId w:val="0"/>
              </w:numPr>
              <w:rPr>
                <w:b/>
                <w:sz w:val="22"/>
                <w:szCs w:val="22"/>
              </w:rPr>
            </w:pPr>
            <w:r w:rsidRPr="00D150DA">
              <w:rPr>
                <w:b/>
                <w:sz w:val="22"/>
                <w:szCs w:val="22"/>
              </w:rPr>
              <w:t>Does the option fairly recompense venue</w:t>
            </w:r>
            <w:r w:rsidR="00FB6981">
              <w:rPr>
                <w:b/>
                <w:sz w:val="22"/>
                <w:szCs w:val="22"/>
              </w:rPr>
              <w:t xml:space="preserve"> operators</w:t>
            </w:r>
            <w:r w:rsidRPr="00D150DA">
              <w:rPr>
                <w:b/>
                <w:sz w:val="22"/>
                <w:szCs w:val="22"/>
              </w:rPr>
              <w:t xml:space="preserve"> for </w:t>
            </w:r>
            <w:r w:rsidR="00FB6981">
              <w:rPr>
                <w:b/>
                <w:sz w:val="22"/>
                <w:szCs w:val="22"/>
              </w:rPr>
              <w:t xml:space="preserve">their </w:t>
            </w:r>
            <w:r w:rsidRPr="00D150DA">
              <w:rPr>
                <w:b/>
                <w:sz w:val="22"/>
                <w:szCs w:val="22"/>
              </w:rPr>
              <w:t>costs</w:t>
            </w:r>
            <w:r w:rsidR="00FB6981">
              <w:rPr>
                <w:b/>
                <w:sz w:val="22"/>
                <w:szCs w:val="22"/>
              </w:rPr>
              <w:t xml:space="preserve"> and the work that they do</w:t>
            </w:r>
            <w:r w:rsidRPr="00D150DA">
              <w:rPr>
                <w:b/>
                <w:sz w:val="22"/>
                <w:szCs w:val="22"/>
              </w:rPr>
              <w:t>?</w:t>
            </w:r>
          </w:p>
        </w:tc>
        <w:tc>
          <w:tcPr>
            <w:tcW w:w="2977" w:type="dxa"/>
            <w:shd w:val="clear" w:color="auto" w:fill="auto"/>
          </w:tcPr>
          <w:p w:rsidR="00835F73" w:rsidRDefault="00835F73" w:rsidP="00E233FF">
            <w:pPr>
              <w:spacing w:after="120"/>
              <w:rPr>
                <w:sz w:val="22"/>
                <w:szCs w:val="22"/>
              </w:rPr>
            </w:pPr>
            <w:r>
              <w:rPr>
                <w:sz w:val="22"/>
                <w:szCs w:val="22"/>
              </w:rPr>
              <w:t xml:space="preserve">Yes. </w:t>
            </w:r>
          </w:p>
          <w:p w:rsidR="00835F73" w:rsidRPr="00BB18C2" w:rsidRDefault="00835F73" w:rsidP="00E233FF">
            <w:pPr>
              <w:spacing w:after="120"/>
              <w:rPr>
                <w:sz w:val="22"/>
                <w:szCs w:val="22"/>
              </w:rPr>
            </w:pPr>
            <w:r>
              <w:rPr>
                <w:sz w:val="22"/>
                <w:szCs w:val="22"/>
              </w:rPr>
              <w:t>Turnover is the most reliable indicator of the effort and actual costs expended by a venue.</w:t>
            </w:r>
          </w:p>
        </w:tc>
        <w:tc>
          <w:tcPr>
            <w:tcW w:w="3201" w:type="dxa"/>
          </w:tcPr>
          <w:p w:rsidR="00835F73" w:rsidRDefault="00835F73" w:rsidP="00E233FF">
            <w:pPr>
              <w:spacing w:after="120"/>
              <w:rPr>
                <w:sz w:val="22"/>
                <w:szCs w:val="22"/>
              </w:rPr>
            </w:pPr>
            <w:r>
              <w:rPr>
                <w:sz w:val="22"/>
                <w:szCs w:val="22"/>
              </w:rPr>
              <w:t>Yes.</w:t>
            </w:r>
          </w:p>
          <w:p w:rsidR="00835F73" w:rsidRPr="00BB18C2" w:rsidRDefault="00835F73" w:rsidP="00E233FF">
            <w:pPr>
              <w:spacing w:after="120"/>
              <w:rPr>
                <w:sz w:val="22"/>
                <w:szCs w:val="22"/>
              </w:rPr>
            </w:pPr>
            <w:r>
              <w:rPr>
                <w:sz w:val="22"/>
                <w:szCs w:val="22"/>
              </w:rPr>
              <w:t xml:space="preserve">As a </w:t>
            </w:r>
            <w:r w:rsidR="00213F09">
              <w:rPr>
                <w:sz w:val="22"/>
                <w:szCs w:val="22"/>
              </w:rPr>
              <w:t>commission-based</w:t>
            </w:r>
            <w:r>
              <w:rPr>
                <w:sz w:val="22"/>
                <w:szCs w:val="22"/>
              </w:rPr>
              <w:t xml:space="preserve"> system it does, but not as reliably as the turnover based method.</w:t>
            </w:r>
          </w:p>
        </w:tc>
      </w:tr>
    </w:tbl>
    <w:p w:rsidR="00D35CBE" w:rsidRPr="00634711" w:rsidRDefault="00634711" w:rsidP="00D35CBE">
      <w:pPr>
        <w:pStyle w:val="Heading5"/>
      </w:pPr>
      <w:r w:rsidRPr="00634711">
        <w:t>W</w:t>
      </w:r>
      <w:r w:rsidR="00D35CBE" w:rsidRPr="00634711">
        <w:t>orking group preference</w:t>
      </w:r>
    </w:p>
    <w:p w:rsidR="009B491E" w:rsidRPr="009B491E" w:rsidRDefault="00D35CBE" w:rsidP="00201A47">
      <w:pPr>
        <w:pStyle w:val="Numberedpara3level1"/>
        <w:rPr>
          <w:rFonts w:asciiTheme="minorHAnsi" w:hAnsiTheme="minorHAnsi"/>
        </w:rPr>
      </w:pPr>
      <w:r w:rsidRPr="00634711">
        <w:t>The working group</w:t>
      </w:r>
      <w:r w:rsidR="00634711">
        <w:t>’s</w:t>
      </w:r>
      <w:r w:rsidRPr="00634711">
        <w:t xml:space="preserve"> preference is for the commission to be based on </w:t>
      </w:r>
      <w:r w:rsidR="00634711">
        <w:t xml:space="preserve">a percentage of </w:t>
      </w:r>
      <w:r w:rsidRPr="00634711">
        <w:t>turnover</w:t>
      </w:r>
      <w:r w:rsidR="00647380" w:rsidRPr="00634711">
        <w:t xml:space="preserve"> because</w:t>
      </w:r>
      <w:r w:rsidR="009B491E">
        <w:t>:</w:t>
      </w:r>
    </w:p>
    <w:p w:rsidR="009B491E" w:rsidRPr="009B491E" w:rsidRDefault="00647380" w:rsidP="009B491E">
      <w:pPr>
        <w:pStyle w:val="ListParagraph"/>
        <w:numPr>
          <w:ilvl w:val="0"/>
          <w:numId w:val="15"/>
        </w:numPr>
        <w:spacing w:before="0" w:after="120"/>
        <w:rPr>
          <w:rFonts w:asciiTheme="minorHAnsi" w:hAnsiTheme="minorHAnsi"/>
        </w:rPr>
      </w:pPr>
      <w:r w:rsidRPr="00634711">
        <w:t xml:space="preserve">it is </w:t>
      </w:r>
      <w:r w:rsidR="00D5686C">
        <w:t xml:space="preserve">significantly </w:t>
      </w:r>
      <w:r w:rsidRPr="00634711">
        <w:t>less volatile than a calculation based on GMP</w:t>
      </w:r>
      <w:r w:rsidR="009B491E">
        <w:t>;</w:t>
      </w:r>
    </w:p>
    <w:p w:rsidR="009B491E" w:rsidRPr="00FC6FB1" w:rsidRDefault="00634711" w:rsidP="009B491E">
      <w:pPr>
        <w:pStyle w:val="ListParagraph"/>
        <w:numPr>
          <w:ilvl w:val="0"/>
          <w:numId w:val="15"/>
        </w:numPr>
        <w:spacing w:before="0" w:after="120"/>
        <w:rPr>
          <w:rFonts w:asciiTheme="minorHAnsi" w:hAnsiTheme="minorHAnsi"/>
        </w:rPr>
      </w:pPr>
      <w:r w:rsidRPr="00634711">
        <w:t xml:space="preserve">it </w:t>
      </w:r>
      <w:r w:rsidR="00D5686C">
        <w:t>suits</w:t>
      </w:r>
      <w:r w:rsidRPr="00634711">
        <w:t xml:space="preserve"> smaller, provincial venues</w:t>
      </w:r>
      <w:r w:rsidR="00D5686C">
        <w:t xml:space="preserve"> </w:t>
      </w:r>
      <w:r w:rsidR="00903870">
        <w:t>because</w:t>
      </w:r>
      <w:r w:rsidR="00B3685A">
        <w:t xml:space="preserve"> it creates an even playing field</w:t>
      </w:r>
      <w:r w:rsidR="00FC6FB1">
        <w:rPr>
          <w:rStyle w:val="FootnoteReference"/>
        </w:rPr>
        <w:footnoteReference w:id="5"/>
      </w:r>
      <w:r w:rsidR="009B491E">
        <w:t>;</w:t>
      </w:r>
      <w:r w:rsidRPr="00634711">
        <w:t xml:space="preserve"> and </w:t>
      </w:r>
    </w:p>
    <w:p w:rsidR="00201A47" w:rsidRPr="000234A5" w:rsidRDefault="00647380" w:rsidP="009B491E">
      <w:pPr>
        <w:pStyle w:val="ListParagraph"/>
        <w:numPr>
          <w:ilvl w:val="0"/>
          <w:numId w:val="15"/>
        </w:numPr>
        <w:spacing w:before="0" w:after="120"/>
        <w:rPr>
          <w:rFonts w:asciiTheme="minorHAnsi" w:hAnsiTheme="minorHAnsi"/>
        </w:rPr>
      </w:pPr>
      <w:r w:rsidRPr="00634711">
        <w:t>return to player (RTP) percentages</w:t>
      </w:r>
      <w:r w:rsidR="00B3685A">
        <w:t xml:space="preserve"> are less likely to be manipulated</w:t>
      </w:r>
      <w:r w:rsidR="00842D78">
        <w:t xml:space="preserve"> in order to increase</w:t>
      </w:r>
      <w:r w:rsidR="00232A37">
        <w:t xml:space="preserve"> </w:t>
      </w:r>
      <w:r w:rsidR="00842D78">
        <w:t xml:space="preserve">weekly </w:t>
      </w:r>
      <w:r w:rsidR="00842D78" w:rsidRPr="000234A5">
        <w:rPr>
          <w:rFonts w:asciiTheme="minorHAnsi" w:hAnsiTheme="minorHAnsi"/>
        </w:rPr>
        <w:t>payment</w:t>
      </w:r>
      <w:r w:rsidR="00232A37" w:rsidRPr="000234A5">
        <w:rPr>
          <w:rFonts w:asciiTheme="minorHAnsi" w:hAnsiTheme="minorHAnsi"/>
        </w:rPr>
        <w:t>s</w:t>
      </w:r>
      <w:r w:rsidR="000234A5" w:rsidRPr="000234A5">
        <w:rPr>
          <w:rStyle w:val="FootnoteReference"/>
          <w:rFonts w:asciiTheme="minorHAnsi" w:hAnsiTheme="minorHAnsi"/>
        </w:rPr>
        <w:footnoteReference w:id="6"/>
      </w:r>
      <w:r w:rsidR="00B3685A" w:rsidRPr="000234A5">
        <w:rPr>
          <w:rFonts w:asciiTheme="minorHAnsi" w:hAnsiTheme="minorHAnsi"/>
        </w:rPr>
        <w:t>.</w:t>
      </w:r>
      <w:r w:rsidR="00201A47" w:rsidRPr="000234A5">
        <w:rPr>
          <w:rFonts w:asciiTheme="minorHAnsi" w:hAnsiTheme="minorHAnsi"/>
        </w:rPr>
        <w:t xml:space="preserve"> </w:t>
      </w:r>
    </w:p>
    <w:p w:rsidR="00201A47" w:rsidRPr="000234A5" w:rsidRDefault="00201A47" w:rsidP="00201A47">
      <w:pPr>
        <w:pStyle w:val="Numberedpara3level1"/>
        <w:rPr>
          <w:rFonts w:asciiTheme="minorHAnsi" w:hAnsiTheme="minorHAnsi"/>
        </w:rPr>
      </w:pPr>
      <w:r w:rsidRPr="000234A5">
        <w:rPr>
          <w:rFonts w:asciiTheme="minorHAnsi" w:hAnsiTheme="minorHAnsi"/>
        </w:rPr>
        <w:t>The Department and the working group considered what the percentage of turnover should be. Analysis of data sets over the previous five years shows that 1.28</w:t>
      </w:r>
      <w:r w:rsidR="00D61242">
        <w:rPr>
          <w:rFonts w:asciiTheme="minorHAnsi" w:hAnsiTheme="minorHAnsi"/>
        </w:rPr>
        <w:t xml:space="preserve"> per cent</w:t>
      </w:r>
      <w:r w:rsidRPr="000234A5">
        <w:rPr>
          <w:rFonts w:asciiTheme="minorHAnsi" w:hAnsiTheme="minorHAnsi"/>
        </w:rPr>
        <w:t xml:space="preserve"> of turnover is currently the equivalent 16</w:t>
      </w:r>
      <w:r w:rsidR="00D61242">
        <w:rPr>
          <w:rFonts w:asciiTheme="minorHAnsi" w:hAnsiTheme="minorHAnsi"/>
        </w:rPr>
        <w:t xml:space="preserve"> per cent</w:t>
      </w:r>
      <w:r w:rsidRPr="000234A5">
        <w:rPr>
          <w:rFonts w:asciiTheme="minorHAnsi" w:hAnsiTheme="minorHAnsi"/>
        </w:rPr>
        <w:t xml:space="preserve"> GMP excluding GST, noting they are not precisely interchangeable.</w:t>
      </w:r>
    </w:p>
    <w:p w:rsidR="00D35CBE" w:rsidRPr="000234A5" w:rsidRDefault="007D08D0" w:rsidP="00D35CBE">
      <w:pPr>
        <w:pStyle w:val="Heading5"/>
        <w:rPr>
          <w:rFonts w:asciiTheme="minorHAnsi" w:hAnsiTheme="minorHAnsi"/>
        </w:rPr>
      </w:pPr>
      <w:r w:rsidRPr="000234A5">
        <w:rPr>
          <w:rFonts w:asciiTheme="minorHAnsi" w:hAnsiTheme="minorHAnsi"/>
        </w:rPr>
        <w:t>D</w:t>
      </w:r>
      <w:r w:rsidR="00D35CBE" w:rsidRPr="000234A5">
        <w:rPr>
          <w:rFonts w:asciiTheme="minorHAnsi" w:hAnsiTheme="minorHAnsi"/>
        </w:rPr>
        <w:t>epartment comment</w:t>
      </w:r>
    </w:p>
    <w:p w:rsidR="00FB6981" w:rsidRPr="000234A5" w:rsidRDefault="00FB6981" w:rsidP="00201A47">
      <w:pPr>
        <w:pStyle w:val="Numberedpara3level1"/>
        <w:rPr>
          <w:rFonts w:asciiTheme="minorHAnsi" w:hAnsiTheme="minorHAnsi"/>
          <w:noProof/>
          <w:lang w:eastAsia="en-NZ"/>
        </w:rPr>
      </w:pPr>
      <w:r w:rsidRPr="000234A5">
        <w:rPr>
          <w:rFonts w:asciiTheme="minorHAnsi" w:hAnsiTheme="minorHAnsi"/>
        </w:rPr>
        <w:t xml:space="preserve">The </w:t>
      </w:r>
      <w:r w:rsidR="00201A47" w:rsidRPr="000234A5">
        <w:rPr>
          <w:rFonts w:asciiTheme="minorHAnsi" w:hAnsiTheme="minorHAnsi"/>
        </w:rPr>
        <w:t xml:space="preserve">Department </w:t>
      </w:r>
      <w:r w:rsidR="0037352E">
        <w:rPr>
          <w:rFonts w:asciiTheme="minorHAnsi" w:hAnsiTheme="minorHAnsi"/>
        </w:rPr>
        <w:t>notes that a turnover-based calculation</w:t>
      </w:r>
      <w:r w:rsidR="00571E2B">
        <w:rPr>
          <w:rFonts w:asciiTheme="minorHAnsi" w:hAnsiTheme="minorHAnsi"/>
        </w:rPr>
        <w:t>,</w:t>
      </w:r>
      <w:r w:rsidR="0037352E">
        <w:rPr>
          <w:rFonts w:asciiTheme="minorHAnsi" w:hAnsiTheme="minorHAnsi"/>
        </w:rPr>
        <w:t xml:space="preserve"> whilst generally meeting the primary policy objective, does</w:t>
      </w:r>
      <w:r w:rsidR="00571E2B">
        <w:rPr>
          <w:rFonts w:asciiTheme="minorHAnsi" w:hAnsiTheme="minorHAnsi"/>
        </w:rPr>
        <w:t xml:space="preserve"> introduce some compliance issues.</w:t>
      </w:r>
    </w:p>
    <w:p w:rsidR="005639A3" w:rsidRDefault="00201A47" w:rsidP="00201A47">
      <w:pPr>
        <w:pStyle w:val="Numberedpara3level1"/>
      </w:pPr>
      <w:r w:rsidRPr="005639A3">
        <w:rPr>
          <w:rFonts w:asciiTheme="minorHAnsi" w:hAnsiTheme="minorHAnsi"/>
          <w:noProof/>
          <w:lang w:eastAsia="en-NZ"/>
        </w:rPr>
        <w:t xml:space="preserve">Section 372(1)(dd) of the Gambling </w:t>
      </w:r>
      <w:r w:rsidR="00571E2B" w:rsidRPr="005639A3">
        <w:rPr>
          <w:rFonts w:asciiTheme="minorHAnsi" w:hAnsiTheme="minorHAnsi"/>
          <w:noProof/>
          <w:lang w:eastAsia="en-NZ"/>
        </w:rPr>
        <w:t>Act 2003</w:t>
      </w:r>
      <w:r w:rsidRPr="005639A3">
        <w:rPr>
          <w:rFonts w:asciiTheme="minorHAnsi" w:hAnsiTheme="minorHAnsi"/>
          <w:noProof/>
          <w:lang w:eastAsia="en-NZ"/>
        </w:rPr>
        <w:t xml:space="preserve"> prescribe</w:t>
      </w:r>
      <w:r w:rsidR="00571E2B" w:rsidRPr="005639A3">
        <w:rPr>
          <w:rFonts w:asciiTheme="minorHAnsi" w:hAnsiTheme="minorHAnsi"/>
          <w:noProof/>
          <w:lang w:eastAsia="en-NZ"/>
        </w:rPr>
        <w:t>s</w:t>
      </w:r>
      <w:r w:rsidRPr="005639A3">
        <w:rPr>
          <w:rFonts w:asciiTheme="minorHAnsi" w:hAnsiTheme="minorHAnsi"/>
          <w:noProof/>
          <w:lang w:eastAsia="en-NZ"/>
        </w:rPr>
        <w:t xml:space="preserve"> the payments that corporate societies may make to venue operators. </w:t>
      </w:r>
      <w:r w:rsidR="00571E2B" w:rsidRPr="005639A3">
        <w:rPr>
          <w:rFonts w:asciiTheme="minorHAnsi" w:hAnsiTheme="minorHAnsi"/>
          <w:noProof/>
          <w:lang w:eastAsia="en-NZ"/>
        </w:rPr>
        <w:t>Th</w:t>
      </w:r>
      <w:r w:rsidR="00C91998">
        <w:rPr>
          <w:rFonts w:asciiTheme="minorHAnsi" w:hAnsiTheme="minorHAnsi"/>
          <w:noProof/>
          <w:lang w:eastAsia="en-NZ"/>
        </w:rPr>
        <w:t>is</w:t>
      </w:r>
      <w:r w:rsidR="00571E2B" w:rsidRPr="005639A3">
        <w:rPr>
          <w:rFonts w:asciiTheme="minorHAnsi" w:hAnsiTheme="minorHAnsi"/>
          <w:noProof/>
          <w:lang w:eastAsia="en-NZ"/>
        </w:rPr>
        <w:t xml:space="preserve"> section states that </w:t>
      </w:r>
      <w:r w:rsidRPr="005639A3">
        <w:rPr>
          <w:rFonts w:asciiTheme="minorHAnsi" w:hAnsiTheme="minorHAnsi"/>
          <w:noProof/>
          <w:lang w:eastAsia="en-NZ"/>
        </w:rPr>
        <w:t xml:space="preserve">payments may not </w:t>
      </w:r>
      <w:r w:rsidRPr="005639A3">
        <w:rPr>
          <w:rFonts w:asciiTheme="minorHAnsi" w:hAnsiTheme="minorHAnsi"/>
          <w:noProof/>
          <w:lang w:eastAsia="en-NZ"/>
        </w:rPr>
        <w:lastRenderedPageBreak/>
        <w:t xml:space="preserve">exceed a specified percentage of </w:t>
      </w:r>
      <w:r w:rsidR="004D78CC" w:rsidRPr="005639A3">
        <w:rPr>
          <w:rFonts w:asciiTheme="minorHAnsi" w:hAnsiTheme="minorHAnsi"/>
          <w:noProof/>
          <w:lang w:eastAsia="en-NZ"/>
        </w:rPr>
        <w:t>‘</w:t>
      </w:r>
      <w:r w:rsidRPr="005639A3">
        <w:rPr>
          <w:rFonts w:asciiTheme="minorHAnsi" w:hAnsiTheme="minorHAnsi"/>
          <w:noProof/>
          <w:lang w:eastAsia="en-NZ"/>
        </w:rPr>
        <w:t>turnover (exclusive of prizes and GST)</w:t>
      </w:r>
      <w:r w:rsidR="004D78CC" w:rsidRPr="005639A3">
        <w:rPr>
          <w:rFonts w:asciiTheme="minorHAnsi" w:hAnsiTheme="minorHAnsi"/>
          <w:noProof/>
          <w:lang w:eastAsia="en-NZ"/>
        </w:rPr>
        <w:t>’</w:t>
      </w:r>
      <w:r w:rsidR="000234A5" w:rsidRPr="005639A3">
        <w:rPr>
          <w:rStyle w:val="FootnoteReference"/>
          <w:rFonts w:asciiTheme="minorHAnsi" w:hAnsiTheme="minorHAnsi"/>
          <w:noProof/>
          <w:lang w:eastAsia="en-NZ"/>
        </w:rPr>
        <w:t xml:space="preserve"> </w:t>
      </w:r>
      <w:r w:rsidR="000234A5" w:rsidRPr="000234A5">
        <w:rPr>
          <w:rStyle w:val="FootnoteReference"/>
          <w:rFonts w:asciiTheme="minorHAnsi" w:hAnsiTheme="minorHAnsi"/>
          <w:noProof/>
          <w:lang w:eastAsia="en-NZ"/>
        </w:rPr>
        <w:footnoteReference w:id="7"/>
      </w:r>
      <w:r w:rsidRPr="005639A3">
        <w:rPr>
          <w:rFonts w:asciiTheme="minorHAnsi" w:hAnsiTheme="minorHAnsi"/>
          <w:noProof/>
          <w:lang w:eastAsia="en-NZ"/>
        </w:rPr>
        <w:t xml:space="preserve">. </w:t>
      </w:r>
      <w:r w:rsidR="00571E2B">
        <w:t>However, ‘turnover exclusive of prizes’ is the definition of gaming machine profits (s</w:t>
      </w:r>
      <w:r>
        <w:t>ection 1</w:t>
      </w:r>
      <w:r w:rsidR="00571E2B">
        <w:t xml:space="preserve">04(5) of the Gambling Act 2003 refers). </w:t>
      </w:r>
    </w:p>
    <w:p w:rsidR="00201A47" w:rsidRDefault="005639A3" w:rsidP="00201A47">
      <w:pPr>
        <w:pStyle w:val="Numberedpara3level1"/>
      </w:pPr>
      <w:r>
        <w:t>As a result</w:t>
      </w:r>
      <w:r w:rsidR="00201A47">
        <w:t xml:space="preserve">, </w:t>
      </w:r>
      <w:r>
        <w:t xml:space="preserve">using </w:t>
      </w:r>
      <w:r w:rsidR="004D78CC">
        <w:t xml:space="preserve">a percentage of </w:t>
      </w:r>
      <w:r w:rsidR="00201A47">
        <w:t xml:space="preserve">turnover </w:t>
      </w:r>
      <w:r w:rsidR="004D78CC">
        <w:t xml:space="preserve">calculation method </w:t>
      </w:r>
      <w:r w:rsidR="00201A47">
        <w:t>can only be used if an upper limit of gaming machine profits</w:t>
      </w:r>
      <w:r w:rsidR="004D78CC">
        <w:t xml:space="preserve"> </w:t>
      </w:r>
      <w:r w:rsidR="00201A47">
        <w:t>is also imposed. For the total funding pool for venue payments to remain the same, this upper limit is set at 16</w:t>
      </w:r>
      <w:r>
        <w:t xml:space="preserve"> per cent</w:t>
      </w:r>
      <w:r w:rsidR="004D78CC">
        <w:t xml:space="preserve"> of GMP, excluding GST</w:t>
      </w:r>
      <w:r w:rsidR="00201A47">
        <w:t>.</w:t>
      </w:r>
    </w:p>
    <w:p w:rsidR="00571E2B" w:rsidRDefault="00571E2B" w:rsidP="00571E2B">
      <w:pPr>
        <w:pStyle w:val="Numberedpara3level1"/>
      </w:pPr>
      <w:r>
        <w:t xml:space="preserve">The key implementation issue </w:t>
      </w:r>
      <w:r w:rsidR="005639A3">
        <w:t xml:space="preserve">then becomes </w:t>
      </w:r>
      <w:r>
        <w:t>ensuring that venue payments are kept within the annual limit at each society’s financial year ba</w:t>
      </w:r>
      <w:r w:rsidR="005639A3">
        <w:t xml:space="preserve">lance date. </w:t>
      </w:r>
      <w:r>
        <w:t>The Department will audit societies at the end of their financial year. Any societies that have breached the limit at the end of their financial year for each of their venues, or part thereof (in the case of a venue switching between societies part way through the year, for example) will be subject to the Department’s current comp</w:t>
      </w:r>
      <w:r w:rsidR="005639A3">
        <w:t>liance and enforcement approach (see Implementation for more detail).</w:t>
      </w:r>
      <w:r>
        <w:t xml:space="preserve"> </w:t>
      </w:r>
    </w:p>
    <w:p w:rsidR="00571E2B" w:rsidRDefault="00571E2B" w:rsidP="00571E2B">
      <w:pPr>
        <w:pStyle w:val="Numberedpara3level1"/>
      </w:pPr>
      <w:r>
        <w:t>The working group will champion the proposed regime to the wider sector, which will significantly assist with the ease of implementation, e.g. the Hospitality Industry Association (who has been on the working group) will help member venues to transition to the new regime.</w:t>
      </w:r>
    </w:p>
    <w:p w:rsidR="00EC1362" w:rsidRDefault="00A6093C" w:rsidP="00EC1362">
      <w:pPr>
        <w:pStyle w:val="Heading4"/>
      </w:pPr>
      <w:r>
        <w:t>Decision 3: s</w:t>
      </w:r>
      <w:r w:rsidR="00DB6C6D">
        <w:t xml:space="preserve">hould the commission be based on a flat rate, </w:t>
      </w:r>
      <w:r w:rsidR="00EC1362">
        <w:t>tiered</w:t>
      </w:r>
      <w:r w:rsidR="000209B5">
        <w:t xml:space="preserve"> or capped</w:t>
      </w:r>
      <w:r w:rsidR="00EC1362">
        <w:t>?</w:t>
      </w:r>
    </w:p>
    <w:p w:rsidR="00740B3F" w:rsidRDefault="00740B3F" w:rsidP="00740B3F">
      <w:pPr>
        <w:pStyle w:val="Numberedpara3level1"/>
      </w:pPr>
      <w:r w:rsidRPr="006D7831">
        <w:t>The commission could be</w:t>
      </w:r>
      <w:r w:rsidR="00A6093C">
        <w:t xml:space="preserve"> based on one of three ways</w:t>
      </w:r>
      <w:r>
        <w:t>:</w:t>
      </w:r>
    </w:p>
    <w:p w:rsidR="00740B3F" w:rsidRDefault="00A6093C" w:rsidP="00740B3F">
      <w:pPr>
        <w:pStyle w:val="Numberedpara3level211"/>
        <w:ind w:left="1134" w:hanging="567"/>
      </w:pPr>
      <w:r>
        <w:t>as</w:t>
      </w:r>
      <w:r w:rsidR="00740B3F">
        <w:t xml:space="preserve"> a flat percentage rate;</w:t>
      </w:r>
      <w:r>
        <w:t xml:space="preserve"> or</w:t>
      </w:r>
    </w:p>
    <w:p w:rsidR="00747F88" w:rsidRPr="00634711" w:rsidRDefault="00747F88" w:rsidP="00740B3F">
      <w:pPr>
        <w:pStyle w:val="Numberedpara3level211"/>
        <w:ind w:left="1134" w:hanging="567"/>
      </w:pPr>
      <w:r>
        <w:t>tiered; or</w:t>
      </w:r>
    </w:p>
    <w:p w:rsidR="00740B3F" w:rsidRDefault="00747F88" w:rsidP="00740B3F">
      <w:pPr>
        <w:pStyle w:val="Numberedpara3level211"/>
        <w:ind w:left="1134" w:hanging="567"/>
      </w:pPr>
      <w:r>
        <w:t>capped</w:t>
      </w:r>
      <w:r w:rsidR="00540C8E">
        <w:t xml:space="preserve"> (noting that this option was analysed irrespective of the wording of the regulation making power</w:t>
      </w:r>
      <w:r w:rsidR="00A6093C">
        <w:t xml:space="preserve"> which prescribes an upper limit</w:t>
      </w:r>
      <w:r w:rsidR="00540C8E">
        <w:t>)</w:t>
      </w:r>
      <w:r w:rsidR="00740B3F" w:rsidRPr="00634711">
        <w:t xml:space="preserve">. </w:t>
      </w:r>
    </w:p>
    <w:p w:rsidR="00740B3F" w:rsidRDefault="00740B3F" w:rsidP="00740B3F">
      <w:pPr>
        <w:pStyle w:val="Numberedpara3level1"/>
      </w:pPr>
      <w:r>
        <w:t xml:space="preserve">Table </w:t>
      </w:r>
      <w:r w:rsidR="00785793">
        <w:t>6</w:t>
      </w:r>
      <w:r>
        <w:t xml:space="preserve"> describes how these options meet the assessment criteria. </w:t>
      </w:r>
    </w:p>
    <w:p w:rsidR="0007668D" w:rsidRPr="0007668D" w:rsidRDefault="0007668D" w:rsidP="0007668D">
      <w:pPr>
        <w:pStyle w:val="Numberedpara3level1"/>
        <w:numPr>
          <w:ilvl w:val="0"/>
          <w:numId w:val="0"/>
        </w:numPr>
        <w:rPr>
          <w:b/>
          <w:i/>
        </w:rPr>
      </w:pPr>
      <w:r w:rsidRPr="0007668D">
        <w:rPr>
          <w:b/>
          <w:i/>
        </w:rPr>
        <w:t xml:space="preserve">Table 6: </w:t>
      </w:r>
      <w:r w:rsidR="00A6093C">
        <w:rPr>
          <w:b/>
          <w:i/>
        </w:rPr>
        <w:t>Analysis of Decision 3 - c</w:t>
      </w:r>
      <w:r w:rsidRPr="0007668D">
        <w:rPr>
          <w:b/>
          <w:i/>
        </w:rPr>
        <w:t>omparison of a flat rate, tiered or capped commission-based regime for venue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566"/>
        <w:gridCol w:w="2302"/>
        <w:gridCol w:w="2255"/>
      </w:tblGrid>
      <w:tr w:rsidR="006866AA" w:rsidRPr="007D561F" w:rsidTr="00C124CD">
        <w:trPr>
          <w:tblHeader/>
        </w:trPr>
        <w:tc>
          <w:tcPr>
            <w:tcW w:w="0" w:type="auto"/>
            <w:shd w:val="clear" w:color="auto" w:fill="0B5369"/>
          </w:tcPr>
          <w:p w:rsidR="0007668D" w:rsidRPr="00E64539" w:rsidRDefault="0007668D" w:rsidP="00E233FF">
            <w:pPr>
              <w:spacing w:after="120"/>
              <w:rPr>
                <w:rFonts w:cs="Arial"/>
                <w:b/>
                <w:color w:val="FFFFFF"/>
                <w:sz w:val="22"/>
                <w:szCs w:val="22"/>
              </w:rPr>
            </w:pPr>
            <w:r w:rsidRPr="00E64539">
              <w:rPr>
                <w:rFonts w:cs="Arial"/>
                <w:b/>
                <w:color w:val="FFFFFF"/>
                <w:sz w:val="22"/>
                <w:szCs w:val="22"/>
              </w:rPr>
              <w:t>Criteria</w:t>
            </w:r>
          </w:p>
        </w:tc>
        <w:tc>
          <w:tcPr>
            <w:tcW w:w="0" w:type="auto"/>
            <w:shd w:val="clear" w:color="auto" w:fill="0B5369"/>
          </w:tcPr>
          <w:p w:rsidR="00A6093C" w:rsidRDefault="00A6093C" w:rsidP="00E233FF">
            <w:pPr>
              <w:spacing w:after="120"/>
              <w:rPr>
                <w:rFonts w:cs="Arial"/>
                <w:b/>
                <w:color w:val="FFFFFF"/>
                <w:sz w:val="22"/>
                <w:szCs w:val="22"/>
              </w:rPr>
            </w:pPr>
            <w:r>
              <w:rPr>
                <w:rFonts w:cs="Arial"/>
                <w:b/>
                <w:color w:val="FFFFFF"/>
                <w:sz w:val="22"/>
                <w:szCs w:val="22"/>
              </w:rPr>
              <w:t>Option 8:</w:t>
            </w:r>
          </w:p>
          <w:p w:rsidR="0007668D" w:rsidRPr="00E64539" w:rsidRDefault="0007668D" w:rsidP="00E233FF">
            <w:pPr>
              <w:spacing w:after="120"/>
              <w:rPr>
                <w:rFonts w:cs="Arial"/>
                <w:b/>
                <w:color w:val="FFFFFF"/>
                <w:sz w:val="22"/>
                <w:szCs w:val="22"/>
              </w:rPr>
            </w:pPr>
            <w:r w:rsidRPr="00E64539">
              <w:rPr>
                <w:rFonts w:cs="Arial"/>
                <w:b/>
                <w:color w:val="FFFFFF"/>
                <w:sz w:val="22"/>
                <w:szCs w:val="22"/>
              </w:rPr>
              <w:t>Flat rate</w:t>
            </w:r>
          </w:p>
        </w:tc>
        <w:tc>
          <w:tcPr>
            <w:tcW w:w="0" w:type="auto"/>
            <w:shd w:val="clear" w:color="auto" w:fill="0B5369"/>
          </w:tcPr>
          <w:p w:rsidR="00A6093C" w:rsidRDefault="00A6093C" w:rsidP="00E233FF">
            <w:pPr>
              <w:spacing w:after="120"/>
              <w:rPr>
                <w:rFonts w:cs="Arial"/>
                <w:b/>
                <w:color w:val="FFFFFF"/>
                <w:sz w:val="22"/>
                <w:szCs w:val="22"/>
              </w:rPr>
            </w:pPr>
            <w:r>
              <w:rPr>
                <w:rFonts w:cs="Arial"/>
                <w:b/>
                <w:color w:val="FFFFFF"/>
                <w:sz w:val="22"/>
                <w:szCs w:val="22"/>
              </w:rPr>
              <w:t>Option 9:</w:t>
            </w:r>
          </w:p>
          <w:p w:rsidR="0007668D" w:rsidRPr="00E64539" w:rsidRDefault="0007668D" w:rsidP="00E233FF">
            <w:pPr>
              <w:spacing w:after="120"/>
              <w:rPr>
                <w:rFonts w:cs="Arial"/>
                <w:b/>
                <w:color w:val="FFFFFF"/>
                <w:sz w:val="22"/>
                <w:szCs w:val="22"/>
              </w:rPr>
            </w:pPr>
            <w:r w:rsidRPr="00E64539">
              <w:rPr>
                <w:rFonts w:cs="Arial"/>
                <w:b/>
                <w:color w:val="FFFFFF"/>
                <w:sz w:val="22"/>
                <w:szCs w:val="22"/>
              </w:rPr>
              <w:t>Tiered</w:t>
            </w:r>
          </w:p>
        </w:tc>
        <w:tc>
          <w:tcPr>
            <w:tcW w:w="0" w:type="auto"/>
            <w:shd w:val="clear" w:color="auto" w:fill="0B5369"/>
          </w:tcPr>
          <w:p w:rsidR="00A6093C" w:rsidRDefault="00A6093C" w:rsidP="00E233FF">
            <w:pPr>
              <w:spacing w:after="120"/>
              <w:rPr>
                <w:rFonts w:cs="Arial"/>
                <w:b/>
                <w:color w:val="FFFFFF"/>
                <w:sz w:val="22"/>
                <w:szCs w:val="22"/>
              </w:rPr>
            </w:pPr>
            <w:r>
              <w:rPr>
                <w:rFonts w:cs="Arial"/>
                <w:b/>
                <w:color w:val="FFFFFF"/>
                <w:sz w:val="22"/>
                <w:szCs w:val="22"/>
              </w:rPr>
              <w:t>Option 10:</w:t>
            </w:r>
          </w:p>
          <w:p w:rsidR="0007668D" w:rsidRPr="00E64539" w:rsidRDefault="0007668D" w:rsidP="00E233FF">
            <w:pPr>
              <w:spacing w:after="120"/>
              <w:rPr>
                <w:rFonts w:cs="Arial"/>
                <w:b/>
                <w:color w:val="FFFFFF"/>
                <w:sz w:val="22"/>
                <w:szCs w:val="22"/>
              </w:rPr>
            </w:pPr>
            <w:r w:rsidRPr="00E64539">
              <w:rPr>
                <w:rFonts w:cs="Arial"/>
                <w:b/>
                <w:color w:val="FFFFFF"/>
                <w:sz w:val="22"/>
                <w:szCs w:val="22"/>
              </w:rPr>
              <w:t>Capped</w:t>
            </w:r>
          </w:p>
        </w:tc>
      </w:tr>
      <w:tr w:rsidR="00C0748E" w:rsidRPr="007D561F" w:rsidTr="00E233FF">
        <w:tc>
          <w:tcPr>
            <w:tcW w:w="0" w:type="auto"/>
          </w:tcPr>
          <w:p w:rsidR="00C0748E" w:rsidRPr="00BB18C2" w:rsidRDefault="00C0748E" w:rsidP="008E74B8">
            <w:pPr>
              <w:spacing w:after="120"/>
              <w:rPr>
                <w:rFonts w:cs="Arial"/>
                <w:b/>
                <w:sz w:val="22"/>
                <w:szCs w:val="22"/>
              </w:rPr>
            </w:pPr>
            <w:r>
              <w:rPr>
                <w:b/>
                <w:sz w:val="22"/>
                <w:szCs w:val="22"/>
              </w:rPr>
              <w:t>I</w:t>
            </w:r>
            <w:r w:rsidRPr="0072444A">
              <w:rPr>
                <w:b/>
                <w:sz w:val="22"/>
                <w:szCs w:val="22"/>
              </w:rPr>
              <w:t xml:space="preserve">s the option simple to comply with, reducing administrative time and cost for societies and venues, thereby maximising funds that are available for </w:t>
            </w:r>
            <w:r w:rsidRPr="0072444A">
              <w:rPr>
                <w:b/>
                <w:sz w:val="22"/>
                <w:szCs w:val="22"/>
              </w:rPr>
              <w:lastRenderedPageBreak/>
              <w:t>the community?</w:t>
            </w:r>
          </w:p>
        </w:tc>
        <w:tc>
          <w:tcPr>
            <w:tcW w:w="0" w:type="auto"/>
          </w:tcPr>
          <w:p w:rsidR="00C0748E" w:rsidRDefault="00414892" w:rsidP="00E233FF">
            <w:pPr>
              <w:pStyle w:val="Numberedpara3level1"/>
              <w:numPr>
                <w:ilvl w:val="0"/>
                <w:numId w:val="0"/>
              </w:numPr>
              <w:rPr>
                <w:sz w:val="22"/>
                <w:szCs w:val="22"/>
              </w:rPr>
            </w:pPr>
            <w:r>
              <w:rPr>
                <w:sz w:val="22"/>
                <w:szCs w:val="22"/>
              </w:rPr>
              <w:lastRenderedPageBreak/>
              <w:t>Yes</w:t>
            </w:r>
            <w:r w:rsidR="00C0748E">
              <w:rPr>
                <w:sz w:val="22"/>
                <w:szCs w:val="22"/>
              </w:rPr>
              <w:t xml:space="preserve">. </w:t>
            </w:r>
          </w:p>
          <w:p w:rsidR="00C0748E" w:rsidRPr="007D561F" w:rsidRDefault="00C0748E" w:rsidP="00E233FF">
            <w:pPr>
              <w:pStyle w:val="Numberedpara3level1"/>
              <w:numPr>
                <w:ilvl w:val="0"/>
                <w:numId w:val="0"/>
              </w:numPr>
              <w:rPr>
                <w:sz w:val="22"/>
                <w:szCs w:val="22"/>
              </w:rPr>
            </w:pPr>
            <w:r>
              <w:rPr>
                <w:sz w:val="22"/>
                <w:szCs w:val="22"/>
              </w:rPr>
              <w:t xml:space="preserve">It provides a simple and linear compensation for effort and costs. </w:t>
            </w:r>
          </w:p>
        </w:tc>
        <w:tc>
          <w:tcPr>
            <w:tcW w:w="0" w:type="auto"/>
            <w:shd w:val="clear" w:color="auto" w:fill="auto"/>
          </w:tcPr>
          <w:p w:rsidR="00C0748E" w:rsidRDefault="00414892" w:rsidP="00E233FF">
            <w:pPr>
              <w:pStyle w:val="Numberedpara3level1"/>
              <w:numPr>
                <w:ilvl w:val="0"/>
                <w:numId w:val="0"/>
              </w:numPr>
              <w:rPr>
                <w:sz w:val="22"/>
                <w:szCs w:val="22"/>
              </w:rPr>
            </w:pPr>
            <w:r>
              <w:rPr>
                <w:sz w:val="22"/>
                <w:szCs w:val="22"/>
              </w:rPr>
              <w:t>No</w:t>
            </w:r>
            <w:r w:rsidR="00C0748E">
              <w:rPr>
                <w:sz w:val="22"/>
                <w:szCs w:val="22"/>
              </w:rPr>
              <w:t xml:space="preserve">. </w:t>
            </w:r>
          </w:p>
          <w:p w:rsidR="00C0748E" w:rsidRPr="007D561F" w:rsidRDefault="00C0748E" w:rsidP="00E233FF">
            <w:pPr>
              <w:pStyle w:val="Numberedpara3level1"/>
              <w:numPr>
                <w:ilvl w:val="0"/>
                <w:numId w:val="0"/>
              </w:numPr>
              <w:rPr>
                <w:sz w:val="22"/>
                <w:szCs w:val="22"/>
              </w:rPr>
            </w:pPr>
            <w:r>
              <w:rPr>
                <w:sz w:val="22"/>
                <w:szCs w:val="22"/>
              </w:rPr>
              <w:t>The introduction of different rates of payment for effort and costs that remain the same disincentivises raising funds.</w:t>
            </w:r>
          </w:p>
        </w:tc>
        <w:tc>
          <w:tcPr>
            <w:tcW w:w="0" w:type="auto"/>
            <w:shd w:val="clear" w:color="auto" w:fill="auto"/>
          </w:tcPr>
          <w:p w:rsidR="00C0748E" w:rsidRDefault="00414892" w:rsidP="00E233FF">
            <w:pPr>
              <w:pStyle w:val="Numberedpara3level1"/>
              <w:numPr>
                <w:ilvl w:val="0"/>
                <w:numId w:val="0"/>
              </w:numPr>
              <w:rPr>
                <w:sz w:val="22"/>
                <w:szCs w:val="22"/>
              </w:rPr>
            </w:pPr>
            <w:r>
              <w:rPr>
                <w:sz w:val="22"/>
                <w:szCs w:val="22"/>
              </w:rPr>
              <w:t>No</w:t>
            </w:r>
            <w:r w:rsidR="00C0748E">
              <w:rPr>
                <w:sz w:val="22"/>
                <w:szCs w:val="22"/>
              </w:rPr>
              <w:t xml:space="preserve">. </w:t>
            </w:r>
          </w:p>
          <w:p w:rsidR="00C0748E" w:rsidRPr="007D561F" w:rsidRDefault="00C0748E" w:rsidP="00E233FF">
            <w:pPr>
              <w:pStyle w:val="Numberedpara3level1"/>
              <w:numPr>
                <w:ilvl w:val="0"/>
                <w:numId w:val="0"/>
              </w:numPr>
              <w:rPr>
                <w:sz w:val="22"/>
                <w:szCs w:val="22"/>
              </w:rPr>
            </w:pPr>
            <w:r>
              <w:rPr>
                <w:sz w:val="22"/>
                <w:szCs w:val="22"/>
              </w:rPr>
              <w:t xml:space="preserve">A commission removing the requirement to fulfil a certain number of operating hours will see venues cease </w:t>
            </w:r>
            <w:r>
              <w:rPr>
                <w:sz w:val="22"/>
                <w:szCs w:val="22"/>
              </w:rPr>
              <w:lastRenderedPageBreak/>
              <w:t>trading when the cap is met, with significant loss in gross proceeds.</w:t>
            </w:r>
          </w:p>
        </w:tc>
      </w:tr>
      <w:tr w:rsidR="00C0748E" w:rsidRPr="007D561F" w:rsidTr="00E233FF">
        <w:tc>
          <w:tcPr>
            <w:tcW w:w="0" w:type="auto"/>
          </w:tcPr>
          <w:p w:rsidR="00C0748E" w:rsidRPr="0072444A" w:rsidRDefault="00C0748E" w:rsidP="008E74B8">
            <w:pPr>
              <w:spacing w:after="120"/>
              <w:rPr>
                <w:b/>
                <w:sz w:val="22"/>
                <w:szCs w:val="22"/>
              </w:rPr>
            </w:pPr>
            <w:r>
              <w:rPr>
                <w:b/>
                <w:sz w:val="22"/>
                <w:szCs w:val="22"/>
              </w:rPr>
              <w:lastRenderedPageBreak/>
              <w:t>D</w:t>
            </w:r>
            <w:r w:rsidRPr="0072444A">
              <w:rPr>
                <w:b/>
                <w:sz w:val="22"/>
                <w:szCs w:val="22"/>
              </w:rPr>
              <w:t>oes the option introduce an incentive for venue operators to diminish or ignore their responsibilities with respect to prevention and minimisation of gam</w:t>
            </w:r>
            <w:r w:rsidR="008B58CA">
              <w:rPr>
                <w:b/>
                <w:sz w:val="22"/>
                <w:szCs w:val="22"/>
              </w:rPr>
              <w:t>bling harm</w:t>
            </w:r>
            <w:r w:rsidRPr="0072444A">
              <w:rPr>
                <w:b/>
                <w:sz w:val="22"/>
                <w:szCs w:val="22"/>
              </w:rPr>
              <w:t>?</w:t>
            </w:r>
          </w:p>
          <w:p w:rsidR="00C0748E" w:rsidRPr="00BB18C2" w:rsidRDefault="00C0748E" w:rsidP="008E74B8">
            <w:pPr>
              <w:spacing w:after="120"/>
              <w:rPr>
                <w:rFonts w:cs="Arial"/>
                <w:b/>
                <w:sz w:val="22"/>
                <w:szCs w:val="22"/>
              </w:rPr>
            </w:pPr>
          </w:p>
        </w:tc>
        <w:tc>
          <w:tcPr>
            <w:tcW w:w="0" w:type="auto"/>
          </w:tcPr>
          <w:p w:rsidR="00C0748E" w:rsidRDefault="008B58CA" w:rsidP="00E233FF">
            <w:pPr>
              <w:pStyle w:val="Numberedpara3level1"/>
              <w:numPr>
                <w:ilvl w:val="0"/>
                <w:numId w:val="0"/>
              </w:numPr>
              <w:rPr>
                <w:sz w:val="22"/>
                <w:szCs w:val="22"/>
              </w:rPr>
            </w:pPr>
            <w:r>
              <w:rPr>
                <w:sz w:val="22"/>
                <w:szCs w:val="22"/>
              </w:rPr>
              <w:t>No</w:t>
            </w:r>
            <w:r w:rsidR="00C0748E" w:rsidRPr="005C65D5">
              <w:rPr>
                <w:sz w:val="22"/>
                <w:szCs w:val="22"/>
              </w:rPr>
              <w:t xml:space="preserve">. </w:t>
            </w:r>
          </w:p>
          <w:p w:rsidR="00C0748E" w:rsidRDefault="00C0748E" w:rsidP="00E233FF">
            <w:pPr>
              <w:pStyle w:val="Numberedpara3level1"/>
              <w:numPr>
                <w:ilvl w:val="0"/>
                <w:numId w:val="0"/>
              </w:numPr>
              <w:rPr>
                <w:sz w:val="22"/>
                <w:szCs w:val="22"/>
              </w:rPr>
            </w:pPr>
            <w:r>
              <w:rPr>
                <w:sz w:val="22"/>
                <w:szCs w:val="22"/>
              </w:rPr>
              <w:t xml:space="preserve">Based on the assumption that receiving adequate venue payments equates to better resourcing of harm minimisation, a flat rate of commission provides for adequate </w:t>
            </w:r>
            <w:r w:rsidRPr="004D78CC">
              <w:rPr>
                <w:sz w:val="22"/>
                <w:szCs w:val="22"/>
              </w:rPr>
              <w:t xml:space="preserve">prevention and minimisation of gambling harm </w:t>
            </w:r>
            <w:r>
              <w:rPr>
                <w:sz w:val="22"/>
                <w:szCs w:val="22"/>
              </w:rPr>
              <w:t>through all ranges of GMP generated</w:t>
            </w:r>
            <w:r w:rsidRPr="007D561F">
              <w:rPr>
                <w:sz w:val="22"/>
                <w:szCs w:val="22"/>
              </w:rPr>
              <w:t>.</w:t>
            </w:r>
            <w:r w:rsidRPr="005C65D5">
              <w:rPr>
                <w:sz w:val="22"/>
                <w:szCs w:val="22"/>
              </w:rPr>
              <w:t xml:space="preserve"> </w:t>
            </w:r>
          </w:p>
          <w:p w:rsidR="00C0748E" w:rsidRPr="005C65D5" w:rsidRDefault="00C0748E" w:rsidP="008C6727">
            <w:pPr>
              <w:pStyle w:val="Numberedpara3level1"/>
              <w:numPr>
                <w:ilvl w:val="0"/>
                <w:numId w:val="0"/>
              </w:numPr>
              <w:rPr>
                <w:sz w:val="22"/>
                <w:szCs w:val="22"/>
              </w:rPr>
            </w:pPr>
            <w:r>
              <w:rPr>
                <w:sz w:val="22"/>
                <w:szCs w:val="22"/>
              </w:rPr>
              <w:t xml:space="preserve">However, if venues do not invest in a duty of care, less (or the same) could be spent on the </w:t>
            </w:r>
            <w:r w:rsidRPr="007C5CBB">
              <w:rPr>
                <w:sz w:val="22"/>
                <w:szCs w:val="22"/>
              </w:rPr>
              <w:t xml:space="preserve">prevention and minimisation of gambling harm </w:t>
            </w:r>
            <w:r w:rsidRPr="005C65D5">
              <w:rPr>
                <w:sz w:val="22"/>
                <w:szCs w:val="22"/>
              </w:rPr>
              <w:t xml:space="preserve">because ‘ignoring’ problem gambling </w:t>
            </w:r>
            <w:r>
              <w:rPr>
                <w:sz w:val="22"/>
                <w:szCs w:val="22"/>
              </w:rPr>
              <w:t xml:space="preserve">may </w:t>
            </w:r>
            <w:r w:rsidRPr="007D561F">
              <w:rPr>
                <w:sz w:val="22"/>
                <w:szCs w:val="22"/>
              </w:rPr>
              <w:t>increase turnover a</w:t>
            </w:r>
            <w:r>
              <w:rPr>
                <w:sz w:val="22"/>
                <w:szCs w:val="22"/>
              </w:rPr>
              <w:t>nd therefore the commission. Whether this will increase problem gambling over the status quo is uncertain.</w:t>
            </w:r>
          </w:p>
        </w:tc>
        <w:tc>
          <w:tcPr>
            <w:tcW w:w="0" w:type="auto"/>
            <w:shd w:val="clear" w:color="auto" w:fill="auto"/>
          </w:tcPr>
          <w:p w:rsidR="00C0748E" w:rsidRPr="00380908" w:rsidRDefault="008B58CA" w:rsidP="00E233FF">
            <w:pPr>
              <w:pStyle w:val="Numberedpara3level1"/>
              <w:numPr>
                <w:ilvl w:val="0"/>
                <w:numId w:val="0"/>
              </w:numPr>
              <w:rPr>
                <w:sz w:val="22"/>
                <w:szCs w:val="22"/>
              </w:rPr>
            </w:pPr>
            <w:r>
              <w:rPr>
                <w:sz w:val="22"/>
                <w:szCs w:val="22"/>
              </w:rPr>
              <w:t>Yes.</w:t>
            </w:r>
            <w:r w:rsidR="00C0748E" w:rsidRPr="00380908">
              <w:rPr>
                <w:sz w:val="22"/>
                <w:szCs w:val="22"/>
              </w:rPr>
              <w:t xml:space="preserve"> </w:t>
            </w:r>
          </w:p>
          <w:p w:rsidR="00C0748E" w:rsidRPr="005C65D5" w:rsidRDefault="00C0748E" w:rsidP="00E233FF">
            <w:pPr>
              <w:pStyle w:val="Numberedpara3level1"/>
              <w:numPr>
                <w:ilvl w:val="0"/>
                <w:numId w:val="0"/>
              </w:numPr>
              <w:rPr>
                <w:sz w:val="22"/>
                <w:szCs w:val="22"/>
              </w:rPr>
            </w:pPr>
            <w:r w:rsidRPr="007D561F">
              <w:rPr>
                <w:sz w:val="22"/>
                <w:szCs w:val="22"/>
              </w:rPr>
              <w:t>To compensate for reduced venue payments above the</w:t>
            </w:r>
            <w:r>
              <w:rPr>
                <w:sz w:val="22"/>
                <w:szCs w:val="22"/>
              </w:rPr>
              <w:t xml:space="preserve"> tier cut off point</w:t>
            </w:r>
            <w:r w:rsidRPr="007D561F">
              <w:rPr>
                <w:sz w:val="22"/>
                <w:szCs w:val="22"/>
              </w:rPr>
              <w:t>, affected venues could reduce t</w:t>
            </w:r>
            <w:r>
              <w:rPr>
                <w:sz w:val="22"/>
                <w:szCs w:val="22"/>
              </w:rPr>
              <w:t xml:space="preserve">heir focus on the </w:t>
            </w:r>
            <w:r w:rsidRPr="007C5CBB">
              <w:rPr>
                <w:sz w:val="22"/>
                <w:szCs w:val="22"/>
              </w:rPr>
              <w:t xml:space="preserve">prevention and minimisation of gambling harm </w:t>
            </w:r>
            <w:r w:rsidR="0037352E">
              <w:rPr>
                <w:sz w:val="22"/>
                <w:szCs w:val="22"/>
              </w:rPr>
              <w:t>through the upper</w:t>
            </w:r>
            <w:r>
              <w:rPr>
                <w:sz w:val="22"/>
                <w:szCs w:val="22"/>
              </w:rPr>
              <w:t xml:space="preserve"> ranges of GMP generated.</w:t>
            </w:r>
          </w:p>
        </w:tc>
        <w:tc>
          <w:tcPr>
            <w:tcW w:w="0" w:type="auto"/>
            <w:shd w:val="clear" w:color="auto" w:fill="auto"/>
          </w:tcPr>
          <w:p w:rsidR="00C0748E" w:rsidRDefault="008B58CA" w:rsidP="00E233FF">
            <w:pPr>
              <w:pStyle w:val="Numberedpara3level1"/>
              <w:numPr>
                <w:ilvl w:val="0"/>
                <w:numId w:val="0"/>
              </w:numPr>
              <w:rPr>
                <w:sz w:val="22"/>
                <w:szCs w:val="22"/>
              </w:rPr>
            </w:pPr>
            <w:r>
              <w:rPr>
                <w:sz w:val="22"/>
                <w:szCs w:val="22"/>
              </w:rPr>
              <w:t>Yes.</w:t>
            </w:r>
          </w:p>
          <w:p w:rsidR="00C0748E" w:rsidRPr="007D561F" w:rsidRDefault="00C0748E" w:rsidP="00E233FF">
            <w:pPr>
              <w:pStyle w:val="Numberedpara3level1"/>
              <w:numPr>
                <w:ilvl w:val="0"/>
                <w:numId w:val="0"/>
              </w:numPr>
              <w:rPr>
                <w:sz w:val="22"/>
                <w:szCs w:val="22"/>
              </w:rPr>
            </w:pPr>
            <w:r w:rsidRPr="007D561F">
              <w:rPr>
                <w:sz w:val="22"/>
                <w:szCs w:val="22"/>
              </w:rPr>
              <w:t>To compensate for reduced venue payments above the cap, affected venues could reduce t</w:t>
            </w:r>
            <w:r>
              <w:rPr>
                <w:sz w:val="22"/>
                <w:szCs w:val="22"/>
              </w:rPr>
              <w:t xml:space="preserve">heir focus on the </w:t>
            </w:r>
            <w:r w:rsidRPr="007C5CBB">
              <w:rPr>
                <w:sz w:val="22"/>
                <w:szCs w:val="22"/>
              </w:rPr>
              <w:t xml:space="preserve">prevention and minimisation of gambling harm </w:t>
            </w:r>
            <w:r w:rsidR="0037352E">
              <w:rPr>
                <w:sz w:val="22"/>
                <w:szCs w:val="22"/>
              </w:rPr>
              <w:t xml:space="preserve">through the upper </w:t>
            </w:r>
            <w:r>
              <w:rPr>
                <w:sz w:val="22"/>
                <w:szCs w:val="22"/>
              </w:rPr>
              <w:t>ranges of GMP generated.</w:t>
            </w:r>
          </w:p>
        </w:tc>
      </w:tr>
      <w:tr w:rsidR="00C0748E" w:rsidRPr="007D561F" w:rsidTr="00E233FF">
        <w:tc>
          <w:tcPr>
            <w:tcW w:w="0" w:type="auto"/>
          </w:tcPr>
          <w:p w:rsidR="00C0748E" w:rsidRPr="00BB18C2" w:rsidRDefault="00C0748E" w:rsidP="008E74B8">
            <w:pPr>
              <w:pStyle w:val="Numberedpara3level211"/>
              <w:numPr>
                <w:ilvl w:val="0"/>
                <w:numId w:val="0"/>
              </w:numPr>
              <w:rPr>
                <w:rFonts w:cs="Arial"/>
                <w:b/>
                <w:sz w:val="22"/>
                <w:szCs w:val="22"/>
              </w:rPr>
            </w:pPr>
            <w:r w:rsidRPr="00587983">
              <w:rPr>
                <w:b/>
                <w:sz w:val="22"/>
                <w:szCs w:val="22"/>
              </w:rPr>
              <w:t>Is the option transparent</w:t>
            </w:r>
            <w:r>
              <w:rPr>
                <w:b/>
                <w:sz w:val="22"/>
                <w:szCs w:val="22"/>
              </w:rPr>
              <w:t xml:space="preserve"> about what is being paid to whom and for what purpose</w:t>
            </w:r>
            <w:r w:rsidRPr="00587983">
              <w:rPr>
                <w:b/>
                <w:sz w:val="22"/>
                <w:szCs w:val="22"/>
              </w:rPr>
              <w:t>?</w:t>
            </w:r>
          </w:p>
        </w:tc>
        <w:tc>
          <w:tcPr>
            <w:tcW w:w="0" w:type="auto"/>
          </w:tcPr>
          <w:p w:rsidR="00C0748E" w:rsidRDefault="00C0748E" w:rsidP="00E233FF">
            <w:pPr>
              <w:keepLines/>
              <w:spacing w:after="120"/>
              <w:rPr>
                <w:rFonts w:cs="Arial"/>
                <w:sz w:val="22"/>
                <w:szCs w:val="22"/>
              </w:rPr>
            </w:pPr>
            <w:r w:rsidRPr="00E64539">
              <w:rPr>
                <w:rFonts w:cs="Arial"/>
                <w:sz w:val="22"/>
                <w:szCs w:val="22"/>
              </w:rPr>
              <w:t>Yes.</w:t>
            </w:r>
            <w:r>
              <w:rPr>
                <w:rFonts w:cs="Arial"/>
                <w:sz w:val="22"/>
                <w:szCs w:val="22"/>
              </w:rPr>
              <w:t xml:space="preserve"> </w:t>
            </w:r>
          </w:p>
          <w:p w:rsidR="00C0748E" w:rsidRPr="00E64539" w:rsidRDefault="00C0748E" w:rsidP="00E233FF">
            <w:pPr>
              <w:keepLines/>
              <w:spacing w:after="120"/>
              <w:rPr>
                <w:rFonts w:cs="Arial"/>
                <w:sz w:val="22"/>
                <w:szCs w:val="22"/>
              </w:rPr>
            </w:pPr>
            <w:r w:rsidRPr="00E64539">
              <w:rPr>
                <w:rFonts w:cs="Arial"/>
                <w:sz w:val="22"/>
                <w:szCs w:val="22"/>
              </w:rPr>
              <w:t xml:space="preserve">It provides an even playing field for societies and reduces market power of venues because the same rate must be paid to each venue regardless of the society. </w:t>
            </w:r>
          </w:p>
        </w:tc>
        <w:tc>
          <w:tcPr>
            <w:tcW w:w="0" w:type="auto"/>
            <w:shd w:val="clear" w:color="auto" w:fill="auto"/>
          </w:tcPr>
          <w:p w:rsidR="00C0748E" w:rsidRDefault="00C0748E" w:rsidP="00E233FF">
            <w:pPr>
              <w:spacing w:after="120"/>
              <w:rPr>
                <w:sz w:val="22"/>
                <w:szCs w:val="22"/>
              </w:rPr>
            </w:pPr>
            <w:r>
              <w:rPr>
                <w:sz w:val="22"/>
                <w:szCs w:val="22"/>
              </w:rPr>
              <w:t>No.</w:t>
            </w:r>
          </w:p>
          <w:p w:rsidR="00C0748E" w:rsidRPr="00E64539" w:rsidRDefault="00C0748E" w:rsidP="00E233FF">
            <w:pPr>
              <w:spacing w:after="120"/>
              <w:rPr>
                <w:rFonts w:cs="Arial"/>
                <w:sz w:val="22"/>
                <w:szCs w:val="22"/>
              </w:rPr>
            </w:pPr>
            <w:r>
              <w:rPr>
                <w:rFonts w:cs="Arial"/>
                <w:sz w:val="22"/>
                <w:szCs w:val="22"/>
              </w:rPr>
              <w:t>I</w:t>
            </w:r>
            <w:r w:rsidRPr="00E64539">
              <w:rPr>
                <w:rFonts w:cs="Arial"/>
                <w:sz w:val="22"/>
                <w:szCs w:val="22"/>
              </w:rPr>
              <w:t>t could provide market power to mid-level GMP venues (ie those closest to just under the tier cut off point</w:t>
            </w:r>
            <w:r>
              <w:rPr>
                <w:rFonts w:cs="Arial"/>
                <w:sz w:val="22"/>
                <w:szCs w:val="22"/>
              </w:rPr>
              <w:t>s</w:t>
            </w:r>
            <w:r w:rsidRPr="00E64539">
              <w:rPr>
                <w:rFonts w:cs="Arial"/>
                <w:sz w:val="22"/>
                <w:szCs w:val="22"/>
              </w:rPr>
              <w:t>).</w:t>
            </w:r>
          </w:p>
        </w:tc>
        <w:tc>
          <w:tcPr>
            <w:tcW w:w="0" w:type="auto"/>
            <w:shd w:val="clear" w:color="auto" w:fill="auto"/>
          </w:tcPr>
          <w:p w:rsidR="00C0748E" w:rsidRDefault="00C0748E" w:rsidP="00E233FF">
            <w:pPr>
              <w:spacing w:after="120"/>
              <w:rPr>
                <w:sz w:val="22"/>
                <w:szCs w:val="22"/>
              </w:rPr>
            </w:pPr>
            <w:r>
              <w:rPr>
                <w:sz w:val="22"/>
                <w:szCs w:val="22"/>
              </w:rPr>
              <w:t>No.</w:t>
            </w:r>
          </w:p>
          <w:p w:rsidR="00C0748E" w:rsidRPr="007D561F" w:rsidRDefault="00C0748E" w:rsidP="00E233FF">
            <w:pPr>
              <w:spacing w:after="120"/>
              <w:rPr>
                <w:sz w:val="22"/>
                <w:szCs w:val="22"/>
              </w:rPr>
            </w:pPr>
            <w:r>
              <w:rPr>
                <w:rFonts w:cs="Arial"/>
                <w:sz w:val="22"/>
                <w:szCs w:val="22"/>
              </w:rPr>
              <w:t>I</w:t>
            </w:r>
            <w:r w:rsidRPr="007D561F">
              <w:rPr>
                <w:rFonts w:cs="Arial"/>
                <w:sz w:val="22"/>
                <w:szCs w:val="22"/>
              </w:rPr>
              <w:t xml:space="preserve">t could provide market power to mid-level GMP venues (ie those closest to just under the </w:t>
            </w:r>
            <w:r>
              <w:rPr>
                <w:rFonts w:cs="Arial"/>
                <w:sz w:val="22"/>
                <w:szCs w:val="22"/>
              </w:rPr>
              <w:t>cap c</w:t>
            </w:r>
            <w:r w:rsidRPr="007D561F">
              <w:rPr>
                <w:rFonts w:cs="Arial"/>
                <w:sz w:val="22"/>
                <w:szCs w:val="22"/>
              </w:rPr>
              <w:t>ut off point).</w:t>
            </w:r>
          </w:p>
        </w:tc>
      </w:tr>
      <w:tr w:rsidR="00C0748E" w:rsidRPr="007D561F" w:rsidTr="00E233FF">
        <w:tc>
          <w:tcPr>
            <w:tcW w:w="0" w:type="auto"/>
          </w:tcPr>
          <w:p w:rsidR="00C0748E" w:rsidRPr="00D150DA" w:rsidRDefault="00C0748E" w:rsidP="008E74B8">
            <w:pPr>
              <w:pStyle w:val="Numberedpara3level211"/>
              <w:numPr>
                <w:ilvl w:val="0"/>
                <w:numId w:val="0"/>
              </w:numPr>
              <w:rPr>
                <w:rFonts w:cs="Arial"/>
                <w:b/>
                <w:sz w:val="22"/>
                <w:szCs w:val="22"/>
              </w:rPr>
            </w:pPr>
            <w:r w:rsidRPr="00D150DA">
              <w:rPr>
                <w:b/>
                <w:sz w:val="22"/>
                <w:szCs w:val="22"/>
              </w:rPr>
              <w:t>Does the option minimise unintended behaviours</w:t>
            </w:r>
            <w:r>
              <w:rPr>
                <w:b/>
                <w:sz w:val="22"/>
                <w:szCs w:val="22"/>
              </w:rPr>
              <w:t xml:space="preserve"> between societies and venue operators</w:t>
            </w:r>
            <w:r w:rsidRPr="00D150DA">
              <w:rPr>
                <w:b/>
                <w:sz w:val="22"/>
                <w:szCs w:val="22"/>
              </w:rPr>
              <w:t>?</w:t>
            </w:r>
          </w:p>
        </w:tc>
        <w:tc>
          <w:tcPr>
            <w:tcW w:w="0" w:type="auto"/>
          </w:tcPr>
          <w:p w:rsidR="00C0748E" w:rsidRDefault="00C0748E" w:rsidP="00E233FF">
            <w:pPr>
              <w:spacing w:after="120"/>
              <w:rPr>
                <w:rFonts w:cs="Arial"/>
                <w:sz w:val="22"/>
                <w:szCs w:val="22"/>
              </w:rPr>
            </w:pPr>
            <w:r>
              <w:rPr>
                <w:rFonts w:cs="Arial"/>
                <w:sz w:val="22"/>
                <w:szCs w:val="22"/>
              </w:rPr>
              <w:t>Yes.</w:t>
            </w:r>
          </w:p>
          <w:p w:rsidR="00C0748E" w:rsidRPr="00E64539" w:rsidRDefault="00C0748E" w:rsidP="00E233FF">
            <w:pPr>
              <w:spacing w:after="120"/>
              <w:rPr>
                <w:rFonts w:cs="Arial"/>
                <w:sz w:val="22"/>
                <w:szCs w:val="22"/>
              </w:rPr>
            </w:pPr>
            <w:r>
              <w:rPr>
                <w:rFonts w:cs="Arial"/>
                <w:sz w:val="22"/>
                <w:szCs w:val="22"/>
              </w:rPr>
              <w:t>All venues are treated equally.</w:t>
            </w:r>
          </w:p>
        </w:tc>
        <w:tc>
          <w:tcPr>
            <w:tcW w:w="0" w:type="auto"/>
            <w:shd w:val="clear" w:color="auto" w:fill="auto"/>
          </w:tcPr>
          <w:p w:rsidR="00C0748E" w:rsidRDefault="00C0748E" w:rsidP="00E233FF">
            <w:pPr>
              <w:spacing w:after="120"/>
              <w:rPr>
                <w:rFonts w:cs="Arial"/>
                <w:sz w:val="22"/>
                <w:szCs w:val="22"/>
              </w:rPr>
            </w:pPr>
            <w:r>
              <w:rPr>
                <w:rFonts w:cs="Arial"/>
                <w:sz w:val="22"/>
                <w:szCs w:val="22"/>
              </w:rPr>
              <w:t>No.</w:t>
            </w:r>
          </w:p>
          <w:p w:rsidR="00C0748E" w:rsidRPr="00E64539" w:rsidRDefault="00C0748E" w:rsidP="00E233FF">
            <w:pPr>
              <w:spacing w:after="120"/>
              <w:rPr>
                <w:rFonts w:cs="Arial"/>
                <w:sz w:val="22"/>
                <w:szCs w:val="22"/>
              </w:rPr>
            </w:pPr>
            <w:r>
              <w:rPr>
                <w:rFonts w:cs="Arial"/>
                <w:sz w:val="22"/>
                <w:szCs w:val="22"/>
              </w:rPr>
              <w:t xml:space="preserve">Venues may cease trading when the tier cut off point is met because they will not be paid adequately for the effort and costs past this point, thereby </w:t>
            </w:r>
            <w:r>
              <w:rPr>
                <w:rFonts w:cs="Arial"/>
                <w:sz w:val="22"/>
                <w:szCs w:val="22"/>
              </w:rPr>
              <w:lastRenderedPageBreak/>
              <w:t>generating fewer funds.</w:t>
            </w:r>
          </w:p>
        </w:tc>
        <w:tc>
          <w:tcPr>
            <w:tcW w:w="0" w:type="auto"/>
            <w:shd w:val="clear" w:color="auto" w:fill="auto"/>
          </w:tcPr>
          <w:p w:rsidR="00C0748E" w:rsidRDefault="00C0748E" w:rsidP="00E233FF">
            <w:pPr>
              <w:spacing w:after="120"/>
              <w:rPr>
                <w:rFonts w:cs="Arial"/>
                <w:sz w:val="22"/>
                <w:szCs w:val="22"/>
              </w:rPr>
            </w:pPr>
            <w:r>
              <w:rPr>
                <w:rFonts w:cs="Arial"/>
                <w:sz w:val="22"/>
                <w:szCs w:val="22"/>
              </w:rPr>
              <w:lastRenderedPageBreak/>
              <w:t>No.</w:t>
            </w:r>
          </w:p>
          <w:p w:rsidR="00C0748E" w:rsidRPr="00E64539" w:rsidRDefault="00C0748E" w:rsidP="00E233FF">
            <w:pPr>
              <w:spacing w:after="120"/>
              <w:rPr>
                <w:rFonts w:cs="Arial"/>
                <w:sz w:val="22"/>
                <w:szCs w:val="22"/>
              </w:rPr>
            </w:pPr>
            <w:r>
              <w:rPr>
                <w:rFonts w:cs="Arial"/>
                <w:sz w:val="22"/>
                <w:szCs w:val="22"/>
              </w:rPr>
              <w:t xml:space="preserve">Venues may cease trading when the cap is met because they will not be paid adequately for the effort and costs past this point, thereby </w:t>
            </w:r>
            <w:r>
              <w:rPr>
                <w:rFonts w:cs="Arial"/>
                <w:sz w:val="22"/>
                <w:szCs w:val="22"/>
              </w:rPr>
              <w:lastRenderedPageBreak/>
              <w:t>generating fewer funds.</w:t>
            </w:r>
          </w:p>
        </w:tc>
      </w:tr>
      <w:tr w:rsidR="00C0748E" w:rsidRPr="007D561F" w:rsidTr="00E233FF">
        <w:tc>
          <w:tcPr>
            <w:tcW w:w="0" w:type="auto"/>
          </w:tcPr>
          <w:p w:rsidR="00C0748E" w:rsidRPr="00D150DA" w:rsidRDefault="00C0748E" w:rsidP="008E74B8">
            <w:pPr>
              <w:pStyle w:val="Numberedpara3level211"/>
              <w:numPr>
                <w:ilvl w:val="0"/>
                <w:numId w:val="0"/>
              </w:numPr>
              <w:rPr>
                <w:b/>
                <w:sz w:val="22"/>
                <w:szCs w:val="22"/>
              </w:rPr>
            </w:pPr>
            <w:r w:rsidRPr="00D150DA">
              <w:rPr>
                <w:b/>
                <w:sz w:val="22"/>
                <w:szCs w:val="22"/>
              </w:rPr>
              <w:lastRenderedPageBreak/>
              <w:t>Does the option fairly recompense venue</w:t>
            </w:r>
            <w:r>
              <w:rPr>
                <w:b/>
                <w:sz w:val="22"/>
                <w:szCs w:val="22"/>
              </w:rPr>
              <w:t xml:space="preserve"> operators</w:t>
            </w:r>
            <w:r w:rsidRPr="00D150DA">
              <w:rPr>
                <w:b/>
                <w:sz w:val="22"/>
                <w:szCs w:val="22"/>
              </w:rPr>
              <w:t xml:space="preserve"> for </w:t>
            </w:r>
            <w:r>
              <w:rPr>
                <w:b/>
                <w:sz w:val="22"/>
                <w:szCs w:val="22"/>
              </w:rPr>
              <w:t xml:space="preserve">their </w:t>
            </w:r>
            <w:r w:rsidRPr="00D150DA">
              <w:rPr>
                <w:b/>
                <w:sz w:val="22"/>
                <w:szCs w:val="22"/>
              </w:rPr>
              <w:t>costs</w:t>
            </w:r>
            <w:r>
              <w:rPr>
                <w:b/>
                <w:sz w:val="22"/>
                <w:szCs w:val="22"/>
              </w:rPr>
              <w:t xml:space="preserve"> and the work that they do</w:t>
            </w:r>
            <w:r w:rsidRPr="00D150DA">
              <w:rPr>
                <w:b/>
                <w:sz w:val="22"/>
                <w:szCs w:val="22"/>
              </w:rPr>
              <w:t>?</w:t>
            </w:r>
          </w:p>
        </w:tc>
        <w:tc>
          <w:tcPr>
            <w:tcW w:w="0" w:type="auto"/>
          </w:tcPr>
          <w:p w:rsidR="00C0748E" w:rsidRDefault="00C0748E" w:rsidP="00E233FF">
            <w:pPr>
              <w:spacing w:after="120"/>
              <w:rPr>
                <w:rFonts w:cs="Arial"/>
                <w:sz w:val="22"/>
                <w:szCs w:val="22"/>
              </w:rPr>
            </w:pPr>
            <w:r w:rsidRPr="00E64539">
              <w:rPr>
                <w:rFonts w:cs="Arial"/>
                <w:sz w:val="22"/>
                <w:szCs w:val="22"/>
              </w:rPr>
              <w:t>Yes.</w:t>
            </w:r>
            <w:r>
              <w:rPr>
                <w:rFonts w:cs="Arial"/>
                <w:sz w:val="22"/>
                <w:szCs w:val="22"/>
              </w:rPr>
              <w:t xml:space="preserve"> </w:t>
            </w:r>
          </w:p>
          <w:p w:rsidR="00C0748E" w:rsidRPr="007D561F" w:rsidRDefault="00C0748E" w:rsidP="00E233FF">
            <w:pPr>
              <w:spacing w:after="120"/>
              <w:rPr>
                <w:rFonts w:cs="Arial"/>
                <w:sz w:val="22"/>
                <w:szCs w:val="22"/>
              </w:rPr>
            </w:pPr>
            <w:r>
              <w:rPr>
                <w:rFonts w:cs="Arial"/>
                <w:sz w:val="22"/>
                <w:szCs w:val="22"/>
              </w:rPr>
              <w:t>All v</w:t>
            </w:r>
            <w:r w:rsidRPr="009B68E2">
              <w:rPr>
                <w:sz w:val="22"/>
                <w:szCs w:val="22"/>
              </w:rPr>
              <w:t>enues will be more fairly recompensed for their costs</w:t>
            </w:r>
            <w:r>
              <w:rPr>
                <w:sz w:val="22"/>
                <w:szCs w:val="22"/>
              </w:rPr>
              <w:t>.</w:t>
            </w:r>
          </w:p>
        </w:tc>
        <w:tc>
          <w:tcPr>
            <w:tcW w:w="0" w:type="auto"/>
            <w:shd w:val="clear" w:color="auto" w:fill="auto"/>
          </w:tcPr>
          <w:p w:rsidR="00C0748E" w:rsidRDefault="00C0748E" w:rsidP="00E233FF">
            <w:pPr>
              <w:pStyle w:val="Bullet"/>
              <w:numPr>
                <w:ilvl w:val="0"/>
                <w:numId w:val="0"/>
              </w:numPr>
              <w:spacing w:before="120" w:after="120"/>
              <w:rPr>
                <w:sz w:val="22"/>
                <w:szCs w:val="22"/>
              </w:rPr>
            </w:pPr>
            <w:r>
              <w:rPr>
                <w:sz w:val="22"/>
                <w:szCs w:val="22"/>
              </w:rPr>
              <w:t xml:space="preserve">No. </w:t>
            </w:r>
          </w:p>
          <w:p w:rsidR="00C0748E" w:rsidRPr="007D561F" w:rsidRDefault="00C0748E" w:rsidP="00065838">
            <w:pPr>
              <w:pStyle w:val="Bullet"/>
              <w:numPr>
                <w:ilvl w:val="0"/>
                <w:numId w:val="0"/>
              </w:numPr>
              <w:spacing w:before="120" w:after="120"/>
              <w:rPr>
                <w:sz w:val="22"/>
                <w:szCs w:val="22"/>
              </w:rPr>
            </w:pPr>
            <w:r w:rsidRPr="007D561F">
              <w:rPr>
                <w:sz w:val="22"/>
                <w:szCs w:val="22"/>
              </w:rPr>
              <w:t>Higher revenue venue</w:t>
            </w:r>
            <w:r>
              <w:rPr>
                <w:sz w:val="22"/>
                <w:szCs w:val="22"/>
              </w:rPr>
              <w:t>s may be unfairly disadvantaged. Fixed costs above the tier cut off point remain the same.</w:t>
            </w:r>
          </w:p>
        </w:tc>
        <w:tc>
          <w:tcPr>
            <w:tcW w:w="0" w:type="auto"/>
            <w:shd w:val="clear" w:color="auto" w:fill="auto"/>
          </w:tcPr>
          <w:p w:rsidR="00C0748E" w:rsidRDefault="00C0748E" w:rsidP="00E233FF">
            <w:pPr>
              <w:pStyle w:val="Bullet"/>
              <w:numPr>
                <w:ilvl w:val="0"/>
                <w:numId w:val="0"/>
              </w:numPr>
              <w:spacing w:before="120" w:after="120"/>
              <w:rPr>
                <w:sz w:val="22"/>
                <w:szCs w:val="22"/>
              </w:rPr>
            </w:pPr>
            <w:r>
              <w:rPr>
                <w:sz w:val="22"/>
                <w:szCs w:val="22"/>
              </w:rPr>
              <w:t xml:space="preserve">No. </w:t>
            </w:r>
          </w:p>
          <w:p w:rsidR="00C0748E" w:rsidRPr="007D561F" w:rsidRDefault="00C0748E" w:rsidP="00065838">
            <w:pPr>
              <w:pStyle w:val="Bullet"/>
              <w:numPr>
                <w:ilvl w:val="0"/>
                <w:numId w:val="0"/>
              </w:numPr>
              <w:spacing w:before="120" w:after="120"/>
              <w:rPr>
                <w:sz w:val="22"/>
                <w:szCs w:val="22"/>
              </w:rPr>
            </w:pPr>
            <w:r w:rsidRPr="007D561F">
              <w:rPr>
                <w:sz w:val="22"/>
                <w:szCs w:val="22"/>
              </w:rPr>
              <w:t>Higher revenue venue</w:t>
            </w:r>
            <w:r>
              <w:rPr>
                <w:sz w:val="22"/>
                <w:szCs w:val="22"/>
              </w:rPr>
              <w:t>s may be unfairly disadvantaged. Fixed costs remain above the cap the same.</w:t>
            </w:r>
          </w:p>
        </w:tc>
      </w:tr>
    </w:tbl>
    <w:p w:rsidR="008A6799" w:rsidRDefault="008A6799" w:rsidP="008A6799">
      <w:pPr>
        <w:pStyle w:val="Heading5"/>
      </w:pPr>
      <w:r>
        <w:t>Working group preference</w:t>
      </w:r>
    </w:p>
    <w:p w:rsidR="008A6799" w:rsidRDefault="008A6799" w:rsidP="008A6799">
      <w:pPr>
        <w:pStyle w:val="Numberedpara3level1"/>
      </w:pPr>
      <w:r>
        <w:t xml:space="preserve">The working group prefers </w:t>
      </w:r>
      <w:r w:rsidR="00747F88">
        <w:t xml:space="preserve">the commission be calculated using </w:t>
      </w:r>
      <w:r>
        <w:t>a flat</w:t>
      </w:r>
      <w:r w:rsidR="00747F88">
        <w:t xml:space="preserve"> percentage r</w:t>
      </w:r>
      <w:r>
        <w:t>ate</w:t>
      </w:r>
      <w:r w:rsidR="00747F88">
        <w:t xml:space="preserve"> because it is equitable, simple and cost effective to administer, and it maximises the funds available for the community</w:t>
      </w:r>
      <w:r>
        <w:t>.</w:t>
      </w:r>
    </w:p>
    <w:p w:rsidR="007C0F7A" w:rsidRDefault="007C0F7A" w:rsidP="007C0F7A">
      <w:pPr>
        <w:pStyle w:val="Numberedpara3level1"/>
        <w:rPr>
          <w:noProof/>
          <w:lang w:eastAsia="en-NZ"/>
        </w:rPr>
      </w:pPr>
      <w:r>
        <w:t>Data provided by the working group shows that</w:t>
      </w:r>
      <w:r w:rsidR="000366AE">
        <w:t xml:space="preserve"> for </w:t>
      </w:r>
      <w:r w:rsidR="00887FD6">
        <w:t>one large society</w:t>
      </w:r>
      <w:r w:rsidR="002B10E8">
        <w:t>,</w:t>
      </w:r>
      <w:r>
        <w:t xml:space="preserve"> 55</w:t>
      </w:r>
      <w:r w:rsidR="00887FD6">
        <w:t xml:space="preserve"> per cent</w:t>
      </w:r>
      <w:r>
        <w:t xml:space="preserve"> </w:t>
      </w:r>
      <w:r w:rsidR="002B10E8">
        <w:t xml:space="preserve">of their venues </w:t>
      </w:r>
      <w:r>
        <w:t>will be better off under a</w:t>
      </w:r>
      <w:r w:rsidR="00D3296D">
        <w:t xml:space="preserve"> </w:t>
      </w:r>
      <w:r w:rsidR="00213F09">
        <w:t>commission-based</w:t>
      </w:r>
      <w:r w:rsidR="00D3296D">
        <w:t xml:space="preserve"> on turnover </w:t>
      </w:r>
      <w:r>
        <w:t xml:space="preserve">regime, compared to the status quo (as shown in Table </w:t>
      </w:r>
      <w:r w:rsidR="002B10E8">
        <w:t>7</w:t>
      </w:r>
      <w:r>
        <w:t>).</w:t>
      </w:r>
    </w:p>
    <w:p w:rsidR="007C0F7A" w:rsidRDefault="00D12914" w:rsidP="0007668D">
      <w:pPr>
        <w:pStyle w:val="Numberedpara3level1"/>
        <w:numPr>
          <w:ilvl w:val="0"/>
          <w:numId w:val="0"/>
        </w:numPr>
        <w:spacing w:before="0" w:after="0"/>
        <w:rPr>
          <w:b/>
          <w:i/>
        </w:rPr>
      </w:pPr>
      <w:r>
        <w:rPr>
          <w:b/>
          <w:i/>
        </w:rPr>
        <w:t xml:space="preserve">Table </w:t>
      </w:r>
      <w:r w:rsidR="002B10E8">
        <w:rPr>
          <w:b/>
          <w:i/>
        </w:rPr>
        <w:t>7</w:t>
      </w:r>
      <w:r w:rsidR="007C0F7A">
        <w:rPr>
          <w:b/>
          <w:i/>
        </w:rPr>
        <w:t>: Impact of new venue payments regime (using 1.28% of turnover)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4"/>
        <w:gridCol w:w="1295"/>
        <w:gridCol w:w="1326"/>
        <w:gridCol w:w="1113"/>
        <w:gridCol w:w="2234"/>
        <w:gridCol w:w="2205"/>
      </w:tblGrid>
      <w:tr w:rsidR="007C0F7A" w:rsidRPr="00B579FB" w:rsidTr="00C124CD">
        <w:trPr>
          <w:trHeight w:val="300"/>
        </w:trPr>
        <w:tc>
          <w:tcPr>
            <w:tcW w:w="600"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xml:space="preserve">Category </w:t>
            </w:r>
          </w:p>
        </w:tc>
        <w:tc>
          <w:tcPr>
            <w:tcW w:w="697"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xml:space="preserve">Better </w:t>
            </w:r>
          </w:p>
        </w:tc>
        <w:tc>
          <w:tcPr>
            <w:tcW w:w="714"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xml:space="preserve">Worse </w:t>
            </w:r>
          </w:p>
        </w:tc>
        <w:tc>
          <w:tcPr>
            <w:tcW w:w="599"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xml:space="preserve">Total </w:t>
            </w:r>
          </w:p>
        </w:tc>
        <w:tc>
          <w:tcPr>
            <w:tcW w:w="1203"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xml:space="preserve">% Worse Off </w:t>
            </w:r>
          </w:p>
        </w:tc>
        <w:tc>
          <w:tcPr>
            <w:tcW w:w="1187" w:type="pct"/>
            <w:shd w:val="clear" w:color="auto" w:fill="0B5369"/>
            <w:noWrap/>
            <w:tcMar>
              <w:top w:w="0" w:type="dxa"/>
              <w:left w:w="108" w:type="dxa"/>
              <w:bottom w:w="0" w:type="dxa"/>
              <w:right w:w="108" w:type="dxa"/>
            </w:tcMar>
            <w:hideMark/>
          </w:tcPr>
          <w:p w:rsidR="007C0F7A" w:rsidRPr="0007668D" w:rsidRDefault="007C0F7A" w:rsidP="00C124CD">
            <w:pPr>
              <w:spacing w:before="60" w:after="60"/>
              <w:rPr>
                <w:rFonts w:cs="Arial"/>
                <w:b/>
                <w:color w:val="FFFFFF"/>
                <w:sz w:val="22"/>
                <w:szCs w:val="22"/>
              </w:rPr>
            </w:pPr>
            <w:r w:rsidRPr="0007668D">
              <w:rPr>
                <w:rFonts w:cs="Arial"/>
                <w:b/>
                <w:color w:val="FFFFFF"/>
                <w:sz w:val="22"/>
                <w:szCs w:val="22"/>
              </w:rPr>
              <w:t>% Better Off</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A+</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4</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0</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4</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0.0%</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100.0%</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A</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28</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29</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3.4%</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96.6%</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B</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15</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12</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27</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44.4%</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55.6%</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C</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16</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21</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37</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56.8%</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43.2%</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D</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8</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11</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19</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57.9%</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42.1%</w:t>
            </w:r>
          </w:p>
        </w:tc>
      </w:tr>
      <w:tr w:rsidR="007C0F7A" w:rsidRPr="00B579FB" w:rsidTr="0007668D">
        <w:trPr>
          <w:trHeight w:val="300"/>
        </w:trPr>
        <w:tc>
          <w:tcPr>
            <w:tcW w:w="600"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E</w:t>
            </w:r>
          </w:p>
        </w:tc>
        <w:tc>
          <w:tcPr>
            <w:tcW w:w="69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6</w:t>
            </w:r>
          </w:p>
        </w:tc>
        <w:tc>
          <w:tcPr>
            <w:tcW w:w="714"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18</w:t>
            </w:r>
          </w:p>
        </w:tc>
        <w:tc>
          <w:tcPr>
            <w:tcW w:w="599"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24</w:t>
            </w:r>
          </w:p>
        </w:tc>
        <w:tc>
          <w:tcPr>
            <w:tcW w:w="1203"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75.0%</w:t>
            </w:r>
          </w:p>
        </w:tc>
        <w:tc>
          <w:tcPr>
            <w:tcW w:w="1187" w:type="pct"/>
            <w:noWrap/>
            <w:tcMar>
              <w:top w:w="0" w:type="dxa"/>
              <w:left w:w="108" w:type="dxa"/>
              <w:bottom w:w="0" w:type="dxa"/>
              <w:right w:w="108" w:type="dxa"/>
            </w:tcMar>
            <w:hideMark/>
          </w:tcPr>
          <w:p w:rsidR="007C0F7A" w:rsidRPr="00B579FB" w:rsidRDefault="007C0F7A" w:rsidP="00C124CD">
            <w:pPr>
              <w:spacing w:before="60" w:after="60"/>
              <w:rPr>
                <w:sz w:val="22"/>
                <w:szCs w:val="22"/>
              </w:rPr>
            </w:pPr>
            <w:r w:rsidRPr="00B579FB">
              <w:rPr>
                <w:sz w:val="22"/>
                <w:szCs w:val="22"/>
              </w:rPr>
              <w:t>25.0%</w:t>
            </w:r>
          </w:p>
        </w:tc>
      </w:tr>
      <w:tr w:rsidR="007C0F7A" w:rsidRPr="00B579FB" w:rsidTr="0007668D">
        <w:trPr>
          <w:trHeight w:val="300"/>
        </w:trPr>
        <w:tc>
          <w:tcPr>
            <w:tcW w:w="600"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 xml:space="preserve">Total </w:t>
            </w:r>
          </w:p>
        </w:tc>
        <w:tc>
          <w:tcPr>
            <w:tcW w:w="697"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77</w:t>
            </w:r>
          </w:p>
        </w:tc>
        <w:tc>
          <w:tcPr>
            <w:tcW w:w="714"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63</w:t>
            </w:r>
          </w:p>
        </w:tc>
        <w:tc>
          <w:tcPr>
            <w:tcW w:w="599"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140</w:t>
            </w:r>
          </w:p>
        </w:tc>
        <w:tc>
          <w:tcPr>
            <w:tcW w:w="1203"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45.0%</w:t>
            </w:r>
          </w:p>
        </w:tc>
        <w:tc>
          <w:tcPr>
            <w:tcW w:w="1187" w:type="pct"/>
            <w:noWrap/>
            <w:tcMar>
              <w:top w:w="0" w:type="dxa"/>
              <w:left w:w="108" w:type="dxa"/>
              <w:bottom w:w="0" w:type="dxa"/>
              <w:right w:w="108" w:type="dxa"/>
            </w:tcMar>
          </w:tcPr>
          <w:p w:rsidR="007C0F7A" w:rsidRPr="00B579FB" w:rsidRDefault="007C0F7A" w:rsidP="00C124CD">
            <w:pPr>
              <w:spacing w:before="60" w:after="60"/>
              <w:rPr>
                <w:sz w:val="22"/>
                <w:szCs w:val="22"/>
              </w:rPr>
            </w:pPr>
            <w:r w:rsidRPr="00B579FB">
              <w:rPr>
                <w:b/>
                <w:bCs/>
                <w:sz w:val="22"/>
                <w:szCs w:val="22"/>
              </w:rPr>
              <w:t>55.0%</w:t>
            </w:r>
          </w:p>
        </w:tc>
      </w:tr>
    </w:tbl>
    <w:p w:rsidR="007C0F7A" w:rsidRDefault="007C0F7A" w:rsidP="007C0F7A">
      <w:pPr>
        <w:pStyle w:val="Numberedpara3level1"/>
        <w:rPr>
          <w:noProof/>
          <w:lang w:eastAsia="en-NZ"/>
        </w:rPr>
      </w:pPr>
      <w:r>
        <w:t>For those venues expected to be worse off, they may be able to offset lower weekly payments by rationalising their operating hours to maximise profitability</w:t>
      </w:r>
      <w:r w:rsidR="004854FC">
        <w:t>, as described in the venue examples below</w:t>
      </w:r>
      <w:r>
        <w:t>.</w:t>
      </w:r>
      <w:r w:rsidR="004854FC">
        <w:t xml:space="preserve"> Both </w:t>
      </w:r>
      <w:r w:rsidR="000366AE">
        <w:t xml:space="preserve">examples </w:t>
      </w:r>
      <w:r w:rsidR="004854FC">
        <w:t>assume</w:t>
      </w:r>
      <w:r w:rsidR="004854FC" w:rsidRPr="004854FC">
        <w:t xml:space="preserve"> </w:t>
      </w:r>
      <w:r w:rsidR="004854FC">
        <w:t>that hours could be reduced at non-peak times, typically the beginning or end of the day, with minimum impact on turnover and GMP.</w:t>
      </w:r>
    </w:p>
    <w:p w:rsidR="004854FC" w:rsidRPr="004854FC" w:rsidRDefault="004854FC" w:rsidP="004854FC">
      <w:pPr>
        <w:pStyle w:val="Numberedpara3level1"/>
        <w:numPr>
          <w:ilvl w:val="0"/>
          <w:numId w:val="0"/>
        </w:numPr>
        <w:pBdr>
          <w:top w:val="single" w:sz="4" w:space="1" w:color="auto"/>
          <w:left w:val="single" w:sz="4" w:space="4" w:color="auto"/>
          <w:bottom w:val="single" w:sz="4" w:space="1" w:color="auto"/>
          <w:right w:val="single" w:sz="4" w:space="4" w:color="auto"/>
        </w:pBdr>
        <w:ind w:left="567"/>
      </w:pPr>
      <w:r>
        <w:rPr>
          <w:b/>
        </w:rPr>
        <w:t>Example A</w:t>
      </w:r>
    </w:p>
    <w:p w:rsidR="004854FC" w:rsidRDefault="004854FC" w:rsidP="004854FC">
      <w:pPr>
        <w:pStyle w:val="Numberedpara3level1"/>
        <w:numPr>
          <w:ilvl w:val="0"/>
          <w:numId w:val="0"/>
        </w:numPr>
        <w:pBdr>
          <w:top w:val="single" w:sz="4" w:space="1" w:color="auto"/>
          <w:left w:val="single" w:sz="4" w:space="4" w:color="auto"/>
          <w:bottom w:val="single" w:sz="4" w:space="1" w:color="auto"/>
          <w:right w:val="single" w:sz="4" w:space="4" w:color="auto"/>
        </w:pBdr>
        <w:ind w:left="567"/>
      </w:pPr>
      <w:r>
        <w:t xml:space="preserve">Under the new regime, venue A will receive $17,000 per annum less. Their operation is currently open seven days a week for 98 hours as per their </w:t>
      </w:r>
      <w:r w:rsidR="002B10E8">
        <w:t xml:space="preserve">venue cost schedule </w:t>
      </w:r>
      <w:r>
        <w:t>(some days open to 3am)</w:t>
      </w:r>
      <w:r w:rsidR="00932FB5">
        <w:t xml:space="preserve">. </w:t>
      </w:r>
      <w:r>
        <w:t xml:space="preserve">This venue may be able to reduce hours (and therefore costs) to offset the loss in venue payment received assuming no change in their gaming turnover. Assuming an hourly cost of $32.60 (made up from labour cost of person doing most of gaming tasks on VCS and electricity) this would require a reduction of </w:t>
      </w:r>
      <w:r>
        <w:lastRenderedPageBreak/>
        <w:t>approximately 10 hours a week to offset their loss in venue payments</w:t>
      </w:r>
      <w:r w:rsidR="002B10E8">
        <w:t xml:space="preserve"> (saving $16,952 p.a)</w:t>
      </w:r>
      <w:r>
        <w:t>.</w:t>
      </w:r>
    </w:p>
    <w:p w:rsidR="004854FC" w:rsidRPr="004854FC" w:rsidRDefault="004854FC" w:rsidP="004854FC">
      <w:pPr>
        <w:pStyle w:val="Numberedpara3level1"/>
        <w:numPr>
          <w:ilvl w:val="0"/>
          <w:numId w:val="0"/>
        </w:numPr>
        <w:pBdr>
          <w:top w:val="single" w:sz="4" w:space="1" w:color="auto"/>
          <w:left w:val="single" w:sz="4" w:space="4" w:color="auto"/>
          <w:bottom w:val="single" w:sz="4" w:space="1" w:color="auto"/>
          <w:right w:val="single" w:sz="4" w:space="4" w:color="auto"/>
        </w:pBdr>
        <w:ind w:left="567"/>
        <w:rPr>
          <w:b/>
        </w:rPr>
      </w:pPr>
      <w:r w:rsidRPr="004854FC">
        <w:rPr>
          <w:b/>
        </w:rPr>
        <w:t>Example B</w:t>
      </w:r>
    </w:p>
    <w:p w:rsidR="004854FC" w:rsidRDefault="004854FC" w:rsidP="004854FC">
      <w:pPr>
        <w:pStyle w:val="Numberedpara3level1"/>
        <w:numPr>
          <w:ilvl w:val="0"/>
          <w:numId w:val="0"/>
        </w:numPr>
        <w:pBdr>
          <w:top w:val="single" w:sz="4" w:space="1" w:color="auto"/>
          <w:left w:val="single" w:sz="4" w:space="4" w:color="auto"/>
          <w:bottom w:val="single" w:sz="4" w:space="1" w:color="auto"/>
          <w:right w:val="single" w:sz="4" w:space="4" w:color="auto"/>
        </w:pBdr>
        <w:ind w:left="567"/>
      </w:pPr>
      <w:r>
        <w:t>Venue B is a very seasonal rural venue with 18 machines. Their current operating hours are 89.5</w:t>
      </w:r>
      <w:r w:rsidR="008400A1">
        <w:t xml:space="preserve"> per week</w:t>
      </w:r>
      <w:r w:rsidR="00932FB5">
        <w:t xml:space="preserve">. </w:t>
      </w:r>
      <w:r>
        <w:t xml:space="preserve">Under the new regime they will lose $27,000 per annum. Options for this venue would be to reduce to 12 machines creating an electricity savings $31 per week and using </w:t>
      </w:r>
      <w:r w:rsidR="003A2945">
        <w:t xml:space="preserve">the </w:t>
      </w:r>
      <w:r>
        <w:t xml:space="preserve">Duty Manager </w:t>
      </w:r>
      <w:r w:rsidR="003A2945">
        <w:t xml:space="preserve">pay </w:t>
      </w:r>
      <w:r>
        <w:t>rate at $18.54</w:t>
      </w:r>
      <w:r w:rsidR="003A2945">
        <w:t>/hr</w:t>
      </w:r>
      <w:r w:rsidR="008400A1">
        <w:t>,</w:t>
      </w:r>
      <w:r>
        <w:t xml:space="preserve"> a reduction of </w:t>
      </w:r>
      <w:r w:rsidR="008400A1">
        <w:t xml:space="preserve">approximately </w:t>
      </w:r>
      <w:r>
        <w:t>26 hours</w:t>
      </w:r>
      <w:r w:rsidR="008400A1">
        <w:t xml:space="preserve"> per week</w:t>
      </w:r>
      <w:r>
        <w:t xml:space="preserve"> would see this venue </w:t>
      </w:r>
      <w:r w:rsidR="008205C3">
        <w:t xml:space="preserve">save $26,678 p.a. thereby </w:t>
      </w:r>
      <w:r w:rsidR="00766C57">
        <w:t>recoup</w:t>
      </w:r>
      <w:r w:rsidR="008205C3">
        <w:t>ing</w:t>
      </w:r>
      <w:r w:rsidR="00766C57">
        <w:t xml:space="preserve"> losses</w:t>
      </w:r>
      <w:r>
        <w:t xml:space="preserve">. </w:t>
      </w:r>
    </w:p>
    <w:p w:rsidR="00467C98" w:rsidRDefault="00467C98" w:rsidP="00467C98">
      <w:pPr>
        <w:pStyle w:val="Numberedpara3level1"/>
      </w:pPr>
      <w:r>
        <w:t>Societies will also make savings based on reductions in machine numbers (comprising servicing, monitoring, conversion, interest and depreciation costs) and reductions associated with the simplification of monitoring procedures, audit requirements and other compliance matters. The working group estimated these savings as $2.96m and $675,000 respectively.</w:t>
      </w:r>
    </w:p>
    <w:p w:rsidR="008A6799" w:rsidRDefault="008A6799" w:rsidP="008A6799">
      <w:pPr>
        <w:pStyle w:val="Heading5"/>
      </w:pPr>
      <w:r>
        <w:t>Department comment</w:t>
      </w:r>
    </w:p>
    <w:p w:rsidR="0027555C" w:rsidRDefault="004717D6" w:rsidP="0027555C">
      <w:pPr>
        <w:pStyle w:val="Numberedpara3level1"/>
        <w:rPr>
          <w:noProof/>
          <w:lang w:eastAsia="en-NZ"/>
        </w:rPr>
      </w:pPr>
      <w:r>
        <w:t xml:space="preserve">A </w:t>
      </w:r>
      <w:r w:rsidR="0027555C">
        <w:t>flat commission rate is simple</w:t>
      </w:r>
      <w:r>
        <w:t xml:space="preserve">, </w:t>
      </w:r>
      <w:r w:rsidR="0027555C">
        <w:t>reward</w:t>
      </w:r>
      <w:r w:rsidR="00D5349C">
        <w:t>s</w:t>
      </w:r>
      <w:r w:rsidR="0027555C">
        <w:t xml:space="preserve"> venues</w:t>
      </w:r>
      <w:r w:rsidR="00D5349C">
        <w:t xml:space="preserve"> for the work that they do</w:t>
      </w:r>
      <w:r w:rsidR="0027555C">
        <w:t>, and creates the best incentive to maximise funds available to the community.</w:t>
      </w:r>
    </w:p>
    <w:p w:rsidR="00D5349C" w:rsidRDefault="0027555C" w:rsidP="009C768B">
      <w:pPr>
        <w:pStyle w:val="Numberedpara3level1"/>
        <w:rPr>
          <w:noProof/>
          <w:lang w:eastAsia="en-NZ"/>
        </w:rPr>
      </w:pPr>
      <w:r>
        <w:t>Table</w:t>
      </w:r>
      <w:r>
        <w:rPr>
          <w:noProof/>
          <w:lang w:eastAsia="en-NZ"/>
        </w:rPr>
        <w:t xml:space="preserve"> 8</w:t>
      </w:r>
      <w:r w:rsidR="00D12914">
        <w:rPr>
          <w:noProof/>
          <w:lang w:eastAsia="en-NZ"/>
        </w:rPr>
        <w:t xml:space="preserve"> </w:t>
      </w:r>
      <w:r w:rsidR="00F75D3D">
        <w:rPr>
          <w:noProof/>
          <w:lang w:eastAsia="en-NZ"/>
        </w:rPr>
        <w:t xml:space="preserve">shows the </w:t>
      </w:r>
      <w:r w:rsidR="00F75D3D" w:rsidRPr="00580779">
        <w:rPr>
          <w:noProof/>
          <w:u w:val="single"/>
          <w:lang w:eastAsia="en-NZ"/>
        </w:rPr>
        <w:t>average potential change</w:t>
      </w:r>
      <w:r w:rsidR="00F75D3D">
        <w:rPr>
          <w:noProof/>
          <w:lang w:eastAsia="en-NZ"/>
        </w:rPr>
        <w:t xml:space="preserve"> in weekly venue payments for </w:t>
      </w:r>
      <w:r w:rsidR="00E25575">
        <w:rPr>
          <w:noProof/>
          <w:lang w:eastAsia="en-NZ"/>
        </w:rPr>
        <w:t xml:space="preserve">each of the options using sample 1 </w:t>
      </w:r>
      <w:r w:rsidR="003272DB">
        <w:rPr>
          <w:noProof/>
          <w:lang w:eastAsia="en-NZ"/>
        </w:rPr>
        <w:t>data provided to the Department</w:t>
      </w:r>
      <w:r w:rsidR="000120E2">
        <w:rPr>
          <w:noProof/>
          <w:lang w:eastAsia="en-NZ"/>
        </w:rPr>
        <w:t>.</w:t>
      </w:r>
      <w:r w:rsidR="00580779">
        <w:rPr>
          <w:noProof/>
          <w:lang w:eastAsia="en-NZ"/>
        </w:rPr>
        <w:t xml:space="preserve"> Based on </w:t>
      </w:r>
      <w:r w:rsidR="005D0CE3">
        <w:rPr>
          <w:noProof/>
          <w:lang w:eastAsia="en-NZ"/>
        </w:rPr>
        <w:t xml:space="preserve">modelling of </w:t>
      </w:r>
      <w:r w:rsidR="00580779">
        <w:rPr>
          <w:noProof/>
          <w:lang w:eastAsia="en-NZ"/>
        </w:rPr>
        <w:t xml:space="preserve">this data, A+ venues could </w:t>
      </w:r>
      <w:r w:rsidR="005D0CE3">
        <w:rPr>
          <w:noProof/>
          <w:lang w:eastAsia="en-NZ"/>
        </w:rPr>
        <w:t xml:space="preserve">potentiually </w:t>
      </w:r>
      <w:r w:rsidR="00580779">
        <w:rPr>
          <w:noProof/>
          <w:lang w:eastAsia="en-NZ"/>
        </w:rPr>
        <w:t>receive $172,000 p.a</w:t>
      </w:r>
      <w:r w:rsidR="005F6E16">
        <w:rPr>
          <w:noProof/>
          <w:lang w:eastAsia="en-NZ"/>
        </w:rPr>
        <w:t>.</w:t>
      </w:r>
      <w:r w:rsidR="00580779">
        <w:rPr>
          <w:noProof/>
          <w:lang w:eastAsia="en-NZ"/>
        </w:rPr>
        <w:t xml:space="preserve"> more than they do now and category </w:t>
      </w:r>
      <w:r w:rsidR="005F6E16">
        <w:rPr>
          <w:noProof/>
          <w:lang w:eastAsia="en-NZ"/>
        </w:rPr>
        <w:t xml:space="preserve">A </w:t>
      </w:r>
      <w:r w:rsidR="00580779">
        <w:rPr>
          <w:noProof/>
          <w:lang w:eastAsia="en-NZ"/>
        </w:rPr>
        <w:t xml:space="preserve">venues could </w:t>
      </w:r>
      <w:r w:rsidR="005D0CE3">
        <w:rPr>
          <w:noProof/>
          <w:lang w:eastAsia="en-NZ"/>
        </w:rPr>
        <w:t xml:space="preserve">potentially </w:t>
      </w:r>
      <w:r w:rsidR="00580779">
        <w:rPr>
          <w:noProof/>
          <w:lang w:eastAsia="en-NZ"/>
        </w:rPr>
        <w:t>receive $29,000 more p.a. On average, category B-E venues could receive $4,000 - $28,000 less</w:t>
      </w:r>
      <w:r w:rsidR="005F6E16">
        <w:rPr>
          <w:noProof/>
          <w:lang w:eastAsia="en-NZ"/>
        </w:rPr>
        <w:t xml:space="preserve"> p.a.</w:t>
      </w:r>
      <w:r w:rsidR="00580779">
        <w:rPr>
          <w:noProof/>
          <w:lang w:eastAsia="en-NZ"/>
        </w:rPr>
        <w:t xml:space="preserve"> than they do now.</w:t>
      </w:r>
    </w:p>
    <w:p w:rsidR="000120E2" w:rsidRPr="000120E2" w:rsidRDefault="00D12914" w:rsidP="0027555C">
      <w:pPr>
        <w:pStyle w:val="Numberedpara3level1"/>
        <w:numPr>
          <w:ilvl w:val="0"/>
          <w:numId w:val="0"/>
        </w:numPr>
        <w:rPr>
          <w:b/>
          <w:i/>
          <w:noProof/>
          <w:lang w:eastAsia="en-NZ"/>
        </w:rPr>
      </w:pPr>
      <w:r>
        <w:rPr>
          <w:b/>
          <w:i/>
          <w:noProof/>
          <w:lang w:eastAsia="en-NZ"/>
        </w:rPr>
        <w:t xml:space="preserve">Table </w:t>
      </w:r>
      <w:r w:rsidR="0027555C">
        <w:rPr>
          <w:b/>
          <w:i/>
          <w:noProof/>
          <w:lang w:eastAsia="en-NZ"/>
        </w:rPr>
        <w:t>8</w:t>
      </w:r>
      <w:r w:rsidR="000120E2">
        <w:rPr>
          <w:b/>
          <w:i/>
          <w:noProof/>
          <w:lang w:eastAsia="en-NZ"/>
        </w:rPr>
        <w:t>: Change in weekly payment amount under each option – flat rate, ti</w:t>
      </w:r>
      <w:r w:rsidR="0027555C">
        <w:rPr>
          <w:b/>
          <w:i/>
          <w:noProof/>
          <w:lang w:eastAsia="en-NZ"/>
        </w:rPr>
        <w:t>e</w:t>
      </w:r>
      <w:r w:rsidR="000120E2">
        <w:rPr>
          <w:b/>
          <w:i/>
          <w:noProof/>
          <w:lang w:eastAsia="en-NZ"/>
        </w:rPr>
        <w:t>red or capped, compared to the status quo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733"/>
        <w:gridCol w:w="2099"/>
        <w:gridCol w:w="2153"/>
        <w:gridCol w:w="2214"/>
      </w:tblGrid>
      <w:tr w:rsidR="003A5441" w:rsidRPr="000209B5" w:rsidTr="0027555C">
        <w:tc>
          <w:tcPr>
            <w:tcW w:w="586" w:type="pct"/>
            <w:shd w:val="clear" w:color="auto" w:fill="0B5369"/>
          </w:tcPr>
          <w:p w:rsidR="003A5441" w:rsidRPr="000209B5" w:rsidRDefault="003A5441" w:rsidP="0027555C">
            <w:pPr>
              <w:pStyle w:val="ListParagraph"/>
              <w:tabs>
                <w:tab w:val="left" w:pos="1202"/>
              </w:tabs>
              <w:spacing w:before="60" w:after="60"/>
              <w:rPr>
                <w:rFonts w:cs="Arial"/>
                <w:b/>
                <w:color w:val="FFFFFF"/>
                <w:sz w:val="22"/>
                <w:szCs w:val="22"/>
              </w:rPr>
            </w:pPr>
            <w:r>
              <w:rPr>
                <w:rFonts w:cs="Arial"/>
                <w:b/>
                <w:color w:val="FFFFFF"/>
                <w:sz w:val="22"/>
                <w:szCs w:val="22"/>
              </w:rPr>
              <w:t>Venue category</w:t>
            </w:r>
          </w:p>
        </w:tc>
        <w:tc>
          <w:tcPr>
            <w:tcW w:w="933" w:type="pct"/>
            <w:shd w:val="clear" w:color="auto" w:fill="0B5369"/>
          </w:tcPr>
          <w:p w:rsidR="003A5441" w:rsidRPr="000209B5" w:rsidRDefault="003A5441" w:rsidP="0027555C">
            <w:pPr>
              <w:pStyle w:val="ListParagraph"/>
              <w:tabs>
                <w:tab w:val="left" w:pos="1202"/>
              </w:tabs>
              <w:spacing w:before="60" w:after="60"/>
              <w:rPr>
                <w:rFonts w:cs="Arial"/>
                <w:b/>
                <w:color w:val="FFFFFF"/>
                <w:sz w:val="22"/>
                <w:szCs w:val="22"/>
              </w:rPr>
            </w:pPr>
            <w:r>
              <w:rPr>
                <w:rFonts w:cs="Arial"/>
                <w:b/>
                <w:color w:val="FFFFFF"/>
                <w:sz w:val="22"/>
                <w:szCs w:val="22"/>
              </w:rPr>
              <w:t>Weekly v</w:t>
            </w:r>
            <w:r w:rsidRPr="000209B5">
              <w:rPr>
                <w:rFonts w:cs="Arial"/>
                <w:b/>
                <w:color w:val="FFFFFF"/>
                <w:sz w:val="22"/>
                <w:szCs w:val="22"/>
              </w:rPr>
              <w:t>enue payment under status quo</w:t>
            </w:r>
          </w:p>
        </w:tc>
        <w:tc>
          <w:tcPr>
            <w:tcW w:w="1130" w:type="pct"/>
            <w:shd w:val="clear" w:color="auto" w:fill="0B5369"/>
          </w:tcPr>
          <w:p w:rsidR="003A5441" w:rsidRPr="000209B5" w:rsidRDefault="003A5441" w:rsidP="0027555C">
            <w:pPr>
              <w:pStyle w:val="ListParagraph"/>
              <w:tabs>
                <w:tab w:val="left" w:pos="1202"/>
              </w:tabs>
              <w:spacing w:before="60" w:after="60"/>
              <w:rPr>
                <w:rFonts w:cs="Arial"/>
                <w:b/>
                <w:color w:val="FFFFFF"/>
                <w:sz w:val="22"/>
                <w:szCs w:val="22"/>
              </w:rPr>
            </w:pPr>
            <w:r>
              <w:rPr>
                <w:rFonts w:cs="Arial"/>
                <w:b/>
                <w:color w:val="FFFFFF"/>
                <w:sz w:val="22"/>
                <w:szCs w:val="22"/>
              </w:rPr>
              <w:t>Weekly v</w:t>
            </w:r>
            <w:r w:rsidRPr="000209B5">
              <w:rPr>
                <w:rFonts w:cs="Arial"/>
                <w:b/>
                <w:color w:val="FFFFFF"/>
                <w:sz w:val="22"/>
                <w:szCs w:val="22"/>
              </w:rPr>
              <w:t xml:space="preserve">enue payment under flat </w:t>
            </w:r>
            <w:r>
              <w:rPr>
                <w:rFonts w:cs="Arial"/>
                <w:b/>
                <w:color w:val="FFFFFF"/>
                <w:sz w:val="22"/>
                <w:szCs w:val="22"/>
              </w:rPr>
              <w:t xml:space="preserve">rate </w:t>
            </w:r>
            <w:r w:rsidRPr="000209B5">
              <w:rPr>
                <w:rFonts w:cs="Arial"/>
                <w:b/>
                <w:color w:val="FFFFFF"/>
                <w:sz w:val="22"/>
                <w:szCs w:val="22"/>
              </w:rPr>
              <w:t>commission</w:t>
            </w:r>
          </w:p>
        </w:tc>
        <w:tc>
          <w:tcPr>
            <w:tcW w:w="1159" w:type="pct"/>
            <w:shd w:val="clear" w:color="auto" w:fill="0B5369"/>
          </w:tcPr>
          <w:p w:rsidR="003A5441" w:rsidRPr="000209B5" w:rsidRDefault="003A5441" w:rsidP="0027555C">
            <w:pPr>
              <w:pStyle w:val="ListParagraph"/>
              <w:tabs>
                <w:tab w:val="left" w:pos="1202"/>
              </w:tabs>
              <w:spacing w:before="60" w:after="60"/>
              <w:rPr>
                <w:rFonts w:cs="Arial"/>
                <w:b/>
                <w:color w:val="FFFFFF"/>
                <w:sz w:val="22"/>
                <w:szCs w:val="22"/>
              </w:rPr>
            </w:pPr>
            <w:r>
              <w:rPr>
                <w:rFonts w:cs="Arial"/>
                <w:b/>
                <w:color w:val="FFFFFF"/>
                <w:sz w:val="22"/>
                <w:szCs w:val="22"/>
              </w:rPr>
              <w:t xml:space="preserve">Weekly venue payment under tiered </w:t>
            </w:r>
            <w:r w:rsidRPr="000209B5">
              <w:rPr>
                <w:rFonts w:cs="Arial"/>
                <w:b/>
                <w:color w:val="FFFFFF"/>
                <w:sz w:val="22"/>
                <w:szCs w:val="22"/>
              </w:rPr>
              <w:t>commission</w:t>
            </w:r>
          </w:p>
        </w:tc>
        <w:tc>
          <w:tcPr>
            <w:tcW w:w="1192" w:type="pct"/>
            <w:shd w:val="clear" w:color="auto" w:fill="0B5369"/>
          </w:tcPr>
          <w:p w:rsidR="003A5441" w:rsidRPr="000209B5" w:rsidRDefault="003A5441" w:rsidP="0027555C">
            <w:pPr>
              <w:pStyle w:val="ListParagraph"/>
              <w:tabs>
                <w:tab w:val="left" w:pos="1202"/>
              </w:tabs>
              <w:spacing w:before="60" w:after="60"/>
              <w:rPr>
                <w:rFonts w:cs="Arial"/>
                <w:b/>
                <w:color w:val="FFFFFF"/>
                <w:sz w:val="22"/>
                <w:szCs w:val="22"/>
              </w:rPr>
            </w:pPr>
            <w:r>
              <w:rPr>
                <w:rFonts w:cs="Arial"/>
                <w:b/>
                <w:color w:val="FFFFFF"/>
                <w:sz w:val="22"/>
                <w:szCs w:val="22"/>
              </w:rPr>
              <w:t>Weekly v</w:t>
            </w:r>
            <w:r w:rsidRPr="000209B5">
              <w:rPr>
                <w:rFonts w:cs="Arial"/>
                <w:b/>
                <w:color w:val="FFFFFF"/>
                <w:sz w:val="22"/>
                <w:szCs w:val="22"/>
              </w:rPr>
              <w:t xml:space="preserve">enue payment under </w:t>
            </w:r>
            <w:r>
              <w:rPr>
                <w:rFonts w:cs="Arial"/>
                <w:b/>
                <w:color w:val="FFFFFF"/>
                <w:sz w:val="22"/>
                <w:szCs w:val="22"/>
              </w:rPr>
              <w:t xml:space="preserve">a capped </w:t>
            </w:r>
            <w:r w:rsidRPr="000209B5">
              <w:rPr>
                <w:rFonts w:cs="Arial"/>
                <w:b/>
                <w:color w:val="FFFFFF"/>
                <w:sz w:val="22"/>
                <w:szCs w:val="22"/>
              </w:rPr>
              <w:t>commission</w:t>
            </w:r>
          </w:p>
        </w:tc>
      </w:tr>
      <w:tr w:rsidR="003A5441" w:rsidRPr="000209B5" w:rsidTr="0027555C">
        <w:tc>
          <w:tcPr>
            <w:tcW w:w="586" w:type="pct"/>
          </w:tcPr>
          <w:p w:rsidR="003A5441" w:rsidRPr="000209B5" w:rsidRDefault="003A5441" w:rsidP="0027555C">
            <w:pPr>
              <w:spacing w:before="60" w:after="60"/>
              <w:jc w:val="both"/>
              <w:rPr>
                <w:b/>
                <w:sz w:val="22"/>
                <w:szCs w:val="22"/>
              </w:rPr>
            </w:pPr>
            <w:r>
              <w:rPr>
                <w:b/>
                <w:sz w:val="22"/>
                <w:szCs w:val="22"/>
              </w:rPr>
              <w:t>E</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$222</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$142</w:t>
            </w:r>
          </w:p>
        </w:tc>
        <w:tc>
          <w:tcPr>
            <w:tcW w:w="1159" w:type="pct"/>
          </w:tcPr>
          <w:p w:rsidR="003A5441" w:rsidRPr="009F2511" w:rsidRDefault="003A5441" w:rsidP="0027555C">
            <w:pPr>
              <w:spacing w:before="60" w:after="60"/>
              <w:jc w:val="both"/>
              <w:rPr>
                <w:sz w:val="22"/>
                <w:szCs w:val="22"/>
              </w:rPr>
            </w:pPr>
            <w:r w:rsidRPr="009F2511">
              <w:rPr>
                <w:sz w:val="22"/>
                <w:szCs w:val="22"/>
              </w:rPr>
              <w:t>$142</w:t>
            </w:r>
          </w:p>
        </w:tc>
        <w:tc>
          <w:tcPr>
            <w:tcW w:w="1192" w:type="pct"/>
          </w:tcPr>
          <w:p w:rsidR="003A5441" w:rsidRPr="009F2511" w:rsidRDefault="003A5441" w:rsidP="0027555C">
            <w:pPr>
              <w:spacing w:before="60" w:after="60"/>
              <w:jc w:val="both"/>
              <w:rPr>
                <w:sz w:val="22"/>
                <w:szCs w:val="22"/>
              </w:rPr>
            </w:pPr>
            <w:r w:rsidRPr="009F2511">
              <w:rPr>
                <w:sz w:val="22"/>
                <w:szCs w:val="22"/>
              </w:rPr>
              <w:t>$142</w:t>
            </w:r>
          </w:p>
        </w:tc>
      </w:tr>
      <w:tr w:rsidR="003A5441" w:rsidRPr="000209B5" w:rsidTr="0027555C">
        <w:tc>
          <w:tcPr>
            <w:tcW w:w="586" w:type="pct"/>
          </w:tcPr>
          <w:p w:rsidR="003A5441" w:rsidRPr="000209B5" w:rsidRDefault="003A5441" w:rsidP="0027555C">
            <w:pPr>
              <w:spacing w:before="60" w:after="60"/>
              <w:jc w:val="both"/>
              <w:rPr>
                <w:b/>
                <w:sz w:val="22"/>
                <w:szCs w:val="22"/>
              </w:rPr>
            </w:pPr>
            <w:r>
              <w:rPr>
                <w:b/>
                <w:sz w:val="22"/>
                <w:szCs w:val="22"/>
              </w:rPr>
              <w:t>D</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$624</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$402</w:t>
            </w:r>
          </w:p>
        </w:tc>
        <w:tc>
          <w:tcPr>
            <w:tcW w:w="1159" w:type="pct"/>
          </w:tcPr>
          <w:p w:rsidR="003A5441" w:rsidRPr="009F2511" w:rsidRDefault="003A5441" w:rsidP="0027555C">
            <w:pPr>
              <w:spacing w:before="60" w:after="60"/>
              <w:jc w:val="both"/>
              <w:rPr>
                <w:sz w:val="22"/>
                <w:szCs w:val="22"/>
              </w:rPr>
            </w:pPr>
            <w:r w:rsidRPr="009F2511">
              <w:rPr>
                <w:sz w:val="22"/>
                <w:szCs w:val="22"/>
              </w:rPr>
              <w:t>$402</w:t>
            </w:r>
          </w:p>
        </w:tc>
        <w:tc>
          <w:tcPr>
            <w:tcW w:w="1192" w:type="pct"/>
          </w:tcPr>
          <w:p w:rsidR="003A5441" w:rsidRPr="009F2511" w:rsidRDefault="003A5441" w:rsidP="0027555C">
            <w:pPr>
              <w:spacing w:before="60" w:after="60"/>
              <w:jc w:val="both"/>
              <w:rPr>
                <w:sz w:val="22"/>
                <w:szCs w:val="22"/>
              </w:rPr>
            </w:pPr>
            <w:r w:rsidRPr="009F2511">
              <w:rPr>
                <w:sz w:val="22"/>
                <w:szCs w:val="22"/>
              </w:rPr>
              <w:t>$402</w:t>
            </w:r>
          </w:p>
        </w:tc>
      </w:tr>
      <w:tr w:rsidR="003A5441" w:rsidRPr="000209B5" w:rsidTr="0027555C">
        <w:tc>
          <w:tcPr>
            <w:tcW w:w="586" w:type="pct"/>
          </w:tcPr>
          <w:p w:rsidR="003A5441" w:rsidRPr="000209B5" w:rsidRDefault="003A5441" w:rsidP="0027555C">
            <w:pPr>
              <w:spacing w:before="60" w:after="60"/>
              <w:jc w:val="both"/>
              <w:rPr>
                <w:b/>
                <w:sz w:val="22"/>
                <w:szCs w:val="22"/>
              </w:rPr>
            </w:pPr>
            <w:r>
              <w:rPr>
                <w:b/>
                <w:sz w:val="22"/>
                <w:szCs w:val="22"/>
              </w:rPr>
              <w:t>C</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$1,449</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$895</w:t>
            </w:r>
          </w:p>
        </w:tc>
        <w:tc>
          <w:tcPr>
            <w:tcW w:w="1159" w:type="pct"/>
          </w:tcPr>
          <w:p w:rsidR="003A5441" w:rsidRPr="009F2511" w:rsidRDefault="003A5441" w:rsidP="0027555C">
            <w:pPr>
              <w:spacing w:before="60" w:after="60"/>
              <w:jc w:val="both"/>
              <w:rPr>
                <w:sz w:val="22"/>
                <w:szCs w:val="22"/>
              </w:rPr>
            </w:pPr>
            <w:r w:rsidRPr="009F2511">
              <w:rPr>
                <w:sz w:val="22"/>
                <w:szCs w:val="22"/>
              </w:rPr>
              <w:t>$895</w:t>
            </w:r>
          </w:p>
        </w:tc>
        <w:tc>
          <w:tcPr>
            <w:tcW w:w="1192" w:type="pct"/>
          </w:tcPr>
          <w:p w:rsidR="003A5441" w:rsidRPr="009F2511" w:rsidRDefault="003A5441" w:rsidP="0027555C">
            <w:pPr>
              <w:spacing w:before="60" w:after="60"/>
              <w:jc w:val="both"/>
              <w:rPr>
                <w:sz w:val="22"/>
                <w:szCs w:val="22"/>
              </w:rPr>
            </w:pPr>
            <w:r w:rsidRPr="009F2511">
              <w:rPr>
                <w:sz w:val="22"/>
                <w:szCs w:val="22"/>
              </w:rPr>
              <w:t>$895</w:t>
            </w:r>
          </w:p>
        </w:tc>
      </w:tr>
      <w:tr w:rsidR="003A5441" w:rsidRPr="000209B5" w:rsidTr="0027555C">
        <w:tc>
          <w:tcPr>
            <w:tcW w:w="586" w:type="pct"/>
          </w:tcPr>
          <w:p w:rsidR="003A5441" w:rsidRPr="000209B5" w:rsidRDefault="003A5441" w:rsidP="0027555C">
            <w:pPr>
              <w:spacing w:before="60" w:after="60"/>
              <w:jc w:val="both"/>
              <w:rPr>
                <w:b/>
                <w:sz w:val="22"/>
                <w:szCs w:val="22"/>
              </w:rPr>
            </w:pPr>
            <w:r>
              <w:rPr>
                <w:b/>
                <w:sz w:val="22"/>
                <w:szCs w:val="22"/>
              </w:rPr>
              <w:t>B</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$2,414</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$1,987</w:t>
            </w:r>
          </w:p>
        </w:tc>
        <w:tc>
          <w:tcPr>
            <w:tcW w:w="1159" w:type="pct"/>
          </w:tcPr>
          <w:p w:rsidR="003A5441" w:rsidRPr="009F2511" w:rsidRDefault="003A5441" w:rsidP="0027555C">
            <w:pPr>
              <w:spacing w:before="60" w:after="60"/>
              <w:jc w:val="both"/>
              <w:rPr>
                <w:sz w:val="22"/>
                <w:szCs w:val="22"/>
              </w:rPr>
            </w:pPr>
            <w:r w:rsidRPr="009F2511">
              <w:rPr>
                <w:sz w:val="22"/>
                <w:szCs w:val="22"/>
              </w:rPr>
              <w:t>$1,987</w:t>
            </w:r>
          </w:p>
        </w:tc>
        <w:tc>
          <w:tcPr>
            <w:tcW w:w="1192" w:type="pct"/>
          </w:tcPr>
          <w:p w:rsidR="003A5441" w:rsidRPr="009F2511" w:rsidRDefault="003A5441" w:rsidP="0027555C">
            <w:pPr>
              <w:spacing w:before="60" w:after="60"/>
              <w:jc w:val="both"/>
              <w:rPr>
                <w:sz w:val="22"/>
                <w:szCs w:val="22"/>
              </w:rPr>
            </w:pPr>
            <w:r w:rsidRPr="009F2511">
              <w:rPr>
                <w:sz w:val="22"/>
                <w:szCs w:val="22"/>
              </w:rPr>
              <w:t>$1,987</w:t>
            </w:r>
          </w:p>
        </w:tc>
      </w:tr>
      <w:tr w:rsidR="003A5441" w:rsidRPr="000209B5" w:rsidTr="0027555C">
        <w:tc>
          <w:tcPr>
            <w:tcW w:w="586" w:type="pct"/>
          </w:tcPr>
          <w:p w:rsidR="003A5441" w:rsidRPr="000209B5" w:rsidRDefault="003A5441" w:rsidP="0027555C">
            <w:pPr>
              <w:spacing w:before="60" w:after="60"/>
              <w:jc w:val="both"/>
              <w:rPr>
                <w:b/>
                <w:sz w:val="22"/>
                <w:szCs w:val="22"/>
              </w:rPr>
            </w:pPr>
            <w:r>
              <w:rPr>
                <w:b/>
                <w:sz w:val="22"/>
                <w:szCs w:val="22"/>
              </w:rPr>
              <w:t>A</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$2,925</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$3,491</w:t>
            </w:r>
          </w:p>
        </w:tc>
        <w:tc>
          <w:tcPr>
            <w:tcW w:w="1159" w:type="pct"/>
          </w:tcPr>
          <w:p w:rsidR="003A5441" w:rsidRPr="009F2511" w:rsidRDefault="003A5441" w:rsidP="0027555C">
            <w:pPr>
              <w:spacing w:before="60" w:after="60"/>
              <w:jc w:val="both"/>
              <w:rPr>
                <w:sz w:val="22"/>
                <w:szCs w:val="22"/>
              </w:rPr>
            </w:pPr>
            <w:r w:rsidRPr="009F2511">
              <w:rPr>
                <w:sz w:val="22"/>
                <w:szCs w:val="22"/>
              </w:rPr>
              <w:t>$</w:t>
            </w:r>
            <w:r>
              <w:rPr>
                <w:sz w:val="22"/>
                <w:szCs w:val="22"/>
              </w:rPr>
              <w:t>3,276</w:t>
            </w:r>
          </w:p>
        </w:tc>
        <w:tc>
          <w:tcPr>
            <w:tcW w:w="1192" w:type="pct"/>
          </w:tcPr>
          <w:p w:rsidR="003A5441" w:rsidRPr="009F2511" w:rsidRDefault="003A5441" w:rsidP="0027555C">
            <w:pPr>
              <w:spacing w:before="60" w:after="60"/>
              <w:jc w:val="both"/>
              <w:rPr>
                <w:sz w:val="22"/>
                <w:szCs w:val="22"/>
              </w:rPr>
            </w:pPr>
            <w:r w:rsidRPr="009F2511">
              <w:rPr>
                <w:sz w:val="22"/>
                <w:szCs w:val="22"/>
              </w:rPr>
              <w:t>$</w:t>
            </w:r>
            <w:r>
              <w:rPr>
                <w:sz w:val="22"/>
                <w:szCs w:val="22"/>
              </w:rPr>
              <w:t>3,258</w:t>
            </w:r>
          </w:p>
        </w:tc>
      </w:tr>
      <w:tr w:rsidR="003A5441" w:rsidRPr="000209B5" w:rsidTr="0027555C">
        <w:tc>
          <w:tcPr>
            <w:tcW w:w="586" w:type="pct"/>
          </w:tcPr>
          <w:p w:rsidR="003A5441" w:rsidRDefault="003A5441" w:rsidP="0027555C">
            <w:pPr>
              <w:spacing w:before="60" w:after="60"/>
              <w:jc w:val="both"/>
              <w:rPr>
                <w:b/>
                <w:sz w:val="22"/>
                <w:szCs w:val="22"/>
              </w:rPr>
            </w:pPr>
            <w:r>
              <w:rPr>
                <w:b/>
                <w:sz w:val="22"/>
                <w:szCs w:val="22"/>
              </w:rPr>
              <w:t>A+</w:t>
            </w:r>
          </w:p>
        </w:tc>
        <w:tc>
          <w:tcPr>
            <w:tcW w:w="933" w:type="pct"/>
            <w:shd w:val="clear" w:color="auto" w:fill="auto"/>
          </w:tcPr>
          <w:p w:rsidR="003A5441" w:rsidRPr="00B5395D" w:rsidRDefault="003A5441" w:rsidP="0027555C">
            <w:pPr>
              <w:spacing w:before="60" w:after="60"/>
              <w:jc w:val="both"/>
              <w:rPr>
                <w:sz w:val="22"/>
                <w:szCs w:val="22"/>
              </w:rPr>
            </w:pPr>
            <w:r>
              <w:rPr>
                <w:sz w:val="22"/>
                <w:szCs w:val="22"/>
              </w:rPr>
              <w:t>$2,957</w:t>
            </w:r>
          </w:p>
        </w:tc>
        <w:tc>
          <w:tcPr>
            <w:tcW w:w="1130" w:type="pct"/>
            <w:shd w:val="clear" w:color="auto" w:fill="auto"/>
          </w:tcPr>
          <w:p w:rsidR="003A5441" w:rsidRPr="009F2511" w:rsidRDefault="003A5441" w:rsidP="0027555C">
            <w:pPr>
              <w:spacing w:before="60" w:after="60"/>
              <w:jc w:val="both"/>
              <w:rPr>
                <w:sz w:val="22"/>
                <w:szCs w:val="22"/>
              </w:rPr>
            </w:pPr>
            <w:r w:rsidRPr="009F2511">
              <w:rPr>
                <w:sz w:val="22"/>
                <w:szCs w:val="22"/>
              </w:rPr>
              <w:t>$6,266</w:t>
            </w:r>
          </w:p>
        </w:tc>
        <w:tc>
          <w:tcPr>
            <w:tcW w:w="1159" w:type="pct"/>
          </w:tcPr>
          <w:p w:rsidR="003A5441" w:rsidRPr="009F2511" w:rsidRDefault="003A5441" w:rsidP="0027555C">
            <w:pPr>
              <w:spacing w:before="60" w:after="60"/>
              <w:jc w:val="both"/>
              <w:rPr>
                <w:sz w:val="22"/>
                <w:szCs w:val="22"/>
              </w:rPr>
            </w:pPr>
            <w:r>
              <w:rPr>
                <w:sz w:val="22"/>
                <w:szCs w:val="22"/>
              </w:rPr>
              <w:t>$4,637</w:t>
            </w:r>
          </w:p>
        </w:tc>
        <w:tc>
          <w:tcPr>
            <w:tcW w:w="1192" w:type="pct"/>
          </w:tcPr>
          <w:p w:rsidR="003A5441" w:rsidRPr="009F2511" w:rsidRDefault="003A5441" w:rsidP="0027555C">
            <w:pPr>
              <w:spacing w:before="60" w:after="60"/>
              <w:jc w:val="both"/>
              <w:rPr>
                <w:sz w:val="22"/>
                <w:szCs w:val="22"/>
              </w:rPr>
            </w:pPr>
            <w:r>
              <w:rPr>
                <w:sz w:val="22"/>
                <w:szCs w:val="22"/>
              </w:rPr>
              <w:t>$3,600</w:t>
            </w:r>
          </w:p>
        </w:tc>
      </w:tr>
    </w:tbl>
    <w:p w:rsidR="00D873E5" w:rsidRDefault="00D873E5" w:rsidP="00D873E5">
      <w:bookmarkStart w:id="111" w:name="_Toc448240246"/>
      <w:bookmarkStart w:id="112" w:name="_Toc448499777"/>
      <w:bookmarkStart w:id="113" w:name="_Toc244580367"/>
      <w:bookmarkStart w:id="114" w:name="_Toc244587043"/>
      <w:bookmarkStart w:id="115" w:name="_Toc244857277"/>
      <w:bookmarkStart w:id="116" w:name="_Toc244912542"/>
      <w:bookmarkStart w:id="117" w:name="_Toc244916999"/>
      <w:bookmarkStart w:id="118" w:name="_Toc362368108"/>
      <w:bookmarkStart w:id="119" w:name="_Toc362434949"/>
      <w:bookmarkStart w:id="120" w:name="_Toc362589335"/>
      <w:bookmarkStart w:id="121" w:name="_Toc362619035"/>
      <w:bookmarkStart w:id="122" w:name="_Toc362940599"/>
      <w:bookmarkStart w:id="123" w:name="_Toc363047107"/>
    </w:p>
    <w:p w:rsidR="00D873E5" w:rsidRDefault="00D873E5" w:rsidP="00D873E5"/>
    <w:p w:rsidR="00CC7280" w:rsidRDefault="00CC7280" w:rsidP="000469BE">
      <w:pPr>
        <w:pStyle w:val="Heading2"/>
      </w:pPr>
      <w:r w:rsidRPr="00590CA9">
        <w:lastRenderedPageBreak/>
        <w:t>Consultation</w:t>
      </w:r>
      <w:bookmarkEnd w:id="111"/>
      <w:bookmarkEnd w:id="112"/>
    </w:p>
    <w:p w:rsidR="00CC7280" w:rsidRPr="00665FF0" w:rsidRDefault="00CC7280" w:rsidP="00257CC1">
      <w:pPr>
        <w:pStyle w:val="Numberedpara3level1"/>
      </w:pPr>
      <w:r>
        <w:t xml:space="preserve">Two significant </w:t>
      </w:r>
      <w:r w:rsidR="002B3F5D">
        <w:t xml:space="preserve">external </w:t>
      </w:r>
      <w:r>
        <w:t>consultation processes were undertaken: a public consultation round; and use of a dedicated stakeholder focus group. The results of each are outlined as follows.</w:t>
      </w:r>
      <w:r w:rsidR="00257CC1">
        <w:t xml:space="preserve"> </w:t>
      </w:r>
    </w:p>
    <w:p w:rsidR="00CC7280" w:rsidRPr="00915BC9" w:rsidRDefault="00CC7280" w:rsidP="00CC7280">
      <w:pPr>
        <w:pStyle w:val="Heading3"/>
      </w:pPr>
      <w:bookmarkStart w:id="124" w:name="_Toc448240247"/>
      <w:bookmarkStart w:id="125" w:name="_Toc448499778"/>
      <w:r w:rsidRPr="00915BC9">
        <w:t>2013/14 public consultation</w:t>
      </w:r>
      <w:bookmarkEnd w:id="124"/>
      <w:bookmarkEnd w:id="125"/>
      <w:r w:rsidRPr="00915BC9">
        <w:t xml:space="preserve"> </w:t>
      </w:r>
    </w:p>
    <w:p w:rsidR="00CC7280" w:rsidRDefault="00CC7280" w:rsidP="00CC7280">
      <w:pPr>
        <w:pStyle w:val="Numberedpara3level1"/>
      </w:pPr>
      <w:r>
        <w:t>Public consultation on options for reform of the venue payments system occurred in late 2013 (the consultation also included other class 4 reform proposals). The options covered were:</w:t>
      </w:r>
    </w:p>
    <w:p w:rsidR="00FC1C34" w:rsidRDefault="00887FD6" w:rsidP="00E4305C">
      <w:pPr>
        <w:pStyle w:val="ListParagraph"/>
        <w:numPr>
          <w:ilvl w:val="0"/>
          <w:numId w:val="15"/>
        </w:numPr>
        <w:spacing w:before="0" w:after="120"/>
      </w:pPr>
      <w:r>
        <w:t>t</w:t>
      </w:r>
      <w:r w:rsidR="00FC1C34">
        <w:t>he status quo</w:t>
      </w:r>
      <w:r>
        <w:t>;</w:t>
      </w:r>
    </w:p>
    <w:p w:rsidR="00FC1C34" w:rsidRDefault="00887FD6" w:rsidP="00E4305C">
      <w:pPr>
        <w:pStyle w:val="ListParagraph"/>
        <w:numPr>
          <w:ilvl w:val="0"/>
          <w:numId w:val="15"/>
        </w:numPr>
        <w:spacing w:before="0" w:after="120"/>
      </w:pPr>
      <w:r>
        <w:t>a</w:t>
      </w:r>
      <w:r w:rsidR="00FC1C34">
        <w:t xml:space="preserve"> per machine payment</w:t>
      </w:r>
      <w:r>
        <w:t>;</w:t>
      </w:r>
    </w:p>
    <w:p w:rsidR="00CC7280" w:rsidRDefault="00CC7280" w:rsidP="00E4305C">
      <w:pPr>
        <w:pStyle w:val="ListParagraph"/>
        <w:numPr>
          <w:ilvl w:val="0"/>
          <w:numId w:val="15"/>
        </w:numPr>
        <w:spacing w:before="0" w:after="120"/>
      </w:pPr>
      <w:r w:rsidRPr="00676101">
        <w:t>a flat commission rate (for example,</w:t>
      </w:r>
      <w:r>
        <w:t xml:space="preserve"> 16 </w:t>
      </w:r>
      <w:r w:rsidR="00D61242">
        <w:t>per cent</w:t>
      </w:r>
      <w:r>
        <w:t xml:space="preserve"> of GMP per venue); and</w:t>
      </w:r>
    </w:p>
    <w:p w:rsidR="00CC7280" w:rsidRDefault="00CC7280" w:rsidP="00E4305C">
      <w:pPr>
        <w:pStyle w:val="ListParagraph"/>
        <w:numPr>
          <w:ilvl w:val="0"/>
          <w:numId w:val="15"/>
        </w:numPr>
        <w:spacing w:before="0" w:after="120"/>
      </w:pPr>
      <w:r>
        <w:t>a tiered commission system—the Department presented a six-tier system based on cost data that best matched the overall trend for expenses as a percentage of GMP. The tiers were set on a diminishing basis so that as GMP increased to a limit, the percentage payment decreased</w:t>
      </w:r>
      <w:r w:rsidR="00932FB5">
        <w:t xml:space="preserve">. </w:t>
      </w:r>
    </w:p>
    <w:p w:rsidR="00FC1C34" w:rsidRDefault="00CC7280" w:rsidP="00CC7280">
      <w:pPr>
        <w:pStyle w:val="Numberedpara3level1"/>
      </w:pPr>
      <w:r w:rsidRPr="00590CA9">
        <w:t>In total, the Department received 114 submissions during the 2013/14 consultation period</w:t>
      </w:r>
      <w:r w:rsidR="00FC1C34">
        <w:t>;</w:t>
      </w:r>
      <w:r w:rsidRPr="00590CA9">
        <w:t xml:space="preserve"> 84 of these commented on </w:t>
      </w:r>
      <w:r>
        <w:t xml:space="preserve">options for </w:t>
      </w:r>
      <w:r w:rsidRPr="00590CA9">
        <w:t xml:space="preserve">venue payments. </w:t>
      </w:r>
      <w:r w:rsidR="0013748E">
        <w:t xml:space="preserve">Submissions were received from </w:t>
      </w:r>
      <w:r w:rsidR="00C93499">
        <w:t xml:space="preserve">gambling </w:t>
      </w:r>
      <w:r w:rsidR="0013748E">
        <w:t>societies, venues, community groups, councils, problem gamb</w:t>
      </w:r>
      <w:r w:rsidR="00FC1C34">
        <w:t>ling support groups</w:t>
      </w:r>
      <w:r w:rsidR="0013748E">
        <w:t xml:space="preserve">, </w:t>
      </w:r>
      <w:r w:rsidR="00C93499">
        <w:t>the racing group</w:t>
      </w:r>
      <w:r w:rsidR="00FC1C34">
        <w:t xml:space="preserve"> and the general public</w:t>
      </w:r>
      <w:r w:rsidR="00C93499">
        <w:t>, as shown in Figure 2 below</w:t>
      </w:r>
      <w:r w:rsidR="00FC1C34">
        <w:t xml:space="preserve">. </w:t>
      </w:r>
    </w:p>
    <w:p w:rsidR="00C93499" w:rsidRPr="00C93499" w:rsidRDefault="00C93499" w:rsidP="00C93499">
      <w:pPr>
        <w:pStyle w:val="Numberedpara3level1"/>
        <w:numPr>
          <w:ilvl w:val="0"/>
          <w:numId w:val="0"/>
        </w:numPr>
        <w:rPr>
          <w:b/>
          <w:i/>
        </w:rPr>
      </w:pPr>
      <w:r>
        <w:rPr>
          <w:b/>
          <w:i/>
        </w:rPr>
        <w:t>Figure 2:</w:t>
      </w:r>
      <w:r w:rsidR="00502304">
        <w:rPr>
          <w:b/>
          <w:i/>
        </w:rPr>
        <w:t xml:space="preserve"> Submitters by type</w:t>
      </w:r>
    </w:p>
    <w:p w:rsidR="00C93499" w:rsidRDefault="00C93499" w:rsidP="00C93499">
      <w:r w:rsidRPr="00C93499">
        <w:rPr>
          <w:noProof/>
          <w:lang w:eastAsia="en-NZ"/>
        </w:rPr>
        <w:drawing>
          <wp:inline distT="0" distB="0" distL="0" distR="0" wp14:anchorId="56C71424" wp14:editId="2E5C91E7">
            <wp:extent cx="5760085" cy="2387860"/>
            <wp:effectExtent l="19050" t="1905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387860"/>
                    </a:xfrm>
                    <a:prstGeom prst="rect">
                      <a:avLst/>
                    </a:prstGeom>
                    <a:noFill/>
                    <a:ln>
                      <a:solidFill>
                        <a:schemeClr val="tx1"/>
                      </a:solidFill>
                    </a:ln>
                  </pic:spPr>
                </pic:pic>
              </a:graphicData>
            </a:graphic>
          </wp:inline>
        </w:drawing>
      </w:r>
    </w:p>
    <w:p w:rsidR="00FC1C34" w:rsidRDefault="00FC1C34" w:rsidP="00CC7280">
      <w:pPr>
        <w:pStyle w:val="Numberedpara3level1"/>
      </w:pPr>
      <w:r>
        <w:t xml:space="preserve">Submitters supported the various options as shown in Figure </w:t>
      </w:r>
      <w:r w:rsidR="00C93499">
        <w:t>3</w:t>
      </w:r>
      <w:r>
        <w:t>.</w:t>
      </w:r>
    </w:p>
    <w:p w:rsidR="00887FD6" w:rsidRDefault="00887FD6" w:rsidP="00D873E5"/>
    <w:p w:rsidR="00887FD6" w:rsidRDefault="00887FD6" w:rsidP="00D873E5"/>
    <w:p w:rsidR="00887FD6" w:rsidRDefault="00887FD6" w:rsidP="00D873E5"/>
    <w:p w:rsidR="00887FD6" w:rsidRDefault="00887FD6" w:rsidP="00D873E5"/>
    <w:p w:rsidR="00887FD6" w:rsidRDefault="00887FD6" w:rsidP="00D873E5"/>
    <w:p w:rsidR="0013748E" w:rsidRPr="0013748E" w:rsidRDefault="00C93499" w:rsidP="0013748E">
      <w:pPr>
        <w:pStyle w:val="Numberedpara3level1"/>
        <w:numPr>
          <w:ilvl w:val="0"/>
          <w:numId w:val="0"/>
        </w:numPr>
        <w:rPr>
          <w:b/>
          <w:i/>
        </w:rPr>
      </w:pPr>
      <w:r>
        <w:rPr>
          <w:b/>
          <w:i/>
        </w:rPr>
        <w:t>Figure 3</w:t>
      </w:r>
      <w:r w:rsidR="0013748E" w:rsidRPr="0013748E">
        <w:rPr>
          <w:b/>
          <w:i/>
        </w:rPr>
        <w:t>: Submitter support for different venue payment options</w:t>
      </w:r>
    </w:p>
    <w:p w:rsidR="0013748E" w:rsidRPr="00676101" w:rsidRDefault="00941016" w:rsidP="0013748E">
      <w:pPr>
        <w:pStyle w:val="Numberedpara3level1"/>
        <w:numPr>
          <w:ilvl w:val="0"/>
          <w:numId w:val="0"/>
        </w:numPr>
      </w:pPr>
      <w:r>
        <w:rPr>
          <w:noProof/>
          <w:lang w:eastAsia="en-NZ"/>
        </w:rPr>
        <w:drawing>
          <wp:inline distT="0" distB="0" distL="0" distR="0" wp14:anchorId="3056292E" wp14:editId="74769084">
            <wp:extent cx="5812404" cy="2194560"/>
            <wp:effectExtent l="0" t="0" r="17145" b="1524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1016" w:rsidRPr="00941016" w:rsidRDefault="00CB73EE" w:rsidP="00941016">
      <w:pPr>
        <w:pStyle w:val="Numberedpara3level1"/>
      </w:pPr>
      <w:r>
        <w:t xml:space="preserve">Eighteen per cent </w:t>
      </w:r>
      <w:r w:rsidR="00941016" w:rsidRPr="00941016">
        <w:t>of submitters supported a flat rate commission payment while 55</w:t>
      </w:r>
      <w:r w:rsidR="00D61242">
        <w:t xml:space="preserve"> per cent</w:t>
      </w:r>
      <w:r w:rsidR="00941016" w:rsidRPr="00941016">
        <w:t xml:space="preserve"> supported some form of tiered commission scheme.</w:t>
      </w:r>
      <w:r w:rsidR="00941016">
        <w:t xml:space="preserve"> </w:t>
      </w:r>
      <w:r>
        <w:t xml:space="preserve">Sixty seven per cent </w:t>
      </w:r>
      <w:r w:rsidR="00941016" w:rsidRPr="00941016">
        <w:t>of venues and 70</w:t>
      </w:r>
      <w:r w:rsidR="00D61242">
        <w:t xml:space="preserve"> per cent</w:t>
      </w:r>
      <w:r w:rsidR="00941016" w:rsidRPr="00941016">
        <w:t xml:space="preserve"> of gambling societies supported the introduction of some kind of tiered commission scheme, but opposed the Department’s option. The main concern with the Department’s option was that the commission rate for low turnover venues was too high and unsustainable.</w:t>
      </w:r>
    </w:p>
    <w:p w:rsidR="00941016" w:rsidRPr="00F236B3" w:rsidRDefault="00941016" w:rsidP="00941016">
      <w:pPr>
        <w:pStyle w:val="Numberedpara3level1"/>
      </w:pPr>
      <w:r w:rsidRPr="00941016">
        <w:t>Of those societies who supported a tiered scheme, more than half were opposed to a cap on venue payments. Also</w:t>
      </w:r>
      <w:r w:rsidR="00CB73EE">
        <w:t>,</w:t>
      </w:r>
      <w:r w:rsidRPr="00941016">
        <w:t xml:space="preserve"> 69</w:t>
      </w:r>
      <w:r w:rsidR="00D61242">
        <w:t xml:space="preserve"> per cent</w:t>
      </w:r>
      <w:r w:rsidRPr="00941016">
        <w:t xml:space="preserve"> supported the commission payment representing a cap on payments, with the actual payment below this amount being discretionary rather than mandatory.</w:t>
      </w:r>
    </w:p>
    <w:p w:rsidR="00CC7280" w:rsidRPr="00915BC9" w:rsidRDefault="007C0F7A" w:rsidP="00CC7280">
      <w:pPr>
        <w:pStyle w:val="Heading3"/>
      </w:pPr>
      <w:bookmarkStart w:id="126" w:name="_Toc448240248"/>
      <w:bookmarkStart w:id="127" w:name="_Toc448499779"/>
      <w:r>
        <w:t xml:space="preserve">Working </w:t>
      </w:r>
      <w:r w:rsidR="00CC7280" w:rsidRPr="00915BC9">
        <w:t>Group</w:t>
      </w:r>
      <w:bookmarkEnd w:id="126"/>
      <w:bookmarkEnd w:id="127"/>
      <w:r w:rsidR="00CC7280" w:rsidRPr="00915BC9">
        <w:t xml:space="preserve"> </w:t>
      </w:r>
    </w:p>
    <w:p w:rsidR="009B1F29" w:rsidRPr="009B1F29" w:rsidRDefault="00CC7280" w:rsidP="009B1F29">
      <w:pPr>
        <w:pStyle w:val="Numberedpara3level1"/>
      </w:pPr>
      <w:r w:rsidRPr="002E5B74">
        <w:t xml:space="preserve">In September </w:t>
      </w:r>
      <w:r w:rsidR="00A42B92">
        <w:t>2015</w:t>
      </w:r>
      <w:r w:rsidRPr="002E5B74">
        <w:t xml:space="preserve"> the Department convened a </w:t>
      </w:r>
      <w:r w:rsidR="007C0F7A">
        <w:t>working</w:t>
      </w:r>
      <w:r w:rsidRPr="002E5B74">
        <w:t xml:space="preserve"> group to </w:t>
      </w:r>
      <w:r w:rsidR="00D82025">
        <w:t>co-design</w:t>
      </w:r>
      <w:r w:rsidRPr="002E5B74">
        <w:t xml:space="preserve"> a new venue payment regime for </w:t>
      </w:r>
      <w:r w:rsidR="001C006A">
        <w:t>class 4</w:t>
      </w:r>
      <w:r w:rsidRPr="002E5B74">
        <w:t xml:space="preserve"> gambling</w:t>
      </w:r>
      <w:r w:rsidR="009B1F29">
        <w:t xml:space="preserve">. </w:t>
      </w:r>
      <w:r w:rsidR="009B1F29" w:rsidRPr="009B1F29">
        <w:t>The advantage of a collaborative process was:</w:t>
      </w:r>
    </w:p>
    <w:p w:rsidR="009B1F29" w:rsidRPr="009B1F29" w:rsidRDefault="009B1F29" w:rsidP="009B1F29">
      <w:pPr>
        <w:pStyle w:val="ListParagraph"/>
        <w:numPr>
          <w:ilvl w:val="0"/>
          <w:numId w:val="15"/>
        </w:numPr>
        <w:spacing w:before="0" w:after="120"/>
      </w:pPr>
      <w:r>
        <w:t>v</w:t>
      </w:r>
      <w:r w:rsidRPr="009B1F29">
        <w:t xml:space="preserve">enues and societies could bring their ‘real world’ operational and commercial perspectives into the process, which meant that that implementation issues could be worked through from the very start of the process. The Department has been criticised in the past for not understanding how reforms to the </w:t>
      </w:r>
      <w:r w:rsidR="001C006A">
        <w:t xml:space="preserve">class </w:t>
      </w:r>
      <w:r w:rsidRPr="009B1F29">
        <w:t>4 sector will affect the sector in practice</w:t>
      </w:r>
      <w:r>
        <w:t>;</w:t>
      </w:r>
      <w:r w:rsidRPr="009B1F29">
        <w:t xml:space="preserve">  </w:t>
      </w:r>
    </w:p>
    <w:p w:rsidR="009B1F29" w:rsidRPr="009B1F29" w:rsidRDefault="009B1F29" w:rsidP="009B1F29">
      <w:pPr>
        <w:pStyle w:val="ListParagraph"/>
        <w:numPr>
          <w:ilvl w:val="0"/>
          <w:numId w:val="15"/>
        </w:numPr>
        <w:spacing w:before="0" w:after="120"/>
      </w:pPr>
      <w:r>
        <w:t>t</w:t>
      </w:r>
      <w:r w:rsidRPr="009B1F29">
        <w:t>he working group brought valuable evidence and information into the process that the Dep</w:t>
      </w:r>
      <w:r>
        <w:t>artmen</w:t>
      </w:r>
      <w:r w:rsidRPr="009B1F29">
        <w:t>t otherwise would not have had access to (for example, information on how different options would affect a society’s range of venues)</w:t>
      </w:r>
      <w:r>
        <w:t>; and</w:t>
      </w:r>
    </w:p>
    <w:p w:rsidR="009B1F29" w:rsidRPr="009B1F29" w:rsidRDefault="009B1F29" w:rsidP="009B1F29">
      <w:pPr>
        <w:pStyle w:val="ListParagraph"/>
        <w:numPr>
          <w:ilvl w:val="0"/>
          <w:numId w:val="15"/>
        </w:numPr>
        <w:spacing w:before="0" w:after="120"/>
      </w:pPr>
      <w:r>
        <w:t>i</w:t>
      </w:r>
      <w:r w:rsidRPr="009B1F29">
        <w:t>nvolving stakeholders in the policy design has meant they both understand the preferred option and are willing to assist in effective implementation (e.g. develop of FAQs and good practice guides)</w:t>
      </w:r>
      <w:r>
        <w:t>.</w:t>
      </w:r>
    </w:p>
    <w:p w:rsidR="00CC7280" w:rsidRPr="002E5B74" w:rsidRDefault="00CC7280" w:rsidP="00CC7280">
      <w:pPr>
        <w:pStyle w:val="Numberedpara3level1"/>
      </w:pPr>
      <w:r w:rsidRPr="002E5B74">
        <w:t xml:space="preserve">The </w:t>
      </w:r>
      <w:r w:rsidR="007C0F7A">
        <w:t xml:space="preserve">working </w:t>
      </w:r>
      <w:r w:rsidRPr="002E5B74">
        <w:t xml:space="preserve">group included </w:t>
      </w:r>
      <w:r w:rsidR="00F81BCD">
        <w:t>members</w:t>
      </w:r>
      <w:r w:rsidRPr="002E5B74">
        <w:t xml:space="preserve"> from </w:t>
      </w:r>
      <w:r w:rsidR="00732B02">
        <w:t>s</w:t>
      </w:r>
      <w:r w:rsidRPr="002E5B74">
        <w:t>ocieties</w:t>
      </w:r>
      <w:r w:rsidR="00732B02">
        <w:t>, v</w:t>
      </w:r>
      <w:r w:rsidRPr="002E5B74">
        <w:t xml:space="preserve">enue operators </w:t>
      </w:r>
      <w:r w:rsidR="00D82025">
        <w:t xml:space="preserve">and </w:t>
      </w:r>
      <w:r w:rsidRPr="002E5B74">
        <w:t>problem gambling service providers (Salvation Army</w:t>
      </w:r>
      <w:r w:rsidR="00D82025">
        <w:t>,</w:t>
      </w:r>
      <w:r w:rsidRPr="002E5B74">
        <w:t xml:space="preserve"> Problem Gambling Foundation</w:t>
      </w:r>
      <w:r w:rsidR="00D82025">
        <w:t>, Hapai)</w:t>
      </w:r>
      <w:r w:rsidRPr="002E5B74">
        <w:t xml:space="preserve">. </w:t>
      </w:r>
    </w:p>
    <w:p w:rsidR="00CC7280" w:rsidRPr="002E5B74" w:rsidRDefault="00CC7280" w:rsidP="00CC7280">
      <w:pPr>
        <w:pStyle w:val="Numberedpara3level1"/>
      </w:pPr>
      <w:r w:rsidRPr="002E5B74">
        <w:lastRenderedPageBreak/>
        <w:t xml:space="preserve">The </w:t>
      </w:r>
      <w:r w:rsidR="007C0F7A">
        <w:t>working</w:t>
      </w:r>
      <w:r w:rsidRPr="002E5B74">
        <w:t xml:space="preserve"> group met four times between September and December 2015. </w:t>
      </w:r>
      <w:r w:rsidR="009B397F">
        <w:t xml:space="preserve">Two further meetings were held with a subset of this group in February and March 2016 to work through some detailed implementation </w:t>
      </w:r>
      <w:r w:rsidR="00065838">
        <w:t>issues that</w:t>
      </w:r>
      <w:r w:rsidR="009B397F">
        <w:t xml:space="preserve"> did not require the whole group to be reconvened.</w:t>
      </w:r>
    </w:p>
    <w:p w:rsidR="003D6740" w:rsidRPr="00DA3A38" w:rsidRDefault="003D6740" w:rsidP="003D6740">
      <w:pPr>
        <w:pStyle w:val="Numberedpara3level1"/>
      </w:pPr>
      <w:r w:rsidRPr="00DA3A38">
        <w:t xml:space="preserve">Industry members of the </w:t>
      </w:r>
      <w:r w:rsidR="007C0F7A" w:rsidRPr="00DA3A38">
        <w:t>working</w:t>
      </w:r>
      <w:r w:rsidRPr="00DA3A38">
        <w:t xml:space="preserve"> group unanimously agreed that a new payments regime be:</w:t>
      </w:r>
      <w:r w:rsidR="009B397F" w:rsidRPr="00DA3A38">
        <w:t xml:space="preserve"> </w:t>
      </w:r>
    </w:p>
    <w:p w:rsidR="00DA3A38" w:rsidRDefault="003D6740" w:rsidP="00E4305C">
      <w:pPr>
        <w:pStyle w:val="ListParagraph"/>
        <w:numPr>
          <w:ilvl w:val="0"/>
          <w:numId w:val="15"/>
        </w:numPr>
        <w:spacing w:before="0" w:after="120"/>
      </w:pPr>
      <w:r w:rsidRPr="00DA3A38">
        <w:t>commission-based</w:t>
      </w:r>
      <w:r w:rsidR="00DA3A38">
        <w:t>;</w:t>
      </w:r>
    </w:p>
    <w:p w:rsidR="003D6740" w:rsidRPr="00DA3A38" w:rsidRDefault="00DA3A38" w:rsidP="00E4305C">
      <w:pPr>
        <w:pStyle w:val="ListParagraph"/>
        <w:numPr>
          <w:ilvl w:val="0"/>
          <w:numId w:val="15"/>
        </w:numPr>
        <w:spacing w:before="0" w:after="120"/>
      </w:pPr>
      <w:r>
        <w:t xml:space="preserve">based on </w:t>
      </w:r>
      <w:r w:rsidR="003D6740" w:rsidRPr="00DA3A38">
        <w:t xml:space="preserve">percentage of </w:t>
      </w:r>
      <w:r>
        <w:t>turnover (</w:t>
      </w:r>
      <w:r w:rsidR="00B15345">
        <w:t xml:space="preserve">set at </w:t>
      </w:r>
      <w:r w:rsidR="003D6740" w:rsidRPr="00DA3A38">
        <w:t>1.28</w:t>
      </w:r>
      <w:r w:rsidR="00D61242">
        <w:t xml:space="preserve"> per cent</w:t>
      </w:r>
      <w:r>
        <w:t xml:space="preserve"> as this is closest to 16</w:t>
      </w:r>
      <w:r w:rsidR="00D61242">
        <w:t xml:space="preserve"> per cent</w:t>
      </w:r>
      <w:r>
        <w:t xml:space="preserve"> of GMP)</w:t>
      </w:r>
      <w:r w:rsidR="003D6740" w:rsidRPr="00DA3A38">
        <w:t xml:space="preserve">; </w:t>
      </w:r>
    </w:p>
    <w:p w:rsidR="003D6740" w:rsidRPr="00DA3A38" w:rsidRDefault="00DA3A38" w:rsidP="00E4305C">
      <w:pPr>
        <w:pStyle w:val="ListParagraph"/>
        <w:numPr>
          <w:ilvl w:val="0"/>
          <w:numId w:val="15"/>
        </w:numPr>
        <w:spacing w:before="0" w:after="120"/>
      </w:pPr>
      <w:r>
        <w:t xml:space="preserve">based on a </w:t>
      </w:r>
      <w:r w:rsidR="009B397F" w:rsidRPr="00DA3A38">
        <w:t>flat rate (i.e not capped or tiered)</w:t>
      </w:r>
      <w:r w:rsidR="003D6740" w:rsidRPr="00DA3A38">
        <w:t>; and</w:t>
      </w:r>
    </w:p>
    <w:p w:rsidR="003D6740" w:rsidRPr="00DA3A38" w:rsidRDefault="003D6740" w:rsidP="00E4305C">
      <w:pPr>
        <w:pStyle w:val="ListParagraph"/>
        <w:numPr>
          <w:ilvl w:val="0"/>
          <w:numId w:val="15"/>
        </w:numPr>
        <w:spacing w:before="0" w:after="120"/>
      </w:pPr>
      <w:r w:rsidRPr="00DA3A38">
        <w:t>mandatory</w:t>
      </w:r>
      <w:r w:rsidR="00816417" w:rsidRPr="00DA3A38">
        <w:t xml:space="preserve"> (s</w:t>
      </w:r>
      <w:r w:rsidRPr="00DA3A38">
        <w:t>o that societies are required to pay their venues the amount specified, rather than have the discretion to pay them less</w:t>
      </w:r>
      <w:r w:rsidR="00816417" w:rsidRPr="00DA3A38">
        <w:t>)</w:t>
      </w:r>
      <w:r w:rsidR="007A579C">
        <w:rPr>
          <w:rStyle w:val="FootnoteReference"/>
        </w:rPr>
        <w:footnoteReference w:id="8"/>
      </w:r>
      <w:r w:rsidRPr="00DA3A38">
        <w:t>.</w:t>
      </w:r>
    </w:p>
    <w:p w:rsidR="003D6740" w:rsidRPr="00DD57E1" w:rsidRDefault="003D6740" w:rsidP="003D6740">
      <w:pPr>
        <w:pStyle w:val="Numberedpara3level1"/>
        <w:rPr>
          <w:rFonts w:eastAsia="Times New Roman"/>
        </w:rPr>
      </w:pPr>
      <w:r w:rsidRPr="003D6740">
        <w:t>It was also suggested that venue payment commission rates should be reviewed every three years</w:t>
      </w:r>
      <w:r w:rsidRPr="00DD57E1">
        <w:rPr>
          <w:rFonts w:eastAsia="Times New Roman"/>
        </w:rPr>
        <w:t xml:space="preserve"> and the movement in the CPI should be taken into account.</w:t>
      </w:r>
    </w:p>
    <w:p w:rsidR="003D6740" w:rsidRPr="003D6740" w:rsidRDefault="003D6740" w:rsidP="003D6740">
      <w:pPr>
        <w:pStyle w:val="Numberedpara3level1"/>
      </w:pPr>
      <w:r w:rsidRPr="003D6740">
        <w:t xml:space="preserve">The problem gambling service providers were opposed to a </w:t>
      </w:r>
      <w:r w:rsidR="00213F09">
        <w:t>commission-based</w:t>
      </w:r>
      <w:r w:rsidRPr="003D6740">
        <w:t xml:space="preserve"> </w:t>
      </w:r>
      <w:r w:rsidR="009B397F">
        <w:t xml:space="preserve"> </w:t>
      </w:r>
      <w:r w:rsidRPr="003D6740">
        <w:t>payment scheme without real and effective measures to mitigate the potential impact of such a scheme because</w:t>
      </w:r>
      <w:r w:rsidR="00887FD6">
        <w:t xml:space="preserve"> they considered</w:t>
      </w:r>
      <w:r w:rsidRPr="003D6740">
        <w:t>:</w:t>
      </w:r>
    </w:p>
    <w:p w:rsidR="003D6740" w:rsidRPr="003D6740" w:rsidRDefault="003D6740" w:rsidP="00E4305C">
      <w:pPr>
        <w:pStyle w:val="ListParagraph"/>
        <w:numPr>
          <w:ilvl w:val="0"/>
          <w:numId w:val="15"/>
        </w:numPr>
        <w:spacing w:before="0" w:after="120"/>
      </w:pPr>
      <w:r w:rsidRPr="00DD57E1">
        <w:t>it gives venues opportunities, should they wish, to maximise returns for their economic advantage, fundamentally changing the focus from raising money for community purposes and disincentivising good host responsibility; and</w:t>
      </w:r>
    </w:p>
    <w:p w:rsidR="003D6740" w:rsidRPr="003D6740" w:rsidRDefault="003D6740" w:rsidP="00E4305C">
      <w:pPr>
        <w:pStyle w:val="ListParagraph"/>
        <w:numPr>
          <w:ilvl w:val="0"/>
          <w:numId w:val="15"/>
        </w:numPr>
        <w:spacing w:before="0" w:after="120"/>
      </w:pPr>
      <w:r w:rsidRPr="00DD57E1">
        <w:t xml:space="preserve">host responsibility could become a tick box exercise to meet minimum statutory requirements in an environment where harm minimisation practices are already less than satisfactory (although practices do vary across the sector). </w:t>
      </w:r>
    </w:p>
    <w:p w:rsidR="003D6740" w:rsidRDefault="003D6740" w:rsidP="00887FD6">
      <w:pPr>
        <w:pStyle w:val="Numberedpara3level1"/>
      </w:pPr>
      <w:r w:rsidRPr="003D6740">
        <w:t xml:space="preserve">Problem gambling service providers specifically recommended that if a </w:t>
      </w:r>
      <w:r w:rsidR="00213F09">
        <w:t>commission-based</w:t>
      </w:r>
      <w:r w:rsidRPr="003D6740">
        <w:t xml:space="preserve"> system was introduce</w:t>
      </w:r>
      <w:r w:rsidR="00887FD6">
        <w:t xml:space="preserve">d </w:t>
      </w:r>
      <w:r w:rsidRPr="00DD57E1">
        <w:t>a fixed proportion of each commission payment be ring-fenced for harm prevention and minimisation activities as a minimum and be conducted by appr</w:t>
      </w:r>
      <w:r>
        <w:t>opriately qualified people.</w:t>
      </w:r>
    </w:p>
    <w:p w:rsidR="007834D1" w:rsidRDefault="007834D1" w:rsidP="007834D1">
      <w:pPr>
        <w:pStyle w:val="Numberedpara3level1"/>
        <w:rPr>
          <w:rFonts w:asciiTheme="minorHAnsi" w:hAnsiTheme="minorHAnsi"/>
        </w:rPr>
      </w:pPr>
      <w:r w:rsidRPr="007834D1">
        <w:rPr>
          <w:rFonts w:asciiTheme="minorHAnsi" w:hAnsiTheme="minorHAnsi"/>
        </w:rPr>
        <w:t>The Department</w:t>
      </w:r>
      <w:r>
        <w:rPr>
          <w:rFonts w:asciiTheme="minorHAnsi" w:hAnsiTheme="minorHAnsi"/>
        </w:rPr>
        <w:t xml:space="preserve"> considered th</w:t>
      </w:r>
      <w:r w:rsidR="00887FD6">
        <w:rPr>
          <w:rFonts w:asciiTheme="minorHAnsi" w:hAnsiTheme="minorHAnsi"/>
        </w:rPr>
        <w:t>e problem gambling service providers’</w:t>
      </w:r>
      <w:r>
        <w:rPr>
          <w:rFonts w:asciiTheme="minorHAnsi" w:hAnsiTheme="minorHAnsi"/>
        </w:rPr>
        <w:t xml:space="preserve"> </w:t>
      </w:r>
      <w:r w:rsidR="003D3AF6">
        <w:rPr>
          <w:rFonts w:asciiTheme="minorHAnsi" w:hAnsiTheme="minorHAnsi"/>
        </w:rPr>
        <w:t>recommendation</w:t>
      </w:r>
      <w:r>
        <w:rPr>
          <w:rFonts w:asciiTheme="minorHAnsi" w:hAnsiTheme="minorHAnsi"/>
        </w:rPr>
        <w:t xml:space="preserve"> to have the following benefits and disadvantages</w:t>
      </w:r>
      <w:r w:rsidR="002217FA">
        <w:rPr>
          <w:rFonts w:asciiTheme="minorHAnsi" w:hAnsiTheme="minorHAnsi"/>
        </w:rPr>
        <w:t xml:space="preserve"> (see Table 9)</w:t>
      </w:r>
      <w:r>
        <w:rPr>
          <w:rFonts w:asciiTheme="minorHAnsi" w:hAnsiTheme="minorHAnsi"/>
        </w:rPr>
        <w:t>. On balance, the Department does not support the recommendation.</w:t>
      </w:r>
    </w:p>
    <w:p w:rsidR="003D3AF6" w:rsidRPr="003D3AF6" w:rsidRDefault="003D3AF6" w:rsidP="0022758F">
      <w:pPr>
        <w:pStyle w:val="Numberedpara3level1"/>
        <w:numPr>
          <w:ilvl w:val="0"/>
          <w:numId w:val="0"/>
        </w:numPr>
        <w:rPr>
          <w:rFonts w:asciiTheme="minorHAnsi" w:hAnsiTheme="minorHAnsi"/>
          <w:b/>
          <w:i/>
        </w:rPr>
      </w:pPr>
      <w:r>
        <w:rPr>
          <w:rFonts w:asciiTheme="minorHAnsi" w:hAnsiTheme="minorHAnsi"/>
          <w:b/>
          <w:i/>
        </w:rPr>
        <w:t xml:space="preserve">Table </w:t>
      </w:r>
      <w:r w:rsidR="002217FA">
        <w:rPr>
          <w:rFonts w:asciiTheme="minorHAnsi" w:hAnsiTheme="minorHAnsi"/>
          <w:b/>
          <w:i/>
        </w:rPr>
        <w:t>9</w:t>
      </w:r>
      <w:r>
        <w:rPr>
          <w:rFonts w:asciiTheme="minorHAnsi" w:hAnsiTheme="minorHAnsi"/>
          <w:b/>
          <w:i/>
        </w:rPr>
        <w:t>: Department consideration of the problem gambling service provider recommendation of a ring fenced payment for harm minimisation</w:t>
      </w:r>
    </w:p>
    <w:tbl>
      <w:tblPr>
        <w:tblStyle w:val="DIATable"/>
        <w:tblW w:w="5000" w:type="pct"/>
        <w:tblInd w:w="0" w:type="dxa"/>
        <w:tblLook w:val="04A0" w:firstRow="1" w:lastRow="0" w:firstColumn="1" w:lastColumn="0" w:noHBand="0" w:noVBand="1"/>
      </w:tblPr>
      <w:tblGrid>
        <w:gridCol w:w="4738"/>
        <w:gridCol w:w="4549"/>
      </w:tblGrid>
      <w:tr w:rsidR="003D3AF6" w:rsidRPr="003D3AF6" w:rsidTr="00D6403C">
        <w:trPr>
          <w:cnfStyle w:val="100000000000" w:firstRow="1" w:lastRow="0" w:firstColumn="0" w:lastColumn="0" w:oddVBand="0" w:evenVBand="0" w:oddHBand="0" w:evenHBand="0" w:firstRowFirstColumn="0" w:firstRowLastColumn="0" w:lastRowFirstColumn="0" w:lastRowLastColumn="0"/>
          <w:cantSplit w:val="0"/>
        </w:trPr>
        <w:tc>
          <w:tcPr>
            <w:tcW w:w="2551" w:type="pct"/>
          </w:tcPr>
          <w:p w:rsidR="003D3AF6" w:rsidRPr="003D3AF6" w:rsidRDefault="003D3AF6" w:rsidP="003D3AF6">
            <w:pPr>
              <w:pStyle w:val="Numberedpara3level1"/>
              <w:numPr>
                <w:ilvl w:val="0"/>
                <w:numId w:val="0"/>
              </w:numPr>
              <w:spacing w:before="60" w:after="60" w:line="240" w:lineRule="auto"/>
              <w:rPr>
                <w:rFonts w:asciiTheme="minorHAnsi" w:hAnsiTheme="minorHAnsi"/>
                <w:sz w:val="22"/>
                <w:szCs w:val="22"/>
              </w:rPr>
            </w:pPr>
            <w:r w:rsidRPr="003D3AF6">
              <w:rPr>
                <w:rFonts w:asciiTheme="minorHAnsi" w:hAnsiTheme="minorHAnsi"/>
                <w:sz w:val="22"/>
                <w:szCs w:val="22"/>
              </w:rPr>
              <w:t>Benefits</w:t>
            </w:r>
          </w:p>
        </w:tc>
        <w:tc>
          <w:tcPr>
            <w:tcW w:w="2449" w:type="pct"/>
          </w:tcPr>
          <w:p w:rsidR="003D3AF6" w:rsidRPr="003D3AF6" w:rsidRDefault="003D3AF6" w:rsidP="003D3AF6">
            <w:pPr>
              <w:pStyle w:val="Numberedpara3level1"/>
              <w:numPr>
                <w:ilvl w:val="0"/>
                <w:numId w:val="0"/>
              </w:numPr>
              <w:spacing w:before="60" w:after="60" w:line="240" w:lineRule="auto"/>
              <w:rPr>
                <w:rFonts w:asciiTheme="minorHAnsi" w:hAnsiTheme="minorHAnsi"/>
                <w:sz w:val="22"/>
                <w:szCs w:val="22"/>
              </w:rPr>
            </w:pPr>
            <w:r w:rsidRPr="003D3AF6">
              <w:rPr>
                <w:rFonts w:asciiTheme="minorHAnsi" w:hAnsiTheme="minorHAnsi"/>
                <w:sz w:val="22"/>
                <w:szCs w:val="22"/>
              </w:rPr>
              <w:t>Disadvantages</w:t>
            </w:r>
          </w:p>
        </w:tc>
      </w:tr>
      <w:tr w:rsidR="003D3AF6" w:rsidRPr="003D3AF6" w:rsidTr="00D6403C">
        <w:trPr>
          <w:cantSplit w:val="0"/>
        </w:trPr>
        <w:tc>
          <w:tcPr>
            <w:tcW w:w="2551" w:type="pct"/>
          </w:tcPr>
          <w:p w:rsidR="003D3AF6" w:rsidRPr="003D3AF6" w:rsidRDefault="003D3AF6" w:rsidP="003D3AF6">
            <w:pPr>
              <w:pStyle w:val="Numberedpara3level1"/>
              <w:numPr>
                <w:ilvl w:val="0"/>
                <w:numId w:val="15"/>
              </w:numPr>
              <w:spacing w:before="60" w:after="60"/>
              <w:ind w:left="584" w:hanging="357"/>
              <w:rPr>
                <w:sz w:val="22"/>
                <w:szCs w:val="22"/>
              </w:rPr>
            </w:pPr>
            <w:r w:rsidRPr="003D3AF6">
              <w:rPr>
                <w:sz w:val="22"/>
                <w:szCs w:val="22"/>
              </w:rPr>
              <w:t>Provides an incentive for venue operators to carry out their harm-related activities</w:t>
            </w:r>
          </w:p>
          <w:p w:rsidR="003D3AF6" w:rsidRPr="003D3AF6" w:rsidRDefault="003D3AF6" w:rsidP="003D3AF6">
            <w:pPr>
              <w:pStyle w:val="Numberedpara3level1"/>
              <w:numPr>
                <w:ilvl w:val="0"/>
                <w:numId w:val="15"/>
              </w:numPr>
              <w:spacing w:before="60" w:after="60"/>
              <w:ind w:left="584" w:hanging="357"/>
              <w:rPr>
                <w:sz w:val="22"/>
                <w:szCs w:val="22"/>
              </w:rPr>
            </w:pPr>
            <w:r w:rsidRPr="003D3AF6">
              <w:rPr>
                <w:sz w:val="22"/>
                <w:szCs w:val="22"/>
              </w:rPr>
              <w:t>Harm minimisati</w:t>
            </w:r>
            <w:r>
              <w:rPr>
                <w:sz w:val="22"/>
                <w:szCs w:val="22"/>
              </w:rPr>
              <w:t xml:space="preserve">on activity would be able to be </w:t>
            </w:r>
            <w:r w:rsidRPr="003D3AF6">
              <w:rPr>
                <w:sz w:val="22"/>
                <w:szCs w:val="22"/>
              </w:rPr>
              <w:t>increased in proportion to the level of gambling spend occurring at a venue</w:t>
            </w:r>
          </w:p>
          <w:p w:rsidR="003D3AF6" w:rsidRPr="003D3AF6" w:rsidRDefault="003D3AF6" w:rsidP="003D3AF6">
            <w:pPr>
              <w:pStyle w:val="Numberedpara3level1"/>
              <w:numPr>
                <w:ilvl w:val="0"/>
                <w:numId w:val="0"/>
              </w:numPr>
              <w:spacing w:before="60" w:after="60"/>
              <w:rPr>
                <w:rFonts w:asciiTheme="minorHAnsi" w:hAnsiTheme="minorHAnsi"/>
                <w:sz w:val="22"/>
                <w:szCs w:val="22"/>
              </w:rPr>
            </w:pPr>
          </w:p>
        </w:tc>
        <w:tc>
          <w:tcPr>
            <w:tcW w:w="2449" w:type="pct"/>
          </w:tcPr>
          <w:p w:rsidR="003D3AF6" w:rsidRDefault="003D3AF6" w:rsidP="003D3AF6">
            <w:pPr>
              <w:pStyle w:val="Numberedpara3level1"/>
              <w:numPr>
                <w:ilvl w:val="0"/>
                <w:numId w:val="15"/>
              </w:numPr>
              <w:spacing w:before="60" w:after="60"/>
              <w:ind w:left="584" w:hanging="357"/>
              <w:rPr>
                <w:sz w:val="22"/>
                <w:szCs w:val="22"/>
              </w:rPr>
            </w:pPr>
            <w:r w:rsidRPr="003D3AF6">
              <w:rPr>
                <w:sz w:val="22"/>
                <w:szCs w:val="22"/>
              </w:rPr>
              <w:lastRenderedPageBreak/>
              <w:t>A ‘ring fencing’ approach re-introduces a focus on input</w:t>
            </w:r>
            <w:r>
              <w:rPr>
                <w:sz w:val="22"/>
                <w:szCs w:val="22"/>
              </w:rPr>
              <w:t>s</w:t>
            </w:r>
            <w:r w:rsidRPr="003D3AF6">
              <w:rPr>
                <w:sz w:val="22"/>
                <w:szCs w:val="22"/>
              </w:rPr>
              <w:t xml:space="preserve"> instead of outcomes </w:t>
            </w:r>
          </w:p>
          <w:p w:rsidR="003D3AF6" w:rsidRDefault="003D3AF6" w:rsidP="003D3AF6">
            <w:pPr>
              <w:pStyle w:val="Numberedpara3level1"/>
              <w:numPr>
                <w:ilvl w:val="0"/>
                <w:numId w:val="15"/>
              </w:numPr>
              <w:spacing w:before="60" w:after="60"/>
              <w:ind w:left="584" w:hanging="357"/>
              <w:rPr>
                <w:sz w:val="22"/>
                <w:szCs w:val="22"/>
              </w:rPr>
            </w:pPr>
            <w:r>
              <w:rPr>
                <w:sz w:val="22"/>
                <w:szCs w:val="22"/>
              </w:rPr>
              <w:t>It r</w:t>
            </w:r>
            <w:r w:rsidRPr="003D3AF6">
              <w:rPr>
                <w:sz w:val="22"/>
                <w:szCs w:val="22"/>
              </w:rPr>
              <w:t>eintroduces a prescriptive</w:t>
            </w:r>
            <w:r>
              <w:rPr>
                <w:sz w:val="22"/>
                <w:szCs w:val="22"/>
              </w:rPr>
              <w:t xml:space="preserve"> </w:t>
            </w:r>
            <w:r w:rsidRPr="003D3AF6">
              <w:rPr>
                <w:sz w:val="22"/>
                <w:szCs w:val="22"/>
              </w:rPr>
              <w:t>/enforcement focused app</w:t>
            </w:r>
            <w:r>
              <w:rPr>
                <w:sz w:val="22"/>
                <w:szCs w:val="22"/>
              </w:rPr>
              <w:t>roach</w:t>
            </w:r>
            <w:r w:rsidRPr="003D3AF6">
              <w:rPr>
                <w:sz w:val="22"/>
                <w:szCs w:val="22"/>
              </w:rPr>
              <w:t xml:space="preserve"> </w:t>
            </w:r>
          </w:p>
          <w:p w:rsidR="003D3AF6" w:rsidRDefault="003D3AF6" w:rsidP="003D3AF6">
            <w:pPr>
              <w:pStyle w:val="Numberedpara3level1"/>
              <w:numPr>
                <w:ilvl w:val="0"/>
                <w:numId w:val="15"/>
              </w:numPr>
              <w:spacing w:before="60" w:after="60"/>
              <w:ind w:left="584" w:hanging="357"/>
              <w:rPr>
                <w:sz w:val="22"/>
                <w:szCs w:val="22"/>
              </w:rPr>
            </w:pPr>
            <w:r>
              <w:rPr>
                <w:sz w:val="22"/>
                <w:szCs w:val="22"/>
              </w:rPr>
              <w:t>It w</w:t>
            </w:r>
            <w:r w:rsidRPr="003D3AF6">
              <w:rPr>
                <w:sz w:val="22"/>
                <w:szCs w:val="22"/>
              </w:rPr>
              <w:t xml:space="preserve">ould be difficult to monitor and </w:t>
            </w:r>
            <w:r w:rsidRPr="003D3AF6">
              <w:rPr>
                <w:sz w:val="22"/>
                <w:szCs w:val="22"/>
              </w:rPr>
              <w:lastRenderedPageBreak/>
              <w:t xml:space="preserve">enforce </w:t>
            </w:r>
            <w:r w:rsidR="00887FD6">
              <w:rPr>
                <w:sz w:val="22"/>
                <w:szCs w:val="22"/>
              </w:rPr>
              <w:t>because the regulator would need to implement processes and systems to determine if the required proportion of funds were being spent on harm minimisation activities and not other tasks</w:t>
            </w:r>
          </w:p>
          <w:p w:rsidR="003D3AF6" w:rsidRPr="003D3AF6" w:rsidRDefault="003D3AF6" w:rsidP="003D3AF6">
            <w:pPr>
              <w:pStyle w:val="Numberedpara3level1"/>
              <w:numPr>
                <w:ilvl w:val="0"/>
                <w:numId w:val="15"/>
              </w:numPr>
              <w:spacing w:before="60" w:after="60"/>
              <w:ind w:left="584" w:hanging="357"/>
              <w:rPr>
                <w:rFonts w:asciiTheme="minorHAnsi" w:hAnsiTheme="minorHAnsi"/>
                <w:sz w:val="22"/>
                <w:szCs w:val="22"/>
              </w:rPr>
            </w:pPr>
            <w:r w:rsidRPr="003D3AF6">
              <w:rPr>
                <w:sz w:val="22"/>
                <w:szCs w:val="22"/>
              </w:rPr>
              <w:t>Fiscal costs to the Department would be significant</w:t>
            </w:r>
            <w:r w:rsidR="00887FD6">
              <w:rPr>
                <w:sz w:val="22"/>
                <w:szCs w:val="22"/>
              </w:rPr>
              <w:t xml:space="preserve"> because of the complexity of monitoring and enforcement</w:t>
            </w:r>
          </w:p>
        </w:tc>
      </w:tr>
    </w:tbl>
    <w:p w:rsidR="003D6740" w:rsidRPr="003D6740" w:rsidRDefault="003D6740" w:rsidP="003D6740">
      <w:pPr>
        <w:pStyle w:val="Numberedpara3level1"/>
      </w:pPr>
      <w:r w:rsidRPr="003D6740">
        <w:lastRenderedPageBreak/>
        <w:t xml:space="preserve">As agreed by all </w:t>
      </w:r>
      <w:r w:rsidR="007C0F7A">
        <w:t>working</w:t>
      </w:r>
      <w:r w:rsidRPr="003D6740">
        <w:t xml:space="preserve"> group members, other harm minimisation commitments could include:</w:t>
      </w:r>
    </w:p>
    <w:p w:rsidR="003D6740" w:rsidRPr="00DD57E1" w:rsidRDefault="003D6740" w:rsidP="00E4305C">
      <w:pPr>
        <w:pStyle w:val="ListParagraph"/>
        <w:numPr>
          <w:ilvl w:val="0"/>
          <w:numId w:val="15"/>
        </w:numPr>
        <w:spacing w:before="0" w:after="120"/>
      </w:pPr>
      <w:r w:rsidRPr="00DD57E1">
        <w:t>the Department’s staffing resource could be shifted from approving ARN and venue payments (which would no longer be required under a commission-based payment) and transferred to harm prevention work;</w:t>
      </w:r>
    </w:p>
    <w:p w:rsidR="003D6740" w:rsidRPr="00DD57E1" w:rsidRDefault="003D6740" w:rsidP="00E4305C">
      <w:pPr>
        <w:pStyle w:val="ListParagraph"/>
        <w:numPr>
          <w:ilvl w:val="0"/>
          <w:numId w:val="15"/>
        </w:numPr>
        <w:spacing w:before="0" w:after="120"/>
      </w:pPr>
      <w:r w:rsidRPr="00DD57E1">
        <w:t>the development of best practice guidelines on the percentage of funds/staffing that venues should commit to harm minimisation (if a mandated percentage of funds for this purpose is not progressed as per the recommendation proposed by the problem gambling service providers, as above);</w:t>
      </w:r>
    </w:p>
    <w:p w:rsidR="003D6740" w:rsidRDefault="003D6740" w:rsidP="00E4305C">
      <w:pPr>
        <w:pStyle w:val="ListParagraph"/>
        <w:numPr>
          <w:ilvl w:val="0"/>
          <w:numId w:val="15"/>
        </w:numPr>
        <w:spacing w:before="0" w:after="120"/>
      </w:pPr>
      <w:r w:rsidRPr="00DD57E1">
        <w:t xml:space="preserve">when determining which societies are eligible for a three-year licence, the extent to which harm minimisation features in their venues could be one of the criteria for being considered a good candidate for this high trust/low compliance approach; </w:t>
      </w:r>
    </w:p>
    <w:p w:rsidR="003D6740" w:rsidRPr="00DD57E1" w:rsidRDefault="003D6740" w:rsidP="00E4305C">
      <w:pPr>
        <w:pStyle w:val="ListParagraph"/>
        <w:numPr>
          <w:ilvl w:val="0"/>
          <w:numId w:val="15"/>
        </w:numPr>
        <w:spacing w:before="0" w:after="120"/>
      </w:pPr>
      <w:r w:rsidRPr="00DD57E1">
        <w:t>a ‘three strikes and you are out’ policy be adopted for venue operators that do not fulfil their harm preventio</w:t>
      </w:r>
      <w:r>
        <w:t xml:space="preserve">n and minimisation obligations; </w:t>
      </w:r>
      <w:r w:rsidRPr="00DD57E1">
        <w:t>and</w:t>
      </w:r>
    </w:p>
    <w:p w:rsidR="003D6740" w:rsidRPr="00DD57E1" w:rsidRDefault="003D6740" w:rsidP="00E4305C">
      <w:pPr>
        <w:pStyle w:val="ListParagraph"/>
        <w:numPr>
          <w:ilvl w:val="0"/>
          <w:numId w:val="15"/>
        </w:numPr>
        <w:spacing w:before="0" w:after="120"/>
      </w:pPr>
      <w:r w:rsidRPr="00DD57E1">
        <w:t>more interaction between societies, venue operators and problem gambling services providers (perhaps regular quarterly meetings of the same focus group members).</w:t>
      </w:r>
    </w:p>
    <w:p w:rsidR="009B397F" w:rsidRDefault="009B397F" w:rsidP="00816417">
      <w:pPr>
        <w:pStyle w:val="Numberedpara3level1"/>
      </w:pPr>
      <w:r w:rsidRPr="003D6740">
        <w:t>The</w:t>
      </w:r>
      <w:r>
        <w:t xml:space="preserve">se </w:t>
      </w:r>
      <w:r w:rsidR="00E54DE9">
        <w:t xml:space="preserve">operational </w:t>
      </w:r>
      <w:r>
        <w:t xml:space="preserve">matters </w:t>
      </w:r>
      <w:r w:rsidR="007A579C">
        <w:t>are being</w:t>
      </w:r>
      <w:r w:rsidR="00E54DE9">
        <w:t xml:space="preserve"> considered by the </w:t>
      </w:r>
      <w:r w:rsidRPr="003D6740">
        <w:t xml:space="preserve">Department </w:t>
      </w:r>
      <w:r w:rsidR="007A579C">
        <w:t>as part of a review of its operating model</w:t>
      </w:r>
      <w:r w:rsidR="00D61242">
        <w:t xml:space="preserve">. </w:t>
      </w:r>
    </w:p>
    <w:p w:rsidR="00CC7280" w:rsidRDefault="0070539A" w:rsidP="00CC7280">
      <w:pPr>
        <w:pStyle w:val="Heading3"/>
      </w:pPr>
      <w:bookmarkStart w:id="128" w:name="_Toc448240249"/>
      <w:bookmarkStart w:id="129" w:name="_Toc448499780"/>
      <w:r>
        <w:t>C</w:t>
      </w:r>
      <w:r w:rsidR="00CC7280">
        <w:t>onsultation with Crown agencies</w:t>
      </w:r>
      <w:bookmarkEnd w:id="128"/>
      <w:bookmarkEnd w:id="129"/>
    </w:p>
    <w:p w:rsidR="004B7403" w:rsidRDefault="004B7403" w:rsidP="004B7403">
      <w:pPr>
        <w:pStyle w:val="Numberedpara3level1"/>
        <w:keepLines/>
      </w:pPr>
      <w:r w:rsidRPr="00BD62D4">
        <w:t>The Treasury, Ministries of Health, Business, Innovation and Employment, Ministr</w:t>
      </w:r>
      <w:r>
        <w:t>ies</w:t>
      </w:r>
      <w:r w:rsidRPr="00BD62D4">
        <w:t xml:space="preserve"> for Pacific Peoples, Women</w:t>
      </w:r>
      <w:r>
        <w:t>,</w:t>
      </w:r>
      <w:r w:rsidRPr="00BD62D4">
        <w:t xml:space="preserve"> and Culture and Heritage, Te Puni Kōkiri, and Sport New Zealand, have been consulted on this </w:t>
      </w:r>
      <w:r w:rsidR="00BA4053">
        <w:t>RIS</w:t>
      </w:r>
      <w:r w:rsidRPr="00BD62D4">
        <w:t>. The Department of the Prime Minister and Cabinet has been informed.</w:t>
      </w:r>
    </w:p>
    <w:p w:rsidR="000469BE" w:rsidRDefault="008D5CD9" w:rsidP="00523305">
      <w:pPr>
        <w:pStyle w:val="Heading2"/>
      </w:pPr>
      <w:bookmarkStart w:id="130" w:name="_Toc448240250"/>
      <w:bookmarkStart w:id="131" w:name="_Toc448499781"/>
      <w:r w:rsidRPr="00590CA9">
        <w:t>Conclusion</w:t>
      </w:r>
      <w:bookmarkEnd w:id="113"/>
      <w:bookmarkEnd w:id="114"/>
      <w:bookmarkEnd w:id="115"/>
      <w:bookmarkEnd w:id="116"/>
      <w:bookmarkEnd w:id="117"/>
      <w:bookmarkEnd w:id="118"/>
      <w:bookmarkEnd w:id="119"/>
      <w:bookmarkEnd w:id="120"/>
      <w:bookmarkEnd w:id="121"/>
      <w:bookmarkEnd w:id="122"/>
      <w:bookmarkEnd w:id="123"/>
      <w:bookmarkEnd w:id="130"/>
      <w:bookmarkEnd w:id="131"/>
    </w:p>
    <w:p w:rsidR="00AC018E" w:rsidRDefault="002B0795" w:rsidP="00AC018E">
      <w:pPr>
        <w:pStyle w:val="Numberedpara3level1"/>
      </w:pPr>
      <w:r>
        <w:t xml:space="preserve">This RIS </w:t>
      </w:r>
      <w:r w:rsidRPr="007D525B">
        <w:t xml:space="preserve">provides an analysis of </w:t>
      </w:r>
      <w:r>
        <w:t xml:space="preserve">options for how </w:t>
      </w:r>
      <w:r w:rsidR="001C006A">
        <w:t xml:space="preserve">class </w:t>
      </w:r>
      <w:r w:rsidRPr="007D525B">
        <w:t xml:space="preserve">4 </w:t>
      </w:r>
      <w:r>
        <w:t xml:space="preserve">commercial </w:t>
      </w:r>
      <w:r w:rsidRPr="007D525B">
        <w:t>gambling</w:t>
      </w:r>
      <w:r>
        <w:t xml:space="preserve"> venues could be paid for the costs of hosting gaming machines in their premises compared to the status quo. </w:t>
      </w:r>
    </w:p>
    <w:p w:rsidR="00AC018E" w:rsidRPr="007569A8" w:rsidRDefault="00AC018E" w:rsidP="00AC018E">
      <w:pPr>
        <w:pStyle w:val="Numberedpara3level1"/>
      </w:pPr>
      <w:r>
        <w:t xml:space="preserve">The analysis has been undertaken at the same time as Cabinet has been considering a broader review of the class 4 gambling sector to determine if it remains fit-for-purpose. A new regime will be successful if it contributes to the outcome sought for </w:t>
      </w:r>
      <w:r>
        <w:lastRenderedPageBreak/>
        <w:t>the wider class 4 gambling reform, which is for class 4 gambling to have a low cost, risk based regulatory framework that ensures sustainable fund-raising for the community.</w:t>
      </w:r>
    </w:p>
    <w:p w:rsidR="000469BE" w:rsidRDefault="001D0488" w:rsidP="00FE15DE">
      <w:pPr>
        <w:pStyle w:val="Numberedpara3level1"/>
      </w:pPr>
      <w:r>
        <w:t>T</w:t>
      </w:r>
      <w:r w:rsidR="00FE15DE">
        <w:t xml:space="preserve">he Department recommends </w:t>
      </w:r>
      <w:r w:rsidR="009332BF">
        <w:t xml:space="preserve">that </w:t>
      </w:r>
      <w:r w:rsidR="000469BE">
        <w:t>the new venue payments regime be:</w:t>
      </w:r>
    </w:p>
    <w:p w:rsidR="000469BE" w:rsidRDefault="000469BE" w:rsidP="000469BE">
      <w:pPr>
        <w:pStyle w:val="Numberedpara3level211"/>
        <w:ind w:left="1134" w:hanging="567"/>
      </w:pPr>
      <w:r w:rsidRPr="00DD57E1">
        <w:t>commission-based</w:t>
      </w:r>
      <w:r>
        <w:t>;</w:t>
      </w:r>
      <w:r w:rsidR="009332BF">
        <w:t xml:space="preserve"> and</w:t>
      </w:r>
    </w:p>
    <w:p w:rsidR="000469BE" w:rsidRDefault="000469BE" w:rsidP="009332BF">
      <w:pPr>
        <w:pStyle w:val="Numberedpara3level211"/>
        <w:ind w:left="1134" w:hanging="567"/>
      </w:pPr>
      <w:r w:rsidRPr="00DD57E1">
        <w:t xml:space="preserve">calculated </w:t>
      </w:r>
      <w:r w:rsidR="00A4685C">
        <w:t>up to</w:t>
      </w:r>
      <w:r w:rsidRPr="00DD57E1">
        <w:t xml:space="preserve"> </w:t>
      </w:r>
      <w:r w:rsidRPr="00A03935">
        <w:t>1.2</w:t>
      </w:r>
      <w:r w:rsidR="00143DFE">
        <w:t>8</w:t>
      </w:r>
      <w:r w:rsidR="00D61242">
        <w:t xml:space="preserve"> per cent</w:t>
      </w:r>
      <w:r w:rsidRPr="00A03935">
        <w:t xml:space="preserve"> of weekly</w:t>
      </w:r>
      <w:r w:rsidR="00F86D13">
        <w:t xml:space="preserve"> turnover, </w:t>
      </w:r>
      <w:r w:rsidR="00A03935">
        <w:t>not exceeding 16</w:t>
      </w:r>
      <w:r w:rsidR="00D61242">
        <w:t xml:space="preserve"> per cent</w:t>
      </w:r>
      <w:r w:rsidR="00A03935">
        <w:t xml:space="preserve"> of GMP</w:t>
      </w:r>
      <w:r w:rsidR="007C0F7A">
        <w:t xml:space="preserve"> excluding GST</w:t>
      </w:r>
      <w:r w:rsidR="00346356">
        <w:t>,</w:t>
      </w:r>
      <w:r w:rsidR="00A03935">
        <w:t xml:space="preserve"> </w:t>
      </w:r>
      <w:r w:rsidR="00A03935" w:rsidRPr="00F86D13">
        <w:t>on a</w:t>
      </w:r>
      <w:r w:rsidR="00AF6C5B">
        <w:t>n</w:t>
      </w:r>
      <w:r w:rsidR="00F86D13" w:rsidRPr="00F86D13">
        <w:t xml:space="preserve"> </w:t>
      </w:r>
      <w:r w:rsidR="00A03935" w:rsidRPr="00F86D13">
        <w:t>annual basis</w:t>
      </w:r>
      <w:r w:rsidR="00F86D13">
        <w:t xml:space="preserve">, </w:t>
      </w:r>
      <w:r w:rsidR="00A4685C">
        <w:t>per</w:t>
      </w:r>
      <w:r w:rsidR="00F86D13">
        <w:t xml:space="preserve"> venue</w:t>
      </w:r>
      <w:r w:rsidR="009332BF">
        <w:t>.</w:t>
      </w:r>
    </w:p>
    <w:p w:rsidR="002C536D" w:rsidRDefault="004717D6" w:rsidP="001D0488">
      <w:pPr>
        <w:pStyle w:val="Numberedpara3level1"/>
      </w:pPr>
      <w:r>
        <w:t xml:space="preserve">This </w:t>
      </w:r>
      <w:r w:rsidR="00346356">
        <w:t>option is th</w:t>
      </w:r>
      <w:r w:rsidR="001D0488">
        <w:t>e simplest to comply with</w:t>
      </w:r>
      <w:r w:rsidR="00346356">
        <w:t>,</w:t>
      </w:r>
      <w:r w:rsidR="001D0488">
        <w:t xml:space="preserve"> which will significantly reduce the costs associated with the status quo. </w:t>
      </w:r>
      <w:r w:rsidR="00346356">
        <w:t>This option will also ensure that r</w:t>
      </w:r>
      <w:r w:rsidR="00F25BA0">
        <w:t>eturns to the community will be maximised.</w:t>
      </w:r>
    </w:p>
    <w:p w:rsidR="00F86D13" w:rsidRDefault="001B2466" w:rsidP="001D0488">
      <w:pPr>
        <w:pStyle w:val="Numberedpara3level1"/>
      </w:pPr>
      <w:r>
        <w:t>Nevertheless, t</w:t>
      </w:r>
      <w:r w:rsidR="001D0488">
        <w:t xml:space="preserve">he </w:t>
      </w:r>
      <w:r w:rsidR="004D7A5F">
        <w:t>new commission-based regime</w:t>
      </w:r>
      <w:r w:rsidR="00CD0237">
        <w:t xml:space="preserve"> </w:t>
      </w:r>
      <w:r w:rsidR="001D0488">
        <w:t xml:space="preserve">will affect the behaviour of venue operators and their staff. </w:t>
      </w:r>
      <w:r w:rsidR="00CD0237">
        <w:t>There is a risk that it</w:t>
      </w:r>
      <w:r w:rsidR="001D0488">
        <w:t xml:space="preserve"> may incentivise venue operators to diminish or ignore their responsibilities with respect to</w:t>
      </w:r>
      <w:r w:rsidR="002C536D">
        <w:t xml:space="preserve"> the prevention and </w:t>
      </w:r>
      <w:r w:rsidR="001D0488">
        <w:t>minimisation</w:t>
      </w:r>
      <w:r w:rsidR="002C536D">
        <w:t xml:space="preserve"> of gambling harm</w:t>
      </w:r>
      <w:r w:rsidR="001D0488">
        <w:t xml:space="preserve">. </w:t>
      </w:r>
      <w:r w:rsidR="002C536D">
        <w:t>Conversely venues will be adequately funded to provide sufficient resources to increase supervision and better manage the gaming environment</w:t>
      </w:r>
      <w:r w:rsidR="00CD0237">
        <w:t xml:space="preserve"> because </w:t>
      </w:r>
      <w:r w:rsidR="00D62B49">
        <w:t xml:space="preserve">payments for undertaking </w:t>
      </w:r>
      <w:r w:rsidR="00CD0237">
        <w:t xml:space="preserve">harm minimisation </w:t>
      </w:r>
      <w:r w:rsidR="00D62B49">
        <w:t>will no longer be limited to a finite number of tasks</w:t>
      </w:r>
      <w:r w:rsidR="00CD0237">
        <w:t>.</w:t>
      </w:r>
    </w:p>
    <w:p w:rsidR="002C536D" w:rsidRDefault="002C536D" w:rsidP="001D0488">
      <w:pPr>
        <w:pStyle w:val="Numberedpara3level1"/>
      </w:pPr>
      <w:r>
        <w:t xml:space="preserve">The Department will </w:t>
      </w:r>
      <w:r w:rsidR="00D82025">
        <w:t xml:space="preserve">continue </w:t>
      </w:r>
      <w:r w:rsidR="007F4948">
        <w:t xml:space="preserve">to </w:t>
      </w:r>
      <w:r>
        <w:t xml:space="preserve">monitor the sector’s </w:t>
      </w:r>
      <w:r w:rsidR="007F4948">
        <w:t xml:space="preserve">prevention and minimisation of gambling harm regulatory </w:t>
      </w:r>
      <w:r>
        <w:t>obligations</w:t>
      </w:r>
      <w:r w:rsidR="007F4948">
        <w:t xml:space="preserve"> (through venue audits, mystery shopper exercises and other activities)</w:t>
      </w:r>
      <w:r>
        <w:t xml:space="preserve"> and keep a watching brief on the Ministry of Health’s problem gambling statistics. Any unintended consequences of the new regime will be reported.</w:t>
      </w:r>
      <w:r w:rsidR="004D349B">
        <w:t xml:space="preserve"> If necessary, amendments to the venue payments regime</w:t>
      </w:r>
      <w:r w:rsidR="001737C6">
        <w:t xml:space="preserve"> (via regulations) </w:t>
      </w:r>
      <w:r w:rsidR="004D349B">
        <w:t>may be made</w:t>
      </w:r>
      <w:r w:rsidR="001737C6">
        <w:t xml:space="preserve"> to mitigate these.</w:t>
      </w:r>
    </w:p>
    <w:p w:rsidR="008D5CD9" w:rsidRPr="00590CA9" w:rsidRDefault="008D5CD9" w:rsidP="0088541D">
      <w:pPr>
        <w:pStyle w:val="Heading2"/>
      </w:pPr>
      <w:bookmarkStart w:id="132" w:name="_Toc244580368"/>
      <w:bookmarkStart w:id="133" w:name="_Toc244587044"/>
      <w:bookmarkStart w:id="134" w:name="_Toc244857278"/>
      <w:bookmarkStart w:id="135" w:name="_Toc244912543"/>
      <w:bookmarkStart w:id="136" w:name="_Toc244917000"/>
      <w:bookmarkStart w:id="137" w:name="_Toc448240251"/>
      <w:bookmarkStart w:id="138" w:name="_Toc448499782"/>
      <w:bookmarkStart w:id="139" w:name="_Toc362368109"/>
      <w:bookmarkStart w:id="140" w:name="_Toc362434950"/>
      <w:bookmarkStart w:id="141" w:name="_Toc362589336"/>
      <w:bookmarkStart w:id="142" w:name="_Toc362619036"/>
      <w:bookmarkStart w:id="143" w:name="_Toc362940600"/>
      <w:bookmarkStart w:id="144" w:name="_Toc363047108"/>
      <w:r w:rsidRPr="006301CE">
        <w:t>Implementation</w:t>
      </w:r>
      <w:bookmarkEnd w:id="132"/>
      <w:bookmarkEnd w:id="133"/>
      <w:bookmarkEnd w:id="134"/>
      <w:bookmarkEnd w:id="135"/>
      <w:bookmarkEnd w:id="136"/>
      <w:bookmarkEnd w:id="137"/>
      <w:bookmarkEnd w:id="138"/>
      <w:r w:rsidRPr="006301CE">
        <w:t xml:space="preserve"> </w:t>
      </w:r>
      <w:bookmarkEnd w:id="139"/>
      <w:bookmarkEnd w:id="140"/>
      <w:bookmarkEnd w:id="141"/>
      <w:bookmarkEnd w:id="142"/>
      <w:bookmarkEnd w:id="143"/>
      <w:bookmarkEnd w:id="144"/>
    </w:p>
    <w:p w:rsidR="00F90F6C" w:rsidRDefault="00F90F6C" w:rsidP="003335CA">
      <w:pPr>
        <w:pStyle w:val="Heading3"/>
      </w:pPr>
      <w:bookmarkStart w:id="145" w:name="_Toc448240252"/>
      <w:bookmarkStart w:id="146" w:name="_Toc448499783"/>
      <w:r>
        <w:t>Implementation issues</w:t>
      </w:r>
      <w:bookmarkEnd w:id="145"/>
      <w:bookmarkEnd w:id="146"/>
    </w:p>
    <w:p w:rsidR="00820A87" w:rsidRDefault="00820A87" w:rsidP="00820A87">
      <w:pPr>
        <w:pStyle w:val="Heading4"/>
      </w:pPr>
      <w:r>
        <w:t>Accuracy of payments</w:t>
      </w:r>
    </w:p>
    <w:p w:rsidR="006E606B" w:rsidRDefault="006E606B" w:rsidP="006E606B">
      <w:pPr>
        <w:pStyle w:val="Numberedpara3level1"/>
      </w:pPr>
      <w:r>
        <w:t>Payment amounts will be calculated on a weekly basis; however societies may make payments weekly, fortnightly, monthly or some other period as determined between the society and the venue. The Department provides weekly Electronic Monitoring System (EMS) reports to societies which set out the turnover for each venue.</w:t>
      </w:r>
    </w:p>
    <w:p w:rsidR="00690D9A" w:rsidRDefault="00BE2AD4" w:rsidP="005F792C">
      <w:pPr>
        <w:pStyle w:val="Numberedpara3level1"/>
      </w:pPr>
      <w:r>
        <w:t>A key feature of the new regime is ensuring</w:t>
      </w:r>
      <w:r w:rsidR="005F792C">
        <w:t xml:space="preserve"> that venue payments are kept within </w:t>
      </w:r>
      <w:r w:rsidR="004168A5">
        <w:t xml:space="preserve">the </w:t>
      </w:r>
      <w:r w:rsidR="005F792C">
        <w:t>16</w:t>
      </w:r>
      <w:r w:rsidR="00302909">
        <w:t xml:space="preserve"> per cent</w:t>
      </w:r>
      <w:r w:rsidR="004168A5">
        <w:t xml:space="preserve"> GMP</w:t>
      </w:r>
      <w:r w:rsidR="005F792C">
        <w:t xml:space="preserve"> annual limit</w:t>
      </w:r>
      <w:r w:rsidR="00EC647E">
        <w:t xml:space="preserve"> at each </w:t>
      </w:r>
      <w:r w:rsidR="00061004">
        <w:t>society’s</w:t>
      </w:r>
      <w:r w:rsidR="00EC647E">
        <w:t xml:space="preserve"> financial year balance date (noting that these vary across societies). P</w:t>
      </w:r>
      <w:r w:rsidR="005F792C">
        <w:t xml:space="preserve">rocesses </w:t>
      </w:r>
      <w:r w:rsidR="00EC647E">
        <w:t xml:space="preserve">will need </w:t>
      </w:r>
      <w:r w:rsidR="005F792C">
        <w:t>to be in place to deal with part year payments</w:t>
      </w:r>
      <w:r w:rsidR="00690D9A">
        <w:t xml:space="preserve"> in situations such as:</w:t>
      </w:r>
    </w:p>
    <w:p w:rsidR="005F792C" w:rsidRDefault="001737C6" w:rsidP="00690D9A">
      <w:pPr>
        <w:pStyle w:val="Numberedpara3level211"/>
        <w:ind w:left="1134" w:hanging="567"/>
      </w:pPr>
      <w:r>
        <w:t>where a venue switches society part way through a financial year</w:t>
      </w:r>
      <w:r w:rsidR="00690D9A">
        <w:t>;</w:t>
      </w:r>
    </w:p>
    <w:p w:rsidR="00690D9A" w:rsidRDefault="00690D9A" w:rsidP="00690D9A">
      <w:pPr>
        <w:pStyle w:val="Numberedpara3level211"/>
        <w:ind w:left="1134" w:hanging="567"/>
      </w:pPr>
      <w:r>
        <w:t>where a venue’s licence is suspended or cancelled part way through a financial year; or</w:t>
      </w:r>
    </w:p>
    <w:p w:rsidR="00690D9A" w:rsidRDefault="00690D9A" w:rsidP="00690D9A">
      <w:pPr>
        <w:pStyle w:val="Numberedpara3level211"/>
        <w:ind w:left="1134" w:hanging="567"/>
      </w:pPr>
      <w:r>
        <w:t>where a venue or a society ceases trading/closes part way through a financial year.</w:t>
      </w:r>
    </w:p>
    <w:p w:rsidR="00BE2AD4" w:rsidRDefault="00BE2AD4" w:rsidP="00BE2AD4">
      <w:pPr>
        <w:pStyle w:val="Numberedpara3level1"/>
      </w:pPr>
      <w:r>
        <w:lastRenderedPageBreak/>
        <w:t>The Department, in conjunction with the working group, will prepare guidance materials for the sector on how to manage venue payments to avoid breaching the 16</w:t>
      </w:r>
      <w:r w:rsidR="00D61242">
        <w:t xml:space="preserve"> per cent</w:t>
      </w:r>
      <w:r>
        <w:t xml:space="preserve"> GMP annual limit, including those </w:t>
      </w:r>
      <w:r w:rsidR="00EC647E">
        <w:t>societies</w:t>
      </w:r>
      <w:r>
        <w:t xml:space="preserve"> whose </w:t>
      </w:r>
      <w:r w:rsidR="001737C6">
        <w:t xml:space="preserve">initial </w:t>
      </w:r>
      <w:r>
        <w:t>balance date falls before a full year’s payments have been</w:t>
      </w:r>
      <w:r w:rsidR="00302909">
        <w:t xml:space="preserve"> made. </w:t>
      </w:r>
    </w:p>
    <w:p w:rsidR="00BE2AD4" w:rsidRDefault="00BE2AD4" w:rsidP="00BE2AD4">
      <w:pPr>
        <w:pStyle w:val="Numberedpara3level1"/>
      </w:pPr>
      <w:r>
        <w:t>Any venues that do breach the limit at the end of their financial year</w:t>
      </w:r>
      <w:r w:rsidR="00690D9A">
        <w:t xml:space="preserve"> or part thereof</w:t>
      </w:r>
      <w:r>
        <w:t xml:space="preserve"> will</w:t>
      </w:r>
      <w:r w:rsidR="00690D9A">
        <w:t xml:space="preserve"> be subject to the Department’s current compliance and enforcement approach.</w:t>
      </w:r>
      <w:r w:rsidR="00EC647E">
        <w:t xml:space="preserve"> The Department will assess any breach situation on a case by case basis and take appropriate action depending on the individual circumstances.</w:t>
      </w:r>
    </w:p>
    <w:p w:rsidR="000A56AA" w:rsidRPr="00443DD8" w:rsidRDefault="00443DD8" w:rsidP="000722CE">
      <w:pPr>
        <w:pStyle w:val="Heading4"/>
      </w:pPr>
      <w:r w:rsidRPr="00443DD8">
        <w:t>Rollover of v</w:t>
      </w:r>
      <w:r w:rsidR="000A56AA" w:rsidRPr="00443DD8">
        <w:t>enue agreements</w:t>
      </w:r>
    </w:p>
    <w:p w:rsidR="00BE2AD4" w:rsidRDefault="006E37D0" w:rsidP="00BE2AD4">
      <w:pPr>
        <w:pStyle w:val="Numberedpara3level1"/>
      </w:pPr>
      <w:r>
        <w:t>O</w:t>
      </w:r>
      <w:r w:rsidR="00443DD8">
        <w:t>n the day of commencemen</w:t>
      </w:r>
      <w:r>
        <w:t>t of the new regulations, all venue agreements</w:t>
      </w:r>
      <w:r w:rsidR="00F66D45">
        <w:t xml:space="preserve"> that are in force</w:t>
      </w:r>
      <w:r>
        <w:t xml:space="preserve"> are deemed to be amended so as to make that agreement consistent with the new venue payments regime</w:t>
      </w:r>
      <w:r w:rsidR="00C438AE">
        <w:t xml:space="preserve"> (clause 3 of Schedule 1AA)</w:t>
      </w:r>
      <w:r>
        <w:t xml:space="preserve">. </w:t>
      </w:r>
      <w:r w:rsidR="00271EB9" w:rsidRPr="00443DD8">
        <w:t>This means i</w:t>
      </w:r>
      <w:r w:rsidR="000A56AA" w:rsidRPr="00443DD8">
        <w:t xml:space="preserve">t is not necessary </w:t>
      </w:r>
      <w:r w:rsidR="00271EB9" w:rsidRPr="00443DD8">
        <w:t xml:space="preserve">for societies to </w:t>
      </w:r>
      <w:r>
        <w:t>amend t</w:t>
      </w:r>
      <w:r w:rsidR="00271EB9" w:rsidRPr="00443DD8">
        <w:t xml:space="preserve">heir venue </w:t>
      </w:r>
      <w:r w:rsidR="000A56AA" w:rsidRPr="00443DD8">
        <w:t xml:space="preserve">agreements </w:t>
      </w:r>
      <w:r w:rsidR="00271EB9" w:rsidRPr="00443DD8">
        <w:t>as a part of the transition</w:t>
      </w:r>
      <w:r w:rsidR="00A20E0B">
        <w:t>.</w:t>
      </w:r>
      <w:r w:rsidR="00BE2AD4">
        <w:t xml:space="preserve"> Should societies choose to vary or amend their agreements, they must notify the Department under section 69(1)(b).</w:t>
      </w:r>
    </w:p>
    <w:p w:rsidR="00BE2AD4" w:rsidRDefault="00BE2AD4" w:rsidP="00BE2AD4">
      <w:pPr>
        <w:pStyle w:val="Numberedpara3level1"/>
      </w:pPr>
      <w:r>
        <w:t xml:space="preserve">However, given that most societies are likely to vary their venue agreements and considering the volume of variations and the resources required, the Department considers that it would be an acceptable course to simply approve the agreements as they arise in the course of licensing renewals and not require all variations to be resubmitted. There is little risk in this approach as the requirements of the regulations will override any contract to the contrary between societies and venues, so any payments contrary to the regulations could be dealt with through normal enforcement mechanisms. </w:t>
      </w:r>
    </w:p>
    <w:p w:rsidR="00014847" w:rsidRDefault="00014847" w:rsidP="00BE2AD4">
      <w:pPr>
        <w:pStyle w:val="Numberedpara3level1"/>
      </w:pPr>
      <w:r>
        <w:t xml:space="preserve">The Department considers that the new venue payments regime </w:t>
      </w:r>
      <w:r w:rsidR="005515A2">
        <w:t xml:space="preserve">also </w:t>
      </w:r>
      <w:r>
        <w:t>provides an opportunity to investigate standardising venue agreements, which the working group supports.</w:t>
      </w:r>
    </w:p>
    <w:p w:rsidR="000A56AA" w:rsidRPr="00443DD8" w:rsidRDefault="000A56AA" w:rsidP="000A56AA">
      <w:pPr>
        <w:pStyle w:val="Heading4"/>
      </w:pPr>
      <w:r w:rsidRPr="00443DD8">
        <w:t xml:space="preserve">Development, </w:t>
      </w:r>
      <w:r w:rsidR="009D4701" w:rsidRPr="00443DD8">
        <w:t>e</w:t>
      </w:r>
      <w:r w:rsidRPr="00443DD8">
        <w:t xml:space="preserve">nhancement and </w:t>
      </w:r>
      <w:r w:rsidR="009D4701" w:rsidRPr="00443DD8">
        <w:t>m</w:t>
      </w:r>
      <w:r w:rsidRPr="00443DD8">
        <w:t xml:space="preserve">aintenance (DEM) </w:t>
      </w:r>
      <w:r w:rsidR="009D4701" w:rsidRPr="00443DD8">
        <w:t>c</w:t>
      </w:r>
      <w:r w:rsidRPr="00443DD8">
        <w:t>osts</w:t>
      </w:r>
    </w:p>
    <w:p w:rsidR="007B5B9A" w:rsidRDefault="007B5B9A" w:rsidP="007B5B9A">
      <w:pPr>
        <w:pStyle w:val="Numberedpara3level1"/>
      </w:pPr>
      <w:r>
        <w:t>Under the new venue payments regime:</w:t>
      </w:r>
    </w:p>
    <w:p w:rsidR="007B5B9A" w:rsidRDefault="007B5B9A" w:rsidP="005515A2">
      <w:pPr>
        <w:pStyle w:val="ListParagraph"/>
        <w:numPr>
          <w:ilvl w:val="0"/>
          <w:numId w:val="15"/>
        </w:numPr>
        <w:spacing w:before="0" w:after="120"/>
      </w:pPr>
      <w:r>
        <w:t>all DEM costs will remain as venue costs;</w:t>
      </w:r>
    </w:p>
    <w:p w:rsidR="007B5B9A" w:rsidRDefault="007B5B9A" w:rsidP="005515A2">
      <w:pPr>
        <w:pStyle w:val="ListParagraph"/>
        <w:numPr>
          <w:ilvl w:val="0"/>
          <w:numId w:val="15"/>
        </w:numPr>
        <w:spacing w:before="0" w:after="120"/>
      </w:pPr>
      <w:r>
        <w:t>societies will no longer pay for capital expenses in venues;</w:t>
      </w:r>
    </w:p>
    <w:p w:rsidR="007B5B9A" w:rsidRPr="009F4079" w:rsidRDefault="007B5B9A" w:rsidP="005515A2">
      <w:pPr>
        <w:pStyle w:val="ListParagraph"/>
        <w:numPr>
          <w:ilvl w:val="0"/>
          <w:numId w:val="15"/>
        </w:numPr>
        <w:spacing w:before="0" w:after="120"/>
      </w:pPr>
      <w:r>
        <w:t xml:space="preserve"> all capital expenditure incurred at the venue will be covered by venues (with the exception of air-conditioning units and other capital items already accepted by the Department as legitimate society costs);</w:t>
      </w:r>
    </w:p>
    <w:p w:rsidR="007B5B9A" w:rsidRDefault="007B5B9A" w:rsidP="005515A2">
      <w:pPr>
        <w:pStyle w:val="ListParagraph"/>
        <w:numPr>
          <w:ilvl w:val="0"/>
          <w:numId w:val="15"/>
        </w:numPr>
        <w:spacing w:before="0" w:after="120"/>
      </w:pPr>
      <w:r>
        <w:t>venues could decide whether they treat maintenance as operating expenses (netted against income through tax requirements) or capital expenditure (with depreciation claimed); and</w:t>
      </w:r>
    </w:p>
    <w:p w:rsidR="007B5B9A" w:rsidRDefault="007B5B9A" w:rsidP="005515A2">
      <w:pPr>
        <w:pStyle w:val="ListParagraph"/>
        <w:numPr>
          <w:ilvl w:val="0"/>
          <w:numId w:val="15"/>
        </w:numPr>
        <w:spacing w:before="0" w:after="120"/>
      </w:pPr>
      <w:r>
        <w:t xml:space="preserve">current repayments from venues to societies for historical capital costs (which societies had paid upfront and recouped through weekly payments) will cease immediately with the new regime. These historical costs will need to be fully reimbursed before the new regulations take effect. The sector working group </w:t>
      </w:r>
      <w:r>
        <w:lastRenderedPageBreak/>
        <w:t xml:space="preserve">confirmed that very </w:t>
      </w:r>
      <w:r w:rsidR="00F25BA0">
        <w:t>few, if any</w:t>
      </w:r>
      <w:r w:rsidR="005515A2">
        <w:t>,</w:t>
      </w:r>
      <w:r>
        <w:t xml:space="preserve"> societies would have any outstanding DEM costs at the time of implementation.</w:t>
      </w:r>
    </w:p>
    <w:p w:rsidR="007B5B9A" w:rsidRDefault="007B5B9A" w:rsidP="007B5B9A">
      <w:pPr>
        <w:pStyle w:val="Numberedpara3level1"/>
      </w:pPr>
      <w:r>
        <w:t>There may be some venues that have purchased air conditioning units that will be unable to be fully reimbursed under Limit C prior to enactment. The Department will advise how DEM is to be reconciled prior to the implementation of the new regime.</w:t>
      </w:r>
    </w:p>
    <w:p w:rsidR="007B5B9A" w:rsidRPr="009F4079" w:rsidRDefault="007B5B9A" w:rsidP="007B5B9A">
      <w:pPr>
        <w:pStyle w:val="Numberedpara3level1"/>
      </w:pPr>
      <w:r w:rsidRPr="009F4079">
        <w:t>The terms of a venue agreement may need to change to specify a societ</w:t>
      </w:r>
      <w:r>
        <w:t>ies</w:t>
      </w:r>
      <w:r w:rsidRPr="009F4079">
        <w:t xml:space="preserve"> fit-out standards for the gaming room, since DEM costs would no longer apply. </w:t>
      </w:r>
    </w:p>
    <w:p w:rsidR="000457C7" w:rsidRDefault="00F90F6C" w:rsidP="000457C7">
      <w:pPr>
        <w:pStyle w:val="Heading3"/>
      </w:pPr>
      <w:bookmarkStart w:id="147" w:name="_Toc448240253"/>
      <w:bookmarkStart w:id="148" w:name="_Toc448499784"/>
      <w:r>
        <w:t xml:space="preserve">Implementation </w:t>
      </w:r>
      <w:r w:rsidR="00063CE5">
        <w:t>timeframe</w:t>
      </w:r>
      <w:bookmarkEnd w:id="147"/>
      <w:bookmarkEnd w:id="148"/>
    </w:p>
    <w:p w:rsidR="005515A2" w:rsidRPr="003B785E" w:rsidRDefault="005515A2" w:rsidP="005515A2">
      <w:pPr>
        <w:pStyle w:val="Numberedpara3level1"/>
        <w:keepLines/>
      </w:pPr>
      <w:r>
        <w:t>R</w:t>
      </w:r>
      <w:r w:rsidR="004F756C">
        <w:t>egulations will be enacted on 3 October 2016, to align with the majority of societies’ annual balance dates.</w:t>
      </w:r>
      <w:r w:rsidRPr="005515A2">
        <w:t xml:space="preserve"> </w:t>
      </w:r>
      <w:r>
        <w:t>This will require an Order in Council to bring the outstanding venue payment provisions in the Gambling Amendment Act (No 2) 2015 into effect.</w:t>
      </w:r>
    </w:p>
    <w:p w:rsidR="00BE2AD4" w:rsidRDefault="00BE2AD4" w:rsidP="00D83B0F">
      <w:pPr>
        <w:pStyle w:val="Heading4"/>
      </w:pPr>
      <w:r>
        <w:t>Key Steps</w:t>
      </w:r>
    </w:p>
    <w:p w:rsidR="00B46E19" w:rsidRDefault="00B46E19" w:rsidP="00B46E19">
      <w:pPr>
        <w:pStyle w:val="Numberedpara3level1"/>
      </w:pPr>
      <w:r>
        <w:t xml:space="preserve">Table </w:t>
      </w:r>
      <w:r w:rsidR="002217FA">
        <w:t>10</w:t>
      </w:r>
      <w:r>
        <w:t xml:space="preserve"> outlines an indicative implementation timeframe.</w:t>
      </w:r>
    </w:p>
    <w:p w:rsidR="00B46E19" w:rsidRPr="00412C0B" w:rsidRDefault="00EE0F61" w:rsidP="00B46E19">
      <w:pPr>
        <w:pStyle w:val="Numberedpara3level1"/>
        <w:numPr>
          <w:ilvl w:val="0"/>
          <w:numId w:val="0"/>
        </w:numPr>
        <w:rPr>
          <w:b/>
          <w:i/>
        </w:rPr>
      </w:pPr>
      <w:r>
        <w:rPr>
          <w:b/>
          <w:i/>
        </w:rPr>
        <w:t xml:space="preserve">Table </w:t>
      </w:r>
      <w:r w:rsidR="002217FA">
        <w:rPr>
          <w:b/>
          <w:i/>
        </w:rPr>
        <w:t>10</w:t>
      </w:r>
      <w:r w:rsidR="00B46E19">
        <w:rPr>
          <w:b/>
          <w:i/>
        </w:rPr>
        <w:t>: Indicative implementation timeframe</w:t>
      </w:r>
    </w:p>
    <w:tbl>
      <w:tblPr>
        <w:tblW w:w="0" w:type="auto"/>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6804"/>
        <w:gridCol w:w="2268"/>
      </w:tblGrid>
      <w:tr w:rsidR="00B46E19" w:rsidRPr="00D954A4" w:rsidTr="008E74B8">
        <w:trPr>
          <w:cantSplit/>
        </w:trPr>
        <w:tc>
          <w:tcPr>
            <w:tcW w:w="6804" w:type="dxa"/>
            <w:tcBorders>
              <w:top w:val="single" w:sz="6" w:space="0" w:color="1F546B"/>
              <w:left w:val="single" w:sz="12" w:space="0" w:color="1F546B"/>
              <w:bottom w:val="single" w:sz="12" w:space="0" w:color="1F546B"/>
              <w:right w:val="single" w:sz="6" w:space="0" w:color="FFFFFF"/>
              <w:tl2br w:val="nil"/>
              <w:tr2bl w:val="nil"/>
            </w:tcBorders>
            <w:shd w:val="clear" w:color="auto" w:fill="1F546B"/>
          </w:tcPr>
          <w:p w:rsidR="00B46E19" w:rsidRPr="00D954A4" w:rsidRDefault="00B46E19" w:rsidP="002217FA">
            <w:pPr>
              <w:spacing w:before="60" w:after="60"/>
              <w:rPr>
                <w:b/>
                <w:color w:val="FFFFFF"/>
                <w:sz w:val="22"/>
                <w:szCs w:val="22"/>
              </w:rPr>
            </w:pPr>
            <w:r w:rsidRPr="00D954A4">
              <w:rPr>
                <w:b/>
                <w:color w:val="FFFFFF"/>
                <w:sz w:val="22"/>
                <w:szCs w:val="22"/>
              </w:rPr>
              <w:t>Action</w:t>
            </w:r>
          </w:p>
        </w:tc>
        <w:tc>
          <w:tcPr>
            <w:tcW w:w="2268" w:type="dxa"/>
            <w:tcBorders>
              <w:top w:val="single" w:sz="6" w:space="0" w:color="1F546B"/>
              <w:left w:val="single" w:sz="6" w:space="0" w:color="FFFFFF"/>
              <w:bottom w:val="single" w:sz="12" w:space="0" w:color="1F546B"/>
              <w:right w:val="single" w:sz="12" w:space="0" w:color="1F546B"/>
              <w:tl2br w:val="nil"/>
              <w:tr2bl w:val="nil"/>
            </w:tcBorders>
            <w:shd w:val="clear" w:color="auto" w:fill="1F546B"/>
          </w:tcPr>
          <w:p w:rsidR="00B46E19" w:rsidRPr="00D954A4" w:rsidRDefault="00B46E19" w:rsidP="002217FA">
            <w:pPr>
              <w:spacing w:before="60" w:after="60"/>
              <w:rPr>
                <w:b/>
                <w:color w:val="FFFFFF"/>
                <w:sz w:val="22"/>
                <w:szCs w:val="22"/>
              </w:rPr>
            </w:pPr>
            <w:r w:rsidRPr="00D954A4">
              <w:rPr>
                <w:b/>
                <w:color w:val="FFFFFF"/>
                <w:sz w:val="22"/>
                <w:szCs w:val="22"/>
              </w:rPr>
              <w:t>Due date</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Considered by EGI</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4 May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 xml:space="preserve">Cabinet </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9 May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Issue drafting instructions</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10 May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Circulate exposure draft, if permitted</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May/June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Advise sector on:</w:t>
            </w:r>
          </w:p>
          <w:p w:rsidR="00B46E19" w:rsidRPr="00B46E19" w:rsidRDefault="00B46E19" w:rsidP="005625D1">
            <w:pPr>
              <w:pStyle w:val="ListParagraph"/>
              <w:numPr>
                <w:ilvl w:val="0"/>
                <w:numId w:val="20"/>
              </w:numPr>
              <w:spacing w:before="60" w:after="60"/>
              <w:rPr>
                <w:sz w:val="22"/>
                <w:szCs w:val="22"/>
              </w:rPr>
            </w:pPr>
            <w:r w:rsidRPr="00B46E19">
              <w:rPr>
                <w:sz w:val="22"/>
                <w:szCs w:val="22"/>
              </w:rPr>
              <w:t>the process for receiving amended venue agreements</w:t>
            </w:r>
          </w:p>
          <w:p w:rsidR="00B46E19" w:rsidRPr="00B46E19" w:rsidRDefault="00B46E19" w:rsidP="005625D1">
            <w:pPr>
              <w:pStyle w:val="ListParagraph"/>
              <w:numPr>
                <w:ilvl w:val="0"/>
                <w:numId w:val="20"/>
              </w:numPr>
              <w:spacing w:before="60" w:after="60"/>
              <w:rPr>
                <w:sz w:val="22"/>
                <w:szCs w:val="22"/>
              </w:rPr>
            </w:pPr>
            <w:r w:rsidRPr="00B46E19">
              <w:rPr>
                <w:sz w:val="22"/>
                <w:szCs w:val="22"/>
              </w:rPr>
              <w:t>the process for reconciling outstanding DEM costs</w:t>
            </w:r>
          </w:p>
          <w:p w:rsidR="00B46E19" w:rsidRPr="00B46E19" w:rsidRDefault="00B46E19" w:rsidP="005625D1">
            <w:pPr>
              <w:pStyle w:val="ListParagraph"/>
              <w:numPr>
                <w:ilvl w:val="0"/>
                <w:numId w:val="20"/>
              </w:numPr>
              <w:spacing w:before="60" w:after="60"/>
              <w:rPr>
                <w:sz w:val="22"/>
                <w:szCs w:val="22"/>
              </w:rPr>
            </w:pPr>
            <w:r w:rsidRPr="00B46E19">
              <w:rPr>
                <w:sz w:val="22"/>
                <w:szCs w:val="22"/>
              </w:rPr>
              <w:t>systems and processes for managing the annualised limit</w:t>
            </w:r>
            <w:r w:rsidR="00D83B0F">
              <w:rPr>
                <w:sz w:val="22"/>
                <w:szCs w:val="22"/>
              </w:rPr>
              <w:t>, including part years</w:t>
            </w:r>
            <w:r w:rsidR="003A51AE">
              <w:rPr>
                <w:sz w:val="22"/>
                <w:szCs w:val="22"/>
              </w:rPr>
              <w:t>.</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July / August / September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Considered by LEG</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1</w:t>
            </w:r>
            <w:r>
              <w:rPr>
                <w:sz w:val="22"/>
                <w:szCs w:val="22"/>
              </w:rPr>
              <w:t xml:space="preserve">0 August </w:t>
            </w:r>
            <w:r w:rsidRPr="00B46E19">
              <w:rPr>
                <w:sz w:val="22"/>
                <w:szCs w:val="22"/>
              </w:rPr>
              <w:t>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Cabinet</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1</w:t>
            </w:r>
            <w:r>
              <w:rPr>
                <w:sz w:val="22"/>
                <w:szCs w:val="22"/>
              </w:rPr>
              <w:t>5 August</w:t>
            </w:r>
            <w:r w:rsidRPr="00B46E19">
              <w:rPr>
                <w:sz w:val="22"/>
                <w:szCs w:val="22"/>
              </w:rPr>
              <w:t xml:space="preserve">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Signed by Governor General; 28 day rule</w:t>
            </w:r>
          </w:p>
        </w:tc>
        <w:tc>
          <w:tcPr>
            <w:tcW w:w="2268" w:type="dxa"/>
            <w:shd w:val="clear" w:color="auto" w:fill="auto"/>
          </w:tcPr>
          <w:p w:rsidR="00B46E19" w:rsidRPr="00B46E19" w:rsidRDefault="00B46E19" w:rsidP="00BE0EDB">
            <w:pPr>
              <w:spacing w:before="60" w:after="60"/>
              <w:rPr>
                <w:sz w:val="22"/>
                <w:szCs w:val="22"/>
              </w:rPr>
            </w:pPr>
            <w:r w:rsidRPr="00B46E19">
              <w:rPr>
                <w:sz w:val="22"/>
                <w:szCs w:val="22"/>
              </w:rPr>
              <w:t>1</w:t>
            </w:r>
            <w:r w:rsidR="00BE0EDB">
              <w:rPr>
                <w:sz w:val="22"/>
                <w:szCs w:val="22"/>
              </w:rPr>
              <w:t>5</w:t>
            </w:r>
            <w:r>
              <w:rPr>
                <w:sz w:val="22"/>
                <w:szCs w:val="22"/>
              </w:rPr>
              <w:t xml:space="preserve"> August</w:t>
            </w:r>
            <w:r w:rsidRPr="00B46E19">
              <w:rPr>
                <w:sz w:val="22"/>
                <w:szCs w:val="22"/>
              </w:rPr>
              <w:t xml:space="preserve">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Enactment date</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3 October 2016</w:t>
            </w:r>
          </w:p>
        </w:tc>
      </w:tr>
      <w:tr w:rsidR="00B46E19" w:rsidRPr="00D954A4" w:rsidTr="008E74B8">
        <w:trPr>
          <w:cantSplit/>
        </w:trPr>
        <w:tc>
          <w:tcPr>
            <w:tcW w:w="6804" w:type="dxa"/>
            <w:shd w:val="clear" w:color="auto" w:fill="auto"/>
          </w:tcPr>
          <w:p w:rsidR="00B46E19" w:rsidRPr="00B46E19" w:rsidRDefault="00B46E19" w:rsidP="002217FA">
            <w:pPr>
              <w:spacing w:before="60" w:after="60"/>
              <w:rPr>
                <w:sz w:val="22"/>
                <w:szCs w:val="22"/>
              </w:rPr>
            </w:pPr>
            <w:r w:rsidRPr="00B46E19">
              <w:rPr>
                <w:sz w:val="22"/>
                <w:szCs w:val="22"/>
              </w:rPr>
              <w:t xml:space="preserve">Expiry </w:t>
            </w:r>
            <w:r w:rsidR="005515A2">
              <w:rPr>
                <w:sz w:val="22"/>
                <w:szCs w:val="22"/>
              </w:rPr>
              <w:t>of current regime</w:t>
            </w:r>
          </w:p>
        </w:tc>
        <w:tc>
          <w:tcPr>
            <w:tcW w:w="2268" w:type="dxa"/>
            <w:shd w:val="clear" w:color="auto" w:fill="auto"/>
          </w:tcPr>
          <w:p w:rsidR="00B46E19" w:rsidRPr="00B46E19" w:rsidRDefault="00B46E19" w:rsidP="002217FA">
            <w:pPr>
              <w:spacing w:before="60" w:after="60"/>
              <w:rPr>
                <w:sz w:val="22"/>
                <w:szCs w:val="22"/>
              </w:rPr>
            </w:pPr>
            <w:r w:rsidRPr="00B46E19">
              <w:rPr>
                <w:sz w:val="22"/>
                <w:szCs w:val="22"/>
              </w:rPr>
              <w:t>21 October 2016</w:t>
            </w:r>
          </w:p>
        </w:tc>
      </w:tr>
    </w:tbl>
    <w:p w:rsidR="003727CD" w:rsidRDefault="003727CD" w:rsidP="003727CD">
      <w:bookmarkStart w:id="149" w:name="_Toc244580369"/>
      <w:bookmarkStart w:id="150" w:name="_Toc244587045"/>
      <w:bookmarkStart w:id="151" w:name="_Toc244857279"/>
      <w:bookmarkStart w:id="152" w:name="_Toc244912544"/>
      <w:bookmarkStart w:id="153" w:name="_Toc244917001"/>
      <w:bookmarkStart w:id="154" w:name="_Toc362368110"/>
      <w:bookmarkStart w:id="155" w:name="_Toc362434951"/>
      <w:bookmarkStart w:id="156" w:name="_Toc362589337"/>
      <w:bookmarkStart w:id="157" w:name="_Toc362619037"/>
      <w:bookmarkStart w:id="158" w:name="_Toc362940601"/>
      <w:bookmarkStart w:id="159" w:name="_Toc363047109"/>
      <w:bookmarkStart w:id="160" w:name="_Toc448240254"/>
      <w:bookmarkStart w:id="161" w:name="_Toc448499785"/>
    </w:p>
    <w:p w:rsidR="003727CD" w:rsidRDefault="003727CD" w:rsidP="003727CD"/>
    <w:p w:rsidR="00BE0EDB" w:rsidRDefault="00BE0EDB" w:rsidP="003727CD"/>
    <w:p w:rsidR="008D5CD9" w:rsidRPr="00590CA9" w:rsidRDefault="008D5CD9" w:rsidP="00641FE6">
      <w:pPr>
        <w:pStyle w:val="Heading2"/>
      </w:pPr>
      <w:r w:rsidRPr="007E613C">
        <w:lastRenderedPageBreak/>
        <w:t>Monitoring, evaluation and review</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9D602F" w:rsidRDefault="009D602F" w:rsidP="006F551D">
      <w:pPr>
        <w:pStyle w:val="Heading4"/>
        <w:rPr>
          <w:lang w:eastAsia="en-NZ"/>
        </w:rPr>
      </w:pPr>
      <w:r>
        <w:rPr>
          <w:lang w:eastAsia="en-NZ"/>
        </w:rPr>
        <w:t>Performance indicators</w:t>
      </w:r>
    </w:p>
    <w:p w:rsidR="00021369" w:rsidRDefault="00BF7B95" w:rsidP="007F5524">
      <w:pPr>
        <w:pStyle w:val="Numberedpara3level1"/>
      </w:pPr>
      <w:r>
        <w:t>Primarily, t</w:t>
      </w:r>
      <w:r w:rsidR="007F5524">
        <w:t>he new venue payments regime will be successful if:</w:t>
      </w:r>
    </w:p>
    <w:p w:rsidR="007F5524" w:rsidRDefault="00BF7B95" w:rsidP="005515A2">
      <w:pPr>
        <w:pStyle w:val="ListParagraph"/>
        <w:numPr>
          <w:ilvl w:val="0"/>
          <w:numId w:val="15"/>
        </w:numPr>
        <w:spacing w:before="0" w:after="120"/>
      </w:pPr>
      <w:r>
        <w:t>i</w:t>
      </w:r>
      <w:r w:rsidR="007F5524">
        <w:t>t is simple to comply with, reducing administrative time and cost for societies and venues</w:t>
      </w:r>
      <w:r>
        <w:t xml:space="preserve"> (</w:t>
      </w:r>
      <w:r w:rsidR="007F5524" w:rsidRPr="005515A2">
        <w:rPr>
          <w:b/>
        </w:rPr>
        <w:t>returns to the community</w:t>
      </w:r>
      <w:r w:rsidRPr="005515A2">
        <w:rPr>
          <w:b/>
        </w:rPr>
        <w:t xml:space="preserve"> are maximised</w:t>
      </w:r>
      <w:r>
        <w:t>)</w:t>
      </w:r>
      <w:r w:rsidR="007F5524">
        <w:t>; and</w:t>
      </w:r>
    </w:p>
    <w:p w:rsidR="007F5524" w:rsidRPr="007569A8" w:rsidRDefault="00BF7B95" w:rsidP="005515A2">
      <w:pPr>
        <w:pStyle w:val="ListParagraph"/>
        <w:numPr>
          <w:ilvl w:val="0"/>
          <w:numId w:val="15"/>
        </w:numPr>
        <w:spacing w:before="0" w:after="120"/>
      </w:pPr>
      <w:r>
        <w:t>v</w:t>
      </w:r>
      <w:r w:rsidR="007F5524">
        <w:t xml:space="preserve">enue operators do not diminish or ignore their prevention and minimisation of </w:t>
      </w:r>
      <w:r w:rsidR="007F5524" w:rsidRPr="007569A8">
        <w:t>gambling harm responsibilities</w:t>
      </w:r>
      <w:r w:rsidRPr="007569A8">
        <w:t xml:space="preserve"> (</w:t>
      </w:r>
      <w:r w:rsidRPr="007569A8">
        <w:rPr>
          <w:b/>
        </w:rPr>
        <w:t>problem gambling does not increase</w:t>
      </w:r>
      <w:r w:rsidRPr="007569A8">
        <w:t>)</w:t>
      </w:r>
      <w:r w:rsidR="007F5524" w:rsidRPr="007569A8">
        <w:t>.</w:t>
      </w:r>
    </w:p>
    <w:p w:rsidR="004D7A5F" w:rsidRPr="007569A8" w:rsidRDefault="00241EA6" w:rsidP="004D7A5F">
      <w:pPr>
        <w:pStyle w:val="Numberedpara3level1"/>
      </w:pPr>
      <w:r>
        <w:t xml:space="preserve">The new regime will also be successful if it contributes to the </w:t>
      </w:r>
      <w:r w:rsidR="00C1260F">
        <w:t>outcome sought for the wider</w:t>
      </w:r>
      <w:r>
        <w:t xml:space="preserve"> class 4 gambling reform</w:t>
      </w:r>
      <w:r w:rsidR="00DE0BF2">
        <w:t xml:space="preserve">, </w:t>
      </w:r>
      <w:r w:rsidR="00C1260F">
        <w:t>which is for class 4 gambling to have a low cost, risk based regulatory framework that ensures sustainable fund-raising for the community</w:t>
      </w:r>
      <w:r w:rsidR="00DE0BF2">
        <w:t>.</w:t>
      </w:r>
    </w:p>
    <w:p w:rsidR="009D602F" w:rsidRDefault="00F25BA0" w:rsidP="009D602F">
      <w:pPr>
        <w:pStyle w:val="Heading4"/>
        <w:rPr>
          <w:lang w:eastAsia="en-NZ"/>
        </w:rPr>
      </w:pPr>
      <w:r w:rsidRPr="007569A8">
        <w:rPr>
          <w:lang w:eastAsia="en-NZ"/>
        </w:rPr>
        <w:t xml:space="preserve">How </w:t>
      </w:r>
      <w:r w:rsidR="0033450E" w:rsidRPr="007569A8">
        <w:rPr>
          <w:lang w:eastAsia="en-NZ"/>
        </w:rPr>
        <w:t>performance</w:t>
      </w:r>
      <w:r w:rsidR="0033450E">
        <w:rPr>
          <w:lang w:eastAsia="en-NZ"/>
        </w:rPr>
        <w:t xml:space="preserve"> indicator </w:t>
      </w:r>
      <w:r w:rsidR="009D602F">
        <w:rPr>
          <w:lang w:eastAsia="en-NZ"/>
        </w:rPr>
        <w:t>data will be collected</w:t>
      </w:r>
    </w:p>
    <w:p w:rsidR="00574FC8" w:rsidRDefault="00574FC8" w:rsidP="00021369">
      <w:pPr>
        <w:pStyle w:val="Numberedpara3level1"/>
      </w:pPr>
      <w:r>
        <w:t>The Department monitors returns to the community using Gaming Machine Account Summary Returns information that is submitted with societies’ applications for licence renewal.</w:t>
      </w:r>
      <w:r w:rsidR="00F25BA0">
        <w:t xml:space="preserve"> Societies must return </w:t>
      </w:r>
      <w:r w:rsidR="003A51AE">
        <w:t xml:space="preserve">a minimum of </w:t>
      </w:r>
      <w:r w:rsidR="00F25BA0">
        <w:t>40</w:t>
      </w:r>
      <w:r w:rsidR="003A51AE">
        <w:t xml:space="preserve"> per cent</w:t>
      </w:r>
      <w:r w:rsidR="00F25BA0">
        <w:t xml:space="preserve"> of </w:t>
      </w:r>
      <w:r w:rsidR="003A51AE">
        <w:t>net proceeds</w:t>
      </w:r>
      <w:r w:rsidR="00F25BA0">
        <w:t xml:space="preserve"> to the community, but they may return more. The Department will monitor any change</w:t>
      </w:r>
      <w:r w:rsidR="003A51AE">
        <w:t>s in return rates</w:t>
      </w:r>
      <w:r w:rsidR="00F25BA0">
        <w:t xml:space="preserve"> at licence renewal.</w:t>
      </w:r>
    </w:p>
    <w:p w:rsidR="00574FC8" w:rsidRDefault="00574FC8" w:rsidP="00021369">
      <w:pPr>
        <w:pStyle w:val="Numberedpara3level1"/>
      </w:pPr>
      <w:r>
        <w:t xml:space="preserve">The Department is able to access Ministry of Health information about the number of </w:t>
      </w:r>
      <w:r w:rsidR="001C006A">
        <w:t xml:space="preserve">class </w:t>
      </w:r>
      <w:r>
        <w:t>4 gamblers who seek and access problem gambling services. This will be reviewed on an annual basis, or as the Ministry of Health releases data.</w:t>
      </w:r>
    </w:p>
    <w:p w:rsidR="003335CA" w:rsidRDefault="003335CA" w:rsidP="003335CA">
      <w:pPr>
        <w:pStyle w:val="Numberedpara3level1"/>
      </w:pPr>
      <w:r>
        <w:t>Any unintended consequences of the new regime will be reported. If necessary, amendments to the venue payments regime (via regulations) may be made to mitigate these.</w:t>
      </w:r>
    </w:p>
    <w:p w:rsidR="00226E0D" w:rsidRDefault="00226E0D" w:rsidP="006F551D">
      <w:pPr>
        <w:pStyle w:val="Heading4"/>
        <w:rPr>
          <w:lang w:eastAsia="en-NZ"/>
        </w:rPr>
      </w:pPr>
      <w:r>
        <w:rPr>
          <w:lang w:eastAsia="en-NZ"/>
        </w:rPr>
        <w:t>How venues will be monitored</w:t>
      </w:r>
      <w:r w:rsidR="005868DB">
        <w:rPr>
          <w:lang w:eastAsia="en-NZ"/>
        </w:rPr>
        <w:t xml:space="preserve"> for the prevention and minimisation of gambling harm</w:t>
      </w:r>
    </w:p>
    <w:p w:rsidR="00226E0D" w:rsidRPr="00226E0D" w:rsidRDefault="00226E0D" w:rsidP="00226E0D">
      <w:pPr>
        <w:pStyle w:val="Numberedpara3level1"/>
      </w:pPr>
      <w:r w:rsidRPr="00226E0D">
        <w:t xml:space="preserve">Every venue is required to have a problem gambling identification policy, have problem gambling awareness training, display signage and </w:t>
      </w:r>
      <w:r w:rsidR="003A51AE">
        <w:t xml:space="preserve">provide </w:t>
      </w:r>
      <w:r w:rsidRPr="00226E0D">
        <w:t>information on problem gambling and how to seek advice</w:t>
      </w:r>
      <w:r w:rsidR="00D61242">
        <w:t xml:space="preserve">. </w:t>
      </w:r>
    </w:p>
    <w:p w:rsidR="00226E0D" w:rsidRDefault="00226E0D" w:rsidP="00226E0D">
      <w:pPr>
        <w:pStyle w:val="Numberedpara3level1"/>
      </w:pPr>
      <w:r w:rsidRPr="00226E0D">
        <w:t xml:space="preserve">As the regulator, </w:t>
      </w:r>
      <w:r>
        <w:t>the Department is</w:t>
      </w:r>
      <w:r w:rsidRPr="00226E0D">
        <w:t xml:space="preserve"> responsible for ensuring that the sector is meeting its obligations under the legislation. </w:t>
      </w:r>
      <w:r>
        <w:t xml:space="preserve">The Department supports </w:t>
      </w:r>
      <w:r w:rsidRPr="00226E0D">
        <w:t>this through activities such as collaboration with other agencies on the development of harm minimisation resources, and assess</w:t>
      </w:r>
      <w:r w:rsidR="003A51AE">
        <w:t>es</w:t>
      </w:r>
      <w:r w:rsidRPr="00226E0D">
        <w:t xml:space="preserve"> how the sector is doing through activities such as venue audits and mystery shopper exercises. </w:t>
      </w:r>
    </w:p>
    <w:p w:rsidR="005868DB" w:rsidRPr="00A023D1" w:rsidRDefault="003A51AE" w:rsidP="005868DB">
      <w:pPr>
        <w:pStyle w:val="Numberedpara3level1"/>
      </w:pPr>
      <w:r>
        <w:t>T</w:t>
      </w:r>
      <w:r w:rsidR="005868DB">
        <w:t xml:space="preserve">he Department holds information about the sector and the use of gaming machines via its Electronic Monitoring System (EMS). Every gaming machine is connected to this system. </w:t>
      </w:r>
      <w:r w:rsidR="005868DB" w:rsidRPr="00A023D1">
        <w:t xml:space="preserve">The information collected by EMS includes: </w:t>
      </w:r>
    </w:p>
    <w:p w:rsidR="005868DB" w:rsidRPr="00A023D1" w:rsidRDefault="005868DB" w:rsidP="003A51AE">
      <w:pPr>
        <w:pStyle w:val="ListParagraph"/>
        <w:numPr>
          <w:ilvl w:val="0"/>
          <w:numId w:val="15"/>
        </w:numPr>
        <w:spacing w:before="0" w:after="120"/>
      </w:pPr>
      <w:r w:rsidRPr="00A023D1">
        <w:t>the amount of money gambled on gaming machines</w:t>
      </w:r>
      <w:r>
        <w:t>;</w:t>
      </w:r>
      <w:r w:rsidRPr="00A023D1">
        <w:t xml:space="preserve"> </w:t>
      </w:r>
    </w:p>
    <w:p w:rsidR="005868DB" w:rsidRPr="00A023D1" w:rsidRDefault="005868DB" w:rsidP="003A51AE">
      <w:pPr>
        <w:pStyle w:val="ListParagraph"/>
        <w:numPr>
          <w:ilvl w:val="0"/>
          <w:numId w:val="15"/>
        </w:numPr>
        <w:spacing w:before="0" w:after="120"/>
      </w:pPr>
      <w:r w:rsidRPr="00A023D1">
        <w:t>t</w:t>
      </w:r>
      <w:r>
        <w:t>he amount required to be banked;</w:t>
      </w:r>
    </w:p>
    <w:p w:rsidR="005868DB" w:rsidRPr="00A023D1" w:rsidRDefault="005868DB" w:rsidP="003A51AE">
      <w:pPr>
        <w:pStyle w:val="ListParagraph"/>
        <w:numPr>
          <w:ilvl w:val="0"/>
          <w:numId w:val="15"/>
        </w:numPr>
        <w:spacing w:before="0" w:after="120"/>
      </w:pPr>
      <w:r w:rsidRPr="00A023D1">
        <w:t>the location an</w:t>
      </w:r>
      <w:r>
        <w:t>d number of machines;</w:t>
      </w:r>
    </w:p>
    <w:p w:rsidR="005868DB" w:rsidRPr="00A023D1" w:rsidRDefault="005868DB" w:rsidP="003A51AE">
      <w:pPr>
        <w:pStyle w:val="ListParagraph"/>
        <w:numPr>
          <w:ilvl w:val="0"/>
          <w:numId w:val="15"/>
        </w:numPr>
        <w:spacing w:before="0" w:after="120"/>
      </w:pPr>
      <w:r w:rsidRPr="00A023D1">
        <w:t>gaming machine usage</w:t>
      </w:r>
      <w:r>
        <w:t>; and</w:t>
      </w:r>
    </w:p>
    <w:p w:rsidR="005868DB" w:rsidRPr="00A023D1" w:rsidRDefault="005868DB" w:rsidP="003A51AE">
      <w:pPr>
        <w:pStyle w:val="ListParagraph"/>
        <w:numPr>
          <w:ilvl w:val="0"/>
          <w:numId w:val="15"/>
        </w:numPr>
        <w:spacing w:before="0" w:after="120"/>
      </w:pPr>
      <w:r w:rsidRPr="00A023D1">
        <w:lastRenderedPageBreak/>
        <w:t xml:space="preserve">machine faults and tampering. </w:t>
      </w:r>
    </w:p>
    <w:p w:rsidR="005868DB" w:rsidRDefault="005868DB" w:rsidP="005868DB">
      <w:pPr>
        <w:pStyle w:val="Numberedpara3level1"/>
      </w:pPr>
      <w:r>
        <w:t>Weekly EMS reports are generated by the Department to monitor and review sector performance.</w:t>
      </w:r>
    </w:p>
    <w:p w:rsidR="006F551D" w:rsidRDefault="00897077" w:rsidP="006F551D">
      <w:pPr>
        <w:pStyle w:val="Heading4"/>
        <w:rPr>
          <w:lang w:eastAsia="en-NZ"/>
        </w:rPr>
      </w:pPr>
      <w:r>
        <w:rPr>
          <w:lang w:eastAsia="en-NZ"/>
        </w:rPr>
        <w:t>Additional m</w:t>
      </w:r>
      <w:r w:rsidR="00532F79">
        <w:rPr>
          <w:lang w:eastAsia="en-NZ"/>
        </w:rPr>
        <w:t>onitoring issues</w:t>
      </w:r>
    </w:p>
    <w:p w:rsidR="003A7754" w:rsidRDefault="003A7754" w:rsidP="0080014B">
      <w:pPr>
        <w:pStyle w:val="Numberedpara3level1"/>
        <w:rPr>
          <w:lang w:eastAsia="en-NZ"/>
        </w:rPr>
      </w:pPr>
      <w:r>
        <w:rPr>
          <w:lang w:eastAsia="en-NZ"/>
        </w:rPr>
        <w:t xml:space="preserve">The Department is </w:t>
      </w:r>
      <w:r>
        <w:t>aware</w:t>
      </w:r>
      <w:r>
        <w:rPr>
          <w:lang w:eastAsia="en-NZ"/>
        </w:rPr>
        <w:t xml:space="preserve"> of the following issues</w:t>
      </w:r>
      <w:r w:rsidR="000A1410">
        <w:rPr>
          <w:lang w:eastAsia="en-NZ"/>
        </w:rPr>
        <w:t xml:space="preserve"> that may arise with the new venue payments regime</w:t>
      </w:r>
      <w:r>
        <w:rPr>
          <w:lang w:eastAsia="en-NZ"/>
        </w:rPr>
        <w:t>:</w:t>
      </w:r>
    </w:p>
    <w:p w:rsidR="00832959" w:rsidRDefault="00832959" w:rsidP="003A51AE">
      <w:pPr>
        <w:pStyle w:val="ListParagraph"/>
        <w:numPr>
          <w:ilvl w:val="0"/>
          <w:numId w:val="15"/>
        </w:numPr>
        <w:spacing w:before="0" w:after="120"/>
      </w:pPr>
      <w:r w:rsidRPr="003A51AE">
        <w:rPr>
          <w:b/>
        </w:rPr>
        <w:t>continued applicability of the 1.28</w:t>
      </w:r>
      <w:r w:rsidR="008E379A">
        <w:rPr>
          <w:b/>
        </w:rPr>
        <w:t xml:space="preserve"> per cent</w:t>
      </w:r>
      <w:r w:rsidRPr="003A51AE">
        <w:rPr>
          <w:b/>
        </w:rPr>
        <w:t xml:space="preserve"> comm</w:t>
      </w:r>
      <w:r w:rsidR="008331D6" w:rsidRPr="003A51AE">
        <w:rPr>
          <w:b/>
        </w:rPr>
        <w:t>ission rate</w:t>
      </w:r>
      <w:r w:rsidR="008331D6">
        <w:t xml:space="preserve"> – each year (or at an appropriate interval) the Department will determine if the specified commission rate continues to be the best approximate match to the 16</w:t>
      </w:r>
      <w:r w:rsidR="00D61242">
        <w:t xml:space="preserve"> per cent</w:t>
      </w:r>
      <w:r w:rsidR="008331D6">
        <w:t xml:space="preserve"> GMP limit</w:t>
      </w:r>
      <w:r>
        <w:t>;</w:t>
      </w:r>
    </w:p>
    <w:p w:rsidR="008331D6" w:rsidRDefault="003A7754" w:rsidP="003A51AE">
      <w:pPr>
        <w:pStyle w:val="ListParagraph"/>
        <w:numPr>
          <w:ilvl w:val="0"/>
          <w:numId w:val="15"/>
        </w:numPr>
        <w:spacing w:before="0" w:after="120"/>
      </w:pPr>
      <w:r w:rsidRPr="003A51AE">
        <w:rPr>
          <w:b/>
        </w:rPr>
        <w:t xml:space="preserve">manipulation of </w:t>
      </w:r>
      <w:r w:rsidR="006F551D" w:rsidRPr="003A51AE">
        <w:rPr>
          <w:b/>
        </w:rPr>
        <w:t>RTP</w:t>
      </w:r>
      <w:r w:rsidRPr="003A51AE">
        <w:rPr>
          <w:b/>
        </w:rPr>
        <w:t xml:space="preserve"> percentages</w:t>
      </w:r>
      <w:r w:rsidR="00DF5278" w:rsidRPr="003A51AE">
        <w:rPr>
          <w:b/>
        </w:rPr>
        <w:t xml:space="preserve"> to maximise turnover</w:t>
      </w:r>
      <w:r w:rsidR="008331D6">
        <w:t xml:space="preserve"> – the Department does not consider this risk to be substantial, but will be monitored by reviewing:</w:t>
      </w:r>
    </w:p>
    <w:p w:rsidR="008331D6" w:rsidRDefault="008331D6" w:rsidP="003A51AE">
      <w:pPr>
        <w:pStyle w:val="ListParagraph"/>
        <w:numPr>
          <w:ilvl w:val="1"/>
          <w:numId w:val="15"/>
        </w:numPr>
        <w:spacing w:before="0" w:after="120"/>
      </w:pPr>
      <w:r>
        <w:t>actual RTP</w:t>
      </w:r>
      <w:r w:rsidR="008E379A">
        <w:t xml:space="preserve"> percentages</w:t>
      </w:r>
      <w:r>
        <w:t xml:space="preserve"> through the use of information from the Department’s electronic monitoring system; and </w:t>
      </w:r>
    </w:p>
    <w:p w:rsidR="008331D6" w:rsidRPr="007004B6" w:rsidRDefault="008331D6" w:rsidP="003A51AE">
      <w:pPr>
        <w:pStyle w:val="ListParagraph"/>
        <w:numPr>
          <w:ilvl w:val="1"/>
          <w:numId w:val="15"/>
        </w:numPr>
        <w:spacing w:before="0" w:after="120"/>
      </w:pPr>
      <w:r>
        <w:t xml:space="preserve">applications to amend licencing agreements [societies must apply for a licence </w:t>
      </w:r>
      <w:r w:rsidRPr="007004B6">
        <w:t>change to alter a machine’s RTP settings].</w:t>
      </w:r>
    </w:p>
    <w:p w:rsidR="008331D6" w:rsidRPr="007004B6" w:rsidRDefault="00E40014" w:rsidP="003A51AE">
      <w:pPr>
        <w:pStyle w:val="ListParagraph"/>
        <w:numPr>
          <w:ilvl w:val="0"/>
          <w:numId w:val="15"/>
        </w:numPr>
        <w:spacing w:before="0" w:after="120"/>
      </w:pPr>
      <w:r w:rsidRPr="003A51AE">
        <w:rPr>
          <w:b/>
        </w:rPr>
        <w:t xml:space="preserve">incentives </w:t>
      </w:r>
      <w:r w:rsidR="003A7754" w:rsidRPr="003A51AE">
        <w:rPr>
          <w:b/>
        </w:rPr>
        <w:t>to advertise</w:t>
      </w:r>
      <w:r w:rsidR="00444586" w:rsidRPr="003A51AE">
        <w:rPr>
          <w:b/>
        </w:rPr>
        <w:t xml:space="preserve"> or offer inducements</w:t>
      </w:r>
      <w:r w:rsidR="00DF5278" w:rsidRPr="003A51AE">
        <w:rPr>
          <w:b/>
        </w:rPr>
        <w:t xml:space="preserve"> to encourage gambling</w:t>
      </w:r>
      <w:r w:rsidR="008331D6">
        <w:t xml:space="preserve"> – the </w:t>
      </w:r>
      <w:r w:rsidR="008331D6" w:rsidRPr="007004B6">
        <w:t xml:space="preserve">Department recommends maintaining a ‘watching brief’ on this issue. If marked increases in advertising started to occur, the Department could </w:t>
      </w:r>
      <w:r w:rsidR="003A51AE">
        <w:t xml:space="preserve">choose to scope </w:t>
      </w:r>
      <w:r w:rsidR="008331D6" w:rsidRPr="007004B6">
        <w:t>regulation making powers under section 313 (1)(ba) and (g) to:</w:t>
      </w:r>
    </w:p>
    <w:p w:rsidR="008331D6" w:rsidRPr="007004B6" w:rsidRDefault="008331D6" w:rsidP="003A51AE">
      <w:pPr>
        <w:pStyle w:val="ListParagraph"/>
        <w:numPr>
          <w:ilvl w:val="1"/>
          <w:numId w:val="15"/>
        </w:numPr>
        <w:spacing w:before="0" w:after="120"/>
      </w:pPr>
      <w:r w:rsidRPr="007004B6">
        <w:t>restrict or prohibit inducements to gamble; and</w:t>
      </w:r>
    </w:p>
    <w:p w:rsidR="008331D6" w:rsidRPr="007004B6" w:rsidRDefault="008331D6" w:rsidP="003A51AE">
      <w:pPr>
        <w:pStyle w:val="ListParagraph"/>
        <w:numPr>
          <w:ilvl w:val="1"/>
          <w:numId w:val="15"/>
        </w:numPr>
        <w:spacing w:before="0" w:after="120"/>
      </w:pPr>
      <w:r w:rsidRPr="007004B6">
        <w:t>restrict or prohibit the advertising of gambling, gambling delivery mechanisms, gambling venues, gambling prizes, or any other thing related to gambling, or prescribing codes requiring suc</w:t>
      </w:r>
      <w:r>
        <w:t>h advertising to be responsible;</w:t>
      </w:r>
    </w:p>
    <w:p w:rsidR="00593B58" w:rsidRDefault="003A7754" w:rsidP="003A51AE">
      <w:pPr>
        <w:pStyle w:val="ListParagraph"/>
        <w:numPr>
          <w:ilvl w:val="0"/>
          <w:numId w:val="15"/>
        </w:numPr>
        <w:spacing w:before="0" w:after="120"/>
      </w:pPr>
      <w:r w:rsidRPr="003A51AE">
        <w:rPr>
          <w:b/>
        </w:rPr>
        <w:t xml:space="preserve">ability for </w:t>
      </w:r>
      <w:r w:rsidR="006F551D" w:rsidRPr="003A51AE">
        <w:rPr>
          <w:b/>
        </w:rPr>
        <w:t>non-tavern venues</w:t>
      </w:r>
      <w:r w:rsidRPr="003A51AE">
        <w:rPr>
          <w:b/>
        </w:rPr>
        <w:t xml:space="preserve"> to increase gaming hours</w:t>
      </w:r>
      <w:bookmarkEnd w:id="16"/>
      <w:bookmarkEnd w:id="17"/>
      <w:bookmarkEnd w:id="18"/>
      <w:bookmarkEnd w:id="19"/>
      <w:bookmarkEnd w:id="20"/>
      <w:bookmarkEnd w:id="21"/>
      <w:bookmarkEnd w:id="22"/>
      <w:bookmarkEnd w:id="23"/>
      <w:bookmarkEnd w:id="24"/>
      <w:bookmarkEnd w:id="25"/>
      <w:r w:rsidR="00DF5278" w:rsidRPr="003A51AE">
        <w:rPr>
          <w:b/>
        </w:rPr>
        <w:t xml:space="preserve"> by keeping their primary business open for longer</w:t>
      </w:r>
      <w:r w:rsidR="00590B4C" w:rsidRPr="003A51AE">
        <w:t xml:space="preserve"> </w:t>
      </w:r>
      <w:r w:rsidR="008331D6" w:rsidRPr="008331D6">
        <w:t>– the</w:t>
      </w:r>
      <w:r w:rsidR="008331D6" w:rsidRPr="003A51AE">
        <w:t xml:space="preserve"> </w:t>
      </w:r>
      <w:r w:rsidR="00A75DF8" w:rsidRPr="007004B6">
        <w:t>Department</w:t>
      </w:r>
      <w:r w:rsidR="00905A1C">
        <w:t xml:space="preserve"> considers this </w:t>
      </w:r>
      <w:r w:rsidR="008331D6">
        <w:t xml:space="preserve">risk to be </w:t>
      </w:r>
      <w:r w:rsidR="00905A1C">
        <w:t xml:space="preserve">non-substantial but </w:t>
      </w:r>
      <w:r w:rsidR="00A75DF8" w:rsidRPr="007004B6">
        <w:t xml:space="preserve">is able to monitor when gaming machines are operational and </w:t>
      </w:r>
      <w:r w:rsidR="00905A1C">
        <w:t>will k</w:t>
      </w:r>
      <w:r w:rsidR="00A75DF8" w:rsidRPr="007004B6">
        <w:t>eep a watching brief on th</w:t>
      </w:r>
      <w:r w:rsidR="008331D6">
        <w:t>is issue</w:t>
      </w:r>
      <w:r w:rsidR="00A75DF8" w:rsidRPr="007004B6">
        <w:t>.</w:t>
      </w:r>
      <w:r w:rsidR="00C160F3" w:rsidRPr="007004B6">
        <w:t xml:space="preserve"> </w:t>
      </w:r>
    </w:p>
    <w:sectPr w:rsidR="00593B58" w:rsidSect="001C52BC">
      <w:pgSz w:w="11907" w:h="16840" w:code="9"/>
      <w:pgMar w:top="1418" w:right="1418" w:bottom="1134" w:left="1418"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30" w:rsidRDefault="00387130" w:rsidP="00F72085">
      <w:r>
        <w:separator/>
      </w:r>
    </w:p>
  </w:endnote>
  <w:endnote w:type="continuationSeparator" w:id="0">
    <w:p w:rsidR="00387130" w:rsidRDefault="00387130"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802040204020203"/>
    <w:charset w:val="01"/>
    <w:family w:val="roman"/>
    <w:notTrueType/>
    <w:pitch w:val="variable"/>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6" w:rsidRPr="00C73AEA" w:rsidRDefault="00241EA6" w:rsidP="007A4CBF">
    <w:pPr>
      <w:pStyle w:val="EvenFooter"/>
      <w:rPr>
        <w:caps/>
      </w:rPr>
    </w:pPr>
    <w:r>
      <w:fldChar w:fldCharType="begin"/>
    </w:r>
    <w:r>
      <w:instrText xml:space="preserve">PAGE  </w:instrText>
    </w:r>
    <w:r>
      <w:fldChar w:fldCharType="separate"/>
    </w:r>
    <w:r w:rsidR="00AE664D">
      <w:t>32</w:t>
    </w:r>
    <w:r>
      <w:fldChar w:fldCharType="end"/>
    </w:r>
    <w:r w:rsidRPr="00281580">
      <w:t xml:space="preserve"> </w:t>
    </w:r>
    <w:r>
      <w:t xml:space="preserve"> </w:t>
    </w:r>
    <w:r w:rsidRPr="00281580">
      <w:t xml:space="preserve"> | </w:t>
    </w:r>
    <w:r>
      <w:t xml:space="preserve"> </w:t>
    </w:r>
    <w:r w:rsidRPr="00281580">
      <w:t xml:space="preserve"> </w:t>
    </w:r>
    <w:r>
      <w:t xml:space="preserve">RIS Class 4 Venue Payments Regulations  </w:t>
    </w:r>
    <w:r w:rsidRPr="00B9122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6" w:rsidRPr="00C73AEA" w:rsidRDefault="00241EA6" w:rsidP="007A4CBF">
    <w:pPr>
      <w:pStyle w:val="Footer"/>
    </w:pPr>
    <w:r>
      <w:tab/>
      <w:t xml:space="preserve">RIS: Class 4 Venue Payments Regulations </w:t>
    </w:r>
    <w:r w:rsidRPr="00B91224">
      <w:t xml:space="preserve">  | </w:t>
    </w:r>
    <w:r>
      <w:t xml:space="preserve"> </w:t>
    </w:r>
    <w:r w:rsidRPr="00B91224">
      <w:t xml:space="preserve"> </w:t>
    </w:r>
    <w:r>
      <w:fldChar w:fldCharType="begin"/>
    </w:r>
    <w:r>
      <w:instrText xml:space="preserve"> PAGE </w:instrText>
    </w:r>
    <w:r>
      <w:fldChar w:fldCharType="separate"/>
    </w:r>
    <w:r w:rsidR="00AE664D">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6" w:rsidRDefault="00241EA6" w:rsidP="007A4CBF">
    <w:pPr>
      <w:pStyle w:val="Footer"/>
    </w:pPr>
    <w:r>
      <w:tab/>
      <w:t xml:space="preserve">RIS Class 4 Venue Payments Regulations </w:t>
    </w:r>
    <w:r w:rsidRPr="00B91224">
      <w:t xml:space="preserve">  |</w:t>
    </w:r>
    <w:r>
      <w:t xml:space="preserve"> </w:t>
    </w:r>
    <w:r w:rsidRPr="00B91224">
      <w:t xml:space="preserve">  </w:t>
    </w:r>
    <w:r>
      <w:fldChar w:fldCharType="begin"/>
    </w:r>
    <w:r>
      <w:instrText xml:space="preserve"> PAGE </w:instrText>
    </w:r>
    <w:r>
      <w:fldChar w:fldCharType="separate"/>
    </w:r>
    <w:r w:rsidR="00AE664D">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30" w:rsidRPr="005C5BD1" w:rsidRDefault="00387130" w:rsidP="005C5BD1">
      <w:pPr>
        <w:pStyle w:val="Footer"/>
      </w:pPr>
      <w:r>
        <w:separator/>
      </w:r>
    </w:p>
  </w:footnote>
  <w:footnote w:type="continuationSeparator" w:id="0">
    <w:p w:rsidR="00387130" w:rsidRPr="005C5BD1" w:rsidRDefault="00387130" w:rsidP="005C5BD1">
      <w:pPr>
        <w:pStyle w:val="Footer"/>
      </w:pPr>
      <w:r>
        <w:continuationSeparator/>
      </w:r>
    </w:p>
  </w:footnote>
  <w:footnote w:id="1">
    <w:p w:rsidR="00241EA6" w:rsidRPr="009C768B" w:rsidRDefault="00241EA6" w:rsidP="009C768B">
      <w:pPr>
        <w:pStyle w:val="FootnoteText"/>
        <w:spacing w:before="60"/>
        <w:rPr>
          <w:rFonts w:asciiTheme="minorHAnsi" w:hAnsiTheme="minorHAnsi"/>
          <w:szCs w:val="18"/>
        </w:rPr>
      </w:pPr>
      <w:r w:rsidRPr="009C768B">
        <w:rPr>
          <w:rStyle w:val="FootnoteReference"/>
          <w:rFonts w:asciiTheme="minorHAnsi" w:hAnsiTheme="minorHAnsi"/>
          <w:sz w:val="18"/>
          <w:szCs w:val="18"/>
        </w:rPr>
        <w:footnoteRef/>
      </w:r>
      <w:r w:rsidRPr="009C768B">
        <w:rPr>
          <w:rFonts w:asciiTheme="minorHAnsi" w:hAnsiTheme="minorHAnsi"/>
          <w:szCs w:val="18"/>
        </w:rPr>
        <w:t xml:space="preserve"> </w:t>
      </w:r>
      <w:r w:rsidRPr="009C768B">
        <w:rPr>
          <w:rFonts w:asciiTheme="minorHAnsi" w:hAnsiTheme="minorHAnsi"/>
          <w:szCs w:val="18"/>
        </w:rPr>
        <w:tab/>
        <w:t>C</w:t>
      </w:r>
      <w:r>
        <w:rPr>
          <w:rFonts w:asciiTheme="minorHAnsi" w:hAnsiTheme="minorHAnsi"/>
          <w:szCs w:val="18"/>
        </w:rPr>
        <w:t>lass 4</w:t>
      </w:r>
      <w:r w:rsidRPr="009C768B">
        <w:rPr>
          <w:rFonts w:asciiTheme="minorHAnsi" w:hAnsiTheme="minorHAnsi"/>
          <w:szCs w:val="18"/>
        </w:rPr>
        <w:t xml:space="preserve"> gambling is gambling on gaming machines (or ‘pokies’) in pubs, hotels, and clubs. It does not include gaming machines in casinos.</w:t>
      </w:r>
      <w:r w:rsidRPr="009C768B">
        <w:rPr>
          <w:rFonts w:asciiTheme="minorHAnsi" w:hAnsiTheme="minorHAnsi" w:cs="Arial"/>
          <w:szCs w:val="18"/>
        </w:rPr>
        <w:t xml:space="preserve"> </w:t>
      </w:r>
    </w:p>
  </w:footnote>
  <w:footnote w:id="2">
    <w:p w:rsidR="00241EA6" w:rsidRPr="00F33129" w:rsidRDefault="00241EA6" w:rsidP="00E03205">
      <w:pPr>
        <w:pStyle w:val="FootnoteText"/>
        <w:spacing w:before="60"/>
        <w:rPr>
          <w:szCs w:val="18"/>
        </w:rPr>
      </w:pPr>
      <w:r w:rsidRPr="009C768B">
        <w:rPr>
          <w:rStyle w:val="FootnoteReference"/>
          <w:rFonts w:asciiTheme="minorHAnsi" w:hAnsiTheme="minorHAnsi"/>
          <w:sz w:val="18"/>
          <w:szCs w:val="18"/>
        </w:rPr>
        <w:footnoteRef/>
      </w:r>
      <w:r w:rsidRPr="009C768B">
        <w:rPr>
          <w:rFonts w:asciiTheme="minorHAnsi" w:hAnsiTheme="minorHAnsi"/>
          <w:szCs w:val="18"/>
        </w:rPr>
        <w:t xml:space="preserve"> </w:t>
      </w:r>
      <w:r w:rsidRPr="009C768B">
        <w:rPr>
          <w:rFonts w:asciiTheme="minorHAnsi" w:hAnsiTheme="minorHAnsi"/>
          <w:szCs w:val="18"/>
        </w:rPr>
        <w:tab/>
        <w:t>Gaming machine proceeds</w:t>
      </w:r>
      <w:r>
        <w:rPr>
          <w:rFonts w:asciiTheme="minorHAnsi" w:hAnsiTheme="minorHAnsi"/>
          <w:szCs w:val="18"/>
        </w:rPr>
        <w:t xml:space="preserve">, or GMP, is </w:t>
      </w:r>
      <w:r w:rsidRPr="009C768B">
        <w:rPr>
          <w:rFonts w:asciiTheme="minorHAnsi" w:hAnsiTheme="minorHAnsi"/>
          <w:szCs w:val="18"/>
        </w:rPr>
        <w:t>defined as turnover less prizes, excluding GST.</w:t>
      </w:r>
    </w:p>
  </w:footnote>
  <w:footnote w:id="3">
    <w:p w:rsidR="00241EA6" w:rsidRDefault="00241EA6">
      <w:pPr>
        <w:pStyle w:val="FootnoteText"/>
      </w:pPr>
      <w:r>
        <w:rPr>
          <w:rStyle w:val="FootnoteReference"/>
        </w:rPr>
        <w:footnoteRef/>
      </w:r>
      <w:r>
        <w:t xml:space="preserve"> </w:t>
      </w:r>
      <w:r>
        <w:tab/>
      </w:r>
      <w:r w:rsidRPr="009C768B">
        <w:rPr>
          <w:rFonts w:asciiTheme="minorHAnsi" w:hAnsiTheme="minorHAnsi"/>
          <w:szCs w:val="18"/>
        </w:rPr>
        <w:t>Gaming machine proceeds</w:t>
      </w:r>
      <w:r>
        <w:rPr>
          <w:rFonts w:asciiTheme="minorHAnsi" w:hAnsiTheme="minorHAnsi"/>
          <w:szCs w:val="18"/>
        </w:rPr>
        <w:t xml:space="preserve">, or GMP, is </w:t>
      </w:r>
      <w:r w:rsidRPr="009C768B">
        <w:rPr>
          <w:rFonts w:asciiTheme="minorHAnsi" w:hAnsiTheme="minorHAnsi"/>
          <w:szCs w:val="18"/>
        </w:rPr>
        <w:t>defined as turnover less prizes, excluding GST</w:t>
      </w:r>
      <w:r>
        <w:rPr>
          <w:rFonts w:asciiTheme="minorHAnsi" w:hAnsiTheme="minorHAnsi"/>
          <w:szCs w:val="18"/>
        </w:rPr>
        <w:t>.</w:t>
      </w:r>
    </w:p>
  </w:footnote>
  <w:footnote w:id="4">
    <w:p w:rsidR="00241EA6" w:rsidRPr="009C768B" w:rsidRDefault="00241EA6" w:rsidP="000234A5">
      <w:pPr>
        <w:pStyle w:val="FootnoteText"/>
        <w:rPr>
          <w:rFonts w:asciiTheme="minorHAnsi" w:hAnsiTheme="minorHAnsi"/>
          <w:szCs w:val="18"/>
        </w:rPr>
      </w:pPr>
      <w:r w:rsidRPr="009C768B">
        <w:rPr>
          <w:rStyle w:val="FootnoteReference"/>
          <w:rFonts w:asciiTheme="minorHAnsi" w:hAnsiTheme="minorHAnsi"/>
          <w:sz w:val="18"/>
          <w:szCs w:val="18"/>
        </w:rPr>
        <w:footnoteRef/>
      </w:r>
      <w:r w:rsidRPr="009C768B">
        <w:rPr>
          <w:rFonts w:asciiTheme="minorHAnsi" w:hAnsiTheme="minorHAnsi"/>
          <w:szCs w:val="18"/>
        </w:rPr>
        <w:t xml:space="preserve"> </w:t>
      </w:r>
      <w:r w:rsidRPr="009C768B">
        <w:rPr>
          <w:rFonts w:asciiTheme="minorHAnsi" w:hAnsiTheme="minorHAnsi"/>
          <w:szCs w:val="18"/>
        </w:rPr>
        <w:tab/>
      </w:r>
      <w:r>
        <w:rPr>
          <w:rFonts w:asciiTheme="minorHAnsi" w:hAnsiTheme="minorHAnsi"/>
          <w:szCs w:val="18"/>
        </w:rPr>
        <w:t xml:space="preserve">Class 4 </w:t>
      </w:r>
      <w:r w:rsidRPr="009C768B">
        <w:rPr>
          <w:rFonts w:asciiTheme="minorHAnsi" w:hAnsiTheme="minorHAnsi"/>
          <w:szCs w:val="18"/>
        </w:rPr>
        <w:t>venue operators have obligations to prevent and minimise the harm from gambling. Problem gambling awareness training is required for venue staff, and venue managers need to reasonably ensure that the policy is used to identify problem gamblers. Venue operators are also responsible for the issuing of exclusion orders to identified problem gamblers in certain circumstances and implem</w:t>
      </w:r>
      <w:r>
        <w:rPr>
          <w:rFonts w:asciiTheme="minorHAnsi" w:hAnsiTheme="minorHAnsi"/>
          <w:szCs w:val="18"/>
        </w:rPr>
        <w:t>entation of any orders. The Gambling Amendment Act 2015 places further obligations on venue staff where there are ongoing concerns about a gambler’s behaviour.</w:t>
      </w:r>
    </w:p>
  </w:footnote>
  <w:footnote w:id="5">
    <w:p w:rsidR="00241EA6" w:rsidRDefault="00241EA6">
      <w:pPr>
        <w:pStyle w:val="FootnoteText"/>
      </w:pPr>
      <w:r>
        <w:rPr>
          <w:rStyle w:val="FootnoteReference"/>
        </w:rPr>
        <w:footnoteRef/>
      </w:r>
      <w:r>
        <w:t xml:space="preserve"> </w:t>
      </w:r>
      <w:r>
        <w:tab/>
        <w:t>Smaller venues may be being paid less than what they are entitled to because societies balance payments across their portfolio to keep within Limit D (16 per cent of GMP, excluding GST). Under the new regime, payments will be per venue, and not spread across a society’s portfolio of venues.</w:t>
      </w:r>
    </w:p>
  </w:footnote>
  <w:footnote w:id="6">
    <w:p w:rsidR="00241EA6" w:rsidRDefault="00241EA6" w:rsidP="000234A5">
      <w:pPr>
        <w:pStyle w:val="FootnoteText"/>
      </w:pPr>
      <w:r>
        <w:rPr>
          <w:rStyle w:val="FootnoteReference"/>
        </w:rPr>
        <w:footnoteRef/>
      </w:r>
      <w:r>
        <w:t xml:space="preserve"> </w:t>
      </w:r>
      <w:r>
        <w:tab/>
        <w:t xml:space="preserve">Under law, return to player percentages cannot be higher than 92 per cent or lower than 78 per cent. The majority of venues have their RTP percentages at 89 per cent or higher. Commission-based on turnover could incentivise venues to increases RTP percentages, but because most venues are already operating close to the RTP maximum, the impact is marginal. Commission-based on GMP incentivises venues to lower RTP percentages to increase GMP, thereby significantly increasing their venue payment. </w:t>
      </w:r>
    </w:p>
  </w:footnote>
  <w:footnote w:id="7">
    <w:p w:rsidR="00241EA6" w:rsidRPr="009C768B" w:rsidRDefault="00241EA6" w:rsidP="000234A5">
      <w:pPr>
        <w:pStyle w:val="FootnoteText"/>
        <w:rPr>
          <w:rFonts w:asciiTheme="minorHAnsi" w:hAnsiTheme="minorHAnsi"/>
          <w:i/>
          <w:szCs w:val="18"/>
        </w:rPr>
      </w:pPr>
      <w:r w:rsidRPr="009C768B">
        <w:rPr>
          <w:rStyle w:val="FootnoteReference"/>
          <w:rFonts w:asciiTheme="minorHAnsi" w:hAnsiTheme="minorHAnsi"/>
          <w:sz w:val="18"/>
          <w:szCs w:val="18"/>
        </w:rPr>
        <w:footnoteRef/>
      </w:r>
      <w:r w:rsidRPr="009C768B">
        <w:rPr>
          <w:rFonts w:asciiTheme="minorHAnsi" w:hAnsiTheme="minorHAnsi"/>
          <w:szCs w:val="18"/>
        </w:rPr>
        <w:t xml:space="preserve"> </w:t>
      </w:r>
      <w:r w:rsidRPr="009C768B">
        <w:rPr>
          <w:rFonts w:asciiTheme="minorHAnsi" w:hAnsiTheme="minorHAnsi"/>
          <w:szCs w:val="18"/>
        </w:rPr>
        <w:tab/>
        <w:t>S.372(1)(dd) states… ‘</w:t>
      </w:r>
      <w:r w:rsidRPr="009C768B">
        <w:rPr>
          <w:rFonts w:asciiTheme="minorHAnsi" w:hAnsiTheme="minorHAnsi"/>
          <w:i/>
          <w:szCs w:val="18"/>
        </w:rPr>
        <w:t>that, subject to any conditions that maybe prescribed, the payment for 1 or more matters may be up to an amount that does not exceed a specified percentage of the turnover (exclusive of prizes and goods and service tax) of the class 4 gambling, for a stated period, at the venue’</w:t>
      </w:r>
      <w:r w:rsidRPr="009C768B">
        <w:rPr>
          <w:rFonts w:asciiTheme="minorHAnsi" w:hAnsiTheme="minorHAnsi"/>
          <w:szCs w:val="18"/>
        </w:rPr>
        <w:t>.</w:t>
      </w:r>
    </w:p>
    <w:p w:rsidR="00241EA6" w:rsidRDefault="00241EA6" w:rsidP="000234A5">
      <w:pPr>
        <w:pStyle w:val="FootnoteText"/>
      </w:pPr>
    </w:p>
  </w:footnote>
  <w:footnote w:id="8">
    <w:p w:rsidR="00241EA6" w:rsidRDefault="00241EA6" w:rsidP="007A579C">
      <w:pPr>
        <w:pStyle w:val="FootnoteText"/>
      </w:pPr>
      <w:r w:rsidRPr="007A579C">
        <w:footnoteRef/>
      </w:r>
      <w:r>
        <w:t xml:space="preserve"> </w:t>
      </w:r>
      <w:r>
        <w:tab/>
        <w:t xml:space="preserve">The Department notes that a mandatory payment is not possible within existing primary legislation [s.371(1)(dd)(iii) refers] nor desirable as it would preclude societies from keeping total payments below the annualised limit. </w:t>
      </w:r>
    </w:p>
    <w:p w:rsidR="00241EA6" w:rsidRDefault="00241E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D" w:rsidRDefault="00AE6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6" w:rsidRDefault="00241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D" w:rsidRDefault="00AE6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2BA46F3"/>
    <w:multiLevelType w:val="multilevel"/>
    <w:tmpl w:val="C0B20A7E"/>
    <w:lvl w:ilvl="0">
      <w:start w:val="1"/>
      <w:numFmt w:val="decimal"/>
      <w:pStyle w:val="Numberedpara3level1"/>
      <w:lvlText w:val="%1."/>
      <w:lvlJc w:val="left"/>
      <w:pPr>
        <w:ind w:left="567" w:hanging="567"/>
      </w:pPr>
      <w:rPr>
        <w:rFonts w:hint="default"/>
        <w:b w:val="0"/>
      </w:rPr>
    </w:lvl>
    <w:lvl w:ilvl="1">
      <w:start w:val="1"/>
      <w:numFmt w:val="decimal"/>
      <w:pStyle w:val="Numberedpara3level211"/>
      <w:lvlText w:val="%1.%2"/>
      <w:lvlJc w:val="left"/>
      <w:pPr>
        <w:ind w:left="4281"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E1624D"/>
    <w:multiLevelType w:val="hybridMultilevel"/>
    <w:tmpl w:val="D46A8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4">
    <w:nsid w:val="15924109"/>
    <w:multiLevelType w:val="multilevel"/>
    <w:tmpl w:val="6C985D04"/>
    <w:lvl w:ilvl="0">
      <w:start w:val="1"/>
      <w:numFmt w:val="decimal"/>
      <w:lvlText w:val="%1."/>
      <w:lvlJc w:val="left"/>
      <w:pPr>
        <w:ind w:left="567" w:hanging="567"/>
      </w:pPr>
      <w:rPr>
        <w:rFonts w:hint="default"/>
        <w:b w:val="0"/>
      </w:rPr>
    </w:lvl>
    <w:lvl w:ilvl="1">
      <w:start w:val="1"/>
      <w:numFmt w:val="bullet"/>
      <w:lvlText w:val=""/>
      <w:lvlJc w:val="left"/>
      <w:pPr>
        <w:ind w:left="4281" w:hanging="737"/>
      </w:pPr>
      <w:rPr>
        <w:rFonts w:ascii="Symbol" w:hAnsi="Symbol" w:hint="default"/>
      </w:rPr>
    </w:lvl>
    <w:lvl w:ilvl="2">
      <w:start w:val="1"/>
      <w:numFmt w:val="decimal"/>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904BF3"/>
    <w:multiLevelType w:val="hybridMultilevel"/>
    <w:tmpl w:val="F4C02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nsid w:val="38DE5A8D"/>
    <w:multiLevelType w:val="hybridMultilevel"/>
    <w:tmpl w:val="FB72FF06"/>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C1C3DBB"/>
    <w:multiLevelType w:val="multilevel"/>
    <w:tmpl w:val="F4B20FAE"/>
    <w:lvl w:ilvl="0">
      <w:start w:val="1"/>
      <w:numFmt w:val="bullet"/>
      <w:lvlText w:val=""/>
      <w:lvlJc w:val="left"/>
      <w:pPr>
        <w:ind w:left="567" w:hanging="567"/>
      </w:pPr>
      <w:rPr>
        <w:rFonts w:ascii="Symbol" w:hAnsi="Symbol" w:hint="default"/>
        <w:b w:val="0"/>
      </w:rPr>
    </w:lvl>
    <w:lvl w:ilvl="1">
      <w:start w:val="1"/>
      <w:numFmt w:val="decimal"/>
      <w:lvlText w:val="%1.%2"/>
      <w:lvlJc w:val="left"/>
      <w:pPr>
        <w:ind w:left="4281" w:hanging="737"/>
      </w:pPr>
      <w:rPr>
        <w:rFonts w:hint="default"/>
      </w:rPr>
    </w:lvl>
    <w:lvl w:ilvl="2">
      <w:start w:val="1"/>
      <w:numFmt w:val="decimal"/>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FD40A31"/>
    <w:multiLevelType w:val="multilevel"/>
    <w:tmpl w:val="51BAA28C"/>
    <w:lvl w:ilvl="0">
      <w:start w:val="1"/>
      <w:numFmt w:val="bullet"/>
      <w:pStyle w:val="Bullet"/>
      <w:lvlText w:val=""/>
      <w:lvlJc w:val="left"/>
      <w:pPr>
        <w:ind w:left="1704" w:hanging="360"/>
      </w:pPr>
      <w:rPr>
        <w:rFonts w:ascii="Symbol" w:hAnsi="Symbol" w:hint="default"/>
        <w:sz w:val="20"/>
      </w:rPr>
    </w:lvl>
    <w:lvl w:ilvl="1">
      <w:start w:val="1"/>
      <w:numFmt w:val="bullet"/>
      <w:pStyle w:val="Bulletlevel2"/>
      <w:lvlText w:val="○"/>
      <w:lvlJc w:val="left"/>
      <w:pPr>
        <w:ind w:left="2058" w:hanging="357"/>
      </w:pPr>
      <w:rPr>
        <w:rFonts w:ascii="Courier New" w:hAnsi="Courier New" w:hint="default"/>
        <w:b/>
        <w:i w:val="0"/>
        <w:sz w:val="18"/>
      </w:rPr>
    </w:lvl>
    <w:lvl w:ilvl="2">
      <w:start w:val="1"/>
      <w:numFmt w:val="bullet"/>
      <w:lvlRestart w:val="0"/>
      <w:pStyle w:val="Bulletlevel3"/>
      <w:lvlText w:val="-"/>
      <w:lvlJc w:val="left"/>
      <w:pPr>
        <w:ind w:left="2416" w:hanging="358"/>
      </w:pPr>
      <w:rPr>
        <w:rFonts w:ascii="Arial" w:hAnsi="Arial" w:hint="default"/>
      </w:rPr>
    </w:lvl>
    <w:lvl w:ilvl="3">
      <w:start w:val="1"/>
      <w:numFmt w:val="none"/>
      <w:lvlRestart w:val="0"/>
      <w:suff w:val="nothing"/>
      <w:lvlText w:val=""/>
      <w:lvlJc w:val="left"/>
      <w:pPr>
        <w:ind w:left="2478" w:firstLine="0"/>
      </w:pPr>
      <w:rPr>
        <w:rFonts w:hint="default"/>
      </w:rPr>
    </w:lvl>
    <w:lvl w:ilvl="4">
      <w:start w:val="1"/>
      <w:numFmt w:val="none"/>
      <w:lvlRestart w:val="0"/>
      <w:lvlText w:val=""/>
      <w:lvlJc w:val="left"/>
      <w:pPr>
        <w:tabs>
          <w:tab w:val="num" w:pos="1060"/>
        </w:tabs>
        <w:ind w:left="1060" w:firstLine="0"/>
      </w:pPr>
      <w:rPr>
        <w:rFonts w:hint="default"/>
      </w:rPr>
    </w:lvl>
    <w:lvl w:ilvl="5">
      <w:start w:val="1"/>
      <w:numFmt w:val="none"/>
      <w:lvlRestart w:val="0"/>
      <w:lvlText w:val=""/>
      <w:lvlJc w:val="left"/>
      <w:pPr>
        <w:tabs>
          <w:tab w:val="num" w:pos="1060"/>
        </w:tabs>
        <w:ind w:left="1060" w:firstLine="0"/>
      </w:pPr>
      <w:rPr>
        <w:rFonts w:hint="default"/>
      </w:rPr>
    </w:lvl>
    <w:lvl w:ilvl="6">
      <w:start w:val="1"/>
      <w:numFmt w:val="none"/>
      <w:lvlRestart w:val="0"/>
      <w:lvlText w:val=""/>
      <w:lvlJc w:val="left"/>
      <w:pPr>
        <w:tabs>
          <w:tab w:val="num" w:pos="1060"/>
        </w:tabs>
        <w:ind w:left="1060" w:firstLine="0"/>
      </w:pPr>
      <w:rPr>
        <w:rFonts w:hint="default"/>
      </w:rPr>
    </w:lvl>
    <w:lvl w:ilvl="7">
      <w:start w:val="1"/>
      <w:numFmt w:val="none"/>
      <w:lvlRestart w:val="0"/>
      <w:lvlText w:val=""/>
      <w:lvlJc w:val="left"/>
      <w:pPr>
        <w:tabs>
          <w:tab w:val="num" w:pos="1060"/>
        </w:tabs>
        <w:ind w:left="1060" w:firstLine="0"/>
      </w:pPr>
      <w:rPr>
        <w:rFonts w:hint="default"/>
      </w:rPr>
    </w:lvl>
    <w:lvl w:ilvl="8">
      <w:start w:val="1"/>
      <w:numFmt w:val="none"/>
      <w:lvlRestart w:val="0"/>
      <w:lvlText w:val=""/>
      <w:lvlJc w:val="left"/>
      <w:pPr>
        <w:tabs>
          <w:tab w:val="num" w:pos="1060"/>
        </w:tabs>
        <w:ind w:left="1060" w:firstLine="0"/>
      </w:pPr>
      <w:rPr>
        <w:rFonts w:hint="default"/>
      </w:rPr>
    </w:lvl>
  </w:abstractNum>
  <w:abstractNum w:abstractNumId="15">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7">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8">
    <w:nsid w:val="6B4C19D0"/>
    <w:multiLevelType w:val="hybridMultilevel"/>
    <w:tmpl w:val="7982E030"/>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19">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0"/>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12"/>
  </w:num>
  <w:num w:numId="2">
    <w:abstractNumId w:val="9"/>
  </w:num>
  <w:num w:numId="3">
    <w:abstractNumId w:val="8"/>
  </w:num>
  <w:num w:numId="4">
    <w:abstractNumId w:val="19"/>
  </w:num>
  <w:num w:numId="5">
    <w:abstractNumId w:val="14"/>
  </w:num>
  <w:num w:numId="6">
    <w:abstractNumId w:val="20"/>
  </w:num>
  <w:num w:numId="7">
    <w:abstractNumId w:val="17"/>
  </w:num>
  <w:num w:numId="8">
    <w:abstractNumId w:val="15"/>
  </w:num>
  <w:num w:numId="9">
    <w:abstractNumId w:val="11"/>
  </w:num>
  <w:num w:numId="10">
    <w:abstractNumId w:val="13"/>
  </w:num>
  <w:num w:numId="11">
    <w:abstractNumId w:val="3"/>
  </w:num>
  <w:num w:numId="12">
    <w:abstractNumId w:val="1"/>
  </w:num>
  <w:num w:numId="13">
    <w:abstractNumId w:val="7"/>
  </w:num>
  <w:num w:numId="14">
    <w:abstractNumId w:val="5"/>
  </w:num>
  <w:num w:numId="15">
    <w:abstractNumId w:val="18"/>
  </w:num>
  <w:num w:numId="16">
    <w:abstractNumId w:val="1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1"/>
  </w:num>
  <w:num w:numId="23">
    <w:abstractNumId w:val="4"/>
  </w:num>
  <w:num w:numId="24">
    <w:abstractNumId w:val="1"/>
  </w:num>
  <w:num w:numId="25">
    <w:abstractNumId w:val="1"/>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8193"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07BD"/>
    <w:rsid w:val="00000D41"/>
    <w:rsid w:val="00001539"/>
    <w:rsid w:val="00001EF5"/>
    <w:rsid w:val="00002212"/>
    <w:rsid w:val="00002433"/>
    <w:rsid w:val="00002BAC"/>
    <w:rsid w:val="000037F4"/>
    <w:rsid w:val="00004A8A"/>
    <w:rsid w:val="000051E1"/>
    <w:rsid w:val="00005DC9"/>
    <w:rsid w:val="00007A9E"/>
    <w:rsid w:val="00010986"/>
    <w:rsid w:val="00010F7D"/>
    <w:rsid w:val="00011A5F"/>
    <w:rsid w:val="000120E2"/>
    <w:rsid w:val="000129E9"/>
    <w:rsid w:val="00013A18"/>
    <w:rsid w:val="00013C44"/>
    <w:rsid w:val="00013D77"/>
    <w:rsid w:val="00014196"/>
    <w:rsid w:val="000147DC"/>
    <w:rsid w:val="00014847"/>
    <w:rsid w:val="00015072"/>
    <w:rsid w:val="000165AC"/>
    <w:rsid w:val="00016722"/>
    <w:rsid w:val="0001755F"/>
    <w:rsid w:val="00020267"/>
    <w:rsid w:val="0002068B"/>
    <w:rsid w:val="000209B5"/>
    <w:rsid w:val="00021369"/>
    <w:rsid w:val="0002150E"/>
    <w:rsid w:val="00021B64"/>
    <w:rsid w:val="00021B86"/>
    <w:rsid w:val="00022354"/>
    <w:rsid w:val="000232EB"/>
    <w:rsid w:val="000234A5"/>
    <w:rsid w:val="00023577"/>
    <w:rsid w:val="00023BAB"/>
    <w:rsid w:val="00023EA6"/>
    <w:rsid w:val="00023F35"/>
    <w:rsid w:val="0002568E"/>
    <w:rsid w:val="00025920"/>
    <w:rsid w:val="00025954"/>
    <w:rsid w:val="00030DEA"/>
    <w:rsid w:val="00033950"/>
    <w:rsid w:val="00033E92"/>
    <w:rsid w:val="000343E7"/>
    <w:rsid w:val="00035185"/>
    <w:rsid w:val="000366AE"/>
    <w:rsid w:val="00036A3D"/>
    <w:rsid w:val="00036E6F"/>
    <w:rsid w:val="00036EE4"/>
    <w:rsid w:val="00040506"/>
    <w:rsid w:val="00040616"/>
    <w:rsid w:val="00041469"/>
    <w:rsid w:val="0004348F"/>
    <w:rsid w:val="000435AD"/>
    <w:rsid w:val="000457C7"/>
    <w:rsid w:val="00045AFC"/>
    <w:rsid w:val="0004663E"/>
    <w:rsid w:val="0004670E"/>
    <w:rsid w:val="000469BE"/>
    <w:rsid w:val="00046F46"/>
    <w:rsid w:val="00047559"/>
    <w:rsid w:val="00051999"/>
    <w:rsid w:val="000523FC"/>
    <w:rsid w:val="000526E4"/>
    <w:rsid w:val="0005434D"/>
    <w:rsid w:val="00054F39"/>
    <w:rsid w:val="0005503E"/>
    <w:rsid w:val="00055373"/>
    <w:rsid w:val="0005590C"/>
    <w:rsid w:val="00056263"/>
    <w:rsid w:val="00056F77"/>
    <w:rsid w:val="00057AC4"/>
    <w:rsid w:val="000606D4"/>
    <w:rsid w:val="00060AAB"/>
    <w:rsid w:val="00060CD3"/>
    <w:rsid w:val="00061004"/>
    <w:rsid w:val="000615F0"/>
    <w:rsid w:val="00061E49"/>
    <w:rsid w:val="0006214F"/>
    <w:rsid w:val="00063CE5"/>
    <w:rsid w:val="00063DCF"/>
    <w:rsid w:val="000655B2"/>
    <w:rsid w:val="000656C9"/>
    <w:rsid w:val="00065838"/>
    <w:rsid w:val="00066383"/>
    <w:rsid w:val="00070193"/>
    <w:rsid w:val="00072202"/>
    <w:rsid w:val="000722CE"/>
    <w:rsid w:val="00072E6E"/>
    <w:rsid w:val="00073A19"/>
    <w:rsid w:val="00073F31"/>
    <w:rsid w:val="000742E7"/>
    <w:rsid w:val="00074B13"/>
    <w:rsid w:val="00074D02"/>
    <w:rsid w:val="00074F59"/>
    <w:rsid w:val="0007668D"/>
    <w:rsid w:val="00080CE0"/>
    <w:rsid w:val="00080DE3"/>
    <w:rsid w:val="00082ABC"/>
    <w:rsid w:val="00083ADB"/>
    <w:rsid w:val="0008489C"/>
    <w:rsid w:val="00084FD7"/>
    <w:rsid w:val="00086007"/>
    <w:rsid w:val="000863E2"/>
    <w:rsid w:val="00086898"/>
    <w:rsid w:val="0008701E"/>
    <w:rsid w:val="0008712F"/>
    <w:rsid w:val="00087A25"/>
    <w:rsid w:val="00087A51"/>
    <w:rsid w:val="00087C41"/>
    <w:rsid w:val="00093244"/>
    <w:rsid w:val="0009412A"/>
    <w:rsid w:val="00096BFA"/>
    <w:rsid w:val="000A1410"/>
    <w:rsid w:val="000A20D1"/>
    <w:rsid w:val="000A2AA9"/>
    <w:rsid w:val="000A39F4"/>
    <w:rsid w:val="000A43F8"/>
    <w:rsid w:val="000A4419"/>
    <w:rsid w:val="000A56AA"/>
    <w:rsid w:val="000A5738"/>
    <w:rsid w:val="000A651D"/>
    <w:rsid w:val="000A6969"/>
    <w:rsid w:val="000B005C"/>
    <w:rsid w:val="000B01CC"/>
    <w:rsid w:val="000B0480"/>
    <w:rsid w:val="000B0615"/>
    <w:rsid w:val="000B0C12"/>
    <w:rsid w:val="000B0D42"/>
    <w:rsid w:val="000B16BF"/>
    <w:rsid w:val="000B27C0"/>
    <w:rsid w:val="000B2C33"/>
    <w:rsid w:val="000B42BE"/>
    <w:rsid w:val="000B4DE6"/>
    <w:rsid w:val="000B5B1E"/>
    <w:rsid w:val="000B5B7E"/>
    <w:rsid w:val="000C0912"/>
    <w:rsid w:val="000C13F5"/>
    <w:rsid w:val="000C1935"/>
    <w:rsid w:val="000C26E9"/>
    <w:rsid w:val="000C2B17"/>
    <w:rsid w:val="000C3EB5"/>
    <w:rsid w:val="000C43B6"/>
    <w:rsid w:val="000C684B"/>
    <w:rsid w:val="000C6EED"/>
    <w:rsid w:val="000D0A59"/>
    <w:rsid w:val="000D0E06"/>
    <w:rsid w:val="000D0FA0"/>
    <w:rsid w:val="000D1A0F"/>
    <w:rsid w:val="000D21D5"/>
    <w:rsid w:val="000D2A6B"/>
    <w:rsid w:val="000D2F66"/>
    <w:rsid w:val="000D4DBA"/>
    <w:rsid w:val="000D4F14"/>
    <w:rsid w:val="000D51D1"/>
    <w:rsid w:val="000D5E01"/>
    <w:rsid w:val="000D6393"/>
    <w:rsid w:val="000D67E8"/>
    <w:rsid w:val="000D6DE5"/>
    <w:rsid w:val="000D7241"/>
    <w:rsid w:val="000D7A39"/>
    <w:rsid w:val="000D7C12"/>
    <w:rsid w:val="000D7FEE"/>
    <w:rsid w:val="000E0036"/>
    <w:rsid w:val="000E096D"/>
    <w:rsid w:val="000E1EC1"/>
    <w:rsid w:val="000E2150"/>
    <w:rsid w:val="000E3076"/>
    <w:rsid w:val="000E3979"/>
    <w:rsid w:val="000E3CE1"/>
    <w:rsid w:val="000E3DC9"/>
    <w:rsid w:val="000E4844"/>
    <w:rsid w:val="000E5741"/>
    <w:rsid w:val="000E5FA7"/>
    <w:rsid w:val="000E730B"/>
    <w:rsid w:val="000E73FF"/>
    <w:rsid w:val="000E7A7A"/>
    <w:rsid w:val="000E7C1C"/>
    <w:rsid w:val="000E7C1F"/>
    <w:rsid w:val="000E7DAB"/>
    <w:rsid w:val="000F03B0"/>
    <w:rsid w:val="000F0743"/>
    <w:rsid w:val="000F291E"/>
    <w:rsid w:val="000F3333"/>
    <w:rsid w:val="000F4A1A"/>
    <w:rsid w:val="000F616D"/>
    <w:rsid w:val="000F6F99"/>
    <w:rsid w:val="000F7020"/>
    <w:rsid w:val="001015C8"/>
    <w:rsid w:val="00101A24"/>
    <w:rsid w:val="00102A9C"/>
    <w:rsid w:val="001078A6"/>
    <w:rsid w:val="00110514"/>
    <w:rsid w:val="00111B9D"/>
    <w:rsid w:val="001123FE"/>
    <w:rsid w:val="00113146"/>
    <w:rsid w:val="00114F56"/>
    <w:rsid w:val="00116006"/>
    <w:rsid w:val="00116B51"/>
    <w:rsid w:val="00121DAE"/>
    <w:rsid w:val="00121ECB"/>
    <w:rsid w:val="00122B17"/>
    <w:rsid w:val="00123413"/>
    <w:rsid w:val="0012410B"/>
    <w:rsid w:val="00125812"/>
    <w:rsid w:val="00126CD1"/>
    <w:rsid w:val="00126EB4"/>
    <w:rsid w:val="00127757"/>
    <w:rsid w:val="00130E8F"/>
    <w:rsid w:val="00131071"/>
    <w:rsid w:val="00131408"/>
    <w:rsid w:val="0013219D"/>
    <w:rsid w:val="00132510"/>
    <w:rsid w:val="001336E3"/>
    <w:rsid w:val="001338C8"/>
    <w:rsid w:val="001339BB"/>
    <w:rsid w:val="00136366"/>
    <w:rsid w:val="001369FC"/>
    <w:rsid w:val="00136E5A"/>
    <w:rsid w:val="00136EED"/>
    <w:rsid w:val="0013748E"/>
    <w:rsid w:val="00140294"/>
    <w:rsid w:val="00141A6B"/>
    <w:rsid w:val="00141B20"/>
    <w:rsid w:val="00141BCE"/>
    <w:rsid w:val="00141D39"/>
    <w:rsid w:val="00141DC4"/>
    <w:rsid w:val="00142051"/>
    <w:rsid w:val="00143437"/>
    <w:rsid w:val="00143DFE"/>
    <w:rsid w:val="00144369"/>
    <w:rsid w:val="00144ADC"/>
    <w:rsid w:val="00144BBB"/>
    <w:rsid w:val="00146A31"/>
    <w:rsid w:val="00146FC1"/>
    <w:rsid w:val="00150932"/>
    <w:rsid w:val="001521DD"/>
    <w:rsid w:val="00152D49"/>
    <w:rsid w:val="00156D2D"/>
    <w:rsid w:val="00157E18"/>
    <w:rsid w:val="00161022"/>
    <w:rsid w:val="00161358"/>
    <w:rsid w:val="001620EB"/>
    <w:rsid w:val="00163AD5"/>
    <w:rsid w:val="00164938"/>
    <w:rsid w:val="0016538E"/>
    <w:rsid w:val="00165E4E"/>
    <w:rsid w:val="00166A7A"/>
    <w:rsid w:val="00166C49"/>
    <w:rsid w:val="001674EB"/>
    <w:rsid w:val="001677C2"/>
    <w:rsid w:val="00167EE1"/>
    <w:rsid w:val="00167F7A"/>
    <w:rsid w:val="001705C4"/>
    <w:rsid w:val="00170E13"/>
    <w:rsid w:val="00171281"/>
    <w:rsid w:val="001712D6"/>
    <w:rsid w:val="001726B0"/>
    <w:rsid w:val="001737C6"/>
    <w:rsid w:val="00173D98"/>
    <w:rsid w:val="00174A13"/>
    <w:rsid w:val="00174FFC"/>
    <w:rsid w:val="00175644"/>
    <w:rsid w:val="001767C7"/>
    <w:rsid w:val="00176AEC"/>
    <w:rsid w:val="001778FE"/>
    <w:rsid w:val="00177AA8"/>
    <w:rsid w:val="001800AF"/>
    <w:rsid w:val="00180A3B"/>
    <w:rsid w:val="00180BD5"/>
    <w:rsid w:val="00180D17"/>
    <w:rsid w:val="00181D22"/>
    <w:rsid w:val="00183D99"/>
    <w:rsid w:val="00183EB1"/>
    <w:rsid w:val="00184219"/>
    <w:rsid w:val="00185884"/>
    <w:rsid w:val="00185E27"/>
    <w:rsid w:val="001901C1"/>
    <w:rsid w:val="00190331"/>
    <w:rsid w:val="0019074D"/>
    <w:rsid w:val="00190E60"/>
    <w:rsid w:val="0019141D"/>
    <w:rsid w:val="00191B67"/>
    <w:rsid w:val="00191EEC"/>
    <w:rsid w:val="001929AF"/>
    <w:rsid w:val="00194CF9"/>
    <w:rsid w:val="00195D13"/>
    <w:rsid w:val="00197273"/>
    <w:rsid w:val="001A0E60"/>
    <w:rsid w:val="001A13C8"/>
    <w:rsid w:val="001A1C61"/>
    <w:rsid w:val="001A1DDA"/>
    <w:rsid w:val="001A1DFB"/>
    <w:rsid w:val="001A2E99"/>
    <w:rsid w:val="001A3B6E"/>
    <w:rsid w:val="001A5694"/>
    <w:rsid w:val="001A5BEE"/>
    <w:rsid w:val="001A6723"/>
    <w:rsid w:val="001A6948"/>
    <w:rsid w:val="001A6C15"/>
    <w:rsid w:val="001A7DE1"/>
    <w:rsid w:val="001B0726"/>
    <w:rsid w:val="001B0DF0"/>
    <w:rsid w:val="001B1A87"/>
    <w:rsid w:val="001B1BDF"/>
    <w:rsid w:val="001B1CE6"/>
    <w:rsid w:val="001B2466"/>
    <w:rsid w:val="001B24D5"/>
    <w:rsid w:val="001B2869"/>
    <w:rsid w:val="001B3F6D"/>
    <w:rsid w:val="001B3F81"/>
    <w:rsid w:val="001B41EF"/>
    <w:rsid w:val="001B42EA"/>
    <w:rsid w:val="001B4E6C"/>
    <w:rsid w:val="001B6177"/>
    <w:rsid w:val="001B6D4B"/>
    <w:rsid w:val="001B6E1C"/>
    <w:rsid w:val="001B7122"/>
    <w:rsid w:val="001C006A"/>
    <w:rsid w:val="001C0CF6"/>
    <w:rsid w:val="001C2214"/>
    <w:rsid w:val="001C2523"/>
    <w:rsid w:val="001C2524"/>
    <w:rsid w:val="001C41C2"/>
    <w:rsid w:val="001C4555"/>
    <w:rsid w:val="001C4570"/>
    <w:rsid w:val="001C4AE3"/>
    <w:rsid w:val="001C52BC"/>
    <w:rsid w:val="001C53C1"/>
    <w:rsid w:val="001C6D43"/>
    <w:rsid w:val="001C6E0E"/>
    <w:rsid w:val="001C6FF5"/>
    <w:rsid w:val="001D0488"/>
    <w:rsid w:val="001D0A46"/>
    <w:rsid w:val="001D22ED"/>
    <w:rsid w:val="001D3440"/>
    <w:rsid w:val="001D37FB"/>
    <w:rsid w:val="001D3DCB"/>
    <w:rsid w:val="001D53A8"/>
    <w:rsid w:val="001D7325"/>
    <w:rsid w:val="001E0227"/>
    <w:rsid w:val="001E11A8"/>
    <w:rsid w:val="001E11D2"/>
    <w:rsid w:val="001E1832"/>
    <w:rsid w:val="001E1A8F"/>
    <w:rsid w:val="001E1F3D"/>
    <w:rsid w:val="001E4E1F"/>
    <w:rsid w:val="001E554A"/>
    <w:rsid w:val="001E75DB"/>
    <w:rsid w:val="001F0049"/>
    <w:rsid w:val="001F06A3"/>
    <w:rsid w:val="001F0AB1"/>
    <w:rsid w:val="001F0DD3"/>
    <w:rsid w:val="001F21CB"/>
    <w:rsid w:val="001F2BF9"/>
    <w:rsid w:val="001F2D40"/>
    <w:rsid w:val="001F2D42"/>
    <w:rsid w:val="001F492F"/>
    <w:rsid w:val="001F6750"/>
    <w:rsid w:val="001F7AA7"/>
    <w:rsid w:val="00200311"/>
    <w:rsid w:val="002008D1"/>
    <w:rsid w:val="00200CFA"/>
    <w:rsid w:val="00200E3D"/>
    <w:rsid w:val="00201A47"/>
    <w:rsid w:val="0020298F"/>
    <w:rsid w:val="00203005"/>
    <w:rsid w:val="00203632"/>
    <w:rsid w:val="002036AA"/>
    <w:rsid w:val="00203789"/>
    <w:rsid w:val="00204A37"/>
    <w:rsid w:val="00205334"/>
    <w:rsid w:val="002063A5"/>
    <w:rsid w:val="00207300"/>
    <w:rsid w:val="00210066"/>
    <w:rsid w:val="00210BE5"/>
    <w:rsid w:val="00212F9F"/>
    <w:rsid w:val="002136EA"/>
    <w:rsid w:val="00213A98"/>
    <w:rsid w:val="00213B41"/>
    <w:rsid w:val="00213F09"/>
    <w:rsid w:val="00216DB5"/>
    <w:rsid w:val="00216F08"/>
    <w:rsid w:val="00220A63"/>
    <w:rsid w:val="002217FA"/>
    <w:rsid w:val="00222CA5"/>
    <w:rsid w:val="00223E80"/>
    <w:rsid w:val="00224A1F"/>
    <w:rsid w:val="00225345"/>
    <w:rsid w:val="002258FC"/>
    <w:rsid w:val="00226226"/>
    <w:rsid w:val="00226CD0"/>
    <w:rsid w:val="00226E0D"/>
    <w:rsid w:val="00226FD2"/>
    <w:rsid w:val="0022739D"/>
    <w:rsid w:val="0022758F"/>
    <w:rsid w:val="00227D78"/>
    <w:rsid w:val="00227FE4"/>
    <w:rsid w:val="00230C90"/>
    <w:rsid w:val="002317B4"/>
    <w:rsid w:val="002319EB"/>
    <w:rsid w:val="00232A37"/>
    <w:rsid w:val="002331A0"/>
    <w:rsid w:val="00233DC9"/>
    <w:rsid w:val="0023447D"/>
    <w:rsid w:val="00235540"/>
    <w:rsid w:val="00235A5C"/>
    <w:rsid w:val="0023708B"/>
    <w:rsid w:val="00237318"/>
    <w:rsid w:val="00237FE9"/>
    <w:rsid w:val="00240398"/>
    <w:rsid w:val="00240DAB"/>
    <w:rsid w:val="00241671"/>
    <w:rsid w:val="00241EA6"/>
    <w:rsid w:val="00243407"/>
    <w:rsid w:val="00243479"/>
    <w:rsid w:val="00244816"/>
    <w:rsid w:val="00244DD3"/>
    <w:rsid w:val="00245171"/>
    <w:rsid w:val="00245DA0"/>
    <w:rsid w:val="00247378"/>
    <w:rsid w:val="00247ADA"/>
    <w:rsid w:val="00251406"/>
    <w:rsid w:val="00255669"/>
    <w:rsid w:val="00257836"/>
    <w:rsid w:val="00257CC1"/>
    <w:rsid w:val="002608A8"/>
    <w:rsid w:val="00264EEE"/>
    <w:rsid w:val="0026530E"/>
    <w:rsid w:val="00265DE1"/>
    <w:rsid w:val="00265DED"/>
    <w:rsid w:val="00265E6C"/>
    <w:rsid w:val="002667B4"/>
    <w:rsid w:val="00266A30"/>
    <w:rsid w:val="0026794D"/>
    <w:rsid w:val="00267FAB"/>
    <w:rsid w:val="002711CA"/>
    <w:rsid w:val="002712C8"/>
    <w:rsid w:val="002719ED"/>
    <w:rsid w:val="00271EB7"/>
    <w:rsid w:val="00271EB9"/>
    <w:rsid w:val="00272E82"/>
    <w:rsid w:val="00273267"/>
    <w:rsid w:val="00273732"/>
    <w:rsid w:val="00273D5C"/>
    <w:rsid w:val="00273ECF"/>
    <w:rsid w:val="002741F7"/>
    <w:rsid w:val="00274490"/>
    <w:rsid w:val="00274EBA"/>
    <w:rsid w:val="00275209"/>
    <w:rsid w:val="0027527B"/>
    <w:rsid w:val="0027555C"/>
    <w:rsid w:val="00275719"/>
    <w:rsid w:val="00275B26"/>
    <w:rsid w:val="0027706F"/>
    <w:rsid w:val="00281580"/>
    <w:rsid w:val="0028252F"/>
    <w:rsid w:val="00282DD1"/>
    <w:rsid w:val="00283AFA"/>
    <w:rsid w:val="00283CCE"/>
    <w:rsid w:val="00286369"/>
    <w:rsid w:val="00286AFB"/>
    <w:rsid w:val="00287942"/>
    <w:rsid w:val="00290AF5"/>
    <w:rsid w:val="00291185"/>
    <w:rsid w:val="00292980"/>
    <w:rsid w:val="002935C6"/>
    <w:rsid w:val="0029399F"/>
    <w:rsid w:val="00293E21"/>
    <w:rsid w:val="00293F46"/>
    <w:rsid w:val="00294034"/>
    <w:rsid w:val="002947B8"/>
    <w:rsid w:val="00295264"/>
    <w:rsid w:val="002954CD"/>
    <w:rsid w:val="002962EE"/>
    <w:rsid w:val="00296404"/>
    <w:rsid w:val="0029649F"/>
    <w:rsid w:val="002A05D3"/>
    <w:rsid w:val="002A06C6"/>
    <w:rsid w:val="002A37E6"/>
    <w:rsid w:val="002A535E"/>
    <w:rsid w:val="002A5881"/>
    <w:rsid w:val="002A5E7A"/>
    <w:rsid w:val="002A68EC"/>
    <w:rsid w:val="002B0025"/>
    <w:rsid w:val="002B0313"/>
    <w:rsid w:val="002B0795"/>
    <w:rsid w:val="002B0801"/>
    <w:rsid w:val="002B10E8"/>
    <w:rsid w:val="002B260B"/>
    <w:rsid w:val="002B2EC0"/>
    <w:rsid w:val="002B31C4"/>
    <w:rsid w:val="002B3F5D"/>
    <w:rsid w:val="002B5324"/>
    <w:rsid w:val="002B56E7"/>
    <w:rsid w:val="002C0074"/>
    <w:rsid w:val="002C097E"/>
    <w:rsid w:val="002C2315"/>
    <w:rsid w:val="002C298F"/>
    <w:rsid w:val="002C301D"/>
    <w:rsid w:val="002C322A"/>
    <w:rsid w:val="002C362A"/>
    <w:rsid w:val="002C4A03"/>
    <w:rsid w:val="002C4A38"/>
    <w:rsid w:val="002C536D"/>
    <w:rsid w:val="002C557A"/>
    <w:rsid w:val="002C5859"/>
    <w:rsid w:val="002C6298"/>
    <w:rsid w:val="002C65B8"/>
    <w:rsid w:val="002C6FC7"/>
    <w:rsid w:val="002C734D"/>
    <w:rsid w:val="002C744C"/>
    <w:rsid w:val="002C7DBA"/>
    <w:rsid w:val="002D01BF"/>
    <w:rsid w:val="002D0FAA"/>
    <w:rsid w:val="002D33E5"/>
    <w:rsid w:val="002D3E81"/>
    <w:rsid w:val="002D4AC3"/>
    <w:rsid w:val="002D4C04"/>
    <w:rsid w:val="002D4CBF"/>
    <w:rsid w:val="002D52A0"/>
    <w:rsid w:val="002D6691"/>
    <w:rsid w:val="002D68CC"/>
    <w:rsid w:val="002E062E"/>
    <w:rsid w:val="002E0729"/>
    <w:rsid w:val="002E0D23"/>
    <w:rsid w:val="002E12B6"/>
    <w:rsid w:val="002E1A31"/>
    <w:rsid w:val="002E1D30"/>
    <w:rsid w:val="002E28C6"/>
    <w:rsid w:val="002E3D76"/>
    <w:rsid w:val="002E465F"/>
    <w:rsid w:val="002E4DB3"/>
    <w:rsid w:val="002E5B74"/>
    <w:rsid w:val="002E5E8D"/>
    <w:rsid w:val="002E741C"/>
    <w:rsid w:val="002E7626"/>
    <w:rsid w:val="002E79A6"/>
    <w:rsid w:val="002F0313"/>
    <w:rsid w:val="002F10B2"/>
    <w:rsid w:val="002F10BF"/>
    <w:rsid w:val="002F110D"/>
    <w:rsid w:val="002F2898"/>
    <w:rsid w:val="002F32BD"/>
    <w:rsid w:val="002F33A0"/>
    <w:rsid w:val="002F4407"/>
    <w:rsid w:val="002F59C9"/>
    <w:rsid w:val="002F5A1A"/>
    <w:rsid w:val="002F6E55"/>
    <w:rsid w:val="002F6E67"/>
    <w:rsid w:val="002F70A1"/>
    <w:rsid w:val="002F71F1"/>
    <w:rsid w:val="002F7C03"/>
    <w:rsid w:val="0030111A"/>
    <w:rsid w:val="00301EB7"/>
    <w:rsid w:val="003020F3"/>
    <w:rsid w:val="00302909"/>
    <w:rsid w:val="00302A0B"/>
    <w:rsid w:val="003033E1"/>
    <w:rsid w:val="003038AC"/>
    <w:rsid w:val="00304448"/>
    <w:rsid w:val="00304D0F"/>
    <w:rsid w:val="00305726"/>
    <w:rsid w:val="00306028"/>
    <w:rsid w:val="00306341"/>
    <w:rsid w:val="00306E9B"/>
    <w:rsid w:val="00307613"/>
    <w:rsid w:val="003076FA"/>
    <w:rsid w:val="00310D70"/>
    <w:rsid w:val="00311617"/>
    <w:rsid w:val="0031214B"/>
    <w:rsid w:val="0031227D"/>
    <w:rsid w:val="00312AEE"/>
    <w:rsid w:val="00313880"/>
    <w:rsid w:val="00313F3E"/>
    <w:rsid w:val="00315307"/>
    <w:rsid w:val="00315973"/>
    <w:rsid w:val="00315D17"/>
    <w:rsid w:val="003176BB"/>
    <w:rsid w:val="00317E1A"/>
    <w:rsid w:val="003210B2"/>
    <w:rsid w:val="00322C6A"/>
    <w:rsid w:val="003237B0"/>
    <w:rsid w:val="0032472E"/>
    <w:rsid w:val="00324EB8"/>
    <w:rsid w:val="0032503F"/>
    <w:rsid w:val="003258CB"/>
    <w:rsid w:val="003262CE"/>
    <w:rsid w:val="003264ED"/>
    <w:rsid w:val="00326E97"/>
    <w:rsid w:val="003272DB"/>
    <w:rsid w:val="003308B4"/>
    <w:rsid w:val="00331839"/>
    <w:rsid w:val="00333209"/>
    <w:rsid w:val="003335CA"/>
    <w:rsid w:val="0033450E"/>
    <w:rsid w:val="00334A4E"/>
    <w:rsid w:val="003352EF"/>
    <w:rsid w:val="00340251"/>
    <w:rsid w:val="00340A5B"/>
    <w:rsid w:val="00340C9E"/>
    <w:rsid w:val="003414E1"/>
    <w:rsid w:val="003417DF"/>
    <w:rsid w:val="003424A8"/>
    <w:rsid w:val="003425F7"/>
    <w:rsid w:val="003428C4"/>
    <w:rsid w:val="00343012"/>
    <w:rsid w:val="00343233"/>
    <w:rsid w:val="00343306"/>
    <w:rsid w:val="00343B25"/>
    <w:rsid w:val="003441E3"/>
    <w:rsid w:val="003445EA"/>
    <w:rsid w:val="00345B85"/>
    <w:rsid w:val="00346356"/>
    <w:rsid w:val="00347957"/>
    <w:rsid w:val="003503A0"/>
    <w:rsid w:val="00351EC0"/>
    <w:rsid w:val="00352990"/>
    <w:rsid w:val="00353113"/>
    <w:rsid w:val="00353518"/>
    <w:rsid w:val="00353A13"/>
    <w:rsid w:val="00355291"/>
    <w:rsid w:val="00357229"/>
    <w:rsid w:val="00357A98"/>
    <w:rsid w:val="00357F34"/>
    <w:rsid w:val="003611BE"/>
    <w:rsid w:val="003613F4"/>
    <w:rsid w:val="00361819"/>
    <w:rsid w:val="00361869"/>
    <w:rsid w:val="00362FE1"/>
    <w:rsid w:val="00363D73"/>
    <w:rsid w:val="00363DCE"/>
    <w:rsid w:val="00364E9D"/>
    <w:rsid w:val="00365580"/>
    <w:rsid w:val="00365680"/>
    <w:rsid w:val="0036571A"/>
    <w:rsid w:val="00366A1A"/>
    <w:rsid w:val="00367B6E"/>
    <w:rsid w:val="00370B2E"/>
    <w:rsid w:val="00370DC1"/>
    <w:rsid w:val="003727CD"/>
    <w:rsid w:val="00372D68"/>
    <w:rsid w:val="0037352E"/>
    <w:rsid w:val="0037447C"/>
    <w:rsid w:val="0037458C"/>
    <w:rsid w:val="00374E9A"/>
    <w:rsid w:val="00375157"/>
    <w:rsid w:val="00376584"/>
    <w:rsid w:val="0037753C"/>
    <w:rsid w:val="003775A4"/>
    <w:rsid w:val="00377629"/>
    <w:rsid w:val="003815F4"/>
    <w:rsid w:val="00381DB8"/>
    <w:rsid w:val="003826A0"/>
    <w:rsid w:val="00383462"/>
    <w:rsid w:val="00385683"/>
    <w:rsid w:val="00386DD1"/>
    <w:rsid w:val="00387130"/>
    <w:rsid w:val="003875AE"/>
    <w:rsid w:val="00387CA4"/>
    <w:rsid w:val="00387D24"/>
    <w:rsid w:val="00387E2B"/>
    <w:rsid w:val="00390029"/>
    <w:rsid w:val="00390F78"/>
    <w:rsid w:val="00391F1E"/>
    <w:rsid w:val="0039259B"/>
    <w:rsid w:val="003932D8"/>
    <w:rsid w:val="00393D31"/>
    <w:rsid w:val="00394F66"/>
    <w:rsid w:val="00395750"/>
    <w:rsid w:val="0039581F"/>
    <w:rsid w:val="003963E7"/>
    <w:rsid w:val="0039647D"/>
    <w:rsid w:val="00396861"/>
    <w:rsid w:val="0039764F"/>
    <w:rsid w:val="0039783E"/>
    <w:rsid w:val="00397E87"/>
    <w:rsid w:val="003A0009"/>
    <w:rsid w:val="003A0ADF"/>
    <w:rsid w:val="003A0DAB"/>
    <w:rsid w:val="003A2945"/>
    <w:rsid w:val="003A4360"/>
    <w:rsid w:val="003A51AE"/>
    <w:rsid w:val="003A5441"/>
    <w:rsid w:val="003A5E9C"/>
    <w:rsid w:val="003A76E4"/>
    <w:rsid w:val="003A7754"/>
    <w:rsid w:val="003B09F2"/>
    <w:rsid w:val="003B1384"/>
    <w:rsid w:val="003B35B8"/>
    <w:rsid w:val="003B40A0"/>
    <w:rsid w:val="003B4A9D"/>
    <w:rsid w:val="003B4B13"/>
    <w:rsid w:val="003B4D2C"/>
    <w:rsid w:val="003B53A6"/>
    <w:rsid w:val="003B6074"/>
    <w:rsid w:val="003B622C"/>
    <w:rsid w:val="003C0785"/>
    <w:rsid w:val="003C0CDD"/>
    <w:rsid w:val="003C0FB9"/>
    <w:rsid w:val="003C1764"/>
    <w:rsid w:val="003C1EF7"/>
    <w:rsid w:val="003C2E77"/>
    <w:rsid w:val="003C33DF"/>
    <w:rsid w:val="003C3AD0"/>
    <w:rsid w:val="003C3BE0"/>
    <w:rsid w:val="003C4849"/>
    <w:rsid w:val="003C544E"/>
    <w:rsid w:val="003C56BA"/>
    <w:rsid w:val="003C681F"/>
    <w:rsid w:val="003C722C"/>
    <w:rsid w:val="003C789A"/>
    <w:rsid w:val="003C78EF"/>
    <w:rsid w:val="003C7985"/>
    <w:rsid w:val="003C7CAC"/>
    <w:rsid w:val="003D0000"/>
    <w:rsid w:val="003D20ED"/>
    <w:rsid w:val="003D3AF6"/>
    <w:rsid w:val="003D3CC7"/>
    <w:rsid w:val="003D4240"/>
    <w:rsid w:val="003D4ED7"/>
    <w:rsid w:val="003D5E39"/>
    <w:rsid w:val="003D6272"/>
    <w:rsid w:val="003D63BE"/>
    <w:rsid w:val="003D6531"/>
    <w:rsid w:val="003D6740"/>
    <w:rsid w:val="003D6CE1"/>
    <w:rsid w:val="003E017A"/>
    <w:rsid w:val="003E048D"/>
    <w:rsid w:val="003E0990"/>
    <w:rsid w:val="003E1FAF"/>
    <w:rsid w:val="003E20B9"/>
    <w:rsid w:val="003E238A"/>
    <w:rsid w:val="003E3836"/>
    <w:rsid w:val="003E39B9"/>
    <w:rsid w:val="003E43B6"/>
    <w:rsid w:val="003E4AC8"/>
    <w:rsid w:val="003E4BB4"/>
    <w:rsid w:val="003E51AF"/>
    <w:rsid w:val="003E68FB"/>
    <w:rsid w:val="003E6AF8"/>
    <w:rsid w:val="003E6ED3"/>
    <w:rsid w:val="003E719D"/>
    <w:rsid w:val="003E7619"/>
    <w:rsid w:val="003E7F60"/>
    <w:rsid w:val="003F125A"/>
    <w:rsid w:val="003F14AC"/>
    <w:rsid w:val="003F27A7"/>
    <w:rsid w:val="003F2D09"/>
    <w:rsid w:val="003F2F9D"/>
    <w:rsid w:val="003F34BF"/>
    <w:rsid w:val="003F37EA"/>
    <w:rsid w:val="003F47F5"/>
    <w:rsid w:val="003F59CC"/>
    <w:rsid w:val="003F5E57"/>
    <w:rsid w:val="003F5F9D"/>
    <w:rsid w:val="003F6D39"/>
    <w:rsid w:val="003F7652"/>
    <w:rsid w:val="003F7EDA"/>
    <w:rsid w:val="00400B25"/>
    <w:rsid w:val="00401BB1"/>
    <w:rsid w:val="00401D87"/>
    <w:rsid w:val="004022E8"/>
    <w:rsid w:val="00402BF8"/>
    <w:rsid w:val="00403755"/>
    <w:rsid w:val="004044D2"/>
    <w:rsid w:val="00404BEA"/>
    <w:rsid w:val="00405D48"/>
    <w:rsid w:val="00406227"/>
    <w:rsid w:val="0040687D"/>
    <w:rsid w:val="00407D3B"/>
    <w:rsid w:val="00411CFA"/>
    <w:rsid w:val="00412C0B"/>
    <w:rsid w:val="00413022"/>
    <w:rsid w:val="004136D0"/>
    <w:rsid w:val="00413A4E"/>
    <w:rsid w:val="00414892"/>
    <w:rsid w:val="00414DE9"/>
    <w:rsid w:val="00415CC4"/>
    <w:rsid w:val="00415FD6"/>
    <w:rsid w:val="0041687F"/>
    <w:rsid w:val="004168A5"/>
    <w:rsid w:val="0041696F"/>
    <w:rsid w:val="00417F4F"/>
    <w:rsid w:val="00420D4C"/>
    <w:rsid w:val="00421876"/>
    <w:rsid w:val="0042378B"/>
    <w:rsid w:val="00423B79"/>
    <w:rsid w:val="004240D2"/>
    <w:rsid w:val="00424ADF"/>
    <w:rsid w:val="00425352"/>
    <w:rsid w:val="004254C4"/>
    <w:rsid w:val="004303B8"/>
    <w:rsid w:val="004312B1"/>
    <w:rsid w:val="00431677"/>
    <w:rsid w:val="00431B39"/>
    <w:rsid w:val="00431E8E"/>
    <w:rsid w:val="00433183"/>
    <w:rsid w:val="00433AED"/>
    <w:rsid w:val="00435F4A"/>
    <w:rsid w:val="004361D7"/>
    <w:rsid w:val="00436981"/>
    <w:rsid w:val="004371E9"/>
    <w:rsid w:val="00437C49"/>
    <w:rsid w:val="0044117C"/>
    <w:rsid w:val="004418F2"/>
    <w:rsid w:val="00442CBC"/>
    <w:rsid w:val="00443662"/>
    <w:rsid w:val="00443DD8"/>
    <w:rsid w:val="004444CD"/>
    <w:rsid w:val="00444586"/>
    <w:rsid w:val="00444BCD"/>
    <w:rsid w:val="00444E78"/>
    <w:rsid w:val="004455A5"/>
    <w:rsid w:val="00445911"/>
    <w:rsid w:val="00445F4D"/>
    <w:rsid w:val="00446050"/>
    <w:rsid w:val="00446FC1"/>
    <w:rsid w:val="00447C26"/>
    <w:rsid w:val="00447F1A"/>
    <w:rsid w:val="004502B7"/>
    <w:rsid w:val="0045085A"/>
    <w:rsid w:val="00450CBA"/>
    <w:rsid w:val="0045110A"/>
    <w:rsid w:val="00455363"/>
    <w:rsid w:val="004557D0"/>
    <w:rsid w:val="00455FE0"/>
    <w:rsid w:val="00456B8F"/>
    <w:rsid w:val="004574C4"/>
    <w:rsid w:val="004575DB"/>
    <w:rsid w:val="00457A91"/>
    <w:rsid w:val="004604E9"/>
    <w:rsid w:val="00460A55"/>
    <w:rsid w:val="0046180A"/>
    <w:rsid w:val="00461D79"/>
    <w:rsid w:val="00462BC6"/>
    <w:rsid w:val="004632D2"/>
    <w:rsid w:val="00463FEB"/>
    <w:rsid w:val="00464C97"/>
    <w:rsid w:val="00465D4B"/>
    <w:rsid w:val="00466A5A"/>
    <w:rsid w:val="00467C98"/>
    <w:rsid w:val="00470C11"/>
    <w:rsid w:val="00471759"/>
    <w:rsid w:val="0047175C"/>
    <w:rsid w:val="004717D6"/>
    <w:rsid w:val="00471B40"/>
    <w:rsid w:val="00471CFA"/>
    <w:rsid w:val="004721E0"/>
    <w:rsid w:val="00472F9C"/>
    <w:rsid w:val="00473803"/>
    <w:rsid w:val="00473E1E"/>
    <w:rsid w:val="00474522"/>
    <w:rsid w:val="0047491A"/>
    <w:rsid w:val="00475530"/>
    <w:rsid w:val="00476857"/>
    <w:rsid w:val="00476B4E"/>
    <w:rsid w:val="0047782F"/>
    <w:rsid w:val="00480733"/>
    <w:rsid w:val="004828C6"/>
    <w:rsid w:val="00482930"/>
    <w:rsid w:val="004833EA"/>
    <w:rsid w:val="00483E96"/>
    <w:rsid w:val="00484675"/>
    <w:rsid w:val="00484F33"/>
    <w:rsid w:val="004854FC"/>
    <w:rsid w:val="004869CF"/>
    <w:rsid w:val="00486DF7"/>
    <w:rsid w:val="00486E06"/>
    <w:rsid w:val="00487450"/>
    <w:rsid w:val="00487545"/>
    <w:rsid w:val="00487854"/>
    <w:rsid w:val="00490239"/>
    <w:rsid w:val="00490B1D"/>
    <w:rsid w:val="004911B9"/>
    <w:rsid w:val="00491DC5"/>
    <w:rsid w:val="00492871"/>
    <w:rsid w:val="004929EC"/>
    <w:rsid w:val="0049326B"/>
    <w:rsid w:val="004933F2"/>
    <w:rsid w:val="004935F6"/>
    <w:rsid w:val="00493AFC"/>
    <w:rsid w:val="00493B10"/>
    <w:rsid w:val="00493F24"/>
    <w:rsid w:val="004942F6"/>
    <w:rsid w:val="0049473C"/>
    <w:rsid w:val="004949BC"/>
    <w:rsid w:val="00494A8B"/>
    <w:rsid w:val="00495017"/>
    <w:rsid w:val="0049615F"/>
    <w:rsid w:val="004971EF"/>
    <w:rsid w:val="0049786E"/>
    <w:rsid w:val="004A1D76"/>
    <w:rsid w:val="004A2043"/>
    <w:rsid w:val="004A24C1"/>
    <w:rsid w:val="004A4066"/>
    <w:rsid w:val="004A48E9"/>
    <w:rsid w:val="004A4FE2"/>
    <w:rsid w:val="004A5FDC"/>
    <w:rsid w:val="004A6406"/>
    <w:rsid w:val="004A6D51"/>
    <w:rsid w:val="004A6EEA"/>
    <w:rsid w:val="004B03BE"/>
    <w:rsid w:val="004B1739"/>
    <w:rsid w:val="004B18F9"/>
    <w:rsid w:val="004B1950"/>
    <w:rsid w:val="004B19DC"/>
    <w:rsid w:val="004B2839"/>
    <w:rsid w:val="004B300A"/>
    <w:rsid w:val="004B3C51"/>
    <w:rsid w:val="004B412C"/>
    <w:rsid w:val="004B4B2B"/>
    <w:rsid w:val="004B4E7B"/>
    <w:rsid w:val="004B6D7A"/>
    <w:rsid w:val="004B7403"/>
    <w:rsid w:val="004B7418"/>
    <w:rsid w:val="004B76C2"/>
    <w:rsid w:val="004B780C"/>
    <w:rsid w:val="004C080F"/>
    <w:rsid w:val="004C0FBA"/>
    <w:rsid w:val="004C1080"/>
    <w:rsid w:val="004C118D"/>
    <w:rsid w:val="004C29ED"/>
    <w:rsid w:val="004C2B29"/>
    <w:rsid w:val="004C30FD"/>
    <w:rsid w:val="004C31BA"/>
    <w:rsid w:val="004C3F7B"/>
    <w:rsid w:val="004C4059"/>
    <w:rsid w:val="004C5625"/>
    <w:rsid w:val="004C6AFA"/>
    <w:rsid w:val="004C78C4"/>
    <w:rsid w:val="004C78EF"/>
    <w:rsid w:val="004D0054"/>
    <w:rsid w:val="004D1303"/>
    <w:rsid w:val="004D16B7"/>
    <w:rsid w:val="004D1DF2"/>
    <w:rsid w:val="004D240C"/>
    <w:rsid w:val="004D2B88"/>
    <w:rsid w:val="004D2EB8"/>
    <w:rsid w:val="004D349B"/>
    <w:rsid w:val="004D3A3F"/>
    <w:rsid w:val="004D40D4"/>
    <w:rsid w:val="004D4267"/>
    <w:rsid w:val="004D512D"/>
    <w:rsid w:val="004D5212"/>
    <w:rsid w:val="004D5655"/>
    <w:rsid w:val="004D58A1"/>
    <w:rsid w:val="004D58ED"/>
    <w:rsid w:val="004D5F74"/>
    <w:rsid w:val="004D5F76"/>
    <w:rsid w:val="004D6ED4"/>
    <w:rsid w:val="004D78CC"/>
    <w:rsid w:val="004D7A5F"/>
    <w:rsid w:val="004E0870"/>
    <w:rsid w:val="004E1004"/>
    <w:rsid w:val="004E10E0"/>
    <w:rsid w:val="004E198A"/>
    <w:rsid w:val="004E2A32"/>
    <w:rsid w:val="004E30E6"/>
    <w:rsid w:val="004E3117"/>
    <w:rsid w:val="004E3F7E"/>
    <w:rsid w:val="004E4542"/>
    <w:rsid w:val="004E67E6"/>
    <w:rsid w:val="004E7597"/>
    <w:rsid w:val="004E759F"/>
    <w:rsid w:val="004E7A86"/>
    <w:rsid w:val="004F19CD"/>
    <w:rsid w:val="004F1F6E"/>
    <w:rsid w:val="004F22F4"/>
    <w:rsid w:val="004F245D"/>
    <w:rsid w:val="004F299C"/>
    <w:rsid w:val="004F5E93"/>
    <w:rsid w:val="004F603D"/>
    <w:rsid w:val="004F64AE"/>
    <w:rsid w:val="004F6545"/>
    <w:rsid w:val="004F6D32"/>
    <w:rsid w:val="004F6FC8"/>
    <w:rsid w:val="004F756C"/>
    <w:rsid w:val="0050046F"/>
    <w:rsid w:val="00500B36"/>
    <w:rsid w:val="00500EEF"/>
    <w:rsid w:val="005015CE"/>
    <w:rsid w:val="00501BD9"/>
    <w:rsid w:val="0050220C"/>
    <w:rsid w:val="005022C3"/>
    <w:rsid w:val="00502304"/>
    <w:rsid w:val="00502FC2"/>
    <w:rsid w:val="005041A7"/>
    <w:rsid w:val="00504E3C"/>
    <w:rsid w:val="00506456"/>
    <w:rsid w:val="00506825"/>
    <w:rsid w:val="00506FA2"/>
    <w:rsid w:val="00507196"/>
    <w:rsid w:val="00507364"/>
    <w:rsid w:val="005103B1"/>
    <w:rsid w:val="0051147B"/>
    <w:rsid w:val="00515680"/>
    <w:rsid w:val="005158A3"/>
    <w:rsid w:val="00515F90"/>
    <w:rsid w:val="00516410"/>
    <w:rsid w:val="005173F5"/>
    <w:rsid w:val="00517D7F"/>
    <w:rsid w:val="00517DB0"/>
    <w:rsid w:val="00517E7D"/>
    <w:rsid w:val="00517F29"/>
    <w:rsid w:val="00520779"/>
    <w:rsid w:val="005212CC"/>
    <w:rsid w:val="00521884"/>
    <w:rsid w:val="00521FCF"/>
    <w:rsid w:val="005230F7"/>
    <w:rsid w:val="00523305"/>
    <w:rsid w:val="005239F3"/>
    <w:rsid w:val="00523AAC"/>
    <w:rsid w:val="00523CF5"/>
    <w:rsid w:val="005246FD"/>
    <w:rsid w:val="00524C63"/>
    <w:rsid w:val="00524EC7"/>
    <w:rsid w:val="00525A4C"/>
    <w:rsid w:val="00525C51"/>
    <w:rsid w:val="00526A31"/>
    <w:rsid w:val="0052765E"/>
    <w:rsid w:val="00530417"/>
    <w:rsid w:val="005305E5"/>
    <w:rsid w:val="00530B0F"/>
    <w:rsid w:val="00530B35"/>
    <w:rsid w:val="005321B7"/>
    <w:rsid w:val="00532453"/>
    <w:rsid w:val="00532472"/>
    <w:rsid w:val="005328C3"/>
    <w:rsid w:val="00532F79"/>
    <w:rsid w:val="005335B0"/>
    <w:rsid w:val="0053379A"/>
    <w:rsid w:val="005337D5"/>
    <w:rsid w:val="0053679A"/>
    <w:rsid w:val="005405B6"/>
    <w:rsid w:val="0054067C"/>
    <w:rsid w:val="00540C8E"/>
    <w:rsid w:val="00541C62"/>
    <w:rsid w:val="0054250F"/>
    <w:rsid w:val="00543754"/>
    <w:rsid w:val="005437B7"/>
    <w:rsid w:val="00543E03"/>
    <w:rsid w:val="005442AB"/>
    <w:rsid w:val="00544486"/>
    <w:rsid w:val="00544F78"/>
    <w:rsid w:val="00545F4F"/>
    <w:rsid w:val="00545F60"/>
    <w:rsid w:val="00547754"/>
    <w:rsid w:val="0054782B"/>
    <w:rsid w:val="00550157"/>
    <w:rsid w:val="0055051C"/>
    <w:rsid w:val="00550BD7"/>
    <w:rsid w:val="005515A2"/>
    <w:rsid w:val="005520E3"/>
    <w:rsid w:val="0055214D"/>
    <w:rsid w:val="00552DD7"/>
    <w:rsid w:val="005536BC"/>
    <w:rsid w:val="0055382C"/>
    <w:rsid w:val="00554B2A"/>
    <w:rsid w:val="00554B2F"/>
    <w:rsid w:val="00554FAE"/>
    <w:rsid w:val="00555EAC"/>
    <w:rsid w:val="00556014"/>
    <w:rsid w:val="00557118"/>
    <w:rsid w:val="005612C1"/>
    <w:rsid w:val="005613A4"/>
    <w:rsid w:val="00561CB5"/>
    <w:rsid w:val="0056212A"/>
    <w:rsid w:val="005625D1"/>
    <w:rsid w:val="00562CE1"/>
    <w:rsid w:val="0056357E"/>
    <w:rsid w:val="005639A3"/>
    <w:rsid w:val="00563B07"/>
    <w:rsid w:val="00564874"/>
    <w:rsid w:val="00565852"/>
    <w:rsid w:val="00565BFA"/>
    <w:rsid w:val="00565E9B"/>
    <w:rsid w:val="00566834"/>
    <w:rsid w:val="005668F0"/>
    <w:rsid w:val="00566D66"/>
    <w:rsid w:val="00566FCB"/>
    <w:rsid w:val="005677E2"/>
    <w:rsid w:val="0057019F"/>
    <w:rsid w:val="005704E5"/>
    <w:rsid w:val="00570549"/>
    <w:rsid w:val="00571BA5"/>
    <w:rsid w:val="00571E2B"/>
    <w:rsid w:val="00573A00"/>
    <w:rsid w:val="00573B85"/>
    <w:rsid w:val="00574342"/>
    <w:rsid w:val="00574FC8"/>
    <w:rsid w:val="005754DE"/>
    <w:rsid w:val="00575567"/>
    <w:rsid w:val="00575C7D"/>
    <w:rsid w:val="0057603C"/>
    <w:rsid w:val="00576798"/>
    <w:rsid w:val="005767F7"/>
    <w:rsid w:val="00577B9C"/>
    <w:rsid w:val="00577C67"/>
    <w:rsid w:val="00577F2D"/>
    <w:rsid w:val="00580450"/>
    <w:rsid w:val="00580779"/>
    <w:rsid w:val="0058084C"/>
    <w:rsid w:val="00580C06"/>
    <w:rsid w:val="00580C7E"/>
    <w:rsid w:val="00580CDE"/>
    <w:rsid w:val="00581165"/>
    <w:rsid w:val="005822BE"/>
    <w:rsid w:val="005826A4"/>
    <w:rsid w:val="00582DC6"/>
    <w:rsid w:val="00583509"/>
    <w:rsid w:val="0058397F"/>
    <w:rsid w:val="00585507"/>
    <w:rsid w:val="00585F5E"/>
    <w:rsid w:val="005868DB"/>
    <w:rsid w:val="00586DC7"/>
    <w:rsid w:val="00587433"/>
    <w:rsid w:val="005874E4"/>
    <w:rsid w:val="00587983"/>
    <w:rsid w:val="00590B4C"/>
    <w:rsid w:val="00590BD9"/>
    <w:rsid w:val="00590CA9"/>
    <w:rsid w:val="00590D92"/>
    <w:rsid w:val="00591890"/>
    <w:rsid w:val="00592A4B"/>
    <w:rsid w:val="00593561"/>
    <w:rsid w:val="00593B58"/>
    <w:rsid w:val="005940A1"/>
    <w:rsid w:val="0059439D"/>
    <w:rsid w:val="00596392"/>
    <w:rsid w:val="00596C3D"/>
    <w:rsid w:val="00597DFE"/>
    <w:rsid w:val="00597EC6"/>
    <w:rsid w:val="00597FAF"/>
    <w:rsid w:val="005A13E7"/>
    <w:rsid w:val="005A196E"/>
    <w:rsid w:val="005A3D06"/>
    <w:rsid w:val="005A3DA9"/>
    <w:rsid w:val="005A3F95"/>
    <w:rsid w:val="005A6CC1"/>
    <w:rsid w:val="005A6CCD"/>
    <w:rsid w:val="005A7107"/>
    <w:rsid w:val="005A71A8"/>
    <w:rsid w:val="005A7B31"/>
    <w:rsid w:val="005A7F52"/>
    <w:rsid w:val="005B0233"/>
    <w:rsid w:val="005B066E"/>
    <w:rsid w:val="005B174D"/>
    <w:rsid w:val="005B29AF"/>
    <w:rsid w:val="005B335B"/>
    <w:rsid w:val="005B3891"/>
    <w:rsid w:val="005B39D2"/>
    <w:rsid w:val="005B3B36"/>
    <w:rsid w:val="005B545C"/>
    <w:rsid w:val="005B55E9"/>
    <w:rsid w:val="005B55F8"/>
    <w:rsid w:val="005B5924"/>
    <w:rsid w:val="005B6561"/>
    <w:rsid w:val="005B6799"/>
    <w:rsid w:val="005B761E"/>
    <w:rsid w:val="005B77C6"/>
    <w:rsid w:val="005B7F42"/>
    <w:rsid w:val="005C0453"/>
    <w:rsid w:val="005C0963"/>
    <w:rsid w:val="005C0F5F"/>
    <w:rsid w:val="005C10C5"/>
    <w:rsid w:val="005C11B6"/>
    <w:rsid w:val="005C14AB"/>
    <w:rsid w:val="005C21D1"/>
    <w:rsid w:val="005C24B6"/>
    <w:rsid w:val="005C27B8"/>
    <w:rsid w:val="005C29FA"/>
    <w:rsid w:val="005C2ECB"/>
    <w:rsid w:val="005C5BD1"/>
    <w:rsid w:val="005C65D5"/>
    <w:rsid w:val="005C6EDB"/>
    <w:rsid w:val="005C7DC9"/>
    <w:rsid w:val="005D0763"/>
    <w:rsid w:val="005D0CE3"/>
    <w:rsid w:val="005D0FD8"/>
    <w:rsid w:val="005D2127"/>
    <w:rsid w:val="005D3791"/>
    <w:rsid w:val="005D3C42"/>
    <w:rsid w:val="005D3DE0"/>
    <w:rsid w:val="005D4C84"/>
    <w:rsid w:val="005D579B"/>
    <w:rsid w:val="005D57F3"/>
    <w:rsid w:val="005D67EA"/>
    <w:rsid w:val="005D692C"/>
    <w:rsid w:val="005D6B4C"/>
    <w:rsid w:val="005E008F"/>
    <w:rsid w:val="005E0460"/>
    <w:rsid w:val="005E04C4"/>
    <w:rsid w:val="005E0634"/>
    <w:rsid w:val="005E0A9A"/>
    <w:rsid w:val="005E0B96"/>
    <w:rsid w:val="005E306E"/>
    <w:rsid w:val="005E33A1"/>
    <w:rsid w:val="005E4156"/>
    <w:rsid w:val="005E5632"/>
    <w:rsid w:val="005E61BD"/>
    <w:rsid w:val="005E7559"/>
    <w:rsid w:val="005F1243"/>
    <w:rsid w:val="005F1415"/>
    <w:rsid w:val="005F2C40"/>
    <w:rsid w:val="005F329B"/>
    <w:rsid w:val="005F34B1"/>
    <w:rsid w:val="005F491F"/>
    <w:rsid w:val="005F4DCE"/>
    <w:rsid w:val="005F4DF5"/>
    <w:rsid w:val="005F6E16"/>
    <w:rsid w:val="005F71D0"/>
    <w:rsid w:val="005F792C"/>
    <w:rsid w:val="005F7F31"/>
    <w:rsid w:val="00600418"/>
    <w:rsid w:val="0060056E"/>
    <w:rsid w:val="00600768"/>
    <w:rsid w:val="0060184B"/>
    <w:rsid w:val="00601A52"/>
    <w:rsid w:val="00601B6C"/>
    <w:rsid w:val="00602E73"/>
    <w:rsid w:val="006032D3"/>
    <w:rsid w:val="00603627"/>
    <w:rsid w:val="006036A6"/>
    <w:rsid w:val="00603D33"/>
    <w:rsid w:val="00603E2B"/>
    <w:rsid w:val="00603FA8"/>
    <w:rsid w:val="006041E9"/>
    <w:rsid w:val="00604CC3"/>
    <w:rsid w:val="00604DAD"/>
    <w:rsid w:val="006050DD"/>
    <w:rsid w:val="006057D8"/>
    <w:rsid w:val="00605DA2"/>
    <w:rsid w:val="006062EF"/>
    <w:rsid w:val="0061025C"/>
    <w:rsid w:val="00612354"/>
    <w:rsid w:val="0061271E"/>
    <w:rsid w:val="00612D19"/>
    <w:rsid w:val="0061317B"/>
    <w:rsid w:val="00613972"/>
    <w:rsid w:val="00613D59"/>
    <w:rsid w:val="006141B0"/>
    <w:rsid w:val="00614929"/>
    <w:rsid w:val="006159F2"/>
    <w:rsid w:val="00615E70"/>
    <w:rsid w:val="006170F2"/>
    <w:rsid w:val="00617398"/>
    <w:rsid w:val="0061761D"/>
    <w:rsid w:val="006206BF"/>
    <w:rsid w:val="006207E9"/>
    <w:rsid w:val="00621E14"/>
    <w:rsid w:val="00621E70"/>
    <w:rsid w:val="0062245E"/>
    <w:rsid w:val="0062389D"/>
    <w:rsid w:val="00623D1E"/>
    <w:rsid w:val="00626B7E"/>
    <w:rsid w:val="006301CE"/>
    <w:rsid w:val="0063172F"/>
    <w:rsid w:val="00632BA7"/>
    <w:rsid w:val="00632C89"/>
    <w:rsid w:val="00632E8C"/>
    <w:rsid w:val="00633613"/>
    <w:rsid w:val="00634711"/>
    <w:rsid w:val="00634EF9"/>
    <w:rsid w:val="00634F11"/>
    <w:rsid w:val="006353BA"/>
    <w:rsid w:val="006359F5"/>
    <w:rsid w:val="00635A18"/>
    <w:rsid w:val="006362C2"/>
    <w:rsid w:val="00636789"/>
    <w:rsid w:val="006374CC"/>
    <w:rsid w:val="006377D3"/>
    <w:rsid w:val="00637BB7"/>
    <w:rsid w:val="006409ED"/>
    <w:rsid w:val="00640ABA"/>
    <w:rsid w:val="00641FE6"/>
    <w:rsid w:val="00642ADD"/>
    <w:rsid w:val="00642EE8"/>
    <w:rsid w:val="0064402C"/>
    <w:rsid w:val="006445A2"/>
    <w:rsid w:val="00644FC1"/>
    <w:rsid w:val="00645C45"/>
    <w:rsid w:val="00646179"/>
    <w:rsid w:val="006464FD"/>
    <w:rsid w:val="0064671E"/>
    <w:rsid w:val="00647380"/>
    <w:rsid w:val="0064763A"/>
    <w:rsid w:val="00651000"/>
    <w:rsid w:val="006511E6"/>
    <w:rsid w:val="00651351"/>
    <w:rsid w:val="0065247C"/>
    <w:rsid w:val="006544DB"/>
    <w:rsid w:val="006546A5"/>
    <w:rsid w:val="00656647"/>
    <w:rsid w:val="00656A39"/>
    <w:rsid w:val="0065713B"/>
    <w:rsid w:val="0065713C"/>
    <w:rsid w:val="0065773E"/>
    <w:rsid w:val="00660B1F"/>
    <w:rsid w:val="00662194"/>
    <w:rsid w:val="0066277B"/>
    <w:rsid w:val="00663B17"/>
    <w:rsid w:val="00663FDB"/>
    <w:rsid w:val="00664C85"/>
    <w:rsid w:val="00665FF0"/>
    <w:rsid w:val="00666A40"/>
    <w:rsid w:val="00667759"/>
    <w:rsid w:val="006705FD"/>
    <w:rsid w:val="00671103"/>
    <w:rsid w:val="00671424"/>
    <w:rsid w:val="00671A52"/>
    <w:rsid w:val="006720F3"/>
    <w:rsid w:val="00672185"/>
    <w:rsid w:val="0067396D"/>
    <w:rsid w:val="0067542B"/>
    <w:rsid w:val="0067550F"/>
    <w:rsid w:val="006755C1"/>
    <w:rsid w:val="00676101"/>
    <w:rsid w:val="00676A07"/>
    <w:rsid w:val="006772A7"/>
    <w:rsid w:val="006772CA"/>
    <w:rsid w:val="00677EE9"/>
    <w:rsid w:val="00677EF7"/>
    <w:rsid w:val="00680EDB"/>
    <w:rsid w:val="006822DA"/>
    <w:rsid w:val="00682473"/>
    <w:rsid w:val="00682577"/>
    <w:rsid w:val="006829A8"/>
    <w:rsid w:val="00682FBC"/>
    <w:rsid w:val="00683A57"/>
    <w:rsid w:val="0068449E"/>
    <w:rsid w:val="006845C1"/>
    <w:rsid w:val="00684A4C"/>
    <w:rsid w:val="00684B41"/>
    <w:rsid w:val="00685311"/>
    <w:rsid w:val="006866AA"/>
    <w:rsid w:val="00686795"/>
    <w:rsid w:val="006867A5"/>
    <w:rsid w:val="006873EA"/>
    <w:rsid w:val="00690D9A"/>
    <w:rsid w:val="00690F00"/>
    <w:rsid w:val="00692162"/>
    <w:rsid w:val="00693024"/>
    <w:rsid w:val="00694ABE"/>
    <w:rsid w:val="00694E49"/>
    <w:rsid w:val="0069530D"/>
    <w:rsid w:val="006963D1"/>
    <w:rsid w:val="00696AED"/>
    <w:rsid w:val="006A0674"/>
    <w:rsid w:val="006A0E74"/>
    <w:rsid w:val="006A0FE1"/>
    <w:rsid w:val="006A218F"/>
    <w:rsid w:val="006A3F76"/>
    <w:rsid w:val="006A4054"/>
    <w:rsid w:val="006A40A1"/>
    <w:rsid w:val="006A525B"/>
    <w:rsid w:val="006A5C00"/>
    <w:rsid w:val="006A5FE0"/>
    <w:rsid w:val="006A6165"/>
    <w:rsid w:val="006A6392"/>
    <w:rsid w:val="006A757B"/>
    <w:rsid w:val="006A7E28"/>
    <w:rsid w:val="006B1E34"/>
    <w:rsid w:val="006B2116"/>
    <w:rsid w:val="006B28EC"/>
    <w:rsid w:val="006B2982"/>
    <w:rsid w:val="006B3033"/>
    <w:rsid w:val="006B3742"/>
    <w:rsid w:val="006B4903"/>
    <w:rsid w:val="006B4EBD"/>
    <w:rsid w:val="006B7F2F"/>
    <w:rsid w:val="006C01CE"/>
    <w:rsid w:val="006C0A4C"/>
    <w:rsid w:val="006C1B43"/>
    <w:rsid w:val="006C1D7C"/>
    <w:rsid w:val="006C2E05"/>
    <w:rsid w:val="006C6FA2"/>
    <w:rsid w:val="006C7000"/>
    <w:rsid w:val="006C7763"/>
    <w:rsid w:val="006D012B"/>
    <w:rsid w:val="006D0E18"/>
    <w:rsid w:val="006D12A7"/>
    <w:rsid w:val="006D20F7"/>
    <w:rsid w:val="006D257E"/>
    <w:rsid w:val="006D2A3E"/>
    <w:rsid w:val="006D2BD5"/>
    <w:rsid w:val="006D3ECE"/>
    <w:rsid w:val="006D4E3A"/>
    <w:rsid w:val="006D4E45"/>
    <w:rsid w:val="006D5350"/>
    <w:rsid w:val="006D5DE3"/>
    <w:rsid w:val="006D5F82"/>
    <w:rsid w:val="006D62BE"/>
    <w:rsid w:val="006D733D"/>
    <w:rsid w:val="006D74A6"/>
    <w:rsid w:val="006D7831"/>
    <w:rsid w:val="006E0317"/>
    <w:rsid w:val="006E0511"/>
    <w:rsid w:val="006E12C1"/>
    <w:rsid w:val="006E3177"/>
    <w:rsid w:val="006E37C4"/>
    <w:rsid w:val="006E37D0"/>
    <w:rsid w:val="006E3F53"/>
    <w:rsid w:val="006E4A20"/>
    <w:rsid w:val="006E5580"/>
    <w:rsid w:val="006E606B"/>
    <w:rsid w:val="006E7DC2"/>
    <w:rsid w:val="006F0263"/>
    <w:rsid w:val="006F0D73"/>
    <w:rsid w:val="006F0F4E"/>
    <w:rsid w:val="006F1342"/>
    <w:rsid w:val="006F1A7C"/>
    <w:rsid w:val="006F23EB"/>
    <w:rsid w:val="006F368E"/>
    <w:rsid w:val="006F3D80"/>
    <w:rsid w:val="006F3EF5"/>
    <w:rsid w:val="006F3F24"/>
    <w:rsid w:val="006F49F0"/>
    <w:rsid w:val="006F551D"/>
    <w:rsid w:val="007004B6"/>
    <w:rsid w:val="00701476"/>
    <w:rsid w:val="00702379"/>
    <w:rsid w:val="00702D1A"/>
    <w:rsid w:val="00702E8D"/>
    <w:rsid w:val="0070360B"/>
    <w:rsid w:val="00704726"/>
    <w:rsid w:val="0070539A"/>
    <w:rsid w:val="007053E7"/>
    <w:rsid w:val="00705884"/>
    <w:rsid w:val="00705BD1"/>
    <w:rsid w:val="007063F2"/>
    <w:rsid w:val="00706E77"/>
    <w:rsid w:val="00707B2E"/>
    <w:rsid w:val="00707F5D"/>
    <w:rsid w:val="0071007E"/>
    <w:rsid w:val="00710B00"/>
    <w:rsid w:val="0071117A"/>
    <w:rsid w:val="00711471"/>
    <w:rsid w:val="00711E27"/>
    <w:rsid w:val="0071489A"/>
    <w:rsid w:val="00716DEA"/>
    <w:rsid w:val="00716E26"/>
    <w:rsid w:val="0072105B"/>
    <w:rsid w:val="0072140F"/>
    <w:rsid w:val="007214A8"/>
    <w:rsid w:val="00723508"/>
    <w:rsid w:val="0072444A"/>
    <w:rsid w:val="00726A81"/>
    <w:rsid w:val="00727623"/>
    <w:rsid w:val="007276CD"/>
    <w:rsid w:val="00731DE1"/>
    <w:rsid w:val="0073213C"/>
    <w:rsid w:val="0073286C"/>
    <w:rsid w:val="007328CC"/>
    <w:rsid w:val="00732B02"/>
    <w:rsid w:val="007330DF"/>
    <w:rsid w:val="007343CF"/>
    <w:rsid w:val="00735070"/>
    <w:rsid w:val="00735AD3"/>
    <w:rsid w:val="00736A25"/>
    <w:rsid w:val="007404F6"/>
    <w:rsid w:val="00740B3F"/>
    <w:rsid w:val="0074134C"/>
    <w:rsid w:val="00742222"/>
    <w:rsid w:val="007424C5"/>
    <w:rsid w:val="00743EA9"/>
    <w:rsid w:val="0074413F"/>
    <w:rsid w:val="00744A48"/>
    <w:rsid w:val="00744DED"/>
    <w:rsid w:val="0074529C"/>
    <w:rsid w:val="00746B11"/>
    <w:rsid w:val="00747ECC"/>
    <w:rsid w:val="00747F88"/>
    <w:rsid w:val="00750426"/>
    <w:rsid w:val="00750BF8"/>
    <w:rsid w:val="00750E2F"/>
    <w:rsid w:val="007515BC"/>
    <w:rsid w:val="007516DE"/>
    <w:rsid w:val="00751C89"/>
    <w:rsid w:val="00752A4B"/>
    <w:rsid w:val="00753328"/>
    <w:rsid w:val="00753433"/>
    <w:rsid w:val="00754706"/>
    <w:rsid w:val="007547D5"/>
    <w:rsid w:val="00754E11"/>
    <w:rsid w:val="00754F29"/>
    <w:rsid w:val="0075537A"/>
    <w:rsid w:val="00756097"/>
    <w:rsid w:val="007569A8"/>
    <w:rsid w:val="00756A84"/>
    <w:rsid w:val="00756ECB"/>
    <w:rsid w:val="00760BB6"/>
    <w:rsid w:val="00760EBB"/>
    <w:rsid w:val="00764F3A"/>
    <w:rsid w:val="00765CC1"/>
    <w:rsid w:val="007669BA"/>
    <w:rsid w:val="00766C57"/>
    <w:rsid w:val="0076707D"/>
    <w:rsid w:val="007712EA"/>
    <w:rsid w:val="00771C1C"/>
    <w:rsid w:val="00773ACD"/>
    <w:rsid w:val="007768C5"/>
    <w:rsid w:val="00776A46"/>
    <w:rsid w:val="007773BD"/>
    <w:rsid w:val="00777B72"/>
    <w:rsid w:val="00777EEE"/>
    <w:rsid w:val="007811C0"/>
    <w:rsid w:val="007818EE"/>
    <w:rsid w:val="007819CF"/>
    <w:rsid w:val="00781CB4"/>
    <w:rsid w:val="00781F66"/>
    <w:rsid w:val="00783187"/>
    <w:rsid w:val="007834D1"/>
    <w:rsid w:val="00783657"/>
    <w:rsid w:val="00784745"/>
    <w:rsid w:val="00785793"/>
    <w:rsid w:val="00786840"/>
    <w:rsid w:val="00787F2E"/>
    <w:rsid w:val="00790C98"/>
    <w:rsid w:val="00791304"/>
    <w:rsid w:val="00791677"/>
    <w:rsid w:val="00791E8E"/>
    <w:rsid w:val="00792757"/>
    <w:rsid w:val="00792D98"/>
    <w:rsid w:val="007931A9"/>
    <w:rsid w:val="00794E52"/>
    <w:rsid w:val="00794E6C"/>
    <w:rsid w:val="0079507C"/>
    <w:rsid w:val="007952A7"/>
    <w:rsid w:val="00795BB3"/>
    <w:rsid w:val="00795C6B"/>
    <w:rsid w:val="00796982"/>
    <w:rsid w:val="00797600"/>
    <w:rsid w:val="007A02C7"/>
    <w:rsid w:val="007A1287"/>
    <w:rsid w:val="007A1334"/>
    <w:rsid w:val="007A2C70"/>
    <w:rsid w:val="007A375D"/>
    <w:rsid w:val="007A4CBF"/>
    <w:rsid w:val="007A5456"/>
    <w:rsid w:val="007A579C"/>
    <w:rsid w:val="007A5826"/>
    <w:rsid w:val="007A5B02"/>
    <w:rsid w:val="007A657A"/>
    <w:rsid w:val="007A7462"/>
    <w:rsid w:val="007B0A9C"/>
    <w:rsid w:val="007B20F7"/>
    <w:rsid w:val="007B249F"/>
    <w:rsid w:val="007B42C4"/>
    <w:rsid w:val="007B4330"/>
    <w:rsid w:val="007B435A"/>
    <w:rsid w:val="007B5B9A"/>
    <w:rsid w:val="007B5D7E"/>
    <w:rsid w:val="007B618C"/>
    <w:rsid w:val="007B6FDE"/>
    <w:rsid w:val="007B7769"/>
    <w:rsid w:val="007C0794"/>
    <w:rsid w:val="007C0F7A"/>
    <w:rsid w:val="007C17B1"/>
    <w:rsid w:val="007C3205"/>
    <w:rsid w:val="007C3621"/>
    <w:rsid w:val="007C43BB"/>
    <w:rsid w:val="007C5203"/>
    <w:rsid w:val="007C5CBB"/>
    <w:rsid w:val="007C67C3"/>
    <w:rsid w:val="007C6ED9"/>
    <w:rsid w:val="007C7357"/>
    <w:rsid w:val="007D004B"/>
    <w:rsid w:val="007D0251"/>
    <w:rsid w:val="007D08D0"/>
    <w:rsid w:val="007D0E51"/>
    <w:rsid w:val="007D157F"/>
    <w:rsid w:val="007D1D13"/>
    <w:rsid w:val="007D2481"/>
    <w:rsid w:val="007D36F2"/>
    <w:rsid w:val="007D3B6C"/>
    <w:rsid w:val="007D3CF0"/>
    <w:rsid w:val="007D3F11"/>
    <w:rsid w:val="007D525B"/>
    <w:rsid w:val="007D561F"/>
    <w:rsid w:val="007D56B6"/>
    <w:rsid w:val="007D57DC"/>
    <w:rsid w:val="007D5DDA"/>
    <w:rsid w:val="007D6C4C"/>
    <w:rsid w:val="007D71B7"/>
    <w:rsid w:val="007D747B"/>
    <w:rsid w:val="007D7865"/>
    <w:rsid w:val="007E0072"/>
    <w:rsid w:val="007E00A1"/>
    <w:rsid w:val="007E0EB8"/>
    <w:rsid w:val="007E2AB4"/>
    <w:rsid w:val="007E2BB1"/>
    <w:rsid w:val="007E2F2D"/>
    <w:rsid w:val="007E3A3A"/>
    <w:rsid w:val="007E3F70"/>
    <w:rsid w:val="007E613C"/>
    <w:rsid w:val="007E6298"/>
    <w:rsid w:val="007E684C"/>
    <w:rsid w:val="007E6CBB"/>
    <w:rsid w:val="007E6D47"/>
    <w:rsid w:val="007E6D6F"/>
    <w:rsid w:val="007E71C7"/>
    <w:rsid w:val="007F0096"/>
    <w:rsid w:val="007F1128"/>
    <w:rsid w:val="007F2A20"/>
    <w:rsid w:val="007F2BB3"/>
    <w:rsid w:val="007F35FA"/>
    <w:rsid w:val="007F3724"/>
    <w:rsid w:val="007F4330"/>
    <w:rsid w:val="007F45A7"/>
    <w:rsid w:val="007F4948"/>
    <w:rsid w:val="007F4C1B"/>
    <w:rsid w:val="007F5524"/>
    <w:rsid w:val="007F62A9"/>
    <w:rsid w:val="0080014B"/>
    <w:rsid w:val="008007C3"/>
    <w:rsid w:val="00800C40"/>
    <w:rsid w:val="008012C5"/>
    <w:rsid w:val="008022F1"/>
    <w:rsid w:val="0080288A"/>
    <w:rsid w:val="00802E2A"/>
    <w:rsid w:val="00803569"/>
    <w:rsid w:val="008049CE"/>
    <w:rsid w:val="00807058"/>
    <w:rsid w:val="0080739F"/>
    <w:rsid w:val="0080758E"/>
    <w:rsid w:val="0081025E"/>
    <w:rsid w:val="0081041C"/>
    <w:rsid w:val="008109F5"/>
    <w:rsid w:val="00811ADC"/>
    <w:rsid w:val="008124E6"/>
    <w:rsid w:val="00812B72"/>
    <w:rsid w:val="00812F44"/>
    <w:rsid w:val="00813360"/>
    <w:rsid w:val="00813620"/>
    <w:rsid w:val="00813D5E"/>
    <w:rsid w:val="00814CB0"/>
    <w:rsid w:val="00814FF9"/>
    <w:rsid w:val="00816417"/>
    <w:rsid w:val="00816F3A"/>
    <w:rsid w:val="008171ED"/>
    <w:rsid w:val="00817613"/>
    <w:rsid w:val="008177AA"/>
    <w:rsid w:val="008205C3"/>
    <w:rsid w:val="00820A32"/>
    <w:rsid w:val="00820A87"/>
    <w:rsid w:val="00820A94"/>
    <w:rsid w:val="00822A77"/>
    <w:rsid w:val="008230AC"/>
    <w:rsid w:val="00823B52"/>
    <w:rsid w:val="00823B90"/>
    <w:rsid w:val="008242B5"/>
    <w:rsid w:val="00826B30"/>
    <w:rsid w:val="008277FB"/>
    <w:rsid w:val="00830A6A"/>
    <w:rsid w:val="008318DC"/>
    <w:rsid w:val="00831ACA"/>
    <w:rsid w:val="00831AD5"/>
    <w:rsid w:val="00831BAA"/>
    <w:rsid w:val="00831E32"/>
    <w:rsid w:val="00832959"/>
    <w:rsid w:val="008331D6"/>
    <w:rsid w:val="00834C7B"/>
    <w:rsid w:val="00834F4B"/>
    <w:rsid w:val="00835F73"/>
    <w:rsid w:val="008362A8"/>
    <w:rsid w:val="00836367"/>
    <w:rsid w:val="008375CF"/>
    <w:rsid w:val="00837CC0"/>
    <w:rsid w:val="008400A1"/>
    <w:rsid w:val="008408A5"/>
    <w:rsid w:val="00842457"/>
    <w:rsid w:val="00842D78"/>
    <w:rsid w:val="00842FE5"/>
    <w:rsid w:val="00843AE5"/>
    <w:rsid w:val="00843D20"/>
    <w:rsid w:val="00843F39"/>
    <w:rsid w:val="00844454"/>
    <w:rsid w:val="00844FFB"/>
    <w:rsid w:val="00845C3D"/>
    <w:rsid w:val="00845FB6"/>
    <w:rsid w:val="00847192"/>
    <w:rsid w:val="0084731D"/>
    <w:rsid w:val="00850142"/>
    <w:rsid w:val="008508B4"/>
    <w:rsid w:val="008511D0"/>
    <w:rsid w:val="00852F0D"/>
    <w:rsid w:val="00855476"/>
    <w:rsid w:val="00855EB5"/>
    <w:rsid w:val="00857420"/>
    <w:rsid w:val="0085773A"/>
    <w:rsid w:val="00857E55"/>
    <w:rsid w:val="008602E0"/>
    <w:rsid w:val="008603F1"/>
    <w:rsid w:val="00860CCE"/>
    <w:rsid w:val="00862276"/>
    <w:rsid w:val="00862540"/>
    <w:rsid w:val="00862551"/>
    <w:rsid w:val="0086294E"/>
    <w:rsid w:val="00863459"/>
    <w:rsid w:val="008637E1"/>
    <w:rsid w:val="008642F6"/>
    <w:rsid w:val="00864CE2"/>
    <w:rsid w:val="00867E68"/>
    <w:rsid w:val="00870CBF"/>
    <w:rsid w:val="00871BAB"/>
    <w:rsid w:val="0087340F"/>
    <w:rsid w:val="00873701"/>
    <w:rsid w:val="00873D37"/>
    <w:rsid w:val="00874C82"/>
    <w:rsid w:val="00876879"/>
    <w:rsid w:val="00877D1E"/>
    <w:rsid w:val="0088302D"/>
    <w:rsid w:val="008830FE"/>
    <w:rsid w:val="008831E9"/>
    <w:rsid w:val="00883288"/>
    <w:rsid w:val="00883963"/>
    <w:rsid w:val="008841C7"/>
    <w:rsid w:val="00885207"/>
    <w:rsid w:val="00885271"/>
    <w:rsid w:val="0088541D"/>
    <w:rsid w:val="00885C28"/>
    <w:rsid w:val="00885F6B"/>
    <w:rsid w:val="008875D1"/>
    <w:rsid w:val="00887803"/>
    <w:rsid w:val="00887924"/>
    <w:rsid w:val="00887FD6"/>
    <w:rsid w:val="00891481"/>
    <w:rsid w:val="00891585"/>
    <w:rsid w:val="0089350B"/>
    <w:rsid w:val="00893A34"/>
    <w:rsid w:val="00893F1F"/>
    <w:rsid w:val="00894B89"/>
    <w:rsid w:val="00895429"/>
    <w:rsid w:val="00895691"/>
    <w:rsid w:val="00895BC2"/>
    <w:rsid w:val="00897077"/>
    <w:rsid w:val="0089781A"/>
    <w:rsid w:val="00897964"/>
    <w:rsid w:val="008A0E92"/>
    <w:rsid w:val="008A22C5"/>
    <w:rsid w:val="008A2418"/>
    <w:rsid w:val="008A2903"/>
    <w:rsid w:val="008A2ECB"/>
    <w:rsid w:val="008A2F2C"/>
    <w:rsid w:val="008A41D1"/>
    <w:rsid w:val="008A6799"/>
    <w:rsid w:val="008A6B32"/>
    <w:rsid w:val="008A7DEB"/>
    <w:rsid w:val="008B3597"/>
    <w:rsid w:val="008B39F2"/>
    <w:rsid w:val="008B50F9"/>
    <w:rsid w:val="008B58CA"/>
    <w:rsid w:val="008B7CC7"/>
    <w:rsid w:val="008C0A5D"/>
    <w:rsid w:val="008C0BAD"/>
    <w:rsid w:val="008C1654"/>
    <w:rsid w:val="008C1F10"/>
    <w:rsid w:val="008C2E66"/>
    <w:rsid w:val="008C319A"/>
    <w:rsid w:val="008C3CF3"/>
    <w:rsid w:val="008C4059"/>
    <w:rsid w:val="008C4839"/>
    <w:rsid w:val="008C5061"/>
    <w:rsid w:val="008C6455"/>
    <w:rsid w:val="008C6727"/>
    <w:rsid w:val="008C713D"/>
    <w:rsid w:val="008D02FE"/>
    <w:rsid w:val="008D079C"/>
    <w:rsid w:val="008D1F77"/>
    <w:rsid w:val="008D321E"/>
    <w:rsid w:val="008D3B6F"/>
    <w:rsid w:val="008D4069"/>
    <w:rsid w:val="008D4C74"/>
    <w:rsid w:val="008D578D"/>
    <w:rsid w:val="008D5CD9"/>
    <w:rsid w:val="008D607D"/>
    <w:rsid w:val="008E0799"/>
    <w:rsid w:val="008E144C"/>
    <w:rsid w:val="008E1524"/>
    <w:rsid w:val="008E1751"/>
    <w:rsid w:val="008E35D5"/>
    <w:rsid w:val="008E379A"/>
    <w:rsid w:val="008E499D"/>
    <w:rsid w:val="008E74B8"/>
    <w:rsid w:val="008F078B"/>
    <w:rsid w:val="008F1742"/>
    <w:rsid w:val="008F2428"/>
    <w:rsid w:val="008F26BB"/>
    <w:rsid w:val="008F45DD"/>
    <w:rsid w:val="008F468F"/>
    <w:rsid w:val="008F47CD"/>
    <w:rsid w:val="008F524F"/>
    <w:rsid w:val="008F546B"/>
    <w:rsid w:val="008F682D"/>
    <w:rsid w:val="008F6832"/>
    <w:rsid w:val="008F7953"/>
    <w:rsid w:val="0090015E"/>
    <w:rsid w:val="009008B6"/>
    <w:rsid w:val="00900F59"/>
    <w:rsid w:val="009011FA"/>
    <w:rsid w:val="00903870"/>
    <w:rsid w:val="00903A46"/>
    <w:rsid w:val="00903FBC"/>
    <w:rsid w:val="009048D8"/>
    <w:rsid w:val="00905A1C"/>
    <w:rsid w:val="009062B0"/>
    <w:rsid w:val="00907276"/>
    <w:rsid w:val="00907AD9"/>
    <w:rsid w:val="00907EF1"/>
    <w:rsid w:val="009112D6"/>
    <w:rsid w:val="00911779"/>
    <w:rsid w:val="00912583"/>
    <w:rsid w:val="009148FB"/>
    <w:rsid w:val="0091537A"/>
    <w:rsid w:val="00915BC9"/>
    <w:rsid w:val="0091613C"/>
    <w:rsid w:val="00917703"/>
    <w:rsid w:val="00917DF4"/>
    <w:rsid w:val="00921613"/>
    <w:rsid w:val="00921AD9"/>
    <w:rsid w:val="00922DFB"/>
    <w:rsid w:val="00924DAD"/>
    <w:rsid w:val="00924EF9"/>
    <w:rsid w:val="00926ADD"/>
    <w:rsid w:val="00926B17"/>
    <w:rsid w:val="00927BD8"/>
    <w:rsid w:val="0093087E"/>
    <w:rsid w:val="00931139"/>
    <w:rsid w:val="00931186"/>
    <w:rsid w:val="00931C60"/>
    <w:rsid w:val="00932080"/>
    <w:rsid w:val="00932330"/>
    <w:rsid w:val="00932380"/>
    <w:rsid w:val="00932FB5"/>
    <w:rsid w:val="009332BF"/>
    <w:rsid w:val="009339C0"/>
    <w:rsid w:val="00936077"/>
    <w:rsid w:val="00936452"/>
    <w:rsid w:val="009366A0"/>
    <w:rsid w:val="00936E8E"/>
    <w:rsid w:val="00937F6A"/>
    <w:rsid w:val="009407EE"/>
    <w:rsid w:val="00941016"/>
    <w:rsid w:val="00941538"/>
    <w:rsid w:val="0094293A"/>
    <w:rsid w:val="00943B26"/>
    <w:rsid w:val="009453C0"/>
    <w:rsid w:val="00945D0D"/>
    <w:rsid w:val="00945E81"/>
    <w:rsid w:val="00946BA9"/>
    <w:rsid w:val="00950357"/>
    <w:rsid w:val="00950622"/>
    <w:rsid w:val="009509A5"/>
    <w:rsid w:val="00951D9B"/>
    <w:rsid w:val="0095200D"/>
    <w:rsid w:val="009539E1"/>
    <w:rsid w:val="00954090"/>
    <w:rsid w:val="009542D3"/>
    <w:rsid w:val="009553CE"/>
    <w:rsid w:val="00956CBC"/>
    <w:rsid w:val="00956DA6"/>
    <w:rsid w:val="00956DE2"/>
    <w:rsid w:val="009575E3"/>
    <w:rsid w:val="00957F52"/>
    <w:rsid w:val="00960387"/>
    <w:rsid w:val="00960543"/>
    <w:rsid w:val="00961AF4"/>
    <w:rsid w:val="00961C3D"/>
    <w:rsid w:val="00961D4B"/>
    <w:rsid w:val="00961DC0"/>
    <w:rsid w:val="00962484"/>
    <w:rsid w:val="0096278C"/>
    <w:rsid w:val="00962E98"/>
    <w:rsid w:val="0096301F"/>
    <w:rsid w:val="009636D9"/>
    <w:rsid w:val="009643C4"/>
    <w:rsid w:val="0096477D"/>
    <w:rsid w:val="009670D1"/>
    <w:rsid w:val="00967334"/>
    <w:rsid w:val="00967614"/>
    <w:rsid w:val="00967BAA"/>
    <w:rsid w:val="009708FF"/>
    <w:rsid w:val="00970DF3"/>
    <w:rsid w:val="0097146A"/>
    <w:rsid w:val="0097295C"/>
    <w:rsid w:val="00972B5F"/>
    <w:rsid w:val="00973303"/>
    <w:rsid w:val="00975870"/>
    <w:rsid w:val="00975CDC"/>
    <w:rsid w:val="009768F2"/>
    <w:rsid w:val="0098180D"/>
    <w:rsid w:val="00981A56"/>
    <w:rsid w:val="00983073"/>
    <w:rsid w:val="00983242"/>
    <w:rsid w:val="00984190"/>
    <w:rsid w:val="00984467"/>
    <w:rsid w:val="00984B20"/>
    <w:rsid w:val="0098563C"/>
    <w:rsid w:val="0098603E"/>
    <w:rsid w:val="009865A5"/>
    <w:rsid w:val="00986F53"/>
    <w:rsid w:val="0099053A"/>
    <w:rsid w:val="00990E9E"/>
    <w:rsid w:val="009913EC"/>
    <w:rsid w:val="009918E8"/>
    <w:rsid w:val="00991ACC"/>
    <w:rsid w:val="00992345"/>
    <w:rsid w:val="0099604A"/>
    <w:rsid w:val="0099604F"/>
    <w:rsid w:val="009962FE"/>
    <w:rsid w:val="00996944"/>
    <w:rsid w:val="009969E3"/>
    <w:rsid w:val="00997601"/>
    <w:rsid w:val="009977C4"/>
    <w:rsid w:val="00997E46"/>
    <w:rsid w:val="00997F95"/>
    <w:rsid w:val="009A0E5A"/>
    <w:rsid w:val="009A131E"/>
    <w:rsid w:val="009A2C24"/>
    <w:rsid w:val="009A3055"/>
    <w:rsid w:val="009A6068"/>
    <w:rsid w:val="009B02B4"/>
    <w:rsid w:val="009B1209"/>
    <w:rsid w:val="009B1712"/>
    <w:rsid w:val="009B1F29"/>
    <w:rsid w:val="009B22FD"/>
    <w:rsid w:val="009B2B33"/>
    <w:rsid w:val="009B397F"/>
    <w:rsid w:val="009B3F9B"/>
    <w:rsid w:val="009B4464"/>
    <w:rsid w:val="009B491E"/>
    <w:rsid w:val="009B5ED9"/>
    <w:rsid w:val="009B687E"/>
    <w:rsid w:val="009B68E2"/>
    <w:rsid w:val="009B78C5"/>
    <w:rsid w:val="009B78C8"/>
    <w:rsid w:val="009C1349"/>
    <w:rsid w:val="009C1501"/>
    <w:rsid w:val="009C2232"/>
    <w:rsid w:val="009C3A28"/>
    <w:rsid w:val="009C4DC5"/>
    <w:rsid w:val="009C5262"/>
    <w:rsid w:val="009C6B0A"/>
    <w:rsid w:val="009C6DF8"/>
    <w:rsid w:val="009C768B"/>
    <w:rsid w:val="009D0456"/>
    <w:rsid w:val="009D0A81"/>
    <w:rsid w:val="009D1849"/>
    <w:rsid w:val="009D2FFD"/>
    <w:rsid w:val="009D34E7"/>
    <w:rsid w:val="009D3670"/>
    <w:rsid w:val="009D396A"/>
    <w:rsid w:val="009D4701"/>
    <w:rsid w:val="009D4BFC"/>
    <w:rsid w:val="009D54ED"/>
    <w:rsid w:val="009D5865"/>
    <w:rsid w:val="009D5E4C"/>
    <w:rsid w:val="009D602F"/>
    <w:rsid w:val="009D62B5"/>
    <w:rsid w:val="009D6D00"/>
    <w:rsid w:val="009D6D25"/>
    <w:rsid w:val="009D7F78"/>
    <w:rsid w:val="009E03FB"/>
    <w:rsid w:val="009E17B9"/>
    <w:rsid w:val="009E207F"/>
    <w:rsid w:val="009E2154"/>
    <w:rsid w:val="009E31E7"/>
    <w:rsid w:val="009E450E"/>
    <w:rsid w:val="009E56D2"/>
    <w:rsid w:val="009F09E6"/>
    <w:rsid w:val="009F0AC7"/>
    <w:rsid w:val="009F2511"/>
    <w:rsid w:val="009F39B2"/>
    <w:rsid w:val="009F4079"/>
    <w:rsid w:val="009F46F6"/>
    <w:rsid w:val="009F5C7C"/>
    <w:rsid w:val="009F6141"/>
    <w:rsid w:val="009F630C"/>
    <w:rsid w:val="009F6396"/>
    <w:rsid w:val="009F6427"/>
    <w:rsid w:val="009F7DCF"/>
    <w:rsid w:val="009F7F75"/>
    <w:rsid w:val="00A0049A"/>
    <w:rsid w:val="00A01F91"/>
    <w:rsid w:val="00A023D1"/>
    <w:rsid w:val="00A02B88"/>
    <w:rsid w:val="00A0358C"/>
    <w:rsid w:val="00A03704"/>
    <w:rsid w:val="00A03935"/>
    <w:rsid w:val="00A04846"/>
    <w:rsid w:val="00A04956"/>
    <w:rsid w:val="00A05AD3"/>
    <w:rsid w:val="00A067D6"/>
    <w:rsid w:val="00A06AC7"/>
    <w:rsid w:val="00A07EE5"/>
    <w:rsid w:val="00A11347"/>
    <w:rsid w:val="00A124B4"/>
    <w:rsid w:val="00A12961"/>
    <w:rsid w:val="00A136AC"/>
    <w:rsid w:val="00A13885"/>
    <w:rsid w:val="00A144CF"/>
    <w:rsid w:val="00A15025"/>
    <w:rsid w:val="00A15DDF"/>
    <w:rsid w:val="00A16859"/>
    <w:rsid w:val="00A169B4"/>
    <w:rsid w:val="00A16CD8"/>
    <w:rsid w:val="00A17642"/>
    <w:rsid w:val="00A177D9"/>
    <w:rsid w:val="00A1789C"/>
    <w:rsid w:val="00A178DF"/>
    <w:rsid w:val="00A17B5E"/>
    <w:rsid w:val="00A207D3"/>
    <w:rsid w:val="00A20C92"/>
    <w:rsid w:val="00A20D1E"/>
    <w:rsid w:val="00A20E0B"/>
    <w:rsid w:val="00A2197C"/>
    <w:rsid w:val="00A227F2"/>
    <w:rsid w:val="00A23954"/>
    <w:rsid w:val="00A240B1"/>
    <w:rsid w:val="00A241BD"/>
    <w:rsid w:val="00A24AF1"/>
    <w:rsid w:val="00A25D15"/>
    <w:rsid w:val="00A2777E"/>
    <w:rsid w:val="00A3103A"/>
    <w:rsid w:val="00A310FC"/>
    <w:rsid w:val="00A31160"/>
    <w:rsid w:val="00A31268"/>
    <w:rsid w:val="00A31E8F"/>
    <w:rsid w:val="00A32F59"/>
    <w:rsid w:val="00A333FB"/>
    <w:rsid w:val="00A3580A"/>
    <w:rsid w:val="00A3596A"/>
    <w:rsid w:val="00A371BF"/>
    <w:rsid w:val="00A408FC"/>
    <w:rsid w:val="00A41E37"/>
    <w:rsid w:val="00A42957"/>
    <w:rsid w:val="00A42B92"/>
    <w:rsid w:val="00A42F5A"/>
    <w:rsid w:val="00A43974"/>
    <w:rsid w:val="00A43B7D"/>
    <w:rsid w:val="00A4458A"/>
    <w:rsid w:val="00A44EB9"/>
    <w:rsid w:val="00A458F0"/>
    <w:rsid w:val="00A4685C"/>
    <w:rsid w:val="00A46A67"/>
    <w:rsid w:val="00A474F8"/>
    <w:rsid w:val="00A51CC9"/>
    <w:rsid w:val="00A51EF6"/>
    <w:rsid w:val="00A52763"/>
    <w:rsid w:val="00A52964"/>
    <w:rsid w:val="00A529C2"/>
    <w:rsid w:val="00A52C13"/>
    <w:rsid w:val="00A569BF"/>
    <w:rsid w:val="00A6093C"/>
    <w:rsid w:val="00A647A5"/>
    <w:rsid w:val="00A65EA6"/>
    <w:rsid w:val="00A66B4B"/>
    <w:rsid w:val="00A67EF2"/>
    <w:rsid w:val="00A71887"/>
    <w:rsid w:val="00A72D91"/>
    <w:rsid w:val="00A73224"/>
    <w:rsid w:val="00A73D4B"/>
    <w:rsid w:val="00A7431D"/>
    <w:rsid w:val="00A75DF8"/>
    <w:rsid w:val="00A761FA"/>
    <w:rsid w:val="00A762FC"/>
    <w:rsid w:val="00A771C0"/>
    <w:rsid w:val="00A77CB8"/>
    <w:rsid w:val="00A80566"/>
    <w:rsid w:val="00A80CA4"/>
    <w:rsid w:val="00A80DDF"/>
    <w:rsid w:val="00A80F74"/>
    <w:rsid w:val="00A81192"/>
    <w:rsid w:val="00A81297"/>
    <w:rsid w:val="00A820D6"/>
    <w:rsid w:val="00A82A72"/>
    <w:rsid w:val="00A84EE1"/>
    <w:rsid w:val="00A85A08"/>
    <w:rsid w:val="00A86724"/>
    <w:rsid w:val="00A8672D"/>
    <w:rsid w:val="00A90A2A"/>
    <w:rsid w:val="00A90B93"/>
    <w:rsid w:val="00A91B94"/>
    <w:rsid w:val="00A92173"/>
    <w:rsid w:val="00A92B72"/>
    <w:rsid w:val="00A92E1D"/>
    <w:rsid w:val="00A94A2E"/>
    <w:rsid w:val="00A94F1D"/>
    <w:rsid w:val="00A95810"/>
    <w:rsid w:val="00A95D2C"/>
    <w:rsid w:val="00A95DA6"/>
    <w:rsid w:val="00A962C4"/>
    <w:rsid w:val="00A965A5"/>
    <w:rsid w:val="00A96B07"/>
    <w:rsid w:val="00A972A9"/>
    <w:rsid w:val="00A97DC2"/>
    <w:rsid w:val="00AA0305"/>
    <w:rsid w:val="00AA0317"/>
    <w:rsid w:val="00AA1C0E"/>
    <w:rsid w:val="00AA1E55"/>
    <w:rsid w:val="00AA2A15"/>
    <w:rsid w:val="00AA2A96"/>
    <w:rsid w:val="00AA42A7"/>
    <w:rsid w:val="00AA5022"/>
    <w:rsid w:val="00AA5EED"/>
    <w:rsid w:val="00AA714E"/>
    <w:rsid w:val="00AA7565"/>
    <w:rsid w:val="00AB1BE7"/>
    <w:rsid w:val="00AB1C8B"/>
    <w:rsid w:val="00AB211F"/>
    <w:rsid w:val="00AB4B80"/>
    <w:rsid w:val="00AB5B33"/>
    <w:rsid w:val="00AB7165"/>
    <w:rsid w:val="00AB7678"/>
    <w:rsid w:val="00AC0041"/>
    <w:rsid w:val="00AC014E"/>
    <w:rsid w:val="00AC018E"/>
    <w:rsid w:val="00AC238D"/>
    <w:rsid w:val="00AC3982"/>
    <w:rsid w:val="00AC4B7F"/>
    <w:rsid w:val="00AC6AAD"/>
    <w:rsid w:val="00AC704B"/>
    <w:rsid w:val="00AC7238"/>
    <w:rsid w:val="00AC7BEB"/>
    <w:rsid w:val="00AC7C05"/>
    <w:rsid w:val="00AD00B5"/>
    <w:rsid w:val="00AD0BAA"/>
    <w:rsid w:val="00AD162D"/>
    <w:rsid w:val="00AD169D"/>
    <w:rsid w:val="00AD16E4"/>
    <w:rsid w:val="00AD2189"/>
    <w:rsid w:val="00AD2C02"/>
    <w:rsid w:val="00AD31A9"/>
    <w:rsid w:val="00AD5287"/>
    <w:rsid w:val="00AD53B3"/>
    <w:rsid w:val="00AD57EE"/>
    <w:rsid w:val="00AD61BE"/>
    <w:rsid w:val="00AD6CF5"/>
    <w:rsid w:val="00AD7847"/>
    <w:rsid w:val="00AD7EC9"/>
    <w:rsid w:val="00AE097A"/>
    <w:rsid w:val="00AE1B5A"/>
    <w:rsid w:val="00AE2151"/>
    <w:rsid w:val="00AE22F5"/>
    <w:rsid w:val="00AE249D"/>
    <w:rsid w:val="00AE31B0"/>
    <w:rsid w:val="00AE3EC0"/>
    <w:rsid w:val="00AE664D"/>
    <w:rsid w:val="00AE6FC4"/>
    <w:rsid w:val="00AF0479"/>
    <w:rsid w:val="00AF0C81"/>
    <w:rsid w:val="00AF1DB1"/>
    <w:rsid w:val="00AF26A2"/>
    <w:rsid w:val="00AF3482"/>
    <w:rsid w:val="00AF3DFB"/>
    <w:rsid w:val="00AF411C"/>
    <w:rsid w:val="00AF4B64"/>
    <w:rsid w:val="00AF6C5B"/>
    <w:rsid w:val="00AF76A5"/>
    <w:rsid w:val="00AF7EC6"/>
    <w:rsid w:val="00B00205"/>
    <w:rsid w:val="00B00614"/>
    <w:rsid w:val="00B01B51"/>
    <w:rsid w:val="00B02C0D"/>
    <w:rsid w:val="00B03333"/>
    <w:rsid w:val="00B033B6"/>
    <w:rsid w:val="00B03591"/>
    <w:rsid w:val="00B0406A"/>
    <w:rsid w:val="00B04268"/>
    <w:rsid w:val="00B04615"/>
    <w:rsid w:val="00B05C77"/>
    <w:rsid w:val="00B06841"/>
    <w:rsid w:val="00B06B03"/>
    <w:rsid w:val="00B078BB"/>
    <w:rsid w:val="00B07A7E"/>
    <w:rsid w:val="00B07B34"/>
    <w:rsid w:val="00B07DB6"/>
    <w:rsid w:val="00B10F7B"/>
    <w:rsid w:val="00B113E5"/>
    <w:rsid w:val="00B1162D"/>
    <w:rsid w:val="00B122AB"/>
    <w:rsid w:val="00B12387"/>
    <w:rsid w:val="00B1388A"/>
    <w:rsid w:val="00B1420D"/>
    <w:rsid w:val="00B14C06"/>
    <w:rsid w:val="00B15345"/>
    <w:rsid w:val="00B153F0"/>
    <w:rsid w:val="00B16011"/>
    <w:rsid w:val="00B160D9"/>
    <w:rsid w:val="00B162A3"/>
    <w:rsid w:val="00B16D79"/>
    <w:rsid w:val="00B17ECC"/>
    <w:rsid w:val="00B20515"/>
    <w:rsid w:val="00B2100F"/>
    <w:rsid w:val="00B23398"/>
    <w:rsid w:val="00B245B0"/>
    <w:rsid w:val="00B265CB"/>
    <w:rsid w:val="00B26E56"/>
    <w:rsid w:val="00B31879"/>
    <w:rsid w:val="00B31F17"/>
    <w:rsid w:val="00B32F2D"/>
    <w:rsid w:val="00B3311C"/>
    <w:rsid w:val="00B33125"/>
    <w:rsid w:val="00B34109"/>
    <w:rsid w:val="00B34A3B"/>
    <w:rsid w:val="00B355C5"/>
    <w:rsid w:val="00B3673D"/>
    <w:rsid w:val="00B3685A"/>
    <w:rsid w:val="00B41A65"/>
    <w:rsid w:val="00B42D81"/>
    <w:rsid w:val="00B43DC6"/>
    <w:rsid w:val="00B43F15"/>
    <w:rsid w:val="00B44B69"/>
    <w:rsid w:val="00B44C6C"/>
    <w:rsid w:val="00B46E19"/>
    <w:rsid w:val="00B4757F"/>
    <w:rsid w:val="00B47CC2"/>
    <w:rsid w:val="00B51278"/>
    <w:rsid w:val="00B5187A"/>
    <w:rsid w:val="00B52E33"/>
    <w:rsid w:val="00B5342B"/>
    <w:rsid w:val="00B5395D"/>
    <w:rsid w:val="00B53B24"/>
    <w:rsid w:val="00B543E5"/>
    <w:rsid w:val="00B548E5"/>
    <w:rsid w:val="00B55A94"/>
    <w:rsid w:val="00B55CD1"/>
    <w:rsid w:val="00B579FB"/>
    <w:rsid w:val="00B605F9"/>
    <w:rsid w:val="00B61C67"/>
    <w:rsid w:val="00B61DDB"/>
    <w:rsid w:val="00B62A9E"/>
    <w:rsid w:val="00B62E50"/>
    <w:rsid w:val="00B6314D"/>
    <w:rsid w:val="00B636CA"/>
    <w:rsid w:val="00B64193"/>
    <w:rsid w:val="00B6488C"/>
    <w:rsid w:val="00B64B25"/>
    <w:rsid w:val="00B64BD8"/>
    <w:rsid w:val="00B66638"/>
    <w:rsid w:val="00B67251"/>
    <w:rsid w:val="00B67494"/>
    <w:rsid w:val="00B67730"/>
    <w:rsid w:val="00B70EFF"/>
    <w:rsid w:val="00B7103F"/>
    <w:rsid w:val="00B713DA"/>
    <w:rsid w:val="00B71654"/>
    <w:rsid w:val="00B7194A"/>
    <w:rsid w:val="00B727C2"/>
    <w:rsid w:val="00B7335C"/>
    <w:rsid w:val="00B738C7"/>
    <w:rsid w:val="00B747AC"/>
    <w:rsid w:val="00B7574E"/>
    <w:rsid w:val="00B75FFF"/>
    <w:rsid w:val="00B77124"/>
    <w:rsid w:val="00B801F7"/>
    <w:rsid w:val="00B8023E"/>
    <w:rsid w:val="00B807BC"/>
    <w:rsid w:val="00B81246"/>
    <w:rsid w:val="00B812B6"/>
    <w:rsid w:val="00B81FAA"/>
    <w:rsid w:val="00B82106"/>
    <w:rsid w:val="00B82526"/>
    <w:rsid w:val="00B82809"/>
    <w:rsid w:val="00B85CA7"/>
    <w:rsid w:val="00B861D7"/>
    <w:rsid w:val="00B91224"/>
    <w:rsid w:val="00B913D6"/>
    <w:rsid w:val="00B91420"/>
    <w:rsid w:val="00B9143A"/>
    <w:rsid w:val="00B92DEC"/>
    <w:rsid w:val="00B935DE"/>
    <w:rsid w:val="00B93B88"/>
    <w:rsid w:val="00B94848"/>
    <w:rsid w:val="00B9525A"/>
    <w:rsid w:val="00B962B8"/>
    <w:rsid w:val="00B962CB"/>
    <w:rsid w:val="00B971C0"/>
    <w:rsid w:val="00B97865"/>
    <w:rsid w:val="00BA015D"/>
    <w:rsid w:val="00BA064C"/>
    <w:rsid w:val="00BA0C85"/>
    <w:rsid w:val="00BA18B2"/>
    <w:rsid w:val="00BA1B22"/>
    <w:rsid w:val="00BA1D9A"/>
    <w:rsid w:val="00BA2826"/>
    <w:rsid w:val="00BA4053"/>
    <w:rsid w:val="00BA4091"/>
    <w:rsid w:val="00BA4735"/>
    <w:rsid w:val="00BA682D"/>
    <w:rsid w:val="00BA79D8"/>
    <w:rsid w:val="00BA7E59"/>
    <w:rsid w:val="00BB04B7"/>
    <w:rsid w:val="00BB0658"/>
    <w:rsid w:val="00BB0BB8"/>
    <w:rsid w:val="00BB18B7"/>
    <w:rsid w:val="00BB2DB8"/>
    <w:rsid w:val="00BB37C9"/>
    <w:rsid w:val="00BB3A50"/>
    <w:rsid w:val="00BB4C08"/>
    <w:rsid w:val="00BB4D9B"/>
    <w:rsid w:val="00BB647C"/>
    <w:rsid w:val="00BB6A50"/>
    <w:rsid w:val="00BB783A"/>
    <w:rsid w:val="00BC037B"/>
    <w:rsid w:val="00BC0C83"/>
    <w:rsid w:val="00BC114B"/>
    <w:rsid w:val="00BC1CDE"/>
    <w:rsid w:val="00BC2AC2"/>
    <w:rsid w:val="00BC33E7"/>
    <w:rsid w:val="00BC55FB"/>
    <w:rsid w:val="00BC61B1"/>
    <w:rsid w:val="00BC745B"/>
    <w:rsid w:val="00BC74B2"/>
    <w:rsid w:val="00BC7EFD"/>
    <w:rsid w:val="00BC7FD2"/>
    <w:rsid w:val="00BD1F16"/>
    <w:rsid w:val="00BD201F"/>
    <w:rsid w:val="00BD2ADF"/>
    <w:rsid w:val="00BD3920"/>
    <w:rsid w:val="00BD3C56"/>
    <w:rsid w:val="00BD3E19"/>
    <w:rsid w:val="00BD55D3"/>
    <w:rsid w:val="00BD605A"/>
    <w:rsid w:val="00BD787F"/>
    <w:rsid w:val="00BD7E26"/>
    <w:rsid w:val="00BE00F2"/>
    <w:rsid w:val="00BE0A20"/>
    <w:rsid w:val="00BE0EA8"/>
    <w:rsid w:val="00BE0EDB"/>
    <w:rsid w:val="00BE209A"/>
    <w:rsid w:val="00BE2293"/>
    <w:rsid w:val="00BE24AF"/>
    <w:rsid w:val="00BE2AD4"/>
    <w:rsid w:val="00BE37DF"/>
    <w:rsid w:val="00BE37E1"/>
    <w:rsid w:val="00BE47AA"/>
    <w:rsid w:val="00BE4B28"/>
    <w:rsid w:val="00BE4ED0"/>
    <w:rsid w:val="00BE4F79"/>
    <w:rsid w:val="00BE51F0"/>
    <w:rsid w:val="00BE5549"/>
    <w:rsid w:val="00BE57F6"/>
    <w:rsid w:val="00BE7220"/>
    <w:rsid w:val="00BF021D"/>
    <w:rsid w:val="00BF0E1E"/>
    <w:rsid w:val="00BF0F22"/>
    <w:rsid w:val="00BF1782"/>
    <w:rsid w:val="00BF2675"/>
    <w:rsid w:val="00BF2D80"/>
    <w:rsid w:val="00BF2DF2"/>
    <w:rsid w:val="00BF32A0"/>
    <w:rsid w:val="00BF34A5"/>
    <w:rsid w:val="00BF3828"/>
    <w:rsid w:val="00BF3CFA"/>
    <w:rsid w:val="00BF4F4D"/>
    <w:rsid w:val="00BF5144"/>
    <w:rsid w:val="00BF5AEF"/>
    <w:rsid w:val="00BF5E9D"/>
    <w:rsid w:val="00BF7B95"/>
    <w:rsid w:val="00C00747"/>
    <w:rsid w:val="00C01116"/>
    <w:rsid w:val="00C01165"/>
    <w:rsid w:val="00C01A45"/>
    <w:rsid w:val="00C01F0F"/>
    <w:rsid w:val="00C02336"/>
    <w:rsid w:val="00C04254"/>
    <w:rsid w:val="00C043A7"/>
    <w:rsid w:val="00C044F1"/>
    <w:rsid w:val="00C050D3"/>
    <w:rsid w:val="00C0748E"/>
    <w:rsid w:val="00C10374"/>
    <w:rsid w:val="00C1216C"/>
    <w:rsid w:val="00C124CD"/>
    <w:rsid w:val="00C1260F"/>
    <w:rsid w:val="00C12840"/>
    <w:rsid w:val="00C12DC0"/>
    <w:rsid w:val="00C1593D"/>
    <w:rsid w:val="00C160F3"/>
    <w:rsid w:val="00C172E3"/>
    <w:rsid w:val="00C17947"/>
    <w:rsid w:val="00C2008A"/>
    <w:rsid w:val="00C217D7"/>
    <w:rsid w:val="00C21910"/>
    <w:rsid w:val="00C22372"/>
    <w:rsid w:val="00C22791"/>
    <w:rsid w:val="00C244FF"/>
    <w:rsid w:val="00C2577D"/>
    <w:rsid w:val="00C26A8B"/>
    <w:rsid w:val="00C27FC3"/>
    <w:rsid w:val="00C32993"/>
    <w:rsid w:val="00C338BE"/>
    <w:rsid w:val="00C33D51"/>
    <w:rsid w:val="00C35BF3"/>
    <w:rsid w:val="00C35E06"/>
    <w:rsid w:val="00C3670D"/>
    <w:rsid w:val="00C3682C"/>
    <w:rsid w:val="00C36ADA"/>
    <w:rsid w:val="00C40402"/>
    <w:rsid w:val="00C407C6"/>
    <w:rsid w:val="00C41370"/>
    <w:rsid w:val="00C41EED"/>
    <w:rsid w:val="00C422EA"/>
    <w:rsid w:val="00C42542"/>
    <w:rsid w:val="00C42579"/>
    <w:rsid w:val="00C438AE"/>
    <w:rsid w:val="00C442B6"/>
    <w:rsid w:val="00C44A65"/>
    <w:rsid w:val="00C4561E"/>
    <w:rsid w:val="00C459A1"/>
    <w:rsid w:val="00C47588"/>
    <w:rsid w:val="00C5096F"/>
    <w:rsid w:val="00C50C37"/>
    <w:rsid w:val="00C51977"/>
    <w:rsid w:val="00C525DC"/>
    <w:rsid w:val="00C52B10"/>
    <w:rsid w:val="00C5302D"/>
    <w:rsid w:val="00C5403F"/>
    <w:rsid w:val="00C542DC"/>
    <w:rsid w:val="00C54733"/>
    <w:rsid w:val="00C5503C"/>
    <w:rsid w:val="00C55956"/>
    <w:rsid w:val="00C55CDD"/>
    <w:rsid w:val="00C5787F"/>
    <w:rsid w:val="00C57E44"/>
    <w:rsid w:val="00C60E71"/>
    <w:rsid w:val="00C61A6F"/>
    <w:rsid w:val="00C61F66"/>
    <w:rsid w:val="00C626CB"/>
    <w:rsid w:val="00C62F4A"/>
    <w:rsid w:val="00C6318D"/>
    <w:rsid w:val="00C634DB"/>
    <w:rsid w:val="00C6383F"/>
    <w:rsid w:val="00C63883"/>
    <w:rsid w:val="00C63A9A"/>
    <w:rsid w:val="00C64EDC"/>
    <w:rsid w:val="00C66506"/>
    <w:rsid w:val="00C67F7E"/>
    <w:rsid w:val="00C70729"/>
    <w:rsid w:val="00C724F1"/>
    <w:rsid w:val="00C72863"/>
    <w:rsid w:val="00C72EF0"/>
    <w:rsid w:val="00C7318D"/>
    <w:rsid w:val="00C73AEA"/>
    <w:rsid w:val="00C744DB"/>
    <w:rsid w:val="00C74CC2"/>
    <w:rsid w:val="00C75389"/>
    <w:rsid w:val="00C76487"/>
    <w:rsid w:val="00C77322"/>
    <w:rsid w:val="00C77ACD"/>
    <w:rsid w:val="00C80B03"/>
    <w:rsid w:val="00C82FC1"/>
    <w:rsid w:val="00C833CA"/>
    <w:rsid w:val="00C833D3"/>
    <w:rsid w:val="00C83726"/>
    <w:rsid w:val="00C85536"/>
    <w:rsid w:val="00C85CBA"/>
    <w:rsid w:val="00C862F6"/>
    <w:rsid w:val="00C91998"/>
    <w:rsid w:val="00C92045"/>
    <w:rsid w:val="00C9240D"/>
    <w:rsid w:val="00C92492"/>
    <w:rsid w:val="00C93499"/>
    <w:rsid w:val="00C94385"/>
    <w:rsid w:val="00C952FE"/>
    <w:rsid w:val="00C95648"/>
    <w:rsid w:val="00C96565"/>
    <w:rsid w:val="00C9766A"/>
    <w:rsid w:val="00C9795B"/>
    <w:rsid w:val="00CA1310"/>
    <w:rsid w:val="00CA1F4C"/>
    <w:rsid w:val="00CA27D5"/>
    <w:rsid w:val="00CA2FE8"/>
    <w:rsid w:val="00CA3336"/>
    <w:rsid w:val="00CA3630"/>
    <w:rsid w:val="00CA49A2"/>
    <w:rsid w:val="00CA4D80"/>
    <w:rsid w:val="00CA552A"/>
    <w:rsid w:val="00CA55AC"/>
    <w:rsid w:val="00CA5DA4"/>
    <w:rsid w:val="00CA6831"/>
    <w:rsid w:val="00CA683E"/>
    <w:rsid w:val="00CA6E18"/>
    <w:rsid w:val="00CA7EB8"/>
    <w:rsid w:val="00CB0009"/>
    <w:rsid w:val="00CB0179"/>
    <w:rsid w:val="00CB0C87"/>
    <w:rsid w:val="00CB2278"/>
    <w:rsid w:val="00CB2866"/>
    <w:rsid w:val="00CB3092"/>
    <w:rsid w:val="00CB368B"/>
    <w:rsid w:val="00CB43E1"/>
    <w:rsid w:val="00CB4E25"/>
    <w:rsid w:val="00CB5B8C"/>
    <w:rsid w:val="00CB6BD8"/>
    <w:rsid w:val="00CB7109"/>
    <w:rsid w:val="00CB73EE"/>
    <w:rsid w:val="00CB74C1"/>
    <w:rsid w:val="00CC0031"/>
    <w:rsid w:val="00CC10A5"/>
    <w:rsid w:val="00CC1929"/>
    <w:rsid w:val="00CC1B2D"/>
    <w:rsid w:val="00CC2C4F"/>
    <w:rsid w:val="00CC3B52"/>
    <w:rsid w:val="00CC3DEF"/>
    <w:rsid w:val="00CC3FDF"/>
    <w:rsid w:val="00CC4775"/>
    <w:rsid w:val="00CC4E32"/>
    <w:rsid w:val="00CC58BC"/>
    <w:rsid w:val="00CC60B9"/>
    <w:rsid w:val="00CC6BC0"/>
    <w:rsid w:val="00CC7280"/>
    <w:rsid w:val="00CC7C62"/>
    <w:rsid w:val="00CC7E98"/>
    <w:rsid w:val="00CC7FF5"/>
    <w:rsid w:val="00CD0237"/>
    <w:rsid w:val="00CD03B4"/>
    <w:rsid w:val="00CD081F"/>
    <w:rsid w:val="00CD1628"/>
    <w:rsid w:val="00CD2165"/>
    <w:rsid w:val="00CD2592"/>
    <w:rsid w:val="00CD2712"/>
    <w:rsid w:val="00CD33E5"/>
    <w:rsid w:val="00CD41EE"/>
    <w:rsid w:val="00CD4482"/>
    <w:rsid w:val="00CD476F"/>
    <w:rsid w:val="00CD578D"/>
    <w:rsid w:val="00CD6084"/>
    <w:rsid w:val="00CD64D7"/>
    <w:rsid w:val="00CD664F"/>
    <w:rsid w:val="00CD72D5"/>
    <w:rsid w:val="00CD7C95"/>
    <w:rsid w:val="00CE19DF"/>
    <w:rsid w:val="00CE2324"/>
    <w:rsid w:val="00CE3C6D"/>
    <w:rsid w:val="00CE3D5E"/>
    <w:rsid w:val="00CE4977"/>
    <w:rsid w:val="00CE5ADA"/>
    <w:rsid w:val="00CE5E90"/>
    <w:rsid w:val="00CE7FCB"/>
    <w:rsid w:val="00CE7FF5"/>
    <w:rsid w:val="00CF00D1"/>
    <w:rsid w:val="00CF32E9"/>
    <w:rsid w:val="00CF345C"/>
    <w:rsid w:val="00CF3D64"/>
    <w:rsid w:val="00CF4E94"/>
    <w:rsid w:val="00CF56C1"/>
    <w:rsid w:val="00CF608A"/>
    <w:rsid w:val="00CF75BA"/>
    <w:rsid w:val="00D00648"/>
    <w:rsid w:val="00D010E3"/>
    <w:rsid w:val="00D01A19"/>
    <w:rsid w:val="00D02E90"/>
    <w:rsid w:val="00D03138"/>
    <w:rsid w:val="00D038D8"/>
    <w:rsid w:val="00D04605"/>
    <w:rsid w:val="00D05810"/>
    <w:rsid w:val="00D06727"/>
    <w:rsid w:val="00D07AEE"/>
    <w:rsid w:val="00D07E7B"/>
    <w:rsid w:val="00D103B6"/>
    <w:rsid w:val="00D10925"/>
    <w:rsid w:val="00D10C61"/>
    <w:rsid w:val="00D12914"/>
    <w:rsid w:val="00D12F94"/>
    <w:rsid w:val="00D1391D"/>
    <w:rsid w:val="00D13EDE"/>
    <w:rsid w:val="00D13F87"/>
    <w:rsid w:val="00D13F9C"/>
    <w:rsid w:val="00D147BD"/>
    <w:rsid w:val="00D15ADE"/>
    <w:rsid w:val="00D17324"/>
    <w:rsid w:val="00D17A92"/>
    <w:rsid w:val="00D17FB1"/>
    <w:rsid w:val="00D202AA"/>
    <w:rsid w:val="00D20416"/>
    <w:rsid w:val="00D20CCF"/>
    <w:rsid w:val="00D20D38"/>
    <w:rsid w:val="00D21942"/>
    <w:rsid w:val="00D22AF1"/>
    <w:rsid w:val="00D22B65"/>
    <w:rsid w:val="00D23682"/>
    <w:rsid w:val="00D23F66"/>
    <w:rsid w:val="00D24586"/>
    <w:rsid w:val="00D249F3"/>
    <w:rsid w:val="00D24AF1"/>
    <w:rsid w:val="00D30C9F"/>
    <w:rsid w:val="00D31481"/>
    <w:rsid w:val="00D3196B"/>
    <w:rsid w:val="00D324FC"/>
    <w:rsid w:val="00D3296D"/>
    <w:rsid w:val="00D34819"/>
    <w:rsid w:val="00D35CBE"/>
    <w:rsid w:val="00D35F36"/>
    <w:rsid w:val="00D378DF"/>
    <w:rsid w:val="00D37CEC"/>
    <w:rsid w:val="00D37D9B"/>
    <w:rsid w:val="00D41322"/>
    <w:rsid w:val="00D41585"/>
    <w:rsid w:val="00D428A9"/>
    <w:rsid w:val="00D42B0C"/>
    <w:rsid w:val="00D462E3"/>
    <w:rsid w:val="00D47AC5"/>
    <w:rsid w:val="00D50FEB"/>
    <w:rsid w:val="00D5113F"/>
    <w:rsid w:val="00D5349C"/>
    <w:rsid w:val="00D53CE6"/>
    <w:rsid w:val="00D5549D"/>
    <w:rsid w:val="00D55F34"/>
    <w:rsid w:val="00D5611A"/>
    <w:rsid w:val="00D56336"/>
    <w:rsid w:val="00D5686C"/>
    <w:rsid w:val="00D56BA7"/>
    <w:rsid w:val="00D56DA0"/>
    <w:rsid w:val="00D57578"/>
    <w:rsid w:val="00D576E9"/>
    <w:rsid w:val="00D5781D"/>
    <w:rsid w:val="00D61242"/>
    <w:rsid w:val="00D617EF"/>
    <w:rsid w:val="00D62B49"/>
    <w:rsid w:val="00D62ECD"/>
    <w:rsid w:val="00D6403C"/>
    <w:rsid w:val="00D6491B"/>
    <w:rsid w:val="00D65ACD"/>
    <w:rsid w:val="00D65CF2"/>
    <w:rsid w:val="00D65EA9"/>
    <w:rsid w:val="00D6682C"/>
    <w:rsid w:val="00D66CF8"/>
    <w:rsid w:val="00D66DB5"/>
    <w:rsid w:val="00D674B1"/>
    <w:rsid w:val="00D67F9B"/>
    <w:rsid w:val="00D7008D"/>
    <w:rsid w:val="00D7086E"/>
    <w:rsid w:val="00D70C49"/>
    <w:rsid w:val="00D70F3A"/>
    <w:rsid w:val="00D7199B"/>
    <w:rsid w:val="00D71D80"/>
    <w:rsid w:val="00D72559"/>
    <w:rsid w:val="00D72BEF"/>
    <w:rsid w:val="00D72C62"/>
    <w:rsid w:val="00D73886"/>
    <w:rsid w:val="00D73B22"/>
    <w:rsid w:val="00D74443"/>
    <w:rsid w:val="00D74BA6"/>
    <w:rsid w:val="00D766D7"/>
    <w:rsid w:val="00D76AB8"/>
    <w:rsid w:val="00D772B3"/>
    <w:rsid w:val="00D77A52"/>
    <w:rsid w:val="00D81B58"/>
    <w:rsid w:val="00D81C14"/>
    <w:rsid w:val="00D81EE3"/>
    <w:rsid w:val="00D82025"/>
    <w:rsid w:val="00D832D5"/>
    <w:rsid w:val="00D83376"/>
    <w:rsid w:val="00D83B0F"/>
    <w:rsid w:val="00D84161"/>
    <w:rsid w:val="00D84B5D"/>
    <w:rsid w:val="00D84BBC"/>
    <w:rsid w:val="00D853FF"/>
    <w:rsid w:val="00D8568F"/>
    <w:rsid w:val="00D856E8"/>
    <w:rsid w:val="00D85B30"/>
    <w:rsid w:val="00D8705F"/>
    <w:rsid w:val="00D873E5"/>
    <w:rsid w:val="00D87A07"/>
    <w:rsid w:val="00D92A15"/>
    <w:rsid w:val="00D92A4F"/>
    <w:rsid w:val="00D94268"/>
    <w:rsid w:val="00D947F2"/>
    <w:rsid w:val="00D952A9"/>
    <w:rsid w:val="00D954A4"/>
    <w:rsid w:val="00D957C0"/>
    <w:rsid w:val="00D95800"/>
    <w:rsid w:val="00D965FE"/>
    <w:rsid w:val="00DA038F"/>
    <w:rsid w:val="00DA03FB"/>
    <w:rsid w:val="00DA0546"/>
    <w:rsid w:val="00DA0B05"/>
    <w:rsid w:val="00DA124F"/>
    <w:rsid w:val="00DA1332"/>
    <w:rsid w:val="00DA1F81"/>
    <w:rsid w:val="00DA377B"/>
    <w:rsid w:val="00DA3A38"/>
    <w:rsid w:val="00DA3F73"/>
    <w:rsid w:val="00DA48E4"/>
    <w:rsid w:val="00DA48F6"/>
    <w:rsid w:val="00DA5238"/>
    <w:rsid w:val="00DA53C1"/>
    <w:rsid w:val="00DA5621"/>
    <w:rsid w:val="00DA5B67"/>
    <w:rsid w:val="00DA7BDD"/>
    <w:rsid w:val="00DA7ECD"/>
    <w:rsid w:val="00DB09E4"/>
    <w:rsid w:val="00DB2D17"/>
    <w:rsid w:val="00DB5664"/>
    <w:rsid w:val="00DB5E4D"/>
    <w:rsid w:val="00DB5F9F"/>
    <w:rsid w:val="00DB6684"/>
    <w:rsid w:val="00DB6C6D"/>
    <w:rsid w:val="00DB6D1F"/>
    <w:rsid w:val="00DB78EA"/>
    <w:rsid w:val="00DB7D0D"/>
    <w:rsid w:val="00DB7DAF"/>
    <w:rsid w:val="00DC11CB"/>
    <w:rsid w:val="00DC13EA"/>
    <w:rsid w:val="00DC146A"/>
    <w:rsid w:val="00DC15B0"/>
    <w:rsid w:val="00DC1BB7"/>
    <w:rsid w:val="00DC1D0E"/>
    <w:rsid w:val="00DC221A"/>
    <w:rsid w:val="00DC227E"/>
    <w:rsid w:val="00DC27B6"/>
    <w:rsid w:val="00DC3ADA"/>
    <w:rsid w:val="00DC3DC3"/>
    <w:rsid w:val="00DC3E2A"/>
    <w:rsid w:val="00DC4A0B"/>
    <w:rsid w:val="00DC4D66"/>
    <w:rsid w:val="00DC6672"/>
    <w:rsid w:val="00DC7376"/>
    <w:rsid w:val="00DC7F6E"/>
    <w:rsid w:val="00DD026E"/>
    <w:rsid w:val="00DD1519"/>
    <w:rsid w:val="00DD1685"/>
    <w:rsid w:val="00DD1715"/>
    <w:rsid w:val="00DD2A91"/>
    <w:rsid w:val="00DD2B38"/>
    <w:rsid w:val="00DD2C4D"/>
    <w:rsid w:val="00DD31E0"/>
    <w:rsid w:val="00DD35FE"/>
    <w:rsid w:val="00DD37BF"/>
    <w:rsid w:val="00DD44AD"/>
    <w:rsid w:val="00DD45F6"/>
    <w:rsid w:val="00DD4849"/>
    <w:rsid w:val="00DD4FB9"/>
    <w:rsid w:val="00DD5596"/>
    <w:rsid w:val="00DD5A7F"/>
    <w:rsid w:val="00DD62C6"/>
    <w:rsid w:val="00DD6B23"/>
    <w:rsid w:val="00DD7A3C"/>
    <w:rsid w:val="00DE0BF2"/>
    <w:rsid w:val="00DE1C61"/>
    <w:rsid w:val="00DE1E06"/>
    <w:rsid w:val="00DE24BA"/>
    <w:rsid w:val="00DE342A"/>
    <w:rsid w:val="00DE3D05"/>
    <w:rsid w:val="00DE48C3"/>
    <w:rsid w:val="00DE493A"/>
    <w:rsid w:val="00DE4C46"/>
    <w:rsid w:val="00DE5099"/>
    <w:rsid w:val="00DE58AE"/>
    <w:rsid w:val="00DE6898"/>
    <w:rsid w:val="00DE7190"/>
    <w:rsid w:val="00DF1157"/>
    <w:rsid w:val="00DF1340"/>
    <w:rsid w:val="00DF178D"/>
    <w:rsid w:val="00DF21CA"/>
    <w:rsid w:val="00DF2C35"/>
    <w:rsid w:val="00DF2D41"/>
    <w:rsid w:val="00DF2E2D"/>
    <w:rsid w:val="00DF2E2F"/>
    <w:rsid w:val="00DF38C7"/>
    <w:rsid w:val="00DF4392"/>
    <w:rsid w:val="00DF4E1F"/>
    <w:rsid w:val="00DF5278"/>
    <w:rsid w:val="00DF55F0"/>
    <w:rsid w:val="00DF5E42"/>
    <w:rsid w:val="00DF69A1"/>
    <w:rsid w:val="00DF6DE1"/>
    <w:rsid w:val="00DF752E"/>
    <w:rsid w:val="00DF7587"/>
    <w:rsid w:val="00E0035B"/>
    <w:rsid w:val="00E00956"/>
    <w:rsid w:val="00E011B3"/>
    <w:rsid w:val="00E01A14"/>
    <w:rsid w:val="00E01A51"/>
    <w:rsid w:val="00E02EE2"/>
    <w:rsid w:val="00E03205"/>
    <w:rsid w:val="00E0480A"/>
    <w:rsid w:val="00E04B38"/>
    <w:rsid w:val="00E04D61"/>
    <w:rsid w:val="00E05109"/>
    <w:rsid w:val="00E05894"/>
    <w:rsid w:val="00E058FC"/>
    <w:rsid w:val="00E06364"/>
    <w:rsid w:val="00E0642C"/>
    <w:rsid w:val="00E06BD0"/>
    <w:rsid w:val="00E109E0"/>
    <w:rsid w:val="00E12704"/>
    <w:rsid w:val="00E12953"/>
    <w:rsid w:val="00E12B9B"/>
    <w:rsid w:val="00E14D3D"/>
    <w:rsid w:val="00E14FA3"/>
    <w:rsid w:val="00E151B6"/>
    <w:rsid w:val="00E152A0"/>
    <w:rsid w:val="00E1533A"/>
    <w:rsid w:val="00E153CF"/>
    <w:rsid w:val="00E1543D"/>
    <w:rsid w:val="00E15B94"/>
    <w:rsid w:val="00E15D9B"/>
    <w:rsid w:val="00E170DB"/>
    <w:rsid w:val="00E17572"/>
    <w:rsid w:val="00E176F6"/>
    <w:rsid w:val="00E177EE"/>
    <w:rsid w:val="00E17F7D"/>
    <w:rsid w:val="00E204AA"/>
    <w:rsid w:val="00E20773"/>
    <w:rsid w:val="00E233A8"/>
    <w:rsid w:val="00E233FF"/>
    <w:rsid w:val="00E245F0"/>
    <w:rsid w:val="00E25575"/>
    <w:rsid w:val="00E2566D"/>
    <w:rsid w:val="00E25EF0"/>
    <w:rsid w:val="00E27820"/>
    <w:rsid w:val="00E304B3"/>
    <w:rsid w:val="00E30B5A"/>
    <w:rsid w:val="00E3142A"/>
    <w:rsid w:val="00E318C3"/>
    <w:rsid w:val="00E31996"/>
    <w:rsid w:val="00E3240F"/>
    <w:rsid w:val="00E329AF"/>
    <w:rsid w:val="00E32ABE"/>
    <w:rsid w:val="00E342B0"/>
    <w:rsid w:val="00E349F3"/>
    <w:rsid w:val="00E350B7"/>
    <w:rsid w:val="00E356BA"/>
    <w:rsid w:val="00E3593E"/>
    <w:rsid w:val="00E364E1"/>
    <w:rsid w:val="00E37D1E"/>
    <w:rsid w:val="00E40014"/>
    <w:rsid w:val="00E40621"/>
    <w:rsid w:val="00E40979"/>
    <w:rsid w:val="00E41036"/>
    <w:rsid w:val="00E413F2"/>
    <w:rsid w:val="00E416AA"/>
    <w:rsid w:val="00E41FEF"/>
    <w:rsid w:val="00E4305C"/>
    <w:rsid w:val="00E43365"/>
    <w:rsid w:val="00E435B7"/>
    <w:rsid w:val="00E43A26"/>
    <w:rsid w:val="00E44D38"/>
    <w:rsid w:val="00E466D8"/>
    <w:rsid w:val="00E46AF2"/>
    <w:rsid w:val="00E47557"/>
    <w:rsid w:val="00E503F7"/>
    <w:rsid w:val="00E50FE3"/>
    <w:rsid w:val="00E516F0"/>
    <w:rsid w:val="00E51AD4"/>
    <w:rsid w:val="00E54DE9"/>
    <w:rsid w:val="00E5543F"/>
    <w:rsid w:val="00E55621"/>
    <w:rsid w:val="00E561FE"/>
    <w:rsid w:val="00E57B5E"/>
    <w:rsid w:val="00E6140D"/>
    <w:rsid w:val="00E61A26"/>
    <w:rsid w:val="00E61F52"/>
    <w:rsid w:val="00E6414B"/>
    <w:rsid w:val="00E64851"/>
    <w:rsid w:val="00E67C51"/>
    <w:rsid w:val="00E70BD3"/>
    <w:rsid w:val="00E71783"/>
    <w:rsid w:val="00E71EA0"/>
    <w:rsid w:val="00E7237E"/>
    <w:rsid w:val="00E7261E"/>
    <w:rsid w:val="00E72A5A"/>
    <w:rsid w:val="00E735B1"/>
    <w:rsid w:val="00E741ED"/>
    <w:rsid w:val="00E761CA"/>
    <w:rsid w:val="00E770AD"/>
    <w:rsid w:val="00E77FD2"/>
    <w:rsid w:val="00E80D24"/>
    <w:rsid w:val="00E817C8"/>
    <w:rsid w:val="00E81DCB"/>
    <w:rsid w:val="00E83A84"/>
    <w:rsid w:val="00E83BB3"/>
    <w:rsid w:val="00E8467E"/>
    <w:rsid w:val="00E84AA9"/>
    <w:rsid w:val="00E84D08"/>
    <w:rsid w:val="00E8504B"/>
    <w:rsid w:val="00E85206"/>
    <w:rsid w:val="00E86DAA"/>
    <w:rsid w:val="00E90B31"/>
    <w:rsid w:val="00E90BDF"/>
    <w:rsid w:val="00E94F36"/>
    <w:rsid w:val="00E95883"/>
    <w:rsid w:val="00E96A9B"/>
    <w:rsid w:val="00E96AAE"/>
    <w:rsid w:val="00EA0678"/>
    <w:rsid w:val="00EA0E53"/>
    <w:rsid w:val="00EA14BA"/>
    <w:rsid w:val="00EA258A"/>
    <w:rsid w:val="00EA264C"/>
    <w:rsid w:val="00EA447E"/>
    <w:rsid w:val="00EA4DBC"/>
    <w:rsid w:val="00EA62DC"/>
    <w:rsid w:val="00EA7048"/>
    <w:rsid w:val="00EA710A"/>
    <w:rsid w:val="00EA7831"/>
    <w:rsid w:val="00EB037F"/>
    <w:rsid w:val="00EB054D"/>
    <w:rsid w:val="00EB10EA"/>
    <w:rsid w:val="00EB1CDC"/>
    <w:rsid w:val="00EB1E5F"/>
    <w:rsid w:val="00EB244A"/>
    <w:rsid w:val="00EB31AB"/>
    <w:rsid w:val="00EB3699"/>
    <w:rsid w:val="00EB4305"/>
    <w:rsid w:val="00EB4EFE"/>
    <w:rsid w:val="00EB5751"/>
    <w:rsid w:val="00EB5E51"/>
    <w:rsid w:val="00EB6171"/>
    <w:rsid w:val="00EB6A77"/>
    <w:rsid w:val="00EB74A0"/>
    <w:rsid w:val="00EC1362"/>
    <w:rsid w:val="00EC175E"/>
    <w:rsid w:val="00EC22D7"/>
    <w:rsid w:val="00EC245A"/>
    <w:rsid w:val="00EC3EA7"/>
    <w:rsid w:val="00EC468D"/>
    <w:rsid w:val="00EC4771"/>
    <w:rsid w:val="00EC4BAE"/>
    <w:rsid w:val="00EC5D37"/>
    <w:rsid w:val="00EC647E"/>
    <w:rsid w:val="00EC6A3F"/>
    <w:rsid w:val="00ED0981"/>
    <w:rsid w:val="00ED180D"/>
    <w:rsid w:val="00ED2391"/>
    <w:rsid w:val="00ED2AC5"/>
    <w:rsid w:val="00ED3DA3"/>
    <w:rsid w:val="00ED426F"/>
    <w:rsid w:val="00ED5AFF"/>
    <w:rsid w:val="00EE0F61"/>
    <w:rsid w:val="00EE3D89"/>
    <w:rsid w:val="00EE57B1"/>
    <w:rsid w:val="00EE6411"/>
    <w:rsid w:val="00EE66C7"/>
    <w:rsid w:val="00EE6B2F"/>
    <w:rsid w:val="00EE6C0C"/>
    <w:rsid w:val="00EE7A6E"/>
    <w:rsid w:val="00EF02F8"/>
    <w:rsid w:val="00EF0336"/>
    <w:rsid w:val="00EF0400"/>
    <w:rsid w:val="00EF0D78"/>
    <w:rsid w:val="00EF1737"/>
    <w:rsid w:val="00EF2600"/>
    <w:rsid w:val="00EF5600"/>
    <w:rsid w:val="00EF5C83"/>
    <w:rsid w:val="00EF5F17"/>
    <w:rsid w:val="00EF62EE"/>
    <w:rsid w:val="00EF6A77"/>
    <w:rsid w:val="00EF7D7A"/>
    <w:rsid w:val="00F002B2"/>
    <w:rsid w:val="00F00864"/>
    <w:rsid w:val="00F00AC2"/>
    <w:rsid w:val="00F01C27"/>
    <w:rsid w:val="00F0204B"/>
    <w:rsid w:val="00F031DD"/>
    <w:rsid w:val="00F03777"/>
    <w:rsid w:val="00F03999"/>
    <w:rsid w:val="00F03CB3"/>
    <w:rsid w:val="00F0601A"/>
    <w:rsid w:val="00F0724E"/>
    <w:rsid w:val="00F07762"/>
    <w:rsid w:val="00F105E2"/>
    <w:rsid w:val="00F109BD"/>
    <w:rsid w:val="00F116B3"/>
    <w:rsid w:val="00F124AD"/>
    <w:rsid w:val="00F12A80"/>
    <w:rsid w:val="00F12FA2"/>
    <w:rsid w:val="00F14C67"/>
    <w:rsid w:val="00F15518"/>
    <w:rsid w:val="00F160B6"/>
    <w:rsid w:val="00F17616"/>
    <w:rsid w:val="00F17B1A"/>
    <w:rsid w:val="00F20ACF"/>
    <w:rsid w:val="00F22E5F"/>
    <w:rsid w:val="00F233B0"/>
    <w:rsid w:val="00F24E5E"/>
    <w:rsid w:val="00F2542C"/>
    <w:rsid w:val="00F25BA0"/>
    <w:rsid w:val="00F25D76"/>
    <w:rsid w:val="00F26DA9"/>
    <w:rsid w:val="00F27DB9"/>
    <w:rsid w:val="00F27DC0"/>
    <w:rsid w:val="00F31D64"/>
    <w:rsid w:val="00F33129"/>
    <w:rsid w:val="00F33736"/>
    <w:rsid w:val="00F33B09"/>
    <w:rsid w:val="00F3434E"/>
    <w:rsid w:val="00F35873"/>
    <w:rsid w:val="00F358EE"/>
    <w:rsid w:val="00F358FC"/>
    <w:rsid w:val="00F36D4A"/>
    <w:rsid w:val="00F36E28"/>
    <w:rsid w:val="00F36F8A"/>
    <w:rsid w:val="00F375A1"/>
    <w:rsid w:val="00F376EB"/>
    <w:rsid w:val="00F37812"/>
    <w:rsid w:val="00F37FE5"/>
    <w:rsid w:val="00F4018C"/>
    <w:rsid w:val="00F40EC2"/>
    <w:rsid w:val="00F40EFA"/>
    <w:rsid w:val="00F41259"/>
    <w:rsid w:val="00F41545"/>
    <w:rsid w:val="00F416D0"/>
    <w:rsid w:val="00F418A1"/>
    <w:rsid w:val="00F41EEA"/>
    <w:rsid w:val="00F4341D"/>
    <w:rsid w:val="00F44C24"/>
    <w:rsid w:val="00F4545C"/>
    <w:rsid w:val="00F45E80"/>
    <w:rsid w:val="00F461B3"/>
    <w:rsid w:val="00F468EB"/>
    <w:rsid w:val="00F50177"/>
    <w:rsid w:val="00F51132"/>
    <w:rsid w:val="00F51CC5"/>
    <w:rsid w:val="00F51F90"/>
    <w:rsid w:val="00F567BF"/>
    <w:rsid w:val="00F56AC0"/>
    <w:rsid w:val="00F56F0E"/>
    <w:rsid w:val="00F56F47"/>
    <w:rsid w:val="00F57335"/>
    <w:rsid w:val="00F57A39"/>
    <w:rsid w:val="00F6152F"/>
    <w:rsid w:val="00F61F72"/>
    <w:rsid w:val="00F62680"/>
    <w:rsid w:val="00F63723"/>
    <w:rsid w:val="00F63BA4"/>
    <w:rsid w:val="00F64101"/>
    <w:rsid w:val="00F64335"/>
    <w:rsid w:val="00F64683"/>
    <w:rsid w:val="00F64A7D"/>
    <w:rsid w:val="00F64C28"/>
    <w:rsid w:val="00F65E9E"/>
    <w:rsid w:val="00F662EE"/>
    <w:rsid w:val="00F66D45"/>
    <w:rsid w:val="00F6758D"/>
    <w:rsid w:val="00F7025D"/>
    <w:rsid w:val="00F71F93"/>
    <w:rsid w:val="00F72085"/>
    <w:rsid w:val="00F72651"/>
    <w:rsid w:val="00F72DD0"/>
    <w:rsid w:val="00F73FF5"/>
    <w:rsid w:val="00F74EFB"/>
    <w:rsid w:val="00F75595"/>
    <w:rsid w:val="00F7589C"/>
    <w:rsid w:val="00F7590A"/>
    <w:rsid w:val="00F75A5A"/>
    <w:rsid w:val="00F75D3D"/>
    <w:rsid w:val="00F7681F"/>
    <w:rsid w:val="00F76F54"/>
    <w:rsid w:val="00F7712A"/>
    <w:rsid w:val="00F803F8"/>
    <w:rsid w:val="00F80E02"/>
    <w:rsid w:val="00F8144D"/>
    <w:rsid w:val="00F81BCD"/>
    <w:rsid w:val="00F82B0E"/>
    <w:rsid w:val="00F8353C"/>
    <w:rsid w:val="00F8415B"/>
    <w:rsid w:val="00F84536"/>
    <w:rsid w:val="00F864FB"/>
    <w:rsid w:val="00F869F8"/>
    <w:rsid w:val="00F86BE3"/>
    <w:rsid w:val="00F86D13"/>
    <w:rsid w:val="00F90EFD"/>
    <w:rsid w:val="00F90F6C"/>
    <w:rsid w:val="00F926D8"/>
    <w:rsid w:val="00F93F4C"/>
    <w:rsid w:val="00F9535B"/>
    <w:rsid w:val="00F95DE8"/>
    <w:rsid w:val="00F962C7"/>
    <w:rsid w:val="00F96FD2"/>
    <w:rsid w:val="00F9780A"/>
    <w:rsid w:val="00F97B81"/>
    <w:rsid w:val="00FA0BED"/>
    <w:rsid w:val="00FA0E40"/>
    <w:rsid w:val="00FA13F8"/>
    <w:rsid w:val="00FA1906"/>
    <w:rsid w:val="00FA2EC0"/>
    <w:rsid w:val="00FA31AD"/>
    <w:rsid w:val="00FA47E1"/>
    <w:rsid w:val="00FA4EA3"/>
    <w:rsid w:val="00FA6B06"/>
    <w:rsid w:val="00FA7F94"/>
    <w:rsid w:val="00FB0B9D"/>
    <w:rsid w:val="00FB13E0"/>
    <w:rsid w:val="00FB240C"/>
    <w:rsid w:val="00FB33CE"/>
    <w:rsid w:val="00FB34D6"/>
    <w:rsid w:val="00FB38D6"/>
    <w:rsid w:val="00FB4CA8"/>
    <w:rsid w:val="00FB5EBA"/>
    <w:rsid w:val="00FB6981"/>
    <w:rsid w:val="00FB6B34"/>
    <w:rsid w:val="00FB74DC"/>
    <w:rsid w:val="00FC07C4"/>
    <w:rsid w:val="00FC1619"/>
    <w:rsid w:val="00FC19E8"/>
    <w:rsid w:val="00FC1C34"/>
    <w:rsid w:val="00FC1ECE"/>
    <w:rsid w:val="00FC22CF"/>
    <w:rsid w:val="00FC4059"/>
    <w:rsid w:val="00FC4541"/>
    <w:rsid w:val="00FC4672"/>
    <w:rsid w:val="00FC5866"/>
    <w:rsid w:val="00FC5B63"/>
    <w:rsid w:val="00FC5E53"/>
    <w:rsid w:val="00FC6C30"/>
    <w:rsid w:val="00FC6FB1"/>
    <w:rsid w:val="00FD0707"/>
    <w:rsid w:val="00FD0BDA"/>
    <w:rsid w:val="00FD0D75"/>
    <w:rsid w:val="00FD1011"/>
    <w:rsid w:val="00FD177C"/>
    <w:rsid w:val="00FD19BB"/>
    <w:rsid w:val="00FD2BBE"/>
    <w:rsid w:val="00FD3EB9"/>
    <w:rsid w:val="00FD494E"/>
    <w:rsid w:val="00FD4975"/>
    <w:rsid w:val="00FD4992"/>
    <w:rsid w:val="00FD5DC0"/>
    <w:rsid w:val="00FD6E79"/>
    <w:rsid w:val="00FD79FF"/>
    <w:rsid w:val="00FE12FC"/>
    <w:rsid w:val="00FE1339"/>
    <w:rsid w:val="00FE15DE"/>
    <w:rsid w:val="00FE297B"/>
    <w:rsid w:val="00FE2A24"/>
    <w:rsid w:val="00FE341F"/>
    <w:rsid w:val="00FE371A"/>
    <w:rsid w:val="00FE3880"/>
    <w:rsid w:val="00FE47DF"/>
    <w:rsid w:val="00FE4B90"/>
    <w:rsid w:val="00FE7555"/>
    <w:rsid w:val="00FE75DD"/>
    <w:rsid w:val="00FE76AE"/>
    <w:rsid w:val="00FE7E90"/>
    <w:rsid w:val="00FE7F23"/>
    <w:rsid w:val="00FE7F9C"/>
    <w:rsid w:val="00FF0C5F"/>
    <w:rsid w:val="00FF0CC1"/>
    <w:rsid w:val="00FF19CD"/>
    <w:rsid w:val="00FF1F9B"/>
    <w:rsid w:val="00FF274C"/>
    <w:rsid w:val="00FF2B67"/>
    <w:rsid w:val="00FF3345"/>
    <w:rsid w:val="00FF354D"/>
    <w:rsid w:val="00FF3EB0"/>
    <w:rsid w:val="00FF4289"/>
    <w:rsid w:val="00FF61E2"/>
    <w:rsid w:val="00FF6291"/>
    <w:rsid w:val="00FF6469"/>
    <w:rsid w:val="00FF6B48"/>
    <w:rsid w:val="00FF6F46"/>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List Bullet 4" w:uiPriority="99"/>
    <w:lsdException w:name="Title" w:qFormat="1"/>
    <w:lsdException w:name="Subtitle" w:uiPriority="1" w:qFormat="1"/>
    <w:lsdException w:name="Hyperlink" w:uiPriority="99"/>
    <w:lsdException w:name="Strong" w:uiPriority="99" w:qFormat="1"/>
    <w:lsdException w:name="Emphasis" w:uiPriority="99" w:qFormat="1"/>
    <w:lsdException w:name="No Lis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C30"/>
    <w:pPr>
      <w:spacing w:before="120" w:after="240"/>
    </w:pPr>
    <w:rPr>
      <w:rFonts w:eastAsia="Calibri"/>
      <w:sz w:val="24"/>
      <w:szCs w:val="24"/>
      <w:lang w:eastAsia="en-US"/>
    </w:rPr>
  </w:style>
  <w:style w:type="paragraph" w:styleId="Heading1">
    <w:name w:val="heading 1"/>
    <w:basedOn w:val="Normal"/>
    <w:next w:val="Normal"/>
    <w:link w:val="Heading1Char"/>
    <w:qFormat/>
    <w:rsid w:val="00FC6C30"/>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FC6C30"/>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FC6C3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FC6C30"/>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qFormat/>
    <w:rsid w:val="00FC6C30"/>
    <w:pPr>
      <w:keepNext/>
      <w:spacing w:before="360"/>
      <w:outlineLvl w:val="4"/>
    </w:pPr>
    <w:rPr>
      <w:b/>
      <w:bCs/>
      <w:iCs/>
      <w:szCs w:val="26"/>
    </w:rPr>
  </w:style>
  <w:style w:type="paragraph" w:styleId="Heading6">
    <w:name w:val="heading 6"/>
    <w:basedOn w:val="Normal"/>
    <w:next w:val="Normal"/>
    <w:link w:val="Heading6Char"/>
    <w:uiPriority w:val="1"/>
    <w:qFormat/>
    <w:rsid w:val="00FC6C30"/>
    <w:pPr>
      <w:spacing w:before="360"/>
      <w:outlineLvl w:val="5"/>
    </w:pPr>
    <w:rPr>
      <w:b/>
      <w:bCs/>
      <w:i/>
      <w:szCs w:val="22"/>
    </w:rPr>
  </w:style>
  <w:style w:type="paragraph" w:styleId="Heading7">
    <w:name w:val="heading 7"/>
    <w:basedOn w:val="Normal"/>
    <w:next w:val="Normal"/>
    <w:uiPriority w:val="99"/>
    <w:qFormat/>
    <w:rsid w:val="00FC6C30"/>
    <w:pPr>
      <w:spacing w:after="60"/>
      <w:outlineLvl w:val="6"/>
    </w:pPr>
  </w:style>
  <w:style w:type="paragraph" w:styleId="Heading8">
    <w:name w:val="heading 8"/>
    <w:basedOn w:val="Normal"/>
    <w:next w:val="Normal"/>
    <w:uiPriority w:val="99"/>
    <w:qFormat/>
    <w:rsid w:val="00FC6C30"/>
    <w:pPr>
      <w:spacing w:after="60"/>
      <w:outlineLvl w:val="7"/>
    </w:pPr>
    <w:rPr>
      <w:i/>
      <w:iCs/>
    </w:rPr>
  </w:style>
  <w:style w:type="paragraph" w:styleId="Heading9">
    <w:name w:val="heading 9"/>
    <w:basedOn w:val="Normal"/>
    <w:next w:val="Normal"/>
    <w:uiPriority w:val="99"/>
    <w:qFormat/>
    <w:rsid w:val="00FC6C3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6C30"/>
    <w:rPr>
      <w:rFonts w:eastAsia="Calibri" w:cs="Arial"/>
      <w:b/>
      <w:bCs/>
      <w:color w:val="1F546B"/>
      <w:kern w:val="32"/>
      <w:sz w:val="52"/>
      <w:szCs w:val="32"/>
      <w:lang w:eastAsia="en-US"/>
    </w:rPr>
  </w:style>
  <w:style w:type="character" w:customStyle="1" w:styleId="Heading2Char">
    <w:name w:val="Heading 2 Char"/>
    <w:link w:val="Heading2"/>
    <w:rsid w:val="00FC6C30"/>
    <w:rPr>
      <w:rFonts w:eastAsia="Calibri" w:cs="Arial"/>
      <w:b/>
      <w:bCs/>
      <w:iCs/>
      <w:color w:val="1F546B"/>
      <w:sz w:val="36"/>
      <w:szCs w:val="28"/>
      <w:lang w:eastAsia="en-US"/>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pPr>
    <w:rPr>
      <w:noProof/>
      <w:color w:val="002469"/>
      <w:spacing w:val="6"/>
      <w:sz w:val="16"/>
      <w:szCs w:val="16"/>
    </w:rPr>
  </w:style>
  <w:style w:type="character" w:customStyle="1" w:styleId="FooterChar">
    <w:name w:val="Footer Char"/>
    <w:link w:val="Footer"/>
    <w:rsid w:val="007A4CBF"/>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FC6C30"/>
    <w:pPr>
      <w:keepNext/>
      <w:spacing w:before="80" w:after="80"/>
      <w:ind w:left="567"/>
    </w:pPr>
    <w:rPr>
      <w:b/>
      <w:bCs/>
      <w:sz w:val="22"/>
      <w:szCs w:val="20"/>
    </w:rPr>
  </w:style>
  <w:style w:type="paragraph" w:styleId="FootnoteText">
    <w:name w:val="footnote text"/>
    <w:basedOn w:val="Normal"/>
    <w:link w:val="FootnoteTextChar"/>
    <w:rsid w:val="00504E3C"/>
    <w:pPr>
      <w:tabs>
        <w:tab w:val="left" w:pos="425"/>
      </w:tabs>
      <w:spacing w:after="60"/>
      <w:ind w:left="425" w:hanging="425"/>
    </w:pPr>
    <w:rPr>
      <w:sz w:val="18"/>
    </w:rPr>
  </w:style>
  <w:style w:type="character" w:customStyle="1" w:styleId="FootnoteTextChar">
    <w:name w:val="Footnote Text Char"/>
    <w:link w:val="FootnoteText"/>
    <w:rsid w:val="00E25EF0"/>
    <w:rPr>
      <w:rFonts w:ascii="Arial" w:hAnsi="Arial"/>
      <w:sz w:val="18"/>
      <w:lang w:val="en-GB" w:eastAsia="en-GB"/>
    </w:rPr>
  </w:style>
  <w:style w:type="character" w:styleId="FootnoteReference">
    <w:name w:val="footnote reference"/>
    <w:semiHidden/>
    <w:rsid w:val="00504E3C"/>
    <w:rPr>
      <w:rFonts w:ascii="Arial" w:hAnsi="Arial"/>
      <w:color w:val="auto"/>
      <w:position w:val="8"/>
      <w:sz w:val="16"/>
    </w:rPr>
  </w:style>
  <w:style w:type="paragraph" w:styleId="TOC1">
    <w:name w:val="toc 1"/>
    <w:basedOn w:val="Normal"/>
    <w:next w:val="Normal"/>
    <w:uiPriority w:val="39"/>
    <w:qFormat/>
    <w:rsid w:val="00F80E02"/>
    <w:pPr>
      <w:spacing w:after="120"/>
    </w:pPr>
    <w:rPr>
      <w:rFonts w:asciiTheme="minorHAnsi" w:hAnsiTheme="minorHAnsi"/>
      <w:b/>
      <w:bCs/>
      <w:caps/>
      <w:sz w:val="20"/>
      <w:szCs w:val="20"/>
    </w:rPr>
  </w:style>
  <w:style w:type="paragraph" w:styleId="TOC2">
    <w:name w:val="toc 2"/>
    <w:basedOn w:val="Normal"/>
    <w:next w:val="Normal"/>
    <w:uiPriority w:val="39"/>
    <w:qFormat/>
    <w:rsid w:val="00F80E02"/>
    <w:pPr>
      <w:spacing w:before="0" w:after="0"/>
      <w:ind w:left="240"/>
    </w:pPr>
    <w:rPr>
      <w:rFonts w:asciiTheme="minorHAnsi" w:hAnsiTheme="minorHAnsi"/>
      <w:smallCaps/>
      <w:sz w:val="20"/>
      <w:szCs w:val="20"/>
    </w:rPr>
  </w:style>
  <w:style w:type="paragraph" w:styleId="TOC3">
    <w:name w:val="toc 3"/>
    <w:basedOn w:val="Normal"/>
    <w:next w:val="Normal"/>
    <w:uiPriority w:val="39"/>
    <w:qFormat/>
    <w:rsid w:val="00504E3C"/>
    <w:pPr>
      <w:spacing w:before="0" w:after="0"/>
      <w:ind w:left="480"/>
    </w:pPr>
    <w:rPr>
      <w:rFonts w:asciiTheme="minorHAnsi" w:hAnsiTheme="minorHAnsi"/>
      <w:i/>
      <w:iCs/>
      <w:sz w:val="20"/>
      <w:szCs w:val="20"/>
    </w:r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rsid w:val="00CA5DA4"/>
    <w:pPr>
      <w:numPr>
        <w:numId w:val="2"/>
      </w:numPr>
      <w:spacing w:before="120" w:after="180" w:line="280" w:lineRule="exact"/>
      <w:ind w:left="284" w:hanging="284"/>
    </w:pPr>
    <w:rPr>
      <w:rFonts w:ascii="Arial" w:hAnsi="Arial"/>
      <w:sz w:val="22"/>
      <w:szCs w:val="24"/>
      <w:lang w:val="en-AU" w:eastAsia="en-US"/>
    </w:rPr>
  </w:style>
  <w:style w:type="paragraph" w:customStyle="1" w:styleId="EvenFooter">
    <w:name w:val="Even Footer"/>
    <w:basedOn w:val="Footer"/>
    <w:rsid w:val="0054782B"/>
  </w:style>
  <w:style w:type="table" w:styleId="TableGrid">
    <w:name w:val="Table Grid"/>
    <w:basedOn w:val="TableNormal"/>
    <w:uiPriority w:val="5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pPr>
    <w:rPr>
      <w:sz w:val="20"/>
    </w:rPr>
  </w:style>
  <w:style w:type="paragraph" w:customStyle="1" w:styleId="TableText">
    <w:name w:val="Table Text"/>
    <w:basedOn w:val="Normal"/>
    <w:link w:val="TableTextChar"/>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qFormat/>
    <w:rsid w:val="00FC6C30"/>
    <w:pPr>
      <w:contextualSpacing/>
      <w:jc w:val="right"/>
    </w:pPr>
    <w:rPr>
      <w:rFonts w:cs="Arial"/>
      <w:b/>
      <w:color w:val="1F546B"/>
      <w:sz w:val="80"/>
      <w:szCs w:val="80"/>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rsid w:val="00BF2DF2"/>
    <w:pPr>
      <w:spacing w:after="0"/>
    </w:pPr>
    <w:rPr>
      <w:sz w:val="16"/>
      <w:szCs w:val="22"/>
      <w:lang w:eastAsia="en-AU"/>
    </w:rPr>
  </w:style>
  <w:style w:type="paragraph" w:styleId="Subtitle">
    <w:name w:val="Subtitle"/>
    <w:basedOn w:val="Normal"/>
    <w:link w:val="SubtitleChar"/>
    <w:uiPriority w:val="1"/>
    <w:qFormat/>
    <w:rsid w:val="00FC6C30"/>
    <w:pPr>
      <w:jc w:val="center"/>
    </w:pPr>
    <w:rPr>
      <w:rFonts w:cs="Arial"/>
      <w:b/>
      <w:color w:val="7BC7CE"/>
      <w:sz w:val="36"/>
      <w:szCs w:val="36"/>
    </w:rPr>
  </w:style>
  <w:style w:type="character" w:customStyle="1" w:styleId="SubtitleChar">
    <w:name w:val="Subtitle Char"/>
    <w:link w:val="Subtitle"/>
    <w:uiPriority w:val="1"/>
    <w:rsid w:val="00855476"/>
    <w:rPr>
      <w:rFonts w:eastAsia="Calibri" w:cs="Arial"/>
      <w:b/>
      <w:color w:val="7BC7CE"/>
      <w:sz w:val="36"/>
      <w:szCs w:val="36"/>
      <w:lang w:eastAsia="en-US"/>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eastAsia="en-NZ"/>
    </w:rPr>
  </w:style>
  <w:style w:type="paragraph" w:customStyle="1" w:styleId="Intro">
    <w:name w:val="Intro"/>
    <w:basedOn w:val="Normal"/>
    <w:rsid w:val="008D5CD9"/>
    <w:pPr>
      <w:spacing w:line="360" w:lineRule="atLeast"/>
    </w:pPr>
    <w:rPr>
      <w:color w:val="335087"/>
    </w:rPr>
  </w:style>
  <w:style w:type="paragraph" w:styleId="ListParagraph">
    <w:name w:val="List Paragraph"/>
    <w:basedOn w:val="List123"/>
    <w:uiPriority w:val="34"/>
    <w:qFormat/>
    <w:rsid w:val="00FC6C30"/>
    <w:pPr>
      <w:keepLines w:val="0"/>
      <w:numPr>
        <w:numId w:val="0"/>
      </w:numPr>
    </w:pPr>
  </w:style>
  <w:style w:type="paragraph" w:customStyle="1" w:styleId="Text">
    <w:name w:val="Text"/>
    <w:basedOn w:val="Normal"/>
    <w:link w:val="TextChar"/>
    <w:rsid w:val="008D5CD9"/>
    <w:pPr>
      <w:spacing w:after="120" w:line="300" w:lineRule="exact"/>
      <w:jc w:val="both"/>
    </w:pPr>
  </w:style>
  <w:style w:type="character" w:customStyle="1" w:styleId="TextChar">
    <w:name w:val="Text Char"/>
    <w:link w:val="Text"/>
    <w:rsid w:val="008D5CD9"/>
    <w:rPr>
      <w:rFonts w:ascii="Arial" w:hAnsi="Arial"/>
      <w:sz w:val="22"/>
      <w:lang w:val="en-GB" w:eastAsia="en-US"/>
    </w:rPr>
  </w:style>
  <w:style w:type="paragraph" w:customStyle="1" w:styleId="TableBullet0">
    <w:name w:val="Table Bullet"/>
    <w:basedOn w:val="Normal"/>
    <w:rsid w:val="001F492F"/>
    <w:pPr>
      <w:numPr>
        <w:ilvl w:val="1"/>
        <w:numId w:val="4"/>
      </w:numPr>
    </w:pPr>
  </w:style>
  <w:style w:type="paragraph" w:customStyle="1" w:styleId="Bullet">
    <w:name w:val="Bullet"/>
    <w:basedOn w:val="Normal"/>
    <w:rsid w:val="00600768"/>
    <w:pPr>
      <w:keepLines/>
      <w:numPr>
        <w:numId w:val="5"/>
      </w:numPr>
      <w:spacing w:before="80" w:after="80"/>
    </w:pPr>
    <w:rPr>
      <w:noProof/>
    </w:rPr>
  </w:style>
  <w:style w:type="paragraph" w:customStyle="1" w:styleId="Bulletlevel2">
    <w:name w:val="Bullet level 2"/>
    <w:basedOn w:val="Normal"/>
    <w:uiPriority w:val="1"/>
    <w:semiHidden/>
    <w:rsid w:val="00600768"/>
    <w:pPr>
      <w:keepLines/>
      <w:numPr>
        <w:ilvl w:val="1"/>
        <w:numId w:val="5"/>
      </w:numPr>
      <w:spacing w:before="80" w:after="80"/>
      <w:ind w:left="1440" w:hanging="360"/>
    </w:pPr>
  </w:style>
  <w:style w:type="paragraph" w:customStyle="1" w:styleId="Bulletlevel3">
    <w:name w:val="Bullet level 3"/>
    <w:basedOn w:val="Normal"/>
    <w:uiPriority w:val="1"/>
    <w:semiHidden/>
    <w:rsid w:val="00600768"/>
    <w:pPr>
      <w:keepLines/>
      <w:numPr>
        <w:ilvl w:val="2"/>
        <w:numId w:val="5"/>
      </w:numPr>
      <w:spacing w:before="80" w:after="80"/>
      <w:ind w:left="2160" w:hanging="360"/>
    </w:pPr>
  </w:style>
  <w:style w:type="paragraph" w:customStyle="1" w:styleId="List123">
    <w:name w:val="List 1 2 3"/>
    <w:basedOn w:val="Normal"/>
    <w:rsid w:val="00600768"/>
    <w:pPr>
      <w:keepLines/>
      <w:numPr>
        <w:numId w:val="7"/>
      </w:numPr>
      <w:spacing w:before="80" w:after="80"/>
    </w:pPr>
  </w:style>
  <w:style w:type="paragraph" w:customStyle="1" w:styleId="List123level2">
    <w:name w:val="List 1 2 3 level 2"/>
    <w:basedOn w:val="Normal"/>
    <w:uiPriority w:val="1"/>
    <w:semiHidden/>
    <w:qFormat/>
    <w:rsid w:val="00FC6C30"/>
    <w:pPr>
      <w:numPr>
        <w:ilvl w:val="1"/>
        <w:numId w:val="7"/>
      </w:numPr>
      <w:spacing w:before="80" w:after="80"/>
    </w:pPr>
  </w:style>
  <w:style w:type="paragraph" w:customStyle="1" w:styleId="List123level3">
    <w:name w:val="List 1 2 3 level 3"/>
    <w:basedOn w:val="Normal"/>
    <w:uiPriority w:val="1"/>
    <w:semiHidden/>
    <w:qFormat/>
    <w:rsid w:val="00FC6C30"/>
    <w:pPr>
      <w:numPr>
        <w:ilvl w:val="2"/>
        <w:numId w:val="7"/>
      </w:numPr>
      <w:spacing w:before="80" w:after="80"/>
    </w:pPr>
  </w:style>
  <w:style w:type="paragraph" w:customStyle="1" w:styleId="Headline">
    <w:name w:val="Headline"/>
    <w:basedOn w:val="Normal"/>
    <w:rsid w:val="00087A51"/>
    <w:pPr>
      <w:keepLines/>
      <w:spacing w:after="480"/>
      <w:contextualSpacing/>
      <w:jc w:val="center"/>
    </w:pPr>
    <w:rPr>
      <w:b/>
      <w:sz w:val="36"/>
    </w:rPr>
  </w:style>
  <w:style w:type="table" w:customStyle="1" w:styleId="DIATable">
    <w:name w:val="_DIA Table"/>
    <w:basedOn w:val="TableNormal"/>
    <w:uiPriority w:val="99"/>
    <w:rsid w:val="00BA1D9A"/>
    <w:pPr>
      <w:spacing w:before="44" w:after="24"/>
    </w:pPr>
    <w:rPr>
      <w:rFonts w:eastAsia="Calibri"/>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sz w:val="22"/>
      </w:rPr>
      <w:tblPr/>
      <w:tcPr>
        <w:tcBorders>
          <w:top w:val="single" w:sz="6" w:space="0" w:color="1F546B"/>
          <w:left w:val="single" w:sz="12" w:space="0" w:color="1F546B"/>
          <w:bottom w:val="single" w:sz="12" w:space="0" w:color="1F546B"/>
          <w:right w:val="single" w:sz="12" w:space="0" w:color="1F546B"/>
          <w:insideH w:val="single" w:sz="6" w:space="0" w:color="FFFFFF"/>
          <w:insideV w:val="single" w:sz="6" w:space="0" w:color="FFFFFF"/>
          <w:tl2br w:val="nil"/>
          <w:tr2bl w:val="nil"/>
        </w:tcBorders>
        <w:shd w:val="clear" w:color="auto" w:fill="1F546B"/>
      </w:tcPr>
    </w:tblStylePr>
  </w:style>
  <w:style w:type="character" w:styleId="Strong">
    <w:name w:val="Strong"/>
    <w:uiPriority w:val="99"/>
    <w:qFormat/>
    <w:rsid w:val="00FC6C30"/>
    <w:rPr>
      <w:b/>
      <w:bCs/>
    </w:rPr>
  </w:style>
  <w:style w:type="character" w:customStyle="1" w:styleId="apple-converted-space">
    <w:name w:val="apple-converted-space"/>
    <w:rsid w:val="009E450E"/>
  </w:style>
  <w:style w:type="character" w:styleId="Emphasis">
    <w:name w:val="Emphasis"/>
    <w:uiPriority w:val="99"/>
    <w:qFormat/>
    <w:rsid w:val="00FC6C30"/>
    <w:rPr>
      <w:rFonts w:ascii="Calibri" w:hAnsi="Calibri"/>
      <w:i/>
      <w:iCs/>
    </w:rPr>
  </w:style>
  <w:style w:type="paragraph" w:customStyle="1" w:styleId="Tinyline">
    <w:name w:val="Tiny line"/>
    <w:basedOn w:val="Normal"/>
    <w:qFormat/>
    <w:rsid w:val="00FC6C30"/>
    <w:pPr>
      <w:spacing w:before="0" w:after="0"/>
    </w:pPr>
    <w:rPr>
      <w:sz w:val="8"/>
    </w:rPr>
  </w:style>
  <w:style w:type="paragraph" w:customStyle="1" w:styleId="ListABClevel2">
    <w:name w:val="List A B C level 2"/>
    <w:basedOn w:val="Normal"/>
    <w:uiPriority w:val="1"/>
    <w:semiHidden/>
    <w:qFormat/>
    <w:rsid w:val="00FC6C30"/>
    <w:pPr>
      <w:numPr>
        <w:ilvl w:val="1"/>
        <w:numId w:val="6"/>
      </w:numPr>
      <w:spacing w:before="80" w:after="80"/>
    </w:pPr>
  </w:style>
  <w:style w:type="paragraph" w:customStyle="1" w:styleId="Tablenormal0">
    <w:name w:val="Table normal"/>
    <w:basedOn w:val="Normal"/>
    <w:qFormat/>
    <w:rsid w:val="00FC6C30"/>
    <w:pPr>
      <w:spacing w:before="40" w:after="40"/>
    </w:pPr>
    <w:rPr>
      <w:sz w:val="22"/>
    </w:rPr>
  </w:style>
  <w:style w:type="paragraph" w:customStyle="1" w:styleId="ListABClevel3">
    <w:name w:val="List A B C level 3"/>
    <w:basedOn w:val="Normal"/>
    <w:uiPriority w:val="1"/>
    <w:semiHidden/>
    <w:qFormat/>
    <w:rsid w:val="00FC6C30"/>
    <w:pPr>
      <w:numPr>
        <w:ilvl w:val="2"/>
        <w:numId w:val="6"/>
      </w:numPr>
      <w:spacing w:before="80" w:after="80"/>
    </w:pPr>
  </w:style>
  <w:style w:type="paragraph" w:customStyle="1" w:styleId="Legislationsection">
    <w:name w:val="Legislation section"/>
    <w:basedOn w:val="Normal"/>
    <w:semiHidden/>
    <w:qFormat/>
    <w:rsid w:val="00FC6C30"/>
    <w:pPr>
      <w:keepNext/>
      <w:numPr>
        <w:numId w:val="9"/>
      </w:numPr>
      <w:spacing w:after="60"/>
    </w:pPr>
    <w:rPr>
      <w:b/>
      <w:sz w:val="22"/>
    </w:rPr>
  </w:style>
  <w:style w:type="paragraph" w:customStyle="1" w:styleId="Legislationnumber">
    <w:name w:val="Legislation number"/>
    <w:basedOn w:val="Normal"/>
    <w:semiHidden/>
    <w:qFormat/>
    <w:rsid w:val="00FC6C30"/>
    <w:pPr>
      <w:numPr>
        <w:numId w:val="8"/>
      </w:numPr>
      <w:tabs>
        <w:tab w:val="left" w:pos="567"/>
      </w:tabs>
      <w:spacing w:before="60" w:after="60"/>
    </w:pPr>
    <w:rPr>
      <w:sz w:val="22"/>
    </w:rPr>
  </w:style>
  <w:style w:type="paragraph" w:customStyle="1" w:styleId="Legislationa">
    <w:name w:val="Legislation (a)"/>
    <w:basedOn w:val="Normal"/>
    <w:semiHidden/>
    <w:qFormat/>
    <w:rsid w:val="00FC6C30"/>
    <w:pPr>
      <w:numPr>
        <w:ilvl w:val="2"/>
        <w:numId w:val="9"/>
      </w:numPr>
      <w:spacing w:before="60" w:after="60"/>
    </w:pPr>
    <w:rPr>
      <w:sz w:val="22"/>
    </w:rPr>
  </w:style>
  <w:style w:type="paragraph" w:customStyle="1" w:styleId="Legislationi">
    <w:name w:val="Legislation (i)"/>
    <w:basedOn w:val="Normal"/>
    <w:semiHidden/>
    <w:qFormat/>
    <w:rsid w:val="00FC6C30"/>
    <w:pPr>
      <w:numPr>
        <w:ilvl w:val="3"/>
        <w:numId w:val="9"/>
      </w:numPr>
      <w:spacing w:before="60" w:after="60"/>
    </w:pPr>
    <w:rPr>
      <w:sz w:val="22"/>
    </w:rPr>
  </w:style>
  <w:style w:type="paragraph" w:customStyle="1" w:styleId="Numberedparaindentonly">
    <w:name w:val="Numbered para indent only"/>
    <w:basedOn w:val="Normal"/>
    <w:qFormat/>
    <w:rsid w:val="00FC6C30"/>
    <w:pPr>
      <w:spacing w:after="120"/>
      <w:ind w:left="567"/>
    </w:pPr>
  </w:style>
  <w:style w:type="paragraph" w:customStyle="1" w:styleId="Spacer0">
    <w:name w:val="Spacer"/>
    <w:basedOn w:val="Normal"/>
    <w:qFormat/>
    <w:rsid w:val="00FC6C30"/>
    <w:pPr>
      <w:spacing w:before="0" w:after="0"/>
    </w:pPr>
  </w:style>
  <w:style w:type="paragraph" w:customStyle="1" w:styleId="Page">
    <w:name w:val="Page"/>
    <w:basedOn w:val="Spacer0"/>
    <w:semiHidden/>
    <w:qFormat/>
    <w:rsid w:val="00FC6C30"/>
    <w:pPr>
      <w:jc w:val="right"/>
    </w:pPr>
    <w:rPr>
      <w:color w:val="000000"/>
    </w:rPr>
  </w:style>
  <w:style w:type="paragraph" w:customStyle="1" w:styleId="Tablenormal12pt">
    <w:name w:val="Table normal 12pt"/>
    <w:basedOn w:val="Tablenormal0"/>
    <w:semiHidden/>
    <w:qFormat/>
    <w:rsid w:val="00FC6C30"/>
    <w:rPr>
      <w:sz w:val="24"/>
    </w:rPr>
  </w:style>
  <w:style w:type="paragraph" w:customStyle="1" w:styleId="Tableheading12pt">
    <w:name w:val="Table heading 12pt"/>
    <w:basedOn w:val="Normal"/>
    <w:semiHidden/>
    <w:qFormat/>
    <w:rsid w:val="00FC6C30"/>
    <w:pPr>
      <w:keepNext/>
      <w:spacing w:before="40" w:after="40"/>
    </w:pPr>
    <w:rPr>
      <w:b/>
      <w:color w:val="FFFFFF"/>
    </w:rPr>
  </w:style>
  <w:style w:type="paragraph" w:customStyle="1" w:styleId="Documentationpageheading">
    <w:name w:val="Documentation page heading"/>
    <w:basedOn w:val="Normal"/>
    <w:semiHidden/>
    <w:qFormat/>
    <w:rsid w:val="00FC6C30"/>
    <w:pPr>
      <w:spacing w:after="0"/>
    </w:pPr>
    <w:rPr>
      <w:b/>
      <w:color w:val="1F497D"/>
      <w:sz w:val="36"/>
    </w:rPr>
  </w:style>
  <w:style w:type="paragraph" w:customStyle="1" w:styleId="Documentationpagesubheading">
    <w:name w:val="Documentation page subheading"/>
    <w:basedOn w:val="Documentationpageheading"/>
    <w:semiHidden/>
    <w:qFormat/>
    <w:rsid w:val="00FC6C30"/>
    <w:rPr>
      <w:sz w:val="28"/>
    </w:rPr>
  </w:style>
  <w:style w:type="paragraph" w:customStyle="1" w:styleId="Documentationpagetable">
    <w:name w:val="Documentation page table"/>
    <w:basedOn w:val="Normal"/>
    <w:semiHidden/>
    <w:qFormat/>
    <w:rsid w:val="00FC6C30"/>
    <w:pPr>
      <w:spacing w:before="44" w:after="24"/>
    </w:pPr>
    <w:rPr>
      <w:sz w:val="20"/>
    </w:rPr>
  </w:style>
  <w:style w:type="paragraph" w:customStyle="1" w:styleId="Documentationpagetableheading">
    <w:name w:val="Documentation page table heading"/>
    <w:basedOn w:val="Normal"/>
    <w:semiHidden/>
    <w:qFormat/>
    <w:rsid w:val="00FC6C30"/>
    <w:pPr>
      <w:spacing w:before="40" w:after="40"/>
    </w:pPr>
    <w:rPr>
      <w:b/>
      <w:color w:val="FFFFFF"/>
      <w:sz w:val="20"/>
    </w:rPr>
  </w:style>
  <w:style w:type="paragraph" w:customStyle="1" w:styleId="Briefingparasubheading">
    <w:name w:val="Briefing para subheading"/>
    <w:basedOn w:val="Normal"/>
    <w:next w:val="Numberedpara3level1"/>
    <w:qFormat/>
    <w:rsid w:val="00FC6C30"/>
    <w:pPr>
      <w:keepNext/>
      <w:spacing w:before="240" w:after="120"/>
    </w:pPr>
    <w:rPr>
      <w:b/>
      <w:i/>
    </w:rPr>
  </w:style>
  <w:style w:type="paragraph" w:customStyle="1" w:styleId="Numberedpara3level1">
    <w:name w:val="Numbered para (3) level 1"/>
    <w:basedOn w:val="Normal"/>
    <w:qFormat/>
    <w:rsid w:val="00FC6C30"/>
    <w:pPr>
      <w:numPr>
        <w:numId w:val="12"/>
      </w:numPr>
      <w:spacing w:after="120"/>
    </w:pPr>
  </w:style>
  <w:style w:type="paragraph" w:customStyle="1" w:styleId="Numberedpara3level211">
    <w:name w:val="Numbered para (3) level 2 (1.1)"/>
    <w:basedOn w:val="Normal"/>
    <w:qFormat/>
    <w:rsid w:val="00FC6C30"/>
    <w:pPr>
      <w:numPr>
        <w:ilvl w:val="1"/>
        <w:numId w:val="12"/>
      </w:numPr>
      <w:spacing w:after="120"/>
    </w:pPr>
  </w:style>
  <w:style w:type="paragraph" w:customStyle="1" w:styleId="Recommendations">
    <w:name w:val="Recommendations"/>
    <w:basedOn w:val="Normal"/>
    <w:semiHidden/>
    <w:qFormat/>
    <w:rsid w:val="00FC6C30"/>
    <w:pPr>
      <w:numPr>
        <w:numId w:val="10"/>
      </w:numPr>
    </w:pPr>
  </w:style>
  <w:style w:type="paragraph" w:customStyle="1" w:styleId="Title2">
    <w:name w:val="Title 2"/>
    <w:basedOn w:val="Title"/>
    <w:semiHidden/>
    <w:qFormat/>
    <w:rsid w:val="00FC6C30"/>
    <w:rPr>
      <w:rFonts w:cs="Times New Roman"/>
      <w:sz w:val="52"/>
    </w:rPr>
  </w:style>
  <w:style w:type="paragraph" w:customStyle="1" w:styleId="Briefingparaheading">
    <w:name w:val="Briefing para heading"/>
    <w:basedOn w:val="Normal"/>
    <w:next w:val="Numberedpara3level1"/>
    <w:qFormat/>
    <w:rsid w:val="00FC6C30"/>
    <w:pPr>
      <w:keepNext/>
      <w:spacing w:before="240" w:after="120"/>
    </w:pPr>
    <w:rPr>
      <w:b/>
      <w:sz w:val="26"/>
    </w:rPr>
  </w:style>
  <w:style w:type="character" w:customStyle="1" w:styleId="Footersecurityclassification">
    <w:name w:val="Footer security classification"/>
    <w:uiPriority w:val="1"/>
    <w:qFormat/>
    <w:rsid w:val="00FC6C30"/>
    <w:rPr>
      <w:b/>
      <w:i/>
      <w:caps/>
      <w:smallCaps w:val="0"/>
      <w:sz w:val="22"/>
    </w:rPr>
  </w:style>
  <w:style w:type="paragraph" w:customStyle="1" w:styleId="Numberedpara11headingwithnumber">
    <w:name w:val="Numbered para (1) 1 (heading with number)"/>
    <w:basedOn w:val="Normal"/>
    <w:semiHidden/>
    <w:qFormat/>
    <w:rsid w:val="00FC6C30"/>
    <w:pPr>
      <w:keepNext/>
      <w:numPr>
        <w:numId w:val="11"/>
      </w:numPr>
      <w:spacing w:before="240" w:after="120"/>
    </w:pPr>
    <w:rPr>
      <w:b/>
      <w:sz w:val="28"/>
    </w:rPr>
  </w:style>
  <w:style w:type="paragraph" w:customStyle="1" w:styleId="Crossreference">
    <w:name w:val="Cross reference"/>
    <w:basedOn w:val="Normal"/>
    <w:semiHidden/>
    <w:qFormat/>
    <w:rsid w:val="00FC6C30"/>
    <w:rPr>
      <w:i/>
      <w:color w:val="1F497D"/>
      <w:u w:val="single"/>
    </w:rPr>
  </w:style>
  <w:style w:type="paragraph" w:customStyle="1" w:styleId="Coverpagesubheading">
    <w:name w:val="Cover page subheading"/>
    <w:basedOn w:val="Spacer0"/>
    <w:qFormat/>
    <w:rsid w:val="00FC6C30"/>
    <w:rPr>
      <w:b/>
      <w:sz w:val="26"/>
    </w:rPr>
  </w:style>
  <w:style w:type="paragraph" w:customStyle="1" w:styleId="Tick">
    <w:name w:val="Tick"/>
    <w:basedOn w:val="Normal"/>
    <w:semiHidden/>
    <w:qFormat/>
    <w:rsid w:val="00FC6C30"/>
    <w:pPr>
      <w:spacing w:before="44" w:after="24"/>
      <w:jc w:val="center"/>
    </w:pPr>
    <w:rPr>
      <w:rFonts w:ascii="Wingdings" w:hAnsi="Wingdings"/>
      <w:sz w:val="28"/>
    </w:rPr>
  </w:style>
  <w:style w:type="paragraph" w:customStyle="1" w:styleId="Numberedpara3level3111">
    <w:name w:val="Numbered para (3) level 3 (1.1.1)"/>
    <w:basedOn w:val="Normal"/>
    <w:qFormat/>
    <w:rsid w:val="00FC6C30"/>
    <w:pPr>
      <w:numPr>
        <w:ilvl w:val="2"/>
        <w:numId w:val="12"/>
      </w:numPr>
      <w:spacing w:after="120"/>
    </w:pPr>
  </w:style>
  <w:style w:type="paragraph" w:customStyle="1" w:styleId="Tablesource">
    <w:name w:val="Table source"/>
    <w:basedOn w:val="Normal"/>
    <w:next w:val="Numberedpara3level1"/>
    <w:qFormat/>
    <w:rsid w:val="00FC6C30"/>
    <w:pPr>
      <w:spacing w:before="40"/>
      <w:ind w:left="567"/>
    </w:pPr>
    <w:rPr>
      <w:sz w:val="22"/>
    </w:rPr>
  </w:style>
  <w:style w:type="paragraph" w:customStyle="1" w:styleId="FinancialtableLHC">
    <w:name w:val="Financial table LHC"/>
    <w:basedOn w:val="Normal"/>
    <w:semiHidden/>
    <w:qFormat/>
    <w:rsid w:val="00FC6C30"/>
    <w:pPr>
      <w:spacing w:before="0" w:after="0"/>
      <w:contextualSpacing/>
    </w:pPr>
    <w:rPr>
      <w:sz w:val="22"/>
    </w:rPr>
  </w:style>
  <w:style w:type="paragraph" w:customStyle="1" w:styleId="Financialtablefigures">
    <w:name w:val="Financial table figures"/>
    <w:basedOn w:val="FinancialtableLHC"/>
    <w:semiHidden/>
    <w:qFormat/>
    <w:rsid w:val="00FC6C30"/>
    <w:pPr>
      <w:jc w:val="right"/>
    </w:pPr>
  </w:style>
  <w:style w:type="paragraph" w:customStyle="1" w:styleId="Financialtableyears">
    <w:name w:val="Financial table years"/>
    <w:basedOn w:val="Financialtablefigures"/>
    <w:semiHidden/>
    <w:qFormat/>
    <w:rsid w:val="00FC6C30"/>
    <w:pPr>
      <w:jc w:val="center"/>
    </w:pPr>
    <w:rPr>
      <w:b/>
      <w:sz w:val="20"/>
    </w:rPr>
  </w:style>
  <w:style w:type="paragraph" w:customStyle="1" w:styleId="Tableheading2">
    <w:name w:val="Table heading 2"/>
    <w:basedOn w:val="Normal"/>
    <w:qFormat/>
    <w:rsid w:val="00FC6C30"/>
    <w:pPr>
      <w:spacing w:before="44" w:after="24"/>
    </w:pPr>
    <w:rPr>
      <w:b/>
      <w:sz w:val="22"/>
    </w:rPr>
  </w:style>
  <w:style w:type="paragraph" w:customStyle="1" w:styleId="Priorityrating">
    <w:name w:val="Priority rating"/>
    <w:basedOn w:val="Tablenormal0"/>
    <w:semiHidden/>
    <w:qFormat/>
    <w:rsid w:val="00FC6C30"/>
    <w:rPr>
      <w:i/>
    </w:rPr>
  </w:style>
  <w:style w:type="paragraph" w:customStyle="1" w:styleId="Numberedpara2subheading">
    <w:name w:val="Numbered para (2) subheading"/>
    <w:basedOn w:val="Normal"/>
    <w:next w:val="Normal"/>
    <w:semiHidden/>
    <w:qFormat/>
    <w:rsid w:val="00FC6C30"/>
    <w:pPr>
      <w:keepNext/>
      <w:spacing w:before="240" w:after="120"/>
    </w:pPr>
    <w:rPr>
      <w:b/>
      <w:i/>
    </w:rPr>
  </w:style>
  <w:style w:type="paragraph" w:customStyle="1" w:styleId="Numberedpara2level1">
    <w:name w:val="Numbered para (2) level 1"/>
    <w:basedOn w:val="Normal"/>
    <w:semiHidden/>
    <w:qFormat/>
    <w:rsid w:val="00FC6C30"/>
    <w:pPr>
      <w:numPr>
        <w:numId w:val="13"/>
      </w:numPr>
      <w:spacing w:after="120"/>
    </w:pPr>
  </w:style>
  <w:style w:type="paragraph" w:customStyle="1" w:styleId="Numberedpara2level2a">
    <w:name w:val="Numbered para (2) level 2 (a)"/>
    <w:basedOn w:val="Normal"/>
    <w:semiHidden/>
    <w:qFormat/>
    <w:rsid w:val="00FC6C30"/>
    <w:pPr>
      <w:numPr>
        <w:ilvl w:val="1"/>
        <w:numId w:val="13"/>
      </w:numPr>
      <w:spacing w:after="120"/>
    </w:pPr>
  </w:style>
  <w:style w:type="paragraph" w:customStyle="1" w:styleId="Numberedpara2level3i">
    <w:name w:val="Numbered para (2) level 3 (i)"/>
    <w:basedOn w:val="Normal"/>
    <w:semiHidden/>
    <w:qFormat/>
    <w:rsid w:val="00FC6C30"/>
    <w:pPr>
      <w:numPr>
        <w:ilvl w:val="2"/>
        <w:numId w:val="13"/>
      </w:numPr>
      <w:spacing w:after="120"/>
    </w:pPr>
  </w:style>
  <w:style w:type="paragraph" w:customStyle="1" w:styleId="Numberedpara2heading">
    <w:name w:val="Numbered para (2) heading"/>
    <w:basedOn w:val="Normal"/>
    <w:semiHidden/>
    <w:qFormat/>
    <w:rsid w:val="00FC6C30"/>
    <w:pPr>
      <w:keepNext/>
      <w:spacing w:before="240" w:after="120"/>
    </w:pPr>
    <w:rPr>
      <w:b/>
      <w:sz w:val="28"/>
    </w:rPr>
  </w:style>
  <w:style w:type="paragraph" w:customStyle="1" w:styleId="Numberedpara3heading">
    <w:name w:val="Numbered para (3) heading"/>
    <w:basedOn w:val="Normal"/>
    <w:semiHidden/>
    <w:qFormat/>
    <w:rsid w:val="00FC6C30"/>
    <w:pPr>
      <w:keepNext/>
      <w:spacing w:before="200" w:after="120"/>
    </w:pPr>
    <w:rPr>
      <w:b/>
    </w:rPr>
  </w:style>
  <w:style w:type="paragraph" w:customStyle="1" w:styleId="Numberedpara3subheading">
    <w:name w:val="Numbered para (3) subheading"/>
    <w:basedOn w:val="Normal"/>
    <w:semiHidden/>
    <w:qFormat/>
    <w:rsid w:val="00FC6C30"/>
    <w:pPr>
      <w:keepNext/>
      <w:spacing w:before="240" w:after="120"/>
    </w:pPr>
    <w:rPr>
      <w:b/>
      <w:i/>
    </w:rPr>
  </w:style>
  <w:style w:type="paragraph" w:customStyle="1" w:styleId="Recommendationslevel2">
    <w:name w:val="Recommendations level 2"/>
    <w:basedOn w:val="Recommendations"/>
    <w:qFormat/>
    <w:rsid w:val="00FC6C30"/>
    <w:pPr>
      <w:numPr>
        <w:numId w:val="14"/>
      </w:numPr>
      <w:spacing w:after="120"/>
    </w:pPr>
  </w:style>
  <w:style w:type="paragraph" w:customStyle="1" w:styleId="Recommendationslevel3">
    <w:name w:val="Recommendations level 3"/>
    <w:basedOn w:val="Recommendationslevel2"/>
    <w:qFormat/>
    <w:rsid w:val="00FC6C30"/>
    <w:pPr>
      <w:numPr>
        <w:ilvl w:val="1"/>
      </w:numPr>
    </w:pPr>
  </w:style>
  <w:style w:type="paragraph" w:customStyle="1" w:styleId="Briefingparasubsubheading">
    <w:name w:val="Briefing para subsubheading"/>
    <w:basedOn w:val="Normal"/>
    <w:next w:val="Numberedpara3level1"/>
    <w:qFormat/>
    <w:rsid w:val="00FC6C30"/>
    <w:pPr>
      <w:keepNext/>
      <w:spacing w:before="240" w:after="120"/>
    </w:pPr>
    <w:rPr>
      <w:i/>
    </w:rPr>
  </w:style>
  <w:style w:type="paragraph" w:customStyle="1" w:styleId="Ministerialdatabase">
    <w:name w:val="Ministerial database"/>
    <w:basedOn w:val="Tablenormal0"/>
    <w:semiHidden/>
    <w:qFormat/>
    <w:rsid w:val="00FC6C30"/>
    <w:rPr>
      <w:sz w:val="20"/>
      <w:szCs w:val="20"/>
    </w:rPr>
  </w:style>
  <w:style w:type="paragraph" w:customStyle="1" w:styleId="YesNo">
    <w:name w:val="Yes No"/>
    <w:basedOn w:val="Normal"/>
    <w:qFormat/>
    <w:rsid w:val="00FC6C30"/>
    <w:pPr>
      <w:spacing w:after="120"/>
    </w:pPr>
    <w:rPr>
      <w:b/>
    </w:rPr>
  </w:style>
  <w:style w:type="paragraph" w:customStyle="1" w:styleId="Ministerssign-off">
    <w:name w:val="Minister's sign-off"/>
    <w:basedOn w:val="Spacer0"/>
    <w:qFormat/>
    <w:rsid w:val="00FC6C30"/>
    <w:rPr>
      <w:b/>
    </w:rPr>
  </w:style>
  <w:style w:type="paragraph" w:customStyle="1" w:styleId="Briefingtitle">
    <w:name w:val="Briefing title"/>
    <w:basedOn w:val="Normal"/>
    <w:qFormat/>
    <w:rsid w:val="00FC6C30"/>
    <w:pPr>
      <w:spacing w:before="0" w:after="0"/>
      <w:contextualSpacing/>
    </w:pPr>
    <w:rPr>
      <w:b/>
      <w:sz w:val="28"/>
    </w:rPr>
  </w:style>
  <w:style w:type="character" w:customStyle="1" w:styleId="Heading3Char">
    <w:name w:val="Heading 3 Char"/>
    <w:link w:val="Heading3"/>
    <w:rsid w:val="00FC6C30"/>
    <w:rPr>
      <w:rFonts w:eastAsia="Calibri" w:cs="Arial"/>
      <w:b/>
      <w:bCs/>
      <w:color w:val="1F546B"/>
      <w:sz w:val="28"/>
      <w:szCs w:val="26"/>
      <w:lang w:eastAsia="en-US"/>
    </w:rPr>
  </w:style>
  <w:style w:type="character" w:customStyle="1" w:styleId="Heading4Char">
    <w:name w:val="Heading 4 Char"/>
    <w:link w:val="Heading4"/>
    <w:rsid w:val="00FC6C30"/>
    <w:rPr>
      <w:rFonts w:eastAsia="Calibri"/>
      <w:b/>
      <w:bCs/>
      <w:i/>
      <w:color w:val="1F546B"/>
      <w:szCs w:val="28"/>
      <w:lang w:eastAsia="en-US"/>
    </w:rPr>
  </w:style>
  <w:style w:type="character" w:customStyle="1" w:styleId="Heading5Char">
    <w:name w:val="Heading 5 Char"/>
    <w:link w:val="Heading5"/>
    <w:uiPriority w:val="1"/>
    <w:rsid w:val="00FC6C30"/>
    <w:rPr>
      <w:rFonts w:eastAsia="Calibri"/>
      <w:b/>
      <w:bCs/>
      <w:iCs/>
      <w:szCs w:val="26"/>
      <w:lang w:eastAsia="en-US"/>
    </w:rPr>
  </w:style>
  <w:style w:type="paragraph" w:styleId="BodyText">
    <w:name w:val="Body Text"/>
    <w:basedOn w:val="Normal"/>
    <w:link w:val="BodyTextChar"/>
    <w:rsid w:val="00FC6C30"/>
    <w:pPr>
      <w:spacing w:after="120"/>
    </w:pPr>
  </w:style>
  <w:style w:type="character" w:customStyle="1" w:styleId="BodyTextChar">
    <w:name w:val="Body Text Char"/>
    <w:link w:val="BodyText"/>
    <w:rsid w:val="00FC6C30"/>
    <w:rPr>
      <w:rFonts w:eastAsia="Calibri"/>
      <w:lang w:eastAsia="en-US"/>
    </w:rPr>
  </w:style>
  <w:style w:type="character" w:customStyle="1" w:styleId="Heading6Char">
    <w:name w:val="Heading 6 Char"/>
    <w:link w:val="Heading6"/>
    <w:uiPriority w:val="1"/>
    <w:rsid w:val="00FC6C30"/>
    <w:rPr>
      <w:rFonts w:eastAsia="Calibri"/>
      <w:b/>
      <w:bCs/>
      <w:i/>
      <w:szCs w:val="22"/>
      <w:lang w:eastAsia="en-US"/>
    </w:rPr>
  </w:style>
  <w:style w:type="paragraph" w:styleId="IntenseQuote">
    <w:name w:val="Intense Quote"/>
    <w:basedOn w:val="Normal"/>
    <w:next w:val="Normal"/>
    <w:link w:val="IntenseQuoteChar"/>
    <w:uiPriority w:val="99"/>
    <w:qFormat/>
    <w:rsid w:val="00FC6C30"/>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FC6C30"/>
    <w:rPr>
      <w:rFonts w:eastAsia="Calibri"/>
      <w:b/>
      <w:bCs/>
      <w:i/>
      <w:iCs/>
      <w:color w:val="1F546B"/>
      <w:lang w:eastAsia="en-US"/>
    </w:rPr>
  </w:style>
  <w:style w:type="character" w:styleId="SubtleEmphasis">
    <w:name w:val="Subtle Emphasis"/>
    <w:uiPriority w:val="99"/>
    <w:qFormat/>
    <w:rsid w:val="00FC6C30"/>
    <w:rPr>
      <w:i/>
      <w:iCs/>
    </w:rPr>
  </w:style>
  <w:style w:type="character" w:styleId="IntenseEmphasis">
    <w:name w:val="Intense Emphasis"/>
    <w:uiPriority w:val="99"/>
    <w:qFormat/>
    <w:rsid w:val="00FC6C30"/>
    <w:rPr>
      <w:b/>
      <w:i/>
    </w:rPr>
  </w:style>
  <w:style w:type="character" w:styleId="SubtleReference">
    <w:name w:val="Subtle Reference"/>
    <w:uiPriority w:val="99"/>
    <w:qFormat/>
    <w:rsid w:val="00FC6C30"/>
    <w:rPr>
      <w:rFonts w:ascii="Calibri" w:hAnsi="Calibri"/>
      <w:smallCaps/>
      <w:color w:val="C0504D"/>
      <w:u w:val="single"/>
    </w:rPr>
  </w:style>
  <w:style w:type="character" w:styleId="IntenseReference">
    <w:name w:val="Intense Reference"/>
    <w:uiPriority w:val="99"/>
    <w:qFormat/>
    <w:rsid w:val="00FC6C30"/>
    <w:rPr>
      <w:rFonts w:ascii="Calibri" w:hAnsi="Calibri"/>
      <w:b/>
      <w:bCs/>
      <w:smallCaps/>
      <w:color w:val="C0504D"/>
      <w:spacing w:val="5"/>
      <w:u w:val="single"/>
    </w:rPr>
  </w:style>
  <w:style w:type="character" w:styleId="BookTitle">
    <w:name w:val="Book Title"/>
    <w:uiPriority w:val="33"/>
    <w:qFormat/>
    <w:rsid w:val="00FC6C30"/>
    <w:rPr>
      <w:rFonts w:ascii="Calibri" w:hAnsi="Calibri"/>
      <w:b/>
      <w:bCs/>
      <w:smallCaps/>
      <w:spacing w:val="5"/>
    </w:rPr>
  </w:style>
  <w:style w:type="paragraph" w:styleId="NoSpacing">
    <w:name w:val="No Spacing"/>
    <w:uiPriority w:val="1"/>
    <w:rsid w:val="004B18F9"/>
    <w:rPr>
      <w:rFonts w:ascii="Century Gothic" w:eastAsia="Calibri" w:hAnsi="Century Gothic"/>
      <w:sz w:val="22"/>
      <w:szCs w:val="22"/>
      <w:lang w:eastAsia="en-US"/>
    </w:rPr>
  </w:style>
  <w:style w:type="table" w:styleId="TableColumns1">
    <w:name w:val="Table Columns 1"/>
    <w:basedOn w:val="TableNormal"/>
    <w:rsid w:val="000129E9"/>
    <w:pPr>
      <w:spacing w:before="120" w:after="240" w:line="280" w:lineRule="atLeast"/>
    </w:pPr>
    <w:rPr>
      <w:rFonts w:eastAsia="Calibr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normal0"/>
    <w:rsid w:val="000129E9"/>
    <w:pPr>
      <w:keepLines/>
      <w:numPr>
        <w:numId w:val="16"/>
      </w:numPr>
      <w:ind w:left="567" w:hanging="567"/>
    </w:pPr>
  </w:style>
  <w:style w:type="paragraph" w:customStyle="1" w:styleId="Tablebulletlevel2">
    <w:name w:val="Table bullet level 2"/>
    <w:basedOn w:val="Tablenormal0"/>
    <w:uiPriority w:val="99"/>
    <w:semiHidden/>
    <w:rsid w:val="000129E9"/>
    <w:pPr>
      <w:keepLines/>
      <w:numPr>
        <w:ilvl w:val="1"/>
        <w:numId w:val="16"/>
      </w:numPr>
      <w:ind w:left="1304" w:hanging="737"/>
    </w:pPr>
  </w:style>
  <w:style w:type="paragraph" w:customStyle="1" w:styleId="TableBulletListLevel3">
    <w:name w:val="Table Bullet List Level 3"/>
    <w:basedOn w:val="Normal"/>
    <w:uiPriority w:val="11"/>
    <w:semiHidden/>
    <w:rsid w:val="000129E9"/>
    <w:pPr>
      <w:keepLines/>
      <w:numPr>
        <w:ilvl w:val="2"/>
        <w:numId w:val="16"/>
      </w:numPr>
      <w:tabs>
        <w:tab w:val="clear" w:pos="1106"/>
        <w:tab w:val="num" w:pos="1304"/>
      </w:tabs>
      <w:spacing w:before="60" w:after="60" w:line="260" w:lineRule="atLeast"/>
      <w:ind w:left="2211" w:hanging="907"/>
    </w:pPr>
    <w:rPr>
      <w:sz w:val="22"/>
    </w:rPr>
  </w:style>
  <w:style w:type="paragraph" w:styleId="ListBullet4">
    <w:name w:val="List Bullet 4"/>
    <w:basedOn w:val="Normal"/>
    <w:uiPriority w:val="99"/>
    <w:rsid w:val="00816417"/>
    <w:pPr>
      <w:keepLines/>
      <w:numPr>
        <w:numId w:val="17"/>
      </w:numPr>
      <w:tabs>
        <w:tab w:val="clear" w:pos="1209"/>
      </w:tabs>
      <w:ind w:left="567" w:hanging="567"/>
    </w:pPr>
  </w:style>
  <w:style w:type="paragraph" w:styleId="TOCHeading">
    <w:name w:val="TOC Heading"/>
    <w:basedOn w:val="Heading1"/>
    <w:next w:val="Normal"/>
    <w:uiPriority w:val="39"/>
    <w:semiHidden/>
    <w:unhideWhenUsed/>
    <w:qFormat/>
    <w:rsid w:val="00400B25"/>
    <w:pPr>
      <w:keepLines/>
      <w:spacing w:after="0" w:line="276" w:lineRule="auto"/>
      <w:contextualSpacing w:val="0"/>
      <w:outlineLvl w:val="9"/>
    </w:pPr>
    <w:rPr>
      <w:rFonts w:ascii="Cambria" w:eastAsia="MS Gothic" w:hAnsi="Cambria" w:cs="Times New Roman"/>
      <w:color w:val="365F91"/>
      <w:kern w:val="0"/>
      <w:sz w:val="28"/>
      <w:szCs w:val="28"/>
      <w:lang w:val="en-US" w:eastAsia="ja-JP"/>
    </w:rPr>
  </w:style>
  <w:style w:type="paragraph" w:styleId="TOC4">
    <w:name w:val="toc 4"/>
    <w:basedOn w:val="Normal"/>
    <w:next w:val="Normal"/>
    <w:autoRedefine/>
    <w:uiPriority w:val="39"/>
    <w:rsid w:val="00051999"/>
    <w:pPr>
      <w:spacing w:before="0" w:after="0"/>
      <w:ind w:left="720"/>
    </w:pPr>
    <w:rPr>
      <w:rFonts w:asciiTheme="minorHAnsi" w:hAnsiTheme="minorHAnsi"/>
      <w:sz w:val="18"/>
      <w:szCs w:val="18"/>
    </w:rPr>
  </w:style>
  <w:style w:type="paragraph" w:styleId="TOC5">
    <w:name w:val="toc 5"/>
    <w:basedOn w:val="Normal"/>
    <w:next w:val="Normal"/>
    <w:autoRedefine/>
    <w:uiPriority w:val="39"/>
    <w:rsid w:val="00051999"/>
    <w:pPr>
      <w:spacing w:before="0" w:after="0"/>
      <w:ind w:left="960"/>
    </w:pPr>
    <w:rPr>
      <w:rFonts w:asciiTheme="minorHAnsi" w:hAnsiTheme="minorHAnsi"/>
      <w:sz w:val="18"/>
      <w:szCs w:val="18"/>
    </w:rPr>
  </w:style>
  <w:style w:type="paragraph" w:styleId="TOC6">
    <w:name w:val="toc 6"/>
    <w:basedOn w:val="Normal"/>
    <w:next w:val="Normal"/>
    <w:autoRedefine/>
    <w:uiPriority w:val="39"/>
    <w:rsid w:val="00051999"/>
    <w:pPr>
      <w:spacing w:before="0" w:after="0"/>
      <w:ind w:left="1200"/>
    </w:pPr>
    <w:rPr>
      <w:rFonts w:asciiTheme="minorHAnsi" w:hAnsiTheme="minorHAnsi"/>
      <w:sz w:val="18"/>
      <w:szCs w:val="18"/>
    </w:rPr>
  </w:style>
  <w:style w:type="paragraph" w:styleId="TOC7">
    <w:name w:val="toc 7"/>
    <w:basedOn w:val="Normal"/>
    <w:next w:val="Normal"/>
    <w:autoRedefine/>
    <w:uiPriority w:val="39"/>
    <w:rsid w:val="00051999"/>
    <w:pPr>
      <w:spacing w:before="0" w:after="0"/>
      <w:ind w:left="1440"/>
    </w:pPr>
    <w:rPr>
      <w:rFonts w:asciiTheme="minorHAnsi" w:hAnsiTheme="minorHAnsi"/>
      <w:sz w:val="18"/>
      <w:szCs w:val="18"/>
    </w:rPr>
  </w:style>
  <w:style w:type="paragraph" w:styleId="TOC8">
    <w:name w:val="toc 8"/>
    <w:basedOn w:val="Normal"/>
    <w:next w:val="Normal"/>
    <w:autoRedefine/>
    <w:uiPriority w:val="39"/>
    <w:rsid w:val="00051999"/>
    <w:pPr>
      <w:spacing w:before="0" w:after="0"/>
      <w:ind w:left="1680"/>
    </w:pPr>
    <w:rPr>
      <w:rFonts w:asciiTheme="minorHAnsi" w:hAnsiTheme="minorHAnsi"/>
      <w:sz w:val="18"/>
      <w:szCs w:val="18"/>
    </w:rPr>
  </w:style>
  <w:style w:type="paragraph" w:styleId="TOC9">
    <w:name w:val="toc 9"/>
    <w:basedOn w:val="Normal"/>
    <w:next w:val="Normal"/>
    <w:autoRedefine/>
    <w:uiPriority w:val="39"/>
    <w:rsid w:val="00051999"/>
    <w:pPr>
      <w:spacing w:before="0" w:after="0"/>
      <w:ind w:left="1920"/>
    </w:pPr>
    <w:rPr>
      <w:rFonts w:asciiTheme="minorHAnsi" w:hAnsiTheme="minorHAnsi"/>
      <w:sz w:val="18"/>
      <w:szCs w:val="18"/>
    </w:rPr>
  </w:style>
  <w:style w:type="table" w:customStyle="1" w:styleId="Blanktable">
    <w:name w:val="Blank table"/>
    <w:basedOn w:val="TableNormal"/>
    <w:uiPriority w:val="99"/>
    <w:rsid w:val="00A333FB"/>
    <w:pPr>
      <w:spacing w:before="120" w:after="240"/>
    </w:pPr>
    <w:rPr>
      <w:sz w:val="24"/>
      <w:szCs w:val="24"/>
    </w:rPr>
    <w:tblPr>
      <w:tblInd w:w="108" w:type="dxa"/>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List Bullet 4" w:uiPriority="99"/>
    <w:lsdException w:name="Title" w:qFormat="1"/>
    <w:lsdException w:name="Subtitle" w:uiPriority="1" w:qFormat="1"/>
    <w:lsdException w:name="Hyperlink" w:uiPriority="99"/>
    <w:lsdException w:name="Strong" w:uiPriority="99" w:qFormat="1"/>
    <w:lsdException w:name="Emphasis" w:uiPriority="99" w:qFormat="1"/>
    <w:lsdException w:name="No Lis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C30"/>
    <w:pPr>
      <w:spacing w:before="120" w:after="240"/>
    </w:pPr>
    <w:rPr>
      <w:rFonts w:eastAsia="Calibri"/>
      <w:sz w:val="24"/>
      <w:szCs w:val="24"/>
      <w:lang w:eastAsia="en-US"/>
    </w:rPr>
  </w:style>
  <w:style w:type="paragraph" w:styleId="Heading1">
    <w:name w:val="heading 1"/>
    <w:basedOn w:val="Normal"/>
    <w:next w:val="Normal"/>
    <w:link w:val="Heading1Char"/>
    <w:qFormat/>
    <w:rsid w:val="00FC6C30"/>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FC6C30"/>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FC6C3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FC6C30"/>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qFormat/>
    <w:rsid w:val="00FC6C30"/>
    <w:pPr>
      <w:keepNext/>
      <w:spacing w:before="360"/>
      <w:outlineLvl w:val="4"/>
    </w:pPr>
    <w:rPr>
      <w:b/>
      <w:bCs/>
      <w:iCs/>
      <w:szCs w:val="26"/>
    </w:rPr>
  </w:style>
  <w:style w:type="paragraph" w:styleId="Heading6">
    <w:name w:val="heading 6"/>
    <w:basedOn w:val="Normal"/>
    <w:next w:val="Normal"/>
    <w:link w:val="Heading6Char"/>
    <w:uiPriority w:val="1"/>
    <w:qFormat/>
    <w:rsid w:val="00FC6C30"/>
    <w:pPr>
      <w:spacing w:before="360"/>
      <w:outlineLvl w:val="5"/>
    </w:pPr>
    <w:rPr>
      <w:b/>
      <w:bCs/>
      <w:i/>
      <w:szCs w:val="22"/>
    </w:rPr>
  </w:style>
  <w:style w:type="paragraph" w:styleId="Heading7">
    <w:name w:val="heading 7"/>
    <w:basedOn w:val="Normal"/>
    <w:next w:val="Normal"/>
    <w:uiPriority w:val="99"/>
    <w:qFormat/>
    <w:rsid w:val="00FC6C30"/>
    <w:pPr>
      <w:spacing w:after="60"/>
      <w:outlineLvl w:val="6"/>
    </w:pPr>
  </w:style>
  <w:style w:type="paragraph" w:styleId="Heading8">
    <w:name w:val="heading 8"/>
    <w:basedOn w:val="Normal"/>
    <w:next w:val="Normal"/>
    <w:uiPriority w:val="99"/>
    <w:qFormat/>
    <w:rsid w:val="00FC6C30"/>
    <w:pPr>
      <w:spacing w:after="60"/>
      <w:outlineLvl w:val="7"/>
    </w:pPr>
    <w:rPr>
      <w:i/>
      <w:iCs/>
    </w:rPr>
  </w:style>
  <w:style w:type="paragraph" w:styleId="Heading9">
    <w:name w:val="heading 9"/>
    <w:basedOn w:val="Normal"/>
    <w:next w:val="Normal"/>
    <w:uiPriority w:val="99"/>
    <w:qFormat/>
    <w:rsid w:val="00FC6C3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6C30"/>
    <w:rPr>
      <w:rFonts w:eastAsia="Calibri" w:cs="Arial"/>
      <w:b/>
      <w:bCs/>
      <w:color w:val="1F546B"/>
      <w:kern w:val="32"/>
      <w:sz w:val="52"/>
      <w:szCs w:val="32"/>
      <w:lang w:eastAsia="en-US"/>
    </w:rPr>
  </w:style>
  <w:style w:type="character" w:customStyle="1" w:styleId="Heading2Char">
    <w:name w:val="Heading 2 Char"/>
    <w:link w:val="Heading2"/>
    <w:rsid w:val="00FC6C30"/>
    <w:rPr>
      <w:rFonts w:eastAsia="Calibri" w:cs="Arial"/>
      <w:b/>
      <w:bCs/>
      <w:iCs/>
      <w:color w:val="1F546B"/>
      <w:sz w:val="36"/>
      <w:szCs w:val="28"/>
      <w:lang w:eastAsia="en-US"/>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pPr>
    <w:rPr>
      <w:noProof/>
      <w:color w:val="002469"/>
      <w:spacing w:val="6"/>
      <w:sz w:val="16"/>
      <w:szCs w:val="16"/>
    </w:rPr>
  </w:style>
  <w:style w:type="character" w:customStyle="1" w:styleId="FooterChar">
    <w:name w:val="Footer Char"/>
    <w:link w:val="Footer"/>
    <w:rsid w:val="007A4CBF"/>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FC6C30"/>
    <w:pPr>
      <w:keepNext/>
      <w:spacing w:before="80" w:after="80"/>
      <w:ind w:left="567"/>
    </w:pPr>
    <w:rPr>
      <w:b/>
      <w:bCs/>
      <w:sz w:val="22"/>
      <w:szCs w:val="20"/>
    </w:rPr>
  </w:style>
  <w:style w:type="paragraph" w:styleId="FootnoteText">
    <w:name w:val="footnote text"/>
    <w:basedOn w:val="Normal"/>
    <w:link w:val="FootnoteTextChar"/>
    <w:rsid w:val="00504E3C"/>
    <w:pPr>
      <w:tabs>
        <w:tab w:val="left" w:pos="425"/>
      </w:tabs>
      <w:spacing w:after="60"/>
      <w:ind w:left="425" w:hanging="425"/>
    </w:pPr>
    <w:rPr>
      <w:sz w:val="18"/>
    </w:rPr>
  </w:style>
  <w:style w:type="character" w:customStyle="1" w:styleId="FootnoteTextChar">
    <w:name w:val="Footnote Text Char"/>
    <w:link w:val="FootnoteText"/>
    <w:rsid w:val="00E25EF0"/>
    <w:rPr>
      <w:rFonts w:ascii="Arial" w:hAnsi="Arial"/>
      <w:sz w:val="18"/>
      <w:lang w:val="en-GB" w:eastAsia="en-GB"/>
    </w:rPr>
  </w:style>
  <w:style w:type="character" w:styleId="FootnoteReference">
    <w:name w:val="footnote reference"/>
    <w:semiHidden/>
    <w:rsid w:val="00504E3C"/>
    <w:rPr>
      <w:rFonts w:ascii="Arial" w:hAnsi="Arial"/>
      <w:color w:val="auto"/>
      <w:position w:val="8"/>
      <w:sz w:val="16"/>
    </w:rPr>
  </w:style>
  <w:style w:type="paragraph" w:styleId="TOC1">
    <w:name w:val="toc 1"/>
    <w:basedOn w:val="Normal"/>
    <w:next w:val="Normal"/>
    <w:uiPriority w:val="39"/>
    <w:qFormat/>
    <w:rsid w:val="00F80E02"/>
    <w:pPr>
      <w:spacing w:after="120"/>
    </w:pPr>
    <w:rPr>
      <w:rFonts w:asciiTheme="minorHAnsi" w:hAnsiTheme="minorHAnsi"/>
      <w:b/>
      <w:bCs/>
      <w:caps/>
      <w:sz w:val="20"/>
      <w:szCs w:val="20"/>
    </w:rPr>
  </w:style>
  <w:style w:type="paragraph" w:styleId="TOC2">
    <w:name w:val="toc 2"/>
    <w:basedOn w:val="Normal"/>
    <w:next w:val="Normal"/>
    <w:uiPriority w:val="39"/>
    <w:qFormat/>
    <w:rsid w:val="00F80E02"/>
    <w:pPr>
      <w:spacing w:before="0" w:after="0"/>
      <w:ind w:left="240"/>
    </w:pPr>
    <w:rPr>
      <w:rFonts w:asciiTheme="minorHAnsi" w:hAnsiTheme="minorHAnsi"/>
      <w:smallCaps/>
      <w:sz w:val="20"/>
      <w:szCs w:val="20"/>
    </w:rPr>
  </w:style>
  <w:style w:type="paragraph" w:styleId="TOC3">
    <w:name w:val="toc 3"/>
    <w:basedOn w:val="Normal"/>
    <w:next w:val="Normal"/>
    <w:uiPriority w:val="39"/>
    <w:qFormat/>
    <w:rsid w:val="00504E3C"/>
    <w:pPr>
      <w:spacing w:before="0" w:after="0"/>
      <w:ind w:left="480"/>
    </w:pPr>
    <w:rPr>
      <w:rFonts w:asciiTheme="minorHAnsi" w:hAnsiTheme="minorHAnsi"/>
      <w:i/>
      <w:iCs/>
      <w:sz w:val="20"/>
      <w:szCs w:val="20"/>
    </w:r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rsid w:val="00CA5DA4"/>
    <w:pPr>
      <w:numPr>
        <w:numId w:val="2"/>
      </w:numPr>
      <w:spacing w:before="120" w:after="180" w:line="280" w:lineRule="exact"/>
      <w:ind w:left="284" w:hanging="284"/>
    </w:pPr>
    <w:rPr>
      <w:rFonts w:ascii="Arial" w:hAnsi="Arial"/>
      <w:sz w:val="22"/>
      <w:szCs w:val="24"/>
      <w:lang w:val="en-AU" w:eastAsia="en-US"/>
    </w:rPr>
  </w:style>
  <w:style w:type="paragraph" w:customStyle="1" w:styleId="EvenFooter">
    <w:name w:val="Even Footer"/>
    <w:basedOn w:val="Footer"/>
    <w:rsid w:val="0054782B"/>
  </w:style>
  <w:style w:type="table" w:styleId="TableGrid">
    <w:name w:val="Table Grid"/>
    <w:basedOn w:val="TableNormal"/>
    <w:uiPriority w:val="5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pPr>
    <w:rPr>
      <w:sz w:val="20"/>
    </w:rPr>
  </w:style>
  <w:style w:type="paragraph" w:customStyle="1" w:styleId="TableText">
    <w:name w:val="Table Text"/>
    <w:basedOn w:val="Normal"/>
    <w:link w:val="TableTextChar"/>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qFormat/>
    <w:rsid w:val="00FC6C30"/>
    <w:pPr>
      <w:contextualSpacing/>
      <w:jc w:val="right"/>
    </w:pPr>
    <w:rPr>
      <w:rFonts w:cs="Arial"/>
      <w:b/>
      <w:color w:val="1F546B"/>
      <w:sz w:val="80"/>
      <w:szCs w:val="80"/>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rsid w:val="00BF2DF2"/>
    <w:pPr>
      <w:spacing w:after="0"/>
    </w:pPr>
    <w:rPr>
      <w:sz w:val="16"/>
      <w:szCs w:val="22"/>
      <w:lang w:eastAsia="en-AU"/>
    </w:rPr>
  </w:style>
  <w:style w:type="paragraph" w:styleId="Subtitle">
    <w:name w:val="Subtitle"/>
    <w:basedOn w:val="Normal"/>
    <w:link w:val="SubtitleChar"/>
    <w:uiPriority w:val="1"/>
    <w:qFormat/>
    <w:rsid w:val="00FC6C30"/>
    <w:pPr>
      <w:jc w:val="center"/>
    </w:pPr>
    <w:rPr>
      <w:rFonts w:cs="Arial"/>
      <w:b/>
      <w:color w:val="7BC7CE"/>
      <w:sz w:val="36"/>
      <w:szCs w:val="36"/>
    </w:rPr>
  </w:style>
  <w:style w:type="character" w:customStyle="1" w:styleId="SubtitleChar">
    <w:name w:val="Subtitle Char"/>
    <w:link w:val="Subtitle"/>
    <w:uiPriority w:val="1"/>
    <w:rsid w:val="00855476"/>
    <w:rPr>
      <w:rFonts w:eastAsia="Calibri" w:cs="Arial"/>
      <w:b/>
      <w:color w:val="7BC7CE"/>
      <w:sz w:val="36"/>
      <w:szCs w:val="36"/>
      <w:lang w:eastAsia="en-US"/>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eastAsia="en-NZ"/>
    </w:rPr>
  </w:style>
  <w:style w:type="paragraph" w:customStyle="1" w:styleId="Intro">
    <w:name w:val="Intro"/>
    <w:basedOn w:val="Normal"/>
    <w:rsid w:val="008D5CD9"/>
    <w:pPr>
      <w:spacing w:line="360" w:lineRule="atLeast"/>
    </w:pPr>
    <w:rPr>
      <w:color w:val="335087"/>
    </w:rPr>
  </w:style>
  <w:style w:type="paragraph" w:styleId="ListParagraph">
    <w:name w:val="List Paragraph"/>
    <w:basedOn w:val="List123"/>
    <w:uiPriority w:val="34"/>
    <w:qFormat/>
    <w:rsid w:val="00FC6C30"/>
    <w:pPr>
      <w:keepLines w:val="0"/>
      <w:numPr>
        <w:numId w:val="0"/>
      </w:numPr>
    </w:pPr>
  </w:style>
  <w:style w:type="paragraph" w:customStyle="1" w:styleId="Text">
    <w:name w:val="Text"/>
    <w:basedOn w:val="Normal"/>
    <w:link w:val="TextChar"/>
    <w:rsid w:val="008D5CD9"/>
    <w:pPr>
      <w:spacing w:after="120" w:line="300" w:lineRule="exact"/>
      <w:jc w:val="both"/>
    </w:pPr>
  </w:style>
  <w:style w:type="character" w:customStyle="1" w:styleId="TextChar">
    <w:name w:val="Text Char"/>
    <w:link w:val="Text"/>
    <w:rsid w:val="008D5CD9"/>
    <w:rPr>
      <w:rFonts w:ascii="Arial" w:hAnsi="Arial"/>
      <w:sz w:val="22"/>
      <w:lang w:val="en-GB" w:eastAsia="en-US"/>
    </w:rPr>
  </w:style>
  <w:style w:type="paragraph" w:customStyle="1" w:styleId="TableBullet0">
    <w:name w:val="Table Bullet"/>
    <w:basedOn w:val="Normal"/>
    <w:rsid w:val="001F492F"/>
    <w:pPr>
      <w:numPr>
        <w:ilvl w:val="1"/>
        <w:numId w:val="4"/>
      </w:numPr>
    </w:pPr>
  </w:style>
  <w:style w:type="paragraph" w:customStyle="1" w:styleId="Bullet">
    <w:name w:val="Bullet"/>
    <w:basedOn w:val="Normal"/>
    <w:rsid w:val="00600768"/>
    <w:pPr>
      <w:keepLines/>
      <w:numPr>
        <w:numId w:val="5"/>
      </w:numPr>
      <w:spacing w:before="80" w:after="80"/>
    </w:pPr>
    <w:rPr>
      <w:noProof/>
    </w:rPr>
  </w:style>
  <w:style w:type="paragraph" w:customStyle="1" w:styleId="Bulletlevel2">
    <w:name w:val="Bullet level 2"/>
    <w:basedOn w:val="Normal"/>
    <w:uiPriority w:val="1"/>
    <w:semiHidden/>
    <w:rsid w:val="00600768"/>
    <w:pPr>
      <w:keepLines/>
      <w:numPr>
        <w:ilvl w:val="1"/>
        <w:numId w:val="5"/>
      </w:numPr>
      <w:spacing w:before="80" w:after="80"/>
      <w:ind w:left="1440" w:hanging="360"/>
    </w:pPr>
  </w:style>
  <w:style w:type="paragraph" w:customStyle="1" w:styleId="Bulletlevel3">
    <w:name w:val="Bullet level 3"/>
    <w:basedOn w:val="Normal"/>
    <w:uiPriority w:val="1"/>
    <w:semiHidden/>
    <w:rsid w:val="00600768"/>
    <w:pPr>
      <w:keepLines/>
      <w:numPr>
        <w:ilvl w:val="2"/>
        <w:numId w:val="5"/>
      </w:numPr>
      <w:spacing w:before="80" w:after="80"/>
      <w:ind w:left="2160" w:hanging="360"/>
    </w:pPr>
  </w:style>
  <w:style w:type="paragraph" w:customStyle="1" w:styleId="List123">
    <w:name w:val="List 1 2 3"/>
    <w:basedOn w:val="Normal"/>
    <w:rsid w:val="00600768"/>
    <w:pPr>
      <w:keepLines/>
      <w:numPr>
        <w:numId w:val="7"/>
      </w:numPr>
      <w:spacing w:before="80" w:after="80"/>
    </w:pPr>
  </w:style>
  <w:style w:type="paragraph" w:customStyle="1" w:styleId="List123level2">
    <w:name w:val="List 1 2 3 level 2"/>
    <w:basedOn w:val="Normal"/>
    <w:uiPriority w:val="1"/>
    <w:semiHidden/>
    <w:qFormat/>
    <w:rsid w:val="00FC6C30"/>
    <w:pPr>
      <w:numPr>
        <w:ilvl w:val="1"/>
        <w:numId w:val="7"/>
      </w:numPr>
      <w:spacing w:before="80" w:after="80"/>
    </w:pPr>
  </w:style>
  <w:style w:type="paragraph" w:customStyle="1" w:styleId="List123level3">
    <w:name w:val="List 1 2 3 level 3"/>
    <w:basedOn w:val="Normal"/>
    <w:uiPriority w:val="1"/>
    <w:semiHidden/>
    <w:qFormat/>
    <w:rsid w:val="00FC6C30"/>
    <w:pPr>
      <w:numPr>
        <w:ilvl w:val="2"/>
        <w:numId w:val="7"/>
      </w:numPr>
      <w:spacing w:before="80" w:after="80"/>
    </w:pPr>
  </w:style>
  <w:style w:type="paragraph" w:customStyle="1" w:styleId="Headline">
    <w:name w:val="Headline"/>
    <w:basedOn w:val="Normal"/>
    <w:rsid w:val="00087A51"/>
    <w:pPr>
      <w:keepLines/>
      <w:spacing w:after="480"/>
      <w:contextualSpacing/>
      <w:jc w:val="center"/>
    </w:pPr>
    <w:rPr>
      <w:b/>
      <w:sz w:val="36"/>
    </w:rPr>
  </w:style>
  <w:style w:type="table" w:customStyle="1" w:styleId="DIATable">
    <w:name w:val="_DIA Table"/>
    <w:basedOn w:val="TableNormal"/>
    <w:uiPriority w:val="99"/>
    <w:rsid w:val="00BA1D9A"/>
    <w:pPr>
      <w:spacing w:before="44" w:after="24"/>
    </w:pPr>
    <w:rPr>
      <w:rFonts w:eastAsia="Calibri"/>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sz w:val="22"/>
      </w:rPr>
      <w:tblPr/>
      <w:tcPr>
        <w:tcBorders>
          <w:top w:val="single" w:sz="6" w:space="0" w:color="1F546B"/>
          <w:left w:val="single" w:sz="12" w:space="0" w:color="1F546B"/>
          <w:bottom w:val="single" w:sz="12" w:space="0" w:color="1F546B"/>
          <w:right w:val="single" w:sz="12" w:space="0" w:color="1F546B"/>
          <w:insideH w:val="single" w:sz="6" w:space="0" w:color="FFFFFF"/>
          <w:insideV w:val="single" w:sz="6" w:space="0" w:color="FFFFFF"/>
          <w:tl2br w:val="nil"/>
          <w:tr2bl w:val="nil"/>
        </w:tcBorders>
        <w:shd w:val="clear" w:color="auto" w:fill="1F546B"/>
      </w:tcPr>
    </w:tblStylePr>
  </w:style>
  <w:style w:type="character" w:styleId="Strong">
    <w:name w:val="Strong"/>
    <w:uiPriority w:val="99"/>
    <w:qFormat/>
    <w:rsid w:val="00FC6C30"/>
    <w:rPr>
      <w:b/>
      <w:bCs/>
    </w:rPr>
  </w:style>
  <w:style w:type="character" w:customStyle="1" w:styleId="apple-converted-space">
    <w:name w:val="apple-converted-space"/>
    <w:rsid w:val="009E450E"/>
  </w:style>
  <w:style w:type="character" w:styleId="Emphasis">
    <w:name w:val="Emphasis"/>
    <w:uiPriority w:val="99"/>
    <w:qFormat/>
    <w:rsid w:val="00FC6C30"/>
    <w:rPr>
      <w:rFonts w:ascii="Calibri" w:hAnsi="Calibri"/>
      <w:i/>
      <w:iCs/>
    </w:rPr>
  </w:style>
  <w:style w:type="paragraph" w:customStyle="1" w:styleId="Tinyline">
    <w:name w:val="Tiny line"/>
    <w:basedOn w:val="Normal"/>
    <w:qFormat/>
    <w:rsid w:val="00FC6C30"/>
    <w:pPr>
      <w:spacing w:before="0" w:after="0"/>
    </w:pPr>
    <w:rPr>
      <w:sz w:val="8"/>
    </w:rPr>
  </w:style>
  <w:style w:type="paragraph" w:customStyle="1" w:styleId="ListABClevel2">
    <w:name w:val="List A B C level 2"/>
    <w:basedOn w:val="Normal"/>
    <w:uiPriority w:val="1"/>
    <w:semiHidden/>
    <w:qFormat/>
    <w:rsid w:val="00FC6C30"/>
    <w:pPr>
      <w:numPr>
        <w:ilvl w:val="1"/>
        <w:numId w:val="6"/>
      </w:numPr>
      <w:spacing w:before="80" w:after="80"/>
    </w:pPr>
  </w:style>
  <w:style w:type="paragraph" w:customStyle="1" w:styleId="Tablenormal0">
    <w:name w:val="Table normal"/>
    <w:basedOn w:val="Normal"/>
    <w:qFormat/>
    <w:rsid w:val="00FC6C30"/>
    <w:pPr>
      <w:spacing w:before="40" w:after="40"/>
    </w:pPr>
    <w:rPr>
      <w:sz w:val="22"/>
    </w:rPr>
  </w:style>
  <w:style w:type="paragraph" w:customStyle="1" w:styleId="ListABClevel3">
    <w:name w:val="List A B C level 3"/>
    <w:basedOn w:val="Normal"/>
    <w:uiPriority w:val="1"/>
    <w:semiHidden/>
    <w:qFormat/>
    <w:rsid w:val="00FC6C30"/>
    <w:pPr>
      <w:numPr>
        <w:ilvl w:val="2"/>
        <w:numId w:val="6"/>
      </w:numPr>
      <w:spacing w:before="80" w:after="80"/>
    </w:pPr>
  </w:style>
  <w:style w:type="paragraph" w:customStyle="1" w:styleId="Legislationsection">
    <w:name w:val="Legislation section"/>
    <w:basedOn w:val="Normal"/>
    <w:semiHidden/>
    <w:qFormat/>
    <w:rsid w:val="00FC6C30"/>
    <w:pPr>
      <w:keepNext/>
      <w:numPr>
        <w:numId w:val="9"/>
      </w:numPr>
      <w:spacing w:after="60"/>
    </w:pPr>
    <w:rPr>
      <w:b/>
      <w:sz w:val="22"/>
    </w:rPr>
  </w:style>
  <w:style w:type="paragraph" w:customStyle="1" w:styleId="Legislationnumber">
    <w:name w:val="Legislation number"/>
    <w:basedOn w:val="Normal"/>
    <w:semiHidden/>
    <w:qFormat/>
    <w:rsid w:val="00FC6C30"/>
    <w:pPr>
      <w:numPr>
        <w:numId w:val="8"/>
      </w:numPr>
      <w:tabs>
        <w:tab w:val="left" w:pos="567"/>
      </w:tabs>
      <w:spacing w:before="60" w:after="60"/>
    </w:pPr>
    <w:rPr>
      <w:sz w:val="22"/>
    </w:rPr>
  </w:style>
  <w:style w:type="paragraph" w:customStyle="1" w:styleId="Legislationa">
    <w:name w:val="Legislation (a)"/>
    <w:basedOn w:val="Normal"/>
    <w:semiHidden/>
    <w:qFormat/>
    <w:rsid w:val="00FC6C30"/>
    <w:pPr>
      <w:numPr>
        <w:ilvl w:val="2"/>
        <w:numId w:val="9"/>
      </w:numPr>
      <w:spacing w:before="60" w:after="60"/>
    </w:pPr>
    <w:rPr>
      <w:sz w:val="22"/>
    </w:rPr>
  </w:style>
  <w:style w:type="paragraph" w:customStyle="1" w:styleId="Legislationi">
    <w:name w:val="Legislation (i)"/>
    <w:basedOn w:val="Normal"/>
    <w:semiHidden/>
    <w:qFormat/>
    <w:rsid w:val="00FC6C30"/>
    <w:pPr>
      <w:numPr>
        <w:ilvl w:val="3"/>
        <w:numId w:val="9"/>
      </w:numPr>
      <w:spacing w:before="60" w:after="60"/>
    </w:pPr>
    <w:rPr>
      <w:sz w:val="22"/>
    </w:rPr>
  </w:style>
  <w:style w:type="paragraph" w:customStyle="1" w:styleId="Numberedparaindentonly">
    <w:name w:val="Numbered para indent only"/>
    <w:basedOn w:val="Normal"/>
    <w:qFormat/>
    <w:rsid w:val="00FC6C30"/>
    <w:pPr>
      <w:spacing w:after="120"/>
      <w:ind w:left="567"/>
    </w:pPr>
  </w:style>
  <w:style w:type="paragraph" w:customStyle="1" w:styleId="Spacer0">
    <w:name w:val="Spacer"/>
    <w:basedOn w:val="Normal"/>
    <w:qFormat/>
    <w:rsid w:val="00FC6C30"/>
    <w:pPr>
      <w:spacing w:before="0" w:after="0"/>
    </w:pPr>
  </w:style>
  <w:style w:type="paragraph" w:customStyle="1" w:styleId="Page">
    <w:name w:val="Page"/>
    <w:basedOn w:val="Spacer0"/>
    <w:semiHidden/>
    <w:qFormat/>
    <w:rsid w:val="00FC6C30"/>
    <w:pPr>
      <w:jc w:val="right"/>
    </w:pPr>
    <w:rPr>
      <w:color w:val="000000"/>
    </w:rPr>
  </w:style>
  <w:style w:type="paragraph" w:customStyle="1" w:styleId="Tablenormal12pt">
    <w:name w:val="Table normal 12pt"/>
    <w:basedOn w:val="Tablenormal0"/>
    <w:semiHidden/>
    <w:qFormat/>
    <w:rsid w:val="00FC6C30"/>
    <w:rPr>
      <w:sz w:val="24"/>
    </w:rPr>
  </w:style>
  <w:style w:type="paragraph" w:customStyle="1" w:styleId="Tableheading12pt">
    <w:name w:val="Table heading 12pt"/>
    <w:basedOn w:val="Normal"/>
    <w:semiHidden/>
    <w:qFormat/>
    <w:rsid w:val="00FC6C30"/>
    <w:pPr>
      <w:keepNext/>
      <w:spacing w:before="40" w:after="40"/>
    </w:pPr>
    <w:rPr>
      <w:b/>
      <w:color w:val="FFFFFF"/>
    </w:rPr>
  </w:style>
  <w:style w:type="paragraph" w:customStyle="1" w:styleId="Documentationpageheading">
    <w:name w:val="Documentation page heading"/>
    <w:basedOn w:val="Normal"/>
    <w:semiHidden/>
    <w:qFormat/>
    <w:rsid w:val="00FC6C30"/>
    <w:pPr>
      <w:spacing w:after="0"/>
    </w:pPr>
    <w:rPr>
      <w:b/>
      <w:color w:val="1F497D"/>
      <w:sz w:val="36"/>
    </w:rPr>
  </w:style>
  <w:style w:type="paragraph" w:customStyle="1" w:styleId="Documentationpagesubheading">
    <w:name w:val="Documentation page subheading"/>
    <w:basedOn w:val="Documentationpageheading"/>
    <w:semiHidden/>
    <w:qFormat/>
    <w:rsid w:val="00FC6C30"/>
    <w:rPr>
      <w:sz w:val="28"/>
    </w:rPr>
  </w:style>
  <w:style w:type="paragraph" w:customStyle="1" w:styleId="Documentationpagetable">
    <w:name w:val="Documentation page table"/>
    <w:basedOn w:val="Normal"/>
    <w:semiHidden/>
    <w:qFormat/>
    <w:rsid w:val="00FC6C30"/>
    <w:pPr>
      <w:spacing w:before="44" w:after="24"/>
    </w:pPr>
    <w:rPr>
      <w:sz w:val="20"/>
    </w:rPr>
  </w:style>
  <w:style w:type="paragraph" w:customStyle="1" w:styleId="Documentationpagetableheading">
    <w:name w:val="Documentation page table heading"/>
    <w:basedOn w:val="Normal"/>
    <w:semiHidden/>
    <w:qFormat/>
    <w:rsid w:val="00FC6C30"/>
    <w:pPr>
      <w:spacing w:before="40" w:after="40"/>
    </w:pPr>
    <w:rPr>
      <w:b/>
      <w:color w:val="FFFFFF"/>
      <w:sz w:val="20"/>
    </w:rPr>
  </w:style>
  <w:style w:type="paragraph" w:customStyle="1" w:styleId="Briefingparasubheading">
    <w:name w:val="Briefing para subheading"/>
    <w:basedOn w:val="Normal"/>
    <w:next w:val="Numberedpara3level1"/>
    <w:qFormat/>
    <w:rsid w:val="00FC6C30"/>
    <w:pPr>
      <w:keepNext/>
      <w:spacing w:before="240" w:after="120"/>
    </w:pPr>
    <w:rPr>
      <w:b/>
      <w:i/>
    </w:rPr>
  </w:style>
  <w:style w:type="paragraph" w:customStyle="1" w:styleId="Numberedpara3level1">
    <w:name w:val="Numbered para (3) level 1"/>
    <w:basedOn w:val="Normal"/>
    <w:qFormat/>
    <w:rsid w:val="00FC6C30"/>
    <w:pPr>
      <w:numPr>
        <w:numId w:val="12"/>
      </w:numPr>
      <w:spacing w:after="120"/>
    </w:pPr>
  </w:style>
  <w:style w:type="paragraph" w:customStyle="1" w:styleId="Numberedpara3level211">
    <w:name w:val="Numbered para (3) level 2 (1.1)"/>
    <w:basedOn w:val="Normal"/>
    <w:qFormat/>
    <w:rsid w:val="00FC6C30"/>
    <w:pPr>
      <w:numPr>
        <w:ilvl w:val="1"/>
        <w:numId w:val="12"/>
      </w:numPr>
      <w:spacing w:after="120"/>
    </w:pPr>
  </w:style>
  <w:style w:type="paragraph" w:customStyle="1" w:styleId="Recommendations">
    <w:name w:val="Recommendations"/>
    <w:basedOn w:val="Normal"/>
    <w:semiHidden/>
    <w:qFormat/>
    <w:rsid w:val="00FC6C30"/>
    <w:pPr>
      <w:numPr>
        <w:numId w:val="10"/>
      </w:numPr>
    </w:pPr>
  </w:style>
  <w:style w:type="paragraph" w:customStyle="1" w:styleId="Title2">
    <w:name w:val="Title 2"/>
    <w:basedOn w:val="Title"/>
    <w:semiHidden/>
    <w:qFormat/>
    <w:rsid w:val="00FC6C30"/>
    <w:rPr>
      <w:rFonts w:cs="Times New Roman"/>
      <w:sz w:val="52"/>
    </w:rPr>
  </w:style>
  <w:style w:type="paragraph" w:customStyle="1" w:styleId="Briefingparaheading">
    <w:name w:val="Briefing para heading"/>
    <w:basedOn w:val="Normal"/>
    <w:next w:val="Numberedpara3level1"/>
    <w:qFormat/>
    <w:rsid w:val="00FC6C30"/>
    <w:pPr>
      <w:keepNext/>
      <w:spacing w:before="240" w:after="120"/>
    </w:pPr>
    <w:rPr>
      <w:b/>
      <w:sz w:val="26"/>
    </w:rPr>
  </w:style>
  <w:style w:type="character" w:customStyle="1" w:styleId="Footersecurityclassification">
    <w:name w:val="Footer security classification"/>
    <w:uiPriority w:val="1"/>
    <w:qFormat/>
    <w:rsid w:val="00FC6C30"/>
    <w:rPr>
      <w:b/>
      <w:i/>
      <w:caps/>
      <w:smallCaps w:val="0"/>
      <w:sz w:val="22"/>
    </w:rPr>
  </w:style>
  <w:style w:type="paragraph" w:customStyle="1" w:styleId="Numberedpara11headingwithnumber">
    <w:name w:val="Numbered para (1) 1 (heading with number)"/>
    <w:basedOn w:val="Normal"/>
    <w:semiHidden/>
    <w:qFormat/>
    <w:rsid w:val="00FC6C30"/>
    <w:pPr>
      <w:keepNext/>
      <w:numPr>
        <w:numId w:val="11"/>
      </w:numPr>
      <w:spacing w:before="240" w:after="120"/>
    </w:pPr>
    <w:rPr>
      <w:b/>
      <w:sz w:val="28"/>
    </w:rPr>
  </w:style>
  <w:style w:type="paragraph" w:customStyle="1" w:styleId="Crossreference">
    <w:name w:val="Cross reference"/>
    <w:basedOn w:val="Normal"/>
    <w:semiHidden/>
    <w:qFormat/>
    <w:rsid w:val="00FC6C30"/>
    <w:rPr>
      <w:i/>
      <w:color w:val="1F497D"/>
      <w:u w:val="single"/>
    </w:rPr>
  </w:style>
  <w:style w:type="paragraph" w:customStyle="1" w:styleId="Coverpagesubheading">
    <w:name w:val="Cover page subheading"/>
    <w:basedOn w:val="Spacer0"/>
    <w:qFormat/>
    <w:rsid w:val="00FC6C30"/>
    <w:rPr>
      <w:b/>
      <w:sz w:val="26"/>
    </w:rPr>
  </w:style>
  <w:style w:type="paragraph" w:customStyle="1" w:styleId="Tick">
    <w:name w:val="Tick"/>
    <w:basedOn w:val="Normal"/>
    <w:semiHidden/>
    <w:qFormat/>
    <w:rsid w:val="00FC6C30"/>
    <w:pPr>
      <w:spacing w:before="44" w:after="24"/>
      <w:jc w:val="center"/>
    </w:pPr>
    <w:rPr>
      <w:rFonts w:ascii="Wingdings" w:hAnsi="Wingdings"/>
      <w:sz w:val="28"/>
    </w:rPr>
  </w:style>
  <w:style w:type="paragraph" w:customStyle="1" w:styleId="Numberedpara3level3111">
    <w:name w:val="Numbered para (3) level 3 (1.1.1)"/>
    <w:basedOn w:val="Normal"/>
    <w:qFormat/>
    <w:rsid w:val="00FC6C30"/>
    <w:pPr>
      <w:numPr>
        <w:ilvl w:val="2"/>
        <w:numId w:val="12"/>
      </w:numPr>
      <w:spacing w:after="120"/>
    </w:pPr>
  </w:style>
  <w:style w:type="paragraph" w:customStyle="1" w:styleId="Tablesource">
    <w:name w:val="Table source"/>
    <w:basedOn w:val="Normal"/>
    <w:next w:val="Numberedpara3level1"/>
    <w:qFormat/>
    <w:rsid w:val="00FC6C30"/>
    <w:pPr>
      <w:spacing w:before="40"/>
      <w:ind w:left="567"/>
    </w:pPr>
    <w:rPr>
      <w:sz w:val="22"/>
    </w:rPr>
  </w:style>
  <w:style w:type="paragraph" w:customStyle="1" w:styleId="FinancialtableLHC">
    <w:name w:val="Financial table LHC"/>
    <w:basedOn w:val="Normal"/>
    <w:semiHidden/>
    <w:qFormat/>
    <w:rsid w:val="00FC6C30"/>
    <w:pPr>
      <w:spacing w:before="0" w:after="0"/>
      <w:contextualSpacing/>
    </w:pPr>
    <w:rPr>
      <w:sz w:val="22"/>
    </w:rPr>
  </w:style>
  <w:style w:type="paragraph" w:customStyle="1" w:styleId="Financialtablefigures">
    <w:name w:val="Financial table figures"/>
    <w:basedOn w:val="FinancialtableLHC"/>
    <w:semiHidden/>
    <w:qFormat/>
    <w:rsid w:val="00FC6C30"/>
    <w:pPr>
      <w:jc w:val="right"/>
    </w:pPr>
  </w:style>
  <w:style w:type="paragraph" w:customStyle="1" w:styleId="Financialtableyears">
    <w:name w:val="Financial table years"/>
    <w:basedOn w:val="Financialtablefigures"/>
    <w:semiHidden/>
    <w:qFormat/>
    <w:rsid w:val="00FC6C30"/>
    <w:pPr>
      <w:jc w:val="center"/>
    </w:pPr>
    <w:rPr>
      <w:b/>
      <w:sz w:val="20"/>
    </w:rPr>
  </w:style>
  <w:style w:type="paragraph" w:customStyle="1" w:styleId="Tableheading2">
    <w:name w:val="Table heading 2"/>
    <w:basedOn w:val="Normal"/>
    <w:qFormat/>
    <w:rsid w:val="00FC6C30"/>
    <w:pPr>
      <w:spacing w:before="44" w:after="24"/>
    </w:pPr>
    <w:rPr>
      <w:b/>
      <w:sz w:val="22"/>
    </w:rPr>
  </w:style>
  <w:style w:type="paragraph" w:customStyle="1" w:styleId="Priorityrating">
    <w:name w:val="Priority rating"/>
    <w:basedOn w:val="Tablenormal0"/>
    <w:semiHidden/>
    <w:qFormat/>
    <w:rsid w:val="00FC6C30"/>
    <w:rPr>
      <w:i/>
    </w:rPr>
  </w:style>
  <w:style w:type="paragraph" w:customStyle="1" w:styleId="Numberedpara2subheading">
    <w:name w:val="Numbered para (2) subheading"/>
    <w:basedOn w:val="Normal"/>
    <w:next w:val="Normal"/>
    <w:semiHidden/>
    <w:qFormat/>
    <w:rsid w:val="00FC6C30"/>
    <w:pPr>
      <w:keepNext/>
      <w:spacing w:before="240" w:after="120"/>
    </w:pPr>
    <w:rPr>
      <w:b/>
      <w:i/>
    </w:rPr>
  </w:style>
  <w:style w:type="paragraph" w:customStyle="1" w:styleId="Numberedpara2level1">
    <w:name w:val="Numbered para (2) level 1"/>
    <w:basedOn w:val="Normal"/>
    <w:semiHidden/>
    <w:qFormat/>
    <w:rsid w:val="00FC6C30"/>
    <w:pPr>
      <w:numPr>
        <w:numId w:val="13"/>
      </w:numPr>
      <w:spacing w:after="120"/>
    </w:pPr>
  </w:style>
  <w:style w:type="paragraph" w:customStyle="1" w:styleId="Numberedpara2level2a">
    <w:name w:val="Numbered para (2) level 2 (a)"/>
    <w:basedOn w:val="Normal"/>
    <w:semiHidden/>
    <w:qFormat/>
    <w:rsid w:val="00FC6C30"/>
    <w:pPr>
      <w:numPr>
        <w:ilvl w:val="1"/>
        <w:numId w:val="13"/>
      </w:numPr>
      <w:spacing w:after="120"/>
    </w:pPr>
  </w:style>
  <w:style w:type="paragraph" w:customStyle="1" w:styleId="Numberedpara2level3i">
    <w:name w:val="Numbered para (2) level 3 (i)"/>
    <w:basedOn w:val="Normal"/>
    <w:semiHidden/>
    <w:qFormat/>
    <w:rsid w:val="00FC6C30"/>
    <w:pPr>
      <w:numPr>
        <w:ilvl w:val="2"/>
        <w:numId w:val="13"/>
      </w:numPr>
      <w:spacing w:after="120"/>
    </w:pPr>
  </w:style>
  <w:style w:type="paragraph" w:customStyle="1" w:styleId="Numberedpara2heading">
    <w:name w:val="Numbered para (2) heading"/>
    <w:basedOn w:val="Normal"/>
    <w:semiHidden/>
    <w:qFormat/>
    <w:rsid w:val="00FC6C30"/>
    <w:pPr>
      <w:keepNext/>
      <w:spacing w:before="240" w:after="120"/>
    </w:pPr>
    <w:rPr>
      <w:b/>
      <w:sz w:val="28"/>
    </w:rPr>
  </w:style>
  <w:style w:type="paragraph" w:customStyle="1" w:styleId="Numberedpara3heading">
    <w:name w:val="Numbered para (3) heading"/>
    <w:basedOn w:val="Normal"/>
    <w:semiHidden/>
    <w:qFormat/>
    <w:rsid w:val="00FC6C30"/>
    <w:pPr>
      <w:keepNext/>
      <w:spacing w:before="200" w:after="120"/>
    </w:pPr>
    <w:rPr>
      <w:b/>
    </w:rPr>
  </w:style>
  <w:style w:type="paragraph" w:customStyle="1" w:styleId="Numberedpara3subheading">
    <w:name w:val="Numbered para (3) subheading"/>
    <w:basedOn w:val="Normal"/>
    <w:semiHidden/>
    <w:qFormat/>
    <w:rsid w:val="00FC6C30"/>
    <w:pPr>
      <w:keepNext/>
      <w:spacing w:before="240" w:after="120"/>
    </w:pPr>
    <w:rPr>
      <w:b/>
      <w:i/>
    </w:rPr>
  </w:style>
  <w:style w:type="paragraph" w:customStyle="1" w:styleId="Recommendationslevel2">
    <w:name w:val="Recommendations level 2"/>
    <w:basedOn w:val="Recommendations"/>
    <w:qFormat/>
    <w:rsid w:val="00FC6C30"/>
    <w:pPr>
      <w:numPr>
        <w:numId w:val="14"/>
      </w:numPr>
      <w:spacing w:after="120"/>
    </w:pPr>
  </w:style>
  <w:style w:type="paragraph" w:customStyle="1" w:styleId="Recommendationslevel3">
    <w:name w:val="Recommendations level 3"/>
    <w:basedOn w:val="Recommendationslevel2"/>
    <w:qFormat/>
    <w:rsid w:val="00FC6C30"/>
    <w:pPr>
      <w:numPr>
        <w:ilvl w:val="1"/>
      </w:numPr>
    </w:pPr>
  </w:style>
  <w:style w:type="paragraph" w:customStyle="1" w:styleId="Briefingparasubsubheading">
    <w:name w:val="Briefing para subsubheading"/>
    <w:basedOn w:val="Normal"/>
    <w:next w:val="Numberedpara3level1"/>
    <w:qFormat/>
    <w:rsid w:val="00FC6C30"/>
    <w:pPr>
      <w:keepNext/>
      <w:spacing w:before="240" w:after="120"/>
    </w:pPr>
    <w:rPr>
      <w:i/>
    </w:rPr>
  </w:style>
  <w:style w:type="paragraph" w:customStyle="1" w:styleId="Ministerialdatabase">
    <w:name w:val="Ministerial database"/>
    <w:basedOn w:val="Tablenormal0"/>
    <w:semiHidden/>
    <w:qFormat/>
    <w:rsid w:val="00FC6C30"/>
    <w:rPr>
      <w:sz w:val="20"/>
      <w:szCs w:val="20"/>
    </w:rPr>
  </w:style>
  <w:style w:type="paragraph" w:customStyle="1" w:styleId="YesNo">
    <w:name w:val="Yes No"/>
    <w:basedOn w:val="Normal"/>
    <w:qFormat/>
    <w:rsid w:val="00FC6C30"/>
    <w:pPr>
      <w:spacing w:after="120"/>
    </w:pPr>
    <w:rPr>
      <w:b/>
    </w:rPr>
  </w:style>
  <w:style w:type="paragraph" w:customStyle="1" w:styleId="Ministerssign-off">
    <w:name w:val="Minister's sign-off"/>
    <w:basedOn w:val="Spacer0"/>
    <w:qFormat/>
    <w:rsid w:val="00FC6C30"/>
    <w:rPr>
      <w:b/>
    </w:rPr>
  </w:style>
  <w:style w:type="paragraph" w:customStyle="1" w:styleId="Briefingtitle">
    <w:name w:val="Briefing title"/>
    <w:basedOn w:val="Normal"/>
    <w:qFormat/>
    <w:rsid w:val="00FC6C30"/>
    <w:pPr>
      <w:spacing w:before="0" w:after="0"/>
      <w:contextualSpacing/>
    </w:pPr>
    <w:rPr>
      <w:b/>
      <w:sz w:val="28"/>
    </w:rPr>
  </w:style>
  <w:style w:type="character" w:customStyle="1" w:styleId="Heading3Char">
    <w:name w:val="Heading 3 Char"/>
    <w:link w:val="Heading3"/>
    <w:rsid w:val="00FC6C30"/>
    <w:rPr>
      <w:rFonts w:eastAsia="Calibri" w:cs="Arial"/>
      <w:b/>
      <w:bCs/>
      <w:color w:val="1F546B"/>
      <w:sz w:val="28"/>
      <w:szCs w:val="26"/>
      <w:lang w:eastAsia="en-US"/>
    </w:rPr>
  </w:style>
  <w:style w:type="character" w:customStyle="1" w:styleId="Heading4Char">
    <w:name w:val="Heading 4 Char"/>
    <w:link w:val="Heading4"/>
    <w:rsid w:val="00FC6C30"/>
    <w:rPr>
      <w:rFonts w:eastAsia="Calibri"/>
      <w:b/>
      <w:bCs/>
      <w:i/>
      <w:color w:val="1F546B"/>
      <w:szCs w:val="28"/>
      <w:lang w:eastAsia="en-US"/>
    </w:rPr>
  </w:style>
  <w:style w:type="character" w:customStyle="1" w:styleId="Heading5Char">
    <w:name w:val="Heading 5 Char"/>
    <w:link w:val="Heading5"/>
    <w:uiPriority w:val="1"/>
    <w:rsid w:val="00FC6C30"/>
    <w:rPr>
      <w:rFonts w:eastAsia="Calibri"/>
      <w:b/>
      <w:bCs/>
      <w:iCs/>
      <w:szCs w:val="26"/>
      <w:lang w:eastAsia="en-US"/>
    </w:rPr>
  </w:style>
  <w:style w:type="paragraph" w:styleId="BodyText">
    <w:name w:val="Body Text"/>
    <w:basedOn w:val="Normal"/>
    <w:link w:val="BodyTextChar"/>
    <w:rsid w:val="00FC6C30"/>
    <w:pPr>
      <w:spacing w:after="120"/>
    </w:pPr>
  </w:style>
  <w:style w:type="character" w:customStyle="1" w:styleId="BodyTextChar">
    <w:name w:val="Body Text Char"/>
    <w:link w:val="BodyText"/>
    <w:rsid w:val="00FC6C30"/>
    <w:rPr>
      <w:rFonts w:eastAsia="Calibri"/>
      <w:lang w:eastAsia="en-US"/>
    </w:rPr>
  </w:style>
  <w:style w:type="character" w:customStyle="1" w:styleId="Heading6Char">
    <w:name w:val="Heading 6 Char"/>
    <w:link w:val="Heading6"/>
    <w:uiPriority w:val="1"/>
    <w:rsid w:val="00FC6C30"/>
    <w:rPr>
      <w:rFonts w:eastAsia="Calibri"/>
      <w:b/>
      <w:bCs/>
      <w:i/>
      <w:szCs w:val="22"/>
      <w:lang w:eastAsia="en-US"/>
    </w:rPr>
  </w:style>
  <w:style w:type="paragraph" w:styleId="IntenseQuote">
    <w:name w:val="Intense Quote"/>
    <w:basedOn w:val="Normal"/>
    <w:next w:val="Normal"/>
    <w:link w:val="IntenseQuoteChar"/>
    <w:uiPriority w:val="99"/>
    <w:qFormat/>
    <w:rsid w:val="00FC6C30"/>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FC6C30"/>
    <w:rPr>
      <w:rFonts w:eastAsia="Calibri"/>
      <w:b/>
      <w:bCs/>
      <w:i/>
      <w:iCs/>
      <w:color w:val="1F546B"/>
      <w:lang w:eastAsia="en-US"/>
    </w:rPr>
  </w:style>
  <w:style w:type="character" w:styleId="SubtleEmphasis">
    <w:name w:val="Subtle Emphasis"/>
    <w:uiPriority w:val="99"/>
    <w:qFormat/>
    <w:rsid w:val="00FC6C30"/>
    <w:rPr>
      <w:i/>
      <w:iCs/>
    </w:rPr>
  </w:style>
  <w:style w:type="character" w:styleId="IntenseEmphasis">
    <w:name w:val="Intense Emphasis"/>
    <w:uiPriority w:val="99"/>
    <w:qFormat/>
    <w:rsid w:val="00FC6C30"/>
    <w:rPr>
      <w:b/>
      <w:i/>
    </w:rPr>
  </w:style>
  <w:style w:type="character" w:styleId="SubtleReference">
    <w:name w:val="Subtle Reference"/>
    <w:uiPriority w:val="99"/>
    <w:qFormat/>
    <w:rsid w:val="00FC6C30"/>
    <w:rPr>
      <w:rFonts w:ascii="Calibri" w:hAnsi="Calibri"/>
      <w:smallCaps/>
      <w:color w:val="C0504D"/>
      <w:u w:val="single"/>
    </w:rPr>
  </w:style>
  <w:style w:type="character" w:styleId="IntenseReference">
    <w:name w:val="Intense Reference"/>
    <w:uiPriority w:val="99"/>
    <w:qFormat/>
    <w:rsid w:val="00FC6C30"/>
    <w:rPr>
      <w:rFonts w:ascii="Calibri" w:hAnsi="Calibri"/>
      <w:b/>
      <w:bCs/>
      <w:smallCaps/>
      <w:color w:val="C0504D"/>
      <w:spacing w:val="5"/>
      <w:u w:val="single"/>
    </w:rPr>
  </w:style>
  <w:style w:type="character" w:styleId="BookTitle">
    <w:name w:val="Book Title"/>
    <w:uiPriority w:val="33"/>
    <w:qFormat/>
    <w:rsid w:val="00FC6C30"/>
    <w:rPr>
      <w:rFonts w:ascii="Calibri" w:hAnsi="Calibri"/>
      <w:b/>
      <w:bCs/>
      <w:smallCaps/>
      <w:spacing w:val="5"/>
    </w:rPr>
  </w:style>
  <w:style w:type="paragraph" w:styleId="NoSpacing">
    <w:name w:val="No Spacing"/>
    <w:uiPriority w:val="1"/>
    <w:rsid w:val="004B18F9"/>
    <w:rPr>
      <w:rFonts w:ascii="Century Gothic" w:eastAsia="Calibri" w:hAnsi="Century Gothic"/>
      <w:sz w:val="22"/>
      <w:szCs w:val="22"/>
      <w:lang w:eastAsia="en-US"/>
    </w:rPr>
  </w:style>
  <w:style w:type="table" w:styleId="TableColumns1">
    <w:name w:val="Table Columns 1"/>
    <w:basedOn w:val="TableNormal"/>
    <w:rsid w:val="000129E9"/>
    <w:pPr>
      <w:spacing w:before="120" w:after="240" w:line="280" w:lineRule="atLeast"/>
    </w:pPr>
    <w:rPr>
      <w:rFonts w:eastAsia="Calibr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normal0"/>
    <w:rsid w:val="000129E9"/>
    <w:pPr>
      <w:keepLines/>
      <w:numPr>
        <w:numId w:val="16"/>
      </w:numPr>
      <w:ind w:left="567" w:hanging="567"/>
    </w:pPr>
  </w:style>
  <w:style w:type="paragraph" w:customStyle="1" w:styleId="Tablebulletlevel2">
    <w:name w:val="Table bullet level 2"/>
    <w:basedOn w:val="Tablenormal0"/>
    <w:uiPriority w:val="99"/>
    <w:semiHidden/>
    <w:rsid w:val="000129E9"/>
    <w:pPr>
      <w:keepLines/>
      <w:numPr>
        <w:ilvl w:val="1"/>
        <w:numId w:val="16"/>
      </w:numPr>
      <w:ind w:left="1304" w:hanging="737"/>
    </w:pPr>
  </w:style>
  <w:style w:type="paragraph" w:customStyle="1" w:styleId="TableBulletListLevel3">
    <w:name w:val="Table Bullet List Level 3"/>
    <w:basedOn w:val="Normal"/>
    <w:uiPriority w:val="11"/>
    <w:semiHidden/>
    <w:rsid w:val="000129E9"/>
    <w:pPr>
      <w:keepLines/>
      <w:numPr>
        <w:ilvl w:val="2"/>
        <w:numId w:val="16"/>
      </w:numPr>
      <w:tabs>
        <w:tab w:val="clear" w:pos="1106"/>
        <w:tab w:val="num" w:pos="1304"/>
      </w:tabs>
      <w:spacing w:before="60" w:after="60" w:line="260" w:lineRule="atLeast"/>
      <w:ind w:left="2211" w:hanging="907"/>
    </w:pPr>
    <w:rPr>
      <w:sz w:val="22"/>
    </w:rPr>
  </w:style>
  <w:style w:type="paragraph" w:styleId="ListBullet4">
    <w:name w:val="List Bullet 4"/>
    <w:basedOn w:val="Normal"/>
    <w:uiPriority w:val="99"/>
    <w:rsid w:val="00816417"/>
    <w:pPr>
      <w:keepLines/>
      <w:numPr>
        <w:numId w:val="17"/>
      </w:numPr>
      <w:tabs>
        <w:tab w:val="clear" w:pos="1209"/>
      </w:tabs>
      <w:ind w:left="567" w:hanging="567"/>
    </w:pPr>
  </w:style>
  <w:style w:type="paragraph" w:styleId="TOCHeading">
    <w:name w:val="TOC Heading"/>
    <w:basedOn w:val="Heading1"/>
    <w:next w:val="Normal"/>
    <w:uiPriority w:val="39"/>
    <w:semiHidden/>
    <w:unhideWhenUsed/>
    <w:qFormat/>
    <w:rsid w:val="00400B25"/>
    <w:pPr>
      <w:keepLines/>
      <w:spacing w:after="0" w:line="276" w:lineRule="auto"/>
      <w:contextualSpacing w:val="0"/>
      <w:outlineLvl w:val="9"/>
    </w:pPr>
    <w:rPr>
      <w:rFonts w:ascii="Cambria" w:eastAsia="MS Gothic" w:hAnsi="Cambria" w:cs="Times New Roman"/>
      <w:color w:val="365F91"/>
      <w:kern w:val="0"/>
      <w:sz w:val="28"/>
      <w:szCs w:val="28"/>
      <w:lang w:val="en-US" w:eastAsia="ja-JP"/>
    </w:rPr>
  </w:style>
  <w:style w:type="paragraph" w:styleId="TOC4">
    <w:name w:val="toc 4"/>
    <w:basedOn w:val="Normal"/>
    <w:next w:val="Normal"/>
    <w:autoRedefine/>
    <w:uiPriority w:val="39"/>
    <w:rsid w:val="00051999"/>
    <w:pPr>
      <w:spacing w:before="0" w:after="0"/>
      <w:ind w:left="720"/>
    </w:pPr>
    <w:rPr>
      <w:rFonts w:asciiTheme="minorHAnsi" w:hAnsiTheme="minorHAnsi"/>
      <w:sz w:val="18"/>
      <w:szCs w:val="18"/>
    </w:rPr>
  </w:style>
  <w:style w:type="paragraph" w:styleId="TOC5">
    <w:name w:val="toc 5"/>
    <w:basedOn w:val="Normal"/>
    <w:next w:val="Normal"/>
    <w:autoRedefine/>
    <w:uiPriority w:val="39"/>
    <w:rsid w:val="00051999"/>
    <w:pPr>
      <w:spacing w:before="0" w:after="0"/>
      <w:ind w:left="960"/>
    </w:pPr>
    <w:rPr>
      <w:rFonts w:asciiTheme="minorHAnsi" w:hAnsiTheme="minorHAnsi"/>
      <w:sz w:val="18"/>
      <w:szCs w:val="18"/>
    </w:rPr>
  </w:style>
  <w:style w:type="paragraph" w:styleId="TOC6">
    <w:name w:val="toc 6"/>
    <w:basedOn w:val="Normal"/>
    <w:next w:val="Normal"/>
    <w:autoRedefine/>
    <w:uiPriority w:val="39"/>
    <w:rsid w:val="00051999"/>
    <w:pPr>
      <w:spacing w:before="0" w:after="0"/>
      <w:ind w:left="1200"/>
    </w:pPr>
    <w:rPr>
      <w:rFonts w:asciiTheme="minorHAnsi" w:hAnsiTheme="minorHAnsi"/>
      <w:sz w:val="18"/>
      <w:szCs w:val="18"/>
    </w:rPr>
  </w:style>
  <w:style w:type="paragraph" w:styleId="TOC7">
    <w:name w:val="toc 7"/>
    <w:basedOn w:val="Normal"/>
    <w:next w:val="Normal"/>
    <w:autoRedefine/>
    <w:uiPriority w:val="39"/>
    <w:rsid w:val="00051999"/>
    <w:pPr>
      <w:spacing w:before="0" w:after="0"/>
      <w:ind w:left="1440"/>
    </w:pPr>
    <w:rPr>
      <w:rFonts w:asciiTheme="minorHAnsi" w:hAnsiTheme="minorHAnsi"/>
      <w:sz w:val="18"/>
      <w:szCs w:val="18"/>
    </w:rPr>
  </w:style>
  <w:style w:type="paragraph" w:styleId="TOC8">
    <w:name w:val="toc 8"/>
    <w:basedOn w:val="Normal"/>
    <w:next w:val="Normal"/>
    <w:autoRedefine/>
    <w:uiPriority w:val="39"/>
    <w:rsid w:val="00051999"/>
    <w:pPr>
      <w:spacing w:before="0" w:after="0"/>
      <w:ind w:left="1680"/>
    </w:pPr>
    <w:rPr>
      <w:rFonts w:asciiTheme="minorHAnsi" w:hAnsiTheme="minorHAnsi"/>
      <w:sz w:val="18"/>
      <w:szCs w:val="18"/>
    </w:rPr>
  </w:style>
  <w:style w:type="paragraph" w:styleId="TOC9">
    <w:name w:val="toc 9"/>
    <w:basedOn w:val="Normal"/>
    <w:next w:val="Normal"/>
    <w:autoRedefine/>
    <w:uiPriority w:val="39"/>
    <w:rsid w:val="00051999"/>
    <w:pPr>
      <w:spacing w:before="0" w:after="0"/>
      <w:ind w:left="1920"/>
    </w:pPr>
    <w:rPr>
      <w:rFonts w:asciiTheme="minorHAnsi" w:hAnsiTheme="minorHAnsi"/>
      <w:sz w:val="18"/>
      <w:szCs w:val="18"/>
    </w:rPr>
  </w:style>
  <w:style w:type="table" w:customStyle="1" w:styleId="Blanktable">
    <w:name w:val="Blank table"/>
    <w:basedOn w:val="TableNormal"/>
    <w:uiPriority w:val="99"/>
    <w:rsid w:val="00A333FB"/>
    <w:pPr>
      <w:spacing w:before="120" w:after="240"/>
    </w:pPr>
    <w:rPr>
      <w:sz w:val="24"/>
      <w:szCs w:val="24"/>
    </w:rPr>
    <w:tblPr>
      <w:tblInd w:w="108"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744">
      <w:bodyDiv w:val="1"/>
      <w:marLeft w:val="0"/>
      <w:marRight w:val="0"/>
      <w:marTop w:val="0"/>
      <w:marBottom w:val="0"/>
      <w:divBdr>
        <w:top w:val="none" w:sz="0" w:space="0" w:color="auto"/>
        <w:left w:val="none" w:sz="0" w:space="0" w:color="auto"/>
        <w:bottom w:val="none" w:sz="0" w:space="0" w:color="auto"/>
        <w:right w:val="none" w:sz="0" w:space="0" w:color="auto"/>
      </w:divBdr>
    </w:div>
    <w:div w:id="29116802">
      <w:bodyDiv w:val="1"/>
      <w:marLeft w:val="0"/>
      <w:marRight w:val="0"/>
      <w:marTop w:val="0"/>
      <w:marBottom w:val="0"/>
      <w:divBdr>
        <w:top w:val="none" w:sz="0" w:space="0" w:color="auto"/>
        <w:left w:val="none" w:sz="0" w:space="0" w:color="auto"/>
        <w:bottom w:val="none" w:sz="0" w:space="0" w:color="auto"/>
        <w:right w:val="none" w:sz="0" w:space="0" w:color="auto"/>
      </w:divBdr>
    </w:div>
    <w:div w:id="40982144">
      <w:bodyDiv w:val="1"/>
      <w:marLeft w:val="0"/>
      <w:marRight w:val="0"/>
      <w:marTop w:val="0"/>
      <w:marBottom w:val="0"/>
      <w:divBdr>
        <w:top w:val="none" w:sz="0" w:space="0" w:color="auto"/>
        <w:left w:val="none" w:sz="0" w:space="0" w:color="auto"/>
        <w:bottom w:val="none" w:sz="0" w:space="0" w:color="auto"/>
        <w:right w:val="none" w:sz="0" w:space="0" w:color="auto"/>
      </w:divBdr>
    </w:div>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142159427">
      <w:bodyDiv w:val="1"/>
      <w:marLeft w:val="0"/>
      <w:marRight w:val="0"/>
      <w:marTop w:val="0"/>
      <w:marBottom w:val="0"/>
      <w:divBdr>
        <w:top w:val="none" w:sz="0" w:space="0" w:color="auto"/>
        <w:left w:val="none" w:sz="0" w:space="0" w:color="auto"/>
        <w:bottom w:val="none" w:sz="0" w:space="0" w:color="auto"/>
        <w:right w:val="none" w:sz="0" w:space="0" w:color="auto"/>
      </w:divBdr>
    </w:div>
    <w:div w:id="171840969">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03223">
      <w:bodyDiv w:val="1"/>
      <w:marLeft w:val="0"/>
      <w:marRight w:val="0"/>
      <w:marTop w:val="0"/>
      <w:marBottom w:val="0"/>
      <w:divBdr>
        <w:top w:val="none" w:sz="0" w:space="0" w:color="auto"/>
        <w:left w:val="none" w:sz="0" w:space="0" w:color="auto"/>
        <w:bottom w:val="none" w:sz="0" w:space="0" w:color="auto"/>
        <w:right w:val="none" w:sz="0" w:space="0" w:color="auto"/>
      </w:divBdr>
      <w:divsChild>
        <w:div w:id="2015305334">
          <w:marLeft w:val="0"/>
          <w:marRight w:val="0"/>
          <w:marTop w:val="0"/>
          <w:marBottom w:val="0"/>
          <w:divBdr>
            <w:top w:val="none" w:sz="0" w:space="0" w:color="auto"/>
            <w:left w:val="none" w:sz="0" w:space="0" w:color="auto"/>
            <w:bottom w:val="none" w:sz="0" w:space="0" w:color="auto"/>
            <w:right w:val="none" w:sz="0" w:space="0" w:color="auto"/>
          </w:divBdr>
          <w:divsChild>
            <w:div w:id="1868564927">
              <w:marLeft w:val="0"/>
              <w:marRight w:val="0"/>
              <w:marTop w:val="0"/>
              <w:marBottom w:val="0"/>
              <w:divBdr>
                <w:top w:val="none" w:sz="0" w:space="0" w:color="auto"/>
                <w:left w:val="none" w:sz="0" w:space="0" w:color="auto"/>
                <w:bottom w:val="none" w:sz="0" w:space="0" w:color="auto"/>
                <w:right w:val="none" w:sz="0" w:space="0" w:color="auto"/>
              </w:divBdr>
              <w:divsChild>
                <w:div w:id="1203438188">
                  <w:marLeft w:val="0"/>
                  <w:marRight w:val="0"/>
                  <w:marTop w:val="0"/>
                  <w:marBottom w:val="0"/>
                  <w:divBdr>
                    <w:top w:val="none" w:sz="0" w:space="0" w:color="auto"/>
                    <w:left w:val="none" w:sz="0" w:space="0" w:color="auto"/>
                    <w:bottom w:val="none" w:sz="0" w:space="0" w:color="auto"/>
                    <w:right w:val="none" w:sz="0" w:space="0" w:color="auto"/>
                  </w:divBdr>
                  <w:divsChild>
                    <w:div w:id="1642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385106535">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53212">
      <w:bodyDiv w:val="1"/>
      <w:marLeft w:val="0"/>
      <w:marRight w:val="0"/>
      <w:marTop w:val="0"/>
      <w:marBottom w:val="0"/>
      <w:divBdr>
        <w:top w:val="none" w:sz="0" w:space="0" w:color="auto"/>
        <w:left w:val="none" w:sz="0" w:space="0" w:color="auto"/>
        <w:bottom w:val="none" w:sz="0" w:space="0" w:color="auto"/>
        <w:right w:val="none" w:sz="0" w:space="0" w:color="auto"/>
      </w:divBdr>
    </w:div>
    <w:div w:id="473572858">
      <w:bodyDiv w:val="1"/>
      <w:marLeft w:val="0"/>
      <w:marRight w:val="0"/>
      <w:marTop w:val="0"/>
      <w:marBottom w:val="0"/>
      <w:divBdr>
        <w:top w:val="none" w:sz="0" w:space="0" w:color="auto"/>
        <w:left w:val="none" w:sz="0" w:space="0" w:color="auto"/>
        <w:bottom w:val="none" w:sz="0" w:space="0" w:color="auto"/>
        <w:right w:val="none" w:sz="0" w:space="0" w:color="auto"/>
      </w:divBdr>
    </w:div>
    <w:div w:id="524365108">
      <w:bodyDiv w:val="1"/>
      <w:marLeft w:val="0"/>
      <w:marRight w:val="0"/>
      <w:marTop w:val="0"/>
      <w:marBottom w:val="0"/>
      <w:divBdr>
        <w:top w:val="none" w:sz="0" w:space="0" w:color="auto"/>
        <w:left w:val="none" w:sz="0" w:space="0" w:color="auto"/>
        <w:bottom w:val="none" w:sz="0" w:space="0" w:color="auto"/>
        <w:right w:val="none" w:sz="0" w:space="0" w:color="auto"/>
      </w:divBdr>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687414524">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6329">
      <w:bodyDiv w:val="1"/>
      <w:marLeft w:val="0"/>
      <w:marRight w:val="0"/>
      <w:marTop w:val="0"/>
      <w:marBottom w:val="0"/>
      <w:divBdr>
        <w:top w:val="none" w:sz="0" w:space="0" w:color="auto"/>
        <w:left w:val="none" w:sz="0" w:space="0" w:color="auto"/>
        <w:bottom w:val="none" w:sz="0" w:space="0" w:color="auto"/>
        <w:right w:val="none" w:sz="0" w:space="0" w:color="auto"/>
      </w:divBdr>
    </w:div>
    <w:div w:id="822358198">
      <w:bodyDiv w:val="1"/>
      <w:marLeft w:val="0"/>
      <w:marRight w:val="0"/>
      <w:marTop w:val="0"/>
      <w:marBottom w:val="0"/>
      <w:divBdr>
        <w:top w:val="none" w:sz="0" w:space="0" w:color="auto"/>
        <w:left w:val="none" w:sz="0" w:space="0" w:color="auto"/>
        <w:bottom w:val="none" w:sz="0" w:space="0" w:color="auto"/>
        <w:right w:val="none" w:sz="0" w:space="0" w:color="auto"/>
      </w:divBdr>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695666">
      <w:bodyDiv w:val="1"/>
      <w:marLeft w:val="0"/>
      <w:marRight w:val="0"/>
      <w:marTop w:val="0"/>
      <w:marBottom w:val="0"/>
      <w:divBdr>
        <w:top w:val="none" w:sz="0" w:space="0" w:color="auto"/>
        <w:left w:val="none" w:sz="0" w:space="0" w:color="auto"/>
        <w:bottom w:val="none" w:sz="0" w:space="0" w:color="auto"/>
        <w:right w:val="none" w:sz="0" w:space="0" w:color="auto"/>
      </w:divBdr>
    </w:div>
    <w:div w:id="1098721822">
      <w:bodyDiv w:val="1"/>
      <w:marLeft w:val="0"/>
      <w:marRight w:val="0"/>
      <w:marTop w:val="0"/>
      <w:marBottom w:val="0"/>
      <w:divBdr>
        <w:top w:val="none" w:sz="0" w:space="0" w:color="auto"/>
        <w:left w:val="none" w:sz="0" w:space="0" w:color="auto"/>
        <w:bottom w:val="none" w:sz="0" w:space="0" w:color="auto"/>
        <w:right w:val="none" w:sz="0" w:space="0" w:color="auto"/>
      </w:divBdr>
    </w:div>
    <w:div w:id="1110201787">
      <w:bodyDiv w:val="1"/>
      <w:marLeft w:val="0"/>
      <w:marRight w:val="0"/>
      <w:marTop w:val="0"/>
      <w:marBottom w:val="0"/>
      <w:divBdr>
        <w:top w:val="none" w:sz="0" w:space="0" w:color="auto"/>
        <w:left w:val="none" w:sz="0" w:space="0" w:color="auto"/>
        <w:bottom w:val="none" w:sz="0" w:space="0" w:color="auto"/>
        <w:right w:val="none" w:sz="0" w:space="0" w:color="auto"/>
      </w:divBdr>
    </w:div>
    <w:div w:id="1126045555">
      <w:bodyDiv w:val="1"/>
      <w:marLeft w:val="0"/>
      <w:marRight w:val="0"/>
      <w:marTop w:val="0"/>
      <w:marBottom w:val="0"/>
      <w:divBdr>
        <w:top w:val="none" w:sz="0" w:space="0" w:color="auto"/>
        <w:left w:val="none" w:sz="0" w:space="0" w:color="auto"/>
        <w:bottom w:val="none" w:sz="0" w:space="0" w:color="auto"/>
        <w:right w:val="none" w:sz="0" w:space="0" w:color="auto"/>
      </w:divBdr>
    </w:div>
    <w:div w:id="1142966106">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39837380">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470087">
      <w:bodyDiv w:val="1"/>
      <w:marLeft w:val="0"/>
      <w:marRight w:val="0"/>
      <w:marTop w:val="0"/>
      <w:marBottom w:val="0"/>
      <w:divBdr>
        <w:top w:val="none" w:sz="0" w:space="0" w:color="auto"/>
        <w:left w:val="none" w:sz="0" w:space="0" w:color="auto"/>
        <w:bottom w:val="none" w:sz="0" w:space="0" w:color="auto"/>
        <w:right w:val="none" w:sz="0" w:space="0" w:color="auto"/>
      </w:divBdr>
    </w:div>
    <w:div w:id="1526210121">
      <w:bodyDiv w:val="1"/>
      <w:marLeft w:val="0"/>
      <w:marRight w:val="0"/>
      <w:marTop w:val="0"/>
      <w:marBottom w:val="0"/>
      <w:divBdr>
        <w:top w:val="none" w:sz="0" w:space="0" w:color="auto"/>
        <w:left w:val="none" w:sz="0" w:space="0" w:color="auto"/>
        <w:bottom w:val="none" w:sz="0" w:space="0" w:color="auto"/>
        <w:right w:val="none" w:sz="0" w:space="0" w:color="auto"/>
      </w:divBdr>
    </w:div>
    <w:div w:id="1549880240">
      <w:bodyDiv w:val="1"/>
      <w:marLeft w:val="0"/>
      <w:marRight w:val="0"/>
      <w:marTop w:val="0"/>
      <w:marBottom w:val="0"/>
      <w:divBdr>
        <w:top w:val="none" w:sz="0" w:space="0" w:color="auto"/>
        <w:left w:val="none" w:sz="0" w:space="0" w:color="auto"/>
        <w:bottom w:val="none" w:sz="0" w:space="0" w:color="auto"/>
        <w:right w:val="none" w:sz="0" w:space="0" w:color="auto"/>
      </w:divBdr>
    </w:div>
    <w:div w:id="1647975404">
      <w:bodyDiv w:val="1"/>
      <w:marLeft w:val="0"/>
      <w:marRight w:val="0"/>
      <w:marTop w:val="0"/>
      <w:marBottom w:val="0"/>
      <w:divBdr>
        <w:top w:val="none" w:sz="0" w:space="0" w:color="auto"/>
        <w:left w:val="none" w:sz="0" w:space="0" w:color="auto"/>
        <w:bottom w:val="none" w:sz="0" w:space="0" w:color="auto"/>
        <w:right w:val="none" w:sz="0" w:space="0" w:color="auto"/>
      </w:divBdr>
    </w:div>
    <w:div w:id="1812943295">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 w:id="207389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showLegendKey val="0"/>
            <c:showVal val="0"/>
            <c:showCatName val="0"/>
            <c:showSerName val="0"/>
            <c:showPercent val="1"/>
            <c:showBubbleSize val="0"/>
            <c:showLeaderLines val="1"/>
          </c:dLbls>
          <c:cat>
            <c:strRef>
              <c:f>Sheet1!$D$11:$G$11</c:f>
              <c:strCache>
                <c:ptCount val="4"/>
                <c:pt idx="0">
                  <c:v>Status quo</c:v>
                </c:pt>
                <c:pt idx="1">
                  <c:v>Per machine payment</c:v>
                </c:pt>
                <c:pt idx="2">
                  <c:v>Commission based payment</c:v>
                </c:pt>
                <c:pt idx="3">
                  <c:v>Not specified</c:v>
                </c:pt>
              </c:strCache>
            </c:strRef>
          </c:cat>
          <c:val>
            <c:numRef>
              <c:f>Sheet1!$D$12:$G$12</c:f>
              <c:numCache>
                <c:formatCode>General</c:formatCode>
                <c:ptCount val="4"/>
                <c:pt idx="0">
                  <c:v>7</c:v>
                </c:pt>
                <c:pt idx="1">
                  <c:v>9</c:v>
                </c:pt>
                <c:pt idx="2">
                  <c:v>62</c:v>
                </c:pt>
                <c:pt idx="3">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AECE-5016-48CA-8A37-DB611C8D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9F926F99</Template>
  <TotalTime>0</TotalTime>
  <Pages>32</Pages>
  <Words>9718</Words>
  <Characters>52228</Characters>
  <Application>Microsoft Office Word</Application>
  <DocSecurity>0</DocSecurity>
  <Lines>435</Lines>
  <Paragraphs>123</Paragraphs>
  <ScaleCrop>false</ScaleCrop>
  <Company/>
  <LinksUpToDate>false</LinksUpToDate>
  <CharactersWithSpaces>61823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2016-05-12T03:28:00Z</dcterms:created>
  <dcterms:modified xsi:type="dcterms:W3CDTF">2016-05-12T03:28:00Z</dcterms:modified>
</cp:coreProperties>
</file>