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91E29" w14:textId="77777777" w:rsidR="00610172" w:rsidRDefault="00610172" w:rsidP="009E2A27">
      <w:pPr>
        <w:pStyle w:val="Title"/>
        <w:jc w:val="left"/>
      </w:pPr>
    </w:p>
    <w:p w14:paraId="773AEF19" w14:textId="2B09ECF6" w:rsidR="009119BA" w:rsidRPr="00610172" w:rsidRDefault="4FEF2642" w:rsidP="009E2A27">
      <w:pPr>
        <w:pStyle w:val="Title"/>
        <w:jc w:val="left"/>
        <w:rPr>
          <w:sz w:val="96"/>
          <w:szCs w:val="96"/>
        </w:rPr>
      </w:pPr>
      <w:r w:rsidRPr="4FEF2642">
        <w:rPr>
          <w:sz w:val="96"/>
          <w:szCs w:val="96"/>
        </w:rPr>
        <w:t xml:space="preserve">Class 4 Gambling Consultation: </w:t>
      </w:r>
    </w:p>
    <w:p w14:paraId="0CC2F17E" w14:textId="77777777" w:rsidR="00107747" w:rsidRDefault="00107747" w:rsidP="009E2A27">
      <w:pPr>
        <w:pStyle w:val="Title"/>
        <w:jc w:val="left"/>
      </w:pPr>
    </w:p>
    <w:p w14:paraId="773AEF1A" w14:textId="2F525198" w:rsidR="00115DD9" w:rsidRPr="00107747" w:rsidRDefault="008C74AC" w:rsidP="009E2A27">
      <w:pPr>
        <w:pStyle w:val="Title"/>
        <w:jc w:val="left"/>
        <w:rPr>
          <w:sz w:val="72"/>
          <w:szCs w:val="72"/>
        </w:rPr>
      </w:pPr>
      <w:r>
        <w:rPr>
          <w:sz w:val="72"/>
          <w:szCs w:val="72"/>
        </w:rPr>
        <w:t>B</w:t>
      </w:r>
      <w:r w:rsidR="00CF66AF">
        <w:rPr>
          <w:sz w:val="72"/>
          <w:szCs w:val="72"/>
        </w:rPr>
        <w:t>est</w:t>
      </w:r>
      <w:r w:rsidR="4FEF2642" w:rsidRPr="4FEF2642">
        <w:rPr>
          <w:sz w:val="72"/>
          <w:szCs w:val="72"/>
        </w:rPr>
        <w:t xml:space="preserve"> </w:t>
      </w:r>
      <w:r>
        <w:rPr>
          <w:sz w:val="72"/>
          <w:szCs w:val="72"/>
        </w:rPr>
        <w:t>P</w:t>
      </w:r>
      <w:r w:rsidR="001020CA">
        <w:rPr>
          <w:sz w:val="72"/>
          <w:szCs w:val="72"/>
        </w:rPr>
        <w:t>ractice</w:t>
      </w:r>
      <w:r w:rsidR="4FEF2642" w:rsidRPr="4FEF2642">
        <w:rPr>
          <w:sz w:val="72"/>
          <w:szCs w:val="72"/>
        </w:rPr>
        <w:t xml:space="preserve"> </w:t>
      </w:r>
      <w:r w:rsidR="001020CA">
        <w:rPr>
          <w:sz w:val="72"/>
          <w:szCs w:val="72"/>
        </w:rPr>
        <w:t>(Three Year)</w:t>
      </w:r>
      <w:r w:rsidR="4FEF2642" w:rsidRPr="4FEF2642">
        <w:rPr>
          <w:sz w:val="72"/>
          <w:szCs w:val="72"/>
        </w:rPr>
        <w:t xml:space="preserve"> Licence</w:t>
      </w:r>
    </w:p>
    <w:p w14:paraId="773AEF1B" w14:textId="77777777" w:rsidR="00115DD9" w:rsidRDefault="00115DD9" w:rsidP="00990BF3">
      <w:pPr>
        <w:pStyle w:val="Title"/>
        <w:jc w:val="both"/>
      </w:pPr>
      <w:r>
        <w:t xml:space="preserve"> </w:t>
      </w:r>
    </w:p>
    <w:p w14:paraId="773AEF1C" w14:textId="77777777" w:rsidR="00115DD9" w:rsidRDefault="4FEF2642" w:rsidP="00303C4C">
      <w:pPr>
        <w:pStyle w:val="Title2"/>
      </w:pPr>
      <w:r>
        <w:t>Department of Internal Affairs</w:t>
      </w:r>
    </w:p>
    <w:p w14:paraId="773AEF1D" w14:textId="77777777" w:rsidR="00115DD9" w:rsidRDefault="4FEF2642" w:rsidP="00303C4C">
      <w:pPr>
        <w:pStyle w:val="Title2"/>
      </w:pPr>
      <w:r>
        <w:t>Te Tari Taiwhenua</w:t>
      </w:r>
    </w:p>
    <w:p w14:paraId="673AFE04" w14:textId="77777777" w:rsidR="00107747" w:rsidRDefault="00107747" w:rsidP="00303C4C">
      <w:pPr>
        <w:pStyle w:val="Title2"/>
      </w:pPr>
    </w:p>
    <w:p w14:paraId="773AEF1E" w14:textId="46631D5F" w:rsidR="00115DD9" w:rsidRDefault="00CF66AF" w:rsidP="00303C4C">
      <w:pPr>
        <w:pStyle w:val="Title2"/>
      </w:pPr>
      <w:r>
        <w:t xml:space="preserve">7 </w:t>
      </w:r>
      <w:r w:rsidR="4FEF2642">
        <w:t xml:space="preserve">April </w:t>
      </w:r>
      <w:r>
        <w:t xml:space="preserve">– 19 May </w:t>
      </w:r>
      <w:r w:rsidR="4FEF2642">
        <w:t>2017</w:t>
      </w:r>
    </w:p>
    <w:p w14:paraId="106E8FDA" w14:textId="77777777" w:rsidR="00952F7B" w:rsidRDefault="00952F7B" w:rsidP="00990BF3">
      <w:pPr>
        <w:keepLines w:val="0"/>
        <w:jc w:val="both"/>
      </w:pPr>
    </w:p>
    <w:p w14:paraId="69511196" w14:textId="08E277C4" w:rsidR="00952F7B" w:rsidRDefault="00952F7B" w:rsidP="00CE18B5">
      <w:pPr>
        <w:keepLines w:val="0"/>
        <w:tabs>
          <w:tab w:val="left" w:pos="7893"/>
        </w:tabs>
        <w:jc w:val="both"/>
      </w:pPr>
      <w:r>
        <w:rPr>
          <w:noProof/>
          <w:lang w:eastAsia="en-NZ"/>
        </w:rPr>
        <w:drawing>
          <wp:anchor distT="0" distB="0" distL="114300" distR="114300" simplePos="0" relativeHeight="251658240" behindDoc="0" locked="1" layoutInCell="1" allowOverlap="1" wp14:anchorId="7FCF51C3" wp14:editId="7D2418F0">
            <wp:simplePos x="0" y="0"/>
            <wp:positionH relativeFrom="column">
              <wp:posOffset>4812665</wp:posOffset>
            </wp:positionH>
            <wp:positionV relativeFrom="page">
              <wp:posOffset>8482965</wp:posOffset>
            </wp:positionV>
            <wp:extent cx="1296035" cy="1145540"/>
            <wp:effectExtent l="0" t="0" r="0" b="0"/>
            <wp:wrapSquare wrapText="bothSides"/>
            <wp:docPr id="68" name="Picture 68" descr="COA_watermark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_watermark_cop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603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8B5">
        <w:tab/>
      </w:r>
    </w:p>
    <w:p w14:paraId="38EAA1BE" w14:textId="77777777" w:rsidR="00952F7B" w:rsidRDefault="00952F7B" w:rsidP="00990BF3">
      <w:pPr>
        <w:keepLines w:val="0"/>
        <w:jc w:val="both"/>
      </w:pPr>
    </w:p>
    <w:p w14:paraId="773AEF1F" w14:textId="77777777" w:rsidR="00115DD9" w:rsidRPr="00932C42" w:rsidRDefault="00115DD9" w:rsidP="00990BF3">
      <w:pPr>
        <w:keepLines w:val="0"/>
        <w:jc w:val="both"/>
        <w:rPr>
          <w:b/>
          <w:color w:val="1F546B"/>
          <w:sz w:val="52"/>
          <w:szCs w:val="80"/>
        </w:rPr>
      </w:pPr>
      <w:r>
        <w:br w:type="page"/>
      </w:r>
    </w:p>
    <w:bookmarkStart w:id="0" w:name="_Toc437434761" w:displacedByCustomXml="next"/>
    <w:sdt>
      <w:sdtPr>
        <w:rPr>
          <w:b w:val="0"/>
          <w:color w:val="auto"/>
          <w:kern w:val="0"/>
          <w:sz w:val="24"/>
        </w:rPr>
        <w:id w:val="-52243559"/>
        <w:docPartObj>
          <w:docPartGallery w:val="Table of Contents"/>
          <w:docPartUnique/>
        </w:docPartObj>
      </w:sdtPr>
      <w:sdtEndPr>
        <w:rPr>
          <w:noProof/>
        </w:rPr>
      </w:sdtEndPr>
      <w:sdtContent>
        <w:p w14:paraId="5520C899" w14:textId="30566BC8" w:rsidR="005B5FA1" w:rsidRDefault="005B5FA1" w:rsidP="001020CA">
          <w:pPr>
            <w:pStyle w:val="NotforContentsheading1"/>
          </w:pPr>
          <w:r>
            <w:t>Table of Contents</w:t>
          </w:r>
        </w:p>
        <w:p w14:paraId="56B8B3DD" w14:textId="77777777" w:rsidR="004E1467" w:rsidRDefault="005B5FA1">
          <w:pPr>
            <w:pStyle w:val="TOC1"/>
            <w:tabs>
              <w:tab w:val="left" w:pos="425"/>
            </w:tabs>
            <w:rPr>
              <w:rFonts w:asciiTheme="minorHAnsi" w:eastAsiaTheme="minorEastAsia" w:hAnsiTheme="minorHAnsi" w:cstheme="minorBidi"/>
              <w:b w:val="0"/>
              <w:noProof/>
              <w:color w:val="auto"/>
              <w:sz w:val="22"/>
              <w:szCs w:val="22"/>
              <w:lang w:eastAsia="en-NZ"/>
            </w:rPr>
          </w:pPr>
          <w:r>
            <w:fldChar w:fldCharType="begin"/>
          </w:r>
          <w:r>
            <w:instrText xml:space="preserve"> TOC \o "1-3" \h \z \u </w:instrText>
          </w:r>
          <w:r>
            <w:fldChar w:fldCharType="separate"/>
          </w:r>
          <w:hyperlink w:anchor="_Toc479253021" w:history="1">
            <w:r w:rsidR="004E1467" w:rsidRPr="00015AF5">
              <w:rPr>
                <w:rStyle w:val="Hyperlink"/>
                <w:noProof/>
              </w:rPr>
              <w:t>1.</w:t>
            </w:r>
            <w:r w:rsidR="004E1467">
              <w:rPr>
                <w:rFonts w:asciiTheme="minorHAnsi" w:eastAsiaTheme="minorEastAsia" w:hAnsiTheme="minorHAnsi" w:cstheme="minorBidi"/>
                <w:b w:val="0"/>
                <w:noProof/>
                <w:color w:val="auto"/>
                <w:sz w:val="22"/>
                <w:szCs w:val="22"/>
                <w:lang w:eastAsia="en-NZ"/>
              </w:rPr>
              <w:tab/>
            </w:r>
            <w:r w:rsidR="004E1467" w:rsidRPr="00015AF5">
              <w:rPr>
                <w:rStyle w:val="Hyperlink"/>
                <w:noProof/>
              </w:rPr>
              <w:t>What is this document about?</w:t>
            </w:r>
            <w:r w:rsidR="004E1467">
              <w:rPr>
                <w:noProof/>
                <w:webHidden/>
              </w:rPr>
              <w:tab/>
            </w:r>
            <w:r w:rsidR="004E1467">
              <w:rPr>
                <w:noProof/>
                <w:webHidden/>
              </w:rPr>
              <w:fldChar w:fldCharType="begin"/>
            </w:r>
            <w:r w:rsidR="004E1467">
              <w:rPr>
                <w:noProof/>
                <w:webHidden/>
              </w:rPr>
              <w:instrText xml:space="preserve"> PAGEREF _Toc479253021 \h </w:instrText>
            </w:r>
            <w:r w:rsidR="004E1467">
              <w:rPr>
                <w:noProof/>
                <w:webHidden/>
              </w:rPr>
            </w:r>
            <w:r w:rsidR="004E1467">
              <w:rPr>
                <w:noProof/>
                <w:webHidden/>
              </w:rPr>
              <w:fldChar w:fldCharType="separate"/>
            </w:r>
            <w:r w:rsidR="00342104">
              <w:rPr>
                <w:noProof/>
                <w:webHidden/>
              </w:rPr>
              <w:t>4</w:t>
            </w:r>
            <w:r w:rsidR="004E1467">
              <w:rPr>
                <w:noProof/>
                <w:webHidden/>
              </w:rPr>
              <w:fldChar w:fldCharType="end"/>
            </w:r>
          </w:hyperlink>
        </w:p>
        <w:p w14:paraId="06D913F5" w14:textId="77777777" w:rsidR="004E1467" w:rsidRDefault="00F733E4">
          <w:pPr>
            <w:pStyle w:val="TOC2"/>
            <w:rPr>
              <w:rFonts w:asciiTheme="minorHAnsi" w:eastAsiaTheme="minorEastAsia" w:hAnsiTheme="minorHAnsi" w:cstheme="minorBidi"/>
              <w:sz w:val="22"/>
              <w:szCs w:val="22"/>
              <w:lang w:eastAsia="en-NZ"/>
            </w:rPr>
          </w:pPr>
          <w:hyperlink w:anchor="_Toc479253022" w:history="1">
            <w:r w:rsidR="004E1467" w:rsidRPr="00015AF5">
              <w:rPr>
                <w:rStyle w:val="Hyperlink"/>
              </w:rPr>
              <w:t>Who is this document for?</w:t>
            </w:r>
            <w:r w:rsidR="004E1467">
              <w:rPr>
                <w:webHidden/>
              </w:rPr>
              <w:tab/>
            </w:r>
            <w:r w:rsidR="004E1467">
              <w:rPr>
                <w:webHidden/>
              </w:rPr>
              <w:fldChar w:fldCharType="begin"/>
            </w:r>
            <w:r w:rsidR="004E1467">
              <w:rPr>
                <w:webHidden/>
              </w:rPr>
              <w:instrText xml:space="preserve"> PAGEREF _Toc479253022 \h </w:instrText>
            </w:r>
            <w:r w:rsidR="004E1467">
              <w:rPr>
                <w:webHidden/>
              </w:rPr>
            </w:r>
            <w:r w:rsidR="004E1467">
              <w:rPr>
                <w:webHidden/>
              </w:rPr>
              <w:fldChar w:fldCharType="separate"/>
            </w:r>
            <w:r w:rsidR="00342104">
              <w:rPr>
                <w:webHidden/>
              </w:rPr>
              <w:t>4</w:t>
            </w:r>
            <w:r w:rsidR="004E1467">
              <w:rPr>
                <w:webHidden/>
              </w:rPr>
              <w:fldChar w:fldCharType="end"/>
            </w:r>
          </w:hyperlink>
        </w:p>
        <w:p w14:paraId="50DF5C58" w14:textId="77777777" w:rsidR="004E1467" w:rsidRDefault="00F733E4">
          <w:pPr>
            <w:pStyle w:val="TOC2"/>
            <w:rPr>
              <w:rFonts w:asciiTheme="minorHAnsi" w:eastAsiaTheme="minorEastAsia" w:hAnsiTheme="minorHAnsi" w:cstheme="minorBidi"/>
              <w:sz w:val="22"/>
              <w:szCs w:val="22"/>
              <w:lang w:eastAsia="en-NZ"/>
            </w:rPr>
          </w:pPr>
          <w:hyperlink w:anchor="_Toc479253023" w:history="1">
            <w:r w:rsidR="004E1467" w:rsidRPr="00015AF5">
              <w:rPr>
                <w:rStyle w:val="Hyperlink"/>
              </w:rPr>
              <w:t>How does licensing work under the Act?</w:t>
            </w:r>
            <w:r w:rsidR="004E1467">
              <w:rPr>
                <w:webHidden/>
              </w:rPr>
              <w:tab/>
            </w:r>
            <w:r w:rsidR="004E1467">
              <w:rPr>
                <w:webHidden/>
              </w:rPr>
              <w:fldChar w:fldCharType="begin"/>
            </w:r>
            <w:r w:rsidR="004E1467">
              <w:rPr>
                <w:webHidden/>
              </w:rPr>
              <w:instrText xml:space="preserve"> PAGEREF _Toc479253023 \h </w:instrText>
            </w:r>
            <w:r w:rsidR="004E1467">
              <w:rPr>
                <w:webHidden/>
              </w:rPr>
            </w:r>
            <w:r w:rsidR="004E1467">
              <w:rPr>
                <w:webHidden/>
              </w:rPr>
              <w:fldChar w:fldCharType="separate"/>
            </w:r>
            <w:r w:rsidR="00342104">
              <w:rPr>
                <w:webHidden/>
              </w:rPr>
              <w:t>5</w:t>
            </w:r>
            <w:r w:rsidR="004E1467">
              <w:rPr>
                <w:webHidden/>
              </w:rPr>
              <w:fldChar w:fldCharType="end"/>
            </w:r>
          </w:hyperlink>
        </w:p>
        <w:p w14:paraId="23E67A9B" w14:textId="77777777" w:rsidR="004E1467" w:rsidRDefault="00F733E4">
          <w:pPr>
            <w:pStyle w:val="TOC3"/>
            <w:rPr>
              <w:rFonts w:asciiTheme="minorHAnsi" w:eastAsiaTheme="minorEastAsia" w:hAnsiTheme="minorHAnsi" w:cstheme="minorBidi"/>
              <w:sz w:val="22"/>
              <w:szCs w:val="22"/>
              <w:lang w:eastAsia="en-NZ"/>
            </w:rPr>
          </w:pPr>
          <w:hyperlink w:anchor="_Toc479253024" w:history="1">
            <w:r w:rsidR="004E1467" w:rsidRPr="00015AF5">
              <w:rPr>
                <w:rStyle w:val="Hyperlink"/>
              </w:rPr>
              <w:t>The society or club is the licence holder</w:t>
            </w:r>
            <w:r w:rsidR="004E1467">
              <w:rPr>
                <w:webHidden/>
              </w:rPr>
              <w:tab/>
            </w:r>
            <w:r w:rsidR="004E1467">
              <w:rPr>
                <w:webHidden/>
              </w:rPr>
              <w:fldChar w:fldCharType="begin"/>
            </w:r>
            <w:r w:rsidR="004E1467">
              <w:rPr>
                <w:webHidden/>
              </w:rPr>
              <w:instrText xml:space="preserve"> PAGEREF _Toc479253024 \h </w:instrText>
            </w:r>
            <w:r w:rsidR="004E1467">
              <w:rPr>
                <w:webHidden/>
              </w:rPr>
            </w:r>
            <w:r w:rsidR="004E1467">
              <w:rPr>
                <w:webHidden/>
              </w:rPr>
              <w:fldChar w:fldCharType="separate"/>
            </w:r>
            <w:r w:rsidR="00342104">
              <w:rPr>
                <w:webHidden/>
              </w:rPr>
              <w:t>5</w:t>
            </w:r>
            <w:r w:rsidR="004E1467">
              <w:rPr>
                <w:webHidden/>
              </w:rPr>
              <w:fldChar w:fldCharType="end"/>
            </w:r>
          </w:hyperlink>
        </w:p>
        <w:p w14:paraId="5BFA4F98" w14:textId="77777777" w:rsidR="004E1467" w:rsidRDefault="00F733E4">
          <w:pPr>
            <w:pStyle w:val="TOC2"/>
            <w:rPr>
              <w:rFonts w:asciiTheme="minorHAnsi" w:eastAsiaTheme="minorEastAsia" w:hAnsiTheme="minorHAnsi" w:cstheme="minorBidi"/>
              <w:sz w:val="22"/>
              <w:szCs w:val="22"/>
              <w:lang w:eastAsia="en-NZ"/>
            </w:rPr>
          </w:pPr>
          <w:hyperlink w:anchor="_Toc479253025" w:history="1">
            <w:r w:rsidR="004E1467" w:rsidRPr="00015AF5">
              <w:rPr>
                <w:rStyle w:val="Hyperlink"/>
              </w:rPr>
              <w:t>How will providing your feedback help?</w:t>
            </w:r>
            <w:r w:rsidR="004E1467">
              <w:rPr>
                <w:webHidden/>
              </w:rPr>
              <w:tab/>
            </w:r>
            <w:r w:rsidR="004E1467">
              <w:rPr>
                <w:webHidden/>
              </w:rPr>
              <w:fldChar w:fldCharType="begin"/>
            </w:r>
            <w:r w:rsidR="004E1467">
              <w:rPr>
                <w:webHidden/>
              </w:rPr>
              <w:instrText xml:space="preserve"> PAGEREF _Toc479253025 \h </w:instrText>
            </w:r>
            <w:r w:rsidR="004E1467">
              <w:rPr>
                <w:webHidden/>
              </w:rPr>
            </w:r>
            <w:r w:rsidR="004E1467">
              <w:rPr>
                <w:webHidden/>
              </w:rPr>
              <w:fldChar w:fldCharType="separate"/>
            </w:r>
            <w:r w:rsidR="00342104">
              <w:rPr>
                <w:webHidden/>
              </w:rPr>
              <w:t>6</w:t>
            </w:r>
            <w:r w:rsidR="004E1467">
              <w:rPr>
                <w:webHidden/>
              </w:rPr>
              <w:fldChar w:fldCharType="end"/>
            </w:r>
          </w:hyperlink>
        </w:p>
        <w:p w14:paraId="2CCC5868" w14:textId="77777777" w:rsidR="004E1467" w:rsidRDefault="00F733E4">
          <w:pPr>
            <w:pStyle w:val="TOC3"/>
            <w:rPr>
              <w:rFonts w:asciiTheme="minorHAnsi" w:eastAsiaTheme="minorEastAsia" w:hAnsiTheme="minorHAnsi" w:cstheme="minorBidi"/>
              <w:sz w:val="22"/>
              <w:szCs w:val="22"/>
              <w:lang w:eastAsia="en-NZ"/>
            </w:rPr>
          </w:pPr>
          <w:hyperlink w:anchor="_Toc479253026" w:history="1">
            <w:r w:rsidR="004E1467" w:rsidRPr="00015AF5">
              <w:rPr>
                <w:rStyle w:val="Hyperlink"/>
              </w:rPr>
              <w:t>Relevant legislation</w:t>
            </w:r>
            <w:r w:rsidR="004E1467">
              <w:rPr>
                <w:webHidden/>
              </w:rPr>
              <w:tab/>
            </w:r>
            <w:r w:rsidR="004E1467">
              <w:rPr>
                <w:webHidden/>
              </w:rPr>
              <w:fldChar w:fldCharType="begin"/>
            </w:r>
            <w:r w:rsidR="004E1467">
              <w:rPr>
                <w:webHidden/>
              </w:rPr>
              <w:instrText xml:space="preserve"> PAGEREF _Toc479253026 \h </w:instrText>
            </w:r>
            <w:r w:rsidR="004E1467">
              <w:rPr>
                <w:webHidden/>
              </w:rPr>
            </w:r>
            <w:r w:rsidR="004E1467">
              <w:rPr>
                <w:webHidden/>
              </w:rPr>
              <w:fldChar w:fldCharType="separate"/>
            </w:r>
            <w:r w:rsidR="00342104">
              <w:rPr>
                <w:webHidden/>
              </w:rPr>
              <w:t>6</w:t>
            </w:r>
            <w:r w:rsidR="004E1467">
              <w:rPr>
                <w:webHidden/>
              </w:rPr>
              <w:fldChar w:fldCharType="end"/>
            </w:r>
          </w:hyperlink>
        </w:p>
        <w:p w14:paraId="36684D9F" w14:textId="77777777" w:rsidR="004E1467" w:rsidRDefault="00F733E4">
          <w:pPr>
            <w:pStyle w:val="TOC2"/>
            <w:rPr>
              <w:rFonts w:asciiTheme="minorHAnsi" w:eastAsiaTheme="minorEastAsia" w:hAnsiTheme="minorHAnsi" w:cstheme="minorBidi"/>
              <w:sz w:val="22"/>
              <w:szCs w:val="22"/>
              <w:lang w:eastAsia="en-NZ"/>
            </w:rPr>
          </w:pPr>
          <w:hyperlink w:anchor="_Toc479253027" w:history="1">
            <w:r w:rsidR="004E1467" w:rsidRPr="00015AF5">
              <w:rPr>
                <w:rStyle w:val="Hyperlink"/>
              </w:rPr>
              <w:t>Sending us your submission</w:t>
            </w:r>
            <w:r w:rsidR="004E1467">
              <w:rPr>
                <w:webHidden/>
              </w:rPr>
              <w:tab/>
            </w:r>
            <w:r w:rsidR="004E1467">
              <w:rPr>
                <w:webHidden/>
              </w:rPr>
              <w:fldChar w:fldCharType="begin"/>
            </w:r>
            <w:r w:rsidR="004E1467">
              <w:rPr>
                <w:webHidden/>
              </w:rPr>
              <w:instrText xml:space="preserve"> PAGEREF _Toc479253027 \h </w:instrText>
            </w:r>
            <w:r w:rsidR="004E1467">
              <w:rPr>
                <w:webHidden/>
              </w:rPr>
            </w:r>
            <w:r w:rsidR="004E1467">
              <w:rPr>
                <w:webHidden/>
              </w:rPr>
              <w:fldChar w:fldCharType="separate"/>
            </w:r>
            <w:r w:rsidR="00342104">
              <w:rPr>
                <w:webHidden/>
              </w:rPr>
              <w:t>7</w:t>
            </w:r>
            <w:r w:rsidR="004E1467">
              <w:rPr>
                <w:webHidden/>
              </w:rPr>
              <w:fldChar w:fldCharType="end"/>
            </w:r>
          </w:hyperlink>
        </w:p>
        <w:p w14:paraId="5A769D4F" w14:textId="77777777" w:rsidR="004E1467" w:rsidRDefault="00F733E4">
          <w:pPr>
            <w:pStyle w:val="TOC1"/>
            <w:tabs>
              <w:tab w:val="left" w:pos="425"/>
            </w:tabs>
            <w:rPr>
              <w:rFonts w:asciiTheme="minorHAnsi" w:eastAsiaTheme="minorEastAsia" w:hAnsiTheme="minorHAnsi" w:cstheme="minorBidi"/>
              <w:b w:val="0"/>
              <w:noProof/>
              <w:color w:val="auto"/>
              <w:sz w:val="22"/>
              <w:szCs w:val="22"/>
              <w:lang w:eastAsia="en-NZ"/>
            </w:rPr>
          </w:pPr>
          <w:hyperlink w:anchor="_Toc479253028" w:history="1">
            <w:r w:rsidR="004E1467" w:rsidRPr="00015AF5">
              <w:rPr>
                <w:rStyle w:val="Hyperlink"/>
                <w:noProof/>
              </w:rPr>
              <w:t>2.</w:t>
            </w:r>
            <w:r w:rsidR="004E1467">
              <w:rPr>
                <w:rFonts w:asciiTheme="minorHAnsi" w:eastAsiaTheme="minorEastAsia" w:hAnsiTheme="minorHAnsi" w:cstheme="minorBidi"/>
                <w:b w:val="0"/>
                <w:noProof/>
                <w:color w:val="auto"/>
                <w:sz w:val="22"/>
                <w:szCs w:val="22"/>
                <w:lang w:eastAsia="en-NZ"/>
              </w:rPr>
              <w:tab/>
            </w:r>
            <w:r w:rsidR="004E1467" w:rsidRPr="00015AF5">
              <w:rPr>
                <w:rStyle w:val="Hyperlink"/>
                <w:noProof/>
              </w:rPr>
              <w:t>What is best practice?</w:t>
            </w:r>
            <w:r w:rsidR="004E1467">
              <w:rPr>
                <w:noProof/>
                <w:webHidden/>
              </w:rPr>
              <w:tab/>
            </w:r>
            <w:r w:rsidR="004E1467">
              <w:rPr>
                <w:noProof/>
                <w:webHidden/>
              </w:rPr>
              <w:fldChar w:fldCharType="begin"/>
            </w:r>
            <w:r w:rsidR="004E1467">
              <w:rPr>
                <w:noProof/>
                <w:webHidden/>
              </w:rPr>
              <w:instrText xml:space="preserve"> PAGEREF _Toc479253028 \h </w:instrText>
            </w:r>
            <w:r w:rsidR="004E1467">
              <w:rPr>
                <w:noProof/>
                <w:webHidden/>
              </w:rPr>
            </w:r>
            <w:r w:rsidR="004E1467">
              <w:rPr>
                <w:noProof/>
                <w:webHidden/>
              </w:rPr>
              <w:fldChar w:fldCharType="separate"/>
            </w:r>
            <w:r w:rsidR="00342104">
              <w:rPr>
                <w:noProof/>
                <w:webHidden/>
              </w:rPr>
              <w:t>8</w:t>
            </w:r>
            <w:r w:rsidR="004E1467">
              <w:rPr>
                <w:noProof/>
                <w:webHidden/>
              </w:rPr>
              <w:fldChar w:fldCharType="end"/>
            </w:r>
          </w:hyperlink>
        </w:p>
        <w:p w14:paraId="137DC3A8" w14:textId="77777777" w:rsidR="004E1467" w:rsidRDefault="00F733E4">
          <w:pPr>
            <w:pStyle w:val="TOC3"/>
            <w:rPr>
              <w:rFonts w:asciiTheme="minorHAnsi" w:eastAsiaTheme="minorEastAsia" w:hAnsiTheme="minorHAnsi" w:cstheme="minorBidi"/>
              <w:sz w:val="22"/>
              <w:szCs w:val="22"/>
              <w:lang w:eastAsia="en-NZ"/>
            </w:rPr>
          </w:pPr>
          <w:hyperlink w:anchor="_Toc479253029" w:history="1">
            <w:r w:rsidR="004E1467" w:rsidRPr="00015AF5">
              <w:rPr>
                <w:rStyle w:val="Hyperlink"/>
              </w:rPr>
              <w:t>What does best practice mean?</w:t>
            </w:r>
            <w:r w:rsidR="004E1467">
              <w:rPr>
                <w:webHidden/>
              </w:rPr>
              <w:tab/>
            </w:r>
            <w:r w:rsidR="004E1467">
              <w:rPr>
                <w:webHidden/>
              </w:rPr>
              <w:fldChar w:fldCharType="begin"/>
            </w:r>
            <w:r w:rsidR="004E1467">
              <w:rPr>
                <w:webHidden/>
              </w:rPr>
              <w:instrText xml:space="preserve"> PAGEREF _Toc479253029 \h </w:instrText>
            </w:r>
            <w:r w:rsidR="004E1467">
              <w:rPr>
                <w:webHidden/>
              </w:rPr>
            </w:r>
            <w:r w:rsidR="004E1467">
              <w:rPr>
                <w:webHidden/>
              </w:rPr>
              <w:fldChar w:fldCharType="separate"/>
            </w:r>
            <w:r w:rsidR="00342104">
              <w:rPr>
                <w:webHidden/>
              </w:rPr>
              <w:t>8</w:t>
            </w:r>
            <w:r w:rsidR="004E1467">
              <w:rPr>
                <w:webHidden/>
              </w:rPr>
              <w:fldChar w:fldCharType="end"/>
            </w:r>
          </w:hyperlink>
        </w:p>
        <w:p w14:paraId="5AC7C358" w14:textId="77777777" w:rsidR="004E1467" w:rsidRDefault="00F733E4">
          <w:pPr>
            <w:pStyle w:val="TOC3"/>
            <w:rPr>
              <w:rFonts w:asciiTheme="minorHAnsi" w:eastAsiaTheme="minorEastAsia" w:hAnsiTheme="minorHAnsi" w:cstheme="minorBidi"/>
              <w:sz w:val="22"/>
              <w:szCs w:val="22"/>
              <w:lang w:eastAsia="en-NZ"/>
            </w:rPr>
          </w:pPr>
          <w:hyperlink w:anchor="_Toc479253030" w:history="1">
            <w:r w:rsidR="004E1467" w:rsidRPr="00015AF5">
              <w:rPr>
                <w:rStyle w:val="Hyperlink"/>
              </w:rPr>
              <w:t>What are the outcomes we want from best practice?</w:t>
            </w:r>
            <w:r w:rsidR="004E1467">
              <w:rPr>
                <w:webHidden/>
              </w:rPr>
              <w:tab/>
            </w:r>
            <w:r w:rsidR="004E1467">
              <w:rPr>
                <w:webHidden/>
              </w:rPr>
              <w:fldChar w:fldCharType="begin"/>
            </w:r>
            <w:r w:rsidR="004E1467">
              <w:rPr>
                <w:webHidden/>
              </w:rPr>
              <w:instrText xml:space="preserve"> PAGEREF _Toc479253030 \h </w:instrText>
            </w:r>
            <w:r w:rsidR="004E1467">
              <w:rPr>
                <w:webHidden/>
              </w:rPr>
            </w:r>
            <w:r w:rsidR="004E1467">
              <w:rPr>
                <w:webHidden/>
              </w:rPr>
              <w:fldChar w:fldCharType="separate"/>
            </w:r>
            <w:r w:rsidR="00342104">
              <w:rPr>
                <w:webHidden/>
              </w:rPr>
              <w:t>9</w:t>
            </w:r>
            <w:r w:rsidR="004E1467">
              <w:rPr>
                <w:webHidden/>
              </w:rPr>
              <w:fldChar w:fldCharType="end"/>
            </w:r>
          </w:hyperlink>
        </w:p>
        <w:p w14:paraId="3C9DF377" w14:textId="77777777" w:rsidR="004E1467" w:rsidRDefault="00F733E4">
          <w:pPr>
            <w:pStyle w:val="TOC3"/>
            <w:rPr>
              <w:rFonts w:asciiTheme="minorHAnsi" w:eastAsiaTheme="minorEastAsia" w:hAnsiTheme="minorHAnsi" w:cstheme="minorBidi"/>
              <w:sz w:val="22"/>
              <w:szCs w:val="22"/>
              <w:lang w:eastAsia="en-NZ"/>
            </w:rPr>
          </w:pPr>
          <w:hyperlink w:anchor="_Toc479253031" w:history="1">
            <w:r w:rsidR="004E1467" w:rsidRPr="00015AF5">
              <w:rPr>
                <w:rStyle w:val="Hyperlink"/>
              </w:rPr>
              <w:t>What is the performance expectations framework?</w:t>
            </w:r>
            <w:r w:rsidR="004E1467">
              <w:rPr>
                <w:webHidden/>
              </w:rPr>
              <w:tab/>
            </w:r>
            <w:r w:rsidR="004E1467">
              <w:rPr>
                <w:webHidden/>
              </w:rPr>
              <w:fldChar w:fldCharType="begin"/>
            </w:r>
            <w:r w:rsidR="004E1467">
              <w:rPr>
                <w:webHidden/>
              </w:rPr>
              <w:instrText xml:space="preserve"> PAGEREF _Toc479253031 \h </w:instrText>
            </w:r>
            <w:r w:rsidR="004E1467">
              <w:rPr>
                <w:webHidden/>
              </w:rPr>
            </w:r>
            <w:r w:rsidR="004E1467">
              <w:rPr>
                <w:webHidden/>
              </w:rPr>
              <w:fldChar w:fldCharType="separate"/>
            </w:r>
            <w:r w:rsidR="00342104">
              <w:rPr>
                <w:webHidden/>
              </w:rPr>
              <w:t>9</w:t>
            </w:r>
            <w:r w:rsidR="004E1467">
              <w:rPr>
                <w:webHidden/>
              </w:rPr>
              <w:fldChar w:fldCharType="end"/>
            </w:r>
          </w:hyperlink>
        </w:p>
        <w:p w14:paraId="1291F6AC" w14:textId="77777777" w:rsidR="004E1467" w:rsidRDefault="00F733E4">
          <w:pPr>
            <w:pStyle w:val="TOC3"/>
            <w:rPr>
              <w:rFonts w:asciiTheme="minorHAnsi" w:eastAsiaTheme="minorEastAsia" w:hAnsiTheme="minorHAnsi" w:cstheme="minorBidi"/>
              <w:sz w:val="22"/>
              <w:szCs w:val="22"/>
              <w:lang w:eastAsia="en-NZ"/>
            </w:rPr>
          </w:pPr>
          <w:hyperlink w:anchor="_Toc479253032" w:history="1">
            <w:r w:rsidR="004E1467" w:rsidRPr="00015AF5">
              <w:rPr>
                <w:rStyle w:val="Hyperlink"/>
              </w:rPr>
              <w:t>What might we expect to see as examples of best practice?</w:t>
            </w:r>
            <w:r w:rsidR="004E1467">
              <w:rPr>
                <w:webHidden/>
              </w:rPr>
              <w:tab/>
            </w:r>
            <w:r w:rsidR="004E1467">
              <w:rPr>
                <w:webHidden/>
              </w:rPr>
              <w:fldChar w:fldCharType="begin"/>
            </w:r>
            <w:r w:rsidR="004E1467">
              <w:rPr>
                <w:webHidden/>
              </w:rPr>
              <w:instrText xml:space="preserve"> PAGEREF _Toc479253032 \h </w:instrText>
            </w:r>
            <w:r w:rsidR="004E1467">
              <w:rPr>
                <w:webHidden/>
              </w:rPr>
            </w:r>
            <w:r w:rsidR="004E1467">
              <w:rPr>
                <w:webHidden/>
              </w:rPr>
              <w:fldChar w:fldCharType="separate"/>
            </w:r>
            <w:r w:rsidR="00342104">
              <w:rPr>
                <w:webHidden/>
              </w:rPr>
              <w:t>10</w:t>
            </w:r>
            <w:r w:rsidR="004E1467">
              <w:rPr>
                <w:webHidden/>
              </w:rPr>
              <w:fldChar w:fldCharType="end"/>
            </w:r>
          </w:hyperlink>
        </w:p>
        <w:p w14:paraId="04B0E12E" w14:textId="77777777" w:rsidR="004E1467" w:rsidRDefault="00F733E4">
          <w:pPr>
            <w:pStyle w:val="TOC1"/>
            <w:tabs>
              <w:tab w:val="left" w:pos="425"/>
            </w:tabs>
            <w:rPr>
              <w:rFonts w:asciiTheme="minorHAnsi" w:eastAsiaTheme="minorEastAsia" w:hAnsiTheme="minorHAnsi" w:cstheme="minorBidi"/>
              <w:b w:val="0"/>
              <w:noProof/>
              <w:color w:val="auto"/>
              <w:sz w:val="22"/>
              <w:szCs w:val="22"/>
              <w:lang w:eastAsia="en-NZ"/>
            </w:rPr>
          </w:pPr>
          <w:hyperlink w:anchor="_Toc479253033" w:history="1">
            <w:r w:rsidR="004E1467" w:rsidRPr="00015AF5">
              <w:rPr>
                <w:rStyle w:val="Hyperlink"/>
                <w:noProof/>
              </w:rPr>
              <w:t>3.</w:t>
            </w:r>
            <w:r w:rsidR="004E1467">
              <w:rPr>
                <w:rFonts w:asciiTheme="minorHAnsi" w:eastAsiaTheme="minorEastAsia" w:hAnsiTheme="minorHAnsi" w:cstheme="minorBidi"/>
                <w:b w:val="0"/>
                <w:noProof/>
                <w:color w:val="auto"/>
                <w:sz w:val="22"/>
                <w:szCs w:val="22"/>
                <w:lang w:eastAsia="en-NZ"/>
              </w:rPr>
              <w:tab/>
            </w:r>
            <w:r w:rsidR="004E1467" w:rsidRPr="00015AF5">
              <w:rPr>
                <w:rStyle w:val="Hyperlink"/>
                <w:noProof/>
              </w:rPr>
              <w:t>Why best practice?</w:t>
            </w:r>
            <w:r w:rsidR="004E1467">
              <w:rPr>
                <w:noProof/>
                <w:webHidden/>
              </w:rPr>
              <w:tab/>
            </w:r>
            <w:r w:rsidR="004E1467">
              <w:rPr>
                <w:noProof/>
                <w:webHidden/>
              </w:rPr>
              <w:fldChar w:fldCharType="begin"/>
            </w:r>
            <w:r w:rsidR="004E1467">
              <w:rPr>
                <w:noProof/>
                <w:webHidden/>
              </w:rPr>
              <w:instrText xml:space="preserve"> PAGEREF _Toc479253033 \h </w:instrText>
            </w:r>
            <w:r w:rsidR="004E1467">
              <w:rPr>
                <w:noProof/>
                <w:webHidden/>
              </w:rPr>
            </w:r>
            <w:r w:rsidR="004E1467">
              <w:rPr>
                <w:noProof/>
                <w:webHidden/>
              </w:rPr>
              <w:fldChar w:fldCharType="separate"/>
            </w:r>
            <w:r w:rsidR="00342104">
              <w:rPr>
                <w:noProof/>
                <w:webHidden/>
              </w:rPr>
              <w:t>11</w:t>
            </w:r>
            <w:r w:rsidR="004E1467">
              <w:rPr>
                <w:noProof/>
                <w:webHidden/>
              </w:rPr>
              <w:fldChar w:fldCharType="end"/>
            </w:r>
          </w:hyperlink>
        </w:p>
        <w:p w14:paraId="10BB5A23" w14:textId="77777777" w:rsidR="004E1467" w:rsidRDefault="00F733E4">
          <w:pPr>
            <w:pStyle w:val="TOC3"/>
            <w:rPr>
              <w:rFonts w:asciiTheme="minorHAnsi" w:eastAsiaTheme="minorEastAsia" w:hAnsiTheme="minorHAnsi" w:cstheme="minorBidi"/>
              <w:sz w:val="22"/>
              <w:szCs w:val="22"/>
              <w:lang w:eastAsia="en-NZ"/>
            </w:rPr>
          </w:pPr>
          <w:hyperlink w:anchor="_Toc479253034" w:history="1">
            <w:r w:rsidR="004E1467" w:rsidRPr="00015AF5">
              <w:rPr>
                <w:rStyle w:val="Hyperlink"/>
              </w:rPr>
              <w:t>Why does the Department want to focus on best practice?</w:t>
            </w:r>
            <w:r w:rsidR="004E1467">
              <w:rPr>
                <w:webHidden/>
              </w:rPr>
              <w:tab/>
            </w:r>
            <w:r w:rsidR="004E1467">
              <w:rPr>
                <w:webHidden/>
              </w:rPr>
              <w:fldChar w:fldCharType="begin"/>
            </w:r>
            <w:r w:rsidR="004E1467">
              <w:rPr>
                <w:webHidden/>
              </w:rPr>
              <w:instrText xml:space="preserve"> PAGEREF _Toc479253034 \h </w:instrText>
            </w:r>
            <w:r w:rsidR="004E1467">
              <w:rPr>
                <w:webHidden/>
              </w:rPr>
            </w:r>
            <w:r w:rsidR="004E1467">
              <w:rPr>
                <w:webHidden/>
              </w:rPr>
              <w:fldChar w:fldCharType="separate"/>
            </w:r>
            <w:r w:rsidR="00342104">
              <w:rPr>
                <w:webHidden/>
              </w:rPr>
              <w:t>11</w:t>
            </w:r>
            <w:r w:rsidR="004E1467">
              <w:rPr>
                <w:webHidden/>
              </w:rPr>
              <w:fldChar w:fldCharType="end"/>
            </w:r>
          </w:hyperlink>
        </w:p>
        <w:p w14:paraId="7E7D9B92" w14:textId="77777777" w:rsidR="004E1467" w:rsidRDefault="00F733E4">
          <w:pPr>
            <w:pStyle w:val="TOC3"/>
            <w:rPr>
              <w:rFonts w:asciiTheme="minorHAnsi" w:eastAsiaTheme="minorEastAsia" w:hAnsiTheme="minorHAnsi" w:cstheme="minorBidi"/>
              <w:sz w:val="22"/>
              <w:szCs w:val="22"/>
              <w:lang w:eastAsia="en-NZ"/>
            </w:rPr>
          </w:pPr>
          <w:hyperlink w:anchor="_Toc479253035" w:history="1">
            <w:r w:rsidR="004E1467" w:rsidRPr="00015AF5">
              <w:rPr>
                <w:rStyle w:val="Hyperlink"/>
              </w:rPr>
              <w:t>What are the potential benefits of a best practice licence?</w:t>
            </w:r>
            <w:r w:rsidR="004E1467">
              <w:rPr>
                <w:webHidden/>
              </w:rPr>
              <w:tab/>
            </w:r>
            <w:r w:rsidR="004E1467">
              <w:rPr>
                <w:webHidden/>
              </w:rPr>
              <w:fldChar w:fldCharType="begin"/>
            </w:r>
            <w:r w:rsidR="004E1467">
              <w:rPr>
                <w:webHidden/>
              </w:rPr>
              <w:instrText xml:space="preserve"> PAGEREF _Toc479253035 \h </w:instrText>
            </w:r>
            <w:r w:rsidR="004E1467">
              <w:rPr>
                <w:webHidden/>
              </w:rPr>
            </w:r>
            <w:r w:rsidR="004E1467">
              <w:rPr>
                <w:webHidden/>
              </w:rPr>
              <w:fldChar w:fldCharType="separate"/>
            </w:r>
            <w:r w:rsidR="00342104">
              <w:rPr>
                <w:webHidden/>
              </w:rPr>
              <w:t>11</w:t>
            </w:r>
            <w:r w:rsidR="004E1467">
              <w:rPr>
                <w:webHidden/>
              </w:rPr>
              <w:fldChar w:fldCharType="end"/>
            </w:r>
          </w:hyperlink>
        </w:p>
        <w:p w14:paraId="33C62C59" w14:textId="77777777" w:rsidR="004E1467" w:rsidRDefault="00F733E4">
          <w:pPr>
            <w:pStyle w:val="TOC1"/>
            <w:tabs>
              <w:tab w:val="left" w:pos="425"/>
            </w:tabs>
            <w:rPr>
              <w:rFonts w:asciiTheme="minorHAnsi" w:eastAsiaTheme="minorEastAsia" w:hAnsiTheme="minorHAnsi" w:cstheme="minorBidi"/>
              <w:b w:val="0"/>
              <w:noProof/>
              <w:color w:val="auto"/>
              <w:sz w:val="22"/>
              <w:szCs w:val="22"/>
              <w:lang w:eastAsia="en-NZ"/>
            </w:rPr>
          </w:pPr>
          <w:hyperlink w:anchor="_Toc479253036" w:history="1">
            <w:r w:rsidR="004E1467" w:rsidRPr="00015AF5">
              <w:rPr>
                <w:rStyle w:val="Hyperlink"/>
                <w:noProof/>
              </w:rPr>
              <w:t>4.</w:t>
            </w:r>
            <w:r w:rsidR="004E1467">
              <w:rPr>
                <w:rFonts w:asciiTheme="minorHAnsi" w:eastAsiaTheme="minorEastAsia" w:hAnsiTheme="minorHAnsi" w:cstheme="minorBidi"/>
                <w:b w:val="0"/>
                <w:noProof/>
                <w:color w:val="auto"/>
                <w:sz w:val="22"/>
                <w:szCs w:val="22"/>
                <w:lang w:eastAsia="en-NZ"/>
              </w:rPr>
              <w:tab/>
            </w:r>
            <w:r w:rsidR="004E1467" w:rsidRPr="00015AF5">
              <w:rPr>
                <w:rStyle w:val="Hyperlink"/>
                <w:noProof/>
              </w:rPr>
              <w:t>Assessing best practice</w:t>
            </w:r>
            <w:r w:rsidR="004E1467">
              <w:rPr>
                <w:noProof/>
                <w:webHidden/>
              </w:rPr>
              <w:tab/>
            </w:r>
            <w:r w:rsidR="004E1467">
              <w:rPr>
                <w:noProof/>
                <w:webHidden/>
              </w:rPr>
              <w:fldChar w:fldCharType="begin"/>
            </w:r>
            <w:r w:rsidR="004E1467">
              <w:rPr>
                <w:noProof/>
                <w:webHidden/>
              </w:rPr>
              <w:instrText xml:space="preserve"> PAGEREF _Toc479253036 \h </w:instrText>
            </w:r>
            <w:r w:rsidR="004E1467">
              <w:rPr>
                <w:noProof/>
                <w:webHidden/>
              </w:rPr>
            </w:r>
            <w:r w:rsidR="004E1467">
              <w:rPr>
                <w:noProof/>
                <w:webHidden/>
              </w:rPr>
              <w:fldChar w:fldCharType="separate"/>
            </w:r>
            <w:r w:rsidR="00342104">
              <w:rPr>
                <w:noProof/>
                <w:webHidden/>
              </w:rPr>
              <w:t>12</w:t>
            </w:r>
            <w:r w:rsidR="004E1467">
              <w:rPr>
                <w:noProof/>
                <w:webHidden/>
              </w:rPr>
              <w:fldChar w:fldCharType="end"/>
            </w:r>
          </w:hyperlink>
        </w:p>
        <w:p w14:paraId="54A012FF" w14:textId="77777777" w:rsidR="004E1467" w:rsidRDefault="00F733E4">
          <w:pPr>
            <w:pStyle w:val="TOC3"/>
            <w:rPr>
              <w:rFonts w:asciiTheme="minorHAnsi" w:eastAsiaTheme="minorEastAsia" w:hAnsiTheme="minorHAnsi" w:cstheme="minorBidi"/>
              <w:sz w:val="22"/>
              <w:szCs w:val="22"/>
              <w:lang w:eastAsia="en-NZ"/>
            </w:rPr>
          </w:pPr>
          <w:hyperlink w:anchor="_Toc479253037" w:history="1">
            <w:r w:rsidR="004E1467" w:rsidRPr="00015AF5">
              <w:rPr>
                <w:rStyle w:val="Hyperlink"/>
              </w:rPr>
              <w:t>Applicants submit a self-assessment</w:t>
            </w:r>
            <w:r w:rsidR="004E1467">
              <w:rPr>
                <w:webHidden/>
              </w:rPr>
              <w:tab/>
            </w:r>
            <w:r w:rsidR="004E1467">
              <w:rPr>
                <w:webHidden/>
              </w:rPr>
              <w:fldChar w:fldCharType="begin"/>
            </w:r>
            <w:r w:rsidR="004E1467">
              <w:rPr>
                <w:webHidden/>
              </w:rPr>
              <w:instrText xml:space="preserve"> PAGEREF _Toc479253037 \h </w:instrText>
            </w:r>
            <w:r w:rsidR="004E1467">
              <w:rPr>
                <w:webHidden/>
              </w:rPr>
            </w:r>
            <w:r w:rsidR="004E1467">
              <w:rPr>
                <w:webHidden/>
              </w:rPr>
              <w:fldChar w:fldCharType="separate"/>
            </w:r>
            <w:r w:rsidR="00342104">
              <w:rPr>
                <w:webHidden/>
              </w:rPr>
              <w:t>12</w:t>
            </w:r>
            <w:r w:rsidR="004E1467">
              <w:rPr>
                <w:webHidden/>
              </w:rPr>
              <w:fldChar w:fldCharType="end"/>
            </w:r>
          </w:hyperlink>
        </w:p>
        <w:p w14:paraId="1C05911D" w14:textId="77777777" w:rsidR="004E1467" w:rsidRDefault="00F733E4">
          <w:pPr>
            <w:pStyle w:val="TOC3"/>
            <w:rPr>
              <w:rFonts w:asciiTheme="minorHAnsi" w:eastAsiaTheme="minorEastAsia" w:hAnsiTheme="minorHAnsi" w:cstheme="minorBidi"/>
              <w:sz w:val="22"/>
              <w:szCs w:val="22"/>
              <w:lang w:eastAsia="en-NZ"/>
            </w:rPr>
          </w:pPr>
          <w:hyperlink w:anchor="_Toc479253038" w:history="1">
            <w:r w:rsidR="004E1467" w:rsidRPr="00015AF5">
              <w:rPr>
                <w:rStyle w:val="Hyperlink"/>
              </w:rPr>
              <w:t>What is the rating scale for a best practice licence?</w:t>
            </w:r>
            <w:r w:rsidR="004E1467">
              <w:rPr>
                <w:webHidden/>
              </w:rPr>
              <w:tab/>
            </w:r>
            <w:r w:rsidR="004E1467">
              <w:rPr>
                <w:webHidden/>
              </w:rPr>
              <w:fldChar w:fldCharType="begin"/>
            </w:r>
            <w:r w:rsidR="004E1467">
              <w:rPr>
                <w:webHidden/>
              </w:rPr>
              <w:instrText xml:space="preserve"> PAGEREF _Toc479253038 \h </w:instrText>
            </w:r>
            <w:r w:rsidR="004E1467">
              <w:rPr>
                <w:webHidden/>
              </w:rPr>
            </w:r>
            <w:r w:rsidR="004E1467">
              <w:rPr>
                <w:webHidden/>
              </w:rPr>
              <w:fldChar w:fldCharType="separate"/>
            </w:r>
            <w:r w:rsidR="00342104">
              <w:rPr>
                <w:webHidden/>
              </w:rPr>
              <w:t>13</w:t>
            </w:r>
            <w:r w:rsidR="004E1467">
              <w:rPr>
                <w:webHidden/>
              </w:rPr>
              <w:fldChar w:fldCharType="end"/>
            </w:r>
          </w:hyperlink>
        </w:p>
        <w:p w14:paraId="1C9CBC29" w14:textId="77777777" w:rsidR="004E1467" w:rsidRDefault="00F733E4">
          <w:pPr>
            <w:pStyle w:val="TOC3"/>
            <w:rPr>
              <w:rFonts w:asciiTheme="minorHAnsi" w:eastAsiaTheme="minorEastAsia" w:hAnsiTheme="minorHAnsi" w:cstheme="minorBidi"/>
              <w:sz w:val="22"/>
              <w:szCs w:val="22"/>
              <w:lang w:eastAsia="en-NZ"/>
            </w:rPr>
          </w:pPr>
          <w:hyperlink w:anchor="_Toc479253039" w:history="1">
            <w:r w:rsidR="004E1467" w:rsidRPr="00015AF5">
              <w:rPr>
                <w:rStyle w:val="Hyperlink"/>
              </w:rPr>
              <w:t>How do we assess whether a licence holder is operating well enough to be granted a best practice licence?</w:t>
            </w:r>
            <w:r w:rsidR="004E1467">
              <w:rPr>
                <w:webHidden/>
              </w:rPr>
              <w:tab/>
            </w:r>
            <w:r w:rsidR="004E1467">
              <w:rPr>
                <w:webHidden/>
              </w:rPr>
              <w:fldChar w:fldCharType="begin"/>
            </w:r>
            <w:r w:rsidR="004E1467">
              <w:rPr>
                <w:webHidden/>
              </w:rPr>
              <w:instrText xml:space="preserve"> PAGEREF _Toc479253039 \h </w:instrText>
            </w:r>
            <w:r w:rsidR="004E1467">
              <w:rPr>
                <w:webHidden/>
              </w:rPr>
            </w:r>
            <w:r w:rsidR="004E1467">
              <w:rPr>
                <w:webHidden/>
              </w:rPr>
              <w:fldChar w:fldCharType="separate"/>
            </w:r>
            <w:r w:rsidR="00342104">
              <w:rPr>
                <w:webHidden/>
              </w:rPr>
              <w:t>14</w:t>
            </w:r>
            <w:r w:rsidR="004E1467">
              <w:rPr>
                <w:webHidden/>
              </w:rPr>
              <w:fldChar w:fldCharType="end"/>
            </w:r>
          </w:hyperlink>
        </w:p>
        <w:p w14:paraId="43EB3455" w14:textId="77777777" w:rsidR="004E1467" w:rsidRDefault="00F733E4">
          <w:pPr>
            <w:pStyle w:val="TOC1"/>
            <w:tabs>
              <w:tab w:val="left" w:pos="425"/>
            </w:tabs>
            <w:rPr>
              <w:rFonts w:asciiTheme="minorHAnsi" w:eastAsiaTheme="minorEastAsia" w:hAnsiTheme="minorHAnsi" w:cstheme="minorBidi"/>
              <w:b w:val="0"/>
              <w:noProof/>
              <w:color w:val="auto"/>
              <w:sz w:val="22"/>
              <w:szCs w:val="22"/>
              <w:lang w:eastAsia="en-NZ"/>
            </w:rPr>
          </w:pPr>
          <w:hyperlink w:anchor="_Toc479253040" w:history="1">
            <w:r w:rsidR="004E1467" w:rsidRPr="00015AF5">
              <w:rPr>
                <w:rStyle w:val="Hyperlink"/>
                <w:noProof/>
              </w:rPr>
              <w:t>5.</w:t>
            </w:r>
            <w:r w:rsidR="004E1467">
              <w:rPr>
                <w:rFonts w:asciiTheme="minorHAnsi" w:eastAsiaTheme="minorEastAsia" w:hAnsiTheme="minorHAnsi" w:cstheme="minorBidi"/>
                <w:b w:val="0"/>
                <w:noProof/>
                <w:color w:val="auto"/>
                <w:sz w:val="22"/>
                <w:szCs w:val="22"/>
                <w:lang w:eastAsia="en-NZ"/>
              </w:rPr>
              <w:tab/>
            </w:r>
            <w:r w:rsidR="004E1467" w:rsidRPr="00015AF5">
              <w:rPr>
                <w:rStyle w:val="Hyperlink"/>
                <w:noProof/>
              </w:rPr>
              <w:t>How will a best practice licence work?</w:t>
            </w:r>
            <w:r w:rsidR="004E1467">
              <w:rPr>
                <w:noProof/>
                <w:webHidden/>
              </w:rPr>
              <w:tab/>
            </w:r>
            <w:r w:rsidR="004E1467">
              <w:rPr>
                <w:noProof/>
                <w:webHidden/>
              </w:rPr>
              <w:fldChar w:fldCharType="begin"/>
            </w:r>
            <w:r w:rsidR="004E1467">
              <w:rPr>
                <w:noProof/>
                <w:webHidden/>
              </w:rPr>
              <w:instrText xml:space="preserve"> PAGEREF _Toc479253040 \h </w:instrText>
            </w:r>
            <w:r w:rsidR="004E1467">
              <w:rPr>
                <w:noProof/>
                <w:webHidden/>
              </w:rPr>
            </w:r>
            <w:r w:rsidR="004E1467">
              <w:rPr>
                <w:noProof/>
                <w:webHidden/>
              </w:rPr>
              <w:fldChar w:fldCharType="separate"/>
            </w:r>
            <w:r w:rsidR="00342104">
              <w:rPr>
                <w:noProof/>
                <w:webHidden/>
              </w:rPr>
              <w:t>17</w:t>
            </w:r>
            <w:r w:rsidR="004E1467">
              <w:rPr>
                <w:noProof/>
                <w:webHidden/>
              </w:rPr>
              <w:fldChar w:fldCharType="end"/>
            </w:r>
          </w:hyperlink>
        </w:p>
        <w:p w14:paraId="314366A3" w14:textId="77777777" w:rsidR="004E1467" w:rsidRDefault="00F733E4">
          <w:pPr>
            <w:pStyle w:val="TOC3"/>
            <w:rPr>
              <w:rFonts w:asciiTheme="minorHAnsi" w:eastAsiaTheme="minorEastAsia" w:hAnsiTheme="minorHAnsi" w:cstheme="minorBidi"/>
              <w:sz w:val="22"/>
              <w:szCs w:val="22"/>
              <w:lang w:eastAsia="en-NZ"/>
            </w:rPr>
          </w:pPr>
          <w:hyperlink w:anchor="_Toc479253041" w:history="1">
            <w:r w:rsidR="004E1467" w:rsidRPr="00015AF5">
              <w:rPr>
                <w:rStyle w:val="Hyperlink"/>
              </w:rPr>
              <w:t>Proposed design for the Department to decide a best practice licence</w:t>
            </w:r>
            <w:r w:rsidR="004E1467">
              <w:rPr>
                <w:webHidden/>
              </w:rPr>
              <w:tab/>
            </w:r>
            <w:r w:rsidR="004E1467">
              <w:rPr>
                <w:webHidden/>
              </w:rPr>
              <w:fldChar w:fldCharType="begin"/>
            </w:r>
            <w:r w:rsidR="004E1467">
              <w:rPr>
                <w:webHidden/>
              </w:rPr>
              <w:instrText xml:space="preserve"> PAGEREF _Toc479253041 \h </w:instrText>
            </w:r>
            <w:r w:rsidR="004E1467">
              <w:rPr>
                <w:webHidden/>
              </w:rPr>
            </w:r>
            <w:r w:rsidR="004E1467">
              <w:rPr>
                <w:webHidden/>
              </w:rPr>
              <w:fldChar w:fldCharType="separate"/>
            </w:r>
            <w:r w:rsidR="00342104">
              <w:rPr>
                <w:webHidden/>
              </w:rPr>
              <w:t>17</w:t>
            </w:r>
            <w:r w:rsidR="004E1467">
              <w:rPr>
                <w:webHidden/>
              </w:rPr>
              <w:fldChar w:fldCharType="end"/>
            </w:r>
          </w:hyperlink>
        </w:p>
        <w:p w14:paraId="01C5592E" w14:textId="18666EC9" w:rsidR="004E1467" w:rsidRDefault="00F733E4">
          <w:pPr>
            <w:pStyle w:val="TOC3"/>
            <w:rPr>
              <w:rFonts w:asciiTheme="minorHAnsi" w:eastAsiaTheme="minorEastAsia" w:hAnsiTheme="minorHAnsi" w:cstheme="minorBidi"/>
              <w:sz w:val="22"/>
              <w:szCs w:val="22"/>
              <w:lang w:eastAsia="en-NZ"/>
            </w:rPr>
          </w:pPr>
          <w:hyperlink w:anchor="_Toc479253042" w:history="1">
            <w:r w:rsidR="004E1467" w:rsidRPr="00015AF5">
              <w:rPr>
                <w:rStyle w:val="Hyperlink"/>
              </w:rPr>
              <w:t>The current fees regulations will apply until the upcoming fees review is completed</w:t>
            </w:r>
            <w:r w:rsidR="004E1467">
              <w:rPr>
                <w:webHidden/>
              </w:rPr>
              <w:tab/>
            </w:r>
            <w:r w:rsidR="004E1467">
              <w:rPr>
                <w:webHidden/>
              </w:rPr>
              <w:tab/>
            </w:r>
            <w:r w:rsidR="004E1467">
              <w:rPr>
                <w:webHidden/>
              </w:rPr>
              <w:fldChar w:fldCharType="begin"/>
            </w:r>
            <w:r w:rsidR="004E1467">
              <w:rPr>
                <w:webHidden/>
              </w:rPr>
              <w:instrText xml:space="preserve"> PAGEREF _Toc479253042 \h </w:instrText>
            </w:r>
            <w:r w:rsidR="004E1467">
              <w:rPr>
                <w:webHidden/>
              </w:rPr>
            </w:r>
            <w:r w:rsidR="004E1467">
              <w:rPr>
                <w:webHidden/>
              </w:rPr>
              <w:fldChar w:fldCharType="separate"/>
            </w:r>
            <w:r w:rsidR="00342104">
              <w:rPr>
                <w:webHidden/>
              </w:rPr>
              <w:t>18</w:t>
            </w:r>
            <w:r w:rsidR="004E1467">
              <w:rPr>
                <w:webHidden/>
              </w:rPr>
              <w:fldChar w:fldCharType="end"/>
            </w:r>
          </w:hyperlink>
        </w:p>
        <w:p w14:paraId="0AFAE4A6" w14:textId="77777777" w:rsidR="004E1467" w:rsidRDefault="00F733E4">
          <w:pPr>
            <w:pStyle w:val="TOC1"/>
            <w:tabs>
              <w:tab w:val="left" w:pos="425"/>
            </w:tabs>
            <w:rPr>
              <w:rFonts w:asciiTheme="minorHAnsi" w:eastAsiaTheme="minorEastAsia" w:hAnsiTheme="minorHAnsi" w:cstheme="minorBidi"/>
              <w:b w:val="0"/>
              <w:noProof/>
              <w:color w:val="auto"/>
              <w:sz w:val="22"/>
              <w:szCs w:val="22"/>
              <w:lang w:eastAsia="en-NZ"/>
            </w:rPr>
          </w:pPr>
          <w:hyperlink w:anchor="_Toc479253043" w:history="1">
            <w:r w:rsidR="004E1467" w:rsidRPr="00015AF5">
              <w:rPr>
                <w:rStyle w:val="Hyperlink"/>
                <w:noProof/>
              </w:rPr>
              <w:t>6.</w:t>
            </w:r>
            <w:r w:rsidR="004E1467">
              <w:rPr>
                <w:rFonts w:asciiTheme="minorHAnsi" w:eastAsiaTheme="minorEastAsia" w:hAnsiTheme="minorHAnsi" w:cstheme="minorBidi"/>
                <w:b w:val="0"/>
                <w:noProof/>
                <w:color w:val="auto"/>
                <w:sz w:val="22"/>
                <w:szCs w:val="22"/>
                <w:lang w:eastAsia="en-NZ"/>
              </w:rPr>
              <w:tab/>
            </w:r>
            <w:r w:rsidR="004E1467" w:rsidRPr="00015AF5">
              <w:rPr>
                <w:rStyle w:val="Hyperlink"/>
                <w:noProof/>
              </w:rPr>
              <w:t>What happens next?</w:t>
            </w:r>
            <w:r w:rsidR="004E1467">
              <w:rPr>
                <w:noProof/>
                <w:webHidden/>
              </w:rPr>
              <w:tab/>
            </w:r>
            <w:r w:rsidR="004E1467">
              <w:rPr>
                <w:noProof/>
                <w:webHidden/>
              </w:rPr>
              <w:fldChar w:fldCharType="begin"/>
            </w:r>
            <w:r w:rsidR="004E1467">
              <w:rPr>
                <w:noProof/>
                <w:webHidden/>
              </w:rPr>
              <w:instrText xml:space="preserve"> PAGEREF _Toc479253043 \h </w:instrText>
            </w:r>
            <w:r w:rsidR="004E1467">
              <w:rPr>
                <w:noProof/>
                <w:webHidden/>
              </w:rPr>
            </w:r>
            <w:r w:rsidR="004E1467">
              <w:rPr>
                <w:noProof/>
                <w:webHidden/>
              </w:rPr>
              <w:fldChar w:fldCharType="separate"/>
            </w:r>
            <w:r w:rsidR="00342104">
              <w:rPr>
                <w:noProof/>
                <w:webHidden/>
              </w:rPr>
              <w:t>20</w:t>
            </w:r>
            <w:r w:rsidR="004E1467">
              <w:rPr>
                <w:noProof/>
                <w:webHidden/>
              </w:rPr>
              <w:fldChar w:fldCharType="end"/>
            </w:r>
          </w:hyperlink>
        </w:p>
        <w:p w14:paraId="56226ADB" w14:textId="77777777" w:rsidR="004E1467" w:rsidRDefault="00F733E4">
          <w:pPr>
            <w:pStyle w:val="TOC3"/>
            <w:rPr>
              <w:rFonts w:asciiTheme="minorHAnsi" w:eastAsiaTheme="minorEastAsia" w:hAnsiTheme="minorHAnsi" w:cstheme="minorBidi"/>
              <w:sz w:val="22"/>
              <w:szCs w:val="22"/>
              <w:lang w:eastAsia="en-NZ"/>
            </w:rPr>
          </w:pPr>
          <w:hyperlink w:anchor="_Toc479253044" w:history="1">
            <w:r w:rsidR="004E1467" w:rsidRPr="00015AF5">
              <w:rPr>
                <w:rStyle w:val="Hyperlink"/>
              </w:rPr>
              <w:t>Support for societies and clubs</w:t>
            </w:r>
            <w:r w:rsidR="004E1467">
              <w:rPr>
                <w:webHidden/>
              </w:rPr>
              <w:tab/>
            </w:r>
            <w:r w:rsidR="004E1467">
              <w:rPr>
                <w:webHidden/>
              </w:rPr>
              <w:fldChar w:fldCharType="begin"/>
            </w:r>
            <w:r w:rsidR="004E1467">
              <w:rPr>
                <w:webHidden/>
              </w:rPr>
              <w:instrText xml:space="preserve"> PAGEREF _Toc479253044 \h </w:instrText>
            </w:r>
            <w:r w:rsidR="004E1467">
              <w:rPr>
                <w:webHidden/>
              </w:rPr>
            </w:r>
            <w:r w:rsidR="004E1467">
              <w:rPr>
                <w:webHidden/>
              </w:rPr>
              <w:fldChar w:fldCharType="separate"/>
            </w:r>
            <w:r w:rsidR="00342104">
              <w:rPr>
                <w:webHidden/>
              </w:rPr>
              <w:t>20</w:t>
            </w:r>
            <w:r w:rsidR="004E1467">
              <w:rPr>
                <w:webHidden/>
              </w:rPr>
              <w:fldChar w:fldCharType="end"/>
            </w:r>
          </w:hyperlink>
        </w:p>
        <w:p w14:paraId="016A2706" w14:textId="77777777" w:rsidR="004E1467" w:rsidRDefault="00F733E4">
          <w:pPr>
            <w:pStyle w:val="TOC3"/>
            <w:rPr>
              <w:rFonts w:asciiTheme="minorHAnsi" w:eastAsiaTheme="minorEastAsia" w:hAnsiTheme="minorHAnsi" w:cstheme="minorBidi"/>
              <w:sz w:val="22"/>
              <w:szCs w:val="22"/>
              <w:lang w:eastAsia="en-NZ"/>
            </w:rPr>
          </w:pPr>
          <w:hyperlink w:anchor="_Toc479253045" w:history="1">
            <w:r w:rsidR="004E1467" w:rsidRPr="00015AF5">
              <w:rPr>
                <w:rStyle w:val="Hyperlink"/>
              </w:rPr>
              <w:t>Operational Implications for the Department</w:t>
            </w:r>
            <w:r w:rsidR="004E1467">
              <w:rPr>
                <w:webHidden/>
              </w:rPr>
              <w:tab/>
            </w:r>
            <w:r w:rsidR="004E1467">
              <w:rPr>
                <w:webHidden/>
              </w:rPr>
              <w:fldChar w:fldCharType="begin"/>
            </w:r>
            <w:r w:rsidR="004E1467">
              <w:rPr>
                <w:webHidden/>
              </w:rPr>
              <w:instrText xml:space="preserve"> PAGEREF _Toc479253045 \h </w:instrText>
            </w:r>
            <w:r w:rsidR="004E1467">
              <w:rPr>
                <w:webHidden/>
              </w:rPr>
            </w:r>
            <w:r w:rsidR="004E1467">
              <w:rPr>
                <w:webHidden/>
              </w:rPr>
              <w:fldChar w:fldCharType="separate"/>
            </w:r>
            <w:r w:rsidR="00342104">
              <w:rPr>
                <w:webHidden/>
              </w:rPr>
              <w:t>20</w:t>
            </w:r>
            <w:r w:rsidR="004E1467">
              <w:rPr>
                <w:webHidden/>
              </w:rPr>
              <w:fldChar w:fldCharType="end"/>
            </w:r>
          </w:hyperlink>
        </w:p>
        <w:p w14:paraId="6067C2B5" w14:textId="77777777" w:rsidR="004E1467" w:rsidRDefault="00F733E4">
          <w:pPr>
            <w:pStyle w:val="TOC3"/>
            <w:rPr>
              <w:rFonts w:asciiTheme="minorHAnsi" w:eastAsiaTheme="minorEastAsia" w:hAnsiTheme="minorHAnsi" w:cstheme="minorBidi"/>
              <w:sz w:val="22"/>
              <w:szCs w:val="22"/>
              <w:lang w:eastAsia="en-NZ"/>
            </w:rPr>
          </w:pPr>
          <w:hyperlink w:anchor="_Toc479253046" w:history="1">
            <w:r w:rsidR="004E1467" w:rsidRPr="00015AF5">
              <w:rPr>
                <w:rStyle w:val="Hyperlink"/>
              </w:rPr>
              <w:t>We will test the performance expectations framework in a compliance audit</w:t>
            </w:r>
            <w:r w:rsidR="004E1467">
              <w:rPr>
                <w:webHidden/>
              </w:rPr>
              <w:tab/>
            </w:r>
            <w:r w:rsidR="004E1467">
              <w:rPr>
                <w:webHidden/>
              </w:rPr>
              <w:fldChar w:fldCharType="begin"/>
            </w:r>
            <w:r w:rsidR="004E1467">
              <w:rPr>
                <w:webHidden/>
              </w:rPr>
              <w:instrText xml:space="preserve"> PAGEREF _Toc479253046 \h </w:instrText>
            </w:r>
            <w:r w:rsidR="004E1467">
              <w:rPr>
                <w:webHidden/>
              </w:rPr>
            </w:r>
            <w:r w:rsidR="004E1467">
              <w:rPr>
                <w:webHidden/>
              </w:rPr>
              <w:fldChar w:fldCharType="separate"/>
            </w:r>
            <w:r w:rsidR="00342104">
              <w:rPr>
                <w:webHidden/>
              </w:rPr>
              <w:t>21</w:t>
            </w:r>
            <w:r w:rsidR="004E1467">
              <w:rPr>
                <w:webHidden/>
              </w:rPr>
              <w:fldChar w:fldCharType="end"/>
            </w:r>
          </w:hyperlink>
        </w:p>
        <w:p w14:paraId="07A57612" w14:textId="77777777" w:rsidR="004E1467" w:rsidRDefault="00F733E4">
          <w:pPr>
            <w:pStyle w:val="TOC1"/>
            <w:tabs>
              <w:tab w:val="left" w:pos="425"/>
            </w:tabs>
            <w:rPr>
              <w:rFonts w:asciiTheme="minorHAnsi" w:eastAsiaTheme="minorEastAsia" w:hAnsiTheme="minorHAnsi" w:cstheme="minorBidi"/>
              <w:b w:val="0"/>
              <w:noProof/>
              <w:color w:val="auto"/>
              <w:sz w:val="22"/>
              <w:szCs w:val="22"/>
              <w:lang w:eastAsia="en-NZ"/>
            </w:rPr>
          </w:pPr>
          <w:hyperlink w:anchor="_Toc479253047" w:history="1">
            <w:r w:rsidR="004E1467" w:rsidRPr="00015AF5">
              <w:rPr>
                <w:rStyle w:val="Hyperlink"/>
                <w:noProof/>
              </w:rPr>
              <w:t>7.</w:t>
            </w:r>
            <w:r w:rsidR="004E1467">
              <w:rPr>
                <w:rFonts w:asciiTheme="minorHAnsi" w:eastAsiaTheme="minorEastAsia" w:hAnsiTheme="minorHAnsi" w:cstheme="minorBidi"/>
                <w:b w:val="0"/>
                <w:noProof/>
                <w:color w:val="auto"/>
                <w:sz w:val="22"/>
                <w:szCs w:val="22"/>
                <w:lang w:eastAsia="en-NZ"/>
              </w:rPr>
              <w:tab/>
            </w:r>
            <w:r w:rsidR="004E1467" w:rsidRPr="00015AF5">
              <w:rPr>
                <w:rStyle w:val="Hyperlink"/>
                <w:noProof/>
              </w:rPr>
              <w:t>How did we develop the proposal for a best practice Licence?</w:t>
            </w:r>
            <w:r w:rsidR="004E1467">
              <w:rPr>
                <w:noProof/>
                <w:webHidden/>
              </w:rPr>
              <w:tab/>
            </w:r>
            <w:r w:rsidR="004E1467">
              <w:rPr>
                <w:noProof/>
                <w:webHidden/>
              </w:rPr>
              <w:fldChar w:fldCharType="begin"/>
            </w:r>
            <w:r w:rsidR="004E1467">
              <w:rPr>
                <w:noProof/>
                <w:webHidden/>
              </w:rPr>
              <w:instrText xml:space="preserve"> PAGEREF _Toc479253047 \h </w:instrText>
            </w:r>
            <w:r w:rsidR="004E1467">
              <w:rPr>
                <w:noProof/>
                <w:webHidden/>
              </w:rPr>
            </w:r>
            <w:r w:rsidR="004E1467">
              <w:rPr>
                <w:noProof/>
                <w:webHidden/>
              </w:rPr>
              <w:fldChar w:fldCharType="separate"/>
            </w:r>
            <w:r w:rsidR="00342104">
              <w:rPr>
                <w:noProof/>
                <w:webHidden/>
              </w:rPr>
              <w:t>22</w:t>
            </w:r>
            <w:r w:rsidR="004E1467">
              <w:rPr>
                <w:noProof/>
                <w:webHidden/>
              </w:rPr>
              <w:fldChar w:fldCharType="end"/>
            </w:r>
          </w:hyperlink>
        </w:p>
        <w:p w14:paraId="71AF4716" w14:textId="77777777" w:rsidR="004E1467" w:rsidRDefault="00F733E4">
          <w:pPr>
            <w:pStyle w:val="TOC3"/>
            <w:rPr>
              <w:rFonts w:asciiTheme="minorHAnsi" w:eastAsiaTheme="minorEastAsia" w:hAnsiTheme="minorHAnsi" w:cstheme="minorBidi"/>
              <w:sz w:val="22"/>
              <w:szCs w:val="22"/>
              <w:lang w:eastAsia="en-NZ"/>
            </w:rPr>
          </w:pPr>
          <w:hyperlink w:anchor="_Toc479253048" w:history="1">
            <w:r w:rsidR="004E1467" w:rsidRPr="00015AF5">
              <w:rPr>
                <w:rStyle w:val="Hyperlink"/>
              </w:rPr>
              <w:t>We worked with the Class 4 Gambling sector</w:t>
            </w:r>
            <w:r w:rsidR="004E1467">
              <w:rPr>
                <w:webHidden/>
              </w:rPr>
              <w:tab/>
            </w:r>
            <w:r w:rsidR="004E1467">
              <w:rPr>
                <w:webHidden/>
              </w:rPr>
              <w:fldChar w:fldCharType="begin"/>
            </w:r>
            <w:r w:rsidR="004E1467">
              <w:rPr>
                <w:webHidden/>
              </w:rPr>
              <w:instrText xml:space="preserve"> PAGEREF _Toc479253048 \h </w:instrText>
            </w:r>
            <w:r w:rsidR="004E1467">
              <w:rPr>
                <w:webHidden/>
              </w:rPr>
            </w:r>
            <w:r w:rsidR="004E1467">
              <w:rPr>
                <w:webHidden/>
              </w:rPr>
              <w:fldChar w:fldCharType="separate"/>
            </w:r>
            <w:r w:rsidR="00342104">
              <w:rPr>
                <w:webHidden/>
              </w:rPr>
              <w:t>22</w:t>
            </w:r>
            <w:r w:rsidR="004E1467">
              <w:rPr>
                <w:webHidden/>
              </w:rPr>
              <w:fldChar w:fldCharType="end"/>
            </w:r>
          </w:hyperlink>
        </w:p>
        <w:p w14:paraId="6C46F9D2" w14:textId="77777777" w:rsidR="004E1467" w:rsidRDefault="00F733E4">
          <w:pPr>
            <w:pStyle w:val="TOC2"/>
            <w:rPr>
              <w:rFonts w:asciiTheme="minorHAnsi" w:eastAsiaTheme="minorEastAsia" w:hAnsiTheme="minorHAnsi" w:cstheme="minorBidi"/>
              <w:sz w:val="22"/>
              <w:szCs w:val="22"/>
              <w:lang w:eastAsia="en-NZ"/>
            </w:rPr>
          </w:pPr>
          <w:hyperlink w:anchor="_Toc479253049" w:history="1">
            <w:r w:rsidR="004E1467" w:rsidRPr="00015AF5">
              <w:rPr>
                <w:rStyle w:val="Hyperlink"/>
              </w:rPr>
              <w:t>Consultation requirements</w:t>
            </w:r>
            <w:r w:rsidR="004E1467">
              <w:rPr>
                <w:webHidden/>
              </w:rPr>
              <w:tab/>
            </w:r>
            <w:r w:rsidR="004E1467">
              <w:rPr>
                <w:webHidden/>
              </w:rPr>
              <w:fldChar w:fldCharType="begin"/>
            </w:r>
            <w:r w:rsidR="004E1467">
              <w:rPr>
                <w:webHidden/>
              </w:rPr>
              <w:instrText xml:space="preserve"> PAGEREF _Toc479253049 \h </w:instrText>
            </w:r>
            <w:r w:rsidR="004E1467">
              <w:rPr>
                <w:webHidden/>
              </w:rPr>
            </w:r>
            <w:r w:rsidR="004E1467">
              <w:rPr>
                <w:webHidden/>
              </w:rPr>
              <w:fldChar w:fldCharType="separate"/>
            </w:r>
            <w:r w:rsidR="00342104">
              <w:rPr>
                <w:webHidden/>
              </w:rPr>
              <w:t>23</w:t>
            </w:r>
            <w:r w:rsidR="004E1467">
              <w:rPr>
                <w:webHidden/>
              </w:rPr>
              <w:fldChar w:fldCharType="end"/>
            </w:r>
          </w:hyperlink>
        </w:p>
        <w:p w14:paraId="79EADD9A" w14:textId="77777777" w:rsidR="004E1467" w:rsidRDefault="00F733E4">
          <w:pPr>
            <w:pStyle w:val="TOC3"/>
            <w:rPr>
              <w:rFonts w:asciiTheme="minorHAnsi" w:eastAsiaTheme="minorEastAsia" w:hAnsiTheme="minorHAnsi" w:cstheme="minorBidi"/>
              <w:sz w:val="22"/>
              <w:szCs w:val="22"/>
              <w:lang w:eastAsia="en-NZ"/>
            </w:rPr>
          </w:pPr>
          <w:hyperlink w:anchor="_Toc479253050" w:history="1">
            <w:r w:rsidR="004E1467" w:rsidRPr="00015AF5">
              <w:rPr>
                <w:rStyle w:val="Hyperlink"/>
              </w:rPr>
              <w:t>Fit with Class 4 Gambling Review</w:t>
            </w:r>
            <w:r w:rsidR="004E1467">
              <w:rPr>
                <w:webHidden/>
              </w:rPr>
              <w:tab/>
            </w:r>
            <w:r w:rsidR="004E1467">
              <w:rPr>
                <w:webHidden/>
              </w:rPr>
              <w:fldChar w:fldCharType="begin"/>
            </w:r>
            <w:r w:rsidR="004E1467">
              <w:rPr>
                <w:webHidden/>
              </w:rPr>
              <w:instrText xml:space="preserve"> PAGEREF _Toc479253050 \h </w:instrText>
            </w:r>
            <w:r w:rsidR="004E1467">
              <w:rPr>
                <w:webHidden/>
              </w:rPr>
            </w:r>
            <w:r w:rsidR="004E1467">
              <w:rPr>
                <w:webHidden/>
              </w:rPr>
              <w:fldChar w:fldCharType="separate"/>
            </w:r>
            <w:r w:rsidR="00342104">
              <w:rPr>
                <w:webHidden/>
              </w:rPr>
              <w:t>23</w:t>
            </w:r>
            <w:r w:rsidR="004E1467">
              <w:rPr>
                <w:webHidden/>
              </w:rPr>
              <w:fldChar w:fldCharType="end"/>
            </w:r>
          </w:hyperlink>
        </w:p>
        <w:p w14:paraId="424467F0" w14:textId="77777777" w:rsidR="004E1467" w:rsidRDefault="00F733E4">
          <w:pPr>
            <w:pStyle w:val="TOC3"/>
            <w:rPr>
              <w:rFonts w:asciiTheme="minorHAnsi" w:eastAsiaTheme="minorEastAsia" w:hAnsiTheme="minorHAnsi" w:cstheme="minorBidi"/>
              <w:sz w:val="22"/>
              <w:szCs w:val="22"/>
              <w:lang w:eastAsia="en-NZ"/>
            </w:rPr>
          </w:pPr>
          <w:hyperlink w:anchor="_Toc479253051" w:history="1">
            <w:r w:rsidR="004E1467" w:rsidRPr="00015AF5">
              <w:rPr>
                <w:rStyle w:val="Hyperlink"/>
              </w:rPr>
              <w:t>We considered a number of options for the performance expectations framework</w:t>
            </w:r>
            <w:r w:rsidR="004E1467">
              <w:rPr>
                <w:webHidden/>
              </w:rPr>
              <w:tab/>
            </w:r>
            <w:r w:rsidR="004E1467">
              <w:rPr>
                <w:webHidden/>
              </w:rPr>
              <w:fldChar w:fldCharType="begin"/>
            </w:r>
            <w:r w:rsidR="004E1467">
              <w:rPr>
                <w:webHidden/>
              </w:rPr>
              <w:instrText xml:space="preserve"> PAGEREF _Toc479253051 \h </w:instrText>
            </w:r>
            <w:r w:rsidR="004E1467">
              <w:rPr>
                <w:webHidden/>
              </w:rPr>
            </w:r>
            <w:r w:rsidR="004E1467">
              <w:rPr>
                <w:webHidden/>
              </w:rPr>
              <w:fldChar w:fldCharType="separate"/>
            </w:r>
            <w:r w:rsidR="00342104">
              <w:rPr>
                <w:webHidden/>
              </w:rPr>
              <w:t>23</w:t>
            </w:r>
            <w:r w:rsidR="004E1467">
              <w:rPr>
                <w:webHidden/>
              </w:rPr>
              <w:fldChar w:fldCharType="end"/>
            </w:r>
          </w:hyperlink>
        </w:p>
        <w:p w14:paraId="555439ED" w14:textId="77777777" w:rsidR="004E1467" w:rsidRDefault="00F733E4">
          <w:pPr>
            <w:pStyle w:val="TOC1"/>
            <w:tabs>
              <w:tab w:val="left" w:pos="425"/>
            </w:tabs>
            <w:rPr>
              <w:rFonts w:asciiTheme="minorHAnsi" w:eastAsiaTheme="minorEastAsia" w:hAnsiTheme="minorHAnsi" w:cstheme="minorBidi"/>
              <w:b w:val="0"/>
              <w:noProof/>
              <w:color w:val="auto"/>
              <w:sz w:val="22"/>
              <w:szCs w:val="22"/>
              <w:lang w:eastAsia="en-NZ"/>
            </w:rPr>
          </w:pPr>
          <w:hyperlink w:anchor="_Toc479253052" w:history="1">
            <w:r w:rsidR="004E1467" w:rsidRPr="00015AF5">
              <w:rPr>
                <w:rStyle w:val="Hyperlink"/>
                <w:noProof/>
              </w:rPr>
              <w:t>8.</w:t>
            </w:r>
            <w:r w:rsidR="004E1467">
              <w:rPr>
                <w:rFonts w:asciiTheme="minorHAnsi" w:eastAsiaTheme="minorEastAsia" w:hAnsiTheme="minorHAnsi" w:cstheme="minorBidi"/>
                <w:b w:val="0"/>
                <w:noProof/>
                <w:color w:val="auto"/>
                <w:sz w:val="22"/>
                <w:szCs w:val="22"/>
                <w:lang w:eastAsia="en-NZ"/>
              </w:rPr>
              <w:tab/>
            </w:r>
            <w:r w:rsidR="004E1467" w:rsidRPr="00015AF5">
              <w:rPr>
                <w:rStyle w:val="Hyperlink"/>
                <w:noProof/>
              </w:rPr>
              <w:t>Questions for submitters</w:t>
            </w:r>
            <w:r w:rsidR="004E1467">
              <w:rPr>
                <w:noProof/>
                <w:webHidden/>
              </w:rPr>
              <w:tab/>
            </w:r>
            <w:r w:rsidR="004E1467">
              <w:rPr>
                <w:noProof/>
                <w:webHidden/>
              </w:rPr>
              <w:fldChar w:fldCharType="begin"/>
            </w:r>
            <w:r w:rsidR="004E1467">
              <w:rPr>
                <w:noProof/>
                <w:webHidden/>
              </w:rPr>
              <w:instrText xml:space="preserve"> PAGEREF _Toc479253052 \h </w:instrText>
            </w:r>
            <w:r w:rsidR="004E1467">
              <w:rPr>
                <w:noProof/>
                <w:webHidden/>
              </w:rPr>
            </w:r>
            <w:r w:rsidR="004E1467">
              <w:rPr>
                <w:noProof/>
                <w:webHidden/>
              </w:rPr>
              <w:fldChar w:fldCharType="separate"/>
            </w:r>
            <w:r w:rsidR="00342104">
              <w:rPr>
                <w:noProof/>
                <w:webHidden/>
              </w:rPr>
              <w:t>24</w:t>
            </w:r>
            <w:r w:rsidR="004E1467">
              <w:rPr>
                <w:noProof/>
                <w:webHidden/>
              </w:rPr>
              <w:fldChar w:fldCharType="end"/>
            </w:r>
          </w:hyperlink>
        </w:p>
        <w:p w14:paraId="1B3F2DD7" w14:textId="77777777" w:rsidR="004E1467" w:rsidRDefault="00F733E4">
          <w:pPr>
            <w:pStyle w:val="TOC1"/>
            <w:tabs>
              <w:tab w:val="left" w:pos="425"/>
            </w:tabs>
            <w:rPr>
              <w:rFonts w:asciiTheme="minorHAnsi" w:eastAsiaTheme="minorEastAsia" w:hAnsiTheme="minorHAnsi" w:cstheme="minorBidi"/>
              <w:b w:val="0"/>
              <w:noProof/>
              <w:color w:val="auto"/>
              <w:sz w:val="22"/>
              <w:szCs w:val="22"/>
              <w:lang w:eastAsia="en-NZ"/>
            </w:rPr>
          </w:pPr>
          <w:hyperlink w:anchor="_Toc479253053" w:history="1">
            <w:r w:rsidR="004E1467" w:rsidRPr="00015AF5">
              <w:rPr>
                <w:rStyle w:val="Hyperlink"/>
                <w:noProof/>
              </w:rPr>
              <w:t>9.</w:t>
            </w:r>
            <w:r w:rsidR="004E1467">
              <w:rPr>
                <w:rFonts w:asciiTheme="minorHAnsi" w:eastAsiaTheme="minorEastAsia" w:hAnsiTheme="minorHAnsi" w:cstheme="minorBidi"/>
                <w:b w:val="0"/>
                <w:noProof/>
                <w:color w:val="auto"/>
                <w:sz w:val="22"/>
                <w:szCs w:val="22"/>
                <w:lang w:eastAsia="en-NZ"/>
              </w:rPr>
              <w:tab/>
            </w:r>
            <w:r w:rsidR="004E1467" w:rsidRPr="00015AF5">
              <w:rPr>
                <w:rStyle w:val="Hyperlink"/>
                <w:noProof/>
              </w:rPr>
              <w:t>Appendices</w:t>
            </w:r>
            <w:r w:rsidR="004E1467">
              <w:rPr>
                <w:noProof/>
                <w:webHidden/>
              </w:rPr>
              <w:tab/>
            </w:r>
            <w:r w:rsidR="004E1467">
              <w:rPr>
                <w:noProof/>
                <w:webHidden/>
              </w:rPr>
              <w:fldChar w:fldCharType="begin"/>
            </w:r>
            <w:r w:rsidR="004E1467">
              <w:rPr>
                <w:noProof/>
                <w:webHidden/>
              </w:rPr>
              <w:instrText xml:space="preserve"> PAGEREF _Toc479253053 \h </w:instrText>
            </w:r>
            <w:r w:rsidR="004E1467">
              <w:rPr>
                <w:noProof/>
                <w:webHidden/>
              </w:rPr>
            </w:r>
            <w:r w:rsidR="004E1467">
              <w:rPr>
                <w:noProof/>
                <w:webHidden/>
              </w:rPr>
              <w:fldChar w:fldCharType="separate"/>
            </w:r>
            <w:r w:rsidR="00342104">
              <w:rPr>
                <w:noProof/>
                <w:webHidden/>
              </w:rPr>
              <w:t>26</w:t>
            </w:r>
            <w:r w:rsidR="004E1467">
              <w:rPr>
                <w:noProof/>
                <w:webHidden/>
              </w:rPr>
              <w:fldChar w:fldCharType="end"/>
            </w:r>
          </w:hyperlink>
        </w:p>
        <w:p w14:paraId="61CE446E" w14:textId="77777777" w:rsidR="004E1467" w:rsidRDefault="00F733E4">
          <w:pPr>
            <w:pStyle w:val="TOC3"/>
            <w:rPr>
              <w:rFonts w:asciiTheme="minorHAnsi" w:eastAsiaTheme="minorEastAsia" w:hAnsiTheme="minorHAnsi" w:cstheme="minorBidi"/>
              <w:sz w:val="22"/>
              <w:szCs w:val="22"/>
              <w:lang w:eastAsia="en-NZ"/>
            </w:rPr>
          </w:pPr>
          <w:hyperlink w:anchor="_Toc479253054" w:history="1">
            <w:r w:rsidR="004E1467" w:rsidRPr="00015AF5">
              <w:rPr>
                <w:rStyle w:val="Hyperlink"/>
              </w:rPr>
              <w:t>Appendix 1: Performance Expectation Framework</w:t>
            </w:r>
            <w:r w:rsidR="004E1467">
              <w:rPr>
                <w:webHidden/>
              </w:rPr>
              <w:tab/>
            </w:r>
            <w:r w:rsidR="004E1467">
              <w:rPr>
                <w:webHidden/>
              </w:rPr>
              <w:fldChar w:fldCharType="begin"/>
            </w:r>
            <w:r w:rsidR="004E1467">
              <w:rPr>
                <w:webHidden/>
              </w:rPr>
              <w:instrText xml:space="preserve"> PAGEREF _Toc479253054 \h </w:instrText>
            </w:r>
            <w:r w:rsidR="004E1467">
              <w:rPr>
                <w:webHidden/>
              </w:rPr>
            </w:r>
            <w:r w:rsidR="004E1467">
              <w:rPr>
                <w:webHidden/>
              </w:rPr>
              <w:fldChar w:fldCharType="separate"/>
            </w:r>
            <w:r w:rsidR="00342104">
              <w:rPr>
                <w:webHidden/>
              </w:rPr>
              <w:t>26</w:t>
            </w:r>
            <w:r w:rsidR="004E1467">
              <w:rPr>
                <w:webHidden/>
              </w:rPr>
              <w:fldChar w:fldCharType="end"/>
            </w:r>
          </w:hyperlink>
        </w:p>
        <w:p w14:paraId="41241A0F" w14:textId="77777777" w:rsidR="004E1467" w:rsidRDefault="00F733E4">
          <w:pPr>
            <w:pStyle w:val="TOC3"/>
            <w:rPr>
              <w:rFonts w:asciiTheme="minorHAnsi" w:eastAsiaTheme="minorEastAsia" w:hAnsiTheme="minorHAnsi" w:cstheme="minorBidi"/>
              <w:sz w:val="22"/>
              <w:szCs w:val="22"/>
              <w:lang w:eastAsia="en-NZ"/>
            </w:rPr>
          </w:pPr>
          <w:hyperlink w:anchor="_Toc479253055" w:history="1">
            <w:r w:rsidR="004E1467" w:rsidRPr="00015AF5">
              <w:rPr>
                <w:rStyle w:val="Hyperlink"/>
              </w:rPr>
              <w:t>Appendix 2: Practice Examples</w:t>
            </w:r>
            <w:r w:rsidR="004E1467">
              <w:rPr>
                <w:webHidden/>
              </w:rPr>
              <w:tab/>
            </w:r>
            <w:r w:rsidR="004E1467">
              <w:rPr>
                <w:webHidden/>
              </w:rPr>
              <w:fldChar w:fldCharType="begin"/>
            </w:r>
            <w:r w:rsidR="004E1467">
              <w:rPr>
                <w:webHidden/>
              </w:rPr>
              <w:instrText xml:space="preserve"> PAGEREF _Toc479253055 \h </w:instrText>
            </w:r>
            <w:r w:rsidR="004E1467">
              <w:rPr>
                <w:webHidden/>
              </w:rPr>
            </w:r>
            <w:r w:rsidR="004E1467">
              <w:rPr>
                <w:webHidden/>
              </w:rPr>
              <w:fldChar w:fldCharType="separate"/>
            </w:r>
            <w:r w:rsidR="00342104">
              <w:rPr>
                <w:webHidden/>
              </w:rPr>
              <w:t>29</w:t>
            </w:r>
            <w:r w:rsidR="004E1467">
              <w:rPr>
                <w:webHidden/>
              </w:rPr>
              <w:fldChar w:fldCharType="end"/>
            </w:r>
          </w:hyperlink>
        </w:p>
        <w:p w14:paraId="21089315" w14:textId="77777777" w:rsidR="004E1467" w:rsidRDefault="00F733E4">
          <w:pPr>
            <w:pStyle w:val="TOC3"/>
            <w:rPr>
              <w:rFonts w:asciiTheme="minorHAnsi" w:eastAsiaTheme="minorEastAsia" w:hAnsiTheme="minorHAnsi" w:cstheme="minorBidi"/>
              <w:sz w:val="22"/>
              <w:szCs w:val="22"/>
              <w:lang w:eastAsia="en-NZ"/>
            </w:rPr>
          </w:pPr>
          <w:hyperlink w:anchor="_Toc479253056" w:history="1">
            <w:r w:rsidR="004E1467" w:rsidRPr="00015AF5">
              <w:rPr>
                <w:rStyle w:val="Hyperlink"/>
              </w:rPr>
              <w:t>Appendix 3: Outcomes Framework</w:t>
            </w:r>
            <w:r w:rsidR="004E1467">
              <w:rPr>
                <w:webHidden/>
              </w:rPr>
              <w:tab/>
            </w:r>
            <w:r w:rsidR="004E1467">
              <w:rPr>
                <w:webHidden/>
              </w:rPr>
              <w:fldChar w:fldCharType="begin"/>
            </w:r>
            <w:r w:rsidR="004E1467">
              <w:rPr>
                <w:webHidden/>
              </w:rPr>
              <w:instrText xml:space="preserve"> PAGEREF _Toc479253056 \h </w:instrText>
            </w:r>
            <w:r w:rsidR="004E1467">
              <w:rPr>
                <w:webHidden/>
              </w:rPr>
            </w:r>
            <w:r w:rsidR="004E1467">
              <w:rPr>
                <w:webHidden/>
              </w:rPr>
              <w:fldChar w:fldCharType="separate"/>
            </w:r>
            <w:r w:rsidR="00342104">
              <w:rPr>
                <w:webHidden/>
              </w:rPr>
              <w:t>37</w:t>
            </w:r>
            <w:r w:rsidR="004E1467">
              <w:rPr>
                <w:webHidden/>
              </w:rPr>
              <w:fldChar w:fldCharType="end"/>
            </w:r>
          </w:hyperlink>
        </w:p>
        <w:p w14:paraId="60FF5A1A" w14:textId="77777777" w:rsidR="004E1467" w:rsidRDefault="00F733E4">
          <w:pPr>
            <w:pStyle w:val="TOC3"/>
            <w:rPr>
              <w:rFonts w:asciiTheme="minorHAnsi" w:eastAsiaTheme="minorEastAsia" w:hAnsiTheme="minorHAnsi" w:cstheme="minorBidi"/>
              <w:sz w:val="22"/>
              <w:szCs w:val="22"/>
              <w:lang w:eastAsia="en-NZ"/>
            </w:rPr>
          </w:pPr>
          <w:hyperlink w:anchor="_Toc479253057" w:history="1">
            <w:r w:rsidR="004E1467" w:rsidRPr="00015AF5">
              <w:rPr>
                <w:rStyle w:val="Hyperlink"/>
              </w:rPr>
              <w:t>Appendix 4: Rating scale (PIF)</w:t>
            </w:r>
            <w:r w:rsidR="004E1467">
              <w:rPr>
                <w:webHidden/>
              </w:rPr>
              <w:tab/>
            </w:r>
            <w:r w:rsidR="004E1467">
              <w:rPr>
                <w:webHidden/>
              </w:rPr>
              <w:fldChar w:fldCharType="begin"/>
            </w:r>
            <w:r w:rsidR="004E1467">
              <w:rPr>
                <w:webHidden/>
              </w:rPr>
              <w:instrText xml:space="preserve"> PAGEREF _Toc479253057 \h </w:instrText>
            </w:r>
            <w:r w:rsidR="004E1467">
              <w:rPr>
                <w:webHidden/>
              </w:rPr>
            </w:r>
            <w:r w:rsidR="004E1467">
              <w:rPr>
                <w:webHidden/>
              </w:rPr>
              <w:fldChar w:fldCharType="separate"/>
            </w:r>
            <w:r w:rsidR="00342104">
              <w:rPr>
                <w:webHidden/>
              </w:rPr>
              <w:t>38</w:t>
            </w:r>
            <w:r w:rsidR="004E1467">
              <w:rPr>
                <w:webHidden/>
              </w:rPr>
              <w:fldChar w:fldCharType="end"/>
            </w:r>
          </w:hyperlink>
        </w:p>
        <w:p w14:paraId="3F30909B" w14:textId="77777777" w:rsidR="004E1467" w:rsidRDefault="00F733E4">
          <w:pPr>
            <w:pStyle w:val="TOC3"/>
            <w:rPr>
              <w:rFonts w:asciiTheme="minorHAnsi" w:eastAsiaTheme="minorEastAsia" w:hAnsiTheme="minorHAnsi" w:cstheme="minorBidi"/>
              <w:sz w:val="22"/>
              <w:szCs w:val="22"/>
              <w:lang w:eastAsia="en-NZ"/>
            </w:rPr>
          </w:pPr>
          <w:hyperlink w:anchor="_Toc479253058" w:history="1">
            <w:r w:rsidR="004E1467" w:rsidRPr="00015AF5">
              <w:rPr>
                <w:rStyle w:val="Hyperlink"/>
              </w:rPr>
              <w:t>Appendix 5: Assessment Methods</w:t>
            </w:r>
            <w:r w:rsidR="004E1467">
              <w:rPr>
                <w:webHidden/>
              </w:rPr>
              <w:tab/>
            </w:r>
            <w:r w:rsidR="004E1467">
              <w:rPr>
                <w:webHidden/>
              </w:rPr>
              <w:fldChar w:fldCharType="begin"/>
            </w:r>
            <w:r w:rsidR="004E1467">
              <w:rPr>
                <w:webHidden/>
              </w:rPr>
              <w:instrText xml:space="preserve"> PAGEREF _Toc479253058 \h </w:instrText>
            </w:r>
            <w:r w:rsidR="004E1467">
              <w:rPr>
                <w:webHidden/>
              </w:rPr>
            </w:r>
            <w:r w:rsidR="004E1467">
              <w:rPr>
                <w:webHidden/>
              </w:rPr>
              <w:fldChar w:fldCharType="separate"/>
            </w:r>
            <w:r w:rsidR="00342104">
              <w:rPr>
                <w:webHidden/>
              </w:rPr>
              <w:t>39</w:t>
            </w:r>
            <w:r w:rsidR="004E1467">
              <w:rPr>
                <w:webHidden/>
              </w:rPr>
              <w:fldChar w:fldCharType="end"/>
            </w:r>
          </w:hyperlink>
        </w:p>
        <w:p w14:paraId="45285922" w14:textId="77777777" w:rsidR="004E1467" w:rsidRDefault="00F733E4">
          <w:pPr>
            <w:pStyle w:val="TOC3"/>
            <w:rPr>
              <w:rFonts w:asciiTheme="minorHAnsi" w:eastAsiaTheme="minorEastAsia" w:hAnsiTheme="minorHAnsi" w:cstheme="minorBidi"/>
              <w:sz w:val="22"/>
              <w:szCs w:val="22"/>
              <w:lang w:eastAsia="en-NZ"/>
            </w:rPr>
          </w:pPr>
          <w:hyperlink w:anchor="_Toc479253059" w:history="1">
            <w:r w:rsidR="004E1467" w:rsidRPr="00015AF5">
              <w:rPr>
                <w:rStyle w:val="Hyperlink"/>
              </w:rPr>
              <w:t>Appendix 6: Design options</w:t>
            </w:r>
            <w:r w:rsidR="004E1467">
              <w:rPr>
                <w:webHidden/>
              </w:rPr>
              <w:tab/>
            </w:r>
            <w:r w:rsidR="004E1467">
              <w:rPr>
                <w:webHidden/>
              </w:rPr>
              <w:fldChar w:fldCharType="begin"/>
            </w:r>
            <w:r w:rsidR="004E1467">
              <w:rPr>
                <w:webHidden/>
              </w:rPr>
              <w:instrText xml:space="preserve"> PAGEREF _Toc479253059 \h </w:instrText>
            </w:r>
            <w:r w:rsidR="004E1467">
              <w:rPr>
                <w:webHidden/>
              </w:rPr>
            </w:r>
            <w:r w:rsidR="004E1467">
              <w:rPr>
                <w:webHidden/>
              </w:rPr>
              <w:fldChar w:fldCharType="separate"/>
            </w:r>
            <w:r w:rsidR="00342104">
              <w:rPr>
                <w:webHidden/>
              </w:rPr>
              <w:t>47</w:t>
            </w:r>
            <w:r w:rsidR="004E1467">
              <w:rPr>
                <w:webHidden/>
              </w:rPr>
              <w:fldChar w:fldCharType="end"/>
            </w:r>
          </w:hyperlink>
        </w:p>
        <w:p w14:paraId="37F04A7D" w14:textId="77777777" w:rsidR="004E1467" w:rsidRDefault="00F733E4">
          <w:pPr>
            <w:pStyle w:val="TOC3"/>
            <w:rPr>
              <w:rFonts w:asciiTheme="minorHAnsi" w:eastAsiaTheme="minorEastAsia" w:hAnsiTheme="minorHAnsi" w:cstheme="minorBidi"/>
              <w:sz w:val="22"/>
              <w:szCs w:val="22"/>
              <w:lang w:eastAsia="en-NZ"/>
            </w:rPr>
          </w:pPr>
          <w:hyperlink w:anchor="_Toc479253060" w:history="1">
            <w:r w:rsidR="004E1467" w:rsidRPr="00015AF5">
              <w:rPr>
                <w:rStyle w:val="Hyperlink"/>
              </w:rPr>
              <w:t>Appendix 7: Sector Technical Reference Group – Terms of Reference</w:t>
            </w:r>
            <w:r w:rsidR="004E1467">
              <w:rPr>
                <w:webHidden/>
              </w:rPr>
              <w:tab/>
            </w:r>
            <w:r w:rsidR="004E1467">
              <w:rPr>
                <w:webHidden/>
              </w:rPr>
              <w:fldChar w:fldCharType="begin"/>
            </w:r>
            <w:r w:rsidR="004E1467">
              <w:rPr>
                <w:webHidden/>
              </w:rPr>
              <w:instrText xml:space="preserve"> PAGEREF _Toc479253060 \h </w:instrText>
            </w:r>
            <w:r w:rsidR="004E1467">
              <w:rPr>
                <w:webHidden/>
              </w:rPr>
            </w:r>
            <w:r w:rsidR="004E1467">
              <w:rPr>
                <w:webHidden/>
              </w:rPr>
              <w:fldChar w:fldCharType="separate"/>
            </w:r>
            <w:r w:rsidR="00342104">
              <w:rPr>
                <w:webHidden/>
              </w:rPr>
              <w:t>50</w:t>
            </w:r>
            <w:r w:rsidR="004E1467">
              <w:rPr>
                <w:webHidden/>
              </w:rPr>
              <w:fldChar w:fldCharType="end"/>
            </w:r>
          </w:hyperlink>
        </w:p>
        <w:p w14:paraId="12195B8F" w14:textId="5204F44C" w:rsidR="006E0F3E" w:rsidRPr="00610172" w:rsidRDefault="005B5FA1" w:rsidP="00165DAA">
          <w:pPr>
            <w:jc w:val="both"/>
            <w:rPr>
              <w:b/>
              <w:bCs/>
              <w:noProof/>
            </w:rPr>
          </w:pPr>
          <w:r>
            <w:rPr>
              <w:b/>
              <w:bCs/>
              <w:noProof/>
            </w:rPr>
            <w:fldChar w:fldCharType="end"/>
          </w:r>
          <w:r w:rsidR="00610172">
            <w:rPr>
              <w:b/>
              <w:bCs/>
              <w:noProof/>
            </w:rPr>
            <w:br w:type="page"/>
          </w:r>
        </w:p>
      </w:sdtContent>
    </w:sdt>
    <w:p w14:paraId="773AEF20" w14:textId="5EE4FF0C" w:rsidR="00115DD9" w:rsidRDefault="00115DD9" w:rsidP="00E1075C">
      <w:pPr>
        <w:pStyle w:val="Heading1"/>
        <w:numPr>
          <w:ilvl w:val="0"/>
          <w:numId w:val="28"/>
        </w:numPr>
        <w:spacing w:after="240"/>
        <w:ind w:left="567" w:hanging="567"/>
        <w:jc w:val="both"/>
      </w:pPr>
      <w:bookmarkStart w:id="1" w:name="_Toc479253021"/>
      <w:r>
        <w:lastRenderedPageBreak/>
        <w:t>What is this document about?</w:t>
      </w:r>
      <w:bookmarkEnd w:id="1"/>
      <w:bookmarkEnd w:id="0"/>
    </w:p>
    <w:p w14:paraId="373EE553" w14:textId="2C41B442" w:rsidR="00E30B73" w:rsidRDefault="4FEF2642" w:rsidP="00990BF3">
      <w:pPr>
        <w:jc w:val="both"/>
      </w:pPr>
      <w:r>
        <w:t xml:space="preserve">The Department of Internal Affairs (the Department) is developing its operational policy to assess applications from Class 4 licence holders </w:t>
      </w:r>
      <w:r w:rsidR="001020CA">
        <w:t xml:space="preserve">(which are societies and clubs) </w:t>
      </w:r>
      <w:r>
        <w:t xml:space="preserve">for a </w:t>
      </w:r>
      <w:r w:rsidR="00CF66AF">
        <w:t>best</w:t>
      </w:r>
      <w:r w:rsidR="001020CA">
        <w:t xml:space="preserve"> practice</w:t>
      </w:r>
      <w:r>
        <w:t xml:space="preserve"> licence, which would be given for three years. This document invites your comments on the proposed approach to societies and clubs that choose to apply for a </w:t>
      </w:r>
      <w:r w:rsidR="00CF66AF">
        <w:t>best</w:t>
      </w:r>
      <w:r>
        <w:t xml:space="preserve"> </w:t>
      </w:r>
      <w:r w:rsidR="001020CA">
        <w:t>practice</w:t>
      </w:r>
      <w:r w:rsidR="00A92585">
        <w:t xml:space="preserve"> l</w:t>
      </w:r>
      <w:r>
        <w:t>icence, how the application is made and how the Department would decide on the application based on the evidence provided by the society or club.</w:t>
      </w:r>
    </w:p>
    <w:p w14:paraId="7B174A4E" w14:textId="5C7B971B" w:rsidR="0081502C" w:rsidRDefault="00B26334" w:rsidP="00B26334">
      <w:pPr>
        <w:jc w:val="both"/>
      </w:pPr>
      <w:r>
        <w:t xml:space="preserve">In 2015, an amendment was made to the Gambling Act 2003 (the Act) that allows a Class 4 </w:t>
      </w:r>
      <w:r w:rsidR="00DD3737">
        <w:t>licence</w:t>
      </w:r>
      <w:r>
        <w:t xml:space="preserve"> to be granted for a period of up to three years.</w:t>
      </w:r>
      <w:r w:rsidR="0090630C" w:rsidRPr="36E5F146">
        <w:t xml:space="preserve"> </w:t>
      </w:r>
      <w:r w:rsidR="0081502C">
        <w:t xml:space="preserve">The Commentary for the Gambling Amendment Bill (No 3) sets out that “the intention is that longer </w:t>
      </w:r>
      <w:r w:rsidR="00DD3737">
        <w:t>licence</w:t>
      </w:r>
      <w:r w:rsidR="0081502C">
        <w:t xml:space="preserve">s should act as an incentive for </w:t>
      </w:r>
      <w:r w:rsidR="00CF66AF">
        <w:t>best</w:t>
      </w:r>
      <w:r w:rsidR="00DD3737">
        <w:t xml:space="preserve"> </w:t>
      </w:r>
      <w:r w:rsidR="001020CA">
        <w:t>practice</w:t>
      </w:r>
      <w:r w:rsidR="0081502C">
        <w:t xml:space="preserve"> and compliance among societies and venues.”</w:t>
      </w:r>
      <w:r w:rsidR="0081502C">
        <w:rPr>
          <w:rStyle w:val="FootnoteReference"/>
        </w:rPr>
        <w:footnoteReference w:id="2"/>
      </w:r>
    </w:p>
    <w:p w14:paraId="59E8A806" w14:textId="1F6B9780" w:rsidR="00815D65" w:rsidRDefault="00A92585" w:rsidP="00B26334">
      <w:pPr>
        <w:jc w:val="both"/>
      </w:pPr>
      <w:r>
        <w:t xml:space="preserve">The aim of this proposal is to improve performance and reduce compliance costs.  </w:t>
      </w:r>
      <w:r w:rsidR="4FEF2642">
        <w:t xml:space="preserve">On this basis, the Department is designing a three year </w:t>
      </w:r>
      <w:r w:rsidR="001020CA">
        <w:t>licence</w:t>
      </w:r>
      <w:r w:rsidR="4FEF2642">
        <w:t xml:space="preserve"> process that aims to reward societies and clubs that are demonstrating </w:t>
      </w:r>
      <w:r w:rsidR="00CF66AF">
        <w:t>best</w:t>
      </w:r>
      <w:r w:rsidR="001020CA">
        <w:t xml:space="preserve"> practice</w:t>
      </w:r>
      <w:r w:rsidR="00CF66AF">
        <w:t>. Best</w:t>
      </w:r>
      <w:r w:rsidR="001020CA">
        <w:t xml:space="preserve"> practice</w:t>
      </w:r>
      <w:r w:rsidR="4FEF2642">
        <w:t xml:space="preserve"> means going above and beyond the compliance requirements set in legislation.</w:t>
      </w:r>
      <w:r w:rsidR="001020CA">
        <w:t xml:space="preserve"> </w:t>
      </w:r>
      <w:r w:rsidR="00815D65" w:rsidRPr="4FEF2642">
        <w:rPr>
          <w:sz w:val="23"/>
          <w:szCs w:val="23"/>
        </w:rPr>
        <w:t xml:space="preserve">The Department has designed </w:t>
      </w:r>
      <w:r w:rsidR="00815D65">
        <w:rPr>
          <w:sz w:val="23"/>
          <w:szCs w:val="23"/>
        </w:rPr>
        <w:t xml:space="preserve">the best practice licence </w:t>
      </w:r>
      <w:r w:rsidR="00815D65" w:rsidRPr="4FEF2642">
        <w:rPr>
          <w:sz w:val="23"/>
          <w:szCs w:val="23"/>
        </w:rPr>
        <w:t>to be inclusive so that it can be used by small, medium and large societies as well as clubs.</w:t>
      </w:r>
      <w:r w:rsidR="00815D65">
        <w:rPr>
          <w:sz w:val="23"/>
          <w:szCs w:val="23"/>
        </w:rPr>
        <w:t xml:space="preserve"> Individual societies and clubs will have unique solutions and practices to meet the expected outcomes. The best practice licence should be flexible e</w:t>
      </w:r>
      <w:r>
        <w:rPr>
          <w:sz w:val="23"/>
          <w:szCs w:val="23"/>
        </w:rPr>
        <w:t>nough to accommodate the diversity of</w:t>
      </w:r>
      <w:r w:rsidR="00815D65">
        <w:rPr>
          <w:sz w:val="23"/>
          <w:szCs w:val="23"/>
        </w:rPr>
        <w:t xml:space="preserve"> licence holders and how they operate. </w:t>
      </w:r>
    </w:p>
    <w:p w14:paraId="79B315F3" w14:textId="2EF2E54A" w:rsidR="00B26334" w:rsidRDefault="4FEF2642" w:rsidP="00B26334">
      <w:pPr>
        <w:jc w:val="both"/>
      </w:pPr>
      <w:r>
        <w:t xml:space="preserve">It is voluntary for </w:t>
      </w:r>
      <w:r w:rsidR="001020CA">
        <w:t>licence</w:t>
      </w:r>
      <w:r>
        <w:t xml:space="preserve"> holders to apply for a three year </w:t>
      </w:r>
      <w:r w:rsidR="001020CA">
        <w:t>licence</w:t>
      </w:r>
      <w:r>
        <w:t xml:space="preserve"> – they may choose not to, and instead continue to apply annually to have their </w:t>
      </w:r>
      <w:r w:rsidR="001020CA">
        <w:t>licence</w:t>
      </w:r>
      <w:r>
        <w:t xml:space="preserve"> renewed. </w:t>
      </w:r>
      <w:r w:rsidR="00A92585">
        <w:t xml:space="preserve"> Applicants</w:t>
      </w:r>
      <w:r>
        <w:t xml:space="preserve"> must meet all legislative requirements for an annual licence under the Act before being considered for a three year licence. These legislative requirements would continue to be reassessed at every licence renewal.</w:t>
      </w:r>
    </w:p>
    <w:p w14:paraId="352F1805" w14:textId="39A895B1" w:rsidR="009D1767" w:rsidRDefault="009D1767" w:rsidP="009D1767">
      <w:pPr>
        <w:pStyle w:val="Heading2"/>
        <w:jc w:val="both"/>
      </w:pPr>
      <w:bookmarkStart w:id="2" w:name="_Toc479253022"/>
      <w:r>
        <w:t>Who is this document for?</w:t>
      </w:r>
      <w:bookmarkEnd w:id="2"/>
    </w:p>
    <w:p w14:paraId="6B80722A" w14:textId="2DD528C5" w:rsidR="009D1767" w:rsidRDefault="4FEF2642" w:rsidP="009D1767">
      <w:r>
        <w:t>We invite submissions on the proposal set out in this document. You may find it of particular relevance to you if you are:</w:t>
      </w:r>
    </w:p>
    <w:p w14:paraId="2A5268D3" w14:textId="7FF9881D" w:rsidR="00303C4C" w:rsidRDefault="4FEF2642" w:rsidP="00E1075C">
      <w:pPr>
        <w:pStyle w:val="ListParagraph"/>
        <w:numPr>
          <w:ilvl w:val="0"/>
          <w:numId w:val="35"/>
        </w:numPr>
      </w:pPr>
      <w:r>
        <w:t>a Class 4 society;</w:t>
      </w:r>
    </w:p>
    <w:p w14:paraId="76AABF8C" w14:textId="22E7C217" w:rsidR="00303C4C" w:rsidRDefault="4FEF2642" w:rsidP="00E1075C">
      <w:pPr>
        <w:pStyle w:val="ListParagraph"/>
        <w:numPr>
          <w:ilvl w:val="0"/>
          <w:numId w:val="35"/>
        </w:numPr>
      </w:pPr>
      <w:r>
        <w:t>a Class 4 club;</w:t>
      </w:r>
    </w:p>
    <w:p w14:paraId="6330FA90" w14:textId="300DA215" w:rsidR="00303C4C" w:rsidRDefault="4FEF2642" w:rsidP="00E1075C">
      <w:pPr>
        <w:pStyle w:val="ListParagraph"/>
        <w:numPr>
          <w:ilvl w:val="0"/>
          <w:numId w:val="35"/>
        </w:numPr>
      </w:pPr>
      <w:r>
        <w:t>a Class 4 venue;</w:t>
      </w:r>
    </w:p>
    <w:p w14:paraId="61728243" w14:textId="160FBC2D" w:rsidR="00CF5912" w:rsidRDefault="4FEF2642" w:rsidP="00E1075C">
      <w:pPr>
        <w:pStyle w:val="ListParagraph"/>
        <w:numPr>
          <w:ilvl w:val="0"/>
          <w:numId w:val="35"/>
        </w:numPr>
      </w:pPr>
      <w:r>
        <w:t>a problem gambling service provider;</w:t>
      </w:r>
    </w:p>
    <w:p w14:paraId="11B2C8EB" w14:textId="6460B421" w:rsidR="00CF5912" w:rsidRDefault="4FEF2642" w:rsidP="00E1075C">
      <w:pPr>
        <w:pStyle w:val="ListParagraph"/>
        <w:numPr>
          <w:ilvl w:val="0"/>
          <w:numId w:val="35"/>
        </w:numPr>
      </w:pPr>
      <w:r>
        <w:t xml:space="preserve">a community </w:t>
      </w:r>
      <w:r w:rsidR="00FB318A">
        <w:t>organisation</w:t>
      </w:r>
      <w:r>
        <w:t xml:space="preserve"> that applies for, or might apply for, gaming machine grants; or</w:t>
      </w:r>
    </w:p>
    <w:p w14:paraId="03EFC6B3" w14:textId="545EAE3C" w:rsidR="00CF5912" w:rsidRDefault="4FEF2642" w:rsidP="00E1075C">
      <w:pPr>
        <w:pStyle w:val="ListParagraph"/>
        <w:numPr>
          <w:ilvl w:val="0"/>
          <w:numId w:val="35"/>
        </w:numPr>
      </w:pPr>
      <w:r>
        <w:lastRenderedPageBreak/>
        <w:t>affected by gambling harm</w:t>
      </w:r>
      <w:r w:rsidR="00C164ED">
        <w:t>.</w:t>
      </w:r>
    </w:p>
    <w:p w14:paraId="1C516FC3" w14:textId="1224B266" w:rsidR="00C4604F" w:rsidRDefault="00C4604F" w:rsidP="00C4604F">
      <w:pPr>
        <w:pStyle w:val="Heading2"/>
        <w:jc w:val="both"/>
      </w:pPr>
      <w:bookmarkStart w:id="3" w:name="_Toc479253023"/>
      <w:r>
        <w:t>How does licensing work under the Act?</w:t>
      </w:r>
      <w:bookmarkEnd w:id="3"/>
    </w:p>
    <w:p w14:paraId="68C2ADB5" w14:textId="54EA9346" w:rsidR="00B26334" w:rsidRDefault="4FEF2642" w:rsidP="00B26334">
      <w:pPr>
        <w:jc w:val="both"/>
      </w:pPr>
      <w:r>
        <w:t xml:space="preserve">The Department is responsible for regulating the gambling sector in New Zealand. Corporate societies and clubs are </w:t>
      </w:r>
      <w:r w:rsidR="0038011C">
        <w:t xml:space="preserve">licensed </w:t>
      </w:r>
      <w:r>
        <w:t>by the Department to operate pokie machines in clubs or in commercial venues (pubs and bars). Gambling on gaming machines hosted in pubs, hotels and clubs is referred to as Class 4 gambling. Class 4 gambling does not include casinos.</w:t>
      </w:r>
    </w:p>
    <w:p w14:paraId="1BB56FBE" w14:textId="67844325" w:rsidR="00C4604F" w:rsidRDefault="00C4604F" w:rsidP="00C4604F">
      <w:pPr>
        <w:pStyle w:val="Heading3"/>
      </w:pPr>
      <w:bookmarkStart w:id="4" w:name="_Toc479253024"/>
      <w:r>
        <w:t xml:space="preserve">The society or club is the </w:t>
      </w:r>
      <w:r w:rsidR="00DD3737">
        <w:t>licence</w:t>
      </w:r>
      <w:r>
        <w:t xml:space="preserve"> holder</w:t>
      </w:r>
      <w:bookmarkEnd w:id="4"/>
    </w:p>
    <w:p w14:paraId="77FE3369" w14:textId="779AD691" w:rsidR="001D0C98" w:rsidRDefault="4FEF2642" w:rsidP="0090630C">
      <w:pPr>
        <w:jc w:val="both"/>
      </w:pPr>
      <w:r>
        <w:t xml:space="preserve">Under the Act, it is the Class 4 operator (i.e. the society or club) that is the licence holder and is ultimately responsible for ensuring that its venues meet their obligations in relation to Class 4 gambling. The </w:t>
      </w:r>
      <w:r w:rsidR="001020CA">
        <w:t>proposed best practice</w:t>
      </w:r>
      <w:r>
        <w:t xml:space="preserve"> </w:t>
      </w:r>
      <w:r w:rsidR="001020CA">
        <w:t>licence</w:t>
      </w:r>
      <w:r>
        <w:t xml:space="preserve"> set</w:t>
      </w:r>
      <w:r w:rsidR="001020CA">
        <w:t>s</w:t>
      </w:r>
      <w:r>
        <w:t xml:space="preserve"> out </w:t>
      </w:r>
      <w:r w:rsidR="00A92585">
        <w:t xml:space="preserve">a complete picture of </w:t>
      </w:r>
      <w:r>
        <w:t>the Department’s performance</w:t>
      </w:r>
      <w:r w:rsidR="00A92585">
        <w:t xml:space="preserve"> expectations</w:t>
      </w:r>
      <w:r>
        <w:t xml:space="preserve">. It </w:t>
      </w:r>
      <w:r w:rsidR="001020CA">
        <w:t xml:space="preserve">is focused on </w:t>
      </w:r>
      <w:r>
        <w:t>support</w:t>
      </w:r>
      <w:r w:rsidR="001020CA">
        <w:t>ing</w:t>
      </w:r>
      <w:r>
        <w:t xml:space="preserve"> </w:t>
      </w:r>
      <w:r w:rsidR="001020CA">
        <w:t>clubs and societies to assess their own performance and identify what should change to improve</w:t>
      </w:r>
      <w:r>
        <w:t xml:space="preserve">. </w:t>
      </w:r>
      <w:r w:rsidR="001020CA">
        <w:t xml:space="preserve">Societies are expected to performance manage their venues, including monitoring venues and improving venue performance. </w:t>
      </w:r>
    </w:p>
    <w:p w14:paraId="497A4ED9" w14:textId="5011C3B2" w:rsidR="001D0C98" w:rsidRDefault="4FEF2642" w:rsidP="0090630C">
      <w:pPr>
        <w:jc w:val="both"/>
      </w:pPr>
      <w:r>
        <w:t xml:space="preserve">All societies and clubs that have a </w:t>
      </w:r>
      <w:r w:rsidR="001020CA">
        <w:t>best practice</w:t>
      </w:r>
      <w:r>
        <w:t xml:space="preserve"> licence would also have all of their venues licensed for three years. </w:t>
      </w:r>
      <w:r w:rsidR="00BB56E8">
        <w:t>T</w:t>
      </w:r>
      <w:r>
        <w:t xml:space="preserve">he society or club holds, applies and pays for the venue licence, </w:t>
      </w:r>
      <w:r w:rsidR="00BB56E8">
        <w:t xml:space="preserve">therefore, the club or </w:t>
      </w:r>
      <w:r>
        <w:t xml:space="preserve">the </w:t>
      </w:r>
      <w:r w:rsidR="00BB56E8">
        <w:t>society is the</w:t>
      </w:r>
      <w:r>
        <w:t xml:space="preserve"> licence </w:t>
      </w:r>
      <w:r w:rsidR="00BB56E8">
        <w:t xml:space="preserve">holder, </w:t>
      </w:r>
      <w:r>
        <w:t xml:space="preserve">not </w:t>
      </w:r>
      <w:r w:rsidR="00BB56E8">
        <w:t>the</w:t>
      </w:r>
      <w:r>
        <w:t xml:space="preserve"> venue. </w:t>
      </w:r>
      <w:r w:rsidR="00BB56E8">
        <w:t>I</w:t>
      </w:r>
      <w:r>
        <w:t>t is not legally or practically feasible to have different licence length</w:t>
      </w:r>
      <w:r w:rsidR="008C74AC">
        <w:t>s</w:t>
      </w:r>
      <w:r>
        <w:t xml:space="preserve"> for a society and </w:t>
      </w:r>
      <w:r w:rsidR="00BB56E8">
        <w:t>the</w:t>
      </w:r>
      <w:r>
        <w:t xml:space="preserve"> venues</w:t>
      </w:r>
      <w:r w:rsidR="00BB56E8">
        <w:t xml:space="preserve"> it is responsible for</w:t>
      </w:r>
      <w:r>
        <w:t xml:space="preserve">. </w:t>
      </w:r>
    </w:p>
    <w:p w14:paraId="33E0B579" w14:textId="5AFD90EF" w:rsidR="00BB56E8" w:rsidRDefault="4FEF2642" w:rsidP="00C4604F">
      <w:pPr>
        <w:jc w:val="both"/>
      </w:pPr>
      <w:r>
        <w:t xml:space="preserve">Because the society or club is the </w:t>
      </w:r>
      <w:r w:rsidR="001020CA">
        <w:t>licence</w:t>
      </w:r>
      <w:r>
        <w:t xml:space="preserve"> holder, the </w:t>
      </w:r>
      <w:r w:rsidR="001020CA">
        <w:t>best practice</w:t>
      </w:r>
      <w:r>
        <w:t xml:space="preserve"> </w:t>
      </w:r>
      <w:r w:rsidR="001020CA">
        <w:t>licence</w:t>
      </w:r>
      <w:r>
        <w:t xml:space="preserve"> is </w:t>
      </w:r>
      <w:r w:rsidR="00BB56E8">
        <w:t xml:space="preserve">focused on the </w:t>
      </w:r>
      <w:r>
        <w:t>society</w:t>
      </w:r>
      <w:r w:rsidR="00BB56E8">
        <w:t>’s performance including assessing how</w:t>
      </w:r>
      <w:r>
        <w:t xml:space="preserve"> </w:t>
      </w:r>
      <w:r w:rsidR="00BB56E8">
        <w:t xml:space="preserve">it </w:t>
      </w:r>
      <w:r>
        <w:t>works with its venues, and how the society influences and supports venue staff to meet their obligations in terms of harm minimisation and other gambling processes.</w:t>
      </w:r>
      <w:r w:rsidR="00BB56E8">
        <w:t xml:space="preserve"> </w:t>
      </w:r>
      <w:r>
        <w:t xml:space="preserve">A society or club that is recognised as </w:t>
      </w:r>
      <w:r w:rsidR="00BB56E8">
        <w:t>b</w:t>
      </w:r>
      <w:r w:rsidR="001020CA">
        <w:t>est practice</w:t>
      </w:r>
      <w:r>
        <w:t xml:space="preserve"> </w:t>
      </w:r>
      <w:r w:rsidR="00BB56E8">
        <w:t xml:space="preserve">should </w:t>
      </w:r>
      <w:r>
        <w:t xml:space="preserve">have open relationships with its venues and robust systems in place to support its venues’ compliance. </w:t>
      </w:r>
    </w:p>
    <w:p w14:paraId="489732AC" w14:textId="25AEDB9D" w:rsidR="00884199" w:rsidRDefault="4FEF2642" w:rsidP="00884199">
      <w:pPr>
        <w:jc w:val="both"/>
      </w:pPr>
      <w:r>
        <w:t xml:space="preserve">The Department will continue to assess </w:t>
      </w:r>
      <w:r w:rsidR="00BB56E8">
        <w:t xml:space="preserve">venue </w:t>
      </w:r>
      <w:r>
        <w:t xml:space="preserve">performance </w:t>
      </w:r>
      <w:r w:rsidR="00BB56E8">
        <w:t xml:space="preserve">independently from the responsible society. The Department is currently reviewing </w:t>
      </w:r>
      <w:r w:rsidR="00F733E4">
        <w:t>how it applies regulatory resource to venues</w:t>
      </w:r>
      <w:r w:rsidR="00BB56E8">
        <w:t xml:space="preserve">. The Department will continue to </w:t>
      </w:r>
      <w:r w:rsidR="00F733E4">
        <w:t xml:space="preserve">identify risk areas and </w:t>
      </w:r>
      <w:r w:rsidR="00BB56E8">
        <w:t xml:space="preserve">inspect venues </w:t>
      </w:r>
      <w:r>
        <w:t xml:space="preserve">– even if those venues belong to a society holding a </w:t>
      </w:r>
      <w:r w:rsidR="00BB56E8">
        <w:t>b</w:t>
      </w:r>
      <w:r w:rsidR="001020CA">
        <w:t>est practice</w:t>
      </w:r>
      <w:r>
        <w:t xml:space="preserve"> licence. If the Department has concerns about a particular venue, the Department has a range of regulatory options available, including </w:t>
      </w:r>
      <w:r w:rsidR="008C74AC">
        <w:t xml:space="preserve">licence suspension, cancellation or </w:t>
      </w:r>
      <w:r>
        <w:t xml:space="preserve">refusing to renew the venue licence. </w:t>
      </w:r>
    </w:p>
    <w:p w14:paraId="3BE0E62B" w14:textId="6D96E589" w:rsidR="00BB56E8" w:rsidRDefault="00BB56E8" w:rsidP="00884199">
      <w:pPr>
        <w:jc w:val="both"/>
        <w:rPr>
          <w:i/>
          <w:iCs/>
        </w:rPr>
      </w:pPr>
      <w:bookmarkStart w:id="5" w:name="_Toc437434767"/>
      <w:bookmarkEnd w:id="5"/>
      <w:r w:rsidRPr="4FEF2642">
        <w:rPr>
          <w:b/>
          <w:bCs/>
        </w:rPr>
        <w:t>Question</w:t>
      </w:r>
      <w:r w:rsidR="008B36A3">
        <w:rPr>
          <w:b/>
          <w:bCs/>
        </w:rPr>
        <w:t xml:space="preserve"> 1</w:t>
      </w:r>
      <w:r w:rsidRPr="4FEF2642">
        <w:rPr>
          <w:b/>
          <w:bCs/>
        </w:rPr>
        <w:t>:</w:t>
      </w:r>
      <w:r>
        <w:t xml:space="preserve"> </w:t>
      </w:r>
      <w:r w:rsidRPr="4897FD18">
        <w:rPr>
          <w:i/>
          <w:iCs/>
        </w:rPr>
        <w:t>Are you a venue operator or manager?</w:t>
      </w:r>
      <w:r>
        <w:rPr>
          <w:i/>
          <w:iCs/>
        </w:rPr>
        <w:t xml:space="preserve"> </w:t>
      </w:r>
      <w:r w:rsidRPr="4897FD18">
        <w:rPr>
          <w:i/>
          <w:iCs/>
        </w:rPr>
        <w:t xml:space="preserve">The Department is interested in hearing from venue operators and managers about their interest in the </w:t>
      </w:r>
      <w:r w:rsidR="00CF66AF">
        <w:rPr>
          <w:i/>
          <w:iCs/>
        </w:rPr>
        <w:t>best</w:t>
      </w:r>
      <w:r>
        <w:rPr>
          <w:i/>
          <w:iCs/>
        </w:rPr>
        <w:t xml:space="preserve"> practice</w:t>
      </w:r>
      <w:r w:rsidRPr="4897FD18">
        <w:rPr>
          <w:i/>
          <w:iCs/>
        </w:rPr>
        <w:t xml:space="preserve"> </w:t>
      </w:r>
      <w:r>
        <w:rPr>
          <w:i/>
          <w:iCs/>
        </w:rPr>
        <w:t>licence</w:t>
      </w:r>
      <w:r w:rsidRPr="4897FD18">
        <w:rPr>
          <w:i/>
          <w:iCs/>
        </w:rPr>
        <w:t xml:space="preserve"> and what it means to them if their society held a </w:t>
      </w:r>
      <w:r w:rsidR="00CF66AF">
        <w:rPr>
          <w:i/>
          <w:iCs/>
        </w:rPr>
        <w:t>best</w:t>
      </w:r>
      <w:r>
        <w:rPr>
          <w:i/>
          <w:iCs/>
        </w:rPr>
        <w:t xml:space="preserve"> practice</w:t>
      </w:r>
      <w:r w:rsidRPr="4897FD18">
        <w:rPr>
          <w:i/>
          <w:iCs/>
        </w:rPr>
        <w:t xml:space="preserve"> </w:t>
      </w:r>
      <w:r>
        <w:rPr>
          <w:i/>
          <w:iCs/>
        </w:rPr>
        <w:t>licence</w:t>
      </w:r>
      <w:r w:rsidRPr="4897FD18">
        <w:rPr>
          <w:i/>
          <w:iCs/>
        </w:rPr>
        <w:t>.</w:t>
      </w:r>
    </w:p>
    <w:p w14:paraId="01D5F8CE" w14:textId="70AD8165" w:rsidR="00BB56E8" w:rsidRPr="00BB56E8" w:rsidRDefault="00BB56E8" w:rsidP="00884199">
      <w:pPr>
        <w:jc w:val="both"/>
      </w:pPr>
      <w:r w:rsidRPr="008B36A3">
        <w:rPr>
          <w:b/>
          <w:iCs/>
        </w:rPr>
        <w:lastRenderedPageBreak/>
        <w:t>Question</w:t>
      </w:r>
      <w:r w:rsidR="008B36A3" w:rsidRPr="008B36A3">
        <w:rPr>
          <w:b/>
          <w:iCs/>
        </w:rPr>
        <w:t xml:space="preserve"> 2</w:t>
      </w:r>
      <w:r w:rsidRPr="008B36A3">
        <w:rPr>
          <w:b/>
          <w:iCs/>
        </w:rPr>
        <w:t>:</w:t>
      </w:r>
      <w:r w:rsidRPr="00BB56E8">
        <w:rPr>
          <w:b/>
          <w:i/>
          <w:iCs/>
        </w:rPr>
        <w:t xml:space="preserve"> </w:t>
      </w:r>
      <w:r w:rsidRPr="00BB56E8">
        <w:rPr>
          <w:i/>
          <w:iCs/>
        </w:rPr>
        <w:t>Venue</w:t>
      </w:r>
      <w:r w:rsidRPr="00BB56E8">
        <w:rPr>
          <w:b/>
          <w:i/>
          <w:iCs/>
        </w:rPr>
        <w:t xml:space="preserve"> </w:t>
      </w:r>
      <w:r w:rsidRPr="00BB56E8">
        <w:rPr>
          <w:i/>
        </w:rPr>
        <w:t xml:space="preserve">management is similar to staff performance management. Societies are legally responsible, like managers, but do not do the “doing”. Would the Department’s </w:t>
      </w:r>
      <w:r w:rsidR="00AB4B79">
        <w:rPr>
          <w:i/>
        </w:rPr>
        <w:t>performance expectations</w:t>
      </w:r>
      <w:r w:rsidRPr="00BB56E8">
        <w:rPr>
          <w:i/>
        </w:rPr>
        <w:t xml:space="preserve"> for societies and clubs to monitor their venues, </w:t>
      </w:r>
      <w:r>
        <w:rPr>
          <w:i/>
        </w:rPr>
        <w:t xml:space="preserve">and </w:t>
      </w:r>
      <w:r w:rsidRPr="00BB56E8">
        <w:rPr>
          <w:i/>
        </w:rPr>
        <w:t xml:space="preserve">to learn and change their venue management strategies depending </w:t>
      </w:r>
      <w:r>
        <w:rPr>
          <w:i/>
        </w:rPr>
        <w:t xml:space="preserve">on venue </w:t>
      </w:r>
      <w:r w:rsidRPr="00BB56E8">
        <w:rPr>
          <w:i/>
        </w:rPr>
        <w:t xml:space="preserve">performance </w:t>
      </w:r>
      <w:r>
        <w:rPr>
          <w:i/>
        </w:rPr>
        <w:t xml:space="preserve">outcomes </w:t>
      </w:r>
      <w:r w:rsidRPr="00BB56E8">
        <w:rPr>
          <w:i/>
        </w:rPr>
        <w:t>help to improve venue performance?</w:t>
      </w:r>
      <w:r>
        <w:rPr>
          <w:i/>
        </w:rPr>
        <w:t xml:space="preserve"> Is it helpful that the Department continues its independent assessment and inspections of venues?</w:t>
      </w:r>
    </w:p>
    <w:p w14:paraId="773AEF24" w14:textId="0FEAAF76" w:rsidR="006D5643" w:rsidRDefault="00CF5912" w:rsidP="00990BF3">
      <w:pPr>
        <w:pStyle w:val="Heading2"/>
        <w:spacing w:after="240"/>
        <w:jc w:val="both"/>
      </w:pPr>
      <w:bookmarkStart w:id="6" w:name="_Toc479253025"/>
      <w:r>
        <w:t>How will providing your feedback help?</w:t>
      </w:r>
      <w:bookmarkEnd w:id="6"/>
    </w:p>
    <w:p w14:paraId="773AEF2D" w14:textId="315CEA27" w:rsidR="006D5643" w:rsidRDefault="4FEF2642" w:rsidP="003B478A">
      <w:pPr>
        <w:pStyle w:val="Default"/>
        <w:spacing w:after="240"/>
        <w:jc w:val="both"/>
      </w:pPr>
      <w:r>
        <w:t xml:space="preserve">The Department seeks your </w:t>
      </w:r>
      <w:r w:rsidR="00815D65">
        <w:t>feedback</w:t>
      </w:r>
      <w:r>
        <w:t xml:space="preserve"> so that we can ensure that the process for a </w:t>
      </w:r>
      <w:r w:rsidR="00815D65">
        <w:t>b</w:t>
      </w:r>
      <w:r w:rsidR="001020CA">
        <w:t>est practice</w:t>
      </w:r>
      <w:r>
        <w:t xml:space="preserve"> licence is appropriate, robust and fit for purpose. </w:t>
      </w:r>
      <w:r w:rsidR="00815D65">
        <w:t>The best practice licence is focused on the licence holder and should be considered alongside our other initiatives that are focused on measuring, addressing and improving venue performance. The Department is interested in your views on whether the</w:t>
      </w:r>
      <w:r>
        <w:t xml:space="preserve"> </w:t>
      </w:r>
      <w:r w:rsidR="00815D65">
        <w:t>proposed best practice licence would support</w:t>
      </w:r>
      <w:r>
        <w:t xml:space="preserve"> </w:t>
      </w:r>
      <w:r w:rsidR="00815D65">
        <w:t>i</w:t>
      </w:r>
      <w:r>
        <w:t>mprovement</w:t>
      </w:r>
      <w:r w:rsidR="00815D65">
        <w:t xml:space="preserve"> in societies and clubs and help have a more trusted and transparent gambling sector</w:t>
      </w:r>
      <w:r>
        <w:t>.</w:t>
      </w:r>
    </w:p>
    <w:p w14:paraId="35B57D6D" w14:textId="77777777" w:rsidR="00B26334" w:rsidRDefault="00B26334" w:rsidP="00B26334">
      <w:pPr>
        <w:pStyle w:val="Heading3"/>
        <w:spacing w:after="240"/>
        <w:jc w:val="both"/>
        <w:rPr>
          <w:szCs w:val="28"/>
        </w:rPr>
      </w:pPr>
      <w:bookmarkStart w:id="7" w:name="_Toc437434766"/>
      <w:bookmarkStart w:id="8" w:name="_Toc479253026"/>
      <w:r w:rsidRPr="4FEF2642">
        <w:t>Relevant legislation</w:t>
      </w:r>
      <w:bookmarkEnd w:id="7"/>
      <w:bookmarkEnd w:id="8"/>
    </w:p>
    <w:p w14:paraId="2673C92F" w14:textId="61644A9D" w:rsidR="00B26334" w:rsidRPr="00B26334" w:rsidRDefault="4FEF2642" w:rsidP="00B26334">
      <w:r>
        <w:t>In order to inform your submission, you may wish to look at the relevant legislation which is set out below.</w:t>
      </w:r>
    </w:p>
    <w:p w14:paraId="1B96A609" w14:textId="2CF02D32" w:rsidR="0081502C" w:rsidRDefault="4FEF2642" w:rsidP="00B26334">
      <w:pPr>
        <w:pStyle w:val="BodyText"/>
        <w:spacing w:after="240" w:line="280" w:lineRule="atLeast"/>
        <w:jc w:val="both"/>
        <w:rPr>
          <w:b/>
        </w:rPr>
      </w:pPr>
      <w:r w:rsidRPr="4FEF2642">
        <w:rPr>
          <w:b/>
          <w:bCs/>
        </w:rPr>
        <w:t xml:space="preserve">Section 52 </w:t>
      </w:r>
      <w:r>
        <w:t xml:space="preserve">of the Act sets the grounds that must be satisfied for the Secretary to grant a </w:t>
      </w:r>
      <w:r w:rsidR="00535B11">
        <w:t xml:space="preserve">Class </w:t>
      </w:r>
      <w:r>
        <w:t>4 operator’s licence.</w:t>
      </w:r>
    </w:p>
    <w:p w14:paraId="0E9994D8" w14:textId="6CEB40E9" w:rsidR="00B26334" w:rsidRDefault="4FEF2642" w:rsidP="00B26334">
      <w:pPr>
        <w:pStyle w:val="BodyText"/>
        <w:spacing w:after="240" w:line="280" w:lineRule="atLeast"/>
        <w:jc w:val="both"/>
      </w:pPr>
      <w:r w:rsidRPr="4FEF2642">
        <w:rPr>
          <w:b/>
          <w:bCs/>
        </w:rPr>
        <w:t>Section 53</w:t>
      </w:r>
      <w:r>
        <w:t xml:space="preserve"> of the Act sets out the content and conditions of </w:t>
      </w:r>
      <w:r w:rsidR="00535B11">
        <w:t xml:space="preserve">Class </w:t>
      </w:r>
      <w:r>
        <w:t>4 operator’s licence. Section 53(1A) gives the Secretary the power to “specify any expiry date for a class 4 operator’s licence that is not more than 3 years after the commencement date of that licence.”</w:t>
      </w:r>
    </w:p>
    <w:p w14:paraId="413E2806" w14:textId="3E1FAEF6" w:rsidR="0081502C" w:rsidRDefault="4FEF2642" w:rsidP="00B26334">
      <w:pPr>
        <w:pStyle w:val="BodyText"/>
        <w:spacing w:after="240" w:line="280" w:lineRule="atLeast"/>
        <w:jc w:val="both"/>
      </w:pPr>
      <w:r w:rsidRPr="4FEF2642">
        <w:rPr>
          <w:b/>
          <w:bCs/>
        </w:rPr>
        <w:t>Section 53A</w:t>
      </w:r>
      <w:r>
        <w:t xml:space="preserve"> of the Act sets out continuing obligations that a </w:t>
      </w:r>
      <w:r w:rsidR="00535B11">
        <w:t xml:space="preserve">Class </w:t>
      </w:r>
      <w:r>
        <w:t>4 operator must ensure are being met.</w:t>
      </w:r>
    </w:p>
    <w:p w14:paraId="1510E5E7" w14:textId="2925042E" w:rsidR="00815D65" w:rsidRPr="00815D65" w:rsidRDefault="00815D65" w:rsidP="00B26334">
      <w:pPr>
        <w:pStyle w:val="BodyText"/>
        <w:spacing w:after="240" w:line="280" w:lineRule="atLeast"/>
        <w:jc w:val="both"/>
        <w:rPr>
          <w:bCs/>
        </w:rPr>
      </w:pPr>
      <w:r>
        <w:rPr>
          <w:b/>
          <w:bCs/>
        </w:rPr>
        <w:t>Section 61(1A)</w:t>
      </w:r>
      <w:r>
        <w:rPr>
          <w:bCs/>
        </w:rPr>
        <w:t xml:space="preserve"> of the Act sets out the decision to award a three year licence is not able to be appealed to the Gambling Commission.</w:t>
      </w:r>
    </w:p>
    <w:p w14:paraId="45A27123" w14:textId="579B9355" w:rsidR="00346846" w:rsidRPr="00067DA7" w:rsidRDefault="4FEF2642" w:rsidP="00B26334">
      <w:pPr>
        <w:pStyle w:val="BodyText"/>
        <w:spacing w:after="240" w:line="280" w:lineRule="atLeast"/>
        <w:jc w:val="both"/>
      </w:pPr>
      <w:r w:rsidRPr="4FEF2642">
        <w:rPr>
          <w:b/>
          <w:bCs/>
        </w:rPr>
        <w:t>Section 69A</w:t>
      </w:r>
      <w:r>
        <w:t xml:space="preserve"> of the Act sets out continuing obligations of a corporate society in relation to a class 4 venue licence. </w:t>
      </w:r>
    </w:p>
    <w:p w14:paraId="34EFD891" w14:textId="383FAD28" w:rsidR="00B26334" w:rsidRDefault="4FEF2642" w:rsidP="00B26334">
      <w:pPr>
        <w:pStyle w:val="BodyText"/>
        <w:keepLines w:val="0"/>
        <w:spacing w:after="240" w:line="280" w:lineRule="atLeast"/>
        <w:jc w:val="both"/>
      </w:pPr>
      <w:r w:rsidRPr="4FEF2642">
        <w:rPr>
          <w:b/>
          <w:bCs/>
        </w:rPr>
        <w:t>Section 70</w:t>
      </w:r>
      <w:r>
        <w:t xml:space="preserve"> of the Act sets out the content and conditions of </w:t>
      </w:r>
      <w:r w:rsidR="00535B11">
        <w:t xml:space="preserve">Class </w:t>
      </w:r>
      <w:r>
        <w:t>4 venue licence. Section 70(1A) gives the Secretary the power to “specify any expiry date for a class 4 venue licence that is not more than 3 years after the commencement date of that licence.”</w:t>
      </w:r>
    </w:p>
    <w:p w14:paraId="71D71376" w14:textId="77777777" w:rsidR="008C74AC" w:rsidRDefault="008C74AC">
      <w:pPr>
        <w:keepLines w:val="0"/>
        <w:rPr>
          <w:rFonts w:cs="Arial"/>
          <w:b/>
          <w:bCs/>
          <w:iCs/>
          <w:color w:val="1F546B"/>
          <w:sz w:val="36"/>
          <w:szCs w:val="28"/>
        </w:rPr>
      </w:pPr>
      <w:bookmarkStart w:id="9" w:name="_Toc437434763"/>
      <w:r>
        <w:br w:type="page"/>
      </w:r>
    </w:p>
    <w:p w14:paraId="773AEF2F" w14:textId="736481DE" w:rsidR="00115DD9" w:rsidRDefault="00115DD9" w:rsidP="00990BF3">
      <w:pPr>
        <w:pStyle w:val="Heading2"/>
        <w:jc w:val="both"/>
      </w:pPr>
      <w:bookmarkStart w:id="10" w:name="_Toc479253027"/>
      <w:r>
        <w:lastRenderedPageBreak/>
        <w:t>Sending us your submission</w:t>
      </w:r>
      <w:bookmarkEnd w:id="9"/>
      <w:bookmarkEnd w:id="10"/>
    </w:p>
    <w:p w14:paraId="773AEF30" w14:textId="1E15753F" w:rsidR="002C55C7" w:rsidRPr="00CF5912" w:rsidRDefault="4FEF2642" w:rsidP="00990BF3">
      <w:pPr>
        <w:spacing w:after="200"/>
        <w:jc w:val="both"/>
        <w:rPr>
          <w:rFonts w:eastAsia="Calibri"/>
          <w:color w:val="FF0000"/>
        </w:rPr>
      </w:pPr>
      <w:r w:rsidRPr="4897FD18">
        <w:rPr>
          <w:rFonts w:eastAsia="Calibri" w:cs="Calibri"/>
        </w:rPr>
        <w:t xml:space="preserve">Please address your submissions to </w:t>
      </w:r>
      <w:hyperlink r:id="rId14" w:history="1">
        <w:r w:rsidR="00FB318A" w:rsidRPr="009D6087">
          <w:rPr>
            <w:rStyle w:val="Hyperlink"/>
            <w:rFonts w:eastAsia="Calibri" w:cs="Calibri"/>
          </w:rPr>
          <w:t>bestpracticelicence@dia.govt.nz</w:t>
        </w:r>
      </w:hyperlink>
      <w:r w:rsidR="00CE18B5" w:rsidRPr="4897FD18">
        <w:rPr>
          <w:rFonts w:eastAsia="Calibri" w:cs="Calibri"/>
          <w:color w:val="FF0000"/>
        </w:rPr>
        <w:t xml:space="preserve"> </w:t>
      </w:r>
      <w:r w:rsidRPr="4897FD18">
        <w:rPr>
          <w:rFonts w:eastAsia="Calibri" w:cs="Calibri"/>
        </w:rPr>
        <w:t>or to:</w:t>
      </w:r>
    </w:p>
    <w:p w14:paraId="773AEF31" w14:textId="77777777" w:rsidR="002C55C7" w:rsidRPr="00CE18B5" w:rsidRDefault="4FEF2642" w:rsidP="00990BF3">
      <w:pPr>
        <w:spacing w:after="0"/>
        <w:contextualSpacing/>
        <w:jc w:val="both"/>
        <w:rPr>
          <w:rFonts w:eastAsia="Calibri"/>
        </w:rPr>
      </w:pPr>
      <w:r w:rsidRPr="4897FD18">
        <w:rPr>
          <w:rFonts w:eastAsia="Calibri" w:cs="Calibri"/>
        </w:rPr>
        <w:t>Sharlene Hogan</w:t>
      </w:r>
    </w:p>
    <w:p w14:paraId="773AEF32" w14:textId="77777777" w:rsidR="002C55C7" w:rsidRPr="00CE18B5" w:rsidRDefault="4FEF2642" w:rsidP="00990BF3">
      <w:pPr>
        <w:spacing w:after="0"/>
        <w:contextualSpacing/>
        <w:jc w:val="both"/>
        <w:rPr>
          <w:rFonts w:eastAsia="Calibri"/>
        </w:rPr>
      </w:pPr>
      <w:r w:rsidRPr="4897FD18">
        <w:rPr>
          <w:rFonts w:eastAsia="Calibri" w:cs="Calibri"/>
        </w:rPr>
        <w:t>Policy Advisor, Operational Policy</w:t>
      </w:r>
    </w:p>
    <w:p w14:paraId="773AEF33" w14:textId="77777777" w:rsidR="002C55C7" w:rsidRPr="00CE18B5" w:rsidRDefault="4FEF2642" w:rsidP="00990BF3">
      <w:pPr>
        <w:spacing w:after="0"/>
        <w:contextualSpacing/>
        <w:jc w:val="both"/>
        <w:rPr>
          <w:rFonts w:eastAsia="Calibri"/>
        </w:rPr>
      </w:pPr>
      <w:r w:rsidRPr="4897FD18">
        <w:rPr>
          <w:rFonts w:eastAsia="Calibri" w:cs="Calibri"/>
        </w:rPr>
        <w:t>Department of Internal Affairs Te Tari Taiwhenua</w:t>
      </w:r>
    </w:p>
    <w:p w14:paraId="42F9C45B" w14:textId="77777777" w:rsidR="0084142B" w:rsidRPr="00CE18B5" w:rsidRDefault="4FEF2642" w:rsidP="0084142B">
      <w:pPr>
        <w:spacing w:after="0"/>
        <w:contextualSpacing/>
        <w:jc w:val="both"/>
        <w:rPr>
          <w:rFonts w:eastAsia="Calibri"/>
        </w:rPr>
      </w:pPr>
      <w:r w:rsidRPr="4897FD18">
        <w:rPr>
          <w:rFonts w:eastAsia="Calibri" w:cs="Calibri"/>
        </w:rPr>
        <w:t>PO Box 805</w:t>
      </w:r>
    </w:p>
    <w:p w14:paraId="773AEF35" w14:textId="02EEA07E" w:rsidR="002C55C7" w:rsidRPr="00CE18B5" w:rsidRDefault="4FEF2642" w:rsidP="0084142B">
      <w:pPr>
        <w:spacing w:after="0"/>
        <w:contextualSpacing/>
        <w:jc w:val="both"/>
        <w:rPr>
          <w:rFonts w:eastAsia="Calibri"/>
        </w:rPr>
      </w:pPr>
      <w:r w:rsidRPr="4897FD18">
        <w:rPr>
          <w:rFonts w:eastAsia="Calibri" w:cs="Calibri"/>
        </w:rPr>
        <w:t>Wellington 6140</w:t>
      </w:r>
    </w:p>
    <w:p w14:paraId="773AEF36" w14:textId="54E14990" w:rsidR="002C55C7" w:rsidRPr="00CE18B5" w:rsidRDefault="4FEF2642" w:rsidP="00990BF3">
      <w:pPr>
        <w:spacing w:after="200"/>
        <w:jc w:val="both"/>
        <w:rPr>
          <w:rFonts w:eastAsia="Calibri"/>
        </w:rPr>
      </w:pPr>
      <w:r w:rsidRPr="4897FD18">
        <w:rPr>
          <w:rFonts w:eastAsia="Calibri" w:cs="Calibri"/>
        </w:rPr>
        <w:t>Should you require further information on how to send us your submission, please contact Sharlene Hogan on sharlene.hogan@dia.govt.nz or (04) 495 7207 or Stephanie Grummitt on stephanie.grummitt@dia.govt.nz (04) 495 9429.</w:t>
      </w:r>
    </w:p>
    <w:p w14:paraId="773AEF37" w14:textId="548FB189" w:rsidR="00B26334" w:rsidRPr="00CE18B5" w:rsidRDefault="4FEF2642" w:rsidP="00990BF3">
      <w:pPr>
        <w:spacing w:after="200"/>
        <w:jc w:val="both"/>
        <w:rPr>
          <w:rFonts w:eastAsia="Calibri"/>
        </w:rPr>
      </w:pPr>
      <w:r w:rsidRPr="4897FD18">
        <w:rPr>
          <w:rFonts w:eastAsia="Calibri" w:cs="Calibri"/>
        </w:rPr>
        <w:t xml:space="preserve">Any submissions need to be received by 5pm on </w:t>
      </w:r>
      <w:r w:rsidRPr="00C164ED">
        <w:rPr>
          <w:rFonts w:eastAsia="Calibri" w:cs="Calibri"/>
          <w:b/>
          <w:bCs/>
        </w:rPr>
        <w:t xml:space="preserve">Friday </w:t>
      </w:r>
      <w:r w:rsidR="00CE18B5" w:rsidRPr="00C164ED">
        <w:rPr>
          <w:rFonts w:eastAsia="Calibri" w:cs="Calibri"/>
          <w:b/>
          <w:bCs/>
        </w:rPr>
        <w:t>19</w:t>
      </w:r>
      <w:r w:rsidRPr="00C164ED">
        <w:rPr>
          <w:rFonts w:eastAsia="Calibri" w:cs="Calibri"/>
          <w:b/>
          <w:bCs/>
        </w:rPr>
        <w:t xml:space="preserve"> May 2017.</w:t>
      </w:r>
    </w:p>
    <w:p w14:paraId="7DA32266" w14:textId="5FC77784" w:rsidR="00CF5912" w:rsidRPr="00CF5912" w:rsidRDefault="4FEF2642" w:rsidP="00990BF3">
      <w:pPr>
        <w:pStyle w:val="BodyText"/>
        <w:jc w:val="both"/>
        <w:rPr>
          <w:rFonts w:cs="Arial"/>
          <w:b/>
          <w:bCs/>
          <w:iCs/>
          <w:color w:val="1F546B"/>
          <w:sz w:val="36"/>
          <w:szCs w:val="28"/>
        </w:rPr>
      </w:pPr>
      <w:r w:rsidRPr="4FEF2642">
        <w:rPr>
          <w:rFonts w:ascii="Arial" w:eastAsia="Arial" w:hAnsi="Arial" w:cs="Arial"/>
          <w:b/>
          <w:bCs/>
          <w:color w:val="1F546B" w:themeColor="text2"/>
          <w:sz w:val="36"/>
          <w:szCs w:val="36"/>
        </w:rPr>
        <w:t>What happens to your submission?</w:t>
      </w:r>
    </w:p>
    <w:p w14:paraId="4728AA10" w14:textId="22CF53C4" w:rsidR="00B26334" w:rsidRDefault="00BF558A" w:rsidP="00815D65">
      <w:r w:rsidRPr="009119BA">
        <w:t xml:space="preserve">Please note that </w:t>
      </w:r>
      <w:r w:rsidR="00CF5912">
        <w:t xml:space="preserve">the Department generally makes all submissions on public consultation </w:t>
      </w:r>
      <w:r w:rsidRPr="009119BA">
        <w:t>publicly available.</w:t>
      </w:r>
      <w:r w:rsidR="0090630C" w:rsidRPr="36E5F146">
        <w:t xml:space="preserve"> </w:t>
      </w:r>
      <w:r w:rsidRPr="009119BA">
        <w:t xml:space="preserve">In your submission please highlight </w:t>
      </w:r>
      <w:r w:rsidR="009B7F6A" w:rsidRPr="009119BA">
        <w:t>any</w:t>
      </w:r>
      <w:r w:rsidRPr="009119BA">
        <w:t xml:space="preserve"> information you would prefer </w:t>
      </w:r>
      <w:r w:rsidR="00CF5912">
        <w:t>was withheld should your submission be released</w:t>
      </w:r>
      <w:r w:rsidRPr="36E5F146">
        <w:t>.</w:t>
      </w:r>
      <w:r w:rsidR="009C4FDD" w:rsidRPr="00815D65">
        <w:t xml:space="preserve"> </w:t>
      </w:r>
      <w:r w:rsidR="00815D65" w:rsidRPr="00815D65">
        <w:t xml:space="preserve">While you may indicate the information you would like withheld, </w:t>
      </w:r>
      <w:r w:rsidR="00815D65">
        <w:t xml:space="preserve">the Department </w:t>
      </w:r>
      <w:r w:rsidR="00815D65" w:rsidRPr="00815D65">
        <w:t xml:space="preserve">can only </w:t>
      </w:r>
      <w:r w:rsidR="00815D65">
        <w:t xml:space="preserve">withhold </w:t>
      </w:r>
      <w:r w:rsidR="00815D65" w:rsidRPr="00815D65">
        <w:t>if it meets the relevant criteria under the Official Information Act 1982.</w:t>
      </w:r>
    </w:p>
    <w:p w14:paraId="6F39A12A" w14:textId="77777777" w:rsidR="00B26334" w:rsidRDefault="00B26334">
      <w:pPr>
        <w:keepLines w:val="0"/>
      </w:pPr>
      <w:r>
        <w:br w:type="page"/>
      </w:r>
    </w:p>
    <w:p w14:paraId="773AEF56" w14:textId="3CD62FF0" w:rsidR="002E58AF" w:rsidRDefault="00E37D7E" w:rsidP="00E1075C">
      <w:pPr>
        <w:pStyle w:val="Heading1"/>
        <w:numPr>
          <w:ilvl w:val="0"/>
          <w:numId w:val="28"/>
        </w:numPr>
        <w:ind w:left="567" w:hanging="567"/>
        <w:jc w:val="both"/>
      </w:pPr>
      <w:bookmarkStart w:id="11" w:name="_Toc479253028"/>
      <w:bookmarkStart w:id="12" w:name="_Toc437434770"/>
      <w:r>
        <w:lastRenderedPageBreak/>
        <w:t xml:space="preserve">What is </w:t>
      </w:r>
      <w:r w:rsidR="00CF66AF">
        <w:t>best</w:t>
      </w:r>
      <w:r w:rsidR="00DD3737">
        <w:t xml:space="preserve"> </w:t>
      </w:r>
      <w:r w:rsidR="001020CA">
        <w:t>practice</w:t>
      </w:r>
      <w:r>
        <w:t>?</w:t>
      </w:r>
      <w:bookmarkEnd w:id="11"/>
    </w:p>
    <w:p w14:paraId="560E59CF" w14:textId="0E88C794" w:rsidR="006B52D3" w:rsidRPr="006B52D3" w:rsidRDefault="00445F61" w:rsidP="006B52D3">
      <w:pPr>
        <w:pStyle w:val="Heading3"/>
        <w:spacing w:after="240"/>
        <w:jc w:val="both"/>
        <w:rPr>
          <w:szCs w:val="28"/>
        </w:rPr>
      </w:pPr>
      <w:bookmarkStart w:id="13" w:name="_Toc479253029"/>
      <w:bookmarkEnd w:id="12"/>
      <w:r w:rsidRPr="4FEF2642">
        <w:t>What does</w:t>
      </w:r>
      <w:r w:rsidR="006B52D3" w:rsidRPr="4FEF2642">
        <w:t xml:space="preserve"> </w:t>
      </w:r>
      <w:r w:rsidR="00815D65">
        <w:t>b</w:t>
      </w:r>
      <w:r w:rsidR="001020CA">
        <w:t>est practice</w:t>
      </w:r>
      <w:r w:rsidRPr="4FEF2642">
        <w:t xml:space="preserve"> mean</w:t>
      </w:r>
      <w:r w:rsidR="006B52D3" w:rsidRPr="4FEF2642">
        <w:t>?</w:t>
      </w:r>
      <w:bookmarkEnd w:id="13"/>
    </w:p>
    <w:p w14:paraId="7F34A967" w14:textId="15799520" w:rsidR="0084142B" w:rsidRDefault="4FEF2642" w:rsidP="006B52D3">
      <w:pPr>
        <w:jc w:val="both"/>
      </w:pPr>
      <w:r>
        <w:t xml:space="preserve">The Department’s proposed definition is that </w:t>
      </w:r>
      <w:r w:rsidR="00815D65">
        <w:t>b</w:t>
      </w:r>
      <w:r w:rsidR="001020CA">
        <w:t>est practice</w:t>
      </w:r>
      <w:r>
        <w:t xml:space="preserve"> means societies, clubs and venues commit to using knowledge and resources available to them to </w:t>
      </w:r>
      <w:r w:rsidR="00815D65">
        <w:t>perform</w:t>
      </w:r>
      <w:r>
        <w:t xml:space="preserve"> over and above the legal minimum requirements. </w:t>
      </w:r>
    </w:p>
    <w:p w14:paraId="61D42617" w14:textId="3629126C" w:rsidR="00055BEF" w:rsidRPr="00055BEF" w:rsidRDefault="008C74AC" w:rsidP="006B52D3">
      <w:pPr>
        <w:jc w:val="both"/>
      </w:pPr>
      <w:r>
        <w:t>B</w:t>
      </w:r>
      <w:r w:rsidR="00CF66AF" w:rsidRPr="008C74AC">
        <w:t>est</w:t>
      </w:r>
      <w:r w:rsidR="4FEF2642">
        <w:t xml:space="preserve"> </w:t>
      </w:r>
      <w:r w:rsidR="001020CA">
        <w:t>practice</w:t>
      </w:r>
      <w:r w:rsidR="4FEF2642">
        <w:t xml:space="preserve"> within the gambling sector is:</w:t>
      </w:r>
    </w:p>
    <w:p w14:paraId="5987723B" w14:textId="455DCDB3" w:rsidR="00055BEF" w:rsidRPr="00055BEF" w:rsidRDefault="00815D65" w:rsidP="4FEF2642">
      <w:pPr>
        <w:pStyle w:val="ListParagraph"/>
        <w:numPr>
          <w:ilvl w:val="0"/>
          <w:numId w:val="41"/>
        </w:numPr>
        <w:jc w:val="both"/>
        <w:rPr>
          <w:b/>
          <w:bCs/>
        </w:rPr>
      </w:pPr>
      <w:r>
        <w:rPr>
          <w:b/>
          <w:bCs/>
        </w:rPr>
        <w:t>f</w:t>
      </w:r>
      <w:r w:rsidR="4FEF2642" w:rsidRPr="4FEF2642">
        <w:rPr>
          <w:b/>
          <w:bCs/>
        </w:rPr>
        <w:t>ocusing on communities and customers;</w:t>
      </w:r>
    </w:p>
    <w:p w14:paraId="75B963E3" w14:textId="745ABAEC" w:rsidR="00055BEF" w:rsidRPr="00055BEF" w:rsidRDefault="00815D65" w:rsidP="4FEF2642">
      <w:pPr>
        <w:pStyle w:val="ListParagraph"/>
        <w:numPr>
          <w:ilvl w:val="0"/>
          <w:numId w:val="41"/>
        </w:numPr>
        <w:jc w:val="both"/>
        <w:rPr>
          <w:b/>
          <w:bCs/>
        </w:rPr>
      </w:pPr>
      <w:r>
        <w:rPr>
          <w:b/>
          <w:bCs/>
        </w:rPr>
        <w:t>w</w:t>
      </w:r>
      <w:r w:rsidR="4FEF2642" w:rsidRPr="4FEF2642">
        <w:rPr>
          <w:b/>
          <w:bCs/>
        </w:rPr>
        <w:t>orking with the Department</w:t>
      </w:r>
      <w:r>
        <w:rPr>
          <w:b/>
          <w:bCs/>
        </w:rPr>
        <w:t xml:space="preserve"> to achieve shared outcomes</w:t>
      </w:r>
      <w:r w:rsidR="006436DE">
        <w:rPr>
          <w:b/>
          <w:bCs/>
        </w:rPr>
        <w:t>,</w:t>
      </w:r>
      <w:r w:rsidR="006436DE" w:rsidRPr="4FEF2642">
        <w:rPr>
          <w:b/>
          <w:bCs/>
        </w:rPr>
        <w:t xml:space="preserve"> </w:t>
      </w:r>
      <w:r w:rsidR="4FEF2642" w:rsidRPr="4FEF2642">
        <w:rPr>
          <w:b/>
          <w:bCs/>
        </w:rPr>
        <w:t>and</w:t>
      </w:r>
    </w:p>
    <w:p w14:paraId="528656DA" w14:textId="4C7304A7" w:rsidR="00055BEF" w:rsidRPr="00055BEF" w:rsidRDefault="00815D65" w:rsidP="00E1075C">
      <w:pPr>
        <w:pStyle w:val="ListParagraph"/>
        <w:numPr>
          <w:ilvl w:val="0"/>
          <w:numId w:val="41"/>
        </w:numPr>
        <w:jc w:val="both"/>
      </w:pPr>
      <w:r>
        <w:rPr>
          <w:b/>
          <w:bCs/>
        </w:rPr>
        <w:t>r</w:t>
      </w:r>
      <w:r w:rsidR="4FEF2642" w:rsidRPr="4FEF2642">
        <w:rPr>
          <w:b/>
          <w:bCs/>
        </w:rPr>
        <w:t>eview and learning</w:t>
      </w:r>
      <w:r w:rsidR="4FEF2642">
        <w:t>.</w:t>
      </w:r>
    </w:p>
    <w:p w14:paraId="699BAC8C" w14:textId="08969391" w:rsidR="007B20AD" w:rsidRPr="00055BEF" w:rsidRDefault="4FEF2642" w:rsidP="006B52D3">
      <w:pPr>
        <w:jc w:val="both"/>
        <w:rPr>
          <w:sz w:val="23"/>
          <w:szCs w:val="23"/>
        </w:rPr>
      </w:pPr>
      <w:r>
        <w:t xml:space="preserve">The Department is of the view that being a trusted and transparent operator, maximising community benefit and minimising gambling harm underpins our performance expectations for </w:t>
      </w:r>
      <w:r w:rsidR="00AB4B79">
        <w:t>be</w:t>
      </w:r>
      <w:r w:rsidR="001020CA">
        <w:t>st practice</w:t>
      </w:r>
      <w:r w:rsidRPr="4FEF2642">
        <w:rPr>
          <w:sz w:val="23"/>
          <w:szCs w:val="23"/>
        </w:rPr>
        <w:t xml:space="preserve">. </w:t>
      </w:r>
      <w:r w:rsidR="00AB4B79">
        <w:rPr>
          <w:sz w:val="23"/>
          <w:szCs w:val="23"/>
        </w:rPr>
        <w:t>For example, harm minimisation can be reflected across all of the expectations.</w:t>
      </w:r>
    </w:p>
    <w:p w14:paraId="2EAE94AF" w14:textId="225849B3" w:rsidR="007B20AD" w:rsidRPr="00672449" w:rsidRDefault="4FEF2642" w:rsidP="007B20AD">
      <w:r>
        <w:t xml:space="preserve">The focus on </w:t>
      </w:r>
      <w:r w:rsidR="00AB4B79">
        <w:t>b</w:t>
      </w:r>
      <w:r w:rsidR="001020CA">
        <w:t>est practice</w:t>
      </w:r>
      <w:r>
        <w:t>:</w:t>
      </w:r>
    </w:p>
    <w:p w14:paraId="7A8AD04B" w14:textId="0F89165C" w:rsidR="007B20AD" w:rsidRDefault="4FEF2642" w:rsidP="00E1075C">
      <w:pPr>
        <w:pStyle w:val="Numberedpara3level211"/>
        <w:keepLines w:val="0"/>
        <w:numPr>
          <w:ilvl w:val="1"/>
          <w:numId w:val="29"/>
        </w:numPr>
        <w:jc w:val="both"/>
      </w:pPr>
      <w:r>
        <w:t xml:space="preserve">encourages new ways </w:t>
      </w:r>
      <w:r w:rsidR="00AB4B79">
        <w:t>fo</w:t>
      </w:r>
      <w:r w:rsidR="00A92585">
        <w:t>r clubs and societies to improve performance</w:t>
      </w:r>
      <w:r>
        <w:t>;</w:t>
      </w:r>
    </w:p>
    <w:p w14:paraId="3A65BB77" w14:textId="77777777" w:rsidR="007B20AD" w:rsidRDefault="4FEF2642" w:rsidP="00E1075C">
      <w:pPr>
        <w:pStyle w:val="Numberedpara3level211"/>
        <w:keepLines w:val="0"/>
        <w:numPr>
          <w:ilvl w:val="1"/>
          <w:numId w:val="29"/>
        </w:numPr>
        <w:jc w:val="both"/>
      </w:pPr>
      <w:r>
        <w:t>could encourage strategic changes across the sector to improve outcomes;</w:t>
      </w:r>
    </w:p>
    <w:p w14:paraId="6BD5A58F" w14:textId="386D6873" w:rsidR="007B20AD" w:rsidRDefault="4FEF2642" w:rsidP="00E1075C">
      <w:pPr>
        <w:pStyle w:val="Numberedpara3level211"/>
        <w:keepLines w:val="0"/>
        <w:numPr>
          <w:ilvl w:val="1"/>
          <w:numId w:val="29"/>
        </w:numPr>
        <w:jc w:val="both"/>
      </w:pPr>
      <w:r>
        <w:t xml:space="preserve">means </w:t>
      </w:r>
      <w:r w:rsidR="00FB318A">
        <w:t>that clubs and societies</w:t>
      </w:r>
      <w:r>
        <w:t xml:space="preserve"> would have a stronger focus on their customers and suppliers (e.g. grant recipients and venue operators) and their stakeholders</w:t>
      </w:r>
      <w:r w:rsidR="00AB4B79">
        <w:t xml:space="preserve"> and</w:t>
      </w:r>
      <w:r>
        <w:t xml:space="preserve"> the community</w:t>
      </w:r>
      <w:r w:rsidR="00AB4B79">
        <w:t>;</w:t>
      </w:r>
      <w:r w:rsidR="006436DE">
        <w:t xml:space="preserve"> </w:t>
      </w:r>
      <w:r>
        <w:t>and</w:t>
      </w:r>
    </w:p>
    <w:p w14:paraId="7E3D5D46" w14:textId="47E5509A" w:rsidR="007B20AD" w:rsidRDefault="4FEF2642" w:rsidP="00E1075C">
      <w:pPr>
        <w:pStyle w:val="Numberedpara3level211"/>
        <w:keepLines w:val="0"/>
        <w:numPr>
          <w:ilvl w:val="1"/>
          <w:numId w:val="29"/>
        </w:numPr>
        <w:jc w:val="both"/>
      </w:pPr>
      <w:r>
        <w:t xml:space="preserve">could encourage the sector to </w:t>
      </w:r>
      <w:r w:rsidR="00CE18B5">
        <w:t xml:space="preserve">collaborate </w:t>
      </w:r>
      <w:r>
        <w:t xml:space="preserve">with the Department </w:t>
      </w:r>
      <w:r w:rsidR="00AB4B79">
        <w:t xml:space="preserve">on shared outcomes </w:t>
      </w:r>
      <w:r>
        <w:t>and to use information to innovate and learn.</w:t>
      </w:r>
    </w:p>
    <w:p w14:paraId="570C75BB" w14:textId="3E8F1900" w:rsidR="00672449" w:rsidRDefault="4FEF2642" w:rsidP="00990BF3">
      <w:pPr>
        <w:pStyle w:val="Caption"/>
        <w:jc w:val="both"/>
        <w:rPr>
          <w:b w:val="0"/>
          <w:i/>
        </w:rPr>
      </w:pPr>
      <w:r w:rsidRPr="4897FD18">
        <w:rPr>
          <w:b w:val="0"/>
          <w:bCs w:val="0"/>
          <w:i/>
          <w:iCs/>
        </w:rPr>
        <w:t xml:space="preserve">Figure 1: </w:t>
      </w:r>
      <w:r w:rsidR="008C74AC">
        <w:rPr>
          <w:b w:val="0"/>
          <w:bCs w:val="0"/>
          <w:i/>
          <w:iCs/>
        </w:rPr>
        <w:t>B</w:t>
      </w:r>
      <w:r w:rsidR="00CF66AF">
        <w:rPr>
          <w:b w:val="0"/>
          <w:bCs w:val="0"/>
          <w:i/>
          <w:iCs/>
        </w:rPr>
        <w:t>est</w:t>
      </w:r>
      <w:r w:rsidRPr="4897FD18">
        <w:rPr>
          <w:b w:val="0"/>
          <w:bCs w:val="0"/>
          <w:i/>
          <w:iCs/>
        </w:rPr>
        <w:t xml:space="preserve"> </w:t>
      </w:r>
      <w:r w:rsidR="001020CA">
        <w:rPr>
          <w:b w:val="0"/>
          <w:bCs w:val="0"/>
          <w:i/>
          <w:iCs/>
        </w:rPr>
        <w:t>practice</w:t>
      </w:r>
      <w:r w:rsidRPr="4897FD18">
        <w:rPr>
          <w:b w:val="0"/>
          <w:bCs w:val="0"/>
          <w:i/>
          <w:iCs/>
        </w:rPr>
        <w:t xml:space="preserve"> framework</w:t>
      </w:r>
    </w:p>
    <w:p w14:paraId="43C7CEC8" w14:textId="44F63A0B" w:rsidR="00A44BED" w:rsidRDefault="00C86857" w:rsidP="00A44BED">
      <w:r w:rsidRPr="00C86857">
        <w:rPr>
          <w:noProof/>
          <w:lang w:eastAsia="en-NZ"/>
        </w:rPr>
        <w:drawing>
          <wp:inline distT="0" distB="0" distL="0" distR="0" wp14:anchorId="06D44739" wp14:editId="7A133F33">
            <wp:extent cx="5069433" cy="24505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5825" cy="2458516"/>
                    </a:xfrm>
                    <a:prstGeom prst="rect">
                      <a:avLst/>
                    </a:prstGeom>
                    <a:noFill/>
                    <a:ln>
                      <a:noFill/>
                    </a:ln>
                  </pic:spPr>
                </pic:pic>
              </a:graphicData>
            </a:graphic>
          </wp:inline>
        </w:drawing>
      </w:r>
    </w:p>
    <w:p w14:paraId="0545C3CE" w14:textId="6B6D5E20" w:rsidR="00E872FE" w:rsidRDefault="00445F61" w:rsidP="00E872FE">
      <w:pPr>
        <w:pStyle w:val="Heading3"/>
        <w:spacing w:after="240"/>
        <w:jc w:val="both"/>
        <w:rPr>
          <w:szCs w:val="28"/>
        </w:rPr>
      </w:pPr>
      <w:bookmarkStart w:id="14" w:name="_Toc479253030"/>
      <w:r w:rsidRPr="4FEF2642">
        <w:lastRenderedPageBreak/>
        <w:t xml:space="preserve">What </w:t>
      </w:r>
      <w:r w:rsidR="00A91ECB" w:rsidRPr="4FEF2642">
        <w:t xml:space="preserve">are the outcomes we want from </w:t>
      </w:r>
      <w:r w:rsidR="00AB4B79">
        <w:t>b</w:t>
      </w:r>
      <w:r w:rsidR="001020CA">
        <w:t>est practice</w:t>
      </w:r>
      <w:r w:rsidR="00E872FE" w:rsidRPr="4FEF2642">
        <w:t>?</w:t>
      </w:r>
      <w:bookmarkEnd w:id="14"/>
    </w:p>
    <w:p w14:paraId="23A9152A" w14:textId="63FEDF62" w:rsidR="0084142B" w:rsidRDefault="00AB4B79" w:rsidP="000A4A2D">
      <w:r>
        <w:t xml:space="preserve">The Department would assess </w:t>
      </w:r>
      <w:r w:rsidR="00FB318A">
        <w:t>applicants</w:t>
      </w:r>
      <w:r>
        <w:t xml:space="preserve"> on the following outcomes</w:t>
      </w:r>
      <w:r w:rsidR="4FEF2642">
        <w:t>:</w:t>
      </w:r>
    </w:p>
    <w:p w14:paraId="22A5A0EB" w14:textId="71360621" w:rsidR="0084142B" w:rsidRDefault="00AB4B79" w:rsidP="0084142B">
      <w:pPr>
        <w:pStyle w:val="ListParagraph"/>
        <w:numPr>
          <w:ilvl w:val="0"/>
          <w:numId w:val="52"/>
        </w:numPr>
      </w:pPr>
      <w:r>
        <w:t xml:space="preserve">the </w:t>
      </w:r>
      <w:r w:rsidR="00FB318A">
        <w:t>applicant</w:t>
      </w:r>
      <w:r w:rsidR="4FEF2642">
        <w:t xml:space="preserve"> and the Department are working </w:t>
      </w:r>
      <w:r w:rsidR="00F733E4">
        <w:t>collaboratively</w:t>
      </w:r>
      <w:r w:rsidR="4FEF2642">
        <w:t xml:space="preserve"> to minimise harm and benefit communities;</w:t>
      </w:r>
    </w:p>
    <w:p w14:paraId="0430EA44" w14:textId="29CFE7CD" w:rsidR="0084142B" w:rsidRDefault="00AB4B79" w:rsidP="0084142B">
      <w:pPr>
        <w:pStyle w:val="ListParagraph"/>
        <w:numPr>
          <w:ilvl w:val="0"/>
          <w:numId w:val="52"/>
        </w:numPr>
      </w:pPr>
      <w:r>
        <w:t xml:space="preserve">the </w:t>
      </w:r>
      <w:r w:rsidR="4FEF2642">
        <w:t xml:space="preserve">community is central to the </w:t>
      </w:r>
      <w:r w:rsidR="00FB318A">
        <w:t>applicant</w:t>
      </w:r>
      <w:r w:rsidR="4FEF2642">
        <w:t xml:space="preserve">’s legal compliance and activities and that the </w:t>
      </w:r>
      <w:r w:rsidR="00FB318A">
        <w:t>applicant</w:t>
      </w:r>
      <w:r w:rsidR="4FEF2642">
        <w:t xml:space="preserve"> is exceeding its legal obligations;</w:t>
      </w:r>
    </w:p>
    <w:p w14:paraId="5E03BE9D" w14:textId="4DFCBEDC" w:rsidR="00A91ECB" w:rsidRDefault="00FB318A" w:rsidP="0084142B">
      <w:pPr>
        <w:pStyle w:val="ListParagraph"/>
        <w:numPr>
          <w:ilvl w:val="0"/>
          <w:numId w:val="52"/>
        </w:numPr>
      </w:pPr>
      <w:r>
        <w:t>the applicant</w:t>
      </w:r>
      <w:r w:rsidR="4FEF2642">
        <w:t xml:space="preserve"> actively protects and promotes improvement, and acts with integrity;</w:t>
      </w:r>
    </w:p>
    <w:p w14:paraId="36EF0D9D" w14:textId="5E69ADC4" w:rsidR="00A91ECB" w:rsidRDefault="00AB4B79" w:rsidP="0084142B">
      <w:pPr>
        <w:pStyle w:val="ListParagraph"/>
        <w:numPr>
          <w:ilvl w:val="0"/>
          <w:numId w:val="52"/>
        </w:numPr>
      </w:pPr>
      <w:r>
        <w:t xml:space="preserve">the </w:t>
      </w:r>
      <w:r w:rsidR="00FB318A">
        <w:t>applicant</w:t>
      </w:r>
      <w:r w:rsidR="4FEF2642">
        <w:t xml:space="preserve"> minimises community harms and maximises benefits;</w:t>
      </w:r>
    </w:p>
    <w:p w14:paraId="73A7DAA8" w14:textId="354FAB02" w:rsidR="00A91ECB" w:rsidRDefault="4FEF2642" w:rsidP="0084142B">
      <w:pPr>
        <w:pStyle w:val="ListParagraph"/>
        <w:numPr>
          <w:ilvl w:val="0"/>
          <w:numId w:val="52"/>
        </w:numPr>
      </w:pPr>
      <w:r>
        <w:t>effective collaboration and partnerships are fostered;</w:t>
      </w:r>
    </w:p>
    <w:p w14:paraId="4EA82509" w14:textId="5FB6768A" w:rsidR="00A91ECB" w:rsidRDefault="00FB318A" w:rsidP="0084142B">
      <w:pPr>
        <w:pStyle w:val="ListParagraph"/>
        <w:numPr>
          <w:ilvl w:val="0"/>
          <w:numId w:val="52"/>
        </w:numPr>
      </w:pPr>
      <w:r>
        <w:t>the applicant</w:t>
      </w:r>
      <w:r w:rsidR="4FEF2642">
        <w:t xml:space="preserve"> acts with integrity, is trusted and performs highly</w:t>
      </w:r>
      <w:r w:rsidR="006436DE">
        <w:t xml:space="preserve">, </w:t>
      </w:r>
      <w:r w:rsidR="4FEF2642">
        <w:t>and</w:t>
      </w:r>
    </w:p>
    <w:p w14:paraId="2D906EB8" w14:textId="44CDCAA8" w:rsidR="0058292B" w:rsidRDefault="008C74AC" w:rsidP="0058292B">
      <w:pPr>
        <w:pStyle w:val="ListParagraph"/>
        <w:numPr>
          <w:ilvl w:val="0"/>
          <w:numId w:val="52"/>
        </w:numPr>
      </w:pPr>
      <w:r>
        <w:t>t</w:t>
      </w:r>
      <w:r w:rsidR="00FB318A">
        <w:t>he applicant</w:t>
      </w:r>
      <w:r w:rsidR="7334B3A1">
        <w:t xml:space="preserve"> is accountable, acts with integrity and is transparent.</w:t>
      </w:r>
    </w:p>
    <w:p w14:paraId="30F52D75" w14:textId="77777777" w:rsidR="00FB318A" w:rsidRDefault="00FB318A" w:rsidP="00436533">
      <w:pPr>
        <w:rPr>
          <w:b/>
          <w:bCs/>
        </w:rPr>
      </w:pPr>
    </w:p>
    <w:p w14:paraId="4F74948F" w14:textId="568D389D" w:rsidR="00436533" w:rsidRDefault="4FEF2642" w:rsidP="00436533">
      <w:r w:rsidRPr="4FEF2642">
        <w:rPr>
          <w:b/>
          <w:bCs/>
        </w:rPr>
        <w:t>Question</w:t>
      </w:r>
      <w:r w:rsidR="008B36A3">
        <w:rPr>
          <w:b/>
          <w:bCs/>
        </w:rPr>
        <w:t xml:space="preserve"> 3</w:t>
      </w:r>
      <w:r w:rsidRPr="4FEF2642">
        <w:rPr>
          <w:b/>
          <w:bCs/>
        </w:rPr>
        <w:t>:</w:t>
      </w:r>
      <w:r>
        <w:t xml:space="preserve"> </w:t>
      </w:r>
      <w:r w:rsidRPr="4897FD18">
        <w:rPr>
          <w:i/>
          <w:iCs/>
        </w:rPr>
        <w:t xml:space="preserve">Do you think </w:t>
      </w:r>
      <w:r w:rsidR="00AB4B79">
        <w:rPr>
          <w:i/>
          <w:iCs/>
        </w:rPr>
        <w:t>that if the Department is clear on the expected</w:t>
      </w:r>
      <w:r w:rsidRPr="4897FD18">
        <w:rPr>
          <w:i/>
          <w:iCs/>
        </w:rPr>
        <w:t xml:space="preserve"> outcomes </w:t>
      </w:r>
      <w:r w:rsidR="00AB4B79">
        <w:rPr>
          <w:i/>
          <w:iCs/>
        </w:rPr>
        <w:t xml:space="preserve">that there </w:t>
      </w:r>
      <w:r w:rsidRPr="4897FD18">
        <w:rPr>
          <w:i/>
          <w:iCs/>
        </w:rPr>
        <w:t xml:space="preserve">will </w:t>
      </w:r>
      <w:r w:rsidR="00AB4B79">
        <w:rPr>
          <w:i/>
          <w:iCs/>
        </w:rPr>
        <w:t>be some</w:t>
      </w:r>
      <w:r w:rsidRPr="4897FD18">
        <w:rPr>
          <w:i/>
          <w:iCs/>
        </w:rPr>
        <w:t xml:space="preserve"> improvement in </w:t>
      </w:r>
      <w:r w:rsidR="00AB4B79">
        <w:rPr>
          <w:i/>
          <w:iCs/>
        </w:rPr>
        <w:t>how societies and clubs approach their legal responsibilities</w:t>
      </w:r>
      <w:r w:rsidRPr="4897FD18">
        <w:rPr>
          <w:i/>
          <w:iCs/>
        </w:rPr>
        <w:t>?</w:t>
      </w:r>
      <w:r w:rsidR="001020CA">
        <w:rPr>
          <w:i/>
          <w:iCs/>
        </w:rPr>
        <w:t xml:space="preserve"> </w:t>
      </w:r>
      <w:r w:rsidR="00AB4B79">
        <w:rPr>
          <w:i/>
          <w:iCs/>
        </w:rPr>
        <w:t xml:space="preserve">Would the effect be limited to those who apply for a best practice licence or have a wider effect on </w:t>
      </w:r>
      <w:r w:rsidRPr="4897FD18">
        <w:rPr>
          <w:i/>
          <w:iCs/>
        </w:rPr>
        <w:t>Class</w:t>
      </w:r>
      <w:r w:rsidR="00AB4B79">
        <w:rPr>
          <w:i/>
          <w:iCs/>
        </w:rPr>
        <w:t> </w:t>
      </w:r>
      <w:r w:rsidRPr="4897FD18">
        <w:rPr>
          <w:i/>
          <w:iCs/>
        </w:rPr>
        <w:t xml:space="preserve">4 </w:t>
      </w:r>
      <w:r w:rsidR="00AB4B79">
        <w:rPr>
          <w:i/>
          <w:iCs/>
        </w:rPr>
        <w:t>gambling?</w:t>
      </w:r>
      <w:r w:rsidRPr="4897FD18">
        <w:rPr>
          <w:i/>
          <w:iCs/>
        </w:rPr>
        <w:t xml:space="preserve"> Why or why not?</w:t>
      </w:r>
    </w:p>
    <w:p w14:paraId="4ACF3967" w14:textId="20F47389" w:rsidR="00A029E4" w:rsidRPr="00A029E4" w:rsidRDefault="00A029E4" w:rsidP="00A029E4">
      <w:pPr>
        <w:pStyle w:val="Heading3"/>
        <w:spacing w:after="240"/>
        <w:jc w:val="both"/>
        <w:rPr>
          <w:szCs w:val="28"/>
        </w:rPr>
      </w:pPr>
      <w:bookmarkStart w:id="15" w:name="_Toc479253031"/>
      <w:r w:rsidRPr="4FEF2642">
        <w:t xml:space="preserve">What is the </w:t>
      </w:r>
      <w:r w:rsidR="00AB4B79">
        <w:t>performance expectations</w:t>
      </w:r>
      <w:r w:rsidRPr="4FEF2642">
        <w:t xml:space="preserve"> </w:t>
      </w:r>
      <w:r w:rsidR="00AB4B79">
        <w:t>f</w:t>
      </w:r>
      <w:r w:rsidRPr="4FEF2642">
        <w:t>ramework?</w:t>
      </w:r>
      <w:bookmarkEnd w:id="15"/>
    </w:p>
    <w:p w14:paraId="2FEE915D" w14:textId="4F9037A4" w:rsidR="000A4A2D" w:rsidRPr="00B92944" w:rsidRDefault="4FEF2642" w:rsidP="00A029E4">
      <w:pPr>
        <w:jc w:val="both"/>
      </w:pPr>
      <w:r>
        <w:t xml:space="preserve">The Department has developed a </w:t>
      </w:r>
      <w:r w:rsidR="00AB4B79">
        <w:t>performance expectations</w:t>
      </w:r>
      <w:r>
        <w:t xml:space="preserve"> framework to help assess </w:t>
      </w:r>
      <w:r w:rsidR="00AB4B79">
        <w:t>the expected outcomes</w:t>
      </w:r>
      <w:r>
        <w:t xml:space="preserve">. The </w:t>
      </w:r>
      <w:r w:rsidR="00CF66AF">
        <w:t>performance expectations</w:t>
      </w:r>
      <w:r>
        <w:t xml:space="preserve"> set out </w:t>
      </w:r>
      <w:r w:rsidR="00AB4B79">
        <w:t>the categories and sub-categories</w:t>
      </w:r>
      <w:r>
        <w:t xml:space="preserve"> that </w:t>
      </w:r>
      <w:r w:rsidR="00AB4B79">
        <w:t>would</w:t>
      </w:r>
      <w:r>
        <w:t xml:space="preserve"> be looked at to assess </w:t>
      </w:r>
      <w:r w:rsidR="00AB4B79">
        <w:t xml:space="preserve">the expected outcomes. The </w:t>
      </w:r>
      <w:r>
        <w:t>categories and subcategories help guide the assessment</w:t>
      </w:r>
      <w:r w:rsidR="00AB4B79">
        <w:t xml:space="preserve"> and make up </w:t>
      </w:r>
      <w:r w:rsidR="00A029C4">
        <w:t>what we mean by being</w:t>
      </w:r>
      <w:r>
        <w:t xml:space="preserve"> accountable to communities and </w:t>
      </w:r>
      <w:r w:rsidR="00A029C4">
        <w:t>having</w:t>
      </w:r>
      <w:r>
        <w:t xml:space="preserve"> strong practices and systems.</w:t>
      </w:r>
    </w:p>
    <w:p w14:paraId="380DCED0" w14:textId="0F62971C" w:rsidR="00E872FE" w:rsidRDefault="4FEF2642" w:rsidP="00E872FE">
      <w:pPr>
        <w:jc w:val="both"/>
      </w:pPr>
      <w:r>
        <w:t xml:space="preserve">The </w:t>
      </w:r>
      <w:r w:rsidR="00A029C4">
        <w:t>p</w:t>
      </w:r>
      <w:r w:rsidR="00AB4B79">
        <w:t>erformance expectations</w:t>
      </w:r>
      <w:r>
        <w:t xml:space="preserve"> </w:t>
      </w:r>
      <w:r w:rsidR="00A029C4">
        <w:t>f</w:t>
      </w:r>
      <w:r>
        <w:t xml:space="preserve">ramework </w:t>
      </w:r>
      <w:r w:rsidR="00A92585">
        <w:t>provides a summary of</w:t>
      </w:r>
      <w:r>
        <w:t xml:space="preserve"> what </w:t>
      </w:r>
      <w:r w:rsidR="00A029C4">
        <w:t>b</w:t>
      </w:r>
      <w:r w:rsidR="001020CA">
        <w:t>est practice</w:t>
      </w:r>
      <w:r>
        <w:t xml:space="preserve"> is, what outcomes are being sought and what should be looked at to assess whether </w:t>
      </w:r>
      <w:r w:rsidR="00A029C4">
        <w:t>a</w:t>
      </w:r>
      <w:r w:rsidR="0083031C">
        <w:t xml:space="preserve">n applicant </w:t>
      </w:r>
      <w:r>
        <w:t xml:space="preserve">is demonstrating </w:t>
      </w:r>
      <w:r w:rsidR="00A029C4">
        <w:t>b</w:t>
      </w:r>
      <w:r w:rsidR="001020CA">
        <w:t>est practice</w:t>
      </w:r>
      <w:r>
        <w:t>.</w:t>
      </w:r>
      <w:r w:rsidR="00A029C4">
        <w:t xml:space="preserve"> </w:t>
      </w:r>
      <w:r>
        <w:t xml:space="preserve">A full copy of the </w:t>
      </w:r>
      <w:r w:rsidR="00AB4B79">
        <w:t>performance expectations f</w:t>
      </w:r>
      <w:r>
        <w:t>ramework is attached at Appendix 1.</w:t>
      </w:r>
    </w:p>
    <w:p w14:paraId="6C374DE6" w14:textId="518214FE" w:rsidR="00445F61" w:rsidRDefault="4FEF2642" w:rsidP="00445F61">
      <w:pPr>
        <w:jc w:val="both"/>
      </w:pPr>
      <w:r>
        <w:t xml:space="preserve">It must be noted that the </w:t>
      </w:r>
      <w:r w:rsidR="00AB4B79">
        <w:t>performance expectations</w:t>
      </w:r>
      <w:r>
        <w:t xml:space="preserve"> </w:t>
      </w:r>
      <w:r w:rsidR="00AB4B79">
        <w:t>f</w:t>
      </w:r>
      <w:r>
        <w:t xml:space="preserve">ramework encompasses a broad range of </w:t>
      </w:r>
      <w:r w:rsidR="00A029C4">
        <w:t>categories and sub-categories. T</w:t>
      </w:r>
      <w:r>
        <w:t xml:space="preserve">he requirements set out in the Act must be met. To be clear, an operator that is not meeting its requirements under the Act will not be eligible for a </w:t>
      </w:r>
      <w:r w:rsidR="00AB4B79">
        <w:t>b</w:t>
      </w:r>
      <w:r w:rsidR="001020CA">
        <w:t>est practice</w:t>
      </w:r>
      <w:r>
        <w:t xml:space="preserve"> licence.</w:t>
      </w:r>
    </w:p>
    <w:p w14:paraId="2C1A42FF" w14:textId="7E15AD55" w:rsidR="0058292B" w:rsidRDefault="4FEF2642" w:rsidP="00445F61">
      <w:pPr>
        <w:jc w:val="both"/>
      </w:pPr>
      <w:r w:rsidRPr="4FEF2642">
        <w:rPr>
          <w:b/>
          <w:bCs/>
        </w:rPr>
        <w:t>Question</w:t>
      </w:r>
      <w:r w:rsidR="008B36A3">
        <w:rPr>
          <w:b/>
          <w:bCs/>
        </w:rPr>
        <w:t xml:space="preserve"> 4</w:t>
      </w:r>
      <w:r w:rsidRPr="4FEF2642">
        <w:rPr>
          <w:b/>
          <w:bCs/>
        </w:rPr>
        <w:t>:</w:t>
      </w:r>
      <w:r>
        <w:t xml:space="preserve"> </w:t>
      </w:r>
      <w:r w:rsidR="00A029C4">
        <w:rPr>
          <w:i/>
          <w:iCs/>
        </w:rPr>
        <w:t xml:space="preserve">Does </w:t>
      </w:r>
      <w:r w:rsidRPr="4897FD18">
        <w:rPr>
          <w:i/>
          <w:iCs/>
        </w:rPr>
        <w:t xml:space="preserve">the </w:t>
      </w:r>
      <w:r w:rsidR="00AB4B79">
        <w:rPr>
          <w:i/>
          <w:iCs/>
        </w:rPr>
        <w:t>performance expectations</w:t>
      </w:r>
      <w:r w:rsidRPr="4897FD18">
        <w:rPr>
          <w:i/>
          <w:iCs/>
        </w:rPr>
        <w:t xml:space="preserve"> </w:t>
      </w:r>
      <w:r w:rsidR="00AB4B79">
        <w:rPr>
          <w:i/>
          <w:iCs/>
        </w:rPr>
        <w:t>f</w:t>
      </w:r>
      <w:r w:rsidRPr="4897FD18">
        <w:rPr>
          <w:i/>
          <w:iCs/>
        </w:rPr>
        <w:t xml:space="preserve">ramework </w:t>
      </w:r>
      <w:r w:rsidR="00A029C4">
        <w:rPr>
          <w:i/>
          <w:iCs/>
        </w:rPr>
        <w:t xml:space="preserve">make it </w:t>
      </w:r>
      <w:r w:rsidRPr="4897FD18">
        <w:rPr>
          <w:i/>
          <w:iCs/>
        </w:rPr>
        <w:t>clear</w:t>
      </w:r>
      <w:r w:rsidR="00A029C4">
        <w:rPr>
          <w:i/>
          <w:iCs/>
        </w:rPr>
        <w:t xml:space="preserve"> what the Department expects of a best practice licence holder and what would be considered when we assess best practice</w:t>
      </w:r>
      <w:r w:rsidRPr="4897FD18">
        <w:rPr>
          <w:i/>
          <w:iCs/>
        </w:rPr>
        <w:t>?</w:t>
      </w:r>
      <w:r w:rsidR="001020CA">
        <w:rPr>
          <w:i/>
          <w:iCs/>
        </w:rPr>
        <w:t xml:space="preserve"> </w:t>
      </w:r>
      <w:r w:rsidR="0083031C">
        <w:rPr>
          <w:i/>
          <w:iCs/>
        </w:rPr>
        <w:t>If you are a licence holder, w</w:t>
      </w:r>
      <w:r w:rsidRPr="4897FD18">
        <w:rPr>
          <w:i/>
          <w:iCs/>
        </w:rPr>
        <w:t xml:space="preserve">ould your organisation be able to use it to assess your </w:t>
      </w:r>
      <w:r w:rsidR="00A029C4">
        <w:rPr>
          <w:i/>
          <w:iCs/>
        </w:rPr>
        <w:t xml:space="preserve">organisation’s </w:t>
      </w:r>
      <w:r w:rsidRPr="4897FD18">
        <w:rPr>
          <w:i/>
          <w:iCs/>
        </w:rPr>
        <w:t>performance and see where improvements can be made? Why or why not?</w:t>
      </w:r>
    </w:p>
    <w:p w14:paraId="04C3CCCB" w14:textId="61417420" w:rsidR="00E872FE" w:rsidRPr="00476506" w:rsidRDefault="00E872FE" w:rsidP="00E872FE">
      <w:pPr>
        <w:pStyle w:val="Heading3"/>
        <w:spacing w:after="240"/>
        <w:jc w:val="both"/>
        <w:rPr>
          <w:szCs w:val="28"/>
        </w:rPr>
      </w:pPr>
      <w:bookmarkStart w:id="16" w:name="_Toc479253032"/>
      <w:r w:rsidRPr="4FEF2642">
        <w:lastRenderedPageBreak/>
        <w:t xml:space="preserve">What might we expect to see as examples of </w:t>
      </w:r>
      <w:r w:rsidR="00CF66AF">
        <w:t>b</w:t>
      </w:r>
      <w:r w:rsidR="00DD3737" w:rsidRPr="4FEF2642">
        <w:t xml:space="preserve">est </w:t>
      </w:r>
      <w:r w:rsidR="001020CA">
        <w:t>practice</w:t>
      </w:r>
      <w:r w:rsidRPr="4FEF2642">
        <w:t>?</w:t>
      </w:r>
      <w:bookmarkEnd w:id="16"/>
    </w:p>
    <w:p w14:paraId="6694494E" w14:textId="16625ABE" w:rsidR="00E872FE" w:rsidRDefault="00CF66AF" w:rsidP="00E872FE">
      <w:pPr>
        <w:keepLines w:val="0"/>
        <w:jc w:val="both"/>
      </w:pPr>
      <w:r>
        <w:t>Practice examples</w:t>
      </w:r>
      <w:r w:rsidR="4FEF2642">
        <w:t xml:space="preserve"> have been developed by the Department to provide some guidance as to the types of</w:t>
      </w:r>
      <w:r>
        <w:t xml:space="preserve"> activities or processes that a</w:t>
      </w:r>
      <w:r w:rsidR="4FEF2642">
        <w:t xml:space="preserve"> </w:t>
      </w:r>
      <w:r w:rsidR="00AB4B79">
        <w:t>licence holder</w:t>
      </w:r>
      <w:r w:rsidR="4FEF2642">
        <w:t xml:space="preserve"> might undertake, and how these would be rated in terms of a </w:t>
      </w:r>
      <w:r w:rsidR="00AB4B79">
        <w:t>licence holder</w:t>
      </w:r>
      <w:r w:rsidR="4FEF2642">
        <w:t xml:space="preserve">’s capability if that </w:t>
      </w:r>
      <w:r w:rsidR="00AB4B79">
        <w:t>licence holder</w:t>
      </w:r>
      <w:r w:rsidR="4FEF2642">
        <w:t xml:space="preserve"> was being assessed for a </w:t>
      </w:r>
      <w:r>
        <w:t>best</w:t>
      </w:r>
      <w:r w:rsidR="4FEF2642">
        <w:t xml:space="preserve"> </w:t>
      </w:r>
      <w:r w:rsidR="001020CA">
        <w:t>practice</w:t>
      </w:r>
      <w:r w:rsidR="4FEF2642">
        <w:t xml:space="preserve"> licence.</w:t>
      </w:r>
    </w:p>
    <w:p w14:paraId="6558CC35" w14:textId="40960DC2" w:rsidR="00CF66AF" w:rsidRDefault="4FEF2642" w:rsidP="00E872FE">
      <w:pPr>
        <w:keepLines w:val="0"/>
        <w:jc w:val="both"/>
      </w:pPr>
      <w:r>
        <w:t xml:space="preserve">The </w:t>
      </w:r>
      <w:r w:rsidR="00CF66AF">
        <w:t>practice examples</w:t>
      </w:r>
      <w:r>
        <w:t xml:space="preserve"> have been </w:t>
      </w:r>
      <w:r w:rsidR="00CF66AF">
        <w:t>created by the Department from hypothetical situations. Sometimes they a</w:t>
      </w:r>
      <w:r w:rsidR="00A92585">
        <w:t>re an existing practice that has</w:t>
      </w:r>
      <w:r w:rsidR="00CF66AF">
        <w:t xml:space="preserve"> been adapted for the practice examples. Because the Department has not assessed society and club performance in this way before, we do not have information on existing practice examples. The purpose of providing these draft practice examples is to give societies and clubs an idea of:</w:t>
      </w:r>
    </w:p>
    <w:p w14:paraId="5983AAE8" w14:textId="77777777" w:rsidR="004550E6" w:rsidRDefault="00CF66AF" w:rsidP="00CF66AF">
      <w:pPr>
        <w:pStyle w:val="Bullet"/>
      </w:pPr>
      <w:r>
        <w:t xml:space="preserve">how to use the rating scale to rate their own existing practice examples; </w:t>
      </w:r>
    </w:p>
    <w:p w14:paraId="636EABFF" w14:textId="77C9983A" w:rsidR="004550E6" w:rsidRDefault="004550E6" w:rsidP="00CF66AF">
      <w:pPr>
        <w:pStyle w:val="Bullet"/>
      </w:pPr>
      <w:r>
        <w:t>the range of possible examples that could be provided and how they are rated;</w:t>
      </w:r>
    </w:p>
    <w:p w14:paraId="0BE1DAF7" w14:textId="77777777" w:rsidR="004550E6" w:rsidRDefault="00CF66AF" w:rsidP="00CF66AF">
      <w:pPr>
        <w:pStyle w:val="Bullet"/>
      </w:pPr>
      <w:r>
        <w:t>what might be considered best practice</w:t>
      </w:r>
      <w:r w:rsidR="004550E6">
        <w:t xml:space="preserve">; </w:t>
      </w:r>
    </w:p>
    <w:p w14:paraId="08380E47" w14:textId="0507804E" w:rsidR="004550E6" w:rsidRDefault="004550E6" w:rsidP="00CF66AF">
      <w:pPr>
        <w:pStyle w:val="Bullet"/>
      </w:pPr>
      <w:r>
        <w:t>there is no</w:t>
      </w:r>
      <w:r w:rsidR="00A92585">
        <w:t>t</w:t>
      </w:r>
      <w:r>
        <w:t xml:space="preserve"> a ‘one size fits all’ approach to best practice; and</w:t>
      </w:r>
    </w:p>
    <w:p w14:paraId="51CCBA62" w14:textId="2F735D28" w:rsidR="00CF66AF" w:rsidRDefault="004550E6" w:rsidP="00CF66AF">
      <w:pPr>
        <w:pStyle w:val="Bullet"/>
      </w:pPr>
      <w:r>
        <w:t>the fact that these are examples only - each society and club might have other different practice examples that are also best practice</w:t>
      </w:r>
      <w:r w:rsidR="00CF66AF">
        <w:t>.</w:t>
      </w:r>
    </w:p>
    <w:p w14:paraId="48216F8D" w14:textId="77777777" w:rsidR="00555E3F" w:rsidRDefault="00CF66AF" w:rsidP="00CF66AF">
      <w:r>
        <w:t>These practice examples are draft and are likely to change following consultation and further testing of the performance expectations framework. The Department is interested in any practice examples that submitters would want to supply. It would be helpful if you also used the rating scale to rate the practice examples</w:t>
      </w:r>
      <w:r w:rsidR="004550E6">
        <w:t xml:space="preserve"> that you supply</w:t>
      </w:r>
      <w:r>
        <w:t>.</w:t>
      </w:r>
    </w:p>
    <w:p w14:paraId="152E46BF" w14:textId="7A265A45" w:rsidR="00555E3F" w:rsidRDefault="00555E3F" w:rsidP="00555E3F">
      <w:pPr>
        <w:pStyle w:val="Bullet"/>
        <w:numPr>
          <w:ilvl w:val="0"/>
          <w:numId w:val="0"/>
        </w:numPr>
      </w:pPr>
      <w:r>
        <w:t>The Department expects harm minimisation and maximising benefits to be considered in every performance expectation category. For example a possible harm minimisation practice example in the asset management might be that the society or club invests in gaming technology that minimises harm.</w:t>
      </w:r>
    </w:p>
    <w:p w14:paraId="182CE513" w14:textId="4DF9906C" w:rsidR="00610172" w:rsidRDefault="53BA3504" w:rsidP="00555E3F">
      <w:pPr>
        <w:tabs>
          <w:tab w:val="left" w:pos="0"/>
        </w:tabs>
      </w:pPr>
      <w:r>
        <w:t xml:space="preserve">A copy of the </w:t>
      </w:r>
      <w:r w:rsidR="00CF66AF">
        <w:t>practice examples</w:t>
      </w:r>
      <w:r>
        <w:t xml:space="preserve"> can be found at Appendix 2. Please note that these are examples only and are not intended to provide an exhaustive list of what applicants </w:t>
      </w:r>
      <w:r w:rsidR="00414D77">
        <w:t>may be doing</w:t>
      </w:r>
      <w:r w:rsidR="00CF66AF">
        <w:t xml:space="preserve"> </w:t>
      </w:r>
      <w:r>
        <w:t>to meet practice expectations.</w:t>
      </w:r>
    </w:p>
    <w:p w14:paraId="2F9770B4" w14:textId="0C60C992" w:rsidR="0058292B" w:rsidRDefault="4FEF2642" w:rsidP="00E872FE">
      <w:pPr>
        <w:keepLines w:val="0"/>
        <w:jc w:val="both"/>
        <w:rPr>
          <w:i/>
          <w:iCs/>
        </w:rPr>
      </w:pPr>
      <w:r w:rsidRPr="4FEF2642">
        <w:rPr>
          <w:b/>
          <w:bCs/>
        </w:rPr>
        <w:t>Question</w:t>
      </w:r>
      <w:r w:rsidR="008B36A3">
        <w:rPr>
          <w:b/>
          <w:bCs/>
        </w:rPr>
        <w:t xml:space="preserve"> 5</w:t>
      </w:r>
      <w:r w:rsidRPr="4FEF2642">
        <w:rPr>
          <w:b/>
          <w:bCs/>
        </w:rPr>
        <w:t>:</w:t>
      </w:r>
      <w:r>
        <w:t xml:space="preserve"> </w:t>
      </w:r>
      <w:r w:rsidRPr="4897FD18">
        <w:rPr>
          <w:i/>
          <w:iCs/>
        </w:rPr>
        <w:t xml:space="preserve">Do these </w:t>
      </w:r>
      <w:r w:rsidR="00CF66AF">
        <w:rPr>
          <w:i/>
          <w:iCs/>
        </w:rPr>
        <w:t>practice examples</w:t>
      </w:r>
      <w:r w:rsidRPr="4897FD18">
        <w:rPr>
          <w:i/>
          <w:iCs/>
        </w:rPr>
        <w:t xml:space="preserve"> provide useful guidance on what we might expect to see in </w:t>
      </w:r>
      <w:r w:rsidR="00AB4B79">
        <w:rPr>
          <w:i/>
          <w:iCs/>
        </w:rPr>
        <w:t>licence holder</w:t>
      </w:r>
      <w:r w:rsidRPr="4897FD18">
        <w:rPr>
          <w:i/>
          <w:iCs/>
        </w:rPr>
        <w:t xml:space="preserve">s demonstrating </w:t>
      </w:r>
      <w:r w:rsidR="00CF66AF">
        <w:rPr>
          <w:i/>
          <w:iCs/>
        </w:rPr>
        <w:t>best</w:t>
      </w:r>
      <w:r w:rsidRPr="4897FD18">
        <w:rPr>
          <w:i/>
          <w:iCs/>
        </w:rPr>
        <w:t xml:space="preserve"> </w:t>
      </w:r>
      <w:r w:rsidR="001020CA">
        <w:rPr>
          <w:i/>
          <w:iCs/>
        </w:rPr>
        <w:t>practice</w:t>
      </w:r>
      <w:r w:rsidRPr="4897FD18">
        <w:rPr>
          <w:i/>
          <w:iCs/>
        </w:rPr>
        <w:t>? If not, can these be structured differently so that they do provide useful guidance?</w:t>
      </w:r>
      <w:r w:rsidR="004550E6">
        <w:rPr>
          <w:i/>
          <w:iCs/>
        </w:rPr>
        <w:t xml:space="preserve"> Do you have evidential examples that you would prefer to be used instead? Or that are clearer? We are interested in receiving your examples and how you would rate them.</w:t>
      </w:r>
    </w:p>
    <w:p w14:paraId="5CDCA4F3" w14:textId="6A6A26D3" w:rsidR="004550E6" w:rsidRPr="004550E6" w:rsidRDefault="004550E6" w:rsidP="00E872FE">
      <w:pPr>
        <w:keepLines w:val="0"/>
        <w:jc w:val="both"/>
        <w:rPr>
          <w:b/>
        </w:rPr>
      </w:pPr>
      <w:r>
        <w:rPr>
          <w:b/>
          <w:iCs/>
        </w:rPr>
        <w:t>Question</w:t>
      </w:r>
      <w:r w:rsidR="008B36A3">
        <w:rPr>
          <w:b/>
          <w:iCs/>
        </w:rPr>
        <w:t xml:space="preserve"> 6</w:t>
      </w:r>
      <w:r>
        <w:rPr>
          <w:b/>
          <w:iCs/>
        </w:rPr>
        <w:t xml:space="preserve">: </w:t>
      </w:r>
      <w:r>
        <w:rPr>
          <w:i/>
          <w:iCs/>
        </w:rPr>
        <w:t>Do you think it would helpful for the Department to build up a practice library of examples and share these with other societies and clubs? Is sharing practice in this way helpful to improving performance in the sector and growing the culture around seeking to improve?</w:t>
      </w:r>
    </w:p>
    <w:p w14:paraId="78248CB3" w14:textId="77777777" w:rsidR="00610172" w:rsidRDefault="00610172">
      <w:pPr>
        <w:keepLines w:val="0"/>
      </w:pPr>
      <w:r>
        <w:br w:type="page"/>
      </w:r>
    </w:p>
    <w:p w14:paraId="1B1261AD" w14:textId="128300EE" w:rsidR="00E872FE" w:rsidRPr="00E872FE" w:rsidRDefault="00E872FE" w:rsidP="00E1075C">
      <w:pPr>
        <w:pStyle w:val="Heading1"/>
        <w:numPr>
          <w:ilvl w:val="0"/>
          <w:numId w:val="28"/>
        </w:numPr>
        <w:ind w:left="567" w:hanging="567"/>
        <w:jc w:val="both"/>
      </w:pPr>
      <w:bookmarkStart w:id="17" w:name="_Toc479253033"/>
      <w:r w:rsidRPr="00E872FE">
        <w:lastRenderedPageBreak/>
        <w:t xml:space="preserve">Why </w:t>
      </w:r>
      <w:r w:rsidR="00CF66AF">
        <w:t>best</w:t>
      </w:r>
      <w:r w:rsidR="00DD3737">
        <w:t xml:space="preserve"> </w:t>
      </w:r>
      <w:r w:rsidR="001020CA">
        <w:t>practice</w:t>
      </w:r>
      <w:r w:rsidRPr="00E872FE">
        <w:t>?</w:t>
      </w:r>
      <w:bookmarkEnd w:id="17"/>
    </w:p>
    <w:p w14:paraId="4455ED20" w14:textId="6CAD2C5A" w:rsidR="00D70D74" w:rsidRPr="00445F61" w:rsidRDefault="007B20AD" w:rsidP="00445F61">
      <w:pPr>
        <w:pStyle w:val="Heading3"/>
        <w:spacing w:after="240"/>
        <w:jc w:val="both"/>
        <w:rPr>
          <w:szCs w:val="28"/>
        </w:rPr>
      </w:pPr>
      <w:bookmarkStart w:id="18" w:name="_Toc479253034"/>
      <w:r w:rsidRPr="4FEF2642">
        <w:t xml:space="preserve">Why </w:t>
      </w:r>
      <w:r w:rsidR="00D70D74" w:rsidRPr="4FEF2642">
        <w:t xml:space="preserve">does the Department want to focus on </w:t>
      </w:r>
      <w:r w:rsidR="00CF66AF">
        <w:t>best</w:t>
      </w:r>
      <w:r w:rsidR="00DD3737" w:rsidRPr="4FEF2642">
        <w:t xml:space="preserve"> </w:t>
      </w:r>
      <w:r w:rsidR="001020CA">
        <w:t>practice</w:t>
      </w:r>
      <w:r w:rsidR="00D70D74" w:rsidRPr="4FEF2642">
        <w:t>?</w:t>
      </w:r>
      <w:bookmarkEnd w:id="18"/>
      <w:r w:rsidR="00445F61">
        <w:t xml:space="preserve"> </w:t>
      </w:r>
    </w:p>
    <w:p w14:paraId="2F76D099" w14:textId="2C496065" w:rsidR="00D70D74" w:rsidRDefault="4FEF2642" w:rsidP="00D70D74">
      <w:pPr>
        <w:pStyle w:val="Numberedpara3level1"/>
        <w:keepLines w:val="0"/>
        <w:numPr>
          <w:ilvl w:val="0"/>
          <w:numId w:val="0"/>
        </w:numPr>
        <w:jc w:val="both"/>
      </w:pPr>
      <w:r>
        <w:t xml:space="preserve">The Department’s vision for the Class 4 gambling system is to have a safe, trusted and transparent gambling sector that benefits communities. We want to support the </w:t>
      </w:r>
      <w:r w:rsidR="006436DE">
        <w:t xml:space="preserve">Class </w:t>
      </w:r>
      <w:r>
        <w:t>4 sector to continually improve practices and find innovative ways of operating.</w:t>
      </w:r>
    </w:p>
    <w:p w14:paraId="1D562618" w14:textId="503FA44B" w:rsidR="00D70D74" w:rsidRDefault="4FEF2642" w:rsidP="00D70D74">
      <w:pPr>
        <w:pStyle w:val="Numberedpara3level1"/>
        <w:keepLines w:val="0"/>
        <w:numPr>
          <w:ilvl w:val="0"/>
          <w:numId w:val="0"/>
        </w:numPr>
        <w:jc w:val="both"/>
      </w:pPr>
      <w:r>
        <w:t xml:space="preserve">The </w:t>
      </w:r>
      <w:r w:rsidR="00CF66AF">
        <w:t>best</w:t>
      </w:r>
      <w:r>
        <w:t xml:space="preserve"> </w:t>
      </w:r>
      <w:r w:rsidR="001020CA">
        <w:t>practice</w:t>
      </w:r>
      <w:r>
        <w:t xml:space="preserve"> licence incentivises and rewards </w:t>
      </w:r>
      <w:r w:rsidR="0083031C">
        <w:t>societies and clubs</w:t>
      </w:r>
      <w:r>
        <w:t xml:space="preserve"> that demonstrate </w:t>
      </w:r>
      <w:r w:rsidR="00CF66AF">
        <w:t>best</w:t>
      </w:r>
      <w:r>
        <w:t xml:space="preserve"> </w:t>
      </w:r>
      <w:r w:rsidR="001020CA">
        <w:t>practice</w:t>
      </w:r>
      <w:r>
        <w:t>, and supports our shift to focusing on improvement in the sector.</w:t>
      </w:r>
    </w:p>
    <w:p w14:paraId="0C58494D" w14:textId="24AAAD2A" w:rsidR="007B20AD" w:rsidRPr="006D5FA3" w:rsidRDefault="006D5FA3" w:rsidP="006D5FA3">
      <w:pPr>
        <w:pStyle w:val="Heading3"/>
        <w:spacing w:after="240"/>
        <w:jc w:val="both"/>
        <w:rPr>
          <w:szCs w:val="28"/>
        </w:rPr>
      </w:pPr>
      <w:bookmarkStart w:id="19" w:name="_Toc479253035"/>
      <w:r w:rsidRPr="4FEF2642">
        <w:t>Wh</w:t>
      </w:r>
      <w:r w:rsidR="0080535C" w:rsidRPr="4FEF2642">
        <w:t xml:space="preserve">at are the potential benefits of a </w:t>
      </w:r>
      <w:r w:rsidR="00CF66AF">
        <w:t>best</w:t>
      </w:r>
      <w:r w:rsidR="00DD3737" w:rsidRPr="4FEF2642">
        <w:t xml:space="preserve"> </w:t>
      </w:r>
      <w:r w:rsidR="001020CA">
        <w:t>practice</w:t>
      </w:r>
      <w:r w:rsidR="0080535C" w:rsidRPr="4FEF2642">
        <w:t xml:space="preserve"> </w:t>
      </w:r>
      <w:r w:rsidR="00DD3737" w:rsidRPr="4FEF2642">
        <w:t>licence</w:t>
      </w:r>
      <w:r w:rsidR="0080535C" w:rsidRPr="4FEF2642">
        <w:t>?</w:t>
      </w:r>
      <w:bookmarkEnd w:id="19"/>
    </w:p>
    <w:p w14:paraId="218340E6" w14:textId="7A648062" w:rsidR="000938B8" w:rsidRDefault="4FEF2642" w:rsidP="007B20AD">
      <w:r>
        <w:t xml:space="preserve">There are a number of potential benefits </w:t>
      </w:r>
      <w:r w:rsidR="004550E6">
        <w:t xml:space="preserve">to a society or a club to have </w:t>
      </w:r>
      <w:r>
        <w:t xml:space="preserve">a </w:t>
      </w:r>
      <w:r w:rsidR="00CF66AF">
        <w:t>best</w:t>
      </w:r>
      <w:r>
        <w:t xml:space="preserve"> </w:t>
      </w:r>
      <w:r w:rsidR="001020CA">
        <w:t>practice</w:t>
      </w:r>
      <w:r>
        <w:t xml:space="preserve"> licence, including: </w:t>
      </w:r>
    </w:p>
    <w:p w14:paraId="590341B1" w14:textId="4CA0BAD8" w:rsidR="00445F61" w:rsidRDefault="4FEF2642" w:rsidP="00E1075C">
      <w:pPr>
        <w:pStyle w:val="ListParagraph"/>
        <w:numPr>
          <w:ilvl w:val="0"/>
          <w:numId w:val="36"/>
        </w:numPr>
      </w:pPr>
      <w:r>
        <w:t xml:space="preserve">reputational value that comes with supporting and demonstrating </w:t>
      </w:r>
      <w:r w:rsidR="00CF66AF">
        <w:t>best</w:t>
      </w:r>
      <w:r>
        <w:t xml:space="preserve"> </w:t>
      </w:r>
      <w:r w:rsidR="001020CA">
        <w:t>practice</w:t>
      </w:r>
      <w:r>
        <w:t>;</w:t>
      </w:r>
    </w:p>
    <w:p w14:paraId="1A4FCA49" w14:textId="03CC58AB" w:rsidR="00445F61" w:rsidRDefault="4FEF2642" w:rsidP="00E1075C">
      <w:pPr>
        <w:pStyle w:val="ListParagraph"/>
        <w:numPr>
          <w:ilvl w:val="0"/>
          <w:numId w:val="36"/>
        </w:numPr>
      </w:pPr>
      <w:r>
        <w:t xml:space="preserve">supporting a positive </w:t>
      </w:r>
      <w:r w:rsidR="004550E6">
        <w:t xml:space="preserve">public </w:t>
      </w:r>
      <w:r>
        <w:t xml:space="preserve">perception of </w:t>
      </w:r>
      <w:r w:rsidR="006436DE">
        <w:t xml:space="preserve">Class </w:t>
      </w:r>
      <w:r>
        <w:t xml:space="preserve">4 </w:t>
      </w:r>
      <w:r w:rsidR="004550E6">
        <w:t>gambling</w:t>
      </w:r>
      <w:r>
        <w:t>;</w:t>
      </w:r>
    </w:p>
    <w:p w14:paraId="6BEED476" w14:textId="4830544D" w:rsidR="00445F61" w:rsidRDefault="4FEF2642" w:rsidP="00E1075C">
      <w:pPr>
        <w:pStyle w:val="ListParagraph"/>
        <w:numPr>
          <w:ilvl w:val="0"/>
          <w:numId w:val="36"/>
        </w:numPr>
      </w:pPr>
      <w:r>
        <w:t xml:space="preserve">supporting </w:t>
      </w:r>
      <w:r w:rsidR="004550E6">
        <w:t xml:space="preserve">robust practices and systems for </w:t>
      </w:r>
      <w:r>
        <w:t>risk management;</w:t>
      </w:r>
    </w:p>
    <w:p w14:paraId="180EB1E8" w14:textId="7633DC35" w:rsidR="00445F61" w:rsidRDefault="4FEF2642" w:rsidP="00E1075C">
      <w:pPr>
        <w:pStyle w:val="ListParagraph"/>
        <w:numPr>
          <w:ilvl w:val="0"/>
          <w:numId w:val="36"/>
        </w:numPr>
      </w:pPr>
      <w:r>
        <w:t>supporting resilience</w:t>
      </w:r>
      <w:r w:rsidR="004550E6">
        <w:t xml:space="preserve"> and Class 4 sustainability</w:t>
      </w:r>
      <w:r>
        <w:t>;</w:t>
      </w:r>
    </w:p>
    <w:p w14:paraId="44A1FD04" w14:textId="2BBAC847" w:rsidR="00445F61" w:rsidRDefault="4FEF2642" w:rsidP="00E1075C">
      <w:pPr>
        <w:pStyle w:val="ListParagraph"/>
        <w:numPr>
          <w:ilvl w:val="0"/>
          <w:numId w:val="36"/>
        </w:numPr>
      </w:pPr>
      <w:r>
        <w:t xml:space="preserve">providing an incentive </w:t>
      </w:r>
      <w:r w:rsidR="004550E6">
        <w:t xml:space="preserve">to continue to improve </w:t>
      </w:r>
      <w:r>
        <w:t>and a framework in which to do it;</w:t>
      </w:r>
    </w:p>
    <w:p w14:paraId="45F68DF7" w14:textId="0FB8770E" w:rsidR="0080535C" w:rsidRDefault="4FEF2642" w:rsidP="00E1075C">
      <w:pPr>
        <w:pStyle w:val="ListParagraph"/>
        <w:numPr>
          <w:ilvl w:val="0"/>
          <w:numId w:val="36"/>
        </w:numPr>
      </w:pPr>
      <w:r>
        <w:t>increasing collaborative relationships between societies, clubs, venues, service providers and the regulator;</w:t>
      </w:r>
    </w:p>
    <w:p w14:paraId="3BFBE97B" w14:textId="1B96D0CF" w:rsidR="000938B8" w:rsidRPr="000938B8" w:rsidRDefault="4FEF2642" w:rsidP="00E1075C">
      <w:pPr>
        <w:pStyle w:val="ListParagraph"/>
        <w:numPr>
          <w:ilvl w:val="0"/>
          <w:numId w:val="36"/>
        </w:numPr>
      </w:pPr>
      <w:r>
        <w:t xml:space="preserve">easing the administrative burden </w:t>
      </w:r>
      <w:r w:rsidR="00A16098">
        <w:t>by moving to a three year renewal rather than an annual renewal</w:t>
      </w:r>
      <w:r>
        <w:t>;</w:t>
      </w:r>
    </w:p>
    <w:p w14:paraId="538A4894" w14:textId="755A2195" w:rsidR="000938B8" w:rsidRDefault="00A16098" w:rsidP="00E1075C">
      <w:pPr>
        <w:pStyle w:val="ListParagraph"/>
        <w:numPr>
          <w:ilvl w:val="0"/>
          <w:numId w:val="36"/>
        </w:numPr>
      </w:pPr>
      <w:r>
        <w:t xml:space="preserve">possibly allowing </w:t>
      </w:r>
      <w:r w:rsidR="4FEF2642">
        <w:t xml:space="preserve">for longer-term planning </w:t>
      </w:r>
      <w:r>
        <w:t xml:space="preserve">for the </w:t>
      </w:r>
      <w:r w:rsidR="00AB4B79">
        <w:t>licence holder</w:t>
      </w:r>
      <w:r w:rsidR="4FEF2642">
        <w:t xml:space="preserve"> and </w:t>
      </w:r>
      <w:r>
        <w:t>its business partners</w:t>
      </w:r>
      <w:r w:rsidR="006436DE">
        <w:t xml:space="preserve">, </w:t>
      </w:r>
      <w:r w:rsidR="4FEF2642">
        <w:t>and</w:t>
      </w:r>
    </w:p>
    <w:p w14:paraId="55127FC8" w14:textId="189F27FF" w:rsidR="0080535C" w:rsidRDefault="00A16098" w:rsidP="00E1075C">
      <w:pPr>
        <w:pStyle w:val="ListParagraph"/>
        <w:numPr>
          <w:ilvl w:val="0"/>
          <w:numId w:val="36"/>
        </w:numPr>
      </w:pPr>
      <w:r>
        <w:t xml:space="preserve">potential savings, that possibly </w:t>
      </w:r>
      <w:r w:rsidR="4FEF2642">
        <w:t>include:</w:t>
      </w:r>
    </w:p>
    <w:p w14:paraId="356F2E61" w14:textId="6A0530AC" w:rsidR="0080535C" w:rsidRDefault="4FEF2642" w:rsidP="00E1075C">
      <w:pPr>
        <w:pStyle w:val="ListParagraph"/>
        <w:numPr>
          <w:ilvl w:val="1"/>
          <w:numId w:val="36"/>
        </w:numPr>
      </w:pPr>
      <w:r>
        <w:t>reduction in compliance costs</w:t>
      </w:r>
      <w:r w:rsidR="00A16098">
        <w:t xml:space="preserve"> after the initial changes to become best practice have been made</w:t>
      </w:r>
      <w:r>
        <w:t>;</w:t>
      </w:r>
    </w:p>
    <w:p w14:paraId="534469E0" w14:textId="69EFAF0B" w:rsidR="004809E9" w:rsidRDefault="4FEF2642" w:rsidP="00E1075C">
      <w:pPr>
        <w:pStyle w:val="ListParagraph"/>
        <w:numPr>
          <w:ilvl w:val="1"/>
          <w:numId w:val="36"/>
        </w:numPr>
      </w:pPr>
      <w:r>
        <w:t>reduction in cost of auditing forecasting activities annually;</w:t>
      </w:r>
    </w:p>
    <w:p w14:paraId="788C17EA" w14:textId="72A0B949" w:rsidR="00386211" w:rsidRDefault="4FEF2642" w:rsidP="00E1075C">
      <w:pPr>
        <w:pStyle w:val="ListParagraph"/>
        <w:numPr>
          <w:ilvl w:val="1"/>
          <w:numId w:val="36"/>
        </w:numPr>
      </w:pPr>
      <w:r>
        <w:t>reduction in administrative cost and resource</w:t>
      </w:r>
      <w:r w:rsidR="006436DE">
        <w:t xml:space="preserve">, </w:t>
      </w:r>
      <w:r>
        <w:t>and</w:t>
      </w:r>
    </w:p>
    <w:p w14:paraId="5A8862C8" w14:textId="407467AF" w:rsidR="00386211" w:rsidRDefault="4FEF2642" w:rsidP="00E1075C">
      <w:pPr>
        <w:pStyle w:val="ListParagraph"/>
        <w:numPr>
          <w:ilvl w:val="1"/>
          <w:numId w:val="36"/>
        </w:numPr>
      </w:pPr>
      <w:r>
        <w:t xml:space="preserve">reduction in </w:t>
      </w:r>
      <w:r w:rsidR="00943175">
        <w:t xml:space="preserve">other </w:t>
      </w:r>
      <w:r>
        <w:t>cost</w:t>
      </w:r>
      <w:r w:rsidR="00943175">
        <w:t>s</w:t>
      </w:r>
      <w:r>
        <w:t xml:space="preserve"> </w:t>
      </w:r>
      <w:r w:rsidR="00943175">
        <w:t>(for example if banks and insurance companies have increased assurance from longer licence term, they might reduce some of their costs)</w:t>
      </w:r>
      <w:r>
        <w:t>.</w:t>
      </w:r>
    </w:p>
    <w:p w14:paraId="045F39FB" w14:textId="47A092FD" w:rsidR="00386211" w:rsidRDefault="0083031C" w:rsidP="00386211">
      <w:pPr>
        <w:jc w:val="both"/>
      </w:pPr>
      <w:r>
        <w:t>Societies and clubs</w:t>
      </w:r>
      <w:r w:rsidR="4FEF2642">
        <w:t xml:space="preserve"> will place higher value on some of these benefits than on others. Ultimately, it is up to each </w:t>
      </w:r>
      <w:r>
        <w:t>society and club</w:t>
      </w:r>
      <w:r w:rsidR="4FEF2642">
        <w:t xml:space="preserve"> to decide whether to apply for a </w:t>
      </w:r>
      <w:r w:rsidR="00CF66AF">
        <w:t>best</w:t>
      </w:r>
      <w:r w:rsidR="4FEF2642">
        <w:t xml:space="preserve"> </w:t>
      </w:r>
      <w:r w:rsidR="001020CA">
        <w:t>practice</w:t>
      </w:r>
      <w:r w:rsidR="4FEF2642">
        <w:t xml:space="preserve"> licence.</w:t>
      </w:r>
    </w:p>
    <w:p w14:paraId="6C2DF95C" w14:textId="0CB38748" w:rsidR="00257FEA" w:rsidRPr="000938B8" w:rsidRDefault="4FEF2642" w:rsidP="00386211">
      <w:pPr>
        <w:jc w:val="both"/>
      </w:pPr>
      <w:r>
        <w:t xml:space="preserve">The Department </w:t>
      </w:r>
      <w:r w:rsidR="00A16098">
        <w:t>has set</w:t>
      </w:r>
      <w:r>
        <w:t xml:space="preserve"> out the desired outcomes from the </w:t>
      </w:r>
      <w:r w:rsidR="00CF66AF">
        <w:t>best</w:t>
      </w:r>
      <w:r>
        <w:t xml:space="preserve"> </w:t>
      </w:r>
      <w:r w:rsidR="001020CA">
        <w:t>practice</w:t>
      </w:r>
      <w:r>
        <w:t xml:space="preserve"> licence framework</w:t>
      </w:r>
      <w:r w:rsidR="00A16098">
        <w:t xml:space="preserve"> in </w:t>
      </w:r>
      <w:r>
        <w:t>Appendix 3.</w:t>
      </w:r>
    </w:p>
    <w:p w14:paraId="7693DFDE" w14:textId="617C241C" w:rsidR="00E37D7E" w:rsidRDefault="00E37D7E" w:rsidP="00E1075C">
      <w:pPr>
        <w:pStyle w:val="Heading1"/>
        <w:numPr>
          <w:ilvl w:val="0"/>
          <w:numId w:val="28"/>
        </w:numPr>
        <w:ind w:left="567" w:hanging="567"/>
        <w:jc w:val="both"/>
      </w:pPr>
      <w:bookmarkStart w:id="20" w:name="_Toc479253036"/>
      <w:r>
        <w:lastRenderedPageBreak/>
        <w:t xml:space="preserve">Assessing </w:t>
      </w:r>
      <w:r w:rsidR="00CF66AF">
        <w:t>best</w:t>
      </w:r>
      <w:r w:rsidR="00DD3737">
        <w:t xml:space="preserve"> </w:t>
      </w:r>
      <w:r w:rsidR="001020CA">
        <w:t>practice</w:t>
      </w:r>
      <w:bookmarkEnd w:id="20"/>
    </w:p>
    <w:p w14:paraId="38C9600A" w14:textId="21BFA1E9" w:rsidR="00E37D7E" w:rsidRDefault="0083031C" w:rsidP="00990BF3">
      <w:pPr>
        <w:pStyle w:val="Heading3"/>
        <w:spacing w:after="240"/>
        <w:jc w:val="both"/>
        <w:rPr>
          <w:szCs w:val="28"/>
        </w:rPr>
      </w:pPr>
      <w:bookmarkStart w:id="21" w:name="_Toc479253037"/>
      <w:r>
        <w:t>Applicants</w:t>
      </w:r>
      <w:r w:rsidR="00250396" w:rsidRPr="4FEF2642">
        <w:t xml:space="preserve"> submit a self-assessment</w:t>
      </w:r>
      <w:bookmarkEnd w:id="21"/>
      <w:r w:rsidR="00250396" w:rsidRPr="4FEF2642">
        <w:t xml:space="preserve"> </w:t>
      </w:r>
    </w:p>
    <w:p w14:paraId="5E597B12" w14:textId="75331A36" w:rsidR="00A16098" w:rsidRDefault="4FEF2642" w:rsidP="00176D58">
      <w:pPr>
        <w:jc w:val="both"/>
      </w:pPr>
      <w:r>
        <w:t xml:space="preserve">If </w:t>
      </w:r>
      <w:r w:rsidR="0083031C">
        <w:t>a society or club</w:t>
      </w:r>
      <w:r>
        <w:t xml:space="preserve"> decides to apply for a </w:t>
      </w:r>
      <w:r w:rsidR="00CF66AF">
        <w:t>best</w:t>
      </w:r>
      <w:r>
        <w:t xml:space="preserve"> </w:t>
      </w:r>
      <w:r w:rsidR="001020CA">
        <w:t>practice</w:t>
      </w:r>
      <w:r>
        <w:t xml:space="preserve"> licence, they will submit a self-assessment of their performance to the Department as part of their licence renewal application. </w:t>
      </w:r>
      <w:r w:rsidR="00A16098">
        <w:t xml:space="preserve">The Department’s expectations are that only a very small number of societies and clubs are likely to be ready to apply for a best practice licence in the first year. The best practice rating is a very high standard that is over and above the current compliance approach of societies and clubs. In the past, if the Department has found capable compliant practice, it has referred to this as best practice. As a result of this proposal to move to a best practice licence, the Department is shifting the bar from capable compliant practice to best practice, which is going above and beyond, putting community and customers at the heart of operations, working with the Department on shared outcomes, and regularly monitoring and reviewing what licence holders are doing so that they can make changes to improve. </w:t>
      </w:r>
    </w:p>
    <w:p w14:paraId="1A75D58C" w14:textId="6071B7E6" w:rsidR="00250396" w:rsidRDefault="0083031C" w:rsidP="00176D58">
      <w:pPr>
        <w:jc w:val="both"/>
      </w:pPr>
      <w:r>
        <w:t>Applicants</w:t>
      </w:r>
      <w:r w:rsidR="4FEF2642">
        <w:t xml:space="preserve"> will complete their self-assessment using the following documents as guidance:</w:t>
      </w:r>
    </w:p>
    <w:p w14:paraId="5C5A724A" w14:textId="03DCA106" w:rsidR="00250396" w:rsidRDefault="00CF66AF" w:rsidP="00E1075C">
      <w:pPr>
        <w:pStyle w:val="ListParagraph"/>
        <w:numPr>
          <w:ilvl w:val="0"/>
          <w:numId w:val="37"/>
        </w:numPr>
        <w:jc w:val="both"/>
      </w:pPr>
      <w:r>
        <w:t>performance expectations</w:t>
      </w:r>
      <w:r w:rsidR="4FEF2642">
        <w:t xml:space="preserve"> for </w:t>
      </w:r>
      <w:r>
        <w:t>best</w:t>
      </w:r>
      <w:r w:rsidR="4FEF2642">
        <w:t xml:space="preserve"> </w:t>
      </w:r>
      <w:r w:rsidR="001020CA">
        <w:t>practice</w:t>
      </w:r>
      <w:r w:rsidR="4FEF2642">
        <w:t xml:space="preserve"> licence (see Appendix 1); </w:t>
      </w:r>
    </w:p>
    <w:p w14:paraId="14F72064" w14:textId="57C9840F" w:rsidR="00250396" w:rsidRDefault="00A16098" w:rsidP="00E1075C">
      <w:pPr>
        <w:pStyle w:val="ListParagraph"/>
        <w:numPr>
          <w:ilvl w:val="0"/>
          <w:numId w:val="37"/>
        </w:numPr>
        <w:jc w:val="both"/>
      </w:pPr>
      <w:r>
        <w:t>r</w:t>
      </w:r>
      <w:r w:rsidR="4FEF2642">
        <w:t>ating scale (to measure how each performance expectation is being met</w:t>
      </w:r>
      <w:r w:rsidR="006436DE">
        <w:t xml:space="preserve">), </w:t>
      </w:r>
      <w:r w:rsidR="4FEF2642">
        <w:t>and</w:t>
      </w:r>
    </w:p>
    <w:p w14:paraId="769D853D" w14:textId="77777777" w:rsidR="00A16098" w:rsidRDefault="00CF66AF" w:rsidP="00597E05">
      <w:pPr>
        <w:pStyle w:val="ListParagraph"/>
        <w:numPr>
          <w:ilvl w:val="0"/>
          <w:numId w:val="37"/>
        </w:numPr>
        <w:jc w:val="both"/>
      </w:pPr>
      <w:r>
        <w:t>best</w:t>
      </w:r>
      <w:r w:rsidR="4FEF2642">
        <w:t xml:space="preserve"> </w:t>
      </w:r>
      <w:r w:rsidR="001020CA">
        <w:t>practice</w:t>
      </w:r>
      <w:r w:rsidR="4FEF2642">
        <w:t xml:space="preserve"> licence </w:t>
      </w:r>
      <w:r w:rsidR="00A16098">
        <w:t xml:space="preserve">criteria </w:t>
      </w:r>
      <w:r w:rsidR="4FEF2642">
        <w:t xml:space="preserve">method (to </w:t>
      </w:r>
      <w:r w:rsidR="00A16098">
        <w:t>meet the rating criteria of best practice in at least two sub-categories for every category with no weak ratings in any of the sub-categories</w:t>
      </w:r>
      <w:r w:rsidR="4FEF2642">
        <w:t xml:space="preserve">). </w:t>
      </w:r>
    </w:p>
    <w:p w14:paraId="7F497C41" w14:textId="62432C64" w:rsidR="003C31AD" w:rsidRDefault="0083031C" w:rsidP="00A16098">
      <w:r>
        <w:t>Applicants</w:t>
      </w:r>
      <w:r w:rsidR="00A16098">
        <w:t xml:space="preserve"> must first self-assess their own practice examples across all of the categories and sub-categories in the performance expectations. </w:t>
      </w:r>
      <w:r w:rsidR="003C31AD">
        <w:t xml:space="preserve">This first self-assessment will indicate to the </w:t>
      </w:r>
      <w:r>
        <w:t>applicant</w:t>
      </w:r>
      <w:r w:rsidR="00A92585">
        <w:t xml:space="preserve"> where their current practice is rated</w:t>
      </w:r>
      <w:r w:rsidR="003C31AD">
        <w:t xml:space="preserve">. The </w:t>
      </w:r>
      <w:r>
        <w:t>applicant</w:t>
      </w:r>
      <w:r w:rsidR="003C31AD">
        <w:t xml:space="preserve"> will then need to decide what needs to change and how to make those changes to improve their practice</w:t>
      </w:r>
      <w:r>
        <w:t>.</w:t>
      </w:r>
      <w:r w:rsidR="003C31AD">
        <w:t xml:space="preserve"> </w:t>
      </w:r>
      <w:r>
        <w:t xml:space="preserve"> </w:t>
      </w:r>
      <w:r w:rsidR="003C31AD">
        <w:t xml:space="preserve">The Department expects that </w:t>
      </w:r>
      <w:r>
        <w:t>applicants</w:t>
      </w:r>
      <w:r w:rsidR="003C31AD">
        <w:t xml:space="preserve"> would need to invest in this change process and that it might take some time to build up new comprehensive practice examples that reflect the changes. </w:t>
      </w:r>
    </w:p>
    <w:p w14:paraId="1EA0E792" w14:textId="0B8783C0" w:rsidR="003C31AD" w:rsidRDefault="0083031C" w:rsidP="00250396">
      <w:pPr>
        <w:jc w:val="both"/>
      </w:pPr>
      <w:r>
        <w:t>Applicants</w:t>
      </w:r>
      <w:r w:rsidR="00176D58">
        <w:t xml:space="preserve"> can choose to approach the</w:t>
      </w:r>
      <w:r w:rsidR="00597E05">
        <w:t>ir</w:t>
      </w:r>
      <w:r w:rsidR="00176D58">
        <w:t xml:space="preserve"> self-assessment in a way that suits them - for example, by </w:t>
      </w:r>
      <w:r w:rsidR="00597E05">
        <w:t xml:space="preserve">completing an </w:t>
      </w:r>
      <w:r w:rsidR="00176D58">
        <w:t xml:space="preserve">informal self-assessment, </w:t>
      </w:r>
      <w:r w:rsidR="00597E05">
        <w:t xml:space="preserve">a </w:t>
      </w:r>
      <w:r w:rsidR="00176D58">
        <w:t xml:space="preserve">structured project self-assessment, or </w:t>
      </w:r>
      <w:r w:rsidR="00597E05">
        <w:t xml:space="preserve">getting </w:t>
      </w:r>
      <w:r w:rsidR="00176D58">
        <w:t>independent assurance</w:t>
      </w:r>
      <w:r w:rsidR="00597E05">
        <w:t xml:space="preserve"> of their performance</w:t>
      </w:r>
      <w:r w:rsidR="00A92585">
        <w:rPr>
          <w:rStyle w:val="FootnoteReference"/>
        </w:rPr>
        <w:footnoteReference w:id="3"/>
      </w:r>
      <w:r w:rsidR="00176D58" w:rsidRPr="36E5F146">
        <w:t>.</w:t>
      </w:r>
      <w:r w:rsidR="003C31AD" w:rsidRPr="003C31AD">
        <w:rPr>
          <w:rStyle w:val="FootnoteReference"/>
        </w:rPr>
        <w:t xml:space="preserve"> </w:t>
      </w:r>
      <w:r w:rsidR="00176D58">
        <w:t xml:space="preserve">The method chosen </w:t>
      </w:r>
      <w:r w:rsidR="00250396">
        <w:t xml:space="preserve">is up to the applicant, depending on what suits the </w:t>
      </w:r>
      <w:r w:rsidR="003C31AD">
        <w:t xml:space="preserve">size, </w:t>
      </w:r>
      <w:r w:rsidR="00250396">
        <w:t>structure</w:t>
      </w:r>
      <w:r w:rsidR="003C31AD">
        <w:t>, and culture</w:t>
      </w:r>
      <w:r w:rsidR="00250396">
        <w:t xml:space="preserve"> of the </w:t>
      </w:r>
      <w:r>
        <w:t>applicant</w:t>
      </w:r>
      <w:r w:rsidR="00250396">
        <w:t xml:space="preserve"> best.</w:t>
      </w:r>
      <w:r w:rsidR="0090630C" w:rsidRPr="36E5F146">
        <w:t xml:space="preserve"> </w:t>
      </w:r>
    </w:p>
    <w:p w14:paraId="04FCE29D" w14:textId="40AEBE2E" w:rsidR="003C31AD" w:rsidRPr="00E37D7E" w:rsidRDefault="4FEF2642" w:rsidP="003C31AD">
      <w:r>
        <w:lastRenderedPageBreak/>
        <w:t xml:space="preserve">The Department will review the self-assessment, verify the evidence provided and assess whether the applicant is eligible for a </w:t>
      </w:r>
      <w:r w:rsidR="00CF66AF">
        <w:t>best</w:t>
      </w:r>
      <w:r>
        <w:t xml:space="preserve"> </w:t>
      </w:r>
      <w:r w:rsidR="001020CA">
        <w:t>practice</w:t>
      </w:r>
      <w:r>
        <w:t xml:space="preserve"> licence. </w:t>
      </w:r>
      <w:r w:rsidR="003C31AD">
        <w:t xml:space="preserve">The Department uses the same rating scale and criteria assessment method when it evaluates and assesses the </w:t>
      </w:r>
      <w:r w:rsidR="0083031C">
        <w:t xml:space="preserve">applicant’s </w:t>
      </w:r>
      <w:r w:rsidR="003C31AD">
        <w:t xml:space="preserve">self-assessment and practice examples. The Department makes the decisions on whether the </w:t>
      </w:r>
      <w:r w:rsidR="0083031C">
        <w:t>applicant’s</w:t>
      </w:r>
      <w:r w:rsidR="003C31AD">
        <w:t xml:space="preserve"> practice examples are sufficient and comprehensive enough to grant a best practice licence.</w:t>
      </w:r>
    </w:p>
    <w:p w14:paraId="2261DFAE" w14:textId="62415574" w:rsidR="00250396" w:rsidRDefault="4FEF2642" w:rsidP="00250396">
      <w:pPr>
        <w:jc w:val="both"/>
      </w:pPr>
      <w:r>
        <w:t xml:space="preserve">The Department’s expectation is that applications for a </w:t>
      </w:r>
      <w:r w:rsidR="00CF66AF">
        <w:t>best</w:t>
      </w:r>
      <w:r>
        <w:t xml:space="preserve"> </w:t>
      </w:r>
      <w:r w:rsidR="001020CA">
        <w:t>practice</w:t>
      </w:r>
      <w:r>
        <w:t xml:space="preserve"> licence </w:t>
      </w:r>
      <w:r w:rsidR="003C31AD">
        <w:t xml:space="preserve">would </w:t>
      </w:r>
      <w:r>
        <w:t xml:space="preserve">be submitted </w:t>
      </w:r>
      <w:r w:rsidR="006436DE">
        <w:t xml:space="preserve">only </w:t>
      </w:r>
      <w:r>
        <w:t xml:space="preserve">by </w:t>
      </w:r>
      <w:r w:rsidR="0083031C">
        <w:t>societies and clubs</w:t>
      </w:r>
      <w:r>
        <w:t xml:space="preserve"> whose own self-assessment shows they are demonstrating </w:t>
      </w:r>
      <w:r w:rsidR="00CF66AF">
        <w:t>best</w:t>
      </w:r>
      <w:r>
        <w:t xml:space="preserve"> </w:t>
      </w:r>
      <w:r w:rsidR="001020CA">
        <w:t>practice</w:t>
      </w:r>
      <w:r>
        <w:t>.</w:t>
      </w:r>
      <w:r w:rsidR="003C31AD">
        <w:t xml:space="preserve"> No one should apply unless they are confident that they have a comprehensive list with a variety of evidential examples that show best practice in at least two of every sub-category and no weak ratings. </w:t>
      </w:r>
    </w:p>
    <w:p w14:paraId="263AC7DE" w14:textId="6CDB4E9A" w:rsidR="003C31AD" w:rsidRDefault="003C31AD" w:rsidP="00250396">
      <w:pPr>
        <w:jc w:val="both"/>
      </w:pPr>
      <w:r w:rsidRPr="003C31AD">
        <w:rPr>
          <w:b/>
        </w:rPr>
        <w:t>Question</w:t>
      </w:r>
      <w:r w:rsidR="008B36A3">
        <w:rPr>
          <w:b/>
        </w:rPr>
        <w:t xml:space="preserve"> 7</w:t>
      </w:r>
      <w:r w:rsidRPr="003C31AD">
        <w:rPr>
          <w:b/>
        </w:rPr>
        <w:t>:</w:t>
      </w:r>
      <w:r>
        <w:t xml:space="preserve"> </w:t>
      </w:r>
      <w:r w:rsidRPr="003C31AD">
        <w:rPr>
          <w:i/>
        </w:rPr>
        <w:t>Please let us know in your submission if you are thinking of applying for a best practice licence.</w:t>
      </w:r>
      <w:r>
        <w:t xml:space="preserve"> </w:t>
      </w:r>
      <w:r w:rsidRPr="003C31AD">
        <w:rPr>
          <w:i/>
        </w:rPr>
        <w:t>The</w:t>
      </w:r>
      <w:r>
        <w:rPr>
          <w:i/>
        </w:rPr>
        <w:t xml:space="preserve"> Department intends to have regional workshops on how to apply for a best practice l</w:t>
      </w:r>
      <w:r w:rsidR="00876787">
        <w:rPr>
          <w:i/>
        </w:rPr>
        <w:t>icence for societies and their b</w:t>
      </w:r>
      <w:r>
        <w:rPr>
          <w:i/>
        </w:rPr>
        <w:t>oards, as we</w:t>
      </w:r>
      <w:r w:rsidR="00876787">
        <w:rPr>
          <w:i/>
        </w:rPr>
        <w:t>ll as clubs</w:t>
      </w:r>
      <w:r>
        <w:rPr>
          <w:i/>
        </w:rPr>
        <w:t xml:space="preserve">. It would help our planning to know the interest amongst clubs and societies. </w:t>
      </w:r>
    </w:p>
    <w:p w14:paraId="427601E3" w14:textId="57FE0F59" w:rsidR="003B4528" w:rsidRDefault="00E37D7E" w:rsidP="00990BF3">
      <w:pPr>
        <w:pStyle w:val="Heading3"/>
        <w:spacing w:after="240"/>
        <w:jc w:val="both"/>
        <w:rPr>
          <w:szCs w:val="28"/>
        </w:rPr>
      </w:pPr>
      <w:bookmarkStart w:id="22" w:name="_Toc479253038"/>
      <w:r w:rsidRPr="4FEF2642">
        <w:t xml:space="preserve">What is the rating scale for a </w:t>
      </w:r>
      <w:r w:rsidR="00A92585">
        <w:t>b</w:t>
      </w:r>
      <w:r w:rsidR="00CF66AF">
        <w:t>est</w:t>
      </w:r>
      <w:r w:rsidR="00DD3737" w:rsidRPr="4FEF2642">
        <w:t xml:space="preserve"> </w:t>
      </w:r>
      <w:r w:rsidR="00A92585">
        <w:t>p</w:t>
      </w:r>
      <w:r w:rsidR="001020CA">
        <w:t>ractice</w:t>
      </w:r>
      <w:r w:rsidRPr="4FEF2642">
        <w:t xml:space="preserve"> </w:t>
      </w:r>
      <w:r w:rsidR="00A92585">
        <w:t>l</w:t>
      </w:r>
      <w:r w:rsidR="00DD3737" w:rsidRPr="4FEF2642">
        <w:t>icence</w:t>
      </w:r>
      <w:r w:rsidR="00A75623" w:rsidRPr="4FEF2642">
        <w:t>?</w:t>
      </w:r>
      <w:bookmarkEnd w:id="22"/>
    </w:p>
    <w:p w14:paraId="27F23E60" w14:textId="495FC23B" w:rsidR="00E350FD" w:rsidRDefault="4FEF2642" w:rsidP="00E37D7E">
      <w:pPr>
        <w:jc w:val="both"/>
      </w:pPr>
      <w:r>
        <w:t xml:space="preserve">Each aspect of the applicant’s performance </w:t>
      </w:r>
      <w:r w:rsidR="003C31AD">
        <w:t xml:space="preserve">would </w:t>
      </w:r>
      <w:r>
        <w:t>be rated using the following rating scale:</w:t>
      </w:r>
    </w:p>
    <w:p w14:paraId="13E91C23" w14:textId="5D02BC9A" w:rsidR="00E350FD" w:rsidRDefault="00943175" w:rsidP="00E1075C">
      <w:pPr>
        <w:pStyle w:val="ListParagraph"/>
        <w:numPr>
          <w:ilvl w:val="0"/>
          <w:numId w:val="38"/>
        </w:numPr>
        <w:jc w:val="both"/>
      </w:pPr>
      <w:r>
        <w:t>B</w:t>
      </w:r>
      <w:r w:rsidR="00CF66AF">
        <w:t>est</w:t>
      </w:r>
      <w:r w:rsidR="4FEF2642">
        <w:t xml:space="preserve"> </w:t>
      </w:r>
      <w:r>
        <w:t>P</w:t>
      </w:r>
      <w:r w:rsidR="001020CA">
        <w:t>ractice</w:t>
      </w:r>
      <w:r w:rsidR="4FEF2642">
        <w:t>/Excellent (4)</w:t>
      </w:r>
    </w:p>
    <w:p w14:paraId="36D732D6" w14:textId="539AB90C" w:rsidR="00E350FD" w:rsidRDefault="4FEF2642" w:rsidP="00E1075C">
      <w:pPr>
        <w:pStyle w:val="ListParagraph"/>
        <w:numPr>
          <w:ilvl w:val="0"/>
          <w:numId w:val="38"/>
        </w:numPr>
        <w:jc w:val="both"/>
      </w:pPr>
      <w:r>
        <w:t>Well placed / Capable (3)</w:t>
      </w:r>
    </w:p>
    <w:p w14:paraId="377E0E32" w14:textId="47686EAF" w:rsidR="00E350FD" w:rsidRDefault="4FEF2642" w:rsidP="00E1075C">
      <w:pPr>
        <w:pStyle w:val="ListParagraph"/>
        <w:numPr>
          <w:ilvl w:val="0"/>
          <w:numId w:val="38"/>
        </w:numPr>
        <w:jc w:val="both"/>
      </w:pPr>
      <w:r>
        <w:t>Needing development / Developing (2)</w:t>
      </w:r>
    </w:p>
    <w:p w14:paraId="34E79E83" w14:textId="35B581FA" w:rsidR="00E350FD" w:rsidRDefault="4FEF2642" w:rsidP="00E1075C">
      <w:pPr>
        <w:pStyle w:val="ListParagraph"/>
        <w:numPr>
          <w:ilvl w:val="0"/>
          <w:numId w:val="38"/>
        </w:numPr>
        <w:jc w:val="both"/>
      </w:pPr>
      <w:r>
        <w:t>Weak / Unaware or Limited Capability (1)</w:t>
      </w:r>
    </w:p>
    <w:p w14:paraId="7B3C8954" w14:textId="1988DD71" w:rsidR="00E350FD" w:rsidRDefault="4FEF2642" w:rsidP="00E1075C">
      <w:pPr>
        <w:pStyle w:val="ListParagraph"/>
        <w:numPr>
          <w:ilvl w:val="0"/>
          <w:numId w:val="38"/>
        </w:numPr>
        <w:jc w:val="both"/>
      </w:pPr>
      <w:r>
        <w:t>Unable to Rate / Not Rated (0)</w:t>
      </w:r>
    </w:p>
    <w:p w14:paraId="5ECEC497" w14:textId="4C849F15" w:rsidR="00597E05" w:rsidRDefault="003C31AD" w:rsidP="00E64F46">
      <w:pPr>
        <w:tabs>
          <w:tab w:val="left" w:pos="11167"/>
        </w:tabs>
        <w:jc w:val="both"/>
      </w:pPr>
      <w:r>
        <w:t>A rating of ‘w</w:t>
      </w:r>
      <w:r w:rsidR="007048F1">
        <w:t>eak’</w:t>
      </w:r>
      <w:r w:rsidR="00E350FD" w:rsidRPr="36E5F146">
        <w:t xml:space="preserve"> </w:t>
      </w:r>
      <w:r w:rsidR="00493DDD">
        <w:t xml:space="preserve">or lower </w:t>
      </w:r>
      <w:r w:rsidR="00E350FD">
        <w:t xml:space="preserve">in any </w:t>
      </w:r>
      <w:r w:rsidR="00597E05">
        <w:t xml:space="preserve">of the </w:t>
      </w:r>
      <w:r>
        <w:t>p</w:t>
      </w:r>
      <w:r w:rsidR="00597E05">
        <w:t xml:space="preserve">erformance </w:t>
      </w:r>
      <w:r>
        <w:t>e</w:t>
      </w:r>
      <w:r w:rsidR="00E350FD">
        <w:t>xpectation</w:t>
      </w:r>
      <w:r w:rsidR="00597E05">
        <w:t xml:space="preserve"> </w:t>
      </w:r>
      <w:r>
        <w:t>c</w:t>
      </w:r>
      <w:r w:rsidR="00597E05">
        <w:t>ategories (see Appendix</w:t>
      </w:r>
      <w:r w:rsidR="000D18DF">
        <w:t> </w:t>
      </w:r>
      <w:r w:rsidR="00597E05">
        <w:t>1)</w:t>
      </w:r>
      <w:r w:rsidR="00E350FD" w:rsidRPr="36E5F146">
        <w:t xml:space="preserve"> </w:t>
      </w:r>
      <w:r>
        <w:t>would mean</w:t>
      </w:r>
      <w:r w:rsidR="00493DDD">
        <w:t xml:space="preserve"> that the applicant </w:t>
      </w:r>
      <w:r>
        <w:t xml:space="preserve">would </w:t>
      </w:r>
      <w:r w:rsidR="00493DDD">
        <w:t xml:space="preserve">not be eligible to hold a </w:t>
      </w:r>
      <w:r w:rsidR="00CF66AF">
        <w:t>best</w:t>
      </w:r>
      <w:r w:rsidR="00DD3737">
        <w:t xml:space="preserve"> </w:t>
      </w:r>
      <w:r w:rsidR="001020CA">
        <w:t>practice</w:t>
      </w:r>
      <w:r w:rsidR="00493DDD" w:rsidRPr="36E5F146">
        <w:t xml:space="preserve"> </w:t>
      </w:r>
      <w:r w:rsidR="00DD3737">
        <w:t>licence</w:t>
      </w:r>
      <w:r w:rsidR="007048F1" w:rsidRPr="36E5F146">
        <w:t>.</w:t>
      </w:r>
      <w:r w:rsidR="00E64F46">
        <w:rPr>
          <w:rStyle w:val="FootnoteReference"/>
        </w:rPr>
        <w:footnoteReference w:id="4"/>
      </w:r>
      <w:r w:rsidR="0090630C" w:rsidRPr="36E5F146">
        <w:t xml:space="preserve"> </w:t>
      </w:r>
    </w:p>
    <w:p w14:paraId="25B9269E" w14:textId="0491F720" w:rsidR="000524BA" w:rsidRDefault="00C97B12" w:rsidP="000524BA">
      <w:pPr>
        <w:jc w:val="both"/>
      </w:pPr>
      <w:r>
        <w:t xml:space="preserve">The </w:t>
      </w:r>
      <w:r w:rsidR="00E350FD">
        <w:t>rating scale</w:t>
      </w:r>
      <w:r w:rsidRPr="36E5F146">
        <w:t xml:space="preserve"> </w:t>
      </w:r>
      <w:r w:rsidR="00E350FD">
        <w:t>with an explanation of what each rating means is</w:t>
      </w:r>
      <w:r w:rsidR="007B20AD">
        <w:t xml:space="preserve"> attached at</w:t>
      </w:r>
      <w:r w:rsidRPr="36E5F146">
        <w:t xml:space="preserve"> </w:t>
      </w:r>
      <w:r w:rsidRPr="002100CE">
        <w:t xml:space="preserve">Appendix </w:t>
      </w:r>
      <w:r w:rsidR="00257FEA">
        <w:t>4</w:t>
      </w:r>
      <w:r w:rsidRPr="36E5F146">
        <w:t>.</w:t>
      </w:r>
      <w:r w:rsidR="000D18DF" w:rsidRPr="000D18DF">
        <w:rPr>
          <w:rStyle w:val="FootnoteReference"/>
        </w:rPr>
        <w:t xml:space="preserve"> </w:t>
      </w:r>
      <w:r w:rsidR="000D18DF">
        <w:rPr>
          <w:rStyle w:val="FootnoteReference"/>
        </w:rPr>
        <w:footnoteReference w:id="5"/>
      </w:r>
    </w:p>
    <w:p w14:paraId="5EAA8262" w14:textId="5B9F8A42" w:rsidR="0058292B" w:rsidRDefault="4FEF2642" w:rsidP="000524BA">
      <w:pPr>
        <w:jc w:val="both"/>
      </w:pPr>
      <w:r w:rsidRPr="4FEF2642">
        <w:rPr>
          <w:b/>
          <w:bCs/>
        </w:rPr>
        <w:t>Question</w:t>
      </w:r>
      <w:r w:rsidR="008B36A3">
        <w:rPr>
          <w:b/>
          <w:bCs/>
        </w:rPr>
        <w:t xml:space="preserve"> 8</w:t>
      </w:r>
      <w:r w:rsidRPr="4FEF2642">
        <w:rPr>
          <w:b/>
          <w:bCs/>
        </w:rPr>
        <w:t>:</w:t>
      </w:r>
      <w:r>
        <w:t xml:space="preserve"> </w:t>
      </w:r>
      <w:r w:rsidRPr="4897FD18">
        <w:rPr>
          <w:i/>
          <w:iCs/>
        </w:rPr>
        <w:t>Is the rating scale clear and easy to use? If not, why not? What needs to be done to make it easier to use?</w:t>
      </w:r>
    </w:p>
    <w:p w14:paraId="51518E92" w14:textId="072E5698" w:rsidR="00E37D7E" w:rsidRPr="00E37D7E" w:rsidRDefault="00597E05" w:rsidP="00E37D7E">
      <w:pPr>
        <w:pStyle w:val="Heading3"/>
        <w:spacing w:after="240"/>
        <w:jc w:val="both"/>
        <w:rPr>
          <w:szCs w:val="28"/>
        </w:rPr>
      </w:pPr>
      <w:bookmarkStart w:id="23" w:name="_Toc479253039"/>
      <w:r w:rsidRPr="4FEF2642">
        <w:lastRenderedPageBreak/>
        <w:t xml:space="preserve">How do we assess whether </w:t>
      </w:r>
      <w:r w:rsidR="00CF66AF">
        <w:t>a licence</w:t>
      </w:r>
      <w:r w:rsidR="00AB4B79">
        <w:t xml:space="preserve"> holder</w:t>
      </w:r>
      <w:r w:rsidRPr="4FEF2642">
        <w:t xml:space="preserve"> is operating well enough to be granted a</w:t>
      </w:r>
      <w:r w:rsidR="00E37D7E" w:rsidRPr="4FEF2642">
        <w:t xml:space="preserve"> </w:t>
      </w:r>
      <w:r w:rsidR="00CF66AF">
        <w:t>best</w:t>
      </w:r>
      <w:r w:rsidR="00DD3737" w:rsidRPr="4FEF2642">
        <w:t xml:space="preserve"> </w:t>
      </w:r>
      <w:r w:rsidR="001020CA">
        <w:t>practice</w:t>
      </w:r>
      <w:r w:rsidR="00E37D7E" w:rsidRPr="4FEF2642">
        <w:t xml:space="preserve"> </w:t>
      </w:r>
      <w:r w:rsidR="000D18DF">
        <w:t>l</w:t>
      </w:r>
      <w:r w:rsidR="00DD3737" w:rsidRPr="4FEF2642">
        <w:t>icence</w:t>
      </w:r>
      <w:r w:rsidRPr="4FEF2642">
        <w:t>?</w:t>
      </w:r>
      <w:bookmarkEnd w:id="23"/>
    </w:p>
    <w:p w14:paraId="037491B7" w14:textId="1FA3DDB4" w:rsidR="00414D77" w:rsidRDefault="4FEF2642" w:rsidP="00414D77">
      <w:pPr>
        <w:jc w:val="both"/>
      </w:pPr>
      <w:r>
        <w:t xml:space="preserve">The Department </w:t>
      </w:r>
      <w:r w:rsidR="000D18DF">
        <w:t xml:space="preserve">has settled on using </w:t>
      </w:r>
      <w:r>
        <w:t xml:space="preserve">the “Cross-Category Approach” to assess eligibility for a </w:t>
      </w:r>
      <w:r w:rsidR="00CF66AF">
        <w:t>best</w:t>
      </w:r>
      <w:r>
        <w:t xml:space="preserve"> </w:t>
      </w:r>
      <w:r w:rsidR="001020CA">
        <w:t>practice</w:t>
      </w:r>
      <w:r>
        <w:t xml:space="preserve"> licence. This approach is set out in detail below. </w:t>
      </w:r>
      <w:r w:rsidR="00414D77">
        <w:t xml:space="preserve">The </w:t>
      </w:r>
      <w:r w:rsidR="000D18DF">
        <w:t>Department explored other ways of deciding the criteria assessment methods. These options that are not preferred by the Department can be found at Appendix </w:t>
      </w:r>
      <w:r w:rsidR="00414D77">
        <w:t>5.</w:t>
      </w:r>
    </w:p>
    <w:p w14:paraId="69D60AE0" w14:textId="6EFF4D77" w:rsidR="00307452" w:rsidRPr="001811AB" w:rsidRDefault="4FEF2642" w:rsidP="000D18DF">
      <w:pPr>
        <w:pStyle w:val="Heading4"/>
      </w:pPr>
      <w:r w:rsidRPr="4FEF2642">
        <w:t>Cross-Category Approach</w:t>
      </w:r>
    </w:p>
    <w:p w14:paraId="197132CD" w14:textId="30079692" w:rsidR="00956306" w:rsidRPr="00613922" w:rsidRDefault="001811AB" w:rsidP="00C97B12">
      <w:pPr>
        <w:tabs>
          <w:tab w:val="left" w:pos="11167"/>
        </w:tabs>
        <w:jc w:val="both"/>
        <w:rPr>
          <w:sz w:val="22"/>
          <w:szCs w:val="22"/>
        </w:rPr>
      </w:pPr>
      <w:r w:rsidRPr="4FEF2642">
        <w:rPr>
          <w:b/>
          <w:bCs/>
        </w:rPr>
        <w:t>Description of the approach</w:t>
      </w:r>
      <w:r w:rsidR="00307452" w:rsidRPr="4FEF2642">
        <w:rPr>
          <w:b/>
          <w:bCs/>
        </w:rPr>
        <w:t>:</w:t>
      </w:r>
      <w:r w:rsidR="007048F1">
        <w:t xml:space="preserve"> At least two subcategories in each category</w:t>
      </w:r>
      <w:r w:rsidR="00493DDD" w:rsidRPr="36E5F146">
        <w:t xml:space="preserve"> </w:t>
      </w:r>
      <w:r w:rsidR="007048F1">
        <w:t>need to be assessed as ‘</w:t>
      </w:r>
      <w:r w:rsidR="00CF66AF">
        <w:t>best</w:t>
      </w:r>
      <w:r w:rsidR="00DD3737">
        <w:t xml:space="preserve"> </w:t>
      </w:r>
      <w:r w:rsidR="001020CA">
        <w:t>practice</w:t>
      </w:r>
      <w:r w:rsidR="000D18DF">
        <w:t>/e</w:t>
      </w:r>
      <w:r w:rsidR="007048F1">
        <w:t>xcellent’</w:t>
      </w:r>
      <w:r w:rsidR="000D18DF">
        <w:t>, which:</w:t>
      </w:r>
      <w:r w:rsidR="00493DDD">
        <w:rPr>
          <w:rStyle w:val="FootnoteReference"/>
        </w:rPr>
        <w:footnoteReference w:id="6"/>
      </w:r>
      <w:r w:rsidR="0090630C" w:rsidRPr="36E5F146">
        <w:t xml:space="preserve"> </w:t>
      </w:r>
    </w:p>
    <w:p w14:paraId="546EF9FB" w14:textId="5BFCF1C0" w:rsidR="00307452" w:rsidRPr="00A553AB" w:rsidRDefault="4FEF2642" w:rsidP="00E1075C">
      <w:pPr>
        <w:pStyle w:val="ListParagraph"/>
        <w:numPr>
          <w:ilvl w:val="0"/>
          <w:numId w:val="33"/>
        </w:numPr>
        <w:tabs>
          <w:tab w:val="left" w:pos="11167"/>
        </w:tabs>
      </w:pPr>
      <w:r>
        <w:t xml:space="preserve">supports </w:t>
      </w:r>
      <w:r w:rsidR="00CF66AF">
        <w:t>best</w:t>
      </w:r>
      <w:r>
        <w:t xml:space="preserve"> </w:t>
      </w:r>
      <w:r w:rsidR="001020CA">
        <w:t>practice</w:t>
      </w:r>
      <w:r>
        <w:t xml:space="preserve"> across all categories </w:t>
      </w:r>
      <w:r w:rsidR="000D18DF">
        <w:t>enable the applicant to be flexible about which sub-categories they will focus on to be best practice;</w:t>
      </w:r>
    </w:p>
    <w:p w14:paraId="4078F29E" w14:textId="19B0D2BD" w:rsidR="00307452" w:rsidRPr="00A553AB" w:rsidRDefault="000D18DF" w:rsidP="00E1075C">
      <w:pPr>
        <w:pStyle w:val="ListParagraph"/>
        <w:numPr>
          <w:ilvl w:val="0"/>
          <w:numId w:val="32"/>
        </w:numPr>
        <w:tabs>
          <w:tab w:val="left" w:pos="11167"/>
        </w:tabs>
      </w:pPr>
      <w:r>
        <w:t>a</w:t>
      </w:r>
      <w:r w:rsidR="4FEF2642">
        <w:t xml:space="preserve">llows </w:t>
      </w:r>
      <w:r>
        <w:t xml:space="preserve">the </w:t>
      </w:r>
      <w:r w:rsidR="4FEF2642">
        <w:t>applicant to focus on those areas that they believe are most important or that they are strong in</w:t>
      </w:r>
      <w:r>
        <w:t>; and</w:t>
      </w:r>
    </w:p>
    <w:p w14:paraId="7B006878" w14:textId="69BD2E94" w:rsidR="00307452" w:rsidRPr="00A553AB" w:rsidRDefault="000D18DF" w:rsidP="00E1075C">
      <w:pPr>
        <w:pStyle w:val="ListParagraph"/>
        <w:numPr>
          <w:ilvl w:val="0"/>
          <w:numId w:val="32"/>
        </w:numPr>
        <w:tabs>
          <w:tab w:val="left" w:pos="11167"/>
        </w:tabs>
      </w:pPr>
      <w:r>
        <w:t xml:space="preserve">means that meeting the criteria assessment </w:t>
      </w:r>
      <w:r w:rsidR="4FEF2642">
        <w:t xml:space="preserve">is </w:t>
      </w:r>
      <w:r>
        <w:t xml:space="preserve">relatively </w:t>
      </w:r>
      <w:r w:rsidR="4FEF2642">
        <w:t>straightforward to implement</w:t>
      </w:r>
      <w:r w:rsidR="00A74839">
        <w:t>.</w:t>
      </w:r>
    </w:p>
    <w:p w14:paraId="1745AFAB" w14:textId="4905A78E" w:rsidR="00876787" w:rsidRPr="00876787" w:rsidRDefault="00876787" w:rsidP="00876787">
      <w:pPr>
        <w:tabs>
          <w:tab w:val="left" w:pos="11167"/>
        </w:tabs>
        <w:jc w:val="both"/>
        <w:rPr>
          <w:sz w:val="22"/>
          <w:szCs w:val="22"/>
        </w:rPr>
      </w:pPr>
      <w:r>
        <w:t>Although the performance expectations for a best practice licence are above what is required under the legislation, having a rating of ‘Needing Development’ or higher would ensure that the applicant is demonstrating adequate current performance overall.</w:t>
      </w:r>
      <w:r w:rsidR="00555E3F">
        <w:t xml:space="preserve">  </w:t>
      </w:r>
      <w:r>
        <w:t xml:space="preserve"> </w:t>
      </w:r>
    </w:p>
    <w:p w14:paraId="319BC424" w14:textId="628627F0" w:rsidR="00307452" w:rsidRDefault="4FEF2642" w:rsidP="00A553AB">
      <w:pPr>
        <w:tabs>
          <w:tab w:val="left" w:pos="11167"/>
        </w:tabs>
        <w:jc w:val="both"/>
      </w:pPr>
      <w:r>
        <w:t xml:space="preserve">An example of </w:t>
      </w:r>
      <w:r w:rsidR="000D18DF">
        <w:t xml:space="preserve">how </w:t>
      </w:r>
      <w:r>
        <w:t xml:space="preserve">this rating option </w:t>
      </w:r>
      <w:r w:rsidR="000D18DF">
        <w:t xml:space="preserve">is </w:t>
      </w:r>
      <w:r>
        <w:t xml:space="preserve">applied to a category </w:t>
      </w:r>
      <w:r w:rsidR="000D18DF">
        <w:t xml:space="preserve">and the sub-categories within it </w:t>
      </w:r>
      <w:r>
        <w:t>is set out below.</w:t>
      </w:r>
    </w:p>
    <w:p w14:paraId="6437BB13" w14:textId="668B1DE8" w:rsidR="00876787" w:rsidRDefault="00876787" w:rsidP="00A553AB">
      <w:pPr>
        <w:tabs>
          <w:tab w:val="left" w:pos="11167"/>
        </w:tabs>
        <w:jc w:val="both"/>
      </w:pPr>
      <w:r w:rsidRPr="00876787">
        <w:rPr>
          <w:b/>
        </w:rPr>
        <w:t>Question</w:t>
      </w:r>
      <w:r w:rsidR="008B36A3">
        <w:rPr>
          <w:b/>
        </w:rPr>
        <w:t xml:space="preserve"> 9</w:t>
      </w:r>
      <w:r w:rsidRPr="00876787">
        <w:rPr>
          <w:b/>
        </w:rPr>
        <w:t>:</w:t>
      </w:r>
      <w:r>
        <w:t xml:space="preserve"> </w:t>
      </w:r>
      <w:r w:rsidRPr="00876787">
        <w:rPr>
          <w:i/>
        </w:rPr>
        <w:t>Are two subcategories within each category sufficient for an applicant to be demonstrating best practice?  If not, what should the threshold be?</w:t>
      </w:r>
    </w:p>
    <w:p w14:paraId="0E93FF82" w14:textId="765EB9F2" w:rsidR="00876787" w:rsidRPr="00876787" w:rsidRDefault="00876787" w:rsidP="00A553AB">
      <w:pPr>
        <w:tabs>
          <w:tab w:val="left" w:pos="11167"/>
        </w:tabs>
        <w:jc w:val="both"/>
        <w:rPr>
          <w:b/>
        </w:rPr>
      </w:pPr>
      <w:r w:rsidRPr="00876787">
        <w:rPr>
          <w:b/>
        </w:rPr>
        <w:t>Question</w:t>
      </w:r>
      <w:r w:rsidR="008B36A3">
        <w:rPr>
          <w:b/>
        </w:rPr>
        <w:t xml:space="preserve"> 10</w:t>
      </w:r>
      <w:r w:rsidRPr="00876787">
        <w:rPr>
          <w:b/>
        </w:rPr>
        <w:t>:</w:t>
      </w:r>
      <w:r>
        <w:rPr>
          <w:b/>
        </w:rPr>
        <w:t xml:space="preserve"> </w:t>
      </w:r>
      <w:r w:rsidRPr="00876787">
        <w:rPr>
          <w:i/>
        </w:rPr>
        <w:t>Should it be compulsory for an applicant to be demonstrating best practice in its harm minimisation practices to be eligible for a best practice licence?  Why or why not?  Are there any other areas that you believe should be compulsory for an applicant to be eligible for a best practice licence?</w:t>
      </w:r>
    </w:p>
    <w:p w14:paraId="37838148" w14:textId="77777777" w:rsidR="00DD3737" w:rsidRDefault="00DD3737">
      <w:pPr>
        <w:keepLines w:val="0"/>
        <w:rPr>
          <w:bCs/>
          <w:i/>
        </w:rPr>
      </w:pPr>
      <w:r>
        <w:rPr>
          <w:b/>
          <w:i/>
        </w:rPr>
        <w:br w:type="page"/>
      </w:r>
    </w:p>
    <w:p w14:paraId="4D53876D" w14:textId="6B51ADC0" w:rsidR="00A553AB" w:rsidRPr="00A553AB" w:rsidRDefault="4FEF2642" w:rsidP="000D18DF">
      <w:pPr>
        <w:pStyle w:val="Heading4"/>
      </w:pPr>
      <w:r w:rsidRPr="4897FD18">
        <w:lastRenderedPageBreak/>
        <w:t>Illustration of the Cross-Category Approach</w:t>
      </w:r>
    </w:p>
    <w:p w14:paraId="451051F0" w14:textId="3A5DFF09" w:rsidR="00307452" w:rsidRPr="00A553AB" w:rsidRDefault="001811AB" w:rsidP="00307452">
      <w:pPr>
        <w:tabs>
          <w:tab w:val="left" w:pos="11167"/>
        </w:tabs>
      </w:pPr>
      <w:r w:rsidRPr="4FEF2642">
        <w:rPr>
          <w:b/>
          <w:bCs/>
        </w:rPr>
        <w:t>Category</w:t>
      </w:r>
      <w:r w:rsidR="00307452" w:rsidRPr="4FEF2642">
        <w:rPr>
          <w:b/>
          <w:bCs/>
        </w:rPr>
        <w:t>: Relationships</w:t>
      </w:r>
      <w:r w:rsidR="00684069" w:rsidRPr="00A553AB">
        <w:rPr>
          <w:rStyle w:val="FootnoteReference"/>
        </w:rPr>
        <w:footnoteReference w:id="7"/>
      </w:r>
    </w:p>
    <w:p w14:paraId="70F352A0" w14:textId="77777777" w:rsidR="00307452" w:rsidRDefault="4FEF2642" w:rsidP="00307452">
      <w:pPr>
        <w:tabs>
          <w:tab w:val="left" w:pos="11167"/>
        </w:tabs>
        <w:rPr>
          <w:i/>
          <w:sz w:val="20"/>
          <w:szCs w:val="20"/>
        </w:rPr>
      </w:pPr>
      <w:r w:rsidRPr="4897FD18">
        <w:rPr>
          <w:i/>
          <w:iCs/>
          <w:sz w:val="20"/>
          <w:szCs w:val="20"/>
        </w:rPr>
        <w:t>Example One – Applicant meets no required expected scores – declined.</w:t>
      </w:r>
    </w:p>
    <w:p w14:paraId="726BF563" w14:textId="4D97BE38" w:rsidR="00AF779E" w:rsidRPr="00920A85" w:rsidRDefault="00AF779E" w:rsidP="00307452">
      <w:pPr>
        <w:tabs>
          <w:tab w:val="left" w:pos="11167"/>
        </w:tabs>
        <w:rPr>
          <w:i/>
          <w:sz w:val="20"/>
          <w:szCs w:val="20"/>
        </w:rPr>
      </w:pPr>
      <w:r>
        <w:rPr>
          <w:noProof/>
          <w:lang w:eastAsia="en-NZ"/>
        </w:rPr>
        <w:drawing>
          <wp:inline distT="0" distB="0" distL="0" distR="0" wp14:anchorId="51695604" wp14:editId="3A4604E7">
            <wp:extent cx="5467350" cy="3124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A78563" w14:textId="77777777" w:rsidR="00307452" w:rsidRDefault="4FEF2642" w:rsidP="00307452">
      <w:pPr>
        <w:tabs>
          <w:tab w:val="left" w:pos="11167"/>
        </w:tabs>
        <w:rPr>
          <w:i/>
          <w:sz w:val="20"/>
          <w:szCs w:val="20"/>
        </w:rPr>
      </w:pPr>
      <w:r w:rsidRPr="4897FD18">
        <w:rPr>
          <w:i/>
          <w:iCs/>
          <w:sz w:val="20"/>
          <w:szCs w:val="20"/>
        </w:rPr>
        <w:t>Example Two – Applicant meets one out of four required expected scores – declined.</w:t>
      </w:r>
    </w:p>
    <w:p w14:paraId="4BF00A05" w14:textId="51651A0B" w:rsidR="00AF779E" w:rsidRPr="00920A85" w:rsidRDefault="00AF779E" w:rsidP="00307452">
      <w:pPr>
        <w:tabs>
          <w:tab w:val="left" w:pos="11167"/>
        </w:tabs>
        <w:rPr>
          <w:i/>
          <w:sz w:val="20"/>
          <w:szCs w:val="20"/>
        </w:rPr>
      </w:pPr>
      <w:r>
        <w:rPr>
          <w:noProof/>
          <w:lang w:eastAsia="en-NZ"/>
        </w:rPr>
        <w:drawing>
          <wp:inline distT="0" distB="0" distL="0" distR="0" wp14:anchorId="2EA503F8" wp14:editId="424253AE">
            <wp:extent cx="5467350" cy="3124200"/>
            <wp:effectExtent l="0" t="0" r="19050" b="1905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D27AA7" w14:textId="35BAE2DC" w:rsidR="00307452" w:rsidRPr="00920A85" w:rsidRDefault="4FEF2642" w:rsidP="00307452">
      <w:pPr>
        <w:tabs>
          <w:tab w:val="left" w:pos="11167"/>
        </w:tabs>
        <w:rPr>
          <w:i/>
          <w:sz w:val="20"/>
          <w:szCs w:val="20"/>
        </w:rPr>
      </w:pPr>
      <w:r w:rsidRPr="4897FD18">
        <w:rPr>
          <w:i/>
          <w:iCs/>
          <w:sz w:val="20"/>
          <w:szCs w:val="20"/>
        </w:rPr>
        <w:lastRenderedPageBreak/>
        <w:t>Example Three – Applicant meets two out of four required expected scores, but assessed as “weak” in one category – declined.</w:t>
      </w:r>
    </w:p>
    <w:p w14:paraId="43B82C23" w14:textId="493DB25A" w:rsidR="00307452" w:rsidRDefault="00AF779E" w:rsidP="00307452">
      <w:pPr>
        <w:tabs>
          <w:tab w:val="left" w:pos="11167"/>
        </w:tabs>
        <w:rPr>
          <w:i/>
          <w:sz w:val="22"/>
          <w:szCs w:val="22"/>
        </w:rPr>
      </w:pPr>
      <w:r>
        <w:rPr>
          <w:noProof/>
          <w:lang w:eastAsia="en-NZ"/>
        </w:rPr>
        <w:drawing>
          <wp:inline distT="0" distB="0" distL="0" distR="0" wp14:anchorId="5EEFF0F3" wp14:editId="4741CC2A">
            <wp:extent cx="5467350" cy="3124200"/>
            <wp:effectExtent l="0" t="0" r="19050" b="1905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8221E5" w14:textId="1EF832B1" w:rsidR="00307452" w:rsidRDefault="4FEF2642" w:rsidP="00307452">
      <w:pPr>
        <w:tabs>
          <w:tab w:val="left" w:pos="11167"/>
        </w:tabs>
        <w:rPr>
          <w:i/>
          <w:sz w:val="22"/>
          <w:szCs w:val="22"/>
        </w:rPr>
      </w:pPr>
      <w:r w:rsidRPr="4897FD18">
        <w:rPr>
          <w:i/>
          <w:iCs/>
          <w:sz w:val="20"/>
          <w:szCs w:val="20"/>
        </w:rPr>
        <w:t>Example Four – Applicant meets two out of four required expected scores, and not assessed as “weak” in any other category – approved</w:t>
      </w:r>
      <w:r w:rsidRPr="4897FD18">
        <w:rPr>
          <w:i/>
          <w:iCs/>
          <w:sz w:val="22"/>
          <w:szCs w:val="22"/>
        </w:rPr>
        <w:t>.</w:t>
      </w:r>
    </w:p>
    <w:p w14:paraId="0C166FB6" w14:textId="06349F79" w:rsidR="00AF779E" w:rsidRDefault="00AF779E" w:rsidP="00307452">
      <w:pPr>
        <w:tabs>
          <w:tab w:val="left" w:pos="11167"/>
        </w:tabs>
        <w:rPr>
          <w:i/>
          <w:sz w:val="22"/>
          <w:szCs w:val="22"/>
        </w:rPr>
      </w:pPr>
      <w:r>
        <w:rPr>
          <w:noProof/>
          <w:lang w:eastAsia="en-NZ"/>
        </w:rPr>
        <w:drawing>
          <wp:inline distT="0" distB="0" distL="0" distR="0" wp14:anchorId="2BD6A912" wp14:editId="05910DAF">
            <wp:extent cx="5467350" cy="3124200"/>
            <wp:effectExtent l="0" t="0" r="19050" b="1905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3D1CFD" w14:textId="2B6AA72E" w:rsidR="00404F1E" w:rsidRPr="00A553AB" w:rsidRDefault="4FEF2642" w:rsidP="00404F1E">
      <w:pPr>
        <w:tabs>
          <w:tab w:val="left" w:pos="11167"/>
        </w:tabs>
        <w:jc w:val="both"/>
      </w:pPr>
      <w:r w:rsidRPr="4FEF2642">
        <w:rPr>
          <w:b/>
          <w:bCs/>
        </w:rPr>
        <w:t>Question</w:t>
      </w:r>
      <w:r w:rsidR="008B36A3">
        <w:rPr>
          <w:b/>
          <w:bCs/>
        </w:rPr>
        <w:t xml:space="preserve"> 11</w:t>
      </w:r>
      <w:r w:rsidRPr="4FEF2642">
        <w:rPr>
          <w:b/>
          <w:bCs/>
        </w:rPr>
        <w:t>:</w:t>
      </w:r>
      <w:r>
        <w:t xml:space="preserve"> </w:t>
      </w:r>
      <w:r w:rsidRPr="4897FD18">
        <w:rPr>
          <w:i/>
          <w:iCs/>
        </w:rPr>
        <w:t xml:space="preserve">Do you think this approach is a fair measure of whether </w:t>
      </w:r>
      <w:r w:rsidR="00CF66AF">
        <w:rPr>
          <w:i/>
          <w:iCs/>
        </w:rPr>
        <w:t>a licence</w:t>
      </w:r>
      <w:r w:rsidR="00AB4B79">
        <w:rPr>
          <w:i/>
          <w:iCs/>
        </w:rPr>
        <w:t xml:space="preserve"> holder</w:t>
      </w:r>
      <w:r w:rsidRPr="4897FD18">
        <w:rPr>
          <w:i/>
          <w:iCs/>
        </w:rPr>
        <w:t xml:space="preserve"> is demonstrating </w:t>
      </w:r>
      <w:r w:rsidR="00CF66AF">
        <w:rPr>
          <w:i/>
          <w:iCs/>
        </w:rPr>
        <w:t>best</w:t>
      </w:r>
      <w:r w:rsidRPr="4897FD18">
        <w:rPr>
          <w:i/>
          <w:iCs/>
        </w:rPr>
        <w:t xml:space="preserve"> </w:t>
      </w:r>
      <w:r w:rsidR="001020CA">
        <w:rPr>
          <w:i/>
          <w:iCs/>
        </w:rPr>
        <w:t>practice</w:t>
      </w:r>
      <w:r w:rsidRPr="4897FD18">
        <w:rPr>
          <w:i/>
          <w:iCs/>
        </w:rPr>
        <w:t>? If not, is there a different approach in Appendix 5 that you think would work better? Why?</w:t>
      </w:r>
    </w:p>
    <w:p w14:paraId="717052D7" w14:textId="46B1249B" w:rsidR="00E64F46" w:rsidRPr="00E64F46" w:rsidRDefault="00E64F46" w:rsidP="00E1075C">
      <w:pPr>
        <w:pStyle w:val="Heading1"/>
        <w:numPr>
          <w:ilvl w:val="0"/>
          <w:numId w:val="28"/>
        </w:numPr>
        <w:ind w:left="567" w:hanging="567"/>
        <w:jc w:val="both"/>
      </w:pPr>
      <w:bookmarkStart w:id="24" w:name="_Toc479253040"/>
      <w:r w:rsidRPr="00E64F46">
        <w:lastRenderedPageBreak/>
        <w:t xml:space="preserve">How will a </w:t>
      </w:r>
      <w:r w:rsidR="00CF66AF">
        <w:t>best</w:t>
      </w:r>
      <w:r w:rsidR="00DD3737">
        <w:t xml:space="preserve"> </w:t>
      </w:r>
      <w:r w:rsidR="001020CA">
        <w:t>practice</w:t>
      </w:r>
      <w:r w:rsidRPr="00E64F46">
        <w:t xml:space="preserve"> </w:t>
      </w:r>
      <w:r w:rsidR="00DD3737">
        <w:t>licence</w:t>
      </w:r>
      <w:r w:rsidRPr="00E64F46">
        <w:t xml:space="preserve"> work?</w:t>
      </w:r>
      <w:bookmarkEnd w:id="24"/>
    </w:p>
    <w:p w14:paraId="773AEF67" w14:textId="754D9950" w:rsidR="00017E48" w:rsidRPr="00844425" w:rsidRDefault="00597E05" w:rsidP="00990BF3">
      <w:pPr>
        <w:pStyle w:val="Heading3"/>
        <w:spacing w:after="240"/>
        <w:jc w:val="both"/>
        <w:rPr>
          <w:szCs w:val="28"/>
        </w:rPr>
      </w:pPr>
      <w:bookmarkStart w:id="25" w:name="_Toc479253041"/>
      <w:r w:rsidRPr="4FEF2642">
        <w:t>Proposed</w:t>
      </w:r>
      <w:r w:rsidR="00271A0D" w:rsidRPr="4FEF2642">
        <w:t xml:space="preserve"> </w:t>
      </w:r>
      <w:r w:rsidR="000D18DF">
        <w:t>d</w:t>
      </w:r>
      <w:r w:rsidR="003A2F59" w:rsidRPr="4FEF2642">
        <w:t xml:space="preserve">esign </w:t>
      </w:r>
      <w:r w:rsidR="00017E48" w:rsidRPr="4FEF2642">
        <w:t xml:space="preserve">for </w:t>
      </w:r>
      <w:r w:rsidR="000D18DF">
        <w:t xml:space="preserve">the Department to decide </w:t>
      </w:r>
      <w:r w:rsidR="00424F96" w:rsidRPr="4FEF2642">
        <w:t xml:space="preserve">a </w:t>
      </w:r>
      <w:r w:rsidR="00CF66AF">
        <w:t>best</w:t>
      </w:r>
      <w:r w:rsidR="00DD3737" w:rsidRPr="4FEF2642">
        <w:t xml:space="preserve"> </w:t>
      </w:r>
      <w:r w:rsidR="001020CA">
        <w:t>practice</w:t>
      </w:r>
      <w:r w:rsidR="00017E48" w:rsidRPr="4FEF2642">
        <w:t xml:space="preserve"> </w:t>
      </w:r>
      <w:r w:rsidR="00DD3737" w:rsidRPr="4FEF2642">
        <w:t>licence</w:t>
      </w:r>
      <w:bookmarkEnd w:id="25"/>
    </w:p>
    <w:p w14:paraId="21563461" w14:textId="77777777" w:rsidR="00271A0D" w:rsidRDefault="00271A0D" w:rsidP="00990BF3">
      <w:pPr>
        <w:pStyle w:val="Heading3"/>
        <w:jc w:val="both"/>
        <w:rPr>
          <w:rFonts w:cs="Times New Roman"/>
          <w:b w:val="0"/>
          <w:bCs w:val="0"/>
          <w:color w:val="auto"/>
          <w:sz w:val="24"/>
          <w:szCs w:val="24"/>
        </w:rPr>
      </w:pPr>
    </w:p>
    <w:p w14:paraId="75BBB95C" w14:textId="77777777" w:rsidR="00943175" w:rsidRDefault="4FEF2642" w:rsidP="00943175">
      <w:pPr>
        <w:jc w:val="both"/>
      </w:pPr>
      <w:r>
        <w:t xml:space="preserve">The Department considered a number of design options for a </w:t>
      </w:r>
      <w:r w:rsidR="00CF66AF">
        <w:t>best</w:t>
      </w:r>
      <w:r>
        <w:t xml:space="preserve"> </w:t>
      </w:r>
      <w:r w:rsidR="001020CA">
        <w:t>practice</w:t>
      </w:r>
      <w:r>
        <w:t xml:space="preserve"> licence. The </w:t>
      </w:r>
      <w:r w:rsidR="000D18DF">
        <w:t>Department’s preferred approach to how it will decide best practice and monitor these licence holders is set out below</w:t>
      </w:r>
      <w:r>
        <w:t xml:space="preserve">. </w:t>
      </w:r>
      <w:r w:rsidR="00943175">
        <w:t>The full list of all explored design options is provided in Appendix 6.</w:t>
      </w:r>
    </w:p>
    <w:p w14:paraId="2221855B" w14:textId="5AD33C80" w:rsidR="008C4343" w:rsidRDefault="4FEF2642" w:rsidP="00990BF3">
      <w:pPr>
        <w:jc w:val="both"/>
      </w:pPr>
      <w:r>
        <w:t xml:space="preserve">The proposed design </w:t>
      </w:r>
      <w:r w:rsidR="000D18DF">
        <w:t xml:space="preserve">seeks to minimise the </w:t>
      </w:r>
      <w:r>
        <w:t>cost</w:t>
      </w:r>
      <w:r w:rsidR="000D18DF">
        <w:t>s</w:t>
      </w:r>
      <w:r>
        <w:t xml:space="preserve"> </w:t>
      </w:r>
      <w:r w:rsidR="000D18DF">
        <w:t xml:space="preserve">of this design </w:t>
      </w:r>
      <w:r>
        <w:t>by making use as far as possible of current processes and existing requirements</w:t>
      </w:r>
      <w:r w:rsidR="000D18DF">
        <w:t xml:space="preserve"> </w:t>
      </w:r>
      <w:r>
        <w:t xml:space="preserve">– for example, making </w:t>
      </w:r>
      <w:r w:rsidR="000D18DF">
        <w:t xml:space="preserve">continued </w:t>
      </w:r>
      <w:r>
        <w:t xml:space="preserve">use of the </w:t>
      </w:r>
      <w:r w:rsidR="000D18DF">
        <w:t xml:space="preserve">existing legal </w:t>
      </w:r>
      <w:r>
        <w:t xml:space="preserve">requirement for licence holders to submit an Annual Report to the Department. </w:t>
      </w:r>
      <w:r w:rsidR="000D18DF">
        <w:t>The Department balances these costs against the</w:t>
      </w:r>
      <w:r w:rsidR="00876787">
        <w:t xml:space="preserve"> risks that the wrong society or</w:t>
      </w:r>
      <w:r w:rsidR="00A92585">
        <w:t xml:space="preserve"> club is </w:t>
      </w:r>
      <w:r w:rsidR="000D18DF">
        <w:t xml:space="preserve">given a </w:t>
      </w:r>
      <w:r w:rsidR="00876787">
        <w:t xml:space="preserve">best practice </w:t>
      </w:r>
      <w:r w:rsidR="000D18DF">
        <w:t>licence</w:t>
      </w:r>
      <w:r w:rsidR="00544CB3">
        <w:t>,</w:t>
      </w:r>
      <w:r w:rsidR="000D18DF">
        <w:t xml:space="preserve"> or that the licence holder’s practice deteriorates over the three year licence term. Mitigating all of these risks would prove very expensive and would not work with our operating approach of being a really responsive risk-based regulator. Instead, this preferred design balances the costs against the risks. </w:t>
      </w:r>
    </w:p>
    <w:p w14:paraId="4DBBF9EB" w14:textId="57E73F44" w:rsidR="000254F6" w:rsidRDefault="00A92585" w:rsidP="00990BF3">
      <w:pPr>
        <w:jc w:val="both"/>
      </w:pPr>
      <w:r>
        <w:t>As explained in the section</w:t>
      </w:r>
      <w:r w:rsidR="00943175">
        <w:t xml:space="preserve"> above, t</w:t>
      </w:r>
      <w:r w:rsidR="4FEF2642">
        <w:t>he design also allows applicants flexibility in how they go about providing evidence of their performance to the Department</w:t>
      </w:r>
      <w:r w:rsidR="00943175">
        <w:t>, and what that evidence is</w:t>
      </w:r>
      <w:r w:rsidR="4FEF2642">
        <w:t xml:space="preserve">. </w:t>
      </w:r>
      <w:r w:rsidR="00943175">
        <w:t xml:space="preserve">The Department is not trying to limit best practice to a specific example, but rather open it up so that the focus is more on how a society or club is working to achieve best practice. </w:t>
      </w:r>
    </w:p>
    <w:p w14:paraId="71F6C786" w14:textId="27A2165D" w:rsidR="00271A0D" w:rsidRDefault="4FEF2642" w:rsidP="00990BF3">
      <w:pPr>
        <w:jc w:val="both"/>
      </w:pPr>
      <w:r>
        <w:t>Table 1: Proposed Design</w:t>
      </w:r>
    </w:p>
    <w:tbl>
      <w:tblPr>
        <w:tblStyle w:val="DIATable"/>
        <w:tblW w:w="0" w:type="auto"/>
        <w:tblLook w:val="04A0" w:firstRow="1" w:lastRow="0" w:firstColumn="1" w:lastColumn="0" w:noHBand="0" w:noVBand="1"/>
      </w:tblPr>
      <w:tblGrid>
        <w:gridCol w:w="2552"/>
        <w:gridCol w:w="6520"/>
      </w:tblGrid>
      <w:tr w:rsidR="00CC5F13" w14:paraId="7D181A90" w14:textId="77777777" w:rsidTr="008C74AC">
        <w:trPr>
          <w:cnfStyle w:val="100000000000" w:firstRow="1" w:lastRow="0" w:firstColumn="0" w:lastColumn="0" w:oddVBand="0" w:evenVBand="0" w:oddHBand="0" w:evenHBand="0" w:firstRowFirstColumn="0" w:firstRowLastColumn="0" w:lastRowFirstColumn="0" w:lastRowLastColumn="0"/>
          <w:cantSplit w:val="0"/>
        </w:trPr>
        <w:tc>
          <w:tcPr>
            <w:tcW w:w="2552" w:type="dxa"/>
          </w:tcPr>
          <w:p w14:paraId="2E5B939B" w14:textId="77777777" w:rsidR="00CC5F13" w:rsidRDefault="00CC5F13" w:rsidP="00990BF3">
            <w:pPr>
              <w:jc w:val="both"/>
            </w:pPr>
          </w:p>
        </w:tc>
        <w:tc>
          <w:tcPr>
            <w:tcW w:w="6520" w:type="dxa"/>
          </w:tcPr>
          <w:p w14:paraId="0A3A63EC" w14:textId="478174F1" w:rsidR="00CC5F13" w:rsidRDefault="00CC5F13" w:rsidP="00990BF3">
            <w:pPr>
              <w:jc w:val="both"/>
            </w:pPr>
          </w:p>
        </w:tc>
      </w:tr>
      <w:tr w:rsidR="00CC5F13" w14:paraId="029D3635" w14:textId="77777777" w:rsidTr="008C74AC">
        <w:trPr>
          <w:cantSplit w:val="0"/>
        </w:trPr>
        <w:tc>
          <w:tcPr>
            <w:tcW w:w="2552" w:type="dxa"/>
          </w:tcPr>
          <w:p w14:paraId="20C0119B" w14:textId="314C638D" w:rsidR="00CC5F13" w:rsidRPr="00CC5F13" w:rsidRDefault="4FEF2642" w:rsidP="0015614B">
            <w:pPr>
              <w:rPr>
                <w:b/>
              </w:rPr>
            </w:pPr>
            <w:r w:rsidRPr="4FEF2642">
              <w:rPr>
                <w:b/>
                <w:bCs/>
              </w:rPr>
              <w:t>Licence period</w:t>
            </w:r>
          </w:p>
        </w:tc>
        <w:tc>
          <w:tcPr>
            <w:tcW w:w="6520" w:type="dxa"/>
          </w:tcPr>
          <w:p w14:paraId="3283132F" w14:textId="55EA83BC" w:rsidR="00CC5F13" w:rsidRDefault="4FEF2642" w:rsidP="00CC5F13">
            <w:pPr>
              <w:jc w:val="both"/>
            </w:pPr>
            <w:r>
              <w:t>Applicant to apply for either:</w:t>
            </w:r>
          </w:p>
          <w:p w14:paraId="6983C551" w14:textId="2D6B5C2F" w:rsidR="00CC5F13" w:rsidRPr="00CC5F13" w:rsidRDefault="4FEF2642" w:rsidP="00E1075C">
            <w:pPr>
              <w:pStyle w:val="ListParagraph"/>
              <w:numPr>
                <w:ilvl w:val="0"/>
                <w:numId w:val="34"/>
              </w:numPr>
              <w:spacing w:before="56" w:after="32"/>
              <w:jc w:val="both"/>
            </w:pPr>
            <w:r>
              <w:t xml:space="preserve">1 year (standard); OR </w:t>
            </w:r>
          </w:p>
          <w:p w14:paraId="03703490" w14:textId="6C129B1D" w:rsidR="00CC5F13" w:rsidRPr="00CC5F13" w:rsidRDefault="4FEF2642" w:rsidP="00E1075C">
            <w:pPr>
              <w:pStyle w:val="ListParagraph"/>
              <w:numPr>
                <w:ilvl w:val="0"/>
                <w:numId w:val="34"/>
              </w:numPr>
              <w:spacing w:before="56" w:after="32"/>
              <w:jc w:val="both"/>
            </w:pPr>
            <w:r>
              <w:t>3 year (</w:t>
            </w:r>
            <w:r w:rsidR="00CF66AF">
              <w:t>best</w:t>
            </w:r>
            <w:r>
              <w:t xml:space="preserve"> </w:t>
            </w:r>
            <w:r w:rsidR="001020CA">
              <w:t>practice</w:t>
            </w:r>
            <w:r>
              <w:t xml:space="preserve"> licence)</w:t>
            </w:r>
          </w:p>
        </w:tc>
      </w:tr>
      <w:tr w:rsidR="00CC5F13" w14:paraId="076289BD" w14:textId="77777777" w:rsidTr="008C74AC">
        <w:trPr>
          <w:cantSplit w:val="0"/>
        </w:trPr>
        <w:tc>
          <w:tcPr>
            <w:tcW w:w="2552" w:type="dxa"/>
          </w:tcPr>
          <w:p w14:paraId="64354414" w14:textId="3C4C54F7" w:rsidR="00CC5F13" w:rsidRPr="00CC5F13" w:rsidRDefault="4FEF2642" w:rsidP="0015614B">
            <w:pPr>
              <w:rPr>
                <w:b/>
              </w:rPr>
            </w:pPr>
            <w:r w:rsidRPr="4FEF2642">
              <w:rPr>
                <w:b/>
                <w:bCs/>
              </w:rPr>
              <w:t xml:space="preserve">Eligibility for </w:t>
            </w:r>
            <w:r w:rsidR="00CF66AF">
              <w:rPr>
                <w:b/>
                <w:bCs/>
              </w:rPr>
              <w:t>best</w:t>
            </w:r>
            <w:r w:rsidRPr="4FEF2642">
              <w:rPr>
                <w:b/>
                <w:bCs/>
              </w:rPr>
              <w:t xml:space="preserve"> </w:t>
            </w:r>
            <w:r w:rsidR="001020CA">
              <w:rPr>
                <w:b/>
                <w:bCs/>
              </w:rPr>
              <w:t>practice</w:t>
            </w:r>
            <w:r w:rsidRPr="4FEF2642">
              <w:rPr>
                <w:b/>
                <w:bCs/>
              </w:rPr>
              <w:t xml:space="preserve"> Licence</w:t>
            </w:r>
          </w:p>
        </w:tc>
        <w:tc>
          <w:tcPr>
            <w:tcW w:w="6520" w:type="dxa"/>
          </w:tcPr>
          <w:p w14:paraId="762E1367" w14:textId="633D37B5" w:rsidR="00CC5F13" w:rsidRPr="0015614B" w:rsidRDefault="4FEF2642" w:rsidP="0015614B">
            <w:pPr>
              <w:jc w:val="both"/>
            </w:pPr>
            <w:r>
              <w:t xml:space="preserve">Any </w:t>
            </w:r>
            <w:r w:rsidR="00A74839">
              <w:t xml:space="preserve">Class </w:t>
            </w:r>
            <w:r>
              <w:t>4 society or club who has held a current licence for at least three full years; AND</w:t>
            </w:r>
          </w:p>
          <w:p w14:paraId="6A818F47" w14:textId="0E66D017" w:rsidR="00CC5F13" w:rsidRPr="0015614B" w:rsidRDefault="4FEF2642" w:rsidP="0015614B">
            <w:pPr>
              <w:jc w:val="both"/>
            </w:pPr>
            <w:r>
              <w:t>Annual (standard) licence renewal requirements must be met</w:t>
            </w:r>
          </w:p>
        </w:tc>
      </w:tr>
      <w:tr w:rsidR="00CC5F13" w14:paraId="217AF2B1" w14:textId="77777777" w:rsidTr="008C74AC">
        <w:trPr>
          <w:cantSplit w:val="0"/>
        </w:trPr>
        <w:tc>
          <w:tcPr>
            <w:tcW w:w="2552" w:type="dxa"/>
          </w:tcPr>
          <w:p w14:paraId="6A4ABD32" w14:textId="426CFF49" w:rsidR="00CC5F13" w:rsidRPr="00CC5F13" w:rsidRDefault="4FEF2642" w:rsidP="0015614B">
            <w:pPr>
              <w:rPr>
                <w:b/>
              </w:rPr>
            </w:pPr>
            <w:r w:rsidRPr="4FEF2642">
              <w:rPr>
                <w:b/>
                <w:bCs/>
              </w:rPr>
              <w:t xml:space="preserve">Assessment for </w:t>
            </w:r>
            <w:r w:rsidR="00CF66AF">
              <w:rPr>
                <w:b/>
                <w:bCs/>
              </w:rPr>
              <w:t>best</w:t>
            </w:r>
            <w:r w:rsidRPr="4FEF2642">
              <w:rPr>
                <w:b/>
                <w:bCs/>
              </w:rPr>
              <w:t xml:space="preserve"> </w:t>
            </w:r>
            <w:r w:rsidR="001020CA">
              <w:rPr>
                <w:b/>
                <w:bCs/>
              </w:rPr>
              <w:t>practice</w:t>
            </w:r>
            <w:r w:rsidRPr="4FEF2642">
              <w:rPr>
                <w:b/>
                <w:bCs/>
              </w:rPr>
              <w:t xml:space="preserve"> Licence</w:t>
            </w:r>
          </w:p>
        </w:tc>
        <w:tc>
          <w:tcPr>
            <w:tcW w:w="6520" w:type="dxa"/>
          </w:tcPr>
          <w:p w14:paraId="1F09949D" w14:textId="73B9CC29" w:rsidR="004165BA" w:rsidRDefault="4FEF2642" w:rsidP="0015614B">
            <w:pPr>
              <w:jc w:val="both"/>
            </w:pPr>
            <w:r>
              <w:t>Self-assessment of performance provided by the applicant with their application (Applicant has the flexibility to decide how to do this); AND</w:t>
            </w:r>
          </w:p>
          <w:p w14:paraId="6F39737B" w14:textId="4964D767" w:rsidR="004165BA" w:rsidRDefault="4FEF2642" w:rsidP="004165BA">
            <w:pPr>
              <w:jc w:val="both"/>
            </w:pPr>
            <w:r>
              <w:t xml:space="preserve">The Department reviews the self-assessment; AND </w:t>
            </w:r>
          </w:p>
          <w:p w14:paraId="59E414A5" w14:textId="3CA86F6C" w:rsidR="0015614B" w:rsidRPr="0015614B" w:rsidRDefault="4FEF2642" w:rsidP="004165BA">
            <w:pPr>
              <w:jc w:val="both"/>
            </w:pPr>
            <w:r>
              <w:t>The Department verifies the evidence provided by applicant in the self-assessment.</w:t>
            </w:r>
          </w:p>
          <w:p w14:paraId="02E1C875" w14:textId="77777777" w:rsidR="00A75FDF" w:rsidRDefault="00A75FDF" w:rsidP="0015614B">
            <w:pPr>
              <w:jc w:val="both"/>
            </w:pPr>
          </w:p>
          <w:p w14:paraId="1EFE29F3" w14:textId="2AD3D3DF" w:rsidR="0015614B" w:rsidRDefault="4FEF2642" w:rsidP="0015614B">
            <w:pPr>
              <w:jc w:val="both"/>
            </w:pPr>
            <w:r>
              <w:t>IF APPLICABLE:</w:t>
            </w:r>
          </w:p>
          <w:p w14:paraId="50492771" w14:textId="5D8EFD34" w:rsidR="00CC5F13" w:rsidRPr="0015614B" w:rsidRDefault="4FEF2642" w:rsidP="0015614B">
            <w:pPr>
              <w:jc w:val="both"/>
            </w:pPr>
            <w:r>
              <w:t xml:space="preserve">If the applicant has previously held a </w:t>
            </w:r>
            <w:r w:rsidR="00CF66AF">
              <w:t>best</w:t>
            </w:r>
            <w:r>
              <w:t xml:space="preserve"> </w:t>
            </w:r>
            <w:r w:rsidR="001020CA">
              <w:t>practice</w:t>
            </w:r>
            <w:r>
              <w:t xml:space="preserve"> licence, its performance over that licence period will form part of the assessment</w:t>
            </w:r>
          </w:p>
        </w:tc>
      </w:tr>
      <w:tr w:rsidR="00CC5F13" w14:paraId="0C451BD0" w14:textId="77777777" w:rsidTr="008C74AC">
        <w:trPr>
          <w:cantSplit w:val="0"/>
        </w:trPr>
        <w:tc>
          <w:tcPr>
            <w:tcW w:w="2552" w:type="dxa"/>
          </w:tcPr>
          <w:p w14:paraId="04BD4593" w14:textId="4AE8B249" w:rsidR="00CC5F13" w:rsidRPr="00CC5F13" w:rsidRDefault="4FEF2642" w:rsidP="0015614B">
            <w:pPr>
              <w:rPr>
                <w:b/>
              </w:rPr>
            </w:pPr>
            <w:r w:rsidRPr="4FEF2642">
              <w:rPr>
                <w:b/>
                <w:bCs/>
              </w:rPr>
              <w:t xml:space="preserve">Monitoring for </w:t>
            </w:r>
            <w:r w:rsidR="00CF66AF">
              <w:rPr>
                <w:b/>
                <w:bCs/>
              </w:rPr>
              <w:t>best</w:t>
            </w:r>
            <w:r w:rsidRPr="4FEF2642">
              <w:rPr>
                <w:b/>
                <w:bCs/>
              </w:rPr>
              <w:t xml:space="preserve"> </w:t>
            </w:r>
            <w:r w:rsidR="001020CA">
              <w:rPr>
                <w:b/>
                <w:bCs/>
              </w:rPr>
              <w:lastRenderedPageBreak/>
              <w:t>practice</w:t>
            </w:r>
            <w:r w:rsidRPr="4FEF2642">
              <w:rPr>
                <w:b/>
                <w:bCs/>
              </w:rPr>
              <w:t xml:space="preserve"> Licence holder</w:t>
            </w:r>
          </w:p>
        </w:tc>
        <w:tc>
          <w:tcPr>
            <w:tcW w:w="6520" w:type="dxa"/>
          </w:tcPr>
          <w:p w14:paraId="58836F19" w14:textId="2808B85D" w:rsidR="0015614B" w:rsidRPr="0015614B" w:rsidRDefault="4FEF2642" w:rsidP="0015614B">
            <w:pPr>
              <w:jc w:val="both"/>
            </w:pPr>
            <w:r>
              <w:lastRenderedPageBreak/>
              <w:t xml:space="preserve">Audit/compliance actions at any time if required as per the </w:t>
            </w:r>
            <w:r>
              <w:lastRenderedPageBreak/>
              <w:t>Department’s usual compliance approach AND</w:t>
            </w:r>
          </w:p>
          <w:p w14:paraId="4549F583" w14:textId="731A10C3" w:rsidR="0015614B" w:rsidRPr="0015614B" w:rsidRDefault="0015614B" w:rsidP="0015614B">
            <w:pPr>
              <w:jc w:val="both"/>
            </w:pPr>
            <w:r w:rsidRPr="0015614B">
              <w:t xml:space="preserve">Annual health check </w:t>
            </w:r>
            <w:r w:rsidR="00EC16B2">
              <w:t xml:space="preserve">which consists </w:t>
            </w:r>
            <w:r w:rsidRPr="0015614B">
              <w:t>of</w:t>
            </w:r>
            <w:r w:rsidRPr="36E5F146">
              <w:t>:</w:t>
            </w:r>
            <w:r w:rsidR="00943175">
              <w:rPr>
                <w:rStyle w:val="FootnoteReference"/>
              </w:rPr>
              <w:t xml:space="preserve"> </w:t>
            </w:r>
            <w:r w:rsidR="00943175">
              <w:rPr>
                <w:rStyle w:val="FootnoteReference"/>
              </w:rPr>
              <w:footnoteReference w:id="8"/>
            </w:r>
          </w:p>
          <w:p w14:paraId="415C7DDA" w14:textId="0FCD5843" w:rsidR="0015614B" w:rsidRDefault="00943175" w:rsidP="00E1075C">
            <w:pPr>
              <w:pStyle w:val="ListParagraph"/>
              <w:numPr>
                <w:ilvl w:val="0"/>
                <w:numId w:val="34"/>
              </w:numPr>
              <w:spacing w:before="56" w:after="32"/>
              <w:jc w:val="both"/>
            </w:pPr>
            <w:r>
              <w:t>t</w:t>
            </w:r>
            <w:r w:rsidR="4FEF2642">
              <w:t xml:space="preserve">he </w:t>
            </w:r>
            <w:r w:rsidR="00AB4B79">
              <w:t>licence holder</w:t>
            </w:r>
            <w:r w:rsidR="4FEF2642">
              <w:t>’s annual report (required under the Act); AND</w:t>
            </w:r>
          </w:p>
          <w:p w14:paraId="6C22C0A3" w14:textId="003DD898" w:rsidR="00CC5F13" w:rsidRDefault="4FEF2642" w:rsidP="00943175">
            <w:pPr>
              <w:pStyle w:val="ListParagraph"/>
              <w:numPr>
                <w:ilvl w:val="0"/>
                <w:numId w:val="34"/>
              </w:numPr>
              <w:spacing w:before="56" w:after="32"/>
              <w:jc w:val="both"/>
            </w:pPr>
            <w:r>
              <w:t xml:space="preserve">Department’s </w:t>
            </w:r>
            <w:r w:rsidR="00943175">
              <w:t>profile of the society or club</w:t>
            </w:r>
            <w:r>
              <w:t>.</w:t>
            </w:r>
          </w:p>
        </w:tc>
      </w:tr>
      <w:tr w:rsidR="00CC5F13" w14:paraId="0B26170B" w14:textId="77777777" w:rsidTr="008C74AC">
        <w:trPr>
          <w:cantSplit w:val="0"/>
        </w:trPr>
        <w:tc>
          <w:tcPr>
            <w:tcW w:w="2552" w:type="dxa"/>
          </w:tcPr>
          <w:p w14:paraId="5248B1EF" w14:textId="670F059D" w:rsidR="00CC5F13" w:rsidRPr="00CC5F13" w:rsidRDefault="4FEF2642" w:rsidP="008C4343">
            <w:pPr>
              <w:jc w:val="both"/>
              <w:rPr>
                <w:b/>
              </w:rPr>
            </w:pPr>
            <w:r w:rsidRPr="4FEF2642">
              <w:rPr>
                <w:b/>
                <w:bCs/>
              </w:rPr>
              <w:lastRenderedPageBreak/>
              <w:t xml:space="preserve">Ongoing monitoring of a </w:t>
            </w:r>
            <w:r w:rsidR="00CF66AF">
              <w:rPr>
                <w:b/>
                <w:bCs/>
              </w:rPr>
              <w:t>best</w:t>
            </w:r>
            <w:r w:rsidRPr="4FEF2642">
              <w:rPr>
                <w:b/>
                <w:bCs/>
              </w:rPr>
              <w:t xml:space="preserve"> </w:t>
            </w:r>
            <w:r w:rsidR="001020CA">
              <w:rPr>
                <w:b/>
                <w:bCs/>
              </w:rPr>
              <w:t>practice</w:t>
            </w:r>
            <w:r w:rsidRPr="4FEF2642">
              <w:rPr>
                <w:b/>
                <w:bCs/>
              </w:rPr>
              <w:t xml:space="preserve"> Licence holder</w:t>
            </w:r>
          </w:p>
        </w:tc>
        <w:tc>
          <w:tcPr>
            <w:tcW w:w="6520" w:type="dxa"/>
          </w:tcPr>
          <w:p w14:paraId="65FC2AF4" w14:textId="5950837D" w:rsidR="0015614B" w:rsidRDefault="0015614B" w:rsidP="0015614B">
            <w:pPr>
              <w:jc w:val="both"/>
            </w:pPr>
            <w:r>
              <w:t>If a legal requirement is breached, then standard compliance action will be taken.</w:t>
            </w:r>
            <w:r w:rsidR="0090630C" w:rsidRPr="36E5F146">
              <w:t xml:space="preserve"> </w:t>
            </w:r>
            <w:r w:rsidR="008C4343">
              <w:t>The response to any breach will align with the Department’s approach to being a really responsive, risk-based regulator</w:t>
            </w:r>
            <w:r w:rsidR="008C4343" w:rsidRPr="36E5F146">
              <w:t>.</w:t>
            </w:r>
            <w:r w:rsidR="00943175">
              <w:rPr>
                <w:rStyle w:val="FootnoteReference"/>
              </w:rPr>
              <w:t xml:space="preserve"> </w:t>
            </w:r>
            <w:r w:rsidR="00943175">
              <w:rPr>
                <w:rStyle w:val="FootnoteReference"/>
              </w:rPr>
              <w:footnoteReference w:id="9"/>
            </w:r>
          </w:p>
          <w:p w14:paraId="0B342D8A" w14:textId="77777777" w:rsidR="00CC5F13" w:rsidRDefault="4FEF2642" w:rsidP="00943175">
            <w:pPr>
              <w:jc w:val="both"/>
            </w:pPr>
            <w:r>
              <w:t xml:space="preserve">If a </w:t>
            </w:r>
            <w:r w:rsidR="00CF66AF">
              <w:t>best</w:t>
            </w:r>
            <w:r>
              <w:t xml:space="preserve"> </w:t>
            </w:r>
            <w:r w:rsidR="001020CA">
              <w:t>practice</w:t>
            </w:r>
            <w:r>
              <w:t xml:space="preserve"> requirement is no longer being met in a club or society, the </w:t>
            </w:r>
            <w:r w:rsidR="00943175">
              <w:t>licence holder</w:t>
            </w:r>
            <w:r>
              <w:t xml:space="preserve"> </w:t>
            </w:r>
            <w:r w:rsidR="00943175">
              <w:t xml:space="preserve">would </w:t>
            </w:r>
            <w:r>
              <w:t>be expected to resolve this.</w:t>
            </w:r>
          </w:p>
          <w:p w14:paraId="49DF0094" w14:textId="69931A31" w:rsidR="00943175" w:rsidRDefault="00943175" w:rsidP="00943175">
            <w:pPr>
              <w:jc w:val="both"/>
            </w:pPr>
            <w:r>
              <w:t>If the society or club does not continue to improve its practices and demonstrate how it is doing this, it would not be eligible for a best practice licence at the time of the renewal.</w:t>
            </w:r>
          </w:p>
        </w:tc>
      </w:tr>
    </w:tbl>
    <w:p w14:paraId="3AF95A3D" w14:textId="77777777" w:rsidR="00943175" w:rsidRDefault="00943175" w:rsidP="00990BF3">
      <w:pPr>
        <w:jc w:val="both"/>
        <w:rPr>
          <w:b/>
          <w:bCs/>
        </w:rPr>
      </w:pPr>
    </w:p>
    <w:p w14:paraId="005A40E0" w14:textId="13304AC4" w:rsidR="00404F1E" w:rsidRPr="006E0F3E" w:rsidRDefault="4FEF2642" w:rsidP="00990BF3">
      <w:pPr>
        <w:jc w:val="both"/>
      </w:pPr>
      <w:r w:rsidRPr="4FEF2642">
        <w:rPr>
          <w:b/>
          <w:bCs/>
        </w:rPr>
        <w:t>Question</w:t>
      </w:r>
      <w:r w:rsidR="008B36A3">
        <w:rPr>
          <w:b/>
          <w:bCs/>
        </w:rPr>
        <w:t xml:space="preserve"> 12</w:t>
      </w:r>
      <w:r w:rsidRPr="4FEF2642">
        <w:rPr>
          <w:b/>
          <w:bCs/>
        </w:rPr>
        <w:t>:</w:t>
      </w:r>
      <w:r>
        <w:t xml:space="preserve"> </w:t>
      </w:r>
      <w:r w:rsidRPr="4897FD18">
        <w:rPr>
          <w:i/>
          <w:iCs/>
        </w:rPr>
        <w:t xml:space="preserve">Do you think the monitoring actions proposed for a </w:t>
      </w:r>
      <w:r w:rsidR="00CF66AF">
        <w:rPr>
          <w:i/>
          <w:iCs/>
        </w:rPr>
        <w:t>best</w:t>
      </w:r>
      <w:r w:rsidRPr="4897FD18">
        <w:rPr>
          <w:i/>
          <w:iCs/>
        </w:rPr>
        <w:t xml:space="preserve"> </w:t>
      </w:r>
      <w:r w:rsidR="001020CA">
        <w:rPr>
          <w:i/>
          <w:iCs/>
        </w:rPr>
        <w:t>practice</w:t>
      </w:r>
      <w:r w:rsidRPr="4897FD18">
        <w:rPr>
          <w:i/>
          <w:iCs/>
        </w:rPr>
        <w:t xml:space="preserve"> licence holder are appropriate? Why or why not?</w:t>
      </w:r>
      <w:r>
        <w:t xml:space="preserve"> </w:t>
      </w:r>
    </w:p>
    <w:p w14:paraId="2339B0D4" w14:textId="400EF214" w:rsidR="00FB67AD" w:rsidRPr="00FB67AD" w:rsidRDefault="00FB67AD" w:rsidP="00FB67AD">
      <w:pPr>
        <w:pStyle w:val="Heading3"/>
        <w:spacing w:after="240"/>
        <w:jc w:val="both"/>
        <w:rPr>
          <w:szCs w:val="28"/>
        </w:rPr>
      </w:pPr>
      <w:bookmarkStart w:id="26" w:name="_Toc479253042"/>
      <w:r w:rsidRPr="4FEF2642">
        <w:t>The</w:t>
      </w:r>
      <w:r w:rsidR="00DD3737" w:rsidRPr="4FEF2642">
        <w:t xml:space="preserve"> current fees regulations will</w:t>
      </w:r>
      <w:r w:rsidRPr="4FEF2642">
        <w:t xml:space="preserve"> apply until the upcoming fees review is completed</w:t>
      </w:r>
      <w:bookmarkEnd w:id="26"/>
      <w:r w:rsidRPr="4FEF2642">
        <w:t xml:space="preserve"> </w:t>
      </w:r>
    </w:p>
    <w:p w14:paraId="100436D4" w14:textId="29D482BB" w:rsidR="008C4343" w:rsidRDefault="4FEF2642" w:rsidP="008C4343">
      <w:pPr>
        <w:keepLines w:val="0"/>
        <w:jc w:val="both"/>
      </w:pPr>
      <w:r>
        <w:t xml:space="preserve">The Department will finalise its costs once the process for assessing an applicant for a </w:t>
      </w:r>
      <w:r w:rsidR="00CF66AF">
        <w:t>best</w:t>
      </w:r>
      <w:r>
        <w:t xml:space="preserve"> </w:t>
      </w:r>
      <w:r w:rsidR="001020CA">
        <w:t>practice</w:t>
      </w:r>
      <w:r>
        <w:t xml:space="preserve"> licence is bedded in. </w:t>
      </w:r>
    </w:p>
    <w:p w14:paraId="2CFFCE42" w14:textId="52191E55" w:rsidR="00880440" w:rsidRDefault="00091DFB" w:rsidP="008C4343">
      <w:pPr>
        <w:keepLines w:val="0"/>
        <w:jc w:val="both"/>
      </w:pPr>
      <w:r>
        <w:t xml:space="preserve">The current regulations set out a flat fee for the </w:t>
      </w:r>
      <w:r w:rsidR="4FEF2642">
        <w:t xml:space="preserve">licence </w:t>
      </w:r>
      <w:r>
        <w:t xml:space="preserve">renewal, which </w:t>
      </w:r>
      <w:r w:rsidR="4FEF2642">
        <w:t xml:space="preserve">will </w:t>
      </w:r>
      <w:r>
        <w:t xml:space="preserve">continue to </w:t>
      </w:r>
      <w:r w:rsidR="4FEF2642">
        <w:t xml:space="preserve">apply </w:t>
      </w:r>
      <w:r>
        <w:t xml:space="preserve">[refer to the </w:t>
      </w:r>
      <w:r w:rsidR="4FEF2642">
        <w:t>Gambling (Fees) Regulations</w:t>
      </w:r>
      <w:r>
        <w:t>]</w:t>
      </w:r>
      <w:r w:rsidR="4FEF2642">
        <w:t>:</w:t>
      </w:r>
    </w:p>
    <w:p w14:paraId="2D97089B" w14:textId="41F667C4" w:rsidR="002E4A26" w:rsidRDefault="00544CB3" w:rsidP="00FB67AD">
      <w:pPr>
        <w:pStyle w:val="Bullet"/>
      </w:pPr>
      <w:r>
        <w:t>clubs will pay the ‘</w:t>
      </w:r>
      <w:r w:rsidR="4FEF2642">
        <w:t xml:space="preserve">renewal of licence’ fee once for a three year licence period </w:t>
      </w:r>
    </w:p>
    <w:p w14:paraId="01FE7DE0" w14:textId="30A8D716" w:rsidR="002E4A26" w:rsidRDefault="4FEF2642" w:rsidP="00FB67AD">
      <w:pPr>
        <w:pStyle w:val="Bullet"/>
      </w:pPr>
      <w:r>
        <w:t xml:space="preserve"> societies will pay:</w:t>
      </w:r>
    </w:p>
    <w:p w14:paraId="3E619765" w14:textId="5C071B51" w:rsidR="00CD63F8" w:rsidRDefault="4FEF2642" w:rsidP="00FB67AD">
      <w:pPr>
        <w:pStyle w:val="Bulletlevel2"/>
      </w:pPr>
      <w:r>
        <w:t>the Class 4 operator’s annual fee three times (Regulation 16(1))</w:t>
      </w:r>
    </w:p>
    <w:p w14:paraId="43D45A8D" w14:textId="306D1C03" w:rsidR="002E4A26" w:rsidRDefault="4FEF2642" w:rsidP="00FB67AD">
      <w:pPr>
        <w:pStyle w:val="Bulletlevel2"/>
      </w:pPr>
      <w:r>
        <w:t>their operator ‘renewal of licence’ fee once for a three year licence period</w:t>
      </w:r>
    </w:p>
    <w:p w14:paraId="2B69F73C" w14:textId="2A4BC828" w:rsidR="002E4A26" w:rsidRDefault="4FEF2642" w:rsidP="00FB67AD">
      <w:pPr>
        <w:pStyle w:val="Bulletlevel2"/>
      </w:pPr>
      <w:r>
        <w:t>their venue ‘renewal of licence’ fees once for a three year licence period</w:t>
      </w:r>
    </w:p>
    <w:p w14:paraId="5EF89816" w14:textId="41E375D9" w:rsidR="002E4A26" w:rsidRDefault="4FEF2642" w:rsidP="00FB67AD">
      <w:r w:rsidRPr="4FEF2642">
        <w:rPr>
          <w:b/>
          <w:bCs/>
        </w:rPr>
        <w:t xml:space="preserve">Note </w:t>
      </w:r>
      <w:r>
        <w:t>that all other fees are unaffected.</w:t>
      </w:r>
    </w:p>
    <w:p w14:paraId="7CE6D09C" w14:textId="66CFCDFB" w:rsidR="00276953" w:rsidRDefault="00091DFB" w:rsidP="00FB67AD">
      <w:pPr>
        <w:keepLines w:val="0"/>
        <w:jc w:val="both"/>
      </w:pPr>
      <w:r>
        <w:t xml:space="preserve">In 2018/19 the Department will review its costs and the fees regulations, including the fee for the above renewal of licence fees. As a result, the future renewal fees might go up or </w:t>
      </w:r>
      <w:r>
        <w:lastRenderedPageBreak/>
        <w:t xml:space="preserve">down. The fee might remain as a flat fee or a separate fee for the best practice (three year) licence might be introduced. </w:t>
      </w:r>
      <w:r w:rsidR="4FEF2642">
        <w:t xml:space="preserve">Until the fees review is complete, the Department will apply the current fee structure </w:t>
      </w:r>
      <w:r w:rsidR="0009334A">
        <w:t xml:space="preserve">in the regulations </w:t>
      </w:r>
      <w:r w:rsidR="4FEF2642">
        <w:t xml:space="preserve">as set out above. </w:t>
      </w:r>
      <w:r w:rsidR="00276953">
        <w:br w:type="page"/>
      </w:r>
    </w:p>
    <w:p w14:paraId="11DD10AF" w14:textId="25D7067C" w:rsidR="00386211" w:rsidRPr="00386211" w:rsidRDefault="00386211" w:rsidP="00E1075C">
      <w:pPr>
        <w:pStyle w:val="Heading1"/>
        <w:numPr>
          <w:ilvl w:val="0"/>
          <w:numId w:val="28"/>
        </w:numPr>
        <w:ind w:left="567" w:hanging="567"/>
        <w:jc w:val="both"/>
      </w:pPr>
      <w:bookmarkStart w:id="27" w:name="_Toc479253043"/>
      <w:r w:rsidRPr="00386211">
        <w:lastRenderedPageBreak/>
        <w:t>What happens next?</w:t>
      </w:r>
      <w:bookmarkEnd w:id="27"/>
    </w:p>
    <w:p w14:paraId="2173E674" w14:textId="696E17B0" w:rsidR="00880440" w:rsidRDefault="00880440" w:rsidP="00880440">
      <w:pPr>
        <w:pStyle w:val="Heading3"/>
        <w:spacing w:after="240"/>
        <w:jc w:val="both"/>
        <w:rPr>
          <w:szCs w:val="28"/>
        </w:rPr>
      </w:pPr>
      <w:bookmarkStart w:id="28" w:name="_Toc479253044"/>
      <w:r w:rsidRPr="4FEF2642">
        <w:t>Support for societies and clubs</w:t>
      </w:r>
      <w:bookmarkEnd w:id="28"/>
    </w:p>
    <w:p w14:paraId="56BD1FE9" w14:textId="77777777" w:rsidR="0009334A" w:rsidRDefault="4FEF2642" w:rsidP="00880440">
      <w:r>
        <w:t xml:space="preserve">The Department intends to support the sector </w:t>
      </w:r>
      <w:r w:rsidR="0009334A">
        <w:t xml:space="preserve">to understand the best practice licence process, including how to do a self-assessment. Each society or club would need to decide for themselves how to make any improvements to become best practice in at least two sub-categories for all of the categories. </w:t>
      </w:r>
    </w:p>
    <w:p w14:paraId="765CC555" w14:textId="5446B114" w:rsidR="00880440" w:rsidRDefault="0009334A" w:rsidP="00880440">
      <w:r>
        <w:t>To help societies and clubs the Department intends to</w:t>
      </w:r>
      <w:r w:rsidR="4FEF2642">
        <w:t>:</w:t>
      </w:r>
    </w:p>
    <w:p w14:paraId="600B3BDF" w14:textId="13BDF3DB" w:rsidR="00880440" w:rsidRDefault="0009334A" w:rsidP="00880440">
      <w:pPr>
        <w:pStyle w:val="ListParagraph"/>
        <w:numPr>
          <w:ilvl w:val="0"/>
          <w:numId w:val="39"/>
        </w:numPr>
      </w:pPr>
      <w:r>
        <w:t>create</w:t>
      </w:r>
      <w:r w:rsidR="4FEF2642">
        <w:t xml:space="preserve"> a template to assist </w:t>
      </w:r>
      <w:r w:rsidR="00AB4B79">
        <w:t>licence holder</w:t>
      </w:r>
      <w:r w:rsidR="4FEF2642">
        <w:t>s in completing self-assessments;</w:t>
      </w:r>
    </w:p>
    <w:p w14:paraId="2A04CCBB" w14:textId="7B65007B" w:rsidR="00880440" w:rsidRDefault="0009334A" w:rsidP="00880440">
      <w:pPr>
        <w:pStyle w:val="ListParagraph"/>
        <w:numPr>
          <w:ilvl w:val="0"/>
          <w:numId w:val="39"/>
        </w:numPr>
      </w:pPr>
      <w:r>
        <w:t xml:space="preserve">provide </w:t>
      </w:r>
      <w:r w:rsidR="4FEF2642">
        <w:t xml:space="preserve">guidance material </w:t>
      </w:r>
      <w:r w:rsidR="00451B4D">
        <w:t>for licence holders on how to complete the</w:t>
      </w:r>
      <w:r w:rsidR="4FEF2642">
        <w:t xml:space="preserve"> self-assessment;</w:t>
      </w:r>
    </w:p>
    <w:p w14:paraId="032D3D83" w14:textId="77777777" w:rsidR="0009334A" w:rsidRDefault="0009334A" w:rsidP="00880440">
      <w:pPr>
        <w:pStyle w:val="ListParagraph"/>
        <w:numPr>
          <w:ilvl w:val="0"/>
          <w:numId w:val="39"/>
        </w:numPr>
      </w:pPr>
      <w:r>
        <w:t>provide</w:t>
      </w:r>
      <w:r w:rsidR="4FEF2642">
        <w:t xml:space="preserve"> feedback </w:t>
      </w:r>
      <w:r>
        <w:t xml:space="preserve">to societies and clubs </w:t>
      </w:r>
      <w:r w:rsidR="4FEF2642">
        <w:t xml:space="preserve">on </w:t>
      </w:r>
      <w:r>
        <w:t xml:space="preserve">the </w:t>
      </w:r>
      <w:r w:rsidR="00CF66AF">
        <w:t>best</w:t>
      </w:r>
      <w:r w:rsidR="4FEF2642">
        <w:t xml:space="preserve"> </w:t>
      </w:r>
      <w:r w:rsidR="001020CA">
        <w:t>practice</w:t>
      </w:r>
      <w:r w:rsidR="4FEF2642">
        <w:t xml:space="preserve"> licence applications</w:t>
      </w:r>
      <w:r>
        <w:t>;</w:t>
      </w:r>
    </w:p>
    <w:p w14:paraId="152ED8EF" w14:textId="26F37760" w:rsidR="00880440" w:rsidRDefault="0009334A" w:rsidP="00880440">
      <w:pPr>
        <w:pStyle w:val="ListParagraph"/>
        <w:numPr>
          <w:ilvl w:val="0"/>
          <w:numId w:val="39"/>
        </w:numPr>
      </w:pPr>
      <w:r>
        <w:t>to work with each applicant to help them to attain best practice if the Department rates the evidential examples differently to the applicant</w:t>
      </w:r>
      <w:r w:rsidR="4FEF2642">
        <w:t>;</w:t>
      </w:r>
    </w:p>
    <w:p w14:paraId="414508BD" w14:textId="4AD7DF33" w:rsidR="00880440" w:rsidRDefault="00395062" w:rsidP="00880440">
      <w:pPr>
        <w:pStyle w:val="ListParagraph"/>
        <w:numPr>
          <w:ilvl w:val="0"/>
          <w:numId w:val="39"/>
        </w:numPr>
      </w:pPr>
      <w:r>
        <w:t>run</w:t>
      </w:r>
      <w:r w:rsidR="4FEF2642">
        <w:t xml:space="preserve"> regional workshops (at this stage intended for October 2017) with </w:t>
      </w:r>
      <w:r w:rsidR="00AB4B79">
        <w:t>licence holder</w:t>
      </w:r>
      <w:r w:rsidR="4FEF2642">
        <w:t xml:space="preserve">s </w:t>
      </w:r>
      <w:r w:rsidR="0009334A">
        <w:t xml:space="preserve">and their governance so that licence holders can receive </w:t>
      </w:r>
      <w:r w:rsidR="4FEF2642">
        <w:t>information on how to use the material and guidance</w:t>
      </w:r>
      <w:r w:rsidR="001018FF">
        <w:t xml:space="preserve">, </w:t>
      </w:r>
      <w:r w:rsidR="4FEF2642">
        <w:t>and</w:t>
      </w:r>
    </w:p>
    <w:p w14:paraId="106D122E" w14:textId="44D0B356" w:rsidR="00880440" w:rsidRPr="00E30B66" w:rsidRDefault="00395062" w:rsidP="00880440">
      <w:pPr>
        <w:pStyle w:val="ListParagraph"/>
        <w:numPr>
          <w:ilvl w:val="0"/>
          <w:numId w:val="39"/>
        </w:numPr>
      </w:pPr>
      <w:r>
        <w:t>ensure</w:t>
      </w:r>
      <w:r w:rsidR="4FEF2642">
        <w:t xml:space="preserve"> ongoing liaison support is available from the Department</w:t>
      </w:r>
      <w:r w:rsidR="0009334A">
        <w:t xml:space="preserve"> during the process</w:t>
      </w:r>
      <w:r w:rsidR="4FEF2642">
        <w:t>.</w:t>
      </w:r>
    </w:p>
    <w:p w14:paraId="435F282E" w14:textId="67EB8680" w:rsidR="00880440" w:rsidRDefault="0009334A" w:rsidP="00880440">
      <w:pPr>
        <w:keepLines w:val="0"/>
        <w:rPr>
          <w:i/>
        </w:rPr>
      </w:pPr>
      <w:r w:rsidRPr="0009334A">
        <w:rPr>
          <w:b/>
        </w:rPr>
        <w:t>Question</w:t>
      </w:r>
      <w:r w:rsidR="008B36A3">
        <w:rPr>
          <w:b/>
        </w:rPr>
        <w:t xml:space="preserve"> 13</w:t>
      </w:r>
      <w:r w:rsidRPr="0009334A">
        <w:rPr>
          <w:b/>
        </w:rPr>
        <w:t>:</w:t>
      </w:r>
      <w:r>
        <w:t xml:space="preserve"> </w:t>
      </w:r>
      <w:r w:rsidR="4FEF2642" w:rsidRPr="0009334A">
        <w:rPr>
          <w:i/>
        </w:rPr>
        <w:t xml:space="preserve">We </w:t>
      </w:r>
      <w:r w:rsidRPr="0009334A">
        <w:rPr>
          <w:i/>
        </w:rPr>
        <w:t>are interested in your views on whether the above support is helpful and would be of benefit to your society or club.</w:t>
      </w:r>
      <w:r>
        <w:t xml:space="preserve"> </w:t>
      </w:r>
      <w:r>
        <w:rPr>
          <w:i/>
        </w:rPr>
        <w:t>What other support would you need? Or prefer to have?</w:t>
      </w:r>
    </w:p>
    <w:p w14:paraId="170E9A08" w14:textId="5193C27A" w:rsidR="00451B4D" w:rsidRDefault="00451B4D" w:rsidP="00451B4D">
      <w:pPr>
        <w:keepLines w:val="0"/>
        <w:rPr>
          <w:i/>
        </w:rPr>
      </w:pPr>
      <w:r w:rsidRPr="0009334A">
        <w:rPr>
          <w:b/>
        </w:rPr>
        <w:t>Question</w:t>
      </w:r>
      <w:r w:rsidR="008B36A3">
        <w:rPr>
          <w:b/>
        </w:rPr>
        <w:t xml:space="preserve"> 14</w:t>
      </w:r>
      <w:r w:rsidRPr="0009334A">
        <w:rPr>
          <w:b/>
        </w:rPr>
        <w:t>:</w:t>
      </w:r>
      <w:r>
        <w:t xml:space="preserve"> </w:t>
      </w:r>
      <w:r w:rsidRPr="00451B4D">
        <w:rPr>
          <w:i/>
        </w:rPr>
        <w:t>The best practice process seeks to improve transparency and make practice improvements. The Department is subject to a similar approach whe</w:t>
      </w:r>
      <w:r w:rsidR="00395062">
        <w:rPr>
          <w:i/>
        </w:rPr>
        <w:t>n the State Services Commission</w:t>
      </w:r>
      <w:r w:rsidRPr="00451B4D">
        <w:rPr>
          <w:i/>
        </w:rPr>
        <w:t xml:space="preserve"> reviews the Department’s performance. The State Services Commission makes all of its performance assessments public (including the Department’s). Do you think sector performance would improve more quickly, if the Department released successful best practice licence applications and the licence holders</w:t>
      </w:r>
      <w:r>
        <w:rPr>
          <w:i/>
        </w:rPr>
        <w:t>’</w:t>
      </w:r>
      <w:r w:rsidRPr="00451B4D">
        <w:rPr>
          <w:i/>
        </w:rPr>
        <w:t xml:space="preserve"> self-assessments?</w:t>
      </w:r>
      <w:r>
        <w:rPr>
          <w:i/>
        </w:rPr>
        <w:t xml:space="preserve"> Would a library of practice examples be more helpful?</w:t>
      </w:r>
    </w:p>
    <w:p w14:paraId="1BE517F6" w14:textId="5025630E" w:rsidR="00386211" w:rsidRDefault="00386211" w:rsidP="00E30B66">
      <w:pPr>
        <w:pStyle w:val="Heading3"/>
        <w:spacing w:after="240"/>
        <w:jc w:val="both"/>
        <w:rPr>
          <w:szCs w:val="28"/>
        </w:rPr>
      </w:pPr>
      <w:bookmarkStart w:id="29" w:name="_Toc479253045"/>
      <w:r w:rsidRPr="4FEF2642">
        <w:t>Operational Implications for the Department</w:t>
      </w:r>
      <w:bookmarkEnd w:id="29"/>
    </w:p>
    <w:p w14:paraId="37EBDC61" w14:textId="7C6C3019" w:rsidR="004165BA" w:rsidRDefault="4FEF2642" w:rsidP="009957B8">
      <w:pPr>
        <w:jc w:val="both"/>
      </w:pPr>
      <w:r>
        <w:t xml:space="preserve">Once </w:t>
      </w:r>
      <w:r w:rsidR="0009334A">
        <w:t xml:space="preserve">we have received submissions, analysed them, and then decided and finalised the </w:t>
      </w:r>
      <w:r w:rsidR="00CF66AF">
        <w:t>best</w:t>
      </w:r>
      <w:r>
        <w:t xml:space="preserve"> </w:t>
      </w:r>
      <w:r w:rsidR="001020CA">
        <w:t>practice</w:t>
      </w:r>
      <w:r>
        <w:t xml:space="preserve"> licence process, the Department </w:t>
      </w:r>
      <w:r w:rsidR="004C43CB">
        <w:t xml:space="preserve">will </w:t>
      </w:r>
      <w:r w:rsidR="0009334A">
        <w:t xml:space="preserve">make any internal changes that are necessary </w:t>
      </w:r>
      <w:r>
        <w:t xml:space="preserve">for it to be implemented. </w:t>
      </w:r>
      <w:r w:rsidR="0009334A">
        <w:t xml:space="preserve">These internal changes </w:t>
      </w:r>
      <w:r>
        <w:t xml:space="preserve">include </w:t>
      </w:r>
      <w:r w:rsidR="0009334A">
        <w:t xml:space="preserve">providing </w:t>
      </w:r>
      <w:r>
        <w:t xml:space="preserve">staff training, </w:t>
      </w:r>
      <w:r w:rsidR="0009334A">
        <w:t xml:space="preserve">creating </w:t>
      </w:r>
      <w:r>
        <w:t>internal resources and tools</w:t>
      </w:r>
      <w:r w:rsidR="0009334A">
        <w:t xml:space="preserve"> to support staff when considering a best practice licence application</w:t>
      </w:r>
      <w:r>
        <w:t xml:space="preserve">, and </w:t>
      </w:r>
      <w:r w:rsidR="0009334A">
        <w:t xml:space="preserve">making </w:t>
      </w:r>
      <w:r>
        <w:t>any technical process changes.</w:t>
      </w:r>
    </w:p>
    <w:p w14:paraId="19B553D4" w14:textId="4CA0757F" w:rsidR="0009334A" w:rsidRDefault="0009334A" w:rsidP="009957B8">
      <w:pPr>
        <w:jc w:val="both"/>
      </w:pPr>
      <w:r>
        <w:lastRenderedPageBreak/>
        <w:t>T</w:t>
      </w:r>
      <w:r w:rsidR="4FEF2642">
        <w:t xml:space="preserve">he Department is also considering whether </w:t>
      </w:r>
      <w:r>
        <w:t xml:space="preserve">the performance expectations framework and practice examples would be useful </w:t>
      </w:r>
      <w:r w:rsidR="4FEF2642">
        <w:t xml:space="preserve">for our society </w:t>
      </w:r>
      <w:r w:rsidR="008B36A3">
        <w:t>and club</w:t>
      </w:r>
      <w:r>
        <w:t xml:space="preserve"> </w:t>
      </w:r>
      <w:r w:rsidR="4FEF2642">
        <w:t>audits</w:t>
      </w:r>
      <w:r>
        <w:t>. The Department thinks using these in our audits</w:t>
      </w:r>
      <w:r w:rsidR="4FEF2642">
        <w:t xml:space="preserve"> </w:t>
      </w:r>
      <w:r>
        <w:t>would better:</w:t>
      </w:r>
    </w:p>
    <w:p w14:paraId="4C7CA3C3" w14:textId="0AE608ED" w:rsidR="0009334A" w:rsidRDefault="4FEF2642" w:rsidP="0009334A">
      <w:pPr>
        <w:pStyle w:val="Bullet"/>
      </w:pPr>
      <w:r>
        <w:t xml:space="preserve">support </w:t>
      </w:r>
      <w:r w:rsidR="0009334A">
        <w:t xml:space="preserve">societies and clubs </w:t>
      </w:r>
      <w:r>
        <w:t xml:space="preserve">to continue to improve </w:t>
      </w:r>
      <w:r w:rsidR="0009334A">
        <w:t xml:space="preserve">their </w:t>
      </w:r>
      <w:r>
        <w:t>performance</w:t>
      </w:r>
      <w:r w:rsidR="0009334A">
        <w:t xml:space="preserve"> by giving them a better understanding of their organisation’s strengths and weaknesses;</w:t>
      </w:r>
    </w:p>
    <w:p w14:paraId="54CCC2D8" w14:textId="168FF7F1" w:rsidR="00DE67A1" w:rsidRDefault="0009334A" w:rsidP="0009334A">
      <w:pPr>
        <w:pStyle w:val="Bullet"/>
      </w:pPr>
      <w:r>
        <w:t xml:space="preserve">inform our decisions about whether a sanction is appropriate, depending on how systemic the compliance issue(s) is </w:t>
      </w:r>
      <w:r w:rsidR="00451B4D">
        <w:t>and how responsive the organisation is to making practice improvements.</w:t>
      </w:r>
    </w:p>
    <w:p w14:paraId="76F5C62C" w14:textId="50590C08" w:rsidR="00451B4D" w:rsidRPr="00F243F4" w:rsidRDefault="00451B4D" w:rsidP="00451B4D">
      <w:pPr>
        <w:rPr>
          <w:b/>
        </w:rPr>
      </w:pPr>
      <w:r w:rsidRPr="4897FD18">
        <w:rPr>
          <w:b/>
          <w:bCs/>
        </w:rPr>
        <w:t>Question</w:t>
      </w:r>
      <w:r w:rsidR="008B36A3">
        <w:rPr>
          <w:b/>
          <w:bCs/>
        </w:rPr>
        <w:t xml:space="preserve"> 15</w:t>
      </w:r>
      <w:r w:rsidRPr="4897FD18">
        <w:rPr>
          <w:b/>
          <w:bCs/>
        </w:rPr>
        <w:t xml:space="preserve">: </w:t>
      </w:r>
      <w:r w:rsidRPr="00451B4D">
        <w:rPr>
          <w:bCs/>
          <w:i/>
        </w:rPr>
        <w:t>If the</w:t>
      </w:r>
      <w:r w:rsidRPr="00451B4D">
        <w:rPr>
          <w:i/>
        </w:rPr>
        <w:t xml:space="preserve"> Department were to use the performance expectations framework in its </w:t>
      </w:r>
      <w:r w:rsidR="00F733E4">
        <w:rPr>
          <w:i/>
        </w:rPr>
        <w:t>routine performance</w:t>
      </w:r>
      <w:r w:rsidRPr="00451B4D">
        <w:rPr>
          <w:i/>
        </w:rPr>
        <w:t xml:space="preserve"> audits, would this approach improve consistency and the performance improvement outcomes in the Class 4 sector? Would it increase the importance of the best practice licence and result in a greater number of societies and clubs making the changes to become best practice?</w:t>
      </w:r>
    </w:p>
    <w:p w14:paraId="0DAAF4F6" w14:textId="77777777" w:rsidR="00DE67A1" w:rsidRDefault="00DE67A1" w:rsidP="00DE67A1">
      <w:pPr>
        <w:pStyle w:val="Heading3"/>
        <w:spacing w:after="240"/>
        <w:jc w:val="both"/>
        <w:rPr>
          <w:szCs w:val="28"/>
        </w:rPr>
      </w:pPr>
      <w:bookmarkStart w:id="30" w:name="_Toc479253046"/>
      <w:r w:rsidRPr="4FEF2642">
        <w:t xml:space="preserve">We will test the </w:t>
      </w:r>
      <w:r w:rsidR="00CF66AF">
        <w:t>performance expectations framework</w:t>
      </w:r>
      <w:r w:rsidR="00451B4D">
        <w:t xml:space="preserve"> in a compliance audit</w:t>
      </w:r>
      <w:bookmarkEnd w:id="30"/>
    </w:p>
    <w:p w14:paraId="4251F21B" w14:textId="570005CC" w:rsidR="00DE67A1" w:rsidRDefault="00876787" w:rsidP="00DE67A1">
      <w:pPr>
        <w:jc w:val="both"/>
        <w:rPr>
          <w:rFonts w:eastAsia="Calibri"/>
        </w:rPr>
      </w:pPr>
      <w:r>
        <w:t>One way t</w:t>
      </w:r>
      <w:r w:rsidR="00451B4D">
        <w:t xml:space="preserve">o help us decide if the performance expectations </w:t>
      </w:r>
      <w:r w:rsidR="4FEF2642">
        <w:t xml:space="preserve">framework is fit for purpose </w:t>
      </w:r>
      <w:r w:rsidR="00451B4D">
        <w:t xml:space="preserve">and useful for our compliance audits </w:t>
      </w:r>
      <w:r w:rsidR="4FEF2642">
        <w:t xml:space="preserve">is to test </w:t>
      </w:r>
      <w:r w:rsidR="008B36A3">
        <w:t>it in practice</w:t>
      </w:r>
      <w:r w:rsidR="4FEF2642">
        <w:t xml:space="preserve">. We </w:t>
      </w:r>
      <w:r w:rsidR="00451B4D">
        <w:t xml:space="preserve">would like to test it in </w:t>
      </w:r>
      <w:r w:rsidR="4FEF2642">
        <w:t xml:space="preserve">two </w:t>
      </w:r>
      <w:r w:rsidR="00451B4D">
        <w:t xml:space="preserve">small-medium size </w:t>
      </w:r>
      <w:r w:rsidR="4FEF2642">
        <w:t xml:space="preserve">societies and one club </w:t>
      </w:r>
      <w:r w:rsidR="00451B4D">
        <w:t>by doing a compliance audit</w:t>
      </w:r>
      <w:r w:rsidR="4FEF2642">
        <w:t xml:space="preserve">. </w:t>
      </w:r>
      <w:r w:rsidR="4FEF2642" w:rsidRPr="4897FD18">
        <w:rPr>
          <w:rFonts w:eastAsia="Calibri" w:cs="Calibri"/>
        </w:rPr>
        <w:t xml:space="preserve">This </w:t>
      </w:r>
      <w:r w:rsidR="00451B4D">
        <w:rPr>
          <w:rFonts w:eastAsia="Calibri" w:cs="Calibri"/>
        </w:rPr>
        <w:t xml:space="preserve">test </w:t>
      </w:r>
      <w:r w:rsidR="4FEF2642" w:rsidRPr="4897FD18">
        <w:rPr>
          <w:rFonts w:eastAsia="Calibri" w:cs="Calibri"/>
        </w:rPr>
        <w:t xml:space="preserve">would </w:t>
      </w:r>
      <w:r w:rsidR="00451B4D">
        <w:rPr>
          <w:rFonts w:eastAsia="Calibri" w:cs="Calibri"/>
        </w:rPr>
        <w:t xml:space="preserve">mean that each </w:t>
      </w:r>
      <w:r w:rsidR="4FEF2642" w:rsidRPr="4897FD18">
        <w:rPr>
          <w:rFonts w:eastAsia="Calibri" w:cs="Calibri"/>
        </w:rPr>
        <w:t xml:space="preserve">club and society </w:t>
      </w:r>
      <w:r w:rsidR="00451B4D">
        <w:rPr>
          <w:rFonts w:eastAsia="Calibri" w:cs="Calibri"/>
        </w:rPr>
        <w:t xml:space="preserve">would first complete </w:t>
      </w:r>
      <w:r w:rsidR="4FEF2642" w:rsidRPr="4897FD18">
        <w:rPr>
          <w:rFonts w:eastAsia="Calibri" w:cs="Calibri"/>
        </w:rPr>
        <w:t xml:space="preserve">a self-assessment using draft guidance material. The Department would then come into the society/club and run </w:t>
      </w:r>
      <w:r w:rsidR="00451B4D">
        <w:rPr>
          <w:rFonts w:eastAsia="Calibri" w:cs="Calibri"/>
        </w:rPr>
        <w:t xml:space="preserve">the compliance </w:t>
      </w:r>
      <w:r w:rsidR="4FEF2642" w:rsidRPr="4897FD18">
        <w:rPr>
          <w:rFonts w:eastAsia="Calibri" w:cs="Calibri"/>
        </w:rPr>
        <w:t xml:space="preserve">audit </w:t>
      </w:r>
      <w:r w:rsidR="00451B4D">
        <w:rPr>
          <w:rFonts w:eastAsia="Calibri" w:cs="Calibri"/>
        </w:rPr>
        <w:t>using the performance expectations framework and the rating scale</w:t>
      </w:r>
      <w:r w:rsidR="4FEF2642" w:rsidRPr="4897FD18">
        <w:rPr>
          <w:rFonts w:eastAsia="Calibri" w:cs="Calibri"/>
        </w:rPr>
        <w:t>.</w:t>
      </w:r>
    </w:p>
    <w:p w14:paraId="53F28663" w14:textId="35D24463" w:rsidR="00DE67A1" w:rsidRPr="00F243F4" w:rsidRDefault="4FEF2642" w:rsidP="00DE67A1">
      <w:pPr>
        <w:jc w:val="both"/>
        <w:rPr>
          <w:b/>
        </w:rPr>
      </w:pPr>
      <w:r w:rsidRPr="4897FD18">
        <w:rPr>
          <w:rFonts w:eastAsia="Calibri" w:cs="Calibri"/>
          <w:b/>
          <w:bCs/>
        </w:rPr>
        <w:t>Question</w:t>
      </w:r>
      <w:r w:rsidR="008B36A3">
        <w:rPr>
          <w:rFonts w:eastAsia="Calibri" w:cs="Calibri"/>
          <w:b/>
          <w:bCs/>
        </w:rPr>
        <w:t xml:space="preserve"> 16</w:t>
      </w:r>
      <w:r w:rsidRPr="4897FD18">
        <w:rPr>
          <w:rFonts w:eastAsia="Calibri" w:cs="Calibri"/>
          <w:b/>
          <w:bCs/>
        </w:rPr>
        <w:t xml:space="preserve">: </w:t>
      </w:r>
      <w:r w:rsidRPr="4897FD18">
        <w:rPr>
          <w:rFonts w:eastAsia="Calibri" w:cs="Calibri"/>
          <w:i/>
          <w:iCs/>
        </w:rPr>
        <w:t xml:space="preserve">Are you a club or </w:t>
      </w:r>
      <w:r w:rsidR="00451B4D">
        <w:rPr>
          <w:rFonts w:eastAsia="Calibri" w:cs="Calibri"/>
          <w:i/>
          <w:iCs/>
        </w:rPr>
        <w:t xml:space="preserve">small to medium sized </w:t>
      </w:r>
      <w:r w:rsidRPr="4897FD18">
        <w:rPr>
          <w:rFonts w:eastAsia="Calibri" w:cs="Calibri"/>
          <w:i/>
          <w:iCs/>
        </w:rPr>
        <w:t>society with an interest in participating in testing</w:t>
      </w:r>
      <w:r w:rsidR="00451B4D">
        <w:rPr>
          <w:rFonts w:eastAsia="Calibri" w:cs="Calibri"/>
          <w:i/>
          <w:iCs/>
        </w:rPr>
        <w:t xml:space="preserve"> the framework in a compliance audit</w:t>
      </w:r>
      <w:r w:rsidRPr="4897FD18">
        <w:rPr>
          <w:rFonts w:eastAsia="Calibri" w:cs="Calibri"/>
          <w:i/>
          <w:iCs/>
        </w:rPr>
        <w:t xml:space="preserve">? We invite </w:t>
      </w:r>
      <w:r w:rsidR="00451B4D">
        <w:rPr>
          <w:rFonts w:eastAsia="Calibri" w:cs="Calibri"/>
          <w:i/>
          <w:iCs/>
        </w:rPr>
        <w:t xml:space="preserve">small-medium sized </w:t>
      </w:r>
      <w:r w:rsidRPr="4897FD18">
        <w:rPr>
          <w:rFonts w:eastAsia="Calibri" w:cs="Calibri"/>
          <w:i/>
          <w:iCs/>
        </w:rPr>
        <w:t>societies and clubs to express their interest in participating in the testing by either indicating your interest in your submission, or contacting your Department liaison directly.</w:t>
      </w:r>
    </w:p>
    <w:p w14:paraId="01A2BEDF" w14:textId="77777777" w:rsidR="001C0A8F" w:rsidRDefault="001C0A8F">
      <w:pPr>
        <w:keepLines w:val="0"/>
        <w:rPr>
          <w:i/>
        </w:rPr>
      </w:pPr>
      <w:r>
        <w:rPr>
          <w:i/>
        </w:rPr>
        <w:br w:type="page"/>
      </w:r>
    </w:p>
    <w:p w14:paraId="517A0F83" w14:textId="19FA7D1B" w:rsidR="0027494F" w:rsidRPr="002F7FE5" w:rsidRDefault="00EC0AEB" w:rsidP="4FEF2642">
      <w:pPr>
        <w:pStyle w:val="Heading1"/>
        <w:numPr>
          <w:ilvl w:val="0"/>
          <w:numId w:val="28"/>
        </w:numPr>
        <w:ind w:left="567" w:hanging="567"/>
        <w:jc w:val="both"/>
      </w:pPr>
      <w:bookmarkStart w:id="31" w:name="_Toc479253047"/>
      <w:r>
        <w:lastRenderedPageBreak/>
        <w:t xml:space="preserve">How did we develop the proposal for </w:t>
      </w:r>
      <w:r w:rsidR="004165BA">
        <w:t xml:space="preserve">a </w:t>
      </w:r>
      <w:r w:rsidR="00CF66AF">
        <w:t>best</w:t>
      </w:r>
      <w:r w:rsidR="00DD3737" w:rsidRPr="4FEF2642">
        <w:t xml:space="preserve"> </w:t>
      </w:r>
      <w:r w:rsidR="001020CA">
        <w:t>practice</w:t>
      </w:r>
      <w:r w:rsidR="004165BA" w:rsidRPr="4FEF2642">
        <w:t xml:space="preserve"> </w:t>
      </w:r>
      <w:r w:rsidR="00515FB7">
        <w:t>l</w:t>
      </w:r>
      <w:bookmarkStart w:id="32" w:name="_GoBack"/>
      <w:bookmarkEnd w:id="32"/>
      <w:r w:rsidR="00DD3737" w:rsidRPr="4FEF2642">
        <w:t>icence</w:t>
      </w:r>
      <w:r w:rsidRPr="4FEF2642">
        <w:t>?</w:t>
      </w:r>
      <w:bookmarkEnd w:id="31"/>
    </w:p>
    <w:p w14:paraId="63B2DA8E" w14:textId="2BF528F1" w:rsidR="00EC0AEB" w:rsidRPr="002F7FE5" w:rsidRDefault="00EC0AEB" w:rsidP="00EC0AEB">
      <w:pPr>
        <w:pStyle w:val="Heading3"/>
        <w:spacing w:after="240"/>
        <w:jc w:val="both"/>
        <w:rPr>
          <w:szCs w:val="28"/>
        </w:rPr>
      </w:pPr>
      <w:bookmarkStart w:id="33" w:name="_Toc479253048"/>
      <w:r w:rsidRPr="4FEF2642">
        <w:t>W</w:t>
      </w:r>
      <w:r w:rsidR="001B599F" w:rsidRPr="4FEF2642">
        <w:t>e worked</w:t>
      </w:r>
      <w:r w:rsidRPr="4FEF2642">
        <w:t xml:space="preserve"> with the </w:t>
      </w:r>
      <w:r w:rsidR="00276953" w:rsidRPr="4FEF2642">
        <w:t>Class 4 G</w:t>
      </w:r>
      <w:r w:rsidRPr="4FEF2642">
        <w:t>ambling sector</w:t>
      </w:r>
      <w:bookmarkEnd w:id="33"/>
    </w:p>
    <w:p w14:paraId="584E5D34" w14:textId="2BBBADED" w:rsidR="00CD76E4" w:rsidRPr="00CD76E4" w:rsidRDefault="4FEF2642" w:rsidP="00990BF3">
      <w:pPr>
        <w:jc w:val="both"/>
      </w:pPr>
      <w:r>
        <w:t xml:space="preserve">The Department engaged with a number of stakeholders as we worked through this proposal. We needed to develop a framework that was flexible enough to be inclusive for all licence holders (i.e. to allow all operators the opportunity to work towards a </w:t>
      </w:r>
      <w:r w:rsidR="00CF66AF">
        <w:t>best</w:t>
      </w:r>
      <w:r>
        <w:t xml:space="preserve"> </w:t>
      </w:r>
      <w:r w:rsidR="001020CA">
        <w:t>practice</w:t>
      </w:r>
      <w:r>
        <w:t xml:space="preserve"> licence) and at the same time be clear enough to provide guidance and practice examples to assist operators with their assessments. </w:t>
      </w:r>
    </w:p>
    <w:p w14:paraId="123F762B" w14:textId="4FCA929D" w:rsidR="0027494F" w:rsidRDefault="4FEF2642" w:rsidP="00990BF3">
      <w:pPr>
        <w:jc w:val="both"/>
        <w:rPr>
          <w:b/>
        </w:rPr>
      </w:pPr>
      <w:r w:rsidRPr="4FEF2642">
        <w:rPr>
          <w:b/>
          <w:bCs/>
        </w:rPr>
        <w:t>Early informal consultation</w:t>
      </w:r>
    </w:p>
    <w:p w14:paraId="623CC125" w14:textId="5EBB0108" w:rsidR="00182242" w:rsidRPr="00182242" w:rsidRDefault="4FEF2642" w:rsidP="00990BF3">
      <w:pPr>
        <w:jc w:val="both"/>
      </w:pPr>
      <w:r>
        <w:t xml:space="preserve">The project team engaged in informal consultation with stakeholders from early in the process (from mid-2016). This involved a number of discussions and meetings with various societies, clubs, problem gambling service providers and solicitors with specialist knowledge of Class 4 gambling. These discussions shaped the thinking in the early development of this framework. </w:t>
      </w:r>
    </w:p>
    <w:p w14:paraId="0318295E" w14:textId="77777777" w:rsidR="0027494F" w:rsidRDefault="4FEF2642" w:rsidP="00990BF3">
      <w:pPr>
        <w:jc w:val="both"/>
        <w:rPr>
          <w:b/>
        </w:rPr>
      </w:pPr>
      <w:r w:rsidRPr="4FEF2642">
        <w:rPr>
          <w:b/>
          <w:bCs/>
        </w:rPr>
        <w:t>Sector forums</w:t>
      </w:r>
    </w:p>
    <w:p w14:paraId="474B1D21" w14:textId="2028F7EF" w:rsidR="00DE24C2" w:rsidRDefault="4FEF2642" w:rsidP="00990BF3">
      <w:pPr>
        <w:jc w:val="both"/>
      </w:pPr>
      <w:r>
        <w:t xml:space="preserve">In November and December 2016, the Department held sector forums in Dunedin, Wellington, Christchurch and Auckland to discuss a number of matters. As part of those forums, attendees were briefed on the progress and direction of the </w:t>
      </w:r>
      <w:r w:rsidR="00CF66AF">
        <w:t>best</w:t>
      </w:r>
      <w:r>
        <w:t xml:space="preserve"> </w:t>
      </w:r>
      <w:r w:rsidR="001020CA">
        <w:t>practice</w:t>
      </w:r>
      <w:r>
        <w:t xml:space="preserve"> licence project. During those forums, the Department also asked the sector to get in touch with us if they wanted to be involved in the Sector Technical Reference Group workshops in early 2017.</w:t>
      </w:r>
    </w:p>
    <w:p w14:paraId="3D6128C4" w14:textId="77CC7385" w:rsidR="00182242" w:rsidRPr="00182242" w:rsidRDefault="4FEF2642" w:rsidP="00990BF3">
      <w:pPr>
        <w:jc w:val="both"/>
      </w:pPr>
      <w:r>
        <w:t xml:space="preserve">A copy of the presentation given at the sector forums on the </w:t>
      </w:r>
      <w:r w:rsidR="00CF66AF">
        <w:t>best</w:t>
      </w:r>
      <w:r>
        <w:t xml:space="preserve"> </w:t>
      </w:r>
      <w:r w:rsidR="001020CA">
        <w:t>practice</w:t>
      </w:r>
      <w:r>
        <w:t xml:space="preserve"> licence project is available on request.</w:t>
      </w:r>
    </w:p>
    <w:p w14:paraId="477A72BE" w14:textId="4EB0CC17" w:rsidR="0027494F" w:rsidRPr="00182242" w:rsidRDefault="4FEF2642" w:rsidP="00990BF3">
      <w:pPr>
        <w:keepLines w:val="0"/>
        <w:jc w:val="both"/>
        <w:rPr>
          <w:i/>
        </w:rPr>
      </w:pPr>
      <w:r w:rsidRPr="4FEF2642">
        <w:rPr>
          <w:b/>
          <w:bCs/>
        </w:rPr>
        <w:t>Sector Technical Reference Group workshops</w:t>
      </w:r>
    </w:p>
    <w:p w14:paraId="0B29FB23" w14:textId="2568919E" w:rsidR="00D06FDE" w:rsidRDefault="4FEF2642" w:rsidP="00990BF3">
      <w:pPr>
        <w:keepLines w:val="0"/>
        <w:jc w:val="both"/>
      </w:pPr>
      <w:r>
        <w:t xml:space="preserve">In late 2016, the Department and the Class 4 Working Party established the Sector Technical Reference Group (STRG). The STRG held four workshops in January and February 2017 to work through the technical feasibility of the proposed framework for a </w:t>
      </w:r>
      <w:r w:rsidR="00CF66AF">
        <w:t>best</w:t>
      </w:r>
      <w:r>
        <w:t xml:space="preserve"> </w:t>
      </w:r>
      <w:r w:rsidR="001020CA">
        <w:t>practice</w:t>
      </w:r>
      <w:r>
        <w:t xml:space="preserve"> Licence. </w:t>
      </w:r>
    </w:p>
    <w:p w14:paraId="21B73941" w14:textId="619D9CD7" w:rsidR="00DE24C2" w:rsidRDefault="4FEF2642" w:rsidP="00990BF3">
      <w:pPr>
        <w:keepLines w:val="0"/>
        <w:jc w:val="both"/>
      </w:pPr>
      <w:r>
        <w:t xml:space="preserve">The purpose of the STRG was to advise the </w:t>
      </w:r>
      <w:r w:rsidR="00CF66AF">
        <w:t>best</w:t>
      </w:r>
      <w:r>
        <w:t xml:space="preserve"> </w:t>
      </w:r>
      <w:r w:rsidR="001020CA">
        <w:t>practice</w:t>
      </w:r>
      <w:r>
        <w:t xml:space="preserve"> licence project team on technical feasibility and any related technical issues for societies and clubs. The advice of the STRG was limited to the Department’s proposed performance expectations (including practice examples and the self-assessment requirement), rating options, design options and cost implications for the proposed </w:t>
      </w:r>
      <w:r w:rsidR="00CF66AF">
        <w:t>best</w:t>
      </w:r>
      <w:r>
        <w:t xml:space="preserve"> </w:t>
      </w:r>
      <w:r w:rsidR="001020CA">
        <w:t>practice</w:t>
      </w:r>
      <w:r>
        <w:t xml:space="preserve"> licence framework.</w:t>
      </w:r>
    </w:p>
    <w:p w14:paraId="5CC1696E" w14:textId="0F5F65AF" w:rsidR="001410C4" w:rsidRDefault="4FEF2642" w:rsidP="00990BF3">
      <w:pPr>
        <w:keepLines w:val="0"/>
        <w:jc w:val="both"/>
      </w:pPr>
      <w:r>
        <w:t>The Terms of Reference for the STRG is attache</w:t>
      </w:r>
      <w:r w:rsidR="008B36A3">
        <w:t>d at Appendix 7. Copies of the m</w:t>
      </w:r>
      <w:r>
        <w:t>inutes of the workshops are available on request.</w:t>
      </w:r>
    </w:p>
    <w:p w14:paraId="50302CB6" w14:textId="77777777" w:rsidR="00386211" w:rsidRDefault="00386211" w:rsidP="00386211">
      <w:pPr>
        <w:pStyle w:val="Heading2"/>
        <w:jc w:val="both"/>
      </w:pPr>
      <w:bookmarkStart w:id="34" w:name="_Toc437434762"/>
      <w:bookmarkStart w:id="35" w:name="_Toc479253049"/>
      <w:r>
        <w:lastRenderedPageBreak/>
        <w:t>Consultation</w:t>
      </w:r>
      <w:bookmarkEnd w:id="34"/>
      <w:r>
        <w:t xml:space="preserve"> requirements</w:t>
      </w:r>
      <w:bookmarkEnd w:id="35"/>
    </w:p>
    <w:p w14:paraId="63303043" w14:textId="477A4B7A" w:rsidR="00386211" w:rsidRDefault="4FEF2642" w:rsidP="00386211">
      <w:pPr>
        <w:pStyle w:val="Default"/>
        <w:jc w:val="both"/>
        <w:rPr>
          <w:color w:val="auto"/>
        </w:rPr>
      </w:pPr>
      <w:r w:rsidRPr="4FEF2642">
        <w:rPr>
          <w:color w:val="auto"/>
        </w:rPr>
        <w:t>While there is no requirement to consult on operational matters, we are undertaking consultation because of the proposal’s focus on putting customers and community at the heart of the licence holders’ operations. This has the potential to impact on licence holders as well as on grant applicants, grant recipients, venue operators and the community.</w:t>
      </w:r>
    </w:p>
    <w:p w14:paraId="45ACB7E1" w14:textId="704A20BF" w:rsidR="00926D60" w:rsidRPr="00B37619" w:rsidRDefault="00926D60" w:rsidP="00926D60">
      <w:pPr>
        <w:pStyle w:val="Heading3"/>
        <w:spacing w:after="240"/>
        <w:jc w:val="both"/>
        <w:rPr>
          <w:szCs w:val="28"/>
        </w:rPr>
      </w:pPr>
      <w:bookmarkStart w:id="36" w:name="_Toc479253050"/>
      <w:r w:rsidRPr="4FEF2642">
        <w:t xml:space="preserve">Fit with Class 4 </w:t>
      </w:r>
      <w:r w:rsidR="009C44E0" w:rsidRPr="4FEF2642">
        <w:t>Gambling Review</w:t>
      </w:r>
      <w:bookmarkEnd w:id="36"/>
    </w:p>
    <w:p w14:paraId="0E1710C7" w14:textId="407C7E13" w:rsidR="00926D60" w:rsidRPr="00B37619" w:rsidRDefault="4FEF2642" w:rsidP="00926D60">
      <w:pPr>
        <w:keepLines w:val="0"/>
        <w:jc w:val="both"/>
      </w:pPr>
      <w:r>
        <w:t xml:space="preserve">The </w:t>
      </w:r>
      <w:r w:rsidR="00CF66AF">
        <w:t>best</w:t>
      </w:r>
      <w:r>
        <w:t xml:space="preserve"> </w:t>
      </w:r>
      <w:r w:rsidR="001020CA">
        <w:t>practice</w:t>
      </w:r>
      <w:r>
        <w:t xml:space="preserve"> licence is one of the Department’s operational responses to supporting </w:t>
      </w:r>
      <w:r w:rsidR="00AB4B79">
        <w:t>licence holder</w:t>
      </w:r>
      <w:r>
        <w:t xml:space="preserve"> resilience in the </w:t>
      </w:r>
      <w:r w:rsidR="00EC167D">
        <w:t xml:space="preserve">Class </w:t>
      </w:r>
      <w:r>
        <w:t xml:space="preserve">4 sector. It also aims to support a more positive perception of the </w:t>
      </w:r>
      <w:r w:rsidR="00EC167D">
        <w:t xml:space="preserve">Class </w:t>
      </w:r>
      <w:r>
        <w:t xml:space="preserve">4 sector and its role in our communities. </w:t>
      </w:r>
    </w:p>
    <w:p w14:paraId="25EB5432" w14:textId="0345F35C" w:rsidR="00926D60" w:rsidRDefault="4FEF2642" w:rsidP="00926D60">
      <w:pPr>
        <w:keepLines w:val="0"/>
        <w:jc w:val="both"/>
      </w:pPr>
      <w:r>
        <w:t xml:space="preserve">The Class 4 Gambling Review is a longer-term strategic review of the </w:t>
      </w:r>
      <w:r w:rsidR="00EC167D">
        <w:t xml:space="preserve">Class </w:t>
      </w:r>
      <w:r>
        <w:t xml:space="preserve">4 gambling regime. This review is continuing alongside the other activities that the Department is doing to support ongoing improvement and resilience in the </w:t>
      </w:r>
      <w:r w:rsidR="00EC167D">
        <w:t xml:space="preserve">Class </w:t>
      </w:r>
      <w:r>
        <w:t>4 sector.</w:t>
      </w:r>
    </w:p>
    <w:p w14:paraId="627A9F34" w14:textId="5E21523C" w:rsidR="00CD76E4" w:rsidRPr="001B599F" w:rsidRDefault="001B599F" w:rsidP="00CD76E4">
      <w:pPr>
        <w:pStyle w:val="Heading3"/>
        <w:spacing w:after="240"/>
        <w:jc w:val="both"/>
        <w:rPr>
          <w:szCs w:val="28"/>
        </w:rPr>
      </w:pPr>
      <w:bookmarkStart w:id="37" w:name="_Toc479253051"/>
      <w:r w:rsidRPr="4FEF2642">
        <w:t xml:space="preserve">We considered a number of options for </w:t>
      </w:r>
      <w:r w:rsidR="00CD76E4" w:rsidRPr="4FEF2642">
        <w:t xml:space="preserve">the </w:t>
      </w:r>
      <w:r w:rsidR="00451B4D">
        <w:t>performance expectations framework</w:t>
      </w:r>
      <w:bookmarkEnd w:id="37"/>
    </w:p>
    <w:p w14:paraId="153A6CE7" w14:textId="56ED54F5" w:rsidR="00CD76E4" w:rsidRPr="00CD76E4" w:rsidRDefault="4FEF2642" w:rsidP="00CD76E4">
      <w:pPr>
        <w:pStyle w:val="Briefingparasubheading"/>
        <w:jc w:val="both"/>
        <w:rPr>
          <w:i w:val="0"/>
        </w:rPr>
      </w:pPr>
      <w:r w:rsidRPr="4897FD18">
        <w:rPr>
          <w:i w:val="0"/>
        </w:rPr>
        <w:t>We based our approach on existing public sector assessment frameworks</w:t>
      </w:r>
    </w:p>
    <w:p w14:paraId="7D7099AE" w14:textId="1B19AE61" w:rsidR="00CD76E4" w:rsidRPr="00CD76E4" w:rsidRDefault="4FEF2642" w:rsidP="00CD76E4">
      <w:pPr>
        <w:pStyle w:val="Numberedpara3level1"/>
        <w:keepLines w:val="0"/>
        <w:numPr>
          <w:ilvl w:val="0"/>
          <w:numId w:val="0"/>
        </w:numPr>
        <w:jc w:val="both"/>
      </w:pPr>
      <w:r>
        <w:t xml:space="preserve">In putting together the approach to the </w:t>
      </w:r>
      <w:r w:rsidR="00CF66AF">
        <w:t>best</w:t>
      </w:r>
      <w:r>
        <w:t xml:space="preserve"> </w:t>
      </w:r>
      <w:r w:rsidR="001020CA">
        <w:t>practice</w:t>
      </w:r>
      <w:r>
        <w:t xml:space="preserve"> licence, the Department reviewed a number of frameworks from other agencies that assess performance, including: </w:t>
      </w:r>
    </w:p>
    <w:p w14:paraId="63C49827" w14:textId="77777777" w:rsidR="00CD76E4" w:rsidRPr="00CD76E4" w:rsidRDefault="4FEF2642" w:rsidP="00E1075C">
      <w:pPr>
        <w:pStyle w:val="Numberedpara3level211"/>
        <w:keepLines w:val="0"/>
        <w:numPr>
          <w:ilvl w:val="1"/>
          <w:numId w:val="30"/>
        </w:numPr>
        <w:jc w:val="both"/>
      </w:pPr>
      <w:r>
        <w:t>State Services Commission Performance Improvement Framework;</w:t>
      </w:r>
    </w:p>
    <w:p w14:paraId="080DF83F" w14:textId="0637738A" w:rsidR="00CD76E4" w:rsidRPr="00CD76E4" w:rsidRDefault="4FEF2642" w:rsidP="00E1075C">
      <w:pPr>
        <w:pStyle w:val="Numberedpara3level211"/>
        <w:keepLines w:val="0"/>
        <w:numPr>
          <w:ilvl w:val="1"/>
          <w:numId w:val="30"/>
        </w:numPr>
        <w:jc w:val="both"/>
      </w:pPr>
      <w:r>
        <w:t>Education Review Office School Evaluation Indicators</w:t>
      </w:r>
      <w:r w:rsidR="00EC167D">
        <w:t xml:space="preserve">, </w:t>
      </w:r>
      <w:r>
        <w:t>and</w:t>
      </w:r>
    </w:p>
    <w:p w14:paraId="1AF947D4" w14:textId="77777777" w:rsidR="00CD76E4" w:rsidRPr="00CD76E4" w:rsidRDefault="4FEF2642" w:rsidP="00E1075C">
      <w:pPr>
        <w:pStyle w:val="Numberedpara3level211"/>
        <w:keepLines w:val="0"/>
        <w:numPr>
          <w:ilvl w:val="1"/>
          <w:numId w:val="30"/>
        </w:numPr>
        <w:jc w:val="both"/>
      </w:pPr>
      <w:r>
        <w:t>the Government Chief Privacy Officer maturity framework.</w:t>
      </w:r>
    </w:p>
    <w:p w14:paraId="684559AB" w14:textId="4F06B968" w:rsidR="00CD76E4" w:rsidRPr="00CD76E4" w:rsidRDefault="4FEF2642" w:rsidP="00CD76E4">
      <w:pPr>
        <w:jc w:val="both"/>
      </w:pPr>
      <w:r>
        <w:t xml:space="preserve">None of the frameworks was a perfect fit for the </w:t>
      </w:r>
      <w:r w:rsidR="00CF66AF">
        <w:t>best</w:t>
      </w:r>
      <w:r>
        <w:t xml:space="preserve"> </w:t>
      </w:r>
      <w:r w:rsidR="001020CA">
        <w:t>practice</w:t>
      </w:r>
      <w:r>
        <w:t xml:space="preserve"> licence assessment, although many had elements that we wanted to capture in the assessment. The State Services Commission Performance Improvement Framework (PIF) appeared to be most closely aligned with what we are trying to achieve – looking across </w:t>
      </w:r>
      <w:r w:rsidR="00CF66AF">
        <w:t>a licence</w:t>
      </w:r>
      <w:r w:rsidR="00AB4B79">
        <w:t xml:space="preserve"> holder</w:t>
      </w:r>
      <w:r>
        <w:t xml:space="preserve"> to measure its performance. It has a rating scale to assess performance, and it has also been designed to measure </w:t>
      </w:r>
      <w:r w:rsidR="00CF66AF">
        <w:t>best</w:t>
      </w:r>
      <w:r>
        <w:t xml:space="preserve"> </w:t>
      </w:r>
      <w:r w:rsidR="001020CA">
        <w:t>practice</w:t>
      </w:r>
      <w:r>
        <w:t xml:space="preserve">. </w:t>
      </w:r>
      <w:r w:rsidR="009A5B55">
        <w:t xml:space="preserve">Using the State Services Commission PIF also means that the Department and the societies and clubs it regulates are subject to very similar assessments. The Department sees value in this if we are working together on achieving shared outcomes. </w:t>
      </w:r>
      <w:r>
        <w:t xml:space="preserve">Therefore, the Department used the PIF as a basis and leveraged elements from other existing frameworks to adapt it into one that is suitable for a </w:t>
      </w:r>
      <w:r w:rsidR="00CF66AF">
        <w:t>best</w:t>
      </w:r>
      <w:r>
        <w:t xml:space="preserve"> </w:t>
      </w:r>
      <w:r w:rsidR="001020CA">
        <w:t>practice</w:t>
      </w:r>
      <w:r>
        <w:t xml:space="preserve"> </w:t>
      </w:r>
      <w:r w:rsidR="009A5B55">
        <w:t>l</w:t>
      </w:r>
      <w:r>
        <w:t xml:space="preserve">icence. </w:t>
      </w:r>
    </w:p>
    <w:p w14:paraId="40936AAF" w14:textId="77777777" w:rsidR="00610172" w:rsidRDefault="00610172">
      <w:pPr>
        <w:keepLines w:val="0"/>
      </w:pPr>
      <w:r>
        <w:br w:type="page"/>
      </w:r>
    </w:p>
    <w:p w14:paraId="773AEF6E" w14:textId="2D5C17C8" w:rsidR="00115DD9" w:rsidRDefault="00115DD9">
      <w:pPr>
        <w:pStyle w:val="Heading1"/>
        <w:numPr>
          <w:ilvl w:val="0"/>
          <w:numId w:val="28"/>
        </w:numPr>
        <w:ind w:left="567" w:hanging="567"/>
        <w:jc w:val="both"/>
      </w:pPr>
      <w:bookmarkStart w:id="38" w:name="_Toc437434771"/>
      <w:bookmarkStart w:id="39" w:name="_Toc479253052"/>
      <w:r>
        <w:lastRenderedPageBreak/>
        <w:t>Questions for submitters</w:t>
      </w:r>
      <w:bookmarkEnd w:id="38"/>
      <w:bookmarkEnd w:id="39"/>
    </w:p>
    <w:p w14:paraId="372D2919" w14:textId="52A8C1D6" w:rsidR="008B36A3" w:rsidRPr="008B36A3" w:rsidRDefault="008B36A3" w:rsidP="008B36A3">
      <w:r>
        <w:t>This is summary of the questions that have been asked of submitters throughout the consultation document.  The relevant page number is indicated at the end of each question for your reference.</w:t>
      </w:r>
    </w:p>
    <w:p w14:paraId="2A66E821" w14:textId="5E966A2C" w:rsidR="00436533" w:rsidRPr="00436533" w:rsidRDefault="4FEF2642" w:rsidP="00436533">
      <w:pPr>
        <w:pStyle w:val="ListParagraph"/>
        <w:numPr>
          <w:ilvl w:val="0"/>
          <w:numId w:val="53"/>
        </w:numPr>
        <w:jc w:val="both"/>
      </w:pPr>
      <w:r>
        <w:t xml:space="preserve">Are you a venue operator or manager? The Department is interested in hearing from venue operators and managers about their interest in the </w:t>
      </w:r>
      <w:r w:rsidR="00CF66AF">
        <w:t>best</w:t>
      </w:r>
      <w:r>
        <w:t xml:space="preserve"> </w:t>
      </w:r>
      <w:r w:rsidR="001020CA">
        <w:t>practice</w:t>
      </w:r>
      <w:r>
        <w:t xml:space="preserve"> licence and what it means to them if their society held a </w:t>
      </w:r>
      <w:r w:rsidR="00CF66AF">
        <w:t>best</w:t>
      </w:r>
      <w:r>
        <w:t xml:space="preserve"> </w:t>
      </w:r>
      <w:r w:rsidR="001020CA">
        <w:t>practice</w:t>
      </w:r>
      <w:r>
        <w:t xml:space="preserve"> licence.</w:t>
      </w:r>
      <w:r w:rsidR="008B36A3">
        <w:t xml:space="preserve"> (page 5)</w:t>
      </w:r>
    </w:p>
    <w:p w14:paraId="5BE9A9ED" w14:textId="3F6B2E3E" w:rsidR="00BB56E8" w:rsidRPr="00BB56E8" w:rsidRDefault="00BB56E8" w:rsidP="00BB56E8">
      <w:pPr>
        <w:pStyle w:val="ListParagraph"/>
        <w:numPr>
          <w:ilvl w:val="0"/>
          <w:numId w:val="53"/>
        </w:numPr>
        <w:jc w:val="both"/>
      </w:pPr>
      <w:r w:rsidRPr="00BB56E8">
        <w:rPr>
          <w:iCs/>
        </w:rPr>
        <w:t>Venue</w:t>
      </w:r>
      <w:r w:rsidRPr="00BB56E8">
        <w:rPr>
          <w:b/>
          <w:iCs/>
        </w:rPr>
        <w:t xml:space="preserve"> </w:t>
      </w:r>
      <w:r w:rsidRPr="00BB56E8">
        <w:t xml:space="preserve">management is similar to staff performance management. Societies are legally responsible, like managers, but do not do the “doing”. Would the Department’s </w:t>
      </w:r>
      <w:r w:rsidR="00AB4B79">
        <w:t>performance expectations</w:t>
      </w:r>
      <w:r w:rsidRPr="00BB56E8">
        <w:t xml:space="preserve"> for societies and clubs to monitor their venues, and to learn and change their venue management strategies depending on venue performance outcomes help to improve venue performance? Is it helpful that the Department continues its independent assessment and inspections of venues?</w:t>
      </w:r>
      <w:r w:rsidR="008B36A3">
        <w:t xml:space="preserve"> (page 6)</w:t>
      </w:r>
    </w:p>
    <w:p w14:paraId="06F3FB04" w14:textId="0A4BA5DF" w:rsidR="00AB4B79" w:rsidRPr="00AB4B79" w:rsidRDefault="00AB4B79" w:rsidP="00AB4B79">
      <w:pPr>
        <w:pStyle w:val="ListParagraph"/>
        <w:numPr>
          <w:ilvl w:val="0"/>
          <w:numId w:val="53"/>
        </w:numPr>
      </w:pPr>
      <w:r w:rsidRPr="00AB4B79">
        <w:rPr>
          <w:iCs/>
        </w:rPr>
        <w:t xml:space="preserve">Do you think that if the Department is clear on outcomes </w:t>
      </w:r>
      <w:r>
        <w:rPr>
          <w:iCs/>
        </w:rPr>
        <w:t xml:space="preserve">it expects </w:t>
      </w:r>
      <w:r w:rsidRPr="00AB4B79">
        <w:rPr>
          <w:iCs/>
        </w:rPr>
        <w:t>that there will be some improvement in how societies and clubs approach their legal responsibilities? Would the effect be limited to those who apply for a best practice licence or have a wider effect on Class 4 gambling? Why or why not?</w:t>
      </w:r>
      <w:r w:rsidR="008B36A3">
        <w:rPr>
          <w:iCs/>
        </w:rPr>
        <w:t xml:space="preserve"> (page 9)</w:t>
      </w:r>
    </w:p>
    <w:p w14:paraId="4C5011F1" w14:textId="78D53A04" w:rsidR="00C13234" w:rsidRDefault="00A029C4" w:rsidP="00C13234">
      <w:pPr>
        <w:pStyle w:val="ListParagraph"/>
        <w:numPr>
          <w:ilvl w:val="0"/>
          <w:numId w:val="53"/>
        </w:numPr>
        <w:jc w:val="both"/>
      </w:pPr>
      <w:r w:rsidRPr="00A029C4">
        <w:rPr>
          <w:iCs/>
        </w:rPr>
        <w:t xml:space="preserve">Does the performance expectations framework make it clear what the Department expects of a best practice licence holder and what would be considered when we assess best practice? If you are a licence holder, would </w:t>
      </w:r>
      <w:r w:rsidR="4FEF2642">
        <w:t xml:space="preserve">your organisation be able to use it to assess your </w:t>
      </w:r>
      <w:r w:rsidRPr="00A029C4">
        <w:rPr>
          <w:iCs/>
        </w:rPr>
        <w:t xml:space="preserve">organisation’s </w:t>
      </w:r>
      <w:r w:rsidR="4FEF2642">
        <w:t>performance and see where improvements can be made? Why or why not?</w:t>
      </w:r>
      <w:r w:rsidR="008B36A3">
        <w:t xml:space="preserve"> (page 9)</w:t>
      </w:r>
    </w:p>
    <w:p w14:paraId="63D79C53" w14:textId="321A373B" w:rsidR="00C13234" w:rsidRPr="004550E6" w:rsidRDefault="004550E6" w:rsidP="00C13234">
      <w:pPr>
        <w:pStyle w:val="ListParagraph"/>
        <w:numPr>
          <w:ilvl w:val="0"/>
          <w:numId w:val="53"/>
        </w:numPr>
        <w:jc w:val="both"/>
      </w:pPr>
      <w:r w:rsidRPr="004550E6">
        <w:rPr>
          <w:iCs/>
        </w:rPr>
        <w:t>Do these practice examples provide useful guidance on what we might expect to see in licence holders demonstrating best practice? If not, can these be structured differently so that they do provide useful guidance? Do you have evidential examples that you would prefer to be used instead? Or that are clearer? We are interested in receiving your examples and how you would rate them.</w:t>
      </w:r>
      <w:r w:rsidR="008B36A3">
        <w:rPr>
          <w:iCs/>
        </w:rPr>
        <w:t xml:space="preserve"> (page 10)</w:t>
      </w:r>
    </w:p>
    <w:p w14:paraId="5CD6C193" w14:textId="7C759A3F" w:rsidR="004550E6" w:rsidRPr="004550E6" w:rsidRDefault="004550E6" w:rsidP="00C13234">
      <w:pPr>
        <w:pStyle w:val="ListParagraph"/>
        <w:numPr>
          <w:ilvl w:val="0"/>
          <w:numId w:val="53"/>
        </w:numPr>
        <w:jc w:val="both"/>
      </w:pPr>
      <w:r w:rsidRPr="004550E6">
        <w:rPr>
          <w:iCs/>
        </w:rPr>
        <w:t>Do you think it would helpful for the Department to build up a practice library of examples and share these with other societies and clubs? Is sharing practice in this way helpful to improving performance in the sector and growing the culture around seeking to improve?</w:t>
      </w:r>
      <w:r w:rsidR="008B36A3">
        <w:rPr>
          <w:iCs/>
        </w:rPr>
        <w:t xml:space="preserve"> (page 10)</w:t>
      </w:r>
    </w:p>
    <w:p w14:paraId="7FEC958A" w14:textId="00FF84B2" w:rsidR="003C31AD" w:rsidRPr="003C31AD" w:rsidRDefault="003C31AD" w:rsidP="00C13234">
      <w:pPr>
        <w:pStyle w:val="ListParagraph"/>
        <w:numPr>
          <w:ilvl w:val="0"/>
          <w:numId w:val="53"/>
        </w:numPr>
        <w:jc w:val="both"/>
      </w:pPr>
      <w:r w:rsidRPr="003C31AD">
        <w:t>Please let us know in your submission if you are thinking of applying for a best practice licence. The Department intends to have regional workshops on how to apply for a best practice licence for societies and their Boards, as well as clubs and their committees. It would help our planning to know the interest amongst clubs and societies.</w:t>
      </w:r>
      <w:r w:rsidR="008B36A3">
        <w:t xml:space="preserve"> (page 13)</w:t>
      </w:r>
    </w:p>
    <w:p w14:paraId="24BE7555" w14:textId="1D2CC086" w:rsidR="00C13234" w:rsidRDefault="4FEF2642" w:rsidP="00C13234">
      <w:pPr>
        <w:pStyle w:val="ListParagraph"/>
        <w:numPr>
          <w:ilvl w:val="0"/>
          <w:numId w:val="53"/>
        </w:numPr>
        <w:jc w:val="both"/>
      </w:pPr>
      <w:r>
        <w:t>Is the rating scale clear and easy to use? If not, why not? What needs to be done to make it easier to use?</w:t>
      </w:r>
      <w:r w:rsidR="008B36A3">
        <w:t xml:space="preserve"> (</w:t>
      </w:r>
      <w:r w:rsidR="006E331A">
        <w:t>page 13)</w:t>
      </w:r>
    </w:p>
    <w:p w14:paraId="4343EFFD" w14:textId="58E28455" w:rsidR="008B36A3" w:rsidRPr="008B36A3" w:rsidRDefault="008B36A3" w:rsidP="008B36A3">
      <w:pPr>
        <w:pStyle w:val="ListParagraph"/>
        <w:numPr>
          <w:ilvl w:val="0"/>
          <w:numId w:val="53"/>
        </w:numPr>
        <w:tabs>
          <w:tab w:val="left" w:pos="11167"/>
        </w:tabs>
        <w:jc w:val="both"/>
      </w:pPr>
      <w:r w:rsidRPr="008B36A3">
        <w:t>Are two subcategories within each category sufficient for an applicant to be demonstrating best practice?  If not, what should the threshold be?</w:t>
      </w:r>
      <w:r w:rsidR="006E331A">
        <w:t xml:space="preserve"> (page 14)</w:t>
      </w:r>
    </w:p>
    <w:p w14:paraId="57B9942D" w14:textId="04FB9ECD" w:rsidR="008B36A3" w:rsidRDefault="008B36A3" w:rsidP="008B36A3">
      <w:pPr>
        <w:pStyle w:val="ListParagraph"/>
        <w:numPr>
          <w:ilvl w:val="0"/>
          <w:numId w:val="53"/>
        </w:numPr>
        <w:jc w:val="both"/>
      </w:pPr>
      <w:r w:rsidRPr="008B36A3">
        <w:lastRenderedPageBreak/>
        <w:t>Should it be compulsory for an applicant to be demonstrating best practice in its harm minimisation practices to be eligible for a best practice licence?  Why or why not?  Are there any other areas that you believe should be compulsory for an applicant to be eligible for a best practice licence?</w:t>
      </w:r>
      <w:r w:rsidR="006E331A">
        <w:t xml:space="preserve"> (page 14)</w:t>
      </w:r>
    </w:p>
    <w:p w14:paraId="371CAD1D" w14:textId="49E20DCF" w:rsidR="00C13234" w:rsidRDefault="4FEF2642" w:rsidP="00C13234">
      <w:pPr>
        <w:pStyle w:val="ListParagraph"/>
        <w:numPr>
          <w:ilvl w:val="0"/>
          <w:numId w:val="53"/>
        </w:numPr>
        <w:jc w:val="both"/>
      </w:pPr>
      <w:r>
        <w:t xml:space="preserve">Do you think the cross-category approach is a fair measure of whether </w:t>
      </w:r>
      <w:r w:rsidR="00CF66AF">
        <w:t>a licence</w:t>
      </w:r>
      <w:r w:rsidR="00AB4B79">
        <w:t xml:space="preserve"> holder</w:t>
      </w:r>
      <w:r>
        <w:t xml:space="preserve"> is demonstrating </w:t>
      </w:r>
      <w:r w:rsidR="00CF66AF">
        <w:t>best</w:t>
      </w:r>
      <w:r>
        <w:t xml:space="preserve"> </w:t>
      </w:r>
      <w:r w:rsidR="001020CA">
        <w:t>practice</w:t>
      </w:r>
      <w:r>
        <w:t>? If not, is there a different approach in Appendix 5 that you think would work better? Why?</w:t>
      </w:r>
      <w:r w:rsidR="006E331A">
        <w:t xml:space="preserve"> (page 16)</w:t>
      </w:r>
    </w:p>
    <w:p w14:paraId="04B75973" w14:textId="5080E254" w:rsidR="00C13234" w:rsidRDefault="4FEF2642" w:rsidP="00EF1B2A">
      <w:pPr>
        <w:pStyle w:val="ListParagraph"/>
        <w:numPr>
          <w:ilvl w:val="0"/>
          <w:numId w:val="53"/>
        </w:numPr>
        <w:jc w:val="both"/>
      </w:pPr>
      <w:r>
        <w:t xml:space="preserve">Do you think the monitoring actions proposed for a </w:t>
      </w:r>
      <w:r w:rsidR="00CF66AF">
        <w:t>best</w:t>
      </w:r>
      <w:r>
        <w:t xml:space="preserve"> </w:t>
      </w:r>
      <w:r w:rsidR="001020CA">
        <w:t>practice</w:t>
      </w:r>
      <w:r>
        <w:t xml:space="preserve"> licence holder are appropriate? Why or why not?</w:t>
      </w:r>
      <w:r w:rsidR="006E331A">
        <w:t xml:space="preserve"> (page 18)</w:t>
      </w:r>
    </w:p>
    <w:p w14:paraId="643A7384" w14:textId="43AF145B" w:rsidR="0009334A" w:rsidRDefault="0009334A" w:rsidP="00DC58B4">
      <w:pPr>
        <w:pStyle w:val="ListParagraph"/>
        <w:numPr>
          <w:ilvl w:val="0"/>
          <w:numId w:val="53"/>
        </w:numPr>
        <w:jc w:val="both"/>
      </w:pPr>
      <w:r w:rsidRPr="0009334A">
        <w:t>We are interested in your views on whether the above support is helpful and would be of benefit to your society or club. What other support would you need? Or prefer to have?</w:t>
      </w:r>
      <w:r w:rsidR="006E331A">
        <w:t xml:space="preserve"> (page 20)</w:t>
      </w:r>
    </w:p>
    <w:p w14:paraId="740637AC" w14:textId="62DBD6F3" w:rsidR="00451B4D" w:rsidRPr="00451B4D" w:rsidRDefault="00451B4D" w:rsidP="00451B4D">
      <w:pPr>
        <w:pStyle w:val="ListParagraph"/>
        <w:keepLines w:val="0"/>
        <w:numPr>
          <w:ilvl w:val="0"/>
          <w:numId w:val="53"/>
        </w:numPr>
      </w:pPr>
      <w:r w:rsidRPr="00451B4D">
        <w:t>The best practice process seeks to improve transparency and make practice improvements. The Department is subject to a similar approach when the State Services Commissions reviews the Department’s performance. The State Services Commission makes all of its performance assessments public (including the Department’s). Do you think sector performance would improve more quickly, if the Department released successful best practice licence applications and the licence holders’ self-assessments? Would a library of practice examples be more helpful?</w:t>
      </w:r>
      <w:r w:rsidR="006E331A">
        <w:t xml:space="preserve"> (page 20)</w:t>
      </w:r>
    </w:p>
    <w:p w14:paraId="0DF75A6B" w14:textId="2FACAC0D" w:rsidR="00451B4D" w:rsidRPr="00451B4D" w:rsidRDefault="00451B4D" w:rsidP="00DC58B4">
      <w:pPr>
        <w:pStyle w:val="ListParagraph"/>
        <w:numPr>
          <w:ilvl w:val="0"/>
          <w:numId w:val="53"/>
        </w:numPr>
        <w:jc w:val="both"/>
      </w:pPr>
      <w:r w:rsidRPr="00451B4D">
        <w:rPr>
          <w:bCs/>
        </w:rPr>
        <w:t>If the</w:t>
      </w:r>
      <w:r w:rsidRPr="00451B4D">
        <w:t xml:space="preserve"> Department were to use the performance expectations framework in its </w:t>
      </w:r>
      <w:r w:rsidR="00F733E4">
        <w:t>routine performance</w:t>
      </w:r>
      <w:r w:rsidRPr="00451B4D">
        <w:t xml:space="preserve"> audits, would this approach improve consistency and the performance improvement outcomes in the Class 4 sector? Would it increase the importance of the best practice licence and result in a greater number of societies and clubs making the changes to become best practice?</w:t>
      </w:r>
      <w:r w:rsidR="006E331A">
        <w:t xml:space="preserve"> (page 21)</w:t>
      </w:r>
    </w:p>
    <w:p w14:paraId="37F199FF" w14:textId="7B956D24" w:rsidR="00DC58B4" w:rsidRPr="00451B4D" w:rsidRDefault="00451B4D" w:rsidP="00DC58B4">
      <w:pPr>
        <w:pStyle w:val="ListParagraph"/>
        <w:numPr>
          <w:ilvl w:val="0"/>
          <w:numId w:val="53"/>
        </w:numPr>
        <w:jc w:val="both"/>
      </w:pPr>
      <w:r>
        <w:t xml:space="preserve">Are you a club or </w:t>
      </w:r>
      <w:r w:rsidRPr="00451B4D">
        <w:rPr>
          <w:rFonts w:eastAsia="Calibri" w:cs="Calibri"/>
          <w:iCs/>
        </w:rPr>
        <w:t xml:space="preserve">small to medium sized </w:t>
      </w:r>
      <w:r>
        <w:t>society with an interest in participating in testing</w:t>
      </w:r>
      <w:r w:rsidRPr="00451B4D">
        <w:rPr>
          <w:rFonts w:eastAsia="Calibri" w:cs="Calibri"/>
          <w:iCs/>
        </w:rPr>
        <w:t xml:space="preserve"> the framework in a compliance audit? We invite small-medium sized</w:t>
      </w:r>
      <w:r>
        <w:t xml:space="preserve"> societies and clubs to express their interest in participating in the testing by either indicating your interest in your submission, or contacting your Department liaison directly.</w:t>
      </w:r>
      <w:r w:rsidR="006E331A">
        <w:t xml:space="preserve"> (page 21)</w:t>
      </w:r>
    </w:p>
    <w:p w14:paraId="4AD95A1F" w14:textId="77777777" w:rsidR="002F7B44" w:rsidRDefault="002F7B44" w:rsidP="002F7B44">
      <w:pPr>
        <w:keepLines w:val="0"/>
        <w:rPr>
          <w:i/>
        </w:rPr>
      </w:pPr>
    </w:p>
    <w:p w14:paraId="4D6DBF3C" w14:textId="77777777" w:rsidR="002F7B44" w:rsidRDefault="002F7B44" w:rsidP="002F7B44">
      <w:pPr>
        <w:keepLines w:val="0"/>
        <w:rPr>
          <w:i/>
        </w:rPr>
        <w:sectPr w:rsidR="002F7B44" w:rsidSect="00955E9E">
          <w:headerReference w:type="default" r:id="rId20"/>
          <w:footerReference w:type="default" r:id="rId21"/>
          <w:headerReference w:type="first" r:id="rId22"/>
          <w:footerReference w:type="first" r:id="rId23"/>
          <w:pgSz w:w="11907" w:h="16840" w:code="9"/>
          <w:pgMar w:top="1191" w:right="1418" w:bottom="2127" w:left="1418" w:header="425" w:footer="567" w:gutter="0"/>
          <w:pgNumType w:start="1"/>
          <w:cols w:space="708"/>
          <w:titlePg/>
          <w:docGrid w:linePitch="360"/>
        </w:sectPr>
      </w:pPr>
    </w:p>
    <w:p w14:paraId="773AEF74" w14:textId="0FD1A38E" w:rsidR="00115DD9" w:rsidRDefault="001074B6">
      <w:pPr>
        <w:pStyle w:val="Heading1"/>
        <w:numPr>
          <w:ilvl w:val="0"/>
          <w:numId w:val="28"/>
        </w:numPr>
        <w:ind w:left="567" w:hanging="567"/>
        <w:jc w:val="both"/>
        <w:rPr>
          <w:rFonts w:asciiTheme="minorHAnsi" w:eastAsiaTheme="minorEastAsia" w:hAnsiTheme="minorHAnsi" w:cstheme="minorBidi"/>
        </w:rPr>
      </w:pPr>
      <w:bookmarkStart w:id="40" w:name="_Toc479253053"/>
      <w:r w:rsidRPr="4897FD18">
        <w:rPr>
          <w:rFonts w:asciiTheme="minorHAnsi" w:eastAsiaTheme="minorEastAsia" w:hAnsiTheme="minorHAnsi" w:cstheme="minorBidi"/>
        </w:rPr>
        <w:lastRenderedPageBreak/>
        <w:t>Appendices</w:t>
      </w:r>
      <w:bookmarkEnd w:id="40"/>
    </w:p>
    <w:p w14:paraId="7D5D32B1" w14:textId="3D8B72A6" w:rsidR="0080368E" w:rsidRDefault="0080368E" w:rsidP="0080368E"/>
    <w:p w14:paraId="35634CF0" w14:textId="77777777" w:rsidR="0080368E" w:rsidRDefault="0080368E" w:rsidP="0080368E"/>
    <w:p w14:paraId="35853B17" w14:textId="77777777" w:rsidR="0080368E" w:rsidRDefault="0080368E" w:rsidP="0080368E"/>
    <w:p w14:paraId="08E0A0C1" w14:textId="77777777" w:rsidR="0080368E" w:rsidRDefault="0080368E" w:rsidP="0080368E"/>
    <w:p w14:paraId="5947D734" w14:textId="77777777" w:rsidR="0080368E" w:rsidRDefault="0080368E" w:rsidP="0080368E"/>
    <w:p w14:paraId="6C152ADA" w14:textId="77777777" w:rsidR="0080368E" w:rsidRPr="003822EF" w:rsidRDefault="0080368E" w:rsidP="0080368E">
      <w:pPr>
        <w:pStyle w:val="Heading3"/>
        <w:spacing w:after="240"/>
        <w:jc w:val="both"/>
      </w:pPr>
      <w:bookmarkStart w:id="41" w:name="_Toc479253054"/>
      <w:r w:rsidRPr="4FEF2642">
        <w:t>Appendix 1: Performance Expectation Framework</w:t>
      </w:r>
      <w:bookmarkEnd w:id="41"/>
    </w:p>
    <w:p w14:paraId="6C49695B" w14:textId="77777777" w:rsidR="0080368E" w:rsidRPr="0080368E" w:rsidRDefault="0080368E" w:rsidP="0080368E"/>
    <w:p w14:paraId="6AC7B131" w14:textId="6966CBF9" w:rsidR="003874C1" w:rsidRDefault="003874C1" w:rsidP="003874C1"/>
    <w:p w14:paraId="6C6B3F43" w14:textId="77777777" w:rsidR="003874C1" w:rsidRPr="003874C1" w:rsidRDefault="003874C1" w:rsidP="003874C1">
      <w:pPr>
        <w:sectPr w:rsidR="003874C1" w:rsidRPr="003874C1" w:rsidSect="002745E8">
          <w:headerReference w:type="even" r:id="rId24"/>
          <w:headerReference w:type="default" r:id="rId25"/>
          <w:headerReference w:type="first" r:id="rId26"/>
          <w:footerReference w:type="first" r:id="rId27"/>
          <w:pgSz w:w="11907" w:h="16839" w:code="9"/>
          <w:pgMar w:top="720" w:right="720" w:bottom="720" w:left="720" w:header="425" w:footer="567" w:gutter="0"/>
          <w:cols w:space="708"/>
          <w:titlePg/>
          <w:docGrid w:linePitch="360"/>
        </w:sectPr>
      </w:pPr>
    </w:p>
    <w:p w14:paraId="709F73E2" w14:textId="76120B83" w:rsidR="002402B8" w:rsidRPr="002402B8" w:rsidRDefault="00E219EB" w:rsidP="003822EF">
      <w:r w:rsidRPr="00E219EB">
        <w:rPr>
          <w:noProof/>
          <w:lang w:eastAsia="en-NZ"/>
        </w:rPr>
        <w:lastRenderedPageBreak/>
        <w:drawing>
          <wp:inline distT="0" distB="0" distL="0" distR="0" wp14:anchorId="57783604" wp14:editId="5FE2FD99">
            <wp:extent cx="12572374" cy="956669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5313" cy="9568931"/>
                    </a:xfrm>
                    <a:prstGeom prst="rect">
                      <a:avLst/>
                    </a:prstGeom>
                    <a:noFill/>
                    <a:ln>
                      <a:noFill/>
                    </a:ln>
                  </pic:spPr>
                </pic:pic>
              </a:graphicData>
            </a:graphic>
          </wp:inline>
        </w:drawing>
      </w:r>
    </w:p>
    <w:p w14:paraId="5486F992" w14:textId="388CB8C4" w:rsidR="00E219EB" w:rsidRDefault="00E219EB" w:rsidP="003822EF">
      <w:r w:rsidRPr="00E219EB">
        <w:rPr>
          <w:noProof/>
          <w:lang w:eastAsia="en-NZ"/>
        </w:rPr>
        <w:lastRenderedPageBreak/>
        <w:drawing>
          <wp:inline distT="0" distB="0" distL="0" distR="0" wp14:anchorId="1C560FD5" wp14:editId="6EE859B8">
            <wp:extent cx="12309105" cy="9109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13666" cy="9112869"/>
                    </a:xfrm>
                    <a:prstGeom prst="rect">
                      <a:avLst/>
                    </a:prstGeom>
                    <a:noFill/>
                    <a:ln>
                      <a:noFill/>
                    </a:ln>
                  </pic:spPr>
                </pic:pic>
              </a:graphicData>
            </a:graphic>
          </wp:inline>
        </w:drawing>
      </w:r>
    </w:p>
    <w:p w14:paraId="637C1A66" w14:textId="77777777" w:rsidR="003822EF" w:rsidRPr="003822EF" w:rsidRDefault="003822EF" w:rsidP="003822EF">
      <w:pPr>
        <w:sectPr w:rsidR="003822EF" w:rsidRPr="003822EF" w:rsidSect="002745E8">
          <w:headerReference w:type="even" r:id="rId30"/>
          <w:headerReference w:type="default" r:id="rId31"/>
          <w:footerReference w:type="default" r:id="rId32"/>
          <w:headerReference w:type="first" r:id="rId33"/>
          <w:footerReference w:type="first" r:id="rId34"/>
          <w:pgSz w:w="23814" w:h="16839" w:orient="landscape" w:code="8"/>
          <w:pgMar w:top="720" w:right="720" w:bottom="720" w:left="720" w:header="425" w:footer="567" w:gutter="0"/>
          <w:cols w:space="708"/>
          <w:titlePg/>
          <w:docGrid w:linePitch="360"/>
        </w:sectPr>
      </w:pPr>
    </w:p>
    <w:p w14:paraId="7075E747" w14:textId="23AC7254" w:rsidR="00955E9E" w:rsidRPr="003822EF" w:rsidRDefault="00955E9E" w:rsidP="003822EF">
      <w:pPr>
        <w:pStyle w:val="Heading3"/>
        <w:spacing w:after="240"/>
        <w:jc w:val="both"/>
      </w:pPr>
      <w:bookmarkStart w:id="42" w:name="_Toc479253055"/>
      <w:r w:rsidRPr="4FEF2642">
        <w:lastRenderedPageBreak/>
        <w:t xml:space="preserve">Appendix 2: </w:t>
      </w:r>
      <w:r w:rsidR="00E219EB">
        <w:t>Practice E</w:t>
      </w:r>
      <w:r w:rsidR="00CF66AF">
        <w:t>xamples</w:t>
      </w:r>
      <w:bookmarkEnd w:id="42"/>
    </w:p>
    <w:p w14:paraId="1D5FCD20" w14:textId="77777777" w:rsidR="00226FFD" w:rsidRDefault="00226FFD" w:rsidP="00226FFD">
      <w:pPr>
        <w:pStyle w:val="Heading3"/>
      </w:pPr>
    </w:p>
    <w:p w14:paraId="77EB3EEA" w14:textId="54AA3E6F" w:rsidR="00226FFD" w:rsidRPr="00062AF0" w:rsidRDefault="4FEF2642" w:rsidP="00062AF0">
      <w:pPr>
        <w:rPr>
          <w:b/>
        </w:rPr>
      </w:pPr>
      <w:r w:rsidRPr="4FEF2642">
        <w:rPr>
          <w:b/>
          <w:bCs/>
        </w:rPr>
        <w:t>Practice examples only* – licence holders determine their own practice within the best practice expectations framework</w:t>
      </w:r>
      <w:r w:rsidR="00490B5E">
        <w:rPr>
          <w:b/>
          <w:bCs/>
        </w:rPr>
        <w:t xml:space="preserve">. </w:t>
      </w:r>
    </w:p>
    <w:p w14:paraId="0388555C" w14:textId="000C7686" w:rsidR="0047225D" w:rsidRDefault="4FEF2642" w:rsidP="00062AF0">
      <w:r>
        <w:t xml:space="preserve">*Note that these </w:t>
      </w:r>
      <w:r w:rsidR="00CF66AF">
        <w:t>practice examples</w:t>
      </w:r>
      <w:r>
        <w:t xml:space="preserve"> are comprised of a mix of actual and hypothetical practices across the sector</w:t>
      </w:r>
      <w:r w:rsidR="00490B5E">
        <w:t xml:space="preserve"> and are draft at this point. The Depa</w:t>
      </w:r>
      <w:r w:rsidR="0047225D">
        <w:t>rtment’s</w:t>
      </w:r>
      <w:r w:rsidR="005714D1">
        <w:t xml:space="preserve"> gambling</w:t>
      </w:r>
      <w:r w:rsidR="0047225D">
        <w:t xml:space="preserve"> inspectors have developed</w:t>
      </w:r>
      <w:r w:rsidR="00490B5E">
        <w:t xml:space="preserve"> these practice examples for the purposes of consultation to give an overall understanding of how the rating scale would operate and what examples are likely to be considered best practice. </w:t>
      </w:r>
    </w:p>
    <w:p w14:paraId="16D97D83" w14:textId="203F6A90" w:rsidR="00226FFD" w:rsidRPr="00062AF0" w:rsidRDefault="00490B5E" w:rsidP="00062AF0">
      <w:r>
        <w:t xml:space="preserve">If you have evidential examples that you think should be used, or that might reflect best practice better, the Department would like to receive them. You might also think the evidential examples are too difficult or too easy for best practice. The Department is interested in your views on these. The practice examples are likely to change following submissions and further testing, so do not rely on these examples if your society or club wants to start getting ready for the best practice licence now. </w:t>
      </w:r>
    </w:p>
    <w:p w14:paraId="30B0D0A6" w14:textId="77777777" w:rsidR="00226FFD" w:rsidRPr="00D4551E" w:rsidRDefault="4FEF2642" w:rsidP="00D4551E">
      <w:pPr>
        <w:pStyle w:val="Heading4"/>
        <w:rPr>
          <w:i w:val="0"/>
        </w:rPr>
      </w:pPr>
      <w:r w:rsidRPr="4897FD18">
        <w:rPr>
          <w:i w:val="0"/>
        </w:rPr>
        <w:t>Shared outcomes examples: working together to achieve the C4 Vision</w:t>
      </w:r>
    </w:p>
    <w:tbl>
      <w:tblPr>
        <w:tblStyle w:val="DIATable2"/>
        <w:tblW w:w="15451" w:type="dxa"/>
        <w:tblLook w:val="04A0" w:firstRow="1" w:lastRow="0" w:firstColumn="1" w:lastColumn="0" w:noHBand="0" w:noVBand="1"/>
      </w:tblPr>
      <w:tblGrid>
        <w:gridCol w:w="1843"/>
        <w:gridCol w:w="3402"/>
        <w:gridCol w:w="3402"/>
        <w:gridCol w:w="3402"/>
        <w:gridCol w:w="3402"/>
      </w:tblGrid>
      <w:tr w:rsidR="00226FFD" w:rsidRPr="00226FFD" w14:paraId="0E728E37" w14:textId="77777777" w:rsidTr="00E219EB">
        <w:trPr>
          <w:cnfStyle w:val="100000000000" w:firstRow="1" w:lastRow="0" w:firstColumn="0" w:lastColumn="0" w:oddVBand="0" w:evenVBand="0" w:oddHBand="0" w:evenHBand="0" w:firstRowFirstColumn="0" w:firstRowLastColumn="0" w:lastRowFirstColumn="0" w:lastRowLastColumn="0"/>
          <w:tblHeader/>
        </w:trPr>
        <w:tc>
          <w:tcPr>
            <w:tcW w:w="1843" w:type="dxa"/>
          </w:tcPr>
          <w:p w14:paraId="0A4143C7" w14:textId="77777777" w:rsidR="00226FFD" w:rsidRPr="00226FFD" w:rsidRDefault="4FEF2642" w:rsidP="00226FFD">
            <w:pPr>
              <w:rPr>
                <w:sz w:val="18"/>
                <w:szCs w:val="18"/>
              </w:rPr>
            </w:pPr>
            <w:r w:rsidRPr="4FEF2642">
              <w:rPr>
                <w:sz w:val="18"/>
                <w:szCs w:val="18"/>
              </w:rPr>
              <w:t>Framework</w:t>
            </w:r>
          </w:p>
        </w:tc>
        <w:tc>
          <w:tcPr>
            <w:tcW w:w="3402" w:type="dxa"/>
          </w:tcPr>
          <w:p w14:paraId="04D1EA1C" w14:textId="77777777" w:rsidR="00226FFD" w:rsidRPr="00226FFD" w:rsidRDefault="4FEF2642" w:rsidP="00226FFD">
            <w:pPr>
              <w:rPr>
                <w:sz w:val="18"/>
                <w:szCs w:val="18"/>
              </w:rPr>
            </w:pPr>
            <w:r w:rsidRPr="4FEF2642">
              <w:rPr>
                <w:sz w:val="18"/>
                <w:szCs w:val="18"/>
              </w:rPr>
              <w:t>Example of weak performance</w:t>
            </w:r>
          </w:p>
        </w:tc>
        <w:tc>
          <w:tcPr>
            <w:tcW w:w="3402" w:type="dxa"/>
          </w:tcPr>
          <w:p w14:paraId="040EEC39" w14:textId="77777777" w:rsidR="00226FFD" w:rsidRPr="00226FFD" w:rsidRDefault="4FEF2642" w:rsidP="00226FFD">
            <w:pPr>
              <w:rPr>
                <w:sz w:val="18"/>
                <w:szCs w:val="18"/>
              </w:rPr>
            </w:pPr>
            <w:r w:rsidRPr="4FEF2642">
              <w:rPr>
                <w:sz w:val="18"/>
                <w:szCs w:val="18"/>
              </w:rPr>
              <w:t>Example of needing development</w:t>
            </w:r>
          </w:p>
        </w:tc>
        <w:tc>
          <w:tcPr>
            <w:tcW w:w="3402" w:type="dxa"/>
          </w:tcPr>
          <w:p w14:paraId="4B88F516" w14:textId="77777777" w:rsidR="00226FFD" w:rsidRPr="00226FFD" w:rsidRDefault="4FEF2642" w:rsidP="00226FFD">
            <w:pPr>
              <w:rPr>
                <w:sz w:val="18"/>
                <w:szCs w:val="18"/>
              </w:rPr>
            </w:pPr>
            <w:r w:rsidRPr="4FEF2642">
              <w:rPr>
                <w:sz w:val="18"/>
                <w:szCs w:val="18"/>
              </w:rPr>
              <w:t>Example of well-placed capable</w:t>
            </w:r>
          </w:p>
        </w:tc>
        <w:tc>
          <w:tcPr>
            <w:tcW w:w="3402" w:type="dxa"/>
          </w:tcPr>
          <w:p w14:paraId="602F378A" w14:textId="24F7B129" w:rsidR="00226FFD" w:rsidRPr="00226FFD" w:rsidRDefault="00395062" w:rsidP="00226FFD">
            <w:pPr>
              <w:rPr>
                <w:sz w:val="18"/>
                <w:szCs w:val="18"/>
              </w:rPr>
            </w:pPr>
            <w:r>
              <w:rPr>
                <w:sz w:val="18"/>
                <w:szCs w:val="18"/>
              </w:rPr>
              <w:t xml:space="preserve">Example of </w:t>
            </w:r>
            <w:r w:rsidR="4FEF2642" w:rsidRPr="4FEF2642">
              <w:rPr>
                <w:sz w:val="18"/>
                <w:szCs w:val="18"/>
              </w:rPr>
              <w:t>best practice</w:t>
            </w:r>
          </w:p>
        </w:tc>
      </w:tr>
      <w:tr w:rsidR="00226FFD" w:rsidRPr="00226FFD" w14:paraId="774F5975" w14:textId="77777777" w:rsidTr="00E219EB">
        <w:tc>
          <w:tcPr>
            <w:tcW w:w="1843" w:type="dxa"/>
          </w:tcPr>
          <w:p w14:paraId="5BC688BB" w14:textId="77777777" w:rsidR="00226FFD" w:rsidRPr="00226FFD" w:rsidRDefault="4FEF2642" w:rsidP="00226FFD">
            <w:pPr>
              <w:spacing w:before="40" w:after="40"/>
              <w:rPr>
                <w:b/>
                <w:sz w:val="18"/>
                <w:szCs w:val="18"/>
              </w:rPr>
            </w:pPr>
            <w:r w:rsidRPr="4FEF2642">
              <w:rPr>
                <w:b/>
                <w:bCs/>
                <w:sz w:val="18"/>
                <w:szCs w:val="18"/>
              </w:rPr>
              <w:t>Shared outcomes:</w:t>
            </w:r>
            <w:r w:rsidR="00226FFD">
              <w:br/>
            </w:r>
            <w:r w:rsidRPr="4FEF2642">
              <w:rPr>
                <w:sz w:val="18"/>
                <w:szCs w:val="18"/>
              </w:rPr>
              <w:t>Actively Protects</w:t>
            </w:r>
          </w:p>
        </w:tc>
        <w:tc>
          <w:tcPr>
            <w:tcW w:w="3402" w:type="dxa"/>
          </w:tcPr>
          <w:p w14:paraId="6A7842FA" w14:textId="7AEC69C6" w:rsidR="00226FFD" w:rsidRPr="00226FFD" w:rsidRDefault="4FEF2642" w:rsidP="00226FFD">
            <w:pPr>
              <w:spacing w:before="40" w:after="40"/>
              <w:rPr>
                <w:sz w:val="18"/>
                <w:szCs w:val="18"/>
              </w:rPr>
            </w:pPr>
            <w:r w:rsidRPr="4FEF2642">
              <w:rPr>
                <w:sz w:val="18"/>
                <w:szCs w:val="18"/>
              </w:rPr>
              <w:t>Delayed notification of key person changes</w:t>
            </w:r>
            <w:r w:rsidR="006E331A">
              <w:rPr>
                <w:sz w:val="18"/>
                <w:szCs w:val="18"/>
              </w:rPr>
              <w:t>.</w:t>
            </w:r>
          </w:p>
          <w:p w14:paraId="589EB205" w14:textId="77777777" w:rsidR="004C43CB" w:rsidRDefault="004C43CB" w:rsidP="00456196">
            <w:pPr>
              <w:spacing w:before="40" w:after="40"/>
              <w:rPr>
                <w:sz w:val="18"/>
                <w:szCs w:val="18"/>
              </w:rPr>
            </w:pPr>
          </w:p>
          <w:p w14:paraId="22AE50E1" w14:textId="22EE0637" w:rsidR="00226FFD" w:rsidRPr="00226FFD" w:rsidRDefault="4FEF2642" w:rsidP="00456196">
            <w:pPr>
              <w:spacing w:before="40" w:after="40"/>
              <w:rPr>
                <w:sz w:val="18"/>
                <w:szCs w:val="18"/>
              </w:rPr>
            </w:pPr>
            <w:r w:rsidRPr="4FEF2642">
              <w:rPr>
                <w:sz w:val="18"/>
                <w:szCs w:val="18"/>
              </w:rPr>
              <w:t xml:space="preserve">Harm minimisation training </w:t>
            </w:r>
            <w:r w:rsidR="001628F6">
              <w:rPr>
                <w:sz w:val="18"/>
                <w:szCs w:val="18"/>
              </w:rPr>
              <w:t xml:space="preserve">focuses on legal compliance and </w:t>
            </w:r>
            <w:r w:rsidR="0047225D">
              <w:rPr>
                <w:sz w:val="18"/>
                <w:szCs w:val="18"/>
              </w:rPr>
              <w:t>does not</w:t>
            </w:r>
            <w:r w:rsidRPr="4FEF2642">
              <w:rPr>
                <w:sz w:val="18"/>
                <w:szCs w:val="18"/>
              </w:rPr>
              <w:t xml:space="preserve"> align with the</w:t>
            </w:r>
            <w:r w:rsidR="00456196">
              <w:rPr>
                <w:sz w:val="18"/>
                <w:szCs w:val="18"/>
              </w:rPr>
              <w:t xml:space="preserve"> Department’s expectations of best practice harm minimisation (as outlined in the</w:t>
            </w:r>
            <w:r w:rsidRPr="4FEF2642">
              <w:rPr>
                <w:sz w:val="18"/>
                <w:szCs w:val="18"/>
              </w:rPr>
              <w:t xml:space="preserve"> Gamble Host</w:t>
            </w:r>
            <w:r w:rsidRPr="4FEF2642" w:rsidDel="00456196">
              <w:rPr>
                <w:sz w:val="18"/>
                <w:szCs w:val="18"/>
              </w:rPr>
              <w:t xml:space="preserve"> </w:t>
            </w:r>
            <w:r w:rsidR="00456196">
              <w:rPr>
                <w:sz w:val="18"/>
                <w:szCs w:val="18"/>
              </w:rPr>
              <w:t>resources)</w:t>
            </w:r>
            <w:r w:rsidRPr="4FEF2642">
              <w:rPr>
                <w:sz w:val="18"/>
                <w:szCs w:val="18"/>
              </w:rPr>
              <w:t>.</w:t>
            </w:r>
          </w:p>
        </w:tc>
        <w:tc>
          <w:tcPr>
            <w:tcW w:w="3402" w:type="dxa"/>
          </w:tcPr>
          <w:p w14:paraId="14619C56" w14:textId="2071223B" w:rsidR="00226FFD" w:rsidRPr="00226FFD" w:rsidRDefault="004C43CB" w:rsidP="00226FFD">
            <w:pPr>
              <w:spacing w:before="40" w:after="40"/>
              <w:rPr>
                <w:sz w:val="18"/>
                <w:szCs w:val="18"/>
              </w:rPr>
            </w:pPr>
            <w:r>
              <w:rPr>
                <w:sz w:val="18"/>
                <w:szCs w:val="18"/>
              </w:rPr>
              <w:t>Attends Department-run harm minimisation workshops</w:t>
            </w:r>
            <w:r w:rsidR="006E331A">
              <w:rPr>
                <w:sz w:val="18"/>
                <w:szCs w:val="18"/>
              </w:rPr>
              <w:t>.</w:t>
            </w:r>
          </w:p>
        </w:tc>
        <w:tc>
          <w:tcPr>
            <w:tcW w:w="3402" w:type="dxa"/>
          </w:tcPr>
          <w:p w14:paraId="7D47370E" w14:textId="1E36F063" w:rsidR="00226FFD" w:rsidRDefault="4FEF2642" w:rsidP="00226FFD">
            <w:pPr>
              <w:spacing w:before="40" w:after="40"/>
              <w:rPr>
                <w:sz w:val="18"/>
                <w:szCs w:val="18"/>
              </w:rPr>
            </w:pPr>
            <w:r w:rsidRPr="4FEF2642">
              <w:rPr>
                <w:sz w:val="18"/>
                <w:szCs w:val="18"/>
              </w:rPr>
              <w:t>Collaborative approaches to harm minimisation where the Department</w:t>
            </w:r>
            <w:r w:rsidR="0047225D">
              <w:rPr>
                <w:sz w:val="18"/>
                <w:szCs w:val="18"/>
              </w:rPr>
              <w:t>,</w:t>
            </w:r>
            <w:r w:rsidRPr="4FEF2642">
              <w:rPr>
                <w:sz w:val="18"/>
                <w:szCs w:val="18"/>
              </w:rPr>
              <w:t xml:space="preserve"> licence holders, </w:t>
            </w:r>
            <w:r w:rsidR="0047225D">
              <w:rPr>
                <w:sz w:val="18"/>
                <w:szCs w:val="18"/>
              </w:rPr>
              <w:t xml:space="preserve">and </w:t>
            </w:r>
            <w:r w:rsidRPr="4FEF2642">
              <w:rPr>
                <w:sz w:val="18"/>
                <w:szCs w:val="18"/>
              </w:rPr>
              <w:t>gambling health service providers work together to innovate new ways to improve outcomes.</w:t>
            </w:r>
          </w:p>
          <w:p w14:paraId="30180FDE" w14:textId="77777777" w:rsidR="004C43CB" w:rsidRDefault="004C43CB" w:rsidP="00226FFD">
            <w:pPr>
              <w:spacing w:before="40" w:after="40"/>
              <w:rPr>
                <w:sz w:val="18"/>
                <w:szCs w:val="18"/>
              </w:rPr>
            </w:pPr>
          </w:p>
          <w:p w14:paraId="7FB7457D" w14:textId="7AC69899" w:rsidR="00226FFD" w:rsidRPr="00226FFD" w:rsidRDefault="004C43CB" w:rsidP="00226FFD">
            <w:pPr>
              <w:spacing w:before="40" w:after="40"/>
              <w:rPr>
                <w:sz w:val="18"/>
                <w:szCs w:val="18"/>
              </w:rPr>
            </w:pPr>
            <w:r w:rsidRPr="4FEF2642">
              <w:rPr>
                <w:sz w:val="18"/>
                <w:szCs w:val="18"/>
              </w:rPr>
              <w:t>Actively seeking support from the Department to build relationship</w:t>
            </w:r>
            <w:r>
              <w:rPr>
                <w:sz w:val="18"/>
                <w:szCs w:val="18"/>
              </w:rPr>
              <w:t>s</w:t>
            </w:r>
            <w:r w:rsidRPr="4FEF2642">
              <w:rPr>
                <w:sz w:val="18"/>
                <w:szCs w:val="18"/>
              </w:rPr>
              <w:t xml:space="preserve"> with gambling health service providers</w:t>
            </w:r>
            <w:r>
              <w:rPr>
                <w:sz w:val="18"/>
                <w:szCs w:val="18"/>
              </w:rPr>
              <w:t>.</w:t>
            </w:r>
          </w:p>
        </w:tc>
        <w:tc>
          <w:tcPr>
            <w:tcW w:w="3402" w:type="dxa"/>
          </w:tcPr>
          <w:p w14:paraId="34F1B9BB" w14:textId="7D34ECA8" w:rsidR="00226FFD" w:rsidRPr="00226FFD" w:rsidRDefault="4FEF2642" w:rsidP="00226FFD">
            <w:pPr>
              <w:spacing w:before="40" w:after="40"/>
              <w:rPr>
                <w:sz w:val="18"/>
                <w:szCs w:val="18"/>
              </w:rPr>
            </w:pPr>
            <w:r w:rsidRPr="4FEF2642">
              <w:rPr>
                <w:sz w:val="18"/>
                <w:szCs w:val="18"/>
              </w:rPr>
              <w:t xml:space="preserve">Licence holders instigate collaboration with the Department and gambling health service providers to work together to design an innovative solution to a harm problem identified through licence holders’ information or from the local community. </w:t>
            </w:r>
          </w:p>
          <w:p w14:paraId="386F155F" w14:textId="4F976A41" w:rsidR="00226FFD" w:rsidRPr="00226FFD" w:rsidRDefault="4FEF2642" w:rsidP="00226FFD">
            <w:pPr>
              <w:spacing w:before="40" w:after="40"/>
              <w:rPr>
                <w:sz w:val="18"/>
                <w:szCs w:val="18"/>
              </w:rPr>
            </w:pPr>
            <w:r w:rsidRPr="4FEF2642">
              <w:rPr>
                <w:sz w:val="18"/>
                <w:szCs w:val="18"/>
              </w:rPr>
              <w:t xml:space="preserve">Processes </w:t>
            </w:r>
            <w:r w:rsidR="0047225D" w:rsidRPr="4FEF2642">
              <w:rPr>
                <w:sz w:val="18"/>
                <w:szCs w:val="18"/>
              </w:rPr>
              <w:t>(e.g. multi-venue exclusions)</w:t>
            </w:r>
            <w:r w:rsidR="0047225D">
              <w:rPr>
                <w:sz w:val="18"/>
                <w:szCs w:val="18"/>
              </w:rPr>
              <w:t xml:space="preserve"> </w:t>
            </w:r>
            <w:r w:rsidRPr="4FEF2642">
              <w:rPr>
                <w:sz w:val="18"/>
                <w:szCs w:val="18"/>
              </w:rPr>
              <w:t xml:space="preserve">are reviewed regularly </w:t>
            </w:r>
            <w:r w:rsidR="00456196">
              <w:rPr>
                <w:sz w:val="18"/>
                <w:szCs w:val="18"/>
              </w:rPr>
              <w:t>to identify gaps and make any necessary improvements</w:t>
            </w:r>
            <w:r w:rsidRPr="4FEF2642">
              <w:rPr>
                <w:sz w:val="18"/>
                <w:szCs w:val="18"/>
              </w:rPr>
              <w:t>.</w:t>
            </w:r>
          </w:p>
          <w:p w14:paraId="1893C092" w14:textId="444408C4" w:rsidR="00226FFD" w:rsidRPr="00226FFD" w:rsidRDefault="4FEF2642" w:rsidP="00226FFD">
            <w:pPr>
              <w:spacing w:before="40" w:after="40"/>
              <w:rPr>
                <w:sz w:val="18"/>
                <w:szCs w:val="18"/>
              </w:rPr>
            </w:pPr>
            <w:r w:rsidRPr="4FEF2642">
              <w:rPr>
                <w:sz w:val="18"/>
                <w:szCs w:val="18"/>
              </w:rPr>
              <w:t>Enhanced procedures seen around exclusion orders, including a record of timely notifications to the Department of breaches/attempted breaches of exclusion orders. A follow-up 6 month review of the enhanced exclusion order practices shows that exclusion order practices across the region have improved.</w:t>
            </w:r>
          </w:p>
        </w:tc>
      </w:tr>
      <w:tr w:rsidR="00226FFD" w:rsidRPr="00226FFD" w14:paraId="5E916D28" w14:textId="77777777" w:rsidTr="00E219EB">
        <w:tc>
          <w:tcPr>
            <w:tcW w:w="1843" w:type="dxa"/>
          </w:tcPr>
          <w:p w14:paraId="3A27D517" w14:textId="77777777" w:rsidR="00226FFD" w:rsidRPr="00226FFD" w:rsidRDefault="4FEF2642" w:rsidP="00226FFD">
            <w:pPr>
              <w:spacing w:before="40" w:after="40"/>
              <w:rPr>
                <w:sz w:val="18"/>
                <w:szCs w:val="18"/>
              </w:rPr>
            </w:pPr>
            <w:r w:rsidRPr="4FEF2642">
              <w:rPr>
                <w:b/>
                <w:bCs/>
                <w:sz w:val="18"/>
                <w:szCs w:val="18"/>
              </w:rPr>
              <w:lastRenderedPageBreak/>
              <w:t>Shared outcomes:</w:t>
            </w:r>
            <w:r w:rsidR="00226FFD">
              <w:br/>
            </w:r>
            <w:r w:rsidRPr="4FEF2642">
              <w:rPr>
                <w:sz w:val="18"/>
                <w:szCs w:val="18"/>
              </w:rPr>
              <w:t>Trusted and transparent</w:t>
            </w:r>
          </w:p>
        </w:tc>
        <w:tc>
          <w:tcPr>
            <w:tcW w:w="3402" w:type="dxa"/>
          </w:tcPr>
          <w:p w14:paraId="2526A94D" w14:textId="1E33A68B" w:rsidR="00226FFD" w:rsidRPr="00226FFD" w:rsidRDefault="4FEF2642" w:rsidP="00226FFD">
            <w:pPr>
              <w:spacing w:before="40" w:after="40"/>
              <w:rPr>
                <w:sz w:val="18"/>
                <w:szCs w:val="18"/>
              </w:rPr>
            </w:pPr>
            <w:r w:rsidRPr="4FEF2642">
              <w:rPr>
                <w:sz w:val="18"/>
                <w:szCs w:val="18"/>
              </w:rPr>
              <w:t>Slow communication and inadequate information sharing</w:t>
            </w:r>
            <w:r w:rsidR="001628F6">
              <w:rPr>
                <w:sz w:val="18"/>
                <w:szCs w:val="18"/>
              </w:rPr>
              <w:t xml:space="preserve"> with the Department</w:t>
            </w:r>
            <w:r w:rsidRPr="4FEF2642">
              <w:rPr>
                <w:sz w:val="18"/>
                <w:szCs w:val="18"/>
              </w:rPr>
              <w:t>.</w:t>
            </w:r>
          </w:p>
        </w:tc>
        <w:tc>
          <w:tcPr>
            <w:tcW w:w="3402" w:type="dxa"/>
          </w:tcPr>
          <w:p w14:paraId="5739AF8F" w14:textId="13D39DEE" w:rsidR="00226FFD" w:rsidRPr="00226FFD" w:rsidRDefault="4FEF2642" w:rsidP="00226FFD">
            <w:pPr>
              <w:spacing w:before="40" w:after="40"/>
              <w:rPr>
                <w:sz w:val="18"/>
                <w:szCs w:val="18"/>
              </w:rPr>
            </w:pPr>
            <w:r w:rsidRPr="4FEF2642">
              <w:rPr>
                <w:sz w:val="18"/>
                <w:szCs w:val="18"/>
              </w:rPr>
              <w:t>Licence holder picks up and responds to general Department practice advice on information sharing.</w:t>
            </w:r>
          </w:p>
        </w:tc>
        <w:tc>
          <w:tcPr>
            <w:tcW w:w="3402" w:type="dxa"/>
          </w:tcPr>
          <w:p w14:paraId="33F36309" w14:textId="792BB06B" w:rsidR="00226FFD" w:rsidRPr="00226FFD" w:rsidRDefault="4FEF2642" w:rsidP="005714D1">
            <w:pPr>
              <w:spacing w:before="40" w:after="40"/>
              <w:rPr>
                <w:sz w:val="18"/>
                <w:szCs w:val="18"/>
              </w:rPr>
            </w:pPr>
            <w:r w:rsidRPr="4FEF2642">
              <w:rPr>
                <w:sz w:val="18"/>
                <w:szCs w:val="18"/>
              </w:rPr>
              <w:t xml:space="preserve">Provide clear and specific information on the website about what the society will and will not fund with grant funding. </w:t>
            </w:r>
          </w:p>
        </w:tc>
        <w:tc>
          <w:tcPr>
            <w:tcW w:w="3402" w:type="dxa"/>
          </w:tcPr>
          <w:p w14:paraId="1B2B1355" w14:textId="324A1F66" w:rsidR="00226FFD" w:rsidRPr="00226FFD" w:rsidRDefault="4FEF2642" w:rsidP="00226FFD">
            <w:pPr>
              <w:spacing w:before="40" w:after="40"/>
              <w:rPr>
                <w:sz w:val="18"/>
                <w:szCs w:val="18"/>
              </w:rPr>
            </w:pPr>
            <w:r w:rsidRPr="4FEF2642">
              <w:rPr>
                <w:sz w:val="18"/>
                <w:szCs w:val="18"/>
              </w:rPr>
              <w:t xml:space="preserve">Licence holder identifies a problem that it actively discloses and seeks collaboration with the Department and/or community </w:t>
            </w:r>
            <w:r w:rsidR="00AB4B79">
              <w:rPr>
                <w:sz w:val="18"/>
                <w:szCs w:val="18"/>
              </w:rPr>
              <w:t>licence holder</w:t>
            </w:r>
            <w:r w:rsidRPr="4FEF2642">
              <w:rPr>
                <w:sz w:val="18"/>
                <w:szCs w:val="18"/>
              </w:rPr>
              <w:t xml:space="preserve"> to rectify. Policies and procedures are amended to reflect collaborative approach to the problem.</w:t>
            </w:r>
          </w:p>
        </w:tc>
      </w:tr>
      <w:tr w:rsidR="00226FFD" w:rsidRPr="00226FFD" w14:paraId="0925DD71" w14:textId="77777777" w:rsidTr="00E219EB">
        <w:tc>
          <w:tcPr>
            <w:tcW w:w="1843" w:type="dxa"/>
          </w:tcPr>
          <w:p w14:paraId="0C158A1A" w14:textId="77777777" w:rsidR="00226FFD" w:rsidRPr="00226FFD" w:rsidRDefault="4FEF2642" w:rsidP="00226FFD">
            <w:pPr>
              <w:spacing w:before="40" w:after="40"/>
              <w:rPr>
                <w:sz w:val="18"/>
                <w:szCs w:val="18"/>
              </w:rPr>
            </w:pPr>
            <w:r w:rsidRPr="4FEF2642">
              <w:rPr>
                <w:b/>
                <w:bCs/>
                <w:sz w:val="18"/>
                <w:szCs w:val="18"/>
              </w:rPr>
              <w:t>Shared outcomes:</w:t>
            </w:r>
            <w:r w:rsidR="00226FFD">
              <w:br/>
            </w:r>
            <w:r w:rsidRPr="4FEF2642">
              <w:rPr>
                <w:sz w:val="18"/>
                <w:szCs w:val="18"/>
              </w:rPr>
              <w:t xml:space="preserve">Benefit community </w:t>
            </w:r>
          </w:p>
        </w:tc>
        <w:tc>
          <w:tcPr>
            <w:tcW w:w="3402" w:type="dxa"/>
          </w:tcPr>
          <w:p w14:paraId="315FB082" w14:textId="4C0EC5A0" w:rsidR="00226FFD" w:rsidRPr="00226FFD" w:rsidRDefault="4FEF2642" w:rsidP="00D32D53">
            <w:pPr>
              <w:spacing w:before="40" w:after="40"/>
              <w:rPr>
                <w:sz w:val="18"/>
                <w:szCs w:val="18"/>
              </w:rPr>
            </w:pPr>
            <w:r w:rsidRPr="4FEF2642">
              <w:rPr>
                <w:sz w:val="18"/>
                <w:szCs w:val="18"/>
              </w:rPr>
              <w:t xml:space="preserve">Repeated or overly large grants given to same recipients with </w:t>
            </w:r>
            <w:r w:rsidR="00D32D53">
              <w:rPr>
                <w:sz w:val="18"/>
                <w:szCs w:val="18"/>
              </w:rPr>
              <w:t xml:space="preserve">little or </w:t>
            </w:r>
            <w:r w:rsidRPr="4FEF2642">
              <w:rPr>
                <w:sz w:val="18"/>
                <w:szCs w:val="18"/>
              </w:rPr>
              <w:t xml:space="preserve">no </w:t>
            </w:r>
            <w:r w:rsidR="00D32D53">
              <w:rPr>
                <w:sz w:val="18"/>
                <w:szCs w:val="18"/>
              </w:rPr>
              <w:t xml:space="preserve">consideration </w:t>
            </w:r>
            <w:r w:rsidRPr="4FEF2642">
              <w:rPr>
                <w:sz w:val="18"/>
                <w:szCs w:val="18"/>
              </w:rPr>
              <w:t>of community needs.</w:t>
            </w:r>
          </w:p>
        </w:tc>
        <w:tc>
          <w:tcPr>
            <w:tcW w:w="3402" w:type="dxa"/>
          </w:tcPr>
          <w:p w14:paraId="3F033362" w14:textId="6DC06556" w:rsidR="00226FFD" w:rsidRPr="00226FFD" w:rsidRDefault="4FEF2642" w:rsidP="00D32D53">
            <w:pPr>
              <w:spacing w:before="40" w:after="40"/>
              <w:rPr>
                <w:sz w:val="18"/>
                <w:szCs w:val="18"/>
              </w:rPr>
            </w:pPr>
            <w:r w:rsidRPr="4FEF2642">
              <w:rPr>
                <w:sz w:val="18"/>
                <w:szCs w:val="18"/>
              </w:rPr>
              <w:t>Licence holder responds to Department practice advice on how to improve the grants process for the community.</w:t>
            </w:r>
          </w:p>
        </w:tc>
        <w:tc>
          <w:tcPr>
            <w:tcW w:w="3402" w:type="dxa"/>
          </w:tcPr>
          <w:p w14:paraId="78D70D5E" w14:textId="04155232" w:rsidR="00226FFD" w:rsidRPr="00226FFD" w:rsidRDefault="4FEF2642" w:rsidP="00226FFD">
            <w:pPr>
              <w:spacing w:before="40" w:after="40"/>
              <w:rPr>
                <w:sz w:val="18"/>
                <w:szCs w:val="18"/>
              </w:rPr>
            </w:pPr>
            <w:r w:rsidRPr="4FEF2642">
              <w:rPr>
                <w:sz w:val="18"/>
                <w:szCs w:val="18"/>
              </w:rPr>
              <w:t xml:space="preserve">Licence holder and the Department share information to respond to community needs and trends. Examples include sharing grants information with the community, </w:t>
            </w:r>
            <w:r w:rsidR="00D32D53">
              <w:rPr>
                <w:sz w:val="18"/>
                <w:szCs w:val="18"/>
              </w:rPr>
              <w:t xml:space="preserve">and </w:t>
            </w:r>
            <w:r w:rsidRPr="4FEF2642">
              <w:rPr>
                <w:sz w:val="18"/>
                <w:szCs w:val="18"/>
              </w:rPr>
              <w:t>instigating more harm minimisation support in local venues where strong problem gambling indicators</w:t>
            </w:r>
            <w:r w:rsidR="00D32D53">
              <w:rPr>
                <w:sz w:val="18"/>
                <w:szCs w:val="18"/>
              </w:rPr>
              <w:t xml:space="preserve"> are present</w:t>
            </w:r>
            <w:r w:rsidRPr="4FEF2642">
              <w:rPr>
                <w:sz w:val="18"/>
                <w:szCs w:val="18"/>
              </w:rPr>
              <w:t>.</w:t>
            </w:r>
          </w:p>
        </w:tc>
        <w:tc>
          <w:tcPr>
            <w:tcW w:w="3402" w:type="dxa"/>
          </w:tcPr>
          <w:p w14:paraId="6D28B606" w14:textId="47C0FA3F" w:rsidR="00226FFD" w:rsidRPr="00226FFD" w:rsidRDefault="4FEF2642" w:rsidP="00226FFD">
            <w:pPr>
              <w:spacing w:before="40" w:after="40"/>
              <w:rPr>
                <w:sz w:val="18"/>
                <w:szCs w:val="18"/>
              </w:rPr>
            </w:pPr>
            <w:r w:rsidRPr="4FEF2642">
              <w:rPr>
                <w:sz w:val="18"/>
                <w:szCs w:val="18"/>
              </w:rPr>
              <w:t>Licence holder regularly tal</w:t>
            </w:r>
            <w:r w:rsidR="004E0C01">
              <w:rPr>
                <w:sz w:val="18"/>
                <w:szCs w:val="18"/>
              </w:rPr>
              <w:t>ks</w:t>
            </w:r>
            <w:r w:rsidRPr="4FEF2642">
              <w:rPr>
                <w:sz w:val="18"/>
                <w:szCs w:val="18"/>
              </w:rPr>
              <w:t xml:space="preserve"> to community leaders </w:t>
            </w:r>
            <w:r w:rsidR="004E0C01">
              <w:rPr>
                <w:sz w:val="18"/>
                <w:szCs w:val="18"/>
              </w:rPr>
              <w:t>to</w:t>
            </w:r>
            <w:r w:rsidRPr="4FEF2642">
              <w:rPr>
                <w:sz w:val="18"/>
                <w:szCs w:val="18"/>
              </w:rPr>
              <w:t xml:space="preserve"> learn about the community </w:t>
            </w:r>
            <w:r w:rsidR="004E0C01">
              <w:rPr>
                <w:sz w:val="18"/>
                <w:szCs w:val="18"/>
              </w:rPr>
              <w:t>and understand the community needs</w:t>
            </w:r>
            <w:r w:rsidR="006E331A">
              <w:rPr>
                <w:sz w:val="18"/>
                <w:szCs w:val="18"/>
              </w:rPr>
              <w:t>.</w:t>
            </w:r>
            <w:r w:rsidR="004E0C01">
              <w:rPr>
                <w:sz w:val="18"/>
                <w:szCs w:val="18"/>
              </w:rPr>
              <w:t xml:space="preserve"> If needed</w:t>
            </w:r>
            <w:r w:rsidR="00D32D53">
              <w:rPr>
                <w:sz w:val="18"/>
                <w:szCs w:val="18"/>
              </w:rPr>
              <w:t>,</w:t>
            </w:r>
            <w:r w:rsidR="004E0C01">
              <w:rPr>
                <w:sz w:val="18"/>
                <w:szCs w:val="18"/>
              </w:rPr>
              <w:t xml:space="preserve"> the licence holder e</w:t>
            </w:r>
            <w:r w:rsidRPr="4FEF2642">
              <w:rPr>
                <w:sz w:val="18"/>
                <w:szCs w:val="18"/>
              </w:rPr>
              <w:t xml:space="preserve">ither adjusts the grant process to meet those community needs or collaborates with the Department and other </w:t>
            </w:r>
            <w:r w:rsidR="00AC4758">
              <w:rPr>
                <w:sz w:val="18"/>
                <w:szCs w:val="18"/>
              </w:rPr>
              <w:t>organisations</w:t>
            </w:r>
            <w:r w:rsidRPr="4FEF2642">
              <w:rPr>
                <w:sz w:val="18"/>
                <w:szCs w:val="18"/>
              </w:rPr>
              <w:t xml:space="preserve"> to better serve the community</w:t>
            </w:r>
            <w:r w:rsidR="006E331A">
              <w:rPr>
                <w:sz w:val="18"/>
                <w:szCs w:val="18"/>
              </w:rPr>
              <w:t>.</w:t>
            </w:r>
          </w:p>
          <w:p w14:paraId="4DDBED27" w14:textId="768904D9" w:rsidR="00226FFD" w:rsidRPr="00226FFD" w:rsidRDefault="00226FFD" w:rsidP="00226FFD">
            <w:pPr>
              <w:spacing w:before="40" w:after="40"/>
              <w:rPr>
                <w:sz w:val="18"/>
                <w:szCs w:val="18"/>
              </w:rPr>
            </w:pPr>
          </w:p>
        </w:tc>
      </w:tr>
      <w:tr w:rsidR="00226FFD" w:rsidRPr="00226FFD" w14:paraId="37BF9DA7" w14:textId="77777777" w:rsidTr="00E219EB">
        <w:tc>
          <w:tcPr>
            <w:tcW w:w="1843" w:type="dxa"/>
          </w:tcPr>
          <w:p w14:paraId="0CACFD96" w14:textId="77777777" w:rsidR="00226FFD" w:rsidRPr="00226FFD" w:rsidRDefault="4FEF2642" w:rsidP="00226FFD">
            <w:pPr>
              <w:spacing w:before="40" w:after="40"/>
              <w:rPr>
                <w:b/>
                <w:sz w:val="18"/>
                <w:szCs w:val="18"/>
              </w:rPr>
            </w:pPr>
            <w:r w:rsidRPr="4FEF2642">
              <w:rPr>
                <w:b/>
                <w:bCs/>
                <w:sz w:val="18"/>
                <w:szCs w:val="18"/>
              </w:rPr>
              <w:t>Shared Outcomes:</w:t>
            </w:r>
          </w:p>
          <w:p w14:paraId="63892C8C" w14:textId="77777777" w:rsidR="00226FFD" w:rsidRPr="00226FFD" w:rsidRDefault="4FEF2642" w:rsidP="00226FFD">
            <w:pPr>
              <w:spacing w:before="40" w:after="40"/>
              <w:rPr>
                <w:sz w:val="18"/>
                <w:szCs w:val="18"/>
              </w:rPr>
            </w:pPr>
            <w:r w:rsidRPr="4FEF2642">
              <w:rPr>
                <w:sz w:val="18"/>
                <w:szCs w:val="18"/>
              </w:rPr>
              <w:t>Maximises returns</w:t>
            </w:r>
          </w:p>
        </w:tc>
        <w:tc>
          <w:tcPr>
            <w:tcW w:w="3402" w:type="dxa"/>
          </w:tcPr>
          <w:p w14:paraId="207ED486" w14:textId="55BF0630" w:rsidR="00226FFD" w:rsidRPr="00226FFD" w:rsidRDefault="004C43CB" w:rsidP="00226FFD">
            <w:pPr>
              <w:spacing w:before="40" w:after="40"/>
              <w:rPr>
                <w:sz w:val="18"/>
                <w:szCs w:val="18"/>
              </w:rPr>
            </w:pPr>
            <w:r w:rsidRPr="4FEF2642">
              <w:rPr>
                <w:sz w:val="18"/>
                <w:szCs w:val="18"/>
              </w:rPr>
              <w:t>Licence holder does not follow up with grant recipients who failed to return required documentation to confirm that grant spent on agreed purpose. Therefore licence holder cannot be sure that funds have been spent on agreed purpose, therefore returns to community are not necessarily being maximised</w:t>
            </w:r>
            <w:r w:rsidR="006E331A">
              <w:rPr>
                <w:sz w:val="18"/>
                <w:szCs w:val="18"/>
              </w:rPr>
              <w:t>.</w:t>
            </w:r>
          </w:p>
        </w:tc>
        <w:tc>
          <w:tcPr>
            <w:tcW w:w="3402" w:type="dxa"/>
          </w:tcPr>
          <w:p w14:paraId="3CABCE1B" w14:textId="0004FD1D" w:rsidR="00226FFD" w:rsidRPr="00226FFD" w:rsidRDefault="4FEF2642" w:rsidP="004858E1">
            <w:pPr>
              <w:spacing w:before="40" w:after="40"/>
              <w:rPr>
                <w:sz w:val="18"/>
                <w:szCs w:val="18"/>
              </w:rPr>
            </w:pPr>
            <w:r w:rsidRPr="4FEF2642">
              <w:rPr>
                <w:sz w:val="18"/>
                <w:szCs w:val="18"/>
              </w:rPr>
              <w:t>Licence holder has recognised weakness in its processes and is addressi</w:t>
            </w:r>
            <w:r w:rsidR="00D32D53">
              <w:rPr>
                <w:sz w:val="18"/>
                <w:szCs w:val="18"/>
              </w:rPr>
              <w:t>ng these through stronger policies</w:t>
            </w:r>
            <w:r w:rsidRPr="4FEF2642">
              <w:rPr>
                <w:sz w:val="18"/>
                <w:szCs w:val="18"/>
              </w:rPr>
              <w:t>, process</w:t>
            </w:r>
            <w:r w:rsidR="00D32D53">
              <w:rPr>
                <w:sz w:val="18"/>
                <w:szCs w:val="18"/>
              </w:rPr>
              <w:t>es</w:t>
            </w:r>
            <w:r w:rsidRPr="4FEF2642">
              <w:rPr>
                <w:sz w:val="18"/>
                <w:szCs w:val="18"/>
              </w:rPr>
              <w:t xml:space="preserve"> and dedicated staff resource. </w:t>
            </w:r>
          </w:p>
        </w:tc>
        <w:tc>
          <w:tcPr>
            <w:tcW w:w="3402" w:type="dxa"/>
          </w:tcPr>
          <w:p w14:paraId="260EA8D8" w14:textId="1C37C937" w:rsidR="00226FFD" w:rsidRPr="00226FFD" w:rsidRDefault="4FEF2642" w:rsidP="00D32D53">
            <w:pPr>
              <w:spacing w:before="40" w:after="40"/>
              <w:rPr>
                <w:sz w:val="18"/>
                <w:szCs w:val="18"/>
              </w:rPr>
            </w:pPr>
            <w:r w:rsidRPr="4FEF2642">
              <w:rPr>
                <w:sz w:val="18"/>
                <w:szCs w:val="18"/>
              </w:rPr>
              <w:t>Licence holder discovers incident of grant fraud through its own grant accountability auditing process</w:t>
            </w:r>
            <w:r w:rsidR="00D32D53">
              <w:rPr>
                <w:sz w:val="18"/>
                <w:szCs w:val="18"/>
              </w:rPr>
              <w:t xml:space="preserve"> and</w:t>
            </w:r>
            <w:r w:rsidRPr="4FEF2642">
              <w:rPr>
                <w:sz w:val="18"/>
                <w:szCs w:val="18"/>
              </w:rPr>
              <w:t xml:space="preserve"> proactively reports the grant fraud to the Department. (</w:t>
            </w:r>
            <w:r w:rsidRPr="4897FD18">
              <w:rPr>
                <w:i/>
                <w:iCs/>
                <w:sz w:val="18"/>
                <w:szCs w:val="18"/>
              </w:rPr>
              <w:t xml:space="preserve">For </w:t>
            </w:r>
            <w:r w:rsidR="00CF66AF">
              <w:rPr>
                <w:i/>
                <w:iCs/>
                <w:sz w:val="18"/>
                <w:szCs w:val="18"/>
              </w:rPr>
              <w:t>best</w:t>
            </w:r>
            <w:r w:rsidRPr="4897FD18">
              <w:rPr>
                <w:i/>
                <w:iCs/>
                <w:sz w:val="18"/>
                <w:szCs w:val="18"/>
              </w:rPr>
              <w:t xml:space="preserve"> </w:t>
            </w:r>
            <w:r w:rsidR="001020CA">
              <w:rPr>
                <w:i/>
                <w:iCs/>
                <w:sz w:val="18"/>
                <w:szCs w:val="18"/>
              </w:rPr>
              <w:t>practice</w:t>
            </w:r>
            <w:r w:rsidRPr="4897FD18">
              <w:rPr>
                <w:i/>
                <w:iCs/>
                <w:sz w:val="18"/>
                <w:szCs w:val="18"/>
              </w:rPr>
              <w:t xml:space="preserve"> - licence holder identifies what, if any, weakness in its processes led to the fraud occurring and what if any learnings and changes can be taken from the incident and strengthens its processes accordingly. Licence holder shares this with Department)</w:t>
            </w:r>
          </w:p>
        </w:tc>
        <w:tc>
          <w:tcPr>
            <w:tcW w:w="3402" w:type="dxa"/>
          </w:tcPr>
          <w:p w14:paraId="1B702171" w14:textId="5A2D6B38" w:rsidR="00226FFD" w:rsidRPr="00226FFD" w:rsidRDefault="0026244F" w:rsidP="00226FFD">
            <w:pPr>
              <w:spacing w:before="40" w:after="40"/>
              <w:rPr>
                <w:sz w:val="18"/>
                <w:szCs w:val="18"/>
              </w:rPr>
            </w:pPr>
            <w:r w:rsidRPr="4FEF2642">
              <w:rPr>
                <w:sz w:val="18"/>
                <w:szCs w:val="18"/>
              </w:rPr>
              <w:t>Licence holder routinely provides advice to unsuccessful grant applicants about which societies’ APs align with their needs so that applicants can direct applications appropriately, and not waste resources on applications which are unlikely to be approved.</w:t>
            </w:r>
          </w:p>
        </w:tc>
      </w:tr>
    </w:tbl>
    <w:p w14:paraId="4D0FF2F3" w14:textId="77777777" w:rsidR="00226FFD" w:rsidRPr="00226FFD" w:rsidRDefault="4FEF2642" w:rsidP="00D4551E">
      <w:pPr>
        <w:pStyle w:val="Heading4"/>
        <w:rPr>
          <w:i w:val="0"/>
        </w:rPr>
      </w:pPr>
      <w:r w:rsidRPr="4897FD18">
        <w:rPr>
          <w:i w:val="0"/>
        </w:rPr>
        <w:lastRenderedPageBreak/>
        <w:t>Core Business Examples</w:t>
      </w:r>
    </w:p>
    <w:tbl>
      <w:tblPr>
        <w:tblStyle w:val="DIATable2"/>
        <w:tblW w:w="15427" w:type="dxa"/>
        <w:tblLook w:val="04A0" w:firstRow="1" w:lastRow="0" w:firstColumn="1" w:lastColumn="0" w:noHBand="0" w:noVBand="1"/>
        <w:tblCaption w:val=""/>
        <w:tblDescription w:val=""/>
      </w:tblPr>
      <w:tblGrid>
        <w:gridCol w:w="1843"/>
        <w:gridCol w:w="3402"/>
        <w:gridCol w:w="3402"/>
        <w:gridCol w:w="3525"/>
        <w:gridCol w:w="3255"/>
      </w:tblGrid>
      <w:tr w:rsidR="00226FFD" w:rsidRPr="00226FFD" w14:paraId="2027599C" w14:textId="77777777" w:rsidTr="00113C9F">
        <w:trPr>
          <w:cnfStyle w:val="100000000000" w:firstRow="1" w:lastRow="0" w:firstColumn="0" w:lastColumn="0" w:oddVBand="0" w:evenVBand="0" w:oddHBand="0" w:evenHBand="0" w:firstRowFirstColumn="0" w:firstRowLastColumn="0" w:lastRowFirstColumn="0" w:lastRowLastColumn="0"/>
          <w:tblHeader/>
        </w:trPr>
        <w:tc>
          <w:tcPr>
            <w:tcW w:w="1843" w:type="dxa"/>
          </w:tcPr>
          <w:p w14:paraId="77E8219A" w14:textId="77777777" w:rsidR="00226FFD" w:rsidRPr="00226FFD" w:rsidRDefault="4FEF2642" w:rsidP="00113C9F">
            <w:pPr>
              <w:spacing w:after="60"/>
              <w:rPr>
                <w:sz w:val="18"/>
                <w:szCs w:val="18"/>
              </w:rPr>
            </w:pPr>
            <w:r w:rsidRPr="4FEF2642">
              <w:rPr>
                <w:sz w:val="18"/>
                <w:szCs w:val="18"/>
              </w:rPr>
              <w:t>Framework</w:t>
            </w:r>
          </w:p>
        </w:tc>
        <w:tc>
          <w:tcPr>
            <w:tcW w:w="3402" w:type="dxa"/>
          </w:tcPr>
          <w:p w14:paraId="1F5DFC2C" w14:textId="77777777" w:rsidR="00226FFD" w:rsidRPr="00226FFD" w:rsidRDefault="4FEF2642" w:rsidP="00113C9F">
            <w:pPr>
              <w:spacing w:after="60"/>
              <w:rPr>
                <w:sz w:val="18"/>
                <w:szCs w:val="18"/>
              </w:rPr>
            </w:pPr>
            <w:r w:rsidRPr="4FEF2642">
              <w:rPr>
                <w:sz w:val="18"/>
                <w:szCs w:val="18"/>
              </w:rPr>
              <w:t>Example of weak performance</w:t>
            </w:r>
          </w:p>
        </w:tc>
        <w:tc>
          <w:tcPr>
            <w:tcW w:w="3402" w:type="dxa"/>
          </w:tcPr>
          <w:p w14:paraId="739FD4C3" w14:textId="77777777" w:rsidR="00226FFD" w:rsidRPr="00226FFD" w:rsidRDefault="4FEF2642" w:rsidP="00113C9F">
            <w:pPr>
              <w:spacing w:after="60"/>
              <w:rPr>
                <w:sz w:val="18"/>
                <w:szCs w:val="18"/>
              </w:rPr>
            </w:pPr>
            <w:r w:rsidRPr="4FEF2642">
              <w:rPr>
                <w:sz w:val="18"/>
                <w:szCs w:val="18"/>
              </w:rPr>
              <w:t>Example of needing development</w:t>
            </w:r>
          </w:p>
        </w:tc>
        <w:tc>
          <w:tcPr>
            <w:tcW w:w="3525" w:type="dxa"/>
          </w:tcPr>
          <w:p w14:paraId="55B22032" w14:textId="77777777" w:rsidR="00226FFD" w:rsidRPr="00226FFD" w:rsidRDefault="4FEF2642" w:rsidP="00113C9F">
            <w:pPr>
              <w:spacing w:after="60"/>
              <w:rPr>
                <w:sz w:val="18"/>
                <w:szCs w:val="18"/>
              </w:rPr>
            </w:pPr>
            <w:r w:rsidRPr="4FEF2642">
              <w:rPr>
                <w:sz w:val="18"/>
                <w:szCs w:val="18"/>
              </w:rPr>
              <w:t>Example of well-placed capable</w:t>
            </w:r>
          </w:p>
        </w:tc>
        <w:tc>
          <w:tcPr>
            <w:tcW w:w="3255" w:type="dxa"/>
          </w:tcPr>
          <w:p w14:paraId="2D89F276" w14:textId="5F5AEE11" w:rsidR="00226FFD" w:rsidRPr="00226FFD" w:rsidRDefault="00395062" w:rsidP="00113C9F">
            <w:pPr>
              <w:spacing w:after="60"/>
              <w:rPr>
                <w:sz w:val="18"/>
                <w:szCs w:val="18"/>
              </w:rPr>
            </w:pPr>
            <w:r>
              <w:rPr>
                <w:sz w:val="18"/>
                <w:szCs w:val="18"/>
              </w:rPr>
              <w:t xml:space="preserve">Example of </w:t>
            </w:r>
            <w:r w:rsidR="4FEF2642" w:rsidRPr="4FEF2642">
              <w:rPr>
                <w:sz w:val="18"/>
                <w:szCs w:val="18"/>
              </w:rPr>
              <w:t>best practice</w:t>
            </w:r>
          </w:p>
        </w:tc>
      </w:tr>
      <w:tr w:rsidR="00226FFD" w:rsidRPr="00226FFD" w14:paraId="756F5D39" w14:textId="77777777" w:rsidTr="00113C9F">
        <w:tc>
          <w:tcPr>
            <w:tcW w:w="1843" w:type="dxa"/>
          </w:tcPr>
          <w:p w14:paraId="20A566C1" w14:textId="57820B0B" w:rsidR="00226FFD" w:rsidRPr="00226FFD" w:rsidRDefault="4FEF2642" w:rsidP="00113C9F">
            <w:pPr>
              <w:spacing w:before="60" w:after="60"/>
              <w:rPr>
                <w:b/>
                <w:sz w:val="18"/>
                <w:szCs w:val="18"/>
              </w:rPr>
            </w:pPr>
            <w:r w:rsidRPr="4FEF2642">
              <w:rPr>
                <w:b/>
                <w:bCs/>
                <w:sz w:val="18"/>
                <w:szCs w:val="18"/>
              </w:rPr>
              <w:t>Core business:</w:t>
            </w:r>
            <w:r w:rsidR="00226FFD">
              <w:br/>
            </w:r>
            <w:r w:rsidRPr="4FEF2642">
              <w:rPr>
                <w:sz w:val="18"/>
                <w:szCs w:val="18"/>
              </w:rPr>
              <w:t>How the legal obligations in section</w:t>
            </w:r>
            <w:r w:rsidR="00490B5E">
              <w:rPr>
                <w:sz w:val="18"/>
                <w:szCs w:val="18"/>
              </w:rPr>
              <w:t>s</w:t>
            </w:r>
            <w:r w:rsidRPr="4FEF2642">
              <w:rPr>
                <w:sz w:val="18"/>
                <w:szCs w:val="18"/>
              </w:rPr>
              <w:t xml:space="preserve"> 53A are delivered</w:t>
            </w:r>
          </w:p>
        </w:tc>
        <w:tc>
          <w:tcPr>
            <w:tcW w:w="3402" w:type="dxa"/>
          </w:tcPr>
          <w:p w14:paraId="66778A66" w14:textId="1024A4B1" w:rsidR="00226FFD" w:rsidRPr="00226FFD" w:rsidRDefault="4FEF2642" w:rsidP="00113C9F">
            <w:pPr>
              <w:spacing w:before="60" w:after="60"/>
            </w:pPr>
            <w:r w:rsidRPr="4FEF2642">
              <w:rPr>
                <w:sz w:val="18"/>
                <w:szCs w:val="18"/>
              </w:rPr>
              <w:t xml:space="preserve">Lack of unity and commitment by the governance and leadership of the licence holder </w:t>
            </w:r>
            <w:r w:rsidR="4897FD18" w:rsidRPr="4FEF2642">
              <w:rPr>
                <w:sz w:val="18"/>
                <w:szCs w:val="18"/>
              </w:rPr>
              <w:t xml:space="preserve">as </w:t>
            </w:r>
            <w:r w:rsidRPr="4FEF2642">
              <w:rPr>
                <w:sz w:val="18"/>
                <w:szCs w:val="18"/>
              </w:rPr>
              <w:t>to how t</w:t>
            </w:r>
            <w:r w:rsidR="36E5F146" w:rsidRPr="4FEF2642">
              <w:rPr>
                <w:sz w:val="18"/>
                <w:szCs w:val="18"/>
              </w:rPr>
              <w:t xml:space="preserve">o best achieve </w:t>
            </w:r>
            <w:r w:rsidR="006E331A">
              <w:rPr>
                <w:sz w:val="18"/>
                <w:szCs w:val="18"/>
              </w:rPr>
              <w:t>a</w:t>
            </w:r>
            <w:r w:rsidR="005714D1">
              <w:rPr>
                <w:sz w:val="18"/>
                <w:szCs w:val="18"/>
              </w:rPr>
              <w:t xml:space="preserve"> balance between maximising</w:t>
            </w:r>
            <w:r w:rsidRPr="4FEF2642">
              <w:rPr>
                <w:sz w:val="18"/>
                <w:szCs w:val="18"/>
              </w:rPr>
              <w:t xml:space="preserve"> benefit </w:t>
            </w:r>
            <w:r w:rsidR="006E331A">
              <w:rPr>
                <w:sz w:val="18"/>
                <w:szCs w:val="18"/>
              </w:rPr>
              <w:t xml:space="preserve">and </w:t>
            </w:r>
            <w:r w:rsidR="005714D1">
              <w:rPr>
                <w:sz w:val="18"/>
                <w:szCs w:val="18"/>
              </w:rPr>
              <w:t>minimising</w:t>
            </w:r>
            <w:r w:rsidRPr="4FEF2642">
              <w:rPr>
                <w:sz w:val="18"/>
                <w:szCs w:val="18"/>
              </w:rPr>
              <w:t xml:space="preserve"> harm</w:t>
            </w:r>
            <w:r w:rsidR="006E331A">
              <w:rPr>
                <w:sz w:val="18"/>
                <w:szCs w:val="18"/>
              </w:rPr>
              <w:t>.</w:t>
            </w:r>
            <w:r w:rsidRPr="4FEF2642">
              <w:rPr>
                <w:sz w:val="18"/>
                <w:szCs w:val="18"/>
              </w:rPr>
              <w:t xml:space="preserve"> </w:t>
            </w:r>
          </w:p>
          <w:p w14:paraId="7EE1ED34" w14:textId="1BC2D7EE" w:rsidR="00226FFD" w:rsidRPr="00226FFD" w:rsidRDefault="4FEF2642" w:rsidP="00113C9F">
            <w:pPr>
              <w:spacing w:before="60" w:after="60"/>
              <w:rPr>
                <w:sz w:val="18"/>
                <w:szCs w:val="18"/>
              </w:rPr>
            </w:pPr>
            <w:r w:rsidRPr="4FEF2642">
              <w:rPr>
                <w:sz w:val="18"/>
                <w:szCs w:val="18"/>
              </w:rPr>
              <w:t xml:space="preserve">Overly focused on venue retention to the detriment of maintaining a balance between </w:t>
            </w:r>
            <w:r w:rsidR="005714D1">
              <w:rPr>
                <w:sz w:val="18"/>
                <w:szCs w:val="18"/>
              </w:rPr>
              <w:t xml:space="preserve">minimising </w:t>
            </w:r>
            <w:r w:rsidRPr="4FEF2642">
              <w:rPr>
                <w:sz w:val="18"/>
                <w:szCs w:val="18"/>
              </w:rPr>
              <w:t xml:space="preserve">harm and </w:t>
            </w:r>
            <w:r w:rsidR="005714D1">
              <w:rPr>
                <w:sz w:val="18"/>
                <w:szCs w:val="18"/>
              </w:rPr>
              <w:t xml:space="preserve">maximising </w:t>
            </w:r>
            <w:r w:rsidR="006E331A">
              <w:rPr>
                <w:sz w:val="18"/>
                <w:szCs w:val="18"/>
              </w:rPr>
              <w:t>benefit.</w:t>
            </w:r>
          </w:p>
          <w:p w14:paraId="3C55F2DB" w14:textId="55374871" w:rsidR="00226FFD" w:rsidRPr="00226FFD" w:rsidRDefault="00226FFD" w:rsidP="00113C9F">
            <w:pPr>
              <w:spacing w:before="60" w:after="60"/>
              <w:rPr>
                <w:sz w:val="18"/>
                <w:szCs w:val="18"/>
              </w:rPr>
            </w:pPr>
          </w:p>
        </w:tc>
        <w:tc>
          <w:tcPr>
            <w:tcW w:w="3402" w:type="dxa"/>
          </w:tcPr>
          <w:p w14:paraId="01E177A5" w14:textId="4EF1F672" w:rsidR="00226FFD" w:rsidRDefault="00113C9F" w:rsidP="00113C9F">
            <w:pPr>
              <w:spacing w:before="60" w:after="60"/>
              <w:rPr>
                <w:sz w:val="18"/>
                <w:szCs w:val="18"/>
              </w:rPr>
            </w:pPr>
            <w:r>
              <w:rPr>
                <w:sz w:val="18"/>
                <w:szCs w:val="18"/>
              </w:rPr>
              <w:t>When approached, the licence holder willingly makes changes to their practices</w:t>
            </w:r>
            <w:r w:rsidR="4FEF2642" w:rsidRPr="4FEF2642">
              <w:rPr>
                <w:sz w:val="18"/>
                <w:szCs w:val="18"/>
              </w:rPr>
              <w:t xml:space="preserve"> to </w:t>
            </w:r>
            <w:r>
              <w:rPr>
                <w:sz w:val="18"/>
                <w:szCs w:val="18"/>
              </w:rPr>
              <w:t xml:space="preserve">improve compliance </w:t>
            </w:r>
            <w:r w:rsidR="4FEF2642" w:rsidRPr="4FEF2642">
              <w:rPr>
                <w:sz w:val="18"/>
                <w:szCs w:val="18"/>
              </w:rPr>
              <w:t>with section 53A</w:t>
            </w:r>
            <w:r w:rsidR="006E331A">
              <w:rPr>
                <w:sz w:val="18"/>
                <w:szCs w:val="18"/>
              </w:rPr>
              <w:t>.</w:t>
            </w:r>
          </w:p>
          <w:p w14:paraId="32406510" w14:textId="77777777" w:rsidR="00830A7D" w:rsidRDefault="00830A7D" w:rsidP="00830A7D">
            <w:pPr>
              <w:spacing w:before="60" w:after="60"/>
              <w:rPr>
                <w:sz w:val="18"/>
                <w:szCs w:val="18"/>
              </w:rPr>
            </w:pPr>
            <w:r>
              <w:rPr>
                <w:sz w:val="18"/>
                <w:szCs w:val="18"/>
              </w:rPr>
              <w:t xml:space="preserve">Keeps track of and updates its policies and procedures to ensure they are up to date as soon as possible after regulatory changes are introduced. </w:t>
            </w:r>
          </w:p>
          <w:p w14:paraId="20C1D82E" w14:textId="5AB90F81" w:rsidR="00113C9F" w:rsidRPr="00226FFD" w:rsidRDefault="00113C9F" w:rsidP="00113C9F">
            <w:pPr>
              <w:spacing w:before="60" w:after="60"/>
              <w:rPr>
                <w:sz w:val="18"/>
                <w:szCs w:val="18"/>
              </w:rPr>
            </w:pPr>
            <w:r>
              <w:rPr>
                <w:sz w:val="18"/>
                <w:szCs w:val="18"/>
              </w:rPr>
              <w:t xml:space="preserve">Does not have a coherent or robust compliance strategy in place to deliver the legal obligations. </w:t>
            </w:r>
          </w:p>
        </w:tc>
        <w:tc>
          <w:tcPr>
            <w:tcW w:w="3525" w:type="dxa"/>
          </w:tcPr>
          <w:p w14:paraId="478F2804" w14:textId="75D87FE4" w:rsidR="00226FFD" w:rsidRPr="00226FFD" w:rsidRDefault="3F6066EB" w:rsidP="00113C9F">
            <w:pPr>
              <w:spacing w:before="60" w:after="60"/>
              <w:rPr>
                <w:sz w:val="18"/>
                <w:szCs w:val="18"/>
              </w:rPr>
            </w:pPr>
            <w:r w:rsidRPr="4FEF2642">
              <w:rPr>
                <w:sz w:val="18"/>
                <w:szCs w:val="18"/>
              </w:rPr>
              <w:t>A s</w:t>
            </w:r>
            <w:r w:rsidR="4FEF2642" w:rsidRPr="4FEF2642">
              <w:rPr>
                <w:sz w:val="18"/>
                <w:szCs w:val="18"/>
              </w:rPr>
              <w:t xml:space="preserve">trong commitment to the legal obligations in section 53A </w:t>
            </w:r>
            <w:r w:rsidRPr="4FEF2642">
              <w:rPr>
                <w:sz w:val="18"/>
                <w:szCs w:val="18"/>
              </w:rPr>
              <w:t>i</w:t>
            </w:r>
            <w:r w:rsidR="20E4CF06" w:rsidRPr="4FEF2642">
              <w:rPr>
                <w:sz w:val="18"/>
                <w:szCs w:val="18"/>
              </w:rPr>
              <w:t xml:space="preserve">s </w:t>
            </w:r>
            <w:r w:rsidR="4FEF2642" w:rsidRPr="4FEF2642">
              <w:rPr>
                <w:sz w:val="18"/>
                <w:szCs w:val="18"/>
              </w:rPr>
              <w:t xml:space="preserve">displayed and reflected in all leadership decisions and </w:t>
            </w:r>
            <w:r w:rsidR="00AB4B79">
              <w:rPr>
                <w:sz w:val="18"/>
                <w:szCs w:val="18"/>
              </w:rPr>
              <w:t>licence holder</w:t>
            </w:r>
            <w:r w:rsidR="4FEF2642" w:rsidRPr="4FEF2642">
              <w:rPr>
                <w:sz w:val="18"/>
                <w:szCs w:val="18"/>
              </w:rPr>
              <w:t xml:space="preserve"> systems</w:t>
            </w:r>
            <w:r w:rsidR="006E331A">
              <w:rPr>
                <w:sz w:val="18"/>
                <w:szCs w:val="18"/>
              </w:rPr>
              <w:t>.</w:t>
            </w:r>
          </w:p>
          <w:p w14:paraId="79BF40AE" w14:textId="0B0DB05F" w:rsidR="0013094B" w:rsidRDefault="0013094B" w:rsidP="0013094B">
            <w:pPr>
              <w:spacing w:before="60" w:after="60"/>
              <w:rPr>
                <w:sz w:val="18"/>
                <w:szCs w:val="18"/>
              </w:rPr>
            </w:pPr>
            <w:r>
              <w:rPr>
                <w:sz w:val="18"/>
                <w:szCs w:val="18"/>
              </w:rPr>
              <w:t xml:space="preserve"> </w:t>
            </w:r>
          </w:p>
          <w:p w14:paraId="7E553F42" w14:textId="39214135" w:rsidR="0013094B" w:rsidRDefault="0013094B" w:rsidP="0013094B">
            <w:pPr>
              <w:spacing w:before="60" w:after="60"/>
              <w:rPr>
                <w:sz w:val="18"/>
                <w:szCs w:val="18"/>
              </w:rPr>
            </w:pPr>
            <w:r>
              <w:rPr>
                <w:sz w:val="18"/>
                <w:szCs w:val="18"/>
              </w:rPr>
              <w:t>Develops a sound risk-based compliance strategy for its venues, with the objective of achieving a balance between maximising benefit and minimising harm.</w:t>
            </w:r>
          </w:p>
          <w:p w14:paraId="59FEE9FC" w14:textId="4F48A847" w:rsidR="00226FFD" w:rsidRPr="00226FFD" w:rsidRDefault="00226FFD" w:rsidP="00113C9F">
            <w:pPr>
              <w:spacing w:before="60" w:after="60"/>
              <w:rPr>
                <w:sz w:val="18"/>
                <w:szCs w:val="18"/>
              </w:rPr>
            </w:pPr>
          </w:p>
        </w:tc>
        <w:tc>
          <w:tcPr>
            <w:tcW w:w="3255" w:type="dxa"/>
          </w:tcPr>
          <w:p w14:paraId="30F9AD05" w14:textId="4E1F6AF0" w:rsidR="00226FFD" w:rsidRPr="00226FFD" w:rsidRDefault="4FEF2642" w:rsidP="00E0480B">
            <w:pPr>
              <w:spacing w:before="60" w:after="60"/>
              <w:rPr>
                <w:sz w:val="18"/>
                <w:szCs w:val="18"/>
              </w:rPr>
            </w:pPr>
            <w:r w:rsidRPr="4FEF2642">
              <w:rPr>
                <w:sz w:val="18"/>
                <w:szCs w:val="18"/>
              </w:rPr>
              <w:t xml:space="preserve">Board and senior leadership culture </w:t>
            </w:r>
            <w:r w:rsidR="00113C9F">
              <w:rPr>
                <w:sz w:val="18"/>
                <w:szCs w:val="18"/>
              </w:rPr>
              <w:t xml:space="preserve">of commitment to harm minimisation </w:t>
            </w:r>
            <w:r w:rsidRPr="4FEF2642">
              <w:rPr>
                <w:sz w:val="18"/>
                <w:szCs w:val="18"/>
              </w:rPr>
              <w:t xml:space="preserve">is mirrored in </w:t>
            </w:r>
            <w:r w:rsidR="063A4750" w:rsidRPr="4FEF2642">
              <w:rPr>
                <w:sz w:val="18"/>
                <w:szCs w:val="18"/>
              </w:rPr>
              <w:t>t</w:t>
            </w:r>
            <w:r w:rsidR="6E71B8ED" w:rsidRPr="4FEF2642">
              <w:rPr>
                <w:sz w:val="18"/>
                <w:szCs w:val="18"/>
              </w:rPr>
              <w:t xml:space="preserve">he conduct of </w:t>
            </w:r>
            <w:r w:rsidRPr="4FEF2642">
              <w:rPr>
                <w:sz w:val="18"/>
                <w:szCs w:val="18"/>
              </w:rPr>
              <w:t>operational staff</w:t>
            </w:r>
            <w:r w:rsidR="6E71B8ED" w:rsidRPr="4FEF2642">
              <w:rPr>
                <w:sz w:val="18"/>
                <w:szCs w:val="18"/>
              </w:rPr>
              <w:t>,</w:t>
            </w:r>
            <w:r w:rsidRPr="4FEF2642">
              <w:rPr>
                <w:sz w:val="18"/>
                <w:szCs w:val="18"/>
              </w:rPr>
              <w:t xml:space="preserve"> and regular review and learning t</w:t>
            </w:r>
            <w:r w:rsidR="44A792E7" w:rsidRPr="00154603">
              <w:rPr>
                <w:sz w:val="18"/>
              </w:rPr>
              <w:t>ake place t</w:t>
            </w:r>
            <w:r w:rsidRPr="4FEF2642">
              <w:rPr>
                <w:sz w:val="18"/>
                <w:szCs w:val="18"/>
              </w:rPr>
              <w:t xml:space="preserve">o improve culture </w:t>
            </w:r>
            <w:r w:rsidR="00113C9F">
              <w:rPr>
                <w:sz w:val="18"/>
                <w:szCs w:val="18"/>
              </w:rPr>
              <w:t>of care for harm minimisation</w:t>
            </w:r>
            <w:r w:rsidR="00E0480B">
              <w:rPr>
                <w:sz w:val="18"/>
                <w:szCs w:val="18"/>
              </w:rPr>
              <w:t>. S</w:t>
            </w:r>
            <w:r w:rsidRPr="4FEF2642">
              <w:rPr>
                <w:sz w:val="18"/>
                <w:szCs w:val="18"/>
              </w:rPr>
              <w:t xml:space="preserve">taff conduct </w:t>
            </w:r>
            <w:r w:rsidR="00113C9F">
              <w:rPr>
                <w:sz w:val="18"/>
                <w:szCs w:val="18"/>
              </w:rPr>
              <w:t>reflect</w:t>
            </w:r>
            <w:r w:rsidR="00E0480B">
              <w:rPr>
                <w:sz w:val="18"/>
                <w:szCs w:val="18"/>
              </w:rPr>
              <w:t>s</w:t>
            </w:r>
            <w:r w:rsidR="00113C9F">
              <w:rPr>
                <w:sz w:val="18"/>
                <w:szCs w:val="18"/>
              </w:rPr>
              <w:t xml:space="preserve"> the culture of care</w:t>
            </w:r>
            <w:r w:rsidR="006E331A">
              <w:rPr>
                <w:sz w:val="18"/>
                <w:szCs w:val="18"/>
              </w:rPr>
              <w:t>.</w:t>
            </w:r>
          </w:p>
        </w:tc>
      </w:tr>
      <w:tr w:rsidR="00226FFD" w:rsidRPr="00226FFD" w14:paraId="6295AA08" w14:textId="77777777" w:rsidTr="00113C9F">
        <w:tc>
          <w:tcPr>
            <w:tcW w:w="1843" w:type="dxa"/>
          </w:tcPr>
          <w:p w14:paraId="40F33D2E" w14:textId="77777777" w:rsidR="00226FFD" w:rsidRPr="00226FFD" w:rsidRDefault="4FEF2642" w:rsidP="00113C9F">
            <w:pPr>
              <w:spacing w:before="60" w:after="60"/>
              <w:rPr>
                <w:sz w:val="18"/>
                <w:szCs w:val="18"/>
              </w:rPr>
            </w:pPr>
            <w:r w:rsidRPr="4FEF2642">
              <w:rPr>
                <w:b/>
                <w:bCs/>
                <w:sz w:val="18"/>
                <w:szCs w:val="18"/>
              </w:rPr>
              <w:t>Core business:</w:t>
            </w:r>
            <w:r w:rsidR="00226FFD">
              <w:br/>
            </w:r>
            <w:r w:rsidRPr="4FEF2642">
              <w:rPr>
                <w:sz w:val="18"/>
                <w:szCs w:val="18"/>
              </w:rPr>
              <w:t>Maximises benefits</w:t>
            </w:r>
          </w:p>
        </w:tc>
        <w:tc>
          <w:tcPr>
            <w:tcW w:w="3402" w:type="dxa"/>
          </w:tcPr>
          <w:p w14:paraId="4E7EE5E7" w14:textId="68539C20" w:rsidR="00226FFD" w:rsidRPr="00226FFD" w:rsidRDefault="4FEF2642" w:rsidP="00113C9F">
            <w:pPr>
              <w:spacing w:before="60" w:after="60"/>
              <w:rPr>
                <w:sz w:val="18"/>
                <w:szCs w:val="18"/>
              </w:rPr>
            </w:pPr>
            <w:r w:rsidRPr="4FEF2642">
              <w:rPr>
                <w:sz w:val="18"/>
                <w:szCs w:val="18"/>
              </w:rPr>
              <w:t>Limited processes or systems to verify and address compliance issues</w:t>
            </w:r>
            <w:r w:rsidR="006E331A">
              <w:rPr>
                <w:sz w:val="18"/>
                <w:szCs w:val="18"/>
              </w:rPr>
              <w:t>.</w:t>
            </w:r>
          </w:p>
          <w:p w14:paraId="7546A0BD" w14:textId="02006E2C" w:rsidR="00226FFD" w:rsidRPr="00226FFD" w:rsidRDefault="4FEF2642" w:rsidP="00113C9F">
            <w:pPr>
              <w:spacing w:before="60" w:after="60"/>
              <w:rPr>
                <w:sz w:val="18"/>
                <w:szCs w:val="18"/>
              </w:rPr>
            </w:pPr>
            <w:r w:rsidRPr="4FEF2642">
              <w:rPr>
                <w:sz w:val="18"/>
                <w:szCs w:val="18"/>
              </w:rPr>
              <w:t xml:space="preserve">Limited evidence of </w:t>
            </w:r>
            <w:r w:rsidR="007B09A3">
              <w:rPr>
                <w:sz w:val="18"/>
                <w:szCs w:val="18"/>
              </w:rPr>
              <w:t xml:space="preserve">seeking </w:t>
            </w:r>
            <w:r w:rsidRPr="4FEF2642">
              <w:rPr>
                <w:sz w:val="18"/>
                <w:szCs w:val="18"/>
              </w:rPr>
              <w:t>quotes for costs and other due diligence examples</w:t>
            </w:r>
            <w:r w:rsidR="006E331A">
              <w:rPr>
                <w:sz w:val="18"/>
                <w:szCs w:val="18"/>
              </w:rPr>
              <w:t>.</w:t>
            </w:r>
          </w:p>
        </w:tc>
        <w:tc>
          <w:tcPr>
            <w:tcW w:w="3402" w:type="dxa"/>
          </w:tcPr>
          <w:p w14:paraId="319159FD" w14:textId="15F89F56" w:rsidR="00226FFD" w:rsidRPr="00226FFD" w:rsidRDefault="4FEF2642" w:rsidP="00113C9F">
            <w:pPr>
              <w:spacing w:before="60" w:after="60"/>
              <w:rPr>
                <w:sz w:val="18"/>
                <w:szCs w:val="18"/>
              </w:rPr>
            </w:pPr>
            <w:r w:rsidRPr="4FEF2642">
              <w:rPr>
                <w:sz w:val="18"/>
                <w:szCs w:val="18"/>
              </w:rPr>
              <w:t>Compliance issues are addressed when notified or identified</w:t>
            </w:r>
            <w:r w:rsidR="006E331A">
              <w:rPr>
                <w:sz w:val="18"/>
                <w:szCs w:val="18"/>
              </w:rPr>
              <w:t>.</w:t>
            </w:r>
          </w:p>
        </w:tc>
        <w:tc>
          <w:tcPr>
            <w:tcW w:w="3525" w:type="dxa"/>
          </w:tcPr>
          <w:p w14:paraId="1F36887E" w14:textId="16420133" w:rsidR="00226FFD" w:rsidRPr="00226FFD" w:rsidRDefault="4FEF2642" w:rsidP="00113C9F">
            <w:pPr>
              <w:spacing w:before="60" w:after="60"/>
              <w:rPr>
                <w:sz w:val="18"/>
                <w:szCs w:val="18"/>
              </w:rPr>
            </w:pPr>
            <w:r w:rsidRPr="4FEF2642">
              <w:rPr>
                <w:sz w:val="18"/>
                <w:szCs w:val="18"/>
              </w:rPr>
              <w:t>Licence holder worked with the Department to minimise costs by getting CCTV coverage to avoid having to pay for a new layout. (</w:t>
            </w:r>
            <w:r w:rsidRPr="4897FD18">
              <w:rPr>
                <w:i/>
                <w:iCs/>
                <w:sz w:val="18"/>
                <w:szCs w:val="18"/>
              </w:rPr>
              <w:t xml:space="preserve">For </w:t>
            </w:r>
            <w:r w:rsidR="00CF66AF">
              <w:rPr>
                <w:i/>
                <w:iCs/>
                <w:sz w:val="18"/>
                <w:szCs w:val="18"/>
              </w:rPr>
              <w:t>best</w:t>
            </w:r>
            <w:r w:rsidRPr="4897FD18">
              <w:rPr>
                <w:i/>
                <w:iCs/>
                <w:sz w:val="18"/>
                <w:szCs w:val="18"/>
              </w:rPr>
              <w:t xml:space="preserve"> </w:t>
            </w:r>
            <w:r w:rsidR="00113C9F">
              <w:rPr>
                <w:i/>
                <w:iCs/>
                <w:sz w:val="18"/>
                <w:szCs w:val="18"/>
              </w:rPr>
              <w:t>p</w:t>
            </w:r>
            <w:r w:rsidRPr="4897FD18">
              <w:rPr>
                <w:i/>
                <w:iCs/>
                <w:sz w:val="18"/>
                <w:szCs w:val="18"/>
              </w:rPr>
              <w:t>ractice – we would need more information on how the decision was made, and how it is being reviewed to ensure that it is effective</w:t>
            </w:r>
            <w:r w:rsidR="007B09A3">
              <w:rPr>
                <w:i/>
                <w:iCs/>
                <w:sz w:val="18"/>
                <w:szCs w:val="18"/>
              </w:rPr>
              <w:t>)</w:t>
            </w:r>
            <w:r w:rsidR="007B09A3" w:rsidRPr="4897FD18" w:rsidDel="007B09A3">
              <w:rPr>
                <w:i/>
                <w:iCs/>
                <w:sz w:val="18"/>
                <w:szCs w:val="18"/>
              </w:rPr>
              <w:t xml:space="preserve"> </w:t>
            </w:r>
          </w:p>
        </w:tc>
        <w:tc>
          <w:tcPr>
            <w:tcW w:w="3255" w:type="dxa"/>
          </w:tcPr>
          <w:p w14:paraId="2A140F62" w14:textId="1279716F" w:rsidR="007B09A3" w:rsidRDefault="006E331A" w:rsidP="00113C9F">
            <w:pPr>
              <w:spacing w:before="60" w:after="60"/>
              <w:rPr>
                <w:sz w:val="18"/>
                <w:szCs w:val="18"/>
              </w:rPr>
            </w:pPr>
            <w:r>
              <w:rPr>
                <w:sz w:val="18"/>
                <w:szCs w:val="18"/>
              </w:rPr>
              <w:t>Sound systems in place for</w:t>
            </w:r>
            <w:r w:rsidR="4FEF2642" w:rsidRPr="4FEF2642">
              <w:rPr>
                <w:sz w:val="18"/>
                <w:szCs w:val="18"/>
              </w:rPr>
              <w:t xml:space="preserve"> monitoring legal compliance in venues and grants process</w:t>
            </w:r>
            <w:r>
              <w:rPr>
                <w:sz w:val="18"/>
                <w:szCs w:val="18"/>
              </w:rPr>
              <w:t>.</w:t>
            </w:r>
            <w:r w:rsidR="4FEF2642" w:rsidRPr="4FEF2642">
              <w:rPr>
                <w:sz w:val="18"/>
                <w:szCs w:val="18"/>
              </w:rPr>
              <w:t xml:space="preserve"> </w:t>
            </w:r>
          </w:p>
          <w:p w14:paraId="0A1F01D3" w14:textId="2F4A3036" w:rsidR="00226FFD" w:rsidRPr="00226FFD" w:rsidRDefault="007B09A3" w:rsidP="00113C9F">
            <w:pPr>
              <w:spacing w:before="60" w:after="60"/>
              <w:rPr>
                <w:sz w:val="18"/>
                <w:szCs w:val="18"/>
              </w:rPr>
            </w:pPr>
            <w:r>
              <w:rPr>
                <w:sz w:val="18"/>
                <w:szCs w:val="18"/>
              </w:rPr>
              <w:t xml:space="preserve">Fully </w:t>
            </w:r>
            <w:r w:rsidR="4FEF2642" w:rsidRPr="4FEF2642">
              <w:rPr>
                <w:sz w:val="18"/>
                <w:szCs w:val="18"/>
              </w:rPr>
              <w:t xml:space="preserve">transparent reporting </w:t>
            </w:r>
            <w:r>
              <w:rPr>
                <w:sz w:val="18"/>
                <w:szCs w:val="18"/>
              </w:rPr>
              <w:t xml:space="preserve">at regular intervals, </w:t>
            </w:r>
            <w:r w:rsidR="006E331A">
              <w:rPr>
                <w:sz w:val="18"/>
                <w:szCs w:val="18"/>
              </w:rPr>
              <w:t>with</w:t>
            </w:r>
            <w:r w:rsidR="4FEF2642" w:rsidRPr="4FEF2642">
              <w:rPr>
                <w:sz w:val="18"/>
                <w:szCs w:val="18"/>
              </w:rPr>
              <w:t xml:space="preserve"> full disclosure</w:t>
            </w:r>
            <w:r w:rsidR="006E331A">
              <w:rPr>
                <w:sz w:val="18"/>
                <w:szCs w:val="18"/>
              </w:rPr>
              <w:t>.</w:t>
            </w:r>
          </w:p>
        </w:tc>
      </w:tr>
      <w:tr w:rsidR="00490B5E" w:rsidRPr="00226FFD" w14:paraId="1DF79212" w14:textId="77777777" w:rsidTr="00113C9F">
        <w:tc>
          <w:tcPr>
            <w:tcW w:w="1843" w:type="dxa"/>
          </w:tcPr>
          <w:p w14:paraId="7E040710" w14:textId="4C8AF184" w:rsidR="00490B5E" w:rsidRPr="00226FFD" w:rsidRDefault="00490B5E" w:rsidP="006E331A">
            <w:pPr>
              <w:spacing w:before="60" w:after="60"/>
              <w:rPr>
                <w:sz w:val="18"/>
                <w:szCs w:val="18"/>
              </w:rPr>
            </w:pPr>
            <w:r w:rsidRPr="4FEF2642">
              <w:rPr>
                <w:b/>
                <w:bCs/>
                <w:sz w:val="18"/>
                <w:szCs w:val="18"/>
              </w:rPr>
              <w:t>Core business:</w:t>
            </w:r>
            <w:r>
              <w:br/>
            </w:r>
            <w:r w:rsidR="00113C9F">
              <w:rPr>
                <w:sz w:val="18"/>
                <w:szCs w:val="18"/>
              </w:rPr>
              <w:t xml:space="preserve">How the obligations in section 69A are delivered </w:t>
            </w:r>
          </w:p>
        </w:tc>
        <w:tc>
          <w:tcPr>
            <w:tcW w:w="3402" w:type="dxa"/>
          </w:tcPr>
          <w:p w14:paraId="207D6AB4" w14:textId="77777777" w:rsidR="00830A7D" w:rsidRDefault="00490B5E" w:rsidP="00113C9F">
            <w:pPr>
              <w:spacing w:before="60" w:after="60"/>
              <w:rPr>
                <w:sz w:val="18"/>
                <w:szCs w:val="18"/>
              </w:rPr>
            </w:pPr>
            <w:r>
              <w:rPr>
                <w:sz w:val="18"/>
                <w:szCs w:val="18"/>
              </w:rPr>
              <w:t>Responds to compliance issues as isolated incidents without seeking to establish if there may be wider or systemic</w:t>
            </w:r>
            <w:r w:rsidR="00113C9F">
              <w:rPr>
                <w:sz w:val="18"/>
                <w:szCs w:val="18"/>
              </w:rPr>
              <w:t xml:space="preserve"> venue</w:t>
            </w:r>
            <w:r>
              <w:rPr>
                <w:sz w:val="18"/>
                <w:szCs w:val="18"/>
              </w:rPr>
              <w:t xml:space="preserve"> issues emerging.</w:t>
            </w:r>
          </w:p>
          <w:p w14:paraId="24893E4A" w14:textId="68F8C77A" w:rsidR="00490B5E" w:rsidRPr="00226FFD" w:rsidRDefault="00830A7D" w:rsidP="00113C9F">
            <w:pPr>
              <w:spacing w:before="60" w:after="60"/>
              <w:rPr>
                <w:sz w:val="18"/>
                <w:szCs w:val="18"/>
              </w:rPr>
            </w:pPr>
            <w:r>
              <w:rPr>
                <w:sz w:val="18"/>
                <w:szCs w:val="18"/>
              </w:rPr>
              <w:t xml:space="preserve"> Licence holder has no awareness of the likely suitability of </w:t>
            </w:r>
            <w:r w:rsidRPr="4FEF2642">
              <w:rPr>
                <w:sz w:val="18"/>
                <w:szCs w:val="18"/>
              </w:rPr>
              <w:t>key people</w:t>
            </w:r>
            <w:r w:rsidR="006E331A">
              <w:rPr>
                <w:sz w:val="18"/>
                <w:szCs w:val="18"/>
              </w:rPr>
              <w:t>.</w:t>
            </w:r>
          </w:p>
        </w:tc>
        <w:tc>
          <w:tcPr>
            <w:tcW w:w="3402" w:type="dxa"/>
          </w:tcPr>
          <w:p w14:paraId="3FF68CA4" w14:textId="36FA5B9C" w:rsidR="00830A7D" w:rsidRDefault="00830A7D" w:rsidP="00830A7D">
            <w:pPr>
              <w:spacing w:before="60" w:after="60"/>
              <w:rPr>
                <w:sz w:val="18"/>
                <w:szCs w:val="18"/>
              </w:rPr>
            </w:pPr>
            <w:r w:rsidRPr="4FEF2642">
              <w:rPr>
                <w:sz w:val="18"/>
                <w:szCs w:val="18"/>
              </w:rPr>
              <w:t xml:space="preserve">Licence holders take action to address any </w:t>
            </w:r>
            <w:r>
              <w:rPr>
                <w:sz w:val="18"/>
                <w:szCs w:val="18"/>
              </w:rPr>
              <w:t xml:space="preserve">of the Department’s </w:t>
            </w:r>
            <w:r w:rsidRPr="4FEF2642">
              <w:rPr>
                <w:sz w:val="18"/>
                <w:szCs w:val="18"/>
              </w:rPr>
              <w:t>concerns regarding unsuitabilit</w:t>
            </w:r>
            <w:r>
              <w:rPr>
                <w:sz w:val="18"/>
                <w:szCs w:val="18"/>
              </w:rPr>
              <w:t>y, such as talking to the venue operator to check his/h</w:t>
            </w:r>
            <w:r w:rsidR="00AC4758">
              <w:rPr>
                <w:sz w:val="18"/>
                <w:szCs w:val="18"/>
              </w:rPr>
              <w:t>er confidence in the key person and</w:t>
            </w:r>
            <w:r>
              <w:rPr>
                <w:sz w:val="18"/>
                <w:szCs w:val="18"/>
              </w:rPr>
              <w:t xml:space="preserve"> ensuring that venue operations would not be affected by the key person</w:t>
            </w:r>
            <w:r w:rsidR="006E331A">
              <w:rPr>
                <w:sz w:val="18"/>
                <w:szCs w:val="18"/>
              </w:rPr>
              <w:t>.</w:t>
            </w:r>
          </w:p>
          <w:p w14:paraId="42422890" w14:textId="28664001" w:rsidR="00490B5E" w:rsidRPr="00226FFD" w:rsidRDefault="00490B5E" w:rsidP="00113C9F">
            <w:pPr>
              <w:spacing w:before="60" w:after="60"/>
              <w:rPr>
                <w:sz w:val="18"/>
                <w:szCs w:val="18"/>
              </w:rPr>
            </w:pPr>
            <w:r>
              <w:rPr>
                <w:sz w:val="18"/>
                <w:szCs w:val="18"/>
              </w:rPr>
              <w:t xml:space="preserve">Ensures its venues are well informed and compliant with any changes to </w:t>
            </w:r>
            <w:r w:rsidR="00AC4758">
              <w:rPr>
                <w:sz w:val="18"/>
                <w:szCs w:val="18"/>
              </w:rPr>
              <w:t>the regulatory regime and/or Department</w:t>
            </w:r>
            <w:r>
              <w:rPr>
                <w:sz w:val="18"/>
                <w:szCs w:val="18"/>
              </w:rPr>
              <w:t xml:space="preserve"> policies.</w:t>
            </w:r>
          </w:p>
        </w:tc>
        <w:tc>
          <w:tcPr>
            <w:tcW w:w="3525" w:type="dxa"/>
          </w:tcPr>
          <w:p w14:paraId="390529C6" w14:textId="35EFD353" w:rsidR="00830A7D" w:rsidRDefault="00830A7D" w:rsidP="00113C9F">
            <w:pPr>
              <w:spacing w:before="60" w:after="60"/>
              <w:rPr>
                <w:sz w:val="18"/>
                <w:szCs w:val="18"/>
              </w:rPr>
            </w:pPr>
            <w:r w:rsidRPr="4FEF2642">
              <w:rPr>
                <w:sz w:val="18"/>
                <w:szCs w:val="18"/>
              </w:rPr>
              <w:t xml:space="preserve">Licence holders </w:t>
            </w:r>
            <w:r>
              <w:rPr>
                <w:sz w:val="18"/>
                <w:szCs w:val="18"/>
              </w:rPr>
              <w:t xml:space="preserve">have awareness about </w:t>
            </w:r>
            <w:r w:rsidRPr="4FEF2642">
              <w:rPr>
                <w:sz w:val="18"/>
                <w:szCs w:val="18"/>
              </w:rPr>
              <w:t>new key persons and new venues</w:t>
            </w:r>
            <w:r>
              <w:rPr>
                <w:sz w:val="18"/>
                <w:szCs w:val="18"/>
              </w:rPr>
              <w:t xml:space="preserve"> and have an idea ahead of application whether the key persons are likely to be found suitable by the Department and have already worked with the venue operator if the society or club think there might be an issue</w:t>
            </w:r>
            <w:r w:rsidR="006E331A">
              <w:rPr>
                <w:sz w:val="18"/>
                <w:szCs w:val="18"/>
              </w:rPr>
              <w:t>.</w:t>
            </w:r>
          </w:p>
          <w:p w14:paraId="4A255389" w14:textId="77777777" w:rsidR="00490B5E" w:rsidRPr="00226FFD" w:rsidRDefault="00490B5E" w:rsidP="00113C9F">
            <w:pPr>
              <w:spacing w:before="60" w:after="60"/>
              <w:rPr>
                <w:sz w:val="18"/>
                <w:szCs w:val="18"/>
              </w:rPr>
            </w:pPr>
            <w:r>
              <w:rPr>
                <w:sz w:val="18"/>
                <w:szCs w:val="18"/>
              </w:rPr>
              <w:t xml:space="preserve">Collects and records information on the levels of compliance by venues and uses this to develop a good understanding of the drivers and determinants of compliance and good practice. </w:t>
            </w:r>
          </w:p>
        </w:tc>
        <w:tc>
          <w:tcPr>
            <w:tcW w:w="3255" w:type="dxa"/>
          </w:tcPr>
          <w:p w14:paraId="15028D68" w14:textId="34DB7FF7" w:rsidR="00490B5E" w:rsidRPr="00226FFD" w:rsidRDefault="00490B5E" w:rsidP="00113C9F">
            <w:pPr>
              <w:spacing w:before="60" w:after="60"/>
              <w:rPr>
                <w:sz w:val="18"/>
                <w:szCs w:val="18"/>
              </w:rPr>
            </w:pPr>
            <w:r>
              <w:rPr>
                <w:sz w:val="18"/>
                <w:szCs w:val="18"/>
              </w:rPr>
              <w:t>Monitors the impact of regulatory changes on its own performance or that of venues, and proactiv</w:t>
            </w:r>
            <w:r w:rsidR="00D32D53">
              <w:rPr>
                <w:sz w:val="18"/>
                <w:szCs w:val="18"/>
              </w:rPr>
              <w:t>ely provides feedback to the Department</w:t>
            </w:r>
            <w:r>
              <w:rPr>
                <w:sz w:val="18"/>
                <w:szCs w:val="18"/>
              </w:rPr>
              <w:t xml:space="preserve">, for example on the Venue Commission Payments regime. </w:t>
            </w:r>
          </w:p>
        </w:tc>
      </w:tr>
      <w:tr w:rsidR="00490B5E" w:rsidRPr="00226FFD" w14:paraId="3080FD82" w14:textId="77777777" w:rsidTr="00113C9F">
        <w:tc>
          <w:tcPr>
            <w:tcW w:w="1843" w:type="dxa"/>
          </w:tcPr>
          <w:p w14:paraId="6EA35C28" w14:textId="77777777" w:rsidR="00490B5E" w:rsidRPr="00226FFD" w:rsidRDefault="00490B5E" w:rsidP="00113C9F">
            <w:pPr>
              <w:spacing w:before="60" w:after="60"/>
              <w:rPr>
                <w:sz w:val="18"/>
                <w:szCs w:val="18"/>
              </w:rPr>
            </w:pPr>
            <w:r w:rsidRPr="4FEF2642">
              <w:rPr>
                <w:b/>
                <w:bCs/>
                <w:sz w:val="18"/>
                <w:szCs w:val="18"/>
              </w:rPr>
              <w:t>Core business::</w:t>
            </w:r>
            <w:r>
              <w:br/>
            </w:r>
            <w:r w:rsidRPr="4FEF2642">
              <w:rPr>
                <w:sz w:val="18"/>
                <w:szCs w:val="18"/>
              </w:rPr>
              <w:t>Harm minimisation</w:t>
            </w:r>
          </w:p>
        </w:tc>
        <w:tc>
          <w:tcPr>
            <w:tcW w:w="3402" w:type="dxa"/>
          </w:tcPr>
          <w:p w14:paraId="0C13651E" w14:textId="77777777" w:rsidR="00490B5E" w:rsidRPr="00226FFD" w:rsidRDefault="00490B5E" w:rsidP="00113C9F">
            <w:pPr>
              <w:spacing w:before="60" w:after="60"/>
              <w:rPr>
                <w:sz w:val="18"/>
                <w:szCs w:val="18"/>
              </w:rPr>
            </w:pPr>
            <w:r w:rsidRPr="4FEF2642">
              <w:rPr>
                <w:sz w:val="18"/>
                <w:szCs w:val="18"/>
              </w:rPr>
              <w:t>Lack of support from the licence holder for venues in harm minimisation processes.</w:t>
            </w:r>
          </w:p>
        </w:tc>
        <w:tc>
          <w:tcPr>
            <w:tcW w:w="3402" w:type="dxa"/>
          </w:tcPr>
          <w:p w14:paraId="5F1AE9AB" w14:textId="1929A3A1" w:rsidR="00490B5E" w:rsidRPr="00226FFD" w:rsidRDefault="00490B5E" w:rsidP="00113C9F">
            <w:pPr>
              <w:spacing w:before="60" w:after="60"/>
              <w:rPr>
                <w:sz w:val="18"/>
                <w:szCs w:val="18"/>
              </w:rPr>
            </w:pPr>
            <w:r w:rsidRPr="4FEF2642">
              <w:rPr>
                <w:sz w:val="18"/>
                <w:szCs w:val="18"/>
              </w:rPr>
              <w:t>Basic harm minimisation practices are followed by venue staff</w:t>
            </w:r>
            <w:r w:rsidR="006E331A">
              <w:rPr>
                <w:sz w:val="18"/>
                <w:szCs w:val="18"/>
              </w:rPr>
              <w:t>.</w:t>
            </w:r>
          </w:p>
        </w:tc>
        <w:tc>
          <w:tcPr>
            <w:tcW w:w="3525" w:type="dxa"/>
          </w:tcPr>
          <w:p w14:paraId="268320AF" w14:textId="3A083794" w:rsidR="00490B5E" w:rsidRPr="00226FFD" w:rsidRDefault="00490B5E" w:rsidP="00113C9F">
            <w:pPr>
              <w:spacing w:before="60" w:after="60"/>
              <w:rPr>
                <w:sz w:val="18"/>
                <w:szCs w:val="18"/>
              </w:rPr>
            </w:pPr>
            <w:r w:rsidRPr="4FEF2642">
              <w:rPr>
                <w:sz w:val="18"/>
                <w:szCs w:val="18"/>
              </w:rPr>
              <w:t>Licence holder identifie</w:t>
            </w:r>
            <w:r w:rsidRPr="00113C9F">
              <w:rPr>
                <w:sz w:val="18"/>
                <w:szCs w:val="18"/>
              </w:rPr>
              <w:t>d</w:t>
            </w:r>
            <w:r w:rsidRPr="4FEF2642">
              <w:rPr>
                <w:sz w:val="18"/>
                <w:szCs w:val="18"/>
              </w:rPr>
              <w:t xml:space="preserve"> need for staff to be trained without delay and developed an online training tool to ensure this would happen. (</w:t>
            </w:r>
            <w:r w:rsidRPr="00113C9F">
              <w:rPr>
                <w:i/>
                <w:sz w:val="18"/>
              </w:rPr>
              <w:t>Further  information will be needed on  the effectiveness of the training)</w:t>
            </w:r>
          </w:p>
        </w:tc>
        <w:tc>
          <w:tcPr>
            <w:tcW w:w="3255" w:type="dxa"/>
          </w:tcPr>
          <w:p w14:paraId="0F89B211" w14:textId="216649CB" w:rsidR="00490B5E" w:rsidRPr="00226FFD" w:rsidRDefault="00490B5E" w:rsidP="00D32D53">
            <w:pPr>
              <w:spacing w:before="60" w:after="60"/>
              <w:rPr>
                <w:sz w:val="18"/>
                <w:szCs w:val="18"/>
              </w:rPr>
            </w:pPr>
            <w:r w:rsidRPr="4FEF2642">
              <w:rPr>
                <w:sz w:val="18"/>
                <w:szCs w:val="18"/>
              </w:rPr>
              <w:t xml:space="preserve">Venues can demonstrate support from </w:t>
            </w:r>
            <w:r w:rsidR="00D32D53">
              <w:rPr>
                <w:sz w:val="18"/>
                <w:szCs w:val="18"/>
              </w:rPr>
              <w:t>operators</w:t>
            </w:r>
            <w:r w:rsidRPr="4FEF2642">
              <w:rPr>
                <w:sz w:val="18"/>
                <w:szCs w:val="18"/>
              </w:rPr>
              <w:t xml:space="preserve"> about how to improve their harm minimisation practices</w:t>
            </w:r>
            <w:r w:rsidR="006E331A">
              <w:rPr>
                <w:sz w:val="18"/>
                <w:szCs w:val="18"/>
              </w:rPr>
              <w:t>.</w:t>
            </w:r>
          </w:p>
        </w:tc>
      </w:tr>
    </w:tbl>
    <w:p w14:paraId="0A98CB58" w14:textId="77777777" w:rsidR="00226FFD" w:rsidRPr="00226FFD" w:rsidRDefault="4FEF2642" w:rsidP="00D4551E">
      <w:pPr>
        <w:pStyle w:val="Heading4"/>
        <w:rPr>
          <w:i w:val="0"/>
        </w:rPr>
      </w:pPr>
      <w:r w:rsidRPr="4897FD18">
        <w:rPr>
          <w:i w:val="0"/>
        </w:rPr>
        <w:lastRenderedPageBreak/>
        <w:t>Leadership and Direction Examples</w:t>
      </w:r>
    </w:p>
    <w:tbl>
      <w:tblPr>
        <w:tblStyle w:val="DIATable2"/>
        <w:tblW w:w="15451" w:type="dxa"/>
        <w:tblLook w:val="04A0" w:firstRow="1" w:lastRow="0" w:firstColumn="1" w:lastColumn="0" w:noHBand="0" w:noVBand="1"/>
      </w:tblPr>
      <w:tblGrid>
        <w:gridCol w:w="1843"/>
        <w:gridCol w:w="3402"/>
        <w:gridCol w:w="3402"/>
        <w:gridCol w:w="3402"/>
        <w:gridCol w:w="3402"/>
      </w:tblGrid>
      <w:tr w:rsidR="00226FFD" w:rsidRPr="00226FFD" w14:paraId="5E235C4E" w14:textId="77777777" w:rsidTr="00113C9F">
        <w:trPr>
          <w:cnfStyle w:val="100000000000" w:firstRow="1" w:lastRow="0" w:firstColumn="0" w:lastColumn="0" w:oddVBand="0" w:evenVBand="0" w:oddHBand="0" w:evenHBand="0" w:firstRowFirstColumn="0" w:firstRowLastColumn="0" w:lastRowFirstColumn="0" w:lastRowLastColumn="0"/>
        </w:trPr>
        <w:tc>
          <w:tcPr>
            <w:tcW w:w="1843" w:type="dxa"/>
          </w:tcPr>
          <w:p w14:paraId="22BDB5EE" w14:textId="77777777" w:rsidR="00226FFD" w:rsidRPr="00226FFD" w:rsidRDefault="4FEF2642" w:rsidP="00226FFD">
            <w:pPr>
              <w:rPr>
                <w:sz w:val="18"/>
                <w:szCs w:val="18"/>
              </w:rPr>
            </w:pPr>
            <w:r w:rsidRPr="4FEF2642">
              <w:rPr>
                <w:sz w:val="18"/>
                <w:szCs w:val="18"/>
              </w:rPr>
              <w:t>Framework</w:t>
            </w:r>
          </w:p>
        </w:tc>
        <w:tc>
          <w:tcPr>
            <w:tcW w:w="3402" w:type="dxa"/>
          </w:tcPr>
          <w:p w14:paraId="62F92AF6" w14:textId="77777777" w:rsidR="00226FFD" w:rsidRPr="00226FFD" w:rsidRDefault="4FEF2642" w:rsidP="00226FFD">
            <w:pPr>
              <w:rPr>
                <w:sz w:val="18"/>
                <w:szCs w:val="18"/>
              </w:rPr>
            </w:pPr>
            <w:r w:rsidRPr="4FEF2642">
              <w:rPr>
                <w:sz w:val="18"/>
                <w:szCs w:val="18"/>
              </w:rPr>
              <w:t>Example of weak performance</w:t>
            </w:r>
          </w:p>
        </w:tc>
        <w:tc>
          <w:tcPr>
            <w:tcW w:w="3402" w:type="dxa"/>
          </w:tcPr>
          <w:p w14:paraId="0BF20A1B" w14:textId="77777777" w:rsidR="00226FFD" w:rsidRPr="00226FFD" w:rsidRDefault="4FEF2642" w:rsidP="00226FFD">
            <w:pPr>
              <w:rPr>
                <w:sz w:val="18"/>
                <w:szCs w:val="18"/>
              </w:rPr>
            </w:pPr>
            <w:r w:rsidRPr="4FEF2642">
              <w:rPr>
                <w:sz w:val="18"/>
                <w:szCs w:val="18"/>
              </w:rPr>
              <w:t>Example of needing development</w:t>
            </w:r>
          </w:p>
        </w:tc>
        <w:tc>
          <w:tcPr>
            <w:tcW w:w="3402" w:type="dxa"/>
          </w:tcPr>
          <w:p w14:paraId="5F7A6ACC" w14:textId="77777777" w:rsidR="00226FFD" w:rsidRPr="00226FFD" w:rsidRDefault="4FEF2642" w:rsidP="00226FFD">
            <w:pPr>
              <w:rPr>
                <w:sz w:val="18"/>
                <w:szCs w:val="18"/>
              </w:rPr>
            </w:pPr>
            <w:r w:rsidRPr="4FEF2642">
              <w:rPr>
                <w:sz w:val="18"/>
                <w:szCs w:val="18"/>
              </w:rPr>
              <w:t>Example of well-placed capable</w:t>
            </w:r>
          </w:p>
        </w:tc>
        <w:tc>
          <w:tcPr>
            <w:tcW w:w="3402" w:type="dxa"/>
          </w:tcPr>
          <w:p w14:paraId="76600EC4" w14:textId="245ED40D" w:rsidR="00226FFD" w:rsidRPr="00226FFD" w:rsidRDefault="00395062" w:rsidP="00226FFD">
            <w:pPr>
              <w:rPr>
                <w:sz w:val="18"/>
                <w:szCs w:val="18"/>
              </w:rPr>
            </w:pPr>
            <w:r>
              <w:rPr>
                <w:sz w:val="18"/>
                <w:szCs w:val="18"/>
              </w:rPr>
              <w:t>Example of</w:t>
            </w:r>
            <w:r w:rsidR="4FEF2642" w:rsidRPr="4FEF2642">
              <w:rPr>
                <w:sz w:val="18"/>
                <w:szCs w:val="18"/>
              </w:rPr>
              <w:t xml:space="preserve"> best practice</w:t>
            </w:r>
          </w:p>
        </w:tc>
      </w:tr>
      <w:tr w:rsidR="00226FFD" w:rsidRPr="00226FFD" w14:paraId="7B8E8BA8" w14:textId="77777777" w:rsidTr="00113C9F">
        <w:tc>
          <w:tcPr>
            <w:tcW w:w="1843" w:type="dxa"/>
          </w:tcPr>
          <w:p w14:paraId="0D98F3C8" w14:textId="77777777" w:rsidR="00226FFD" w:rsidRPr="00226FFD" w:rsidRDefault="4FEF2642" w:rsidP="00226FFD">
            <w:pPr>
              <w:spacing w:before="40" w:after="40"/>
              <w:rPr>
                <w:b/>
                <w:sz w:val="18"/>
                <w:szCs w:val="18"/>
              </w:rPr>
            </w:pPr>
            <w:r w:rsidRPr="4FEF2642">
              <w:rPr>
                <w:b/>
                <w:bCs/>
                <w:sz w:val="18"/>
                <w:szCs w:val="18"/>
              </w:rPr>
              <w:t>Leadership and direction:</w:t>
            </w:r>
            <w:r w:rsidR="00226FFD">
              <w:br/>
            </w:r>
            <w:r w:rsidRPr="4FEF2642">
              <w:rPr>
                <w:sz w:val="18"/>
                <w:szCs w:val="18"/>
              </w:rPr>
              <w:t>Purpose, vision, strategy</w:t>
            </w:r>
          </w:p>
        </w:tc>
        <w:tc>
          <w:tcPr>
            <w:tcW w:w="3402" w:type="dxa"/>
          </w:tcPr>
          <w:p w14:paraId="3FCCF229" w14:textId="67EC49A5" w:rsidR="00226FFD" w:rsidRPr="00226FFD" w:rsidRDefault="4FEF2642" w:rsidP="00226FFD">
            <w:pPr>
              <w:spacing w:before="40" w:after="40"/>
              <w:rPr>
                <w:sz w:val="18"/>
                <w:szCs w:val="18"/>
              </w:rPr>
            </w:pPr>
            <w:r w:rsidRPr="4FEF2642">
              <w:rPr>
                <w:sz w:val="18"/>
                <w:szCs w:val="18"/>
              </w:rPr>
              <w:t>There is no strategy or plan in place to engage with the community</w:t>
            </w:r>
            <w:r w:rsidR="006E331A">
              <w:rPr>
                <w:sz w:val="18"/>
                <w:szCs w:val="18"/>
              </w:rPr>
              <w:t>.</w:t>
            </w:r>
          </w:p>
        </w:tc>
        <w:tc>
          <w:tcPr>
            <w:tcW w:w="3402" w:type="dxa"/>
          </w:tcPr>
          <w:p w14:paraId="3472D2B5" w14:textId="62AB9829" w:rsidR="00226FFD" w:rsidRPr="00226FFD" w:rsidRDefault="4FEF2642" w:rsidP="00226FFD">
            <w:pPr>
              <w:spacing w:before="40" w:after="40"/>
              <w:rPr>
                <w:sz w:val="18"/>
                <w:szCs w:val="18"/>
              </w:rPr>
            </w:pPr>
            <w:r w:rsidRPr="4FEF2642">
              <w:rPr>
                <w:sz w:val="18"/>
                <w:szCs w:val="18"/>
              </w:rPr>
              <w:t>Venue retention is a primary driver for the licence holder</w:t>
            </w:r>
            <w:r w:rsidR="006E331A">
              <w:rPr>
                <w:sz w:val="18"/>
                <w:szCs w:val="18"/>
              </w:rPr>
              <w:t>.</w:t>
            </w:r>
          </w:p>
        </w:tc>
        <w:tc>
          <w:tcPr>
            <w:tcW w:w="3402" w:type="dxa"/>
          </w:tcPr>
          <w:p w14:paraId="340A2BFE" w14:textId="7D9AFD91" w:rsidR="00226FFD" w:rsidRPr="00226FFD" w:rsidRDefault="4FEF2642" w:rsidP="00226FFD">
            <w:pPr>
              <w:spacing w:before="40" w:after="40"/>
              <w:rPr>
                <w:sz w:val="18"/>
                <w:szCs w:val="18"/>
              </w:rPr>
            </w:pPr>
            <w:r w:rsidRPr="4FEF2642">
              <w:rPr>
                <w:sz w:val="18"/>
                <w:szCs w:val="18"/>
              </w:rPr>
              <w:t xml:space="preserve">There is a </w:t>
            </w:r>
            <w:r w:rsidR="00D32D53">
              <w:rPr>
                <w:sz w:val="18"/>
                <w:szCs w:val="18"/>
              </w:rPr>
              <w:t xml:space="preserve">demonstrated </w:t>
            </w:r>
            <w:r w:rsidRPr="4FEF2642">
              <w:rPr>
                <w:sz w:val="18"/>
                <w:szCs w:val="18"/>
              </w:rPr>
              <w:t>balance between harm minimisation, grants, and venue retention</w:t>
            </w:r>
            <w:r w:rsidR="006E331A">
              <w:rPr>
                <w:sz w:val="18"/>
                <w:szCs w:val="18"/>
              </w:rPr>
              <w:t>.</w:t>
            </w:r>
          </w:p>
        </w:tc>
        <w:tc>
          <w:tcPr>
            <w:tcW w:w="3402" w:type="dxa"/>
          </w:tcPr>
          <w:p w14:paraId="054678A2" w14:textId="6680D660" w:rsidR="00226FFD" w:rsidRPr="00226FFD" w:rsidRDefault="4FEF2642" w:rsidP="00226FFD">
            <w:pPr>
              <w:spacing w:before="40" w:after="40"/>
              <w:rPr>
                <w:sz w:val="18"/>
                <w:szCs w:val="18"/>
              </w:rPr>
            </w:pPr>
            <w:r w:rsidRPr="4FEF2642">
              <w:rPr>
                <w:sz w:val="18"/>
                <w:szCs w:val="18"/>
              </w:rPr>
              <w:t>Community is at the centre of the licence holder’s purpose, vision, and strategy which is reflected in how operational staff deliver and interact</w:t>
            </w:r>
            <w:r w:rsidR="006E331A">
              <w:rPr>
                <w:sz w:val="18"/>
                <w:szCs w:val="18"/>
              </w:rPr>
              <w:t>.</w:t>
            </w:r>
          </w:p>
        </w:tc>
      </w:tr>
      <w:tr w:rsidR="00226FFD" w:rsidRPr="00226FFD" w14:paraId="45B19C12" w14:textId="77777777" w:rsidTr="00113C9F">
        <w:tc>
          <w:tcPr>
            <w:tcW w:w="1843" w:type="dxa"/>
          </w:tcPr>
          <w:p w14:paraId="26909DB3" w14:textId="77777777" w:rsidR="00226FFD" w:rsidRPr="00226FFD" w:rsidRDefault="4FEF2642" w:rsidP="00226FFD">
            <w:pPr>
              <w:spacing w:before="40" w:after="40"/>
              <w:rPr>
                <w:sz w:val="18"/>
                <w:szCs w:val="18"/>
              </w:rPr>
            </w:pPr>
            <w:r w:rsidRPr="4FEF2642">
              <w:rPr>
                <w:b/>
                <w:bCs/>
                <w:sz w:val="18"/>
                <w:szCs w:val="18"/>
              </w:rPr>
              <w:t>Leadership and direction:</w:t>
            </w:r>
            <w:r w:rsidR="00226FFD">
              <w:br/>
            </w:r>
            <w:r w:rsidRPr="4FEF2642">
              <w:rPr>
                <w:sz w:val="18"/>
                <w:szCs w:val="18"/>
              </w:rPr>
              <w:t>Leadership and governance</w:t>
            </w:r>
          </w:p>
        </w:tc>
        <w:tc>
          <w:tcPr>
            <w:tcW w:w="3402" w:type="dxa"/>
          </w:tcPr>
          <w:p w14:paraId="14FEA4A3" w14:textId="578CFA2B" w:rsidR="00226FFD" w:rsidRPr="00226FFD" w:rsidRDefault="4FEF2642" w:rsidP="00226FFD">
            <w:pPr>
              <w:spacing w:before="40" w:after="40"/>
              <w:rPr>
                <w:sz w:val="18"/>
                <w:szCs w:val="18"/>
              </w:rPr>
            </w:pPr>
            <w:r w:rsidRPr="4FEF2642">
              <w:rPr>
                <w:sz w:val="18"/>
                <w:szCs w:val="18"/>
              </w:rPr>
              <w:t>Governance has no or limited awareness of legal compliance</w:t>
            </w:r>
            <w:r w:rsidR="006E331A">
              <w:rPr>
                <w:sz w:val="18"/>
                <w:szCs w:val="18"/>
              </w:rPr>
              <w:t>.</w:t>
            </w:r>
          </w:p>
        </w:tc>
        <w:tc>
          <w:tcPr>
            <w:tcW w:w="3402" w:type="dxa"/>
          </w:tcPr>
          <w:p w14:paraId="07FEB512" w14:textId="15BDF7A7" w:rsidR="00226FFD" w:rsidRPr="00226FFD" w:rsidRDefault="4FEF2642" w:rsidP="00226FFD">
            <w:pPr>
              <w:spacing w:before="40" w:after="40"/>
              <w:rPr>
                <w:sz w:val="18"/>
                <w:szCs w:val="18"/>
              </w:rPr>
            </w:pPr>
            <w:r w:rsidRPr="4FEF2642">
              <w:rPr>
                <w:sz w:val="18"/>
                <w:szCs w:val="18"/>
              </w:rPr>
              <w:t>Net Proceeds Committee fulfils obligations of trust deed</w:t>
            </w:r>
            <w:r w:rsidR="006E331A">
              <w:rPr>
                <w:sz w:val="18"/>
                <w:szCs w:val="18"/>
              </w:rPr>
              <w:t>.</w:t>
            </w:r>
          </w:p>
        </w:tc>
        <w:tc>
          <w:tcPr>
            <w:tcW w:w="3402" w:type="dxa"/>
          </w:tcPr>
          <w:p w14:paraId="51751B53" w14:textId="07B364AC" w:rsidR="00226FFD" w:rsidRPr="00226FFD" w:rsidRDefault="4FEF2642" w:rsidP="00226FFD">
            <w:pPr>
              <w:spacing w:before="40" w:after="40"/>
              <w:rPr>
                <w:sz w:val="18"/>
                <w:szCs w:val="18"/>
              </w:rPr>
            </w:pPr>
            <w:r w:rsidRPr="4FEF2642">
              <w:rPr>
                <w:sz w:val="18"/>
                <w:szCs w:val="18"/>
              </w:rPr>
              <w:t>Effective succession planning is in place</w:t>
            </w:r>
            <w:r w:rsidR="006E331A">
              <w:rPr>
                <w:sz w:val="18"/>
                <w:szCs w:val="18"/>
              </w:rPr>
              <w:t>.</w:t>
            </w:r>
          </w:p>
        </w:tc>
        <w:tc>
          <w:tcPr>
            <w:tcW w:w="3402" w:type="dxa"/>
          </w:tcPr>
          <w:p w14:paraId="14A62A4E" w14:textId="71ED50FC" w:rsidR="00226FFD" w:rsidRPr="00226FFD" w:rsidRDefault="4FEF2642" w:rsidP="00226FFD">
            <w:pPr>
              <w:spacing w:before="40" w:after="40"/>
              <w:rPr>
                <w:sz w:val="18"/>
                <w:szCs w:val="18"/>
              </w:rPr>
            </w:pPr>
            <w:r w:rsidRPr="4FEF2642">
              <w:rPr>
                <w:sz w:val="18"/>
                <w:szCs w:val="18"/>
              </w:rPr>
              <w:t>Governance and leadership regularly review and adapt the strategic plan to improve overall performance</w:t>
            </w:r>
            <w:r w:rsidR="006E331A">
              <w:rPr>
                <w:sz w:val="18"/>
                <w:szCs w:val="18"/>
              </w:rPr>
              <w:t>.</w:t>
            </w:r>
          </w:p>
        </w:tc>
      </w:tr>
      <w:tr w:rsidR="00226FFD" w:rsidRPr="00226FFD" w14:paraId="356BA57B" w14:textId="77777777" w:rsidTr="00113C9F">
        <w:tc>
          <w:tcPr>
            <w:tcW w:w="1843" w:type="dxa"/>
          </w:tcPr>
          <w:p w14:paraId="49BD3F0C" w14:textId="77777777" w:rsidR="00226FFD" w:rsidRPr="00226FFD" w:rsidRDefault="4FEF2642" w:rsidP="00226FFD">
            <w:pPr>
              <w:spacing w:before="40" w:after="40"/>
              <w:rPr>
                <w:sz w:val="18"/>
                <w:szCs w:val="18"/>
              </w:rPr>
            </w:pPr>
            <w:r w:rsidRPr="4FEF2642">
              <w:rPr>
                <w:b/>
                <w:bCs/>
                <w:sz w:val="18"/>
                <w:szCs w:val="18"/>
              </w:rPr>
              <w:t>Leadership and direction:</w:t>
            </w:r>
            <w:r w:rsidRPr="4FEF2642">
              <w:rPr>
                <w:sz w:val="18"/>
                <w:szCs w:val="18"/>
              </w:rPr>
              <w:t xml:space="preserve"> </w:t>
            </w:r>
            <w:r w:rsidR="00226FFD">
              <w:br/>
            </w:r>
            <w:r w:rsidRPr="4FEF2642">
              <w:rPr>
                <w:sz w:val="18"/>
                <w:szCs w:val="18"/>
              </w:rPr>
              <w:t>Values</w:t>
            </w:r>
          </w:p>
        </w:tc>
        <w:tc>
          <w:tcPr>
            <w:tcW w:w="3402" w:type="dxa"/>
          </w:tcPr>
          <w:p w14:paraId="7C288766" w14:textId="7C724552" w:rsidR="00226FFD" w:rsidRPr="00226FFD" w:rsidRDefault="4FEF2642" w:rsidP="00226FFD">
            <w:pPr>
              <w:spacing w:before="40" w:after="40"/>
              <w:rPr>
                <w:sz w:val="18"/>
                <w:szCs w:val="18"/>
              </w:rPr>
            </w:pPr>
            <w:r w:rsidRPr="4FEF2642">
              <w:rPr>
                <w:sz w:val="18"/>
                <w:szCs w:val="18"/>
              </w:rPr>
              <w:t>Values of leadership and governance not communicated</w:t>
            </w:r>
            <w:r w:rsidR="006E331A">
              <w:rPr>
                <w:sz w:val="18"/>
                <w:szCs w:val="18"/>
              </w:rPr>
              <w:t>.</w:t>
            </w:r>
          </w:p>
        </w:tc>
        <w:tc>
          <w:tcPr>
            <w:tcW w:w="3402" w:type="dxa"/>
          </w:tcPr>
          <w:p w14:paraId="39DF3E4E" w14:textId="3CE2AFE7" w:rsidR="00226FFD" w:rsidRPr="00226FFD" w:rsidRDefault="006E331A" w:rsidP="00226FFD">
            <w:pPr>
              <w:spacing w:before="40" w:after="40"/>
              <w:rPr>
                <w:sz w:val="18"/>
                <w:szCs w:val="18"/>
              </w:rPr>
            </w:pPr>
            <w:r>
              <w:rPr>
                <w:sz w:val="18"/>
                <w:szCs w:val="18"/>
              </w:rPr>
              <w:t>Staff know about values but are not</w:t>
            </w:r>
            <w:r w:rsidR="4FEF2642" w:rsidRPr="4FEF2642">
              <w:rPr>
                <w:sz w:val="18"/>
                <w:szCs w:val="18"/>
              </w:rPr>
              <w:t xml:space="preserve"> support</w:t>
            </w:r>
            <w:r w:rsidR="00E0480B">
              <w:rPr>
                <w:sz w:val="18"/>
                <w:szCs w:val="18"/>
              </w:rPr>
              <w:t>ed</w:t>
            </w:r>
            <w:r w:rsidR="4FEF2642" w:rsidRPr="4FEF2642">
              <w:rPr>
                <w:sz w:val="18"/>
                <w:szCs w:val="18"/>
              </w:rPr>
              <w:t xml:space="preserve"> to act upon them</w:t>
            </w:r>
            <w:r>
              <w:rPr>
                <w:sz w:val="18"/>
                <w:szCs w:val="18"/>
              </w:rPr>
              <w:t>.</w:t>
            </w:r>
          </w:p>
        </w:tc>
        <w:tc>
          <w:tcPr>
            <w:tcW w:w="3402" w:type="dxa"/>
          </w:tcPr>
          <w:p w14:paraId="4465FF8A" w14:textId="6FAC6CEA" w:rsidR="00226FFD" w:rsidRPr="00226FFD" w:rsidRDefault="4FEF2642" w:rsidP="006E331A">
            <w:pPr>
              <w:spacing w:before="40" w:after="40"/>
              <w:rPr>
                <w:sz w:val="18"/>
                <w:szCs w:val="18"/>
              </w:rPr>
            </w:pPr>
            <w:r w:rsidRPr="4FEF2642">
              <w:rPr>
                <w:sz w:val="18"/>
                <w:szCs w:val="18"/>
              </w:rPr>
              <w:t>Values are clearly reflected in the grants process</w:t>
            </w:r>
            <w:r w:rsidR="006E331A">
              <w:rPr>
                <w:sz w:val="18"/>
                <w:szCs w:val="18"/>
              </w:rPr>
              <w:t>.</w:t>
            </w:r>
          </w:p>
        </w:tc>
        <w:tc>
          <w:tcPr>
            <w:tcW w:w="3402" w:type="dxa"/>
          </w:tcPr>
          <w:p w14:paraId="18093CBC" w14:textId="7CAAAD4A" w:rsidR="00226FFD" w:rsidRPr="00226FFD" w:rsidRDefault="4FEF2642" w:rsidP="006E331A">
            <w:pPr>
              <w:spacing w:before="40" w:after="40"/>
              <w:rPr>
                <w:sz w:val="18"/>
                <w:szCs w:val="18"/>
              </w:rPr>
            </w:pPr>
            <w:r w:rsidRPr="4FEF2642">
              <w:rPr>
                <w:sz w:val="18"/>
                <w:szCs w:val="18"/>
              </w:rPr>
              <w:t xml:space="preserve">Venues reflect and support the </w:t>
            </w:r>
            <w:r w:rsidR="006E331A">
              <w:rPr>
                <w:sz w:val="18"/>
                <w:szCs w:val="18"/>
              </w:rPr>
              <w:t>applicant’s</w:t>
            </w:r>
            <w:r w:rsidRPr="4FEF2642">
              <w:rPr>
                <w:sz w:val="18"/>
                <w:szCs w:val="18"/>
              </w:rPr>
              <w:t xml:space="preserve"> strategic directions</w:t>
            </w:r>
            <w:r w:rsidR="006E331A">
              <w:rPr>
                <w:sz w:val="18"/>
                <w:szCs w:val="18"/>
              </w:rPr>
              <w:t>.</w:t>
            </w:r>
          </w:p>
        </w:tc>
      </w:tr>
      <w:tr w:rsidR="00226FFD" w:rsidRPr="00226FFD" w14:paraId="0542F1D0" w14:textId="77777777" w:rsidTr="00113C9F">
        <w:tc>
          <w:tcPr>
            <w:tcW w:w="1843" w:type="dxa"/>
          </w:tcPr>
          <w:p w14:paraId="7DB82776" w14:textId="77777777" w:rsidR="00226FFD" w:rsidRPr="00226FFD" w:rsidRDefault="4FEF2642" w:rsidP="00226FFD">
            <w:pPr>
              <w:spacing w:before="40" w:after="40"/>
              <w:rPr>
                <w:sz w:val="18"/>
                <w:szCs w:val="18"/>
              </w:rPr>
            </w:pPr>
            <w:r w:rsidRPr="4FEF2642">
              <w:rPr>
                <w:b/>
                <w:bCs/>
                <w:sz w:val="18"/>
                <w:szCs w:val="18"/>
              </w:rPr>
              <w:t>Leadership and direction:</w:t>
            </w:r>
            <w:r w:rsidR="00226FFD">
              <w:br/>
            </w:r>
            <w:r w:rsidRPr="4FEF2642">
              <w:rPr>
                <w:sz w:val="18"/>
                <w:szCs w:val="18"/>
              </w:rPr>
              <w:t>Behaviour and culture</w:t>
            </w:r>
          </w:p>
        </w:tc>
        <w:tc>
          <w:tcPr>
            <w:tcW w:w="3402" w:type="dxa"/>
          </w:tcPr>
          <w:p w14:paraId="1CCEDA86" w14:textId="6A9D3CA3" w:rsidR="00226FFD" w:rsidRPr="00226FFD" w:rsidRDefault="4FEF2642" w:rsidP="00226FFD">
            <w:pPr>
              <w:spacing w:before="40" w:after="40"/>
              <w:rPr>
                <w:sz w:val="18"/>
                <w:szCs w:val="18"/>
              </w:rPr>
            </w:pPr>
            <w:r w:rsidRPr="4FEF2642">
              <w:rPr>
                <w:sz w:val="18"/>
                <w:szCs w:val="18"/>
              </w:rPr>
              <w:t>Fractured behaviour within governance group or senior management</w:t>
            </w:r>
            <w:r w:rsidR="006E331A">
              <w:rPr>
                <w:sz w:val="18"/>
                <w:szCs w:val="18"/>
              </w:rPr>
              <w:t>.</w:t>
            </w:r>
          </w:p>
        </w:tc>
        <w:tc>
          <w:tcPr>
            <w:tcW w:w="3402" w:type="dxa"/>
          </w:tcPr>
          <w:p w14:paraId="46A1F583" w14:textId="113F96E7" w:rsidR="00226FFD" w:rsidRPr="00226FFD" w:rsidRDefault="4FEF2642" w:rsidP="00226FFD">
            <w:pPr>
              <w:spacing w:before="40" w:after="40"/>
              <w:rPr>
                <w:sz w:val="18"/>
                <w:szCs w:val="18"/>
              </w:rPr>
            </w:pPr>
            <w:r w:rsidRPr="4FEF2642">
              <w:rPr>
                <w:sz w:val="18"/>
                <w:szCs w:val="18"/>
              </w:rPr>
              <w:t>Plan is in place to unify culture</w:t>
            </w:r>
            <w:r w:rsidR="006E331A">
              <w:rPr>
                <w:sz w:val="18"/>
                <w:szCs w:val="18"/>
              </w:rPr>
              <w:t>.</w:t>
            </w:r>
          </w:p>
        </w:tc>
        <w:tc>
          <w:tcPr>
            <w:tcW w:w="3402" w:type="dxa"/>
          </w:tcPr>
          <w:p w14:paraId="4E546A39" w14:textId="2BBDC756" w:rsidR="00226FFD" w:rsidRPr="00226FFD" w:rsidRDefault="4FEF2642" w:rsidP="00226FFD">
            <w:pPr>
              <w:spacing w:before="40" w:after="40"/>
              <w:rPr>
                <w:sz w:val="18"/>
                <w:szCs w:val="18"/>
              </w:rPr>
            </w:pPr>
            <w:r w:rsidRPr="4FEF2642">
              <w:rPr>
                <w:sz w:val="18"/>
                <w:szCs w:val="18"/>
              </w:rPr>
              <w:t>Positive working relationship with staff, the Department, and venues</w:t>
            </w:r>
            <w:r w:rsidR="006E331A">
              <w:rPr>
                <w:sz w:val="18"/>
                <w:szCs w:val="18"/>
              </w:rPr>
              <w:t>.</w:t>
            </w:r>
          </w:p>
        </w:tc>
        <w:tc>
          <w:tcPr>
            <w:tcW w:w="3402" w:type="dxa"/>
          </w:tcPr>
          <w:p w14:paraId="177BD910" w14:textId="45F38BD7" w:rsidR="00226FFD" w:rsidRPr="00226FFD" w:rsidRDefault="4FEF2642" w:rsidP="00AC4758">
            <w:pPr>
              <w:spacing w:before="40" w:after="40"/>
              <w:rPr>
                <w:sz w:val="18"/>
                <w:szCs w:val="18"/>
              </w:rPr>
            </w:pPr>
            <w:r w:rsidRPr="4FEF2642">
              <w:rPr>
                <w:sz w:val="18"/>
                <w:szCs w:val="18"/>
              </w:rPr>
              <w:t>Staff reflect</w:t>
            </w:r>
            <w:r w:rsidR="005714D1">
              <w:rPr>
                <w:sz w:val="18"/>
                <w:szCs w:val="18"/>
              </w:rPr>
              <w:t xml:space="preserve"> </w:t>
            </w:r>
            <w:r w:rsidRPr="4FEF2642">
              <w:rPr>
                <w:sz w:val="18"/>
                <w:szCs w:val="18"/>
              </w:rPr>
              <w:t xml:space="preserve"> a unified culture in how they interact with the community</w:t>
            </w:r>
            <w:r w:rsidR="0080199D">
              <w:rPr>
                <w:sz w:val="18"/>
                <w:szCs w:val="18"/>
              </w:rPr>
              <w:t>.</w:t>
            </w:r>
          </w:p>
        </w:tc>
      </w:tr>
      <w:tr w:rsidR="00226FFD" w:rsidRPr="00226FFD" w14:paraId="6E39B4CE" w14:textId="77777777" w:rsidTr="00113C9F">
        <w:tc>
          <w:tcPr>
            <w:tcW w:w="1843" w:type="dxa"/>
          </w:tcPr>
          <w:p w14:paraId="74437879" w14:textId="77777777" w:rsidR="00226FFD" w:rsidRPr="00226FFD" w:rsidRDefault="4FEF2642" w:rsidP="00226FFD">
            <w:pPr>
              <w:spacing w:before="40" w:after="40"/>
              <w:rPr>
                <w:sz w:val="18"/>
                <w:szCs w:val="18"/>
              </w:rPr>
            </w:pPr>
            <w:r w:rsidRPr="4FEF2642">
              <w:rPr>
                <w:b/>
                <w:bCs/>
                <w:sz w:val="18"/>
                <w:szCs w:val="18"/>
              </w:rPr>
              <w:t>Leadership and direction</w:t>
            </w:r>
            <w:r w:rsidR="00226FFD">
              <w:br/>
            </w:r>
            <w:r w:rsidRPr="4FEF2642">
              <w:rPr>
                <w:sz w:val="18"/>
                <w:szCs w:val="18"/>
              </w:rPr>
              <w:t xml:space="preserve">Review </w:t>
            </w:r>
          </w:p>
        </w:tc>
        <w:tc>
          <w:tcPr>
            <w:tcW w:w="3402" w:type="dxa"/>
          </w:tcPr>
          <w:p w14:paraId="5B71B7D6" w14:textId="700FC62F" w:rsidR="00226FFD" w:rsidRPr="00226FFD" w:rsidRDefault="4FEF2642" w:rsidP="00226FFD">
            <w:pPr>
              <w:spacing w:before="40" w:after="40"/>
              <w:rPr>
                <w:sz w:val="18"/>
                <w:szCs w:val="18"/>
              </w:rPr>
            </w:pPr>
            <w:r w:rsidRPr="4FEF2642">
              <w:rPr>
                <w:sz w:val="18"/>
                <w:szCs w:val="18"/>
              </w:rPr>
              <w:t>Review results not adequately addressed</w:t>
            </w:r>
            <w:r w:rsidR="006E331A">
              <w:rPr>
                <w:sz w:val="18"/>
                <w:szCs w:val="18"/>
              </w:rPr>
              <w:t>.</w:t>
            </w:r>
          </w:p>
        </w:tc>
        <w:tc>
          <w:tcPr>
            <w:tcW w:w="3402" w:type="dxa"/>
          </w:tcPr>
          <w:p w14:paraId="34A66C94" w14:textId="181AE220" w:rsidR="00226FFD" w:rsidRPr="00226FFD" w:rsidRDefault="4FEF2642" w:rsidP="00226FFD">
            <w:pPr>
              <w:spacing w:before="40" w:after="40"/>
              <w:rPr>
                <w:sz w:val="18"/>
                <w:szCs w:val="18"/>
              </w:rPr>
            </w:pPr>
            <w:r w:rsidRPr="4FEF2642">
              <w:rPr>
                <w:sz w:val="18"/>
                <w:szCs w:val="18"/>
              </w:rPr>
              <w:t>Limite</w:t>
            </w:r>
            <w:r w:rsidR="006E331A">
              <w:rPr>
                <w:sz w:val="18"/>
                <w:szCs w:val="18"/>
              </w:rPr>
              <w:t xml:space="preserve">d reviews or </w:t>
            </w:r>
            <w:r w:rsidR="00AC4758">
              <w:rPr>
                <w:sz w:val="18"/>
                <w:szCs w:val="18"/>
              </w:rPr>
              <w:t xml:space="preserve">reviews carried out </w:t>
            </w:r>
            <w:r w:rsidR="006E331A">
              <w:rPr>
                <w:sz w:val="18"/>
                <w:szCs w:val="18"/>
              </w:rPr>
              <w:t>only when issues are</w:t>
            </w:r>
            <w:r w:rsidRPr="4FEF2642">
              <w:rPr>
                <w:sz w:val="18"/>
                <w:szCs w:val="18"/>
              </w:rPr>
              <w:t xml:space="preserve"> identified</w:t>
            </w:r>
            <w:r w:rsidR="006E331A">
              <w:rPr>
                <w:sz w:val="18"/>
                <w:szCs w:val="18"/>
              </w:rPr>
              <w:t>.</w:t>
            </w:r>
          </w:p>
        </w:tc>
        <w:tc>
          <w:tcPr>
            <w:tcW w:w="3402" w:type="dxa"/>
          </w:tcPr>
          <w:p w14:paraId="6FA02974" w14:textId="7C0DD381" w:rsidR="00226FFD" w:rsidRPr="00226FFD" w:rsidRDefault="4FEF2642" w:rsidP="00226FFD">
            <w:pPr>
              <w:spacing w:before="40" w:after="40"/>
              <w:rPr>
                <w:sz w:val="18"/>
                <w:szCs w:val="18"/>
              </w:rPr>
            </w:pPr>
            <w:r w:rsidRPr="4FEF2642">
              <w:rPr>
                <w:sz w:val="18"/>
                <w:szCs w:val="18"/>
              </w:rPr>
              <w:t>Regularly reviewing and monitoring legal compliance</w:t>
            </w:r>
            <w:r w:rsidR="006E331A">
              <w:rPr>
                <w:sz w:val="18"/>
                <w:szCs w:val="18"/>
              </w:rPr>
              <w:t>.</w:t>
            </w:r>
          </w:p>
        </w:tc>
        <w:tc>
          <w:tcPr>
            <w:tcW w:w="3402" w:type="dxa"/>
          </w:tcPr>
          <w:p w14:paraId="6E63301D" w14:textId="3AC6FABA" w:rsidR="00226FFD" w:rsidRPr="00226FFD" w:rsidRDefault="4FEF2642" w:rsidP="00226FFD">
            <w:pPr>
              <w:spacing w:before="40" w:after="40"/>
              <w:rPr>
                <w:sz w:val="18"/>
                <w:szCs w:val="18"/>
              </w:rPr>
            </w:pPr>
            <w:r w:rsidRPr="4FEF2642">
              <w:rPr>
                <w:sz w:val="18"/>
                <w:szCs w:val="18"/>
              </w:rPr>
              <w:t>Ongoing review and proactive response of governing processes to drive continual improvements</w:t>
            </w:r>
            <w:r w:rsidR="006E331A">
              <w:rPr>
                <w:sz w:val="18"/>
                <w:szCs w:val="18"/>
              </w:rPr>
              <w:t>.</w:t>
            </w:r>
          </w:p>
        </w:tc>
      </w:tr>
    </w:tbl>
    <w:p w14:paraId="025CA1AE" w14:textId="77777777" w:rsidR="00226FFD" w:rsidRDefault="00226FFD" w:rsidP="00226FFD">
      <w:pPr>
        <w:keepNext/>
        <w:spacing w:before="360" w:after="120"/>
        <w:contextualSpacing/>
        <w:outlineLvl w:val="2"/>
        <w:rPr>
          <w:rFonts w:cs="Arial"/>
          <w:b/>
          <w:bCs/>
          <w:color w:val="1F546B"/>
          <w:sz w:val="28"/>
          <w:szCs w:val="26"/>
        </w:rPr>
      </w:pPr>
    </w:p>
    <w:p w14:paraId="36DA2ECF" w14:textId="77777777" w:rsidR="00226FFD" w:rsidRPr="00226FFD" w:rsidRDefault="4FEF2642" w:rsidP="00D4551E">
      <w:pPr>
        <w:pStyle w:val="Heading4"/>
        <w:rPr>
          <w:i w:val="0"/>
        </w:rPr>
      </w:pPr>
      <w:r w:rsidRPr="4897FD18">
        <w:rPr>
          <w:i w:val="0"/>
        </w:rPr>
        <w:t>Delivery Examples</w:t>
      </w:r>
    </w:p>
    <w:tbl>
      <w:tblPr>
        <w:tblStyle w:val="DIATable2"/>
        <w:tblW w:w="15451" w:type="dxa"/>
        <w:tblLook w:val="04A0" w:firstRow="1" w:lastRow="0" w:firstColumn="1" w:lastColumn="0" w:noHBand="0" w:noVBand="1"/>
      </w:tblPr>
      <w:tblGrid>
        <w:gridCol w:w="1843"/>
        <w:gridCol w:w="3402"/>
        <w:gridCol w:w="3402"/>
        <w:gridCol w:w="3402"/>
        <w:gridCol w:w="3402"/>
      </w:tblGrid>
      <w:tr w:rsidR="00226FFD" w:rsidRPr="00226FFD" w14:paraId="1097B752" w14:textId="77777777" w:rsidTr="00A7586B">
        <w:trPr>
          <w:cnfStyle w:val="100000000000" w:firstRow="1" w:lastRow="0" w:firstColumn="0" w:lastColumn="0" w:oddVBand="0" w:evenVBand="0" w:oddHBand="0" w:evenHBand="0" w:firstRowFirstColumn="0" w:firstRowLastColumn="0" w:lastRowFirstColumn="0" w:lastRowLastColumn="0"/>
          <w:cantSplit w:val="0"/>
          <w:tblHeader/>
        </w:trPr>
        <w:tc>
          <w:tcPr>
            <w:tcW w:w="1843" w:type="dxa"/>
          </w:tcPr>
          <w:p w14:paraId="6B428B4C" w14:textId="77777777" w:rsidR="00226FFD" w:rsidRPr="00226FFD" w:rsidRDefault="4FEF2642" w:rsidP="00226FFD">
            <w:pPr>
              <w:rPr>
                <w:sz w:val="18"/>
                <w:szCs w:val="18"/>
              </w:rPr>
            </w:pPr>
            <w:r w:rsidRPr="4FEF2642">
              <w:rPr>
                <w:sz w:val="18"/>
                <w:szCs w:val="18"/>
              </w:rPr>
              <w:t>Framework</w:t>
            </w:r>
          </w:p>
        </w:tc>
        <w:tc>
          <w:tcPr>
            <w:tcW w:w="3402" w:type="dxa"/>
          </w:tcPr>
          <w:p w14:paraId="72E6C31D" w14:textId="77777777" w:rsidR="00226FFD" w:rsidRPr="00226FFD" w:rsidRDefault="4FEF2642" w:rsidP="00226FFD">
            <w:pPr>
              <w:rPr>
                <w:sz w:val="18"/>
                <w:szCs w:val="18"/>
              </w:rPr>
            </w:pPr>
            <w:r w:rsidRPr="4FEF2642">
              <w:rPr>
                <w:sz w:val="18"/>
                <w:szCs w:val="18"/>
              </w:rPr>
              <w:t>Example of weak performance</w:t>
            </w:r>
          </w:p>
        </w:tc>
        <w:tc>
          <w:tcPr>
            <w:tcW w:w="3402" w:type="dxa"/>
          </w:tcPr>
          <w:p w14:paraId="19D82DF1" w14:textId="77777777" w:rsidR="00226FFD" w:rsidRPr="00226FFD" w:rsidRDefault="4FEF2642" w:rsidP="00226FFD">
            <w:pPr>
              <w:rPr>
                <w:sz w:val="18"/>
                <w:szCs w:val="18"/>
              </w:rPr>
            </w:pPr>
            <w:r w:rsidRPr="4FEF2642">
              <w:rPr>
                <w:sz w:val="18"/>
                <w:szCs w:val="18"/>
              </w:rPr>
              <w:t>Example of needing development</w:t>
            </w:r>
          </w:p>
        </w:tc>
        <w:tc>
          <w:tcPr>
            <w:tcW w:w="3402" w:type="dxa"/>
          </w:tcPr>
          <w:p w14:paraId="15673A83" w14:textId="77777777" w:rsidR="00226FFD" w:rsidRPr="00226FFD" w:rsidRDefault="4FEF2642" w:rsidP="00226FFD">
            <w:pPr>
              <w:rPr>
                <w:sz w:val="18"/>
                <w:szCs w:val="18"/>
              </w:rPr>
            </w:pPr>
            <w:r w:rsidRPr="4FEF2642">
              <w:rPr>
                <w:sz w:val="18"/>
                <w:szCs w:val="18"/>
              </w:rPr>
              <w:t>Example of well-placed capable</w:t>
            </w:r>
          </w:p>
        </w:tc>
        <w:tc>
          <w:tcPr>
            <w:tcW w:w="3402" w:type="dxa"/>
          </w:tcPr>
          <w:p w14:paraId="343C83C4" w14:textId="502C2A4B" w:rsidR="00226FFD" w:rsidRPr="00226FFD" w:rsidRDefault="00395062" w:rsidP="00226FFD">
            <w:pPr>
              <w:rPr>
                <w:sz w:val="18"/>
                <w:szCs w:val="18"/>
              </w:rPr>
            </w:pPr>
            <w:r>
              <w:rPr>
                <w:sz w:val="18"/>
                <w:szCs w:val="18"/>
              </w:rPr>
              <w:t>Example of</w:t>
            </w:r>
            <w:r w:rsidR="4FEF2642" w:rsidRPr="4FEF2642">
              <w:rPr>
                <w:sz w:val="18"/>
                <w:szCs w:val="18"/>
              </w:rPr>
              <w:t xml:space="preserve"> best practice</w:t>
            </w:r>
          </w:p>
        </w:tc>
      </w:tr>
      <w:tr w:rsidR="00226FFD" w:rsidRPr="00226FFD" w14:paraId="180AA1DB" w14:textId="77777777" w:rsidTr="00A7586B">
        <w:trPr>
          <w:cantSplit w:val="0"/>
        </w:trPr>
        <w:tc>
          <w:tcPr>
            <w:tcW w:w="1843" w:type="dxa"/>
          </w:tcPr>
          <w:p w14:paraId="27607259" w14:textId="77777777" w:rsidR="00226FFD" w:rsidRPr="00226FFD" w:rsidRDefault="4FEF2642" w:rsidP="00226FFD">
            <w:pPr>
              <w:spacing w:before="40" w:after="40"/>
              <w:rPr>
                <w:b/>
                <w:sz w:val="18"/>
                <w:szCs w:val="18"/>
              </w:rPr>
            </w:pPr>
            <w:r w:rsidRPr="4FEF2642">
              <w:rPr>
                <w:b/>
                <w:bCs/>
                <w:sz w:val="18"/>
                <w:szCs w:val="18"/>
              </w:rPr>
              <w:t>Delivery:</w:t>
            </w:r>
            <w:r w:rsidR="00226FFD">
              <w:br/>
            </w:r>
            <w:r w:rsidRPr="4FEF2642">
              <w:rPr>
                <w:sz w:val="18"/>
                <w:szCs w:val="18"/>
              </w:rPr>
              <w:t>Operating model</w:t>
            </w:r>
          </w:p>
        </w:tc>
        <w:tc>
          <w:tcPr>
            <w:tcW w:w="3402" w:type="dxa"/>
          </w:tcPr>
          <w:p w14:paraId="3A0F8498" w14:textId="4113EB4D" w:rsidR="00226FFD" w:rsidRPr="00226FFD" w:rsidRDefault="4FEF2642" w:rsidP="00226FFD">
            <w:pPr>
              <w:spacing w:before="40" w:after="40"/>
              <w:rPr>
                <w:sz w:val="18"/>
                <w:szCs w:val="18"/>
              </w:rPr>
            </w:pPr>
            <w:r w:rsidRPr="4FEF2642">
              <w:rPr>
                <w:sz w:val="18"/>
                <w:szCs w:val="18"/>
              </w:rPr>
              <w:t>Operating model not driving operational processes</w:t>
            </w:r>
            <w:r w:rsidR="006E331A">
              <w:rPr>
                <w:sz w:val="18"/>
                <w:szCs w:val="18"/>
              </w:rPr>
              <w:t>.</w:t>
            </w:r>
          </w:p>
        </w:tc>
        <w:tc>
          <w:tcPr>
            <w:tcW w:w="3402" w:type="dxa"/>
          </w:tcPr>
          <w:p w14:paraId="005E80E8" w14:textId="6D46F8A5" w:rsidR="00226FFD" w:rsidRPr="00226FFD" w:rsidRDefault="4FEF2642" w:rsidP="00226FFD">
            <w:pPr>
              <w:spacing w:before="40" w:after="40"/>
              <w:rPr>
                <w:sz w:val="18"/>
                <w:szCs w:val="18"/>
              </w:rPr>
            </w:pPr>
            <w:r w:rsidRPr="4FEF2642">
              <w:rPr>
                <w:sz w:val="18"/>
                <w:szCs w:val="18"/>
              </w:rPr>
              <w:t>Operating model adequate but static – no ongoing review practices in place</w:t>
            </w:r>
            <w:r w:rsidR="006E331A">
              <w:rPr>
                <w:sz w:val="18"/>
                <w:szCs w:val="18"/>
              </w:rPr>
              <w:t>.</w:t>
            </w:r>
          </w:p>
        </w:tc>
        <w:tc>
          <w:tcPr>
            <w:tcW w:w="3402" w:type="dxa"/>
          </w:tcPr>
          <w:p w14:paraId="4483F4E9" w14:textId="397B0851" w:rsidR="00226FFD" w:rsidRPr="00226FFD" w:rsidRDefault="4FEF2642" w:rsidP="00226FFD">
            <w:pPr>
              <w:spacing w:before="40" w:after="40"/>
              <w:rPr>
                <w:sz w:val="18"/>
                <w:szCs w:val="18"/>
              </w:rPr>
            </w:pPr>
            <w:r w:rsidRPr="4FEF2642">
              <w:rPr>
                <w:sz w:val="18"/>
                <w:szCs w:val="18"/>
              </w:rPr>
              <w:t xml:space="preserve">Licence holder regularly reviews and adapts its processes to ensure its delivery supports the community and </w:t>
            </w:r>
            <w:r w:rsidR="00AC4758">
              <w:rPr>
                <w:sz w:val="18"/>
                <w:szCs w:val="18"/>
              </w:rPr>
              <w:t xml:space="preserve">its </w:t>
            </w:r>
            <w:r w:rsidRPr="4FEF2642">
              <w:rPr>
                <w:sz w:val="18"/>
                <w:szCs w:val="18"/>
              </w:rPr>
              <w:t>venue</w:t>
            </w:r>
            <w:r w:rsidR="006E331A">
              <w:rPr>
                <w:sz w:val="18"/>
                <w:szCs w:val="18"/>
              </w:rPr>
              <w:t>s.</w:t>
            </w:r>
          </w:p>
        </w:tc>
        <w:tc>
          <w:tcPr>
            <w:tcW w:w="3402" w:type="dxa"/>
          </w:tcPr>
          <w:p w14:paraId="15576411" w14:textId="302D2836" w:rsidR="00226FFD" w:rsidRPr="00226FFD" w:rsidRDefault="4FEF2642" w:rsidP="00226FFD">
            <w:pPr>
              <w:spacing w:before="40" w:after="40"/>
              <w:rPr>
                <w:sz w:val="18"/>
                <w:szCs w:val="18"/>
              </w:rPr>
            </w:pPr>
            <w:r w:rsidRPr="4FEF2642">
              <w:rPr>
                <w:sz w:val="18"/>
                <w:szCs w:val="18"/>
              </w:rPr>
              <w:t>Licence holder demonstrates innovation and incorporates future-proofing considerations in its operating model.</w:t>
            </w:r>
          </w:p>
          <w:p w14:paraId="54A6A4BC" w14:textId="77777777" w:rsidR="00226FFD" w:rsidRPr="00226FFD" w:rsidRDefault="00226FFD" w:rsidP="00226FFD">
            <w:pPr>
              <w:spacing w:before="40" w:after="40"/>
              <w:rPr>
                <w:sz w:val="18"/>
                <w:szCs w:val="18"/>
              </w:rPr>
            </w:pPr>
          </w:p>
        </w:tc>
      </w:tr>
      <w:tr w:rsidR="00226FFD" w:rsidRPr="00226FFD" w14:paraId="1F4EB19D" w14:textId="77777777" w:rsidTr="00A7586B">
        <w:trPr>
          <w:cantSplit w:val="0"/>
        </w:trPr>
        <w:tc>
          <w:tcPr>
            <w:tcW w:w="1843" w:type="dxa"/>
          </w:tcPr>
          <w:p w14:paraId="6AF01510" w14:textId="77777777" w:rsidR="00226FFD" w:rsidRPr="00226FFD" w:rsidRDefault="4FEF2642" w:rsidP="00226FFD">
            <w:pPr>
              <w:spacing w:before="40" w:after="40"/>
              <w:rPr>
                <w:sz w:val="18"/>
                <w:szCs w:val="18"/>
              </w:rPr>
            </w:pPr>
            <w:r w:rsidRPr="4FEF2642">
              <w:rPr>
                <w:b/>
                <w:bCs/>
                <w:sz w:val="18"/>
                <w:szCs w:val="18"/>
              </w:rPr>
              <w:t>Delivery:</w:t>
            </w:r>
            <w:r w:rsidR="00226FFD">
              <w:br/>
            </w:r>
            <w:r w:rsidRPr="4FEF2642">
              <w:rPr>
                <w:sz w:val="18"/>
                <w:szCs w:val="18"/>
              </w:rPr>
              <w:t>Partnerships</w:t>
            </w:r>
          </w:p>
        </w:tc>
        <w:tc>
          <w:tcPr>
            <w:tcW w:w="3402" w:type="dxa"/>
          </w:tcPr>
          <w:p w14:paraId="17650418" w14:textId="3FFADB99" w:rsidR="00226FFD" w:rsidRPr="00226FFD" w:rsidRDefault="4FEF2642" w:rsidP="00AC4758">
            <w:pPr>
              <w:spacing w:before="40" w:after="40"/>
              <w:rPr>
                <w:sz w:val="18"/>
                <w:szCs w:val="18"/>
              </w:rPr>
            </w:pPr>
            <w:r w:rsidRPr="4FEF2642">
              <w:rPr>
                <w:sz w:val="18"/>
                <w:szCs w:val="18"/>
              </w:rPr>
              <w:t>Limited understanding of the value of community partnerships</w:t>
            </w:r>
            <w:r w:rsidR="006E331A">
              <w:rPr>
                <w:sz w:val="18"/>
                <w:szCs w:val="18"/>
              </w:rPr>
              <w:t>.</w:t>
            </w:r>
          </w:p>
        </w:tc>
        <w:tc>
          <w:tcPr>
            <w:tcW w:w="3402" w:type="dxa"/>
          </w:tcPr>
          <w:p w14:paraId="195ADB2C" w14:textId="395ED4E8" w:rsidR="00226FFD" w:rsidRPr="00226FFD" w:rsidRDefault="4FEF2642" w:rsidP="00AC4758">
            <w:pPr>
              <w:spacing w:before="40" w:after="40"/>
              <w:rPr>
                <w:sz w:val="18"/>
                <w:szCs w:val="18"/>
              </w:rPr>
            </w:pPr>
            <w:r w:rsidRPr="4FEF2642">
              <w:rPr>
                <w:sz w:val="18"/>
                <w:szCs w:val="18"/>
              </w:rPr>
              <w:t xml:space="preserve">Demonstrates awareness of the need to engage with grant recipients and community </w:t>
            </w:r>
            <w:r w:rsidR="00AC4758">
              <w:rPr>
                <w:sz w:val="18"/>
                <w:szCs w:val="18"/>
              </w:rPr>
              <w:t>organisations</w:t>
            </w:r>
            <w:r w:rsidRPr="4FEF2642">
              <w:rPr>
                <w:sz w:val="18"/>
                <w:szCs w:val="18"/>
              </w:rPr>
              <w:t xml:space="preserve"> but has limited capability or resources to do so</w:t>
            </w:r>
            <w:r w:rsidR="006E331A">
              <w:rPr>
                <w:sz w:val="18"/>
                <w:szCs w:val="18"/>
              </w:rPr>
              <w:t>.</w:t>
            </w:r>
          </w:p>
        </w:tc>
        <w:tc>
          <w:tcPr>
            <w:tcW w:w="3402" w:type="dxa"/>
          </w:tcPr>
          <w:p w14:paraId="4D96E147" w14:textId="1FEAE4B5" w:rsidR="00226FFD" w:rsidRPr="00226FFD" w:rsidRDefault="4FEF2642" w:rsidP="00AC4758">
            <w:pPr>
              <w:spacing w:before="40" w:after="40"/>
              <w:rPr>
                <w:sz w:val="18"/>
                <w:szCs w:val="18"/>
              </w:rPr>
            </w:pPr>
            <w:r w:rsidRPr="4FEF2642">
              <w:rPr>
                <w:sz w:val="18"/>
                <w:szCs w:val="18"/>
              </w:rPr>
              <w:t xml:space="preserve">Regular engagement with grant recipients and community </w:t>
            </w:r>
            <w:r w:rsidR="00AC4758">
              <w:rPr>
                <w:sz w:val="18"/>
                <w:szCs w:val="18"/>
              </w:rPr>
              <w:t>organisations</w:t>
            </w:r>
            <w:r w:rsidR="006E331A">
              <w:rPr>
                <w:sz w:val="18"/>
                <w:szCs w:val="18"/>
              </w:rPr>
              <w:t>.</w:t>
            </w:r>
          </w:p>
        </w:tc>
        <w:tc>
          <w:tcPr>
            <w:tcW w:w="3402" w:type="dxa"/>
          </w:tcPr>
          <w:p w14:paraId="304D46C6" w14:textId="41C6F169" w:rsidR="00226FFD" w:rsidRPr="00226FFD" w:rsidRDefault="4FEF2642" w:rsidP="00226FFD">
            <w:pPr>
              <w:spacing w:before="40" w:after="40"/>
              <w:rPr>
                <w:sz w:val="18"/>
                <w:szCs w:val="18"/>
              </w:rPr>
            </w:pPr>
            <w:r w:rsidRPr="4FEF2642">
              <w:rPr>
                <w:sz w:val="18"/>
                <w:szCs w:val="18"/>
              </w:rPr>
              <w:t xml:space="preserve">Demonstrates proactive engagement with the wider community to information </w:t>
            </w:r>
            <w:r w:rsidR="00AB4B79">
              <w:rPr>
                <w:sz w:val="18"/>
                <w:szCs w:val="18"/>
              </w:rPr>
              <w:t>licence holder</w:t>
            </w:r>
            <w:r w:rsidRPr="4FEF2642">
              <w:rPr>
                <w:sz w:val="18"/>
                <w:szCs w:val="18"/>
              </w:rPr>
              <w:t>’s practice and strategy.</w:t>
            </w:r>
          </w:p>
          <w:p w14:paraId="1FA0D593" w14:textId="77777777" w:rsidR="00226FFD" w:rsidRPr="00226FFD" w:rsidRDefault="4FEF2642" w:rsidP="00226FFD">
            <w:pPr>
              <w:spacing w:before="40" w:after="40"/>
              <w:rPr>
                <w:sz w:val="18"/>
                <w:szCs w:val="18"/>
              </w:rPr>
            </w:pPr>
            <w:r w:rsidRPr="4FEF2642">
              <w:rPr>
                <w:sz w:val="18"/>
                <w:szCs w:val="18"/>
              </w:rPr>
              <w:t>Evidence of close engagement with problem gambling service providers, and performance improvement as a result.</w:t>
            </w:r>
          </w:p>
          <w:p w14:paraId="782E325A" w14:textId="77777777" w:rsidR="00226FFD" w:rsidRPr="00226FFD" w:rsidRDefault="4FEF2642" w:rsidP="00226FFD">
            <w:pPr>
              <w:spacing w:before="40" w:after="40"/>
              <w:rPr>
                <w:sz w:val="18"/>
                <w:szCs w:val="18"/>
              </w:rPr>
            </w:pPr>
            <w:r w:rsidRPr="4FEF2642">
              <w:rPr>
                <w:sz w:val="18"/>
                <w:szCs w:val="18"/>
              </w:rPr>
              <w:t xml:space="preserve">A club issues an exclusion order to a patron and immediately alerts a neighbouring club that it has done so. This shows the club is working closely with others to minimise </w:t>
            </w:r>
            <w:r w:rsidRPr="4FEF2642">
              <w:rPr>
                <w:sz w:val="18"/>
                <w:szCs w:val="18"/>
              </w:rPr>
              <w:lastRenderedPageBreak/>
              <w:t>gambling harm.</w:t>
            </w:r>
          </w:p>
        </w:tc>
      </w:tr>
      <w:tr w:rsidR="00226FFD" w:rsidRPr="00226FFD" w14:paraId="772E2829" w14:textId="77777777" w:rsidTr="00A7586B">
        <w:trPr>
          <w:cantSplit w:val="0"/>
        </w:trPr>
        <w:tc>
          <w:tcPr>
            <w:tcW w:w="1843" w:type="dxa"/>
          </w:tcPr>
          <w:p w14:paraId="2900A4BC" w14:textId="77777777" w:rsidR="00226FFD" w:rsidRPr="00226FFD" w:rsidRDefault="4FEF2642" w:rsidP="00226FFD">
            <w:pPr>
              <w:spacing w:before="40" w:after="40"/>
              <w:rPr>
                <w:sz w:val="18"/>
                <w:szCs w:val="18"/>
              </w:rPr>
            </w:pPr>
            <w:r w:rsidRPr="4FEF2642">
              <w:rPr>
                <w:b/>
                <w:bCs/>
                <w:sz w:val="18"/>
                <w:szCs w:val="18"/>
              </w:rPr>
              <w:lastRenderedPageBreak/>
              <w:t>Delivery:</w:t>
            </w:r>
            <w:r w:rsidR="00226FFD">
              <w:br/>
            </w:r>
            <w:r w:rsidRPr="4FEF2642">
              <w:rPr>
                <w:sz w:val="18"/>
                <w:szCs w:val="18"/>
              </w:rPr>
              <w:t>Community experiences</w:t>
            </w:r>
          </w:p>
        </w:tc>
        <w:tc>
          <w:tcPr>
            <w:tcW w:w="3402" w:type="dxa"/>
          </w:tcPr>
          <w:p w14:paraId="18BC8BD4" w14:textId="399DEF28" w:rsidR="00226FFD" w:rsidRPr="00226FFD" w:rsidRDefault="4FEF2642" w:rsidP="00226FFD">
            <w:pPr>
              <w:spacing w:before="40" w:after="40"/>
              <w:rPr>
                <w:sz w:val="18"/>
                <w:szCs w:val="18"/>
              </w:rPr>
            </w:pPr>
            <w:r w:rsidRPr="4FEF2642">
              <w:rPr>
                <w:sz w:val="18"/>
                <w:szCs w:val="18"/>
              </w:rPr>
              <w:t>Limited or no awareness of community needs</w:t>
            </w:r>
            <w:r w:rsidR="00A26D36">
              <w:rPr>
                <w:sz w:val="18"/>
                <w:szCs w:val="18"/>
              </w:rPr>
              <w:t>.</w:t>
            </w:r>
          </w:p>
        </w:tc>
        <w:tc>
          <w:tcPr>
            <w:tcW w:w="3402" w:type="dxa"/>
          </w:tcPr>
          <w:p w14:paraId="144CFB17" w14:textId="1165EAD7" w:rsidR="00226FFD" w:rsidRPr="00226FFD" w:rsidRDefault="4FEF2642" w:rsidP="00226FFD">
            <w:pPr>
              <w:spacing w:before="40" w:after="40"/>
              <w:rPr>
                <w:sz w:val="18"/>
                <w:szCs w:val="18"/>
              </w:rPr>
            </w:pPr>
            <w:r w:rsidRPr="4FEF2642">
              <w:rPr>
                <w:sz w:val="18"/>
                <w:szCs w:val="18"/>
              </w:rPr>
              <w:t>Adequate communication with community groups on grants processes</w:t>
            </w:r>
            <w:r w:rsidR="00A26D36">
              <w:rPr>
                <w:sz w:val="18"/>
                <w:szCs w:val="18"/>
              </w:rPr>
              <w:t>.</w:t>
            </w:r>
          </w:p>
        </w:tc>
        <w:tc>
          <w:tcPr>
            <w:tcW w:w="3402" w:type="dxa"/>
          </w:tcPr>
          <w:p w14:paraId="6849683C" w14:textId="0B997E24" w:rsidR="00226FFD" w:rsidRPr="00226FFD" w:rsidRDefault="4FEF2642" w:rsidP="00226FFD">
            <w:pPr>
              <w:spacing w:before="40" w:after="40"/>
              <w:rPr>
                <w:sz w:val="18"/>
                <w:szCs w:val="18"/>
              </w:rPr>
            </w:pPr>
            <w:r w:rsidRPr="4FEF2642">
              <w:rPr>
                <w:sz w:val="18"/>
                <w:szCs w:val="18"/>
              </w:rPr>
              <w:t>Harm minimisation practices are relevant to cultures in the local community</w:t>
            </w:r>
            <w:r w:rsidR="00A26D36">
              <w:rPr>
                <w:sz w:val="18"/>
                <w:szCs w:val="18"/>
              </w:rPr>
              <w:t>.</w:t>
            </w:r>
          </w:p>
        </w:tc>
        <w:tc>
          <w:tcPr>
            <w:tcW w:w="3402" w:type="dxa"/>
          </w:tcPr>
          <w:p w14:paraId="6330BF8E" w14:textId="1BC335BE" w:rsidR="00226FFD" w:rsidRPr="00226FFD" w:rsidRDefault="4FEF2642" w:rsidP="00226FFD">
            <w:pPr>
              <w:spacing w:before="40" w:after="40"/>
              <w:rPr>
                <w:sz w:val="18"/>
                <w:szCs w:val="18"/>
              </w:rPr>
            </w:pPr>
            <w:r w:rsidRPr="4FEF2642">
              <w:rPr>
                <w:sz w:val="18"/>
                <w:szCs w:val="18"/>
              </w:rPr>
              <w:t xml:space="preserve">There is a strong monitoring of community needs and working with community </w:t>
            </w:r>
            <w:r w:rsidR="00AC4758">
              <w:rPr>
                <w:sz w:val="18"/>
                <w:szCs w:val="18"/>
              </w:rPr>
              <w:t>organisations</w:t>
            </w:r>
            <w:r w:rsidRPr="4FEF2642">
              <w:rPr>
                <w:sz w:val="18"/>
                <w:szCs w:val="18"/>
              </w:rPr>
              <w:t xml:space="preserve"> to ensure that grants are giving back to the local community or communities of interest.</w:t>
            </w:r>
          </w:p>
          <w:p w14:paraId="67A67046" w14:textId="727BDCE2" w:rsidR="00226FFD" w:rsidRPr="00226FFD" w:rsidRDefault="4FEF2642" w:rsidP="00226FFD">
            <w:pPr>
              <w:spacing w:before="40" w:after="40"/>
              <w:rPr>
                <w:sz w:val="18"/>
                <w:szCs w:val="18"/>
              </w:rPr>
            </w:pPr>
            <w:r w:rsidRPr="4FEF2642">
              <w:rPr>
                <w:sz w:val="18"/>
                <w:szCs w:val="18"/>
              </w:rPr>
              <w:t xml:space="preserve">A club issues an exclusion order to a gambler. However the club is concerned that the exclusion will not be effective, so calls a family meeting to address the concerns and ensure harm is minimised for the gambler. </w:t>
            </w:r>
          </w:p>
        </w:tc>
      </w:tr>
      <w:tr w:rsidR="00226FFD" w:rsidRPr="00226FFD" w14:paraId="4494A97E" w14:textId="77777777" w:rsidTr="00A7586B">
        <w:trPr>
          <w:cantSplit w:val="0"/>
        </w:trPr>
        <w:tc>
          <w:tcPr>
            <w:tcW w:w="1843" w:type="dxa"/>
          </w:tcPr>
          <w:p w14:paraId="40C79AF7" w14:textId="77777777" w:rsidR="00226FFD" w:rsidRPr="00226FFD" w:rsidRDefault="4FEF2642" w:rsidP="00226FFD">
            <w:pPr>
              <w:spacing w:before="40" w:after="40"/>
              <w:rPr>
                <w:sz w:val="18"/>
                <w:szCs w:val="18"/>
              </w:rPr>
            </w:pPr>
            <w:r w:rsidRPr="4FEF2642">
              <w:rPr>
                <w:b/>
                <w:bCs/>
                <w:sz w:val="18"/>
                <w:szCs w:val="18"/>
              </w:rPr>
              <w:t>Delivery:</w:t>
            </w:r>
            <w:r w:rsidR="00226FFD">
              <w:br/>
            </w:r>
            <w:r w:rsidRPr="4FEF2642">
              <w:rPr>
                <w:sz w:val="18"/>
                <w:szCs w:val="18"/>
              </w:rPr>
              <w:t>Customers are engaged</w:t>
            </w:r>
          </w:p>
        </w:tc>
        <w:tc>
          <w:tcPr>
            <w:tcW w:w="3402" w:type="dxa"/>
          </w:tcPr>
          <w:p w14:paraId="4490C920" w14:textId="49283B15" w:rsidR="00226FFD" w:rsidRPr="00226FFD" w:rsidRDefault="4FEF2642" w:rsidP="00226FFD">
            <w:pPr>
              <w:spacing w:before="40" w:after="40"/>
              <w:rPr>
                <w:sz w:val="18"/>
                <w:szCs w:val="18"/>
              </w:rPr>
            </w:pPr>
            <w:r w:rsidRPr="4FEF2642">
              <w:rPr>
                <w:sz w:val="18"/>
                <w:szCs w:val="18"/>
              </w:rPr>
              <w:t>Licence holder has no awareness of weakness</w:t>
            </w:r>
            <w:r w:rsidR="00F10FC2">
              <w:rPr>
                <w:sz w:val="18"/>
                <w:szCs w:val="18"/>
              </w:rPr>
              <w:t>es</w:t>
            </w:r>
            <w:r w:rsidRPr="4FEF2642">
              <w:rPr>
                <w:sz w:val="18"/>
                <w:szCs w:val="18"/>
              </w:rPr>
              <w:t xml:space="preserve"> in venue harm minimisation</w:t>
            </w:r>
            <w:r w:rsidR="00F10FC2">
              <w:rPr>
                <w:sz w:val="18"/>
                <w:szCs w:val="18"/>
              </w:rPr>
              <w:t xml:space="preserve"> practices</w:t>
            </w:r>
            <w:r w:rsidR="00A26D36">
              <w:rPr>
                <w:sz w:val="18"/>
                <w:szCs w:val="18"/>
              </w:rPr>
              <w:t>.</w:t>
            </w:r>
          </w:p>
          <w:p w14:paraId="0180B0D6" w14:textId="00591CE7" w:rsidR="00226FFD" w:rsidRPr="00226FFD" w:rsidRDefault="4FEF2642" w:rsidP="00226FFD">
            <w:pPr>
              <w:spacing w:before="40" w:after="40"/>
              <w:rPr>
                <w:sz w:val="18"/>
                <w:szCs w:val="18"/>
              </w:rPr>
            </w:pPr>
            <w:r w:rsidRPr="4FEF2642">
              <w:rPr>
                <w:sz w:val="18"/>
                <w:szCs w:val="18"/>
              </w:rPr>
              <w:t>There is no plan in place to address venue underperformance</w:t>
            </w:r>
            <w:r w:rsidR="00A26D36">
              <w:rPr>
                <w:sz w:val="18"/>
                <w:szCs w:val="18"/>
              </w:rPr>
              <w:t>.</w:t>
            </w:r>
          </w:p>
        </w:tc>
        <w:tc>
          <w:tcPr>
            <w:tcW w:w="3402" w:type="dxa"/>
          </w:tcPr>
          <w:p w14:paraId="410CBDE9" w14:textId="401CDE95" w:rsidR="00226FFD" w:rsidRPr="00226FFD" w:rsidRDefault="4FEF2642" w:rsidP="00226FFD">
            <w:pPr>
              <w:spacing w:before="40" w:after="40"/>
              <w:rPr>
                <w:sz w:val="18"/>
                <w:szCs w:val="18"/>
              </w:rPr>
            </w:pPr>
            <w:r w:rsidRPr="4FEF2642">
              <w:rPr>
                <w:sz w:val="18"/>
                <w:szCs w:val="18"/>
              </w:rPr>
              <w:t>Licence holder has scheduled visits to check on venue performance.</w:t>
            </w:r>
          </w:p>
        </w:tc>
        <w:tc>
          <w:tcPr>
            <w:tcW w:w="3402" w:type="dxa"/>
          </w:tcPr>
          <w:p w14:paraId="20DE6804" w14:textId="77777777" w:rsidR="00226FFD" w:rsidRPr="00226FFD" w:rsidRDefault="4FEF2642" w:rsidP="00226FFD">
            <w:pPr>
              <w:spacing w:before="40" w:after="40"/>
              <w:rPr>
                <w:sz w:val="18"/>
                <w:szCs w:val="18"/>
              </w:rPr>
            </w:pPr>
            <w:r w:rsidRPr="4FEF2642">
              <w:rPr>
                <w:sz w:val="18"/>
                <w:szCs w:val="18"/>
              </w:rPr>
              <w:t>There is ongoing assessment and performance management of venues.</w:t>
            </w:r>
          </w:p>
          <w:p w14:paraId="0F4934A0" w14:textId="26523DDA" w:rsidR="00226FFD" w:rsidRPr="00226FFD" w:rsidRDefault="4FEF2642" w:rsidP="00226FFD">
            <w:pPr>
              <w:spacing w:before="40" w:after="40"/>
              <w:rPr>
                <w:sz w:val="18"/>
                <w:szCs w:val="18"/>
              </w:rPr>
            </w:pPr>
            <w:r w:rsidRPr="4FEF2642">
              <w:rPr>
                <w:sz w:val="18"/>
                <w:szCs w:val="18"/>
              </w:rPr>
              <w:t>Licence holder demonstrates early engagement with an incoming venue by identifying what the harm min training needs are and providing it. (</w:t>
            </w:r>
            <w:r w:rsidRPr="4897FD18">
              <w:rPr>
                <w:i/>
                <w:iCs/>
                <w:sz w:val="18"/>
                <w:szCs w:val="18"/>
              </w:rPr>
              <w:t>For best practice, evidence that such initiatives are appropriate, effective, timely and happen on more than one or two occasions or consistently.)</w:t>
            </w:r>
          </w:p>
        </w:tc>
        <w:tc>
          <w:tcPr>
            <w:tcW w:w="3402" w:type="dxa"/>
          </w:tcPr>
          <w:p w14:paraId="0674A96F" w14:textId="77777777" w:rsidR="00226FFD" w:rsidRPr="00226FFD" w:rsidRDefault="4FEF2642" w:rsidP="00226FFD">
            <w:pPr>
              <w:spacing w:before="40" w:after="40"/>
              <w:rPr>
                <w:sz w:val="18"/>
                <w:szCs w:val="18"/>
              </w:rPr>
            </w:pPr>
            <w:r w:rsidRPr="4FEF2642">
              <w:rPr>
                <w:sz w:val="18"/>
                <w:szCs w:val="18"/>
              </w:rPr>
              <w:t>Venue managers are supported to supply an efficient and innovative service that ensures compliance and improves culture of care.</w:t>
            </w:r>
          </w:p>
        </w:tc>
      </w:tr>
    </w:tbl>
    <w:p w14:paraId="16371A06" w14:textId="77777777" w:rsidR="00226FFD" w:rsidRPr="00226FFD" w:rsidRDefault="4FEF2642" w:rsidP="00D4551E">
      <w:pPr>
        <w:pStyle w:val="Heading4"/>
        <w:rPr>
          <w:i w:val="0"/>
        </w:rPr>
      </w:pPr>
      <w:r w:rsidRPr="4897FD18">
        <w:rPr>
          <w:i w:val="0"/>
        </w:rPr>
        <w:t>Relationships Examples</w:t>
      </w:r>
    </w:p>
    <w:tbl>
      <w:tblPr>
        <w:tblStyle w:val="DIATable2"/>
        <w:tblW w:w="15451" w:type="dxa"/>
        <w:tblLook w:val="04A0" w:firstRow="1" w:lastRow="0" w:firstColumn="1" w:lastColumn="0" w:noHBand="0" w:noVBand="1"/>
      </w:tblPr>
      <w:tblGrid>
        <w:gridCol w:w="1843"/>
        <w:gridCol w:w="3402"/>
        <w:gridCol w:w="3402"/>
        <w:gridCol w:w="3402"/>
        <w:gridCol w:w="3402"/>
      </w:tblGrid>
      <w:tr w:rsidR="00226FFD" w:rsidRPr="00226FFD" w14:paraId="602699DB" w14:textId="77777777" w:rsidTr="00113C9F">
        <w:trPr>
          <w:cnfStyle w:val="100000000000" w:firstRow="1" w:lastRow="0" w:firstColumn="0" w:lastColumn="0" w:oddVBand="0" w:evenVBand="0" w:oddHBand="0" w:evenHBand="0" w:firstRowFirstColumn="0" w:firstRowLastColumn="0" w:lastRowFirstColumn="0" w:lastRowLastColumn="0"/>
          <w:tblHeader/>
        </w:trPr>
        <w:tc>
          <w:tcPr>
            <w:tcW w:w="1843" w:type="dxa"/>
          </w:tcPr>
          <w:p w14:paraId="5AEE0416" w14:textId="77777777" w:rsidR="00226FFD" w:rsidRPr="00226FFD" w:rsidRDefault="4FEF2642" w:rsidP="00226FFD">
            <w:pPr>
              <w:rPr>
                <w:sz w:val="18"/>
                <w:szCs w:val="18"/>
              </w:rPr>
            </w:pPr>
            <w:r w:rsidRPr="4FEF2642">
              <w:rPr>
                <w:sz w:val="18"/>
                <w:szCs w:val="18"/>
              </w:rPr>
              <w:t>Framework</w:t>
            </w:r>
          </w:p>
        </w:tc>
        <w:tc>
          <w:tcPr>
            <w:tcW w:w="3402" w:type="dxa"/>
          </w:tcPr>
          <w:p w14:paraId="781FAAC3" w14:textId="77777777" w:rsidR="00226FFD" w:rsidRPr="00226FFD" w:rsidRDefault="4FEF2642" w:rsidP="00226FFD">
            <w:pPr>
              <w:rPr>
                <w:sz w:val="18"/>
                <w:szCs w:val="18"/>
              </w:rPr>
            </w:pPr>
            <w:r w:rsidRPr="4FEF2642">
              <w:rPr>
                <w:sz w:val="18"/>
                <w:szCs w:val="18"/>
              </w:rPr>
              <w:t>Example of weak performance</w:t>
            </w:r>
          </w:p>
        </w:tc>
        <w:tc>
          <w:tcPr>
            <w:tcW w:w="3402" w:type="dxa"/>
          </w:tcPr>
          <w:p w14:paraId="71E6F4D2" w14:textId="77777777" w:rsidR="00226FFD" w:rsidRPr="00226FFD" w:rsidRDefault="4FEF2642" w:rsidP="00226FFD">
            <w:pPr>
              <w:rPr>
                <w:sz w:val="18"/>
                <w:szCs w:val="18"/>
              </w:rPr>
            </w:pPr>
            <w:r w:rsidRPr="4FEF2642">
              <w:rPr>
                <w:sz w:val="18"/>
                <w:szCs w:val="18"/>
              </w:rPr>
              <w:t>Example of needing development</w:t>
            </w:r>
          </w:p>
        </w:tc>
        <w:tc>
          <w:tcPr>
            <w:tcW w:w="3402" w:type="dxa"/>
          </w:tcPr>
          <w:p w14:paraId="444B1167" w14:textId="77777777" w:rsidR="00226FFD" w:rsidRPr="00226FFD" w:rsidRDefault="4FEF2642" w:rsidP="00226FFD">
            <w:pPr>
              <w:rPr>
                <w:sz w:val="18"/>
                <w:szCs w:val="18"/>
              </w:rPr>
            </w:pPr>
            <w:r w:rsidRPr="4FEF2642">
              <w:rPr>
                <w:sz w:val="18"/>
                <w:szCs w:val="18"/>
              </w:rPr>
              <w:t>Example of well-placed capable</w:t>
            </w:r>
          </w:p>
        </w:tc>
        <w:tc>
          <w:tcPr>
            <w:tcW w:w="3402" w:type="dxa"/>
          </w:tcPr>
          <w:p w14:paraId="0EE772AA" w14:textId="1EF404A1" w:rsidR="00226FFD" w:rsidRPr="00226FFD" w:rsidRDefault="00395062" w:rsidP="00226FFD">
            <w:pPr>
              <w:rPr>
                <w:sz w:val="18"/>
                <w:szCs w:val="18"/>
              </w:rPr>
            </w:pPr>
            <w:r>
              <w:rPr>
                <w:sz w:val="18"/>
                <w:szCs w:val="18"/>
              </w:rPr>
              <w:t>Example of</w:t>
            </w:r>
            <w:r w:rsidR="4FEF2642" w:rsidRPr="4FEF2642">
              <w:rPr>
                <w:sz w:val="18"/>
                <w:szCs w:val="18"/>
              </w:rPr>
              <w:t xml:space="preserve"> best practice</w:t>
            </w:r>
          </w:p>
        </w:tc>
      </w:tr>
      <w:tr w:rsidR="00226FFD" w:rsidRPr="00226FFD" w14:paraId="2279EC16" w14:textId="77777777" w:rsidTr="00113C9F">
        <w:tc>
          <w:tcPr>
            <w:tcW w:w="1843" w:type="dxa"/>
          </w:tcPr>
          <w:p w14:paraId="43E945F1" w14:textId="77777777" w:rsidR="00226FFD" w:rsidRPr="00226FFD" w:rsidRDefault="4FEF2642" w:rsidP="00226FFD">
            <w:pPr>
              <w:spacing w:before="40" w:after="40"/>
              <w:rPr>
                <w:b/>
                <w:sz w:val="18"/>
                <w:szCs w:val="18"/>
              </w:rPr>
            </w:pPr>
            <w:r w:rsidRPr="4FEF2642">
              <w:rPr>
                <w:b/>
                <w:bCs/>
                <w:sz w:val="18"/>
                <w:szCs w:val="18"/>
              </w:rPr>
              <w:t>Relationships:</w:t>
            </w:r>
            <w:r w:rsidR="00226FFD">
              <w:br/>
            </w:r>
            <w:r w:rsidRPr="4FEF2642">
              <w:rPr>
                <w:sz w:val="18"/>
                <w:szCs w:val="18"/>
              </w:rPr>
              <w:t>Engagement with the Department</w:t>
            </w:r>
          </w:p>
        </w:tc>
        <w:tc>
          <w:tcPr>
            <w:tcW w:w="3402" w:type="dxa"/>
          </w:tcPr>
          <w:p w14:paraId="672D1128" w14:textId="6E0AE989" w:rsidR="00226FFD" w:rsidRPr="00226FFD" w:rsidRDefault="4FEF2642" w:rsidP="000C0E37">
            <w:pPr>
              <w:spacing w:before="40" w:after="40"/>
              <w:rPr>
                <w:sz w:val="18"/>
                <w:szCs w:val="18"/>
              </w:rPr>
            </w:pPr>
            <w:r w:rsidRPr="4FEF2642">
              <w:rPr>
                <w:sz w:val="18"/>
                <w:szCs w:val="18"/>
              </w:rPr>
              <w:t>Management is focused on their own affairs rather than building or maintaining a relationship with the Department</w:t>
            </w:r>
            <w:r w:rsidR="00A26D36">
              <w:rPr>
                <w:sz w:val="18"/>
                <w:szCs w:val="18"/>
              </w:rPr>
              <w:t>.</w:t>
            </w:r>
          </w:p>
        </w:tc>
        <w:tc>
          <w:tcPr>
            <w:tcW w:w="3402" w:type="dxa"/>
          </w:tcPr>
          <w:p w14:paraId="46F806DE" w14:textId="2F20B970" w:rsidR="00226FFD" w:rsidRPr="00226FFD" w:rsidRDefault="4FEF2642" w:rsidP="00226FFD">
            <w:pPr>
              <w:spacing w:before="40" w:after="40"/>
              <w:rPr>
                <w:sz w:val="18"/>
                <w:szCs w:val="18"/>
              </w:rPr>
            </w:pPr>
            <w:r w:rsidRPr="4FEF2642">
              <w:rPr>
                <w:sz w:val="18"/>
                <w:szCs w:val="18"/>
              </w:rPr>
              <w:t>Licence holder readily responds to Department requests.</w:t>
            </w:r>
          </w:p>
          <w:p w14:paraId="342C5C99" w14:textId="1299044C" w:rsidR="00226FFD" w:rsidRPr="00226FFD" w:rsidRDefault="4FEF2642" w:rsidP="00226FFD">
            <w:pPr>
              <w:spacing w:before="40" w:after="40"/>
              <w:rPr>
                <w:sz w:val="18"/>
                <w:szCs w:val="18"/>
              </w:rPr>
            </w:pPr>
            <w:r w:rsidRPr="4FEF2642">
              <w:rPr>
                <w:sz w:val="18"/>
                <w:szCs w:val="18"/>
              </w:rPr>
              <w:t>Evidence that society will notify the Department when it needs to. A couple of examples of proactive notifications so some improvement is happening.</w:t>
            </w:r>
          </w:p>
        </w:tc>
        <w:tc>
          <w:tcPr>
            <w:tcW w:w="3402" w:type="dxa"/>
          </w:tcPr>
          <w:p w14:paraId="24E92D47" w14:textId="77777777" w:rsidR="00226FFD" w:rsidRPr="00226FFD" w:rsidRDefault="4FEF2642" w:rsidP="00226FFD">
            <w:pPr>
              <w:spacing w:before="40" w:after="40"/>
              <w:rPr>
                <w:sz w:val="18"/>
                <w:szCs w:val="18"/>
              </w:rPr>
            </w:pPr>
            <w:r w:rsidRPr="4FEF2642">
              <w:rPr>
                <w:sz w:val="18"/>
                <w:szCs w:val="18"/>
              </w:rPr>
              <w:t>There is open and trusted communications with the Department.</w:t>
            </w:r>
          </w:p>
          <w:p w14:paraId="207AD283" w14:textId="6EB2F24D" w:rsidR="00226FFD" w:rsidRPr="00226FFD" w:rsidRDefault="4FEF2642" w:rsidP="00226FFD">
            <w:pPr>
              <w:spacing w:before="40" w:after="40"/>
              <w:rPr>
                <w:sz w:val="18"/>
                <w:szCs w:val="18"/>
              </w:rPr>
            </w:pPr>
            <w:r w:rsidRPr="4FEF2642">
              <w:rPr>
                <w:sz w:val="18"/>
                <w:szCs w:val="18"/>
              </w:rPr>
              <w:t>Evidence that the Department can engage directly and informally with the operator when information is required. (</w:t>
            </w:r>
            <w:r w:rsidRPr="4897FD18">
              <w:rPr>
                <w:i/>
                <w:iCs/>
                <w:sz w:val="18"/>
                <w:szCs w:val="18"/>
              </w:rPr>
              <w:t xml:space="preserve">For </w:t>
            </w:r>
            <w:r w:rsidR="00CF66AF">
              <w:rPr>
                <w:i/>
                <w:iCs/>
                <w:sz w:val="18"/>
                <w:szCs w:val="18"/>
              </w:rPr>
              <w:t>best</w:t>
            </w:r>
            <w:r w:rsidRPr="4897FD18">
              <w:rPr>
                <w:i/>
                <w:iCs/>
                <w:sz w:val="18"/>
                <w:szCs w:val="18"/>
              </w:rPr>
              <w:t xml:space="preserve"> </w:t>
            </w:r>
            <w:r w:rsidR="001020CA">
              <w:rPr>
                <w:i/>
                <w:iCs/>
                <w:sz w:val="18"/>
                <w:szCs w:val="18"/>
              </w:rPr>
              <w:t>practice</w:t>
            </w:r>
            <w:r w:rsidRPr="4897FD18">
              <w:rPr>
                <w:i/>
                <w:iCs/>
                <w:sz w:val="18"/>
                <w:szCs w:val="18"/>
              </w:rPr>
              <w:t xml:space="preserve"> - need more evidence of proactive engagement</w:t>
            </w:r>
            <w:r w:rsidRPr="4FEF2642">
              <w:rPr>
                <w:sz w:val="18"/>
                <w:szCs w:val="18"/>
              </w:rPr>
              <w:t xml:space="preserve">). </w:t>
            </w:r>
          </w:p>
        </w:tc>
        <w:tc>
          <w:tcPr>
            <w:tcW w:w="3402" w:type="dxa"/>
          </w:tcPr>
          <w:p w14:paraId="22EABDA3" w14:textId="77777777" w:rsidR="00226FFD" w:rsidRPr="00226FFD" w:rsidRDefault="4FEF2642" w:rsidP="00226FFD">
            <w:pPr>
              <w:spacing w:before="40" w:after="40"/>
              <w:rPr>
                <w:sz w:val="18"/>
                <w:szCs w:val="18"/>
              </w:rPr>
            </w:pPr>
            <w:r w:rsidRPr="4FEF2642">
              <w:rPr>
                <w:sz w:val="18"/>
                <w:szCs w:val="18"/>
              </w:rPr>
              <w:t>There is proactive engagement with the Department about weaknesses and plans to mitigate to improve overall performance.</w:t>
            </w:r>
          </w:p>
        </w:tc>
      </w:tr>
      <w:tr w:rsidR="00226FFD" w:rsidRPr="00226FFD" w14:paraId="0D12B3D6" w14:textId="77777777" w:rsidTr="00113C9F">
        <w:tc>
          <w:tcPr>
            <w:tcW w:w="1843" w:type="dxa"/>
          </w:tcPr>
          <w:p w14:paraId="3A62C19D" w14:textId="77777777" w:rsidR="00226FFD" w:rsidRPr="00226FFD" w:rsidRDefault="4FEF2642" w:rsidP="00226FFD">
            <w:pPr>
              <w:spacing w:before="40" w:after="40"/>
              <w:rPr>
                <w:sz w:val="18"/>
                <w:szCs w:val="18"/>
              </w:rPr>
            </w:pPr>
            <w:r w:rsidRPr="4FEF2642">
              <w:rPr>
                <w:b/>
                <w:bCs/>
                <w:sz w:val="18"/>
                <w:szCs w:val="18"/>
              </w:rPr>
              <w:lastRenderedPageBreak/>
              <w:t>Relationships:</w:t>
            </w:r>
            <w:r w:rsidR="00226FFD">
              <w:br/>
            </w:r>
            <w:r w:rsidRPr="4FEF2642">
              <w:rPr>
                <w:sz w:val="18"/>
                <w:szCs w:val="18"/>
              </w:rPr>
              <w:t>System Contribution</w:t>
            </w:r>
          </w:p>
        </w:tc>
        <w:tc>
          <w:tcPr>
            <w:tcW w:w="3402" w:type="dxa"/>
          </w:tcPr>
          <w:p w14:paraId="79AA71A8" w14:textId="7DC6BBE9" w:rsidR="00226FFD" w:rsidRPr="00226FFD" w:rsidRDefault="4FEF2642" w:rsidP="00226FFD">
            <w:pPr>
              <w:spacing w:before="40" w:after="40"/>
              <w:rPr>
                <w:sz w:val="18"/>
                <w:szCs w:val="18"/>
              </w:rPr>
            </w:pPr>
            <w:r w:rsidRPr="4FEF2642">
              <w:rPr>
                <w:sz w:val="18"/>
                <w:szCs w:val="18"/>
              </w:rPr>
              <w:t>No significant effort put into working with the sector to improve</w:t>
            </w:r>
            <w:r w:rsidR="00A26D36">
              <w:rPr>
                <w:sz w:val="18"/>
                <w:szCs w:val="18"/>
              </w:rPr>
              <w:t>.</w:t>
            </w:r>
          </w:p>
        </w:tc>
        <w:tc>
          <w:tcPr>
            <w:tcW w:w="3402" w:type="dxa"/>
          </w:tcPr>
          <w:p w14:paraId="1AD74121" w14:textId="18A11CD1" w:rsidR="00226FFD" w:rsidRPr="00226FFD" w:rsidRDefault="4FEF2642" w:rsidP="00226FFD">
            <w:pPr>
              <w:spacing w:before="40" w:after="40"/>
              <w:rPr>
                <w:sz w:val="18"/>
                <w:szCs w:val="18"/>
              </w:rPr>
            </w:pPr>
            <w:r w:rsidRPr="4FEF2642">
              <w:rPr>
                <w:sz w:val="18"/>
                <w:szCs w:val="18"/>
              </w:rPr>
              <w:t>Regular attendance and contribution to sector forums</w:t>
            </w:r>
            <w:r w:rsidR="00A26D36">
              <w:rPr>
                <w:sz w:val="18"/>
                <w:szCs w:val="18"/>
              </w:rPr>
              <w:t>.</w:t>
            </w:r>
          </w:p>
        </w:tc>
        <w:tc>
          <w:tcPr>
            <w:tcW w:w="3402" w:type="dxa"/>
          </w:tcPr>
          <w:p w14:paraId="4EEA55A5" w14:textId="72A9258F" w:rsidR="00226FFD" w:rsidRPr="00226FFD" w:rsidRDefault="4FEF2642" w:rsidP="00226FFD">
            <w:pPr>
              <w:spacing w:before="40" w:after="40"/>
              <w:rPr>
                <w:sz w:val="18"/>
                <w:szCs w:val="18"/>
              </w:rPr>
            </w:pPr>
            <w:r w:rsidRPr="4FEF2642">
              <w:rPr>
                <w:sz w:val="18"/>
                <w:szCs w:val="18"/>
              </w:rPr>
              <w:t>Innovation is shared with the sector (e.g. gaming technology)</w:t>
            </w:r>
            <w:r w:rsidR="00A26D36">
              <w:rPr>
                <w:sz w:val="18"/>
                <w:szCs w:val="18"/>
              </w:rPr>
              <w:t>.</w:t>
            </w:r>
          </w:p>
        </w:tc>
        <w:tc>
          <w:tcPr>
            <w:tcW w:w="3402" w:type="dxa"/>
          </w:tcPr>
          <w:p w14:paraId="0EE47FCC" w14:textId="094B6212" w:rsidR="00226FFD" w:rsidRPr="00226FFD" w:rsidRDefault="4FEF2642" w:rsidP="00226FFD">
            <w:pPr>
              <w:spacing w:before="40" w:after="40"/>
              <w:rPr>
                <w:sz w:val="18"/>
                <w:szCs w:val="18"/>
              </w:rPr>
            </w:pPr>
            <w:r w:rsidRPr="4FEF2642">
              <w:rPr>
                <w:sz w:val="18"/>
                <w:szCs w:val="18"/>
              </w:rPr>
              <w:t>Identifying a</w:t>
            </w:r>
            <w:r w:rsidR="00CC0800">
              <w:rPr>
                <w:sz w:val="18"/>
                <w:szCs w:val="18"/>
              </w:rPr>
              <w:t>n</w:t>
            </w:r>
            <w:r w:rsidRPr="4FEF2642">
              <w:rPr>
                <w:sz w:val="18"/>
                <w:szCs w:val="18"/>
              </w:rPr>
              <w:t xml:space="preserve"> issue </w:t>
            </w:r>
            <w:r w:rsidR="00CC0800">
              <w:rPr>
                <w:sz w:val="18"/>
                <w:szCs w:val="18"/>
              </w:rPr>
              <w:t xml:space="preserve">relevant to the whole sector </w:t>
            </w:r>
            <w:r w:rsidRPr="4FEF2642">
              <w:rPr>
                <w:sz w:val="18"/>
                <w:szCs w:val="18"/>
              </w:rPr>
              <w:t>and driving the collaboration in the sector to resolve it</w:t>
            </w:r>
            <w:r w:rsidR="00CC0800">
              <w:rPr>
                <w:sz w:val="18"/>
                <w:szCs w:val="18"/>
              </w:rPr>
              <w:t>, even where it might not suit the society’s best interest</w:t>
            </w:r>
            <w:r w:rsidRPr="4FEF2642">
              <w:rPr>
                <w:sz w:val="18"/>
                <w:szCs w:val="18"/>
              </w:rPr>
              <w:t>.</w:t>
            </w:r>
          </w:p>
          <w:p w14:paraId="6F077B51" w14:textId="7347DB38" w:rsidR="00226FFD" w:rsidRPr="00226FFD" w:rsidRDefault="4FEF2642" w:rsidP="00CC0800">
            <w:pPr>
              <w:spacing w:before="40" w:after="40"/>
              <w:rPr>
                <w:sz w:val="18"/>
                <w:szCs w:val="18"/>
              </w:rPr>
            </w:pPr>
            <w:r w:rsidRPr="4FEF2642">
              <w:rPr>
                <w:sz w:val="18"/>
                <w:szCs w:val="18"/>
              </w:rPr>
              <w:t>Licence holder identified a harm min</w:t>
            </w:r>
            <w:r w:rsidR="0080199D">
              <w:rPr>
                <w:sz w:val="18"/>
                <w:szCs w:val="18"/>
              </w:rPr>
              <w:t xml:space="preserve">imisation </w:t>
            </w:r>
            <w:r w:rsidRPr="4FEF2642">
              <w:rPr>
                <w:sz w:val="18"/>
                <w:szCs w:val="18"/>
              </w:rPr>
              <w:t>training need in a venue that was with a different society</w:t>
            </w:r>
            <w:r w:rsidR="00CC0800">
              <w:rPr>
                <w:sz w:val="18"/>
                <w:szCs w:val="18"/>
              </w:rPr>
              <w:t>, but is changing to the licence holder</w:t>
            </w:r>
            <w:r w:rsidRPr="4FEF2642">
              <w:rPr>
                <w:sz w:val="18"/>
                <w:szCs w:val="18"/>
              </w:rPr>
              <w:t xml:space="preserve">. They </w:t>
            </w:r>
            <w:r w:rsidR="00CC0800">
              <w:rPr>
                <w:sz w:val="18"/>
                <w:szCs w:val="18"/>
              </w:rPr>
              <w:t>provide advice to the venue about what would need to change ahead of that formal changeover so that venue practice would improve quickly</w:t>
            </w:r>
            <w:r w:rsidRPr="4FEF2642">
              <w:rPr>
                <w:sz w:val="18"/>
                <w:szCs w:val="18"/>
              </w:rPr>
              <w:t>.</w:t>
            </w:r>
          </w:p>
        </w:tc>
      </w:tr>
      <w:tr w:rsidR="00226FFD" w:rsidRPr="00226FFD" w14:paraId="52D36416" w14:textId="77777777" w:rsidTr="00113C9F">
        <w:tc>
          <w:tcPr>
            <w:tcW w:w="1843" w:type="dxa"/>
          </w:tcPr>
          <w:p w14:paraId="2189D151" w14:textId="77777777" w:rsidR="00226FFD" w:rsidRPr="00226FFD" w:rsidRDefault="4FEF2642" w:rsidP="00226FFD">
            <w:pPr>
              <w:spacing w:before="40" w:after="40"/>
              <w:rPr>
                <w:sz w:val="18"/>
                <w:szCs w:val="18"/>
              </w:rPr>
            </w:pPr>
            <w:r w:rsidRPr="4FEF2642">
              <w:rPr>
                <w:b/>
                <w:bCs/>
                <w:sz w:val="18"/>
                <w:szCs w:val="18"/>
              </w:rPr>
              <w:t>Relationships:</w:t>
            </w:r>
            <w:r w:rsidR="00226FFD">
              <w:br/>
            </w:r>
            <w:r w:rsidRPr="4FEF2642">
              <w:rPr>
                <w:sz w:val="18"/>
                <w:szCs w:val="18"/>
              </w:rPr>
              <w:t>Collaborations</w:t>
            </w:r>
          </w:p>
        </w:tc>
        <w:tc>
          <w:tcPr>
            <w:tcW w:w="3402" w:type="dxa"/>
          </w:tcPr>
          <w:p w14:paraId="3F2FC939" w14:textId="5E12D8C8" w:rsidR="00226FFD" w:rsidRPr="00226FFD" w:rsidRDefault="4FEF2642" w:rsidP="00226FFD">
            <w:pPr>
              <w:spacing w:before="40" w:after="40"/>
              <w:rPr>
                <w:sz w:val="18"/>
                <w:szCs w:val="18"/>
              </w:rPr>
            </w:pPr>
            <w:r w:rsidRPr="4FEF2642">
              <w:rPr>
                <w:sz w:val="18"/>
                <w:szCs w:val="18"/>
              </w:rPr>
              <w:t>Licence holder representatives do not adequately engage with venues</w:t>
            </w:r>
            <w:r w:rsidR="00A26D36">
              <w:rPr>
                <w:sz w:val="18"/>
                <w:szCs w:val="18"/>
              </w:rPr>
              <w:t>.</w:t>
            </w:r>
          </w:p>
        </w:tc>
        <w:tc>
          <w:tcPr>
            <w:tcW w:w="3402" w:type="dxa"/>
          </w:tcPr>
          <w:p w14:paraId="27475D69" w14:textId="1DC623EE" w:rsidR="00226FFD" w:rsidRPr="00226FFD" w:rsidRDefault="4FEF2642" w:rsidP="00F10FC2">
            <w:pPr>
              <w:spacing w:before="40" w:after="40"/>
              <w:rPr>
                <w:sz w:val="18"/>
                <w:szCs w:val="18"/>
              </w:rPr>
            </w:pPr>
            <w:r w:rsidRPr="4FEF2642">
              <w:rPr>
                <w:sz w:val="18"/>
                <w:szCs w:val="18"/>
              </w:rPr>
              <w:t xml:space="preserve">Seminars held for community </w:t>
            </w:r>
            <w:r w:rsidR="00F10FC2">
              <w:rPr>
                <w:sz w:val="18"/>
                <w:szCs w:val="18"/>
              </w:rPr>
              <w:t xml:space="preserve">organisations </w:t>
            </w:r>
            <w:r w:rsidRPr="4FEF2642">
              <w:rPr>
                <w:sz w:val="18"/>
                <w:szCs w:val="18"/>
              </w:rPr>
              <w:t>on the grants application process</w:t>
            </w:r>
            <w:r w:rsidR="00A26D36">
              <w:rPr>
                <w:sz w:val="18"/>
                <w:szCs w:val="18"/>
              </w:rPr>
              <w:t>.</w:t>
            </w:r>
          </w:p>
        </w:tc>
        <w:tc>
          <w:tcPr>
            <w:tcW w:w="3402" w:type="dxa"/>
          </w:tcPr>
          <w:p w14:paraId="77D7467B" w14:textId="4722DEA9" w:rsidR="00226FFD" w:rsidRPr="00226FFD" w:rsidRDefault="4FEF2642" w:rsidP="00226FFD">
            <w:pPr>
              <w:spacing w:before="40" w:after="40"/>
              <w:rPr>
                <w:sz w:val="18"/>
                <w:szCs w:val="18"/>
              </w:rPr>
            </w:pPr>
            <w:r w:rsidRPr="4FEF2642">
              <w:rPr>
                <w:sz w:val="18"/>
                <w:szCs w:val="18"/>
              </w:rPr>
              <w:t>There is contact with other licence holders to check that grants are fairly distributed amongst recipients.</w:t>
            </w:r>
          </w:p>
          <w:p w14:paraId="18B7C583" w14:textId="2A4BEEF0" w:rsidR="00226FFD" w:rsidRPr="00226FFD" w:rsidRDefault="4FEF2642" w:rsidP="00F10FC2">
            <w:pPr>
              <w:spacing w:before="40" w:after="40"/>
              <w:rPr>
                <w:sz w:val="18"/>
                <w:szCs w:val="18"/>
              </w:rPr>
            </w:pPr>
            <w:r w:rsidRPr="4FEF2642">
              <w:rPr>
                <w:sz w:val="18"/>
                <w:szCs w:val="18"/>
              </w:rPr>
              <w:t xml:space="preserve">Licence holder routinely sits down with community </w:t>
            </w:r>
            <w:r w:rsidR="00F10FC2">
              <w:rPr>
                <w:sz w:val="18"/>
                <w:szCs w:val="18"/>
              </w:rPr>
              <w:t>organisations</w:t>
            </w:r>
            <w:r w:rsidRPr="4FEF2642">
              <w:rPr>
                <w:sz w:val="18"/>
                <w:szCs w:val="18"/>
              </w:rPr>
              <w:t xml:space="preserve"> to help them work through the application process </w:t>
            </w:r>
            <w:r w:rsidR="00CC0800">
              <w:rPr>
                <w:sz w:val="18"/>
                <w:szCs w:val="18"/>
              </w:rPr>
              <w:t xml:space="preserve">in line with community need </w:t>
            </w:r>
            <w:r w:rsidRPr="4FEF2642">
              <w:rPr>
                <w:sz w:val="18"/>
                <w:szCs w:val="18"/>
              </w:rPr>
              <w:t>(</w:t>
            </w:r>
            <w:r w:rsidRPr="4897FD18">
              <w:rPr>
                <w:i/>
                <w:iCs/>
                <w:sz w:val="18"/>
                <w:szCs w:val="18"/>
              </w:rPr>
              <w:t xml:space="preserve">For </w:t>
            </w:r>
            <w:r w:rsidR="00CF66AF">
              <w:rPr>
                <w:i/>
                <w:iCs/>
                <w:sz w:val="18"/>
                <w:szCs w:val="18"/>
              </w:rPr>
              <w:t>best</w:t>
            </w:r>
            <w:r w:rsidRPr="4897FD18">
              <w:rPr>
                <w:i/>
                <w:iCs/>
                <w:sz w:val="18"/>
                <w:szCs w:val="18"/>
              </w:rPr>
              <w:t xml:space="preserve"> </w:t>
            </w:r>
            <w:r w:rsidR="001020CA">
              <w:rPr>
                <w:i/>
                <w:iCs/>
                <w:sz w:val="18"/>
                <w:szCs w:val="18"/>
              </w:rPr>
              <w:t>practice</w:t>
            </w:r>
            <w:r w:rsidRPr="4897FD18">
              <w:rPr>
                <w:i/>
                <w:iCs/>
                <w:sz w:val="18"/>
                <w:szCs w:val="18"/>
              </w:rPr>
              <w:t xml:space="preserve"> - need more info about communication with other societies and how this links in</w:t>
            </w:r>
            <w:r w:rsidRPr="4FEF2642">
              <w:rPr>
                <w:sz w:val="18"/>
                <w:szCs w:val="18"/>
              </w:rPr>
              <w:t>).</w:t>
            </w:r>
          </w:p>
        </w:tc>
        <w:tc>
          <w:tcPr>
            <w:tcW w:w="3402" w:type="dxa"/>
          </w:tcPr>
          <w:p w14:paraId="5D20EA8F" w14:textId="716962C3" w:rsidR="00226FFD" w:rsidRPr="00226FFD" w:rsidRDefault="4FEF2642" w:rsidP="00226FFD">
            <w:pPr>
              <w:spacing w:before="40" w:after="40"/>
              <w:rPr>
                <w:sz w:val="18"/>
                <w:szCs w:val="18"/>
              </w:rPr>
            </w:pPr>
            <w:r w:rsidRPr="4FEF2642">
              <w:rPr>
                <w:sz w:val="18"/>
                <w:szCs w:val="18"/>
              </w:rPr>
              <w:t>Governance and leadership have strong relationships with Territorial Local Authorities</w:t>
            </w:r>
            <w:r w:rsidR="005714D1">
              <w:rPr>
                <w:sz w:val="18"/>
                <w:szCs w:val="18"/>
              </w:rPr>
              <w:t xml:space="preserve"> and community organisations</w:t>
            </w:r>
            <w:r w:rsidRPr="4FEF2642">
              <w:rPr>
                <w:sz w:val="18"/>
                <w:szCs w:val="18"/>
              </w:rPr>
              <w:t xml:space="preserve"> to identify appropriate responses to harms and needs.</w:t>
            </w:r>
          </w:p>
        </w:tc>
      </w:tr>
      <w:tr w:rsidR="00226FFD" w:rsidRPr="00226FFD" w14:paraId="0288A8FD" w14:textId="77777777" w:rsidTr="00113C9F">
        <w:tc>
          <w:tcPr>
            <w:tcW w:w="1843" w:type="dxa"/>
          </w:tcPr>
          <w:p w14:paraId="12B38EAA" w14:textId="523E3E99" w:rsidR="00226FFD" w:rsidRPr="00226FFD" w:rsidRDefault="4FEF2642" w:rsidP="005714D1">
            <w:pPr>
              <w:spacing w:before="40" w:after="40"/>
              <w:rPr>
                <w:sz w:val="18"/>
                <w:szCs w:val="18"/>
              </w:rPr>
            </w:pPr>
            <w:r w:rsidRPr="4FEF2642">
              <w:rPr>
                <w:b/>
                <w:bCs/>
                <w:sz w:val="18"/>
                <w:szCs w:val="18"/>
              </w:rPr>
              <w:t>Relationships:</w:t>
            </w:r>
            <w:r w:rsidR="00226FFD">
              <w:br/>
            </w:r>
            <w:r w:rsidRPr="4FEF2642">
              <w:rPr>
                <w:sz w:val="18"/>
                <w:szCs w:val="18"/>
              </w:rPr>
              <w:t xml:space="preserve">Community </w:t>
            </w:r>
            <w:r w:rsidR="005714D1">
              <w:rPr>
                <w:sz w:val="18"/>
                <w:szCs w:val="18"/>
              </w:rPr>
              <w:t>organisations</w:t>
            </w:r>
          </w:p>
        </w:tc>
        <w:tc>
          <w:tcPr>
            <w:tcW w:w="3402" w:type="dxa"/>
          </w:tcPr>
          <w:p w14:paraId="0D74CE1A" w14:textId="5659B600" w:rsidR="00226FFD" w:rsidRPr="00226FFD" w:rsidRDefault="4FEF2642" w:rsidP="00226FFD">
            <w:pPr>
              <w:spacing w:before="40" w:after="40"/>
              <w:rPr>
                <w:sz w:val="18"/>
                <w:szCs w:val="18"/>
              </w:rPr>
            </w:pPr>
            <w:r w:rsidRPr="4FEF2642">
              <w:rPr>
                <w:sz w:val="18"/>
                <w:szCs w:val="18"/>
              </w:rPr>
              <w:t>Unwilling to respond to community need</w:t>
            </w:r>
            <w:r w:rsidR="00A26D36">
              <w:rPr>
                <w:sz w:val="18"/>
                <w:szCs w:val="18"/>
              </w:rPr>
              <w:t>.</w:t>
            </w:r>
          </w:p>
        </w:tc>
        <w:tc>
          <w:tcPr>
            <w:tcW w:w="3402" w:type="dxa"/>
          </w:tcPr>
          <w:p w14:paraId="551373B7" w14:textId="1012DE84" w:rsidR="00226FFD" w:rsidRPr="00226FFD" w:rsidRDefault="4FEF2642" w:rsidP="00226FFD">
            <w:pPr>
              <w:spacing w:before="40" w:after="40"/>
              <w:rPr>
                <w:sz w:val="18"/>
                <w:szCs w:val="18"/>
              </w:rPr>
            </w:pPr>
            <w:r w:rsidRPr="4FEF2642">
              <w:rPr>
                <w:sz w:val="18"/>
                <w:szCs w:val="18"/>
              </w:rPr>
              <w:t>Regular engagement with gambling harm service providers on multi-venue exclusions</w:t>
            </w:r>
            <w:r w:rsidR="00A26D36">
              <w:rPr>
                <w:sz w:val="18"/>
                <w:szCs w:val="18"/>
              </w:rPr>
              <w:t>.</w:t>
            </w:r>
          </w:p>
        </w:tc>
        <w:tc>
          <w:tcPr>
            <w:tcW w:w="3402" w:type="dxa"/>
          </w:tcPr>
          <w:p w14:paraId="6AA9592C" w14:textId="5E1F3EBB" w:rsidR="00226FFD" w:rsidRPr="00226FFD" w:rsidRDefault="4FEF2642" w:rsidP="00CC0800">
            <w:pPr>
              <w:spacing w:before="40" w:after="40"/>
              <w:rPr>
                <w:sz w:val="18"/>
                <w:szCs w:val="18"/>
              </w:rPr>
            </w:pPr>
            <w:r w:rsidRPr="4FEF2642">
              <w:rPr>
                <w:sz w:val="18"/>
                <w:szCs w:val="18"/>
              </w:rPr>
              <w:t>Licence holder meets regularly with local problem gambling service providers and TLA</w:t>
            </w:r>
            <w:r w:rsidR="00CC0800">
              <w:rPr>
                <w:sz w:val="18"/>
                <w:szCs w:val="18"/>
              </w:rPr>
              <w:t xml:space="preserve"> to understand community need and respond to it</w:t>
            </w:r>
            <w:r w:rsidRPr="4FEF2642">
              <w:rPr>
                <w:sz w:val="18"/>
                <w:szCs w:val="18"/>
              </w:rPr>
              <w:t>. (</w:t>
            </w:r>
            <w:r w:rsidRPr="4897FD18">
              <w:rPr>
                <w:i/>
                <w:iCs/>
                <w:sz w:val="18"/>
                <w:szCs w:val="18"/>
              </w:rPr>
              <w:t xml:space="preserve">For </w:t>
            </w:r>
            <w:r w:rsidR="00CF66AF">
              <w:rPr>
                <w:i/>
                <w:iCs/>
                <w:sz w:val="18"/>
                <w:szCs w:val="18"/>
              </w:rPr>
              <w:t>best</w:t>
            </w:r>
            <w:r w:rsidRPr="4897FD18">
              <w:rPr>
                <w:i/>
                <w:iCs/>
                <w:sz w:val="18"/>
                <w:szCs w:val="18"/>
              </w:rPr>
              <w:t xml:space="preserve"> </w:t>
            </w:r>
            <w:r w:rsidR="001020CA">
              <w:rPr>
                <w:i/>
                <w:iCs/>
                <w:sz w:val="18"/>
                <w:szCs w:val="18"/>
              </w:rPr>
              <w:t>practice</w:t>
            </w:r>
            <w:r w:rsidRPr="4897FD18">
              <w:rPr>
                <w:i/>
                <w:iCs/>
                <w:sz w:val="18"/>
                <w:szCs w:val="18"/>
              </w:rPr>
              <w:t xml:space="preserve"> - more information </w:t>
            </w:r>
            <w:r w:rsidR="00CC0800">
              <w:rPr>
                <w:i/>
                <w:iCs/>
                <w:sz w:val="18"/>
                <w:szCs w:val="18"/>
              </w:rPr>
              <w:t xml:space="preserve">and evidence would be  </w:t>
            </w:r>
            <w:r w:rsidRPr="4897FD18">
              <w:rPr>
                <w:i/>
                <w:iCs/>
                <w:sz w:val="18"/>
                <w:szCs w:val="18"/>
              </w:rPr>
              <w:t xml:space="preserve">required on the </w:t>
            </w:r>
            <w:r w:rsidR="00CC0800">
              <w:rPr>
                <w:i/>
                <w:iCs/>
                <w:sz w:val="18"/>
                <w:szCs w:val="18"/>
              </w:rPr>
              <w:t xml:space="preserve">changes made </w:t>
            </w:r>
            <w:r w:rsidRPr="4897FD18">
              <w:rPr>
                <w:i/>
                <w:iCs/>
                <w:sz w:val="18"/>
                <w:szCs w:val="18"/>
              </w:rPr>
              <w:t>follow</w:t>
            </w:r>
            <w:r w:rsidR="00CC0800">
              <w:rPr>
                <w:i/>
                <w:iCs/>
                <w:sz w:val="18"/>
                <w:szCs w:val="18"/>
              </w:rPr>
              <w:t>ing these meetings</w:t>
            </w:r>
            <w:r w:rsidRPr="4897FD18">
              <w:rPr>
                <w:i/>
                <w:iCs/>
                <w:sz w:val="18"/>
                <w:szCs w:val="18"/>
              </w:rPr>
              <w:t xml:space="preserve"> </w:t>
            </w:r>
            <w:r w:rsidR="00CC0800">
              <w:rPr>
                <w:i/>
                <w:iCs/>
                <w:sz w:val="18"/>
                <w:szCs w:val="18"/>
              </w:rPr>
              <w:t xml:space="preserve">whether </w:t>
            </w:r>
            <w:r w:rsidRPr="4897FD18">
              <w:rPr>
                <w:i/>
                <w:iCs/>
                <w:sz w:val="18"/>
                <w:szCs w:val="18"/>
              </w:rPr>
              <w:t xml:space="preserve">review </w:t>
            </w:r>
            <w:r w:rsidR="00CC0800">
              <w:rPr>
                <w:i/>
                <w:iCs/>
                <w:sz w:val="18"/>
                <w:szCs w:val="18"/>
              </w:rPr>
              <w:t>of the changes were helpful</w:t>
            </w:r>
            <w:r w:rsidRPr="4FEF2642">
              <w:rPr>
                <w:sz w:val="18"/>
                <w:szCs w:val="18"/>
              </w:rPr>
              <w:t>)</w:t>
            </w:r>
          </w:p>
        </w:tc>
        <w:tc>
          <w:tcPr>
            <w:tcW w:w="3402" w:type="dxa"/>
          </w:tcPr>
          <w:p w14:paraId="77C99D8E" w14:textId="09FA939F" w:rsidR="00CC0800" w:rsidRDefault="4FEF2642" w:rsidP="00226FFD">
            <w:pPr>
              <w:spacing w:before="40" w:after="40"/>
              <w:rPr>
                <w:sz w:val="18"/>
                <w:szCs w:val="18"/>
              </w:rPr>
            </w:pPr>
            <w:r w:rsidRPr="4FEF2642">
              <w:rPr>
                <w:sz w:val="18"/>
                <w:szCs w:val="18"/>
              </w:rPr>
              <w:t xml:space="preserve">Licence holder works with gambling harm service providers to </w:t>
            </w:r>
            <w:r w:rsidR="00AC4758">
              <w:rPr>
                <w:sz w:val="18"/>
                <w:szCs w:val="18"/>
              </w:rPr>
              <w:t>deliver</w:t>
            </w:r>
            <w:r w:rsidRPr="4FEF2642">
              <w:rPr>
                <w:sz w:val="18"/>
                <w:szCs w:val="18"/>
              </w:rPr>
              <w:t xml:space="preserve"> harm minimisation effectively.</w:t>
            </w:r>
          </w:p>
          <w:p w14:paraId="7DCED32F" w14:textId="33C1CAF2" w:rsidR="00226FFD" w:rsidRPr="00226FFD" w:rsidRDefault="00CC0800" w:rsidP="00226FFD">
            <w:pPr>
              <w:spacing w:before="40" w:after="40"/>
              <w:rPr>
                <w:sz w:val="18"/>
                <w:szCs w:val="18"/>
              </w:rPr>
            </w:pPr>
            <w:r w:rsidRPr="4FEF2642">
              <w:rPr>
                <w:sz w:val="18"/>
                <w:szCs w:val="18"/>
              </w:rPr>
              <w:t xml:space="preserve">Licence holder uses information from external </w:t>
            </w:r>
            <w:r>
              <w:rPr>
                <w:sz w:val="18"/>
                <w:szCs w:val="18"/>
              </w:rPr>
              <w:t xml:space="preserve">stakeholder </w:t>
            </w:r>
            <w:r w:rsidRPr="4FEF2642">
              <w:rPr>
                <w:sz w:val="18"/>
                <w:szCs w:val="18"/>
              </w:rPr>
              <w:t>relationships to address and improve venue performance.</w:t>
            </w:r>
          </w:p>
        </w:tc>
      </w:tr>
    </w:tbl>
    <w:p w14:paraId="4FC7AF93" w14:textId="77777777" w:rsidR="00226FFD" w:rsidRPr="00226FFD" w:rsidRDefault="4FEF2642" w:rsidP="00D4551E">
      <w:pPr>
        <w:pStyle w:val="Heading4"/>
        <w:rPr>
          <w:i w:val="0"/>
        </w:rPr>
      </w:pPr>
      <w:r w:rsidRPr="4897FD18">
        <w:rPr>
          <w:i w:val="0"/>
        </w:rPr>
        <w:t>People Development Examples</w:t>
      </w:r>
    </w:p>
    <w:tbl>
      <w:tblPr>
        <w:tblStyle w:val="DIATable2"/>
        <w:tblW w:w="15451" w:type="dxa"/>
        <w:tblLook w:val="04A0" w:firstRow="1" w:lastRow="0" w:firstColumn="1" w:lastColumn="0" w:noHBand="0" w:noVBand="1"/>
      </w:tblPr>
      <w:tblGrid>
        <w:gridCol w:w="1843"/>
        <w:gridCol w:w="3402"/>
        <w:gridCol w:w="3402"/>
        <w:gridCol w:w="3402"/>
        <w:gridCol w:w="3402"/>
      </w:tblGrid>
      <w:tr w:rsidR="00226FFD" w:rsidRPr="00226FFD" w14:paraId="5309FA47" w14:textId="77777777" w:rsidTr="00A7586B">
        <w:trPr>
          <w:cnfStyle w:val="100000000000" w:firstRow="1" w:lastRow="0" w:firstColumn="0" w:lastColumn="0" w:oddVBand="0" w:evenVBand="0" w:oddHBand="0" w:evenHBand="0" w:firstRowFirstColumn="0" w:firstRowLastColumn="0" w:lastRowFirstColumn="0" w:lastRowLastColumn="0"/>
          <w:cantSplit w:val="0"/>
          <w:tblHeader/>
        </w:trPr>
        <w:tc>
          <w:tcPr>
            <w:tcW w:w="1843" w:type="dxa"/>
          </w:tcPr>
          <w:p w14:paraId="3AA7870D" w14:textId="77777777" w:rsidR="00226FFD" w:rsidRPr="00226FFD" w:rsidRDefault="4FEF2642" w:rsidP="00226FFD">
            <w:pPr>
              <w:rPr>
                <w:sz w:val="18"/>
                <w:szCs w:val="18"/>
              </w:rPr>
            </w:pPr>
            <w:r w:rsidRPr="4FEF2642">
              <w:rPr>
                <w:sz w:val="18"/>
                <w:szCs w:val="18"/>
              </w:rPr>
              <w:t>Framework</w:t>
            </w:r>
          </w:p>
        </w:tc>
        <w:tc>
          <w:tcPr>
            <w:tcW w:w="3402" w:type="dxa"/>
          </w:tcPr>
          <w:p w14:paraId="47F4D6BD" w14:textId="77777777" w:rsidR="00226FFD" w:rsidRPr="00226FFD" w:rsidRDefault="4FEF2642" w:rsidP="00226FFD">
            <w:pPr>
              <w:rPr>
                <w:sz w:val="18"/>
                <w:szCs w:val="18"/>
              </w:rPr>
            </w:pPr>
            <w:r w:rsidRPr="4FEF2642">
              <w:rPr>
                <w:sz w:val="18"/>
                <w:szCs w:val="18"/>
              </w:rPr>
              <w:t>Example of weak performance</w:t>
            </w:r>
          </w:p>
        </w:tc>
        <w:tc>
          <w:tcPr>
            <w:tcW w:w="3402" w:type="dxa"/>
          </w:tcPr>
          <w:p w14:paraId="16DEE269" w14:textId="77777777" w:rsidR="00226FFD" w:rsidRPr="00226FFD" w:rsidRDefault="4FEF2642" w:rsidP="00226FFD">
            <w:pPr>
              <w:rPr>
                <w:sz w:val="18"/>
                <w:szCs w:val="18"/>
              </w:rPr>
            </w:pPr>
            <w:r w:rsidRPr="4FEF2642">
              <w:rPr>
                <w:sz w:val="18"/>
                <w:szCs w:val="18"/>
              </w:rPr>
              <w:t>Example of needing development</w:t>
            </w:r>
          </w:p>
        </w:tc>
        <w:tc>
          <w:tcPr>
            <w:tcW w:w="3402" w:type="dxa"/>
          </w:tcPr>
          <w:p w14:paraId="7FA09023" w14:textId="77777777" w:rsidR="00226FFD" w:rsidRPr="00226FFD" w:rsidRDefault="4FEF2642" w:rsidP="00226FFD">
            <w:pPr>
              <w:rPr>
                <w:sz w:val="18"/>
                <w:szCs w:val="18"/>
              </w:rPr>
            </w:pPr>
            <w:r w:rsidRPr="4FEF2642">
              <w:rPr>
                <w:sz w:val="18"/>
                <w:szCs w:val="18"/>
              </w:rPr>
              <w:t>Example of well-placed capable</w:t>
            </w:r>
          </w:p>
        </w:tc>
        <w:tc>
          <w:tcPr>
            <w:tcW w:w="3402" w:type="dxa"/>
          </w:tcPr>
          <w:p w14:paraId="4DC67F2F" w14:textId="4946F9A2" w:rsidR="00226FFD" w:rsidRPr="00226FFD" w:rsidRDefault="00395062" w:rsidP="00226FFD">
            <w:pPr>
              <w:rPr>
                <w:sz w:val="18"/>
                <w:szCs w:val="18"/>
              </w:rPr>
            </w:pPr>
            <w:r>
              <w:rPr>
                <w:sz w:val="18"/>
                <w:szCs w:val="18"/>
              </w:rPr>
              <w:t xml:space="preserve">Example of </w:t>
            </w:r>
            <w:r w:rsidR="4FEF2642" w:rsidRPr="4FEF2642">
              <w:rPr>
                <w:sz w:val="18"/>
                <w:szCs w:val="18"/>
              </w:rPr>
              <w:t>best practice</w:t>
            </w:r>
          </w:p>
        </w:tc>
      </w:tr>
      <w:tr w:rsidR="00226FFD" w:rsidRPr="00226FFD" w14:paraId="4255837D" w14:textId="77777777" w:rsidTr="00A7586B">
        <w:trPr>
          <w:cantSplit w:val="0"/>
        </w:trPr>
        <w:tc>
          <w:tcPr>
            <w:tcW w:w="1843" w:type="dxa"/>
          </w:tcPr>
          <w:p w14:paraId="40D34538" w14:textId="77777777" w:rsidR="00226FFD" w:rsidRPr="00226FFD" w:rsidRDefault="4FEF2642" w:rsidP="00226FFD">
            <w:pPr>
              <w:spacing w:before="40" w:after="40"/>
              <w:rPr>
                <w:sz w:val="18"/>
                <w:szCs w:val="18"/>
              </w:rPr>
            </w:pPr>
            <w:r w:rsidRPr="4FEF2642">
              <w:rPr>
                <w:b/>
                <w:bCs/>
                <w:sz w:val="18"/>
                <w:szCs w:val="18"/>
              </w:rPr>
              <w:t>People development:</w:t>
            </w:r>
            <w:r w:rsidR="00226FFD">
              <w:br/>
            </w:r>
            <w:r w:rsidRPr="4FEF2642">
              <w:rPr>
                <w:sz w:val="18"/>
                <w:szCs w:val="18"/>
              </w:rPr>
              <w:t>Leadership and workforce</w:t>
            </w:r>
          </w:p>
        </w:tc>
        <w:tc>
          <w:tcPr>
            <w:tcW w:w="3402" w:type="dxa"/>
          </w:tcPr>
          <w:p w14:paraId="04133D81" w14:textId="7E567CAA" w:rsidR="00226FFD" w:rsidRPr="00226FFD" w:rsidRDefault="4FEF2642" w:rsidP="00226FFD">
            <w:pPr>
              <w:spacing w:before="40" w:after="40"/>
              <w:rPr>
                <w:sz w:val="18"/>
                <w:szCs w:val="18"/>
              </w:rPr>
            </w:pPr>
            <w:r w:rsidRPr="4FEF2642">
              <w:rPr>
                <w:sz w:val="18"/>
                <w:szCs w:val="18"/>
              </w:rPr>
              <w:t>Licence holder representatives / club managers lack comprehensive training</w:t>
            </w:r>
            <w:r w:rsidR="00A26D36">
              <w:rPr>
                <w:sz w:val="18"/>
                <w:szCs w:val="18"/>
              </w:rPr>
              <w:t>.</w:t>
            </w:r>
          </w:p>
          <w:p w14:paraId="712B2E44" w14:textId="1395DF56" w:rsidR="00226FFD" w:rsidRPr="00226FFD" w:rsidRDefault="4FEF2642" w:rsidP="00226FFD">
            <w:pPr>
              <w:spacing w:before="40" w:after="40"/>
              <w:rPr>
                <w:sz w:val="18"/>
                <w:szCs w:val="18"/>
              </w:rPr>
            </w:pPr>
            <w:r w:rsidRPr="4FEF2642">
              <w:rPr>
                <w:sz w:val="18"/>
                <w:szCs w:val="18"/>
              </w:rPr>
              <w:t>Staff not supported to raise issues and have open communication</w:t>
            </w:r>
            <w:r w:rsidR="00A26D36">
              <w:rPr>
                <w:sz w:val="18"/>
                <w:szCs w:val="18"/>
              </w:rPr>
              <w:t>.</w:t>
            </w:r>
          </w:p>
        </w:tc>
        <w:tc>
          <w:tcPr>
            <w:tcW w:w="3402" w:type="dxa"/>
          </w:tcPr>
          <w:p w14:paraId="209ACD95" w14:textId="68C6AC15" w:rsidR="00226FFD" w:rsidRPr="00226FFD" w:rsidRDefault="4FEF2642" w:rsidP="00226FFD">
            <w:pPr>
              <w:spacing w:before="40" w:after="40"/>
              <w:rPr>
                <w:sz w:val="18"/>
                <w:szCs w:val="18"/>
              </w:rPr>
            </w:pPr>
            <w:r w:rsidRPr="4FEF2642">
              <w:rPr>
                <w:sz w:val="18"/>
                <w:szCs w:val="18"/>
              </w:rPr>
              <w:t>Licence holder has robust employment performance practices.</w:t>
            </w:r>
          </w:p>
        </w:tc>
        <w:tc>
          <w:tcPr>
            <w:tcW w:w="3402" w:type="dxa"/>
          </w:tcPr>
          <w:p w14:paraId="6DCD8FBD" w14:textId="19FFDFE0" w:rsidR="00226FFD" w:rsidRPr="00226FFD" w:rsidRDefault="4FEF2642" w:rsidP="00226FFD">
            <w:pPr>
              <w:spacing w:before="40" w:after="40"/>
              <w:rPr>
                <w:sz w:val="18"/>
                <w:szCs w:val="18"/>
              </w:rPr>
            </w:pPr>
            <w:r w:rsidRPr="4FEF2642">
              <w:rPr>
                <w:sz w:val="18"/>
                <w:szCs w:val="18"/>
              </w:rPr>
              <w:t>Licence holder has training and learning in place to grow capability to achieve strategic direction.</w:t>
            </w:r>
          </w:p>
        </w:tc>
        <w:tc>
          <w:tcPr>
            <w:tcW w:w="3402" w:type="dxa"/>
          </w:tcPr>
          <w:p w14:paraId="021031DC" w14:textId="77777777" w:rsidR="00226FFD" w:rsidRPr="00226FFD" w:rsidRDefault="4FEF2642" w:rsidP="00226FFD">
            <w:pPr>
              <w:spacing w:before="40" w:after="40"/>
              <w:rPr>
                <w:sz w:val="18"/>
                <w:szCs w:val="18"/>
              </w:rPr>
            </w:pPr>
            <w:r w:rsidRPr="4FEF2642">
              <w:rPr>
                <w:sz w:val="18"/>
                <w:szCs w:val="18"/>
              </w:rPr>
              <w:t>Staff are supported to actively raise issues and areas of concern where there are risks or challenges to the strategic direction, these are addressed or a plan is put in place.</w:t>
            </w:r>
          </w:p>
        </w:tc>
      </w:tr>
      <w:tr w:rsidR="00226FFD" w:rsidRPr="00226FFD" w14:paraId="07DE075A" w14:textId="77777777" w:rsidTr="00A7586B">
        <w:trPr>
          <w:cantSplit w:val="0"/>
        </w:trPr>
        <w:tc>
          <w:tcPr>
            <w:tcW w:w="1843" w:type="dxa"/>
          </w:tcPr>
          <w:p w14:paraId="65A21F96" w14:textId="77777777" w:rsidR="00226FFD" w:rsidRPr="00226FFD" w:rsidRDefault="4FEF2642" w:rsidP="00226FFD">
            <w:pPr>
              <w:spacing w:before="40" w:after="40"/>
              <w:rPr>
                <w:sz w:val="18"/>
                <w:szCs w:val="18"/>
              </w:rPr>
            </w:pPr>
            <w:r w:rsidRPr="4FEF2642">
              <w:rPr>
                <w:b/>
                <w:bCs/>
                <w:sz w:val="18"/>
                <w:szCs w:val="18"/>
              </w:rPr>
              <w:t>People development:</w:t>
            </w:r>
            <w:r w:rsidR="00226FFD">
              <w:br/>
            </w:r>
            <w:r w:rsidRPr="4FEF2642">
              <w:rPr>
                <w:sz w:val="18"/>
                <w:szCs w:val="18"/>
              </w:rPr>
              <w:lastRenderedPageBreak/>
              <w:t>People management</w:t>
            </w:r>
          </w:p>
        </w:tc>
        <w:tc>
          <w:tcPr>
            <w:tcW w:w="3402" w:type="dxa"/>
          </w:tcPr>
          <w:p w14:paraId="17A2B1C9" w14:textId="77777777" w:rsidR="00226FFD" w:rsidRPr="00226FFD" w:rsidRDefault="4FEF2642" w:rsidP="00226FFD">
            <w:pPr>
              <w:spacing w:before="40" w:after="40"/>
              <w:rPr>
                <w:sz w:val="18"/>
                <w:szCs w:val="18"/>
              </w:rPr>
            </w:pPr>
            <w:r w:rsidRPr="4FEF2642">
              <w:rPr>
                <w:sz w:val="18"/>
                <w:szCs w:val="18"/>
              </w:rPr>
              <w:lastRenderedPageBreak/>
              <w:t xml:space="preserve">Inability to recognise performance gaps </w:t>
            </w:r>
            <w:r w:rsidRPr="4FEF2642">
              <w:rPr>
                <w:sz w:val="18"/>
                <w:szCs w:val="18"/>
              </w:rPr>
              <w:lastRenderedPageBreak/>
              <w:t>and/or limited awareness of what good performance looks like.</w:t>
            </w:r>
          </w:p>
        </w:tc>
        <w:tc>
          <w:tcPr>
            <w:tcW w:w="3402" w:type="dxa"/>
          </w:tcPr>
          <w:p w14:paraId="578B1BE6" w14:textId="77777777" w:rsidR="00226FFD" w:rsidRPr="00226FFD" w:rsidRDefault="4FEF2642" w:rsidP="00226FFD">
            <w:pPr>
              <w:spacing w:before="40" w:after="40"/>
              <w:rPr>
                <w:sz w:val="18"/>
                <w:szCs w:val="18"/>
              </w:rPr>
            </w:pPr>
            <w:r w:rsidRPr="4FEF2642">
              <w:rPr>
                <w:sz w:val="18"/>
                <w:szCs w:val="18"/>
              </w:rPr>
              <w:lastRenderedPageBreak/>
              <w:t xml:space="preserve">Staff and board members needing </w:t>
            </w:r>
            <w:r w:rsidRPr="4FEF2642">
              <w:rPr>
                <w:sz w:val="18"/>
                <w:szCs w:val="18"/>
              </w:rPr>
              <w:lastRenderedPageBreak/>
              <w:t>development are identified and an appropriate plan is in place to improve.</w:t>
            </w:r>
          </w:p>
        </w:tc>
        <w:tc>
          <w:tcPr>
            <w:tcW w:w="3402" w:type="dxa"/>
          </w:tcPr>
          <w:p w14:paraId="0EBA2305" w14:textId="77777777" w:rsidR="00226FFD" w:rsidRPr="00226FFD" w:rsidRDefault="4FEF2642" w:rsidP="00226FFD">
            <w:pPr>
              <w:spacing w:before="40" w:after="40"/>
              <w:rPr>
                <w:sz w:val="18"/>
                <w:szCs w:val="18"/>
              </w:rPr>
            </w:pPr>
            <w:r w:rsidRPr="4FEF2642">
              <w:rPr>
                <w:sz w:val="18"/>
                <w:szCs w:val="18"/>
              </w:rPr>
              <w:lastRenderedPageBreak/>
              <w:t xml:space="preserve">There is a system in place to address and </w:t>
            </w:r>
            <w:r w:rsidRPr="4FEF2642">
              <w:rPr>
                <w:sz w:val="18"/>
                <w:szCs w:val="18"/>
              </w:rPr>
              <w:lastRenderedPageBreak/>
              <w:t>lift overall performance to achieve high levels.</w:t>
            </w:r>
          </w:p>
        </w:tc>
        <w:tc>
          <w:tcPr>
            <w:tcW w:w="3402" w:type="dxa"/>
          </w:tcPr>
          <w:p w14:paraId="15DE2FD7" w14:textId="0CA6E389" w:rsidR="00226FFD" w:rsidRPr="00226FFD" w:rsidRDefault="4FEF2642" w:rsidP="00226FFD">
            <w:pPr>
              <w:spacing w:before="40" w:after="40"/>
              <w:rPr>
                <w:sz w:val="18"/>
                <w:szCs w:val="18"/>
              </w:rPr>
            </w:pPr>
            <w:r w:rsidRPr="4FEF2642">
              <w:rPr>
                <w:sz w:val="18"/>
                <w:szCs w:val="18"/>
              </w:rPr>
              <w:lastRenderedPageBreak/>
              <w:t xml:space="preserve">Staff are innovative and engaged. Good </w:t>
            </w:r>
            <w:r w:rsidRPr="4FEF2642">
              <w:rPr>
                <w:sz w:val="18"/>
                <w:szCs w:val="18"/>
              </w:rPr>
              <w:lastRenderedPageBreak/>
              <w:t>performance is rewarded. Staff strive</w:t>
            </w:r>
            <w:r w:rsidR="00A26D36">
              <w:rPr>
                <w:sz w:val="18"/>
                <w:szCs w:val="18"/>
              </w:rPr>
              <w:t>s</w:t>
            </w:r>
            <w:r w:rsidRPr="4FEF2642">
              <w:rPr>
                <w:sz w:val="18"/>
                <w:szCs w:val="18"/>
              </w:rPr>
              <w:t xml:space="preserve"> to learn and seek opportunities to improve.</w:t>
            </w:r>
          </w:p>
        </w:tc>
      </w:tr>
      <w:tr w:rsidR="00226FFD" w:rsidRPr="00226FFD" w14:paraId="0F3EC6F2" w14:textId="77777777" w:rsidTr="00A7586B">
        <w:trPr>
          <w:cantSplit w:val="0"/>
        </w:trPr>
        <w:tc>
          <w:tcPr>
            <w:tcW w:w="1843" w:type="dxa"/>
          </w:tcPr>
          <w:p w14:paraId="6BCCBCAB" w14:textId="77777777" w:rsidR="00226FFD" w:rsidRPr="00226FFD" w:rsidRDefault="4FEF2642" w:rsidP="00226FFD">
            <w:pPr>
              <w:spacing w:before="40" w:after="40"/>
              <w:rPr>
                <w:sz w:val="18"/>
                <w:szCs w:val="18"/>
              </w:rPr>
            </w:pPr>
            <w:r w:rsidRPr="4FEF2642">
              <w:rPr>
                <w:b/>
                <w:bCs/>
                <w:sz w:val="18"/>
                <w:szCs w:val="18"/>
              </w:rPr>
              <w:lastRenderedPageBreak/>
              <w:t>People development:</w:t>
            </w:r>
            <w:r w:rsidR="00226FFD">
              <w:br/>
            </w:r>
            <w:r w:rsidRPr="4FEF2642">
              <w:rPr>
                <w:sz w:val="18"/>
                <w:szCs w:val="18"/>
              </w:rPr>
              <w:t>Engagement with staff</w:t>
            </w:r>
          </w:p>
        </w:tc>
        <w:tc>
          <w:tcPr>
            <w:tcW w:w="3402" w:type="dxa"/>
          </w:tcPr>
          <w:p w14:paraId="286ED612" w14:textId="77777777" w:rsidR="00226FFD" w:rsidRPr="00226FFD" w:rsidRDefault="4FEF2642" w:rsidP="00226FFD">
            <w:pPr>
              <w:spacing w:before="40" w:after="40"/>
              <w:rPr>
                <w:sz w:val="18"/>
                <w:szCs w:val="18"/>
              </w:rPr>
            </w:pPr>
            <w:r w:rsidRPr="4FEF2642">
              <w:rPr>
                <w:sz w:val="18"/>
                <w:szCs w:val="18"/>
              </w:rPr>
              <w:t>Ineffective engagement with staff and/or limited ability to track improvement.</w:t>
            </w:r>
          </w:p>
        </w:tc>
        <w:tc>
          <w:tcPr>
            <w:tcW w:w="3402" w:type="dxa"/>
          </w:tcPr>
          <w:p w14:paraId="3F17443C" w14:textId="27BA08BD" w:rsidR="00226FFD" w:rsidRPr="00226FFD" w:rsidRDefault="4FEF2642" w:rsidP="00226FFD">
            <w:pPr>
              <w:spacing w:before="40" w:after="40"/>
              <w:rPr>
                <w:sz w:val="18"/>
                <w:szCs w:val="18"/>
              </w:rPr>
            </w:pPr>
            <w:r w:rsidRPr="4FEF2642">
              <w:rPr>
                <w:sz w:val="18"/>
                <w:szCs w:val="18"/>
              </w:rPr>
              <w:t>Staff are regularly engaged for ongoing improvement and this engagement is used to make improvements</w:t>
            </w:r>
            <w:r w:rsidR="00A26D36">
              <w:rPr>
                <w:sz w:val="18"/>
                <w:szCs w:val="18"/>
              </w:rPr>
              <w:t>.</w:t>
            </w:r>
          </w:p>
        </w:tc>
        <w:tc>
          <w:tcPr>
            <w:tcW w:w="3402" w:type="dxa"/>
          </w:tcPr>
          <w:p w14:paraId="7AA18783" w14:textId="77777777" w:rsidR="00226FFD" w:rsidRPr="00226FFD" w:rsidRDefault="4FEF2642" w:rsidP="00226FFD">
            <w:pPr>
              <w:spacing w:before="40" w:after="40"/>
              <w:rPr>
                <w:sz w:val="18"/>
                <w:szCs w:val="18"/>
              </w:rPr>
            </w:pPr>
            <w:r w:rsidRPr="4FEF2642">
              <w:rPr>
                <w:sz w:val="18"/>
                <w:szCs w:val="18"/>
              </w:rPr>
              <w:t>A plan is put in place to address staff issues and survey results show steady improvement.</w:t>
            </w:r>
          </w:p>
        </w:tc>
        <w:tc>
          <w:tcPr>
            <w:tcW w:w="3402" w:type="dxa"/>
          </w:tcPr>
          <w:p w14:paraId="21D8A500" w14:textId="6FA02ADF" w:rsidR="00226FFD" w:rsidRPr="00226FFD" w:rsidRDefault="4FEF2642" w:rsidP="00226FFD">
            <w:pPr>
              <w:spacing w:before="40" w:after="40"/>
              <w:rPr>
                <w:sz w:val="18"/>
                <w:szCs w:val="18"/>
              </w:rPr>
            </w:pPr>
            <w:r w:rsidRPr="4FEF2642">
              <w:rPr>
                <w:sz w:val="18"/>
                <w:szCs w:val="18"/>
              </w:rPr>
              <w:t>Engagement issues are readily responded to and new approaches are developed and trialled</w:t>
            </w:r>
            <w:r w:rsidR="00A26D36">
              <w:rPr>
                <w:sz w:val="18"/>
                <w:szCs w:val="18"/>
              </w:rPr>
              <w:t>.</w:t>
            </w:r>
            <w:r w:rsidRPr="4FEF2642">
              <w:rPr>
                <w:sz w:val="18"/>
                <w:szCs w:val="18"/>
              </w:rPr>
              <w:t xml:space="preserve"> </w:t>
            </w:r>
          </w:p>
        </w:tc>
      </w:tr>
      <w:tr w:rsidR="00226FFD" w:rsidRPr="00226FFD" w14:paraId="1CA3C149" w14:textId="77777777" w:rsidTr="00A7586B">
        <w:trPr>
          <w:cantSplit w:val="0"/>
        </w:trPr>
        <w:tc>
          <w:tcPr>
            <w:tcW w:w="1843" w:type="dxa"/>
          </w:tcPr>
          <w:p w14:paraId="7662F280" w14:textId="77777777" w:rsidR="00226FFD" w:rsidRPr="00226FFD" w:rsidRDefault="4FEF2642" w:rsidP="00226FFD">
            <w:pPr>
              <w:spacing w:before="40" w:after="40"/>
              <w:rPr>
                <w:sz w:val="18"/>
                <w:szCs w:val="18"/>
              </w:rPr>
            </w:pPr>
            <w:r w:rsidRPr="4FEF2642">
              <w:rPr>
                <w:b/>
                <w:bCs/>
                <w:sz w:val="18"/>
                <w:szCs w:val="18"/>
              </w:rPr>
              <w:t>People development:</w:t>
            </w:r>
            <w:r w:rsidR="00226FFD">
              <w:br/>
            </w:r>
            <w:r w:rsidRPr="4FEF2642">
              <w:rPr>
                <w:sz w:val="18"/>
                <w:szCs w:val="18"/>
              </w:rPr>
              <w:t>Venue training</w:t>
            </w:r>
          </w:p>
        </w:tc>
        <w:tc>
          <w:tcPr>
            <w:tcW w:w="3402" w:type="dxa"/>
          </w:tcPr>
          <w:p w14:paraId="4CFE085E" w14:textId="77777777" w:rsidR="00226FFD" w:rsidRPr="00226FFD" w:rsidRDefault="4FEF2642" w:rsidP="00226FFD">
            <w:pPr>
              <w:spacing w:before="40" w:after="40"/>
              <w:rPr>
                <w:sz w:val="18"/>
                <w:szCs w:val="18"/>
              </w:rPr>
            </w:pPr>
            <w:r w:rsidRPr="4FEF2642">
              <w:rPr>
                <w:sz w:val="18"/>
                <w:szCs w:val="18"/>
              </w:rPr>
              <w:t>There is little intervention by the venue manager to intervene or support staff on harm minimisation.</w:t>
            </w:r>
          </w:p>
        </w:tc>
        <w:tc>
          <w:tcPr>
            <w:tcW w:w="3402" w:type="dxa"/>
          </w:tcPr>
          <w:p w14:paraId="4893DF55" w14:textId="77777777" w:rsidR="00226FFD" w:rsidRPr="00226FFD" w:rsidRDefault="4FEF2642" w:rsidP="00226FFD">
            <w:pPr>
              <w:spacing w:before="40" w:after="40"/>
              <w:rPr>
                <w:sz w:val="18"/>
                <w:szCs w:val="18"/>
              </w:rPr>
            </w:pPr>
            <w:r w:rsidRPr="4FEF2642">
              <w:rPr>
                <w:sz w:val="18"/>
                <w:szCs w:val="18"/>
              </w:rPr>
              <w:t>Venue staff are trained, supported to deliver gambling host responsibility.</w:t>
            </w:r>
          </w:p>
        </w:tc>
        <w:tc>
          <w:tcPr>
            <w:tcW w:w="3402" w:type="dxa"/>
          </w:tcPr>
          <w:p w14:paraId="6BEB89E8" w14:textId="0A97B3A4" w:rsidR="00226FFD" w:rsidRPr="00226FFD" w:rsidRDefault="4FEF2642" w:rsidP="00226FFD">
            <w:pPr>
              <w:spacing w:before="40" w:after="40"/>
              <w:rPr>
                <w:sz w:val="18"/>
                <w:szCs w:val="18"/>
              </w:rPr>
            </w:pPr>
            <w:r w:rsidRPr="4FEF2642">
              <w:rPr>
                <w:sz w:val="18"/>
                <w:szCs w:val="18"/>
              </w:rPr>
              <w:t>Licence holder regularly support venues so staff are safe and display gambling host responsibility.</w:t>
            </w:r>
          </w:p>
          <w:p w14:paraId="461674CE" w14:textId="40A151BE" w:rsidR="00226FFD" w:rsidRPr="00226FFD" w:rsidRDefault="4FEF2642" w:rsidP="00226FFD">
            <w:pPr>
              <w:spacing w:before="40" w:after="40"/>
              <w:rPr>
                <w:sz w:val="18"/>
                <w:szCs w:val="18"/>
              </w:rPr>
            </w:pPr>
            <w:r w:rsidRPr="4FEF2642">
              <w:rPr>
                <w:sz w:val="18"/>
                <w:szCs w:val="18"/>
              </w:rPr>
              <w:t>Licence holder provides a video and role play as part of its harm min</w:t>
            </w:r>
            <w:r w:rsidR="00AC4758">
              <w:rPr>
                <w:sz w:val="18"/>
                <w:szCs w:val="18"/>
              </w:rPr>
              <w:t>imisation</w:t>
            </w:r>
            <w:r w:rsidRPr="4FEF2642">
              <w:rPr>
                <w:sz w:val="18"/>
                <w:szCs w:val="18"/>
              </w:rPr>
              <w:t xml:space="preserve"> training and follows up to ensure staff completed the exercise and understand their harm minimisation role. (</w:t>
            </w:r>
            <w:r w:rsidRPr="4897FD18">
              <w:rPr>
                <w:i/>
                <w:iCs/>
                <w:sz w:val="18"/>
                <w:szCs w:val="18"/>
              </w:rPr>
              <w:t xml:space="preserve">For </w:t>
            </w:r>
            <w:r w:rsidR="00CF66AF">
              <w:rPr>
                <w:i/>
                <w:iCs/>
                <w:sz w:val="18"/>
                <w:szCs w:val="18"/>
              </w:rPr>
              <w:t>best</w:t>
            </w:r>
            <w:r w:rsidRPr="4897FD18">
              <w:rPr>
                <w:i/>
                <w:iCs/>
                <w:sz w:val="18"/>
                <w:szCs w:val="18"/>
              </w:rPr>
              <w:t xml:space="preserve"> </w:t>
            </w:r>
            <w:r w:rsidR="001020CA">
              <w:rPr>
                <w:i/>
                <w:iCs/>
                <w:sz w:val="18"/>
                <w:szCs w:val="18"/>
              </w:rPr>
              <w:t>practice</w:t>
            </w:r>
            <w:r w:rsidRPr="4897FD18">
              <w:rPr>
                <w:i/>
                <w:iCs/>
                <w:sz w:val="18"/>
                <w:szCs w:val="18"/>
              </w:rPr>
              <w:t xml:space="preserve"> -</w:t>
            </w:r>
            <w:r w:rsidRPr="4FEF2642">
              <w:rPr>
                <w:sz w:val="18"/>
                <w:szCs w:val="18"/>
              </w:rPr>
              <w:t xml:space="preserve"> </w:t>
            </w:r>
            <w:r w:rsidRPr="4897FD18">
              <w:rPr>
                <w:i/>
                <w:iCs/>
                <w:sz w:val="18"/>
                <w:szCs w:val="18"/>
              </w:rPr>
              <w:t>need more info on how they review effectiveness of training and make changes accordingly</w:t>
            </w:r>
            <w:r w:rsidRPr="4FEF2642">
              <w:rPr>
                <w:sz w:val="18"/>
                <w:szCs w:val="18"/>
              </w:rPr>
              <w:t>)</w:t>
            </w:r>
          </w:p>
        </w:tc>
        <w:tc>
          <w:tcPr>
            <w:tcW w:w="3402" w:type="dxa"/>
          </w:tcPr>
          <w:p w14:paraId="668BCF7C" w14:textId="6CFDED69" w:rsidR="00226FFD" w:rsidRPr="00226FFD" w:rsidRDefault="4FEF2642" w:rsidP="00AC4758">
            <w:pPr>
              <w:spacing w:before="40" w:after="40"/>
              <w:rPr>
                <w:sz w:val="18"/>
                <w:szCs w:val="18"/>
              </w:rPr>
            </w:pPr>
            <w:r w:rsidRPr="4FEF2642">
              <w:rPr>
                <w:sz w:val="18"/>
                <w:szCs w:val="18"/>
              </w:rPr>
              <w:t>Licence holder regularly verifies that venue staff delivers effective intervention.</w:t>
            </w:r>
          </w:p>
        </w:tc>
      </w:tr>
    </w:tbl>
    <w:p w14:paraId="513ABCF3" w14:textId="00C2F89F" w:rsidR="00226FFD" w:rsidRPr="00226FFD" w:rsidRDefault="4FEF2642" w:rsidP="00D4551E">
      <w:pPr>
        <w:pStyle w:val="Heading4"/>
        <w:rPr>
          <w:i w:val="0"/>
        </w:rPr>
      </w:pPr>
      <w:r w:rsidRPr="4897FD18">
        <w:rPr>
          <w:i w:val="0"/>
        </w:rPr>
        <w:t>Financial &amp; Resource Management Examples</w:t>
      </w:r>
    </w:p>
    <w:tbl>
      <w:tblPr>
        <w:tblStyle w:val="DIATable2"/>
        <w:tblW w:w="15451" w:type="dxa"/>
        <w:tblLook w:val="04A0" w:firstRow="1" w:lastRow="0" w:firstColumn="1" w:lastColumn="0" w:noHBand="0" w:noVBand="1"/>
      </w:tblPr>
      <w:tblGrid>
        <w:gridCol w:w="1843"/>
        <w:gridCol w:w="3402"/>
        <w:gridCol w:w="3402"/>
        <w:gridCol w:w="3402"/>
        <w:gridCol w:w="3402"/>
      </w:tblGrid>
      <w:tr w:rsidR="00226FFD" w:rsidRPr="00226FFD" w14:paraId="597988CE" w14:textId="77777777" w:rsidTr="00113C9F">
        <w:trPr>
          <w:cnfStyle w:val="100000000000" w:firstRow="1" w:lastRow="0" w:firstColumn="0" w:lastColumn="0" w:oddVBand="0" w:evenVBand="0" w:oddHBand="0" w:evenHBand="0" w:firstRowFirstColumn="0" w:firstRowLastColumn="0" w:lastRowFirstColumn="0" w:lastRowLastColumn="0"/>
        </w:trPr>
        <w:tc>
          <w:tcPr>
            <w:tcW w:w="1843" w:type="dxa"/>
          </w:tcPr>
          <w:p w14:paraId="556F8F4B" w14:textId="77777777" w:rsidR="00226FFD" w:rsidRPr="00226FFD" w:rsidRDefault="4FEF2642" w:rsidP="00226FFD">
            <w:pPr>
              <w:rPr>
                <w:sz w:val="18"/>
                <w:szCs w:val="18"/>
              </w:rPr>
            </w:pPr>
            <w:r w:rsidRPr="4FEF2642">
              <w:rPr>
                <w:sz w:val="18"/>
                <w:szCs w:val="18"/>
              </w:rPr>
              <w:t>Framework</w:t>
            </w:r>
          </w:p>
        </w:tc>
        <w:tc>
          <w:tcPr>
            <w:tcW w:w="3402" w:type="dxa"/>
          </w:tcPr>
          <w:p w14:paraId="33D901FE" w14:textId="77777777" w:rsidR="00226FFD" w:rsidRPr="00226FFD" w:rsidRDefault="4FEF2642" w:rsidP="00226FFD">
            <w:pPr>
              <w:rPr>
                <w:sz w:val="18"/>
                <w:szCs w:val="18"/>
              </w:rPr>
            </w:pPr>
            <w:r w:rsidRPr="4FEF2642">
              <w:rPr>
                <w:sz w:val="18"/>
                <w:szCs w:val="18"/>
              </w:rPr>
              <w:t>Example of weak performance</w:t>
            </w:r>
          </w:p>
        </w:tc>
        <w:tc>
          <w:tcPr>
            <w:tcW w:w="3402" w:type="dxa"/>
          </w:tcPr>
          <w:p w14:paraId="272E4DA2" w14:textId="77777777" w:rsidR="00226FFD" w:rsidRPr="00226FFD" w:rsidRDefault="4FEF2642" w:rsidP="00226FFD">
            <w:pPr>
              <w:rPr>
                <w:sz w:val="18"/>
                <w:szCs w:val="18"/>
              </w:rPr>
            </w:pPr>
            <w:r w:rsidRPr="4FEF2642">
              <w:rPr>
                <w:sz w:val="18"/>
                <w:szCs w:val="18"/>
              </w:rPr>
              <w:t>Example of needing development</w:t>
            </w:r>
          </w:p>
        </w:tc>
        <w:tc>
          <w:tcPr>
            <w:tcW w:w="3402" w:type="dxa"/>
          </w:tcPr>
          <w:p w14:paraId="366509F5" w14:textId="77777777" w:rsidR="00226FFD" w:rsidRPr="00226FFD" w:rsidRDefault="4FEF2642" w:rsidP="00226FFD">
            <w:pPr>
              <w:rPr>
                <w:sz w:val="18"/>
                <w:szCs w:val="18"/>
              </w:rPr>
            </w:pPr>
            <w:r w:rsidRPr="4FEF2642">
              <w:rPr>
                <w:sz w:val="18"/>
                <w:szCs w:val="18"/>
              </w:rPr>
              <w:t>Example of well-placed capable</w:t>
            </w:r>
          </w:p>
        </w:tc>
        <w:tc>
          <w:tcPr>
            <w:tcW w:w="3402" w:type="dxa"/>
          </w:tcPr>
          <w:p w14:paraId="5D3BC821" w14:textId="63D91A0A" w:rsidR="00226FFD" w:rsidRPr="00226FFD" w:rsidRDefault="00395062" w:rsidP="00226FFD">
            <w:pPr>
              <w:rPr>
                <w:sz w:val="18"/>
                <w:szCs w:val="18"/>
              </w:rPr>
            </w:pPr>
            <w:r>
              <w:rPr>
                <w:sz w:val="18"/>
                <w:szCs w:val="18"/>
              </w:rPr>
              <w:t xml:space="preserve">Example of </w:t>
            </w:r>
            <w:r w:rsidR="4FEF2642" w:rsidRPr="4FEF2642">
              <w:rPr>
                <w:sz w:val="18"/>
                <w:szCs w:val="18"/>
              </w:rPr>
              <w:t>best practice</w:t>
            </w:r>
          </w:p>
        </w:tc>
      </w:tr>
      <w:tr w:rsidR="00226FFD" w:rsidRPr="00226FFD" w14:paraId="1110A629" w14:textId="77777777" w:rsidTr="00113C9F">
        <w:tc>
          <w:tcPr>
            <w:tcW w:w="1843" w:type="dxa"/>
          </w:tcPr>
          <w:p w14:paraId="2682397A" w14:textId="77777777" w:rsidR="00226FFD" w:rsidRPr="00226FFD" w:rsidRDefault="4FEF2642" w:rsidP="00226FFD">
            <w:pPr>
              <w:spacing w:before="40" w:after="40"/>
              <w:rPr>
                <w:sz w:val="18"/>
                <w:szCs w:val="18"/>
              </w:rPr>
            </w:pPr>
            <w:r w:rsidRPr="4FEF2642">
              <w:rPr>
                <w:b/>
                <w:bCs/>
                <w:sz w:val="18"/>
                <w:szCs w:val="18"/>
              </w:rPr>
              <w:t>Financial &amp; Resource Management:</w:t>
            </w:r>
            <w:r w:rsidR="00226FFD">
              <w:br/>
            </w:r>
            <w:r w:rsidRPr="4FEF2642">
              <w:rPr>
                <w:sz w:val="18"/>
                <w:szCs w:val="18"/>
              </w:rPr>
              <w:t>Asset Management</w:t>
            </w:r>
          </w:p>
        </w:tc>
        <w:tc>
          <w:tcPr>
            <w:tcW w:w="3402" w:type="dxa"/>
          </w:tcPr>
          <w:p w14:paraId="6CE3D3B6" w14:textId="77777777" w:rsidR="00226FFD" w:rsidRPr="00226FFD" w:rsidRDefault="4FEF2642" w:rsidP="00226FFD">
            <w:pPr>
              <w:spacing w:before="40" w:after="40"/>
              <w:rPr>
                <w:sz w:val="18"/>
                <w:szCs w:val="18"/>
              </w:rPr>
            </w:pPr>
            <w:r w:rsidRPr="4FEF2642">
              <w:rPr>
                <w:sz w:val="18"/>
                <w:szCs w:val="18"/>
              </w:rPr>
              <w:t>Action is taken in response to issues as they arise.</w:t>
            </w:r>
          </w:p>
        </w:tc>
        <w:tc>
          <w:tcPr>
            <w:tcW w:w="3402" w:type="dxa"/>
          </w:tcPr>
          <w:p w14:paraId="7B3DD783" w14:textId="77777777" w:rsidR="00226FFD" w:rsidRPr="00226FFD" w:rsidRDefault="4FEF2642" w:rsidP="00226FFD">
            <w:pPr>
              <w:spacing w:before="40" w:after="40"/>
              <w:rPr>
                <w:sz w:val="18"/>
                <w:szCs w:val="18"/>
              </w:rPr>
            </w:pPr>
            <w:r w:rsidRPr="4FEF2642">
              <w:rPr>
                <w:sz w:val="18"/>
                <w:szCs w:val="18"/>
              </w:rPr>
              <w:t>Gaming Machines are maintained and comply with requirements.</w:t>
            </w:r>
          </w:p>
        </w:tc>
        <w:tc>
          <w:tcPr>
            <w:tcW w:w="3402" w:type="dxa"/>
          </w:tcPr>
          <w:p w14:paraId="75FDFAEA" w14:textId="3605D1FB" w:rsidR="00226FFD" w:rsidRDefault="4FEF2642" w:rsidP="00226FFD">
            <w:pPr>
              <w:spacing w:before="40" w:after="40"/>
              <w:rPr>
                <w:sz w:val="18"/>
                <w:szCs w:val="18"/>
              </w:rPr>
            </w:pPr>
            <w:r w:rsidRPr="4FEF2642">
              <w:rPr>
                <w:sz w:val="18"/>
                <w:szCs w:val="18"/>
              </w:rPr>
              <w:t>Licence holder employs a technician directly rather than contracting out to a service provider. (</w:t>
            </w:r>
            <w:r w:rsidR="00AC4758" w:rsidRPr="00AC4758">
              <w:rPr>
                <w:i/>
                <w:sz w:val="18"/>
                <w:szCs w:val="18"/>
              </w:rPr>
              <w:t xml:space="preserve">For best practice - </w:t>
            </w:r>
            <w:r w:rsidRPr="00AC4758">
              <w:rPr>
                <w:i/>
                <w:sz w:val="18"/>
                <w:szCs w:val="18"/>
              </w:rPr>
              <w:t>need more evidence as to why that decision was made and the factors considered</w:t>
            </w:r>
            <w:r w:rsidRPr="4FEF2642">
              <w:rPr>
                <w:sz w:val="18"/>
                <w:szCs w:val="18"/>
              </w:rPr>
              <w:t xml:space="preserve">) </w:t>
            </w:r>
          </w:p>
          <w:p w14:paraId="21CD0E27" w14:textId="2913D881" w:rsidR="00AC4758" w:rsidRPr="00226FFD" w:rsidRDefault="00AC4758" w:rsidP="00226FFD">
            <w:pPr>
              <w:spacing w:before="40" w:after="40"/>
              <w:rPr>
                <w:sz w:val="18"/>
                <w:szCs w:val="18"/>
              </w:rPr>
            </w:pPr>
            <w:r>
              <w:rPr>
                <w:sz w:val="18"/>
                <w:szCs w:val="18"/>
              </w:rPr>
              <w:t>A</w:t>
            </w:r>
            <w:r w:rsidRPr="4FEF2642">
              <w:rPr>
                <w:sz w:val="18"/>
                <w:szCs w:val="18"/>
              </w:rPr>
              <w:t xml:space="preserve">n asset management plan </w:t>
            </w:r>
            <w:r>
              <w:rPr>
                <w:sz w:val="18"/>
                <w:szCs w:val="18"/>
              </w:rPr>
              <w:t xml:space="preserve">is </w:t>
            </w:r>
            <w:r w:rsidRPr="4FEF2642">
              <w:rPr>
                <w:sz w:val="18"/>
                <w:szCs w:val="18"/>
              </w:rPr>
              <w:t>in place</w:t>
            </w:r>
            <w:r>
              <w:rPr>
                <w:sz w:val="18"/>
                <w:szCs w:val="18"/>
              </w:rPr>
              <w:t>.</w:t>
            </w:r>
          </w:p>
        </w:tc>
        <w:tc>
          <w:tcPr>
            <w:tcW w:w="3402" w:type="dxa"/>
          </w:tcPr>
          <w:p w14:paraId="52A4A311" w14:textId="77777777" w:rsidR="00226FFD" w:rsidRPr="00226FFD" w:rsidRDefault="4FEF2642" w:rsidP="00226FFD">
            <w:pPr>
              <w:spacing w:before="40" w:after="40"/>
              <w:rPr>
                <w:sz w:val="18"/>
                <w:szCs w:val="18"/>
              </w:rPr>
            </w:pPr>
            <w:r w:rsidRPr="4FEF2642">
              <w:rPr>
                <w:sz w:val="18"/>
                <w:szCs w:val="18"/>
              </w:rPr>
              <w:t>Has a responsive asset management strategy in place that minimises costs.</w:t>
            </w:r>
          </w:p>
        </w:tc>
      </w:tr>
      <w:tr w:rsidR="00226FFD" w:rsidRPr="00226FFD" w14:paraId="4C39B35A" w14:textId="77777777" w:rsidTr="00113C9F">
        <w:tc>
          <w:tcPr>
            <w:tcW w:w="1843" w:type="dxa"/>
          </w:tcPr>
          <w:p w14:paraId="46C32459" w14:textId="77777777" w:rsidR="00226FFD" w:rsidRPr="00226FFD" w:rsidRDefault="4FEF2642" w:rsidP="00226FFD">
            <w:pPr>
              <w:spacing w:before="40" w:after="40"/>
              <w:rPr>
                <w:b/>
                <w:sz w:val="18"/>
                <w:szCs w:val="18"/>
              </w:rPr>
            </w:pPr>
            <w:r w:rsidRPr="4FEF2642">
              <w:rPr>
                <w:b/>
                <w:bCs/>
                <w:sz w:val="18"/>
                <w:szCs w:val="18"/>
              </w:rPr>
              <w:t>Financial &amp; Resource Management:</w:t>
            </w:r>
          </w:p>
          <w:p w14:paraId="47563FAD" w14:textId="77777777" w:rsidR="00226FFD" w:rsidRPr="00226FFD" w:rsidRDefault="4FEF2642" w:rsidP="00226FFD">
            <w:pPr>
              <w:spacing w:before="40" w:after="40"/>
              <w:rPr>
                <w:sz w:val="18"/>
                <w:szCs w:val="18"/>
              </w:rPr>
            </w:pPr>
            <w:r w:rsidRPr="4FEF2642">
              <w:rPr>
                <w:sz w:val="18"/>
                <w:szCs w:val="18"/>
              </w:rPr>
              <w:t>Information Management</w:t>
            </w:r>
          </w:p>
        </w:tc>
        <w:tc>
          <w:tcPr>
            <w:tcW w:w="3402" w:type="dxa"/>
          </w:tcPr>
          <w:p w14:paraId="52D5A56A" w14:textId="77777777" w:rsidR="00226FFD" w:rsidRPr="00226FFD" w:rsidRDefault="4FEF2642" w:rsidP="00226FFD">
            <w:pPr>
              <w:spacing w:before="40" w:after="40"/>
              <w:rPr>
                <w:sz w:val="18"/>
                <w:szCs w:val="18"/>
              </w:rPr>
            </w:pPr>
            <w:r w:rsidRPr="4FEF2642">
              <w:rPr>
                <w:sz w:val="18"/>
                <w:szCs w:val="18"/>
              </w:rPr>
              <w:t>Information not stored in a structured and/or secure manner.</w:t>
            </w:r>
          </w:p>
        </w:tc>
        <w:tc>
          <w:tcPr>
            <w:tcW w:w="3402" w:type="dxa"/>
          </w:tcPr>
          <w:p w14:paraId="6937BDFB" w14:textId="77777777" w:rsidR="00226FFD" w:rsidRPr="00226FFD" w:rsidRDefault="4FEF2642" w:rsidP="00226FFD">
            <w:pPr>
              <w:spacing w:before="40" w:after="40"/>
              <w:rPr>
                <w:sz w:val="18"/>
                <w:szCs w:val="18"/>
              </w:rPr>
            </w:pPr>
            <w:r w:rsidRPr="4FEF2642">
              <w:rPr>
                <w:sz w:val="18"/>
                <w:szCs w:val="18"/>
              </w:rPr>
              <w:t>Maintains adequate records.</w:t>
            </w:r>
          </w:p>
        </w:tc>
        <w:tc>
          <w:tcPr>
            <w:tcW w:w="3402" w:type="dxa"/>
          </w:tcPr>
          <w:p w14:paraId="1A80244C" w14:textId="77777777" w:rsidR="00226FFD" w:rsidRPr="00226FFD" w:rsidRDefault="4FEF2642" w:rsidP="00226FFD">
            <w:pPr>
              <w:spacing w:before="40" w:after="40"/>
              <w:rPr>
                <w:sz w:val="18"/>
                <w:szCs w:val="18"/>
              </w:rPr>
            </w:pPr>
            <w:r w:rsidRPr="4FEF2642">
              <w:rPr>
                <w:sz w:val="18"/>
                <w:szCs w:val="18"/>
              </w:rPr>
              <w:t>Has a structured information management system where records/information can be easily retrieved.</w:t>
            </w:r>
          </w:p>
        </w:tc>
        <w:tc>
          <w:tcPr>
            <w:tcW w:w="3402" w:type="dxa"/>
          </w:tcPr>
          <w:p w14:paraId="40FD307B" w14:textId="77777777" w:rsidR="00226FFD" w:rsidRPr="00226FFD" w:rsidRDefault="4FEF2642" w:rsidP="00226FFD">
            <w:pPr>
              <w:spacing w:before="40" w:after="40"/>
              <w:rPr>
                <w:sz w:val="18"/>
                <w:szCs w:val="18"/>
              </w:rPr>
            </w:pPr>
            <w:r w:rsidRPr="4FEF2642">
              <w:rPr>
                <w:sz w:val="18"/>
                <w:szCs w:val="18"/>
              </w:rPr>
              <w:t>Has a structured information management system and uses the information to incorporate into strategy and planning processes.</w:t>
            </w:r>
          </w:p>
        </w:tc>
      </w:tr>
      <w:tr w:rsidR="00226FFD" w:rsidRPr="00226FFD" w14:paraId="6194F0B9" w14:textId="77777777" w:rsidTr="00113C9F">
        <w:tc>
          <w:tcPr>
            <w:tcW w:w="1843" w:type="dxa"/>
          </w:tcPr>
          <w:p w14:paraId="5CA26746" w14:textId="77777777" w:rsidR="00226FFD" w:rsidRPr="00226FFD" w:rsidRDefault="4FEF2642" w:rsidP="00226FFD">
            <w:pPr>
              <w:spacing w:before="40" w:after="40"/>
              <w:rPr>
                <w:b/>
                <w:sz w:val="18"/>
                <w:szCs w:val="18"/>
              </w:rPr>
            </w:pPr>
            <w:r w:rsidRPr="4FEF2642">
              <w:rPr>
                <w:b/>
                <w:bCs/>
                <w:sz w:val="18"/>
                <w:szCs w:val="18"/>
              </w:rPr>
              <w:t>Financial &amp; Resource Management:</w:t>
            </w:r>
          </w:p>
          <w:p w14:paraId="5D60D1A1" w14:textId="77777777" w:rsidR="00226FFD" w:rsidRPr="00226FFD" w:rsidRDefault="4FEF2642" w:rsidP="00226FFD">
            <w:pPr>
              <w:spacing w:before="40" w:after="40"/>
              <w:rPr>
                <w:sz w:val="18"/>
                <w:szCs w:val="18"/>
              </w:rPr>
            </w:pPr>
            <w:r w:rsidRPr="4FEF2642">
              <w:rPr>
                <w:sz w:val="18"/>
                <w:szCs w:val="18"/>
              </w:rPr>
              <w:t>Financial Management</w:t>
            </w:r>
          </w:p>
        </w:tc>
        <w:tc>
          <w:tcPr>
            <w:tcW w:w="3402" w:type="dxa"/>
          </w:tcPr>
          <w:p w14:paraId="6656E839" w14:textId="77777777" w:rsidR="00226FFD" w:rsidRPr="00226FFD" w:rsidRDefault="4FEF2642" w:rsidP="00226FFD">
            <w:pPr>
              <w:spacing w:before="40" w:after="40"/>
              <w:rPr>
                <w:sz w:val="18"/>
                <w:szCs w:val="18"/>
              </w:rPr>
            </w:pPr>
            <w:r w:rsidRPr="4FEF2642">
              <w:rPr>
                <w:sz w:val="18"/>
                <w:szCs w:val="18"/>
              </w:rPr>
              <w:t>Weak accounting practices and no plan in place to address them.</w:t>
            </w:r>
          </w:p>
        </w:tc>
        <w:tc>
          <w:tcPr>
            <w:tcW w:w="3402" w:type="dxa"/>
          </w:tcPr>
          <w:p w14:paraId="2F17D1A3" w14:textId="77777777" w:rsidR="00226FFD" w:rsidRPr="00226FFD" w:rsidRDefault="4FEF2642" w:rsidP="00226FFD">
            <w:pPr>
              <w:spacing w:before="40" w:after="40"/>
              <w:rPr>
                <w:sz w:val="18"/>
                <w:szCs w:val="18"/>
              </w:rPr>
            </w:pPr>
            <w:r w:rsidRPr="4FEF2642">
              <w:rPr>
                <w:sz w:val="18"/>
                <w:szCs w:val="18"/>
              </w:rPr>
              <w:t>Practices in place that meet their financial obligations.</w:t>
            </w:r>
          </w:p>
        </w:tc>
        <w:tc>
          <w:tcPr>
            <w:tcW w:w="3402" w:type="dxa"/>
          </w:tcPr>
          <w:p w14:paraId="3FD22884" w14:textId="77777777" w:rsidR="00226FFD" w:rsidRPr="00226FFD" w:rsidRDefault="4FEF2642" w:rsidP="00226FFD">
            <w:pPr>
              <w:spacing w:before="40" w:after="40"/>
              <w:rPr>
                <w:sz w:val="18"/>
                <w:szCs w:val="18"/>
              </w:rPr>
            </w:pPr>
            <w:r w:rsidRPr="4FEF2642">
              <w:rPr>
                <w:sz w:val="18"/>
                <w:szCs w:val="18"/>
              </w:rPr>
              <w:t>Financial strategy in place that follows established practices.</w:t>
            </w:r>
          </w:p>
        </w:tc>
        <w:tc>
          <w:tcPr>
            <w:tcW w:w="3402" w:type="dxa"/>
          </w:tcPr>
          <w:p w14:paraId="7C6922AC" w14:textId="6F04E9EA" w:rsidR="00226FFD" w:rsidRPr="00226FFD" w:rsidRDefault="4FEF2642" w:rsidP="00226FFD">
            <w:pPr>
              <w:spacing w:before="40" w:after="40"/>
              <w:rPr>
                <w:sz w:val="18"/>
                <w:szCs w:val="18"/>
              </w:rPr>
            </w:pPr>
            <w:r w:rsidRPr="4FEF2642">
              <w:rPr>
                <w:sz w:val="18"/>
                <w:szCs w:val="18"/>
              </w:rPr>
              <w:t xml:space="preserve">Financial strategy in place underpinned by established practices that aim to maximise benefits to the community. The plan is reviewed regularly. </w:t>
            </w:r>
          </w:p>
          <w:p w14:paraId="68640EB4" w14:textId="0B596DC5" w:rsidR="00226FFD" w:rsidRPr="00226FFD" w:rsidRDefault="4FEF2642" w:rsidP="00226FFD">
            <w:pPr>
              <w:spacing w:before="40" w:after="40"/>
              <w:rPr>
                <w:sz w:val="18"/>
                <w:szCs w:val="18"/>
              </w:rPr>
            </w:pPr>
            <w:r w:rsidRPr="4FEF2642">
              <w:rPr>
                <w:sz w:val="18"/>
                <w:szCs w:val="18"/>
              </w:rPr>
              <w:t>Licence holder reviews its venue payments every 8 weeks to minimise the risk of overpayment.</w:t>
            </w:r>
          </w:p>
        </w:tc>
      </w:tr>
      <w:tr w:rsidR="00226FFD" w:rsidRPr="00226FFD" w14:paraId="3047FE50" w14:textId="77777777" w:rsidTr="00113C9F">
        <w:tc>
          <w:tcPr>
            <w:tcW w:w="1843" w:type="dxa"/>
          </w:tcPr>
          <w:p w14:paraId="29E3C12D" w14:textId="77777777" w:rsidR="00226FFD" w:rsidRPr="00226FFD" w:rsidRDefault="4FEF2642" w:rsidP="00226FFD">
            <w:pPr>
              <w:spacing w:before="40" w:after="40"/>
              <w:rPr>
                <w:b/>
                <w:sz w:val="18"/>
                <w:szCs w:val="18"/>
              </w:rPr>
            </w:pPr>
            <w:r w:rsidRPr="4FEF2642">
              <w:rPr>
                <w:b/>
                <w:bCs/>
                <w:sz w:val="18"/>
                <w:szCs w:val="18"/>
              </w:rPr>
              <w:lastRenderedPageBreak/>
              <w:t>Financial &amp; Resource Management:</w:t>
            </w:r>
          </w:p>
          <w:p w14:paraId="21769844" w14:textId="77777777" w:rsidR="00226FFD" w:rsidRPr="00226FFD" w:rsidRDefault="4FEF2642" w:rsidP="00226FFD">
            <w:pPr>
              <w:spacing w:before="40" w:after="40"/>
              <w:rPr>
                <w:sz w:val="18"/>
                <w:szCs w:val="18"/>
              </w:rPr>
            </w:pPr>
            <w:r w:rsidRPr="4FEF2642">
              <w:rPr>
                <w:sz w:val="18"/>
                <w:szCs w:val="18"/>
              </w:rPr>
              <w:t>Risk Management</w:t>
            </w:r>
          </w:p>
        </w:tc>
        <w:tc>
          <w:tcPr>
            <w:tcW w:w="3402" w:type="dxa"/>
          </w:tcPr>
          <w:p w14:paraId="5DBC3607" w14:textId="77777777" w:rsidR="00226FFD" w:rsidRPr="00226FFD" w:rsidRDefault="4FEF2642" w:rsidP="00226FFD">
            <w:pPr>
              <w:spacing w:before="40" w:after="40"/>
              <w:rPr>
                <w:sz w:val="18"/>
                <w:szCs w:val="18"/>
              </w:rPr>
            </w:pPr>
            <w:r w:rsidRPr="4FEF2642">
              <w:rPr>
                <w:sz w:val="18"/>
                <w:szCs w:val="18"/>
              </w:rPr>
              <w:t>Limited awareness of risks or capacity to respond to issues as they arise.</w:t>
            </w:r>
          </w:p>
        </w:tc>
        <w:tc>
          <w:tcPr>
            <w:tcW w:w="3402" w:type="dxa"/>
          </w:tcPr>
          <w:p w14:paraId="187195C5" w14:textId="77777777" w:rsidR="00226FFD" w:rsidRPr="00226FFD" w:rsidRDefault="4FEF2642" w:rsidP="00226FFD">
            <w:pPr>
              <w:spacing w:before="40" w:after="40"/>
              <w:rPr>
                <w:sz w:val="18"/>
                <w:szCs w:val="18"/>
              </w:rPr>
            </w:pPr>
            <w:r w:rsidRPr="4FEF2642">
              <w:rPr>
                <w:sz w:val="18"/>
                <w:szCs w:val="18"/>
              </w:rPr>
              <w:t>Responds to issues as they arise.</w:t>
            </w:r>
          </w:p>
        </w:tc>
        <w:tc>
          <w:tcPr>
            <w:tcW w:w="3402" w:type="dxa"/>
          </w:tcPr>
          <w:p w14:paraId="588B5745" w14:textId="77777777" w:rsidR="00226FFD" w:rsidRPr="00226FFD" w:rsidRDefault="4FEF2642" w:rsidP="00226FFD">
            <w:pPr>
              <w:spacing w:before="40" w:after="40"/>
              <w:rPr>
                <w:sz w:val="18"/>
                <w:szCs w:val="18"/>
              </w:rPr>
            </w:pPr>
            <w:r w:rsidRPr="4FEF2642">
              <w:rPr>
                <w:sz w:val="18"/>
                <w:szCs w:val="18"/>
              </w:rPr>
              <w:t>Demonstrates an awareness and ongoing management of risks.</w:t>
            </w:r>
          </w:p>
          <w:p w14:paraId="749FCE73" w14:textId="000E2A12" w:rsidR="00226FFD" w:rsidRPr="00226FFD" w:rsidRDefault="4FEF2642" w:rsidP="00226FFD">
            <w:pPr>
              <w:spacing w:before="40" w:after="40"/>
              <w:rPr>
                <w:sz w:val="18"/>
                <w:szCs w:val="18"/>
              </w:rPr>
            </w:pPr>
            <w:r w:rsidRPr="4FEF2642">
              <w:rPr>
                <w:sz w:val="18"/>
                <w:szCs w:val="18"/>
              </w:rPr>
              <w:t>Licence holder maintains a risk register and ensures it is regularly reviewed. (</w:t>
            </w:r>
            <w:r w:rsidRPr="4897FD18">
              <w:rPr>
                <w:i/>
                <w:iCs/>
                <w:sz w:val="18"/>
                <w:szCs w:val="18"/>
              </w:rPr>
              <w:t xml:space="preserve">For </w:t>
            </w:r>
            <w:r w:rsidR="00CF66AF">
              <w:rPr>
                <w:i/>
                <w:iCs/>
                <w:sz w:val="18"/>
                <w:szCs w:val="18"/>
              </w:rPr>
              <w:t>best</w:t>
            </w:r>
            <w:r w:rsidRPr="4897FD18">
              <w:rPr>
                <w:i/>
                <w:iCs/>
                <w:sz w:val="18"/>
                <w:szCs w:val="18"/>
              </w:rPr>
              <w:t xml:space="preserve"> </w:t>
            </w:r>
            <w:r w:rsidR="001020CA">
              <w:rPr>
                <w:i/>
                <w:iCs/>
                <w:sz w:val="18"/>
                <w:szCs w:val="18"/>
              </w:rPr>
              <w:t>practice</w:t>
            </w:r>
            <w:r w:rsidRPr="4897FD18">
              <w:rPr>
                <w:i/>
                <w:iCs/>
                <w:sz w:val="18"/>
                <w:szCs w:val="18"/>
              </w:rPr>
              <w:t xml:space="preserve"> - need more information on the follow-up and action taken in response</w:t>
            </w:r>
            <w:r w:rsidRPr="4FEF2642">
              <w:rPr>
                <w:sz w:val="18"/>
                <w:szCs w:val="18"/>
              </w:rPr>
              <w:t>)</w:t>
            </w:r>
          </w:p>
        </w:tc>
        <w:tc>
          <w:tcPr>
            <w:tcW w:w="3402" w:type="dxa"/>
          </w:tcPr>
          <w:p w14:paraId="31C0108F" w14:textId="77777777" w:rsidR="00226FFD" w:rsidRPr="00226FFD" w:rsidRDefault="4FEF2642" w:rsidP="00226FFD">
            <w:pPr>
              <w:spacing w:before="40" w:after="40"/>
              <w:rPr>
                <w:sz w:val="18"/>
                <w:szCs w:val="18"/>
              </w:rPr>
            </w:pPr>
            <w:r w:rsidRPr="4FEF2642">
              <w:rPr>
                <w:sz w:val="18"/>
                <w:szCs w:val="18"/>
              </w:rPr>
              <w:t xml:space="preserve">Has a robust risk management plan, demonstrates proactive identification and management of risks, and takes steps to prevent these risks from becoming issues in the future. </w:t>
            </w:r>
          </w:p>
        </w:tc>
      </w:tr>
    </w:tbl>
    <w:p w14:paraId="0D2FC492" w14:textId="77777777" w:rsidR="00344CDF" w:rsidRDefault="00344CDF" w:rsidP="00226FFD">
      <w:pPr>
        <w:spacing w:before="0" w:after="0"/>
        <w:rPr>
          <w:sz w:val="8"/>
        </w:rPr>
        <w:sectPr w:rsidR="00344CDF" w:rsidSect="00344CDF">
          <w:headerReference w:type="even" r:id="rId35"/>
          <w:headerReference w:type="default" r:id="rId36"/>
          <w:footerReference w:type="default" r:id="rId37"/>
          <w:headerReference w:type="first" r:id="rId38"/>
          <w:footerReference w:type="first" r:id="rId39"/>
          <w:pgSz w:w="16839" w:h="11907" w:orient="landscape" w:code="9"/>
          <w:pgMar w:top="720" w:right="720" w:bottom="720" w:left="720" w:header="425" w:footer="635" w:gutter="0"/>
          <w:cols w:space="708"/>
          <w:docGrid w:linePitch="360"/>
        </w:sectPr>
      </w:pPr>
    </w:p>
    <w:p w14:paraId="6C80C6E8" w14:textId="32335A4A" w:rsidR="00257FEA" w:rsidRPr="003822EF" w:rsidRDefault="00257FEA" w:rsidP="00257FEA">
      <w:pPr>
        <w:pStyle w:val="Heading3"/>
        <w:spacing w:after="240"/>
        <w:jc w:val="both"/>
      </w:pPr>
      <w:bookmarkStart w:id="43" w:name="_Toc479253056"/>
      <w:r w:rsidRPr="4FEF2642">
        <w:lastRenderedPageBreak/>
        <w:t>Appendix 3: Outcomes Framework</w:t>
      </w:r>
      <w:bookmarkEnd w:id="43"/>
    </w:p>
    <w:p w14:paraId="2E4059C2" w14:textId="75C02E95" w:rsidR="00257FEA" w:rsidRDefault="00257FEA" w:rsidP="00990BF3">
      <w:pPr>
        <w:pStyle w:val="Heading3"/>
        <w:spacing w:after="240"/>
        <w:jc w:val="both"/>
        <w:rPr>
          <w:szCs w:val="28"/>
        </w:rPr>
      </w:pPr>
    </w:p>
    <w:p w14:paraId="68C7F26D" w14:textId="62FFCEF0" w:rsidR="00257FEA" w:rsidRDefault="00344CDF" w:rsidP="00257FEA">
      <w:r w:rsidRPr="00344CDF">
        <w:rPr>
          <w:noProof/>
          <w:lang w:eastAsia="en-NZ"/>
        </w:rPr>
        <w:drawing>
          <wp:inline distT="0" distB="0" distL="0" distR="0" wp14:anchorId="44364F40" wp14:editId="7404A086">
            <wp:extent cx="12698095" cy="794512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98095" cy="7945120"/>
                    </a:xfrm>
                    <a:prstGeom prst="rect">
                      <a:avLst/>
                    </a:prstGeom>
                    <a:noFill/>
                    <a:ln>
                      <a:noFill/>
                    </a:ln>
                  </pic:spPr>
                </pic:pic>
              </a:graphicData>
            </a:graphic>
          </wp:inline>
        </w:drawing>
      </w:r>
    </w:p>
    <w:p w14:paraId="3F32777E" w14:textId="77777777" w:rsidR="00257FEA" w:rsidRDefault="00257FEA" w:rsidP="00257FEA"/>
    <w:p w14:paraId="0E1EE695" w14:textId="77777777" w:rsidR="00257FEA" w:rsidRPr="00257FEA" w:rsidRDefault="00257FEA" w:rsidP="00257FEA">
      <w:pPr>
        <w:sectPr w:rsidR="00257FEA" w:rsidRPr="00257FEA" w:rsidSect="00257FEA">
          <w:pgSz w:w="23814" w:h="16839" w:orient="landscape" w:code="8"/>
          <w:pgMar w:top="720" w:right="720" w:bottom="720" w:left="720" w:header="425" w:footer="635" w:gutter="0"/>
          <w:cols w:space="708"/>
          <w:docGrid w:linePitch="360"/>
        </w:sectPr>
      </w:pPr>
    </w:p>
    <w:p w14:paraId="7A94B2FA" w14:textId="04530377" w:rsidR="007502DD" w:rsidRPr="007502DD" w:rsidRDefault="00257FEA" w:rsidP="00990BF3">
      <w:pPr>
        <w:pStyle w:val="Heading3"/>
        <w:spacing w:after="240"/>
        <w:jc w:val="both"/>
        <w:rPr>
          <w:szCs w:val="28"/>
        </w:rPr>
      </w:pPr>
      <w:bookmarkStart w:id="44" w:name="_Toc479253057"/>
      <w:r w:rsidRPr="4FEF2642">
        <w:lastRenderedPageBreak/>
        <w:t>Appendix 4</w:t>
      </w:r>
      <w:r w:rsidR="007502DD" w:rsidRPr="4FEF2642">
        <w:t>:</w:t>
      </w:r>
      <w:r w:rsidR="00DB7153" w:rsidRPr="4FEF2642">
        <w:t xml:space="preserve"> </w:t>
      </w:r>
      <w:r w:rsidR="006E0F3E" w:rsidRPr="4FEF2642">
        <w:t>Rating scale (PIF)</w:t>
      </w:r>
      <w:bookmarkEnd w:id="44"/>
    </w:p>
    <w:p w14:paraId="0664BCE1" w14:textId="77777777" w:rsidR="007502DD" w:rsidRDefault="007502DD" w:rsidP="00990BF3">
      <w:pPr>
        <w:pStyle w:val="Heading3"/>
        <w:spacing w:after="240"/>
        <w:jc w:val="both"/>
        <w:rPr>
          <w:szCs w:val="28"/>
        </w:rPr>
      </w:pPr>
    </w:p>
    <w:p w14:paraId="049028B9" w14:textId="39FFE67B" w:rsidR="00955E9E" w:rsidRPr="00955E9E" w:rsidRDefault="003804E0" w:rsidP="00955E9E">
      <w:r w:rsidRPr="003804E0">
        <w:rPr>
          <w:noProof/>
          <w:lang w:eastAsia="en-NZ"/>
        </w:rPr>
        <w:drawing>
          <wp:inline distT="0" distB="0" distL="0" distR="0" wp14:anchorId="08651C27" wp14:editId="4CA5FB9F">
            <wp:extent cx="6646545" cy="688831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46545" cy="6888311"/>
                    </a:xfrm>
                    <a:prstGeom prst="rect">
                      <a:avLst/>
                    </a:prstGeom>
                    <a:noFill/>
                    <a:ln>
                      <a:noFill/>
                    </a:ln>
                  </pic:spPr>
                </pic:pic>
              </a:graphicData>
            </a:graphic>
          </wp:inline>
        </w:drawing>
      </w:r>
    </w:p>
    <w:p w14:paraId="57B0AC41" w14:textId="77777777" w:rsidR="00F753B6" w:rsidRDefault="00F753B6">
      <w:pPr>
        <w:keepLines w:val="0"/>
        <w:rPr>
          <w:rFonts w:cs="Arial"/>
          <w:b/>
          <w:bCs/>
          <w:color w:val="1F546B"/>
          <w:sz w:val="28"/>
          <w:szCs w:val="28"/>
        </w:rPr>
      </w:pPr>
      <w:r>
        <w:rPr>
          <w:szCs w:val="28"/>
        </w:rPr>
        <w:br w:type="page"/>
      </w:r>
    </w:p>
    <w:p w14:paraId="000177CB" w14:textId="2107CF8B" w:rsidR="007502DD" w:rsidRPr="007502DD" w:rsidRDefault="00257FEA" w:rsidP="00990BF3">
      <w:pPr>
        <w:pStyle w:val="Heading3"/>
        <w:spacing w:after="240"/>
        <w:jc w:val="both"/>
        <w:rPr>
          <w:szCs w:val="28"/>
        </w:rPr>
      </w:pPr>
      <w:bookmarkStart w:id="45" w:name="_Toc479253058"/>
      <w:r w:rsidRPr="4FEF2642">
        <w:lastRenderedPageBreak/>
        <w:t>Appendix 5</w:t>
      </w:r>
      <w:r w:rsidR="007502DD" w:rsidRPr="4FEF2642">
        <w:t>:</w:t>
      </w:r>
      <w:r w:rsidR="00DB7153" w:rsidRPr="4FEF2642">
        <w:t xml:space="preserve"> </w:t>
      </w:r>
      <w:r w:rsidR="00B36E63" w:rsidRPr="4FEF2642">
        <w:t>Assessment Methods</w:t>
      </w:r>
      <w:bookmarkEnd w:id="45"/>
    </w:p>
    <w:p w14:paraId="0FF9E54A" w14:textId="266EDDBF" w:rsidR="00E1075C" w:rsidRPr="00613922" w:rsidRDefault="4FEF2642" w:rsidP="00E1075C">
      <w:pPr>
        <w:pStyle w:val="Caption"/>
        <w:jc w:val="left"/>
        <w:rPr>
          <w:szCs w:val="22"/>
          <w:u w:val="single"/>
        </w:rPr>
      </w:pPr>
      <w:r w:rsidRPr="4FEF2642">
        <w:rPr>
          <w:u w:val="single"/>
        </w:rPr>
        <w:t>Assessment Method Option 1 - Balanced Scorecard</w:t>
      </w:r>
    </w:p>
    <w:p w14:paraId="00DDFEF6" w14:textId="77777777" w:rsidR="00E1075C" w:rsidRPr="00613922" w:rsidRDefault="4FEF2642" w:rsidP="00E1075C">
      <w:pPr>
        <w:rPr>
          <w:sz w:val="22"/>
          <w:szCs w:val="22"/>
        </w:rPr>
      </w:pPr>
      <w:r w:rsidRPr="4FEF2642">
        <w:rPr>
          <w:b/>
          <w:bCs/>
          <w:sz w:val="22"/>
          <w:szCs w:val="22"/>
        </w:rPr>
        <w:t>Description of option:</w:t>
      </w:r>
      <w:r w:rsidRPr="4FEF2642">
        <w:rPr>
          <w:sz w:val="22"/>
          <w:szCs w:val="22"/>
        </w:rPr>
        <w:t xml:space="preserve"> This option sets a minimum requirement for each </w:t>
      </w:r>
      <w:r w:rsidRPr="4FEF2642">
        <w:rPr>
          <w:b/>
          <w:bCs/>
          <w:sz w:val="22"/>
          <w:szCs w:val="22"/>
        </w:rPr>
        <w:t>category</w:t>
      </w:r>
      <w:r w:rsidRPr="4FEF2642">
        <w:rPr>
          <w:sz w:val="22"/>
          <w:szCs w:val="22"/>
        </w:rPr>
        <w:t xml:space="preserve"> that must be achieved and calculates an overall score that must meet the required threshold</w:t>
      </w:r>
    </w:p>
    <w:p w14:paraId="5F8AC3E2" w14:textId="77777777" w:rsidR="00E1075C" w:rsidRPr="00613922" w:rsidRDefault="4FEF2642" w:rsidP="00E1075C">
      <w:pPr>
        <w:rPr>
          <w:sz w:val="22"/>
          <w:szCs w:val="22"/>
        </w:rPr>
      </w:pPr>
      <w:r w:rsidRPr="4FEF2642">
        <w:rPr>
          <w:b/>
          <w:bCs/>
          <w:sz w:val="22"/>
          <w:szCs w:val="22"/>
        </w:rPr>
        <w:t>Assumed pros:</w:t>
      </w:r>
      <w:r w:rsidRPr="4FEF2642">
        <w:rPr>
          <w:sz w:val="22"/>
          <w:szCs w:val="22"/>
        </w:rPr>
        <w:t xml:space="preserve"> </w:t>
      </w:r>
    </w:p>
    <w:p w14:paraId="6989AEDC" w14:textId="77777777" w:rsidR="00E1075C" w:rsidRPr="00613922" w:rsidRDefault="4FEF2642" w:rsidP="00E1075C">
      <w:pPr>
        <w:pStyle w:val="ListParagraph"/>
        <w:numPr>
          <w:ilvl w:val="0"/>
          <w:numId w:val="44"/>
        </w:numPr>
        <w:rPr>
          <w:sz w:val="22"/>
          <w:szCs w:val="22"/>
        </w:rPr>
      </w:pPr>
      <w:r w:rsidRPr="4FEF2642">
        <w:rPr>
          <w:sz w:val="22"/>
          <w:szCs w:val="22"/>
        </w:rPr>
        <w:t>Allows flexibility within categories so the applicant can focus its efforts on the basis of its values and strengths</w:t>
      </w:r>
    </w:p>
    <w:p w14:paraId="62061998" w14:textId="77777777" w:rsidR="00E1075C" w:rsidRPr="00613922" w:rsidRDefault="4FEF2642" w:rsidP="00E1075C">
      <w:pPr>
        <w:rPr>
          <w:sz w:val="22"/>
          <w:szCs w:val="22"/>
        </w:rPr>
      </w:pPr>
      <w:r w:rsidRPr="4FEF2642">
        <w:rPr>
          <w:b/>
          <w:bCs/>
          <w:sz w:val="22"/>
          <w:szCs w:val="22"/>
        </w:rPr>
        <w:t>Assumed cons:</w:t>
      </w:r>
      <w:r w:rsidRPr="4FEF2642">
        <w:rPr>
          <w:sz w:val="22"/>
          <w:szCs w:val="22"/>
        </w:rPr>
        <w:t xml:space="preserve"> </w:t>
      </w:r>
    </w:p>
    <w:p w14:paraId="1F10B6BC" w14:textId="77777777" w:rsidR="00E1075C" w:rsidRPr="00613922" w:rsidRDefault="4FEF2642" w:rsidP="00E1075C">
      <w:pPr>
        <w:pStyle w:val="ListParagraph"/>
        <w:numPr>
          <w:ilvl w:val="0"/>
          <w:numId w:val="44"/>
        </w:numPr>
        <w:rPr>
          <w:sz w:val="22"/>
          <w:szCs w:val="22"/>
        </w:rPr>
      </w:pPr>
      <w:r w:rsidRPr="4FEF2642">
        <w:rPr>
          <w:sz w:val="22"/>
          <w:szCs w:val="22"/>
        </w:rPr>
        <w:t>Potentially limits overall performance improvement if a strong performer in one particular subcategory can meet requirements by focusing on that subcategory to the exclusion of others</w:t>
      </w:r>
    </w:p>
    <w:p w14:paraId="0367AD10" w14:textId="7EDBAC0F" w:rsidR="004B41AC" w:rsidRPr="004B41AC" w:rsidRDefault="4FEF2642" w:rsidP="004B41AC">
      <w:pPr>
        <w:pStyle w:val="ListParagraph"/>
        <w:numPr>
          <w:ilvl w:val="0"/>
          <w:numId w:val="44"/>
        </w:numPr>
        <w:rPr>
          <w:sz w:val="22"/>
          <w:szCs w:val="22"/>
        </w:rPr>
      </w:pPr>
      <w:r w:rsidRPr="4FEF2642">
        <w:rPr>
          <w:sz w:val="22"/>
          <w:szCs w:val="22"/>
        </w:rPr>
        <w:t>Implementation may be complex as this would likely require an subcategory-based framework to sit within it for consistent assessment purposes</w:t>
      </w:r>
    </w:p>
    <w:p w14:paraId="38A5654E" w14:textId="77777777" w:rsidR="004B41AC" w:rsidRPr="004B41AC" w:rsidRDefault="4FEF2642" w:rsidP="004B41AC">
      <w:pPr>
        <w:keepLines w:val="0"/>
        <w:rPr>
          <w:i/>
          <w:sz w:val="22"/>
          <w:szCs w:val="22"/>
        </w:rPr>
      </w:pPr>
      <w:r w:rsidRPr="36E5F146">
        <w:rPr>
          <w:i/>
          <w:iCs/>
          <w:sz w:val="22"/>
          <w:szCs w:val="22"/>
        </w:rPr>
        <w:t>Example One – Applicant does not meet required threshold in all categories – declined.</w:t>
      </w:r>
    </w:p>
    <w:p w14:paraId="22AC1CB2" w14:textId="2E5B9581" w:rsidR="004B41AC" w:rsidRDefault="004B41AC" w:rsidP="00E1075C">
      <w:pPr>
        <w:keepLines w:val="0"/>
        <w:rPr>
          <w:i/>
          <w:sz w:val="22"/>
          <w:szCs w:val="22"/>
        </w:rPr>
      </w:pPr>
      <w:r>
        <w:rPr>
          <w:noProof/>
          <w:lang w:eastAsia="en-NZ"/>
        </w:rPr>
        <w:drawing>
          <wp:inline distT="0" distB="0" distL="0" distR="0" wp14:anchorId="0A833508" wp14:editId="66962C1A">
            <wp:extent cx="5467350" cy="3124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E51DF0C" w14:textId="061CAB96" w:rsidR="00E1075C" w:rsidRDefault="4FEF2642" w:rsidP="00E1075C">
      <w:pPr>
        <w:keepLines w:val="0"/>
        <w:rPr>
          <w:i/>
          <w:sz w:val="22"/>
          <w:szCs w:val="22"/>
        </w:rPr>
      </w:pPr>
      <w:r w:rsidRPr="4FEF2642">
        <w:rPr>
          <w:sz w:val="22"/>
          <w:szCs w:val="22"/>
        </w:rPr>
        <w:t xml:space="preserve"> </w:t>
      </w:r>
      <w:r w:rsidRPr="36E5F146">
        <w:rPr>
          <w:i/>
          <w:iCs/>
          <w:sz w:val="22"/>
          <w:szCs w:val="22"/>
        </w:rPr>
        <w:t>Example Two – Applicant meets required threshold in all categories, but not overall score – declined.</w:t>
      </w:r>
    </w:p>
    <w:p w14:paraId="783E38F9" w14:textId="567BD69D" w:rsidR="004B41AC" w:rsidRDefault="004B41AC" w:rsidP="00E1075C">
      <w:pPr>
        <w:keepLines w:val="0"/>
        <w:rPr>
          <w:i/>
          <w:sz w:val="22"/>
          <w:szCs w:val="22"/>
        </w:rPr>
      </w:pPr>
      <w:r>
        <w:rPr>
          <w:noProof/>
          <w:lang w:eastAsia="en-NZ"/>
        </w:rPr>
        <w:lastRenderedPageBreak/>
        <w:drawing>
          <wp:inline distT="0" distB="0" distL="0" distR="0" wp14:anchorId="67E523E4" wp14:editId="5C9EE061">
            <wp:extent cx="5467350" cy="3124200"/>
            <wp:effectExtent l="0" t="0" r="19050" b="1905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08AD1F2" w14:textId="60E2E9E9" w:rsidR="00E1075C" w:rsidRDefault="4FEF2642" w:rsidP="00E1075C">
      <w:pPr>
        <w:keepLines w:val="0"/>
        <w:rPr>
          <w:i/>
          <w:sz w:val="22"/>
          <w:szCs w:val="22"/>
        </w:rPr>
      </w:pPr>
      <w:r w:rsidRPr="36E5F146">
        <w:rPr>
          <w:i/>
          <w:iCs/>
          <w:sz w:val="22"/>
          <w:szCs w:val="22"/>
        </w:rPr>
        <w:t xml:space="preserve">Example Three – Applicant meets required threshold in all categories </w:t>
      </w:r>
      <w:r w:rsidRPr="36E5F146">
        <w:rPr>
          <w:i/>
          <w:iCs/>
          <w:sz w:val="22"/>
          <w:szCs w:val="22"/>
          <w:u w:val="single"/>
        </w:rPr>
        <w:t>and</w:t>
      </w:r>
      <w:r w:rsidRPr="36E5F146">
        <w:rPr>
          <w:i/>
          <w:iCs/>
          <w:sz w:val="22"/>
          <w:szCs w:val="22"/>
        </w:rPr>
        <w:t xml:space="preserve"> overall score – approved.</w:t>
      </w:r>
    </w:p>
    <w:p w14:paraId="2D5BE020" w14:textId="6C8A6FD7" w:rsidR="004B41AC" w:rsidRDefault="004B41AC" w:rsidP="00E1075C">
      <w:pPr>
        <w:keepLines w:val="0"/>
        <w:rPr>
          <w:i/>
          <w:sz w:val="22"/>
          <w:szCs w:val="22"/>
        </w:rPr>
      </w:pPr>
      <w:r>
        <w:rPr>
          <w:noProof/>
          <w:lang w:eastAsia="en-NZ"/>
        </w:rPr>
        <w:drawing>
          <wp:inline distT="0" distB="0" distL="0" distR="0" wp14:anchorId="15F18D09" wp14:editId="6EBC4465">
            <wp:extent cx="5467350" cy="3124200"/>
            <wp:effectExtent l="0" t="0" r="19050" b="1905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CFF5247" w14:textId="6C9D59DD" w:rsidR="00E1075C" w:rsidRPr="00613922" w:rsidRDefault="4FEF2642" w:rsidP="00E1075C">
      <w:pPr>
        <w:rPr>
          <w:sz w:val="22"/>
          <w:szCs w:val="22"/>
        </w:rPr>
      </w:pPr>
      <w:r w:rsidRPr="4FEF2642">
        <w:rPr>
          <w:b/>
          <w:bCs/>
          <w:sz w:val="22"/>
          <w:szCs w:val="22"/>
          <w:u w:val="single"/>
        </w:rPr>
        <w:t>Assessment Method Option 2 – Weighted Approach</w:t>
      </w:r>
    </w:p>
    <w:p w14:paraId="2A04550C" w14:textId="77777777" w:rsidR="00E1075C" w:rsidRPr="00613922" w:rsidRDefault="4FEF2642" w:rsidP="00E1075C">
      <w:pPr>
        <w:tabs>
          <w:tab w:val="left" w:pos="11167"/>
        </w:tabs>
        <w:rPr>
          <w:sz w:val="22"/>
          <w:szCs w:val="22"/>
        </w:rPr>
      </w:pPr>
      <w:r w:rsidRPr="4FEF2642">
        <w:rPr>
          <w:b/>
          <w:bCs/>
          <w:sz w:val="22"/>
          <w:szCs w:val="22"/>
        </w:rPr>
        <w:t>Description of option:</w:t>
      </w:r>
      <w:r w:rsidRPr="4FEF2642">
        <w:rPr>
          <w:sz w:val="22"/>
          <w:szCs w:val="22"/>
        </w:rPr>
        <w:t xml:space="preserve"> Applicants must meet the minimum assessment score that has been set for each </w:t>
      </w:r>
      <w:r w:rsidRPr="4FEF2642">
        <w:rPr>
          <w:b/>
          <w:bCs/>
          <w:sz w:val="22"/>
          <w:szCs w:val="22"/>
        </w:rPr>
        <w:t>subcategory.</w:t>
      </w:r>
    </w:p>
    <w:p w14:paraId="033F6C61" w14:textId="77777777" w:rsidR="00E1075C" w:rsidRPr="00613922" w:rsidRDefault="4FEF2642" w:rsidP="00E1075C">
      <w:pPr>
        <w:tabs>
          <w:tab w:val="left" w:pos="11167"/>
        </w:tabs>
        <w:rPr>
          <w:b/>
          <w:sz w:val="22"/>
          <w:szCs w:val="22"/>
        </w:rPr>
      </w:pPr>
      <w:r w:rsidRPr="4FEF2642">
        <w:rPr>
          <w:b/>
          <w:bCs/>
          <w:sz w:val="22"/>
          <w:szCs w:val="22"/>
        </w:rPr>
        <w:t xml:space="preserve">Assumed pros: </w:t>
      </w:r>
    </w:p>
    <w:p w14:paraId="332D6F80" w14:textId="77777777" w:rsidR="00E1075C" w:rsidRPr="00613922" w:rsidRDefault="4FEF2642" w:rsidP="00E1075C">
      <w:pPr>
        <w:pStyle w:val="ListParagraph"/>
        <w:numPr>
          <w:ilvl w:val="0"/>
          <w:numId w:val="45"/>
        </w:numPr>
        <w:tabs>
          <w:tab w:val="left" w:pos="11167"/>
        </w:tabs>
        <w:rPr>
          <w:sz w:val="22"/>
          <w:szCs w:val="22"/>
        </w:rPr>
      </w:pPr>
      <w:r w:rsidRPr="4FEF2642">
        <w:rPr>
          <w:sz w:val="22"/>
          <w:szCs w:val="22"/>
        </w:rPr>
        <w:t>This allows more ‘important’ subcategories to be worth a higher score and therefore drive improvement in those areas</w:t>
      </w:r>
    </w:p>
    <w:p w14:paraId="711B460F" w14:textId="77777777" w:rsidR="00E1075C" w:rsidRPr="00613922" w:rsidRDefault="4FEF2642" w:rsidP="00E1075C">
      <w:pPr>
        <w:pStyle w:val="ListParagraph"/>
        <w:numPr>
          <w:ilvl w:val="0"/>
          <w:numId w:val="42"/>
        </w:numPr>
        <w:tabs>
          <w:tab w:val="left" w:pos="11167"/>
        </w:tabs>
        <w:rPr>
          <w:sz w:val="22"/>
          <w:szCs w:val="22"/>
        </w:rPr>
      </w:pPr>
      <w:r w:rsidRPr="4FEF2642">
        <w:rPr>
          <w:sz w:val="22"/>
          <w:szCs w:val="22"/>
        </w:rPr>
        <w:t>It sets very specific and clear expectations for applicants</w:t>
      </w:r>
    </w:p>
    <w:p w14:paraId="3E5BA602" w14:textId="77777777" w:rsidR="00E1075C" w:rsidRPr="00613922" w:rsidRDefault="4FEF2642" w:rsidP="00E1075C">
      <w:pPr>
        <w:tabs>
          <w:tab w:val="left" w:pos="11167"/>
        </w:tabs>
        <w:rPr>
          <w:b/>
          <w:sz w:val="22"/>
          <w:szCs w:val="22"/>
        </w:rPr>
      </w:pPr>
      <w:r w:rsidRPr="4FEF2642">
        <w:rPr>
          <w:b/>
          <w:bCs/>
          <w:sz w:val="22"/>
          <w:szCs w:val="22"/>
        </w:rPr>
        <w:t>Assumed cons:</w:t>
      </w:r>
    </w:p>
    <w:p w14:paraId="5CFC7E9B" w14:textId="77777777" w:rsidR="00E1075C" w:rsidRPr="00613922" w:rsidRDefault="4FEF2642" w:rsidP="00E1075C">
      <w:pPr>
        <w:pStyle w:val="ListParagraph"/>
        <w:numPr>
          <w:ilvl w:val="0"/>
          <w:numId w:val="42"/>
        </w:numPr>
        <w:tabs>
          <w:tab w:val="left" w:pos="11167"/>
        </w:tabs>
        <w:rPr>
          <w:sz w:val="22"/>
          <w:szCs w:val="22"/>
        </w:rPr>
      </w:pPr>
      <w:r w:rsidRPr="4FEF2642">
        <w:rPr>
          <w:sz w:val="22"/>
          <w:szCs w:val="22"/>
        </w:rPr>
        <w:t>It introduces subjectivity about what the most important subcategories are and how much they should be weighted for assessment purposes</w:t>
      </w:r>
    </w:p>
    <w:p w14:paraId="5D91DF04" w14:textId="77777777" w:rsidR="00E1075C" w:rsidRPr="00613922" w:rsidRDefault="4FEF2642" w:rsidP="00E1075C">
      <w:pPr>
        <w:pStyle w:val="ListParagraph"/>
        <w:numPr>
          <w:ilvl w:val="0"/>
          <w:numId w:val="42"/>
        </w:numPr>
        <w:tabs>
          <w:tab w:val="left" w:pos="11167"/>
        </w:tabs>
        <w:rPr>
          <w:sz w:val="22"/>
          <w:szCs w:val="22"/>
        </w:rPr>
      </w:pPr>
      <w:r w:rsidRPr="4FEF2642">
        <w:rPr>
          <w:sz w:val="22"/>
          <w:szCs w:val="22"/>
        </w:rPr>
        <w:lastRenderedPageBreak/>
        <w:t>It is likely to remove a level of flexibility from the applicant to make decisions about where to focus efforts and resources</w:t>
      </w:r>
    </w:p>
    <w:p w14:paraId="40258D12" w14:textId="77777777" w:rsidR="00E1075C" w:rsidRPr="00613922" w:rsidRDefault="00E1075C" w:rsidP="00E1075C">
      <w:pPr>
        <w:pStyle w:val="Caption"/>
        <w:jc w:val="left"/>
        <w:rPr>
          <w:szCs w:val="22"/>
        </w:rPr>
      </w:pPr>
    </w:p>
    <w:p w14:paraId="7BA1C599" w14:textId="77777777" w:rsidR="00E1075C" w:rsidRPr="00613922" w:rsidRDefault="4FEF2642" w:rsidP="00E1075C">
      <w:pPr>
        <w:pStyle w:val="Caption"/>
        <w:jc w:val="left"/>
        <w:rPr>
          <w:b w:val="0"/>
          <w:szCs w:val="22"/>
        </w:rPr>
      </w:pPr>
      <w:r>
        <w:rPr>
          <w:b w:val="0"/>
          <w:bCs w:val="0"/>
        </w:rPr>
        <w:t xml:space="preserve">Category: </w:t>
      </w:r>
      <w:r w:rsidRPr="4FEF2642">
        <w:rPr>
          <w:b w:val="0"/>
          <w:bCs w:val="0"/>
          <w:noProof/>
        </w:rPr>
        <w:t>Financial and Resource Management</w:t>
      </w:r>
    </w:p>
    <w:p w14:paraId="49C360C8" w14:textId="77777777" w:rsidR="00E1075C" w:rsidRPr="00613922" w:rsidRDefault="4FEF2642" w:rsidP="00E1075C">
      <w:pPr>
        <w:tabs>
          <w:tab w:val="left" w:pos="11167"/>
        </w:tabs>
        <w:rPr>
          <w:i/>
          <w:sz w:val="22"/>
          <w:szCs w:val="22"/>
        </w:rPr>
      </w:pPr>
      <w:r w:rsidRPr="36E5F146">
        <w:rPr>
          <w:i/>
          <w:iCs/>
          <w:sz w:val="22"/>
          <w:szCs w:val="22"/>
        </w:rPr>
        <w:t>Example One - Applicant does not meet required threshold in all subcategories – declined.</w:t>
      </w:r>
    </w:p>
    <w:p w14:paraId="6764AEF9" w14:textId="0C32F74F" w:rsidR="00E1075C" w:rsidRPr="00613922" w:rsidRDefault="004B41AC" w:rsidP="00E1075C">
      <w:pPr>
        <w:tabs>
          <w:tab w:val="left" w:pos="11167"/>
        </w:tabs>
        <w:rPr>
          <w:sz w:val="22"/>
          <w:szCs w:val="22"/>
        </w:rPr>
      </w:pPr>
      <w:r>
        <w:rPr>
          <w:noProof/>
          <w:lang w:eastAsia="en-NZ"/>
        </w:rPr>
        <w:drawing>
          <wp:inline distT="0" distB="0" distL="0" distR="0" wp14:anchorId="1A46542A" wp14:editId="17178728">
            <wp:extent cx="5467350" cy="3124200"/>
            <wp:effectExtent l="0" t="0" r="19050" b="1905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C9969E4" w14:textId="77777777" w:rsidR="00E1075C" w:rsidRDefault="4FEF2642" w:rsidP="00E1075C">
      <w:pPr>
        <w:tabs>
          <w:tab w:val="left" w:pos="11167"/>
        </w:tabs>
        <w:rPr>
          <w:i/>
          <w:sz w:val="22"/>
          <w:szCs w:val="22"/>
        </w:rPr>
      </w:pPr>
      <w:r w:rsidRPr="36E5F146">
        <w:rPr>
          <w:i/>
          <w:iCs/>
          <w:sz w:val="22"/>
          <w:szCs w:val="22"/>
        </w:rPr>
        <w:t>Example Two - Applicant meets required threshold in all subcategories – approved.</w:t>
      </w:r>
    </w:p>
    <w:p w14:paraId="7B50253B" w14:textId="77ADF5BE" w:rsidR="004B41AC" w:rsidRPr="00613922" w:rsidRDefault="004B41AC" w:rsidP="00E1075C">
      <w:pPr>
        <w:tabs>
          <w:tab w:val="left" w:pos="11167"/>
        </w:tabs>
        <w:rPr>
          <w:i/>
          <w:sz w:val="22"/>
          <w:szCs w:val="22"/>
        </w:rPr>
      </w:pPr>
      <w:r>
        <w:rPr>
          <w:noProof/>
          <w:lang w:eastAsia="en-NZ"/>
        </w:rPr>
        <w:drawing>
          <wp:inline distT="0" distB="0" distL="0" distR="0" wp14:anchorId="67B978A6" wp14:editId="51567775">
            <wp:extent cx="5467350" cy="3124200"/>
            <wp:effectExtent l="0" t="0" r="19050" b="1905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E42368C" w14:textId="7F39EF60" w:rsidR="00E1075C" w:rsidRPr="00613922" w:rsidRDefault="4FEF2642" w:rsidP="00E1075C">
      <w:pPr>
        <w:tabs>
          <w:tab w:val="left" w:pos="11167"/>
        </w:tabs>
        <w:rPr>
          <w:b/>
          <w:sz w:val="22"/>
          <w:szCs w:val="22"/>
          <w:u w:val="single"/>
        </w:rPr>
      </w:pPr>
      <w:r w:rsidRPr="4FEF2642">
        <w:rPr>
          <w:b/>
          <w:bCs/>
          <w:sz w:val="22"/>
          <w:szCs w:val="22"/>
          <w:u w:val="single"/>
        </w:rPr>
        <w:t>Assessment method Option 3 – Straight Overall Rating</w:t>
      </w:r>
    </w:p>
    <w:p w14:paraId="4D33970A" w14:textId="77777777" w:rsidR="00E1075C" w:rsidRPr="00613922" w:rsidRDefault="4FEF2642" w:rsidP="00E1075C">
      <w:pPr>
        <w:tabs>
          <w:tab w:val="left" w:pos="11167"/>
        </w:tabs>
        <w:rPr>
          <w:sz w:val="22"/>
          <w:szCs w:val="22"/>
        </w:rPr>
      </w:pPr>
      <w:r w:rsidRPr="4FEF2642">
        <w:rPr>
          <w:b/>
          <w:bCs/>
          <w:sz w:val="22"/>
          <w:szCs w:val="22"/>
        </w:rPr>
        <w:t>Description of option:</w:t>
      </w:r>
      <w:r w:rsidRPr="4FEF2642">
        <w:rPr>
          <w:sz w:val="22"/>
          <w:szCs w:val="22"/>
        </w:rPr>
        <w:t xml:space="preserve"> This is a shared total score across the board –applicants must achieve at least 50% within each subcategory</w:t>
      </w:r>
    </w:p>
    <w:p w14:paraId="4F362FFA" w14:textId="77777777" w:rsidR="00E1075C" w:rsidRPr="00613922" w:rsidRDefault="4FEF2642" w:rsidP="00E1075C">
      <w:pPr>
        <w:tabs>
          <w:tab w:val="left" w:pos="11167"/>
        </w:tabs>
        <w:rPr>
          <w:b/>
          <w:sz w:val="22"/>
          <w:szCs w:val="22"/>
        </w:rPr>
      </w:pPr>
      <w:r w:rsidRPr="4FEF2642">
        <w:rPr>
          <w:b/>
          <w:bCs/>
          <w:sz w:val="22"/>
          <w:szCs w:val="22"/>
        </w:rPr>
        <w:t>Assumed pros:</w:t>
      </w:r>
    </w:p>
    <w:p w14:paraId="6CDB5F63" w14:textId="0FD62886" w:rsidR="00E1075C" w:rsidRPr="00613922" w:rsidRDefault="4FEF2642" w:rsidP="00E1075C">
      <w:pPr>
        <w:pStyle w:val="ListParagraph"/>
        <w:numPr>
          <w:ilvl w:val="0"/>
          <w:numId w:val="46"/>
        </w:numPr>
        <w:tabs>
          <w:tab w:val="left" w:pos="11167"/>
        </w:tabs>
        <w:rPr>
          <w:sz w:val="22"/>
          <w:szCs w:val="22"/>
        </w:rPr>
      </w:pPr>
      <w:r w:rsidRPr="4FEF2642">
        <w:rPr>
          <w:sz w:val="22"/>
          <w:szCs w:val="22"/>
        </w:rPr>
        <w:t xml:space="preserve">This supports </w:t>
      </w:r>
      <w:r w:rsidR="00CF66AF">
        <w:rPr>
          <w:sz w:val="22"/>
          <w:szCs w:val="22"/>
        </w:rPr>
        <w:t>best</w:t>
      </w:r>
      <w:r w:rsidRPr="4FEF2642">
        <w:rPr>
          <w:sz w:val="22"/>
          <w:szCs w:val="22"/>
        </w:rPr>
        <w:t xml:space="preserve"> </w:t>
      </w:r>
      <w:r w:rsidR="001020CA">
        <w:rPr>
          <w:sz w:val="22"/>
          <w:szCs w:val="22"/>
        </w:rPr>
        <w:t>practice</w:t>
      </w:r>
      <w:r w:rsidRPr="4FEF2642">
        <w:rPr>
          <w:sz w:val="22"/>
          <w:szCs w:val="22"/>
        </w:rPr>
        <w:t xml:space="preserve"> across all categories </w:t>
      </w:r>
    </w:p>
    <w:p w14:paraId="36E74370" w14:textId="77777777" w:rsidR="00E1075C" w:rsidRPr="00613922" w:rsidRDefault="4FEF2642" w:rsidP="00E1075C">
      <w:pPr>
        <w:pStyle w:val="ListParagraph"/>
        <w:numPr>
          <w:ilvl w:val="0"/>
          <w:numId w:val="46"/>
        </w:numPr>
        <w:tabs>
          <w:tab w:val="left" w:pos="11167"/>
        </w:tabs>
        <w:rPr>
          <w:sz w:val="22"/>
          <w:szCs w:val="22"/>
        </w:rPr>
      </w:pPr>
      <w:r w:rsidRPr="4FEF2642">
        <w:rPr>
          <w:sz w:val="22"/>
          <w:szCs w:val="22"/>
        </w:rPr>
        <w:lastRenderedPageBreak/>
        <w:t>Assessment would be straightforward (all subcategories are worth the same)</w:t>
      </w:r>
    </w:p>
    <w:p w14:paraId="6112FDDF" w14:textId="77777777" w:rsidR="00E1075C" w:rsidRPr="00613922" w:rsidRDefault="4FEF2642" w:rsidP="00E1075C">
      <w:pPr>
        <w:tabs>
          <w:tab w:val="left" w:pos="11167"/>
        </w:tabs>
        <w:rPr>
          <w:b/>
          <w:sz w:val="22"/>
          <w:szCs w:val="22"/>
        </w:rPr>
      </w:pPr>
      <w:r w:rsidRPr="4FEF2642">
        <w:rPr>
          <w:b/>
          <w:bCs/>
          <w:sz w:val="22"/>
          <w:szCs w:val="22"/>
        </w:rPr>
        <w:t>Assumed cons:</w:t>
      </w:r>
    </w:p>
    <w:p w14:paraId="30A23A37" w14:textId="77777777" w:rsidR="00E1075C" w:rsidRPr="00613922" w:rsidRDefault="4FEF2642" w:rsidP="00E1075C">
      <w:pPr>
        <w:pStyle w:val="ListParagraph"/>
        <w:numPr>
          <w:ilvl w:val="0"/>
          <w:numId w:val="43"/>
        </w:numPr>
        <w:tabs>
          <w:tab w:val="left" w:pos="11167"/>
        </w:tabs>
        <w:rPr>
          <w:sz w:val="22"/>
          <w:szCs w:val="22"/>
        </w:rPr>
      </w:pPr>
      <w:r w:rsidRPr="4FEF2642">
        <w:rPr>
          <w:sz w:val="22"/>
          <w:szCs w:val="22"/>
        </w:rPr>
        <w:t>This may stop some innovation in certain areas because applicants would need to allocate their resources widely to cover all subcategories</w:t>
      </w:r>
    </w:p>
    <w:p w14:paraId="5AA02087" w14:textId="77777777" w:rsidR="00E1075C" w:rsidRPr="00613922" w:rsidRDefault="4FEF2642" w:rsidP="00E1075C">
      <w:pPr>
        <w:pStyle w:val="ListParagraph"/>
        <w:numPr>
          <w:ilvl w:val="0"/>
          <w:numId w:val="43"/>
        </w:numPr>
        <w:tabs>
          <w:tab w:val="left" w:pos="11167"/>
        </w:tabs>
        <w:rPr>
          <w:sz w:val="22"/>
          <w:szCs w:val="22"/>
        </w:rPr>
      </w:pPr>
      <w:r w:rsidRPr="4FEF2642">
        <w:rPr>
          <w:sz w:val="22"/>
          <w:szCs w:val="22"/>
        </w:rPr>
        <w:t>This is likely to remove some flexibility and ownership of business decisions from the applicant because they must focus on all subcategories</w:t>
      </w:r>
    </w:p>
    <w:p w14:paraId="4C0CBEFF" w14:textId="77777777" w:rsidR="00E1075C" w:rsidRPr="00613922" w:rsidRDefault="00E1075C" w:rsidP="00E1075C">
      <w:pPr>
        <w:pStyle w:val="ListParagraph"/>
        <w:tabs>
          <w:tab w:val="left" w:pos="11167"/>
        </w:tabs>
        <w:ind w:left="720"/>
        <w:rPr>
          <w:sz w:val="22"/>
          <w:szCs w:val="22"/>
        </w:rPr>
      </w:pPr>
    </w:p>
    <w:p w14:paraId="20082251" w14:textId="77777777" w:rsidR="00E1075C" w:rsidRPr="00613922" w:rsidRDefault="4FEF2642" w:rsidP="00E1075C">
      <w:pPr>
        <w:pStyle w:val="Caption"/>
        <w:jc w:val="left"/>
        <w:rPr>
          <w:b w:val="0"/>
          <w:szCs w:val="22"/>
        </w:rPr>
      </w:pPr>
      <w:r>
        <w:rPr>
          <w:b w:val="0"/>
          <w:bCs w:val="0"/>
        </w:rPr>
        <w:t xml:space="preserve">Category: </w:t>
      </w:r>
      <w:r w:rsidRPr="4FEF2642">
        <w:rPr>
          <w:b w:val="0"/>
          <w:bCs w:val="0"/>
          <w:noProof/>
        </w:rPr>
        <w:t>People Development</w:t>
      </w:r>
    </w:p>
    <w:p w14:paraId="2B419F64" w14:textId="77777777" w:rsidR="00E1075C" w:rsidRPr="00613922" w:rsidRDefault="4FEF2642" w:rsidP="00E1075C">
      <w:pPr>
        <w:tabs>
          <w:tab w:val="left" w:pos="11167"/>
        </w:tabs>
        <w:rPr>
          <w:i/>
          <w:sz w:val="22"/>
          <w:szCs w:val="22"/>
        </w:rPr>
      </w:pPr>
      <w:r w:rsidRPr="36E5F146">
        <w:rPr>
          <w:i/>
          <w:iCs/>
          <w:sz w:val="22"/>
          <w:szCs w:val="22"/>
        </w:rPr>
        <w:t>Example One – Average Score across all subcategories does not meet required average – declined.</w:t>
      </w:r>
    </w:p>
    <w:p w14:paraId="0F8C7C19" w14:textId="00F26E2C" w:rsidR="00E1075C" w:rsidRPr="00613922" w:rsidRDefault="004B41AC" w:rsidP="00E1075C">
      <w:pPr>
        <w:keepLines w:val="0"/>
        <w:rPr>
          <w:sz w:val="22"/>
          <w:szCs w:val="22"/>
        </w:rPr>
      </w:pPr>
      <w:r>
        <w:rPr>
          <w:noProof/>
          <w:lang w:eastAsia="en-NZ"/>
        </w:rPr>
        <w:drawing>
          <wp:inline distT="0" distB="0" distL="0" distR="0" wp14:anchorId="6F794EB8" wp14:editId="1BCDE6A7">
            <wp:extent cx="5291138" cy="3981450"/>
            <wp:effectExtent l="0" t="0" r="24130" b="1905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B818A79" w14:textId="77777777" w:rsidR="00E1075C" w:rsidRDefault="4FEF2642" w:rsidP="00E1075C">
      <w:pPr>
        <w:tabs>
          <w:tab w:val="left" w:pos="11167"/>
        </w:tabs>
        <w:rPr>
          <w:i/>
          <w:sz w:val="22"/>
          <w:szCs w:val="22"/>
        </w:rPr>
      </w:pPr>
      <w:r w:rsidRPr="36E5F146">
        <w:rPr>
          <w:i/>
          <w:iCs/>
          <w:sz w:val="22"/>
          <w:szCs w:val="22"/>
        </w:rPr>
        <w:t>Example Two – Average Score across all subcategories meets required average – approved.</w:t>
      </w:r>
    </w:p>
    <w:p w14:paraId="62B36B9E" w14:textId="6AA4716D" w:rsidR="004B41AC" w:rsidRPr="00613922" w:rsidRDefault="004B41AC" w:rsidP="00E1075C">
      <w:pPr>
        <w:tabs>
          <w:tab w:val="left" w:pos="11167"/>
        </w:tabs>
        <w:rPr>
          <w:i/>
          <w:sz w:val="22"/>
          <w:szCs w:val="22"/>
        </w:rPr>
      </w:pPr>
      <w:r>
        <w:rPr>
          <w:noProof/>
          <w:lang w:eastAsia="en-NZ"/>
        </w:rPr>
        <w:lastRenderedPageBreak/>
        <w:drawing>
          <wp:inline distT="0" distB="0" distL="0" distR="0" wp14:anchorId="41A04F8B" wp14:editId="3E186562">
            <wp:extent cx="5291138" cy="3981450"/>
            <wp:effectExtent l="0" t="0" r="24130" b="1905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3AA110F" w14:textId="38BB96EC" w:rsidR="00E1075C" w:rsidRPr="00613922" w:rsidRDefault="4FEF2642" w:rsidP="00E1075C">
      <w:pPr>
        <w:keepLines w:val="0"/>
        <w:rPr>
          <w:sz w:val="22"/>
          <w:szCs w:val="22"/>
        </w:rPr>
      </w:pPr>
      <w:r w:rsidRPr="4FEF2642">
        <w:rPr>
          <w:b/>
          <w:bCs/>
          <w:sz w:val="22"/>
          <w:szCs w:val="22"/>
          <w:u w:val="single"/>
        </w:rPr>
        <w:t>Assessment method Option 4 – Cross-Category Approach</w:t>
      </w:r>
    </w:p>
    <w:p w14:paraId="3E5D42C4" w14:textId="72C4E3F0" w:rsidR="00E1075C" w:rsidRPr="00613922" w:rsidRDefault="4FEF2642" w:rsidP="00E1075C">
      <w:pPr>
        <w:tabs>
          <w:tab w:val="left" w:pos="11167"/>
        </w:tabs>
        <w:rPr>
          <w:sz w:val="22"/>
          <w:szCs w:val="22"/>
        </w:rPr>
      </w:pPr>
      <w:r w:rsidRPr="4FEF2642">
        <w:rPr>
          <w:b/>
          <w:bCs/>
          <w:sz w:val="22"/>
          <w:szCs w:val="22"/>
        </w:rPr>
        <w:t>Description of option:</w:t>
      </w:r>
      <w:r w:rsidRPr="4FEF2642">
        <w:rPr>
          <w:sz w:val="22"/>
          <w:szCs w:val="22"/>
        </w:rPr>
        <w:t xml:space="preserve"> This approach means that half of the category needs to meet </w:t>
      </w:r>
      <w:r w:rsidR="00CF66AF">
        <w:rPr>
          <w:sz w:val="22"/>
          <w:szCs w:val="22"/>
        </w:rPr>
        <w:t>best</w:t>
      </w:r>
      <w:r w:rsidRPr="4FEF2642">
        <w:rPr>
          <w:sz w:val="22"/>
          <w:szCs w:val="22"/>
        </w:rPr>
        <w:t xml:space="preserve"> </w:t>
      </w:r>
      <w:r w:rsidR="001020CA">
        <w:rPr>
          <w:sz w:val="22"/>
          <w:szCs w:val="22"/>
        </w:rPr>
        <w:t>practice</w:t>
      </w:r>
      <w:r w:rsidRPr="4FEF2642">
        <w:rPr>
          <w:sz w:val="22"/>
          <w:szCs w:val="22"/>
        </w:rPr>
        <w:t xml:space="preserve"> (i.e. where there are four subcategories, two of them need to meet </w:t>
      </w:r>
      <w:r w:rsidR="00CF66AF">
        <w:rPr>
          <w:sz w:val="22"/>
          <w:szCs w:val="22"/>
        </w:rPr>
        <w:t>best</w:t>
      </w:r>
      <w:r w:rsidRPr="4FEF2642">
        <w:rPr>
          <w:sz w:val="22"/>
          <w:szCs w:val="22"/>
        </w:rPr>
        <w:t xml:space="preserve"> </w:t>
      </w:r>
      <w:r w:rsidR="001020CA">
        <w:rPr>
          <w:sz w:val="22"/>
          <w:szCs w:val="22"/>
        </w:rPr>
        <w:t>practice</w:t>
      </w:r>
      <w:r w:rsidRPr="4FEF2642">
        <w:rPr>
          <w:sz w:val="22"/>
          <w:szCs w:val="22"/>
        </w:rPr>
        <w:t>) but it does not matter which subcategories these are. Applicant must score at least ‘Needing Development’ or higher in the other subcategories.</w:t>
      </w:r>
    </w:p>
    <w:p w14:paraId="1AD73CA3" w14:textId="77777777" w:rsidR="00E1075C" w:rsidRPr="00613922" w:rsidRDefault="4FEF2642" w:rsidP="00E1075C">
      <w:pPr>
        <w:tabs>
          <w:tab w:val="left" w:pos="11167"/>
        </w:tabs>
        <w:rPr>
          <w:b/>
          <w:sz w:val="22"/>
          <w:szCs w:val="22"/>
        </w:rPr>
      </w:pPr>
      <w:r w:rsidRPr="4FEF2642">
        <w:rPr>
          <w:b/>
          <w:bCs/>
          <w:sz w:val="22"/>
          <w:szCs w:val="22"/>
        </w:rPr>
        <w:t>Assumed pros:</w:t>
      </w:r>
    </w:p>
    <w:p w14:paraId="4E3DEE1D" w14:textId="12C0267B" w:rsidR="00E1075C" w:rsidRPr="00613922" w:rsidRDefault="4FEF2642" w:rsidP="00E1075C">
      <w:pPr>
        <w:pStyle w:val="ListParagraph"/>
        <w:numPr>
          <w:ilvl w:val="0"/>
          <w:numId w:val="33"/>
        </w:numPr>
        <w:tabs>
          <w:tab w:val="left" w:pos="11167"/>
        </w:tabs>
        <w:rPr>
          <w:sz w:val="22"/>
          <w:szCs w:val="22"/>
        </w:rPr>
      </w:pPr>
      <w:r w:rsidRPr="4FEF2642">
        <w:rPr>
          <w:sz w:val="22"/>
          <w:szCs w:val="22"/>
        </w:rPr>
        <w:t xml:space="preserve">This supports </w:t>
      </w:r>
      <w:r w:rsidR="00CF66AF">
        <w:rPr>
          <w:sz w:val="22"/>
          <w:szCs w:val="22"/>
        </w:rPr>
        <w:t>best</w:t>
      </w:r>
      <w:r w:rsidRPr="4FEF2642">
        <w:rPr>
          <w:sz w:val="22"/>
          <w:szCs w:val="22"/>
        </w:rPr>
        <w:t xml:space="preserve"> </w:t>
      </w:r>
      <w:r w:rsidR="001020CA">
        <w:rPr>
          <w:sz w:val="22"/>
          <w:szCs w:val="22"/>
        </w:rPr>
        <w:t>practice</w:t>
      </w:r>
      <w:r w:rsidRPr="4FEF2642">
        <w:rPr>
          <w:sz w:val="22"/>
          <w:szCs w:val="22"/>
        </w:rPr>
        <w:t xml:space="preserve"> across all categories but is not prescriptive about where an applicant’s efforts should be directed</w:t>
      </w:r>
    </w:p>
    <w:p w14:paraId="38E4B184" w14:textId="77777777" w:rsidR="00E1075C" w:rsidRPr="00613922" w:rsidRDefault="4FEF2642" w:rsidP="00E1075C">
      <w:pPr>
        <w:pStyle w:val="ListParagraph"/>
        <w:numPr>
          <w:ilvl w:val="0"/>
          <w:numId w:val="32"/>
        </w:numPr>
        <w:tabs>
          <w:tab w:val="left" w:pos="11167"/>
        </w:tabs>
        <w:rPr>
          <w:sz w:val="22"/>
          <w:szCs w:val="22"/>
        </w:rPr>
      </w:pPr>
      <w:r w:rsidRPr="4FEF2642">
        <w:rPr>
          <w:sz w:val="22"/>
          <w:szCs w:val="22"/>
        </w:rPr>
        <w:t>Allows applicant to focus on those areas that they believe are most important or that they are strong in</w:t>
      </w:r>
    </w:p>
    <w:p w14:paraId="387AECC5" w14:textId="77777777" w:rsidR="00E1075C" w:rsidRPr="00613922" w:rsidRDefault="4FEF2642" w:rsidP="00E1075C">
      <w:pPr>
        <w:pStyle w:val="ListParagraph"/>
        <w:numPr>
          <w:ilvl w:val="0"/>
          <w:numId w:val="32"/>
        </w:numPr>
        <w:tabs>
          <w:tab w:val="left" w:pos="11167"/>
        </w:tabs>
        <w:rPr>
          <w:sz w:val="22"/>
          <w:szCs w:val="22"/>
        </w:rPr>
      </w:pPr>
      <w:r w:rsidRPr="4FEF2642">
        <w:rPr>
          <w:sz w:val="22"/>
          <w:szCs w:val="22"/>
        </w:rPr>
        <w:t>Assessment is straightforward and simple to implement</w:t>
      </w:r>
    </w:p>
    <w:p w14:paraId="5EDA16E8" w14:textId="77777777" w:rsidR="00E1075C" w:rsidRPr="00613922" w:rsidRDefault="4FEF2642" w:rsidP="00E1075C">
      <w:pPr>
        <w:tabs>
          <w:tab w:val="left" w:pos="11167"/>
        </w:tabs>
        <w:rPr>
          <w:b/>
          <w:sz w:val="22"/>
          <w:szCs w:val="22"/>
        </w:rPr>
      </w:pPr>
      <w:r w:rsidRPr="4FEF2642">
        <w:rPr>
          <w:b/>
          <w:bCs/>
          <w:sz w:val="22"/>
          <w:szCs w:val="22"/>
        </w:rPr>
        <w:t>Assumed cons:</w:t>
      </w:r>
    </w:p>
    <w:p w14:paraId="6FADBE36" w14:textId="77777777" w:rsidR="00E1075C" w:rsidRPr="00613922" w:rsidRDefault="4FEF2642" w:rsidP="00E1075C">
      <w:pPr>
        <w:pStyle w:val="ListParagraph"/>
        <w:numPr>
          <w:ilvl w:val="0"/>
          <w:numId w:val="34"/>
        </w:numPr>
        <w:tabs>
          <w:tab w:val="left" w:pos="11167"/>
        </w:tabs>
        <w:rPr>
          <w:sz w:val="22"/>
          <w:szCs w:val="22"/>
        </w:rPr>
      </w:pPr>
      <w:r w:rsidRPr="4FEF2642">
        <w:rPr>
          <w:sz w:val="22"/>
          <w:szCs w:val="22"/>
        </w:rPr>
        <w:t>None identified</w:t>
      </w:r>
    </w:p>
    <w:p w14:paraId="77670816" w14:textId="77777777" w:rsidR="00E1075C" w:rsidRPr="00613922" w:rsidRDefault="4FEF2642" w:rsidP="00E1075C">
      <w:pPr>
        <w:tabs>
          <w:tab w:val="left" w:pos="11167"/>
        </w:tabs>
        <w:rPr>
          <w:sz w:val="22"/>
          <w:szCs w:val="22"/>
        </w:rPr>
      </w:pPr>
      <w:r w:rsidRPr="4FEF2642">
        <w:rPr>
          <w:sz w:val="22"/>
          <w:szCs w:val="22"/>
        </w:rPr>
        <w:t>Category: Relationships</w:t>
      </w:r>
    </w:p>
    <w:p w14:paraId="63B8C313" w14:textId="77777777" w:rsidR="004B41AC" w:rsidRDefault="004B41AC">
      <w:pPr>
        <w:keepLines w:val="0"/>
        <w:rPr>
          <w:i/>
          <w:sz w:val="22"/>
          <w:szCs w:val="22"/>
        </w:rPr>
      </w:pPr>
      <w:r>
        <w:rPr>
          <w:i/>
          <w:sz w:val="22"/>
          <w:szCs w:val="22"/>
        </w:rPr>
        <w:br w:type="page"/>
      </w:r>
    </w:p>
    <w:p w14:paraId="24BBEC69" w14:textId="3214D193" w:rsidR="00E1075C" w:rsidRPr="00613922" w:rsidRDefault="4FEF2642" w:rsidP="00E1075C">
      <w:pPr>
        <w:tabs>
          <w:tab w:val="left" w:pos="11167"/>
        </w:tabs>
        <w:rPr>
          <w:i/>
          <w:sz w:val="22"/>
          <w:szCs w:val="22"/>
        </w:rPr>
      </w:pPr>
      <w:r w:rsidRPr="36E5F146">
        <w:rPr>
          <w:i/>
          <w:iCs/>
          <w:sz w:val="22"/>
          <w:szCs w:val="22"/>
        </w:rPr>
        <w:lastRenderedPageBreak/>
        <w:t>Example One – Applicant meets no required expected scores – declined.</w:t>
      </w:r>
    </w:p>
    <w:p w14:paraId="58694FA9" w14:textId="5C2D8F93" w:rsidR="00E1075C" w:rsidRPr="00613922" w:rsidRDefault="004B41AC" w:rsidP="00E1075C">
      <w:pPr>
        <w:tabs>
          <w:tab w:val="left" w:pos="11167"/>
        </w:tabs>
        <w:rPr>
          <w:sz w:val="22"/>
          <w:szCs w:val="22"/>
        </w:rPr>
      </w:pPr>
      <w:r>
        <w:rPr>
          <w:noProof/>
          <w:lang w:eastAsia="en-NZ"/>
        </w:rPr>
        <w:drawing>
          <wp:inline distT="0" distB="0" distL="0" distR="0" wp14:anchorId="5AE9CF12" wp14:editId="56B9C91E">
            <wp:extent cx="5467350" cy="3124200"/>
            <wp:effectExtent l="0" t="0" r="19050" b="1905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B21E63A" w14:textId="77777777" w:rsidR="00E1075C" w:rsidRPr="00613922" w:rsidRDefault="4FEF2642" w:rsidP="00E1075C">
      <w:pPr>
        <w:tabs>
          <w:tab w:val="left" w:pos="11167"/>
        </w:tabs>
        <w:rPr>
          <w:i/>
          <w:sz w:val="22"/>
          <w:szCs w:val="22"/>
        </w:rPr>
      </w:pPr>
      <w:r w:rsidRPr="36E5F146">
        <w:rPr>
          <w:i/>
          <w:iCs/>
          <w:sz w:val="22"/>
          <w:szCs w:val="22"/>
        </w:rPr>
        <w:t>Example Two – Applicant meets one out of four required expected scores – declined.</w:t>
      </w:r>
    </w:p>
    <w:p w14:paraId="3E8A2520" w14:textId="15876A9E" w:rsidR="00E1075C" w:rsidRPr="00613922" w:rsidRDefault="004B41AC" w:rsidP="00E1075C">
      <w:pPr>
        <w:tabs>
          <w:tab w:val="left" w:pos="11167"/>
        </w:tabs>
        <w:rPr>
          <w:sz w:val="22"/>
          <w:szCs w:val="22"/>
        </w:rPr>
      </w:pPr>
      <w:r>
        <w:rPr>
          <w:noProof/>
          <w:lang w:eastAsia="en-NZ"/>
        </w:rPr>
        <w:drawing>
          <wp:inline distT="0" distB="0" distL="0" distR="0" wp14:anchorId="0711F4B6" wp14:editId="56E59E44">
            <wp:extent cx="5467350" cy="3124200"/>
            <wp:effectExtent l="0" t="0" r="19050" b="1905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742AF1B" w14:textId="77777777" w:rsidR="004B41AC" w:rsidRDefault="004B41AC" w:rsidP="004B41AC">
      <w:pPr>
        <w:tabs>
          <w:tab w:val="left" w:pos="11167"/>
        </w:tabs>
        <w:rPr>
          <w:i/>
          <w:sz w:val="20"/>
          <w:szCs w:val="20"/>
        </w:rPr>
      </w:pPr>
    </w:p>
    <w:p w14:paraId="6B3DF5E3" w14:textId="77777777" w:rsidR="004B41AC" w:rsidRDefault="004B41AC">
      <w:pPr>
        <w:keepLines w:val="0"/>
        <w:rPr>
          <w:i/>
          <w:sz w:val="20"/>
          <w:szCs w:val="20"/>
        </w:rPr>
      </w:pPr>
      <w:r>
        <w:rPr>
          <w:i/>
          <w:sz w:val="20"/>
          <w:szCs w:val="20"/>
        </w:rPr>
        <w:br w:type="page"/>
      </w:r>
    </w:p>
    <w:p w14:paraId="2C0C994D" w14:textId="24444CAB" w:rsidR="004B41AC" w:rsidRPr="00920A85" w:rsidRDefault="4FEF2642" w:rsidP="004B41AC">
      <w:pPr>
        <w:tabs>
          <w:tab w:val="left" w:pos="11167"/>
        </w:tabs>
        <w:rPr>
          <w:i/>
          <w:sz w:val="20"/>
          <w:szCs w:val="20"/>
        </w:rPr>
      </w:pPr>
      <w:r w:rsidRPr="36E5F146">
        <w:rPr>
          <w:i/>
          <w:iCs/>
          <w:sz w:val="20"/>
          <w:szCs w:val="20"/>
        </w:rPr>
        <w:lastRenderedPageBreak/>
        <w:t>Example Three – Applicant meets two out of four required expected scores, but assessed as “weak” in one category – declined.</w:t>
      </w:r>
    </w:p>
    <w:p w14:paraId="7A61E69A" w14:textId="77777777" w:rsidR="004B41AC" w:rsidRDefault="004B41AC" w:rsidP="004B41AC">
      <w:pPr>
        <w:tabs>
          <w:tab w:val="left" w:pos="11167"/>
        </w:tabs>
        <w:rPr>
          <w:i/>
          <w:sz w:val="22"/>
          <w:szCs w:val="22"/>
        </w:rPr>
      </w:pPr>
      <w:r>
        <w:rPr>
          <w:noProof/>
          <w:lang w:eastAsia="en-NZ"/>
        </w:rPr>
        <w:drawing>
          <wp:inline distT="0" distB="0" distL="0" distR="0" wp14:anchorId="767C5642" wp14:editId="1B061BBD">
            <wp:extent cx="5467350" cy="3124200"/>
            <wp:effectExtent l="0" t="0" r="19050" b="1905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8D894AA" w14:textId="77777777" w:rsidR="004B41AC" w:rsidRDefault="4FEF2642" w:rsidP="004B41AC">
      <w:pPr>
        <w:tabs>
          <w:tab w:val="left" w:pos="11167"/>
        </w:tabs>
        <w:rPr>
          <w:i/>
          <w:sz w:val="22"/>
          <w:szCs w:val="22"/>
        </w:rPr>
      </w:pPr>
      <w:r w:rsidRPr="36E5F146">
        <w:rPr>
          <w:i/>
          <w:iCs/>
          <w:sz w:val="20"/>
          <w:szCs w:val="20"/>
        </w:rPr>
        <w:t>Example Four – Applicant meets two out of four required expected scores, and not assessed as “weak” in any other category – approved</w:t>
      </w:r>
      <w:r w:rsidRPr="36E5F146">
        <w:rPr>
          <w:i/>
          <w:iCs/>
          <w:sz w:val="22"/>
          <w:szCs w:val="22"/>
        </w:rPr>
        <w:t>.</w:t>
      </w:r>
    </w:p>
    <w:p w14:paraId="47CBF4D4" w14:textId="77777777" w:rsidR="004B41AC" w:rsidRDefault="004B41AC" w:rsidP="004B41AC">
      <w:pPr>
        <w:tabs>
          <w:tab w:val="left" w:pos="11167"/>
        </w:tabs>
        <w:rPr>
          <w:i/>
          <w:sz w:val="22"/>
          <w:szCs w:val="22"/>
        </w:rPr>
      </w:pPr>
      <w:r>
        <w:rPr>
          <w:noProof/>
          <w:lang w:eastAsia="en-NZ"/>
        </w:rPr>
        <w:drawing>
          <wp:inline distT="0" distB="0" distL="0" distR="0" wp14:anchorId="5462DB94" wp14:editId="6F8EA643">
            <wp:extent cx="5467350" cy="3124200"/>
            <wp:effectExtent l="0" t="0" r="19050" b="1905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869759F" w14:textId="77777777" w:rsidR="00414D77" w:rsidRDefault="00414D77">
      <w:pPr>
        <w:keepLines w:val="0"/>
      </w:pPr>
      <w:r>
        <w:br w:type="page"/>
      </w:r>
    </w:p>
    <w:p w14:paraId="61218511" w14:textId="77357229" w:rsidR="00E1075C" w:rsidRDefault="4FEF2642" w:rsidP="00E1075C">
      <w:pPr>
        <w:keepLines w:val="0"/>
      </w:pPr>
      <w:r>
        <w:lastRenderedPageBreak/>
        <w:t>Initial assessment of rating scale options (prior to consultation):</w:t>
      </w:r>
    </w:p>
    <w:tbl>
      <w:tblPr>
        <w:tblStyle w:val="DIATable"/>
        <w:tblW w:w="9298" w:type="dxa"/>
        <w:tblLook w:val="04A0" w:firstRow="1" w:lastRow="0" w:firstColumn="1" w:lastColumn="0" w:noHBand="0" w:noVBand="1"/>
      </w:tblPr>
      <w:tblGrid>
        <w:gridCol w:w="3402"/>
        <w:gridCol w:w="1474"/>
        <w:gridCol w:w="1474"/>
        <w:gridCol w:w="1474"/>
        <w:gridCol w:w="1474"/>
      </w:tblGrid>
      <w:tr w:rsidR="00E1075C" w14:paraId="741CFEF1" w14:textId="77777777" w:rsidTr="36E5F146">
        <w:trPr>
          <w:cnfStyle w:val="100000000000" w:firstRow="1" w:lastRow="0" w:firstColumn="0" w:lastColumn="0" w:oddVBand="0" w:evenVBand="0" w:oddHBand="0" w:evenHBand="0" w:firstRowFirstColumn="0" w:firstRowLastColumn="0" w:lastRowFirstColumn="0" w:lastRowLastColumn="0"/>
        </w:trPr>
        <w:tc>
          <w:tcPr>
            <w:tcW w:w="3402" w:type="dxa"/>
          </w:tcPr>
          <w:p w14:paraId="5DFABA76" w14:textId="77777777" w:rsidR="00E1075C" w:rsidRDefault="00E1075C" w:rsidP="00280116"/>
        </w:tc>
        <w:tc>
          <w:tcPr>
            <w:tcW w:w="1474" w:type="dxa"/>
          </w:tcPr>
          <w:p w14:paraId="76D0202C" w14:textId="77777777" w:rsidR="00E1075C" w:rsidRDefault="4FEF2642" w:rsidP="00280116">
            <w:r>
              <w:t>Option 1: Balanced Scorecard</w:t>
            </w:r>
          </w:p>
        </w:tc>
        <w:tc>
          <w:tcPr>
            <w:tcW w:w="1474" w:type="dxa"/>
          </w:tcPr>
          <w:p w14:paraId="296F39FD" w14:textId="77777777" w:rsidR="00E1075C" w:rsidRDefault="4FEF2642" w:rsidP="00280116">
            <w:r>
              <w:t>Option 2:</w:t>
            </w:r>
          </w:p>
          <w:p w14:paraId="2B105815" w14:textId="77777777" w:rsidR="00E1075C" w:rsidRDefault="4FEF2642" w:rsidP="00280116">
            <w:r>
              <w:t>Weighted Approach</w:t>
            </w:r>
          </w:p>
        </w:tc>
        <w:tc>
          <w:tcPr>
            <w:tcW w:w="1474" w:type="dxa"/>
          </w:tcPr>
          <w:p w14:paraId="2D0FE7CF" w14:textId="77777777" w:rsidR="00E1075C" w:rsidRDefault="4FEF2642" w:rsidP="00280116">
            <w:r>
              <w:t>Option 3: Straight Overall Rating</w:t>
            </w:r>
          </w:p>
        </w:tc>
        <w:tc>
          <w:tcPr>
            <w:tcW w:w="1474" w:type="dxa"/>
          </w:tcPr>
          <w:p w14:paraId="563CC34B" w14:textId="77777777" w:rsidR="00E1075C" w:rsidRDefault="4FEF2642" w:rsidP="00280116">
            <w:r>
              <w:t>Option 4: Cross-Category Approach</w:t>
            </w:r>
          </w:p>
        </w:tc>
      </w:tr>
      <w:tr w:rsidR="00E1075C" w14:paraId="7163E283" w14:textId="77777777" w:rsidTr="36E5F146">
        <w:tc>
          <w:tcPr>
            <w:tcW w:w="3402" w:type="dxa"/>
          </w:tcPr>
          <w:p w14:paraId="176D5692" w14:textId="01E19783" w:rsidR="00E1075C" w:rsidRDefault="4FEF2642" w:rsidP="00280116">
            <w:r>
              <w:t xml:space="preserve">(IO) Supports Innovation and </w:t>
            </w:r>
            <w:r w:rsidR="00CF66AF">
              <w:t>best</w:t>
            </w:r>
            <w:r>
              <w:t xml:space="preserve"> </w:t>
            </w:r>
            <w:r w:rsidR="001020CA">
              <w:t>practice</w:t>
            </w:r>
            <w:r>
              <w:t xml:space="preserve"> </w:t>
            </w:r>
          </w:p>
        </w:tc>
        <w:tc>
          <w:tcPr>
            <w:tcW w:w="1474" w:type="dxa"/>
          </w:tcPr>
          <w:p w14:paraId="589ECB9F" w14:textId="77777777" w:rsidR="00E1075C" w:rsidRDefault="4FEF2642" w:rsidP="00280116">
            <w:r>
              <w:t>Partially met</w:t>
            </w:r>
          </w:p>
        </w:tc>
        <w:tc>
          <w:tcPr>
            <w:tcW w:w="1474" w:type="dxa"/>
          </w:tcPr>
          <w:p w14:paraId="5EF66F85" w14:textId="77777777" w:rsidR="00E1075C" w:rsidRDefault="4FEF2642" w:rsidP="00280116">
            <w:r>
              <w:t>Partially met</w:t>
            </w:r>
          </w:p>
        </w:tc>
        <w:tc>
          <w:tcPr>
            <w:tcW w:w="1474" w:type="dxa"/>
          </w:tcPr>
          <w:p w14:paraId="2F213C93" w14:textId="77777777" w:rsidR="00E1075C" w:rsidRDefault="4FEF2642" w:rsidP="00280116">
            <w:r>
              <w:t>Partially met</w:t>
            </w:r>
          </w:p>
        </w:tc>
        <w:tc>
          <w:tcPr>
            <w:tcW w:w="1474" w:type="dxa"/>
          </w:tcPr>
          <w:p w14:paraId="291DA587" w14:textId="77777777" w:rsidR="00E1075C" w:rsidRDefault="4FEF2642" w:rsidP="00280116">
            <w:r>
              <w:t>Fully met</w:t>
            </w:r>
          </w:p>
        </w:tc>
      </w:tr>
      <w:tr w:rsidR="00E1075C" w14:paraId="3B86F26A" w14:textId="77777777" w:rsidTr="36E5F146">
        <w:tc>
          <w:tcPr>
            <w:tcW w:w="3402" w:type="dxa"/>
          </w:tcPr>
          <w:p w14:paraId="1FF5BDD1" w14:textId="77777777" w:rsidR="00E1075C" w:rsidRDefault="4FEF2642" w:rsidP="00280116">
            <w:r>
              <w:t>(IO) Class 4 Sector behave responsibly and with integrity</w:t>
            </w:r>
          </w:p>
        </w:tc>
        <w:tc>
          <w:tcPr>
            <w:tcW w:w="1474" w:type="dxa"/>
          </w:tcPr>
          <w:p w14:paraId="317FC8ED" w14:textId="77777777" w:rsidR="00E1075C" w:rsidRDefault="4FEF2642" w:rsidP="00280116">
            <w:r>
              <w:t>Partially met</w:t>
            </w:r>
          </w:p>
        </w:tc>
        <w:tc>
          <w:tcPr>
            <w:tcW w:w="1474" w:type="dxa"/>
          </w:tcPr>
          <w:p w14:paraId="0E4C0950" w14:textId="77777777" w:rsidR="00E1075C" w:rsidRDefault="4FEF2642" w:rsidP="00280116">
            <w:r>
              <w:t>Partially met</w:t>
            </w:r>
          </w:p>
        </w:tc>
        <w:tc>
          <w:tcPr>
            <w:tcW w:w="1474" w:type="dxa"/>
          </w:tcPr>
          <w:p w14:paraId="160DF40B" w14:textId="77777777" w:rsidR="00E1075C" w:rsidRDefault="4FEF2642" w:rsidP="00280116">
            <w:r>
              <w:t>Partially met</w:t>
            </w:r>
          </w:p>
        </w:tc>
        <w:tc>
          <w:tcPr>
            <w:tcW w:w="1474" w:type="dxa"/>
          </w:tcPr>
          <w:p w14:paraId="30580364" w14:textId="77777777" w:rsidR="00E1075C" w:rsidRDefault="4FEF2642" w:rsidP="00280116">
            <w:r>
              <w:t>Fully met</w:t>
            </w:r>
          </w:p>
        </w:tc>
      </w:tr>
      <w:tr w:rsidR="00E1075C" w14:paraId="3FB6AC42" w14:textId="77777777" w:rsidTr="36E5F146">
        <w:tc>
          <w:tcPr>
            <w:tcW w:w="3402" w:type="dxa"/>
          </w:tcPr>
          <w:p w14:paraId="430E933E" w14:textId="77777777" w:rsidR="00E1075C" w:rsidRDefault="4FEF2642" w:rsidP="00280116">
            <w:r>
              <w:t>(IO) Improve effectiveness in C4 governance structures, business planning and stability</w:t>
            </w:r>
          </w:p>
        </w:tc>
        <w:tc>
          <w:tcPr>
            <w:tcW w:w="1474" w:type="dxa"/>
          </w:tcPr>
          <w:p w14:paraId="213376FC" w14:textId="77777777" w:rsidR="00E1075C" w:rsidRDefault="4FEF2642" w:rsidP="00280116">
            <w:r>
              <w:t>Partially met</w:t>
            </w:r>
          </w:p>
        </w:tc>
        <w:tc>
          <w:tcPr>
            <w:tcW w:w="1474" w:type="dxa"/>
          </w:tcPr>
          <w:p w14:paraId="4E6863A2" w14:textId="77777777" w:rsidR="00E1075C" w:rsidRDefault="4FEF2642" w:rsidP="00280116">
            <w:r>
              <w:t>Partially met</w:t>
            </w:r>
          </w:p>
        </w:tc>
        <w:tc>
          <w:tcPr>
            <w:tcW w:w="1474" w:type="dxa"/>
          </w:tcPr>
          <w:p w14:paraId="15C31FA3" w14:textId="77777777" w:rsidR="00E1075C" w:rsidRDefault="4FEF2642" w:rsidP="00280116">
            <w:r>
              <w:t>Partially met</w:t>
            </w:r>
          </w:p>
        </w:tc>
        <w:tc>
          <w:tcPr>
            <w:tcW w:w="1474" w:type="dxa"/>
          </w:tcPr>
          <w:p w14:paraId="79A16543" w14:textId="77777777" w:rsidR="00E1075C" w:rsidRDefault="4FEF2642" w:rsidP="00280116">
            <w:r>
              <w:t>Fully met</w:t>
            </w:r>
          </w:p>
        </w:tc>
      </w:tr>
      <w:tr w:rsidR="00E1075C" w:rsidRPr="00CD72B6" w14:paraId="44206C38" w14:textId="77777777" w:rsidTr="36E5F146">
        <w:tc>
          <w:tcPr>
            <w:tcW w:w="3402" w:type="dxa"/>
          </w:tcPr>
          <w:p w14:paraId="5DFB2FA0" w14:textId="77777777" w:rsidR="00E1075C" w:rsidRPr="00CD72B6" w:rsidRDefault="4FEF2642" w:rsidP="00280116">
            <w:pPr>
              <w:rPr>
                <w:b/>
              </w:rPr>
            </w:pPr>
            <w:r w:rsidRPr="4FEF2642">
              <w:rPr>
                <w:b/>
                <w:bCs/>
              </w:rPr>
              <w:t>Summary of investment objectives</w:t>
            </w:r>
          </w:p>
        </w:tc>
        <w:tc>
          <w:tcPr>
            <w:tcW w:w="1474" w:type="dxa"/>
          </w:tcPr>
          <w:p w14:paraId="085EEA31" w14:textId="77777777" w:rsidR="00E1075C" w:rsidRPr="00CD72B6" w:rsidRDefault="4FEF2642" w:rsidP="00280116">
            <w:pPr>
              <w:rPr>
                <w:b/>
              </w:rPr>
            </w:pPr>
            <w:r w:rsidRPr="4FEF2642">
              <w:rPr>
                <w:b/>
                <w:bCs/>
              </w:rPr>
              <w:t>Partially met</w:t>
            </w:r>
          </w:p>
        </w:tc>
        <w:tc>
          <w:tcPr>
            <w:tcW w:w="1474" w:type="dxa"/>
          </w:tcPr>
          <w:p w14:paraId="3C4AFDD8" w14:textId="77777777" w:rsidR="00E1075C" w:rsidRPr="00CD72B6" w:rsidRDefault="4FEF2642" w:rsidP="00280116">
            <w:pPr>
              <w:rPr>
                <w:b/>
              </w:rPr>
            </w:pPr>
            <w:r w:rsidRPr="4FEF2642">
              <w:rPr>
                <w:b/>
                <w:bCs/>
              </w:rPr>
              <w:t>Partially met</w:t>
            </w:r>
          </w:p>
        </w:tc>
        <w:tc>
          <w:tcPr>
            <w:tcW w:w="1474" w:type="dxa"/>
          </w:tcPr>
          <w:p w14:paraId="23F9091C" w14:textId="77777777" w:rsidR="00E1075C" w:rsidRPr="00CD72B6" w:rsidRDefault="4FEF2642" w:rsidP="00280116">
            <w:pPr>
              <w:rPr>
                <w:b/>
              </w:rPr>
            </w:pPr>
            <w:r w:rsidRPr="4FEF2642">
              <w:rPr>
                <w:b/>
                <w:bCs/>
              </w:rPr>
              <w:t>Partially met</w:t>
            </w:r>
          </w:p>
        </w:tc>
        <w:tc>
          <w:tcPr>
            <w:tcW w:w="1474" w:type="dxa"/>
          </w:tcPr>
          <w:p w14:paraId="23DF2F25" w14:textId="77777777" w:rsidR="00E1075C" w:rsidRPr="00CD72B6" w:rsidRDefault="4FEF2642" w:rsidP="00280116">
            <w:pPr>
              <w:rPr>
                <w:b/>
              </w:rPr>
            </w:pPr>
            <w:r w:rsidRPr="4FEF2642">
              <w:rPr>
                <w:b/>
                <w:bCs/>
              </w:rPr>
              <w:t>Fully met</w:t>
            </w:r>
          </w:p>
        </w:tc>
      </w:tr>
      <w:tr w:rsidR="00E1075C" w14:paraId="2A146E69" w14:textId="77777777" w:rsidTr="36E5F146">
        <w:tc>
          <w:tcPr>
            <w:tcW w:w="3402" w:type="dxa"/>
          </w:tcPr>
          <w:p w14:paraId="2AE468A7" w14:textId="77777777" w:rsidR="00E1075C" w:rsidRDefault="4FEF2642" w:rsidP="00280116">
            <w:r>
              <w:t>(CSF) Broad C4 stakeholder support</w:t>
            </w:r>
          </w:p>
        </w:tc>
        <w:tc>
          <w:tcPr>
            <w:tcW w:w="1474" w:type="dxa"/>
          </w:tcPr>
          <w:p w14:paraId="178F8D03" w14:textId="77777777" w:rsidR="00E1075C" w:rsidRDefault="4FEF2642" w:rsidP="00280116">
            <w:r>
              <w:t>Partially met</w:t>
            </w:r>
          </w:p>
        </w:tc>
        <w:tc>
          <w:tcPr>
            <w:tcW w:w="1474" w:type="dxa"/>
          </w:tcPr>
          <w:p w14:paraId="7921645C" w14:textId="77777777" w:rsidR="00E1075C" w:rsidRDefault="4FEF2642" w:rsidP="00280116">
            <w:r>
              <w:t>Partially met</w:t>
            </w:r>
          </w:p>
        </w:tc>
        <w:tc>
          <w:tcPr>
            <w:tcW w:w="1474" w:type="dxa"/>
          </w:tcPr>
          <w:p w14:paraId="11140713" w14:textId="77777777" w:rsidR="00E1075C" w:rsidRDefault="4FEF2642" w:rsidP="00280116">
            <w:r>
              <w:t>Partially met</w:t>
            </w:r>
          </w:p>
        </w:tc>
        <w:tc>
          <w:tcPr>
            <w:tcW w:w="1474" w:type="dxa"/>
          </w:tcPr>
          <w:p w14:paraId="48601BB9" w14:textId="77777777" w:rsidR="00E1075C" w:rsidRDefault="4FEF2642" w:rsidP="00280116">
            <w:r>
              <w:t>Fully met</w:t>
            </w:r>
          </w:p>
        </w:tc>
      </w:tr>
      <w:tr w:rsidR="00E1075C" w14:paraId="2C1634E8" w14:textId="77777777" w:rsidTr="36E5F146">
        <w:tc>
          <w:tcPr>
            <w:tcW w:w="3402" w:type="dxa"/>
          </w:tcPr>
          <w:p w14:paraId="6CDC82B1" w14:textId="77777777" w:rsidR="00E1075C" w:rsidRDefault="4FEF2642" w:rsidP="00280116">
            <w:r>
              <w:t>(CSF) affordable</w:t>
            </w:r>
          </w:p>
        </w:tc>
        <w:tc>
          <w:tcPr>
            <w:tcW w:w="1474" w:type="dxa"/>
          </w:tcPr>
          <w:p w14:paraId="628EA441" w14:textId="77777777" w:rsidR="00E1075C" w:rsidRDefault="4FEF2642" w:rsidP="00280116">
            <w:r>
              <w:t>Partially met</w:t>
            </w:r>
          </w:p>
        </w:tc>
        <w:tc>
          <w:tcPr>
            <w:tcW w:w="1474" w:type="dxa"/>
          </w:tcPr>
          <w:p w14:paraId="1540374B" w14:textId="77777777" w:rsidR="00E1075C" w:rsidRDefault="4FEF2642" w:rsidP="00280116">
            <w:r>
              <w:t>Partially met</w:t>
            </w:r>
          </w:p>
        </w:tc>
        <w:tc>
          <w:tcPr>
            <w:tcW w:w="1474" w:type="dxa"/>
          </w:tcPr>
          <w:p w14:paraId="5B95FE61" w14:textId="77777777" w:rsidR="00E1075C" w:rsidRDefault="4FEF2642" w:rsidP="00280116">
            <w:r>
              <w:t>Not met</w:t>
            </w:r>
          </w:p>
        </w:tc>
        <w:tc>
          <w:tcPr>
            <w:tcW w:w="1474" w:type="dxa"/>
          </w:tcPr>
          <w:p w14:paraId="244CA9AE" w14:textId="77777777" w:rsidR="00E1075C" w:rsidRDefault="4FEF2642" w:rsidP="00280116">
            <w:r>
              <w:t>Fully met</w:t>
            </w:r>
          </w:p>
        </w:tc>
      </w:tr>
      <w:tr w:rsidR="00E1075C" w14:paraId="12E49F6F" w14:textId="77777777" w:rsidTr="36E5F146">
        <w:tc>
          <w:tcPr>
            <w:tcW w:w="3402" w:type="dxa"/>
          </w:tcPr>
          <w:p w14:paraId="6AF860B3" w14:textId="77777777" w:rsidR="00E1075C" w:rsidRDefault="4FEF2642" w:rsidP="00280116">
            <w:r>
              <w:t>(CSF) achievable implementation</w:t>
            </w:r>
          </w:p>
        </w:tc>
        <w:tc>
          <w:tcPr>
            <w:tcW w:w="1474" w:type="dxa"/>
          </w:tcPr>
          <w:p w14:paraId="55A2AA9D" w14:textId="77777777" w:rsidR="00E1075C" w:rsidRDefault="4FEF2642" w:rsidP="00280116">
            <w:r>
              <w:t>Not met</w:t>
            </w:r>
          </w:p>
        </w:tc>
        <w:tc>
          <w:tcPr>
            <w:tcW w:w="1474" w:type="dxa"/>
          </w:tcPr>
          <w:p w14:paraId="5C781EFA" w14:textId="77777777" w:rsidR="00E1075C" w:rsidRDefault="4FEF2642" w:rsidP="00280116">
            <w:r>
              <w:t>Partially met</w:t>
            </w:r>
          </w:p>
        </w:tc>
        <w:tc>
          <w:tcPr>
            <w:tcW w:w="1474" w:type="dxa"/>
          </w:tcPr>
          <w:p w14:paraId="074943C7" w14:textId="77777777" w:rsidR="00E1075C" w:rsidRDefault="4FEF2642" w:rsidP="00280116">
            <w:r>
              <w:t>Fully met</w:t>
            </w:r>
          </w:p>
        </w:tc>
        <w:tc>
          <w:tcPr>
            <w:tcW w:w="1474" w:type="dxa"/>
          </w:tcPr>
          <w:p w14:paraId="20B9CC70" w14:textId="77777777" w:rsidR="00E1075C" w:rsidRDefault="4FEF2642" w:rsidP="00280116">
            <w:r>
              <w:t>Fully met</w:t>
            </w:r>
          </w:p>
        </w:tc>
      </w:tr>
      <w:tr w:rsidR="00E1075C" w14:paraId="6876D354" w14:textId="77777777" w:rsidTr="36E5F146">
        <w:tc>
          <w:tcPr>
            <w:tcW w:w="3402" w:type="dxa"/>
          </w:tcPr>
          <w:p w14:paraId="67C52862" w14:textId="77777777" w:rsidR="00E1075C" w:rsidRDefault="4FEF2642" w:rsidP="00280116">
            <w:r>
              <w:t>(CSF) balances the risks</w:t>
            </w:r>
          </w:p>
        </w:tc>
        <w:tc>
          <w:tcPr>
            <w:tcW w:w="1474" w:type="dxa"/>
          </w:tcPr>
          <w:p w14:paraId="11AB273F" w14:textId="77777777" w:rsidR="00E1075C" w:rsidRDefault="4FEF2642" w:rsidP="00280116">
            <w:r>
              <w:t>Partially met</w:t>
            </w:r>
          </w:p>
        </w:tc>
        <w:tc>
          <w:tcPr>
            <w:tcW w:w="1474" w:type="dxa"/>
          </w:tcPr>
          <w:p w14:paraId="6E0D6816" w14:textId="77777777" w:rsidR="00E1075C" w:rsidRDefault="4FEF2642" w:rsidP="00280116">
            <w:r>
              <w:t>Partially met</w:t>
            </w:r>
          </w:p>
        </w:tc>
        <w:tc>
          <w:tcPr>
            <w:tcW w:w="1474" w:type="dxa"/>
          </w:tcPr>
          <w:p w14:paraId="135F09C8" w14:textId="77777777" w:rsidR="00E1075C" w:rsidRDefault="4FEF2642" w:rsidP="00280116">
            <w:r>
              <w:t>Partially met</w:t>
            </w:r>
          </w:p>
        </w:tc>
        <w:tc>
          <w:tcPr>
            <w:tcW w:w="1474" w:type="dxa"/>
          </w:tcPr>
          <w:p w14:paraId="400705D0" w14:textId="77777777" w:rsidR="00E1075C" w:rsidRDefault="4FEF2642" w:rsidP="00280116">
            <w:r>
              <w:t>Fully met</w:t>
            </w:r>
          </w:p>
        </w:tc>
      </w:tr>
      <w:tr w:rsidR="00E1075C" w:rsidRPr="00CD72B6" w14:paraId="2ED1E1F9" w14:textId="77777777" w:rsidTr="36E5F146">
        <w:tc>
          <w:tcPr>
            <w:tcW w:w="3402" w:type="dxa"/>
          </w:tcPr>
          <w:p w14:paraId="31962465" w14:textId="77777777" w:rsidR="00E1075C" w:rsidRPr="00CD72B6" w:rsidRDefault="4FEF2642" w:rsidP="00280116">
            <w:pPr>
              <w:rPr>
                <w:b/>
              </w:rPr>
            </w:pPr>
            <w:r w:rsidRPr="4FEF2642">
              <w:rPr>
                <w:b/>
                <w:bCs/>
              </w:rPr>
              <w:t>Summary of critical success factors</w:t>
            </w:r>
          </w:p>
        </w:tc>
        <w:tc>
          <w:tcPr>
            <w:tcW w:w="1474" w:type="dxa"/>
          </w:tcPr>
          <w:p w14:paraId="67FEF93A" w14:textId="77777777" w:rsidR="00E1075C" w:rsidRPr="00CD72B6" w:rsidRDefault="4FEF2642" w:rsidP="00280116">
            <w:pPr>
              <w:rPr>
                <w:b/>
              </w:rPr>
            </w:pPr>
            <w:r w:rsidRPr="4FEF2642">
              <w:rPr>
                <w:b/>
                <w:bCs/>
              </w:rPr>
              <w:t>Not met</w:t>
            </w:r>
          </w:p>
        </w:tc>
        <w:tc>
          <w:tcPr>
            <w:tcW w:w="1474" w:type="dxa"/>
          </w:tcPr>
          <w:p w14:paraId="3BAC0B4D" w14:textId="77777777" w:rsidR="00E1075C" w:rsidRPr="00CD72B6" w:rsidRDefault="4FEF2642" w:rsidP="00280116">
            <w:pPr>
              <w:rPr>
                <w:b/>
              </w:rPr>
            </w:pPr>
            <w:r w:rsidRPr="4FEF2642">
              <w:rPr>
                <w:b/>
                <w:bCs/>
              </w:rPr>
              <w:t>Partially met</w:t>
            </w:r>
          </w:p>
        </w:tc>
        <w:tc>
          <w:tcPr>
            <w:tcW w:w="1474" w:type="dxa"/>
          </w:tcPr>
          <w:p w14:paraId="523A4BA8" w14:textId="77777777" w:rsidR="00E1075C" w:rsidRPr="00CD72B6" w:rsidRDefault="4FEF2642" w:rsidP="00280116">
            <w:pPr>
              <w:rPr>
                <w:b/>
              </w:rPr>
            </w:pPr>
            <w:r w:rsidRPr="4FEF2642">
              <w:rPr>
                <w:b/>
                <w:bCs/>
              </w:rPr>
              <w:t>Not met</w:t>
            </w:r>
          </w:p>
        </w:tc>
        <w:tc>
          <w:tcPr>
            <w:tcW w:w="1474" w:type="dxa"/>
          </w:tcPr>
          <w:p w14:paraId="21755F33" w14:textId="77777777" w:rsidR="00E1075C" w:rsidRPr="00CD72B6" w:rsidRDefault="4FEF2642" w:rsidP="00280116">
            <w:pPr>
              <w:rPr>
                <w:b/>
              </w:rPr>
            </w:pPr>
            <w:r w:rsidRPr="4FEF2642">
              <w:rPr>
                <w:b/>
                <w:bCs/>
              </w:rPr>
              <w:t>Fully met</w:t>
            </w:r>
          </w:p>
        </w:tc>
      </w:tr>
    </w:tbl>
    <w:p w14:paraId="767590AE" w14:textId="77777777" w:rsidR="00EA0470" w:rsidRDefault="00EA0470" w:rsidP="00EA0470">
      <w:pPr>
        <w:pStyle w:val="Heading3"/>
        <w:spacing w:after="240"/>
        <w:jc w:val="both"/>
        <w:rPr>
          <w:szCs w:val="28"/>
        </w:rPr>
        <w:sectPr w:rsidR="00EA0470" w:rsidSect="00EA0470">
          <w:pgSz w:w="11907" w:h="16839" w:code="9"/>
          <w:pgMar w:top="720" w:right="720" w:bottom="720" w:left="720" w:header="425" w:footer="635" w:gutter="0"/>
          <w:cols w:space="708"/>
          <w:docGrid w:linePitch="360"/>
        </w:sectPr>
      </w:pPr>
    </w:p>
    <w:p w14:paraId="38300255" w14:textId="77777777" w:rsidR="00EA0470" w:rsidRDefault="00EA0470" w:rsidP="00EA0470">
      <w:pPr>
        <w:pStyle w:val="Heading3"/>
        <w:spacing w:after="240"/>
        <w:jc w:val="both"/>
        <w:rPr>
          <w:szCs w:val="28"/>
        </w:rPr>
        <w:sectPr w:rsidR="00EA0470" w:rsidSect="00EA0470">
          <w:pgSz w:w="16839" w:h="11907" w:orient="landscape" w:code="9"/>
          <w:pgMar w:top="720" w:right="720" w:bottom="720" w:left="720" w:header="425" w:footer="635" w:gutter="0"/>
          <w:cols w:space="708"/>
          <w:docGrid w:linePitch="360"/>
        </w:sectPr>
      </w:pPr>
    </w:p>
    <w:p w14:paraId="22A6F713" w14:textId="077D992A" w:rsidR="00EA0470" w:rsidRPr="003822EF" w:rsidRDefault="00257FEA" w:rsidP="00EA0470">
      <w:pPr>
        <w:pStyle w:val="Heading3"/>
        <w:spacing w:after="240"/>
        <w:jc w:val="both"/>
      </w:pPr>
      <w:bookmarkStart w:id="46" w:name="_Toc479253059"/>
      <w:r w:rsidRPr="4FEF2642">
        <w:lastRenderedPageBreak/>
        <w:t>Appendix 6</w:t>
      </w:r>
      <w:r w:rsidR="00EA0470" w:rsidRPr="4FEF2642">
        <w:t>: Design options</w:t>
      </w:r>
      <w:bookmarkEnd w:id="46"/>
    </w:p>
    <w:p w14:paraId="73AAFCF7" w14:textId="6B69B112" w:rsidR="00D40148" w:rsidRDefault="4FEF2642" w:rsidP="00D40148">
      <w:pPr>
        <w:rPr>
          <w:b/>
          <w:sz w:val="28"/>
          <w:szCs w:val="28"/>
        </w:rPr>
      </w:pPr>
      <w:r w:rsidRPr="4FEF2642">
        <w:rPr>
          <w:b/>
          <w:bCs/>
          <w:sz w:val="28"/>
          <w:szCs w:val="28"/>
        </w:rPr>
        <w:t>DRAFT Options - 3 Year Licence Project</w:t>
      </w:r>
    </w:p>
    <w:tbl>
      <w:tblPr>
        <w:tblStyle w:val="DIATable"/>
        <w:tblW w:w="0" w:type="auto"/>
        <w:tblLook w:val="04A0" w:firstRow="1" w:lastRow="0" w:firstColumn="1" w:lastColumn="0" w:noHBand="0" w:noVBand="1"/>
      </w:tblPr>
      <w:tblGrid>
        <w:gridCol w:w="1296"/>
        <w:gridCol w:w="3949"/>
        <w:gridCol w:w="3119"/>
        <w:gridCol w:w="4110"/>
      </w:tblGrid>
      <w:tr w:rsidR="00D40148" w14:paraId="10E9FBD5" w14:textId="77777777" w:rsidTr="36E5F146">
        <w:trPr>
          <w:cnfStyle w:val="100000000000" w:firstRow="1" w:lastRow="0" w:firstColumn="0" w:lastColumn="0" w:oddVBand="0" w:evenVBand="0" w:oddHBand="0" w:evenHBand="0" w:firstRowFirstColumn="0" w:firstRowLastColumn="0" w:lastRowFirstColumn="0" w:lastRowLastColumn="0"/>
          <w:cantSplit w:val="0"/>
          <w:tblHeader/>
        </w:trPr>
        <w:tc>
          <w:tcPr>
            <w:tcW w:w="1296" w:type="dxa"/>
          </w:tcPr>
          <w:p w14:paraId="01B77350" w14:textId="77777777" w:rsidR="00D40148" w:rsidRDefault="00D40148" w:rsidP="00280116"/>
        </w:tc>
        <w:tc>
          <w:tcPr>
            <w:tcW w:w="3949" w:type="dxa"/>
          </w:tcPr>
          <w:p w14:paraId="75CF86F8" w14:textId="77777777" w:rsidR="00D40148" w:rsidRDefault="4FEF2642" w:rsidP="00280116">
            <w:r>
              <w:t xml:space="preserve">OPTION 1 </w:t>
            </w:r>
          </w:p>
          <w:p w14:paraId="3579E02B" w14:textId="77777777" w:rsidR="00D40148" w:rsidRDefault="4FEF2642" w:rsidP="00280116">
            <w:r>
              <w:t>(Higher cost)</w:t>
            </w:r>
          </w:p>
        </w:tc>
        <w:tc>
          <w:tcPr>
            <w:tcW w:w="3119" w:type="dxa"/>
          </w:tcPr>
          <w:p w14:paraId="1F9996A2" w14:textId="77777777" w:rsidR="00D40148" w:rsidRDefault="4FEF2642" w:rsidP="00280116">
            <w:r>
              <w:t>OPTION 2</w:t>
            </w:r>
          </w:p>
          <w:p w14:paraId="6234837D" w14:textId="77777777" w:rsidR="00D40148" w:rsidRDefault="4FEF2642" w:rsidP="00280116">
            <w:r>
              <w:t>(Medium cost)</w:t>
            </w:r>
          </w:p>
        </w:tc>
        <w:tc>
          <w:tcPr>
            <w:tcW w:w="4110" w:type="dxa"/>
          </w:tcPr>
          <w:p w14:paraId="13A54CEC" w14:textId="77777777" w:rsidR="00D40148" w:rsidRDefault="4FEF2642" w:rsidP="00280116">
            <w:r>
              <w:t>OPTION 3</w:t>
            </w:r>
          </w:p>
          <w:p w14:paraId="4784AC89" w14:textId="77777777" w:rsidR="00D40148" w:rsidRDefault="4FEF2642" w:rsidP="00280116">
            <w:r>
              <w:t>(Lower cost)</w:t>
            </w:r>
          </w:p>
        </w:tc>
      </w:tr>
      <w:tr w:rsidR="00D40148" w14:paraId="12BD42B6" w14:textId="77777777" w:rsidTr="36E5F146">
        <w:trPr>
          <w:cantSplit w:val="0"/>
        </w:trPr>
        <w:tc>
          <w:tcPr>
            <w:tcW w:w="1296" w:type="dxa"/>
          </w:tcPr>
          <w:p w14:paraId="7B6EDF76" w14:textId="2BCA890F" w:rsidR="00D40148" w:rsidRPr="004B7A3E" w:rsidRDefault="4FEF2642" w:rsidP="00280116">
            <w:pPr>
              <w:rPr>
                <w:b/>
              </w:rPr>
            </w:pPr>
            <w:r w:rsidRPr="4FEF2642">
              <w:rPr>
                <w:b/>
                <w:bCs/>
              </w:rPr>
              <w:t>Licence period</w:t>
            </w:r>
          </w:p>
        </w:tc>
        <w:tc>
          <w:tcPr>
            <w:tcW w:w="3949" w:type="dxa"/>
          </w:tcPr>
          <w:p w14:paraId="677F9DD6" w14:textId="77777777" w:rsidR="00D40148" w:rsidRPr="001E38A3" w:rsidRDefault="4FEF2642" w:rsidP="00280116">
            <w:pPr>
              <w:pStyle w:val="Tablebullet"/>
            </w:pPr>
            <w:r>
              <w:t>Applicant to apply for either:</w:t>
            </w:r>
          </w:p>
          <w:p w14:paraId="25D71135" w14:textId="77777777" w:rsidR="00D40148" w:rsidRPr="001E38A3" w:rsidRDefault="4FEF2642" w:rsidP="00280116">
            <w:pPr>
              <w:pStyle w:val="Tablebulletlevel2"/>
            </w:pPr>
            <w:r>
              <w:t>1 year (standard) OR</w:t>
            </w:r>
          </w:p>
          <w:p w14:paraId="46BBD866" w14:textId="77777777" w:rsidR="00D40148" w:rsidRPr="001E38A3" w:rsidRDefault="4FEF2642" w:rsidP="00280116">
            <w:pPr>
              <w:pStyle w:val="Tablebulletlevel2"/>
            </w:pPr>
            <w:r>
              <w:t xml:space="preserve">2 year (partially extended) OR </w:t>
            </w:r>
          </w:p>
          <w:p w14:paraId="2F699919" w14:textId="77777777" w:rsidR="00D40148" w:rsidRPr="001E38A3" w:rsidRDefault="4FEF2642" w:rsidP="00280116">
            <w:pPr>
              <w:pStyle w:val="Tablebulletlevel2"/>
            </w:pPr>
            <w:r>
              <w:t>3 year (fully extended)</w:t>
            </w:r>
          </w:p>
        </w:tc>
        <w:tc>
          <w:tcPr>
            <w:tcW w:w="3119" w:type="dxa"/>
          </w:tcPr>
          <w:p w14:paraId="012317F9" w14:textId="77777777" w:rsidR="00D40148" w:rsidRPr="001E38A3" w:rsidRDefault="4FEF2642" w:rsidP="00280116">
            <w:pPr>
              <w:pStyle w:val="Tablebullet"/>
            </w:pPr>
            <w:r>
              <w:t>Applicant to apply for either:</w:t>
            </w:r>
          </w:p>
          <w:p w14:paraId="3A5B4E4D" w14:textId="77777777" w:rsidR="00D40148" w:rsidRPr="001E38A3" w:rsidRDefault="4FEF2642" w:rsidP="00280116">
            <w:pPr>
              <w:pStyle w:val="Tablebulletlevel2"/>
            </w:pPr>
            <w:r>
              <w:t xml:space="preserve">1 year (standard) OR </w:t>
            </w:r>
          </w:p>
          <w:p w14:paraId="5BD7A535" w14:textId="7262C9B5" w:rsidR="00D40148" w:rsidRPr="001E38A3" w:rsidRDefault="4FEF2642" w:rsidP="00280116">
            <w:pPr>
              <w:pStyle w:val="Tablebulletlevel2"/>
            </w:pPr>
            <w:r>
              <w:t>3 year (</w:t>
            </w:r>
            <w:r w:rsidR="00CF66AF">
              <w:t>best</w:t>
            </w:r>
            <w:r>
              <w:t xml:space="preserve"> </w:t>
            </w:r>
            <w:r w:rsidR="001020CA">
              <w:t>practice</w:t>
            </w:r>
            <w:r>
              <w:t xml:space="preserve"> licence) </w:t>
            </w:r>
          </w:p>
        </w:tc>
        <w:tc>
          <w:tcPr>
            <w:tcW w:w="4110" w:type="dxa"/>
          </w:tcPr>
          <w:p w14:paraId="7AE9C142" w14:textId="77777777" w:rsidR="00D40148" w:rsidRPr="001E38A3" w:rsidRDefault="4FEF2642" w:rsidP="00280116">
            <w:pPr>
              <w:pStyle w:val="Tablebullet"/>
            </w:pPr>
            <w:r>
              <w:t>Applicant to apply for either:</w:t>
            </w:r>
          </w:p>
          <w:p w14:paraId="74A80D77" w14:textId="77777777" w:rsidR="00D40148" w:rsidRPr="001E38A3" w:rsidRDefault="4FEF2642" w:rsidP="00280116">
            <w:pPr>
              <w:pStyle w:val="Tablebulletlevel2"/>
            </w:pPr>
            <w:r>
              <w:t>1 year (standard) OR</w:t>
            </w:r>
          </w:p>
          <w:p w14:paraId="6E197E3F" w14:textId="2330F2B8" w:rsidR="00D40148" w:rsidRPr="001E38A3" w:rsidRDefault="4FEF2642" w:rsidP="00280116">
            <w:pPr>
              <w:pStyle w:val="Tablebulletlevel2"/>
            </w:pPr>
            <w:r>
              <w:t>3 year (</w:t>
            </w:r>
            <w:r w:rsidR="00CF66AF">
              <w:t>best</w:t>
            </w:r>
            <w:r>
              <w:t xml:space="preserve"> </w:t>
            </w:r>
            <w:r w:rsidR="001020CA">
              <w:t>practice</w:t>
            </w:r>
            <w:r>
              <w:t xml:space="preserve"> licence).</w:t>
            </w:r>
          </w:p>
        </w:tc>
      </w:tr>
      <w:tr w:rsidR="00D40148" w:rsidRPr="006C4581" w14:paraId="7B2D760E" w14:textId="77777777" w:rsidTr="36E5F146">
        <w:trPr>
          <w:cantSplit w:val="0"/>
        </w:trPr>
        <w:tc>
          <w:tcPr>
            <w:tcW w:w="1296" w:type="dxa"/>
          </w:tcPr>
          <w:p w14:paraId="01B5098D" w14:textId="49557C00" w:rsidR="00D40148" w:rsidRPr="004B7A3E" w:rsidRDefault="4FEF2642" w:rsidP="00280116">
            <w:pPr>
              <w:rPr>
                <w:b/>
              </w:rPr>
            </w:pPr>
            <w:r w:rsidRPr="4FEF2642">
              <w:rPr>
                <w:b/>
                <w:bCs/>
              </w:rPr>
              <w:t xml:space="preserve">Eligibility for </w:t>
            </w:r>
            <w:r w:rsidR="00CF66AF">
              <w:rPr>
                <w:b/>
                <w:bCs/>
              </w:rPr>
              <w:t>best</w:t>
            </w:r>
            <w:r w:rsidRPr="4FEF2642">
              <w:rPr>
                <w:b/>
                <w:bCs/>
              </w:rPr>
              <w:t xml:space="preserve"> </w:t>
            </w:r>
            <w:r w:rsidR="001020CA">
              <w:rPr>
                <w:b/>
                <w:bCs/>
              </w:rPr>
              <w:t>practice</w:t>
            </w:r>
            <w:r w:rsidRPr="4FEF2642">
              <w:rPr>
                <w:b/>
                <w:bCs/>
              </w:rPr>
              <w:t xml:space="preserve"> Licence</w:t>
            </w:r>
          </w:p>
        </w:tc>
        <w:tc>
          <w:tcPr>
            <w:tcW w:w="3949" w:type="dxa"/>
          </w:tcPr>
          <w:p w14:paraId="193C1A00" w14:textId="6FD8663C" w:rsidR="00D40148" w:rsidRDefault="4FEF2642" w:rsidP="00280116">
            <w:pPr>
              <w:pStyle w:val="Tablebullet"/>
            </w:pPr>
            <w:r>
              <w:t xml:space="preserve">Any class 4 society or club who has held a current licence for at least three full years. </w:t>
            </w:r>
          </w:p>
          <w:p w14:paraId="31BE392F" w14:textId="6059772F" w:rsidR="00D40148" w:rsidRDefault="4FEF2642" w:rsidP="00280116">
            <w:pPr>
              <w:pStyle w:val="Tablebullet"/>
            </w:pPr>
            <w:r>
              <w:t xml:space="preserve">Annual (standard) licence renewal requirements met </w:t>
            </w:r>
          </w:p>
        </w:tc>
        <w:tc>
          <w:tcPr>
            <w:tcW w:w="3119" w:type="dxa"/>
          </w:tcPr>
          <w:p w14:paraId="69A49FFB" w14:textId="77777777" w:rsidR="00D40148" w:rsidRPr="00397CC7" w:rsidRDefault="4FEF2642" w:rsidP="00280116">
            <w:pPr>
              <w:pStyle w:val="Tablebullet"/>
            </w:pPr>
            <w:r>
              <w:t>Same as option (1)</w:t>
            </w:r>
          </w:p>
        </w:tc>
        <w:tc>
          <w:tcPr>
            <w:tcW w:w="4110" w:type="dxa"/>
          </w:tcPr>
          <w:p w14:paraId="6B9A4D34" w14:textId="77777777" w:rsidR="00D40148" w:rsidRPr="006C4581" w:rsidRDefault="4FEF2642" w:rsidP="00280116">
            <w:pPr>
              <w:pStyle w:val="Tablebullet"/>
            </w:pPr>
            <w:r>
              <w:t>Same as option (1) and (2)</w:t>
            </w:r>
          </w:p>
        </w:tc>
      </w:tr>
      <w:tr w:rsidR="00D40148" w14:paraId="5297EE11" w14:textId="77777777" w:rsidTr="36E5F146">
        <w:trPr>
          <w:cantSplit w:val="0"/>
        </w:trPr>
        <w:tc>
          <w:tcPr>
            <w:tcW w:w="1296" w:type="dxa"/>
          </w:tcPr>
          <w:p w14:paraId="1A16FC9C" w14:textId="0937379F" w:rsidR="00D40148" w:rsidRPr="00F1144A" w:rsidRDefault="4FEF2642" w:rsidP="00280116">
            <w:r w:rsidRPr="4FEF2642">
              <w:rPr>
                <w:b/>
                <w:bCs/>
              </w:rPr>
              <w:t xml:space="preserve">Assessment for </w:t>
            </w:r>
            <w:r w:rsidR="00CF66AF">
              <w:rPr>
                <w:b/>
                <w:bCs/>
              </w:rPr>
              <w:t>best</w:t>
            </w:r>
            <w:r w:rsidRPr="4FEF2642">
              <w:rPr>
                <w:b/>
                <w:bCs/>
              </w:rPr>
              <w:t xml:space="preserve"> </w:t>
            </w:r>
            <w:r w:rsidR="001020CA">
              <w:rPr>
                <w:b/>
                <w:bCs/>
              </w:rPr>
              <w:t>practice</w:t>
            </w:r>
            <w:r w:rsidRPr="4FEF2642">
              <w:rPr>
                <w:b/>
                <w:bCs/>
              </w:rPr>
              <w:t xml:space="preserve"> Licence</w:t>
            </w:r>
          </w:p>
          <w:p w14:paraId="7EE5BA5E" w14:textId="77777777" w:rsidR="00D40148" w:rsidRPr="00F1144A" w:rsidRDefault="00D40148" w:rsidP="00280116"/>
          <w:p w14:paraId="4E2BB636" w14:textId="77777777" w:rsidR="00D40148" w:rsidRPr="00F1144A" w:rsidRDefault="00D40148" w:rsidP="00280116"/>
          <w:p w14:paraId="7DFA1E70" w14:textId="77777777" w:rsidR="00D40148" w:rsidRPr="00F1144A" w:rsidRDefault="00D40148" w:rsidP="00280116"/>
          <w:p w14:paraId="7F6EB34F" w14:textId="77777777" w:rsidR="00D40148" w:rsidRDefault="00D40148" w:rsidP="00280116"/>
          <w:p w14:paraId="54E1CADE" w14:textId="77777777" w:rsidR="00D40148" w:rsidRPr="00F1144A" w:rsidRDefault="00D40148" w:rsidP="00280116"/>
          <w:p w14:paraId="75309983" w14:textId="77777777" w:rsidR="00D40148" w:rsidRPr="00F1144A" w:rsidRDefault="00D40148" w:rsidP="00280116"/>
        </w:tc>
        <w:tc>
          <w:tcPr>
            <w:tcW w:w="3949" w:type="dxa"/>
          </w:tcPr>
          <w:p w14:paraId="647E21E3" w14:textId="77777777" w:rsidR="00D40148" w:rsidRDefault="4FEF2642" w:rsidP="00280116">
            <w:pPr>
              <w:pStyle w:val="Tablebullet"/>
            </w:pPr>
            <w:r>
              <w:t>Sufficient evidence provided by applicant to assess application AND</w:t>
            </w:r>
          </w:p>
          <w:p w14:paraId="55E6DF80" w14:textId="77777777" w:rsidR="00D40148" w:rsidRDefault="4FEF2642" w:rsidP="00280116">
            <w:pPr>
              <w:pStyle w:val="Tablebullet"/>
            </w:pPr>
            <w:r>
              <w:t>Full evaluation by independent third party and the regulator to verify evidence provided.</w:t>
            </w:r>
          </w:p>
          <w:p w14:paraId="151909C5" w14:textId="30082C0A" w:rsidR="00D40148" w:rsidRDefault="4FEF2642" w:rsidP="00280116">
            <w:pPr>
              <w:pStyle w:val="Tablebullet"/>
            </w:pPr>
            <w:r>
              <w:t>If the applicant has previously held a 3YL, its performance over that licence period will form part of the assessment.*</w:t>
            </w:r>
          </w:p>
        </w:tc>
        <w:tc>
          <w:tcPr>
            <w:tcW w:w="3119" w:type="dxa"/>
          </w:tcPr>
          <w:p w14:paraId="7C987CFD" w14:textId="77777777" w:rsidR="00D40148" w:rsidRDefault="4FEF2642" w:rsidP="00280116">
            <w:pPr>
              <w:pStyle w:val="Tablebullet"/>
            </w:pPr>
            <w:r>
              <w:t>Self-assessment of performance provided by the applicant with their application (Applicant has the flexibility to decide how to do this); AND</w:t>
            </w:r>
          </w:p>
          <w:p w14:paraId="00FFFF7C" w14:textId="77777777" w:rsidR="00D40148" w:rsidRDefault="4FEF2642" w:rsidP="00280116">
            <w:pPr>
              <w:pStyle w:val="Tablebullet"/>
            </w:pPr>
            <w:r>
              <w:t xml:space="preserve">The Department reviews the self-assessment; AND </w:t>
            </w:r>
          </w:p>
          <w:p w14:paraId="77F8D80A" w14:textId="77777777" w:rsidR="00D40148" w:rsidRPr="0015614B" w:rsidRDefault="4FEF2642" w:rsidP="00280116">
            <w:pPr>
              <w:pStyle w:val="Tablebullet"/>
            </w:pPr>
            <w:r>
              <w:t>The Department verifies the evidence provided by applicant in the self-assessment.</w:t>
            </w:r>
          </w:p>
          <w:p w14:paraId="2084E6FB" w14:textId="77777777" w:rsidR="00D40148" w:rsidRDefault="00D40148" w:rsidP="00280116">
            <w:pPr>
              <w:jc w:val="both"/>
            </w:pPr>
          </w:p>
          <w:p w14:paraId="259DE70E" w14:textId="77777777" w:rsidR="00D40148" w:rsidRDefault="4FEF2642" w:rsidP="00280116">
            <w:pPr>
              <w:jc w:val="both"/>
            </w:pPr>
            <w:r>
              <w:t>IF APPLICABLE:</w:t>
            </w:r>
          </w:p>
          <w:p w14:paraId="35B5BC95" w14:textId="20A05518" w:rsidR="00D40148" w:rsidRDefault="4FEF2642" w:rsidP="00280116">
            <w:pPr>
              <w:pStyle w:val="Tablebullet"/>
            </w:pPr>
            <w:r>
              <w:t xml:space="preserve">If the applicant has previously held a 3YL, its </w:t>
            </w:r>
            <w:r>
              <w:lastRenderedPageBreak/>
              <w:t>performance over that licence period will form part of the assessment</w:t>
            </w:r>
          </w:p>
        </w:tc>
        <w:tc>
          <w:tcPr>
            <w:tcW w:w="4110" w:type="dxa"/>
          </w:tcPr>
          <w:p w14:paraId="18107853" w14:textId="258E7EF2" w:rsidR="00D40148" w:rsidRDefault="4FEF2642" w:rsidP="00280116">
            <w:pPr>
              <w:pStyle w:val="Tablebullet"/>
            </w:pPr>
            <w:r>
              <w:lastRenderedPageBreak/>
              <w:t xml:space="preserve">Sufficient evidence provided by applicant to assess application. Applicant has the flexibility to decide how to do this. </w:t>
            </w:r>
          </w:p>
          <w:p w14:paraId="4AE4B39C" w14:textId="77777777" w:rsidR="00D40148" w:rsidRDefault="4FEF2642" w:rsidP="00280116">
            <w:pPr>
              <w:pStyle w:val="Tablebullet"/>
              <w:numPr>
                <w:ilvl w:val="0"/>
                <w:numId w:val="0"/>
              </w:numPr>
              <w:ind w:left="357"/>
            </w:pPr>
            <w:r>
              <w:t>AND</w:t>
            </w:r>
          </w:p>
          <w:p w14:paraId="42CB4F00" w14:textId="77777777" w:rsidR="00D40148" w:rsidRPr="00925B09" w:rsidRDefault="4FEF2642" w:rsidP="00280116">
            <w:pPr>
              <w:pStyle w:val="Tablebullet"/>
            </w:pPr>
            <w:r>
              <w:t>Targeted desk-based evaluation by regulator to assess key evidence provided AND</w:t>
            </w:r>
          </w:p>
          <w:p w14:paraId="0CA278FD" w14:textId="77777777" w:rsidR="00D40148" w:rsidRDefault="4FEF2642" w:rsidP="00280116">
            <w:pPr>
              <w:pStyle w:val="Tablebullet"/>
            </w:pPr>
            <w:r>
              <w:t>Spot check by regulator to verify key evidence provided.</w:t>
            </w:r>
          </w:p>
          <w:p w14:paraId="5008280C" w14:textId="42A3CC12" w:rsidR="00D40148" w:rsidRDefault="4FEF2642" w:rsidP="00280116">
            <w:pPr>
              <w:pStyle w:val="Tablebullet"/>
            </w:pPr>
            <w:r>
              <w:t>If the applicant has previously held a 3YL, its performance over that licence period will form part of the assessment.*</w:t>
            </w:r>
          </w:p>
        </w:tc>
      </w:tr>
      <w:tr w:rsidR="00D40148" w14:paraId="53D929BF" w14:textId="77777777" w:rsidTr="36E5F146">
        <w:trPr>
          <w:cantSplit w:val="0"/>
        </w:trPr>
        <w:tc>
          <w:tcPr>
            <w:tcW w:w="1296" w:type="dxa"/>
          </w:tcPr>
          <w:p w14:paraId="2994DA71" w14:textId="6C09B373" w:rsidR="00D40148" w:rsidRPr="007D09FE" w:rsidRDefault="4FEF2642" w:rsidP="00280116">
            <w:pPr>
              <w:rPr>
                <w:b/>
              </w:rPr>
            </w:pPr>
            <w:r w:rsidRPr="4FEF2642">
              <w:rPr>
                <w:b/>
                <w:bCs/>
              </w:rPr>
              <w:lastRenderedPageBreak/>
              <w:t xml:space="preserve">Monitoring for </w:t>
            </w:r>
            <w:r w:rsidR="00CF66AF">
              <w:rPr>
                <w:b/>
                <w:bCs/>
              </w:rPr>
              <w:t>best</w:t>
            </w:r>
            <w:r w:rsidRPr="4FEF2642">
              <w:rPr>
                <w:b/>
                <w:bCs/>
              </w:rPr>
              <w:t xml:space="preserve"> </w:t>
            </w:r>
            <w:r w:rsidR="001020CA">
              <w:rPr>
                <w:b/>
                <w:bCs/>
              </w:rPr>
              <w:t>practice</w:t>
            </w:r>
            <w:r w:rsidRPr="4FEF2642">
              <w:rPr>
                <w:b/>
                <w:bCs/>
              </w:rPr>
              <w:t xml:space="preserve"> Licence holder</w:t>
            </w:r>
          </w:p>
        </w:tc>
        <w:tc>
          <w:tcPr>
            <w:tcW w:w="3949" w:type="dxa"/>
          </w:tcPr>
          <w:p w14:paraId="4E8CF9D7" w14:textId="77777777" w:rsidR="00D40148" w:rsidRPr="007D09FE" w:rsidRDefault="4FEF2642" w:rsidP="00280116">
            <w:pPr>
              <w:pStyle w:val="Tablebullet"/>
            </w:pPr>
            <w:r>
              <w:t>Audit/compliance actions at any time if required as per standard process AND</w:t>
            </w:r>
          </w:p>
          <w:p w14:paraId="11599050" w14:textId="6B1EFBA1" w:rsidR="00D40148" w:rsidRPr="007D09FE" w:rsidRDefault="4FEF2642" w:rsidP="00280116">
            <w:pPr>
              <w:pStyle w:val="Tablebullet"/>
            </w:pPr>
            <w:r>
              <w:t>Annual health check at the usual society licence renewal time which covers:</w:t>
            </w:r>
          </w:p>
          <w:p w14:paraId="3402136C" w14:textId="77777777" w:rsidR="00D40148" w:rsidRPr="007D09FE" w:rsidRDefault="4FEF2642" w:rsidP="00D40148">
            <w:pPr>
              <w:pStyle w:val="ListParagraph"/>
              <w:numPr>
                <w:ilvl w:val="0"/>
                <w:numId w:val="47"/>
              </w:numPr>
              <w:spacing w:before="56" w:after="32"/>
            </w:pPr>
            <w:r>
              <w:t>Truncated financial viability check</w:t>
            </w:r>
          </w:p>
          <w:p w14:paraId="4EAFDF37" w14:textId="77777777" w:rsidR="00D40148" w:rsidRPr="007D09FE" w:rsidRDefault="4FEF2642" w:rsidP="00D40148">
            <w:pPr>
              <w:pStyle w:val="ListParagraph"/>
              <w:numPr>
                <w:ilvl w:val="0"/>
                <w:numId w:val="47"/>
              </w:numPr>
              <w:spacing w:before="56" w:after="32"/>
            </w:pPr>
            <w:r>
              <w:t xml:space="preserve">Brief Compliance review </w:t>
            </w:r>
          </w:p>
          <w:p w14:paraId="4C1317AC" w14:textId="77777777" w:rsidR="00D40148" w:rsidRPr="007D09FE" w:rsidRDefault="4FEF2642" w:rsidP="00D40148">
            <w:pPr>
              <w:pStyle w:val="ListParagraph"/>
              <w:numPr>
                <w:ilvl w:val="0"/>
                <w:numId w:val="47"/>
              </w:numPr>
              <w:spacing w:before="56" w:after="32"/>
            </w:pPr>
            <w:r>
              <w:t>Check society A3</w:t>
            </w:r>
          </w:p>
          <w:p w14:paraId="13800165" w14:textId="77777777" w:rsidR="00D40148" w:rsidRPr="007D09FE" w:rsidRDefault="4FEF2642" w:rsidP="00D40148">
            <w:pPr>
              <w:pStyle w:val="ListParagraph"/>
              <w:numPr>
                <w:ilvl w:val="0"/>
                <w:numId w:val="47"/>
              </w:numPr>
              <w:spacing w:before="56" w:after="32"/>
            </w:pPr>
            <w:r>
              <w:t>Checking internal database (IGP/SID) for potential issues that should be considered</w:t>
            </w:r>
          </w:p>
          <w:p w14:paraId="30C2465A" w14:textId="77777777" w:rsidR="00D40148" w:rsidRPr="007D09FE" w:rsidRDefault="4FEF2642" w:rsidP="00D40148">
            <w:pPr>
              <w:pStyle w:val="ListParagraph"/>
              <w:numPr>
                <w:ilvl w:val="0"/>
                <w:numId w:val="47"/>
              </w:numPr>
              <w:spacing w:before="56" w:after="32"/>
            </w:pPr>
            <w:r>
              <w:t>Statement from society outlining any issues that have arisen and steps that have been taken.</w:t>
            </w:r>
          </w:p>
        </w:tc>
        <w:tc>
          <w:tcPr>
            <w:tcW w:w="3119" w:type="dxa"/>
          </w:tcPr>
          <w:p w14:paraId="2811A930" w14:textId="77777777" w:rsidR="00D40148" w:rsidRPr="007D09FE" w:rsidRDefault="4FEF2642" w:rsidP="00280116">
            <w:pPr>
              <w:pStyle w:val="Tablebullet"/>
            </w:pPr>
            <w:r>
              <w:t>Audit/compliance actions at any time if required as per standard process AND</w:t>
            </w:r>
          </w:p>
          <w:p w14:paraId="48945CA5" w14:textId="77777777" w:rsidR="00D40148" w:rsidRPr="007D09FE" w:rsidRDefault="4FEF2642" w:rsidP="00280116">
            <w:pPr>
              <w:pStyle w:val="Tablebullet"/>
            </w:pPr>
            <w:r>
              <w:t>Annual health check of:</w:t>
            </w:r>
          </w:p>
          <w:p w14:paraId="7EB30758" w14:textId="77777777" w:rsidR="00D40148" w:rsidRPr="007D09FE" w:rsidRDefault="4FEF2642" w:rsidP="00D40148">
            <w:pPr>
              <w:pStyle w:val="Tablebulletlevel2"/>
              <w:numPr>
                <w:ilvl w:val="1"/>
                <w:numId w:val="48"/>
              </w:numPr>
            </w:pPr>
            <w:r>
              <w:t>Annual report (already required)</w:t>
            </w:r>
          </w:p>
          <w:p w14:paraId="352DC044" w14:textId="77777777" w:rsidR="00D40148" w:rsidRPr="007D09FE" w:rsidRDefault="4FEF2642" w:rsidP="00D40148">
            <w:pPr>
              <w:pStyle w:val="Tablebulletlevel2"/>
              <w:numPr>
                <w:ilvl w:val="1"/>
                <w:numId w:val="48"/>
              </w:numPr>
            </w:pPr>
            <w:r>
              <w:t>Departmental society profile</w:t>
            </w:r>
          </w:p>
        </w:tc>
        <w:tc>
          <w:tcPr>
            <w:tcW w:w="4110" w:type="dxa"/>
          </w:tcPr>
          <w:p w14:paraId="3735CFF0" w14:textId="77777777" w:rsidR="00D40148" w:rsidRPr="007D09FE" w:rsidRDefault="4FEF2642" w:rsidP="00280116">
            <w:pPr>
              <w:pStyle w:val="Tablebullet"/>
            </w:pPr>
            <w:r>
              <w:t>Audit/compliance actions at any time if required as per standard process AND</w:t>
            </w:r>
          </w:p>
          <w:p w14:paraId="2676FEDC" w14:textId="77777777" w:rsidR="00D40148" w:rsidRPr="007D09FE" w:rsidRDefault="4FEF2642" w:rsidP="00280116">
            <w:pPr>
              <w:pStyle w:val="Tablebullet"/>
            </w:pPr>
            <w:r>
              <w:t>Annual report (already required)</w:t>
            </w:r>
          </w:p>
        </w:tc>
      </w:tr>
      <w:tr w:rsidR="00D40148" w14:paraId="4EE39657" w14:textId="77777777" w:rsidTr="36E5F146">
        <w:trPr>
          <w:cantSplit w:val="0"/>
        </w:trPr>
        <w:tc>
          <w:tcPr>
            <w:tcW w:w="1296" w:type="dxa"/>
          </w:tcPr>
          <w:p w14:paraId="4D235CF4" w14:textId="7BAEA930" w:rsidR="00D40148" w:rsidRPr="004B7A3E" w:rsidRDefault="4FEF2642" w:rsidP="00280116">
            <w:pPr>
              <w:rPr>
                <w:b/>
              </w:rPr>
            </w:pPr>
            <w:r w:rsidRPr="4FEF2642">
              <w:rPr>
                <w:b/>
                <w:bCs/>
              </w:rPr>
              <w:t xml:space="preserve">Ongoing action for </w:t>
            </w:r>
            <w:r w:rsidR="00CF66AF">
              <w:rPr>
                <w:b/>
                <w:bCs/>
              </w:rPr>
              <w:t>best</w:t>
            </w:r>
            <w:r w:rsidRPr="4FEF2642">
              <w:rPr>
                <w:b/>
                <w:bCs/>
              </w:rPr>
              <w:t xml:space="preserve"> </w:t>
            </w:r>
            <w:r w:rsidR="001020CA">
              <w:rPr>
                <w:b/>
                <w:bCs/>
              </w:rPr>
              <w:t>practice</w:t>
            </w:r>
            <w:r w:rsidRPr="4FEF2642">
              <w:rPr>
                <w:b/>
                <w:bCs/>
              </w:rPr>
              <w:t xml:space="preserve"> Licence holder</w:t>
            </w:r>
          </w:p>
        </w:tc>
        <w:tc>
          <w:tcPr>
            <w:tcW w:w="3949" w:type="dxa"/>
          </w:tcPr>
          <w:p w14:paraId="60B1CAF0" w14:textId="73D80717" w:rsidR="00D40148" w:rsidRPr="002507A3" w:rsidRDefault="4FEF2642" w:rsidP="00280116">
            <w:pPr>
              <w:pStyle w:val="Tablebullet"/>
            </w:pPr>
            <w:r>
              <w:t xml:space="preserve">If a legal requirement is breached, then standard compliance action will be taken. </w:t>
            </w:r>
          </w:p>
          <w:p w14:paraId="1FC35246" w14:textId="131F6BFE" w:rsidR="00D40148" w:rsidRPr="002507A3" w:rsidRDefault="4FEF2642" w:rsidP="00280116">
            <w:pPr>
              <w:pStyle w:val="Tablebullet"/>
            </w:pPr>
            <w:r>
              <w:t xml:space="preserve">If a </w:t>
            </w:r>
            <w:r w:rsidR="00CF66AF">
              <w:t>best</w:t>
            </w:r>
            <w:r>
              <w:t xml:space="preserve"> </w:t>
            </w:r>
            <w:r w:rsidR="001020CA">
              <w:t>practice</w:t>
            </w:r>
            <w:r>
              <w:t xml:space="preserve"> requirement is no longer being met in a venue, club or society, the society or club will be expected to resolve this</w:t>
            </w:r>
          </w:p>
          <w:p w14:paraId="23380F4A" w14:textId="77777777" w:rsidR="00D40148" w:rsidRPr="00F1144A" w:rsidRDefault="4FEF2642" w:rsidP="00280116">
            <w:pPr>
              <w:pStyle w:val="Tablebullet"/>
            </w:pPr>
            <w:r>
              <w:t>The response to any breach will align with the C4 Operating Model approach to being a really responsive, risk-based regulator.</w:t>
            </w:r>
          </w:p>
        </w:tc>
        <w:tc>
          <w:tcPr>
            <w:tcW w:w="3119" w:type="dxa"/>
          </w:tcPr>
          <w:p w14:paraId="38AF44C7" w14:textId="0A85977F" w:rsidR="00D40148" w:rsidRPr="002507A3" w:rsidRDefault="4FEF2642" w:rsidP="00280116">
            <w:pPr>
              <w:pStyle w:val="Tablebullet"/>
            </w:pPr>
            <w:r>
              <w:t xml:space="preserve">If a legal requirement is breached, then standard compliance action will be taken. </w:t>
            </w:r>
          </w:p>
          <w:p w14:paraId="36EE574B" w14:textId="0F397CCE" w:rsidR="00D40148" w:rsidRPr="002507A3" w:rsidRDefault="4FEF2642" w:rsidP="00280116">
            <w:pPr>
              <w:pStyle w:val="Tablebullet"/>
            </w:pPr>
            <w:r>
              <w:t xml:space="preserve">If a </w:t>
            </w:r>
            <w:r w:rsidR="00CF66AF">
              <w:t>best</w:t>
            </w:r>
            <w:r>
              <w:t xml:space="preserve"> </w:t>
            </w:r>
            <w:r w:rsidR="001020CA">
              <w:t>practice</w:t>
            </w:r>
            <w:r>
              <w:t xml:space="preserve"> requirement is no longer being met in a venue, club or society, the society will be expected to resolve this</w:t>
            </w:r>
          </w:p>
          <w:p w14:paraId="70979948" w14:textId="77777777" w:rsidR="00D40148" w:rsidRPr="002507A3" w:rsidRDefault="4FEF2642" w:rsidP="00280116">
            <w:pPr>
              <w:pStyle w:val="Tablebullet"/>
            </w:pPr>
            <w:r>
              <w:t xml:space="preserve">The response to any breach will align with the C4 Operating Model approach to being a really responsive, </w:t>
            </w:r>
            <w:r>
              <w:lastRenderedPageBreak/>
              <w:t>risk-based regulator.</w:t>
            </w:r>
          </w:p>
        </w:tc>
        <w:tc>
          <w:tcPr>
            <w:tcW w:w="4110" w:type="dxa"/>
          </w:tcPr>
          <w:p w14:paraId="02E0527A" w14:textId="39C2E013" w:rsidR="00D40148" w:rsidRPr="002507A3" w:rsidRDefault="4FEF2642" w:rsidP="00280116">
            <w:pPr>
              <w:pStyle w:val="Tablebullet"/>
            </w:pPr>
            <w:r>
              <w:lastRenderedPageBreak/>
              <w:t xml:space="preserve">If a legal requirement is breached, then standard compliance action will be taken. </w:t>
            </w:r>
          </w:p>
          <w:p w14:paraId="72C8B469" w14:textId="77777777" w:rsidR="00D40148" w:rsidRPr="002507A3" w:rsidRDefault="4FEF2642" w:rsidP="00280116">
            <w:pPr>
              <w:pStyle w:val="Tablebullet"/>
            </w:pPr>
            <w:r>
              <w:t>The response to any breach will align with the C4 Operating Model approach to being a really responsive, risk-based regulator.</w:t>
            </w:r>
          </w:p>
        </w:tc>
      </w:tr>
    </w:tbl>
    <w:p w14:paraId="0C0B61F9" w14:textId="29F21E35" w:rsidR="00D40148" w:rsidRDefault="4FEF2642" w:rsidP="00D40148">
      <w:pPr>
        <w:pStyle w:val="Tablebullet"/>
        <w:numPr>
          <w:ilvl w:val="0"/>
          <w:numId w:val="0"/>
        </w:numPr>
        <w:ind w:left="567"/>
        <w:rPr>
          <w:i/>
        </w:rPr>
      </w:pPr>
      <w:r>
        <w:lastRenderedPageBreak/>
        <w:t>*</w:t>
      </w:r>
      <w:r w:rsidRPr="36E5F146">
        <w:rPr>
          <w:i/>
          <w:iCs/>
        </w:rPr>
        <w:t>This is to deter 3 year licence holders from slipping in practice expectations once a 3YL is granted, and increasing performance for the purposes of the next renewal. Assessments are done on a case-by-case basis.</w:t>
      </w:r>
    </w:p>
    <w:p w14:paraId="1DD477A2" w14:textId="77777777" w:rsidR="00022061" w:rsidRDefault="00022061" w:rsidP="00D40148">
      <w:pPr>
        <w:keepLines w:val="0"/>
      </w:pPr>
    </w:p>
    <w:p w14:paraId="3693643F" w14:textId="35D5E930" w:rsidR="00D40148" w:rsidRDefault="4FEF2642" w:rsidP="00D40148">
      <w:pPr>
        <w:keepLines w:val="0"/>
      </w:pPr>
      <w:r>
        <w:t>Initial assessment of draft options</w:t>
      </w:r>
    </w:p>
    <w:tbl>
      <w:tblPr>
        <w:tblStyle w:val="DIATable"/>
        <w:tblW w:w="9298" w:type="dxa"/>
        <w:tblLook w:val="04A0" w:firstRow="1" w:lastRow="0" w:firstColumn="1" w:lastColumn="0" w:noHBand="0" w:noVBand="1"/>
      </w:tblPr>
      <w:tblGrid>
        <w:gridCol w:w="3402"/>
        <w:gridCol w:w="1474"/>
        <w:gridCol w:w="1474"/>
        <w:gridCol w:w="1474"/>
        <w:gridCol w:w="1474"/>
      </w:tblGrid>
      <w:tr w:rsidR="00D40148" w14:paraId="752B5186" w14:textId="77777777" w:rsidTr="00E219EB">
        <w:trPr>
          <w:cnfStyle w:val="100000000000" w:firstRow="1" w:lastRow="0" w:firstColumn="0" w:lastColumn="0" w:oddVBand="0" w:evenVBand="0" w:oddHBand="0" w:evenHBand="0" w:firstRowFirstColumn="0" w:firstRowLastColumn="0" w:lastRowFirstColumn="0" w:lastRowLastColumn="0"/>
        </w:trPr>
        <w:tc>
          <w:tcPr>
            <w:tcW w:w="3402" w:type="dxa"/>
          </w:tcPr>
          <w:p w14:paraId="4F799E5A" w14:textId="77777777" w:rsidR="00D40148" w:rsidRDefault="00D40148" w:rsidP="00280116"/>
        </w:tc>
        <w:tc>
          <w:tcPr>
            <w:tcW w:w="1474" w:type="dxa"/>
          </w:tcPr>
          <w:p w14:paraId="07BCB7E4" w14:textId="77777777" w:rsidR="00D40148" w:rsidRDefault="4FEF2642" w:rsidP="00280116">
            <w:r>
              <w:t>Option 1</w:t>
            </w:r>
            <w:r w:rsidR="00D40148">
              <w:br/>
            </w:r>
            <w:r>
              <w:t>High cost Low risk</w:t>
            </w:r>
          </w:p>
        </w:tc>
        <w:tc>
          <w:tcPr>
            <w:tcW w:w="1474" w:type="dxa"/>
          </w:tcPr>
          <w:p w14:paraId="6DE76D75" w14:textId="77777777" w:rsidR="00D40148" w:rsidRDefault="4FEF2642" w:rsidP="00280116">
            <w:r>
              <w:t>Option 2</w:t>
            </w:r>
          </w:p>
          <w:p w14:paraId="625F1438" w14:textId="77777777" w:rsidR="00D40148" w:rsidRDefault="4FEF2642" w:rsidP="00280116">
            <w:r>
              <w:t>Med cost balanced risk</w:t>
            </w:r>
          </w:p>
        </w:tc>
        <w:tc>
          <w:tcPr>
            <w:tcW w:w="1474" w:type="dxa"/>
          </w:tcPr>
          <w:p w14:paraId="749785C7" w14:textId="77777777" w:rsidR="00D40148" w:rsidRDefault="4FEF2642" w:rsidP="00280116">
            <w:r>
              <w:t>Option 3 Low cost High risk</w:t>
            </w:r>
          </w:p>
        </w:tc>
        <w:tc>
          <w:tcPr>
            <w:tcW w:w="1474" w:type="dxa"/>
          </w:tcPr>
          <w:p w14:paraId="73F41089" w14:textId="156AC0A6" w:rsidR="00D40148" w:rsidRDefault="4FEF2642" w:rsidP="00280116">
            <w:r>
              <w:t>Discarded Option</w:t>
            </w:r>
            <w:r w:rsidR="00D40148">
              <w:br/>
            </w:r>
            <w:r>
              <w:t>Split licence</w:t>
            </w:r>
          </w:p>
        </w:tc>
      </w:tr>
      <w:tr w:rsidR="00D40148" w14:paraId="6AF75C6C" w14:textId="77777777" w:rsidTr="00E219EB">
        <w:tc>
          <w:tcPr>
            <w:tcW w:w="3402" w:type="dxa"/>
          </w:tcPr>
          <w:p w14:paraId="19E38854" w14:textId="5CD0D781" w:rsidR="00D40148" w:rsidRDefault="4FEF2642" w:rsidP="00280116">
            <w:r>
              <w:t xml:space="preserve">(IO) Supports Innovation and </w:t>
            </w:r>
            <w:r w:rsidR="00CF66AF">
              <w:t>best</w:t>
            </w:r>
            <w:r>
              <w:t xml:space="preserve"> </w:t>
            </w:r>
            <w:r w:rsidR="001020CA">
              <w:t>practice</w:t>
            </w:r>
            <w:r>
              <w:t xml:space="preserve"> </w:t>
            </w:r>
          </w:p>
        </w:tc>
        <w:tc>
          <w:tcPr>
            <w:tcW w:w="1474" w:type="dxa"/>
          </w:tcPr>
          <w:p w14:paraId="48F1C1BA" w14:textId="77777777" w:rsidR="00D40148" w:rsidRDefault="4FEF2642" w:rsidP="00280116">
            <w:r>
              <w:t>Not met</w:t>
            </w:r>
          </w:p>
        </w:tc>
        <w:tc>
          <w:tcPr>
            <w:tcW w:w="1474" w:type="dxa"/>
          </w:tcPr>
          <w:p w14:paraId="7DA1D3C9" w14:textId="77777777" w:rsidR="00D40148" w:rsidRDefault="4FEF2642" w:rsidP="00280116">
            <w:r>
              <w:t>Fully met</w:t>
            </w:r>
          </w:p>
        </w:tc>
        <w:tc>
          <w:tcPr>
            <w:tcW w:w="1474" w:type="dxa"/>
          </w:tcPr>
          <w:p w14:paraId="4446B058" w14:textId="77777777" w:rsidR="00D40148" w:rsidRDefault="4FEF2642" w:rsidP="00280116">
            <w:r>
              <w:t>Partially met</w:t>
            </w:r>
          </w:p>
        </w:tc>
        <w:tc>
          <w:tcPr>
            <w:tcW w:w="1474" w:type="dxa"/>
          </w:tcPr>
          <w:p w14:paraId="66E7F037" w14:textId="77777777" w:rsidR="00D40148" w:rsidRDefault="4FEF2642" w:rsidP="00280116">
            <w:r>
              <w:t>Not met</w:t>
            </w:r>
          </w:p>
        </w:tc>
      </w:tr>
      <w:tr w:rsidR="00D40148" w14:paraId="6E58ED98" w14:textId="77777777" w:rsidTr="00E219EB">
        <w:tc>
          <w:tcPr>
            <w:tcW w:w="3402" w:type="dxa"/>
          </w:tcPr>
          <w:p w14:paraId="2EA19166" w14:textId="77777777" w:rsidR="00D40148" w:rsidRDefault="4FEF2642" w:rsidP="00280116">
            <w:r>
              <w:t>(IO) Class 4 Sector behave responsibly and with integrity</w:t>
            </w:r>
          </w:p>
        </w:tc>
        <w:tc>
          <w:tcPr>
            <w:tcW w:w="1474" w:type="dxa"/>
          </w:tcPr>
          <w:p w14:paraId="0753BAC5" w14:textId="77777777" w:rsidR="00D40148" w:rsidRDefault="4FEF2642" w:rsidP="00280116">
            <w:r>
              <w:t>Fully met</w:t>
            </w:r>
          </w:p>
        </w:tc>
        <w:tc>
          <w:tcPr>
            <w:tcW w:w="1474" w:type="dxa"/>
          </w:tcPr>
          <w:p w14:paraId="3230BA56" w14:textId="77777777" w:rsidR="00D40148" w:rsidRDefault="4FEF2642" w:rsidP="00280116">
            <w:r>
              <w:t>Fully met</w:t>
            </w:r>
          </w:p>
        </w:tc>
        <w:tc>
          <w:tcPr>
            <w:tcW w:w="1474" w:type="dxa"/>
          </w:tcPr>
          <w:p w14:paraId="12693383" w14:textId="77777777" w:rsidR="00D40148" w:rsidRDefault="4FEF2642" w:rsidP="00280116">
            <w:r>
              <w:t>Partially met</w:t>
            </w:r>
          </w:p>
        </w:tc>
        <w:tc>
          <w:tcPr>
            <w:tcW w:w="1474" w:type="dxa"/>
          </w:tcPr>
          <w:p w14:paraId="68E9D9E4" w14:textId="77777777" w:rsidR="00D40148" w:rsidRDefault="4FEF2642" w:rsidP="00280116">
            <w:r>
              <w:t>Not met</w:t>
            </w:r>
          </w:p>
        </w:tc>
      </w:tr>
      <w:tr w:rsidR="00D40148" w14:paraId="60C1E307" w14:textId="77777777" w:rsidTr="00E219EB">
        <w:tc>
          <w:tcPr>
            <w:tcW w:w="3402" w:type="dxa"/>
          </w:tcPr>
          <w:p w14:paraId="649FE464" w14:textId="77777777" w:rsidR="00D40148" w:rsidRDefault="4FEF2642" w:rsidP="00280116">
            <w:r>
              <w:t>(IO) Improve effectiveness in C4 governance structures, business planning and stability</w:t>
            </w:r>
          </w:p>
        </w:tc>
        <w:tc>
          <w:tcPr>
            <w:tcW w:w="1474" w:type="dxa"/>
          </w:tcPr>
          <w:p w14:paraId="6509BA0D" w14:textId="77777777" w:rsidR="00D40148" w:rsidRDefault="4FEF2642" w:rsidP="00280116">
            <w:r>
              <w:t>Fully met</w:t>
            </w:r>
          </w:p>
        </w:tc>
        <w:tc>
          <w:tcPr>
            <w:tcW w:w="1474" w:type="dxa"/>
          </w:tcPr>
          <w:p w14:paraId="413369E0" w14:textId="77777777" w:rsidR="00D40148" w:rsidRDefault="4FEF2642" w:rsidP="00280116">
            <w:r>
              <w:t>Fully met</w:t>
            </w:r>
          </w:p>
        </w:tc>
        <w:tc>
          <w:tcPr>
            <w:tcW w:w="1474" w:type="dxa"/>
          </w:tcPr>
          <w:p w14:paraId="6C719874" w14:textId="77777777" w:rsidR="00D40148" w:rsidRDefault="4FEF2642" w:rsidP="00280116">
            <w:r>
              <w:t>Fully met</w:t>
            </w:r>
          </w:p>
        </w:tc>
        <w:tc>
          <w:tcPr>
            <w:tcW w:w="1474" w:type="dxa"/>
          </w:tcPr>
          <w:p w14:paraId="5CF2916D" w14:textId="77777777" w:rsidR="00D40148" w:rsidRDefault="4FEF2642" w:rsidP="00280116">
            <w:r>
              <w:t>Not met</w:t>
            </w:r>
          </w:p>
        </w:tc>
      </w:tr>
      <w:tr w:rsidR="00D40148" w:rsidRPr="00CD72B6" w14:paraId="372E9CC7" w14:textId="77777777" w:rsidTr="00E219EB">
        <w:tc>
          <w:tcPr>
            <w:tcW w:w="3402" w:type="dxa"/>
          </w:tcPr>
          <w:p w14:paraId="092F7AFB" w14:textId="77777777" w:rsidR="00D40148" w:rsidRPr="00CD72B6" w:rsidRDefault="4FEF2642" w:rsidP="00280116">
            <w:pPr>
              <w:rPr>
                <w:b/>
              </w:rPr>
            </w:pPr>
            <w:r w:rsidRPr="4FEF2642">
              <w:rPr>
                <w:b/>
                <w:bCs/>
              </w:rPr>
              <w:t>Summary of investment objectives</w:t>
            </w:r>
          </w:p>
        </w:tc>
        <w:tc>
          <w:tcPr>
            <w:tcW w:w="1474" w:type="dxa"/>
          </w:tcPr>
          <w:p w14:paraId="7D8DB730" w14:textId="77777777" w:rsidR="00D40148" w:rsidRPr="00CD72B6" w:rsidRDefault="4FEF2642" w:rsidP="00280116">
            <w:pPr>
              <w:rPr>
                <w:b/>
              </w:rPr>
            </w:pPr>
            <w:r w:rsidRPr="4FEF2642">
              <w:rPr>
                <w:b/>
                <w:bCs/>
              </w:rPr>
              <w:t>Partially met</w:t>
            </w:r>
          </w:p>
        </w:tc>
        <w:tc>
          <w:tcPr>
            <w:tcW w:w="1474" w:type="dxa"/>
          </w:tcPr>
          <w:p w14:paraId="40B99BA2" w14:textId="77777777" w:rsidR="00D40148" w:rsidRPr="00CD72B6" w:rsidRDefault="4FEF2642" w:rsidP="00280116">
            <w:pPr>
              <w:rPr>
                <w:b/>
              </w:rPr>
            </w:pPr>
            <w:r w:rsidRPr="4FEF2642">
              <w:rPr>
                <w:b/>
                <w:bCs/>
              </w:rPr>
              <w:t>Fully met</w:t>
            </w:r>
          </w:p>
        </w:tc>
        <w:tc>
          <w:tcPr>
            <w:tcW w:w="1474" w:type="dxa"/>
          </w:tcPr>
          <w:p w14:paraId="2B945E9C" w14:textId="77777777" w:rsidR="00D40148" w:rsidRPr="00CD72B6" w:rsidRDefault="4FEF2642" w:rsidP="00280116">
            <w:pPr>
              <w:rPr>
                <w:b/>
              </w:rPr>
            </w:pPr>
            <w:r w:rsidRPr="4FEF2642">
              <w:rPr>
                <w:b/>
                <w:bCs/>
              </w:rPr>
              <w:t>Partially met</w:t>
            </w:r>
          </w:p>
        </w:tc>
        <w:tc>
          <w:tcPr>
            <w:tcW w:w="1474" w:type="dxa"/>
          </w:tcPr>
          <w:p w14:paraId="75FE4875" w14:textId="77777777" w:rsidR="00D40148" w:rsidRPr="00CD72B6" w:rsidRDefault="4FEF2642" w:rsidP="00280116">
            <w:pPr>
              <w:rPr>
                <w:b/>
              </w:rPr>
            </w:pPr>
            <w:r w:rsidRPr="4FEF2642">
              <w:rPr>
                <w:b/>
                <w:bCs/>
              </w:rPr>
              <w:t>Not met</w:t>
            </w:r>
          </w:p>
        </w:tc>
      </w:tr>
      <w:tr w:rsidR="00D40148" w14:paraId="5C1B5DA2" w14:textId="77777777" w:rsidTr="00E219EB">
        <w:tc>
          <w:tcPr>
            <w:tcW w:w="3402" w:type="dxa"/>
          </w:tcPr>
          <w:p w14:paraId="124143E8" w14:textId="77777777" w:rsidR="00D40148" w:rsidRDefault="4FEF2642" w:rsidP="00280116">
            <w:r>
              <w:t>(CSF) Broad C4 stakeholder support</w:t>
            </w:r>
          </w:p>
        </w:tc>
        <w:tc>
          <w:tcPr>
            <w:tcW w:w="1474" w:type="dxa"/>
          </w:tcPr>
          <w:p w14:paraId="6CD6C4F0" w14:textId="77777777" w:rsidR="00D40148" w:rsidRDefault="4FEF2642" w:rsidP="00280116">
            <w:r>
              <w:t>Partially met</w:t>
            </w:r>
          </w:p>
        </w:tc>
        <w:tc>
          <w:tcPr>
            <w:tcW w:w="1474" w:type="dxa"/>
          </w:tcPr>
          <w:p w14:paraId="064E2B18" w14:textId="77777777" w:rsidR="00D40148" w:rsidRDefault="4FEF2642" w:rsidP="00280116">
            <w:r>
              <w:t>Fully met</w:t>
            </w:r>
          </w:p>
        </w:tc>
        <w:tc>
          <w:tcPr>
            <w:tcW w:w="1474" w:type="dxa"/>
          </w:tcPr>
          <w:p w14:paraId="7FD7ED97" w14:textId="77777777" w:rsidR="00D40148" w:rsidRDefault="4FEF2642" w:rsidP="00280116">
            <w:r>
              <w:t>Fully met</w:t>
            </w:r>
          </w:p>
        </w:tc>
        <w:tc>
          <w:tcPr>
            <w:tcW w:w="1474" w:type="dxa"/>
          </w:tcPr>
          <w:p w14:paraId="19C2AAB3" w14:textId="77777777" w:rsidR="00D40148" w:rsidRDefault="4FEF2642" w:rsidP="00280116">
            <w:r>
              <w:t>Fully met</w:t>
            </w:r>
          </w:p>
        </w:tc>
      </w:tr>
      <w:tr w:rsidR="00D40148" w14:paraId="61469867" w14:textId="77777777" w:rsidTr="00E219EB">
        <w:tc>
          <w:tcPr>
            <w:tcW w:w="3402" w:type="dxa"/>
          </w:tcPr>
          <w:p w14:paraId="20E3EA11" w14:textId="77777777" w:rsidR="00D40148" w:rsidRDefault="4FEF2642" w:rsidP="00280116">
            <w:r>
              <w:t>(CSF) affordable</w:t>
            </w:r>
          </w:p>
        </w:tc>
        <w:tc>
          <w:tcPr>
            <w:tcW w:w="1474" w:type="dxa"/>
          </w:tcPr>
          <w:p w14:paraId="62975C53" w14:textId="77777777" w:rsidR="00D40148" w:rsidRDefault="4FEF2642" w:rsidP="00280116">
            <w:r>
              <w:t>Partially met</w:t>
            </w:r>
          </w:p>
        </w:tc>
        <w:tc>
          <w:tcPr>
            <w:tcW w:w="1474" w:type="dxa"/>
          </w:tcPr>
          <w:p w14:paraId="63BDC74C" w14:textId="77777777" w:rsidR="00D40148" w:rsidRDefault="4FEF2642" w:rsidP="00280116">
            <w:r>
              <w:t>Fully met</w:t>
            </w:r>
          </w:p>
        </w:tc>
        <w:tc>
          <w:tcPr>
            <w:tcW w:w="1474" w:type="dxa"/>
          </w:tcPr>
          <w:p w14:paraId="0293A513" w14:textId="77777777" w:rsidR="00D40148" w:rsidRDefault="4FEF2642" w:rsidP="00280116">
            <w:r>
              <w:t>Fully met</w:t>
            </w:r>
          </w:p>
        </w:tc>
        <w:tc>
          <w:tcPr>
            <w:tcW w:w="1474" w:type="dxa"/>
          </w:tcPr>
          <w:p w14:paraId="7530840B" w14:textId="77777777" w:rsidR="00D40148" w:rsidRDefault="4FEF2642" w:rsidP="00280116">
            <w:r>
              <w:t>Not met</w:t>
            </w:r>
          </w:p>
        </w:tc>
      </w:tr>
      <w:tr w:rsidR="00D40148" w14:paraId="1230BFE0" w14:textId="77777777" w:rsidTr="00E219EB">
        <w:tc>
          <w:tcPr>
            <w:tcW w:w="3402" w:type="dxa"/>
          </w:tcPr>
          <w:p w14:paraId="6C51824E" w14:textId="77777777" w:rsidR="00D40148" w:rsidRDefault="4FEF2642" w:rsidP="00280116">
            <w:r>
              <w:t>(CSF) achievable implementation</w:t>
            </w:r>
          </w:p>
        </w:tc>
        <w:tc>
          <w:tcPr>
            <w:tcW w:w="1474" w:type="dxa"/>
          </w:tcPr>
          <w:p w14:paraId="0E00D0D7" w14:textId="77777777" w:rsidR="00D40148" w:rsidRDefault="4FEF2642" w:rsidP="00280116">
            <w:r>
              <w:t>Fully met</w:t>
            </w:r>
          </w:p>
        </w:tc>
        <w:tc>
          <w:tcPr>
            <w:tcW w:w="1474" w:type="dxa"/>
          </w:tcPr>
          <w:p w14:paraId="50588E2A" w14:textId="77777777" w:rsidR="00D40148" w:rsidRDefault="4FEF2642" w:rsidP="00280116">
            <w:r>
              <w:t>Fully met</w:t>
            </w:r>
          </w:p>
        </w:tc>
        <w:tc>
          <w:tcPr>
            <w:tcW w:w="1474" w:type="dxa"/>
          </w:tcPr>
          <w:p w14:paraId="7052B4BA" w14:textId="77777777" w:rsidR="00D40148" w:rsidRDefault="4FEF2642" w:rsidP="00280116">
            <w:r>
              <w:t>Fully met</w:t>
            </w:r>
          </w:p>
        </w:tc>
        <w:tc>
          <w:tcPr>
            <w:tcW w:w="1474" w:type="dxa"/>
          </w:tcPr>
          <w:p w14:paraId="2FEC2ABF" w14:textId="77777777" w:rsidR="00D40148" w:rsidRDefault="4FEF2642" w:rsidP="00280116">
            <w:r>
              <w:t>Not met</w:t>
            </w:r>
          </w:p>
        </w:tc>
      </w:tr>
      <w:tr w:rsidR="00D40148" w14:paraId="5A294AB0" w14:textId="77777777" w:rsidTr="00E219EB">
        <w:tc>
          <w:tcPr>
            <w:tcW w:w="3402" w:type="dxa"/>
          </w:tcPr>
          <w:p w14:paraId="733DA9B9" w14:textId="77777777" w:rsidR="00D40148" w:rsidRDefault="4FEF2642" w:rsidP="00280116">
            <w:r>
              <w:t>(CSF) balances the risks</w:t>
            </w:r>
          </w:p>
        </w:tc>
        <w:tc>
          <w:tcPr>
            <w:tcW w:w="1474" w:type="dxa"/>
          </w:tcPr>
          <w:p w14:paraId="1FA504A3" w14:textId="77777777" w:rsidR="00D40148" w:rsidRDefault="4FEF2642" w:rsidP="00280116">
            <w:r>
              <w:t>Fully met</w:t>
            </w:r>
          </w:p>
        </w:tc>
        <w:tc>
          <w:tcPr>
            <w:tcW w:w="1474" w:type="dxa"/>
          </w:tcPr>
          <w:p w14:paraId="18AFA062" w14:textId="77777777" w:rsidR="00D40148" w:rsidRDefault="4FEF2642" w:rsidP="00280116">
            <w:r>
              <w:t>Fully met</w:t>
            </w:r>
          </w:p>
        </w:tc>
        <w:tc>
          <w:tcPr>
            <w:tcW w:w="1474" w:type="dxa"/>
          </w:tcPr>
          <w:p w14:paraId="24A887CD" w14:textId="77777777" w:rsidR="00D40148" w:rsidRDefault="4FEF2642" w:rsidP="00280116">
            <w:r>
              <w:t>Partially met</w:t>
            </w:r>
          </w:p>
        </w:tc>
        <w:tc>
          <w:tcPr>
            <w:tcW w:w="1474" w:type="dxa"/>
          </w:tcPr>
          <w:p w14:paraId="706E7FCA" w14:textId="77777777" w:rsidR="00D40148" w:rsidRDefault="4FEF2642" w:rsidP="00280116">
            <w:r>
              <w:t>Partially met</w:t>
            </w:r>
          </w:p>
        </w:tc>
      </w:tr>
      <w:tr w:rsidR="00D40148" w:rsidRPr="00CD72B6" w14:paraId="276EA158" w14:textId="77777777" w:rsidTr="00E219EB">
        <w:tc>
          <w:tcPr>
            <w:tcW w:w="3402" w:type="dxa"/>
          </w:tcPr>
          <w:p w14:paraId="7D2327C3" w14:textId="77777777" w:rsidR="00D40148" w:rsidRPr="00CD72B6" w:rsidRDefault="4FEF2642" w:rsidP="00280116">
            <w:pPr>
              <w:rPr>
                <w:b/>
              </w:rPr>
            </w:pPr>
            <w:r w:rsidRPr="4FEF2642">
              <w:rPr>
                <w:b/>
                <w:bCs/>
              </w:rPr>
              <w:t>Summary of critical success factors</w:t>
            </w:r>
          </w:p>
        </w:tc>
        <w:tc>
          <w:tcPr>
            <w:tcW w:w="1474" w:type="dxa"/>
          </w:tcPr>
          <w:p w14:paraId="48B95E46" w14:textId="77777777" w:rsidR="00D40148" w:rsidRPr="00CD72B6" w:rsidRDefault="4FEF2642" w:rsidP="00280116">
            <w:pPr>
              <w:rPr>
                <w:b/>
              </w:rPr>
            </w:pPr>
            <w:r w:rsidRPr="4FEF2642">
              <w:rPr>
                <w:b/>
                <w:bCs/>
              </w:rPr>
              <w:t>Partially met</w:t>
            </w:r>
          </w:p>
        </w:tc>
        <w:tc>
          <w:tcPr>
            <w:tcW w:w="1474" w:type="dxa"/>
          </w:tcPr>
          <w:p w14:paraId="0A6275A1" w14:textId="77777777" w:rsidR="00D40148" w:rsidRPr="00CD72B6" w:rsidRDefault="4FEF2642" w:rsidP="00280116">
            <w:pPr>
              <w:rPr>
                <w:b/>
              </w:rPr>
            </w:pPr>
            <w:r w:rsidRPr="4FEF2642">
              <w:rPr>
                <w:b/>
                <w:bCs/>
              </w:rPr>
              <w:t>Fully met</w:t>
            </w:r>
          </w:p>
        </w:tc>
        <w:tc>
          <w:tcPr>
            <w:tcW w:w="1474" w:type="dxa"/>
          </w:tcPr>
          <w:p w14:paraId="7E475EED" w14:textId="77777777" w:rsidR="00D40148" w:rsidRPr="00CD72B6" w:rsidRDefault="4FEF2642" w:rsidP="00280116">
            <w:pPr>
              <w:rPr>
                <w:b/>
              </w:rPr>
            </w:pPr>
            <w:r w:rsidRPr="4FEF2642">
              <w:rPr>
                <w:b/>
                <w:bCs/>
              </w:rPr>
              <w:t>Partially met</w:t>
            </w:r>
          </w:p>
        </w:tc>
        <w:tc>
          <w:tcPr>
            <w:tcW w:w="1474" w:type="dxa"/>
          </w:tcPr>
          <w:p w14:paraId="1311A834" w14:textId="77777777" w:rsidR="00D40148" w:rsidRPr="00CD72B6" w:rsidRDefault="4FEF2642" w:rsidP="00280116">
            <w:pPr>
              <w:rPr>
                <w:b/>
              </w:rPr>
            </w:pPr>
            <w:r w:rsidRPr="4FEF2642">
              <w:rPr>
                <w:b/>
                <w:bCs/>
              </w:rPr>
              <w:t>Not met</w:t>
            </w:r>
          </w:p>
        </w:tc>
      </w:tr>
    </w:tbl>
    <w:p w14:paraId="3001E7E8" w14:textId="77777777" w:rsidR="00165DAA" w:rsidRDefault="00165DAA" w:rsidP="00990BF3">
      <w:pPr>
        <w:pStyle w:val="Heading3"/>
        <w:spacing w:after="240"/>
        <w:jc w:val="both"/>
        <w:rPr>
          <w:szCs w:val="28"/>
        </w:rPr>
      </w:pPr>
    </w:p>
    <w:p w14:paraId="564CF199" w14:textId="77777777" w:rsidR="00832337" w:rsidRDefault="00832337" w:rsidP="00165DAA">
      <w:pPr>
        <w:rPr>
          <w:rFonts w:cs="Arial"/>
          <w:color w:val="1F546B"/>
          <w:sz w:val="28"/>
        </w:rPr>
        <w:sectPr w:rsidR="00832337" w:rsidSect="00EA0470">
          <w:type w:val="continuous"/>
          <w:pgSz w:w="16839" w:h="11907" w:orient="landscape" w:code="9"/>
          <w:pgMar w:top="720" w:right="720" w:bottom="720" w:left="720" w:header="425" w:footer="635" w:gutter="0"/>
          <w:cols w:space="708"/>
          <w:docGrid w:linePitch="360"/>
        </w:sectPr>
      </w:pPr>
    </w:p>
    <w:p w14:paraId="05676423" w14:textId="149C2B44" w:rsidR="007502DD" w:rsidRPr="007502DD" w:rsidRDefault="00257FEA" w:rsidP="00990BF3">
      <w:pPr>
        <w:pStyle w:val="Heading3"/>
        <w:spacing w:after="240"/>
        <w:jc w:val="both"/>
        <w:rPr>
          <w:szCs w:val="28"/>
        </w:rPr>
      </w:pPr>
      <w:bookmarkStart w:id="47" w:name="_Toc479253060"/>
      <w:r w:rsidRPr="4FEF2642">
        <w:lastRenderedPageBreak/>
        <w:t>Appendix 7</w:t>
      </w:r>
      <w:r w:rsidR="007502DD" w:rsidRPr="4FEF2642">
        <w:t>:</w:t>
      </w:r>
      <w:r w:rsidR="00DB7153" w:rsidRPr="4FEF2642">
        <w:t xml:space="preserve"> </w:t>
      </w:r>
      <w:r w:rsidR="00B36E63" w:rsidRPr="4FEF2642">
        <w:t>Sector Technical Reference Group – Terms of Reference</w:t>
      </w:r>
      <w:bookmarkEnd w:id="47"/>
    </w:p>
    <w:p w14:paraId="0B35A2B2" w14:textId="346663D7" w:rsidR="00126E00" w:rsidRDefault="00126E00" w:rsidP="00126E00">
      <w:pPr>
        <w:pStyle w:val="Heading3"/>
      </w:pPr>
    </w:p>
    <w:tbl>
      <w:tblPr>
        <w:tblStyle w:val="DIATable"/>
        <w:tblW w:w="0" w:type="auto"/>
        <w:tblLayout w:type="fixed"/>
        <w:tblLook w:val="04A0" w:firstRow="1" w:lastRow="0" w:firstColumn="1" w:lastColumn="0" w:noHBand="0" w:noVBand="1"/>
      </w:tblPr>
      <w:tblGrid>
        <w:gridCol w:w="1377"/>
        <w:gridCol w:w="3442"/>
        <w:gridCol w:w="4096"/>
      </w:tblGrid>
      <w:tr w:rsidR="00126E00" w:rsidRPr="0027024C" w14:paraId="0DE6FEF6" w14:textId="77777777" w:rsidTr="005714D1">
        <w:trPr>
          <w:cnfStyle w:val="100000000000" w:firstRow="1" w:lastRow="0" w:firstColumn="0" w:lastColumn="0" w:oddVBand="0" w:evenVBand="0" w:oddHBand="0" w:evenHBand="0" w:firstRowFirstColumn="0" w:firstRowLastColumn="0" w:lastRowFirstColumn="0" w:lastRowLastColumn="0"/>
          <w:cantSplit w:val="0"/>
          <w:trHeight w:val="237"/>
        </w:trPr>
        <w:tc>
          <w:tcPr>
            <w:tcW w:w="1377" w:type="dxa"/>
          </w:tcPr>
          <w:p w14:paraId="23AF453B" w14:textId="77777777" w:rsidR="00126E00" w:rsidRPr="0027024C" w:rsidRDefault="4FEF2642" w:rsidP="00280116">
            <w:pPr>
              <w:rPr>
                <w:sz w:val="18"/>
                <w:szCs w:val="18"/>
              </w:rPr>
            </w:pPr>
            <w:r w:rsidRPr="4FEF2642">
              <w:rPr>
                <w:sz w:val="18"/>
                <w:szCs w:val="18"/>
              </w:rPr>
              <w:t>Title</w:t>
            </w:r>
          </w:p>
        </w:tc>
        <w:tc>
          <w:tcPr>
            <w:tcW w:w="7538" w:type="dxa"/>
            <w:gridSpan w:val="2"/>
          </w:tcPr>
          <w:p w14:paraId="15FFB59D" w14:textId="77777777" w:rsidR="00126E00" w:rsidRPr="0027024C" w:rsidRDefault="4FEF2642" w:rsidP="00280116">
            <w:pPr>
              <w:rPr>
                <w:sz w:val="18"/>
                <w:szCs w:val="18"/>
              </w:rPr>
            </w:pPr>
            <w:r w:rsidRPr="4FEF2642">
              <w:rPr>
                <w:sz w:val="18"/>
                <w:szCs w:val="18"/>
              </w:rPr>
              <w:t>Terms of reference</w:t>
            </w:r>
          </w:p>
        </w:tc>
      </w:tr>
      <w:tr w:rsidR="00126E00" w:rsidRPr="0027024C" w14:paraId="63D1DF58" w14:textId="77777777" w:rsidTr="005714D1">
        <w:trPr>
          <w:cantSplit w:val="0"/>
          <w:trHeight w:val="1353"/>
        </w:trPr>
        <w:tc>
          <w:tcPr>
            <w:tcW w:w="1377" w:type="dxa"/>
          </w:tcPr>
          <w:p w14:paraId="71CFDC4F" w14:textId="77777777" w:rsidR="00126E00" w:rsidRPr="0027024C" w:rsidRDefault="4FEF2642" w:rsidP="00280116">
            <w:pPr>
              <w:rPr>
                <w:sz w:val="18"/>
                <w:szCs w:val="18"/>
              </w:rPr>
            </w:pPr>
            <w:r w:rsidRPr="4FEF2642">
              <w:rPr>
                <w:sz w:val="18"/>
                <w:szCs w:val="18"/>
              </w:rPr>
              <w:t>Purpose description</w:t>
            </w:r>
          </w:p>
        </w:tc>
        <w:tc>
          <w:tcPr>
            <w:tcW w:w="7538" w:type="dxa"/>
            <w:gridSpan w:val="2"/>
          </w:tcPr>
          <w:p w14:paraId="4E43C4B3" w14:textId="6DAC8062" w:rsidR="00126E00" w:rsidRPr="0027024C" w:rsidRDefault="4FEF2642" w:rsidP="00280116">
            <w:pPr>
              <w:rPr>
                <w:sz w:val="18"/>
                <w:szCs w:val="18"/>
              </w:rPr>
            </w:pPr>
            <w:r w:rsidRPr="4FEF2642">
              <w:rPr>
                <w:sz w:val="18"/>
                <w:szCs w:val="18"/>
              </w:rPr>
              <w:t>The Department has worked with the Class 4 Working Party to establish the Technical Reference Group. The purpose of the Group is to advise the three year licence project team on the technical feasibility and any related technical issues for societies and clubs of:</w:t>
            </w:r>
          </w:p>
          <w:p w14:paraId="18DDE690" w14:textId="3876A0FD" w:rsidR="00126E00" w:rsidRPr="0027024C" w:rsidRDefault="4FEF2642" w:rsidP="00280116">
            <w:pPr>
              <w:pStyle w:val="Tablebullet"/>
              <w:rPr>
                <w:sz w:val="18"/>
                <w:szCs w:val="18"/>
              </w:rPr>
            </w:pPr>
            <w:r w:rsidRPr="4FEF2642">
              <w:rPr>
                <w:sz w:val="18"/>
                <w:szCs w:val="18"/>
              </w:rPr>
              <w:t xml:space="preserve">the Department’s preferred </w:t>
            </w:r>
            <w:r w:rsidR="00CF66AF">
              <w:rPr>
                <w:sz w:val="18"/>
                <w:szCs w:val="18"/>
              </w:rPr>
              <w:t>best</w:t>
            </w:r>
            <w:r w:rsidRPr="4FEF2642">
              <w:rPr>
                <w:sz w:val="18"/>
                <w:szCs w:val="18"/>
              </w:rPr>
              <w:t xml:space="preserve"> </w:t>
            </w:r>
            <w:r w:rsidR="001020CA">
              <w:rPr>
                <w:sz w:val="18"/>
                <w:szCs w:val="18"/>
              </w:rPr>
              <w:t>practice</w:t>
            </w:r>
            <w:r w:rsidRPr="4FEF2642">
              <w:rPr>
                <w:sz w:val="18"/>
                <w:szCs w:val="18"/>
              </w:rPr>
              <w:t xml:space="preserve"> expectations and</w:t>
            </w:r>
          </w:p>
          <w:p w14:paraId="13E2EC7F" w14:textId="77777777" w:rsidR="00126E00" w:rsidRPr="0027024C" w:rsidRDefault="4FEF2642" w:rsidP="00280116">
            <w:pPr>
              <w:pStyle w:val="Tablebullet"/>
              <w:rPr>
                <w:sz w:val="18"/>
                <w:szCs w:val="18"/>
              </w:rPr>
            </w:pPr>
            <w:r w:rsidRPr="4FEF2642">
              <w:rPr>
                <w:sz w:val="18"/>
                <w:szCs w:val="18"/>
              </w:rPr>
              <w:t>three design options.</w:t>
            </w:r>
          </w:p>
          <w:p w14:paraId="039770DF" w14:textId="77777777" w:rsidR="00126E00" w:rsidRPr="0027024C" w:rsidRDefault="4FEF2642" w:rsidP="00280116">
            <w:pPr>
              <w:pStyle w:val="Tablenormal0"/>
              <w:rPr>
                <w:sz w:val="18"/>
                <w:szCs w:val="18"/>
              </w:rPr>
            </w:pPr>
            <w:r w:rsidRPr="4FEF2642">
              <w:rPr>
                <w:sz w:val="18"/>
                <w:szCs w:val="18"/>
              </w:rPr>
              <w:t>The advice from the Group will ensure feasibility and technical issues have been given appropriate consideration for the upcoming public consultation document and process.</w:t>
            </w:r>
          </w:p>
        </w:tc>
      </w:tr>
      <w:tr w:rsidR="00126E00" w:rsidRPr="0027024C" w14:paraId="25B169AA" w14:textId="77777777" w:rsidTr="005714D1">
        <w:trPr>
          <w:cantSplit w:val="0"/>
          <w:trHeight w:val="558"/>
        </w:trPr>
        <w:tc>
          <w:tcPr>
            <w:tcW w:w="1377" w:type="dxa"/>
          </w:tcPr>
          <w:p w14:paraId="057225FD" w14:textId="77777777" w:rsidR="00126E00" w:rsidRPr="0027024C" w:rsidRDefault="4FEF2642" w:rsidP="00280116">
            <w:pPr>
              <w:rPr>
                <w:sz w:val="18"/>
                <w:szCs w:val="18"/>
              </w:rPr>
            </w:pPr>
            <w:r w:rsidRPr="4FEF2642">
              <w:rPr>
                <w:sz w:val="18"/>
                <w:szCs w:val="18"/>
              </w:rPr>
              <w:t>Membership</w:t>
            </w:r>
          </w:p>
        </w:tc>
        <w:tc>
          <w:tcPr>
            <w:tcW w:w="7538" w:type="dxa"/>
            <w:gridSpan w:val="2"/>
          </w:tcPr>
          <w:p w14:paraId="0728076C" w14:textId="77777777" w:rsidR="00126E00" w:rsidRPr="0027024C" w:rsidRDefault="4FEF2642" w:rsidP="00280116">
            <w:pPr>
              <w:pStyle w:val="Tablenormal0"/>
              <w:rPr>
                <w:sz w:val="18"/>
                <w:szCs w:val="18"/>
              </w:rPr>
            </w:pPr>
            <w:r w:rsidRPr="4FEF2642">
              <w:rPr>
                <w:sz w:val="18"/>
                <w:szCs w:val="18"/>
              </w:rPr>
              <w:t>Bruce Robertson (Chair of Class 4 Working Group), Karen Shea (Southern Trust), Murray Reade (The Lion Foundation), Nick Kouloubrakis (Mainland Foundation), Ross Savage (Youthtown), Mike Knell (NZCT), Lisa Beighton (Porirua Club), Brendan Demchy (Waiheke RSA)</w:t>
            </w:r>
          </w:p>
        </w:tc>
      </w:tr>
      <w:tr w:rsidR="00126E00" w:rsidRPr="0027024C" w14:paraId="4C514761" w14:textId="77777777" w:rsidTr="005714D1">
        <w:trPr>
          <w:cantSplit w:val="0"/>
          <w:trHeight w:val="2406"/>
        </w:trPr>
        <w:tc>
          <w:tcPr>
            <w:tcW w:w="1377" w:type="dxa"/>
          </w:tcPr>
          <w:p w14:paraId="222F77C6" w14:textId="77777777" w:rsidR="00126E00" w:rsidRPr="0027024C" w:rsidRDefault="4FEF2642" w:rsidP="00280116">
            <w:pPr>
              <w:rPr>
                <w:sz w:val="18"/>
                <w:szCs w:val="18"/>
              </w:rPr>
            </w:pPr>
            <w:r w:rsidRPr="4FEF2642">
              <w:rPr>
                <w:sz w:val="18"/>
                <w:szCs w:val="18"/>
              </w:rPr>
              <w:t>Background</w:t>
            </w:r>
          </w:p>
        </w:tc>
        <w:tc>
          <w:tcPr>
            <w:tcW w:w="7538" w:type="dxa"/>
            <w:gridSpan w:val="2"/>
          </w:tcPr>
          <w:p w14:paraId="1212B8AE" w14:textId="4BC841BD" w:rsidR="00126E00" w:rsidRPr="0027024C" w:rsidRDefault="4FEF2642" w:rsidP="00280116">
            <w:pPr>
              <w:rPr>
                <w:sz w:val="18"/>
                <w:szCs w:val="18"/>
              </w:rPr>
            </w:pPr>
            <w:r w:rsidRPr="4FEF2642">
              <w:rPr>
                <w:sz w:val="18"/>
                <w:szCs w:val="18"/>
              </w:rPr>
              <w:t xml:space="preserve">The Gambling Amendment Bill (no 3) passed in 2015. It provides that </w:t>
            </w:r>
            <w:r w:rsidR="00535B11">
              <w:rPr>
                <w:sz w:val="18"/>
                <w:szCs w:val="18"/>
              </w:rPr>
              <w:t>C</w:t>
            </w:r>
            <w:r w:rsidR="00535B11" w:rsidRPr="4FEF2642">
              <w:rPr>
                <w:sz w:val="18"/>
                <w:szCs w:val="18"/>
              </w:rPr>
              <w:t xml:space="preserve">lass </w:t>
            </w:r>
            <w:r w:rsidRPr="4FEF2642">
              <w:rPr>
                <w:sz w:val="18"/>
                <w:szCs w:val="18"/>
              </w:rPr>
              <w:t xml:space="preserve">4 operators and venue licences may be issued for a period of up to 3 years. The licence period is at the discretion of the Secretary with no right of review to the Gambling Commission. The licence criteria have not changed. </w:t>
            </w:r>
          </w:p>
          <w:p w14:paraId="7343A534" w14:textId="4E2955EC" w:rsidR="00126E00" w:rsidRPr="0027024C" w:rsidRDefault="4FEF2642" w:rsidP="00280116">
            <w:pPr>
              <w:rPr>
                <w:sz w:val="18"/>
                <w:szCs w:val="18"/>
              </w:rPr>
            </w:pPr>
            <w:r w:rsidRPr="4FEF2642">
              <w:rPr>
                <w:sz w:val="18"/>
                <w:szCs w:val="18"/>
              </w:rPr>
              <w:t>The Department’s Report to the Select Committee identified that the objective of a 3-year licence is to allow longer licences as an incentive for ‘</w:t>
            </w:r>
            <w:r w:rsidR="00CF66AF">
              <w:rPr>
                <w:sz w:val="18"/>
                <w:szCs w:val="18"/>
              </w:rPr>
              <w:t>best</w:t>
            </w:r>
            <w:r w:rsidRPr="4FEF2642">
              <w:rPr>
                <w:sz w:val="18"/>
                <w:szCs w:val="18"/>
              </w:rPr>
              <w:t xml:space="preserve"> </w:t>
            </w:r>
            <w:r w:rsidR="001020CA">
              <w:rPr>
                <w:sz w:val="18"/>
                <w:szCs w:val="18"/>
              </w:rPr>
              <w:t>practice</w:t>
            </w:r>
            <w:r w:rsidRPr="4FEF2642">
              <w:rPr>
                <w:sz w:val="18"/>
                <w:szCs w:val="18"/>
              </w:rPr>
              <w:t xml:space="preserve">’ or ‘highly compliant’ societies. This approach was supported by the Select Committee. </w:t>
            </w:r>
          </w:p>
          <w:p w14:paraId="0525AC5D" w14:textId="77777777" w:rsidR="00126E00" w:rsidRPr="0027024C" w:rsidRDefault="4FEF2642" w:rsidP="00280116">
            <w:pPr>
              <w:rPr>
                <w:sz w:val="18"/>
                <w:szCs w:val="18"/>
              </w:rPr>
            </w:pPr>
            <w:r w:rsidRPr="4FEF2642">
              <w:rPr>
                <w:sz w:val="18"/>
                <w:szCs w:val="18"/>
              </w:rPr>
              <w:t>The project makes the following distinctions:</w:t>
            </w:r>
          </w:p>
          <w:p w14:paraId="115211A1" w14:textId="72478296" w:rsidR="00126E00" w:rsidRPr="0027024C" w:rsidRDefault="4FEF2642" w:rsidP="00280116">
            <w:pPr>
              <w:pStyle w:val="Tablebullet"/>
              <w:rPr>
                <w:sz w:val="18"/>
                <w:szCs w:val="18"/>
              </w:rPr>
            </w:pPr>
            <w:r w:rsidRPr="4FEF2642">
              <w:rPr>
                <w:sz w:val="18"/>
                <w:szCs w:val="18"/>
              </w:rPr>
              <w:t>‘</w:t>
            </w:r>
            <w:r w:rsidR="00CF66AF">
              <w:rPr>
                <w:b/>
                <w:bCs/>
                <w:sz w:val="18"/>
                <w:szCs w:val="18"/>
              </w:rPr>
              <w:t>best</w:t>
            </w:r>
            <w:r w:rsidRPr="4FEF2642">
              <w:rPr>
                <w:b/>
                <w:bCs/>
                <w:sz w:val="18"/>
                <w:szCs w:val="18"/>
              </w:rPr>
              <w:t xml:space="preserve"> </w:t>
            </w:r>
            <w:r w:rsidR="001020CA">
              <w:rPr>
                <w:b/>
                <w:bCs/>
                <w:sz w:val="18"/>
                <w:szCs w:val="18"/>
              </w:rPr>
              <w:t>practice</w:t>
            </w:r>
            <w:r w:rsidRPr="4FEF2642">
              <w:rPr>
                <w:b/>
                <w:bCs/>
                <w:sz w:val="18"/>
                <w:szCs w:val="18"/>
              </w:rPr>
              <w:t>’</w:t>
            </w:r>
            <w:r w:rsidRPr="4FEF2642">
              <w:rPr>
                <w:sz w:val="18"/>
                <w:szCs w:val="18"/>
              </w:rPr>
              <w:t xml:space="preserve"> means the societies and venues share the vision of strong communities and demonstrate practice above and beyond the legislation across the three regulatory system components: trusted and transparent, community benefit, and harm minimisation; and</w:t>
            </w:r>
          </w:p>
          <w:p w14:paraId="147AF68D" w14:textId="77777777" w:rsidR="00126E00" w:rsidRPr="0027024C" w:rsidRDefault="4FEF2642" w:rsidP="00280116">
            <w:pPr>
              <w:pStyle w:val="Tablebullet"/>
              <w:rPr>
                <w:sz w:val="18"/>
                <w:szCs w:val="18"/>
              </w:rPr>
            </w:pPr>
            <w:r w:rsidRPr="4FEF2642">
              <w:rPr>
                <w:b/>
                <w:bCs/>
                <w:sz w:val="18"/>
                <w:szCs w:val="18"/>
              </w:rPr>
              <w:t>highly compliant</w:t>
            </w:r>
            <w:r w:rsidRPr="4FEF2642">
              <w:rPr>
                <w:sz w:val="18"/>
                <w:szCs w:val="18"/>
              </w:rPr>
              <w:t xml:space="preserve"> means the society and its venues achieves all the legislative requirements (minimum standard) consistently well and proactively work with the Department to address issues as they arise.</w:t>
            </w:r>
          </w:p>
        </w:tc>
      </w:tr>
      <w:tr w:rsidR="00126E00" w:rsidRPr="0027024C" w14:paraId="2EF93FAA" w14:textId="77777777" w:rsidTr="005714D1">
        <w:trPr>
          <w:cantSplit w:val="0"/>
          <w:trHeight w:val="4719"/>
        </w:trPr>
        <w:tc>
          <w:tcPr>
            <w:tcW w:w="1377" w:type="dxa"/>
          </w:tcPr>
          <w:p w14:paraId="652C2B01" w14:textId="77777777" w:rsidR="00126E00" w:rsidRPr="0027024C" w:rsidRDefault="4FEF2642" w:rsidP="00280116">
            <w:pPr>
              <w:rPr>
                <w:sz w:val="18"/>
                <w:szCs w:val="18"/>
              </w:rPr>
            </w:pPr>
            <w:r w:rsidRPr="4FEF2642">
              <w:rPr>
                <w:sz w:val="18"/>
                <w:szCs w:val="18"/>
              </w:rPr>
              <w:t xml:space="preserve">Scope </w:t>
            </w:r>
          </w:p>
        </w:tc>
        <w:tc>
          <w:tcPr>
            <w:tcW w:w="7538" w:type="dxa"/>
            <w:gridSpan w:val="2"/>
          </w:tcPr>
          <w:p w14:paraId="6A7AAC3D" w14:textId="77777777" w:rsidR="00126E00" w:rsidRPr="0027024C" w:rsidRDefault="4FEF2642" w:rsidP="00280116">
            <w:pPr>
              <w:rPr>
                <w:b/>
                <w:sz w:val="18"/>
                <w:szCs w:val="18"/>
              </w:rPr>
            </w:pPr>
            <w:r w:rsidRPr="4FEF2642">
              <w:rPr>
                <w:b/>
                <w:bCs/>
                <w:sz w:val="18"/>
                <w:szCs w:val="18"/>
              </w:rPr>
              <w:t>In-scope</w:t>
            </w:r>
          </w:p>
          <w:p w14:paraId="7F2E890E" w14:textId="77777777" w:rsidR="00126E00" w:rsidRPr="0027024C" w:rsidRDefault="4FEF2642" w:rsidP="00126E00">
            <w:pPr>
              <w:pStyle w:val="ListParagraph"/>
              <w:numPr>
                <w:ilvl w:val="0"/>
                <w:numId w:val="51"/>
              </w:numPr>
              <w:spacing w:before="56" w:after="32"/>
              <w:rPr>
                <w:sz w:val="18"/>
                <w:szCs w:val="18"/>
              </w:rPr>
            </w:pPr>
            <w:r w:rsidRPr="4FEF2642">
              <w:rPr>
                <w:sz w:val="18"/>
                <w:szCs w:val="18"/>
              </w:rPr>
              <w:t>Provide technical advice to the Department on:</w:t>
            </w:r>
          </w:p>
          <w:p w14:paraId="374CE9AE" w14:textId="77777777" w:rsidR="00126E00" w:rsidRPr="0027024C" w:rsidRDefault="4FEF2642" w:rsidP="00126E00">
            <w:pPr>
              <w:pStyle w:val="ListParagraph"/>
              <w:numPr>
                <w:ilvl w:val="1"/>
                <w:numId w:val="51"/>
              </w:numPr>
              <w:spacing w:before="56" w:after="32"/>
              <w:rPr>
                <w:sz w:val="18"/>
                <w:szCs w:val="18"/>
              </w:rPr>
            </w:pPr>
            <w:r w:rsidRPr="4FEF2642">
              <w:rPr>
                <w:sz w:val="18"/>
                <w:szCs w:val="18"/>
              </w:rPr>
              <w:t>technical feasibility;</w:t>
            </w:r>
          </w:p>
          <w:p w14:paraId="1CAD7AF9" w14:textId="77777777" w:rsidR="00126E00" w:rsidRPr="0027024C" w:rsidRDefault="4FEF2642" w:rsidP="00126E00">
            <w:pPr>
              <w:pStyle w:val="ListParagraph"/>
              <w:numPr>
                <w:ilvl w:val="1"/>
                <w:numId w:val="51"/>
              </w:numPr>
              <w:spacing w:before="56" w:after="32"/>
              <w:rPr>
                <w:sz w:val="18"/>
                <w:szCs w:val="18"/>
              </w:rPr>
            </w:pPr>
            <w:r w:rsidRPr="4FEF2642">
              <w:rPr>
                <w:sz w:val="18"/>
                <w:szCs w:val="18"/>
              </w:rPr>
              <w:t>implementation implications;</w:t>
            </w:r>
          </w:p>
          <w:p w14:paraId="4653763A" w14:textId="77777777" w:rsidR="00126E00" w:rsidRPr="0027024C" w:rsidRDefault="4FEF2642" w:rsidP="00126E00">
            <w:pPr>
              <w:pStyle w:val="ListParagraph"/>
              <w:numPr>
                <w:ilvl w:val="1"/>
                <w:numId w:val="51"/>
              </w:numPr>
              <w:spacing w:before="56" w:after="32"/>
              <w:rPr>
                <w:sz w:val="18"/>
                <w:szCs w:val="18"/>
              </w:rPr>
            </w:pPr>
            <w:r w:rsidRPr="4FEF2642">
              <w:rPr>
                <w:sz w:val="18"/>
                <w:szCs w:val="18"/>
              </w:rPr>
              <w:t xml:space="preserve">practicality; </w:t>
            </w:r>
          </w:p>
          <w:p w14:paraId="0AEB6BC3" w14:textId="77777777" w:rsidR="00126E00" w:rsidRPr="0027024C" w:rsidRDefault="4FEF2642" w:rsidP="00126E00">
            <w:pPr>
              <w:pStyle w:val="ListParagraph"/>
              <w:numPr>
                <w:ilvl w:val="1"/>
                <w:numId w:val="51"/>
              </w:numPr>
              <w:spacing w:before="56" w:after="32"/>
              <w:rPr>
                <w:sz w:val="18"/>
                <w:szCs w:val="18"/>
              </w:rPr>
            </w:pPr>
            <w:r w:rsidRPr="4FEF2642">
              <w:rPr>
                <w:sz w:val="18"/>
                <w:szCs w:val="18"/>
              </w:rPr>
              <w:t>total up-front and ongoing cost to the sector including sector IT and compliance costs, and</w:t>
            </w:r>
          </w:p>
          <w:p w14:paraId="0491BF68" w14:textId="3E06A542" w:rsidR="00126E00" w:rsidRPr="0027024C" w:rsidRDefault="4FEF2642" w:rsidP="00126E00">
            <w:pPr>
              <w:pStyle w:val="ListParagraph"/>
              <w:numPr>
                <w:ilvl w:val="1"/>
                <w:numId w:val="51"/>
              </w:numPr>
              <w:spacing w:before="56" w:after="32"/>
              <w:rPr>
                <w:sz w:val="18"/>
                <w:szCs w:val="18"/>
              </w:rPr>
            </w:pPr>
            <w:r w:rsidRPr="4FEF2642">
              <w:rPr>
                <w:sz w:val="18"/>
                <w:szCs w:val="18"/>
              </w:rPr>
              <w:t xml:space="preserve">overall impact of the </w:t>
            </w:r>
            <w:r w:rsidR="00CF66AF">
              <w:rPr>
                <w:sz w:val="18"/>
                <w:szCs w:val="18"/>
              </w:rPr>
              <w:t>best</w:t>
            </w:r>
            <w:r w:rsidRPr="4FEF2642">
              <w:rPr>
                <w:sz w:val="18"/>
                <w:szCs w:val="18"/>
              </w:rPr>
              <w:t xml:space="preserve"> </w:t>
            </w:r>
            <w:r w:rsidR="001020CA">
              <w:rPr>
                <w:sz w:val="18"/>
                <w:szCs w:val="18"/>
              </w:rPr>
              <w:t>practice</w:t>
            </w:r>
            <w:r w:rsidRPr="4FEF2642">
              <w:rPr>
                <w:sz w:val="18"/>
                <w:szCs w:val="18"/>
              </w:rPr>
              <w:t xml:space="preserve"> expectations and design options on the Class 4 Sector including value to societies, venues, and clubs.</w:t>
            </w:r>
          </w:p>
          <w:p w14:paraId="6668A8A9" w14:textId="05D65883" w:rsidR="00126E00" w:rsidRPr="0027024C" w:rsidRDefault="4FEF2642" w:rsidP="00126E00">
            <w:pPr>
              <w:pStyle w:val="ListParagraph"/>
              <w:numPr>
                <w:ilvl w:val="0"/>
                <w:numId w:val="51"/>
              </w:numPr>
              <w:spacing w:before="56" w:after="32"/>
              <w:rPr>
                <w:sz w:val="18"/>
                <w:szCs w:val="18"/>
              </w:rPr>
            </w:pPr>
            <w:r w:rsidRPr="4FEF2642">
              <w:rPr>
                <w:sz w:val="18"/>
                <w:szCs w:val="18"/>
              </w:rPr>
              <w:t xml:space="preserve">Advice is limited to the Department’s proposed </w:t>
            </w:r>
            <w:r w:rsidR="00CF66AF">
              <w:rPr>
                <w:sz w:val="18"/>
                <w:szCs w:val="18"/>
              </w:rPr>
              <w:t>best</w:t>
            </w:r>
            <w:r w:rsidRPr="4FEF2642">
              <w:rPr>
                <w:sz w:val="18"/>
                <w:szCs w:val="18"/>
              </w:rPr>
              <w:t xml:space="preserve"> </w:t>
            </w:r>
            <w:r w:rsidR="001020CA">
              <w:rPr>
                <w:sz w:val="18"/>
                <w:szCs w:val="18"/>
              </w:rPr>
              <w:t>practice</w:t>
            </w:r>
            <w:r w:rsidRPr="4FEF2642">
              <w:rPr>
                <w:sz w:val="18"/>
                <w:szCs w:val="18"/>
              </w:rPr>
              <w:t xml:space="preserve"> expectations and three option designs for the proposed three year licence system;</w:t>
            </w:r>
          </w:p>
          <w:p w14:paraId="581B37DB" w14:textId="77777777" w:rsidR="00126E00" w:rsidRPr="0027024C" w:rsidRDefault="4FEF2642" w:rsidP="00280116">
            <w:pPr>
              <w:keepNext/>
              <w:rPr>
                <w:b/>
                <w:sz w:val="18"/>
                <w:szCs w:val="18"/>
              </w:rPr>
            </w:pPr>
            <w:r w:rsidRPr="4FEF2642">
              <w:rPr>
                <w:b/>
                <w:bCs/>
                <w:sz w:val="18"/>
                <w:szCs w:val="18"/>
              </w:rPr>
              <w:t>Out of scope:</w:t>
            </w:r>
          </w:p>
          <w:p w14:paraId="273AABF2" w14:textId="77777777" w:rsidR="00126E00" w:rsidRPr="0027024C" w:rsidRDefault="4FEF2642" w:rsidP="00126E00">
            <w:pPr>
              <w:pStyle w:val="ListParagraph"/>
              <w:numPr>
                <w:ilvl w:val="0"/>
                <w:numId w:val="50"/>
              </w:numPr>
              <w:spacing w:before="56" w:after="32"/>
              <w:rPr>
                <w:sz w:val="18"/>
                <w:szCs w:val="18"/>
              </w:rPr>
            </w:pPr>
            <w:r w:rsidRPr="4FEF2642">
              <w:rPr>
                <w:sz w:val="18"/>
                <w:szCs w:val="18"/>
              </w:rPr>
              <w:t>formal advice from or consultation with the Class 4 Working Party;</w:t>
            </w:r>
          </w:p>
          <w:p w14:paraId="10E31F29" w14:textId="77777777" w:rsidR="00126E00" w:rsidRPr="0027024C" w:rsidRDefault="4FEF2642" w:rsidP="00126E00">
            <w:pPr>
              <w:pStyle w:val="ListParagraph"/>
              <w:numPr>
                <w:ilvl w:val="0"/>
                <w:numId w:val="50"/>
              </w:numPr>
              <w:spacing w:before="56" w:after="32"/>
              <w:rPr>
                <w:sz w:val="18"/>
                <w:szCs w:val="18"/>
              </w:rPr>
            </w:pPr>
            <w:r w:rsidRPr="4FEF2642">
              <w:rPr>
                <w:sz w:val="18"/>
                <w:szCs w:val="18"/>
              </w:rPr>
              <w:t>the public consultation and consultation with the Sector – the technical reference group is not a consultative or decision making body. The Department intends to undertake public consultation early in 2017 and continue its engagement with the sector;</w:t>
            </w:r>
          </w:p>
          <w:p w14:paraId="742F1CDE" w14:textId="77777777" w:rsidR="00126E00" w:rsidRPr="0027024C" w:rsidRDefault="4FEF2642" w:rsidP="00126E00">
            <w:pPr>
              <w:pStyle w:val="ListParagraph"/>
              <w:numPr>
                <w:ilvl w:val="0"/>
                <w:numId w:val="50"/>
              </w:numPr>
              <w:spacing w:before="56" w:after="32"/>
              <w:rPr>
                <w:sz w:val="18"/>
                <w:szCs w:val="18"/>
              </w:rPr>
            </w:pPr>
            <w:r w:rsidRPr="4FEF2642">
              <w:rPr>
                <w:sz w:val="18"/>
                <w:szCs w:val="18"/>
              </w:rPr>
              <w:t>the Department’s past or current compliance decisions;</w:t>
            </w:r>
          </w:p>
          <w:p w14:paraId="4E735A99" w14:textId="77777777" w:rsidR="00126E00" w:rsidRPr="0027024C" w:rsidRDefault="4FEF2642" w:rsidP="00126E00">
            <w:pPr>
              <w:pStyle w:val="ListParagraph"/>
              <w:numPr>
                <w:ilvl w:val="0"/>
                <w:numId w:val="50"/>
              </w:numPr>
              <w:spacing w:before="56" w:after="32"/>
              <w:rPr>
                <w:sz w:val="18"/>
                <w:szCs w:val="18"/>
              </w:rPr>
            </w:pPr>
            <w:r w:rsidRPr="4FEF2642">
              <w:rPr>
                <w:sz w:val="18"/>
                <w:szCs w:val="18"/>
              </w:rPr>
              <w:t>the regular 3-4 year fees review for the C4 Sector;</w:t>
            </w:r>
          </w:p>
          <w:p w14:paraId="3A677347" w14:textId="5D774099" w:rsidR="00126E00" w:rsidRPr="0027024C" w:rsidRDefault="4FEF2642" w:rsidP="00126E00">
            <w:pPr>
              <w:pStyle w:val="ListParagraph"/>
              <w:numPr>
                <w:ilvl w:val="0"/>
                <w:numId w:val="50"/>
              </w:numPr>
              <w:spacing w:before="56" w:after="32"/>
              <w:rPr>
                <w:sz w:val="18"/>
                <w:szCs w:val="18"/>
              </w:rPr>
            </w:pPr>
            <w:r w:rsidRPr="4FEF2642">
              <w:rPr>
                <w:sz w:val="18"/>
                <w:szCs w:val="18"/>
              </w:rPr>
              <w:t>the Department’s implementation of the 3-year licence system and general operating practice;</w:t>
            </w:r>
          </w:p>
          <w:p w14:paraId="2DBE4083" w14:textId="75E6109E" w:rsidR="00126E00" w:rsidRPr="0027024C" w:rsidRDefault="4FEF2642" w:rsidP="00126E00">
            <w:pPr>
              <w:pStyle w:val="ListParagraph"/>
              <w:numPr>
                <w:ilvl w:val="0"/>
                <w:numId w:val="50"/>
              </w:numPr>
              <w:spacing w:before="56" w:after="32"/>
              <w:rPr>
                <w:sz w:val="18"/>
                <w:szCs w:val="18"/>
              </w:rPr>
            </w:pPr>
            <w:r w:rsidRPr="4FEF2642">
              <w:rPr>
                <w:sz w:val="18"/>
                <w:szCs w:val="18"/>
              </w:rPr>
              <w:t>the Department’s finance processes required in terms of how the licences are charged;</w:t>
            </w:r>
          </w:p>
          <w:p w14:paraId="76BDB3A2" w14:textId="77777777" w:rsidR="00126E00" w:rsidRPr="0027024C" w:rsidRDefault="4FEF2642" w:rsidP="00126E00">
            <w:pPr>
              <w:pStyle w:val="ListParagraph"/>
              <w:numPr>
                <w:ilvl w:val="0"/>
                <w:numId w:val="50"/>
              </w:numPr>
              <w:spacing w:before="56" w:after="32"/>
              <w:rPr>
                <w:sz w:val="18"/>
                <w:szCs w:val="18"/>
              </w:rPr>
            </w:pPr>
            <w:r w:rsidRPr="4FEF2642">
              <w:rPr>
                <w:sz w:val="18"/>
                <w:szCs w:val="18"/>
              </w:rPr>
              <w:t>changes to the Department’s IT systems;</w:t>
            </w:r>
          </w:p>
          <w:p w14:paraId="66A14A15" w14:textId="2C454940" w:rsidR="00126E00" w:rsidRPr="0027024C" w:rsidRDefault="4FEF2642" w:rsidP="00126E00">
            <w:pPr>
              <w:pStyle w:val="ListParagraph"/>
              <w:numPr>
                <w:ilvl w:val="0"/>
                <w:numId w:val="50"/>
              </w:numPr>
              <w:spacing w:before="56" w:after="32"/>
              <w:rPr>
                <w:sz w:val="18"/>
                <w:szCs w:val="18"/>
              </w:rPr>
            </w:pPr>
            <w:r w:rsidRPr="4FEF2642">
              <w:rPr>
                <w:sz w:val="18"/>
                <w:szCs w:val="18"/>
              </w:rPr>
              <w:t>licence decisions and regular monitoring of the 3-year licence standards; and</w:t>
            </w:r>
          </w:p>
          <w:p w14:paraId="54A3E79C" w14:textId="2454BB0C" w:rsidR="00126E00" w:rsidRPr="0027024C" w:rsidRDefault="4FEF2642" w:rsidP="00126E00">
            <w:pPr>
              <w:pStyle w:val="ListParagraph"/>
              <w:numPr>
                <w:ilvl w:val="0"/>
                <w:numId w:val="50"/>
              </w:numPr>
              <w:spacing w:before="56" w:after="32"/>
              <w:rPr>
                <w:sz w:val="18"/>
                <w:szCs w:val="18"/>
              </w:rPr>
            </w:pPr>
            <w:r w:rsidRPr="4FEF2642">
              <w:rPr>
                <w:sz w:val="18"/>
                <w:szCs w:val="18"/>
              </w:rPr>
              <w:t>review of the 3-year licence system and whether it is achieving expected benefits.</w:t>
            </w:r>
          </w:p>
        </w:tc>
      </w:tr>
      <w:tr w:rsidR="00126E00" w:rsidRPr="0027024C" w14:paraId="745BA5EC" w14:textId="77777777" w:rsidTr="005714D1">
        <w:trPr>
          <w:cantSplit w:val="0"/>
          <w:trHeight w:val="227"/>
        </w:trPr>
        <w:tc>
          <w:tcPr>
            <w:tcW w:w="1377" w:type="dxa"/>
          </w:tcPr>
          <w:p w14:paraId="2B0C1721" w14:textId="77777777" w:rsidR="00126E00" w:rsidRPr="0027024C" w:rsidRDefault="4FEF2642" w:rsidP="00280116">
            <w:pPr>
              <w:rPr>
                <w:b/>
                <w:sz w:val="18"/>
                <w:szCs w:val="18"/>
              </w:rPr>
            </w:pPr>
            <w:r w:rsidRPr="4FEF2642">
              <w:rPr>
                <w:b/>
                <w:bCs/>
                <w:sz w:val="18"/>
                <w:szCs w:val="18"/>
              </w:rPr>
              <w:t>Milestones</w:t>
            </w:r>
          </w:p>
        </w:tc>
        <w:tc>
          <w:tcPr>
            <w:tcW w:w="7538" w:type="dxa"/>
            <w:gridSpan w:val="2"/>
          </w:tcPr>
          <w:p w14:paraId="09E01393" w14:textId="77777777" w:rsidR="00126E00" w:rsidRPr="0027024C" w:rsidRDefault="00126E00" w:rsidP="00280116">
            <w:pPr>
              <w:rPr>
                <w:sz w:val="18"/>
                <w:szCs w:val="18"/>
              </w:rPr>
            </w:pPr>
          </w:p>
        </w:tc>
      </w:tr>
      <w:tr w:rsidR="00126E00" w:rsidRPr="0027024C" w14:paraId="68D6D95E" w14:textId="77777777" w:rsidTr="005714D1">
        <w:trPr>
          <w:cantSplit w:val="0"/>
          <w:trHeight w:val="826"/>
        </w:trPr>
        <w:tc>
          <w:tcPr>
            <w:tcW w:w="1377" w:type="dxa"/>
          </w:tcPr>
          <w:p w14:paraId="7AF93F6C" w14:textId="77777777" w:rsidR="00126E00" w:rsidRPr="0027024C" w:rsidRDefault="4FEF2642" w:rsidP="00280116">
            <w:pPr>
              <w:jc w:val="right"/>
              <w:rPr>
                <w:b/>
                <w:sz w:val="18"/>
                <w:szCs w:val="18"/>
              </w:rPr>
            </w:pPr>
            <w:r w:rsidRPr="4FEF2642">
              <w:rPr>
                <w:b/>
                <w:bCs/>
                <w:sz w:val="18"/>
                <w:szCs w:val="18"/>
              </w:rPr>
              <w:t>20 January</w:t>
            </w:r>
          </w:p>
        </w:tc>
        <w:tc>
          <w:tcPr>
            <w:tcW w:w="7538" w:type="dxa"/>
            <w:gridSpan w:val="2"/>
          </w:tcPr>
          <w:p w14:paraId="470319A1" w14:textId="77777777" w:rsidR="00126E00" w:rsidRPr="0027024C" w:rsidRDefault="4FEF2642" w:rsidP="00280116">
            <w:pPr>
              <w:rPr>
                <w:sz w:val="18"/>
                <w:szCs w:val="18"/>
              </w:rPr>
            </w:pPr>
            <w:r w:rsidRPr="4FEF2642">
              <w:rPr>
                <w:b/>
                <w:bCs/>
                <w:sz w:val="18"/>
                <w:szCs w:val="18"/>
              </w:rPr>
              <w:t>Meeting 1:</w:t>
            </w:r>
            <w:r w:rsidRPr="4FEF2642">
              <w:rPr>
                <w:sz w:val="18"/>
                <w:szCs w:val="18"/>
              </w:rPr>
              <w:t xml:space="preserve"> </w:t>
            </w:r>
          </w:p>
          <w:p w14:paraId="5CFB1804" w14:textId="77777777" w:rsidR="00126E00" w:rsidRPr="0027024C" w:rsidRDefault="4FEF2642" w:rsidP="00280116">
            <w:pPr>
              <w:pStyle w:val="Tablebullet"/>
              <w:rPr>
                <w:sz w:val="18"/>
                <w:szCs w:val="18"/>
              </w:rPr>
            </w:pPr>
            <w:r w:rsidRPr="4FEF2642">
              <w:rPr>
                <w:sz w:val="18"/>
                <w:szCs w:val="18"/>
              </w:rPr>
              <w:t xml:space="preserve">Technical Reference Group is set up </w:t>
            </w:r>
          </w:p>
          <w:p w14:paraId="27D54C30" w14:textId="77777777" w:rsidR="00126E00" w:rsidRPr="0027024C" w:rsidRDefault="4FEF2642" w:rsidP="00280116">
            <w:pPr>
              <w:pStyle w:val="Tablebullet"/>
              <w:rPr>
                <w:sz w:val="18"/>
                <w:szCs w:val="18"/>
              </w:rPr>
            </w:pPr>
            <w:r w:rsidRPr="4FEF2642">
              <w:rPr>
                <w:sz w:val="18"/>
                <w:szCs w:val="18"/>
              </w:rPr>
              <w:t>agreement reached on how we will work together and the terms of reference for the Technical Reference Group</w:t>
            </w:r>
          </w:p>
          <w:p w14:paraId="3CD89525" w14:textId="77777777" w:rsidR="00126E00" w:rsidRPr="0027024C" w:rsidRDefault="4FEF2642" w:rsidP="00280116">
            <w:pPr>
              <w:pStyle w:val="Tablebullet"/>
              <w:rPr>
                <w:sz w:val="18"/>
                <w:szCs w:val="18"/>
              </w:rPr>
            </w:pPr>
            <w:r w:rsidRPr="4FEF2642">
              <w:rPr>
                <w:sz w:val="18"/>
                <w:szCs w:val="18"/>
              </w:rPr>
              <w:lastRenderedPageBreak/>
              <w:t>next steps for the project are discussed – aiming for public consultation in March</w:t>
            </w:r>
          </w:p>
          <w:p w14:paraId="5BDE7FC3" w14:textId="77777777" w:rsidR="00126E00" w:rsidRPr="0027024C" w:rsidRDefault="4FEF2642" w:rsidP="00280116">
            <w:pPr>
              <w:pStyle w:val="Tablebullet"/>
              <w:rPr>
                <w:sz w:val="18"/>
                <w:szCs w:val="18"/>
              </w:rPr>
            </w:pPr>
            <w:r w:rsidRPr="4FEF2642">
              <w:rPr>
                <w:sz w:val="18"/>
                <w:szCs w:val="18"/>
              </w:rPr>
              <w:t>all material, meeting minutes and actions from the Technical Reference Group will be made transparent to the sector at that time</w:t>
            </w:r>
          </w:p>
          <w:p w14:paraId="01D83515" w14:textId="3CBE0D39" w:rsidR="00126E00" w:rsidRPr="0027024C" w:rsidRDefault="4FEF2642" w:rsidP="00280116">
            <w:pPr>
              <w:pStyle w:val="Tablebullet"/>
              <w:rPr>
                <w:sz w:val="18"/>
                <w:szCs w:val="18"/>
              </w:rPr>
            </w:pPr>
            <w:r w:rsidRPr="4FEF2642">
              <w:rPr>
                <w:sz w:val="18"/>
                <w:szCs w:val="18"/>
              </w:rPr>
              <w:t xml:space="preserve">the Department’s </w:t>
            </w:r>
            <w:r w:rsidR="00CF66AF">
              <w:rPr>
                <w:sz w:val="18"/>
                <w:szCs w:val="18"/>
              </w:rPr>
              <w:t>best</w:t>
            </w:r>
            <w:r w:rsidRPr="4FEF2642">
              <w:rPr>
                <w:sz w:val="18"/>
                <w:szCs w:val="18"/>
              </w:rPr>
              <w:t xml:space="preserve"> </w:t>
            </w:r>
            <w:r w:rsidR="001020CA">
              <w:rPr>
                <w:sz w:val="18"/>
                <w:szCs w:val="18"/>
              </w:rPr>
              <w:t>practice</w:t>
            </w:r>
            <w:r w:rsidRPr="4FEF2642">
              <w:rPr>
                <w:sz w:val="18"/>
                <w:szCs w:val="18"/>
              </w:rPr>
              <w:t xml:space="preserve"> expectations explained</w:t>
            </w:r>
          </w:p>
          <w:p w14:paraId="5E7926EA" w14:textId="77777777" w:rsidR="00126E00" w:rsidRPr="0027024C" w:rsidRDefault="4FEF2642" w:rsidP="00280116">
            <w:pPr>
              <w:pStyle w:val="Tablebullet"/>
              <w:rPr>
                <w:sz w:val="18"/>
                <w:szCs w:val="18"/>
              </w:rPr>
            </w:pPr>
            <w:r w:rsidRPr="4FEF2642">
              <w:rPr>
                <w:sz w:val="18"/>
                <w:szCs w:val="18"/>
              </w:rPr>
              <w:t>technical implications are advised</w:t>
            </w:r>
          </w:p>
        </w:tc>
      </w:tr>
      <w:tr w:rsidR="00126E00" w:rsidRPr="0027024C" w14:paraId="08A22594" w14:textId="77777777" w:rsidTr="005714D1">
        <w:trPr>
          <w:cantSplit w:val="0"/>
          <w:trHeight w:val="109"/>
        </w:trPr>
        <w:tc>
          <w:tcPr>
            <w:tcW w:w="1377" w:type="dxa"/>
          </w:tcPr>
          <w:p w14:paraId="155DCD62" w14:textId="77777777" w:rsidR="00126E00" w:rsidRPr="0027024C" w:rsidRDefault="4FEF2642" w:rsidP="00280116">
            <w:pPr>
              <w:jc w:val="right"/>
              <w:rPr>
                <w:b/>
                <w:sz w:val="18"/>
                <w:szCs w:val="18"/>
              </w:rPr>
            </w:pPr>
            <w:r w:rsidRPr="4FEF2642">
              <w:rPr>
                <w:b/>
                <w:bCs/>
                <w:sz w:val="18"/>
                <w:szCs w:val="18"/>
              </w:rPr>
              <w:lastRenderedPageBreak/>
              <w:t>31 January</w:t>
            </w:r>
          </w:p>
        </w:tc>
        <w:tc>
          <w:tcPr>
            <w:tcW w:w="7538" w:type="dxa"/>
            <w:gridSpan w:val="2"/>
          </w:tcPr>
          <w:p w14:paraId="4A9CE119" w14:textId="77777777" w:rsidR="00126E00" w:rsidRPr="0027024C" w:rsidRDefault="4FEF2642" w:rsidP="00280116">
            <w:pPr>
              <w:rPr>
                <w:b/>
                <w:sz w:val="18"/>
                <w:szCs w:val="18"/>
              </w:rPr>
            </w:pPr>
            <w:r w:rsidRPr="4FEF2642">
              <w:rPr>
                <w:b/>
                <w:bCs/>
                <w:sz w:val="18"/>
                <w:szCs w:val="18"/>
              </w:rPr>
              <w:t xml:space="preserve">Meeting 2: </w:t>
            </w:r>
          </w:p>
          <w:p w14:paraId="7F745445" w14:textId="501AD1DA" w:rsidR="00126E00" w:rsidRPr="0027024C" w:rsidRDefault="4FEF2642" w:rsidP="00280116">
            <w:pPr>
              <w:pStyle w:val="Tablebullet"/>
              <w:rPr>
                <w:sz w:val="18"/>
                <w:szCs w:val="18"/>
              </w:rPr>
            </w:pPr>
            <w:r w:rsidRPr="4FEF2642">
              <w:rPr>
                <w:sz w:val="18"/>
                <w:szCs w:val="18"/>
              </w:rPr>
              <w:t xml:space="preserve">examples for the </w:t>
            </w:r>
            <w:r w:rsidR="00CF66AF">
              <w:rPr>
                <w:sz w:val="18"/>
                <w:szCs w:val="18"/>
              </w:rPr>
              <w:t>best</w:t>
            </w:r>
            <w:r w:rsidRPr="4FEF2642">
              <w:rPr>
                <w:sz w:val="18"/>
                <w:szCs w:val="18"/>
              </w:rPr>
              <w:t xml:space="preserve"> </w:t>
            </w:r>
            <w:r w:rsidR="001020CA">
              <w:rPr>
                <w:sz w:val="18"/>
                <w:szCs w:val="18"/>
              </w:rPr>
              <w:t>practice</w:t>
            </w:r>
            <w:r w:rsidRPr="4FEF2642">
              <w:rPr>
                <w:sz w:val="18"/>
                <w:szCs w:val="18"/>
              </w:rPr>
              <w:t xml:space="preserve"> expectations are considered</w:t>
            </w:r>
          </w:p>
          <w:p w14:paraId="2CD1D341" w14:textId="77777777" w:rsidR="00126E00" w:rsidRPr="0027024C" w:rsidRDefault="4FEF2642" w:rsidP="00280116">
            <w:pPr>
              <w:pStyle w:val="Tablebullet"/>
              <w:rPr>
                <w:sz w:val="18"/>
                <w:szCs w:val="18"/>
              </w:rPr>
            </w:pPr>
            <w:r w:rsidRPr="4FEF2642">
              <w:rPr>
                <w:sz w:val="18"/>
                <w:szCs w:val="18"/>
              </w:rPr>
              <w:t>technical implications of examples are advised</w:t>
            </w:r>
          </w:p>
        </w:tc>
      </w:tr>
      <w:tr w:rsidR="00126E00" w:rsidRPr="0027024C" w14:paraId="19C42E4C" w14:textId="77777777" w:rsidTr="005714D1">
        <w:trPr>
          <w:cantSplit w:val="0"/>
          <w:trHeight w:val="109"/>
        </w:trPr>
        <w:tc>
          <w:tcPr>
            <w:tcW w:w="1377" w:type="dxa"/>
          </w:tcPr>
          <w:p w14:paraId="4F8864BF" w14:textId="77777777" w:rsidR="00126E00" w:rsidRPr="0027024C" w:rsidRDefault="4FEF2642" w:rsidP="00280116">
            <w:pPr>
              <w:jc w:val="right"/>
              <w:rPr>
                <w:b/>
                <w:sz w:val="18"/>
                <w:szCs w:val="18"/>
              </w:rPr>
            </w:pPr>
            <w:r w:rsidRPr="4FEF2642">
              <w:rPr>
                <w:b/>
                <w:bCs/>
                <w:sz w:val="18"/>
                <w:szCs w:val="18"/>
              </w:rPr>
              <w:t>13 February</w:t>
            </w:r>
          </w:p>
        </w:tc>
        <w:tc>
          <w:tcPr>
            <w:tcW w:w="7538" w:type="dxa"/>
            <w:gridSpan w:val="2"/>
          </w:tcPr>
          <w:p w14:paraId="3E8DE641" w14:textId="77777777" w:rsidR="00126E00" w:rsidRPr="0027024C" w:rsidRDefault="4FEF2642" w:rsidP="00280116">
            <w:pPr>
              <w:rPr>
                <w:b/>
                <w:sz w:val="18"/>
                <w:szCs w:val="18"/>
              </w:rPr>
            </w:pPr>
            <w:r w:rsidRPr="4FEF2642">
              <w:rPr>
                <w:b/>
                <w:bCs/>
                <w:sz w:val="18"/>
                <w:szCs w:val="18"/>
              </w:rPr>
              <w:t>Meeting 3:</w:t>
            </w:r>
          </w:p>
          <w:p w14:paraId="64C7108C" w14:textId="77777777" w:rsidR="00126E00" w:rsidRPr="0027024C" w:rsidRDefault="4FEF2642" w:rsidP="00280116">
            <w:pPr>
              <w:pStyle w:val="Tablebullet"/>
              <w:rPr>
                <w:sz w:val="18"/>
                <w:szCs w:val="18"/>
              </w:rPr>
            </w:pPr>
            <w:r w:rsidRPr="4FEF2642">
              <w:rPr>
                <w:sz w:val="18"/>
                <w:szCs w:val="18"/>
              </w:rPr>
              <w:t>consideration of examples continued</w:t>
            </w:r>
          </w:p>
          <w:p w14:paraId="43D2A8E5" w14:textId="77777777" w:rsidR="00126E00" w:rsidRPr="0027024C" w:rsidRDefault="4FEF2642" w:rsidP="00280116">
            <w:pPr>
              <w:pStyle w:val="Tablebullet"/>
              <w:rPr>
                <w:sz w:val="18"/>
                <w:szCs w:val="18"/>
              </w:rPr>
            </w:pPr>
            <w:r w:rsidRPr="4FEF2642">
              <w:rPr>
                <w:sz w:val="18"/>
                <w:szCs w:val="18"/>
              </w:rPr>
              <w:t>technical implications of examples are advised</w:t>
            </w:r>
          </w:p>
          <w:p w14:paraId="03A63176" w14:textId="77777777" w:rsidR="00126E00" w:rsidRPr="0027024C" w:rsidRDefault="4FEF2642" w:rsidP="00280116">
            <w:pPr>
              <w:pStyle w:val="Tablebullet"/>
              <w:rPr>
                <w:sz w:val="18"/>
                <w:szCs w:val="18"/>
              </w:rPr>
            </w:pPr>
            <w:r w:rsidRPr="4FEF2642">
              <w:rPr>
                <w:sz w:val="18"/>
                <w:szCs w:val="18"/>
              </w:rPr>
              <w:t>design options are presented</w:t>
            </w:r>
          </w:p>
        </w:tc>
      </w:tr>
      <w:tr w:rsidR="00126E00" w:rsidRPr="0027024C" w14:paraId="5AF8C0C8" w14:textId="77777777" w:rsidTr="005714D1">
        <w:trPr>
          <w:cantSplit w:val="0"/>
          <w:trHeight w:val="109"/>
        </w:trPr>
        <w:tc>
          <w:tcPr>
            <w:tcW w:w="1377" w:type="dxa"/>
          </w:tcPr>
          <w:p w14:paraId="1630D674" w14:textId="77777777" w:rsidR="00126E00" w:rsidRPr="0027024C" w:rsidRDefault="4FEF2642" w:rsidP="00280116">
            <w:pPr>
              <w:jc w:val="right"/>
              <w:rPr>
                <w:b/>
                <w:sz w:val="18"/>
                <w:szCs w:val="18"/>
              </w:rPr>
            </w:pPr>
            <w:r w:rsidRPr="4FEF2642">
              <w:rPr>
                <w:b/>
                <w:bCs/>
                <w:sz w:val="18"/>
                <w:szCs w:val="18"/>
              </w:rPr>
              <w:t>21 February</w:t>
            </w:r>
          </w:p>
        </w:tc>
        <w:tc>
          <w:tcPr>
            <w:tcW w:w="7538" w:type="dxa"/>
            <w:gridSpan w:val="2"/>
          </w:tcPr>
          <w:p w14:paraId="6A9FE67F" w14:textId="77777777" w:rsidR="00126E00" w:rsidRPr="0027024C" w:rsidRDefault="4FEF2642" w:rsidP="00280116">
            <w:pPr>
              <w:rPr>
                <w:b/>
                <w:sz w:val="18"/>
                <w:szCs w:val="18"/>
              </w:rPr>
            </w:pPr>
            <w:r w:rsidRPr="4FEF2642">
              <w:rPr>
                <w:b/>
                <w:bCs/>
                <w:sz w:val="18"/>
                <w:szCs w:val="18"/>
              </w:rPr>
              <w:t xml:space="preserve">Meeting 4: </w:t>
            </w:r>
          </w:p>
          <w:p w14:paraId="135A857C" w14:textId="77777777" w:rsidR="00126E00" w:rsidRPr="0027024C" w:rsidRDefault="4FEF2642" w:rsidP="00280116">
            <w:pPr>
              <w:pStyle w:val="Tablebullet"/>
              <w:rPr>
                <w:sz w:val="18"/>
                <w:szCs w:val="18"/>
              </w:rPr>
            </w:pPr>
            <w:r w:rsidRPr="4FEF2642">
              <w:rPr>
                <w:sz w:val="18"/>
                <w:szCs w:val="18"/>
              </w:rPr>
              <w:t>design options are considered for implementation implications and costs</w:t>
            </w:r>
          </w:p>
          <w:p w14:paraId="12BF9661" w14:textId="77777777" w:rsidR="00126E00" w:rsidRPr="0027024C" w:rsidRDefault="4FEF2642" w:rsidP="00280116">
            <w:pPr>
              <w:pStyle w:val="Tablebullet"/>
              <w:rPr>
                <w:sz w:val="18"/>
                <w:szCs w:val="18"/>
              </w:rPr>
            </w:pPr>
            <w:r w:rsidRPr="4FEF2642">
              <w:rPr>
                <w:sz w:val="18"/>
                <w:szCs w:val="18"/>
              </w:rPr>
              <w:t>technical implications are advised</w:t>
            </w:r>
          </w:p>
        </w:tc>
      </w:tr>
      <w:tr w:rsidR="00126E00" w:rsidRPr="0027024C" w14:paraId="7C6E8E0E" w14:textId="77777777" w:rsidTr="005714D1">
        <w:trPr>
          <w:cantSplit w:val="0"/>
          <w:trHeight w:val="109"/>
        </w:trPr>
        <w:tc>
          <w:tcPr>
            <w:tcW w:w="1377" w:type="dxa"/>
          </w:tcPr>
          <w:p w14:paraId="1408A5AE" w14:textId="77777777" w:rsidR="00126E00" w:rsidRPr="0027024C" w:rsidRDefault="4FEF2642" w:rsidP="00280116">
            <w:pPr>
              <w:rPr>
                <w:sz w:val="18"/>
                <w:szCs w:val="18"/>
              </w:rPr>
            </w:pPr>
            <w:r w:rsidRPr="4FEF2642">
              <w:rPr>
                <w:sz w:val="18"/>
                <w:szCs w:val="18"/>
              </w:rPr>
              <w:t>Deliverables</w:t>
            </w:r>
          </w:p>
        </w:tc>
        <w:tc>
          <w:tcPr>
            <w:tcW w:w="7538" w:type="dxa"/>
            <w:gridSpan w:val="2"/>
          </w:tcPr>
          <w:p w14:paraId="2AC8C2B4" w14:textId="77777777" w:rsidR="00126E00" w:rsidRPr="0027024C" w:rsidRDefault="4FEF2642" w:rsidP="00280116">
            <w:pPr>
              <w:pStyle w:val="Tablenormal0"/>
              <w:rPr>
                <w:sz w:val="18"/>
                <w:szCs w:val="18"/>
              </w:rPr>
            </w:pPr>
            <w:r w:rsidRPr="4FEF2642">
              <w:rPr>
                <w:sz w:val="18"/>
                <w:szCs w:val="18"/>
              </w:rPr>
              <w:t>The technical reference group will deliver:</w:t>
            </w:r>
          </w:p>
          <w:p w14:paraId="72E23998" w14:textId="5FA492ED" w:rsidR="00126E00" w:rsidRPr="0027024C" w:rsidRDefault="4FEF2642" w:rsidP="00126E00">
            <w:pPr>
              <w:pStyle w:val="ListParagraph"/>
              <w:numPr>
                <w:ilvl w:val="0"/>
                <w:numId w:val="49"/>
              </w:numPr>
              <w:spacing w:before="56" w:after="32"/>
              <w:rPr>
                <w:sz w:val="18"/>
                <w:szCs w:val="18"/>
              </w:rPr>
            </w:pPr>
            <w:r w:rsidRPr="4FEF2642">
              <w:rPr>
                <w:sz w:val="18"/>
                <w:szCs w:val="18"/>
              </w:rPr>
              <w:t xml:space="preserve">technical advice on the Department’s </w:t>
            </w:r>
            <w:r w:rsidR="00CF66AF">
              <w:rPr>
                <w:sz w:val="18"/>
                <w:szCs w:val="18"/>
              </w:rPr>
              <w:t>best</w:t>
            </w:r>
            <w:r w:rsidRPr="4FEF2642">
              <w:rPr>
                <w:sz w:val="18"/>
                <w:szCs w:val="18"/>
              </w:rPr>
              <w:t xml:space="preserve"> </w:t>
            </w:r>
            <w:r w:rsidR="001020CA">
              <w:rPr>
                <w:sz w:val="18"/>
                <w:szCs w:val="18"/>
              </w:rPr>
              <w:t>practice</w:t>
            </w:r>
            <w:r w:rsidRPr="4FEF2642">
              <w:rPr>
                <w:sz w:val="18"/>
                <w:szCs w:val="18"/>
              </w:rPr>
              <w:t xml:space="preserve"> expectations and design options.</w:t>
            </w:r>
          </w:p>
          <w:p w14:paraId="6BC883FD" w14:textId="77777777" w:rsidR="00126E00" w:rsidRPr="0027024C" w:rsidRDefault="4FEF2642" w:rsidP="00280116">
            <w:pPr>
              <w:pStyle w:val="Tablenormal0"/>
              <w:rPr>
                <w:sz w:val="18"/>
                <w:szCs w:val="18"/>
              </w:rPr>
            </w:pPr>
            <w:r w:rsidRPr="4FEF2642">
              <w:rPr>
                <w:sz w:val="18"/>
                <w:szCs w:val="18"/>
              </w:rPr>
              <w:t>The Department will deliver:</w:t>
            </w:r>
          </w:p>
          <w:p w14:paraId="067C5FD9" w14:textId="33CCE31B" w:rsidR="00126E00" w:rsidRPr="0027024C" w:rsidRDefault="4FEF2642" w:rsidP="00280116">
            <w:pPr>
              <w:pStyle w:val="Tablebullet"/>
              <w:rPr>
                <w:sz w:val="18"/>
                <w:szCs w:val="18"/>
              </w:rPr>
            </w:pPr>
            <w:r w:rsidRPr="4FEF2642">
              <w:rPr>
                <w:sz w:val="18"/>
                <w:szCs w:val="18"/>
              </w:rPr>
              <w:t xml:space="preserve">available material on the </w:t>
            </w:r>
            <w:r w:rsidR="00CF66AF">
              <w:rPr>
                <w:sz w:val="18"/>
                <w:szCs w:val="18"/>
              </w:rPr>
              <w:t>best</w:t>
            </w:r>
            <w:r w:rsidRPr="4FEF2642">
              <w:rPr>
                <w:sz w:val="18"/>
                <w:szCs w:val="18"/>
              </w:rPr>
              <w:t xml:space="preserve"> </w:t>
            </w:r>
            <w:r w:rsidR="001020CA">
              <w:rPr>
                <w:sz w:val="18"/>
                <w:szCs w:val="18"/>
              </w:rPr>
              <w:t>practice</w:t>
            </w:r>
            <w:r w:rsidRPr="4FEF2642">
              <w:rPr>
                <w:sz w:val="18"/>
                <w:szCs w:val="18"/>
              </w:rPr>
              <w:t xml:space="preserve"> expectations and design options;</w:t>
            </w:r>
          </w:p>
          <w:p w14:paraId="6C75C0B3" w14:textId="77777777" w:rsidR="00126E00" w:rsidRPr="0027024C" w:rsidRDefault="4FEF2642" w:rsidP="00280116">
            <w:pPr>
              <w:pStyle w:val="Tablebullet"/>
              <w:rPr>
                <w:sz w:val="18"/>
                <w:szCs w:val="18"/>
              </w:rPr>
            </w:pPr>
            <w:r w:rsidRPr="4FEF2642">
              <w:rPr>
                <w:sz w:val="18"/>
                <w:szCs w:val="18"/>
              </w:rPr>
              <w:t>an agreed record of the meetings for later release to the Sector/public</w:t>
            </w:r>
          </w:p>
        </w:tc>
      </w:tr>
      <w:tr w:rsidR="00126E00" w:rsidRPr="0027024C" w14:paraId="3A5CF4A2" w14:textId="77777777" w:rsidTr="005714D1">
        <w:trPr>
          <w:cantSplit w:val="0"/>
          <w:trHeight w:val="109"/>
        </w:trPr>
        <w:tc>
          <w:tcPr>
            <w:tcW w:w="1377" w:type="dxa"/>
          </w:tcPr>
          <w:p w14:paraId="384CB908" w14:textId="77777777" w:rsidR="00126E00" w:rsidRPr="0027024C" w:rsidRDefault="4FEF2642" w:rsidP="00280116">
            <w:pPr>
              <w:rPr>
                <w:sz w:val="18"/>
                <w:szCs w:val="18"/>
              </w:rPr>
            </w:pPr>
            <w:r w:rsidRPr="4FEF2642">
              <w:rPr>
                <w:sz w:val="18"/>
                <w:szCs w:val="18"/>
              </w:rPr>
              <w:t>Resources</w:t>
            </w:r>
          </w:p>
        </w:tc>
        <w:tc>
          <w:tcPr>
            <w:tcW w:w="7538" w:type="dxa"/>
            <w:gridSpan w:val="2"/>
          </w:tcPr>
          <w:p w14:paraId="72632AD1" w14:textId="77777777" w:rsidR="00126E00" w:rsidRPr="0027024C" w:rsidRDefault="4FEF2642" w:rsidP="00280116">
            <w:pPr>
              <w:pStyle w:val="Tablenormal0"/>
              <w:rPr>
                <w:sz w:val="18"/>
                <w:szCs w:val="18"/>
              </w:rPr>
            </w:pPr>
            <w:r w:rsidRPr="4FEF2642">
              <w:rPr>
                <w:sz w:val="18"/>
                <w:szCs w:val="18"/>
              </w:rPr>
              <w:t xml:space="preserve">Technical reference group members will fund their own travel to meetings. </w:t>
            </w:r>
          </w:p>
          <w:p w14:paraId="616E75A1" w14:textId="77777777" w:rsidR="00126E00" w:rsidRPr="0027024C" w:rsidRDefault="4FEF2642" w:rsidP="00280116">
            <w:pPr>
              <w:pStyle w:val="Tablenormal0"/>
              <w:rPr>
                <w:sz w:val="18"/>
                <w:szCs w:val="18"/>
              </w:rPr>
            </w:pPr>
            <w:r w:rsidRPr="4FEF2642">
              <w:rPr>
                <w:sz w:val="18"/>
                <w:szCs w:val="18"/>
              </w:rPr>
              <w:t>A nominated substitute can attend a meeting, if required, but the substitute must be briefed by the group member.</w:t>
            </w:r>
          </w:p>
          <w:p w14:paraId="65A39C4B" w14:textId="77777777" w:rsidR="00126E00" w:rsidRPr="0027024C" w:rsidRDefault="4FEF2642" w:rsidP="00280116">
            <w:pPr>
              <w:pStyle w:val="Tablenormal0"/>
              <w:rPr>
                <w:sz w:val="18"/>
                <w:szCs w:val="18"/>
              </w:rPr>
            </w:pPr>
            <w:r w:rsidRPr="4FEF2642">
              <w:rPr>
                <w:sz w:val="18"/>
                <w:szCs w:val="18"/>
              </w:rPr>
              <w:t>The Department will provide:</w:t>
            </w:r>
          </w:p>
          <w:p w14:paraId="50AFDE49" w14:textId="77777777" w:rsidR="00126E00" w:rsidRPr="0027024C" w:rsidRDefault="4FEF2642" w:rsidP="00280116">
            <w:pPr>
              <w:pStyle w:val="Tablebullet"/>
              <w:rPr>
                <w:sz w:val="18"/>
                <w:szCs w:val="18"/>
              </w:rPr>
            </w:pPr>
            <w:r w:rsidRPr="4FEF2642">
              <w:rPr>
                <w:sz w:val="18"/>
                <w:szCs w:val="18"/>
              </w:rPr>
              <w:t xml:space="preserve">the meeting venue; </w:t>
            </w:r>
          </w:p>
          <w:p w14:paraId="05EF65B9" w14:textId="77777777" w:rsidR="00126E00" w:rsidRPr="0027024C" w:rsidRDefault="4FEF2642" w:rsidP="00280116">
            <w:pPr>
              <w:pStyle w:val="Tablebullet"/>
              <w:rPr>
                <w:sz w:val="18"/>
                <w:szCs w:val="18"/>
              </w:rPr>
            </w:pPr>
            <w:r w:rsidRPr="4FEF2642">
              <w:rPr>
                <w:sz w:val="18"/>
                <w:szCs w:val="18"/>
              </w:rPr>
              <w:t>the secretariat function;</w:t>
            </w:r>
          </w:p>
          <w:p w14:paraId="4C1E1D75" w14:textId="77777777" w:rsidR="00126E00" w:rsidRPr="0027024C" w:rsidRDefault="4FEF2642" w:rsidP="00280116">
            <w:pPr>
              <w:pStyle w:val="Tablebullet"/>
              <w:rPr>
                <w:sz w:val="18"/>
                <w:szCs w:val="18"/>
              </w:rPr>
            </w:pPr>
            <w:r w:rsidRPr="4FEF2642">
              <w:rPr>
                <w:sz w:val="18"/>
                <w:szCs w:val="18"/>
              </w:rPr>
              <w:t>written material confidentially distributed ahead of each meeting for the purpose of improving the quality of the technical advice.</w:t>
            </w:r>
          </w:p>
        </w:tc>
      </w:tr>
      <w:tr w:rsidR="00126E00" w:rsidRPr="0027024C" w14:paraId="018EDDE0" w14:textId="77777777" w:rsidTr="005714D1">
        <w:trPr>
          <w:cantSplit w:val="0"/>
          <w:trHeight w:val="256"/>
        </w:trPr>
        <w:tc>
          <w:tcPr>
            <w:tcW w:w="1377" w:type="dxa"/>
            <w:vMerge w:val="restart"/>
          </w:tcPr>
          <w:p w14:paraId="1B21D09B" w14:textId="77777777" w:rsidR="00126E00" w:rsidRPr="0027024C" w:rsidRDefault="4FEF2642" w:rsidP="00280116">
            <w:pPr>
              <w:rPr>
                <w:sz w:val="18"/>
                <w:szCs w:val="18"/>
              </w:rPr>
            </w:pPr>
            <w:r w:rsidRPr="4FEF2642">
              <w:rPr>
                <w:sz w:val="18"/>
                <w:szCs w:val="18"/>
              </w:rPr>
              <w:t>Risks and mitigation</w:t>
            </w:r>
          </w:p>
          <w:p w14:paraId="7B4C9768" w14:textId="77777777" w:rsidR="00126E00" w:rsidRPr="0027024C" w:rsidRDefault="00126E00" w:rsidP="00280116">
            <w:pPr>
              <w:rPr>
                <w:sz w:val="18"/>
                <w:szCs w:val="18"/>
              </w:rPr>
            </w:pPr>
          </w:p>
        </w:tc>
        <w:tc>
          <w:tcPr>
            <w:tcW w:w="3442" w:type="dxa"/>
          </w:tcPr>
          <w:p w14:paraId="44596D76" w14:textId="77777777" w:rsidR="00126E00" w:rsidRPr="0027024C" w:rsidRDefault="4FEF2642" w:rsidP="00280116">
            <w:pPr>
              <w:pStyle w:val="Tablenormal0"/>
              <w:rPr>
                <w:b/>
                <w:sz w:val="18"/>
                <w:szCs w:val="18"/>
              </w:rPr>
            </w:pPr>
            <w:r w:rsidRPr="4FEF2642">
              <w:rPr>
                <w:b/>
                <w:bCs/>
                <w:sz w:val="18"/>
                <w:szCs w:val="18"/>
              </w:rPr>
              <w:t>Risk</w:t>
            </w:r>
          </w:p>
        </w:tc>
        <w:tc>
          <w:tcPr>
            <w:tcW w:w="4096" w:type="dxa"/>
          </w:tcPr>
          <w:p w14:paraId="35C92B4C" w14:textId="77777777" w:rsidR="00126E00" w:rsidRPr="0027024C" w:rsidRDefault="4FEF2642" w:rsidP="00280116">
            <w:pPr>
              <w:pStyle w:val="Tablebullet"/>
              <w:numPr>
                <w:ilvl w:val="0"/>
                <w:numId w:val="0"/>
              </w:numPr>
              <w:ind w:left="357" w:hanging="357"/>
              <w:rPr>
                <w:b/>
                <w:sz w:val="18"/>
                <w:szCs w:val="18"/>
              </w:rPr>
            </w:pPr>
            <w:r w:rsidRPr="4FEF2642">
              <w:rPr>
                <w:b/>
                <w:bCs/>
                <w:sz w:val="18"/>
                <w:szCs w:val="18"/>
              </w:rPr>
              <w:t>Mitigation</w:t>
            </w:r>
          </w:p>
        </w:tc>
      </w:tr>
      <w:tr w:rsidR="00126E00" w:rsidRPr="0027024C" w14:paraId="73A32911" w14:textId="77777777" w:rsidTr="005714D1">
        <w:trPr>
          <w:cantSplit w:val="0"/>
          <w:trHeight w:val="256"/>
        </w:trPr>
        <w:tc>
          <w:tcPr>
            <w:tcW w:w="1377" w:type="dxa"/>
            <w:vMerge/>
          </w:tcPr>
          <w:p w14:paraId="60E296FE" w14:textId="77777777" w:rsidR="00126E00" w:rsidRPr="0027024C" w:rsidRDefault="00126E00" w:rsidP="00280116">
            <w:pPr>
              <w:rPr>
                <w:sz w:val="18"/>
                <w:szCs w:val="18"/>
              </w:rPr>
            </w:pPr>
          </w:p>
        </w:tc>
        <w:tc>
          <w:tcPr>
            <w:tcW w:w="3442" w:type="dxa"/>
          </w:tcPr>
          <w:p w14:paraId="6FC76617" w14:textId="77777777" w:rsidR="00126E00" w:rsidRPr="0027024C" w:rsidRDefault="4FEF2642" w:rsidP="00280116">
            <w:pPr>
              <w:pStyle w:val="Tablenormal0"/>
              <w:rPr>
                <w:sz w:val="18"/>
                <w:szCs w:val="18"/>
              </w:rPr>
            </w:pPr>
            <w:r w:rsidRPr="4FEF2642">
              <w:rPr>
                <w:sz w:val="18"/>
                <w:szCs w:val="18"/>
              </w:rPr>
              <w:t>Working with a stakeholder technical reference group has some risks – it might be perceived as:</w:t>
            </w:r>
          </w:p>
          <w:p w14:paraId="4FA4612A" w14:textId="77777777" w:rsidR="00126E00" w:rsidRPr="0027024C" w:rsidRDefault="4FEF2642" w:rsidP="00280116">
            <w:pPr>
              <w:pStyle w:val="Tablebullet"/>
              <w:rPr>
                <w:sz w:val="18"/>
                <w:szCs w:val="18"/>
              </w:rPr>
            </w:pPr>
            <w:r w:rsidRPr="4FEF2642">
              <w:rPr>
                <w:sz w:val="18"/>
                <w:szCs w:val="18"/>
              </w:rPr>
              <w:t>targeted consultation;</w:t>
            </w:r>
          </w:p>
          <w:p w14:paraId="703055CE" w14:textId="77777777" w:rsidR="00126E00" w:rsidRPr="0027024C" w:rsidRDefault="4FEF2642" w:rsidP="00280116">
            <w:pPr>
              <w:pStyle w:val="Tablebullet"/>
              <w:rPr>
                <w:sz w:val="18"/>
                <w:szCs w:val="18"/>
              </w:rPr>
            </w:pPr>
            <w:r w:rsidRPr="4FEF2642">
              <w:rPr>
                <w:sz w:val="18"/>
                <w:szCs w:val="18"/>
              </w:rPr>
              <w:t>a decision making body; or</w:t>
            </w:r>
          </w:p>
          <w:p w14:paraId="0958BFF8" w14:textId="77777777" w:rsidR="00126E00" w:rsidRPr="0027024C" w:rsidRDefault="4FEF2642" w:rsidP="00280116">
            <w:pPr>
              <w:pStyle w:val="Tablebullet"/>
              <w:rPr>
                <w:sz w:val="18"/>
                <w:szCs w:val="18"/>
              </w:rPr>
            </w:pPr>
            <w:r w:rsidRPr="4FEF2642">
              <w:rPr>
                <w:sz w:val="18"/>
                <w:szCs w:val="18"/>
              </w:rPr>
              <w:t>giving those on the group an unfair advantage</w:t>
            </w:r>
          </w:p>
          <w:p w14:paraId="2CC9316F" w14:textId="77777777" w:rsidR="00126E00" w:rsidRPr="0027024C" w:rsidRDefault="4FEF2642" w:rsidP="00280116">
            <w:pPr>
              <w:pStyle w:val="Tablebullet"/>
              <w:rPr>
                <w:sz w:val="18"/>
                <w:szCs w:val="18"/>
              </w:rPr>
            </w:pPr>
            <w:r w:rsidRPr="4FEF2642">
              <w:rPr>
                <w:sz w:val="18"/>
                <w:szCs w:val="18"/>
              </w:rPr>
              <w:t>not being sufficiently representative of the sector</w:t>
            </w:r>
          </w:p>
        </w:tc>
        <w:tc>
          <w:tcPr>
            <w:tcW w:w="4096" w:type="dxa"/>
          </w:tcPr>
          <w:p w14:paraId="3D7A4CD6" w14:textId="77777777" w:rsidR="00126E00" w:rsidRPr="0027024C" w:rsidRDefault="4FEF2642" w:rsidP="00280116">
            <w:pPr>
              <w:pStyle w:val="Tablebullet"/>
              <w:rPr>
                <w:sz w:val="18"/>
                <w:szCs w:val="18"/>
              </w:rPr>
            </w:pPr>
            <w:r w:rsidRPr="4FEF2642">
              <w:rPr>
                <w:sz w:val="18"/>
                <w:szCs w:val="18"/>
              </w:rPr>
              <w:t>have clear terms of reference for the technical reference group that states their advice role;</w:t>
            </w:r>
          </w:p>
          <w:p w14:paraId="17E27B98" w14:textId="77777777" w:rsidR="00126E00" w:rsidRPr="0027024C" w:rsidRDefault="4FEF2642" w:rsidP="00280116">
            <w:pPr>
              <w:pStyle w:val="Tablebullet"/>
              <w:rPr>
                <w:sz w:val="18"/>
                <w:szCs w:val="18"/>
              </w:rPr>
            </w:pPr>
            <w:r w:rsidRPr="4FEF2642">
              <w:rPr>
                <w:sz w:val="18"/>
                <w:szCs w:val="18"/>
              </w:rPr>
              <w:t>release minutes and actions from meetings so that the advice provided and the role of the group is transparent;</w:t>
            </w:r>
          </w:p>
          <w:p w14:paraId="66AC457E" w14:textId="77777777" w:rsidR="00126E00" w:rsidRPr="0027024C" w:rsidRDefault="4FEF2642" w:rsidP="00280116">
            <w:pPr>
              <w:pStyle w:val="Tablebullet"/>
              <w:rPr>
                <w:sz w:val="18"/>
                <w:szCs w:val="18"/>
              </w:rPr>
            </w:pPr>
            <w:r w:rsidRPr="4FEF2642">
              <w:rPr>
                <w:sz w:val="18"/>
                <w:szCs w:val="18"/>
              </w:rPr>
              <w:t>continue close stakeholder engagement;</w:t>
            </w:r>
          </w:p>
          <w:p w14:paraId="79F2D35A" w14:textId="77777777" w:rsidR="00126E00" w:rsidRPr="0027024C" w:rsidRDefault="4FEF2642" w:rsidP="00280116">
            <w:pPr>
              <w:pStyle w:val="Tablebullet"/>
              <w:rPr>
                <w:sz w:val="18"/>
                <w:szCs w:val="18"/>
              </w:rPr>
            </w:pPr>
            <w:r w:rsidRPr="4FEF2642">
              <w:rPr>
                <w:sz w:val="18"/>
                <w:szCs w:val="18"/>
              </w:rPr>
              <w:t>undertake public consultation.</w:t>
            </w:r>
          </w:p>
        </w:tc>
      </w:tr>
      <w:tr w:rsidR="00126E00" w:rsidRPr="0027024C" w14:paraId="0CF171AF" w14:textId="77777777" w:rsidTr="005714D1">
        <w:trPr>
          <w:cantSplit w:val="0"/>
          <w:trHeight w:val="109"/>
        </w:trPr>
        <w:tc>
          <w:tcPr>
            <w:tcW w:w="1377" w:type="dxa"/>
          </w:tcPr>
          <w:p w14:paraId="556B574D" w14:textId="77777777" w:rsidR="00126E00" w:rsidRPr="0027024C" w:rsidRDefault="4FEF2642" w:rsidP="00280116">
            <w:pPr>
              <w:rPr>
                <w:sz w:val="18"/>
                <w:szCs w:val="18"/>
              </w:rPr>
            </w:pPr>
            <w:r w:rsidRPr="4FEF2642">
              <w:rPr>
                <w:sz w:val="18"/>
                <w:szCs w:val="18"/>
              </w:rPr>
              <w:t>Success indicators</w:t>
            </w:r>
          </w:p>
        </w:tc>
        <w:tc>
          <w:tcPr>
            <w:tcW w:w="7538" w:type="dxa"/>
            <w:gridSpan w:val="2"/>
          </w:tcPr>
          <w:p w14:paraId="120114FE" w14:textId="77777777" w:rsidR="00126E00" w:rsidRPr="0027024C" w:rsidRDefault="4FEF2642" w:rsidP="00280116">
            <w:pPr>
              <w:rPr>
                <w:b/>
                <w:sz w:val="18"/>
                <w:szCs w:val="18"/>
              </w:rPr>
            </w:pPr>
            <w:r w:rsidRPr="4FEF2642">
              <w:rPr>
                <w:b/>
                <w:bCs/>
                <w:sz w:val="18"/>
                <w:szCs w:val="18"/>
              </w:rPr>
              <w:t>Success of the technical reference group would be determined by:</w:t>
            </w:r>
          </w:p>
          <w:p w14:paraId="4E8F1CF4" w14:textId="1580C9F9" w:rsidR="00126E00" w:rsidRPr="0027024C" w:rsidRDefault="4FEF2642" w:rsidP="4FEF2642">
            <w:pPr>
              <w:pStyle w:val="ListParagraph"/>
              <w:numPr>
                <w:ilvl w:val="0"/>
                <w:numId w:val="49"/>
              </w:numPr>
              <w:spacing w:before="56" w:after="32"/>
              <w:rPr>
                <w:b/>
                <w:bCs/>
                <w:sz w:val="18"/>
                <w:szCs w:val="18"/>
              </w:rPr>
            </w:pPr>
            <w:r w:rsidRPr="4FEF2642">
              <w:rPr>
                <w:b/>
                <w:bCs/>
                <w:sz w:val="18"/>
                <w:szCs w:val="18"/>
              </w:rPr>
              <w:t>a comprehensive consultation document that is robust and feasible</w:t>
            </w:r>
            <w:r w:rsidR="00535B11">
              <w:rPr>
                <w:b/>
                <w:bCs/>
                <w:sz w:val="18"/>
                <w:szCs w:val="18"/>
              </w:rPr>
              <w:t xml:space="preserve">, </w:t>
            </w:r>
            <w:r w:rsidRPr="4FEF2642">
              <w:rPr>
                <w:b/>
                <w:bCs/>
                <w:sz w:val="18"/>
                <w:szCs w:val="18"/>
              </w:rPr>
              <w:t>and</w:t>
            </w:r>
          </w:p>
          <w:p w14:paraId="63569DD2" w14:textId="3BCDDFBB" w:rsidR="00126E00" w:rsidRPr="0027024C" w:rsidRDefault="4FEF2642" w:rsidP="4FEF2642">
            <w:pPr>
              <w:pStyle w:val="ListParagraph"/>
              <w:numPr>
                <w:ilvl w:val="0"/>
                <w:numId w:val="49"/>
              </w:numPr>
              <w:spacing w:before="56" w:after="32"/>
              <w:rPr>
                <w:b/>
                <w:bCs/>
                <w:sz w:val="18"/>
                <w:szCs w:val="18"/>
              </w:rPr>
            </w:pPr>
            <w:r w:rsidRPr="4FEF2642">
              <w:rPr>
                <w:b/>
                <w:bCs/>
                <w:sz w:val="18"/>
                <w:szCs w:val="18"/>
              </w:rPr>
              <w:t xml:space="preserve">the Class 4 sector has a meaningful opportunity to contribute to the </w:t>
            </w:r>
            <w:r w:rsidR="00CF66AF">
              <w:rPr>
                <w:b/>
                <w:bCs/>
                <w:sz w:val="18"/>
                <w:szCs w:val="18"/>
              </w:rPr>
              <w:t>best</w:t>
            </w:r>
            <w:r w:rsidRPr="4FEF2642">
              <w:rPr>
                <w:b/>
                <w:bCs/>
                <w:sz w:val="18"/>
                <w:szCs w:val="18"/>
              </w:rPr>
              <w:t xml:space="preserve"> </w:t>
            </w:r>
            <w:r w:rsidR="001020CA">
              <w:rPr>
                <w:b/>
                <w:bCs/>
                <w:sz w:val="18"/>
                <w:szCs w:val="18"/>
              </w:rPr>
              <w:t>practice</w:t>
            </w:r>
            <w:r w:rsidRPr="4FEF2642">
              <w:rPr>
                <w:b/>
                <w:bCs/>
                <w:sz w:val="18"/>
                <w:szCs w:val="18"/>
              </w:rPr>
              <w:t xml:space="preserve"> expectations and option design.</w:t>
            </w:r>
          </w:p>
        </w:tc>
      </w:tr>
      <w:tr w:rsidR="00126E00" w:rsidRPr="0027024C" w14:paraId="2F031847" w14:textId="77777777" w:rsidTr="005714D1">
        <w:trPr>
          <w:cantSplit w:val="0"/>
          <w:trHeight w:val="109"/>
        </w:trPr>
        <w:tc>
          <w:tcPr>
            <w:tcW w:w="1377" w:type="dxa"/>
          </w:tcPr>
          <w:p w14:paraId="25A30BBC" w14:textId="77777777" w:rsidR="00126E00" w:rsidRPr="0027024C" w:rsidRDefault="4FEF2642" w:rsidP="00280116">
            <w:pPr>
              <w:rPr>
                <w:sz w:val="18"/>
                <w:szCs w:val="18"/>
              </w:rPr>
            </w:pPr>
            <w:r w:rsidRPr="4FEF2642">
              <w:rPr>
                <w:sz w:val="18"/>
                <w:szCs w:val="18"/>
              </w:rPr>
              <w:t xml:space="preserve">Priority </w:t>
            </w:r>
          </w:p>
        </w:tc>
        <w:tc>
          <w:tcPr>
            <w:tcW w:w="7538" w:type="dxa"/>
            <w:gridSpan w:val="2"/>
          </w:tcPr>
          <w:p w14:paraId="7B05F7DF" w14:textId="77777777" w:rsidR="00126E00" w:rsidRPr="0027024C" w:rsidRDefault="4FEF2642" w:rsidP="00280116">
            <w:pPr>
              <w:rPr>
                <w:sz w:val="18"/>
                <w:szCs w:val="18"/>
              </w:rPr>
            </w:pPr>
            <w:r w:rsidRPr="4FEF2642">
              <w:rPr>
                <w:sz w:val="18"/>
                <w:szCs w:val="18"/>
              </w:rPr>
              <w:t xml:space="preserve">High </w:t>
            </w:r>
          </w:p>
        </w:tc>
      </w:tr>
    </w:tbl>
    <w:p w14:paraId="24C735C9" w14:textId="77777777" w:rsidR="00126E00" w:rsidRDefault="00126E00" w:rsidP="00126E00">
      <w:pPr>
        <w:pStyle w:val="Spacer"/>
      </w:pPr>
    </w:p>
    <w:p w14:paraId="09671945" w14:textId="77777777" w:rsidR="00126E00" w:rsidRDefault="4FEF2642" w:rsidP="00126E00">
      <w:r>
        <w:t>Approved</w:t>
      </w:r>
    </w:p>
    <w:p w14:paraId="534116DA" w14:textId="77777777" w:rsidR="00126E00" w:rsidRDefault="00126E00" w:rsidP="00126E00"/>
    <w:p w14:paraId="0316782C" w14:textId="77777777" w:rsidR="00126E00" w:rsidRDefault="00126E00" w:rsidP="00126E00">
      <w:r>
        <w:t xml:space="preserve">Director Gambling Compliance </w:t>
      </w:r>
      <w:r>
        <w:tab/>
      </w:r>
      <w:r>
        <w:tab/>
      </w:r>
      <w:r>
        <w:tab/>
      </w:r>
      <w:r>
        <w:tab/>
      </w:r>
      <w:r>
        <w:tab/>
      </w:r>
      <w:r>
        <w:tab/>
        <w:t>Director Operations Support</w:t>
      </w:r>
      <w:r>
        <w:br/>
        <w:t>Sponsor</w:t>
      </w:r>
      <w:r>
        <w:tab/>
      </w:r>
      <w:r>
        <w:tab/>
      </w:r>
      <w:r>
        <w:tab/>
      </w:r>
      <w:r>
        <w:tab/>
      </w:r>
      <w:r>
        <w:tab/>
      </w:r>
      <w:r>
        <w:tab/>
      </w:r>
      <w:r>
        <w:tab/>
      </w:r>
      <w:r>
        <w:tab/>
      </w:r>
      <w:r>
        <w:tab/>
      </w:r>
      <w:r>
        <w:tab/>
        <w:t>Sponsor</w:t>
      </w:r>
    </w:p>
    <w:p w14:paraId="100CF4B2" w14:textId="62E0A5CB" w:rsidR="00DB2AE5" w:rsidRDefault="4FEF2642" w:rsidP="00126E00">
      <w:r>
        <w:t>Date:</w:t>
      </w:r>
    </w:p>
    <w:sectPr w:rsidR="00DB2AE5" w:rsidSect="00C164ED">
      <w:pgSz w:w="11907" w:h="16839" w:code="9"/>
      <w:pgMar w:top="720" w:right="720" w:bottom="720" w:left="720" w:header="425" w:footer="635"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9B51CC5"/>
  <w15:commentEx w15:done="0" w15:paraId="57BB145B"/>
  <w15:commentEx w15:done="0" w15:paraId="0BCB548B"/>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EC7DC" w14:textId="77777777" w:rsidR="00F733E4" w:rsidRDefault="00F733E4">
      <w:r>
        <w:separator/>
      </w:r>
    </w:p>
  </w:endnote>
  <w:endnote w:type="continuationSeparator" w:id="0">
    <w:p w14:paraId="2EE56F88" w14:textId="77777777" w:rsidR="00F733E4" w:rsidRDefault="00F733E4">
      <w:r>
        <w:continuationSeparator/>
      </w:r>
    </w:p>
  </w:endnote>
  <w:endnote w:type="continuationNotice" w:id="1">
    <w:p w14:paraId="66560E5B" w14:textId="77777777" w:rsidR="00F733E4" w:rsidRDefault="00F733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566150"/>
      <w:docPartObj>
        <w:docPartGallery w:val="Page Numbers (Bottom of Page)"/>
        <w:docPartUnique/>
      </w:docPartObj>
    </w:sdtPr>
    <w:sdtEndPr>
      <w:rPr>
        <w:noProof/>
      </w:rPr>
    </w:sdtEndPr>
    <w:sdtContent>
      <w:p w14:paraId="197BD37B" w14:textId="085A0A59" w:rsidR="00F733E4" w:rsidRDefault="00F733E4">
        <w:pPr>
          <w:pStyle w:val="Footer"/>
          <w:jc w:val="right"/>
        </w:pPr>
        <w:r>
          <w:t>Class 4 Gambling Consultation: Best Practice Licence – 7 April – 19 May 2017</w:t>
        </w:r>
        <w:r>
          <w:tab/>
        </w:r>
        <w:r>
          <w:tab/>
        </w:r>
        <w:r>
          <w:tab/>
        </w:r>
        <w:r>
          <w:fldChar w:fldCharType="begin"/>
        </w:r>
        <w:r>
          <w:instrText xml:space="preserve"> PAGE   \* MERGEFORMAT </w:instrText>
        </w:r>
        <w:r>
          <w:fldChar w:fldCharType="separate"/>
        </w:r>
        <w:r w:rsidR="00342104">
          <w:rPr>
            <w:noProof/>
          </w:rPr>
          <w:t>23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i/>
        <w:color w:val="auto"/>
        <w:sz w:val="20"/>
        <w:szCs w:val="24"/>
      </w:rPr>
      <w:id w:val="-1920465995"/>
      <w:docPartObj>
        <w:docPartGallery w:val="Page Numbers (Bottom of Page)"/>
        <w:docPartUnique/>
      </w:docPartObj>
    </w:sdtPr>
    <w:sdtEndPr>
      <w:rPr>
        <w:b/>
        <w:i w:val="0"/>
        <w:noProof/>
        <w:color w:val="1F546B"/>
        <w:sz w:val="80"/>
        <w:szCs w:val="80"/>
      </w:rPr>
    </w:sdtEndPr>
    <w:sdtContent>
      <w:p w14:paraId="571AE1AB" w14:textId="063AE7F2" w:rsidR="00F733E4" w:rsidRPr="003874C1" w:rsidRDefault="00F733E4" w:rsidP="003874C1">
        <w:pPr>
          <w:pStyle w:val="Title"/>
          <w:jc w:val="center"/>
          <w:rPr>
            <w:b w:val="0"/>
            <w:i/>
            <w:sz w:val="20"/>
            <w:szCs w:val="20"/>
          </w:rPr>
        </w:pPr>
        <w:r>
          <w:rPr>
            <w:b w:val="0"/>
            <w:i/>
            <w:color w:val="auto"/>
            <w:sz w:val="20"/>
            <w:szCs w:val="24"/>
          </w:rPr>
          <w:t>Class 4 Gambling Consultation: Best Practice Licence – 7 April – 19 May 2017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243929"/>
      <w:docPartObj>
        <w:docPartGallery w:val="Page Numbers (Bottom of Page)"/>
        <w:docPartUnique/>
      </w:docPartObj>
    </w:sdtPr>
    <w:sdtEndPr>
      <w:rPr>
        <w:noProof/>
      </w:rPr>
    </w:sdtEndPr>
    <w:sdtContent>
      <w:p w14:paraId="73AB0F28" w14:textId="0EF14D60" w:rsidR="00F733E4" w:rsidRDefault="00F733E4">
        <w:pPr>
          <w:pStyle w:val="Footer"/>
          <w:jc w:val="right"/>
        </w:pPr>
        <w:r>
          <w:fldChar w:fldCharType="begin"/>
        </w:r>
        <w:r>
          <w:instrText xml:space="preserve"> PAGE   \* MERGEFORMAT </w:instrText>
        </w:r>
        <w:r>
          <w:fldChar w:fldCharType="separate"/>
        </w:r>
        <w:r w:rsidR="00342104">
          <w:rPr>
            <w:noProof/>
          </w:rPr>
          <w:t>26</w:t>
        </w:r>
        <w:r>
          <w:rPr>
            <w:noProof/>
          </w:rPr>
          <w:fldChar w:fldCharType="end"/>
        </w:r>
      </w:p>
    </w:sdtContent>
  </w:sdt>
  <w:p w14:paraId="34017621" w14:textId="47A8DD54" w:rsidR="00F733E4" w:rsidRDefault="00F733E4">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696946"/>
      <w:docPartObj>
        <w:docPartGallery w:val="Page Numbers (Bottom of Page)"/>
        <w:docPartUnique/>
      </w:docPartObj>
    </w:sdtPr>
    <w:sdtEndPr>
      <w:rPr>
        <w:noProof/>
      </w:rPr>
    </w:sdtEndPr>
    <w:sdtContent>
      <w:p w14:paraId="51A2815B" w14:textId="624955B3" w:rsidR="00F733E4" w:rsidRDefault="00F733E4">
        <w:pPr>
          <w:pStyle w:val="Footer"/>
          <w:jc w:val="right"/>
        </w:pPr>
        <w:r>
          <w:fldChar w:fldCharType="begin"/>
        </w:r>
        <w:r>
          <w:instrText xml:space="preserve"> PAGE   \* MERGEFORMAT </w:instrText>
        </w:r>
        <w:r>
          <w:fldChar w:fldCharType="separate"/>
        </w:r>
        <w:r w:rsidR="00342104">
          <w:rPr>
            <w:noProof/>
          </w:rPr>
          <w:t>28</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027839"/>
      <w:docPartObj>
        <w:docPartGallery w:val="Page Numbers (Bottom of Page)"/>
        <w:docPartUnique/>
      </w:docPartObj>
    </w:sdtPr>
    <w:sdtEndPr>
      <w:rPr>
        <w:noProof/>
      </w:rPr>
    </w:sdtEndPr>
    <w:sdtContent>
      <w:p w14:paraId="0F1696F6" w14:textId="458FB715" w:rsidR="00F733E4" w:rsidRDefault="00F733E4">
        <w:pPr>
          <w:pStyle w:val="Footer"/>
          <w:jc w:val="right"/>
        </w:pPr>
        <w:r>
          <w:fldChar w:fldCharType="begin"/>
        </w:r>
        <w:r>
          <w:instrText xml:space="preserve"> PAGE   \* MERGEFORMAT </w:instrText>
        </w:r>
        <w:r>
          <w:fldChar w:fldCharType="separate"/>
        </w:r>
        <w:r w:rsidR="00342104">
          <w:rPr>
            <w:noProof/>
          </w:rPr>
          <w:t>27</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744796"/>
      <w:docPartObj>
        <w:docPartGallery w:val="Page Numbers (Bottom of Page)"/>
        <w:docPartUnique/>
      </w:docPartObj>
    </w:sdtPr>
    <w:sdtEndPr>
      <w:rPr>
        <w:noProof/>
      </w:rPr>
    </w:sdtEndPr>
    <w:sdtContent>
      <w:p w14:paraId="77E7E423" w14:textId="1A7EB224" w:rsidR="00F733E4" w:rsidRDefault="00F733E4">
        <w:pPr>
          <w:pStyle w:val="Footer"/>
          <w:jc w:val="right"/>
        </w:pPr>
        <w:r>
          <w:fldChar w:fldCharType="begin"/>
        </w:r>
        <w:r>
          <w:instrText xml:space="preserve"> PAGE   \* MERGEFORMAT </w:instrText>
        </w:r>
        <w:r>
          <w:fldChar w:fldCharType="separate"/>
        </w:r>
        <w:r w:rsidR="00342104">
          <w:rPr>
            <w:noProof/>
          </w:rPr>
          <w:t>51</w:t>
        </w:r>
        <w:r>
          <w:rPr>
            <w:noProof/>
          </w:rPr>
          <w:fldChar w:fldCharType="end"/>
        </w:r>
      </w:p>
    </w:sdtContent>
  </w:sdt>
  <w:p w14:paraId="1C8EA9B9" w14:textId="693380FA" w:rsidR="00F733E4" w:rsidRDefault="00F733E4" w:rsidP="006A6BC7">
    <w:pPr>
      <w:pStyle w:val="Footer"/>
      <w:tabs>
        <w:tab w:val="left" w:pos="265"/>
        <w:tab w:val="right" w:pos="9071"/>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44579"/>
      <w:docPartObj>
        <w:docPartGallery w:val="Page Numbers (Bottom of Page)"/>
        <w:docPartUnique/>
      </w:docPartObj>
    </w:sdtPr>
    <w:sdtEndPr>
      <w:rPr>
        <w:noProof/>
      </w:rPr>
    </w:sdtEndPr>
    <w:sdtContent>
      <w:p w14:paraId="3B24194C" w14:textId="45F837C8" w:rsidR="00F733E4" w:rsidRDefault="00F733E4">
        <w:pPr>
          <w:pStyle w:val="Footer"/>
          <w:jc w:val="right"/>
        </w:pPr>
        <w:r>
          <w:fldChar w:fldCharType="begin"/>
        </w:r>
        <w:r>
          <w:instrText xml:space="preserve"> PAGE   \* MERGEFORMAT </w:instrText>
        </w:r>
        <w:r>
          <w:fldChar w:fldCharType="separate"/>
        </w:r>
        <w:r>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9E617" w14:textId="77777777" w:rsidR="00F733E4" w:rsidRDefault="00F733E4" w:rsidP="001C6D4C">
      <w:pPr>
        <w:pStyle w:val="Spacer"/>
      </w:pPr>
      <w:r>
        <w:separator/>
      </w:r>
    </w:p>
  </w:footnote>
  <w:footnote w:type="continuationSeparator" w:id="0">
    <w:p w14:paraId="656AB496" w14:textId="77777777" w:rsidR="00F733E4" w:rsidRDefault="00F733E4">
      <w:r>
        <w:continuationSeparator/>
      </w:r>
    </w:p>
  </w:footnote>
  <w:footnote w:type="continuationNotice" w:id="1">
    <w:p w14:paraId="6C51212C" w14:textId="77777777" w:rsidR="00F733E4" w:rsidRDefault="00F733E4">
      <w:pPr>
        <w:spacing w:before="0" w:after="0"/>
      </w:pPr>
    </w:p>
  </w:footnote>
  <w:footnote w:id="2">
    <w:p w14:paraId="2F653C7B" w14:textId="16A6E472" w:rsidR="00F733E4" w:rsidRDefault="00F733E4" w:rsidP="0081502C">
      <w:pPr>
        <w:pStyle w:val="FootnoteText"/>
      </w:pPr>
      <w:r>
        <w:rPr>
          <w:rStyle w:val="FootnoteReference"/>
        </w:rPr>
        <w:footnoteRef/>
      </w:r>
      <w:r>
        <w:t xml:space="preserve"> </w:t>
      </w:r>
      <w:r w:rsidRPr="0081502C">
        <w:rPr>
          <w:sz w:val="16"/>
          <w:szCs w:val="16"/>
        </w:rPr>
        <w:t>Refer to the ‘Full report text [PDF 253k]</w:t>
      </w:r>
      <w:r>
        <w:rPr>
          <w:sz w:val="16"/>
          <w:szCs w:val="16"/>
        </w:rPr>
        <w:t>’</w:t>
      </w:r>
      <w:r w:rsidRPr="0081502C">
        <w:rPr>
          <w:sz w:val="16"/>
          <w:szCs w:val="16"/>
        </w:rPr>
        <w:t xml:space="preserve"> at </w:t>
      </w:r>
      <w:hyperlink r:id="rId1" w:history="1">
        <w:r w:rsidRPr="0081502C">
          <w:rPr>
            <w:rStyle w:val="Hyperlink"/>
            <w:sz w:val="16"/>
            <w:szCs w:val="16"/>
          </w:rPr>
          <w:t>https://www.parliament.nz/en/pb/sc/reports/document/51DBSCH_SCR62899_1/gambling-amendment-bill-no-3-216-2</w:t>
        </w:r>
      </w:hyperlink>
    </w:p>
  </w:footnote>
  <w:footnote w:id="3">
    <w:p w14:paraId="3008DB4F" w14:textId="77777777" w:rsidR="00F733E4" w:rsidRDefault="00F733E4" w:rsidP="00A92585">
      <w:pPr>
        <w:pStyle w:val="FootnoteText"/>
      </w:pPr>
      <w:r>
        <w:rPr>
          <w:rStyle w:val="FootnoteReference"/>
        </w:rPr>
        <w:footnoteRef/>
      </w:r>
      <w:r>
        <w:t xml:space="preserve"> </w:t>
      </w:r>
      <w:r w:rsidRPr="00B5263E">
        <w:rPr>
          <w:sz w:val="16"/>
          <w:szCs w:val="16"/>
        </w:rPr>
        <w:t>More information can be found on this</w:t>
      </w:r>
      <w:r>
        <w:rPr>
          <w:sz w:val="16"/>
          <w:szCs w:val="16"/>
        </w:rPr>
        <w:t xml:space="preserve"> here: </w:t>
      </w:r>
      <w:hyperlink r:id="rId2" w:history="1">
        <w:r w:rsidRPr="00B5263E">
          <w:rPr>
            <w:rStyle w:val="Hyperlink"/>
            <w:sz w:val="16"/>
            <w:szCs w:val="16"/>
          </w:rPr>
          <w:t>https://www.ict.govt.nz/assets/Guidance-and-Resources/User-guide-for-the-Privacy-Maturity-Assessment-Framework-version-2-0.pdf</w:t>
        </w:r>
      </w:hyperlink>
      <w:r>
        <w:rPr>
          <w:rStyle w:val="Hyperlink"/>
          <w:sz w:val="16"/>
          <w:szCs w:val="16"/>
        </w:rPr>
        <w:t xml:space="preserve"> - </w:t>
      </w:r>
      <w:r w:rsidRPr="00A60692">
        <w:rPr>
          <w:sz w:val="16"/>
          <w:szCs w:val="16"/>
        </w:rPr>
        <w:t>refer to section 4 (starting on page 8</w:t>
      </w:r>
      <w:r w:rsidRPr="00A60692">
        <w:t>)</w:t>
      </w:r>
    </w:p>
  </w:footnote>
  <w:footnote w:id="4">
    <w:p w14:paraId="791C911C" w14:textId="60228DF2" w:rsidR="00F733E4" w:rsidRDefault="00F733E4" w:rsidP="00E64F46">
      <w:pPr>
        <w:pStyle w:val="FootnoteText"/>
      </w:pPr>
      <w:r>
        <w:rPr>
          <w:rStyle w:val="FootnoteReference"/>
        </w:rPr>
        <w:footnoteRef/>
      </w:r>
      <w:r>
        <w:t xml:space="preserve"> </w:t>
      </w:r>
      <w:r>
        <w:rPr>
          <w:sz w:val="16"/>
          <w:szCs w:val="16"/>
        </w:rPr>
        <w:t xml:space="preserve">A weak or lower rating </w:t>
      </w:r>
      <w:r w:rsidRPr="00E02B9B">
        <w:rPr>
          <w:sz w:val="16"/>
          <w:szCs w:val="16"/>
        </w:rPr>
        <w:t xml:space="preserve">does not mean that the applicant will not be eligible for a standard </w:t>
      </w:r>
      <w:r>
        <w:rPr>
          <w:sz w:val="16"/>
          <w:szCs w:val="16"/>
        </w:rPr>
        <w:t>(annual) licence</w:t>
      </w:r>
    </w:p>
  </w:footnote>
  <w:footnote w:id="5">
    <w:p w14:paraId="57E19806" w14:textId="3D1F1229" w:rsidR="00F733E4" w:rsidRDefault="00F733E4" w:rsidP="000D18DF">
      <w:pPr>
        <w:pStyle w:val="FootnoteText"/>
      </w:pPr>
      <w:r>
        <w:rPr>
          <w:rStyle w:val="FootnoteReference"/>
        </w:rPr>
        <w:footnoteRef/>
      </w:r>
      <w:r>
        <w:t xml:space="preserve"> </w:t>
      </w:r>
      <w:r w:rsidRPr="000524BA">
        <w:rPr>
          <w:sz w:val="16"/>
          <w:szCs w:val="16"/>
        </w:rPr>
        <w:t>This</w:t>
      </w:r>
      <w:r>
        <w:rPr>
          <w:sz w:val="16"/>
          <w:szCs w:val="16"/>
        </w:rPr>
        <w:t xml:space="preserve"> rating scale</w:t>
      </w:r>
      <w:r w:rsidRPr="000524BA">
        <w:rPr>
          <w:sz w:val="16"/>
          <w:szCs w:val="16"/>
        </w:rPr>
        <w:t xml:space="preserve"> is the State Services Commission Performance Improvement Framework’s Rating Scale.</w:t>
      </w:r>
      <w:r>
        <w:rPr>
          <w:sz w:val="16"/>
          <w:szCs w:val="16"/>
        </w:rPr>
        <w:t xml:space="preserve"> </w:t>
      </w:r>
      <w:r w:rsidRPr="000524BA">
        <w:rPr>
          <w:sz w:val="16"/>
          <w:szCs w:val="16"/>
        </w:rPr>
        <w:t>The Department has adopte</w:t>
      </w:r>
      <w:r>
        <w:rPr>
          <w:sz w:val="16"/>
          <w:szCs w:val="16"/>
        </w:rPr>
        <w:t>d it for a best practice Licence</w:t>
      </w:r>
      <w:r w:rsidRPr="000524BA">
        <w:rPr>
          <w:sz w:val="16"/>
          <w:szCs w:val="16"/>
        </w:rPr>
        <w:t xml:space="preserve"> due to its focus on </w:t>
      </w:r>
      <w:r>
        <w:rPr>
          <w:sz w:val="16"/>
          <w:szCs w:val="16"/>
        </w:rPr>
        <w:t>licence holder</w:t>
      </w:r>
      <w:r w:rsidRPr="000524BA">
        <w:rPr>
          <w:sz w:val="16"/>
          <w:szCs w:val="16"/>
        </w:rPr>
        <w:t xml:space="preserve"> improvement and because it captures </w:t>
      </w:r>
      <w:r>
        <w:rPr>
          <w:sz w:val="16"/>
          <w:szCs w:val="16"/>
        </w:rPr>
        <w:t>best practice</w:t>
      </w:r>
      <w:r w:rsidRPr="000524BA">
        <w:rPr>
          <w:sz w:val="16"/>
          <w:szCs w:val="16"/>
        </w:rPr>
        <w:t xml:space="preserve"> in its ratings.</w:t>
      </w:r>
      <w:r>
        <w:rPr>
          <w:sz w:val="16"/>
          <w:szCs w:val="16"/>
        </w:rPr>
        <w:t xml:space="preserve"> </w:t>
      </w:r>
      <w:r w:rsidRPr="000524BA">
        <w:rPr>
          <w:sz w:val="16"/>
          <w:szCs w:val="16"/>
        </w:rPr>
        <w:t>More information on this can be found in the section “</w:t>
      </w:r>
      <w:r w:rsidRPr="36E5F146">
        <w:rPr>
          <w:i/>
          <w:iCs/>
          <w:sz w:val="16"/>
          <w:szCs w:val="16"/>
        </w:rPr>
        <w:t>How did we develop the proposal?</w:t>
      </w:r>
      <w:r w:rsidRPr="000524BA">
        <w:rPr>
          <w:sz w:val="16"/>
          <w:szCs w:val="16"/>
        </w:rPr>
        <w:t>”</w:t>
      </w:r>
    </w:p>
  </w:footnote>
  <w:footnote w:id="6">
    <w:p w14:paraId="5B8EDD8E" w14:textId="509CA303" w:rsidR="00F733E4" w:rsidRDefault="00F733E4">
      <w:pPr>
        <w:pStyle w:val="FootnoteText"/>
      </w:pPr>
      <w:r>
        <w:rPr>
          <w:rStyle w:val="FootnoteReference"/>
        </w:rPr>
        <w:footnoteRef/>
      </w:r>
      <w:r>
        <w:t xml:space="preserve"> </w:t>
      </w:r>
      <w:r w:rsidRPr="00493DDD">
        <w:rPr>
          <w:sz w:val="16"/>
          <w:szCs w:val="16"/>
        </w:rPr>
        <w:t xml:space="preserve">Applicant must be rated at a minimum of ‘Needing Development’ or higher in the remaining sub-categories to be eligible for a </w:t>
      </w:r>
      <w:r>
        <w:rPr>
          <w:sz w:val="16"/>
          <w:szCs w:val="16"/>
        </w:rPr>
        <w:t>best practice</w:t>
      </w:r>
      <w:r w:rsidRPr="00493DDD">
        <w:rPr>
          <w:sz w:val="16"/>
          <w:szCs w:val="16"/>
        </w:rPr>
        <w:t xml:space="preserve"> </w:t>
      </w:r>
      <w:r>
        <w:rPr>
          <w:sz w:val="16"/>
          <w:szCs w:val="16"/>
        </w:rPr>
        <w:t>licence</w:t>
      </w:r>
    </w:p>
  </w:footnote>
  <w:footnote w:id="7">
    <w:p w14:paraId="05D3C54F" w14:textId="3E867CEA" w:rsidR="00F733E4" w:rsidRDefault="00F733E4" w:rsidP="00684069">
      <w:pPr>
        <w:pStyle w:val="FootnoteText"/>
      </w:pPr>
      <w:r>
        <w:rPr>
          <w:rStyle w:val="FootnoteReference"/>
        </w:rPr>
        <w:footnoteRef/>
      </w:r>
      <w:r>
        <w:t xml:space="preserve"> </w:t>
      </w:r>
      <w:r w:rsidRPr="00A553AB">
        <w:rPr>
          <w:sz w:val="16"/>
          <w:szCs w:val="16"/>
        </w:rPr>
        <w:t xml:space="preserve">Please note that the </w:t>
      </w:r>
      <w:r>
        <w:rPr>
          <w:sz w:val="16"/>
          <w:szCs w:val="16"/>
        </w:rPr>
        <w:t>‘Relationships’ category</w:t>
      </w:r>
      <w:r w:rsidRPr="00A553AB">
        <w:rPr>
          <w:sz w:val="16"/>
          <w:szCs w:val="16"/>
        </w:rPr>
        <w:t xml:space="preserve"> </w:t>
      </w:r>
      <w:r>
        <w:rPr>
          <w:sz w:val="16"/>
          <w:szCs w:val="16"/>
        </w:rPr>
        <w:t xml:space="preserve">illustrated above is an example only </w:t>
      </w:r>
      <w:r w:rsidRPr="00A553AB">
        <w:rPr>
          <w:sz w:val="16"/>
          <w:szCs w:val="16"/>
        </w:rPr>
        <w:t>and should not be read as assigning priority to any c</w:t>
      </w:r>
      <w:r>
        <w:rPr>
          <w:sz w:val="16"/>
          <w:szCs w:val="16"/>
        </w:rPr>
        <w:t>ategory</w:t>
      </w:r>
      <w:r w:rsidRPr="00A553AB">
        <w:rPr>
          <w:sz w:val="16"/>
          <w:szCs w:val="16"/>
        </w:rPr>
        <w:t xml:space="preserve"> over another</w:t>
      </w:r>
    </w:p>
  </w:footnote>
  <w:footnote w:id="8">
    <w:p w14:paraId="24372884" w14:textId="53D5F148" w:rsidR="00F733E4" w:rsidRDefault="00F733E4" w:rsidP="00943175">
      <w:pPr>
        <w:pStyle w:val="FootnoteText"/>
      </w:pPr>
      <w:r>
        <w:rPr>
          <w:rStyle w:val="FootnoteReference"/>
        </w:rPr>
        <w:footnoteRef/>
      </w:r>
      <w:r w:rsidRPr="00EC0AEB">
        <w:rPr>
          <w:sz w:val="16"/>
          <w:szCs w:val="16"/>
        </w:rPr>
        <w:t xml:space="preserve">The ‘light touch’ approach for ongoing monitoring recognises that </w:t>
      </w:r>
      <w:r>
        <w:rPr>
          <w:sz w:val="16"/>
          <w:szCs w:val="16"/>
        </w:rPr>
        <w:t>best practice</w:t>
      </w:r>
      <w:r w:rsidRPr="00EC0AEB">
        <w:rPr>
          <w:sz w:val="16"/>
          <w:szCs w:val="16"/>
        </w:rPr>
        <w:t xml:space="preserve"> </w:t>
      </w:r>
      <w:r>
        <w:rPr>
          <w:sz w:val="16"/>
          <w:szCs w:val="16"/>
        </w:rPr>
        <w:t>licence</w:t>
      </w:r>
      <w:r w:rsidRPr="00EC0AEB">
        <w:rPr>
          <w:sz w:val="16"/>
          <w:szCs w:val="16"/>
        </w:rPr>
        <w:t xml:space="preserve"> holders have demonstrated robust </w:t>
      </w:r>
      <w:r>
        <w:rPr>
          <w:sz w:val="16"/>
          <w:szCs w:val="16"/>
        </w:rPr>
        <w:t>licence holder</w:t>
      </w:r>
      <w:r w:rsidRPr="00EC0AEB">
        <w:rPr>
          <w:sz w:val="16"/>
          <w:szCs w:val="16"/>
        </w:rPr>
        <w:t xml:space="preserve"> processes and systems through the assessment process.</w:t>
      </w:r>
    </w:p>
  </w:footnote>
  <w:footnote w:id="9">
    <w:p w14:paraId="008C096E" w14:textId="77777777" w:rsidR="00F733E4" w:rsidRDefault="00F733E4" w:rsidP="00943175">
      <w:pPr>
        <w:pStyle w:val="FootnoteText"/>
      </w:pPr>
      <w:r>
        <w:rPr>
          <w:rStyle w:val="FootnoteReference"/>
        </w:rPr>
        <w:footnoteRef/>
      </w:r>
      <w:r>
        <w:t xml:space="preserve"> </w:t>
      </w:r>
      <w:r w:rsidRPr="007048F1">
        <w:rPr>
          <w:sz w:val="16"/>
          <w:szCs w:val="16"/>
        </w:rPr>
        <w:t>Really responsive regulation recognises that a number of factors influence the behaviour of regulators and regulated parties and ultimately the effectiveness of regulation. To be really responsive, a more sophisticated institutional analysis is required. Regulators need to focus on not just the compliance behaviour of regulated parties but also on the wider aspects of regulatee attitudes and cultures and on the dynamics of the environment in which regulated parties operate. Further, the regulator must be aware of and responsive to its own behaviours, attitudes and culture and to the wider institutional environment in which it operates.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068796"/>
      <w:docPartObj>
        <w:docPartGallery w:val="Watermarks"/>
        <w:docPartUnique/>
      </w:docPartObj>
    </w:sdtPr>
    <w:sdtContent>
      <w:p w14:paraId="0FBB6920" w14:textId="6AB0757B" w:rsidR="00F733E4" w:rsidRDefault="00F733E4">
        <w:pPr>
          <w:pStyle w:val="Header"/>
        </w:pPr>
        <w:r>
          <w:rPr>
            <w:noProof/>
            <w:lang w:val="en-US" w:eastAsia="zh-TW"/>
          </w:rPr>
          <w:pict w14:anchorId="4D627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76880" o:spid="_x0000_s22529" type="#_x0000_t136" style="position:absolute;margin-left:0;margin-top:0;width:489.5pt;height:146.85pt;rotation:315;z-index:-25165875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B0117" w14:textId="77777777" w:rsidR="00F733E4" w:rsidRDefault="00F733E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68A22" w14:textId="77777777" w:rsidR="00F733E4" w:rsidRPr="00952F7B" w:rsidRDefault="00F733E4" w:rsidP="00952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70D24" w14:textId="2985DCB3" w:rsidR="00F733E4" w:rsidRDefault="00F733E4" w:rsidP="00952F7B">
    <w:pPr>
      <w:pStyle w:val="Header"/>
      <w:jc w:val="right"/>
    </w:pPr>
    <w:r>
      <w:rPr>
        <w:noProof/>
        <w:lang w:eastAsia="en-NZ"/>
      </w:rPr>
      <w:drawing>
        <wp:inline distT="0" distB="0" distL="0" distR="0" wp14:anchorId="376D4BBB" wp14:editId="01DD800B">
          <wp:extent cx="3712845" cy="65214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2845" cy="652145"/>
                  </a:xfrm>
                  <a:prstGeom prst="rect">
                    <a:avLst/>
                  </a:prstGeom>
                  <a:noFill/>
                </pic:spPr>
              </pic:pic>
            </a:graphicData>
          </a:graphic>
        </wp:inline>
      </w:drawing>
    </w:r>
  </w:p>
  <w:p w14:paraId="773AEF80" w14:textId="77777777" w:rsidR="00F733E4" w:rsidRDefault="00F733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7AA1" w14:textId="77777777" w:rsidR="00F733E4" w:rsidRDefault="00F733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25E4F" w14:textId="77777777" w:rsidR="00F733E4" w:rsidRDefault="00F733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680C" w14:textId="16FAC1C9" w:rsidR="00F733E4" w:rsidRPr="0080368E" w:rsidRDefault="00F733E4" w:rsidP="008036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FE9D4" w14:textId="77777777" w:rsidR="00F733E4" w:rsidRDefault="00F733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C21A8" w14:textId="77777777" w:rsidR="00F733E4" w:rsidRDefault="00F733E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BC82A" w14:textId="164BD2D8" w:rsidR="00F733E4" w:rsidRPr="0080368E" w:rsidRDefault="00F733E4" w:rsidP="0080368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B8221" w14:textId="77777777" w:rsidR="00F733E4" w:rsidRDefault="00F73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3D5366A"/>
    <w:multiLevelType w:val="hybridMultilevel"/>
    <w:tmpl w:val="78D64014"/>
    <w:lvl w:ilvl="0" w:tplc="B1CEAA46">
      <w:start w:val="1"/>
      <w:numFmt w:val="bullet"/>
      <w:lvlText w:val=""/>
      <w:lvlJc w:val="left"/>
      <w:pPr>
        <w:ind w:left="720" w:hanging="360"/>
      </w:pPr>
      <w:rPr>
        <w:rFonts w:ascii="Wingdings" w:hAnsi="Wingdings"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3">
    <w:nsid w:val="07B973E4"/>
    <w:multiLevelType w:val="hybridMultilevel"/>
    <w:tmpl w:val="2E70D6C2"/>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0B1F50FE"/>
    <w:multiLevelType w:val="hybridMultilevel"/>
    <w:tmpl w:val="5D7A8446"/>
    <w:lvl w:ilvl="0" w:tplc="F37A4368">
      <w:start w:val="1"/>
      <w:numFmt w:val="decimal"/>
      <w:pStyle w:val="Briefingtext"/>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1">
      <w:start w:val="1"/>
      <w:numFmt w:val="bullet"/>
      <w:lvlText w:val=""/>
      <w:lvlJc w:val="left"/>
      <w:pPr>
        <w:tabs>
          <w:tab w:val="num" w:pos="1440"/>
        </w:tabs>
        <w:ind w:left="144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6">
    <w:nsid w:val="0BE45584"/>
    <w:multiLevelType w:val="hybridMultilevel"/>
    <w:tmpl w:val="6C544538"/>
    <w:lvl w:ilvl="0" w:tplc="ED06B8FE">
      <w:start w:val="1"/>
      <w:numFmt w:val="bullet"/>
      <w:lvlText w:val=""/>
      <w:lvlJc w:val="left"/>
      <w:pPr>
        <w:ind w:left="785"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35C68AE"/>
    <w:multiLevelType w:val="hybridMultilevel"/>
    <w:tmpl w:val="73BA2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9">
    <w:nsid w:val="29E73074"/>
    <w:multiLevelType w:val="hybridMultilevel"/>
    <w:tmpl w:val="109C9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2AEF4F6A"/>
    <w:multiLevelType w:val="hybridMultilevel"/>
    <w:tmpl w:val="DA269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CA73EB2"/>
    <w:multiLevelType w:val="multilevel"/>
    <w:tmpl w:val="BCEC4FB6"/>
    <w:lvl w:ilvl="0">
      <w:start w:val="1"/>
      <w:numFmt w:val="decimal"/>
      <w:lvlText w:val="%1."/>
      <w:lvlJc w:val="left"/>
      <w:pPr>
        <w:ind w:left="567" w:hanging="567"/>
      </w:pPr>
    </w:lvl>
    <w:lvl w:ilvl="1">
      <w:start w:val="1"/>
      <w:numFmt w:val="bullet"/>
      <w:lvlText w:val=""/>
      <w:lvlJc w:val="left"/>
      <w:pPr>
        <w:ind w:left="1304" w:hanging="737"/>
      </w:pPr>
      <w:rPr>
        <w:rFonts w:ascii="Symbol" w:hAnsi="Symbol" w:hint="default"/>
      </w:rPr>
    </w:lvl>
    <w:lvl w:ilvl="2">
      <w:start w:val="1"/>
      <w:numFmt w:val="decimal"/>
      <w:lvlText w:val="%1.%2.%3"/>
      <w:lvlJc w:val="left"/>
      <w:pPr>
        <w:tabs>
          <w:tab w:val="num" w:pos="1304"/>
        </w:tabs>
        <w:ind w:left="2211" w:hanging="90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43C0D8D"/>
    <w:multiLevelType w:val="hybridMultilevel"/>
    <w:tmpl w:val="F9F4B1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3DB04ADA"/>
    <w:multiLevelType w:val="hybridMultilevel"/>
    <w:tmpl w:val="8628205E"/>
    <w:lvl w:ilvl="0" w:tplc="7C5C554C">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55F1D0B"/>
    <w:multiLevelType w:val="hybridMultilevel"/>
    <w:tmpl w:val="E10C0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6E801D2"/>
    <w:multiLevelType w:val="hybridMultilevel"/>
    <w:tmpl w:val="A19C4B2E"/>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B040B73"/>
    <w:multiLevelType w:val="hybridMultilevel"/>
    <w:tmpl w:val="F1DC15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D6F578B"/>
    <w:multiLevelType w:val="hybridMultilevel"/>
    <w:tmpl w:val="3450526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4F571303"/>
    <w:multiLevelType w:val="hybridMultilevel"/>
    <w:tmpl w:val="1DBC18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00F0501"/>
    <w:multiLevelType w:val="multilevel"/>
    <w:tmpl w:val="2D9C2C26"/>
    <w:lvl w:ilvl="0">
      <w:start w:val="1"/>
      <w:numFmt w:val="bullet"/>
      <w:lvlText w:val=""/>
      <w:lvlJc w:val="left"/>
      <w:pPr>
        <w:ind w:left="357" w:hanging="357"/>
      </w:pPr>
      <w:rPr>
        <w:rFonts w:ascii="Symbol" w:hAnsi="Symbol" w:hint="default"/>
        <w:sz w:val="18"/>
      </w:rPr>
    </w:lvl>
    <w:lvl w:ilvl="1">
      <w:start w:val="1"/>
      <w:numFmt w:val="bullet"/>
      <w:lvlText w:val=""/>
      <w:lvlJc w:val="left"/>
      <w:pPr>
        <w:ind w:left="714" w:hanging="357"/>
      </w:pPr>
      <w:rPr>
        <w:rFonts w:ascii="Wingdings" w:hAnsi="Wingdings" w:hint="default"/>
        <w:b w:val="0"/>
        <w:i w:val="0"/>
        <w:caps w:val="0"/>
        <w:strike w:val="0"/>
        <w:dstrike w:val="0"/>
        <w:vanish w:val="0"/>
        <w:sz w:val="16"/>
        <w:vertAlign w:val="baseline"/>
      </w:rPr>
    </w:lvl>
    <w:lvl w:ilvl="2">
      <w:start w:val="1"/>
      <w:numFmt w:val="bullet"/>
      <w:lvlRestart w:val="0"/>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4">
    <w:nsid w:val="519A348E"/>
    <w:multiLevelType w:val="multilevel"/>
    <w:tmpl w:val="BCEC4FB6"/>
    <w:lvl w:ilvl="0">
      <w:start w:val="1"/>
      <w:numFmt w:val="decimal"/>
      <w:lvlText w:val="%1."/>
      <w:lvlJc w:val="left"/>
      <w:pPr>
        <w:ind w:left="567" w:hanging="567"/>
      </w:pPr>
    </w:lvl>
    <w:lvl w:ilvl="1">
      <w:start w:val="1"/>
      <w:numFmt w:val="bullet"/>
      <w:lvlText w:val=""/>
      <w:lvlJc w:val="left"/>
      <w:pPr>
        <w:ind w:left="1304" w:hanging="737"/>
      </w:pPr>
      <w:rPr>
        <w:rFonts w:ascii="Symbol" w:hAnsi="Symbol" w:hint="default"/>
      </w:rPr>
    </w:lvl>
    <w:lvl w:ilvl="2">
      <w:start w:val="1"/>
      <w:numFmt w:val="decimal"/>
      <w:lvlText w:val="%1.%2.%3"/>
      <w:lvlJc w:val="left"/>
      <w:pPr>
        <w:tabs>
          <w:tab w:val="num" w:pos="1304"/>
        </w:tabs>
        <w:ind w:left="2211" w:hanging="90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A15"/>
    <w:multiLevelType w:val="hybridMultilevel"/>
    <w:tmpl w:val="06C61D6E"/>
    <w:lvl w:ilvl="0" w:tplc="5E067B62">
      <w:start w:val="1"/>
      <w:numFmt w:val="decimal"/>
      <w:lvlText w:val="%1)"/>
      <w:lvlJc w:val="left"/>
      <w:pPr>
        <w:ind w:left="780" w:hanging="42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5F7E1EE0"/>
    <w:multiLevelType w:val="hybridMultilevel"/>
    <w:tmpl w:val="F99A34DE"/>
    <w:lvl w:ilvl="0" w:tplc="7C5C554C">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2">
    <w:nsid w:val="679D3F27"/>
    <w:multiLevelType w:val="hybridMultilevel"/>
    <w:tmpl w:val="1E88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8001753"/>
    <w:multiLevelType w:val="hybridMultilevel"/>
    <w:tmpl w:val="F1EA2C0C"/>
    <w:lvl w:ilvl="0" w:tplc="7C5C554C">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6A742A44"/>
    <w:multiLevelType w:val="hybridMultilevel"/>
    <w:tmpl w:val="59185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6B0E4957"/>
    <w:multiLevelType w:val="hybridMultilevel"/>
    <w:tmpl w:val="A32A06A6"/>
    <w:lvl w:ilvl="0" w:tplc="534AB27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7">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8">
    <w:nsid w:val="6F6418BD"/>
    <w:multiLevelType w:val="hybridMultilevel"/>
    <w:tmpl w:val="152A5524"/>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721674B4"/>
    <w:multiLevelType w:val="hybridMultilevel"/>
    <w:tmpl w:val="DF7AD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74855E13"/>
    <w:multiLevelType w:val="hybridMultilevel"/>
    <w:tmpl w:val="BB0C42B0"/>
    <w:lvl w:ilvl="0" w:tplc="D36676A6">
      <w:start w:val="1"/>
      <w:numFmt w:val="bullet"/>
      <w:lvlText w:val=""/>
      <w:lvlJc w:val="left"/>
      <w:pPr>
        <w:ind w:left="720" w:hanging="360"/>
      </w:pPr>
      <w:rPr>
        <w:rFonts w:ascii="Wingdings" w:hAnsi="Wingdings"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52">
    <w:nsid w:val="7A11220E"/>
    <w:multiLevelType w:val="hybridMultilevel"/>
    <w:tmpl w:val="4F447B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25"/>
  </w:num>
  <w:num w:numId="4">
    <w:abstractNumId w:val="47"/>
  </w:num>
  <w:num w:numId="5">
    <w:abstractNumId w:val="39"/>
  </w:num>
  <w:num w:numId="6">
    <w:abstractNumId w:val="41"/>
  </w:num>
  <w:num w:numId="7">
    <w:abstractNumId w:val="23"/>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51"/>
  </w:num>
  <w:num w:numId="21">
    <w:abstractNumId w:val="46"/>
  </w:num>
  <w:num w:numId="22">
    <w:abstractNumId w:val="40"/>
  </w:num>
  <w:num w:numId="23">
    <w:abstractNumId w:val="29"/>
  </w:num>
  <w:num w:numId="24">
    <w:abstractNumId w:val="24"/>
  </w:num>
  <w:num w:numId="25">
    <w:abstractNumId w:val="15"/>
  </w:num>
  <w:num w:numId="26">
    <w:abstractNumId w:val="10"/>
  </w:num>
  <w:num w:numId="27">
    <w:abstractNumId w:val="14"/>
  </w:num>
  <w:num w:numId="28">
    <w:abstractNumId w:val="45"/>
  </w:num>
  <w:num w:numId="2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0"/>
  </w:num>
  <w:num w:numId="33">
    <w:abstractNumId w:val="27"/>
  </w:num>
  <w:num w:numId="34">
    <w:abstractNumId w:val="19"/>
  </w:num>
  <w:num w:numId="35">
    <w:abstractNumId w:val="28"/>
  </w:num>
  <w:num w:numId="36">
    <w:abstractNumId w:val="50"/>
  </w:num>
  <w:num w:numId="37">
    <w:abstractNumId w:val="48"/>
  </w:num>
  <w:num w:numId="38">
    <w:abstractNumId w:val="38"/>
  </w:num>
  <w:num w:numId="39">
    <w:abstractNumId w:val="13"/>
  </w:num>
  <w:num w:numId="40">
    <w:abstractNumId w:val="43"/>
  </w:num>
  <w:num w:numId="41">
    <w:abstractNumId w:val="26"/>
  </w:num>
  <w:num w:numId="42">
    <w:abstractNumId w:val="17"/>
  </w:num>
  <w:num w:numId="43">
    <w:abstractNumId w:val="44"/>
  </w:num>
  <w:num w:numId="44">
    <w:abstractNumId w:val="42"/>
  </w:num>
  <w:num w:numId="45">
    <w:abstractNumId w:val="32"/>
  </w:num>
  <w:num w:numId="46">
    <w:abstractNumId w:val="49"/>
  </w:num>
  <w:num w:numId="47">
    <w:abstractNumId w:val="16"/>
  </w:num>
  <w:num w:numId="48">
    <w:abstractNumId w:val="33"/>
  </w:num>
  <w:num w:numId="49">
    <w:abstractNumId w:val="52"/>
  </w:num>
  <w:num w:numId="50">
    <w:abstractNumId w:val="22"/>
  </w:num>
  <w:num w:numId="51">
    <w:abstractNumId w:val="31"/>
  </w:num>
  <w:num w:numId="52">
    <w:abstractNumId w:val="11"/>
  </w:num>
  <w:num w:numId="53">
    <w:abstractNumId w:val="35"/>
  </w:num>
  <w:numIdMacAtCleanup w:val="46"/>
</w:numbering>
</file>

<file path=word/people.xml><?xml version="1.0" encoding="utf-8"?>
<w15:people xmlns:mc="http://schemas.openxmlformats.org/markup-compatibility/2006" xmlns:w15="http://schemas.microsoft.com/office/word/2012/wordml" mc:Ignorable="w15">
  <w15:person w15:author="Nicky Beechey">
    <w15:presenceInfo w15:providerId="AD" w15:userId="NICKY.BEECHEY@DIA.GOVT.N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2530"/>
    <o:shapelayout v:ext="edit">
      <o:idmap v:ext="edit" data="22"/>
    </o:shapelayout>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66"/>
    <w:rsid w:val="00000868"/>
    <w:rsid w:val="00000916"/>
    <w:rsid w:val="00003360"/>
    <w:rsid w:val="00004AB3"/>
    <w:rsid w:val="00010C06"/>
    <w:rsid w:val="000119B1"/>
    <w:rsid w:val="00011BCF"/>
    <w:rsid w:val="00015335"/>
    <w:rsid w:val="00017E48"/>
    <w:rsid w:val="00020010"/>
    <w:rsid w:val="00022061"/>
    <w:rsid w:val="00022BDF"/>
    <w:rsid w:val="00023B12"/>
    <w:rsid w:val="00024333"/>
    <w:rsid w:val="0002471A"/>
    <w:rsid w:val="0002485C"/>
    <w:rsid w:val="000252E6"/>
    <w:rsid w:val="000254F6"/>
    <w:rsid w:val="00034673"/>
    <w:rsid w:val="00034F24"/>
    <w:rsid w:val="00035462"/>
    <w:rsid w:val="0003650D"/>
    <w:rsid w:val="00036EFE"/>
    <w:rsid w:val="0003765E"/>
    <w:rsid w:val="00040039"/>
    <w:rsid w:val="000409E2"/>
    <w:rsid w:val="0004415F"/>
    <w:rsid w:val="00044EA1"/>
    <w:rsid w:val="000458E3"/>
    <w:rsid w:val="00050E13"/>
    <w:rsid w:val="000524BA"/>
    <w:rsid w:val="00053A48"/>
    <w:rsid w:val="00054E23"/>
    <w:rsid w:val="00055193"/>
    <w:rsid w:val="00055BEF"/>
    <w:rsid w:val="00056DB7"/>
    <w:rsid w:val="0006007E"/>
    <w:rsid w:val="000612CB"/>
    <w:rsid w:val="00061F66"/>
    <w:rsid w:val="00062AF0"/>
    <w:rsid w:val="00063BB2"/>
    <w:rsid w:val="000644C0"/>
    <w:rsid w:val="0006732C"/>
    <w:rsid w:val="00067A57"/>
    <w:rsid w:val="00067DA7"/>
    <w:rsid w:val="0007068B"/>
    <w:rsid w:val="00072954"/>
    <w:rsid w:val="00072B7D"/>
    <w:rsid w:val="00072C7A"/>
    <w:rsid w:val="00076035"/>
    <w:rsid w:val="00077013"/>
    <w:rsid w:val="00077EA7"/>
    <w:rsid w:val="0008044E"/>
    <w:rsid w:val="0008403F"/>
    <w:rsid w:val="00084281"/>
    <w:rsid w:val="000901DD"/>
    <w:rsid w:val="00090717"/>
    <w:rsid w:val="00091534"/>
    <w:rsid w:val="00091C3A"/>
    <w:rsid w:val="00091DFB"/>
    <w:rsid w:val="0009334A"/>
    <w:rsid w:val="000938B8"/>
    <w:rsid w:val="000A2115"/>
    <w:rsid w:val="000A2511"/>
    <w:rsid w:val="000A4A2D"/>
    <w:rsid w:val="000A515D"/>
    <w:rsid w:val="000B6B02"/>
    <w:rsid w:val="000C0E37"/>
    <w:rsid w:val="000C3E5E"/>
    <w:rsid w:val="000C4B1F"/>
    <w:rsid w:val="000C50BD"/>
    <w:rsid w:val="000C6423"/>
    <w:rsid w:val="000D02EE"/>
    <w:rsid w:val="000D18DF"/>
    <w:rsid w:val="000D6F08"/>
    <w:rsid w:val="000E3624"/>
    <w:rsid w:val="000E4731"/>
    <w:rsid w:val="000E555B"/>
    <w:rsid w:val="000E64F7"/>
    <w:rsid w:val="000E677B"/>
    <w:rsid w:val="000F2E1A"/>
    <w:rsid w:val="000F4ADF"/>
    <w:rsid w:val="000F57CC"/>
    <w:rsid w:val="000F59E8"/>
    <w:rsid w:val="000F61AF"/>
    <w:rsid w:val="000F68B8"/>
    <w:rsid w:val="0010171C"/>
    <w:rsid w:val="001018FF"/>
    <w:rsid w:val="001020CA"/>
    <w:rsid w:val="00102CFE"/>
    <w:rsid w:val="00102FAD"/>
    <w:rsid w:val="00104A02"/>
    <w:rsid w:val="001074B6"/>
    <w:rsid w:val="00107747"/>
    <w:rsid w:val="00107AE6"/>
    <w:rsid w:val="00113C9F"/>
    <w:rsid w:val="00114CFA"/>
    <w:rsid w:val="00115237"/>
    <w:rsid w:val="001154CC"/>
    <w:rsid w:val="00115DD9"/>
    <w:rsid w:val="001177D3"/>
    <w:rsid w:val="00117C33"/>
    <w:rsid w:val="001216FF"/>
    <w:rsid w:val="00121870"/>
    <w:rsid w:val="00122653"/>
    <w:rsid w:val="001254AB"/>
    <w:rsid w:val="00126E00"/>
    <w:rsid w:val="00127485"/>
    <w:rsid w:val="001301C2"/>
    <w:rsid w:val="0013094B"/>
    <w:rsid w:val="00131E7B"/>
    <w:rsid w:val="001338EC"/>
    <w:rsid w:val="00136483"/>
    <w:rsid w:val="001410C4"/>
    <w:rsid w:val="00141BFC"/>
    <w:rsid w:val="001454AD"/>
    <w:rsid w:val="001466D9"/>
    <w:rsid w:val="0014687C"/>
    <w:rsid w:val="00151740"/>
    <w:rsid w:val="001520A8"/>
    <w:rsid w:val="001526D2"/>
    <w:rsid w:val="00154603"/>
    <w:rsid w:val="0015614B"/>
    <w:rsid w:val="00161F4C"/>
    <w:rsid w:val="001628F6"/>
    <w:rsid w:val="00163BFE"/>
    <w:rsid w:val="0016433D"/>
    <w:rsid w:val="001644C5"/>
    <w:rsid w:val="00165DAA"/>
    <w:rsid w:val="001669DD"/>
    <w:rsid w:val="00173B4F"/>
    <w:rsid w:val="00174DA6"/>
    <w:rsid w:val="001763E3"/>
    <w:rsid w:val="00176D58"/>
    <w:rsid w:val="001811AB"/>
    <w:rsid w:val="0018122C"/>
    <w:rsid w:val="00182242"/>
    <w:rsid w:val="001823BF"/>
    <w:rsid w:val="00183257"/>
    <w:rsid w:val="001838EC"/>
    <w:rsid w:val="00184E79"/>
    <w:rsid w:val="00187F6D"/>
    <w:rsid w:val="00191195"/>
    <w:rsid w:val="00192A67"/>
    <w:rsid w:val="00192A97"/>
    <w:rsid w:val="00193678"/>
    <w:rsid w:val="00193AE0"/>
    <w:rsid w:val="001955BC"/>
    <w:rsid w:val="00196308"/>
    <w:rsid w:val="001A420E"/>
    <w:rsid w:val="001A55DD"/>
    <w:rsid w:val="001A5F55"/>
    <w:rsid w:val="001B0E80"/>
    <w:rsid w:val="001B2067"/>
    <w:rsid w:val="001B303F"/>
    <w:rsid w:val="001B54E1"/>
    <w:rsid w:val="001B58FF"/>
    <w:rsid w:val="001B599F"/>
    <w:rsid w:val="001B6323"/>
    <w:rsid w:val="001C0031"/>
    <w:rsid w:val="001C04BF"/>
    <w:rsid w:val="001C0A8F"/>
    <w:rsid w:val="001C1085"/>
    <w:rsid w:val="001C2326"/>
    <w:rsid w:val="001C4364"/>
    <w:rsid w:val="001C43B8"/>
    <w:rsid w:val="001C5D5E"/>
    <w:rsid w:val="001C6D4C"/>
    <w:rsid w:val="001D0111"/>
    <w:rsid w:val="001D0C98"/>
    <w:rsid w:val="001D3466"/>
    <w:rsid w:val="001D39BD"/>
    <w:rsid w:val="001E1741"/>
    <w:rsid w:val="001E3189"/>
    <w:rsid w:val="001F5C79"/>
    <w:rsid w:val="00205380"/>
    <w:rsid w:val="00205FE8"/>
    <w:rsid w:val="00206405"/>
    <w:rsid w:val="00206BA3"/>
    <w:rsid w:val="002100CE"/>
    <w:rsid w:val="0021027B"/>
    <w:rsid w:val="00214499"/>
    <w:rsid w:val="00215160"/>
    <w:rsid w:val="00215164"/>
    <w:rsid w:val="00217ACB"/>
    <w:rsid w:val="0022044A"/>
    <w:rsid w:val="002224B4"/>
    <w:rsid w:val="00223125"/>
    <w:rsid w:val="00223DD9"/>
    <w:rsid w:val="0022522F"/>
    <w:rsid w:val="002256D2"/>
    <w:rsid w:val="00226D5E"/>
    <w:rsid w:val="00226FFD"/>
    <w:rsid w:val="00231F47"/>
    <w:rsid w:val="002344CC"/>
    <w:rsid w:val="00234B51"/>
    <w:rsid w:val="002366B0"/>
    <w:rsid w:val="00237A3D"/>
    <w:rsid w:val="002402B8"/>
    <w:rsid w:val="00240E83"/>
    <w:rsid w:val="002412C6"/>
    <w:rsid w:val="00241F6F"/>
    <w:rsid w:val="00246816"/>
    <w:rsid w:val="002502D1"/>
    <w:rsid w:val="00250396"/>
    <w:rsid w:val="00250B74"/>
    <w:rsid w:val="002537C0"/>
    <w:rsid w:val="0025464B"/>
    <w:rsid w:val="00255704"/>
    <w:rsid w:val="00255CA6"/>
    <w:rsid w:val="00255D6C"/>
    <w:rsid w:val="00257B04"/>
    <w:rsid w:val="00257FEA"/>
    <w:rsid w:val="002610DA"/>
    <w:rsid w:val="0026244F"/>
    <w:rsid w:val="00263CE7"/>
    <w:rsid w:val="002647D1"/>
    <w:rsid w:val="0026609E"/>
    <w:rsid w:val="00270EEC"/>
    <w:rsid w:val="00271A0D"/>
    <w:rsid w:val="00272495"/>
    <w:rsid w:val="00272496"/>
    <w:rsid w:val="002745E8"/>
    <w:rsid w:val="0027480E"/>
    <w:rsid w:val="0027494F"/>
    <w:rsid w:val="00274C03"/>
    <w:rsid w:val="00275C1A"/>
    <w:rsid w:val="00276953"/>
    <w:rsid w:val="00277537"/>
    <w:rsid w:val="00280116"/>
    <w:rsid w:val="002806A2"/>
    <w:rsid w:val="00280D2C"/>
    <w:rsid w:val="0028163C"/>
    <w:rsid w:val="00283AC0"/>
    <w:rsid w:val="0028649D"/>
    <w:rsid w:val="002915BD"/>
    <w:rsid w:val="00291AE4"/>
    <w:rsid w:val="002969AE"/>
    <w:rsid w:val="00296CEC"/>
    <w:rsid w:val="00297CC7"/>
    <w:rsid w:val="002A13FF"/>
    <w:rsid w:val="002A194F"/>
    <w:rsid w:val="002A4BD9"/>
    <w:rsid w:val="002A4FE7"/>
    <w:rsid w:val="002B1CEB"/>
    <w:rsid w:val="002B4543"/>
    <w:rsid w:val="002B57F4"/>
    <w:rsid w:val="002C2E36"/>
    <w:rsid w:val="002C3830"/>
    <w:rsid w:val="002C3CB5"/>
    <w:rsid w:val="002C55C7"/>
    <w:rsid w:val="002C613E"/>
    <w:rsid w:val="002D0B27"/>
    <w:rsid w:val="002D124E"/>
    <w:rsid w:val="002D5DC2"/>
    <w:rsid w:val="002D7658"/>
    <w:rsid w:val="002E022E"/>
    <w:rsid w:val="002E1494"/>
    <w:rsid w:val="002E1679"/>
    <w:rsid w:val="002E4A26"/>
    <w:rsid w:val="002E58AF"/>
    <w:rsid w:val="002F113D"/>
    <w:rsid w:val="002F13B2"/>
    <w:rsid w:val="002F33F8"/>
    <w:rsid w:val="002F60D1"/>
    <w:rsid w:val="002F66E1"/>
    <w:rsid w:val="002F7B44"/>
    <w:rsid w:val="002F7FE5"/>
    <w:rsid w:val="0030084C"/>
    <w:rsid w:val="003024C1"/>
    <w:rsid w:val="003031A6"/>
    <w:rsid w:val="00303C4C"/>
    <w:rsid w:val="00304360"/>
    <w:rsid w:val="00306CC0"/>
    <w:rsid w:val="00307452"/>
    <w:rsid w:val="003129BA"/>
    <w:rsid w:val="003148FC"/>
    <w:rsid w:val="00322EBA"/>
    <w:rsid w:val="0032484F"/>
    <w:rsid w:val="00324A43"/>
    <w:rsid w:val="00327909"/>
    <w:rsid w:val="00330820"/>
    <w:rsid w:val="00332731"/>
    <w:rsid w:val="003333E1"/>
    <w:rsid w:val="00334C54"/>
    <w:rsid w:val="00336F82"/>
    <w:rsid w:val="00337BE5"/>
    <w:rsid w:val="00342104"/>
    <w:rsid w:val="003439F8"/>
    <w:rsid w:val="0034456D"/>
    <w:rsid w:val="00344CDF"/>
    <w:rsid w:val="00346846"/>
    <w:rsid w:val="0034735A"/>
    <w:rsid w:val="003474C2"/>
    <w:rsid w:val="00350FA0"/>
    <w:rsid w:val="00351263"/>
    <w:rsid w:val="00354EE6"/>
    <w:rsid w:val="00356224"/>
    <w:rsid w:val="00357AAC"/>
    <w:rsid w:val="003605B7"/>
    <w:rsid w:val="00365628"/>
    <w:rsid w:val="00367102"/>
    <w:rsid w:val="00367B1A"/>
    <w:rsid w:val="00370FC0"/>
    <w:rsid w:val="00373206"/>
    <w:rsid w:val="00373624"/>
    <w:rsid w:val="0037412F"/>
    <w:rsid w:val="0037449C"/>
    <w:rsid w:val="0038011C"/>
    <w:rsid w:val="003804E0"/>
    <w:rsid w:val="003822EF"/>
    <w:rsid w:val="0038314D"/>
    <w:rsid w:val="00386211"/>
    <w:rsid w:val="003874C1"/>
    <w:rsid w:val="00395062"/>
    <w:rsid w:val="00395B15"/>
    <w:rsid w:val="00395B62"/>
    <w:rsid w:val="0039686B"/>
    <w:rsid w:val="003A10DA"/>
    <w:rsid w:val="003A12C8"/>
    <w:rsid w:val="003A2F59"/>
    <w:rsid w:val="003A4F22"/>
    <w:rsid w:val="003A6B98"/>
    <w:rsid w:val="003A6FFE"/>
    <w:rsid w:val="003A7017"/>
    <w:rsid w:val="003B02B4"/>
    <w:rsid w:val="003B2897"/>
    <w:rsid w:val="003B3A23"/>
    <w:rsid w:val="003B4528"/>
    <w:rsid w:val="003B478A"/>
    <w:rsid w:val="003B6DBB"/>
    <w:rsid w:val="003B7363"/>
    <w:rsid w:val="003C31AD"/>
    <w:rsid w:val="003C580A"/>
    <w:rsid w:val="003D0350"/>
    <w:rsid w:val="003D11DB"/>
    <w:rsid w:val="003D13BE"/>
    <w:rsid w:val="003D4592"/>
    <w:rsid w:val="003E2BDE"/>
    <w:rsid w:val="003E48A4"/>
    <w:rsid w:val="003E5772"/>
    <w:rsid w:val="003E66DB"/>
    <w:rsid w:val="003E7293"/>
    <w:rsid w:val="003F385B"/>
    <w:rsid w:val="003F3CD1"/>
    <w:rsid w:val="003F55CB"/>
    <w:rsid w:val="003F5688"/>
    <w:rsid w:val="003F5886"/>
    <w:rsid w:val="003F7394"/>
    <w:rsid w:val="003F796C"/>
    <w:rsid w:val="0040020C"/>
    <w:rsid w:val="004002E7"/>
    <w:rsid w:val="004005C0"/>
    <w:rsid w:val="004008A7"/>
    <w:rsid w:val="00404743"/>
    <w:rsid w:val="00404F1E"/>
    <w:rsid w:val="00405EFA"/>
    <w:rsid w:val="0040700B"/>
    <w:rsid w:val="00407C2E"/>
    <w:rsid w:val="00407F54"/>
    <w:rsid w:val="00410F60"/>
    <w:rsid w:val="00411341"/>
    <w:rsid w:val="004116F8"/>
    <w:rsid w:val="00413966"/>
    <w:rsid w:val="00414D77"/>
    <w:rsid w:val="00415CDB"/>
    <w:rsid w:val="004165BA"/>
    <w:rsid w:val="004208BB"/>
    <w:rsid w:val="00421B80"/>
    <w:rsid w:val="00421D03"/>
    <w:rsid w:val="004229AF"/>
    <w:rsid w:val="00422D42"/>
    <w:rsid w:val="004231DC"/>
    <w:rsid w:val="00424F96"/>
    <w:rsid w:val="004251B4"/>
    <w:rsid w:val="0042551E"/>
    <w:rsid w:val="004259B5"/>
    <w:rsid w:val="0042634B"/>
    <w:rsid w:val="00433AD8"/>
    <w:rsid w:val="00435905"/>
    <w:rsid w:val="00436533"/>
    <w:rsid w:val="0043717D"/>
    <w:rsid w:val="004371F4"/>
    <w:rsid w:val="0043720C"/>
    <w:rsid w:val="00440E19"/>
    <w:rsid w:val="004436A8"/>
    <w:rsid w:val="00445F61"/>
    <w:rsid w:val="00446437"/>
    <w:rsid w:val="00451B4D"/>
    <w:rsid w:val="0045323B"/>
    <w:rsid w:val="00453324"/>
    <w:rsid w:val="004550E6"/>
    <w:rsid w:val="004552A0"/>
    <w:rsid w:val="00456196"/>
    <w:rsid w:val="00456CCF"/>
    <w:rsid w:val="00457015"/>
    <w:rsid w:val="00457544"/>
    <w:rsid w:val="004578BE"/>
    <w:rsid w:val="00460A83"/>
    <w:rsid w:val="00461272"/>
    <w:rsid w:val="00461834"/>
    <w:rsid w:val="00462231"/>
    <w:rsid w:val="00467C1F"/>
    <w:rsid w:val="004708A0"/>
    <w:rsid w:val="00470B4F"/>
    <w:rsid w:val="0047146D"/>
    <w:rsid w:val="0047225D"/>
    <w:rsid w:val="004723ED"/>
    <w:rsid w:val="00474BA0"/>
    <w:rsid w:val="004750B3"/>
    <w:rsid w:val="00476506"/>
    <w:rsid w:val="004771DD"/>
    <w:rsid w:val="00477619"/>
    <w:rsid w:val="00480254"/>
    <w:rsid w:val="004804AE"/>
    <w:rsid w:val="004809E9"/>
    <w:rsid w:val="0048100A"/>
    <w:rsid w:val="0048441E"/>
    <w:rsid w:val="00484CEA"/>
    <w:rsid w:val="004858E1"/>
    <w:rsid w:val="00485C94"/>
    <w:rsid w:val="00486710"/>
    <w:rsid w:val="00486E6E"/>
    <w:rsid w:val="00490B5E"/>
    <w:rsid w:val="00492B11"/>
    <w:rsid w:val="00493DDD"/>
    <w:rsid w:val="00495612"/>
    <w:rsid w:val="004972F6"/>
    <w:rsid w:val="00497F72"/>
    <w:rsid w:val="004A4292"/>
    <w:rsid w:val="004A5823"/>
    <w:rsid w:val="004A7843"/>
    <w:rsid w:val="004B0AAF"/>
    <w:rsid w:val="004B3924"/>
    <w:rsid w:val="004B3E80"/>
    <w:rsid w:val="004B41AC"/>
    <w:rsid w:val="004B62A1"/>
    <w:rsid w:val="004C1F88"/>
    <w:rsid w:val="004C2AD0"/>
    <w:rsid w:val="004C3BC3"/>
    <w:rsid w:val="004C3D4C"/>
    <w:rsid w:val="004C43CB"/>
    <w:rsid w:val="004C4DDD"/>
    <w:rsid w:val="004D1706"/>
    <w:rsid w:val="004D243F"/>
    <w:rsid w:val="004D29CE"/>
    <w:rsid w:val="004D344C"/>
    <w:rsid w:val="004D409F"/>
    <w:rsid w:val="004D6BFF"/>
    <w:rsid w:val="004D7473"/>
    <w:rsid w:val="004D74C2"/>
    <w:rsid w:val="004E0C01"/>
    <w:rsid w:val="004E0F69"/>
    <w:rsid w:val="004E1467"/>
    <w:rsid w:val="004E49B9"/>
    <w:rsid w:val="004E4ED2"/>
    <w:rsid w:val="004E716F"/>
    <w:rsid w:val="004E76BC"/>
    <w:rsid w:val="004F0A88"/>
    <w:rsid w:val="004F0CA3"/>
    <w:rsid w:val="004F10DE"/>
    <w:rsid w:val="004F2D33"/>
    <w:rsid w:val="004F2F97"/>
    <w:rsid w:val="004F4676"/>
    <w:rsid w:val="004F6CDB"/>
    <w:rsid w:val="005001D9"/>
    <w:rsid w:val="005043B4"/>
    <w:rsid w:val="005048EF"/>
    <w:rsid w:val="005077D6"/>
    <w:rsid w:val="00512ACB"/>
    <w:rsid w:val="00515260"/>
    <w:rsid w:val="00515FB7"/>
    <w:rsid w:val="005162C3"/>
    <w:rsid w:val="0051774E"/>
    <w:rsid w:val="0052012D"/>
    <w:rsid w:val="00521451"/>
    <w:rsid w:val="0052216D"/>
    <w:rsid w:val="0052584E"/>
    <w:rsid w:val="00525A8E"/>
    <w:rsid w:val="00526115"/>
    <w:rsid w:val="00527FDC"/>
    <w:rsid w:val="005309BD"/>
    <w:rsid w:val="00530E69"/>
    <w:rsid w:val="00532429"/>
    <w:rsid w:val="00533FAF"/>
    <w:rsid w:val="00534A93"/>
    <w:rsid w:val="005355A4"/>
    <w:rsid w:val="00535B11"/>
    <w:rsid w:val="005366B6"/>
    <w:rsid w:val="00541593"/>
    <w:rsid w:val="00543CC9"/>
    <w:rsid w:val="00544CB3"/>
    <w:rsid w:val="005528E5"/>
    <w:rsid w:val="00555E3F"/>
    <w:rsid w:val="005577B7"/>
    <w:rsid w:val="005608F4"/>
    <w:rsid w:val="00561A97"/>
    <w:rsid w:val="00563DAC"/>
    <w:rsid w:val="0056402B"/>
    <w:rsid w:val="005644EC"/>
    <w:rsid w:val="005675E0"/>
    <w:rsid w:val="00570C00"/>
    <w:rsid w:val="005714D1"/>
    <w:rsid w:val="00571D1D"/>
    <w:rsid w:val="0057370C"/>
    <w:rsid w:val="00574364"/>
    <w:rsid w:val="005755A2"/>
    <w:rsid w:val="00577BB8"/>
    <w:rsid w:val="005808C9"/>
    <w:rsid w:val="00580AFD"/>
    <w:rsid w:val="005810CE"/>
    <w:rsid w:val="0058206B"/>
    <w:rsid w:val="005822D6"/>
    <w:rsid w:val="0058292B"/>
    <w:rsid w:val="00585690"/>
    <w:rsid w:val="005872C6"/>
    <w:rsid w:val="0059004C"/>
    <w:rsid w:val="00590667"/>
    <w:rsid w:val="005930E3"/>
    <w:rsid w:val="00594B91"/>
    <w:rsid w:val="00595B33"/>
    <w:rsid w:val="00595C01"/>
    <w:rsid w:val="0059662F"/>
    <w:rsid w:val="00597E05"/>
    <w:rsid w:val="005B1F1E"/>
    <w:rsid w:val="005B327C"/>
    <w:rsid w:val="005B463A"/>
    <w:rsid w:val="005B5FA1"/>
    <w:rsid w:val="005C073B"/>
    <w:rsid w:val="005C2B6D"/>
    <w:rsid w:val="005C31A8"/>
    <w:rsid w:val="005C32A5"/>
    <w:rsid w:val="005C3736"/>
    <w:rsid w:val="005D1D59"/>
    <w:rsid w:val="005D224C"/>
    <w:rsid w:val="005D3066"/>
    <w:rsid w:val="005E1508"/>
    <w:rsid w:val="005E2C5B"/>
    <w:rsid w:val="005E2EE4"/>
    <w:rsid w:val="005E3715"/>
    <w:rsid w:val="005E4B13"/>
    <w:rsid w:val="005E4C02"/>
    <w:rsid w:val="005F01DF"/>
    <w:rsid w:val="005F028D"/>
    <w:rsid w:val="005F13C0"/>
    <w:rsid w:val="005F1A40"/>
    <w:rsid w:val="005F70C9"/>
    <w:rsid w:val="005F76CC"/>
    <w:rsid w:val="005F7FF8"/>
    <w:rsid w:val="006009F8"/>
    <w:rsid w:val="00600CA4"/>
    <w:rsid w:val="00601C17"/>
    <w:rsid w:val="00602416"/>
    <w:rsid w:val="00603423"/>
    <w:rsid w:val="00603BF3"/>
    <w:rsid w:val="006041F2"/>
    <w:rsid w:val="00610172"/>
    <w:rsid w:val="006109A3"/>
    <w:rsid w:val="00610B7D"/>
    <w:rsid w:val="00612073"/>
    <w:rsid w:val="0061268D"/>
    <w:rsid w:val="006138A4"/>
    <w:rsid w:val="00617CD8"/>
    <w:rsid w:val="006206CF"/>
    <w:rsid w:val="00621FC0"/>
    <w:rsid w:val="006252A2"/>
    <w:rsid w:val="0062725F"/>
    <w:rsid w:val="00627577"/>
    <w:rsid w:val="0062771D"/>
    <w:rsid w:val="00630F6C"/>
    <w:rsid w:val="006355D3"/>
    <w:rsid w:val="00635C70"/>
    <w:rsid w:val="0064307B"/>
    <w:rsid w:val="006436DE"/>
    <w:rsid w:val="00644E90"/>
    <w:rsid w:val="0064690C"/>
    <w:rsid w:val="00646C6C"/>
    <w:rsid w:val="00646D90"/>
    <w:rsid w:val="006514FC"/>
    <w:rsid w:val="00651A9A"/>
    <w:rsid w:val="00652A6D"/>
    <w:rsid w:val="006533A4"/>
    <w:rsid w:val="00654F6F"/>
    <w:rsid w:val="006604FF"/>
    <w:rsid w:val="00662716"/>
    <w:rsid w:val="00663AEA"/>
    <w:rsid w:val="006649B6"/>
    <w:rsid w:val="00664AA9"/>
    <w:rsid w:val="00665ACC"/>
    <w:rsid w:val="0067032D"/>
    <w:rsid w:val="00671EFC"/>
    <w:rsid w:val="00672449"/>
    <w:rsid w:val="00673581"/>
    <w:rsid w:val="00674676"/>
    <w:rsid w:val="00675603"/>
    <w:rsid w:val="0067634B"/>
    <w:rsid w:val="00676936"/>
    <w:rsid w:val="00676F0E"/>
    <w:rsid w:val="00677B13"/>
    <w:rsid w:val="00677F4E"/>
    <w:rsid w:val="00681A08"/>
    <w:rsid w:val="00684069"/>
    <w:rsid w:val="00685ECF"/>
    <w:rsid w:val="006875B8"/>
    <w:rsid w:val="00687CEA"/>
    <w:rsid w:val="00691AA6"/>
    <w:rsid w:val="00695B75"/>
    <w:rsid w:val="00696712"/>
    <w:rsid w:val="006A1A95"/>
    <w:rsid w:val="006A38B7"/>
    <w:rsid w:val="006A3FC8"/>
    <w:rsid w:val="006A42F1"/>
    <w:rsid w:val="006A4D2F"/>
    <w:rsid w:val="006A584B"/>
    <w:rsid w:val="006A6BC7"/>
    <w:rsid w:val="006B126C"/>
    <w:rsid w:val="006B19AA"/>
    <w:rsid w:val="006B1CB2"/>
    <w:rsid w:val="006B1DD1"/>
    <w:rsid w:val="006B2978"/>
    <w:rsid w:val="006B3396"/>
    <w:rsid w:val="006B52D3"/>
    <w:rsid w:val="006C6AF4"/>
    <w:rsid w:val="006C7EAD"/>
    <w:rsid w:val="006D1290"/>
    <w:rsid w:val="006D172F"/>
    <w:rsid w:val="006D26B7"/>
    <w:rsid w:val="006D3AF6"/>
    <w:rsid w:val="006D40CA"/>
    <w:rsid w:val="006D40F6"/>
    <w:rsid w:val="006D5643"/>
    <w:rsid w:val="006D5B48"/>
    <w:rsid w:val="006D5FA3"/>
    <w:rsid w:val="006D638F"/>
    <w:rsid w:val="006E0F3E"/>
    <w:rsid w:val="006E173F"/>
    <w:rsid w:val="006E228F"/>
    <w:rsid w:val="006E3041"/>
    <w:rsid w:val="006E331A"/>
    <w:rsid w:val="006E4DF8"/>
    <w:rsid w:val="006E69CA"/>
    <w:rsid w:val="006E727E"/>
    <w:rsid w:val="006E7BF7"/>
    <w:rsid w:val="006E7DA9"/>
    <w:rsid w:val="006F012B"/>
    <w:rsid w:val="006F0393"/>
    <w:rsid w:val="006F15C9"/>
    <w:rsid w:val="006F247A"/>
    <w:rsid w:val="006F2FD0"/>
    <w:rsid w:val="006F36F0"/>
    <w:rsid w:val="006F46A2"/>
    <w:rsid w:val="006F54E6"/>
    <w:rsid w:val="006F5BF8"/>
    <w:rsid w:val="006F6C53"/>
    <w:rsid w:val="006F7C48"/>
    <w:rsid w:val="0070294B"/>
    <w:rsid w:val="00702C66"/>
    <w:rsid w:val="00703FD0"/>
    <w:rsid w:val="007048F1"/>
    <w:rsid w:val="007068C8"/>
    <w:rsid w:val="00706C7C"/>
    <w:rsid w:val="00707EFF"/>
    <w:rsid w:val="00715B8F"/>
    <w:rsid w:val="00717367"/>
    <w:rsid w:val="007175C5"/>
    <w:rsid w:val="007179DC"/>
    <w:rsid w:val="0072047F"/>
    <w:rsid w:val="007208ED"/>
    <w:rsid w:val="00720C2B"/>
    <w:rsid w:val="007217B8"/>
    <w:rsid w:val="00721CA0"/>
    <w:rsid w:val="00730342"/>
    <w:rsid w:val="0073106E"/>
    <w:rsid w:val="00732849"/>
    <w:rsid w:val="00733884"/>
    <w:rsid w:val="00734953"/>
    <w:rsid w:val="00734B59"/>
    <w:rsid w:val="00734E7E"/>
    <w:rsid w:val="00740F9F"/>
    <w:rsid w:val="00742D0D"/>
    <w:rsid w:val="0075025C"/>
    <w:rsid w:val="007502DD"/>
    <w:rsid w:val="00755EE1"/>
    <w:rsid w:val="00756BB7"/>
    <w:rsid w:val="0075764B"/>
    <w:rsid w:val="00760314"/>
    <w:rsid w:val="00760C01"/>
    <w:rsid w:val="00761293"/>
    <w:rsid w:val="00766080"/>
    <w:rsid w:val="00766C49"/>
    <w:rsid w:val="00766E29"/>
    <w:rsid w:val="00767C04"/>
    <w:rsid w:val="00767E0D"/>
    <w:rsid w:val="00771E2F"/>
    <w:rsid w:val="007722FF"/>
    <w:rsid w:val="007736A2"/>
    <w:rsid w:val="00773DB7"/>
    <w:rsid w:val="007749E1"/>
    <w:rsid w:val="00774A4A"/>
    <w:rsid w:val="00775963"/>
    <w:rsid w:val="00780679"/>
    <w:rsid w:val="00781493"/>
    <w:rsid w:val="007821DD"/>
    <w:rsid w:val="00782648"/>
    <w:rsid w:val="0078521F"/>
    <w:rsid w:val="007907A4"/>
    <w:rsid w:val="00793B4E"/>
    <w:rsid w:val="00795552"/>
    <w:rsid w:val="00795752"/>
    <w:rsid w:val="00796F9A"/>
    <w:rsid w:val="007A1791"/>
    <w:rsid w:val="007A6226"/>
    <w:rsid w:val="007A7DDB"/>
    <w:rsid w:val="007B09A3"/>
    <w:rsid w:val="007B20AD"/>
    <w:rsid w:val="007B2FAF"/>
    <w:rsid w:val="007B3C61"/>
    <w:rsid w:val="007B4C9E"/>
    <w:rsid w:val="007B79FC"/>
    <w:rsid w:val="007C71AC"/>
    <w:rsid w:val="007D0DA7"/>
    <w:rsid w:val="007D1918"/>
    <w:rsid w:val="007D3F7C"/>
    <w:rsid w:val="007D677D"/>
    <w:rsid w:val="007E4B95"/>
    <w:rsid w:val="007E62DA"/>
    <w:rsid w:val="007F3B71"/>
    <w:rsid w:val="007F3E1A"/>
    <w:rsid w:val="007F549B"/>
    <w:rsid w:val="007F54D5"/>
    <w:rsid w:val="008011DC"/>
    <w:rsid w:val="0080199D"/>
    <w:rsid w:val="00801B5B"/>
    <w:rsid w:val="0080368E"/>
    <w:rsid w:val="00804410"/>
    <w:rsid w:val="00804F1E"/>
    <w:rsid w:val="0080535C"/>
    <w:rsid w:val="00806E1E"/>
    <w:rsid w:val="0080740E"/>
    <w:rsid w:val="008145F8"/>
    <w:rsid w:val="00814946"/>
    <w:rsid w:val="0081502C"/>
    <w:rsid w:val="00815D65"/>
    <w:rsid w:val="008166BA"/>
    <w:rsid w:val="0082264B"/>
    <w:rsid w:val="00826574"/>
    <w:rsid w:val="00826832"/>
    <w:rsid w:val="00826CBC"/>
    <w:rsid w:val="0082765B"/>
    <w:rsid w:val="00827E74"/>
    <w:rsid w:val="0083031C"/>
    <w:rsid w:val="00830A7D"/>
    <w:rsid w:val="00832067"/>
    <w:rsid w:val="00832337"/>
    <w:rsid w:val="00834EB5"/>
    <w:rsid w:val="008352A9"/>
    <w:rsid w:val="008356C9"/>
    <w:rsid w:val="00835BD7"/>
    <w:rsid w:val="0083600E"/>
    <w:rsid w:val="0084142B"/>
    <w:rsid w:val="00843D71"/>
    <w:rsid w:val="00844425"/>
    <w:rsid w:val="0084635C"/>
    <w:rsid w:val="0084745A"/>
    <w:rsid w:val="00854409"/>
    <w:rsid w:val="0085488A"/>
    <w:rsid w:val="00855A8C"/>
    <w:rsid w:val="00860E2F"/>
    <w:rsid w:val="00865E7A"/>
    <w:rsid w:val="00870045"/>
    <w:rsid w:val="00876787"/>
    <w:rsid w:val="00876E5F"/>
    <w:rsid w:val="00877DCD"/>
    <w:rsid w:val="00880440"/>
    <w:rsid w:val="00884199"/>
    <w:rsid w:val="008858F3"/>
    <w:rsid w:val="00886285"/>
    <w:rsid w:val="00890CE4"/>
    <w:rsid w:val="00893D5A"/>
    <w:rsid w:val="00894177"/>
    <w:rsid w:val="00894FCF"/>
    <w:rsid w:val="008A1694"/>
    <w:rsid w:val="008A17CB"/>
    <w:rsid w:val="008A2BDE"/>
    <w:rsid w:val="008A3282"/>
    <w:rsid w:val="008B30DD"/>
    <w:rsid w:val="008B36A3"/>
    <w:rsid w:val="008B7F65"/>
    <w:rsid w:val="008C0CBF"/>
    <w:rsid w:val="008C2678"/>
    <w:rsid w:val="008C3187"/>
    <w:rsid w:val="008C33D4"/>
    <w:rsid w:val="008C4343"/>
    <w:rsid w:val="008C5E4F"/>
    <w:rsid w:val="008C6A05"/>
    <w:rsid w:val="008C74AC"/>
    <w:rsid w:val="008D1F70"/>
    <w:rsid w:val="008D63B7"/>
    <w:rsid w:val="008D6A03"/>
    <w:rsid w:val="008D71D9"/>
    <w:rsid w:val="008E14FC"/>
    <w:rsid w:val="008E3041"/>
    <w:rsid w:val="008E3ACD"/>
    <w:rsid w:val="008E3D25"/>
    <w:rsid w:val="008E494B"/>
    <w:rsid w:val="008E69BD"/>
    <w:rsid w:val="008E6D1A"/>
    <w:rsid w:val="008E7FEE"/>
    <w:rsid w:val="008F035D"/>
    <w:rsid w:val="008F07AF"/>
    <w:rsid w:val="008F43E1"/>
    <w:rsid w:val="008F67F5"/>
    <w:rsid w:val="008F68B2"/>
    <w:rsid w:val="008F6BCE"/>
    <w:rsid w:val="008F721C"/>
    <w:rsid w:val="008F732C"/>
    <w:rsid w:val="008F7975"/>
    <w:rsid w:val="00900D4B"/>
    <w:rsid w:val="00902EBE"/>
    <w:rsid w:val="009036FC"/>
    <w:rsid w:val="00904195"/>
    <w:rsid w:val="00905DD4"/>
    <w:rsid w:val="0090630C"/>
    <w:rsid w:val="0090729F"/>
    <w:rsid w:val="00910563"/>
    <w:rsid w:val="00910E20"/>
    <w:rsid w:val="00911227"/>
    <w:rsid w:val="0091152F"/>
    <w:rsid w:val="009119BA"/>
    <w:rsid w:val="009128A0"/>
    <w:rsid w:val="00914B06"/>
    <w:rsid w:val="009151A6"/>
    <w:rsid w:val="009158FC"/>
    <w:rsid w:val="00915D9D"/>
    <w:rsid w:val="009170B9"/>
    <w:rsid w:val="00920A85"/>
    <w:rsid w:val="00920FD4"/>
    <w:rsid w:val="00924828"/>
    <w:rsid w:val="00925124"/>
    <w:rsid w:val="00925B37"/>
    <w:rsid w:val="00926D60"/>
    <w:rsid w:val="00927482"/>
    <w:rsid w:val="009316F2"/>
    <w:rsid w:val="00931932"/>
    <w:rsid w:val="00932C42"/>
    <w:rsid w:val="0093324D"/>
    <w:rsid w:val="009334C1"/>
    <w:rsid w:val="00942927"/>
    <w:rsid w:val="00943175"/>
    <w:rsid w:val="00943B3A"/>
    <w:rsid w:val="00945C3F"/>
    <w:rsid w:val="0095112B"/>
    <w:rsid w:val="00952F7B"/>
    <w:rsid w:val="00954E08"/>
    <w:rsid w:val="00955E9E"/>
    <w:rsid w:val="00956306"/>
    <w:rsid w:val="009571A8"/>
    <w:rsid w:val="00962760"/>
    <w:rsid w:val="00963F13"/>
    <w:rsid w:val="00965DF9"/>
    <w:rsid w:val="00967681"/>
    <w:rsid w:val="00970A31"/>
    <w:rsid w:val="00970DA1"/>
    <w:rsid w:val="009724EA"/>
    <w:rsid w:val="009724ED"/>
    <w:rsid w:val="00973332"/>
    <w:rsid w:val="00973A6D"/>
    <w:rsid w:val="00977FF5"/>
    <w:rsid w:val="0098403A"/>
    <w:rsid w:val="009859C4"/>
    <w:rsid w:val="009865AA"/>
    <w:rsid w:val="00987080"/>
    <w:rsid w:val="0098765A"/>
    <w:rsid w:val="0099067D"/>
    <w:rsid w:val="00990BF3"/>
    <w:rsid w:val="00994D3A"/>
    <w:rsid w:val="009952C0"/>
    <w:rsid w:val="009957B8"/>
    <w:rsid w:val="00995AEF"/>
    <w:rsid w:val="009968B0"/>
    <w:rsid w:val="00996A48"/>
    <w:rsid w:val="009973D3"/>
    <w:rsid w:val="009A143C"/>
    <w:rsid w:val="009A4633"/>
    <w:rsid w:val="009A5B55"/>
    <w:rsid w:val="009A5B89"/>
    <w:rsid w:val="009A645F"/>
    <w:rsid w:val="009A6595"/>
    <w:rsid w:val="009A66F5"/>
    <w:rsid w:val="009A6CB2"/>
    <w:rsid w:val="009B0561"/>
    <w:rsid w:val="009B0982"/>
    <w:rsid w:val="009B0EED"/>
    <w:rsid w:val="009B1FA4"/>
    <w:rsid w:val="009B2117"/>
    <w:rsid w:val="009B2EF7"/>
    <w:rsid w:val="009B351B"/>
    <w:rsid w:val="009B4C99"/>
    <w:rsid w:val="009B6C1D"/>
    <w:rsid w:val="009B6FA0"/>
    <w:rsid w:val="009B7A22"/>
    <w:rsid w:val="009B7F6A"/>
    <w:rsid w:val="009C021D"/>
    <w:rsid w:val="009C185F"/>
    <w:rsid w:val="009C2FCD"/>
    <w:rsid w:val="009C3BF5"/>
    <w:rsid w:val="009C41FF"/>
    <w:rsid w:val="009C44E0"/>
    <w:rsid w:val="009C4FDD"/>
    <w:rsid w:val="009C5B40"/>
    <w:rsid w:val="009C6126"/>
    <w:rsid w:val="009C6B22"/>
    <w:rsid w:val="009D1767"/>
    <w:rsid w:val="009D1ECA"/>
    <w:rsid w:val="009D28CF"/>
    <w:rsid w:val="009D31DD"/>
    <w:rsid w:val="009D36D8"/>
    <w:rsid w:val="009D7EB0"/>
    <w:rsid w:val="009E009A"/>
    <w:rsid w:val="009E12B6"/>
    <w:rsid w:val="009E1465"/>
    <w:rsid w:val="009E2A27"/>
    <w:rsid w:val="009E315F"/>
    <w:rsid w:val="009E3930"/>
    <w:rsid w:val="009E482A"/>
    <w:rsid w:val="009E5D36"/>
    <w:rsid w:val="009E6BB4"/>
    <w:rsid w:val="009E7352"/>
    <w:rsid w:val="009E7AAF"/>
    <w:rsid w:val="009E7CA0"/>
    <w:rsid w:val="009F00C2"/>
    <w:rsid w:val="009F0110"/>
    <w:rsid w:val="009F0752"/>
    <w:rsid w:val="009F0D0A"/>
    <w:rsid w:val="009F57EE"/>
    <w:rsid w:val="009F58AD"/>
    <w:rsid w:val="00A02651"/>
    <w:rsid w:val="00A029C4"/>
    <w:rsid w:val="00A029E4"/>
    <w:rsid w:val="00A02DCF"/>
    <w:rsid w:val="00A02FBB"/>
    <w:rsid w:val="00A03052"/>
    <w:rsid w:val="00A04392"/>
    <w:rsid w:val="00A045A4"/>
    <w:rsid w:val="00A059AC"/>
    <w:rsid w:val="00A07D63"/>
    <w:rsid w:val="00A102E6"/>
    <w:rsid w:val="00A10CA5"/>
    <w:rsid w:val="00A12225"/>
    <w:rsid w:val="00A147CA"/>
    <w:rsid w:val="00A16003"/>
    <w:rsid w:val="00A16098"/>
    <w:rsid w:val="00A167D7"/>
    <w:rsid w:val="00A245D5"/>
    <w:rsid w:val="00A24FBB"/>
    <w:rsid w:val="00A25E0C"/>
    <w:rsid w:val="00A26923"/>
    <w:rsid w:val="00A26D36"/>
    <w:rsid w:val="00A275E1"/>
    <w:rsid w:val="00A370CB"/>
    <w:rsid w:val="00A41B94"/>
    <w:rsid w:val="00A42ED2"/>
    <w:rsid w:val="00A44B33"/>
    <w:rsid w:val="00A44BED"/>
    <w:rsid w:val="00A50E00"/>
    <w:rsid w:val="00A52529"/>
    <w:rsid w:val="00A52891"/>
    <w:rsid w:val="00A53624"/>
    <w:rsid w:val="00A553AB"/>
    <w:rsid w:val="00A55EAF"/>
    <w:rsid w:val="00A5766B"/>
    <w:rsid w:val="00A60692"/>
    <w:rsid w:val="00A61651"/>
    <w:rsid w:val="00A61D39"/>
    <w:rsid w:val="00A63869"/>
    <w:rsid w:val="00A648A2"/>
    <w:rsid w:val="00A67F89"/>
    <w:rsid w:val="00A71EE3"/>
    <w:rsid w:val="00A73BAA"/>
    <w:rsid w:val="00A74839"/>
    <w:rsid w:val="00A748D7"/>
    <w:rsid w:val="00A749E3"/>
    <w:rsid w:val="00A75623"/>
    <w:rsid w:val="00A7567A"/>
    <w:rsid w:val="00A7586B"/>
    <w:rsid w:val="00A75D58"/>
    <w:rsid w:val="00A75FDF"/>
    <w:rsid w:val="00A77AE8"/>
    <w:rsid w:val="00A77B3B"/>
    <w:rsid w:val="00A806B0"/>
    <w:rsid w:val="00A863E3"/>
    <w:rsid w:val="00A86CCC"/>
    <w:rsid w:val="00A903F9"/>
    <w:rsid w:val="00A904B8"/>
    <w:rsid w:val="00A91ECB"/>
    <w:rsid w:val="00A92585"/>
    <w:rsid w:val="00A93E65"/>
    <w:rsid w:val="00A942F2"/>
    <w:rsid w:val="00A9690E"/>
    <w:rsid w:val="00A97B80"/>
    <w:rsid w:val="00AA13C9"/>
    <w:rsid w:val="00AB3A92"/>
    <w:rsid w:val="00AB3E28"/>
    <w:rsid w:val="00AB478B"/>
    <w:rsid w:val="00AB4AD9"/>
    <w:rsid w:val="00AB4B79"/>
    <w:rsid w:val="00AB635D"/>
    <w:rsid w:val="00AB7EE8"/>
    <w:rsid w:val="00AC4758"/>
    <w:rsid w:val="00AC5D1A"/>
    <w:rsid w:val="00AD59A4"/>
    <w:rsid w:val="00AD65ED"/>
    <w:rsid w:val="00AD6E77"/>
    <w:rsid w:val="00AD7A25"/>
    <w:rsid w:val="00AE334D"/>
    <w:rsid w:val="00AE3BE0"/>
    <w:rsid w:val="00AE455B"/>
    <w:rsid w:val="00AF223E"/>
    <w:rsid w:val="00AF3A5A"/>
    <w:rsid w:val="00AF4579"/>
    <w:rsid w:val="00AF5218"/>
    <w:rsid w:val="00AF779E"/>
    <w:rsid w:val="00AF7A17"/>
    <w:rsid w:val="00B01135"/>
    <w:rsid w:val="00B01182"/>
    <w:rsid w:val="00B03211"/>
    <w:rsid w:val="00B0480E"/>
    <w:rsid w:val="00B04EA8"/>
    <w:rsid w:val="00B1026A"/>
    <w:rsid w:val="00B11356"/>
    <w:rsid w:val="00B14B3E"/>
    <w:rsid w:val="00B17C05"/>
    <w:rsid w:val="00B21166"/>
    <w:rsid w:val="00B235EC"/>
    <w:rsid w:val="00B24AAB"/>
    <w:rsid w:val="00B26334"/>
    <w:rsid w:val="00B263AE"/>
    <w:rsid w:val="00B33CEC"/>
    <w:rsid w:val="00B34557"/>
    <w:rsid w:val="00B36E63"/>
    <w:rsid w:val="00B37619"/>
    <w:rsid w:val="00B40588"/>
    <w:rsid w:val="00B41428"/>
    <w:rsid w:val="00B418C8"/>
    <w:rsid w:val="00B45C34"/>
    <w:rsid w:val="00B45C7D"/>
    <w:rsid w:val="00B47091"/>
    <w:rsid w:val="00B5263E"/>
    <w:rsid w:val="00B52AB5"/>
    <w:rsid w:val="00B56462"/>
    <w:rsid w:val="00B56B9F"/>
    <w:rsid w:val="00B56C12"/>
    <w:rsid w:val="00B62409"/>
    <w:rsid w:val="00B62C3E"/>
    <w:rsid w:val="00B645DE"/>
    <w:rsid w:val="00B65857"/>
    <w:rsid w:val="00B66698"/>
    <w:rsid w:val="00B676D2"/>
    <w:rsid w:val="00B7260E"/>
    <w:rsid w:val="00B745DC"/>
    <w:rsid w:val="00B80CDA"/>
    <w:rsid w:val="00B817D3"/>
    <w:rsid w:val="00B837D1"/>
    <w:rsid w:val="00B8382B"/>
    <w:rsid w:val="00B84350"/>
    <w:rsid w:val="00B8447B"/>
    <w:rsid w:val="00B849B5"/>
    <w:rsid w:val="00B849CE"/>
    <w:rsid w:val="00B855A6"/>
    <w:rsid w:val="00B91098"/>
    <w:rsid w:val="00B91904"/>
    <w:rsid w:val="00B91BFC"/>
    <w:rsid w:val="00B921F7"/>
    <w:rsid w:val="00B92735"/>
    <w:rsid w:val="00B92944"/>
    <w:rsid w:val="00B950EC"/>
    <w:rsid w:val="00B95439"/>
    <w:rsid w:val="00B96689"/>
    <w:rsid w:val="00B969ED"/>
    <w:rsid w:val="00BA197B"/>
    <w:rsid w:val="00BA2C33"/>
    <w:rsid w:val="00BA3AAC"/>
    <w:rsid w:val="00BA5223"/>
    <w:rsid w:val="00BB004F"/>
    <w:rsid w:val="00BB010E"/>
    <w:rsid w:val="00BB070C"/>
    <w:rsid w:val="00BB0B56"/>
    <w:rsid w:val="00BB0D90"/>
    <w:rsid w:val="00BB18F0"/>
    <w:rsid w:val="00BB197A"/>
    <w:rsid w:val="00BB2386"/>
    <w:rsid w:val="00BB52B3"/>
    <w:rsid w:val="00BB56E8"/>
    <w:rsid w:val="00BB60C6"/>
    <w:rsid w:val="00BB705F"/>
    <w:rsid w:val="00BB7204"/>
    <w:rsid w:val="00BB7984"/>
    <w:rsid w:val="00BC6A06"/>
    <w:rsid w:val="00BD137C"/>
    <w:rsid w:val="00BD39A9"/>
    <w:rsid w:val="00BD3FDB"/>
    <w:rsid w:val="00BD60D9"/>
    <w:rsid w:val="00BE3FF4"/>
    <w:rsid w:val="00BE5E89"/>
    <w:rsid w:val="00BE60FE"/>
    <w:rsid w:val="00BE6624"/>
    <w:rsid w:val="00BE7155"/>
    <w:rsid w:val="00BF03AC"/>
    <w:rsid w:val="00BF07FE"/>
    <w:rsid w:val="00BF1BB1"/>
    <w:rsid w:val="00BF2BD4"/>
    <w:rsid w:val="00BF4C45"/>
    <w:rsid w:val="00BF558A"/>
    <w:rsid w:val="00BF790D"/>
    <w:rsid w:val="00C004B4"/>
    <w:rsid w:val="00C00571"/>
    <w:rsid w:val="00C03596"/>
    <w:rsid w:val="00C03BBB"/>
    <w:rsid w:val="00C04C37"/>
    <w:rsid w:val="00C057A0"/>
    <w:rsid w:val="00C105DF"/>
    <w:rsid w:val="00C10E6C"/>
    <w:rsid w:val="00C123CF"/>
    <w:rsid w:val="00C12F0B"/>
    <w:rsid w:val="00C13234"/>
    <w:rsid w:val="00C132E0"/>
    <w:rsid w:val="00C141FE"/>
    <w:rsid w:val="00C15A13"/>
    <w:rsid w:val="00C164ED"/>
    <w:rsid w:val="00C2307B"/>
    <w:rsid w:val="00C2342B"/>
    <w:rsid w:val="00C238D9"/>
    <w:rsid w:val="00C24488"/>
    <w:rsid w:val="00C24A9D"/>
    <w:rsid w:val="00C2677E"/>
    <w:rsid w:val="00C27E1D"/>
    <w:rsid w:val="00C31542"/>
    <w:rsid w:val="00C376B6"/>
    <w:rsid w:val="00C377C4"/>
    <w:rsid w:val="00C415D6"/>
    <w:rsid w:val="00C43CA2"/>
    <w:rsid w:val="00C4509E"/>
    <w:rsid w:val="00C450F8"/>
    <w:rsid w:val="00C4604F"/>
    <w:rsid w:val="00C47642"/>
    <w:rsid w:val="00C50A7D"/>
    <w:rsid w:val="00C53F5B"/>
    <w:rsid w:val="00C559A4"/>
    <w:rsid w:val="00C57C33"/>
    <w:rsid w:val="00C603D4"/>
    <w:rsid w:val="00C6078D"/>
    <w:rsid w:val="00C61616"/>
    <w:rsid w:val="00C638EB"/>
    <w:rsid w:val="00C657CF"/>
    <w:rsid w:val="00C70400"/>
    <w:rsid w:val="00C706D7"/>
    <w:rsid w:val="00C75BEF"/>
    <w:rsid w:val="00C80D62"/>
    <w:rsid w:val="00C85F8B"/>
    <w:rsid w:val="00C86857"/>
    <w:rsid w:val="00C90769"/>
    <w:rsid w:val="00C90EA8"/>
    <w:rsid w:val="00C90EC4"/>
    <w:rsid w:val="00C948A1"/>
    <w:rsid w:val="00C948D7"/>
    <w:rsid w:val="00C96BFD"/>
    <w:rsid w:val="00C97B12"/>
    <w:rsid w:val="00CA01D1"/>
    <w:rsid w:val="00CA1459"/>
    <w:rsid w:val="00CA1FC1"/>
    <w:rsid w:val="00CA4ECC"/>
    <w:rsid w:val="00CA5358"/>
    <w:rsid w:val="00CB1808"/>
    <w:rsid w:val="00CB3396"/>
    <w:rsid w:val="00CB7D03"/>
    <w:rsid w:val="00CC0800"/>
    <w:rsid w:val="00CC0E3E"/>
    <w:rsid w:val="00CC5F13"/>
    <w:rsid w:val="00CC5FC1"/>
    <w:rsid w:val="00CC6A6B"/>
    <w:rsid w:val="00CD0E4F"/>
    <w:rsid w:val="00CD0F41"/>
    <w:rsid w:val="00CD1031"/>
    <w:rsid w:val="00CD11D1"/>
    <w:rsid w:val="00CD2925"/>
    <w:rsid w:val="00CD3ECB"/>
    <w:rsid w:val="00CD41F8"/>
    <w:rsid w:val="00CD502A"/>
    <w:rsid w:val="00CD63F8"/>
    <w:rsid w:val="00CD72FD"/>
    <w:rsid w:val="00CD76E4"/>
    <w:rsid w:val="00CE18B5"/>
    <w:rsid w:val="00CE25C7"/>
    <w:rsid w:val="00CE2CB8"/>
    <w:rsid w:val="00CE3F27"/>
    <w:rsid w:val="00CE6A64"/>
    <w:rsid w:val="00CF0D66"/>
    <w:rsid w:val="00CF12CF"/>
    <w:rsid w:val="00CF3ED0"/>
    <w:rsid w:val="00CF5912"/>
    <w:rsid w:val="00CF66AF"/>
    <w:rsid w:val="00D0483C"/>
    <w:rsid w:val="00D05BB6"/>
    <w:rsid w:val="00D060D2"/>
    <w:rsid w:val="00D06FDE"/>
    <w:rsid w:val="00D079CA"/>
    <w:rsid w:val="00D11468"/>
    <w:rsid w:val="00D13638"/>
    <w:rsid w:val="00D14394"/>
    <w:rsid w:val="00D15345"/>
    <w:rsid w:val="00D155DB"/>
    <w:rsid w:val="00D216EE"/>
    <w:rsid w:val="00D242CD"/>
    <w:rsid w:val="00D301B2"/>
    <w:rsid w:val="00D31BFA"/>
    <w:rsid w:val="00D31C3D"/>
    <w:rsid w:val="00D32355"/>
    <w:rsid w:val="00D323D6"/>
    <w:rsid w:val="00D32D53"/>
    <w:rsid w:val="00D341C3"/>
    <w:rsid w:val="00D34737"/>
    <w:rsid w:val="00D3522E"/>
    <w:rsid w:val="00D35FB6"/>
    <w:rsid w:val="00D40148"/>
    <w:rsid w:val="00D42843"/>
    <w:rsid w:val="00D4356E"/>
    <w:rsid w:val="00D4551E"/>
    <w:rsid w:val="00D50297"/>
    <w:rsid w:val="00D5113E"/>
    <w:rsid w:val="00D5152A"/>
    <w:rsid w:val="00D524D6"/>
    <w:rsid w:val="00D54BCC"/>
    <w:rsid w:val="00D5642B"/>
    <w:rsid w:val="00D61E32"/>
    <w:rsid w:val="00D64AB9"/>
    <w:rsid w:val="00D64EA9"/>
    <w:rsid w:val="00D65145"/>
    <w:rsid w:val="00D70D74"/>
    <w:rsid w:val="00D735AF"/>
    <w:rsid w:val="00D74314"/>
    <w:rsid w:val="00D75023"/>
    <w:rsid w:val="00D767C1"/>
    <w:rsid w:val="00D76A43"/>
    <w:rsid w:val="00D778C8"/>
    <w:rsid w:val="00D814C2"/>
    <w:rsid w:val="00D8200C"/>
    <w:rsid w:val="00D8370A"/>
    <w:rsid w:val="00D845DA"/>
    <w:rsid w:val="00D84B5D"/>
    <w:rsid w:val="00D855AE"/>
    <w:rsid w:val="00D90635"/>
    <w:rsid w:val="00D92505"/>
    <w:rsid w:val="00D94B8F"/>
    <w:rsid w:val="00DA0CB9"/>
    <w:rsid w:val="00DA267C"/>
    <w:rsid w:val="00DA381C"/>
    <w:rsid w:val="00DA466B"/>
    <w:rsid w:val="00DA5101"/>
    <w:rsid w:val="00DA79EF"/>
    <w:rsid w:val="00DB0C0B"/>
    <w:rsid w:val="00DB2AE5"/>
    <w:rsid w:val="00DB2BA4"/>
    <w:rsid w:val="00DB3B74"/>
    <w:rsid w:val="00DB7153"/>
    <w:rsid w:val="00DC01FA"/>
    <w:rsid w:val="00DC03B5"/>
    <w:rsid w:val="00DC07C2"/>
    <w:rsid w:val="00DC2F52"/>
    <w:rsid w:val="00DC5870"/>
    <w:rsid w:val="00DC58B4"/>
    <w:rsid w:val="00DC6C37"/>
    <w:rsid w:val="00DD0384"/>
    <w:rsid w:val="00DD0901"/>
    <w:rsid w:val="00DD21E9"/>
    <w:rsid w:val="00DD2F77"/>
    <w:rsid w:val="00DD3737"/>
    <w:rsid w:val="00DD3901"/>
    <w:rsid w:val="00DE16B6"/>
    <w:rsid w:val="00DE24C2"/>
    <w:rsid w:val="00DE2BED"/>
    <w:rsid w:val="00DE36CA"/>
    <w:rsid w:val="00DE4F8D"/>
    <w:rsid w:val="00DE67A1"/>
    <w:rsid w:val="00DE7948"/>
    <w:rsid w:val="00DE7E63"/>
    <w:rsid w:val="00DF5301"/>
    <w:rsid w:val="00E02B9B"/>
    <w:rsid w:val="00E0480B"/>
    <w:rsid w:val="00E048C6"/>
    <w:rsid w:val="00E052F1"/>
    <w:rsid w:val="00E06E1B"/>
    <w:rsid w:val="00E1075C"/>
    <w:rsid w:val="00E10E0A"/>
    <w:rsid w:val="00E20A36"/>
    <w:rsid w:val="00E219EB"/>
    <w:rsid w:val="00E21DEC"/>
    <w:rsid w:val="00E223A3"/>
    <w:rsid w:val="00E23E40"/>
    <w:rsid w:val="00E25624"/>
    <w:rsid w:val="00E30751"/>
    <w:rsid w:val="00E30B66"/>
    <w:rsid w:val="00E30B73"/>
    <w:rsid w:val="00E312D2"/>
    <w:rsid w:val="00E34C57"/>
    <w:rsid w:val="00E350DC"/>
    <w:rsid w:val="00E350FD"/>
    <w:rsid w:val="00E35345"/>
    <w:rsid w:val="00E367C5"/>
    <w:rsid w:val="00E36919"/>
    <w:rsid w:val="00E37D7E"/>
    <w:rsid w:val="00E37E71"/>
    <w:rsid w:val="00E42847"/>
    <w:rsid w:val="00E43A9B"/>
    <w:rsid w:val="00E4461E"/>
    <w:rsid w:val="00E458AB"/>
    <w:rsid w:val="00E46064"/>
    <w:rsid w:val="00E5067A"/>
    <w:rsid w:val="00E50DA4"/>
    <w:rsid w:val="00E52EBC"/>
    <w:rsid w:val="00E55510"/>
    <w:rsid w:val="00E56DE5"/>
    <w:rsid w:val="00E57BCC"/>
    <w:rsid w:val="00E604A1"/>
    <w:rsid w:val="00E60A07"/>
    <w:rsid w:val="00E6289F"/>
    <w:rsid w:val="00E64F46"/>
    <w:rsid w:val="00E66FC7"/>
    <w:rsid w:val="00E73AA8"/>
    <w:rsid w:val="00E76AFA"/>
    <w:rsid w:val="00E80228"/>
    <w:rsid w:val="00E872FE"/>
    <w:rsid w:val="00E90CB5"/>
    <w:rsid w:val="00E92C9F"/>
    <w:rsid w:val="00E94F6B"/>
    <w:rsid w:val="00EA0470"/>
    <w:rsid w:val="00EA2ED4"/>
    <w:rsid w:val="00EA491A"/>
    <w:rsid w:val="00EA632B"/>
    <w:rsid w:val="00EA711A"/>
    <w:rsid w:val="00EB1583"/>
    <w:rsid w:val="00EB23E5"/>
    <w:rsid w:val="00EB4836"/>
    <w:rsid w:val="00EC0AEB"/>
    <w:rsid w:val="00EC167D"/>
    <w:rsid w:val="00EC16B2"/>
    <w:rsid w:val="00EC23FB"/>
    <w:rsid w:val="00EC2984"/>
    <w:rsid w:val="00EC2A65"/>
    <w:rsid w:val="00EC43CA"/>
    <w:rsid w:val="00EC5798"/>
    <w:rsid w:val="00ED0CEE"/>
    <w:rsid w:val="00ED148D"/>
    <w:rsid w:val="00ED1A40"/>
    <w:rsid w:val="00ED227C"/>
    <w:rsid w:val="00ED3744"/>
    <w:rsid w:val="00ED7681"/>
    <w:rsid w:val="00EE0F55"/>
    <w:rsid w:val="00EE49DD"/>
    <w:rsid w:val="00EE7B89"/>
    <w:rsid w:val="00EF060B"/>
    <w:rsid w:val="00EF1B2A"/>
    <w:rsid w:val="00EF40C6"/>
    <w:rsid w:val="00EF63C6"/>
    <w:rsid w:val="00EF723E"/>
    <w:rsid w:val="00F034FB"/>
    <w:rsid w:val="00F03905"/>
    <w:rsid w:val="00F04C22"/>
    <w:rsid w:val="00F05606"/>
    <w:rsid w:val="00F105F5"/>
    <w:rsid w:val="00F1075A"/>
    <w:rsid w:val="00F10FC2"/>
    <w:rsid w:val="00F13C4C"/>
    <w:rsid w:val="00F14615"/>
    <w:rsid w:val="00F15253"/>
    <w:rsid w:val="00F1711E"/>
    <w:rsid w:val="00F17EB6"/>
    <w:rsid w:val="00F21607"/>
    <w:rsid w:val="00F21BAF"/>
    <w:rsid w:val="00F222C6"/>
    <w:rsid w:val="00F22E82"/>
    <w:rsid w:val="00F23AE4"/>
    <w:rsid w:val="00F243F4"/>
    <w:rsid w:val="00F25CDE"/>
    <w:rsid w:val="00F3056C"/>
    <w:rsid w:val="00F311FE"/>
    <w:rsid w:val="00F337BF"/>
    <w:rsid w:val="00F33D14"/>
    <w:rsid w:val="00F35B2A"/>
    <w:rsid w:val="00F4089E"/>
    <w:rsid w:val="00F41C61"/>
    <w:rsid w:val="00F42B7C"/>
    <w:rsid w:val="00F44E4F"/>
    <w:rsid w:val="00F46997"/>
    <w:rsid w:val="00F46F1A"/>
    <w:rsid w:val="00F473B6"/>
    <w:rsid w:val="00F47430"/>
    <w:rsid w:val="00F518E1"/>
    <w:rsid w:val="00F52445"/>
    <w:rsid w:val="00F52E57"/>
    <w:rsid w:val="00F53E06"/>
    <w:rsid w:val="00F54188"/>
    <w:rsid w:val="00F54CC0"/>
    <w:rsid w:val="00F5743D"/>
    <w:rsid w:val="00F61674"/>
    <w:rsid w:val="00F666C2"/>
    <w:rsid w:val="00F727A5"/>
    <w:rsid w:val="00F733E4"/>
    <w:rsid w:val="00F753B6"/>
    <w:rsid w:val="00F80CEE"/>
    <w:rsid w:val="00F847A9"/>
    <w:rsid w:val="00F86313"/>
    <w:rsid w:val="00F8775A"/>
    <w:rsid w:val="00F87D8A"/>
    <w:rsid w:val="00F93AB3"/>
    <w:rsid w:val="00F9461E"/>
    <w:rsid w:val="00FA37C2"/>
    <w:rsid w:val="00FA4104"/>
    <w:rsid w:val="00FA464D"/>
    <w:rsid w:val="00FA4F3F"/>
    <w:rsid w:val="00FA5FE9"/>
    <w:rsid w:val="00FA67D2"/>
    <w:rsid w:val="00FA689C"/>
    <w:rsid w:val="00FA6CEA"/>
    <w:rsid w:val="00FB14A9"/>
    <w:rsid w:val="00FB2F79"/>
    <w:rsid w:val="00FB302F"/>
    <w:rsid w:val="00FB318A"/>
    <w:rsid w:val="00FB483D"/>
    <w:rsid w:val="00FB54FC"/>
    <w:rsid w:val="00FB5A92"/>
    <w:rsid w:val="00FB67AD"/>
    <w:rsid w:val="00FC09F6"/>
    <w:rsid w:val="00FC0A83"/>
    <w:rsid w:val="00FC131C"/>
    <w:rsid w:val="00FC1C69"/>
    <w:rsid w:val="00FC3739"/>
    <w:rsid w:val="00FC56EF"/>
    <w:rsid w:val="00FC7F0A"/>
    <w:rsid w:val="00FD05EF"/>
    <w:rsid w:val="00FD421A"/>
    <w:rsid w:val="00FE04EF"/>
    <w:rsid w:val="00FE08C4"/>
    <w:rsid w:val="00FE0A53"/>
    <w:rsid w:val="00FE0DA1"/>
    <w:rsid w:val="00FE0F45"/>
    <w:rsid w:val="00FE1268"/>
    <w:rsid w:val="00FE13D3"/>
    <w:rsid w:val="00FE143E"/>
    <w:rsid w:val="00FE18A3"/>
    <w:rsid w:val="00FE1B04"/>
    <w:rsid w:val="00FE4165"/>
    <w:rsid w:val="00FE5AD9"/>
    <w:rsid w:val="00FE6A3F"/>
    <w:rsid w:val="00FE7A33"/>
    <w:rsid w:val="00FF0DF3"/>
    <w:rsid w:val="00FF564A"/>
    <w:rsid w:val="039544EB"/>
    <w:rsid w:val="0610EE45"/>
    <w:rsid w:val="063A4750"/>
    <w:rsid w:val="0DB94E52"/>
    <w:rsid w:val="0FA86B52"/>
    <w:rsid w:val="12BC6FEE"/>
    <w:rsid w:val="137D5A3F"/>
    <w:rsid w:val="20E4CF06"/>
    <w:rsid w:val="36E5F146"/>
    <w:rsid w:val="39873BBF"/>
    <w:rsid w:val="3F6066EB"/>
    <w:rsid w:val="44A792E7"/>
    <w:rsid w:val="4897FD18"/>
    <w:rsid w:val="4967468C"/>
    <w:rsid w:val="4A126E19"/>
    <w:rsid w:val="4FEF2642"/>
    <w:rsid w:val="53BA3504"/>
    <w:rsid w:val="5F025BFA"/>
    <w:rsid w:val="6E71B8ED"/>
    <w:rsid w:val="6F64B197"/>
    <w:rsid w:val="7334B3A1"/>
    <w:rsid w:val="75BCAC50"/>
    <w:rsid w:val="77424EDE"/>
    <w:rsid w:val="796193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773A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nhideWhenUsed="0"/>
    <w:lsdException w:name="endnote text" w:uiPriority="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115DD9"/>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uiPriority w:val="99"/>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27494F"/>
    <w:pPr>
      <w:tabs>
        <w:tab w:val="left" w:pos="1701"/>
        <w:tab w:val="right" w:leader="dot" w:pos="9072"/>
      </w:tabs>
      <w:spacing w:before="60" w:after="60"/>
      <w:ind w:left="426" w:right="567"/>
    </w:pPr>
    <w:rPr>
      <w:noProof/>
    </w:rPr>
  </w:style>
  <w:style w:type="paragraph" w:styleId="TOC4">
    <w:name w:val="toc 4"/>
    <w:basedOn w:val="Normal"/>
    <w:next w:val="Normal"/>
    <w:autoRedefine/>
    <w:uiPriority w:val="39"/>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39"/>
    <w:rsid w:val="005675E0"/>
    <w:pPr>
      <w:tabs>
        <w:tab w:val="right" w:pos="9072"/>
      </w:tabs>
      <w:spacing w:before="200"/>
      <w:ind w:left="567" w:right="567" w:hanging="567"/>
    </w:pPr>
    <w:rPr>
      <w:b/>
    </w:rPr>
  </w:style>
  <w:style w:type="paragraph" w:styleId="TOC7">
    <w:name w:val="toc 7"/>
    <w:basedOn w:val="Normal"/>
    <w:next w:val="Normal"/>
    <w:autoRedefine/>
    <w:uiPriority w:val="39"/>
    <w:rsid w:val="005675E0"/>
    <w:pPr>
      <w:tabs>
        <w:tab w:val="left" w:pos="567"/>
        <w:tab w:val="right" w:pos="9072"/>
      </w:tabs>
      <w:ind w:left="567" w:right="567" w:hanging="567"/>
    </w:pPr>
  </w:style>
  <w:style w:type="paragraph" w:styleId="TOC8">
    <w:name w:val="toc 8"/>
    <w:basedOn w:val="Normal"/>
    <w:next w:val="Normal"/>
    <w:autoRedefine/>
    <w:uiPriority w:val="39"/>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basedOn w:val="List123"/>
    <w:uiPriority w:val="34"/>
    <w:qFormat/>
    <w:rsid w:val="00E76AFA"/>
    <w:pPr>
      <w:numPr>
        <w:numId w:val="0"/>
      </w:numPr>
    </w:pPr>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21"/>
      </w:numPr>
      <w:spacing w:before="80" w:after="80"/>
    </w:pPr>
  </w:style>
  <w:style w:type="paragraph" w:customStyle="1" w:styleId="List123level3">
    <w:name w:val="List 1 2 3 level 3"/>
    <w:basedOn w:val="Normal"/>
    <w:uiPriority w:val="1"/>
    <w:semiHidden/>
    <w:qFormat/>
    <w:rsid w:val="00E76AFA"/>
    <w:pPr>
      <w:numPr>
        <w:ilvl w:val="2"/>
        <w:numId w:val="21"/>
      </w:numPr>
      <w:spacing w:before="80" w:after="80"/>
    </w:pPr>
  </w:style>
  <w:style w:type="paragraph" w:customStyle="1" w:styleId="Legislationsection">
    <w:name w:val="Legislation section"/>
    <w:basedOn w:val="Normal"/>
    <w:semiHidden/>
    <w:qFormat/>
    <w:rsid w:val="00E76AFA"/>
    <w:pPr>
      <w:keepNext/>
      <w:numPr>
        <w:numId w:val="23"/>
      </w:numPr>
      <w:tabs>
        <w:tab w:val="left" w:pos="567"/>
      </w:tabs>
      <w:spacing w:after="60"/>
    </w:pPr>
    <w:rPr>
      <w:b/>
      <w:sz w:val="22"/>
    </w:rPr>
  </w:style>
  <w:style w:type="paragraph" w:customStyle="1" w:styleId="Legislationnumber">
    <w:name w:val="Legislation number"/>
    <w:basedOn w:val="Normal"/>
    <w:semiHidden/>
    <w:qFormat/>
    <w:rsid w:val="00E76AFA"/>
    <w:pPr>
      <w:numPr>
        <w:numId w:val="22"/>
      </w:numPr>
      <w:tabs>
        <w:tab w:val="left" w:pos="567"/>
      </w:tabs>
      <w:spacing w:before="60" w:after="60"/>
    </w:pPr>
    <w:rPr>
      <w:sz w:val="22"/>
    </w:rPr>
  </w:style>
  <w:style w:type="paragraph" w:customStyle="1" w:styleId="Legislationa">
    <w:name w:val="Legislation (a)"/>
    <w:basedOn w:val="Normal"/>
    <w:semiHidden/>
    <w:qFormat/>
    <w:rsid w:val="00E76AFA"/>
    <w:pPr>
      <w:numPr>
        <w:ilvl w:val="2"/>
        <w:numId w:val="23"/>
      </w:numPr>
      <w:spacing w:before="60" w:after="60"/>
    </w:pPr>
    <w:rPr>
      <w:sz w:val="22"/>
    </w:rPr>
  </w:style>
  <w:style w:type="paragraph" w:customStyle="1" w:styleId="Legislationi">
    <w:name w:val="Legislation (i)"/>
    <w:basedOn w:val="Normal"/>
    <w:semiHidden/>
    <w:qFormat/>
    <w:rsid w:val="00E76AFA"/>
    <w:pPr>
      <w:numPr>
        <w:ilvl w:val="3"/>
        <w:numId w:val="23"/>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5"/>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semiHidden/>
    <w:qFormat/>
    <w:rsid w:val="00E76AFA"/>
    <w:pPr>
      <w:numPr>
        <w:numId w:val="24"/>
      </w:numPr>
      <w:spacing w:after="120"/>
    </w:pPr>
  </w:style>
  <w:style w:type="paragraph" w:customStyle="1" w:styleId="Numberedpara2level2a">
    <w:name w:val="Numbered para (2) level 2 (a)"/>
    <w:basedOn w:val="Normal"/>
    <w:semiHidden/>
    <w:qFormat/>
    <w:rsid w:val="00E76AFA"/>
    <w:pPr>
      <w:numPr>
        <w:ilvl w:val="1"/>
        <w:numId w:val="24"/>
      </w:numPr>
      <w:spacing w:after="120"/>
    </w:pPr>
  </w:style>
  <w:style w:type="paragraph" w:customStyle="1" w:styleId="Numberedpara2level3i">
    <w:name w:val="Numbered para (2) level 3 (i)"/>
    <w:basedOn w:val="Normal"/>
    <w:semiHidden/>
    <w:qFormat/>
    <w:rsid w:val="00E76AFA"/>
    <w:pPr>
      <w:numPr>
        <w:ilvl w:val="2"/>
        <w:numId w:val="24"/>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uiPriority w:val="99"/>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qFormat/>
    <w:rsid w:val="00E76AFA"/>
    <w:pPr>
      <w:numPr>
        <w:numId w:val="26"/>
      </w:numPr>
      <w:spacing w:after="120"/>
    </w:pPr>
  </w:style>
  <w:style w:type="paragraph" w:customStyle="1" w:styleId="Numberedpara3level211">
    <w:name w:val="Numbered para (3) level 2 (1.1)"/>
    <w:basedOn w:val="Normal"/>
    <w:qFormat/>
    <w:rsid w:val="00E76AFA"/>
    <w:pPr>
      <w:numPr>
        <w:ilvl w:val="1"/>
        <w:numId w:val="26"/>
      </w:numPr>
      <w:spacing w:after="120"/>
    </w:pPr>
  </w:style>
  <w:style w:type="paragraph" w:customStyle="1" w:styleId="Numberedpara3level3111">
    <w:name w:val="Numbered para (3) level 3 (1.1.1)"/>
    <w:basedOn w:val="Normal"/>
    <w:qFormat/>
    <w:rsid w:val="00E76AFA"/>
    <w:pPr>
      <w:numPr>
        <w:ilvl w:val="2"/>
        <w:numId w:val="26"/>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paragraph" w:customStyle="1" w:styleId="Default">
    <w:name w:val="Default"/>
    <w:rsid w:val="00EC5798"/>
    <w:pPr>
      <w:autoSpaceDE w:val="0"/>
      <w:autoSpaceDN w:val="0"/>
      <w:adjustRightInd w:val="0"/>
      <w:spacing w:before="0" w:after="0"/>
    </w:pPr>
    <w:rPr>
      <w:rFonts w:cs="Calibri"/>
      <w:color w:val="000000"/>
    </w:rPr>
  </w:style>
  <w:style w:type="character" w:customStyle="1" w:styleId="label">
    <w:name w:val="label"/>
    <w:basedOn w:val="DefaultParagraphFont"/>
    <w:rsid w:val="00854409"/>
  </w:style>
  <w:style w:type="character" w:customStyle="1" w:styleId="spc1">
    <w:name w:val="spc1"/>
    <w:basedOn w:val="DefaultParagraphFont"/>
    <w:rsid w:val="00854409"/>
    <w:rPr>
      <w:strike w:val="0"/>
      <w:dstrike w:val="0"/>
      <w:u w:val="none"/>
      <w:effect w:val="none"/>
    </w:rPr>
  </w:style>
  <w:style w:type="paragraph" w:customStyle="1" w:styleId="labelled4">
    <w:name w:val="labelled4"/>
    <w:basedOn w:val="Normal"/>
    <w:rsid w:val="00854409"/>
    <w:pPr>
      <w:keepLines w:val="0"/>
      <w:spacing w:before="0" w:after="0" w:line="288" w:lineRule="atLeast"/>
      <w:ind w:right="240"/>
    </w:pPr>
    <w:rPr>
      <w:rFonts w:ascii="Times New Roman" w:eastAsia="Times New Roman" w:hAnsi="Times New Roman"/>
      <w:color w:val="000000"/>
      <w:lang w:eastAsia="en-NZ"/>
    </w:rPr>
  </w:style>
  <w:style w:type="paragraph" w:styleId="EndnoteText">
    <w:name w:val="endnote text"/>
    <w:basedOn w:val="Normal"/>
    <w:link w:val="EndnoteTextChar"/>
    <w:semiHidden/>
    <w:unhideWhenUsed/>
    <w:rsid w:val="00332731"/>
    <w:pPr>
      <w:spacing w:before="0" w:after="0"/>
    </w:pPr>
    <w:rPr>
      <w:sz w:val="20"/>
      <w:szCs w:val="20"/>
    </w:rPr>
  </w:style>
  <w:style w:type="character" w:customStyle="1" w:styleId="EndnoteTextChar">
    <w:name w:val="Endnote Text Char"/>
    <w:basedOn w:val="DefaultParagraphFont"/>
    <w:link w:val="EndnoteText"/>
    <w:semiHidden/>
    <w:rsid w:val="00332731"/>
    <w:rPr>
      <w:rFonts w:eastAsiaTheme="minorHAnsi"/>
      <w:sz w:val="20"/>
      <w:szCs w:val="20"/>
      <w:lang w:eastAsia="en-US"/>
    </w:rPr>
  </w:style>
  <w:style w:type="paragraph" w:styleId="Quote">
    <w:name w:val="Quote"/>
    <w:basedOn w:val="BodyText"/>
    <w:next w:val="BodyText"/>
    <w:link w:val="QuoteChar"/>
    <w:qFormat/>
    <w:rsid w:val="00BF790D"/>
    <w:pPr>
      <w:keepLines w:val="0"/>
      <w:spacing w:after="0" w:line="280" w:lineRule="exact"/>
      <w:ind w:left="340"/>
      <w:jc w:val="both"/>
    </w:pPr>
    <w:rPr>
      <w:rFonts w:ascii="Times New Roman" w:eastAsia="Times New Roman" w:hAnsi="Times New Roman"/>
      <w:szCs w:val="20"/>
      <w:lang w:val="en-AU" w:eastAsia="en-AU"/>
    </w:rPr>
  </w:style>
  <w:style w:type="character" w:customStyle="1" w:styleId="QuoteChar">
    <w:name w:val="Quote Char"/>
    <w:basedOn w:val="DefaultParagraphFont"/>
    <w:link w:val="Quote"/>
    <w:rsid w:val="00BF790D"/>
    <w:rPr>
      <w:rFonts w:ascii="Times New Roman" w:hAnsi="Times New Roman"/>
      <w:szCs w:val="20"/>
      <w:lang w:val="en-AU" w:eastAsia="en-AU"/>
    </w:rPr>
  </w:style>
  <w:style w:type="paragraph" w:customStyle="1" w:styleId="RepNormal">
    <w:name w:val="Rep_Normal"/>
    <w:basedOn w:val="NoSpacing"/>
    <w:qFormat/>
    <w:rsid w:val="00DA0CB9"/>
    <w:pPr>
      <w:keepLines w:val="0"/>
      <w:jc w:val="both"/>
    </w:pPr>
    <w:rPr>
      <w:rFonts w:ascii="Times New Roman" w:hAnsi="Times New Roman" w:cstheme="minorBidi"/>
      <w:sz w:val="22"/>
      <w:szCs w:val="22"/>
    </w:rPr>
  </w:style>
  <w:style w:type="paragraph" w:styleId="NoSpacing">
    <w:name w:val="No Spacing"/>
    <w:uiPriority w:val="1"/>
    <w:semiHidden/>
    <w:qFormat/>
    <w:rsid w:val="00DA0CB9"/>
    <w:pPr>
      <w:keepLines/>
      <w:spacing w:before="0" w:after="0"/>
    </w:pPr>
    <w:rPr>
      <w:rFonts w:eastAsiaTheme="minorHAnsi"/>
      <w:lang w:eastAsia="en-US"/>
    </w:rPr>
  </w:style>
  <w:style w:type="paragraph" w:styleId="TOC9">
    <w:name w:val="toc 9"/>
    <w:basedOn w:val="Normal"/>
    <w:next w:val="Normal"/>
    <w:autoRedefine/>
    <w:uiPriority w:val="39"/>
    <w:unhideWhenUsed/>
    <w:rsid w:val="00E458AB"/>
    <w:pPr>
      <w:keepLines w:val="0"/>
      <w:spacing w:before="0" w:after="100" w:line="276" w:lineRule="auto"/>
      <w:ind w:left="1760"/>
    </w:pPr>
    <w:rPr>
      <w:rFonts w:asciiTheme="minorHAnsi" w:eastAsiaTheme="minorEastAsia" w:hAnsiTheme="minorHAnsi" w:cstheme="minorBidi"/>
      <w:sz w:val="22"/>
      <w:szCs w:val="22"/>
      <w:lang w:eastAsia="en-NZ"/>
    </w:rPr>
  </w:style>
  <w:style w:type="character" w:customStyle="1" w:styleId="FootnoteTextChar">
    <w:name w:val="Footnote Text Char"/>
    <w:link w:val="FootnoteText"/>
    <w:rsid w:val="00CB3396"/>
    <w:rPr>
      <w:rFonts w:eastAsiaTheme="minorHAnsi"/>
      <w:sz w:val="20"/>
      <w:szCs w:val="20"/>
      <w:lang w:eastAsia="en-US"/>
    </w:rPr>
  </w:style>
  <w:style w:type="paragraph" w:customStyle="1" w:styleId="label9">
    <w:name w:val="label9"/>
    <w:basedOn w:val="Normal"/>
    <w:rsid w:val="004E0F69"/>
    <w:pPr>
      <w:keepLines w:val="0"/>
      <w:spacing w:before="0" w:after="0" w:line="288" w:lineRule="atLeast"/>
    </w:pPr>
    <w:rPr>
      <w:rFonts w:ascii="Times New Roman" w:eastAsia="Times New Roman" w:hAnsi="Times New Roman"/>
      <w:color w:val="000000"/>
      <w:lang w:eastAsia="en-NZ"/>
    </w:rPr>
  </w:style>
  <w:style w:type="paragraph" w:customStyle="1" w:styleId="BlockText0">
    <w:name w:val="Block_Text"/>
    <w:basedOn w:val="Normal"/>
    <w:rsid w:val="008D71D9"/>
    <w:pPr>
      <w:keepLines w:val="0"/>
      <w:spacing w:before="0" w:after="0"/>
    </w:pPr>
    <w:rPr>
      <w:rFonts w:ascii="Times New Roman" w:eastAsia="Times New Roman" w:hAnsi="Times New Roman"/>
      <w:szCs w:val="20"/>
      <w:lang w:val="en-US"/>
    </w:rPr>
  </w:style>
  <w:style w:type="paragraph" w:customStyle="1" w:styleId="Briefingtext">
    <w:name w:val="Briefing text"/>
    <w:basedOn w:val="Normal"/>
    <w:rsid w:val="008D71D9"/>
    <w:pPr>
      <w:keepLines w:val="0"/>
      <w:numPr>
        <w:numId w:val="27"/>
      </w:numPr>
      <w:tabs>
        <w:tab w:val="clear" w:pos="720"/>
        <w:tab w:val="left" w:pos="567"/>
      </w:tabs>
      <w:spacing w:before="0" w:after="120"/>
      <w:ind w:left="567" w:hanging="567"/>
      <w:jc w:val="both"/>
    </w:pPr>
    <w:rPr>
      <w:rFonts w:ascii="Arial Mäori" w:eastAsia="Times New Roman" w:hAnsi="Arial Mäori"/>
    </w:rPr>
  </w:style>
  <w:style w:type="paragraph" w:styleId="CommentText">
    <w:name w:val="annotation text"/>
    <w:basedOn w:val="Normal"/>
    <w:link w:val="CommentTextChar"/>
    <w:uiPriority w:val="99"/>
    <w:semiHidden/>
    <w:rsid w:val="0064690C"/>
    <w:rPr>
      <w:rFonts w:eastAsia="Times New Roman"/>
      <w:sz w:val="20"/>
      <w:szCs w:val="20"/>
    </w:rPr>
  </w:style>
  <w:style w:type="character" w:customStyle="1" w:styleId="CommentTextChar">
    <w:name w:val="Comment Text Char"/>
    <w:basedOn w:val="DefaultParagraphFont"/>
    <w:link w:val="CommentText"/>
    <w:uiPriority w:val="99"/>
    <w:semiHidden/>
    <w:rsid w:val="0064690C"/>
    <w:rPr>
      <w:sz w:val="20"/>
      <w:szCs w:val="20"/>
      <w:lang w:eastAsia="en-US"/>
    </w:rPr>
  </w:style>
  <w:style w:type="character" w:customStyle="1" w:styleId="HeaderChar">
    <w:name w:val="Header Char"/>
    <w:basedOn w:val="DefaultParagraphFont"/>
    <w:link w:val="Header"/>
    <w:uiPriority w:val="99"/>
    <w:rsid w:val="00932C42"/>
    <w:rPr>
      <w:rFonts w:eastAsiaTheme="minorHAnsi"/>
      <w:i/>
      <w:color w:val="A6A6A6" w:themeColor="background1" w:themeShade="A6"/>
      <w:sz w:val="22"/>
      <w:lang w:eastAsia="en-US"/>
    </w:rPr>
  </w:style>
  <w:style w:type="character" w:customStyle="1" w:styleId="TitleChar">
    <w:name w:val="Title Char"/>
    <w:basedOn w:val="DefaultParagraphFont"/>
    <w:link w:val="Title"/>
    <w:rsid w:val="00115DD9"/>
    <w:rPr>
      <w:rFonts w:eastAsiaTheme="minorHAnsi"/>
      <w:b/>
      <w:color w:val="1F546B"/>
      <w:sz w:val="80"/>
      <w:szCs w:val="80"/>
      <w:lang w:eastAsia="en-US"/>
    </w:rPr>
  </w:style>
  <w:style w:type="paragraph" w:styleId="CommentSubject">
    <w:name w:val="annotation subject"/>
    <w:basedOn w:val="CommentText"/>
    <w:next w:val="CommentText"/>
    <w:link w:val="CommentSubjectChar"/>
    <w:uiPriority w:val="99"/>
    <w:semiHidden/>
    <w:unhideWhenUsed/>
    <w:rsid w:val="001526D2"/>
    <w:rPr>
      <w:rFonts w:eastAsiaTheme="minorHAnsi"/>
      <w:b/>
      <w:bCs/>
    </w:rPr>
  </w:style>
  <w:style w:type="character" w:customStyle="1" w:styleId="CommentSubjectChar">
    <w:name w:val="Comment Subject Char"/>
    <w:basedOn w:val="CommentTextChar"/>
    <w:link w:val="CommentSubject"/>
    <w:uiPriority w:val="99"/>
    <w:semiHidden/>
    <w:rsid w:val="001526D2"/>
    <w:rPr>
      <w:rFonts w:eastAsiaTheme="minorHAnsi"/>
      <w:b/>
      <w:bCs/>
      <w:sz w:val="20"/>
      <w:szCs w:val="20"/>
      <w:lang w:eastAsia="en-US"/>
    </w:rPr>
  </w:style>
  <w:style w:type="paragraph" w:customStyle="1" w:styleId="Briefingparasubheading">
    <w:name w:val="Briefing para subheading"/>
    <w:basedOn w:val="Normal"/>
    <w:next w:val="Numberedpara3level1"/>
    <w:qFormat/>
    <w:rsid w:val="00672449"/>
    <w:pPr>
      <w:keepNext/>
      <w:keepLines w:val="0"/>
      <w:spacing w:before="240" w:after="120"/>
    </w:pPr>
    <w:rPr>
      <w:b/>
      <w:i/>
    </w:rPr>
  </w:style>
  <w:style w:type="paragraph" w:customStyle="1" w:styleId="Briefingparaheading">
    <w:name w:val="Briefing para heading"/>
    <w:basedOn w:val="Normal"/>
    <w:next w:val="Numberedpara3level1"/>
    <w:qFormat/>
    <w:rsid w:val="00672449"/>
    <w:pPr>
      <w:keepNext/>
      <w:keepLines w:val="0"/>
      <w:spacing w:before="240" w:after="120"/>
    </w:pPr>
    <w:rPr>
      <w:b/>
      <w:sz w:val="26"/>
    </w:rPr>
  </w:style>
  <w:style w:type="paragraph" w:styleId="TOCHeading">
    <w:name w:val="TOC Heading"/>
    <w:basedOn w:val="Heading1"/>
    <w:next w:val="Normal"/>
    <w:uiPriority w:val="39"/>
    <w:semiHidden/>
    <w:unhideWhenUsed/>
    <w:qFormat/>
    <w:rsid w:val="0027494F"/>
    <w:pPr>
      <w:spacing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 w:type="table" w:customStyle="1" w:styleId="DIATable1">
    <w:name w:val="_DIA Table1"/>
    <w:basedOn w:val="TableNormal"/>
    <w:uiPriority w:val="99"/>
    <w:rsid w:val="00A553AB"/>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table" w:customStyle="1" w:styleId="DIATable2">
    <w:name w:val="_DIA Table2"/>
    <w:basedOn w:val="TableNormal"/>
    <w:uiPriority w:val="99"/>
    <w:rsid w:val="00226FFD"/>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nhideWhenUsed="0"/>
    <w:lsdException w:name="endnote text" w:uiPriority="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115DD9"/>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uiPriority w:val="99"/>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27494F"/>
    <w:pPr>
      <w:tabs>
        <w:tab w:val="left" w:pos="1701"/>
        <w:tab w:val="right" w:leader="dot" w:pos="9072"/>
      </w:tabs>
      <w:spacing w:before="60" w:after="60"/>
      <w:ind w:left="426" w:right="567"/>
    </w:pPr>
    <w:rPr>
      <w:noProof/>
    </w:rPr>
  </w:style>
  <w:style w:type="paragraph" w:styleId="TOC4">
    <w:name w:val="toc 4"/>
    <w:basedOn w:val="Normal"/>
    <w:next w:val="Normal"/>
    <w:autoRedefine/>
    <w:uiPriority w:val="39"/>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39"/>
    <w:rsid w:val="005675E0"/>
    <w:pPr>
      <w:tabs>
        <w:tab w:val="right" w:pos="9072"/>
      </w:tabs>
      <w:spacing w:before="200"/>
      <w:ind w:left="567" w:right="567" w:hanging="567"/>
    </w:pPr>
    <w:rPr>
      <w:b/>
    </w:rPr>
  </w:style>
  <w:style w:type="paragraph" w:styleId="TOC7">
    <w:name w:val="toc 7"/>
    <w:basedOn w:val="Normal"/>
    <w:next w:val="Normal"/>
    <w:autoRedefine/>
    <w:uiPriority w:val="39"/>
    <w:rsid w:val="005675E0"/>
    <w:pPr>
      <w:tabs>
        <w:tab w:val="left" w:pos="567"/>
        <w:tab w:val="right" w:pos="9072"/>
      </w:tabs>
      <w:ind w:left="567" w:right="567" w:hanging="567"/>
    </w:pPr>
  </w:style>
  <w:style w:type="paragraph" w:styleId="TOC8">
    <w:name w:val="toc 8"/>
    <w:basedOn w:val="Normal"/>
    <w:next w:val="Normal"/>
    <w:autoRedefine/>
    <w:uiPriority w:val="39"/>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basedOn w:val="List123"/>
    <w:uiPriority w:val="34"/>
    <w:qFormat/>
    <w:rsid w:val="00E76AFA"/>
    <w:pPr>
      <w:numPr>
        <w:numId w:val="0"/>
      </w:numPr>
    </w:pPr>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21"/>
      </w:numPr>
      <w:spacing w:before="80" w:after="80"/>
    </w:pPr>
  </w:style>
  <w:style w:type="paragraph" w:customStyle="1" w:styleId="List123level3">
    <w:name w:val="List 1 2 3 level 3"/>
    <w:basedOn w:val="Normal"/>
    <w:uiPriority w:val="1"/>
    <w:semiHidden/>
    <w:qFormat/>
    <w:rsid w:val="00E76AFA"/>
    <w:pPr>
      <w:numPr>
        <w:ilvl w:val="2"/>
        <w:numId w:val="21"/>
      </w:numPr>
      <w:spacing w:before="80" w:after="80"/>
    </w:pPr>
  </w:style>
  <w:style w:type="paragraph" w:customStyle="1" w:styleId="Legislationsection">
    <w:name w:val="Legislation section"/>
    <w:basedOn w:val="Normal"/>
    <w:semiHidden/>
    <w:qFormat/>
    <w:rsid w:val="00E76AFA"/>
    <w:pPr>
      <w:keepNext/>
      <w:numPr>
        <w:numId w:val="23"/>
      </w:numPr>
      <w:tabs>
        <w:tab w:val="left" w:pos="567"/>
      </w:tabs>
      <w:spacing w:after="60"/>
    </w:pPr>
    <w:rPr>
      <w:b/>
      <w:sz w:val="22"/>
    </w:rPr>
  </w:style>
  <w:style w:type="paragraph" w:customStyle="1" w:styleId="Legislationnumber">
    <w:name w:val="Legislation number"/>
    <w:basedOn w:val="Normal"/>
    <w:semiHidden/>
    <w:qFormat/>
    <w:rsid w:val="00E76AFA"/>
    <w:pPr>
      <w:numPr>
        <w:numId w:val="22"/>
      </w:numPr>
      <w:tabs>
        <w:tab w:val="left" w:pos="567"/>
      </w:tabs>
      <w:spacing w:before="60" w:after="60"/>
    </w:pPr>
    <w:rPr>
      <w:sz w:val="22"/>
    </w:rPr>
  </w:style>
  <w:style w:type="paragraph" w:customStyle="1" w:styleId="Legislationa">
    <w:name w:val="Legislation (a)"/>
    <w:basedOn w:val="Normal"/>
    <w:semiHidden/>
    <w:qFormat/>
    <w:rsid w:val="00E76AFA"/>
    <w:pPr>
      <w:numPr>
        <w:ilvl w:val="2"/>
        <w:numId w:val="23"/>
      </w:numPr>
      <w:spacing w:before="60" w:after="60"/>
    </w:pPr>
    <w:rPr>
      <w:sz w:val="22"/>
    </w:rPr>
  </w:style>
  <w:style w:type="paragraph" w:customStyle="1" w:styleId="Legislationi">
    <w:name w:val="Legislation (i)"/>
    <w:basedOn w:val="Normal"/>
    <w:semiHidden/>
    <w:qFormat/>
    <w:rsid w:val="00E76AFA"/>
    <w:pPr>
      <w:numPr>
        <w:ilvl w:val="3"/>
        <w:numId w:val="23"/>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5"/>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semiHidden/>
    <w:qFormat/>
    <w:rsid w:val="00E76AFA"/>
    <w:pPr>
      <w:numPr>
        <w:numId w:val="24"/>
      </w:numPr>
      <w:spacing w:after="120"/>
    </w:pPr>
  </w:style>
  <w:style w:type="paragraph" w:customStyle="1" w:styleId="Numberedpara2level2a">
    <w:name w:val="Numbered para (2) level 2 (a)"/>
    <w:basedOn w:val="Normal"/>
    <w:semiHidden/>
    <w:qFormat/>
    <w:rsid w:val="00E76AFA"/>
    <w:pPr>
      <w:numPr>
        <w:ilvl w:val="1"/>
        <w:numId w:val="24"/>
      </w:numPr>
      <w:spacing w:after="120"/>
    </w:pPr>
  </w:style>
  <w:style w:type="paragraph" w:customStyle="1" w:styleId="Numberedpara2level3i">
    <w:name w:val="Numbered para (2) level 3 (i)"/>
    <w:basedOn w:val="Normal"/>
    <w:semiHidden/>
    <w:qFormat/>
    <w:rsid w:val="00E76AFA"/>
    <w:pPr>
      <w:numPr>
        <w:ilvl w:val="2"/>
        <w:numId w:val="24"/>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uiPriority w:val="99"/>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qFormat/>
    <w:rsid w:val="00E76AFA"/>
    <w:pPr>
      <w:numPr>
        <w:numId w:val="26"/>
      </w:numPr>
      <w:spacing w:after="120"/>
    </w:pPr>
  </w:style>
  <w:style w:type="paragraph" w:customStyle="1" w:styleId="Numberedpara3level211">
    <w:name w:val="Numbered para (3) level 2 (1.1)"/>
    <w:basedOn w:val="Normal"/>
    <w:qFormat/>
    <w:rsid w:val="00E76AFA"/>
    <w:pPr>
      <w:numPr>
        <w:ilvl w:val="1"/>
        <w:numId w:val="26"/>
      </w:numPr>
      <w:spacing w:after="120"/>
    </w:pPr>
  </w:style>
  <w:style w:type="paragraph" w:customStyle="1" w:styleId="Numberedpara3level3111">
    <w:name w:val="Numbered para (3) level 3 (1.1.1)"/>
    <w:basedOn w:val="Normal"/>
    <w:qFormat/>
    <w:rsid w:val="00E76AFA"/>
    <w:pPr>
      <w:numPr>
        <w:ilvl w:val="2"/>
        <w:numId w:val="26"/>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paragraph" w:customStyle="1" w:styleId="Default">
    <w:name w:val="Default"/>
    <w:rsid w:val="00EC5798"/>
    <w:pPr>
      <w:autoSpaceDE w:val="0"/>
      <w:autoSpaceDN w:val="0"/>
      <w:adjustRightInd w:val="0"/>
      <w:spacing w:before="0" w:after="0"/>
    </w:pPr>
    <w:rPr>
      <w:rFonts w:cs="Calibri"/>
      <w:color w:val="000000"/>
    </w:rPr>
  </w:style>
  <w:style w:type="character" w:customStyle="1" w:styleId="label">
    <w:name w:val="label"/>
    <w:basedOn w:val="DefaultParagraphFont"/>
    <w:rsid w:val="00854409"/>
  </w:style>
  <w:style w:type="character" w:customStyle="1" w:styleId="spc1">
    <w:name w:val="spc1"/>
    <w:basedOn w:val="DefaultParagraphFont"/>
    <w:rsid w:val="00854409"/>
    <w:rPr>
      <w:strike w:val="0"/>
      <w:dstrike w:val="0"/>
      <w:u w:val="none"/>
      <w:effect w:val="none"/>
    </w:rPr>
  </w:style>
  <w:style w:type="paragraph" w:customStyle="1" w:styleId="labelled4">
    <w:name w:val="labelled4"/>
    <w:basedOn w:val="Normal"/>
    <w:rsid w:val="00854409"/>
    <w:pPr>
      <w:keepLines w:val="0"/>
      <w:spacing w:before="0" w:after="0" w:line="288" w:lineRule="atLeast"/>
      <w:ind w:right="240"/>
    </w:pPr>
    <w:rPr>
      <w:rFonts w:ascii="Times New Roman" w:eastAsia="Times New Roman" w:hAnsi="Times New Roman"/>
      <w:color w:val="000000"/>
      <w:lang w:eastAsia="en-NZ"/>
    </w:rPr>
  </w:style>
  <w:style w:type="paragraph" w:styleId="EndnoteText">
    <w:name w:val="endnote text"/>
    <w:basedOn w:val="Normal"/>
    <w:link w:val="EndnoteTextChar"/>
    <w:semiHidden/>
    <w:unhideWhenUsed/>
    <w:rsid w:val="00332731"/>
    <w:pPr>
      <w:spacing w:before="0" w:after="0"/>
    </w:pPr>
    <w:rPr>
      <w:sz w:val="20"/>
      <w:szCs w:val="20"/>
    </w:rPr>
  </w:style>
  <w:style w:type="character" w:customStyle="1" w:styleId="EndnoteTextChar">
    <w:name w:val="Endnote Text Char"/>
    <w:basedOn w:val="DefaultParagraphFont"/>
    <w:link w:val="EndnoteText"/>
    <w:semiHidden/>
    <w:rsid w:val="00332731"/>
    <w:rPr>
      <w:rFonts w:eastAsiaTheme="minorHAnsi"/>
      <w:sz w:val="20"/>
      <w:szCs w:val="20"/>
      <w:lang w:eastAsia="en-US"/>
    </w:rPr>
  </w:style>
  <w:style w:type="paragraph" w:styleId="Quote">
    <w:name w:val="Quote"/>
    <w:basedOn w:val="BodyText"/>
    <w:next w:val="BodyText"/>
    <w:link w:val="QuoteChar"/>
    <w:qFormat/>
    <w:rsid w:val="00BF790D"/>
    <w:pPr>
      <w:keepLines w:val="0"/>
      <w:spacing w:after="0" w:line="280" w:lineRule="exact"/>
      <w:ind w:left="340"/>
      <w:jc w:val="both"/>
    </w:pPr>
    <w:rPr>
      <w:rFonts w:ascii="Times New Roman" w:eastAsia="Times New Roman" w:hAnsi="Times New Roman"/>
      <w:szCs w:val="20"/>
      <w:lang w:val="en-AU" w:eastAsia="en-AU"/>
    </w:rPr>
  </w:style>
  <w:style w:type="character" w:customStyle="1" w:styleId="QuoteChar">
    <w:name w:val="Quote Char"/>
    <w:basedOn w:val="DefaultParagraphFont"/>
    <w:link w:val="Quote"/>
    <w:rsid w:val="00BF790D"/>
    <w:rPr>
      <w:rFonts w:ascii="Times New Roman" w:hAnsi="Times New Roman"/>
      <w:szCs w:val="20"/>
      <w:lang w:val="en-AU" w:eastAsia="en-AU"/>
    </w:rPr>
  </w:style>
  <w:style w:type="paragraph" w:customStyle="1" w:styleId="RepNormal">
    <w:name w:val="Rep_Normal"/>
    <w:basedOn w:val="NoSpacing"/>
    <w:qFormat/>
    <w:rsid w:val="00DA0CB9"/>
    <w:pPr>
      <w:keepLines w:val="0"/>
      <w:jc w:val="both"/>
    </w:pPr>
    <w:rPr>
      <w:rFonts w:ascii="Times New Roman" w:hAnsi="Times New Roman" w:cstheme="minorBidi"/>
      <w:sz w:val="22"/>
      <w:szCs w:val="22"/>
    </w:rPr>
  </w:style>
  <w:style w:type="paragraph" w:styleId="NoSpacing">
    <w:name w:val="No Spacing"/>
    <w:uiPriority w:val="1"/>
    <w:semiHidden/>
    <w:qFormat/>
    <w:rsid w:val="00DA0CB9"/>
    <w:pPr>
      <w:keepLines/>
      <w:spacing w:before="0" w:after="0"/>
    </w:pPr>
    <w:rPr>
      <w:rFonts w:eastAsiaTheme="minorHAnsi"/>
      <w:lang w:eastAsia="en-US"/>
    </w:rPr>
  </w:style>
  <w:style w:type="paragraph" w:styleId="TOC9">
    <w:name w:val="toc 9"/>
    <w:basedOn w:val="Normal"/>
    <w:next w:val="Normal"/>
    <w:autoRedefine/>
    <w:uiPriority w:val="39"/>
    <w:unhideWhenUsed/>
    <w:rsid w:val="00E458AB"/>
    <w:pPr>
      <w:keepLines w:val="0"/>
      <w:spacing w:before="0" w:after="100" w:line="276" w:lineRule="auto"/>
      <w:ind w:left="1760"/>
    </w:pPr>
    <w:rPr>
      <w:rFonts w:asciiTheme="minorHAnsi" w:eastAsiaTheme="minorEastAsia" w:hAnsiTheme="minorHAnsi" w:cstheme="minorBidi"/>
      <w:sz w:val="22"/>
      <w:szCs w:val="22"/>
      <w:lang w:eastAsia="en-NZ"/>
    </w:rPr>
  </w:style>
  <w:style w:type="character" w:customStyle="1" w:styleId="FootnoteTextChar">
    <w:name w:val="Footnote Text Char"/>
    <w:link w:val="FootnoteText"/>
    <w:rsid w:val="00CB3396"/>
    <w:rPr>
      <w:rFonts w:eastAsiaTheme="minorHAnsi"/>
      <w:sz w:val="20"/>
      <w:szCs w:val="20"/>
      <w:lang w:eastAsia="en-US"/>
    </w:rPr>
  </w:style>
  <w:style w:type="paragraph" w:customStyle="1" w:styleId="label9">
    <w:name w:val="label9"/>
    <w:basedOn w:val="Normal"/>
    <w:rsid w:val="004E0F69"/>
    <w:pPr>
      <w:keepLines w:val="0"/>
      <w:spacing w:before="0" w:after="0" w:line="288" w:lineRule="atLeast"/>
    </w:pPr>
    <w:rPr>
      <w:rFonts w:ascii="Times New Roman" w:eastAsia="Times New Roman" w:hAnsi="Times New Roman"/>
      <w:color w:val="000000"/>
      <w:lang w:eastAsia="en-NZ"/>
    </w:rPr>
  </w:style>
  <w:style w:type="paragraph" w:customStyle="1" w:styleId="BlockText0">
    <w:name w:val="Block_Text"/>
    <w:basedOn w:val="Normal"/>
    <w:rsid w:val="008D71D9"/>
    <w:pPr>
      <w:keepLines w:val="0"/>
      <w:spacing w:before="0" w:after="0"/>
    </w:pPr>
    <w:rPr>
      <w:rFonts w:ascii="Times New Roman" w:eastAsia="Times New Roman" w:hAnsi="Times New Roman"/>
      <w:szCs w:val="20"/>
      <w:lang w:val="en-US"/>
    </w:rPr>
  </w:style>
  <w:style w:type="paragraph" w:customStyle="1" w:styleId="Briefingtext">
    <w:name w:val="Briefing text"/>
    <w:basedOn w:val="Normal"/>
    <w:rsid w:val="008D71D9"/>
    <w:pPr>
      <w:keepLines w:val="0"/>
      <w:numPr>
        <w:numId w:val="27"/>
      </w:numPr>
      <w:tabs>
        <w:tab w:val="clear" w:pos="720"/>
        <w:tab w:val="left" w:pos="567"/>
      </w:tabs>
      <w:spacing w:before="0" w:after="120"/>
      <w:ind w:left="567" w:hanging="567"/>
      <w:jc w:val="both"/>
    </w:pPr>
    <w:rPr>
      <w:rFonts w:ascii="Arial Mäori" w:eastAsia="Times New Roman" w:hAnsi="Arial Mäori"/>
    </w:rPr>
  </w:style>
  <w:style w:type="paragraph" w:styleId="CommentText">
    <w:name w:val="annotation text"/>
    <w:basedOn w:val="Normal"/>
    <w:link w:val="CommentTextChar"/>
    <w:uiPriority w:val="99"/>
    <w:semiHidden/>
    <w:rsid w:val="0064690C"/>
    <w:rPr>
      <w:rFonts w:eastAsia="Times New Roman"/>
      <w:sz w:val="20"/>
      <w:szCs w:val="20"/>
    </w:rPr>
  </w:style>
  <w:style w:type="character" w:customStyle="1" w:styleId="CommentTextChar">
    <w:name w:val="Comment Text Char"/>
    <w:basedOn w:val="DefaultParagraphFont"/>
    <w:link w:val="CommentText"/>
    <w:uiPriority w:val="99"/>
    <w:semiHidden/>
    <w:rsid w:val="0064690C"/>
    <w:rPr>
      <w:sz w:val="20"/>
      <w:szCs w:val="20"/>
      <w:lang w:eastAsia="en-US"/>
    </w:rPr>
  </w:style>
  <w:style w:type="character" w:customStyle="1" w:styleId="HeaderChar">
    <w:name w:val="Header Char"/>
    <w:basedOn w:val="DefaultParagraphFont"/>
    <w:link w:val="Header"/>
    <w:uiPriority w:val="99"/>
    <w:rsid w:val="00932C42"/>
    <w:rPr>
      <w:rFonts w:eastAsiaTheme="minorHAnsi"/>
      <w:i/>
      <w:color w:val="A6A6A6" w:themeColor="background1" w:themeShade="A6"/>
      <w:sz w:val="22"/>
      <w:lang w:eastAsia="en-US"/>
    </w:rPr>
  </w:style>
  <w:style w:type="character" w:customStyle="1" w:styleId="TitleChar">
    <w:name w:val="Title Char"/>
    <w:basedOn w:val="DefaultParagraphFont"/>
    <w:link w:val="Title"/>
    <w:rsid w:val="00115DD9"/>
    <w:rPr>
      <w:rFonts w:eastAsiaTheme="minorHAnsi"/>
      <w:b/>
      <w:color w:val="1F546B"/>
      <w:sz w:val="80"/>
      <w:szCs w:val="80"/>
      <w:lang w:eastAsia="en-US"/>
    </w:rPr>
  </w:style>
  <w:style w:type="paragraph" w:styleId="CommentSubject">
    <w:name w:val="annotation subject"/>
    <w:basedOn w:val="CommentText"/>
    <w:next w:val="CommentText"/>
    <w:link w:val="CommentSubjectChar"/>
    <w:uiPriority w:val="99"/>
    <w:semiHidden/>
    <w:unhideWhenUsed/>
    <w:rsid w:val="001526D2"/>
    <w:rPr>
      <w:rFonts w:eastAsiaTheme="minorHAnsi"/>
      <w:b/>
      <w:bCs/>
    </w:rPr>
  </w:style>
  <w:style w:type="character" w:customStyle="1" w:styleId="CommentSubjectChar">
    <w:name w:val="Comment Subject Char"/>
    <w:basedOn w:val="CommentTextChar"/>
    <w:link w:val="CommentSubject"/>
    <w:uiPriority w:val="99"/>
    <w:semiHidden/>
    <w:rsid w:val="001526D2"/>
    <w:rPr>
      <w:rFonts w:eastAsiaTheme="minorHAnsi"/>
      <w:b/>
      <w:bCs/>
      <w:sz w:val="20"/>
      <w:szCs w:val="20"/>
      <w:lang w:eastAsia="en-US"/>
    </w:rPr>
  </w:style>
  <w:style w:type="paragraph" w:customStyle="1" w:styleId="Briefingparasubheading">
    <w:name w:val="Briefing para subheading"/>
    <w:basedOn w:val="Normal"/>
    <w:next w:val="Numberedpara3level1"/>
    <w:qFormat/>
    <w:rsid w:val="00672449"/>
    <w:pPr>
      <w:keepNext/>
      <w:keepLines w:val="0"/>
      <w:spacing w:before="240" w:after="120"/>
    </w:pPr>
    <w:rPr>
      <w:b/>
      <w:i/>
    </w:rPr>
  </w:style>
  <w:style w:type="paragraph" w:customStyle="1" w:styleId="Briefingparaheading">
    <w:name w:val="Briefing para heading"/>
    <w:basedOn w:val="Normal"/>
    <w:next w:val="Numberedpara3level1"/>
    <w:qFormat/>
    <w:rsid w:val="00672449"/>
    <w:pPr>
      <w:keepNext/>
      <w:keepLines w:val="0"/>
      <w:spacing w:before="240" w:after="120"/>
    </w:pPr>
    <w:rPr>
      <w:b/>
      <w:sz w:val="26"/>
    </w:rPr>
  </w:style>
  <w:style w:type="paragraph" w:styleId="TOCHeading">
    <w:name w:val="TOC Heading"/>
    <w:basedOn w:val="Heading1"/>
    <w:next w:val="Normal"/>
    <w:uiPriority w:val="39"/>
    <w:semiHidden/>
    <w:unhideWhenUsed/>
    <w:qFormat/>
    <w:rsid w:val="0027494F"/>
    <w:pPr>
      <w:spacing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 w:type="table" w:customStyle="1" w:styleId="DIATable1">
    <w:name w:val="_DIA Table1"/>
    <w:basedOn w:val="TableNormal"/>
    <w:uiPriority w:val="99"/>
    <w:rsid w:val="00A553AB"/>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table" w:customStyle="1" w:styleId="DIATable2">
    <w:name w:val="_DIA Table2"/>
    <w:basedOn w:val="TableNormal"/>
    <w:uiPriority w:val="99"/>
    <w:rsid w:val="00226FFD"/>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728">
      <w:bodyDiv w:val="1"/>
      <w:marLeft w:val="0"/>
      <w:marRight w:val="0"/>
      <w:marTop w:val="0"/>
      <w:marBottom w:val="0"/>
      <w:divBdr>
        <w:top w:val="none" w:sz="0" w:space="0" w:color="auto"/>
        <w:left w:val="none" w:sz="0" w:space="0" w:color="auto"/>
        <w:bottom w:val="none" w:sz="0" w:space="0" w:color="auto"/>
        <w:right w:val="none" w:sz="0" w:space="0" w:color="auto"/>
      </w:divBdr>
      <w:divsChild>
        <w:div w:id="1726441045">
          <w:marLeft w:val="0"/>
          <w:marRight w:val="0"/>
          <w:marTop w:val="0"/>
          <w:marBottom w:val="0"/>
          <w:divBdr>
            <w:top w:val="none" w:sz="0" w:space="0" w:color="auto"/>
            <w:left w:val="none" w:sz="0" w:space="0" w:color="auto"/>
            <w:bottom w:val="none" w:sz="0" w:space="0" w:color="auto"/>
            <w:right w:val="none" w:sz="0" w:space="0" w:color="auto"/>
          </w:divBdr>
          <w:divsChild>
            <w:div w:id="1694724160">
              <w:marLeft w:val="0"/>
              <w:marRight w:val="0"/>
              <w:marTop w:val="0"/>
              <w:marBottom w:val="0"/>
              <w:divBdr>
                <w:top w:val="none" w:sz="0" w:space="0" w:color="auto"/>
                <w:left w:val="none" w:sz="0" w:space="0" w:color="auto"/>
                <w:bottom w:val="none" w:sz="0" w:space="0" w:color="auto"/>
                <w:right w:val="none" w:sz="0" w:space="0" w:color="auto"/>
              </w:divBdr>
              <w:divsChild>
                <w:div w:id="2002461878">
                  <w:marLeft w:val="0"/>
                  <w:marRight w:val="0"/>
                  <w:marTop w:val="105"/>
                  <w:marBottom w:val="0"/>
                  <w:divBdr>
                    <w:top w:val="none" w:sz="0" w:space="0" w:color="auto"/>
                    <w:left w:val="none" w:sz="0" w:space="0" w:color="auto"/>
                    <w:bottom w:val="none" w:sz="0" w:space="0" w:color="auto"/>
                    <w:right w:val="none" w:sz="0" w:space="0" w:color="auto"/>
                  </w:divBdr>
                  <w:divsChild>
                    <w:div w:id="189757141">
                      <w:marLeft w:val="450"/>
                      <w:marRight w:val="225"/>
                      <w:marTop w:val="0"/>
                      <w:marBottom w:val="0"/>
                      <w:divBdr>
                        <w:top w:val="none" w:sz="0" w:space="0" w:color="auto"/>
                        <w:left w:val="none" w:sz="0" w:space="0" w:color="auto"/>
                        <w:bottom w:val="none" w:sz="0" w:space="0" w:color="auto"/>
                        <w:right w:val="none" w:sz="0" w:space="0" w:color="auto"/>
                      </w:divBdr>
                      <w:divsChild>
                        <w:div w:id="1442988384">
                          <w:marLeft w:val="0"/>
                          <w:marRight w:val="0"/>
                          <w:marTop w:val="0"/>
                          <w:marBottom w:val="600"/>
                          <w:divBdr>
                            <w:top w:val="single" w:sz="6" w:space="0" w:color="314664"/>
                            <w:left w:val="single" w:sz="6" w:space="0" w:color="314664"/>
                            <w:bottom w:val="single" w:sz="6" w:space="0" w:color="314664"/>
                            <w:right w:val="single" w:sz="6" w:space="0" w:color="314664"/>
                          </w:divBdr>
                          <w:divsChild>
                            <w:div w:id="130171274">
                              <w:marLeft w:val="0"/>
                              <w:marRight w:val="0"/>
                              <w:marTop w:val="0"/>
                              <w:marBottom w:val="0"/>
                              <w:divBdr>
                                <w:top w:val="none" w:sz="0" w:space="0" w:color="auto"/>
                                <w:left w:val="none" w:sz="0" w:space="0" w:color="auto"/>
                                <w:bottom w:val="none" w:sz="0" w:space="0" w:color="auto"/>
                                <w:right w:val="none" w:sz="0" w:space="0" w:color="auto"/>
                              </w:divBdr>
                              <w:divsChild>
                                <w:div w:id="1928493051">
                                  <w:marLeft w:val="0"/>
                                  <w:marRight w:val="0"/>
                                  <w:marTop w:val="0"/>
                                  <w:marBottom w:val="0"/>
                                  <w:divBdr>
                                    <w:top w:val="none" w:sz="0" w:space="0" w:color="auto"/>
                                    <w:left w:val="none" w:sz="0" w:space="0" w:color="auto"/>
                                    <w:bottom w:val="none" w:sz="0" w:space="0" w:color="auto"/>
                                    <w:right w:val="none" w:sz="0" w:space="0" w:color="auto"/>
                                  </w:divBdr>
                                  <w:divsChild>
                                    <w:div w:id="364335983">
                                      <w:marLeft w:val="0"/>
                                      <w:marRight w:val="0"/>
                                      <w:marTop w:val="0"/>
                                      <w:marBottom w:val="0"/>
                                      <w:divBdr>
                                        <w:top w:val="none" w:sz="0" w:space="0" w:color="auto"/>
                                        <w:left w:val="none" w:sz="0" w:space="0" w:color="auto"/>
                                        <w:bottom w:val="none" w:sz="0" w:space="0" w:color="auto"/>
                                        <w:right w:val="none" w:sz="0" w:space="0" w:color="auto"/>
                                      </w:divBdr>
                                      <w:divsChild>
                                        <w:div w:id="1871062236">
                                          <w:marLeft w:val="0"/>
                                          <w:marRight w:val="0"/>
                                          <w:marTop w:val="0"/>
                                          <w:marBottom w:val="0"/>
                                          <w:divBdr>
                                            <w:top w:val="none" w:sz="0" w:space="0" w:color="auto"/>
                                            <w:left w:val="none" w:sz="0" w:space="0" w:color="auto"/>
                                            <w:bottom w:val="none" w:sz="0" w:space="0" w:color="auto"/>
                                            <w:right w:val="none" w:sz="0" w:space="0" w:color="auto"/>
                                          </w:divBdr>
                                          <w:divsChild>
                                            <w:div w:id="698775006">
                                              <w:marLeft w:val="0"/>
                                              <w:marRight w:val="0"/>
                                              <w:marTop w:val="0"/>
                                              <w:marBottom w:val="0"/>
                                              <w:divBdr>
                                                <w:top w:val="none" w:sz="0" w:space="0" w:color="auto"/>
                                                <w:left w:val="none" w:sz="0" w:space="0" w:color="auto"/>
                                                <w:bottom w:val="none" w:sz="0" w:space="0" w:color="auto"/>
                                                <w:right w:val="none" w:sz="0" w:space="0" w:color="auto"/>
                                              </w:divBdr>
                                              <w:divsChild>
                                                <w:div w:id="1264874477">
                                                  <w:marLeft w:val="0"/>
                                                  <w:marRight w:val="0"/>
                                                  <w:marTop w:val="0"/>
                                                  <w:marBottom w:val="0"/>
                                                  <w:divBdr>
                                                    <w:top w:val="none" w:sz="0" w:space="0" w:color="auto"/>
                                                    <w:left w:val="none" w:sz="0" w:space="0" w:color="auto"/>
                                                    <w:bottom w:val="none" w:sz="0" w:space="0" w:color="auto"/>
                                                    <w:right w:val="none" w:sz="0" w:space="0" w:color="auto"/>
                                                  </w:divBdr>
                                                </w:div>
                                                <w:div w:id="1735853680">
                                                  <w:marLeft w:val="0"/>
                                                  <w:marRight w:val="0"/>
                                                  <w:marTop w:val="0"/>
                                                  <w:marBottom w:val="0"/>
                                                  <w:divBdr>
                                                    <w:top w:val="none" w:sz="0" w:space="0" w:color="auto"/>
                                                    <w:left w:val="none" w:sz="0" w:space="0" w:color="auto"/>
                                                    <w:bottom w:val="none" w:sz="0" w:space="0" w:color="auto"/>
                                                    <w:right w:val="none" w:sz="0" w:space="0" w:color="auto"/>
                                                  </w:divBdr>
                                                </w:div>
                                                <w:div w:id="63258394">
                                                  <w:marLeft w:val="0"/>
                                                  <w:marRight w:val="0"/>
                                                  <w:marTop w:val="0"/>
                                                  <w:marBottom w:val="0"/>
                                                  <w:divBdr>
                                                    <w:top w:val="none" w:sz="0" w:space="0" w:color="auto"/>
                                                    <w:left w:val="none" w:sz="0" w:space="0" w:color="auto"/>
                                                    <w:bottom w:val="none" w:sz="0" w:space="0" w:color="auto"/>
                                                    <w:right w:val="none" w:sz="0" w:space="0" w:color="auto"/>
                                                  </w:divBdr>
                                                </w:div>
                                                <w:div w:id="15471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58308">
      <w:bodyDiv w:val="1"/>
      <w:marLeft w:val="0"/>
      <w:marRight w:val="0"/>
      <w:marTop w:val="0"/>
      <w:marBottom w:val="0"/>
      <w:divBdr>
        <w:top w:val="none" w:sz="0" w:space="0" w:color="auto"/>
        <w:left w:val="none" w:sz="0" w:space="0" w:color="auto"/>
        <w:bottom w:val="none" w:sz="0" w:space="0" w:color="auto"/>
        <w:right w:val="none" w:sz="0" w:space="0" w:color="auto"/>
      </w:divBdr>
      <w:divsChild>
        <w:div w:id="1961493411">
          <w:marLeft w:val="0"/>
          <w:marRight w:val="0"/>
          <w:marTop w:val="0"/>
          <w:marBottom w:val="0"/>
          <w:divBdr>
            <w:top w:val="none" w:sz="0" w:space="0" w:color="auto"/>
            <w:left w:val="none" w:sz="0" w:space="0" w:color="auto"/>
            <w:bottom w:val="none" w:sz="0" w:space="0" w:color="auto"/>
            <w:right w:val="none" w:sz="0" w:space="0" w:color="auto"/>
          </w:divBdr>
          <w:divsChild>
            <w:div w:id="1005983005">
              <w:marLeft w:val="0"/>
              <w:marRight w:val="0"/>
              <w:marTop w:val="0"/>
              <w:marBottom w:val="0"/>
              <w:divBdr>
                <w:top w:val="none" w:sz="0" w:space="0" w:color="auto"/>
                <w:left w:val="none" w:sz="0" w:space="0" w:color="auto"/>
                <w:bottom w:val="none" w:sz="0" w:space="0" w:color="auto"/>
                <w:right w:val="none" w:sz="0" w:space="0" w:color="auto"/>
              </w:divBdr>
              <w:divsChild>
                <w:div w:id="961960467">
                  <w:marLeft w:val="0"/>
                  <w:marRight w:val="0"/>
                  <w:marTop w:val="105"/>
                  <w:marBottom w:val="0"/>
                  <w:divBdr>
                    <w:top w:val="none" w:sz="0" w:space="0" w:color="auto"/>
                    <w:left w:val="none" w:sz="0" w:space="0" w:color="auto"/>
                    <w:bottom w:val="none" w:sz="0" w:space="0" w:color="auto"/>
                    <w:right w:val="none" w:sz="0" w:space="0" w:color="auto"/>
                  </w:divBdr>
                  <w:divsChild>
                    <w:div w:id="84615612">
                      <w:marLeft w:val="450"/>
                      <w:marRight w:val="225"/>
                      <w:marTop w:val="0"/>
                      <w:marBottom w:val="0"/>
                      <w:divBdr>
                        <w:top w:val="none" w:sz="0" w:space="0" w:color="auto"/>
                        <w:left w:val="none" w:sz="0" w:space="0" w:color="auto"/>
                        <w:bottom w:val="none" w:sz="0" w:space="0" w:color="auto"/>
                        <w:right w:val="none" w:sz="0" w:space="0" w:color="auto"/>
                      </w:divBdr>
                      <w:divsChild>
                        <w:div w:id="76098056">
                          <w:marLeft w:val="0"/>
                          <w:marRight w:val="0"/>
                          <w:marTop w:val="0"/>
                          <w:marBottom w:val="600"/>
                          <w:divBdr>
                            <w:top w:val="single" w:sz="6" w:space="0" w:color="314664"/>
                            <w:left w:val="single" w:sz="6" w:space="0" w:color="314664"/>
                            <w:bottom w:val="single" w:sz="6" w:space="0" w:color="314664"/>
                            <w:right w:val="single" w:sz="6" w:space="0" w:color="314664"/>
                          </w:divBdr>
                          <w:divsChild>
                            <w:div w:id="1646007804">
                              <w:marLeft w:val="0"/>
                              <w:marRight w:val="0"/>
                              <w:marTop w:val="0"/>
                              <w:marBottom w:val="0"/>
                              <w:divBdr>
                                <w:top w:val="none" w:sz="0" w:space="0" w:color="auto"/>
                                <w:left w:val="none" w:sz="0" w:space="0" w:color="auto"/>
                                <w:bottom w:val="none" w:sz="0" w:space="0" w:color="auto"/>
                                <w:right w:val="none" w:sz="0" w:space="0" w:color="auto"/>
                              </w:divBdr>
                              <w:divsChild>
                                <w:div w:id="1532187763">
                                  <w:marLeft w:val="0"/>
                                  <w:marRight w:val="0"/>
                                  <w:marTop w:val="0"/>
                                  <w:marBottom w:val="0"/>
                                  <w:divBdr>
                                    <w:top w:val="none" w:sz="0" w:space="0" w:color="auto"/>
                                    <w:left w:val="none" w:sz="0" w:space="0" w:color="auto"/>
                                    <w:bottom w:val="none" w:sz="0" w:space="0" w:color="auto"/>
                                    <w:right w:val="none" w:sz="0" w:space="0" w:color="auto"/>
                                  </w:divBdr>
                                  <w:divsChild>
                                    <w:div w:id="934900920">
                                      <w:marLeft w:val="0"/>
                                      <w:marRight w:val="0"/>
                                      <w:marTop w:val="0"/>
                                      <w:marBottom w:val="0"/>
                                      <w:divBdr>
                                        <w:top w:val="none" w:sz="0" w:space="0" w:color="auto"/>
                                        <w:left w:val="none" w:sz="0" w:space="0" w:color="auto"/>
                                        <w:bottom w:val="none" w:sz="0" w:space="0" w:color="auto"/>
                                        <w:right w:val="none" w:sz="0" w:space="0" w:color="auto"/>
                                      </w:divBdr>
                                      <w:divsChild>
                                        <w:div w:id="310794571">
                                          <w:marLeft w:val="0"/>
                                          <w:marRight w:val="0"/>
                                          <w:marTop w:val="0"/>
                                          <w:marBottom w:val="0"/>
                                          <w:divBdr>
                                            <w:top w:val="none" w:sz="0" w:space="0" w:color="auto"/>
                                            <w:left w:val="none" w:sz="0" w:space="0" w:color="auto"/>
                                            <w:bottom w:val="none" w:sz="0" w:space="0" w:color="auto"/>
                                            <w:right w:val="none" w:sz="0" w:space="0" w:color="auto"/>
                                          </w:divBdr>
                                          <w:divsChild>
                                            <w:div w:id="135076272">
                                              <w:marLeft w:val="0"/>
                                              <w:marRight w:val="0"/>
                                              <w:marTop w:val="0"/>
                                              <w:marBottom w:val="0"/>
                                              <w:divBdr>
                                                <w:top w:val="none" w:sz="0" w:space="0" w:color="auto"/>
                                                <w:left w:val="none" w:sz="0" w:space="0" w:color="auto"/>
                                                <w:bottom w:val="none" w:sz="0" w:space="0" w:color="auto"/>
                                                <w:right w:val="none" w:sz="0" w:space="0" w:color="auto"/>
                                              </w:divBdr>
                                              <w:divsChild>
                                                <w:div w:id="1545946089">
                                                  <w:marLeft w:val="0"/>
                                                  <w:marRight w:val="0"/>
                                                  <w:marTop w:val="0"/>
                                                  <w:marBottom w:val="0"/>
                                                  <w:divBdr>
                                                    <w:top w:val="none" w:sz="0" w:space="0" w:color="auto"/>
                                                    <w:left w:val="none" w:sz="0" w:space="0" w:color="auto"/>
                                                    <w:bottom w:val="none" w:sz="0" w:space="0" w:color="auto"/>
                                                    <w:right w:val="none" w:sz="0" w:space="0" w:color="auto"/>
                                                  </w:divBdr>
                                                </w:div>
                                                <w:div w:id="18555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32771">
      <w:bodyDiv w:val="1"/>
      <w:marLeft w:val="0"/>
      <w:marRight w:val="0"/>
      <w:marTop w:val="0"/>
      <w:marBottom w:val="0"/>
      <w:divBdr>
        <w:top w:val="none" w:sz="0" w:space="0" w:color="auto"/>
        <w:left w:val="none" w:sz="0" w:space="0" w:color="auto"/>
        <w:bottom w:val="none" w:sz="0" w:space="0" w:color="auto"/>
        <w:right w:val="none" w:sz="0" w:space="0" w:color="auto"/>
      </w:divBdr>
    </w:div>
    <w:div w:id="387806912">
      <w:bodyDiv w:val="1"/>
      <w:marLeft w:val="0"/>
      <w:marRight w:val="0"/>
      <w:marTop w:val="0"/>
      <w:marBottom w:val="0"/>
      <w:divBdr>
        <w:top w:val="none" w:sz="0" w:space="0" w:color="auto"/>
        <w:left w:val="none" w:sz="0" w:space="0" w:color="auto"/>
        <w:bottom w:val="none" w:sz="0" w:space="0" w:color="auto"/>
        <w:right w:val="none" w:sz="0" w:space="0" w:color="auto"/>
      </w:divBdr>
    </w:div>
    <w:div w:id="514458970">
      <w:bodyDiv w:val="1"/>
      <w:marLeft w:val="0"/>
      <w:marRight w:val="0"/>
      <w:marTop w:val="0"/>
      <w:marBottom w:val="0"/>
      <w:divBdr>
        <w:top w:val="none" w:sz="0" w:space="0" w:color="auto"/>
        <w:left w:val="none" w:sz="0" w:space="0" w:color="auto"/>
        <w:bottom w:val="none" w:sz="0" w:space="0" w:color="auto"/>
        <w:right w:val="none" w:sz="0" w:space="0" w:color="auto"/>
      </w:divBdr>
      <w:divsChild>
        <w:div w:id="1598514921">
          <w:marLeft w:val="0"/>
          <w:marRight w:val="0"/>
          <w:marTop w:val="0"/>
          <w:marBottom w:val="0"/>
          <w:divBdr>
            <w:top w:val="none" w:sz="0" w:space="0" w:color="auto"/>
            <w:left w:val="none" w:sz="0" w:space="0" w:color="auto"/>
            <w:bottom w:val="none" w:sz="0" w:space="0" w:color="auto"/>
            <w:right w:val="none" w:sz="0" w:space="0" w:color="auto"/>
          </w:divBdr>
          <w:divsChild>
            <w:div w:id="290407878">
              <w:marLeft w:val="0"/>
              <w:marRight w:val="0"/>
              <w:marTop w:val="0"/>
              <w:marBottom w:val="0"/>
              <w:divBdr>
                <w:top w:val="none" w:sz="0" w:space="0" w:color="auto"/>
                <w:left w:val="none" w:sz="0" w:space="0" w:color="auto"/>
                <w:bottom w:val="none" w:sz="0" w:space="0" w:color="auto"/>
                <w:right w:val="none" w:sz="0" w:space="0" w:color="auto"/>
              </w:divBdr>
              <w:divsChild>
                <w:div w:id="1956669161">
                  <w:marLeft w:val="0"/>
                  <w:marRight w:val="0"/>
                  <w:marTop w:val="0"/>
                  <w:marBottom w:val="0"/>
                  <w:divBdr>
                    <w:top w:val="none" w:sz="0" w:space="0" w:color="auto"/>
                    <w:left w:val="none" w:sz="0" w:space="0" w:color="auto"/>
                    <w:bottom w:val="none" w:sz="0" w:space="0" w:color="auto"/>
                    <w:right w:val="none" w:sz="0" w:space="0" w:color="auto"/>
                  </w:divBdr>
                  <w:divsChild>
                    <w:div w:id="6419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1639">
      <w:bodyDiv w:val="1"/>
      <w:marLeft w:val="0"/>
      <w:marRight w:val="0"/>
      <w:marTop w:val="0"/>
      <w:marBottom w:val="0"/>
      <w:divBdr>
        <w:top w:val="none" w:sz="0" w:space="0" w:color="auto"/>
        <w:left w:val="none" w:sz="0" w:space="0" w:color="auto"/>
        <w:bottom w:val="none" w:sz="0" w:space="0" w:color="auto"/>
        <w:right w:val="none" w:sz="0" w:space="0" w:color="auto"/>
      </w:divBdr>
    </w:div>
    <w:div w:id="743377956">
      <w:bodyDiv w:val="1"/>
      <w:marLeft w:val="0"/>
      <w:marRight w:val="0"/>
      <w:marTop w:val="0"/>
      <w:marBottom w:val="0"/>
      <w:divBdr>
        <w:top w:val="none" w:sz="0" w:space="0" w:color="auto"/>
        <w:left w:val="none" w:sz="0" w:space="0" w:color="auto"/>
        <w:bottom w:val="none" w:sz="0" w:space="0" w:color="auto"/>
        <w:right w:val="none" w:sz="0" w:space="0" w:color="auto"/>
      </w:divBdr>
      <w:divsChild>
        <w:div w:id="1375077968">
          <w:marLeft w:val="0"/>
          <w:marRight w:val="0"/>
          <w:marTop w:val="0"/>
          <w:marBottom w:val="0"/>
          <w:divBdr>
            <w:top w:val="none" w:sz="0" w:space="0" w:color="auto"/>
            <w:left w:val="none" w:sz="0" w:space="0" w:color="auto"/>
            <w:bottom w:val="none" w:sz="0" w:space="0" w:color="auto"/>
            <w:right w:val="none" w:sz="0" w:space="0" w:color="auto"/>
          </w:divBdr>
          <w:divsChild>
            <w:div w:id="383256619">
              <w:marLeft w:val="0"/>
              <w:marRight w:val="0"/>
              <w:marTop w:val="0"/>
              <w:marBottom w:val="0"/>
              <w:divBdr>
                <w:top w:val="none" w:sz="0" w:space="0" w:color="auto"/>
                <w:left w:val="none" w:sz="0" w:space="0" w:color="auto"/>
                <w:bottom w:val="none" w:sz="0" w:space="0" w:color="auto"/>
                <w:right w:val="none" w:sz="0" w:space="0" w:color="auto"/>
              </w:divBdr>
              <w:divsChild>
                <w:div w:id="1789199374">
                  <w:marLeft w:val="0"/>
                  <w:marRight w:val="0"/>
                  <w:marTop w:val="105"/>
                  <w:marBottom w:val="0"/>
                  <w:divBdr>
                    <w:top w:val="none" w:sz="0" w:space="0" w:color="auto"/>
                    <w:left w:val="none" w:sz="0" w:space="0" w:color="auto"/>
                    <w:bottom w:val="none" w:sz="0" w:space="0" w:color="auto"/>
                    <w:right w:val="none" w:sz="0" w:space="0" w:color="auto"/>
                  </w:divBdr>
                  <w:divsChild>
                    <w:div w:id="813982136">
                      <w:marLeft w:val="450"/>
                      <w:marRight w:val="225"/>
                      <w:marTop w:val="0"/>
                      <w:marBottom w:val="0"/>
                      <w:divBdr>
                        <w:top w:val="none" w:sz="0" w:space="0" w:color="auto"/>
                        <w:left w:val="none" w:sz="0" w:space="0" w:color="auto"/>
                        <w:bottom w:val="none" w:sz="0" w:space="0" w:color="auto"/>
                        <w:right w:val="none" w:sz="0" w:space="0" w:color="auto"/>
                      </w:divBdr>
                      <w:divsChild>
                        <w:div w:id="1518811131">
                          <w:marLeft w:val="0"/>
                          <w:marRight w:val="0"/>
                          <w:marTop w:val="0"/>
                          <w:marBottom w:val="600"/>
                          <w:divBdr>
                            <w:top w:val="single" w:sz="6" w:space="0" w:color="314664"/>
                            <w:left w:val="single" w:sz="6" w:space="0" w:color="314664"/>
                            <w:bottom w:val="single" w:sz="6" w:space="0" w:color="314664"/>
                            <w:right w:val="single" w:sz="6" w:space="0" w:color="314664"/>
                          </w:divBdr>
                          <w:divsChild>
                            <w:div w:id="1619796810">
                              <w:marLeft w:val="0"/>
                              <w:marRight w:val="0"/>
                              <w:marTop w:val="0"/>
                              <w:marBottom w:val="0"/>
                              <w:divBdr>
                                <w:top w:val="none" w:sz="0" w:space="0" w:color="auto"/>
                                <w:left w:val="none" w:sz="0" w:space="0" w:color="auto"/>
                                <w:bottom w:val="none" w:sz="0" w:space="0" w:color="auto"/>
                                <w:right w:val="none" w:sz="0" w:space="0" w:color="auto"/>
                              </w:divBdr>
                              <w:divsChild>
                                <w:div w:id="377243328">
                                  <w:marLeft w:val="0"/>
                                  <w:marRight w:val="0"/>
                                  <w:marTop w:val="0"/>
                                  <w:marBottom w:val="0"/>
                                  <w:divBdr>
                                    <w:top w:val="none" w:sz="0" w:space="0" w:color="auto"/>
                                    <w:left w:val="none" w:sz="0" w:space="0" w:color="auto"/>
                                    <w:bottom w:val="none" w:sz="0" w:space="0" w:color="auto"/>
                                    <w:right w:val="none" w:sz="0" w:space="0" w:color="auto"/>
                                  </w:divBdr>
                                  <w:divsChild>
                                    <w:div w:id="1673945152">
                                      <w:marLeft w:val="0"/>
                                      <w:marRight w:val="0"/>
                                      <w:marTop w:val="0"/>
                                      <w:marBottom w:val="0"/>
                                      <w:divBdr>
                                        <w:top w:val="none" w:sz="0" w:space="0" w:color="auto"/>
                                        <w:left w:val="none" w:sz="0" w:space="0" w:color="auto"/>
                                        <w:bottom w:val="none" w:sz="0" w:space="0" w:color="auto"/>
                                        <w:right w:val="none" w:sz="0" w:space="0" w:color="auto"/>
                                      </w:divBdr>
                                      <w:divsChild>
                                        <w:div w:id="1633945590">
                                          <w:marLeft w:val="0"/>
                                          <w:marRight w:val="0"/>
                                          <w:marTop w:val="0"/>
                                          <w:marBottom w:val="0"/>
                                          <w:divBdr>
                                            <w:top w:val="none" w:sz="0" w:space="0" w:color="auto"/>
                                            <w:left w:val="none" w:sz="0" w:space="0" w:color="auto"/>
                                            <w:bottom w:val="none" w:sz="0" w:space="0" w:color="auto"/>
                                            <w:right w:val="none" w:sz="0" w:space="0" w:color="auto"/>
                                          </w:divBdr>
                                          <w:divsChild>
                                            <w:div w:id="1830245318">
                                              <w:marLeft w:val="0"/>
                                              <w:marRight w:val="0"/>
                                              <w:marTop w:val="0"/>
                                              <w:marBottom w:val="0"/>
                                              <w:divBdr>
                                                <w:top w:val="none" w:sz="0" w:space="0" w:color="auto"/>
                                                <w:left w:val="none" w:sz="0" w:space="0" w:color="auto"/>
                                                <w:bottom w:val="none" w:sz="0" w:space="0" w:color="auto"/>
                                                <w:right w:val="none" w:sz="0" w:space="0" w:color="auto"/>
                                              </w:divBdr>
                                              <w:divsChild>
                                                <w:div w:id="493643727">
                                                  <w:marLeft w:val="0"/>
                                                  <w:marRight w:val="0"/>
                                                  <w:marTop w:val="0"/>
                                                  <w:marBottom w:val="0"/>
                                                  <w:divBdr>
                                                    <w:top w:val="none" w:sz="0" w:space="0" w:color="auto"/>
                                                    <w:left w:val="none" w:sz="0" w:space="0" w:color="auto"/>
                                                    <w:bottom w:val="none" w:sz="0" w:space="0" w:color="auto"/>
                                                    <w:right w:val="none" w:sz="0" w:space="0" w:color="auto"/>
                                                  </w:divBdr>
                                                </w:div>
                                                <w:div w:id="3554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799032">
      <w:bodyDiv w:val="1"/>
      <w:marLeft w:val="0"/>
      <w:marRight w:val="0"/>
      <w:marTop w:val="0"/>
      <w:marBottom w:val="0"/>
      <w:divBdr>
        <w:top w:val="none" w:sz="0" w:space="0" w:color="auto"/>
        <w:left w:val="none" w:sz="0" w:space="0" w:color="auto"/>
        <w:bottom w:val="none" w:sz="0" w:space="0" w:color="auto"/>
        <w:right w:val="none" w:sz="0" w:space="0" w:color="auto"/>
      </w:divBdr>
    </w:div>
    <w:div w:id="935987936">
      <w:bodyDiv w:val="1"/>
      <w:marLeft w:val="0"/>
      <w:marRight w:val="0"/>
      <w:marTop w:val="0"/>
      <w:marBottom w:val="0"/>
      <w:divBdr>
        <w:top w:val="none" w:sz="0" w:space="0" w:color="auto"/>
        <w:left w:val="none" w:sz="0" w:space="0" w:color="auto"/>
        <w:bottom w:val="none" w:sz="0" w:space="0" w:color="auto"/>
        <w:right w:val="none" w:sz="0" w:space="0" w:color="auto"/>
      </w:divBdr>
    </w:div>
    <w:div w:id="1238398106">
      <w:bodyDiv w:val="1"/>
      <w:marLeft w:val="0"/>
      <w:marRight w:val="0"/>
      <w:marTop w:val="0"/>
      <w:marBottom w:val="0"/>
      <w:divBdr>
        <w:top w:val="none" w:sz="0" w:space="0" w:color="auto"/>
        <w:left w:val="none" w:sz="0" w:space="0" w:color="auto"/>
        <w:bottom w:val="none" w:sz="0" w:space="0" w:color="auto"/>
        <w:right w:val="none" w:sz="0" w:space="0" w:color="auto"/>
      </w:divBdr>
    </w:div>
    <w:div w:id="20096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chart" Target="charts/chart3.xml"/><Relationship Id="rId26" Type="http://schemas.openxmlformats.org/officeDocument/2006/relationships/header" Target="header5.xml"/><Relationship Id="rId39" Type="http://schemas.openxmlformats.org/officeDocument/2006/relationships/footer" Target="footer7.xml"/><Relationship Id="rId21" Type="http://schemas.openxmlformats.org/officeDocument/2006/relationships/footer" Target="footer1.xml"/><Relationship Id="rId34" Type="http://schemas.openxmlformats.org/officeDocument/2006/relationships/footer" Target="footer5.xml"/><Relationship Id="rId42" Type="http://schemas.openxmlformats.org/officeDocument/2006/relationships/chart" Target="charts/chart5.xml"/><Relationship Id="rId47" Type="http://schemas.openxmlformats.org/officeDocument/2006/relationships/chart" Target="charts/chart10.xml"/><Relationship Id="rId50" Type="http://schemas.openxmlformats.org/officeDocument/2006/relationships/chart" Target="charts/chart1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hart" Target="charts/chart2.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1.xml"/><Relationship Id="rId29" Type="http://schemas.openxmlformats.org/officeDocument/2006/relationships/image" Target="media/image5.emf"/><Relationship Id="rId41" Type="http://schemas.openxmlformats.org/officeDocument/2006/relationships/image" Target="media/image7.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image" Target="media/image6.emf"/><Relationship Id="rId45" Type="http://schemas.openxmlformats.org/officeDocument/2006/relationships/chart" Target="charts/chart8.xml"/><Relationship Id="rId53" Type="http://schemas.openxmlformats.org/officeDocument/2006/relationships/fontTable" Target="fontTable.xml"/><Relationship Id="R770b4b840614445a"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image" Target="media/image4.emf"/><Relationship Id="rId36" Type="http://schemas.openxmlformats.org/officeDocument/2006/relationships/header" Target="header10.xml"/><Relationship Id="rId49" Type="http://schemas.openxmlformats.org/officeDocument/2006/relationships/chart" Target="charts/chart12.xml"/><Relationship Id="rId10" Type="http://schemas.openxmlformats.org/officeDocument/2006/relationships/webSettings" Target="webSettings.xml"/><Relationship Id="rId19" Type="http://schemas.openxmlformats.org/officeDocument/2006/relationships/chart" Target="charts/chart4.xml"/><Relationship Id="rId31" Type="http://schemas.openxmlformats.org/officeDocument/2006/relationships/header" Target="header7.xml"/><Relationship Id="rId44" Type="http://schemas.openxmlformats.org/officeDocument/2006/relationships/chart" Target="charts/chart7.xml"/><Relationship Id="rId52"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stpracticelicence@dia.govt.nz"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chart" Target="charts/chart6.xml"/><Relationship Id="rId48" Type="http://schemas.openxmlformats.org/officeDocument/2006/relationships/chart" Target="charts/chart11.xml"/><Relationship Id="rId8" Type="http://schemas.microsoft.com/office/2007/relationships/stylesWithEffects" Target="stylesWithEffects.xml"/><Relationship Id="rId51" Type="http://schemas.openxmlformats.org/officeDocument/2006/relationships/chart" Target="charts/chart14.xml"/><Relationship Id="R2f64d1b7ccfe4f72" Type="http://schemas.microsoft.com/office/2011/relationships/people" Target="people.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ict.govt.nz/assets/Guidance-and-Resources/User-guide-for-the-Privacy-Maturity-Assessment-Framework-version-2-0.pdf" TargetMode="External"/><Relationship Id="rId1" Type="http://schemas.openxmlformats.org/officeDocument/2006/relationships/hyperlink" Target="https://www.parliament.nz/en/pb/sc/reports/document/51DBSCH_SCR62899_1/gambling-amendment-bill-no-3-216-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Documents%20-%20Project.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wlgprdfile02\home$\hogansh\home\3-Year%20Licensing\Project%20documents\3March%20Copy%20of%203YL%20Rating%20Scale%20Options%20Graph%20Examples%20-%20v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Cross-Category Approach</a:t>
            </a:r>
            <a:r>
              <a:rPr lang="en-NZ" baseline="0"/>
              <a:t> : Example One</a:t>
            </a:r>
            <a:endParaRPr lang="en-NZ"/>
          </a:p>
        </c:rich>
      </c:tx>
      <c:layout/>
      <c:overlay val="0"/>
      <c:spPr>
        <a:noFill/>
        <a:ln>
          <a:noFill/>
        </a:ln>
        <a:effectLst/>
      </c:spPr>
    </c:title>
    <c:autoTitleDeleted val="0"/>
    <c:plotArea>
      <c:layout/>
      <c:barChart>
        <c:barDir val="col"/>
        <c:grouping val="clustered"/>
        <c:varyColors val="0"/>
        <c:ser>
          <c:idx val="0"/>
          <c:order val="0"/>
          <c:tx>
            <c:strRef>
              <c:f>'Cross-Category Approach'!$C$4</c:f>
              <c:strCache>
                <c:ptCount val="1"/>
                <c:pt idx="0">
                  <c:v>Maximum Score</c:v>
                </c:pt>
              </c:strCache>
            </c:strRef>
          </c:tx>
          <c:spPr>
            <a:solidFill>
              <a:schemeClr val="accent1"/>
            </a:solidFill>
            <a:ln>
              <a:noFill/>
            </a:ln>
            <a:effectLst/>
          </c:spPr>
          <c:invertIfNegative val="0"/>
          <c:cat>
            <c:strRef>
              <c:f>'Cross-Category Approach'!$B$5:$B$8</c:f>
              <c:strCache>
                <c:ptCount val="4"/>
                <c:pt idx="0">
                  <c:v>Engagement with DIA</c:v>
                </c:pt>
                <c:pt idx="1">
                  <c:v>System Contribution</c:v>
                </c:pt>
                <c:pt idx="2">
                  <c:v>Collaboration</c:v>
                </c:pt>
                <c:pt idx="3">
                  <c:v>Community</c:v>
                </c:pt>
              </c:strCache>
            </c:strRef>
          </c:cat>
          <c:val>
            <c:numRef>
              <c:f>'Cross-Category Approach'!$C$5:$C$8</c:f>
              <c:numCache>
                <c:formatCode>General</c:formatCode>
                <c:ptCount val="4"/>
                <c:pt idx="0">
                  <c:v>4</c:v>
                </c:pt>
                <c:pt idx="1">
                  <c:v>4</c:v>
                </c:pt>
                <c:pt idx="2">
                  <c:v>4</c:v>
                </c:pt>
                <c:pt idx="3">
                  <c:v>4</c:v>
                </c:pt>
              </c:numCache>
            </c:numRef>
          </c:val>
        </c:ser>
        <c:ser>
          <c:idx val="1"/>
          <c:order val="1"/>
          <c:tx>
            <c:strRef>
              <c:f>'Cross-Category Approach'!$D$4</c:f>
              <c:strCache>
                <c:ptCount val="1"/>
                <c:pt idx="0">
                  <c:v>Expectation Threshold</c:v>
                </c:pt>
              </c:strCache>
            </c:strRef>
          </c:tx>
          <c:spPr>
            <a:solidFill>
              <a:schemeClr val="accent2"/>
            </a:solidFill>
            <a:ln>
              <a:noFill/>
            </a:ln>
            <a:effectLst/>
          </c:spPr>
          <c:invertIfNegative val="0"/>
          <c:cat>
            <c:strRef>
              <c:f>'Cross-Category Approach'!$B$5:$B$8</c:f>
              <c:strCache>
                <c:ptCount val="4"/>
                <c:pt idx="0">
                  <c:v>Engagement with DIA</c:v>
                </c:pt>
                <c:pt idx="1">
                  <c:v>System Contribution</c:v>
                </c:pt>
                <c:pt idx="2">
                  <c:v>Collaboration</c:v>
                </c:pt>
                <c:pt idx="3">
                  <c:v>Community</c:v>
                </c:pt>
              </c:strCache>
            </c:strRef>
          </c:cat>
          <c:val>
            <c:numRef>
              <c:f>'Cross-Category Approach'!$D$5:$D$8</c:f>
              <c:numCache>
                <c:formatCode>General</c:formatCode>
                <c:ptCount val="4"/>
                <c:pt idx="0">
                  <c:v>4</c:v>
                </c:pt>
                <c:pt idx="1">
                  <c:v>4</c:v>
                </c:pt>
                <c:pt idx="2">
                  <c:v>4</c:v>
                </c:pt>
                <c:pt idx="3">
                  <c:v>4</c:v>
                </c:pt>
              </c:numCache>
            </c:numRef>
          </c:val>
        </c:ser>
        <c:ser>
          <c:idx val="2"/>
          <c:order val="2"/>
          <c:tx>
            <c:strRef>
              <c:f>'Cross-Category Approach'!$E$4</c:f>
              <c:strCache>
                <c:ptCount val="1"/>
                <c:pt idx="0">
                  <c:v>Applicant Score</c:v>
                </c:pt>
              </c:strCache>
            </c:strRef>
          </c:tx>
          <c:spPr>
            <a:solidFill>
              <a:schemeClr val="accent3"/>
            </a:solidFill>
            <a:ln>
              <a:noFill/>
            </a:ln>
            <a:effectLst/>
          </c:spPr>
          <c:invertIfNegative val="0"/>
          <c:cat>
            <c:strRef>
              <c:f>'Cross-Category Approach'!$B$5:$B$8</c:f>
              <c:strCache>
                <c:ptCount val="4"/>
                <c:pt idx="0">
                  <c:v>Engagement with DIA</c:v>
                </c:pt>
                <c:pt idx="1">
                  <c:v>System Contribution</c:v>
                </c:pt>
                <c:pt idx="2">
                  <c:v>Collaboration</c:v>
                </c:pt>
                <c:pt idx="3">
                  <c:v>Community</c:v>
                </c:pt>
              </c:strCache>
            </c:strRef>
          </c:cat>
          <c:val>
            <c:numRef>
              <c:f>'Cross-Category Approach'!$E$5:$E$8</c:f>
              <c:numCache>
                <c:formatCode>General</c:formatCode>
                <c:ptCount val="4"/>
                <c:pt idx="0">
                  <c:v>3</c:v>
                </c:pt>
                <c:pt idx="1">
                  <c:v>3</c:v>
                </c:pt>
                <c:pt idx="2">
                  <c:v>2</c:v>
                </c:pt>
                <c:pt idx="3">
                  <c:v>2</c:v>
                </c:pt>
              </c:numCache>
            </c:numRef>
          </c:val>
        </c:ser>
        <c:dLbls>
          <c:showLegendKey val="0"/>
          <c:showVal val="0"/>
          <c:showCatName val="0"/>
          <c:showSerName val="0"/>
          <c:showPercent val="0"/>
          <c:showBubbleSize val="0"/>
        </c:dLbls>
        <c:gapWidth val="219"/>
        <c:overlap val="-27"/>
        <c:axId val="199524736"/>
        <c:axId val="199526656"/>
      </c:barChart>
      <c:catAx>
        <c:axId val="19952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526656"/>
        <c:crosses val="autoZero"/>
        <c:auto val="1"/>
        <c:lblAlgn val="ctr"/>
        <c:lblOffset val="100"/>
        <c:noMultiLvlLbl val="0"/>
      </c:catAx>
      <c:valAx>
        <c:axId val="19952665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524736"/>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Straight Overall</a:t>
            </a:r>
            <a:r>
              <a:rPr lang="en-NZ" baseline="0"/>
              <a:t> Rating : Example One</a:t>
            </a:r>
            <a:endParaRPr lang="en-NZ"/>
          </a:p>
        </c:rich>
      </c:tx>
      <c:overlay val="0"/>
      <c:spPr>
        <a:noFill/>
        <a:ln>
          <a:noFill/>
        </a:ln>
        <a:effectLst/>
      </c:spPr>
    </c:title>
    <c:autoTitleDeleted val="0"/>
    <c:plotArea>
      <c:layout/>
      <c:barChart>
        <c:barDir val="col"/>
        <c:grouping val="clustered"/>
        <c:varyColors val="0"/>
        <c:ser>
          <c:idx val="0"/>
          <c:order val="0"/>
          <c:tx>
            <c:strRef>
              <c:f>'Straight Overall Rating'!$D$3</c:f>
              <c:strCache>
                <c:ptCount val="1"/>
                <c:pt idx="0">
                  <c:v>Maximum Score</c:v>
                </c:pt>
              </c:strCache>
            </c:strRef>
          </c:tx>
          <c:spPr>
            <a:solidFill>
              <a:schemeClr val="accent1"/>
            </a:solidFill>
            <a:ln>
              <a:noFill/>
            </a:ln>
            <a:effectLst/>
          </c:spPr>
          <c:invertIfNegative val="0"/>
          <c:cat>
            <c:strRef>
              <c:f>'Straight Overall Rating'!$C$4:$C$7</c:f>
              <c:strCache>
                <c:ptCount val="4"/>
                <c:pt idx="0">
                  <c:v>Leadership and Workforce</c:v>
                </c:pt>
                <c:pt idx="1">
                  <c:v>People Management</c:v>
                </c:pt>
                <c:pt idx="2">
                  <c:v>Engagement with Staff</c:v>
                </c:pt>
                <c:pt idx="3">
                  <c:v>Venue Training</c:v>
                </c:pt>
              </c:strCache>
            </c:strRef>
          </c:cat>
          <c:val>
            <c:numRef>
              <c:f>'Straight Overall Rating'!$D$4:$D$7</c:f>
              <c:numCache>
                <c:formatCode>General</c:formatCode>
                <c:ptCount val="4"/>
                <c:pt idx="0">
                  <c:v>4</c:v>
                </c:pt>
                <c:pt idx="1">
                  <c:v>4</c:v>
                </c:pt>
                <c:pt idx="2">
                  <c:v>4</c:v>
                </c:pt>
                <c:pt idx="3">
                  <c:v>4</c:v>
                </c:pt>
              </c:numCache>
            </c:numRef>
          </c:val>
        </c:ser>
        <c:ser>
          <c:idx val="1"/>
          <c:order val="1"/>
          <c:tx>
            <c:strRef>
              <c:f>'Straight Overall Rating'!$E$3</c:f>
              <c:strCache>
                <c:ptCount val="1"/>
                <c:pt idx="0">
                  <c:v>Applicant Score</c:v>
                </c:pt>
              </c:strCache>
            </c:strRef>
          </c:tx>
          <c:spPr>
            <a:solidFill>
              <a:schemeClr val="accent3"/>
            </a:solidFill>
            <a:ln>
              <a:noFill/>
            </a:ln>
            <a:effectLst/>
          </c:spPr>
          <c:invertIfNegative val="0"/>
          <c:cat>
            <c:strRef>
              <c:f>'Straight Overall Rating'!$C$4:$C$7</c:f>
              <c:strCache>
                <c:ptCount val="4"/>
                <c:pt idx="0">
                  <c:v>Leadership and Workforce</c:v>
                </c:pt>
                <c:pt idx="1">
                  <c:v>People Management</c:v>
                </c:pt>
                <c:pt idx="2">
                  <c:v>Engagement with Staff</c:v>
                </c:pt>
                <c:pt idx="3">
                  <c:v>Venue Training</c:v>
                </c:pt>
              </c:strCache>
            </c:strRef>
          </c:cat>
          <c:val>
            <c:numRef>
              <c:f>'Straight Overall Rating'!$E$4:$E$7</c:f>
              <c:numCache>
                <c:formatCode>General</c:formatCode>
                <c:ptCount val="4"/>
                <c:pt idx="0">
                  <c:v>3</c:v>
                </c:pt>
                <c:pt idx="1">
                  <c:v>2</c:v>
                </c:pt>
                <c:pt idx="2">
                  <c:v>2</c:v>
                </c:pt>
                <c:pt idx="3">
                  <c:v>3</c:v>
                </c:pt>
              </c:numCache>
            </c:numRef>
          </c:val>
        </c:ser>
        <c:dLbls>
          <c:showLegendKey val="0"/>
          <c:showVal val="0"/>
          <c:showCatName val="0"/>
          <c:showSerName val="0"/>
          <c:showPercent val="0"/>
          <c:showBubbleSize val="0"/>
        </c:dLbls>
        <c:gapWidth val="219"/>
        <c:overlap val="-27"/>
        <c:axId val="192281216"/>
        <c:axId val="192348544"/>
      </c:barChart>
      <c:lineChart>
        <c:grouping val="standard"/>
        <c:varyColors val="0"/>
        <c:ser>
          <c:idx val="2"/>
          <c:order val="2"/>
          <c:tx>
            <c:strRef>
              <c:f>'Straight Overall Rating'!$F$3</c:f>
              <c:strCache>
                <c:ptCount val="1"/>
                <c:pt idx="0">
                  <c:v>Linear (Average Applicant Score)</c:v>
                </c:pt>
              </c:strCache>
            </c:strRef>
          </c:tx>
          <c:spPr>
            <a:ln w="28575" cap="rnd">
              <a:solidFill>
                <a:srgbClr val="7030A0"/>
              </a:solidFill>
              <a:prstDash val="dash"/>
              <a:round/>
            </a:ln>
            <a:effectLst/>
          </c:spPr>
          <c:marker>
            <c:symbol val="none"/>
          </c:marker>
          <c:cat>
            <c:strRef>
              <c:f>'Straight Overall Rating'!$C$4:$C$7</c:f>
              <c:strCache>
                <c:ptCount val="4"/>
                <c:pt idx="0">
                  <c:v>Leadership and Workforce</c:v>
                </c:pt>
                <c:pt idx="1">
                  <c:v>People Management</c:v>
                </c:pt>
                <c:pt idx="2">
                  <c:v>Engagement with Staff</c:v>
                </c:pt>
                <c:pt idx="3">
                  <c:v>Venue Training</c:v>
                </c:pt>
              </c:strCache>
            </c:strRef>
          </c:cat>
          <c:val>
            <c:numRef>
              <c:f>'Straight Overall Rating'!$F$4:$F$7</c:f>
              <c:numCache>
                <c:formatCode>General</c:formatCode>
                <c:ptCount val="4"/>
                <c:pt idx="0">
                  <c:v>2.5</c:v>
                </c:pt>
                <c:pt idx="1">
                  <c:v>2.5</c:v>
                </c:pt>
                <c:pt idx="2">
                  <c:v>2.5</c:v>
                </c:pt>
                <c:pt idx="3">
                  <c:v>2.5</c:v>
                </c:pt>
              </c:numCache>
            </c:numRef>
          </c:val>
          <c:smooth val="0"/>
        </c:ser>
        <c:ser>
          <c:idx val="3"/>
          <c:order val="3"/>
          <c:tx>
            <c:strRef>
              <c:f>'Straight Overall Rating'!$G$3</c:f>
              <c:strCache>
                <c:ptCount val="1"/>
                <c:pt idx="0">
                  <c:v>Linear (Average Required Score)</c:v>
                </c:pt>
              </c:strCache>
            </c:strRef>
          </c:tx>
          <c:spPr>
            <a:ln w="28575" cap="rnd">
              <a:solidFill>
                <a:srgbClr val="00B050"/>
              </a:solidFill>
              <a:prstDash val="dash"/>
              <a:round/>
            </a:ln>
            <a:effectLst/>
          </c:spPr>
          <c:marker>
            <c:symbol val="none"/>
          </c:marker>
          <c:cat>
            <c:strRef>
              <c:f>'Straight Overall Rating'!$C$4:$C$7</c:f>
              <c:strCache>
                <c:ptCount val="4"/>
                <c:pt idx="0">
                  <c:v>Leadership and Workforce</c:v>
                </c:pt>
                <c:pt idx="1">
                  <c:v>People Management</c:v>
                </c:pt>
                <c:pt idx="2">
                  <c:v>Engagement with Staff</c:v>
                </c:pt>
                <c:pt idx="3">
                  <c:v>Venue Training</c:v>
                </c:pt>
              </c:strCache>
            </c:strRef>
          </c:cat>
          <c:val>
            <c:numRef>
              <c:f>'Straight Overall Rating'!$G$4:$G$7</c:f>
              <c:numCache>
                <c:formatCode>General</c:formatCode>
                <c:ptCount val="4"/>
                <c:pt idx="0">
                  <c:v>3</c:v>
                </c:pt>
                <c:pt idx="1">
                  <c:v>3</c:v>
                </c:pt>
                <c:pt idx="2">
                  <c:v>3</c:v>
                </c:pt>
                <c:pt idx="3">
                  <c:v>3</c:v>
                </c:pt>
              </c:numCache>
            </c:numRef>
          </c:val>
          <c:smooth val="0"/>
        </c:ser>
        <c:dLbls>
          <c:showLegendKey val="0"/>
          <c:showVal val="0"/>
          <c:showCatName val="0"/>
          <c:showSerName val="0"/>
          <c:showPercent val="0"/>
          <c:showBubbleSize val="0"/>
        </c:dLbls>
        <c:marker val="1"/>
        <c:smooth val="0"/>
        <c:axId val="192281216"/>
        <c:axId val="192348544"/>
      </c:lineChart>
      <c:catAx>
        <c:axId val="19228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48544"/>
        <c:crosses val="autoZero"/>
        <c:auto val="1"/>
        <c:lblAlgn val="ctr"/>
        <c:lblOffset val="100"/>
        <c:noMultiLvlLbl val="0"/>
      </c:catAx>
      <c:valAx>
        <c:axId val="19234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8121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Straight Overall</a:t>
            </a:r>
            <a:r>
              <a:rPr lang="en-NZ" baseline="0"/>
              <a:t> Rating : Example Two</a:t>
            </a:r>
            <a:endParaRPr lang="en-NZ"/>
          </a:p>
        </c:rich>
      </c:tx>
      <c:overlay val="0"/>
      <c:spPr>
        <a:noFill/>
        <a:ln>
          <a:noFill/>
        </a:ln>
        <a:effectLst/>
      </c:spPr>
    </c:title>
    <c:autoTitleDeleted val="0"/>
    <c:plotArea>
      <c:layout/>
      <c:barChart>
        <c:barDir val="col"/>
        <c:grouping val="clustered"/>
        <c:varyColors val="0"/>
        <c:ser>
          <c:idx val="0"/>
          <c:order val="0"/>
          <c:tx>
            <c:strRef>
              <c:f>'Straight Overall Rating'!$D$26</c:f>
              <c:strCache>
                <c:ptCount val="1"/>
                <c:pt idx="0">
                  <c:v>Maximum Score</c:v>
                </c:pt>
              </c:strCache>
            </c:strRef>
          </c:tx>
          <c:spPr>
            <a:solidFill>
              <a:schemeClr val="accent1"/>
            </a:solidFill>
            <a:ln>
              <a:noFill/>
            </a:ln>
            <a:effectLst/>
          </c:spPr>
          <c:invertIfNegative val="0"/>
          <c:cat>
            <c:strRef>
              <c:f>'Straight Overall Rating'!$C$27:$C$30</c:f>
              <c:strCache>
                <c:ptCount val="4"/>
                <c:pt idx="0">
                  <c:v>Leadership and Workforce</c:v>
                </c:pt>
                <c:pt idx="1">
                  <c:v>People Management</c:v>
                </c:pt>
                <c:pt idx="2">
                  <c:v>Engagement with Staff</c:v>
                </c:pt>
                <c:pt idx="3">
                  <c:v>Venue Training</c:v>
                </c:pt>
              </c:strCache>
            </c:strRef>
          </c:cat>
          <c:val>
            <c:numRef>
              <c:f>'Straight Overall Rating'!$D$27:$D$30</c:f>
              <c:numCache>
                <c:formatCode>General</c:formatCode>
                <c:ptCount val="4"/>
                <c:pt idx="0">
                  <c:v>4</c:v>
                </c:pt>
                <c:pt idx="1">
                  <c:v>4</c:v>
                </c:pt>
                <c:pt idx="2">
                  <c:v>4</c:v>
                </c:pt>
                <c:pt idx="3">
                  <c:v>4</c:v>
                </c:pt>
              </c:numCache>
            </c:numRef>
          </c:val>
        </c:ser>
        <c:ser>
          <c:idx val="1"/>
          <c:order val="1"/>
          <c:tx>
            <c:strRef>
              <c:f>'Straight Overall Rating'!$E$26</c:f>
              <c:strCache>
                <c:ptCount val="1"/>
                <c:pt idx="0">
                  <c:v>Applicant Score</c:v>
                </c:pt>
              </c:strCache>
            </c:strRef>
          </c:tx>
          <c:spPr>
            <a:solidFill>
              <a:schemeClr val="accent3"/>
            </a:solidFill>
            <a:ln>
              <a:noFill/>
            </a:ln>
            <a:effectLst/>
          </c:spPr>
          <c:invertIfNegative val="0"/>
          <c:cat>
            <c:strRef>
              <c:f>'Straight Overall Rating'!$C$27:$C$30</c:f>
              <c:strCache>
                <c:ptCount val="4"/>
                <c:pt idx="0">
                  <c:v>Leadership and Workforce</c:v>
                </c:pt>
                <c:pt idx="1">
                  <c:v>People Management</c:v>
                </c:pt>
                <c:pt idx="2">
                  <c:v>Engagement with Staff</c:v>
                </c:pt>
                <c:pt idx="3">
                  <c:v>Venue Training</c:v>
                </c:pt>
              </c:strCache>
            </c:strRef>
          </c:cat>
          <c:val>
            <c:numRef>
              <c:f>'Straight Overall Rating'!$E$27:$E$30</c:f>
              <c:numCache>
                <c:formatCode>General</c:formatCode>
                <c:ptCount val="4"/>
                <c:pt idx="0">
                  <c:v>2</c:v>
                </c:pt>
                <c:pt idx="1">
                  <c:v>4</c:v>
                </c:pt>
                <c:pt idx="2">
                  <c:v>4</c:v>
                </c:pt>
                <c:pt idx="3">
                  <c:v>3</c:v>
                </c:pt>
              </c:numCache>
            </c:numRef>
          </c:val>
        </c:ser>
        <c:dLbls>
          <c:showLegendKey val="0"/>
          <c:showVal val="0"/>
          <c:showCatName val="0"/>
          <c:showSerName val="0"/>
          <c:showPercent val="0"/>
          <c:showBubbleSize val="0"/>
        </c:dLbls>
        <c:gapWidth val="219"/>
        <c:overlap val="-27"/>
        <c:axId val="192380288"/>
        <c:axId val="192406656"/>
      </c:barChart>
      <c:lineChart>
        <c:grouping val="standard"/>
        <c:varyColors val="0"/>
        <c:ser>
          <c:idx val="2"/>
          <c:order val="2"/>
          <c:tx>
            <c:strRef>
              <c:f>'Straight Overall Rating'!$F$26</c:f>
              <c:strCache>
                <c:ptCount val="1"/>
                <c:pt idx="0">
                  <c:v>Linear (Average Applicant Score)</c:v>
                </c:pt>
              </c:strCache>
            </c:strRef>
          </c:tx>
          <c:spPr>
            <a:ln w="28575" cap="rnd">
              <a:solidFill>
                <a:srgbClr val="7030A0"/>
              </a:solidFill>
              <a:prstDash val="dash"/>
              <a:round/>
            </a:ln>
            <a:effectLst/>
          </c:spPr>
          <c:marker>
            <c:symbol val="none"/>
          </c:marker>
          <c:cat>
            <c:strRef>
              <c:f>'Straight Overall Rating'!$C$27:$C$30</c:f>
              <c:strCache>
                <c:ptCount val="4"/>
                <c:pt idx="0">
                  <c:v>Leadership and Workforce</c:v>
                </c:pt>
                <c:pt idx="1">
                  <c:v>People Management</c:v>
                </c:pt>
                <c:pt idx="2">
                  <c:v>Engagement with Staff</c:v>
                </c:pt>
                <c:pt idx="3">
                  <c:v>Venue Training</c:v>
                </c:pt>
              </c:strCache>
            </c:strRef>
          </c:cat>
          <c:val>
            <c:numRef>
              <c:f>'Straight Overall Rating'!$F$27:$F$30</c:f>
              <c:numCache>
                <c:formatCode>General</c:formatCode>
                <c:ptCount val="4"/>
                <c:pt idx="0">
                  <c:v>3.25</c:v>
                </c:pt>
                <c:pt idx="1">
                  <c:v>3.25</c:v>
                </c:pt>
                <c:pt idx="2">
                  <c:v>3.25</c:v>
                </c:pt>
                <c:pt idx="3">
                  <c:v>3.25</c:v>
                </c:pt>
              </c:numCache>
            </c:numRef>
          </c:val>
          <c:smooth val="0"/>
        </c:ser>
        <c:ser>
          <c:idx val="3"/>
          <c:order val="3"/>
          <c:tx>
            <c:strRef>
              <c:f>'Straight Overall Rating'!$G$26</c:f>
              <c:strCache>
                <c:ptCount val="1"/>
                <c:pt idx="0">
                  <c:v>Linear (Average Required Score)</c:v>
                </c:pt>
              </c:strCache>
            </c:strRef>
          </c:tx>
          <c:spPr>
            <a:ln w="28575" cap="rnd">
              <a:solidFill>
                <a:srgbClr val="00B050"/>
              </a:solidFill>
              <a:prstDash val="dash"/>
              <a:round/>
            </a:ln>
            <a:effectLst/>
          </c:spPr>
          <c:marker>
            <c:symbol val="none"/>
          </c:marker>
          <c:cat>
            <c:strRef>
              <c:f>'Straight Overall Rating'!$C$27:$C$30</c:f>
              <c:strCache>
                <c:ptCount val="4"/>
                <c:pt idx="0">
                  <c:v>Leadership and Workforce</c:v>
                </c:pt>
                <c:pt idx="1">
                  <c:v>People Management</c:v>
                </c:pt>
                <c:pt idx="2">
                  <c:v>Engagement with Staff</c:v>
                </c:pt>
                <c:pt idx="3">
                  <c:v>Venue Training</c:v>
                </c:pt>
              </c:strCache>
            </c:strRef>
          </c:cat>
          <c:val>
            <c:numRef>
              <c:f>'Straight Overall Rating'!$G$27:$G$30</c:f>
              <c:numCache>
                <c:formatCode>General</c:formatCode>
                <c:ptCount val="4"/>
                <c:pt idx="0">
                  <c:v>3</c:v>
                </c:pt>
                <c:pt idx="1">
                  <c:v>3</c:v>
                </c:pt>
                <c:pt idx="2">
                  <c:v>3</c:v>
                </c:pt>
                <c:pt idx="3">
                  <c:v>3</c:v>
                </c:pt>
              </c:numCache>
            </c:numRef>
          </c:val>
          <c:smooth val="0"/>
        </c:ser>
        <c:dLbls>
          <c:showLegendKey val="0"/>
          <c:showVal val="0"/>
          <c:showCatName val="0"/>
          <c:showSerName val="0"/>
          <c:showPercent val="0"/>
          <c:showBubbleSize val="0"/>
        </c:dLbls>
        <c:marker val="1"/>
        <c:smooth val="0"/>
        <c:axId val="192380288"/>
        <c:axId val="192406656"/>
      </c:lineChart>
      <c:catAx>
        <c:axId val="19238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06656"/>
        <c:crosses val="autoZero"/>
        <c:auto val="1"/>
        <c:lblAlgn val="ctr"/>
        <c:lblOffset val="100"/>
        <c:noMultiLvlLbl val="0"/>
      </c:catAx>
      <c:valAx>
        <c:axId val="19240665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802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Cross-Category Approach</a:t>
            </a:r>
            <a:r>
              <a:rPr lang="en-NZ" baseline="0"/>
              <a:t> : Example One</a:t>
            </a:r>
            <a:endParaRPr lang="en-NZ"/>
          </a:p>
        </c:rich>
      </c:tx>
      <c:overlay val="0"/>
      <c:spPr>
        <a:noFill/>
        <a:ln>
          <a:noFill/>
        </a:ln>
        <a:effectLst/>
      </c:spPr>
    </c:title>
    <c:autoTitleDeleted val="0"/>
    <c:plotArea>
      <c:layout/>
      <c:barChart>
        <c:barDir val="col"/>
        <c:grouping val="clustered"/>
        <c:varyColors val="0"/>
        <c:ser>
          <c:idx val="0"/>
          <c:order val="0"/>
          <c:tx>
            <c:strRef>
              <c:f>'Cross-Category Approach'!$C$4</c:f>
              <c:strCache>
                <c:ptCount val="1"/>
                <c:pt idx="0">
                  <c:v>Maximum Score</c:v>
                </c:pt>
              </c:strCache>
            </c:strRef>
          </c:tx>
          <c:spPr>
            <a:solidFill>
              <a:schemeClr val="accent1"/>
            </a:solidFill>
            <a:ln>
              <a:noFill/>
            </a:ln>
            <a:effectLst/>
          </c:spPr>
          <c:invertIfNegative val="0"/>
          <c:cat>
            <c:strRef>
              <c:f>'Cross-Category Approach'!$B$5:$B$8</c:f>
              <c:strCache>
                <c:ptCount val="4"/>
                <c:pt idx="0">
                  <c:v>Engagement with DIA</c:v>
                </c:pt>
                <c:pt idx="1">
                  <c:v>System Contribution</c:v>
                </c:pt>
                <c:pt idx="2">
                  <c:v>Collaboration</c:v>
                </c:pt>
                <c:pt idx="3">
                  <c:v>Community</c:v>
                </c:pt>
              </c:strCache>
            </c:strRef>
          </c:cat>
          <c:val>
            <c:numRef>
              <c:f>'Cross-Category Approach'!$C$5:$C$8</c:f>
              <c:numCache>
                <c:formatCode>General</c:formatCode>
                <c:ptCount val="4"/>
                <c:pt idx="0">
                  <c:v>4</c:v>
                </c:pt>
                <c:pt idx="1">
                  <c:v>4</c:v>
                </c:pt>
                <c:pt idx="2">
                  <c:v>4</c:v>
                </c:pt>
                <c:pt idx="3">
                  <c:v>4</c:v>
                </c:pt>
              </c:numCache>
            </c:numRef>
          </c:val>
        </c:ser>
        <c:ser>
          <c:idx val="1"/>
          <c:order val="1"/>
          <c:tx>
            <c:strRef>
              <c:f>'Cross-Category Approach'!$D$4</c:f>
              <c:strCache>
                <c:ptCount val="1"/>
                <c:pt idx="0">
                  <c:v>Expectation Threshold</c:v>
                </c:pt>
              </c:strCache>
            </c:strRef>
          </c:tx>
          <c:spPr>
            <a:solidFill>
              <a:schemeClr val="accent2"/>
            </a:solidFill>
            <a:ln>
              <a:noFill/>
            </a:ln>
            <a:effectLst/>
          </c:spPr>
          <c:invertIfNegative val="0"/>
          <c:cat>
            <c:strRef>
              <c:f>'Cross-Category Approach'!$B$5:$B$8</c:f>
              <c:strCache>
                <c:ptCount val="4"/>
                <c:pt idx="0">
                  <c:v>Engagement with DIA</c:v>
                </c:pt>
                <c:pt idx="1">
                  <c:v>System Contribution</c:v>
                </c:pt>
                <c:pt idx="2">
                  <c:v>Collaboration</c:v>
                </c:pt>
                <c:pt idx="3">
                  <c:v>Community</c:v>
                </c:pt>
              </c:strCache>
            </c:strRef>
          </c:cat>
          <c:val>
            <c:numRef>
              <c:f>'Cross-Category Approach'!$D$5:$D$8</c:f>
              <c:numCache>
                <c:formatCode>General</c:formatCode>
                <c:ptCount val="4"/>
                <c:pt idx="0">
                  <c:v>4</c:v>
                </c:pt>
                <c:pt idx="1">
                  <c:v>4</c:v>
                </c:pt>
                <c:pt idx="2">
                  <c:v>4</c:v>
                </c:pt>
                <c:pt idx="3">
                  <c:v>4</c:v>
                </c:pt>
              </c:numCache>
            </c:numRef>
          </c:val>
        </c:ser>
        <c:ser>
          <c:idx val="2"/>
          <c:order val="2"/>
          <c:tx>
            <c:strRef>
              <c:f>'Cross-Category Approach'!$E$4</c:f>
              <c:strCache>
                <c:ptCount val="1"/>
                <c:pt idx="0">
                  <c:v>Applicant Score</c:v>
                </c:pt>
              </c:strCache>
            </c:strRef>
          </c:tx>
          <c:spPr>
            <a:solidFill>
              <a:schemeClr val="accent3"/>
            </a:solidFill>
            <a:ln>
              <a:noFill/>
            </a:ln>
            <a:effectLst/>
          </c:spPr>
          <c:invertIfNegative val="0"/>
          <c:cat>
            <c:strRef>
              <c:f>'Cross-Category Approach'!$B$5:$B$8</c:f>
              <c:strCache>
                <c:ptCount val="4"/>
                <c:pt idx="0">
                  <c:v>Engagement with DIA</c:v>
                </c:pt>
                <c:pt idx="1">
                  <c:v>System Contribution</c:v>
                </c:pt>
                <c:pt idx="2">
                  <c:v>Collaboration</c:v>
                </c:pt>
                <c:pt idx="3">
                  <c:v>Community</c:v>
                </c:pt>
              </c:strCache>
            </c:strRef>
          </c:cat>
          <c:val>
            <c:numRef>
              <c:f>'Cross-Category Approach'!$E$5:$E$8</c:f>
              <c:numCache>
                <c:formatCode>General</c:formatCode>
                <c:ptCount val="4"/>
                <c:pt idx="0">
                  <c:v>3</c:v>
                </c:pt>
                <c:pt idx="1">
                  <c:v>3</c:v>
                </c:pt>
                <c:pt idx="2">
                  <c:v>2</c:v>
                </c:pt>
                <c:pt idx="3">
                  <c:v>2</c:v>
                </c:pt>
              </c:numCache>
            </c:numRef>
          </c:val>
        </c:ser>
        <c:dLbls>
          <c:showLegendKey val="0"/>
          <c:showVal val="0"/>
          <c:showCatName val="0"/>
          <c:showSerName val="0"/>
          <c:showPercent val="0"/>
          <c:showBubbleSize val="0"/>
        </c:dLbls>
        <c:gapWidth val="219"/>
        <c:overlap val="-27"/>
        <c:axId val="199248896"/>
        <c:axId val="199262976"/>
      </c:barChart>
      <c:catAx>
        <c:axId val="19924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262976"/>
        <c:crosses val="autoZero"/>
        <c:auto val="1"/>
        <c:lblAlgn val="ctr"/>
        <c:lblOffset val="100"/>
        <c:noMultiLvlLbl val="0"/>
      </c:catAx>
      <c:valAx>
        <c:axId val="19926297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2488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Cross-Category Approach</a:t>
            </a:r>
            <a:r>
              <a:rPr lang="en-NZ" baseline="0"/>
              <a:t> : Example Two</a:t>
            </a:r>
            <a:endParaRPr lang="en-NZ"/>
          </a:p>
        </c:rich>
      </c:tx>
      <c:overlay val="0"/>
      <c:spPr>
        <a:noFill/>
        <a:ln>
          <a:noFill/>
        </a:ln>
        <a:effectLst/>
      </c:spPr>
    </c:title>
    <c:autoTitleDeleted val="0"/>
    <c:plotArea>
      <c:layout/>
      <c:barChart>
        <c:barDir val="col"/>
        <c:grouping val="clustered"/>
        <c:varyColors val="0"/>
        <c:ser>
          <c:idx val="0"/>
          <c:order val="0"/>
          <c:tx>
            <c:strRef>
              <c:f>'Cross-Category Approach'!$C$15</c:f>
              <c:strCache>
                <c:ptCount val="1"/>
                <c:pt idx="0">
                  <c:v>Maximum Score</c:v>
                </c:pt>
              </c:strCache>
            </c:strRef>
          </c:tx>
          <c:spPr>
            <a:solidFill>
              <a:schemeClr val="accent1"/>
            </a:solidFill>
            <a:ln>
              <a:noFill/>
            </a:ln>
            <a:effectLst/>
          </c:spPr>
          <c:invertIfNegative val="0"/>
          <c:cat>
            <c:strRef>
              <c:f>'Cross-Category Approach'!$B$16:$B$19</c:f>
              <c:strCache>
                <c:ptCount val="4"/>
                <c:pt idx="0">
                  <c:v>Engagement with DIA</c:v>
                </c:pt>
                <c:pt idx="1">
                  <c:v>System Contribution</c:v>
                </c:pt>
                <c:pt idx="2">
                  <c:v>Collaboration</c:v>
                </c:pt>
                <c:pt idx="3">
                  <c:v>Community</c:v>
                </c:pt>
              </c:strCache>
            </c:strRef>
          </c:cat>
          <c:val>
            <c:numRef>
              <c:f>'Cross-Category Approach'!$C$16:$C$19</c:f>
              <c:numCache>
                <c:formatCode>General</c:formatCode>
                <c:ptCount val="4"/>
                <c:pt idx="0">
                  <c:v>4</c:v>
                </c:pt>
                <c:pt idx="1">
                  <c:v>4</c:v>
                </c:pt>
                <c:pt idx="2">
                  <c:v>4</c:v>
                </c:pt>
                <c:pt idx="3">
                  <c:v>4</c:v>
                </c:pt>
              </c:numCache>
            </c:numRef>
          </c:val>
        </c:ser>
        <c:ser>
          <c:idx val="1"/>
          <c:order val="1"/>
          <c:tx>
            <c:strRef>
              <c:f>'Cross-Category Approach'!$D$15</c:f>
              <c:strCache>
                <c:ptCount val="1"/>
                <c:pt idx="0">
                  <c:v>Expectation Threshold</c:v>
                </c:pt>
              </c:strCache>
            </c:strRef>
          </c:tx>
          <c:spPr>
            <a:solidFill>
              <a:schemeClr val="accent2"/>
            </a:solidFill>
            <a:ln>
              <a:noFill/>
            </a:ln>
            <a:effectLst/>
          </c:spPr>
          <c:invertIfNegative val="0"/>
          <c:cat>
            <c:strRef>
              <c:f>'Cross-Category Approach'!$B$16:$B$19</c:f>
              <c:strCache>
                <c:ptCount val="4"/>
                <c:pt idx="0">
                  <c:v>Engagement with DIA</c:v>
                </c:pt>
                <c:pt idx="1">
                  <c:v>System Contribution</c:v>
                </c:pt>
                <c:pt idx="2">
                  <c:v>Collaboration</c:v>
                </c:pt>
                <c:pt idx="3">
                  <c:v>Community</c:v>
                </c:pt>
              </c:strCache>
            </c:strRef>
          </c:cat>
          <c:val>
            <c:numRef>
              <c:f>'Cross-Category Approach'!$D$16:$D$19</c:f>
              <c:numCache>
                <c:formatCode>General</c:formatCode>
                <c:ptCount val="4"/>
                <c:pt idx="0">
                  <c:v>4</c:v>
                </c:pt>
                <c:pt idx="1">
                  <c:v>4</c:v>
                </c:pt>
                <c:pt idx="2">
                  <c:v>4</c:v>
                </c:pt>
                <c:pt idx="3">
                  <c:v>4</c:v>
                </c:pt>
              </c:numCache>
            </c:numRef>
          </c:val>
        </c:ser>
        <c:ser>
          <c:idx val="2"/>
          <c:order val="2"/>
          <c:tx>
            <c:strRef>
              <c:f>'Cross-Category Approach'!$E$15</c:f>
              <c:strCache>
                <c:ptCount val="1"/>
                <c:pt idx="0">
                  <c:v>Applicant Score</c:v>
                </c:pt>
              </c:strCache>
            </c:strRef>
          </c:tx>
          <c:spPr>
            <a:solidFill>
              <a:schemeClr val="accent3"/>
            </a:solidFill>
            <a:ln>
              <a:noFill/>
            </a:ln>
            <a:effectLst/>
          </c:spPr>
          <c:invertIfNegative val="0"/>
          <c:cat>
            <c:strRef>
              <c:f>'Cross-Category Approach'!$B$16:$B$19</c:f>
              <c:strCache>
                <c:ptCount val="4"/>
                <c:pt idx="0">
                  <c:v>Engagement with DIA</c:v>
                </c:pt>
                <c:pt idx="1">
                  <c:v>System Contribution</c:v>
                </c:pt>
                <c:pt idx="2">
                  <c:v>Collaboration</c:v>
                </c:pt>
                <c:pt idx="3">
                  <c:v>Community</c:v>
                </c:pt>
              </c:strCache>
            </c:strRef>
          </c:cat>
          <c:val>
            <c:numRef>
              <c:f>'Cross-Category Approach'!$E$16:$E$19</c:f>
              <c:numCache>
                <c:formatCode>General</c:formatCode>
                <c:ptCount val="4"/>
                <c:pt idx="0">
                  <c:v>3</c:v>
                </c:pt>
                <c:pt idx="1">
                  <c:v>4</c:v>
                </c:pt>
                <c:pt idx="2">
                  <c:v>3</c:v>
                </c:pt>
                <c:pt idx="3">
                  <c:v>3</c:v>
                </c:pt>
              </c:numCache>
            </c:numRef>
          </c:val>
        </c:ser>
        <c:dLbls>
          <c:showLegendKey val="0"/>
          <c:showVal val="0"/>
          <c:showCatName val="0"/>
          <c:showSerName val="0"/>
          <c:showPercent val="0"/>
          <c:showBubbleSize val="0"/>
        </c:dLbls>
        <c:gapWidth val="219"/>
        <c:overlap val="-27"/>
        <c:axId val="199366528"/>
        <c:axId val="199368064"/>
      </c:barChart>
      <c:catAx>
        <c:axId val="19936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68064"/>
        <c:crosses val="autoZero"/>
        <c:auto val="1"/>
        <c:lblAlgn val="ctr"/>
        <c:lblOffset val="100"/>
        <c:noMultiLvlLbl val="0"/>
      </c:catAx>
      <c:valAx>
        <c:axId val="199368064"/>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6652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Cross-Category Approach</a:t>
            </a:r>
            <a:r>
              <a:rPr lang="en-NZ" baseline="0"/>
              <a:t> : Example Three</a:t>
            </a:r>
            <a:endParaRPr lang="en-NZ"/>
          </a:p>
        </c:rich>
      </c:tx>
      <c:overlay val="0"/>
      <c:spPr>
        <a:noFill/>
        <a:ln>
          <a:noFill/>
        </a:ln>
        <a:effectLst/>
      </c:spPr>
    </c:title>
    <c:autoTitleDeleted val="0"/>
    <c:plotArea>
      <c:layout/>
      <c:barChart>
        <c:barDir val="col"/>
        <c:grouping val="clustered"/>
        <c:varyColors val="0"/>
        <c:ser>
          <c:idx val="0"/>
          <c:order val="0"/>
          <c:tx>
            <c:strRef>
              <c:f>'Cross-Category Approach'!$C$26</c:f>
              <c:strCache>
                <c:ptCount val="1"/>
                <c:pt idx="0">
                  <c:v>Maximum Score</c:v>
                </c:pt>
              </c:strCache>
            </c:strRef>
          </c:tx>
          <c:spPr>
            <a:solidFill>
              <a:schemeClr val="accent1"/>
            </a:solidFill>
            <a:ln>
              <a:noFill/>
            </a:ln>
            <a:effectLst/>
          </c:spPr>
          <c:invertIfNegative val="0"/>
          <c:cat>
            <c:strRef>
              <c:f>'Cross-Category Approach'!$B$27:$B$30</c:f>
              <c:strCache>
                <c:ptCount val="4"/>
                <c:pt idx="0">
                  <c:v>Engagement with DIA</c:v>
                </c:pt>
                <c:pt idx="1">
                  <c:v>System Contribution</c:v>
                </c:pt>
                <c:pt idx="2">
                  <c:v>Collaboration</c:v>
                </c:pt>
                <c:pt idx="3">
                  <c:v>Community</c:v>
                </c:pt>
              </c:strCache>
            </c:strRef>
          </c:cat>
          <c:val>
            <c:numRef>
              <c:f>'Cross-Category Approach'!$C$27:$C$30</c:f>
              <c:numCache>
                <c:formatCode>General</c:formatCode>
                <c:ptCount val="4"/>
                <c:pt idx="0">
                  <c:v>4</c:v>
                </c:pt>
                <c:pt idx="1">
                  <c:v>4</c:v>
                </c:pt>
                <c:pt idx="2">
                  <c:v>4</c:v>
                </c:pt>
                <c:pt idx="3">
                  <c:v>4</c:v>
                </c:pt>
              </c:numCache>
            </c:numRef>
          </c:val>
        </c:ser>
        <c:ser>
          <c:idx val="1"/>
          <c:order val="1"/>
          <c:tx>
            <c:strRef>
              <c:f>'Cross-Category Approach'!$D$26</c:f>
              <c:strCache>
                <c:ptCount val="1"/>
                <c:pt idx="0">
                  <c:v>Expectation Threshold</c:v>
                </c:pt>
              </c:strCache>
            </c:strRef>
          </c:tx>
          <c:spPr>
            <a:solidFill>
              <a:schemeClr val="accent2"/>
            </a:solidFill>
            <a:ln>
              <a:noFill/>
            </a:ln>
            <a:effectLst/>
          </c:spPr>
          <c:invertIfNegative val="0"/>
          <c:cat>
            <c:strRef>
              <c:f>'Cross-Category Approach'!$B$27:$B$30</c:f>
              <c:strCache>
                <c:ptCount val="4"/>
                <c:pt idx="0">
                  <c:v>Engagement with DIA</c:v>
                </c:pt>
                <c:pt idx="1">
                  <c:v>System Contribution</c:v>
                </c:pt>
                <c:pt idx="2">
                  <c:v>Collaboration</c:v>
                </c:pt>
                <c:pt idx="3">
                  <c:v>Community</c:v>
                </c:pt>
              </c:strCache>
            </c:strRef>
          </c:cat>
          <c:val>
            <c:numRef>
              <c:f>'Cross-Category Approach'!$D$27:$D$30</c:f>
              <c:numCache>
                <c:formatCode>General</c:formatCode>
                <c:ptCount val="4"/>
                <c:pt idx="0">
                  <c:v>4</c:v>
                </c:pt>
                <c:pt idx="1">
                  <c:v>4</c:v>
                </c:pt>
                <c:pt idx="2">
                  <c:v>4</c:v>
                </c:pt>
                <c:pt idx="3">
                  <c:v>4</c:v>
                </c:pt>
              </c:numCache>
            </c:numRef>
          </c:val>
        </c:ser>
        <c:ser>
          <c:idx val="2"/>
          <c:order val="2"/>
          <c:tx>
            <c:strRef>
              <c:f>'Cross-Category Approach'!$E$26</c:f>
              <c:strCache>
                <c:ptCount val="1"/>
                <c:pt idx="0">
                  <c:v>Applicant Score</c:v>
                </c:pt>
              </c:strCache>
            </c:strRef>
          </c:tx>
          <c:spPr>
            <a:solidFill>
              <a:schemeClr val="accent3"/>
            </a:solidFill>
            <a:ln>
              <a:noFill/>
            </a:ln>
            <a:effectLst/>
          </c:spPr>
          <c:invertIfNegative val="0"/>
          <c:cat>
            <c:strRef>
              <c:f>'Cross-Category Approach'!$B$27:$B$30</c:f>
              <c:strCache>
                <c:ptCount val="4"/>
                <c:pt idx="0">
                  <c:v>Engagement with DIA</c:v>
                </c:pt>
                <c:pt idx="1">
                  <c:v>System Contribution</c:v>
                </c:pt>
                <c:pt idx="2">
                  <c:v>Collaboration</c:v>
                </c:pt>
                <c:pt idx="3">
                  <c:v>Community</c:v>
                </c:pt>
              </c:strCache>
            </c:strRef>
          </c:cat>
          <c:val>
            <c:numRef>
              <c:f>'Cross-Category Approach'!$E$27:$E$30</c:f>
              <c:numCache>
                <c:formatCode>General</c:formatCode>
                <c:ptCount val="4"/>
                <c:pt idx="0">
                  <c:v>4</c:v>
                </c:pt>
                <c:pt idx="1">
                  <c:v>3</c:v>
                </c:pt>
                <c:pt idx="2">
                  <c:v>4</c:v>
                </c:pt>
                <c:pt idx="3">
                  <c:v>1</c:v>
                </c:pt>
              </c:numCache>
            </c:numRef>
          </c:val>
        </c:ser>
        <c:dLbls>
          <c:showLegendKey val="0"/>
          <c:showVal val="0"/>
          <c:showCatName val="0"/>
          <c:showSerName val="0"/>
          <c:showPercent val="0"/>
          <c:showBubbleSize val="0"/>
        </c:dLbls>
        <c:gapWidth val="219"/>
        <c:overlap val="-27"/>
        <c:axId val="199562368"/>
        <c:axId val="199563904"/>
      </c:barChart>
      <c:catAx>
        <c:axId val="19956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563904"/>
        <c:crosses val="autoZero"/>
        <c:auto val="1"/>
        <c:lblAlgn val="ctr"/>
        <c:lblOffset val="100"/>
        <c:noMultiLvlLbl val="0"/>
      </c:catAx>
      <c:valAx>
        <c:axId val="199563904"/>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56236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Cross-Category Approach</a:t>
            </a:r>
            <a:r>
              <a:rPr lang="en-NZ" baseline="0"/>
              <a:t> : Example Four</a:t>
            </a:r>
            <a:endParaRPr lang="en-NZ"/>
          </a:p>
        </c:rich>
      </c:tx>
      <c:overlay val="0"/>
      <c:spPr>
        <a:noFill/>
        <a:ln>
          <a:noFill/>
        </a:ln>
        <a:effectLst/>
      </c:spPr>
    </c:title>
    <c:autoTitleDeleted val="0"/>
    <c:plotArea>
      <c:layout/>
      <c:barChart>
        <c:barDir val="col"/>
        <c:grouping val="clustered"/>
        <c:varyColors val="0"/>
        <c:ser>
          <c:idx val="0"/>
          <c:order val="0"/>
          <c:tx>
            <c:strRef>
              <c:f>'Cross-Category Approach'!$C$54</c:f>
              <c:strCache>
                <c:ptCount val="1"/>
                <c:pt idx="0">
                  <c:v>Maximum Score</c:v>
                </c:pt>
              </c:strCache>
            </c:strRef>
          </c:tx>
          <c:spPr>
            <a:solidFill>
              <a:schemeClr val="accent1"/>
            </a:solidFill>
            <a:ln>
              <a:noFill/>
            </a:ln>
            <a:effectLst/>
          </c:spPr>
          <c:invertIfNegative val="0"/>
          <c:cat>
            <c:strRef>
              <c:f>'Cross-Category Approach'!$B$55:$B$58</c:f>
              <c:strCache>
                <c:ptCount val="4"/>
                <c:pt idx="0">
                  <c:v>Engagement with DIA</c:v>
                </c:pt>
                <c:pt idx="1">
                  <c:v>System Contribution</c:v>
                </c:pt>
                <c:pt idx="2">
                  <c:v>Collaboration</c:v>
                </c:pt>
                <c:pt idx="3">
                  <c:v>Community</c:v>
                </c:pt>
              </c:strCache>
            </c:strRef>
          </c:cat>
          <c:val>
            <c:numRef>
              <c:f>'Cross-Category Approach'!$C$55:$C$58</c:f>
              <c:numCache>
                <c:formatCode>General</c:formatCode>
                <c:ptCount val="4"/>
                <c:pt idx="0">
                  <c:v>4</c:v>
                </c:pt>
                <c:pt idx="1">
                  <c:v>4</c:v>
                </c:pt>
                <c:pt idx="2">
                  <c:v>4</c:v>
                </c:pt>
                <c:pt idx="3">
                  <c:v>4</c:v>
                </c:pt>
              </c:numCache>
            </c:numRef>
          </c:val>
        </c:ser>
        <c:ser>
          <c:idx val="1"/>
          <c:order val="1"/>
          <c:tx>
            <c:strRef>
              <c:f>'Cross-Category Approach'!$D$54</c:f>
              <c:strCache>
                <c:ptCount val="1"/>
                <c:pt idx="0">
                  <c:v>Expectation Threshold</c:v>
                </c:pt>
              </c:strCache>
            </c:strRef>
          </c:tx>
          <c:spPr>
            <a:solidFill>
              <a:schemeClr val="accent2"/>
            </a:solidFill>
            <a:ln>
              <a:noFill/>
            </a:ln>
            <a:effectLst/>
          </c:spPr>
          <c:invertIfNegative val="0"/>
          <c:cat>
            <c:strRef>
              <c:f>'Cross-Category Approach'!$B$55:$B$58</c:f>
              <c:strCache>
                <c:ptCount val="4"/>
                <c:pt idx="0">
                  <c:v>Engagement with DIA</c:v>
                </c:pt>
                <c:pt idx="1">
                  <c:v>System Contribution</c:v>
                </c:pt>
                <c:pt idx="2">
                  <c:v>Collaboration</c:v>
                </c:pt>
                <c:pt idx="3">
                  <c:v>Community</c:v>
                </c:pt>
              </c:strCache>
            </c:strRef>
          </c:cat>
          <c:val>
            <c:numRef>
              <c:f>'Cross-Category Approach'!$D$55:$D$58</c:f>
              <c:numCache>
                <c:formatCode>General</c:formatCode>
                <c:ptCount val="4"/>
                <c:pt idx="0">
                  <c:v>4</c:v>
                </c:pt>
                <c:pt idx="1">
                  <c:v>4</c:v>
                </c:pt>
                <c:pt idx="2">
                  <c:v>4</c:v>
                </c:pt>
                <c:pt idx="3">
                  <c:v>4</c:v>
                </c:pt>
              </c:numCache>
            </c:numRef>
          </c:val>
        </c:ser>
        <c:ser>
          <c:idx val="2"/>
          <c:order val="2"/>
          <c:tx>
            <c:strRef>
              <c:f>'Cross-Category Approach'!$E$54</c:f>
              <c:strCache>
                <c:ptCount val="1"/>
                <c:pt idx="0">
                  <c:v>Applicant Score</c:v>
                </c:pt>
              </c:strCache>
            </c:strRef>
          </c:tx>
          <c:spPr>
            <a:solidFill>
              <a:schemeClr val="accent3"/>
            </a:solidFill>
            <a:ln>
              <a:noFill/>
            </a:ln>
            <a:effectLst/>
          </c:spPr>
          <c:invertIfNegative val="0"/>
          <c:cat>
            <c:strRef>
              <c:f>'Cross-Category Approach'!$B$55:$B$58</c:f>
              <c:strCache>
                <c:ptCount val="4"/>
                <c:pt idx="0">
                  <c:v>Engagement with DIA</c:v>
                </c:pt>
                <c:pt idx="1">
                  <c:v>System Contribution</c:v>
                </c:pt>
                <c:pt idx="2">
                  <c:v>Collaboration</c:v>
                </c:pt>
                <c:pt idx="3">
                  <c:v>Community</c:v>
                </c:pt>
              </c:strCache>
            </c:strRef>
          </c:cat>
          <c:val>
            <c:numRef>
              <c:f>'Cross-Category Approach'!$E$55:$E$58</c:f>
              <c:numCache>
                <c:formatCode>General</c:formatCode>
                <c:ptCount val="4"/>
                <c:pt idx="0">
                  <c:v>4</c:v>
                </c:pt>
                <c:pt idx="1">
                  <c:v>3</c:v>
                </c:pt>
                <c:pt idx="2">
                  <c:v>4</c:v>
                </c:pt>
                <c:pt idx="3">
                  <c:v>2</c:v>
                </c:pt>
              </c:numCache>
            </c:numRef>
          </c:val>
        </c:ser>
        <c:dLbls>
          <c:showLegendKey val="0"/>
          <c:showVal val="0"/>
          <c:showCatName val="0"/>
          <c:showSerName val="0"/>
          <c:showPercent val="0"/>
          <c:showBubbleSize val="0"/>
        </c:dLbls>
        <c:gapWidth val="219"/>
        <c:overlap val="-27"/>
        <c:axId val="199606656"/>
        <c:axId val="199608192"/>
      </c:barChart>
      <c:catAx>
        <c:axId val="19960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608192"/>
        <c:crosses val="autoZero"/>
        <c:auto val="1"/>
        <c:lblAlgn val="ctr"/>
        <c:lblOffset val="100"/>
        <c:noMultiLvlLbl val="0"/>
      </c:catAx>
      <c:valAx>
        <c:axId val="199608192"/>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60665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Cross-Category Approach</a:t>
            </a:r>
            <a:r>
              <a:rPr lang="en-NZ" baseline="0"/>
              <a:t> : Example Two</a:t>
            </a:r>
            <a:endParaRPr lang="en-NZ"/>
          </a:p>
        </c:rich>
      </c:tx>
      <c:layout/>
      <c:overlay val="0"/>
      <c:spPr>
        <a:noFill/>
        <a:ln>
          <a:noFill/>
        </a:ln>
        <a:effectLst/>
      </c:spPr>
    </c:title>
    <c:autoTitleDeleted val="0"/>
    <c:plotArea>
      <c:layout/>
      <c:barChart>
        <c:barDir val="col"/>
        <c:grouping val="clustered"/>
        <c:varyColors val="0"/>
        <c:ser>
          <c:idx val="0"/>
          <c:order val="0"/>
          <c:tx>
            <c:strRef>
              <c:f>'Cross-Category Approach'!$C$15</c:f>
              <c:strCache>
                <c:ptCount val="1"/>
                <c:pt idx="0">
                  <c:v>Maximum Score</c:v>
                </c:pt>
              </c:strCache>
            </c:strRef>
          </c:tx>
          <c:spPr>
            <a:solidFill>
              <a:schemeClr val="accent1"/>
            </a:solidFill>
            <a:ln>
              <a:noFill/>
            </a:ln>
            <a:effectLst/>
          </c:spPr>
          <c:invertIfNegative val="0"/>
          <c:cat>
            <c:strRef>
              <c:f>'Cross-Category Approach'!$B$16:$B$19</c:f>
              <c:strCache>
                <c:ptCount val="4"/>
                <c:pt idx="0">
                  <c:v>Engagement with DIA</c:v>
                </c:pt>
                <c:pt idx="1">
                  <c:v>System Contribution</c:v>
                </c:pt>
                <c:pt idx="2">
                  <c:v>Collaboration</c:v>
                </c:pt>
                <c:pt idx="3">
                  <c:v>Community</c:v>
                </c:pt>
              </c:strCache>
            </c:strRef>
          </c:cat>
          <c:val>
            <c:numRef>
              <c:f>'Cross-Category Approach'!$C$16:$C$19</c:f>
              <c:numCache>
                <c:formatCode>General</c:formatCode>
                <c:ptCount val="4"/>
                <c:pt idx="0">
                  <c:v>4</c:v>
                </c:pt>
                <c:pt idx="1">
                  <c:v>4</c:v>
                </c:pt>
                <c:pt idx="2">
                  <c:v>4</c:v>
                </c:pt>
                <c:pt idx="3">
                  <c:v>4</c:v>
                </c:pt>
              </c:numCache>
            </c:numRef>
          </c:val>
        </c:ser>
        <c:ser>
          <c:idx val="1"/>
          <c:order val="1"/>
          <c:tx>
            <c:strRef>
              <c:f>'Cross-Category Approach'!$D$15</c:f>
              <c:strCache>
                <c:ptCount val="1"/>
                <c:pt idx="0">
                  <c:v>Expectation Threshold</c:v>
                </c:pt>
              </c:strCache>
            </c:strRef>
          </c:tx>
          <c:spPr>
            <a:solidFill>
              <a:schemeClr val="accent2"/>
            </a:solidFill>
            <a:ln>
              <a:noFill/>
            </a:ln>
            <a:effectLst/>
          </c:spPr>
          <c:invertIfNegative val="0"/>
          <c:cat>
            <c:strRef>
              <c:f>'Cross-Category Approach'!$B$16:$B$19</c:f>
              <c:strCache>
                <c:ptCount val="4"/>
                <c:pt idx="0">
                  <c:v>Engagement with DIA</c:v>
                </c:pt>
                <c:pt idx="1">
                  <c:v>System Contribution</c:v>
                </c:pt>
                <c:pt idx="2">
                  <c:v>Collaboration</c:v>
                </c:pt>
                <c:pt idx="3">
                  <c:v>Community</c:v>
                </c:pt>
              </c:strCache>
            </c:strRef>
          </c:cat>
          <c:val>
            <c:numRef>
              <c:f>'Cross-Category Approach'!$D$16:$D$19</c:f>
              <c:numCache>
                <c:formatCode>General</c:formatCode>
                <c:ptCount val="4"/>
                <c:pt idx="0">
                  <c:v>4</c:v>
                </c:pt>
                <c:pt idx="1">
                  <c:v>4</c:v>
                </c:pt>
                <c:pt idx="2">
                  <c:v>4</c:v>
                </c:pt>
                <c:pt idx="3">
                  <c:v>4</c:v>
                </c:pt>
              </c:numCache>
            </c:numRef>
          </c:val>
        </c:ser>
        <c:ser>
          <c:idx val="2"/>
          <c:order val="2"/>
          <c:tx>
            <c:strRef>
              <c:f>'Cross-Category Approach'!$E$15</c:f>
              <c:strCache>
                <c:ptCount val="1"/>
                <c:pt idx="0">
                  <c:v>Applicant Score</c:v>
                </c:pt>
              </c:strCache>
            </c:strRef>
          </c:tx>
          <c:spPr>
            <a:solidFill>
              <a:schemeClr val="accent3"/>
            </a:solidFill>
            <a:ln>
              <a:noFill/>
            </a:ln>
            <a:effectLst/>
          </c:spPr>
          <c:invertIfNegative val="0"/>
          <c:cat>
            <c:strRef>
              <c:f>'Cross-Category Approach'!$B$16:$B$19</c:f>
              <c:strCache>
                <c:ptCount val="4"/>
                <c:pt idx="0">
                  <c:v>Engagement with DIA</c:v>
                </c:pt>
                <c:pt idx="1">
                  <c:v>System Contribution</c:v>
                </c:pt>
                <c:pt idx="2">
                  <c:v>Collaboration</c:v>
                </c:pt>
                <c:pt idx="3">
                  <c:v>Community</c:v>
                </c:pt>
              </c:strCache>
            </c:strRef>
          </c:cat>
          <c:val>
            <c:numRef>
              <c:f>'Cross-Category Approach'!$E$16:$E$19</c:f>
              <c:numCache>
                <c:formatCode>General</c:formatCode>
                <c:ptCount val="4"/>
                <c:pt idx="0">
                  <c:v>3</c:v>
                </c:pt>
                <c:pt idx="1">
                  <c:v>4</c:v>
                </c:pt>
                <c:pt idx="2">
                  <c:v>3</c:v>
                </c:pt>
                <c:pt idx="3">
                  <c:v>3</c:v>
                </c:pt>
              </c:numCache>
            </c:numRef>
          </c:val>
        </c:ser>
        <c:dLbls>
          <c:showLegendKey val="0"/>
          <c:showVal val="0"/>
          <c:showCatName val="0"/>
          <c:showSerName val="0"/>
          <c:showPercent val="0"/>
          <c:showBubbleSize val="0"/>
        </c:dLbls>
        <c:gapWidth val="219"/>
        <c:overlap val="-27"/>
        <c:axId val="112803840"/>
        <c:axId val="112805376"/>
      </c:barChart>
      <c:catAx>
        <c:axId val="11280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05376"/>
        <c:crosses val="autoZero"/>
        <c:auto val="1"/>
        <c:lblAlgn val="ctr"/>
        <c:lblOffset val="100"/>
        <c:noMultiLvlLbl val="0"/>
      </c:catAx>
      <c:valAx>
        <c:axId val="11280537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03840"/>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Cross-Category Approach</a:t>
            </a:r>
            <a:r>
              <a:rPr lang="en-NZ" baseline="0"/>
              <a:t> : Example Three</a:t>
            </a:r>
            <a:endParaRPr lang="en-NZ"/>
          </a:p>
        </c:rich>
      </c:tx>
      <c:layout/>
      <c:overlay val="0"/>
      <c:spPr>
        <a:noFill/>
        <a:ln>
          <a:noFill/>
        </a:ln>
        <a:effectLst/>
      </c:spPr>
    </c:title>
    <c:autoTitleDeleted val="0"/>
    <c:plotArea>
      <c:layout/>
      <c:barChart>
        <c:barDir val="col"/>
        <c:grouping val="clustered"/>
        <c:varyColors val="0"/>
        <c:ser>
          <c:idx val="0"/>
          <c:order val="0"/>
          <c:tx>
            <c:strRef>
              <c:f>'Cross-Category Approach'!$C$26</c:f>
              <c:strCache>
                <c:ptCount val="1"/>
                <c:pt idx="0">
                  <c:v>Maximum Score</c:v>
                </c:pt>
              </c:strCache>
            </c:strRef>
          </c:tx>
          <c:spPr>
            <a:solidFill>
              <a:schemeClr val="accent1"/>
            </a:solidFill>
            <a:ln>
              <a:noFill/>
            </a:ln>
            <a:effectLst/>
          </c:spPr>
          <c:invertIfNegative val="0"/>
          <c:cat>
            <c:strRef>
              <c:f>'Cross-Category Approach'!$B$27:$B$30</c:f>
              <c:strCache>
                <c:ptCount val="4"/>
                <c:pt idx="0">
                  <c:v>Engagement with DIA</c:v>
                </c:pt>
                <c:pt idx="1">
                  <c:v>System Contribution</c:v>
                </c:pt>
                <c:pt idx="2">
                  <c:v>Collaboration</c:v>
                </c:pt>
                <c:pt idx="3">
                  <c:v>Community</c:v>
                </c:pt>
              </c:strCache>
            </c:strRef>
          </c:cat>
          <c:val>
            <c:numRef>
              <c:f>'Cross-Category Approach'!$C$27:$C$30</c:f>
              <c:numCache>
                <c:formatCode>General</c:formatCode>
                <c:ptCount val="4"/>
                <c:pt idx="0">
                  <c:v>4</c:v>
                </c:pt>
                <c:pt idx="1">
                  <c:v>4</c:v>
                </c:pt>
                <c:pt idx="2">
                  <c:v>4</c:v>
                </c:pt>
                <c:pt idx="3">
                  <c:v>4</c:v>
                </c:pt>
              </c:numCache>
            </c:numRef>
          </c:val>
        </c:ser>
        <c:ser>
          <c:idx val="1"/>
          <c:order val="1"/>
          <c:tx>
            <c:strRef>
              <c:f>'Cross-Category Approach'!$D$26</c:f>
              <c:strCache>
                <c:ptCount val="1"/>
                <c:pt idx="0">
                  <c:v>Expectation Threshold</c:v>
                </c:pt>
              </c:strCache>
            </c:strRef>
          </c:tx>
          <c:spPr>
            <a:solidFill>
              <a:schemeClr val="accent2"/>
            </a:solidFill>
            <a:ln>
              <a:noFill/>
            </a:ln>
            <a:effectLst/>
          </c:spPr>
          <c:invertIfNegative val="0"/>
          <c:cat>
            <c:strRef>
              <c:f>'Cross-Category Approach'!$B$27:$B$30</c:f>
              <c:strCache>
                <c:ptCount val="4"/>
                <c:pt idx="0">
                  <c:v>Engagement with DIA</c:v>
                </c:pt>
                <c:pt idx="1">
                  <c:v>System Contribution</c:v>
                </c:pt>
                <c:pt idx="2">
                  <c:v>Collaboration</c:v>
                </c:pt>
                <c:pt idx="3">
                  <c:v>Community</c:v>
                </c:pt>
              </c:strCache>
            </c:strRef>
          </c:cat>
          <c:val>
            <c:numRef>
              <c:f>'Cross-Category Approach'!$D$27:$D$30</c:f>
              <c:numCache>
                <c:formatCode>General</c:formatCode>
                <c:ptCount val="4"/>
                <c:pt idx="0">
                  <c:v>4</c:v>
                </c:pt>
                <c:pt idx="1">
                  <c:v>4</c:v>
                </c:pt>
                <c:pt idx="2">
                  <c:v>4</c:v>
                </c:pt>
                <c:pt idx="3">
                  <c:v>4</c:v>
                </c:pt>
              </c:numCache>
            </c:numRef>
          </c:val>
        </c:ser>
        <c:ser>
          <c:idx val="2"/>
          <c:order val="2"/>
          <c:tx>
            <c:strRef>
              <c:f>'Cross-Category Approach'!$E$26</c:f>
              <c:strCache>
                <c:ptCount val="1"/>
                <c:pt idx="0">
                  <c:v>Applicant Score</c:v>
                </c:pt>
              </c:strCache>
            </c:strRef>
          </c:tx>
          <c:spPr>
            <a:solidFill>
              <a:schemeClr val="accent3"/>
            </a:solidFill>
            <a:ln>
              <a:noFill/>
            </a:ln>
            <a:effectLst/>
          </c:spPr>
          <c:invertIfNegative val="0"/>
          <c:cat>
            <c:strRef>
              <c:f>'Cross-Category Approach'!$B$27:$B$30</c:f>
              <c:strCache>
                <c:ptCount val="4"/>
                <c:pt idx="0">
                  <c:v>Engagement with DIA</c:v>
                </c:pt>
                <c:pt idx="1">
                  <c:v>System Contribution</c:v>
                </c:pt>
                <c:pt idx="2">
                  <c:v>Collaboration</c:v>
                </c:pt>
                <c:pt idx="3">
                  <c:v>Community</c:v>
                </c:pt>
              </c:strCache>
            </c:strRef>
          </c:cat>
          <c:val>
            <c:numRef>
              <c:f>'Cross-Category Approach'!$E$27:$E$30</c:f>
              <c:numCache>
                <c:formatCode>General</c:formatCode>
                <c:ptCount val="4"/>
                <c:pt idx="0">
                  <c:v>4</c:v>
                </c:pt>
                <c:pt idx="1">
                  <c:v>3</c:v>
                </c:pt>
                <c:pt idx="2">
                  <c:v>4</c:v>
                </c:pt>
                <c:pt idx="3">
                  <c:v>1</c:v>
                </c:pt>
              </c:numCache>
            </c:numRef>
          </c:val>
        </c:ser>
        <c:dLbls>
          <c:showLegendKey val="0"/>
          <c:showVal val="0"/>
          <c:showCatName val="0"/>
          <c:showSerName val="0"/>
          <c:showPercent val="0"/>
          <c:showBubbleSize val="0"/>
        </c:dLbls>
        <c:gapWidth val="219"/>
        <c:overlap val="-27"/>
        <c:axId val="112827392"/>
        <c:axId val="112833280"/>
      </c:barChart>
      <c:catAx>
        <c:axId val="11282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33280"/>
        <c:crosses val="autoZero"/>
        <c:auto val="1"/>
        <c:lblAlgn val="ctr"/>
        <c:lblOffset val="100"/>
        <c:noMultiLvlLbl val="0"/>
      </c:catAx>
      <c:valAx>
        <c:axId val="11283328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27392"/>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Cross-Category Approach</a:t>
            </a:r>
            <a:r>
              <a:rPr lang="en-NZ" baseline="0"/>
              <a:t> : Example Four</a:t>
            </a:r>
            <a:endParaRPr lang="en-NZ"/>
          </a:p>
        </c:rich>
      </c:tx>
      <c:layout/>
      <c:overlay val="0"/>
      <c:spPr>
        <a:noFill/>
        <a:ln>
          <a:noFill/>
        </a:ln>
        <a:effectLst/>
      </c:spPr>
    </c:title>
    <c:autoTitleDeleted val="0"/>
    <c:plotArea>
      <c:layout/>
      <c:barChart>
        <c:barDir val="col"/>
        <c:grouping val="clustered"/>
        <c:varyColors val="0"/>
        <c:ser>
          <c:idx val="0"/>
          <c:order val="0"/>
          <c:tx>
            <c:strRef>
              <c:f>'Cross-Category Approach'!$C$54</c:f>
              <c:strCache>
                <c:ptCount val="1"/>
                <c:pt idx="0">
                  <c:v>Maximum Score</c:v>
                </c:pt>
              </c:strCache>
            </c:strRef>
          </c:tx>
          <c:spPr>
            <a:solidFill>
              <a:schemeClr val="accent1"/>
            </a:solidFill>
            <a:ln>
              <a:noFill/>
            </a:ln>
            <a:effectLst/>
          </c:spPr>
          <c:invertIfNegative val="0"/>
          <c:cat>
            <c:strRef>
              <c:f>'Cross-Category Approach'!$B$55:$B$58</c:f>
              <c:strCache>
                <c:ptCount val="4"/>
                <c:pt idx="0">
                  <c:v>Engagement with DIA</c:v>
                </c:pt>
                <c:pt idx="1">
                  <c:v>System Contribution</c:v>
                </c:pt>
                <c:pt idx="2">
                  <c:v>Collaboration</c:v>
                </c:pt>
                <c:pt idx="3">
                  <c:v>Community</c:v>
                </c:pt>
              </c:strCache>
            </c:strRef>
          </c:cat>
          <c:val>
            <c:numRef>
              <c:f>'Cross-Category Approach'!$C$55:$C$58</c:f>
              <c:numCache>
                <c:formatCode>General</c:formatCode>
                <c:ptCount val="4"/>
                <c:pt idx="0">
                  <c:v>4</c:v>
                </c:pt>
                <c:pt idx="1">
                  <c:v>4</c:v>
                </c:pt>
                <c:pt idx="2">
                  <c:v>4</c:v>
                </c:pt>
                <c:pt idx="3">
                  <c:v>4</c:v>
                </c:pt>
              </c:numCache>
            </c:numRef>
          </c:val>
        </c:ser>
        <c:ser>
          <c:idx val="1"/>
          <c:order val="1"/>
          <c:tx>
            <c:strRef>
              <c:f>'Cross-Category Approach'!$D$54</c:f>
              <c:strCache>
                <c:ptCount val="1"/>
                <c:pt idx="0">
                  <c:v>Expectation Threshold</c:v>
                </c:pt>
              </c:strCache>
            </c:strRef>
          </c:tx>
          <c:spPr>
            <a:solidFill>
              <a:schemeClr val="accent2"/>
            </a:solidFill>
            <a:ln>
              <a:noFill/>
            </a:ln>
            <a:effectLst/>
          </c:spPr>
          <c:invertIfNegative val="0"/>
          <c:cat>
            <c:strRef>
              <c:f>'Cross-Category Approach'!$B$55:$B$58</c:f>
              <c:strCache>
                <c:ptCount val="4"/>
                <c:pt idx="0">
                  <c:v>Engagement with DIA</c:v>
                </c:pt>
                <c:pt idx="1">
                  <c:v>System Contribution</c:v>
                </c:pt>
                <c:pt idx="2">
                  <c:v>Collaboration</c:v>
                </c:pt>
                <c:pt idx="3">
                  <c:v>Community</c:v>
                </c:pt>
              </c:strCache>
            </c:strRef>
          </c:cat>
          <c:val>
            <c:numRef>
              <c:f>'Cross-Category Approach'!$D$55:$D$58</c:f>
              <c:numCache>
                <c:formatCode>General</c:formatCode>
                <c:ptCount val="4"/>
                <c:pt idx="0">
                  <c:v>4</c:v>
                </c:pt>
                <c:pt idx="1">
                  <c:v>4</c:v>
                </c:pt>
                <c:pt idx="2">
                  <c:v>4</c:v>
                </c:pt>
                <c:pt idx="3">
                  <c:v>4</c:v>
                </c:pt>
              </c:numCache>
            </c:numRef>
          </c:val>
        </c:ser>
        <c:ser>
          <c:idx val="2"/>
          <c:order val="2"/>
          <c:tx>
            <c:strRef>
              <c:f>'Cross-Category Approach'!$E$54</c:f>
              <c:strCache>
                <c:ptCount val="1"/>
                <c:pt idx="0">
                  <c:v>Applicant Score</c:v>
                </c:pt>
              </c:strCache>
            </c:strRef>
          </c:tx>
          <c:spPr>
            <a:solidFill>
              <a:schemeClr val="accent3"/>
            </a:solidFill>
            <a:ln>
              <a:noFill/>
            </a:ln>
            <a:effectLst/>
          </c:spPr>
          <c:invertIfNegative val="0"/>
          <c:cat>
            <c:strRef>
              <c:f>'Cross-Category Approach'!$B$55:$B$58</c:f>
              <c:strCache>
                <c:ptCount val="4"/>
                <c:pt idx="0">
                  <c:v>Engagement with DIA</c:v>
                </c:pt>
                <c:pt idx="1">
                  <c:v>System Contribution</c:v>
                </c:pt>
                <c:pt idx="2">
                  <c:v>Collaboration</c:v>
                </c:pt>
                <c:pt idx="3">
                  <c:v>Community</c:v>
                </c:pt>
              </c:strCache>
            </c:strRef>
          </c:cat>
          <c:val>
            <c:numRef>
              <c:f>'Cross-Category Approach'!$E$55:$E$58</c:f>
              <c:numCache>
                <c:formatCode>General</c:formatCode>
                <c:ptCount val="4"/>
                <c:pt idx="0">
                  <c:v>4</c:v>
                </c:pt>
                <c:pt idx="1">
                  <c:v>3</c:v>
                </c:pt>
                <c:pt idx="2">
                  <c:v>4</c:v>
                </c:pt>
                <c:pt idx="3">
                  <c:v>2</c:v>
                </c:pt>
              </c:numCache>
            </c:numRef>
          </c:val>
        </c:ser>
        <c:dLbls>
          <c:showLegendKey val="0"/>
          <c:showVal val="0"/>
          <c:showCatName val="0"/>
          <c:showSerName val="0"/>
          <c:showPercent val="0"/>
          <c:showBubbleSize val="0"/>
        </c:dLbls>
        <c:gapWidth val="219"/>
        <c:overlap val="-27"/>
        <c:axId val="157362432"/>
        <c:axId val="157392896"/>
      </c:barChart>
      <c:catAx>
        <c:axId val="15736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392896"/>
        <c:crosses val="autoZero"/>
        <c:auto val="1"/>
        <c:lblAlgn val="ctr"/>
        <c:lblOffset val="100"/>
        <c:noMultiLvlLbl val="0"/>
      </c:catAx>
      <c:valAx>
        <c:axId val="15739289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362432"/>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Balanced Scorecard</a:t>
            </a:r>
            <a:r>
              <a:rPr lang="en-NZ" baseline="0"/>
              <a:t> : Example One</a:t>
            </a:r>
            <a:endParaRPr lang="en-NZ"/>
          </a:p>
        </c:rich>
      </c:tx>
      <c:overlay val="0"/>
      <c:spPr>
        <a:noFill/>
        <a:ln>
          <a:noFill/>
        </a:ln>
        <a:effectLst/>
      </c:spPr>
    </c:title>
    <c:autoTitleDeleted val="0"/>
    <c:plotArea>
      <c:layout/>
      <c:barChart>
        <c:barDir val="col"/>
        <c:grouping val="clustered"/>
        <c:varyColors val="0"/>
        <c:ser>
          <c:idx val="0"/>
          <c:order val="0"/>
          <c:tx>
            <c:strRef>
              <c:f>'Balanced Scorecard'!$C$5</c:f>
              <c:strCache>
                <c:ptCount val="1"/>
                <c:pt idx="0">
                  <c:v>Maximum Score</c:v>
                </c:pt>
              </c:strCache>
            </c:strRef>
          </c:tx>
          <c:spPr>
            <a:solidFill>
              <a:schemeClr val="accent1"/>
            </a:solidFill>
            <a:ln>
              <a:noFill/>
            </a:ln>
            <a:effectLst/>
          </c:spPr>
          <c:invertIfNegative val="0"/>
          <c:cat>
            <c:strRef>
              <c:f>'Balanced Scorecard'!$B$6:$B$12</c:f>
              <c:strCache>
                <c:ptCount val="7"/>
                <c:pt idx="0">
                  <c:v>Shared Outcomes</c:v>
                </c:pt>
                <c:pt idx="1">
                  <c:v>Delivery of Legal Obligations</c:v>
                </c:pt>
                <c:pt idx="2">
                  <c:v>Leadership and Direction</c:v>
                </c:pt>
                <c:pt idx="3">
                  <c:v>Delivery of Legal Obligations</c:v>
                </c:pt>
                <c:pt idx="4">
                  <c:v>Relationships</c:v>
                </c:pt>
                <c:pt idx="5">
                  <c:v>People Development</c:v>
                </c:pt>
                <c:pt idx="6">
                  <c:v>Financial and Resource Management</c:v>
                </c:pt>
              </c:strCache>
            </c:strRef>
          </c:cat>
          <c:val>
            <c:numRef>
              <c:f>'Balanced Scorecard'!$C$6:$C$12</c:f>
              <c:numCache>
                <c:formatCode>General</c:formatCode>
                <c:ptCount val="7"/>
                <c:pt idx="0">
                  <c:v>4</c:v>
                </c:pt>
                <c:pt idx="1">
                  <c:v>4</c:v>
                </c:pt>
                <c:pt idx="2">
                  <c:v>4</c:v>
                </c:pt>
                <c:pt idx="3">
                  <c:v>4</c:v>
                </c:pt>
                <c:pt idx="4">
                  <c:v>4</c:v>
                </c:pt>
                <c:pt idx="5">
                  <c:v>4</c:v>
                </c:pt>
                <c:pt idx="6">
                  <c:v>4</c:v>
                </c:pt>
              </c:numCache>
            </c:numRef>
          </c:val>
        </c:ser>
        <c:ser>
          <c:idx val="1"/>
          <c:order val="1"/>
          <c:tx>
            <c:strRef>
              <c:f>'Balanced Scorecard'!$D$5</c:f>
              <c:strCache>
                <c:ptCount val="1"/>
                <c:pt idx="0">
                  <c:v>Expectation Threshold</c:v>
                </c:pt>
              </c:strCache>
            </c:strRef>
          </c:tx>
          <c:spPr>
            <a:solidFill>
              <a:schemeClr val="accent2"/>
            </a:solidFill>
            <a:ln>
              <a:noFill/>
            </a:ln>
            <a:effectLst/>
          </c:spPr>
          <c:invertIfNegative val="0"/>
          <c:cat>
            <c:strRef>
              <c:f>'Balanced Scorecard'!$B$6:$B$12</c:f>
              <c:strCache>
                <c:ptCount val="7"/>
                <c:pt idx="0">
                  <c:v>Shared Outcomes</c:v>
                </c:pt>
                <c:pt idx="1">
                  <c:v>Delivery of Legal Obligations</c:v>
                </c:pt>
                <c:pt idx="2">
                  <c:v>Leadership and Direction</c:v>
                </c:pt>
                <c:pt idx="3">
                  <c:v>Delivery of Legal Obligations</c:v>
                </c:pt>
                <c:pt idx="4">
                  <c:v>Relationships</c:v>
                </c:pt>
                <c:pt idx="5">
                  <c:v>People Development</c:v>
                </c:pt>
                <c:pt idx="6">
                  <c:v>Financial and Resource Management</c:v>
                </c:pt>
              </c:strCache>
            </c:strRef>
          </c:cat>
          <c:val>
            <c:numRef>
              <c:f>'Balanced Scorecard'!$D$6:$D$12</c:f>
              <c:numCache>
                <c:formatCode>General</c:formatCode>
                <c:ptCount val="7"/>
                <c:pt idx="0">
                  <c:v>2</c:v>
                </c:pt>
                <c:pt idx="1">
                  <c:v>2</c:v>
                </c:pt>
                <c:pt idx="2">
                  <c:v>2</c:v>
                </c:pt>
                <c:pt idx="3">
                  <c:v>2</c:v>
                </c:pt>
                <c:pt idx="4">
                  <c:v>2</c:v>
                </c:pt>
                <c:pt idx="5">
                  <c:v>2</c:v>
                </c:pt>
                <c:pt idx="6">
                  <c:v>2</c:v>
                </c:pt>
              </c:numCache>
            </c:numRef>
          </c:val>
        </c:ser>
        <c:ser>
          <c:idx val="2"/>
          <c:order val="2"/>
          <c:tx>
            <c:strRef>
              <c:f>'Balanced Scorecard'!$E$5</c:f>
              <c:strCache>
                <c:ptCount val="1"/>
                <c:pt idx="0">
                  <c:v>Applicant Score</c:v>
                </c:pt>
              </c:strCache>
            </c:strRef>
          </c:tx>
          <c:spPr>
            <a:solidFill>
              <a:schemeClr val="accent3"/>
            </a:solidFill>
            <a:ln>
              <a:noFill/>
            </a:ln>
            <a:effectLst/>
          </c:spPr>
          <c:invertIfNegative val="0"/>
          <c:cat>
            <c:strRef>
              <c:f>'Balanced Scorecard'!$B$6:$B$12</c:f>
              <c:strCache>
                <c:ptCount val="7"/>
                <c:pt idx="0">
                  <c:v>Shared Outcomes</c:v>
                </c:pt>
                <c:pt idx="1">
                  <c:v>Delivery of Legal Obligations</c:v>
                </c:pt>
                <c:pt idx="2">
                  <c:v>Leadership and Direction</c:v>
                </c:pt>
                <c:pt idx="3">
                  <c:v>Delivery of Legal Obligations</c:v>
                </c:pt>
                <c:pt idx="4">
                  <c:v>Relationships</c:v>
                </c:pt>
                <c:pt idx="5">
                  <c:v>People Development</c:v>
                </c:pt>
                <c:pt idx="6">
                  <c:v>Financial and Resource Management</c:v>
                </c:pt>
              </c:strCache>
            </c:strRef>
          </c:cat>
          <c:val>
            <c:numRef>
              <c:f>'Balanced Scorecard'!$E$6:$E$12</c:f>
              <c:numCache>
                <c:formatCode>General</c:formatCode>
                <c:ptCount val="7"/>
                <c:pt idx="0">
                  <c:v>2</c:v>
                </c:pt>
                <c:pt idx="1">
                  <c:v>1</c:v>
                </c:pt>
                <c:pt idx="2">
                  <c:v>2</c:v>
                </c:pt>
                <c:pt idx="3">
                  <c:v>2</c:v>
                </c:pt>
                <c:pt idx="4">
                  <c:v>1</c:v>
                </c:pt>
                <c:pt idx="5">
                  <c:v>2</c:v>
                </c:pt>
                <c:pt idx="6">
                  <c:v>2</c:v>
                </c:pt>
              </c:numCache>
            </c:numRef>
          </c:val>
        </c:ser>
        <c:dLbls>
          <c:showLegendKey val="0"/>
          <c:showVal val="0"/>
          <c:showCatName val="0"/>
          <c:showSerName val="0"/>
          <c:showPercent val="0"/>
          <c:showBubbleSize val="0"/>
        </c:dLbls>
        <c:gapWidth val="219"/>
        <c:overlap val="-27"/>
        <c:axId val="112940928"/>
        <c:axId val="112942464"/>
      </c:barChart>
      <c:catAx>
        <c:axId val="11294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42464"/>
        <c:crosses val="autoZero"/>
        <c:auto val="1"/>
        <c:lblAlgn val="ctr"/>
        <c:lblOffset val="100"/>
        <c:noMultiLvlLbl val="0"/>
      </c:catAx>
      <c:valAx>
        <c:axId val="112942464"/>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4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Balanced Scorecard</a:t>
            </a:r>
            <a:r>
              <a:rPr lang="en-NZ" baseline="0"/>
              <a:t> : Example Two</a:t>
            </a:r>
            <a:endParaRPr lang="en-NZ"/>
          </a:p>
        </c:rich>
      </c:tx>
      <c:overlay val="0"/>
      <c:spPr>
        <a:noFill/>
        <a:ln>
          <a:noFill/>
        </a:ln>
        <a:effectLst/>
      </c:spPr>
    </c:title>
    <c:autoTitleDeleted val="0"/>
    <c:plotArea>
      <c:layout/>
      <c:barChart>
        <c:barDir val="col"/>
        <c:grouping val="clustered"/>
        <c:varyColors val="0"/>
        <c:ser>
          <c:idx val="0"/>
          <c:order val="0"/>
          <c:tx>
            <c:strRef>
              <c:f>'Balanced Scorecard'!$C$16</c:f>
              <c:strCache>
                <c:ptCount val="1"/>
                <c:pt idx="0">
                  <c:v>Maximum Score</c:v>
                </c:pt>
              </c:strCache>
            </c:strRef>
          </c:tx>
          <c:spPr>
            <a:solidFill>
              <a:schemeClr val="accent1"/>
            </a:solidFill>
            <a:ln>
              <a:noFill/>
            </a:ln>
            <a:effectLst/>
          </c:spPr>
          <c:invertIfNegative val="0"/>
          <c:cat>
            <c:strRef>
              <c:f>'Balanced Scorecard'!$B$17:$B$23</c:f>
              <c:strCache>
                <c:ptCount val="7"/>
                <c:pt idx="0">
                  <c:v>Shared Outcomes</c:v>
                </c:pt>
                <c:pt idx="1">
                  <c:v>Delivery of Legal Obligations</c:v>
                </c:pt>
                <c:pt idx="2">
                  <c:v>Leadership and Direction</c:v>
                </c:pt>
                <c:pt idx="3">
                  <c:v>Delivery of Legal Obligations</c:v>
                </c:pt>
                <c:pt idx="4">
                  <c:v>Relationships</c:v>
                </c:pt>
                <c:pt idx="5">
                  <c:v>People Development</c:v>
                </c:pt>
                <c:pt idx="6">
                  <c:v>Financial and Resource Management</c:v>
                </c:pt>
              </c:strCache>
            </c:strRef>
          </c:cat>
          <c:val>
            <c:numRef>
              <c:f>'Balanced Scorecard'!$C$17:$C$23</c:f>
              <c:numCache>
                <c:formatCode>General</c:formatCode>
                <c:ptCount val="7"/>
                <c:pt idx="0">
                  <c:v>4</c:v>
                </c:pt>
                <c:pt idx="1">
                  <c:v>4</c:v>
                </c:pt>
                <c:pt idx="2">
                  <c:v>4</c:v>
                </c:pt>
                <c:pt idx="3">
                  <c:v>4</c:v>
                </c:pt>
                <c:pt idx="4">
                  <c:v>4</c:v>
                </c:pt>
                <c:pt idx="5">
                  <c:v>4</c:v>
                </c:pt>
                <c:pt idx="6">
                  <c:v>4</c:v>
                </c:pt>
              </c:numCache>
            </c:numRef>
          </c:val>
        </c:ser>
        <c:ser>
          <c:idx val="1"/>
          <c:order val="1"/>
          <c:tx>
            <c:strRef>
              <c:f>'Balanced Scorecard'!$D$16</c:f>
              <c:strCache>
                <c:ptCount val="1"/>
                <c:pt idx="0">
                  <c:v>Expectation Threshold</c:v>
                </c:pt>
              </c:strCache>
            </c:strRef>
          </c:tx>
          <c:spPr>
            <a:solidFill>
              <a:schemeClr val="accent2"/>
            </a:solidFill>
            <a:ln>
              <a:noFill/>
            </a:ln>
            <a:effectLst/>
          </c:spPr>
          <c:invertIfNegative val="0"/>
          <c:cat>
            <c:strRef>
              <c:f>'Balanced Scorecard'!$B$17:$B$23</c:f>
              <c:strCache>
                <c:ptCount val="7"/>
                <c:pt idx="0">
                  <c:v>Shared Outcomes</c:v>
                </c:pt>
                <c:pt idx="1">
                  <c:v>Delivery of Legal Obligations</c:v>
                </c:pt>
                <c:pt idx="2">
                  <c:v>Leadership and Direction</c:v>
                </c:pt>
                <c:pt idx="3">
                  <c:v>Delivery of Legal Obligations</c:v>
                </c:pt>
                <c:pt idx="4">
                  <c:v>Relationships</c:v>
                </c:pt>
                <c:pt idx="5">
                  <c:v>People Development</c:v>
                </c:pt>
                <c:pt idx="6">
                  <c:v>Financial and Resource Management</c:v>
                </c:pt>
              </c:strCache>
            </c:strRef>
          </c:cat>
          <c:val>
            <c:numRef>
              <c:f>'Balanced Scorecard'!$D$17:$D$23</c:f>
              <c:numCache>
                <c:formatCode>General</c:formatCode>
                <c:ptCount val="7"/>
                <c:pt idx="0">
                  <c:v>2</c:v>
                </c:pt>
                <c:pt idx="1">
                  <c:v>2</c:v>
                </c:pt>
                <c:pt idx="2">
                  <c:v>2</c:v>
                </c:pt>
                <c:pt idx="3">
                  <c:v>2</c:v>
                </c:pt>
                <c:pt idx="4">
                  <c:v>2</c:v>
                </c:pt>
                <c:pt idx="5">
                  <c:v>2</c:v>
                </c:pt>
                <c:pt idx="6">
                  <c:v>2</c:v>
                </c:pt>
              </c:numCache>
            </c:numRef>
          </c:val>
        </c:ser>
        <c:ser>
          <c:idx val="2"/>
          <c:order val="2"/>
          <c:tx>
            <c:strRef>
              <c:f>'Balanced Scorecard'!$E$16</c:f>
              <c:strCache>
                <c:ptCount val="1"/>
                <c:pt idx="0">
                  <c:v>Applicant Score</c:v>
                </c:pt>
              </c:strCache>
            </c:strRef>
          </c:tx>
          <c:spPr>
            <a:solidFill>
              <a:schemeClr val="accent3"/>
            </a:solidFill>
            <a:ln>
              <a:noFill/>
            </a:ln>
            <a:effectLst/>
          </c:spPr>
          <c:invertIfNegative val="0"/>
          <c:cat>
            <c:strRef>
              <c:f>'Balanced Scorecard'!$B$17:$B$23</c:f>
              <c:strCache>
                <c:ptCount val="7"/>
                <c:pt idx="0">
                  <c:v>Shared Outcomes</c:v>
                </c:pt>
                <c:pt idx="1">
                  <c:v>Delivery of Legal Obligations</c:v>
                </c:pt>
                <c:pt idx="2">
                  <c:v>Leadership and Direction</c:v>
                </c:pt>
                <c:pt idx="3">
                  <c:v>Delivery of Legal Obligations</c:v>
                </c:pt>
                <c:pt idx="4">
                  <c:v>Relationships</c:v>
                </c:pt>
                <c:pt idx="5">
                  <c:v>People Development</c:v>
                </c:pt>
                <c:pt idx="6">
                  <c:v>Financial and Resource Management</c:v>
                </c:pt>
              </c:strCache>
            </c:strRef>
          </c:cat>
          <c:val>
            <c:numRef>
              <c:f>'Balanced Scorecard'!$E$17:$E$23</c:f>
              <c:numCache>
                <c:formatCode>General</c:formatCode>
                <c:ptCount val="7"/>
                <c:pt idx="0">
                  <c:v>2</c:v>
                </c:pt>
                <c:pt idx="1">
                  <c:v>2</c:v>
                </c:pt>
                <c:pt idx="2">
                  <c:v>2</c:v>
                </c:pt>
                <c:pt idx="3">
                  <c:v>2</c:v>
                </c:pt>
                <c:pt idx="4">
                  <c:v>2</c:v>
                </c:pt>
                <c:pt idx="5">
                  <c:v>2</c:v>
                </c:pt>
                <c:pt idx="6">
                  <c:v>2</c:v>
                </c:pt>
              </c:numCache>
            </c:numRef>
          </c:val>
        </c:ser>
        <c:dLbls>
          <c:showLegendKey val="0"/>
          <c:showVal val="0"/>
          <c:showCatName val="0"/>
          <c:showSerName val="0"/>
          <c:showPercent val="0"/>
          <c:showBubbleSize val="0"/>
        </c:dLbls>
        <c:gapWidth val="219"/>
        <c:overlap val="-27"/>
        <c:axId val="157431296"/>
        <c:axId val="157432832"/>
      </c:barChart>
      <c:catAx>
        <c:axId val="15743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32832"/>
        <c:crosses val="autoZero"/>
        <c:auto val="1"/>
        <c:lblAlgn val="ctr"/>
        <c:lblOffset val="100"/>
        <c:noMultiLvlLbl val="0"/>
      </c:catAx>
      <c:valAx>
        <c:axId val="157432832"/>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312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Balanced Scorecard</a:t>
            </a:r>
            <a:r>
              <a:rPr lang="en-NZ" baseline="0"/>
              <a:t> : Example Three</a:t>
            </a:r>
            <a:endParaRPr lang="en-NZ"/>
          </a:p>
        </c:rich>
      </c:tx>
      <c:overlay val="0"/>
      <c:spPr>
        <a:noFill/>
        <a:ln>
          <a:noFill/>
        </a:ln>
        <a:effectLst/>
      </c:spPr>
    </c:title>
    <c:autoTitleDeleted val="0"/>
    <c:plotArea>
      <c:layout/>
      <c:barChart>
        <c:barDir val="col"/>
        <c:grouping val="clustered"/>
        <c:varyColors val="0"/>
        <c:ser>
          <c:idx val="0"/>
          <c:order val="0"/>
          <c:tx>
            <c:strRef>
              <c:f>'Balanced Scorecard'!$C$27</c:f>
              <c:strCache>
                <c:ptCount val="1"/>
                <c:pt idx="0">
                  <c:v>Maximum Score</c:v>
                </c:pt>
              </c:strCache>
            </c:strRef>
          </c:tx>
          <c:spPr>
            <a:solidFill>
              <a:schemeClr val="accent1"/>
            </a:solidFill>
            <a:ln>
              <a:noFill/>
            </a:ln>
            <a:effectLst/>
          </c:spPr>
          <c:invertIfNegative val="0"/>
          <c:cat>
            <c:strRef>
              <c:f>'Balanced Scorecard'!$B$28:$B$34</c:f>
              <c:strCache>
                <c:ptCount val="7"/>
                <c:pt idx="0">
                  <c:v>Shared Outcomes</c:v>
                </c:pt>
                <c:pt idx="1">
                  <c:v>Delivery of Legal Obligations</c:v>
                </c:pt>
                <c:pt idx="2">
                  <c:v>Leadership and Direction</c:v>
                </c:pt>
                <c:pt idx="3">
                  <c:v>Delivery of Legal Obligations</c:v>
                </c:pt>
                <c:pt idx="4">
                  <c:v>Relationships</c:v>
                </c:pt>
                <c:pt idx="5">
                  <c:v>People Development</c:v>
                </c:pt>
                <c:pt idx="6">
                  <c:v>Financial and Resource Management</c:v>
                </c:pt>
              </c:strCache>
            </c:strRef>
          </c:cat>
          <c:val>
            <c:numRef>
              <c:f>'Balanced Scorecard'!$C$28:$C$34</c:f>
              <c:numCache>
                <c:formatCode>General</c:formatCode>
                <c:ptCount val="7"/>
                <c:pt idx="0">
                  <c:v>4</c:v>
                </c:pt>
                <c:pt idx="1">
                  <c:v>4</c:v>
                </c:pt>
                <c:pt idx="2">
                  <c:v>4</c:v>
                </c:pt>
                <c:pt idx="3">
                  <c:v>4</c:v>
                </c:pt>
                <c:pt idx="4">
                  <c:v>4</c:v>
                </c:pt>
                <c:pt idx="5">
                  <c:v>4</c:v>
                </c:pt>
                <c:pt idx="6">
                  <c:v>4</c:v>
                </c:pt>
              </c:numCache>
            </c:numRef>
          </c:val>
        </c:ser>
        <c:ser>
          <c:idx val="1"/>
          <c:order val="1"/>
          <c:tx>
            <c:strRef>
              <c:f>'Balanced Scorecard'!$D$27</c:f>
              <c:strCache>
                <c:ptCount val="1"/>
                <c:pt idx="0">
                  <c:v>Expectation Threshold</c:v>
                </c:pt>
              </c:strCache>
            </c:strRef>
          </c:tx>
          <c:spPr>
            <a:solidFill>
              <a:schemeClr val="accent2"/>
            </a:solidFill>
            <a:ln>
              <a:noFill/>
            </a:ln>
            <a:effectLst/>
          </c:spPr>
          <c:invertIfNegative val="0"/>
          <c:cat>
            <c:strRef>
              <c:f>'Balanced Scorecard'!$B$28:$B$34</c:f>
              <c:strCache>
                <c:ptCount val="7"/>
                <c:pt idx="0">
                  <c:v>Shared Outcomes</c:v>
                </c:pt>
                <c:pt idx="1">
                  <c:v>Delivery of Legal Obligations</c:v>
                </c:pt>
                <c:pt idx="2">
                  <c:v>Leadership and Direction</c:v>
                </c:pt>
                <c:pt idx="3">
                  <c:v>Delivery of Legal Obligations</c:v>
                </c:pt>
                <c:pt idx="4">
                  <c:v>Relationships</c:v>
                </c:pt>
                <c:pt idx="5">
                  <c:v>People Development</c:v>
                </c:pt>
                <c:pt idx="6">
                  <c:v>Financial and Resource Management</c:v>
                </c:pt>
              </c:strCache>
            </c:strRef>
          </c:cat>
          <c:val>
            <c:numRef>
              <c:f>'Balanced Scorecard'!$D$28:$D$34</c:f>
              <c:numCache>
                <c:formatCode>General</c:formatCode>
                <c:ptCount val="7"/>
                <c:pt idx="0">
                  <c:v>2</c:v>
                </c:pt>
                <c:pt idx="1">
                  <c:v>2</c:v>
                </c:pt>
                <c:pt idx="2">
                  <c:v>2</c:v>
                </c:pt>
                <c:pt idx="3">
                  <c:v>2</c:v>
                </c:pt>
                <c:pt idx="4">
                  <c:v>2</c:v>
                </c:pt>
                <c:pt idx="5">
                  <c:v>2</c:v>
                </c:pt>
                <c:pt idx="6">
                  <c:v>2</c:v>
                </c:pt>
              </c:numCache>
            </c:numRef>
          </c:val>
        </c:ser>
        <c:ser>
          <c:idx val="2"/>
          <c:order val="2"/>
          <c:tx>
            <c:strRef>
              <c:f>'Balanced Scorecard'!$E$27</c:f>
              <c:strCache>
                <c:ptCount val="1"/>
                <c:pt idx="0">
                  <c:v>Applicant Score</c:v>
                </c:pt>
              </c:strCache>
            </c:strRef>
          </c:tx>
          <c:spPr>
            <a:solidFill>
              <a:schemeClr val="accent3"/>
            </a:solidFill>
            <a:ln>
              <a:noFill/>
            </a:ln>
            <a:effectLst/>
          </c:spPr>
          <c:invertIfNegative val="0"/>
          <c:cat>
            <c:strRef>
              <c:f>'Balanced Scorecard'!$B$28:$B$34</c:f>
              <c:strCache>
                <c:ptCount val="7"/>
                <c:pt idx="0">
                  <c:v>Shared Outcomes</c:v>
                </c:pt>
                <c:pt idx="1">
                  <c:v>Delivery of Legal Obligations</c:v>
                </c:pt>
                <c:pt idx="2">
                  <c:v>Leadership and Direction</c:v>
                </c:pt>
                <c:pt idx="3">
                  <c:v>Delivery of Legal Obligations</c:v>
                </c:pt>
                <c:pt idx="4">
                  <c:v>Relationships</c:v>
                </c:pt>
                <c:pt idx="5">
                  <c:v>People Development</c:v>
                </c:pt>
                <c:pt idx="6">
                  <c:v>Financial and Resource Management</c:v>
                </c:pt>
              </c:strCache>
            </c:strRef>
          </c:cat>
          <c:val>
            <c:numRef>
              <c:f>'Balanced Scorecard'!$E$28:$E$34</c:f>
              <c:numCache>
                <c:formatCode>General</c:formatCode>
                <c:ptCount val="7"/>
                <c:pt idx="0">
                  <c:v>4</c:v>
                </c:pt>
                <c:pt idx="1">
                  <c:v>4</c:v>
                </c:pt>
                <c:pt idx="2">
                  <c:v>3</c:v>
                </c:pt>
                <c:pt idx="3">
                  <c:v>2</c:v>
                </c:pt>
                <c:pt idx="4">
                  <c:v>2</c:v>
                </c:pt>
                <c:pt idx="5">
                  <c:v>2</c:v>
                </c:pt>
                <c:pt idx="6">
                  <c:v>3</c:v>
                </c:pt>
              </c:numCache>
            </c:numRef>
          </c:val>
        </c:ser>
        <c:dLbls>
          <c:showLegendKey val="0"/>
          <c:showVal val="0"/>
          <c:showCatName val="0"/>
          <c:showSerName val="0"/>
          <c:showPercent val="0"/>
          <c:showBubbleSize val="0"/>
        </c:dLbls>
        <c:gapWidth val="219"/>
        <c:overlap val="-27"/>
        <c:axId val="157475584"/>
        <c:axId val="157477120"/>
      </c:barChart>
      <c:catAx>
        <c:axId val="15747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77120"/>
        <c:crosses val="autoZero"/>
        <c:auto val="1"/>
        <c:lblAlgn val="ctr"/>
        <c:lblOffset val="100"/>
        <c:noMultiLvlLbl val="0"/>
      </c:catAx>
      <c:valAx>
        <c:axId val="15747712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755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Weighted</a:t>
            </a:r>
            <a:r>
              <a:rPr lang="en-NZ" baseline="0"/>
              <a:t> Approach : Example One</a:t>
            </a:r>
            <a:endParaRPr lang="en-NZ"/>
          </a:p>
        </c:rich>
      </c:tx>
      <c:overlay val="0"/>
      <c:spPr>
        <a:noFill/>
        <a:ln>
          <a:noFill/>
        </a:ln>
        <a:effectLst/>
      </c:spPr>
    </c:title>
    <c:autoTitleDeleted val="0"/>
    <c:plotArea>
      <c:layout/>
      <c:barChart>
        <c:barDir val="col"/>
        <c:grouping val="clustered"/>
        <c:varyColors val="0"/>
        <c:ser>
          <c:idx val="0"/>
          <c:order val="0"/>
          <c:tx>
            <c:strRef>
              <c:f>'Weighted Approach'!$D$8</c:f>
              <c:strCache>
                <c:ptCount val="1"/>
                <c:pt idx="0">
                  <c:v>Maximum Score</c:v>
                </c:pt>
              </c:strCache>
            </c:strRef>
          </c:tx>
          <c:spPr>
            <a:solidFill>
              <a:schemeClr val="accent1"/>
            </a:solidFill>
            <a:ln>
              <a:noFill/>
            </a:ln>
            <a:effectLst/>
          </c:spPr>
          <c:invertIfNegative val="0"/>
          <c:cat>
            <c:strRef>
              <c:f>'Weighted Approach'!$C$9:$C$12</c:f>
              <c:strCache>
                <c:ptCount val="4"/>
                <c:pt idx="0">
                  <c:v>Asset Management</c:v>
                </c:pt>
                <c:pt idx="1">
                  <c:v>Information</c:v>
                </c:pt>
                <c:pt idx="2">
                  <c:v>Financial Management</c:v>
                </c:pt>
                <c:pt idx="3">
                  <c:v>Risk management</c:v>
                </c:pt>
              </c:strCache>
            </c:strRef>
          </c:cat>
          <c:val>
            <c:numRef>
              <c:f>'Weighted Approach'!$D$9:$D$12</c:f>
              <c:numCache>
                <c:formatCode>General</c:formatCode>
                <c:ptCount val="4"/>
                <c:pt idx="0">
                  <c:v>4</c:v>
                </c:pt>
                <c:pt idx="1">
                  <c:v>4</c:v>
                </c:pt>
                <c:pt idx="2">
                  <c:v>4</c:v>
                </c:pt>
                <c:pt idx="3">
                  <c:v>4</c:v>
                </c:pt>
              </c:numCache>
            </c:numRef>
          </c:val>
        </c:ser>
        <c:ser>
          <c:idx val="1"/>
          <c:order val="1"/>
          <c:tx>
            <c:strRef>
              <c:f>'Weighted Approach'!$E$8</c:f>
              <c:strCache>
                <c:ptCount val="1"/>
                <c:pt idx="0">
                  <c:v>Expectation Threshold</c:v>
                </c:pt>
              </c:strCache>
            </c:strRef>
          </c:tx>
          <c:spPr>
            <a:solidFill>
              <a:schemeClr val="accent2"/>
            </a:solidFill>
            <a:ln>
              <a:noFill/>
            </a:ln>
            <a:effectLst/>
          </c:spPr>
          <c:invertIfNegative val="0"/>
          <c:cat>
            <c:strRef>
              <c:f>'Weighted Approach'!$C$9:$C$12</c:f>
              <c:strCache>
                <c:ptCount val="4"/>
                <c:pt idx="0">
                  <c:v>Asset Management</c:v>
                </c:pt>
                <c:pt idx="1">
                  <c:v>Information</c:v>
                </c:pt>
                <c:pt idx="2">
                  <c:v>Financial Management</c:v>
                </c:pt>
                <c:pt idx="3">
                  <c:v>Risk management</c:v>
                </c:pt>
              </c:strCache>
            </c:strRef>
          </c:cat>
          <c:val>
            <c:numRef>
              <c:f>'Weighted Approach'!$E$9:$E$12</c:f>
              <c:numCache>
                <c:formatCode>General</c:formatCode>
                <c:ptCount val="4"/>
                <c:pt idx="0">
                  <c:v>3</c:v>
                </c:pt>
                <c:pt idx="1">
                  <c:v>2</c:v>
                </c:pt>
                <c:pt idx="2">
                  <c:v>3</c:v>
                </c:pt>
                <c:pt idx="3">
                  <c:v>3</c:v>
                </c:pt>
              </c:numCache>
            </c:numRef>
          </c:val>
        </c:ser>
        <c:ser>
          <c:idx val="2"/>
          <c:order val="2"/>
          <c:tx>
            <c:strRef>
              <c:f>'Weighted Approach'!$F$8</c:f>
              <c:strCache>
                <c:ptCount val="1"/>
                <c:pt idx="0">
                  <c:v>Applicant Score</c:v>
                </c:pt>
              </c:strCache>
            </c:strRef>
          </c:tx>
          <c:spPr>
            <a:solidFill>
              <a:schemeClr val="accent3"/>
            </a:solidFill>
            <a:ln>
              <a:noFill/>
            </a:ln>
            <a:effectLst/>
          </c:spPr>
          <c:invertIfNegative val="0"/>
          <c:cat>
            <c:strRef>
              <c:f>'Weighted Approach'!$C$9:$C$12</c:f>
              <c:strCache>
                <c:ptCount val="4"/>
                <c:pt idx="0">
                  <c:v>Asset Management</c:v>
                </c:pt>
                <c:pt idx="1">
                  <c:v>Information</c:v>
                </c:pt>
                <c:pt idx="2">
                  <c:v>Financial Management</c:v>
                </c:pt>
                <c:pt idx="3">
                  <c:v>Risk management</c:v>
                </c:pt>
              </c:strCache>
            </c:strRef>
          </c:cat>
          <c:val>
            <c:numRef>
              <c:f>'Weighted Approach'!$F$9:$F$12</c:f>
              <c:numCache>
                <c:formatCode>General</c:formatCode>
                <c:ptCount val="4"/>
                <c:pt idx="0">
                  <c:v>2</c:v>
                </c:pt>
                <c:pt idx="1">
                  <c:v>4</c:v>
                </c:pt>
                <c:pt idx="2">
                  <c:v>4</c:v>
                </c:pt>
                <c:pt idx="3">
                  <c:v>2</c:v>
                </c:pt>
              </c:numCache>
            </c:numRef>
          </c:val>
        </c:ser>
        <c:dLbls>
          <c:showLegendKey val="0"/>
          <c:showVal val="0"/>
          <c:showCatName val="0"/>
          <c:showSerName val="0"/>
          <c:showPercent val="0"/>
          <c:showBubbleSize val="0"/>
        </c:dLbls>
        <c:gapWidth val="219"/>
        <c:overlap val="-27"/>
        <c:axId val="157781376"/>
        <c:axId val="157791360"/>
      </c:barChart>
      <c:catAx>
        <c:axId val="15778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91360"/>
        <c:crosses val="autoZero"/>
        <c:auto val="1"/>
        <c:lblAlgn val="ctr"/>
        <c:lblOffset val="100"/>
        <c:noMultiLvlLbl val="0"/>
      </c:catAx>
      <c:valAx>
        <c:axId val="15779136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813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Weighted</a:t>
            </a:r>
            <a:r>
              <a:rPr lang="en-NZ" baseline="0"/>
              <a:t> Approach : Example Two</a:t>
            </a:r>
            <a:endParaRPr lang="en-NZ"/>
          </a:p>
        </c:rich>
      </c:tx>
      <c:overlay val="0"/>
      <c:spPr>
        <a:noFill/>
        <a:ln>
          <a:noFill/>
        </a:ln>
        <a:effectLst/>
      </c:spPr>
    </c:title>
    <c:autoTitleDeleted val="0"/>
    <c:plotArea>
      <c:layout/>
      <c:barChart>
        <c:barDir val="col"/>
        <c:grouping val="clustered"/>
        <c:varyColors val="0"/>
        <c:ser>
          <c:idx val="0"/>
          <c:order val="0"/>
          <c:tx>
            <c:strRef>
              <c:f>'Weighted Approach'!$D$16</c:f>
              <c:strCache>
                <c:ptCount val="1"/>
                <c:pt idx="0">
                  <c:v>Maximum Score</c:v>
                </c:pt>
              </c:strCache>
            </c:strRef>
          </c:tx>
          <c:spPr>
            <a:solidFill>
              <a:schemeClr val="accent1"/>
            </a:solidFill>
            <a:ln>
              <a:noFill/>
            </a:ln>
            <a:effectLst/>
          </c:spPr>
          <c:invertIfNegative val="0"/>
          <c:cat>
            <c:strRef>
              <c:f>'Weighted Approach'!$C$17:$C$20</c:f>
              <c:strCache>
                <c:ptCount val="4"/>
                <c:pt idx="0">
                  <c:v>Asset Management</c:v>
                </c:pt>
                <c:pt idx="1">
                  <c:v>Information</c:v>
                </c:pt>
                <c:pt idx="2">
                  <c:v>Financial Management</c:v>
                </c:pt>
                <c:pt idx="3">
                  <c:v>Risk management</c:v>
                </c:pt>
              </c:strCache>
            </c:strRef>
          </c:cat>
          <c:val>
            <c:numRef>
              <c:f>'Weighted Approach'!$D$17:$D$20</c:f>
              <c:numCache>
                <c:formatCode>General</c:formatCode>
                <c:ptCount val="4"/>
                <c:pt idx="0">
                  <c:v>4</c:v>
                </c:pt>
                <c:pt idx="1">
                  <c:v>4</c:v>
                </c:pt>
                <c:pt idx="2">
                  <c:v>4</c:v>
                </c:pt>
                <c:pt idx="3">
                  <c:v>4</c:v>
                </c:pt>
              </c:numCache>
            </c:numRef>
          </c:val>
        </c:ser>
        <c:ser>
          <c:idx val="1"/>
          <c:order val="1"/>
          <c:tx>
            <c:strRef>
              <c:f>'Weighted Approach'!$E$16</c:f>
              <c:strCache>
                <c:ptCount val="1"/>
                <c:pt idx="0">
                  <c:v>Expectation Threshold</c:v>
                </c:pt>
              </c:strCache>
            </c:strRef>
          </c:tx>
          <c:spPr>
            <a:solidFill>
              <a:schemeClr val="accent2"/>
            </a:solidFill>
            <a:ln>
              <a:noFill/>
            </a:ln>
            <a:effectLst/>
          </c:spPr>
          <c:invertIfNegative val="0"/>
          <c:cat>
            <c:strRef>
              <c:f>'Weighted Approach'!$C$17:$C$20</c:f>
              <c:strCache>
                <c:ptCount val="4"/>
                <c:pt idx="0">
                  <c:v>Asset Management</c:v>
                </c:pt>
                <c:pt idx="1">
                  <c:v>Information</c:v>
                </c:pt>
                <c:pt idx="2">
                  <c:v>Financial Management</c:v>
                </c:pt>
                <c:pt idx="3">
                  <c:v>Risk management</c:v>
                </c:pt>
              </c:strCache>
            </c:strRef>
          </c:cat>
          <c:val>
            <c:numRef>
              <c:f>'Weighted Approach'!$E$17:$E$20</c:f>
              <c:numCache>
                <c:formatCode>General</c:formatCode>
                <c:ptCount val="4"/>
                <c:pt idx="0">
                  <c:v>3</c:v>
                </c:pt>
                <c:pt idx="1">
                  <c:v>2</c:v>
                </c:pt>
                <c:pt idx="2">
                  <c:v>3</c:v>
                </c:pt>
                <c:pt idx="3">
                  <c:v>3</c:v>
                </c:pt>
              </c:numCache>
            </c:numRef>
          </c:val>
        </c:ser>
        <c:ser>
          <c:idx val="2"/>
          <c:order val="2"/>
          <c:tx>
            <c:strRef>
              <c:f>'Weighted Approach'!$F$16</c:f>
              <c:strCache>
                <c:ptCount val="1"/>
                <c:pt idx="0">
                  <c:v>Applicant Score</c:v>
                </c:pt>
              </c:strCache>
            </c:strRef>
          </c:tx>
          <c:spPr>
            <a:solidFill>
              <a:schemeClr val="accent3"/>
            </a:solidFill>
            <a:ln>
              <a:noFill/>
            </a:ln>
            <a:effectLst/>
          </c:spPr>
          <c:invertIfNegative val="0"/>
          <c:cat>
            <c:strRef>
              <c:f>'Weighted Approach'!$C$17:$C$20</c:f>
              <c:strCache>
                <c:ptCount val="4"/>
                <c:pt idx="0">
                  <c:v>Asset Management</c:v>
                </c:pt>
                <c:pt idx="1">
                  <c:v>Information</c:v>
                </c:pt>
                <c:pt idx="2">
                  <c:v>Financial Management</c:v>
                </c:pt>
                <c:pt idx="3">
                  <c:v>Risk management</c:v>
                </c:pt>
              </c:strCache>
            </c:strRef>
          </c:cat>
          <c:val>
            <c:numRef>
              <c:f>'Weighted Approach'!$F$17:$F$20</c:f>
              <c:numCache>
                <c:formatCode>General</c:formatCode>
                <c:ptCount val="4"/>
                <c:pt idx="0">
                  <c:v>3</c:v>
                </c:pt>
                <c:pt idx="1">
                  <c:v>3</c:v>
                </c:pt>
                <c:pt idx="2">
                  <c:v>4</c:v>
                </c:pt>
                <c:pt idx="3">
                  <c:v>3</c:v>
                </c:pt>
              </c:numCache>
            </c:numRef>
          </c:val>
        </c:ser>
        <c:dLbls>
          <c:showLegendKey val="0"/>
          <c:showVal val="0"/>
          <c:showCatName val="0"/>
          <c:showSerName val="0"/>
          <c:showPercent val="0"/>
          <c:showBubbleSize val="0"/>
        </c:dLbls>
        <c:gapWidth val="219"/>
        <c:overlap val="-27"/>
        <c:axId val="192240256"/>
        <c:axId val="192242048"/>
      </c:barChart>
      <c:catAx>
        <c:axId val="192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42048"/>
        <c:crosses val="autoZero"/>
        <c:auto val="1"/>
        <c:lblAlgn val="ctr"/>
        <c:lblOffset val="100"/>
        <c:noMultiLvlLbl val="0"/>
      </c:catAx>
      <c:valAx>
        <c:axId val="192242048"/>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24025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perational Project Document DIA" ma:contentTypeID="0x0101005496552013C0BA46BE88192D5C6EB20B00EECD0B3F0C45DF45B673ABBB050EE9F20082DAE6D4A0696E4D8E205C6373B2C750" ma:contentTypeVersion="5" ma:contentTypeDescription="Use to denote the type of documents used within an operational project" ma:contentTypeScope="" ma:versionID="b1ce3317b114de9f6707e097440f7f9f">
  <xsd:schema xmlns:xsd="http://www.w3.org/2001/XMLSchema" xmlns:xs="http://www.w3.org/2001/XMLSchema" xmlns:p="http://schemas.microsoft.com/office/2006/metadata/properties" xmlns:ns1="http://schemas.microsoft.com/sharepoint/v3" xmlns:ns3="01be4277-2979-4a68-876d-b92b25fceece" xmlns:ns4="c648a002-e47e-48ed-a207-3b8ce1d893d3" xmlns:ns5="http://schemas.microsoft.com/sharepoint/v3/fields" xmlns:ns6="http://schemas.microsoft.com/sharepoint/v4" targetNamespace="http://schemas.microsoft.com/office/2006/metadata/properties" ma:root="true" ma:fieldsID="3100d632380844af0deb3c253e2fbc84" ns1:_="" ns3:_="" ns4:_="" ns5:_="" ns6:_="">
    <xsd:import namespace="http://schemas.microsoft.com/sharepoint/v3"/>
    <xsd:import namespace="01be4277-2979-4a68-876d-b92b25fceece"/>
    <xsd:import namespace="c648a002-e47e-48ed-a207-3b8ce1d893d3"/>
    <xsd:import namespace="http://schemas.microsoft.com/sharepoint/v3/fields"/>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3:C3ProjectDocumentTypeNote" minOccurs="0"/>
                <xsd:element ref="ns3:C3ProjectName" minOccurs="0"/>
                <xsd:element ref="ns5:_EndDate" minOccurs="0"/>
                <xsd:element ref="ns1:StartDate" minOccurs="0"/>
                <xsd:element ref="ns4:DIAProjectValue" minOccurs="0"/>
                <xsd:element ref="ns4:ea3c6b56d556460fbeed1cb795bcbdf8" minOccurs="0"/>
                <xsd:element ref="ns4:DIANotes" minOccurs="0"/>
                <xsd:element ref="ns4:mf8e3920e77a4be68f9898a4a9478a6b" minOccurs="0"/>
                <xsd:element ref="ns4:_dlc_DocId" minOccurs="0"/>
                <xsd:element ref="ns4:_dlc_DocIdUrl" minOccurs="0"/>
                <xsd:element ref="ns4:_dlc_DocIdPersistId"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8"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03be5d80-fa1f-4149-b91a-cf64b7d41564" ma:open="true" ma:isKeyword="false">
      <xsd:complexType>
        <xsd:sequence>
          <xsd:element ref="pc:Terms" minOccurs="0" maxOccurs="1"/>
        </xsd:sequence>
      </xsd:complexType>
    </xsd:element>
    <xsd:element name="C3ProjectDocumentTypeNote" ma:index="14" nillable="true" ma:taxonomy="true" ma:internalName="C3ProjectDocumentTypeNote" ma:taxonomyFieldName="C3ProjectDocumentType" ma:displayName="Project Document Type" ma:readOnly="false" ma:default="" ma:fieldId="{34fbba63-1669-4d38-beb4-245115adf0e7}" ma:sspId="caf61cd4-0327-4679-8f8a-6e41773e81e7" ma:termSetId="76381174-3429-402c-bd29-8d75bd7c13b3" ma:anchorId="00000000-0000-0000-0000-000000000000" ma:open="true" ma:isKeyword="false">
      <xsd:complexType>
        <xsd:sequence>
          <xsd:element ref="pc:Terms" minOccurs="0" maxOccurs="1"/>
        </xsd:sequence>
      </xsd:complexType>
    </xsd:element>
    <xsd:element name="C3ProjectName" ma:index="16" nillable="true" ma:displayName="Project Name" ma:internalName="C3Projec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DIAProjectValue" ma:index="19" nillable="true" ma:displayName="Project Value" ma:description="Proposed cost of the project" ma:internalName="DIAProjectValue">
      <xsd:simpleType>
        <xsd:restriction base="dms:Text"/>
      </xsd:simpleType>
    </xsd:element>
    <xsd:element name="ea3c6b56d556460fbeed1cb795bcbdf8" ma:index="20"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2" nillable="true" ma:displayName="Notes" ma:description="Additional information, can include URL link to another document" ma:internalName="DIANotes">
      <xsd:simpleType>
        <xsd:restriction base="dms:Note">
          <xsd:maxLength value="255"/>
        </xsd:restriction>
      </xsd:simpleType>
    </xsd:element>
    <xsd:element name="mf8e3920e77a4be68f9898a4a9478a6b" ma:index="23" nillable="true" ma:taxonomy="true" ma:internalName="mf8e3920e77a4be68f9898a4a9478a6b" ma:taxonomyFieldName="DIAGamblingOperationType" ma:displayName="Gambling Operation Type" ma:fieldId="{6f8e3920-e77a-4be6-8f98-98a4a9478a6b}" ma:sspId="caf61cd4-0327-4679-8f8a-6e41773e81e7" ma:termSetId="0a2c7960-063e-43c0-ac0a-3a4d84c304c6" ma:anchorId="00000000-0000-0000-0000-000000000000" ma:open="tru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7" nillable="true" ma:displayName="End Date" ma:default="[today]" ma:format="DateOnly"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AProjectValue xmlns="c648a002-e47e-48ed-a207-3b8ce1d893d3" xsi:nil="true"/>
    <C3ProjectName xmlns="01be4277-2979-4a68-876d-b92b25fceece" xsi:nil="true"/>
    <DIANotes xmlns="c648a002-e47e-48ed-a207-3b8ce1d893d3" xsi:nil="true"/>
    <_EndDate xmlns="http://schemas.microsoft.com/sharepoint/v3/fields">2016-09-15T12:00:00+00:00</_EndDate>
    <mf8e3920e77a4be68f9898a4a9478a6b xmlns="c648a002-e47e-48ed-a207-3b8ce1d893d3">
      <Terms xmlns="http://schemas.microsoft.com/office/infopath/2007/PartnerControls">
        <TermInfo xmlns="http://schemas.microsoft.com/office/infopath/2007/PartnerControls">
          <TermName xmlns="http://schemas.microsoft.com/office/infopath/2007/PartnerControls">Class 4</TermName>
          <TermId xmlns="http://schemas.microsoft.com/office/infopath/2007/PartnerControls">f6092bec-06b0-40af-a1cc-cd91d42a779f</TermId>
        </TermInfo>
      </Terms>
    </mf8e3920e77a4be68f9898a4a9478a6b>
    <StartDate xmlns="http://schemas.microsoft.com/sharepoint/v3">2016-09-15T12:00:00+00:00</StartDate>
    <_dlc_DocId xmlns="c648a002-e47e-48ed-a207-3b8ce1d893d3">YXQARP2T7VWH-21-400</_dlc_DocId>
    <TaxCatchAll xmlns="c648a002-e47e-48ed-a207-3b8ce1d893d3">
      <Value>595</Value>
      <Value>28</Value>
      <Value>2</Value>
      <Value>1</Value>
      <Value>126</Value>
    </TaxCatchAll>
    <_dlc_DocIdUrl xmlns="c648a002-e47e-48ed-a207-3b8ce1d893d3">
      <Url>https://dia.cohesion.net.nz/Sites/GMB/_layouts/15/DocIdRedir.aspx?ID=YXQARP2T7VWH-21-400</Url>
      <Description>YXQARP2T7VWH-21-400</Description>
    </_dlc_DocIdUrl>
    <C3ProjectDocumentTypeNote xmlns="01be4277-2979-4a68-876d-b92b25fceece">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c31979f0-07ed-465d-acd0-bc70a6c2e588</TermId>
        </TermInfo>
      </Terms>
    </C3ProjectDocumentTypeNote>
    <TaxKeywordTaxHTField xmlns="c648a002-e47e-48ed-a207-3b8ce1d893d3">
      <Terms xmlns="http://schemas.microsoft.com/office/infopath/2007/PartnerControls"/>
    </TaxKeywordTaxHTField>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C3TopicNote xmlns="01be4277-2979-4a68-876d-b92b25fceece">
      <Terms xmlns="http://schemas.microsoft.com/office/infopath/2007/PartnerControls">
        <TermInfo xmlns="http://schemas.microsoft.com/office/infopath/2007/PartnerControls">
          <TermName xmlns="http://schemas.microsoft.com/office/infopath/2007/PartnerControls">3 Year Licensing</TermName>
          <TermId xmlns="http://schemas.microsoft.com/office/infopath/2007/PartnerControls">cb4e714a-adc3-4bab-b513-8000f3527687</TermId>
        </TermInfo>
      </Terms>
    </C3TopicNot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B055-1562-4CBA-A0D4-B089D35AB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e4277-2979-4a68-876d-b92b25fceece"/>
    <ds:schemaRef ds:uri="c648a002-e47e-48ed-a207-3b8ce1d893d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91D4D-2B43-427B-B6DD-E7DE885BCEE6}">
  <ds:schemaRef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sharepoint/v4"/>
    <ds:schemaRef ds:uri="http://schemas.microsoft.com/office/2006/metadata/properties"/>
    <ds:schemaRef ds:uri="http://www.w3.org/XML/1998/namespace"/>
    <ds:schemaRef ds:uri="http://purl.org/dc/dcmitype/"/>
    <ds:schemaRef ds:uri="http://schemas.microsoft.com/sharepoint/v3/fields"/>
    <ds:schemaRef ds:uri="c648a002-e47e-48ed-a207-3b8ce1d893d3"/>
    <ds:schemaRef ds:uri="01be4277-2979-4a68-876d-b92b25fceece"/>
  </ds:schemaRefs>
</ds:datastoreItem>
</file>

<file path=customXml/itemProps3.xml><?xml version="1.0" encoding="utf-8"?>
<ds:datastoreItem xmlns:ds="http://schemas.openxmlformats.org/officeDocument/2006/customXml" ds:itemID="{DD4DF32B-D9DA-4FF7-81A5-26DDCD9629F2}">
  <ds:schemaRefs>
    <ds:schemaRef ds:uri="http://schemas.microsoft.com/sharepoint/v3/contenttype/forms"/>
  </ds:schemaRefs>
</ds:datastoreItem>
</file>

<file path=customXml/itemProps4.xml><?xml version="1.0" encoding="utf-8"?>
<ds:datastoreItem xmlns:ds="http://schemas.openxmlformats.org/officeDocument/2006/customXml" ds:itemID="{48F293BE-1209-456A-B02B-D574C2955E4C}">
  <ds:schemaRefs>
    <ds:schemaRef ds:uri="http://schemas.microsoft.com/sharepoint/events"/>
  </ds:schemaRefs>
</ds:datastoreItem>
</file>

<file path=customXml/itemProps5.xml><?xml version="1.0" encoding="utf-8"?>
<ds:datastoreItem xmlns:ds="http://schemas.openxmlformats.org/officeDocument/2006/customXml" ds:itemID="{1FBDD1CF-752C-4B33-810E-0AF4F3C4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 Project.dotx</Template>
  <TotalTime>1</TotalTime>
  <Pages>51</Pages>
  <Words>12240</Words>
  <Characters>69771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81848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Montgomery</dc:creator>
  <cp:lastModifiedBy>Sharlene Hogan</cp:lastModifiedBy>
  <cp:revision>2</cp:revision>
  <cp:lastPrinted>2017-04-06T21:13:00Z</cp:lastPrinted>
  <dcterms:created xsi:type="dcterms:W3CDTF">2017-04-06T21:14:00Z</dcterms:created>
  <dcterms:modified xsi:type="dcterms:W3CDTF">2017-04-06T21:14:00Z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3ProjectDocumentType">
    <vt:lpwstr>595;#Consultation|c31979f0-07ed-465d-acd0-bc70a6c2e588</vt:lpwstr>
  </property>
  <property fmtid="{D5CDD505-2E9C-101B-9397-08002B2CF9AE}" pid="4" name="ContentTypeId">
    <vt:lpwstr>0x0101005496552013C0BA46BE88192D5C6EB20B00EECD0B3F0C45DF45B673ABBB050EE9F20082DAE6D4A0696E4D8E205C6373B2C750</vt:lpwstr>
  </property>
  <property fmtid="{D5CDD505-2E9C-101B-9397-08002B2CF9AE}" pid="5" name="DIAGamblingOperationType">
    <vt:lpwstr>28;#Class 4|f6092bec-06b0-40af-a1cc-cd91d42a779f</vt:lpwstr>
  </property>
  <property fmtid="{D5CDD505-2E9C-101B-9397-08002B2CF9AE}" pid="6" name="d4d88d9c404441259a20c2016d5c4fc4">
    <vt:lpwstr>Correspondence|dcd6b05f-dc80-4336-b228-09aebf3d212c</vt:lpwstr>
  </property>
  <property fmtid="{D5CDD505-2E9C-101B-9397-08002B2CF9AE}" pid="7" name="C3Topic">
    <vt:lpwstr>126;#3 Year Licensing|cb4e714a-adc3-4bab-b513-8000f3527687</vt:lpwstr>
  </property>
  <property fmtid="{D5CDD505-2E9C-101B-9397-08002B2CF9AE}" pid="8" name="_dlc_DocIdItemGuid">
    <vt:lpwstr>2c2b16a4-5d7b-4e24-969a-811abdacc495</vt:lpwstr>
  </property>
  <property fmtid="{D5CDD505-2E9C-101B-9397-08002B2CF9AE}" pid="9" name="DIASecurityClassification">
    <vt:lpwstr>2;#UNCLASSIFIED|875d92a8-67e2-4a32-9472-8fe99549e1eb</vt:lpwstr>
  </property>
  <property fmtid="{D5CDD505-2E9C-101B-9397-08002B2CF9AE}" pid="10" name="DIAEmailContentType">
    <vt:lpwstr>1;#Correspondence|dcd6b05f-dc80-4336-b228-09aebf3d212c</vt:lpwstr>
  </property>
</Properties>
</file>