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AAF864" w14:textId="6B0224D9" w:rsidR="00835D44" w:rsidRPr="00835D44" w:rsidRDefault="00835D44" w:rsidP="00852075">
      <w:pPr>
        <w:ind w:left="720" w:right="431"/>
        <w:rPr>
          <w:rFonts w:ascii="Source Sans Pro" w:hAnsi="Source Sans Pro"/>
          <w:noProof/>
        </w:rPr>
      </w:pPr>
      <w:r w:rsidRPr="00835D44">
        <w:rPr>
          <w:rFonts w:ascii="Source Sans Pro" w:hAnsi="Source Sans Pro"/>
          <w:noProof/>
        </w:rPr>
        <w:drawing>
          <wp:anchor distT="0" distB="0" distL="114300" distR="114300" simplePos="0" relativeHeight="251658265" behindDoc="1" locked="0" layoutInCell="1" allowOverlap="1" wp14:anchorId="4C4C9B35" wp14:editId="51555121">
            <wp:simplePos x="0" y="0"/>
            <wp:positionH relativeFrom="column">
              <wp:posOffset>-932235</wp:posOffset>
            </wp:positionH>
            <wp:positionV relativeFrom="page">
              <wp:posOffset>0</wp:posOffset>
            </wp:positionV>
            <wp:extent cx="7609188" cy="10762643"/>
            <wp:effectExtent l="0" t="0" r="0" b="635"/>
            <wp:wrapNone/>
            <wp:docPr id="1595947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4771"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7609188" cy="10762643"/>
                    </a:xfrm>
                    <a:prstGeom prst="rect">
                      <a:avLst/>
                    </a:prstGeom>
                  </pic:spPr>
                </pic:pic>
              </a:graphicData>
            </a:graphic>
            <wp14:sizeRelH relativeFrom="margin">
              <wp14:pctWidth>0</wp14:pctWidth>
            </wp14:sizeRelH>
            <wp14:sizeRelV relativeFrom="margin">
              <wp14:pctHeight>0</wp14:pctHeight>
            </wp14:sizeRelV>
          </wp:anchor>
        </w:drawing>
      </w:r>
    </w:p>
    <w:p w14:paraId="21F36BA6" w14:textId="4BD3DD01" w:rsidR="00AE478C" w:rsidRPr="00835D44" w:rsidRDefault="00AE478C" w:rsidP="00852075">
      <w:pPr>
        <w:ind w:left="720" w:right="431"/>
        <w:rPr>
          <w:rFonts w:ascii="Source Sans Pro" w:hAnsi="Source Sans Pro"/>
        </w:rPr>
      </w:pPr>
    </w:p>
    <w:p w14:paraId="31CB1306" w14:textId="77777777" w:rsidR="00835D44" w:rsidRPr="00835D44" w:rsidRDefault="00835D44" w:rsidP="00852075">
      <w:pPr>
        <w:ind w:left="720" w:right="431"/>
        <w:rPr>
          <w:rFonts w:ascii="Source Sans Pro" w:hAnsi="Source Sans Pro"/>
        </w:rPr>
      </w:pPr>
    </w:p>
    <w:p w14:paraId="4E28D8FB" w14:textId="77777777" w:rsidR="00835D44" w:rsidRPr="00835D44" w:rsidRDefault="00835D44" w:rsidP="00852075">
      <w:pPr>
        <w:ind w:left="720" w:right="431"/>
        <w:rPr>
          <w:rFonts w:ascii="Source Sans Pro" w:hAnsi="Source Sans Pro"/>
        </w:rPr>
      </w:pPr>
    </w:p>
    <w:p w14:paraId="26155C2F" w14:textId="77777777" w:rsidR="00835D44" w:rsidRPr="00835D44" w:rsidRDefault="00835D44" w:rsidP="00852075">
      <w:pPr>
        <w:ind w:left="720" w:right="431"/>
        <w:rPr>
          <w:rFonts w:ascii="Source Sans Pro" w:hAnsi="Source Sans Pro"/>
        </w:rPr>
      </w:pPr>
    </w:p>
    <w:p w14:paraId="31669B8C" w14:textId="77777777" w:rsidR="00835D44" w:rsidRPr="00835D44" w:rsidRDefault="00835D44" w:rsidP="00852075">
      <w:pPr>
        <w:ind w:left="720" w:right="431"/>
        <w:rPr>
          <w:rFonts w:ascii="Source Sans Pro" w:hAnsi="Source Sans Pro"/>
        </w:rPr>
      </w:pPr>
    </w:p>
    <w:p w14:paraId="2A86A019" w14:textId="77777777" w:rsidR="00835D44" w:rsidRPr="00835D44" w:rsidRDefault="00835D44" w:rsidP="00852075">
      <w:pPr>
        <w:ind w:left="720" w:right="431"/>
        <w:rPr>
          <w:rFonts w:ascii="Source Sans Pro" w:hAnsi="Source Sans Pro"/>
        </w:rPr>
      </w:pPr>
    </w:p>
    <w:p w14:paraId="0C8A1F35" w14:textId="77777777" w:rsidR="00835D44" w:rsidRPr="00835D44" w:rsidRDefault="00835D44" w:rsidP="00852075">
      <w:pPr>
        <w:ind w:left="720" w:right="431"/>
        <w:rPr>
          <w:rFonts w:ascii="Source Sans Pro" w:hAnsi="Source Sans Pro"/>
        </w:rPr>
      </w:pPr>
    </w:p>
    <w:p w14:paraId="72EB92E6" w14:textId="77777777" w:rsidR="00835D44" w:rsidRPr="00835D44" w:rsidRDefault="00835D44" w:rsidP="00852075">
      <w:pPr>
        <w:ind w:left="720" w:right="431"/>
        <w:rPr>
          <w:rFonts w:ascii="Source Sans Pro" w:hAnsi="Source Sans Pro"/>
        </w:rPr>
      </w:pPr>
    </w:p>
    <w:p w14:paraId="181460C8" w14:textId="77777777" w:rsidR="00835D44" w:rsidRPr="00835D44" w:rsidRDefault="00835D44" w:rsidP="00852075">
      <w:pPr>
        <w:ind w:left="720" w:right="431"/>
        <w:rPr>
          <w:rFonts w:ascii="Source Sans Pro" w:hAnsi="Source Sans Pro"/>
        </w:rPr>
      </w:pPr>
    </w:p>
    <w:p w14:paraId="642A4CCE" w14:textId="77777777" w:rsidR="00835D44" w:rsidRPr="00835D44" w:rsidRDefault="00835D44" w:rsidP="00852075">
      <w:pPr>
        <w:ind w:left="720" w:right="431"/>
        <w:rPr>
          <w:rFonts w:ascii="Source Sans Pro" w:hAnsi="Source Sans Pro"/>
        </w:rPr>
      </w:pPr>
    </w:p>
    <w:p w14:paraId="0AE69FCF" w14:textId="77777777" w:rsidR="00835D44" w:rsidRPr="00835D44" w:rsidRDefault="00835D44" w:rsidP="00852075">
      <w:pPr>
        <w:ind w:left="720" w:right="431"/>
        <w:rPr>
          <w:rFonts w:ascii="Source Sans Pro" w:hAnsi="Source Sans Pro"/>
        </w:rPr>
      </w:pPr>
    </w:p>
    <w:p w14:paraId="69449F3C" w14:textId="77777777" w:rsidR="00835D44" w:rsidRPr="00835D44" w:rsidRDefault="00835D44" w:rsidP="00852075">
      <w:pPr>
        <w:ind w:left="720" w:right="431"/>
        <w:rPr>
          <w:rFonts w:ascii="Source Sans Pro" w:hAnsi="Source Sans Pro"/>
        </w:rPr>
      </w:pPr>
    </w:p>
    <w:p w14:paraId="254FE234" w14:textId="77777777" w:rsidR="00835D44" w:rsidRPr="00835D44" w:rsidRDefault="00835D44" w:rsidP="00852075">
      <w:pPr>
        <w:ind w:left="720" w:right="431"/>
        <w:rPr>
          <w:rFonts w:ascii="Source Sans Pro" w:hAnsi="Source Sans Pro"/>
        </w:rPr>
      </w:pPr>
    </w:p>
    <w:p w14:paraId="6106B1FB" w14:textId="77777777" w:rsidR="00835D44" w:rsidRPr="00835D44" w:rsidRDefault="00835D44" w:rsidP="00852075">
      <w:pPr>
        <w:ind w:left="720" w:right="431"/>
        <w:rPr>
          <w:rFonts w:ascii="Source Sans Pro" w:hAnsi="Source Sans Pro"/>
        </w:rPr>
      </w:pPr>
    </w:p>
    <w:p w14:paraId="2AD22B22" w14:textId="77777777" w:rsidR="00835D44" w:rsidRPr="00835D44" w:rsidRDefault="00835D44" w:rsidP="00852075">
      <w:pPr>
        <w:ind w:left="720" w:right="431"/>
        <w:rPr>
          <w:rFonts w:ascii="Source Sans Pro" w:hAnsi="Source Sans Pro"/>
        </w:rPr>
      </w:pPr>
    </w:p>
    <w:p w14:paraId="77310304" w14:textId="77777777" w:rsidR="00835D44" w:rsidRPr="00835D44" w:rsidRDefault="00835D44" w:rsidP="00852075">
      <w:pPr>
        <w:ind w:left="720" w:right="431"/>
        <w:rPr>
          <w:rFonts w:ascii="Source Sans Pro" w:hAnsi="Source Sans Pro"/>
        </w:rPr>
      </w:pPr>
    </w:p>
    <w:p w14:paraId="7217F5E3" w14:textId="77777777" w:rsidR="00835D44" w:rsidRPr="00835D44" w:rsidRDefault="00835D44" w:rsidP="00852075">
      <w:pPr>
        <w:ind w:left="720" w:right="431"/>
        <w:rPr>
          <w:rFonts w:ascii="Source Sans Pro" w:hAnsi="Source Sans Pro"/>
        </w:rPr>
      </w:pPr>
    </w:p>
    <w:p w14:paraId="02DA0199" w14:textId="77777777" w:rsidR="00835D44" w:rsidRPr="00835D44" w:rsidRDefault="00835D44" w:rsidP="00852075">
      <w:pPr>
        <w:ind w:left="720" w:right="431"/>
        <w:rPr>
          <w:rFonts w:ascii="Source Sans Pro" w:hAnsi="Source Sans Pro"/>
        </w:rPr>
      </w:pPr>
    </w:p>
    <w:p w14:paraId="2EB783AB" w14:textId="77777777" w:rsidR="00835D44" w:rsidRPr="00835D44" w:rsidRDefault="00835D44" w:rsidP="00852075">
      <w:pPr>
        <w:ind w:left="720" w:right="431"/>
        <w:rPr>
          <w:rFonts w:ascii="Source Sans Pro" w:hAnsi="Source Sans Pro"/>
        </w:rPr>
      </w:pPr>
    </w:p>
    <w:p w14:paraId="14F9C504" w14:textId="77777777" w:rsidR="00835D44" w:rsidRPr="00835D44" w:rsidRDefault="00835D44" w:rsidP="00852075">
      <w:pPr>
        <w:ind w:left="720" w:right="431"/>
        <w:rPr>
          <w:rFonts w:ascii="Source Sans Pro" w:hAnsi="Source Sans Pro"/>
        </w:rPr>
      </w:pPr>
    </w:p>
    <w:p w14:paraId="4596FA11" w14:textId="77777777" w:rsidR="00835D44" w:rsidRPr="00835D44" w:rsidRDefault="00835D44" w:rsidP="00852075">
      <w:pPr>
        <w:ind w:left="720" w:right="431"/>
        <w:rPr>
          <w:rFonts w:ascii="Source Sans Pro" w:hAnsi="Source Sans Pro"/>
        </w:rPr>
      </w:pPr>
    </w:p>
    <w:p w14:paraId="5A24D4C5" w14:textId="77777777" w:rsidR="00835D44" w:rsidRPr="00835D44" w:rsidRDefault="00835D44" w:rsidP="00852075">
      <w:pPr>
        <w:ind w:left="720" w:right="431"/>
        <w:rPr>
          <w:rFonts w:ascii="Source Sans Pro" w:hAnsi="Source Sans Pro"/>
        </w:rPr>
      </w:pPr>
    </w:p>
    <w:p w14:paraId="67683A2F" w14:textId="77777777" w:rsidR="00835D44" w:rsidRPr="00835D44" w:rsidRDefault="00835D44" w:rsidP="00852075">
      <w:pPr>
        <w:ind w:left="720" w:right="431"/>
        <w:rPr>
          <w:rFonts w:ascii="Source Sans Pro" w:hAnsi="Source Sans Pro"/>
        </w:rPr>
      </w:pPr>
    </w:p>
    <w:p w14:paraId="5175C352" w14:textId="77777777" w:rsidR="00835D44" w:rsidRPr="00835D44" w:rsidRDefault="00835D44" w:rsidP="00852075">
      <w:pPr>
        <w:ind w:left="720" w:right="431"/>
        <w:rPr>
          <w:rFonts w:ascii="Source Sans Pro" w:hAnsi="Source Sans Pro"/>
        </w:rPr>
      </w:pPr>
    </w:p>
    <w:p w14:paraId="155DFC34" w14:textId="77777777" w:rsidR="00835D44" w:rsidRPr="00835D44" w:rsidRDefault="00835D44" w:rsidP="00852075">
      <w:pPr>
        <w:ind w:left="720" w:right="431"/>
        <w:rPr>
          <w:rFonts w:ascii="Source Sans Pro" w:hAnsi="Source Sans Pro"/>
        </w:rPr>
      </w:pPr>
    </w:p>
    <w:p w14:paraId="3D86EC04" w14:textId="77777777" w:rsidR="00835D44" w:rsidRPr="00835D44" w:rsidRDefault="00835D44" w:rsidP="00852075">
      <w:pPr>
        <w:ind w:right="431" w:firstLine="360"/>
        <w:rPr>
          <w:rFonts w:ascii="Source Sans Pro" w:hAnsi="Source Sans Pro"/>
          <w:b/>
          <w:bCs/>
          <w:color w:val="00465D"/>
          <w:sz w:val="28"/>
          <w:szCs w:val="28"/>
        </w:rPr>
      </w:pPr>
      <w:r w:rsidRPr="00835D44">
        <w:rPr>
          <w:rFonts w:ascii="Source Sans Pro" w:hAnsi="Source Sans Pro"/>
          <w:b/>
          <w:bCs/>
          <w:color w:val="00465D"/>
          <w:sz w:val="28"/>
          <w:szCs w:val="28"/>
        </w:rPr>
        <w:lastRenderedPageBreak/>
        <w:t>Introduction </w:t>
      </w:r>
    </w:p>
    <w:p w14:paraId="7C193AAE" w14:textId="2D557171" w:rsidR="00835D44" w:rsidRPr="00835D44" w:rsidRDefault="00835D44" w:rsidP="00512263">
      <w:pPr>
        <w:numPr>
          <w:ilvl w:val="0"/>
          <w:numId w:val="22"/>
        </w:numPr>
        <w:ind w:right="431"/>
        <w:rPr>
          <w:rFonts w:ascii="Source Sans Pro" w:hAnsi="Source Sans Pro"/>
        </w:rPr>
      </w:pPr>
      <w:r w:rsidRPr="00835D44">
        <w:rPr>
          <w:rFonts w:ascii="Source Sans Pro" w:hAnsi="Source Sans Pro"/>
        </w:rPr>
        <w:t xml:space="preserve">This guidance has been produced by the Department of Internal Affairs (the </w:t>
      </w:r>
      <w:r w:rsidRPr="00835D44">
        <w:rPr>
          <w:rFonts w:ascii="Source Sans Pro" w:hAnsi="Source Sans Pro"/>
          <w:b/>
          <w:bCs/>
        </w:rPr>
        <w:t>Department</w:t>
      </w:r>
      <w:r w:rsidRPr="00835D44">
        <w:rPr>
          <w:rFonts w:ascii="Source Sans Pro" w:hAnsi="Source Sans Pro"/>
        </w:rPr>
        <w:t xml:space="preserve">) and the New Zealand Financial Intelligence Unit </w:t>
      </w:r>
      <w:r w:rsidRPr="00F90B58">
        <w:rPr>
          <w:rFonts w:ascii="Source Sans Pro" w:hAnsi="Source Sans Pro"/>
        </w:rPr>
        <w:t>(</w:t>
      </w:r>
      <w:r w:rsidRPr="00835D44">
        <w:rPr>
          <w:rFonts w:ascii="Source Sans Pro" w:hAnsi="Source Sans Pro"/>
          <w:b/>
          <w:bCs/>
        </w:rPr>
        <w:t>FIU</w:t>
      </w:r>
      <w:r w:rsidRPr="00F90B58">
        <w:rPr>
          <w:rFonts w:ascii="Source Sans Pro" w:hAnsi="Source Sans Pro"/>
        </w:rPr>
        <w:t>)</w:t>
      </w:r>
      <w:r w:rsidRPr="00835D44">
        <w:rPr>
          <w:rFonts w:ascii="Source Sans Pro" w:hAnsi="Source Sans Pro"/>
        </w:rPr>
        <w:t xml:space="preserve"> to support high-value dealers and persons in trade in high-value goods to which the cash transaction prohibition applies, to comply with their requirements under the Anti-Money Laundering and Countering Financing of Terrorism </w:t>
      </w:r>
      <w:r w:rsidRPr="00F90B58">
        <w:rPr>
          <w:rFonts w:ascii="Source Sans Pro" w:hAnsi="Source Sans Pro"/>
        </w:rPr>
        <w:t>(</w:t>
      </w:r>
      <w:r w:rsidRPr="00835D44">
        <w:rPr>
          <w:rFonts w:ascii="Source Sans Pro" w:hAnsi="Source Sans Pro"/>
          <w:b/>
          <w:bCs/>
        </w:rPr>
        <w:t>AML/CFT</w:t>
      </w:r>
      <w:r w:rsidRPr="00F90B58">
        <w:rPr>
          <w:rFonts w:ascii="Source Sans Pro" w:hAnsi="Source Sans Pro"/>
        </w:rPr>
        <w:t>)</w:t>
      </w:r>
      <w:r w:rsidRPr="00835D44">
        <w:rPr>
          <w:rFonts w:ascii="Source Sans Pro" w:hAnsi="Source Sans Pro"/>
        </w:rPr>
        <w:t xml:space="preserve"> Act 2009 </w:t>
      </w:r>
      <w:r w:rsidRPr="00802471">
        <w:rPr>
          <w:rFonts w:ascii="Source Sans Pro" w:hAnsi="Source Sans Pro"/>
        </w:rPr>
        <w:t>(</w:t>
      </w:r>
      <w:r w:rsidRPr="00835D44">
        <w:rPr>
          <w:rFonts w:ascii="Source Sans Pro" w:hAnsi="Source Sans Pro"/>
        </w:rPr>
        <w:t xml:space="preserve">the </w:t>
      </w:r>
      <w:r w:rsidRPr="00835D44">
        <w:rPr>
          <w:rFonts w:ascii="Source Sans Pro" w:hAnsi="Source Sans Pro"/>
          <w:b/>
          <w:bCs/>
        </w:rPr>
        <w:t>Act</w:t>
      </w:r>
      <w:r w:rsidRPr="00802471">
        <w:rPr>
          <w:rFonts w:ascii="Source Sans Pro" w:hAnsi="Source Sans Pro"/>
        </w:rPr>
        <w:t>)</w:t>
      </w:r>
      <w:r w:rsidRPr="00835D44">
        <w:rPr>
          <w:rFonts w:ascii="Source Sans Pro" w:hAnsi="Source Sans Pro"/>
        </w:rPr>
        <w:t>.</w:t>
      </w:r>
      <w:r w:rsidR="00A3394C">
        <w:rPr>
          <w:rStyle w:val="FootnoteReference"/>
        </w:rPr>
        <w:footnoteReference w:id="1"/>
      </w:r>
      <w:r w:rsidRPr="00835D44">
        <w:rPr>
          <w:rFonts w:ascii="Source Sans Pro" w:hAnsi="Source Sans Pro"/>
        </w:rPr>
        <w:t>  </w:t>
      </w:r>
    </w:p>
    <w:p w14:paraId="6EED0E42" w14:textId="77777777" w:rsidR="00835D44" w:rsidRPr="00835D44" w:rsidRDefault="00835D44" w:rsidP="00512263">
      <w:pPr>
        <w:numPr>
          <w:ilvl w:val="0"/>
          <w:numId w:val="23"/>
        </w:numPr>
        <w:ind w:right="431"/>
        <w:rPr>
          <w:rFonts w:ascii="Source Sans Pro" w:hAnsi="Source Sans Pro"/>
        </w:rPr>
      </w:pPr>
      <w:r w:rsidRPr="00835D44">
        <w:rPr>
          <w:rFonts w:ascii="Source Sans Pro" w:hAnsi="Source Sans Pro"/>
        </w:rPr>
        <w:t>While this guidance has been produced to assist high-value dealers and persons in trade in high-value goods to which the cash transaction prohibition applies, you should ensure you understand your obligations under the Act. This guidance does not constitute legal advice. </w:t>
      </w:r>
    </w:p>
    <w:p w14:paraId="1748ED4B" w14:textId="77777777" w:rsidR="00835D44" w:rsidRPr="00835D44" w:rsidRDefault="00835D44" w:rsidP="00852075">
      <w:pPr>
        <w:ind w:right="431" w:firstLine="360"/>
        <w:rPr>
          <w:rFonts w:ascii="Source Sans Pro" w:hAnsi="Source Sans Pro"/>
          <w:b/>
          <w:bCs/>
          <w:color w:val="00465D"/>
          <w:sz w:val="28"/>
          <w:szCs w:val="28"/>
        </w:rPr>
      </w:pPr>
      <w:r w:rsidRPr="00835D44">
        <w:rPr>
          <w:rFonts w:ascii="Source Sans Pro" w:hAnsi="Source Sans Pro"/>
          <w:b/>
          <w:bCs/>
          <w:color w:val="00465D"/>
          <w:sz w:val="28"/>
          <w:szCs w:val="28"/>
        </w:rPr>
        <w:t>Prohibited cash transactions for specified goods </w:t>
      </w:r>
    </w:p>
    <w:p w14:paraId="63C41EB3" w14:textId="308D27B8" w:rsidR="00835D44" w:rsidRPr="00835D44" w:rsidRDefault="00835D44" w:rsidP="00512263">
      <w:pPr>
        <w:numPr>
          <w:ilvl w:val="0"/>
          <w:numId w:val="24"/>
        </w:numPr>
        <w:ind w:right="431"/>
        <w:rPr>
          <w:rFonts w:ascii="Source Sans Pro" w:hAnsi="Source Sans Pro"/>
        </w:rPr>
      </w:pPr>
      <w:r w:rsidRPr="00835D44">
        <w:rPr>
          <w:rFonts w:ascii="Source Sans Pro" w:hAnsi="Source Sans Pro"/>
        </w:rPr>
        <w:t xml:space="preserve">Section 67A of the Act prohibits any person who is in trade from buying or selling certain specified goods, by way of a cash transaction or a series of related cash transactions, if the total value of that transaction or those transactions is equal to or above the </w:t>
      </w:r>
      <w:r w:rsidR="002864E3">
        <w:rPr>
          <w:rFonts w:ascii="Source Sans Pro" w:hAnsi="Source Sans Pro"/>
        </w:rPr>
        <w:t>NZD</w:t>
      </w:r>
      <w:r w:rsidRPr="00835D44">
        <w:rPr>
          <w:rFonts w:ascii="Source Sans Pro" w:hAnsi="Source Sans Pro"/>
        </w:rPr>
        <w:t>$10,000 threshold.</w:t>
      </w:r>
      <w:r w:rsidR="00470795">
        <w:rPr>
          <w:rStyle w:val="FootnoteReference"/>
        </w:rPr>
        <w:footnoteReference w:id="2"/>
      </w:r>
      <w:r w:rsidRPr="00835D44">
        <w:rPr>
          <w:rFonts w:ascii="Source Sans Pro" w:hAnsi="Source Sans Pro"/>
        </w:rPr>
        <w:t> </w:t>
      </w:r>
    </w:p>
    <w:p w14:paraId="6F6C6C8D" w14:textId="77777777" w:rsidR="00256B71" w:rsidRDefault="00835D44" w:rsidP="00512263">
      <w:pPr>
        <w:numPr>
          <w:ilvl w:val="0"/>
          <w:numId w:val="25"/>
        </w:numPr>
        <w:ind w:right="431"/>
        <w:rPr>
          <w:rFonts w:ascii="Source Sans Pro" w:hAnsi="Source Sans Pro"/>
        </w:rPr>
      </w:pPr>
      <w:r w:rsidRPr="00835D44">
        <w:rPr>
          <w:rFonts w:ascii="Source Sans Pro" w:hAnsi="Source Sans Pro"/>
        </w:rPr>
        <w:t>The specified high-value goods are:  </w:t>
      </w:r>
    </w:p>
    <w:p w14:paraId="2B292624" w14:textId="77777777" w:rsidR="00256B71" w:rsidRDefault="00835D44" w:rsidP="00512263">
      <w:pPr>
        <w:numPr>
          <w:ilvl w:val="1"/>
          <w:numId w:val="53"/>
        </w:numPr>
        <w:spacing w:before="0" w:after="0"/>
        <w:ind w:right="431"/>
        <w:rPr>
          <w:rFonts w:ascii="Source Sans Pro" w:hAnsi="Source Sans Pro"/>
        </w:rPr>
      </w:pPr>
      <w:r w:rsidRPr="00835D44">
        <w:rPr>
          <w:rFonts w:ascii="Source Sans Pro" w:hAnsi="Source Sans Pro"/>
        </w:rPr>
        <w:t>jewellery, </w:t>
      </w:r>
    </w:p>
    <w:p w14:paraId="062B5338" w14:textId="77777777" w:rsidR="00256B71" w:rsidRDefault="00835D44" w:rsidP="00512263">
      <w:pPr>
        <w:numPr>
          <w:ilvl w:val="1"/>
          <w:numId w:val="53"/>
        </w:numPr>
        <w:spacing w:before="0" w:after="0"/>
        <w:ind w:right="431"/>
        <w:rPr>
          <w:rFonts w:ascii="Source Sans Pro" w:hAnsi="Source Sans Pro"/>
        </w:rPr>
      </w:pPr>
      <w:r w:rsidRPr="00835D44">
        <w:rPr>
          <w:rFonts w:ascii="Source Sans Pro" w:hAnsi="Source Sans Pro"/>
        </w:rPr>
        <w:t>watches, </w:t>
      </w:r>
    </w:p>
    <w:p w14:paraId="60928517" w14:textId="77777777" w:rsidR="00256B71" w:rsidRDefault="00835D44" w:rsidP="00512263">
      <w:pPr>
        <w:numPr>
          <w:ilvl w:val="1"/>
          <w:numId w:val="53"/>
        </w:numPr>
        <w:spacing w:before="0" w:after="0"/>
        <w:ind w:right="431"/>
        <w:rPr>
          <w:rFonts w:ascii="Source Sans Pro" w:hAnsi="Source Sans Pro"/>
        </w:rPr>
      </w:pPr>
      <w:r w:rsidRPr="00835D44">
        <w:rPr>
          <w:rFonts w:ascii="Source Sans Pro" w:hAnsi="Source Sans Pro"/>
        </w:rPr>
        <w:t>gold, silver, or other precious metals, </w:t>
      </w:r>
    </w:p>
    <w:p w14:paraId="367D50A8" w14:textId="77777777" w:rsidR="00256B71" w:rsidRDefault="00835D44" w:rsidP="00512263">
      <w:pPr>
        <w:numPr>
          <w:ilvl w:val="1"/>
          <w:numId w:val="53"/>
        </w:numPr>
        <w:spacing w:before="0" w:after="0"/>
        <w:ind w:right="431"/>
        <w:rPr>
          <w:rFonts w:ascii="Source Sans Pro" w:hAnsi="Source Sans Pro"/>
        </w:rPr>
      </w:pPr>
      <w:r w:rsidRPr="00835D44">
        <w:rPr>
          <w:rFonts w:ascii="Source Sans Pro" w:hAnsi="Source Sans Pro"/>
        </w:rPr>
        <w:t>diamonds, sapphires, or other precious stones, </w:t>
      </w:r>
    </w:p>
    <w:p w14:paraId="776C0721" w14:textId="2EE6F582" w:rsidR="00256B71" w:rsidRDefault="00835D44" w:rsidP="00512263">
      <w:pPr>
        <w:numPr>
          <w:ilvl w:val="1"/>
          <w:numId w:val="53"/>
        </w:numPr>
        <w:spacing w:before="0" w:after="0"/>
        <w:ind w:right="431"/>
        <w:rPr>
          <w:rFonts w:ascii="Source Sans Pro" w:hAnsi="Source Sans Pro"/>
        </w:rPr>
      </w:pPr>
      <w:r w:rsidRPr="00835D44">
        <w:rPr>
          <w:rFonts w:ascii="Source Sans Pro" w:hAnsi="Source Sans Pro"/>
        </w:rPr>
        <w:t>motor vehicles</w:t>
      </w:r>
      <w:r w:rsidR="00596836">
        <w:rPr>
          <w:rFonts w:ascii="Source Sans Pro" w:hAnsi="Source Sans Pro"/>
        </w:rPr>
        <w:t>,</w:t>
      </w:r>
      <w:r w:rsidR="00470795">
        <w:rPr>
          <w:rStyle w:val="FootnoteReference"/>
        </w:rPr>
        <w:footnoteReference w:id="3"/>
      </w:r>
      <w:r w:rsidRPr="00835D44">
        <w:rPr>
          <w:rFonts w:ascii="Source Sans Pro" w:hAnsi="Source Sans Pro"/>
        </w:rPr>
        <w:t xml:space="preserve"> and </w:t>
      </w:r>
    </w:p>
    <w:p w14:paraId="4ADB9412" w14:textId="7991F85D" w:rsidR="00835D44" w:rsidRPr="00835D44" w:rsidRDefault="00835D44" w:rsidP="00512263">
      <w:pPr>
        <w:numPr>
          <w:ilvl w:val="1"/>
          <w:numId w:val="53"/>
        </w:numPr>
        <w:spacing w:before="0" w:after="0"/>
        <w:ind w:right="431"/>
        <w:rPr>
          <w:rFonts w:ascii="Source Sans Pro" w:hAnsi="Source Sans Pro"/>
        </w:rPr>
      </w:pPr>
      <w:r w:rsidRPr="00835D44">
        <w:rPr>
          <w:rFonts w:ascii="Source Sans Pro" w:hAnsi="Source Sans Pro"/>
        </w:rPr>
        <w:t>ships</w:t>
      </w:r>
      <w:r w:rsidR="00CE0297">
        <w:rPr>
          <w:rFonts w:ascii="Source Sans Pro" w:hAnsi="Source Sans Pro"/>
        </w:rPr>
        <w:t>.</w:t>
      </w:r>
      <w:r w:rsidR="00470795">
        <w:rPr>
          <w:rStyle w:val="FootnoteReference"/>
        </w:rPr>
        <w:footnoteReference w:id="4"/>
      </w:r>
      <w:r w:rsidRPr="00835D44">
        <w:rPr>
          <w:rFonts w:ascii="Source Sans Pro" w:hAnsi="Source Sans Pro"/>
        </w:rPr>
        <w:t> </w:t>
      </w:r>
    </w:p>
    <w:p w14:paraId="64CC5146" w14:textId="2F7139CF" w:rsidR="00835D44" w:rsidRPr="00835D44" w:rsidRDefault="00A0368A" w:rsidP="00512263">
      <w:pPr>
        <w:numPr>
          <w:ilvl w:val="0"/>
          <w:numId w:val="26"/>
        </w:numPr>
        <w:ind w:right="431"/>
        <w:rPr>
          <w:rFonts w:ascii="Source Sans Pro" w:hAnsi="Source Sans Pro"/>
        </w:rPr>
      </w:pPr>
      <w:r>
        <w:rPr>
          <w:rFonts w:ascii="Source Sans Pro" w:eastAsiaTheme="minorEastAsia" w:hAnsi="Source Sans Pro" w:cstheme="minorBidi"/>
          <w:noProof/>
          <w:color w:val="FFFFFF" w:themeColor="background1"/>
        </w:rPr>
        <mc:AlternateContent>
          <mc:Choice Requires="wps">
            <w:drawing>
              <wp:anchor distT="0" distB="0" distL="114300" distR="114300" simplePos="0" relativeHeight="251658260" behindDoc="0" locked="0" layoutInCell="1" allowOverlap="1" wp14:anchorId="784A52EC" wp14:editId="1E6EF0B8">
                <wp:simplePos x="0" y="0"/>
                <wp:positionH relativeFrom="column">
                  <wp:posOffset>-262</wp:posOffset>
                </wp:positionH>
                <wp:positionV relativeFrom="paragraph">
                  <wp:posOffset>1473835</wp:posOffset>
                </wp:positionV>
                <wp:extent cx="114935" cy="914202"/>
                <wp:effectExtent l="0" t="0" r="0" b="635"/>
                <wp:wrapNone/>
                <wp:docPr id="1386603719" name="Rectangle 4"/>
                <wp:cNvGraphicFramePr/>
                <a:graphic xmlns:a="http://schemas.openxmlformats.org/drawingml/2006/main">
                  <a:graphicData uri="http://schemas.microsoft.com/office/word/2010/wordprocessingShape">
                    <wps:wsp>
                      <wps:cNvSpPr/>
                      <wps:spPr>
                        <a:xfrm>
                          <a:off x="0" y="0"/>
                          <a:ext cx="114935" cy="914202"/>
                        </a:xfrm>
                        <a:prstGeom prst="rect">
                          <a:avLst/>
                        </a:prstGeom>
                        <a:solidFill>
                          <a:srgbClr val="F7B83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0641E" id="Rectangle 4" o:spid="_x0000_s1026" style="position:absolute;margin-left:0;margin-top:116.05pt;width:9.05pt;height:1in;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" fillcolor="#f7b834" stroked="f" strokeweight="2pt"/>
            </w:pict>
          </mc:Fallback>
        </mc:AlternateContent>
      </w:r>
      <w:r>
        <w:rPr>
          <w:rFonts w:ascii="Source Sans Pro" w:eastAsiaTheme="minorEastAsia" w:hAnsi="Source Sans Pro" w:cstheme="minorBidi"/>
          <w:noProof/>
          <w:color w:val="FFFFFF" w:themeColor="background1"/>
        </w:rPr>
        <mc:AlternateContent>
          <mc:Choice Requires="wps">
            <w:drawing>
              <wp:anchor distT="0" distB="0" distL="114300" distR="114300" simplePos="0" relativeHeight="251658244" behindDoc="1" locked="0" layoutInCell="1" allowOverlap="1" wp14:anchorId="31EEE540" wp14:editId="2D283BA2">
                <wp:simplePos x="0" y="0"/>
                <wp:positionH relativeFrom="column">
                  <wp:posOffset>114770</wp:posOffset>
                </wp:positionH>
                <wp:positionV relativeFrom="paragraph">
                  <wp:posOffset>1473835</wp:posOffset>
                </wp:positionV>
                <wp:extent cx="5601970" cy="916565"/>
                <wp:effectExtent l="0" t="0" r="0" b="0"/>
                <wp:wrapNone/>
                <wp:docPr id="291120391" name="Rectangle 3"/>
                <wp:cNvGraphicFramePr/>
                <a:graphic xmlns:a="http://schemas.openxmlformats.org/drawingml/2006/main">
                  <a:graphicData uri="http://schemas.microsoft.com/office/word/2010/wordprocessingShape">
                    <wps:wsp>
                      <wps:cNvSpPr/>
                      <wps:spPr>
                        <a:xfrm>
                          <a:off x="0" y="0"/>
                          <a:ext cx="5601970" cy="916565"/>
                        </a:xfrm>
                        <a:prstGeom prst="rect">
                          <a:avLst/>
                        </a:prstGeom>
                        <a:solidFill>
                          <a:srgbClr val="FDE8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B3B76D" id="Rectangle 3" o:spid="_x0000_s1026" style="position:absolute;margin-left:9.05pt;margin-top:116.05pt;width:441.1pt;height:72.15pt;z-index:-2516582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" fillcolor="#fde8c2" stroked="f" strokeweight="2pt"/>
            </w:pict>
          </mc:Fallback>
        </mc:AlternateContent>
      </w:r>
      <w:r w:rsidR="00835D44" w:rsidRPr="00835D44">
        <w:rPr>
          <w:rFonts w:ascii="Source Sans Pro" w:hAnsi="Source Sans Pro"/>
        </w:rPr>
        <w:t xml:space="preserve">Prior to 11 May 2023, as high-value dealers these persons were required to undertake customer due diligence and report prescribed transactions when carrying out cash transactions, or a series of related cash transactions, for customers of </w:t>
      </w:r>
      <w:r w:rsidR="0049086D">
        <w:rPr>
          <w:rFonts w:ascii="Source Sans Pro" w:hAnsi="Source Sans Pro"/>
        </w:rPr>
        <w:t>NZD</w:t>
      </w:r>
      <w:r w:rsidR="00835D44" w:rsidRPr="00835D44">
        <w:rPr>
          <w:rFonts w:ascii="Source Sans Pro" w:hAnsi="Source Sans Pro"/>
        </w:rPr>
        <w:t>$10,000 or more. However, with the prohibition preventing such transactions, these persons in trade in specified goods no longer meet the definition of a high-value dealer under the Act and do not have to comply with these requirements. </w:t>
      </w:r>
    </w:p>
    <w:p w14:paraId="0D56E95D" w14:textId="08152D23" w:rsidR="00835D44" w:rsidRPr="00835D44" w:rsidRDefault="00852075" w:rsidP="00512263">
      <w:pPr>
        <w:numPr>
          <w:ilvl w:val="0"/>
          <w:numId w:val="27"/>
        </w:numPr>
        <w:ind w:right="431"/>
        <w:rPr>
          <w:rFonts w:ascii="Source Sans Pro" w:hAnsi="Source Sans Pro"/>
        </w:rPr>
      </w:pPr>
      <w:r>
        <w:rPr>
          <w:rFonts w:ascii="Source Sans Pro" w:eastAsiaTheme="minorEastAsia" w:hAnsi="Source Sans Pro" w:cstheme="minorBidi"/>
          <w:noProof/>
          <w:color w:val="FFFFFF" w:themeColor="background1"/>
        </w:rPr>
        <mc:AlternateContent>
          <mc:Choice Requires="wps">
            <w:drawing>
              <wp:anchor distT="0" distB="0" distL="114300" distR="114300" simplePos="0" relativeHeight="251658249" behindDoc="1" locked="0" layoutInCell="1" allowOverlap="1" wp14:anchorId="291A880A" wp14:editId="6DFA5F40">
                <wp:simplePos x="0" y="0"/>
                <wp:positionH relativeFrom="column">
                  <wp:posOffset>4914510</wp:posOffset>
                </wp:positionH>
                <wp:positionV relativeFrom="page">
                  <wp:posOffset>9587796</wp:posOffset>
                </wp:positionV>
                <wp:extent cx="801713" cy="458058"/>
                <wp:effectExtent l="0" t="0" r="0" b="0"/>
                <wp:wrapNone/>
                <wp:docPr id="1076254049" name="Rectangle 3"/>
                <wp:cNvGraphicFramePr/>
                <a:graphic xmlns:a="http://schemas.openxmlformats.org/drawingml/2006/main">
                  <a:graphicData uri="http://schemas.microsoft.com/office/word/2010/wordprocessingShape">
                    <wps:wsp>
                      <wps:cNvSpPr/>
                      <wps:spPr>
                        <a:xfrm>
                          <a:off x="0" y="0"/>
                          <a:ext cx="801713" cy="458058"/>
                        </a:xfrm>
                        <a:prstGeom prst="rect">
                          <a:avLst/>
                        </a:prstGeom>
                        <a:gradFill flip="none" rotWithShape="1">
                          <a:gsLst>
                            <a:gs pos="0">
                              <a:srgbClr val="00465D"/>
                            </a:gs>
                            <a:gs pos="100000">
                              <a:srgbClr val="2D657D"/>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B833F6" w14:textId="77777777" w:rsidR="00852075" w:rsidRPr="00BF1883" w:rsidRDefault="00852075" w:rsidP="00852075">
                            <w:pPr>
                              <w:jc w:val="center"/>
                              <w:rPr>
                                <w:color w:val="D9D9D9" w:themeColor="background1" w:themeShade="D9"/>
                                <w:sz w:val="16"/>
                                <w:szCs w:val="16"/>
                              </w:rPr>
                            </w:pPr>
                            <w:r>
                              <w:rPr>
                                <w:b/>
                                <w:bCs/>
                                <w:color w:val="FFFFFF" w:themeColor="background1"/>
                              </w:rPr>
                              <w:t>1</w:t>
                            </w:r>
                            <w:r>
                              <w:rPr>
                                <w:color w:val="FFFFFF" w:themeColor="background1"/>
                              </w:rPr>
                              <w:t xml:space="preserve"> </w:t>
                            </w:r>
                            <w:r w:rsidRPr="00BF1883">
                              <w:rPr>
                                <w:color w:val="D9D9D9" w:themeColor="background1" w:themeShade="D9"/>
                                <w:sz w:val="16"/>
                                <w:szCs w:val="16"/>
                              </w:rPr>
                              <w:t xml:space="preserve">/ </w:t>
                            </w:r>
                            <w:r>
                              <w:rPr>
                                <w:color w:val="D9D9D9" w:themeColor="background1" w:themeShade="D9"/>
                                <w:sz w:val="16"/>
                                <w:szCs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A880A" id="Rectangle 3" o:spid="_x0000_s1026" style="position:absolute;left:0;text-align:left;margin-left:386.95pt;margin-top:754.95pt;width:63.15pt;height:36.0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" fillcolor="#00465d" stroked="f" strokeweight="2pt">
                <v:fill color2="#2d657d" rotate="t" angle="90" focus="100%" type="gradient"/>
                <v:textbox>
                  <w:txbxContent>
                    <w:p w14:paraId="06B833F6" w14:textId="77777777" w:rsidR="00852075" w:rsidRPr="00BF1883" w:rsidRDefault="00852075" w:rsidP="00852075">
                      <w:pPr>
                        <w:jc w:val="center"/>
                        <w:rPr>
                          <w:color w:val="D9D9D9" w:themeColor="background1" w:themeShade="D9"/>
                          <w:sz w:val="16"/>
                          <w:szCs w:val="16"/>
                        </w:rPr>
                      </w:pPr>
                      <w:r>
                        <w:rPr>
                          <w:b/>
                          <w:bCs/>
                          <w:color w:val="FFFFFF" w:themeColor="background1"/>
                        </w:rPr>
                        <w:t>1</w:t>
                      </w:r>
                      <w:r>
                        <w:rPr>
                          <w:color w:val="FFFFFF" w:themeColor="background1"/>
                        </w:rPr>
                        <w:t xml:space="preserve"> </w:t>
                      </w:r>
                      <w:r w:rsidRPr="00BF1883">
                        <w:rPr>
                          <w:color w:val="D9D9D9" w:themeColor="background1" w:themeShade="D9"/>
                          <w:sz w:val="16"/>
                          <w:szCs w:val="16"/>
                        </w:rPr>
                        <w:t xml:space="preserve">/ </w:t>
                      </w:r>
                      <w:r>
                        <w:rPr>
                          <w:color w:val="D9D9D9" w:themeColor="background1" w:themeShade="D9"/>
                          <w:sz w:val="16"/>
                          <w:szCs w:val="16"/>
                        </w:rPr>
                        <w:t>6</w:t>
                      </w:r>
                    </w:p>
                  </w:txbxContent>
                </v:textbox>
                <w10:wrap anchory="page"/>
              </v:rect>
            </w:pict>
          </mc:Fallback>
        </mc:AlternateContent>
      </w:r>
      <w:r w:rsidR="00835D44" w:rsidRPr="00835D44">
        <w:rPr>
          <w:rFonts w:ascii="Source Sans Pro" w:hAnsi="Source Sans Pro"/>
          <w:b/>
          <w:bCs/>
        </w:rPr>
        <w:t xml:space="preserve">Note: </w:t>
      </w:r>
      <w:r w:rsidR="00835D44" w:rsidRPr="00835D44">
        <w:rPr>
          <w:rFonts w:ascii="Source Sans Pro" w:hAnsi="Source Sans Pro"/>
        </w:rPr>
        <w:t>The prohibition applies whether a transaction exceeding NZD$10,000 is carried out in a single transaction</w:t>
      </w:r>
      <w:r w:rsidR="00835D44" w:rsidRPr="00835D44">
        <w:rPr>
          <w:rFonts w:ascii="Source Sans Pro" w:hAnsi="Source Sans Pro"/>
          <w:lang w:val="en-US"/>
        </w:rPr>
        <w:t>, or several transactions that appear to be related or linked (</w:t>
      </w:r>
      <w:r w:rsidR="00835D44" w:rsidRPr="00835D44">
        <w:rPr>
          <w:rFonts w:ascii="Source Sans Pro" w:hAnsi="Source Sans Pro"/>
          <w:b/>
          <w:bCs/>
          <w:lang w:val="en-US"/>
        </w:rPr>
        <w:t>related transaction conditions</w:t>
      </w:r>
      <w:r w:rsidR="00835D44" w:rsidRPr="00835D44">
        <w:rPr>
          <w:rFonts w:ascii="Source Sans Pro" w:hAnsi="Source Sans Pro"/>
          <w:lang w:val="en-US"/>
        </w:rPr>
        <w:t>). For more information on related transaction conditions see paragraphs 12 to 13 below. </w:t>
      </w:r>
      <w:r w:rsidR="00835D44" w:rsidRPr="00835D44">
        <w:rPr>
          <w:rFonts w:ascii="Source Sans Pro" w:hAnsi="Source Sans Pro"/>
        </w:rPr>
        <w:t> </w:t>
      </w:r>
    </w:p>
    <w:p w14:paraId="5A433CB8" w14:textId="77777777" w:rsidR="00835D44" w:rsidRPr="00835D44" w:rsidRDefault="00835D44" w:rsidP="00852075">
      <w:pPr>
        <w:ind w:right="431" w:firstLine="360"/>
        <w:rPr>
          <w:rFonts w:ascii="Source Sans Pro" w:hAnsi="Source Sans Pro"/>
          <w:b/>
          <w:bCs/>
          <w:color w:val="00465D"/>
          <w:sz w:val="28"/>
          <w:szCs w:val="28"/>
        </w:rPr>
      </w:pPr>
      <w:r w:rsidRPr="00835D44">
        <w:rPr>
          <w:rFonts w:ascii="Source Sans Pro" w:hAnsi="Source Sans Pro"/>
          <w:b/>
          <w:bCs/>
          <w:color w:val="00465D"/>
          <w:sz w:val="28"/>
          <w:szCs w:val="28"/>
        </w:rPr>
        <w:lastRenderedPageBreak/>
        <w:t>High-value dealers in other goods </w:t>
      </w:r>
    </w:p>
    <w:p w14:paraId="1592949E" w14:textId="1ECC2AF5" w:rsidR="00256B71" w:rsidRDefault="00835D44" w:rsidP="00512263">
      <w:pPr>
        <w:numPr>
          <w:ilvl w:val="0"/>
          <w:numId w:val="28"/>
        </w:numPr>
        <w:ind w:right="431"/>
        <w:rPr>
          <w:rFonts w:ascii="Source Sans Pro" w:hAnsi="Source Sans Pro"/>
        </w:rPr>
      </w:pPr>
      <w:r w:rsidRPr="00835D44">
        <w:rPr>
          <w:rFonts w:ascii="Source Sans Pro" w:hAnsi="Source Sans Pro"/>
        </w:rPr>
        <w:t>You are still considered a high-value dealer under the Act if you</w:t>
      </w:r>
      <w:r w:rsidR="00A35550">
        <w:rPr>
          <w:rFonts w:ascii="Source Sans Pro" w:hAnsi="Source Sans Pro"/>
        </w:rPr>
        <w:t>,</w:t>
      </w:r>
      <w:r w:rsidRPr="00835D44">
        <w:rPr>
          <w:rFonts w:ascii="Source Sans Pro" w:hAnsi="Source Sans Pro"/>
        </w:rPr>
        <w:t xml:space="preserve"> carry out cash transactions of </w:t>
      </w:r>
      <w:r w:rsidR="0049086D">
        <w:rPr>
          <w:rFonts w:ascii="Source Sans Pro" w:hAnsi="Source Sans Pro"/>
        </w:rPr>
        <w:t>NZD</w:t>
      </w:r>
      <w:r w:rsidRPr="00835D44">
        <w:rPr>
          <w:rFonts w:ascii="Source Sans Pro" w:hAnsi="Source Sans Pro"/>
        </w:rPr>
        <w:t>$10,000 or more, in the ordinary course of business, if you are dealing in any of the following items:</w:t>
      </w:r>
      <w:r w:rsidR="00470795">
        <w:rPr>
          <w:rStyle w:val="FootnoteReference"/>
        </w:rPr>
        <w:footnoteReference w:id="5"/>
      </w:r>
    </w:p>
    <w:p w14:paraId="3E97FF5A" w14:textId="77777777" w:rsidR="00256B71" w:rsidRDefault="00835D44" w:rsidP="00512263">
      <w:pPr>
        <w:numPr>
          <w:ilvl w:val="1"/>
          <w:numId w:val="54"/>
        </w:numPr>
        <w:spacing w:before="0" w:after="0"/>
        <w:ind w:right="431"/>
        <w:rPr>
          <w:rFonts w:ascii="Source Sans Pro" w:hAnsi="Source Sans Pro"/>
        </w:rPr>
      </w:pPr>
      <w:r w:rsidRPr="00835D44">
        <w:rPr>
          <w:rFonts w:ascii="Source Sans Pro" w:hAnsi="Source Sans Pro"/>
        </w:rPr>
        <w:t>paintings, </w:t>
      </w:r>
    </w:p>
    <w:p w14:paraId="529B9C35" w14:textId="77777777" w:rsidR="00256B71" w:rsidRDefault="00835D44" w:rsidP="00512263">
      <w:pPr>
        <w:numPr>
          <w:ilvl w:val="1"/>
          <w:numId w:val="54"/>
        </w:numPr>
        <w:spacing w:before="0" w:after="0"/>
        <w:ind w:right="431"/>
        <w:rPr>
          <w:rFonts w:ascii="Source Sans Pro" w:hAnsi="Source Sans Pro"/>
        </w:rPr>
      </w:pPr>
      <w:r w:rsidRPr="00835D44">
        <w:rPr>
          <w:rFonts w:ascii="Source Sans Pro" w:hAnsi="Source Sans Pro"/>
        </w:rPr>
        <w:t>prints, </w:t>
      </w:r>
    </w:p>
    <w:p w14:paraId="15ACDA36" w14:textId="1B32B18C" w:rsidR="00256B71" w:rsidRDefault="00835D44" w:rsidP="00512263">
      <w:pPr>
        <w:numPr>
          <w:ilvl w:val="1"/>
          <w:numId w:val="54"/>
        </w:numPr>
        <w:spacing w:before="0" w:after="0"/>
        <w:ind w:right="431"/>
        <w:rPr>
          <w:rFonts w:ascii="Source Sans Pro" w:hAnsi="Source Sans Pro"/>
        </w:rPr>
      </w:pPr>
      <w:r w:rsidRPr="00835D44">
        <w:rPr>
          <w:rFonts w:ascii="Source Sans Pro" w:hAnsi="Source Sans Pro"/>
        </w:rPr>
        <w:t>protected foreign objects</w:t>
      </w:r>
      <w:r w:rsidR="00596836">
        <w:rPr>
          <w:rFonts w:ascii="Source Sans Pro" w:hAnsi="Source Sans Pro"/>
        </w:rPr>
        <w:t>,</w:t>
      </w:r>
      <w:r w:rsidR="00470795">
        <w:rPr>
          <w:rStyle w:val="FootnoteReference"/>
        </w:rPr>
        <w:footnoteReference w:id="6"/>
      </w:r>
      <w:r w:rsidRPr="00835D44">
        <w:rPr>
          <w:rFonts w:ascii="Source Sans Pro" w:hAnsi="Source Sans Pro"/>
        </w:rPr>
        <w:t> </w:t>
      </w:r>
    </w:p>
    <w:p w14:paraId="6C08183B" w14:textId="5066D897" w:rsidR="00256B71" w:rsidRDefault="00835D44" w:rsidP="00512263">
      <w:pPr>
        <w:numPr>
          <w:ilvl w:val="1"/>
          <w:numId w:val="54"/>
        </w:numPr>
        <w:spacing w:before="0" w:after="0"/>
        <w:ind w:right="431"/>
        <w:rPr>
          <w:rFonts w:ascii="Source Sans Pro" w:hAnsi="Source Sans Pro"/>
        </w:rPr>
      </w:pPr>
      <w:r w:rsidRPr="00835D44">
        <w:rPr>
          <w:rFonts w:ascii="Source Sans Pro" w:hAnsi="Source Sans Pro"/>
        </w:rPr>
        <w:t>protected New Zealand objects</w:t>
      </w:r>
      <w:r w:rsidR="00596836">
        <w:rPr>
          <w:rFonts w:ascii="Source Sans Pro" w:hAnsi="Source Sans Pro"/>
        </w:rPr>
        <w:t>,</w:t>
      </w:r>
      <w:r w:rsidR="00F01BC5">
        <w:rPr>
          <w:rStyle w:val="FootnoteReference"/>
        </w:rPr>
        <w:footnoteReference w:id="7"/>
      </w:r>
      <w:r w:rsidRPr="00835D44">
        <w:rPr>
          <w:rFonts w:ascii="Source Sans Pro" w:hAnsi="Source Sans Pro"/>
        </w:rPr>
        <w:t> </w:t>
      </w:r>
    </w:p>
    <w:p w14:paraId="30991BD9" w14:textId="77777777" w:rsidR="00256B71" w:rsidRDefault="00835D44" w:rsidP="00512263">
      <w:pPr>
        <w:numPr>
          <w:ilvl w:val="1"/>
          <w:numId w:val="54"/>
        </w:numPr>
        <w:spacing w:before="0" w:after="0"/>
        <w:ind w:right="431"/>
        <w:rPr>
          <w:rFonts w:ascii="Source Sans Pro" w:hAnsi="Source Sans Pro"/>
        </w:rPr>
      </w:pPr>
      <w:r w:rsidRPr="00835D44">
        <w:rPr>
          <w:rFonts w:ascii="Source Sans Pro" w:hAnsi="Source Sans Pro"/>
        </w:rPr>
        <w:t>sculptures, </w:t>
      </w:r>
    </w:p>
    <w:p w14:paraId="0429092F" w14:textId="77777777" w:rsidR="00256B71" w:rsidRDefault="00835D44" w:rsidP="00512263">
      <w:pPr>
        <w:numPr>
          <w:ilvl w:val="1"/>
          <w:numId w:val="54"/>
        </w:numPr>
        <w:spacing w:before="0" w:after="0"/>
        <w:ind w:right="431"/>
        <w:rPr>
          <w:rFonts w:ascii="Source Sans Pro" w:hAnsi="Source Sans Pro"/>
        </w:rPr>
      </w:pPr>
      <w:r w:rsidRPr="00835D44">
        <w:rPr>
          <w:rFonts w:ascii="Source Sans Pro" w:hAnsi="Source Sans Pro"/>
        </w:rPr>
        <w:t>photographs, </w:t>
      </w:r>
    </w:p>
    <w:p w14:paraId="7EFCCC8C" w14:textId="77777777" w:rsidR="00256B71" w:rsidRDefault="00835D44" w:rsidP="00512263">
      <w:pPr>
        <w:numPr>
          <w:ilvl w:val="1"/>
          <w:numId w:val="54"/>
        </w:numPr>
        <w:spacing w:before="0" w:after="0"/>
        <w:ind w:right="431"/>
        <w:rPr>
          <w:rFonts w:ascii="Source Sans Pro" w:hAnsi="Source Sans Pro"/>
        </w:rPr>
      </w:pPr>
      <w:r w:rsidRPr="00835D44">
        <w:rPr>
          <w:rFonts w:ascii="Source Sans Pro" w:hAnsi="Source Sans Pro"/>
        </w:rPr>
        <w:t>carvings in any medium, and </w:t>
      </w:r>
    </w:p>
    <w:p w14:paraId="77B7FC5E" w14:textId="40F7D6EB" w:rsidR="00835D44" w:rsidRPr="00835D44" w:rsidRDefault="00835D44" w:rsidP="00512263">
      <w:pPr>
        <w:numPr>
          <w:ilvl w:val="1"/>
          <w:numId w:val="54"/>
        </w:numPr>
        <w:spacing w:before="0" w:after="0"/>
        <w:ind w:right="431"/>
        <w:rPr>
          <w:rFonts w:ascii="Source Sans Pro" w:hAnsi="Source Sans Pro"/>
        </w:rPr>
      </w:pPr>
      <w:r w:rsidRPr="00835D44">
        <w:rPr>
          <w:rFonts w:ascii="Source Sans Pro" w:hAnsi="Source Sans Pro"/>
        </w:rPr>
        <w:t>other artistic or cultural artefacts. </w:t>
      </w:r>
    </w:p>
    <w:p w14:paraId="6859A32C" w14:textId="568E4097" w:rsidR="00835D44" w:rsidRPr="00835D44" w:rsidRDefault="00835D44" w:rsidP="00512263">
      <w:pPr>
        <w:numPr>
          <w:ilvl w:val="0"/>
          <w:numId w:val="29"/>
        </w:numPr>
        <w:ind w:right="431"/>
        <w:rPr>
          <w:rFonts w:ascii="Source Sans Pro" w:hAnsi="Source Sans Pro"/>
        </w:rPr>
      </w:pPr>
      <w:r w:rsidRPr="00835D44">
        <w:rPr>
          <w:rFonts w:ascii="Source Sans Pro" w:hAnsi="Source Sans Pro"/>
        </w:rPr>
        <w:t>The definition of high-value dealer includes any person who carries out the above activity as a registered auctioneer.</w:t>
      </w:r>
      <w:r w:rsidR="00F01BC5">
        <w:rPr>
          <w:rStyle w:val="FootnoteReference"/>
        </w:rPr>
        <w:footnoteReference w:id="8"/>
      </w:r>
      <w:r w:rsidRPr="00835D44">
        <w:rPr>
          <w:rFonts w:ascii="Source Sans Pro" w:hAnsi="Source Sans Pro"/>
        </w:rPr>
        <w:t xml:space="preserve"> Auctioneers who deal with both specified goods subject to the cash prohibition and the other goods above, should ensure that they have policies, procedures and controls in place to comply with the prohibition. </w:t>
      </w:r>
    </w:p>
    <w:p w14:paraId="51D5C718" w14:textId="2CBF766C" w:rsidR="00835D44" w:rsidRPr="00835D44" w:rsidRDefault="00F226AF" w:rsidP="00512263">
      <w:pPr>
        <w:numPr>
          <w:ilvl w:val="0"/>
          <w:numId w:val="30"/>
        </w:numPr>
        <w:ind w:right="431"/>
        <w:rPr>
          <w:rFonts w:ascii="Source Sans Pro" w:hAnsi="Source Sans Pro"/>
        </w:rPr>
      </w:pPr>
      <w:r>
        <w:rPr>
          <w:rFonts w:ascii="Source Sans Pro" w:hAnsi="Source Sans Pro"/>
          <w:noProof/>
        </w:rPr>
        <mc:AlternateContent>
          <mc:Choice Requires="wps">
            <w:drawing>
              <wp:anchor distT="0" distB="0" distL="114300" distR="114300" simplePos="0" relativeHeight="251658255" behindDoc="0" locked="0" layoutInCell="1" allowOverlap="1" wp14:anchorId="569ACB5E" wp14:editId="4201B055">
                <wp:simplePos x="0" y="0"/>
                <wp:positionH relativeFrom="column">
                  <wp:posOffset>280</wp:posOffset>
                </wp:positionH>
                <wp:positionV relativeFrom="paragraph">
                  <wp:posOffset>1207416</wp:posOffset>
                </wp:positionV>
                <wp:extent cx="114019" cy="1485619"/>
                <wp:effectExtent l="0" t="0" r="635" b="635"/>
                <wp:wrapNone/>
                <wp:docPr id="637787104" name="Rectangle 2"/>
                <wp:cNvGraphicFramePr/>
                <a:graphic xmlns:a="http://schemas.openxmlformats.org/drawingml/2006/main">
                  <a:graphicData uri="http://schemas.microsoft.com/office/word/2010/wordprocessingShape">
                    <wps:wsp>
                      <wps:cNvSpPr/>
                      <wps:spPr>
                        <a:xfrm>
                          <a:off x="0" y="0"/>
                          <a:ext cx="114019" cy="1485619"/>
                        </a:xfrm>
                        <a:prstGeom prst="rect">
                          <a:avLst/>
                        </a:prstGeom>
                        <a:solidFill>
                          <a:srgbClr val="F7B83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4C49F1" id="Rectangle 2" o:spid="_x0000_s1026" style="position:absolute;margin-left:0;margin-top:95.05pt;width:9pt;height:117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" fillcolor="#f7b834" stroked="f" strokeweight="2pt"/>
            </w:pict>
          </mc:Fallback>
        </mc:AlternateContent>
      </w:r>
      <w:r>
        <w:rPr>
          <w:rFonts w:ascii="Source Sans Pro" w:hAnsi="Source Sans Pro"/>
          <w:noProof/>
        </w:rPr>
        <mc:AlternateContent>
          <mc:Choice Requires="wps">
            <w:drawing>
              <wp:anchor distT="0" distB="0" distL="114300" distR="114300" simplePos="0" relativeHeight="251658254" behindDoc="1" locked="0" layoutInCell="1" allowOverlap="1" wp14:anchorId="0D6061A4" wp14:editId="3FA145DE">
                <wp:simplePos x="0" y="0"/>
                <wp:positionH relativeFrom="column">
                  <wp:posOffset>109790</wp:posOffset>
                </wp:positionH>
                <wp:positionV relativeFrom="paragraph">
                  <wp:posOffset>1204679</wp:posOffset>
                </wp:positionV>
                <wp:extent cx="5603875" cy="1488356"/>
                <wp:effectExtent l="0" t="0" r="0" b="0"/>
                <wp:wrapNone/>
                <wp:docPr id="1089485032" name="Rectangle 1"/>
                <wp:cNvGraphicFramePr/>
                <a:graphic xmlns:a="http://schemas.openxmlformats.org/drawingml/2006/main">
                  <a:graphicData uri="http://schemas.microsoft.com/office/word/2010/wordprocessingShape">
                    <wps:wsp>
                      <wps:cNvSpPr/>
                      <wps:spPr>
                        <a:xfrm>
                          <a:off x="0" y="0"/>
                          <a:ext cx="5603875" cy="1488356"/>
                        </a:xfrm>
                        <a:prstGeom prst="rect">
                          <a:avLst/>
                        </a:prstGeom>
                        <a:solidFill>
                          <a:srgbClr val="FDE8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53276" id="Rectangle 1" o:spid="_x0000_s1026" style="position:absolute;margin-left:8.65pt;margin-top:94.85pt;width:441.25pt;height:117.2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" fillcolor="#fde8c2" stroked="f" strokeweight="2pt"/>
            </w:pict>
          </mc:Fallback>
        </mc:AlternateContent>
      </w:r>
      <w:r w:rsidR="00835D44" w:rsidRPr="00835D44">
        <w:rPr>
          <w:rFonts w:ascii="Source Sans Pro" w:hAnsi="Source Sans Pro"/>
        </w:rPr>
        <w:t xml:space="preserve">As a high-value dealer, when you sell or purchase the goods outlined above in paragraph 7, in cash, to the value of </w:t>
      </w:r>
      <w:r w:rsidR="0049086D">
        <w:rPr>
          <w:rFonts w:ascii="Source Sans Pro" w:hAnsi="Source Sans Pro"/>
        </w:rPr>
        <w:t>NZD</w:t>
      </w:r>
      <w:r w:rsidR="00835D44" w:rsidRPr="00835D44">
        <w:rPr>
          <w:rFonts w:ascii="Source Sans Pro" w:hAnsi="Source Sans Pro"/>
        </w:rPr>
        <w:t>$10,000 or more, you must comply with your obligations under the Act.</w:t>
      </w:r>
      <w:r w:rsidR="00F01BC5">
        <w:rPr>
          <w:rStyle w:val="FootnoteReference"/>
        </w:rPr>
        <w:footnoteReference w:id="9"/>
      </w:r>
      <w:r w:rsidR="00835D44" w:rsidRPr="00835D44">
        <w:rPr>
          <w:rFonts w:ascii="Source Sans Pro" w:hAnsi="Source Sans Pro"/>
        </w:rPr>
        <w:t xml:space="preserve"> These include, conducting standard customer due diligence</w:t>
      </w:r>
      <w:r w:rsidR="00C4033E">
        <w:rPr>
          <w:rFonts w:ascii="Source Sans Pro" w:hAnsi="Source Sans Pro"/>
        </w:rPr>
        <w:t>,</w:t>
      </w:r>
      <w:r w:rsidR="00F01BC5">
        <w:rPr>
          <w:rStyle w:val="FootnoteReference"/>
        </w:rPr>
        <w:footnoteReference w:id="10"/>
      </w:r>
      <w:r w:rsidR="00835D44" w:rsidRPr="00835D44">
        <w:rPr>
          <w:rFonts w:ascii="Source Sans Pro" w:hAnsi="Source Sans Pro"/>
        </w:rPr>
        <w:t xml:space="preserve"> prohibitions if unable to conduct standard customer due diligence</w:t>
      </w:r>
      <w:r w:rsidR="00C4033E">
        <w:rPr>
          <w:rFonts w:ascii="Source Sans Pro" w:hAnsi="Source Sans Pro"/>
        </w:rPr>
        <w:t>,</w:t>
      </w:r>
      <w:r w:rsidR="00F01BC5">
        <w:rPr>
          <w:rStyle w:val="FootnoteReference"/>
        </w:rPr>
        <w:footnoteReference w:id="11"/>
      </w:r>
      <w:r w:rsidR="00835D44" w:rsidRPr="00835D44">
        <w:rPr>
          <w:rFonts w:ascii="Source Sans Pro" w:hAnsi="Source Sans Pro"/>
        </w:rPr>
        <w:t xml:space="preserve"> record keeping</w:t>
      </w:r>
      <w:r w:rsidR="00C4033E">
        <w:rPr>
          <w:rFonts w:ascii="Source Sans Pro" w:hAnsi="Source Sans Pro"/>
        </w:rPr>
        <w:t>,</w:t>
      </w:r>
      <w:r w:rsidR="00F01BC5">
        <w:rPr>
          <w:rStyle w:val="FootnoteReference"/>
        </w:rPr>
        <w:footnoteReference w:id="12"/>
      </w:r>
      <w:r w:rsidR="00835D44" w:rsidRPr="00835D44">
        <w:rPr>
          <w:rFonts w:ascii="Source Sans Pro" w:hAnsi="Source Sans Pro"/>
        </w:rPr>
        <w:t xml:space="preserve"> and prescribed transaction reporting.</w:t>
      </w:r>
      <w:r w:rsidR="00F01BC5">
        <w:rPr>
          <w:rStyle w:val="FootnoteReference"/>
        </w:rPr>
        <w:footnoteReference w:id="13"/>
      </w:r>
      <w:r w:rsidR="00835D44" w:rsidRPr="00835D44">
        <w:rPr>
          <w:rFonts w:ascii="Source Sans Pro" w:hAnsi="Source Sans Pro"/>
        </w:rPr>
        <w:t> </w:t>
      </w:r>
      <w:r>
        <w:rPr>
          <w:rFonts w:ascii="Source Sans Pro" w:hAnsi="Source Sans Pro"/>
        </w:rPr>
        <w:br/>
      </w:r>
    </w:p>
    <w:p w14:paraId="1143C414" w14:textId="13101E20" w:rsidR="00835D44" w:rsidRPr="00835D44" w:rsidRDefault="008C49EB" w:rsidP="00512263">
      <w:pPr>
        <w:numPr>
          <w:ilvl w:val="0"/>
          <w:numId w:val="31"/>
        </w:numPr>
        <w:ind w:right="431"/>
        <w:rPr>
          <w:rFonts w:ascii="Source Sans Pro" w:hAnsi="Source Sans Pro"/>
        </w:rPr>
      </w:pPr>
      <w:r>
        <w:rPr>
          <w:rFonts w:ascii="Source Sans Pro" w:eastAsiaTheme="minorEastAsia" w:hAnsi="Source Sans Pro" w:cstheme="minorBidi"/>
          <w:noProof/>
          <w:color w:val="FFFFFF" w:themeColor="background1"/>
        </w:rPr>
        <mc:AlternateContent>
          <mc:Choice Requires="wps">
            <w:drawing>
              <wp:anchor distT="0" distB="0" distL="114300" distR="114300" simplePos="0" relativeHeight="251658245" behindDoc="1" locked="0" layoutInCell="1" allowOverlap="1" wp14:anchorId="5B14AA28" wp14:editId="15EBCC56">
                <wp:simplePos x="0" y="0"/>
                <wp:positionH relativeFrom="column">
                  <wp:posOffset>4916805</wp:posOffset>
                </wp:positionH>
                <wp:positionV relativeFrom="page">
                  <wp:posOffset>9587236</wp:posOffset>
                </wp:positionV>
                <wp:extent cx="801713" cy="458058"/>
                <wp:effectExtent l="0" t="0" r="0" b="0"/>
                <wp:wrapNone/>
                <wp:docPr id="2115957839" name="Rectangle 3"/>
                <wp:cNvGraphicFramePr/>
                <a:graphic xmlns:a="http://schemas.openxmlformats.org/drawingml/2006/main">
                  <a:graphicData uri="http://schemas.microsoft.com/office/word/2010/wordprocessingShape">
                    <wps:wsp>
                      <wps:cNvSpPr/>
                      <wps:spPr>
                        <a:xfrm>
                          <a:off x="0" y="0"/>
                          <a:ext cx="801713" cy="458058"/>
                        </a:xfrm>
                        <a:prstGeom prst="rect">
                          <a:avLst/>
                        </a:prstGeom>
                        <a:gradFill flip="none" rotWithShape="1">
                          <a:gsLst>
                            <a:gs pos="0">
                              <a:srgbClr val="00465D"/>
                            </a:gs>
                            <a:gs pos="100000">
                              <a:srgbClr val="2D657D"/>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D8E554" w14:textId="41CCF39E" w:rsidR="008C49EB" w:rsidRPr="00BF1883" w:rsidRDefault="008C49EB" w:rsidP="008C49EB">
                            <w:pPr>
                              <w:jc w:val="center"/>
                              <w:rPr>
                                <w:color w:val="D9D9D9" w:themeColor="background1" w:themeShade="D9"/>
                                <w:sz w:val="16"/>
                                <w:szCs w:val="16"/>
                              </w:rPr>
                            </w:pPr>
                            <w:r>
                              <w:rPr>
                                <w:b/>
                                <w:bCs/>
                                <w:color w:val="FFFFFF" w:themeColor="background1"/>
                              </w:rPr>
                              <w:t>2</w:t>
                            </w:r>
                            <w:r>
                              <w:rPr>
                                <w:color w:val="FFFFFF" w:themeColor="background1"/>
                              </w:rPr>
                              <w:t xml:space="preserve"> </w:t>
                            </w:r>
                            <w:r w:rsidRPr="00BF1883">
                              <w:rPr>
                                <w:color w:val="D9D9D9" w:themeColor="background1" w:themeShade="D9"/>
                                <w:sz w:val="16"/>
                                <w:szCs w:val="16"/>
                              </w:rPr>
                              <w:t xml:space="preserve">/ </w:t>
                            </w:r>
                            <w:r>
                              <w:rPr>
                                <w:color w:val="D9D9D9" w:themeColor="background1" w:themeShade="D9"/>
                                <w:sz w:val="16"/>
                                <w:szCs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4AA28" id="_x0000_s1027" style="position:absolute;left:0;text-align:left;margin-left:387.15pt;margin-top:754.9pt;width:63.15pt;height:36.0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" fillcolor="#00465d" stroked="f" strokeweight="2pt">
                <v:fill color2="#2d657d" rotate="t" angle="90" focus="100%" type="gradient"/>
                <v:textbox>
                  <w:txbxContent>
                    <w:p w14:paraId="08D8E554" w14:textId="41CCF39E" w:rsidR="008C49EB" w:rsidRPr="00BF1883" w:rsidRDefault="008C49EB" w:rsidP="008C49EB">
                      <w:pPr>
                        <w:jc w:val="center"/>
                        <w:rPr>
                          <w:color w:val="D9D9D9" w:themeColor="background1" w:themeShade="D9"/>
                          <w:sz w:val="16"/>
                          <w:szCs w:val="16"/>
                        </w:rPr>
                      </w:pPr>
                      <w:r>
                        <w:rPr>
                          <w:b/>
                          <w:bCs/>
                          <w:color w:val="FFFFFF" w:themeColor="background1"/>
                        </w:rPr>
                        <w:t>2</w:t>
                      </w:r>
                      <w:r>
                        <w:rPr>
                          <w:color w:val="FFFFFF" w:themeColor="background1"/>
                        </w:rPr>
                        <w:t xml:space="preserve"> </w:t>
                      </w:r>
                      <w:r w:rsidRPr="00BF1883">
                        <w:rPr>
                          <w:color w:val="D9D9D9" w:themeColor="background1" w:themeShade="D9"/>
                          <w:sz w:val="16"/>
                          <w:szCs w:val="16"/>
                        </w:rPr>
                        <w:t xml:space="preserve">/ </w:t>
                      </w:r>
                      <w:r>
                        <w:rPr>
                          <w:color w:val="D9D9D9" w:themeColor="background1" w:themeShade="D9"/>
                          <w:sz w:val="16"/>
                          <w:szCs w:val="16"/>
                        </w:rPr>
                        <w:t>6</w:t>
                      </w:r>
                    </w:p>
                  </w:txbxContent>
                </v:textbox>
                <w10:wrap anchory="page"/>
              </v:rect>
            </w:pict>
          </mc:Fallback>
        </mc:AlternateContent>
      </w:r>
      <w:r w:rsidR="00835D44" w:rsidRPr="00835D44">
        <w:rPr>
          <w:rFonts w:ascii="Source Sans Pro" w:hAnsi="Source Sans Pro"/>
          <w:b/>
          <w:bCs/>
        </w:rPr>
        <w:t xml:space="preserve">Note: </w:t>
      </w:r>
      <w:r w:rsidR="00835D44" w:rsidRPr="00835D44">
        <w:rPr>
          <w:rFonts w:ascii="Source Sans Pro" w:hAnsi="Source Sans Pro"/>
        </w:rPr>
        <w:t>The requirements of the Act apply whether a transaction exceeding NZD$10,000 is carried out in a single transaction</w:t>
      </w:r>
      <w:r w:rsidR="00835D44" w:rsidRPr="00835D44">
        <w:rPr>
          <w:rFonts w:ascii="Source Sans Pro" w:hAnsi="Source Sans Pro"/>
          <w:lang w:val="en-US"/>
        </w:rPr>
        <w:t>, or several transactions that appear to be related or linked (</w:t>
      </w:r>
      <w:r w:rsidR="00835D44" w:rsidRPr="00835D44">
        <w:rPr>
          <w:rFonts w:ascii="Source Sans Pro" w:hAnsi="Source Sans Pro"/>
          <w:b/>
          <w:bCs/>
          <w:lang w:val="en-US"/>
        </w:rPr>
        <w:t>related transaction conditions</w:t>
      </w:r>
      <w:r w:rsidR="00835D44" w:rsidRPr="00835D44">
        <w:rPr>
          <w:rFonts w:ascii="Source Sans Pro" w:hAnsi="Source Sans Pro"/>
          <w:lang w:val="en-US"/>
        </w:rPr>
        <w:t>). For more information on related transaction conditions see paragraphs 12 to 13 below. In practice, this means a high-value dealer must take steps to identify related transactions, so that customer due diligence requirements can be applied when triggered.</w:t>
      </w:r>
      <w:r w:rsidR="00835D44" w:rsidRPr="00835D44">
        <w:rPr>
          <w:rFonts w:ascii="Source Sans Pro" w:hAnsi="Source Sans Pro"/>
        </w:rPr>
        <w:t> </w:t>
      </w:r>
    </w:p>
    <w:p w14:paraId="6FC5FD5E" w14:textId="77777777" w:rsidR="00835D44" w:rsidRPr="00835D44" w:rsidRDefault="00835D44" w:rsidP="00512263">
      <w:pPr>
        <w:numPr>
          <w:ilvl w:val="0"/>
          <w:numId w:val="32"/>
        </w:numPr>
        <w:ind w:right="431"/>
        <w:rPr>
          <w:rFonts w:ascii="Source Sans Pro" w:hAnsi="Source Sans Pro"/>
        </w:rPr>
      </w:pPr>
      <w:r w:rsidRPr="00835D44">
        <w:rPr>
          <w:rFonts w:ascii="Source Sans Pro" w:hAnsi="Source Sans Pro"/>
        </w:rPr>
        <w:lastRenderedPageBreak/>
        <w:t xml:space="preserve">Details around the distinctions between dealers in specified goods and high-value dealers have been documented in a flowchart, which is captured in </w:t>
      </w:r>
      <w:r w:rsidRPr="00835D44">
        <w:rPr>
          <w:rFonts w:ascii="Source Sans Pro" w:hAnsi="Source Sans Pro"/>
          <w:b/>
          <w:bCs/>
        </w:rPr>
        <w:t>Appendix 1</w:t>
      </w:r>
      <w:r w:rsidRPr="00835D44">
        <w:rPr>
          <w:rFonts w:ascii="Source Sans Pro" w:hAnsi="Source Sans Pro"/>
        </w:rPr>
        <w:t>. </w:t>
      </w:r>
    </w:p>
    <w:p w14:paraId="1995F1A4" w14:textId="77777777" w:rsidR="00835D44" w:rsidRPr="00835D44" w:rsidRDefault="00835D44" w:rsidP="00852075">
      <w:pPr>
        <w:ind w:right="431" w:firstLine="360"/>
        <w:rPr>
          <w:rFonts w:ascii="Source Sans Pro" w:hAnsi="Source Sans Pro"/>
          <w:b/>
          <w:bCs/>
          <w:color w:val="00465D"/>
          <w:sz w:val="28"/>
          <w:szCs w:val="28"/>
        </w:rPr>
      </w:pPr>
      <w:r w:rsidRPr="00835D44">
        <w:rPr>
          <w:rFonts w:ascii="Source Sans Pro" w:hAnsi="Source Sans Pro"/>
          <w:b/>
          <w:bCs/>
          <w:color w:val="00465D"/>
          <w:sz w:val="28"/>
          <w:szCs w:val="28"/>
        </w:rPr>
        <w:t>Related Transaction Conditions </w:t>
      </w:r>
    </w:p>
    <w:p w14:paraId="2863E909" w14:textId="77777777" w:rsidR="00835D44" w:rsidRPr="00835D44" w:rsidRDefault="00835D44" w:rsidP="00512263">
      <w:pPr>
        <w:numPr>
          <w:ilvl w:val="0"/>
          <w:numId w:val="33"/>
        </w:numPr>
        <w:ind w:right="431"/>
        <w:rPr>
          <w:rFonts w:ascii="Source Sans Pro" w:hAnsi="Source Sans Pro"/>
        </w:rPr>
      </w:pPr>
      <w:r w:rsidRPr="00835D44">
        <w:rPr>
          <w:rFonts w:ascii="Source Sans Pro" w:hAnsi="Source Sans Pro"/>
        </w:rPr>
        <w:t xml:space="preserve">The </w:t>
      </w:r>
      <w:r w:rsidRPr="00835D44">
        <w:rPr>
          <w:rFonts w:ascii="Source Sans Pro" w:hAnsi="Source Sans Pro"/>
          <w:lang w:val="en-US"/>
        </w:rPr>
        <w:t>related transactions conditions are important. They are an “anti-avoidance” provision to mitigate the risk of a person, or more than one person, structuring transactions to bypass the NZD$10,000 threshold, and to evade the application of the Act.</w:t>
      </w:r>
      <w:r w:rsidRPr="00835D44">
        <w:rPr>
          <w:rFonts w:ascii="Source Sans Pro" w:hAnsi="Source Sans Pro"/>
        </w:rPr>
        <w:t> </w:t>
      </w:r>
    </w:p>
    <w:p w14:paraId="1BEFCA8D" w14:textId="77777777" w:rsidR="00835D44" w:rsidRPr="00835D44" w:rsidRDefault="00835D44" w:rsidP="00512263">
      <w:pPr>
        <w:numPr>
          <w:ilvl w:val="0"/>
          <w:numId w:val="34"/>
        </w:numPr>
        <w:ind w:right="431"/>
        <w:rPr>
          <w:rFonts w:ascii="Source Sans Pro" w:hAnsi="Source Sans Pro"/>
        </w:rPr>
      </w:pPr>
      <w:r w:rsidRPr="00835D44">
        <w:rPr>
          <w:rFonts w:ascii="Source Sans Pro" w:hAnsi="Source Sans Pro"/>
          <w:lang w:val="en-US"/>
        </w:rPr>
        <w:t>To detect related transactions, you should take a risk-based approach to implement appropriate procedures, policies and controls. You must take adequate steps to identify whether transactions appear to be related or linked. It will not be sufficient to say that transactions did not appear to you to be related if you have made no, or inadequate, attempts to identify related transactions. </w:t>
      </w:r>
      <w:r w:rsidRPr="00835D44">
        <w:rPr>
          <w:rFonts w:ascii="Source Sans Pro" w:hAnsi="Source Sans Pro"/>
        </w:rPr>
        <w:t> </w:t>
      </w:r>
    </w:p>
    <w:p w14:paraId="593A3340" w14:textId="77777777" w:rsidR="00835D44" w:rsidRPr="00835D44" w:rsidRDefault="00835D44" w:rsidP="00852075">
      <w:pPr>
        <w:ind w:right="431" w:firstLine="360"/>
        <w:rPr>
          <w:rFonts w:ascii="Source Sans Pro" w:hAnsi="Source Sans Pro"/>
          <w:b/>
          <w:bCs/>
          <w:color w:val="00465D"/>
          <w:sz w:val="28"/>
          <w:szCs w:val="28"/>
        </w:rPr>
      </w:pPr>
      <w:r w:rsidRPr="00835D44">
        <w:rPr>
          <w:rFonts w:ascii="Source Sans Pro" w:hAnsi="Source Sans Pro"/>
          <w:b/>
          <w:bCs/>
          <w:color w:val="00465D"/>
          <w:sz w:val="28"/>
          <w:szCs w:val="28"/>
        </w:rPr>
        <w:t>Suspicious activity reporting </w:t>
      </w:r>
    </w:p>
    <w:p w14:paraId="375E09B3" w14:textId="6780FE59" w:rsidR="00BE67FB" w:rsidRPr="00835D44" w:rsidRDefault="00835D44" w:rsidP="00512263">
      <w:pPr>
        <w:numPr>
          <w:ilvl w:val="0"/>
          <w:numId w:val="35"/>
        </w:numPr>
        <w:ind w:right="431"/>
        <w:rPr>
          <w:rFonts w:ascii="Source Sans Pro" w:hAnsi="Source Sans Pro"/>
        </w:rPr>
      </w:pPr>
      <w:r w:rsidRPr="00835D44">
        <w:rPr>
          <w:rFonts w:ascii="Source Sans Pro" w:hAnsi="Source Sans Pro"/>
        </w:rPr>
        <w:t xml:space="preserve">The Statutes Amendment </w:t>
      </w:r>
      <w:r w:rsidR="001324C6">
        <w:rPr>
          <w:rFonts w:ascii="Source Sans Pro" w:hAnsi="Source Sans Pro"/>
        </w:rPr>
        <w:t>Act</w:t>
      </w:r>
      <w:r w:rsidR="000F0260">
        <w:rPr>
          <w:rFonts w:ascii="Source Sans Pro" w:hAnsi="Source Sans Pro"/>
        </w:rPr>
        <w:t xml:space="preserve"> 2025</w:t>
      </w:r>
      <w:r w:rsidR="00F01BC5">
        <w:rPr>
          <w:rStyle w:val="FootnoteReference"/>
        </w:rPr>
        <w:footnoteReference w:id="14"/>
      </w:r>
      <w:r w:rsidRPr="00835D44">
        <w:rPr>
          <w:rFonts w:ascii="Source Sans Pro" w:hAnsi="Source Sans Pro"/>
        </w:rPr>
        <w:t xml:space="preserve"> amended section 40 of the Act to allow a high-value dealer to report a suspicious activity report </w:t>
      </w:r>
      <w:r w:rsidRPr="00835D44">
        <w:rPr>
          <w:rFonts w:ascii="Source Sans Pro" w:hAnsi="Source Sans Pro"/>
          <w:b/>
          <w:bCs/>
        </w:rPr>
        <w:t>(SAR)</w:t>
      </w:r>
      <w:r w:rsidRPr="00835D44">
        <w:rPr>
          <w:rFonts w:ascii="Source Sans Pro" w:hAnsi="Source Sans Pro"/>
        </w:rPr>
        <w:t xml:space="preserve"> to the Commissioner.</w:t>
      </w:r>
      <w:r w:rsidR="00F01BC5">
        <w:rPr>
          <w:rStyle w:val="FootnoteReference"/>
        </w:rPr>
        <w:footnoteReference w:id="15"/>
      </w:r>
      <w:r w:rsidRPr="00835D44">
        <w:rPr>
          <w:rFonts w:ascii="Source Sans Pro" w:hAnsi="Source Sans Pro"/>
        </w:rPr>
        <w:t> </w:t>
      </w:r>
    </w:p>
    <w:p w14:paraId="49B0712C" w14:textId="3E0CEACB" w:rsidR="00D02D70" w:rsidRPr="00E26529" w:rsidRDefault="00D02D70" w:rsidP="00E26529">
      <w:pPr>
        <w:numPr>
          <w:ilvl w:val="0"/>
          <w:numId w:val="35"/>
        </w:numPr>
        <w:ind w:right="431"/>
        <w:rPr>
          <w:rFonts w:ascii="Source Sans Pro" w:hAnsi="Source Sans Pro"/>
        </w:rPr>
      </w:pPr>
      <w:r>
        <w:rPr>
          <w:rFonts w:ascii="Source Sans Pro" w:hAnsi="Source Sans Pro"/>
        </w:rPr>
        <w:t>The AML/CFT (Supervisor, Levy and other Matters)</w:t>
      </w:r>
      <w:r w:rsidR="0022167D">
        <w:rPr>
          <w:rFonts w:ascii="Source Sans Pro" w:hAnsi="Source Sans Pro"/>
        </w:rPr>
        <w:t xml:space="preserve"> </w:t>
      </w:r>
      <w:r w:rsidR="00AC0BF5">
        <w:rPr>
          <w:rFonts w:ascii="Source Sans Pro" w:hAnsi="Source Sans Pro"/>
        </w:rPr>
        <w:t>Act</w:t>
      </w:r>
      <w:r w:rsidR="000F0260">
        <w:rPr>
          <w:rFonts w:ascii="Source Sans Pro" w:hAnsi="Source Sans Pro"/>
        </w:rPr>
        <w:t xml:space="preserve"> 2026</w:t>
      </w:r>
      <w:r w:rsidR="00BA3622">
        <w:rPr>
          <w:rStyle w:val="FootnoteReference"/>
        </w:rPr>
        <w:footnoteReference w:id="16"/>
      </w:r>
      <w:r w:rsidR="00BA3622">
        <w:rPr>
          <w:rFonts w:ascii="Source Sans Pro" w:hAnsi="Source Sans Pro"/>
        </w:rPr>
        <w:t xml:space="preserve"> </w:t>
      </w:r>
      <w:r w:rsidR="00FB7DCB">
        <w:rPr>
          <w:rFonts w:ascii="Source Sans Pro" w:hAnsi="Source Sans Pro"/>
        </w:rPr>
        <w:t>amend</w:t>
      </w:r>
      <w:r w:rsidR="00AC0BF5">
        <w:rPr>
          <w:rFonts w:ascii="Source Sans Pro" w:hAnsi="Source Sans Pro"/>
        </w:rPr>
        <w:t>ed</w:t>
      </w:r>
      <w:r w:rsidR="005F101B">
        <w:rPr>
          <w:rFonts w:ascii="Source Sans Pro" w:hAnsi="Source Sans Pro"/>
        </w:rPr>
        <w:t xml:space="preserve"> the definition of a suspicious activity to include an activity that occurs in the ordinary course of carrying out the business of a person who is in trade in respect of 1 or more of the articles specified in section 67A of the Act (</w:t>
      </w:r>
      <w:r w:rsidR="005F101B" w:rsidRPr="00DB4E0B">
        <w:rPr>
          <w:rFonts w:ascii="Source Sans Pro" w:hAnsi="Source Sans Pro"/>
          <w:b/>
        </w:rPr>
        <w:t>specified goods</w:t>
      </w:r>
      <w:r w:rsidR="005F101B">
        <w:rPr>
          <w:rFonts w:ascii="Source Sans Pro" w:hAnsi="Source Sans Pro"/>
        </w:rPr>
        <w:t xml:space="preserve">). </w:t>
      </w:r>
    </w:p>
    <w:p w14:paraId="29053DEE" w14:textId="5338B6EB" w:rsidR="005F101B" w:rsidRPr="00E26529" w:rsidRDefault="005F101B" w:rsidP="00E26529">
      <w:pPr>
        <w:numPr>
          <w:ilvl w:val="0"/>
          <w:numId w:val="35"/>
        </w:numPr>
        <w:ind w:right="431"/>
        <w:rPr>
          <w:rFonts w:ascii="Source Sans Pro" w:hAnsi="Source Sans Pro"/>
        </w:rPr>
      </w:pPr>
      <w:r>
        <w:rPr>
          <w:rFonts w:ascii="Source Sans Pro" w:hAnsi="Source Sans Pro"/>
        </w:rPr>
        <w:t xml:space="preserve">This means that </w:t>
      </w:r>
      <w:r w:rsidR="0035765F">
        <w:rPr>
          <w:rFonts w:ascii="Source Sans Pro" w:hAnsi="Source Sans Pro"/>
        </w:rPr>
        <w:t xml:space="preserve">any </w:t>
      </w:r>
      <w:r w:rsidR="0050006E">
        <w:rPr>
          <w:rFonts w:ascii="Source Sans Pro" w:hAnsi="Source Sans Pro"/>
        </w:rPr>
        <w:t>person in trade may report a SAR to the Commissioner that occurs in the ordinary course of carrying out their business.</w:t>
      </w:r>
      <w:r w:rsidR="008C1031">
        <w:rPr>
          <w:rStyle w:val="FootnoteReference"/>
        </w:rPr>
        <w:footnoteReference w:id="17"/>
      </w:r>
      <w:r w:rsidR="0050006E">
        <w:rPr>
          <w:rFonts w:ascii="Source Sans Pro" w:hAnsi="Source Sans Pro"/>
        </w:rPr>
        <w:t xml:space="preserve"> </w:t>
      </w:r>
    </w:p>
    <w:p w14:paraId="5CD19F72" w14:textId="14AB707C" w:rsidR="00835D44" w:rsidRPr="00835D44" w:rsidRDefault="00835D44" w:rsidP="00DA210F">
      <w:pPr>
        <w:numPr>
          <w:ilvl w:val="0"/>
          <w:numId w:val="35"/>
        </w:numPr>
        <w:ind w:right="431"/>
        <w:rPr>
          <w:rFonts w:ascii="Source Sans Pro" w:hAnsi="Source Sans Pro"/>
        </w:rPr>
      </w:pPr>
      <w:r w:rsidRPr="00835D44">
        <w:rPr>
          <w:rFonts w:ascii="Source Sans Pro" w:hAnsi="Source Sans Pro"/>
        </w:rPr>
        <w:t xml:space="preserve">This means high-value dealers in </w:t>
      </w:r>
      <w:r w:rsidR="003814FF">
        <w:rPr>
          <w:rFonts w:ascii="Source Sans Pro" w:hAnsi="Source Sans Pro"/>
        </w:rPr>
        <w:t>specified goods and</w:t>
      </w:r>
      <w:r w:rsidRPr="00835D44">
        <w:rPr>
          <w:rFonts w:ascii="Source Sans Pro" w:hAnsi="Source Sans Pro"/>
        </w:rPr>
        <w:t xml:space="preserve"> other goods may submit a suspicious activity report to the FIU. </w:t>
      </w:r>
    </w:p>
    <w:p w14:paraId="53D24E35" w14:textId="08269B32" w:rsidR="00DA210F" w:rsidRPr="00835D44" w:rsidRDefault="00F2304E" w:rsidP="00F43257">
      <w:pPr>
        <w:numPr>
          <w:ilvl w:val="0"/>
          <w:numId w:val="35"/>
        </w:numPr>
        <w:ind w:right="431"/>
        <w:rPr>
          <w:rFonts w:ascii="Source Sans Pro" w:hAnsi="Source Sans Pro"/>
        </w:rPr>
      </w:pPr>
      <w:r>
        <w:rPr>
          <w:rFonts w:ascii="Source Sans Pro" w:eastAsiaTheme="minorEastAsia" w:hAnsi="Source Sans Pro" w:cstheme="minorBidi"/>
          <w:noProof/>
          <w:color w:val="FFFFFF" w:themeColor="background1"/>
        </w:rPr>
        <mc:AlternateContent>
          <mc:Choice Requires="wps">
            <w:drawing>
              <wp:anchor distT="0" distB="0" distL="114300" distR="114300" simplePos="0" relativeHeight="251658261" behindDoc="1" locked="0" layoutInCell="1" allowOverlap="1" wp14:anchorId="4C1C7DA4" wp14:editId="6B25EE15">
                <wp:simplePos x="0" y="0"/>
                <wp:positionH relativeFrom="column">
                  <wp:posOffset>4913122</wp:posOffset>
                </wp:positionH>
                <wp:positionV relativeFrom="page">
                  <wp:posOffset>9584563</wp:posOffset>
                </wp:positionV>
                <wp:extent cx="801713" cy="458058"/>
                <wp:effectExtent l="0" t="0" r="0" b="0"/>
                <wp:wrapNone/>
                <wp:docPr id="1994240256" name="Rectangle 3"/>
                <wp:cNvGraphicFramePr/>
                <a:graphic xmlns:a="http://schemas.openxmlformats.org/drawingml/2006/main">
                  <a:graphicData uri="http://schemas.microsoft.com/office/word/2010/wordprocessingShape">
                    <wps:wsp>
                      <wps:cNvSpPr/>
                      <wps:spPr>
                        <a:xfrm>
                          <a:off x="0" y="0"/>
                          <a:ext cx="801713" cy="458058"/>
                        </a:xfrm>
                        <a:prstGeom prst="rect">
                          <a:avLst/>
                        </a:prstGeom>
                        <a:gradFill flip="none" rotWithShape="1">
                          <a:gsLst>
                            <a:gs pos="0">
                              <a:srgbClr val="00465D"/>
                            </a:gs>
                            <a:gs pos="100000">
                              <a:srgbClr val="2D657D"/>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DEDFC66" w14:textId="7076CA72" w:rsidR="00F2304E" w:rsidRPr="00BF1883" w:rsidRDefault="005C6358" w:rsidP="00F2304E">
                            <w:pPr>
                              <w:jc w:val="center"/>
                              <w:rPr>
                                <w:color w:val="D9D9D9" w:themeColor="background1" w:themeShade="D9"/>
                                <w:sz w:val="16"/>
                                <w:szCs w:val="16"/>
                              </w:rPr>
                            </w:pPr>
                            <w:r>
                              <w:rPr>
                                <w:b/>
                                <w:bCs/>
                                <w:color w:val="FFFFFF" w:themeColor="background1"/>
                              </w:rPr>
                              <w:t>3</w:t>
                            </w:r>
                            <w:r w:rsidR="00F2304E">
                              <w:rPr>
                                <w:color w:val="FFFFFF" w:themeColor="background1"/>
                              </w:rPr>
                              <w:t xml:space="preserve"> </w:t>
                            </w:r>
                            <w:r w:rsidR="00F2304E" w:rsidRPr="00BF1883">
                              <w:rPr>
                                <w:color w:val="D9D9D9" w:themeColor="background1" w:themeShade="D9"/>
                                <w:sz w:val="16"/>
                                <w:szCs w:val="16"/>
                              </w:rPr>
                              <w:t xml:space="preserve">/ </w:t>
                            </w:r>
                            <w:r w:rsidR="00F2304E">
                              <w:rPr>
                                <w:color w:val="D9D9D9" w:themeColor="background1" w:themeShade="D9"/>
                                <w:sz w:val="16"/>
                                <w:szCs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C7DA4" id="_x0000_s1028" style="position:absolute;left:0;text-align:left;margin-left:386.85pt;margin-top:754.7pt;width:63.15pt;height:36.05pt;z-index:-25165821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" fillcolor="#00465d" stroked="f" strokeweight="2pt">
                <v:fill color2="#2d657d" rotate="t" angle="90" focus="100%" type="gradient"/>
                <v:textbox>
                  <w:txbxContent>
                    <w:p w14:paraId="4DEDFC66" w14:textId="7076CA72" w:rsidR="00F2304E" w:rsidRPr="00BF1883" w:rsidRDefault="005C6358" w:rsidP="00F2304E">
                      <w:pPr>
                        <w:jc w:val="center"/>
                        <w:rPr>
                          <w:color w:val="D9D9D9" w:themeColor="background1" w:themeShade="D9"/>
                          <w:sz w:val="16"/>
                          <w:szCs w:val="16"/>
                        </w:rPr>
                      </w:pPr>
                      <w:r>
                        <w:rPr>
                          <w:b/>
                          <w:bCs/>
                          <w:color w:val="FFFFFF" w:themeColor="background1"/>
                        </w:rPr>
                        <w:t>3</w:t>
                      </w:r>
                      <w:r w:rsidR="00F2304E">
                        <w:rPr>
                          <w:color w:val="FFFFFF" w:themeColor="background1"/>
                        </w:rPr>
                        <w:t xml:space="preserve"> </w:t>
                      </w:r>
                      <w:r w:rsidR="00F2304E" w:rsidRPr="00BF1883">
                        <w:rPr>
                          <w:color w:val="D9D9D9" w:themeColor="background1" w:themeShade="D9"/>
                          <w:sz w:val="16"/>
                          <w:szCs w:val="16"/>
                        </w:rPr>
                        <w:t xml:space="preserve">/ </w:t>
                      </w:r>
                      <w:r w:rsidR="00F2304E">
                        <w:rPr>
                          <w:color w:val="D9D9D9" w:themeColor="background1" w:themeShade="D9"/>
                          <w:sz w:val="16"/>
                          <w:szCs w:val="16"/>
                        </w:rPr>
                        <w:t>6</w:t>
                      </w:r>
                    </w:p>
                  </w:txbxContent>
                </v:textbox>
                <w10:wrap anchory="page"/>
              </v:rect>
            </w:pict>
          </mc:Fallback>
        </mc:AlternateContent>
      </w:r>
      <w:r w:rsidR="00DA210F">
        <w:rPr>
          <w:rFonts w:ascii="Source Sans Pro" w:hAnsi="Source Sans Pro"/>
        </w:rPr>
        <w:t xml:space="preserve">If a high-value dealer has reasonable grounds to suspect that a transaction or activity by a customer who seeks to conduct, or conducts, a sale or purchase, is related to criminal activity, a SAR may be filed. To enable you to submit a SAR, it is recommended that high-value dealers register with </w:t>
      </w:r>
      <w:hyperlink r:id="rId13" w:history="1">
        <w:r w:rsidR="00D25731" w:rsidRPr="00F43257">
          <w:rPr>
            <w:rStyle w:val="Hyperlink"/>
            <w:rFonts w:ascii="Source Sans Pro" w:hAnsi="Source Sans Pro"/>
          </w:rPr>
          <w:t>goAML</w:t>
        </w:r>
      </w:hyperlink>
      <w:r w:rsidR="00F43257" w:rsidRPr="00F43257">
        <w:rPr>
          <w:rFonts w:ascii="Source Sans Pro" w:hAnsi="Source Sans Pro"/>
        </w:rPr>
        <w:t>. A copy of the report for filed SARs must be kept.</w:t>
      </w:r>
    </w:p>
    <w:p w14:paraId="203B287E" w14:textId="096D56B3" w:rsidR="00835D44" w:rsidRPr="00835D44" w:rsidRDefault="00515F60" w:rsidP="00852075">
      <w:pPr>
        <w:ind w:left="360" w:right="431"/>
        <w:rPr>
          <w:rFonts w:ascii="Source Sans Pro" w:hAnsi="Source Sans Pro"/>
          <w:b/>
          <w:bCs/>
          <w:color w:val="00465D"/>
          <w:sz w:val="28"/>
          <w:szCs w:val="28"/>
        </w:rPr>
      </w:pPr>
      <w:r>
        <w:rPr>
          <w:rFonts w:ascii="Source Sans Pro" w:hAnsi="Source Sans Pro"/>
          <w:b/>
          <w:bCs/>
          <w:noProof/>
          <w:color w:val="00465D"/>
          <w:sz w:val="28"/>
          <w:szCs w:val="28"/>
        </w:rPr>
        <w:lastRenderedPageBreak/>
        <mc:AlternateContent>
          <mc:Choice Requires="wps">
            <w:drawing>
              <wp:anchor distT="0" distB="0" distL="114300" distR="114300" simplePos="0" relativeHeight="251658253" behindDoc="1" locked="0" layoutInCell="1" allowOverlap="1" wp14:anchorId="42A3C541" wp14:editId="5ABEE39D">
                <wp:simplePos x="0" y="0"/>
                <wp:positionH relativeFrom="column">
                  <wp:posOffset>1778</wp:posOffset>
                </wp:positionH>
                <wp:positionV relativeFrom="paragraph">
                  <wp:posOffset>452882</wp:posOffset>
                </wp:positionV>
                <wp:extent cx="5714746" cy="7662418"/>
                <wp:effectExtent l="0" t="0" r="635" b="0"/>
                <wp:wrapNone/>
                <wp:docPr id="501389577" name="Rectangle 2"/>
                <wp:cNvGraphicFramePr/>
                <a:graphic xmlns:a="http://schemas.openxmlformats.org/drawingml/2006/main">
                  <a:graphicData uri="http://schemas.microsoft.com/office/word/2010/wordprocessingShape">
                    <wps:wsp>
                      <wps:cNvSpPr/>
                      <wps:spPr>
                        <a:xfrm>
                          <a:off x="0" y="0"/>
                          <a:ext cx="5714746" cy="7662418"/>
                        </a:xfrm>
                        <a:prstGeom prst="rect">
                          <a:avLst/>
                        </a:prstGeom>
                        <a:gradFill flip="none" rotWithShape="1">
                          <a:gsLst>
                            <a:gs pos="0">
                              <a:srgbClr val="00465D"/>
                            </a:gs>
                            <a:gs pos="100000">
                              <a:srgbClr val="2D657D"/>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6BBA00" id="Rectangle 2" o:spid="_x0000_s1026" style="position:absolute;margin-left:.15pt;margin-top:35.65pt;width:450pt;height:603.35pt;z-index:-2516582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" fillcolor="#00465d" stroked="f" strokeweight="2pt">
                <v:fill color2="#2d657d" rotate="t" angle="90" focus="100%" type="gradient"/>
              </v:rect>
            </w:pict>
          </mc:Fallback>
        </mc:AlternateContent>
      </w:r>
      <w:r w:rsidR="004166D3">
        <w:rPr>
          <w:rFonts w:ascii="Source Sans Pro" w:hAnsi="Source Sans Pro"/>
          <w:b/>
          <w:bCs/>
          <w:noProof/>
          <w:color w:val="00465D"/>
          <w:sz w:val="28"/>
          <w:szCs w:val="28"/>
        </w:rPr>
        <mc:AlternateContent>
          <mc:Choice Requires="wps">
            <w:drawing>
              <wp:anchor distT="0" distB="0" distL="114300" distR="114300" simplePos="0" relativeHeight="251658252" behindDoc="1" locked="0" layoutInCell="1" allowOverlap="1" wp14:anchorId="7EEA1A80" wp14:editId="32C32977">
                <wp:simplePos x="0" y="0"/>
                <wp:positionH relativeFrom="column">
                  <wp:posOffset>1778</wp:posOffset>
                </wp:positionH>
                <wp:positionV relativeFrom="paragraph">
                  <wp:posOffset>1778</wp:posOffset>
                </wp:positionV>
                <wp:extent cx="5716524" cy="457200"/>
                <wp:effectExtent l="0" t="0" r="0" b="0"/>
                <wp:wrapNone/>
                <wp:docPr id="1657951183" name="Rectangle 1"/>
                <wp:cNvGraphicFramePr/>
                <a:graphic xmlns:a="http://schemas.openxmlformats.org/drawingml/2006/main">
                  <a:graphicData uri="http://schemas.microsoft.com/office/word/2010/wordprocessingShape">
                    <wps:wsp>
                      <wps:cNvSpPr/>
                      <wps:spPr>
                        <a:xfrm>
                          <a:off x="0" y="0"/>
                          <a:ext cx="5716524" cy="457200"/>
                        </a:xfrm>
                        <a:prstGeom prst="rect">
                          <a:avLst/>
                        </a:prstGeom>
                        <a:solidFill>
                          <a:srgbClr val="E5EE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5D06FF" id="Rectangle 1" o:spid="_x0000_s1026" style="position:absolute;margin-left:.15pt;margin-top:.15pt;width:450.1pt;height:36pt;z-index:-2516582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" fillcolor="#e5eef0" stroked="f" strokeweight="2pt"/>
            </w:pict>
          </mc:Fallback>
        </mc:AlternateContent>
      </w:r>
      <w:r w:rsidR="00835D44" w:rsidRPr="00835D44">
        <w:rPr>
          <w:rFonts w:ascii="Source Sans Pro" w:hAnsi="Source Sans Pro"/>
          <w:b/>
          <w:bCs/>
          <w:color w:val="00465D"/>
          <w:sz w:val="28"/>
          <w:szCs w:val="28"/>
        </w:rPr>
        <w:t>Money laundering and terrorism financing risks associated with high-value goods </w:t>
      </w:r>
    </w:p>
    <w:p w14:paraId="188D3E85" w14:textId="33CCFDF8" w:rsidR="00835D44" w:rsidRPr="00515F60" w:rsidRDefault="00835D44" w:rsidP="00512263">
      <w:pPr>
        <w:numPr>
          <w:ilvl w:val="0"/>
          <w:numId w:val="40"/>
        </w:numPr>
        <w:ind w:right="431"/>
        <w:rPr>
          <w:rFonts w:ascii="Source Sans Pro" w:hAnsi="Source Sans Pro"/>
          <w:color w:val="FFFFFF" w:themeColor="background1"/>
        </w:rPr>
      </w:pPr>
      <w:r w:rsidRPr="00515F60">
        <w:rPr>
          <w:rFonts w:ascii="Source Sans Pro" w:hAnsi="Source Sans Pro"/>
          <w:color w:val="FFFFFF" w:themeColor="background1"/>
        </w:rPr>
        <w:t>High-value goods can be vulnerable to money laundering by virtue of their nature, and potential to hold or represent significant value. Thus, they can serve as a substitute for value, that can be used to transfer or conceal criminal proceeds, while evading or obscuring detection. For instance, criminals may use illicit funds to purchase high</w:t>
      </w:r>
      <w:r w:rsidR="00F52916">
        <w:rPr>
          <w:rFonts w:ascii="Source Sans Pro" w:hAnsi="Source Sans Pro"/>
          <w:color w:val="FFFFFF" w:themeColor="background1"/>
        </w:rPr>
        <w:t>-</w:t>
      </w:r>
      <w:r w:rsidRPr="00515F60">
        <w:rPr>
          <w:rFonts w:ascii="Source Sans Pro" w:hAnsi="Source Sans Pro"/>
          <w:color w:val="FFFFFF" w:themeColor="background1"/>
        </w:rPr>
        <w:t>value artistic or cultural objects which they then store in private residencies or storage facilities as a means to store value. Some types of high-value goods are small in size, meaning they can be easily hidden and transported, thus can be utilised to facilitate the cross-border movement of illicit proceeds. </w:t>
      </w:r>
    </w:p>
    <w:p w14:paraId="7DA4387F" w14:textId="77777777" w:rsidR="00835D44" w:rsidRPr="00515F60" w:rsidRDefault="00835D44" w:rsidP="00512263">
      <w:pPr>
        <w:numPr>
          <w:ilvl w:val="0"/>
          <w:numId w:val="41"/>
        </w:numPr>
        <w:ind w:right="431"/>
        <w:rPr>
          <w:rFonts w:ascii="Source Sans Pro" w:hAnsi="Source Sans Pro"/>
          <w:color w:val="FFFFFF" w:themeColor="background1"/>
        </w:rPr>
      </w:pPr>
      <w:r w:rsidRPr="00515F60">
        <w:rPr>
          <w:rFonts w:ascii="Source Sans Pro" w:hAnsi="Source Sans Pro"/>
          <w:color w:val="FFFFFF" w:themeColor="background1"/>
        </w:rPr>
        <w:t>In some cases, the acquisition of these objects serves not only to launder criminal proceeds but also to offer personal enjoyment or confer social status.  </w:t>
      </w:r>
    </w:p>
    <w:p w14:paraId="20186B95" w14:textId="77777777" w:rsidR="00835D44" w:rsidRPr="00515F60" w:rsidRDefault="00835D44" w:rsidP="00512263">
      <w:pPr>
        <w:numPr>
          <w:ilvl w:val="0"/>
          <w:numId w:val="42"/>
        </w:numPr>
        <w:ind w:right="431"/>
        <w:rPr>
          <w:rFonts w:ascii="Source Sans Pro" w:hAnsi="Source Sans Pro"/>
          <w:color w:val="FFFFFF" w:themeColor="background1"/>
        </w:rPr>
      </w:pPr>
      <w:r w:rsidRPr="00515F60">
        <w:rPr>
          <w:rFonts w:ascii="Source Sans Pro" w:hAnsi="Source Sans Pro"/>
          <w:color w:val="FFFFFF" w:themeColor="background1"/>
        </w:rPr>
        <w:t>Cultural objects originating from areas where terrorist groups or terrorist activities are operating can be vulnerable to terrorist financing, including via proceeds from the smuggling of illegally excavated or looted items. </w:t>
      </w:r>
    </w:p>
    <w:p w14:paraId="0961BC87" w14:textId="77777777" w:rsidR="00A3394C" w:rsidRPr="00515F60" w:rsidRDefault="00835D44" w:rsidP="00512263">
      <w:pPr>
        <w:numPr>
          <w:ilvl w:val="0"/>
          <w:numId w:val="43"/>
        </w:numPr>
        <w:ind w:right="431"/>
        <w:rPr>
          <w:rFonts w:ascii="Source Sans Pro" w:hAnsi="Source Sans Pro"/>
          <w:color w:val="FFFFFF" w:themeColor="background1"/>
        </w:rPr>
      </w:pPr>
      <w:r w:rsidRPr="00515F60">
        <w:rPr>
          <w:rFonts w:ascii="Source Sans Pro" w:hAnsi="Source Sans Pro"/>
          <w:color w:val="FFFFFF" w:themeColor="background1"/>
        </w:rPr>
        <w:t>Dealers in high-value goods can be vulnerable to misuse for the following reasons: </w:t>
      </w:r>
    </w:p>
    <w:p w14:paraId="7477E20F" w14:textId="5A37F087" w:rsidR="00A3394C" w:rsidRPr="00515F60" w:rsidRDefault="00835D44" w:rsidP="00512263">
      <w:pPr>
        <w:numPr>
          <w:ilvl w:val="1"/>
          <w:numId w:val="55"/>
        </w:numPr>
        <w:ind w:right="431"/>
        <w:rPr>
          <w:rFonts w:ascii="Source Sans Pro" w:hAnsi="Source Sans Pro"/>
          <w:color w:val="FFFFFF" w:themeColor="background1"/>
        </w:rPr>
      </w:pPr>
      <w:r w:rsidRPr="00515F60">
        <w:rPr>
          <w:rFonts w:ascii="Source Sans Pro" w:hAnsi="Source Sans Pro"/>
          <w:b/>
          <w:bCs/>
          <w:color w:val="FFFFFF" w:themeColor="background1"/>
        </w:rPr>
        <w:t xml:space="preserve">Use of cash in transactions: </w:t>
      </w:r>
      <w:r w:rsidRPr="00515F60">
        <w:rPr>
          <w:rFonts w:ascii="Source Sans Pro" w:hAnsi="Source Sans Pro"/>
          <w:color w:val="FFFFFF" w:themeColor="background1"/>
        </w:rPr>
        <w:t>purchasing high</w:t>
      </w:r>
      <w:r w:rsidR="00F52916">
        <w:rPr>
          <w:rFonts w:ascii="Source Sans Pro" w:hAnsi="Source Sans Pro"/>
          <w:color w:val="FFFFFF" w:themeColor="background1"/>
        </w:rPr>
        <w:t>-</w:t>
      </w:r>
      <w:r w:rsidRPr="00515F60">
        <w:rPr>
          <w:rFonts w:ascii="Source Sans Pro" w:hAnsi="Source Sans Pro"/>
          <w:color w:val="FFFFFF" w:themeColor="background1"/>
        </w:rPr>
        <w:t>value goods may be a way to legitimise illicit cash, converting it to an asset that retains value and can be sold later. </w:t>
      </w:r>
    </w:p>
    <w:p w14:paraId="626EE07A" w14:textId="77777777" w:rsidR="00A3394C" w:rsidRPr="00515F60" w:rsidRDefault="00835D44" w:rsidP="00512263">
      <w:pPr>
        <w:numPr>
          <w:ilvl w:val="1"/>
          <w:numId w:val="55"/>
        </w:numPr>
        <w:ind w:right="431"/>
        <w:rPr>
          <w:rFonts w:ascii="Source Sans Pro" w:hAnsi="Source Sans Pro"/>
          <w:color w:val="FFFFFF" w:themeColor="background1"/>
        </w:rPr>
      </w:pPr>
      <w:r w:rsidRPr="00515F60">
        <w:rPr>
          <w:rFonts w:ascii="Source Sans Pro" w:hAnsi="Source Sans Pro"/>
          <w:b/>
          <w:bCs/>
          <w:color w:val="FFFFFF" w:themeColor="background1"/>
        </w:rPr>
        <w:t xml:space="preserve">Misuse of intermediaries, legal persons or arrangements: </w:t>
      </w:r>
      <w:r w:rsidRPr="00515F60">
        <w:rPr>
          <w:rFonts w:ascii="Source Sans Pro" w:hAnsi="Source Sans Pro"/>
          <w:color w:val="FFFFFF" w:themeColor="background1"/>
        </w:rPr>
        <w:t>the use of intermediaries to conceal the beneficiary of the transaction, disguising their identity(ies) and further obscuring the source of funds. </w:t>
      </w:r>
    </w:p>
    <w:p w14:paraId="50EC019D" w14:textId="77777777" w:rsidR="00A3394C" w:rsidRPr="00515F60" w:rsidRDefault="00835D44" w:rsidP="00512263">
      <w:pPr>
        <w:numPr>
          <w:ilvl w:val="1"/>
          <w:numId w:val="55"/>
        </w:numPr>
        <w:ind w:right="431"/>
        <w:rPr>
          <w:rFonts w:ascii="Source Sans Pro" w:hAnsi="Source Sans Pro"/>
          <w:color w:val="FFFFFF" w:themeColor="background1"/>
        </w:rPr>
      </w:pPr>
      <w:r w:rsidRPr="00515F60">
        <w:rPr>
          <w:rFonts w:ascii="Source Sans Pro" w:hAnsi="Source Sans Pro"/>
          <w:b/>
          <w:bCs/>
          <w:color w:val="FFFFFF" w:themeColor="background1"/>
        </w:rPr>
        <w:t>Use of under or over-pricing: </w:t>
      </w:r>
      <w:r w:rsidRPr="00515F60">
        <w:rPr>
          <w:rFonts w:ascii="Source Sans Pro" w:hAnsi="Source Sans Pro"/>
          <w:color w:val="FFFFFF" w:themeColor="background1"/>
        </w:rPr>
        <w:t xml:space="preserve"> to conceal value or legitimise illicit proceeds. High-value goods can be unique, making their value subjective and potentially volatile. </w:t>
      </w:r>
    </w:p>
    <w:p w14:paraId="7F5B14E1" w14:textId="7DE83952" w:rsidR="00835D44" w:rsidRPr="00515F60" w:rsidRDefault="00835D44" w:rsidP="00512263">
      <w:pPr>
        <w:numPr>
          <w:ilvl w:val="1"/>
          <w:numId w:val="55"/>
        </w:numPr>
        <w:ind w:right="431"/>
        <w:rPr>
          <w:rFonts w:ascii="Source Sans Pro" w:hAnsi="Source Sans Pro"/>
          <w:color w:val="FFFFFF" w:themeColor="background1"/>
        </w:rPr>
      </w:pPr>
      <w:r w:rsidRPr="00515F60">
        <w:rPr>
          <w:rFonts w:ascii="Source Sans Pro" w:hAnsi="Source Sans Pro"/>
          <w:b/>
          <w:bCs/>
          <w:color w:val="FFFFFF" w:themeColor="background1"/>
        </w:rPr>
        <w:t>Collusion between buyers and sellers:</w:t>
      </w:r>
      <w:r w:rsidRPr="00515F60">
        <w:rPr>
          <w:rFonts w:ascii="Source Sans Pro" w:hAnsi="Source Sans Pro"/>
          <w:color w:val="FFFFFF" w:themeColor="background1"/>
        </w:rPr>
        <w:t xml:space="preserve"> for instance, a launderer may list a good for auction that is purchased by an accomplice using illicit cash. The launderer then receives a transfer from the auctioneer to their account for the sale, successfully placing the illicit funds in the financial system. </w:t>
      </w:r>
    </w:p>
    <w:p w14:paraId="643CFAD1" w14:textId="54DF6EA0" w:rsidR="00835D44" w:rsidRPr="00515F60" w:rsidRDefault="00835D44" w:rsidP="00512263">
      <w:pPr>
        <w:numPr>
          <w:ilvl w:val="0"/>
          <w:numId w:val="44"/>
        </w:numPr>
        <w:ind w:right="431"/>
        <w:rPr>
          <w:rFonts w:ascii="Source Sans Pro" w:hAnsi="Source Sans Pro"/>
          <w:color w:val="FFFFFF" w:themeColor="background1"/>
        </w:rPr>
      </w:pPr>
      <w:r w:rsidRPr="00515F60">
        <w:rPr>
          <w:rFonts w:ascii="Source Sans Pro" w:hAnsi="Source Sans Pro"/>
          <w:color w:val="FFFFFF" w:themeColor="background1"/>
        </w:rPr>
        <w:t xml:space="preserve">High-value dealers should therefore be alert to red flag indicators, including those provided in </w:t>
      </w:r>
      <w:r w:rsidRPr="00515F60">
        <w:rPr>
          <w:rFonts w:ascii="Source Sans Pro" w:hAnsi="Source Sans Pro"/>
          <w:b/>
          <w:bCs/>
          <w:color w:val="FFFFFF" w:themeColor="background1"/>
        </w:rPr>
        <w:t>Appendix 2</w:t>
      </w:r>
      <w:r w:rsidRPr="00515F60">
        <w:rPr>
          <w:rFonts w:ascii="Source Sans Pro" w:hAnsi="Source Sans Pro"/>
          <w:color w:val="FFFFFF" w:themeColor="background1"/>
        </w:rPr>
        <w:t>. </w:t>
      </w:r>
    </w:p>
    <w:p w14:paraId="78B441BC" w14:textId="2CF1731C" w:rsidR="008C49EB" w:rsidRDefault="008C49EB" w:rsidP="00852075">
      <w:pPr>
        <w:ind w:right="431" w:firstLine="360"/>
        <w:rPr>
          <w:rFonts w:ascii="Source Sans Pro" w:hAnsi="Source Sans Pro"/>
          <w:b/>
          <w:bCs/>
          <w:color w:val="00465D"/>
          <w:sz w:val="28"/>
          <w:szCs w:val="28"/>
        </w:rPr>
      </w:pPr>
    </w:p>
    <w:p w14:paraId="6B2D072F" w14:textId="1AA3C5FF" w:rsidR="008C49EB" w:rsidRDefault="008C49EB" w:rsidP="00852075">
      <w:pPr>
        <w:ind w:right="431" w:firstLine="360"/>
        <w:rPr>
          <w:rFonts w:ascii="Source Sans Pro" w:hAnsi="Source Sans Pro"/>
          <w:b/>
          <w:bCs/>
          <w:color w:val="00465D"/>
          <w:sz w:val="28"/>
          <w:szCs w:val="28"/>
        </w:rPr>
      </w:pPr>
      <w:r>
        <w:rPr>
          <w:rFonts w:ascii="Source Sans Pro" w:eastAsiaTheme="minorEastAsia" w:hAnsi="Source Sans Pro" w:cstheme="minorBidi"/>
          <w:noProof/>
          <w:color w:val="FFFFFF" w:themeColor="background1"/>
        </w:rPr>
        <mc:AlternateContent>
          <mc:Choice Requires="wps">
            <w:drawing>
              <wp:anchor distT="0" distB="0" distL="114300" distR="114300" simplePos="0" relativeHeight="251658247" behindDoc="1" locked="0" layoutInCell="1" allowOverlap="1" wp14:anchorId="6DD3B584" wp14:editId="6167C440">
                <wp:simplePos x="0" y="0"/>
                <wp:positionH relativeFrom="column">
                  <wp:posOffset>4914132</wp:posOffset>
                </wp:positionH>
                <wp:positionV relativeFrom="page">
                  <wp:posOffset>9589135</wp:posOffset>
                </wp:positionV>
                <wp:extent cx="801713" cy="458058"/>
                <wp:effectExtent l="0" t="0" r="0" b="0"/>
                <wp:wrapNone/>
                <wp:docPr id="422870032" name="Rectangle 3"/>
                <wp:cNvGraphicFramePr/>
                <a:graphic xmlns:a="http://schemas.openxmlformats.org/drawingml/2006/main">
                  <a:graphicData uri="http://schemas.microsoft.com/office/word/2010/wordprocessingShape">
                    <wps:wsp>
                      <wps:cNvSpPr/>
                      <wps:spPr>
                        <a:xfrm>
                          <a:off x="0" y="0"/>
                          <a:ext cx="801713" cy="458058"/>
                        </a:xfrm>
                        <a:prstGeom prst="rect">
                          <a:avLst/>
                        </a:prstGeom>
                        <a:gradFill flip="none" rotWithShape="1">
                          <a:gsLst>
                            <a:gs pos="0">
                              <a:srgbClr val="00465D"/>
                            </a:gs>
                            <a:gs pos="100000">
                              <a:srgbClr val="2D657D"/>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5F19E4" w14:textId="1A9A247A" w:rsidR="008C49EB" w:rsidRPr="00BF1883" w:rsidRDefault="008C49EB" w:rsidP="008C49EB">
                            <w:pPr>
                              <w:jc w:val="center"/>
                              <w:rPr>
                                <w:color w:val="D9D9D9" w:themeColor="background1" w:themeShade="D9"/>
                                <w:sz w:val="16"/>
                                <w:szCs w:val="16"/>
                              </w:rPr>
                            </w:pPr>
                            <w:r>
                              <w:rPr>
                                <w:b/>
                                <w:bCs/>
                                <w:color w:val="FFFFFF" w:themeColor="background1"/>
                              </w:rPr>
                              <w:t>4</w:t>
                            </w:r>
                            <w:r>
                              <w:rPr>
                                <w:color w:val="FFFFFF" w:themeColor="background1"/>
                              </w:rPr>
                              <w:t xml:space="preserve"> </w:t>
                            </w:r>
                            <w:r w:rsidRPr="00BF1883">
                              <w:rPr>
                                <w:color w:val="D9D9D9" w:themeColor="background1" w:themeShade="D9"/>
                                <w:sz w:val="16"/>
                                <w:szCs w:val="16"/>
                              </w:rPr>
                              <w:t xml:space="preserve">/ </w:t>
                            </w:r>
                            <w:r>
                              <w:rPr>
                                <w:color w:val="D9D9D9" w:themeColor="background1" w:themeShade="D9"/>
                                <w:sz w:val="16"/>
                                <w:szCs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3B584" id="_x0000_s1029" style="position:absolute;left:0;text-align:left;margin-left:386.95pt;margin-top:755.05pt;width:63.15pt;height:36.0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" fillcolor="#00465d" stroked="f" strokeweight="2pt">
                <v:fill color2="#2d657d" rotate="t" angle="90" focus="100%" type="gradient"/>
                <v:textbox>
                  <w:txbxContent>
                    <w:p w14:paraId="465F19E4" w14:textId="1A9A247A" w:rsidR="008C49EB" w:rsidRPr="00BF1883" w:rsidRDefault="008C49EB" w:rsidP="008C49EB">
                      <w:pPr>
                        <w:jc w:val="center"/>
                        <w:rPr>
                          <w:color w:val="D9D9D9" w:themeColor="background1" w:themeShade="D9"/>
                          <w:sz w:val="16"/>
                          <w:szCs w:val="16"/>
                        </w:rPr>
                      </w:pPr>
                      <w:r>
                        <w:rPr>
                          <w:b/>
                          <w:bCs/>
                          <w:color w:val="FFFFFF" w:themeColor="background1"/>
                        </w:rPr>
                        <w:t>4</w:t>
                      </w:r>
                      <w:r>
                        <w:rPr>
                          <w:color w:val="FFFFFF" w:themeColor="background1"/>
                        </w:rPr>
                        <w:t xml:space="preserve"> </w:t>
                      </w:r>
                      <w:r w:rsidRPr="00BF1883">
                        <w:rPr>
                          <w:color w:val="D9D9D9" w:themeColor="background1" w:themeShade="D9"/>
                          <w:sz w:val="16"/>
                          <w:szCs w:val="16"/>
                        </w:rPr>
                        <w:t xml:space="preserve">/ </w:t>
                      </w:r>
                      <w:r>
                        <w:rPr>
                          <w:color w:val="D9D9D9" w:themeColor="background1" w:themeShade="D9"/>
                          <w:sz w:val="16"/>
                          <w:szCs w:val="16"/>
                        </w:rPr>
                        <w:t>6</w:t>
                      </w:r>
                    </w:p>
                  </w:txbxContent>
                </v:textbox>
                <w10:wrap anchory="page"/>
              </v:rect>
            </w:pict>
          </mc:Fallback>
        </mc:AlternateContent>
      </w:r>
    </w:p>
    <w:p w14:paraId="0428C5ED" w14:textId="532E71F3" w:rsidR="008C49EB" w:rsidRDefault="008C49EB" w:rsidP="00852075">
      <w:pPr>
        <w:ind w:right="431" w:firstLine="360"/>
        <w:rPr>
          <w:rFonts w:ascii="Source Sans Pro" w:hAnsi="Source Sans Pro"/>
          <w:b/>
          <w:bCs/>
          <w:color w:val="00465D"/>
          <w:sz w:val="28"/>
          <w:szCs w:val="28"/>
        </w:rPr>
      </w:pPr>
    </w:p>
    <w:p w14:paraId="126F002A" w14:textId="685E9B12" w:rsidR="00835D44" w:rsidRPr="00515F60" w:rsidRDefault="00515F60" w:rsidP="00852075">
      <w:pPr>
        <w:ind w:right="431" w:firstLine="360"/>
        <w:rPr>
          <w:rFonts w:ascii="Source Sans Pro" w:hAnsi="Source Sans Pro"/>
          <w:b/>
          <w:bCs/>
          <w:color w:val="FFFFFF" w:themeColor="background1"/>
          <w:sz w:val="28"/>
          <w:szCs w:val="28"/>
        </w:rPr>
      </w:pPr>
      <w:r w:rsidRPr="00515F60">
        <w:rPr>
          <w:rFonts w:ascii="Source Sans Pro" w:hAnsi="Source Sans Pro"/>
          <w:b/>
          <w:bCs/>
          <w:noProof/>
          <w:color w:val="FFFFFF" w:themeColor="background1"/>
          <w:sz w:val="28"/>
          <w:szCs w:val="28"/>
        </w:rPr>
        <w:lastRenderedPageBreak/>
        <mc:AlternateContent>
          <mc:Choice Requires="wps">
            <w:drawing>
              <wp:anchor distT="0" distB="0" distL="114300" distR="114300" simplePos="0" relativeHeight="251658246" behindDoc="1" locked="0" layoutInCell="1" allowOverlap="1" wp14:anchorId="106FEF3D" wp14:editId="0C876901">
                <wp:simplePos x="0" y="0"/>
                <wp:positionH relativeFrom="column">
                  <wp:posOffset>1778</wp:posOffset>
                </wp:positionH>
                <wp:positionV relativeFrom="paragraph">
                  <wp:posOffset>1778</wp:posOffset>
                </wp:positionV>
                <wp:extent cx="5716524" cy="2857500"/>
                <wp:effectExtent l="0" t="0" r="0" b="0"/>
                <wp:wrapNone/>
                <wp:docPr id="653696951" name="Rectangle 3"/>
                <wp:cNvGraphicFramePr/>
                <a:graphic xmlns:a="http://schemas.openxmlformats.org/drawingml/2006/main">
                  <a:graphicData uri="http://schemas.microsoft.com/office/word/2010/wordprocessingShape">
                    <wps:wsp>
                      <wps:cNvSpPr/>
                      <wps:spPr>
                        <a:xfrm>
                          <a:off x="0" y="0"/>
                          <a:ext cx="5716524" cy="2857500"/>
                        </a:xfrm>
                        <a:prstGeom prst="rect">
                          <a:avLst/>
                        </a:prstGeom>
                        <a:gradFill flip="none" rotWithShape="1">
                          <a:gsLst>
                            <a:gs pos="0">
                              <a:srgbClr val="00465D"/>
                            </a:gs>
                            <a:gs pos="100000">
                              <a:srgbClr val="2D657D"/>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FB31AC" id="Rectangle 3" o:spid="_x0000_s1026" style="position:absolute;margin-left:.15pt;margin-top:.15pt;width:450.1pt;height:225pt;z-index:-25165823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" fillcolor="#00465d" stroked="f" strokeweight="2pt">
                <v:fill color2="#2d657d" rotate="t" angle="90" focus="100%" type="gradient"/>
              </v:rect>
            </w:pict>
          </mc:Fallback>
        </mc:AlternateContent>
      </w:r>
      <w:r w:rsidR="00835D44" w:rsidRPr="00515F60">
        <w:rPr>
          <w:rFonts w:ascii="Source Sans Pro" w:hAnsi="Source Sans Pro"/>
          <w:b/>
          <w:bCs/>
          <w:color w:val="FFFFFF" w:themeColor="background1"/>
          <w:sz w:val="28"/>
          <w:szCs w:val="28"/>
        </w:rPr>
        <w:t>Provenance </w:t>
      </w:r>
    </w:p>
    <w:p w14:paraId="476615BD" w14:textId="4430C2AE" w:rsidR="00835D44" w:rsidRPr="00515F60" w:rsidRDefault="00835D44" w:rsidP="00512263">
      <w:pPr>
        <w:numPr>
          <w:ilvl w:val="0"/>
          <w:numId w:val="45"/>
        </w:numPr>
        <w:ind w:right="431"/>
        <w:rPr>
          <w:rFonts w:ascii="Source Sans Pro" w:hAnsi="Source Sans Pro"/>
          <w:color w:val="FFFFFF" w:themeColor="background1"/>
        </w:rPr>
      </w:pPr>
      <w:r w:rsidRPr="00515F60">
        <w:rPr>
          <w:rFonts w:ascii="Source Sans Pro" w:hAnsi="Source Sans Pro"/>
          <w:color w:val="FFFFFF" w:themeColor="background1"/>
        </w:rPr>
        <w:t>An underlying principle in dealing with arts, antiquities, or taonga</w:t>
      </w:r>
      <w:r w:rsidR="00FC0AC7" w:rsidRPr="00515F60">
        <w:rPr>
          <w:rStyle w:val="FootnoteReference"/>
          <w:color w:val="FFFFFF" w:themeColor="background1"/>
        </w:rPr>
        <w:footnoteReference w:id="18"/>
      </w:r>
      <w:r w:rsidRPr="00515F60">
        <w:rPr>
          <w:rFonts w:ascii="Source Sans Pro" w:hAnsi="Source Sans Pro"/>
          <w:color w:val="FFFFFF" w:themeColor="background1"/>
        </w:rPr>
        <w:t xml:space="preserve"> is provenance. </w:t>
      </w:r>
    </w:p>
    <w:p w14:paraId="325CBC44" w14:textId="77777777" w:rsidR="00835D44" w:rsidRPr="00515F60" w:rsidRDefault="00835D44" w:rsidP="00512263">
      <w:pPr>
        <w:numPr>
          <w:ilvl w:val="0"/>
          <w:numId w:val="46"/>
        </w:numPr>
        <w:ind w:right="431"/>
        <w:rPr>
          <w:rFonts w:ascii="Source Sans Pro" w:hAnsi="Source Sans Pro"/>
          <w:color w:val="FFFFFF" w:themeColor="background1"/>
        </w:rPr>
      </w:pPr>
      <w:r w:rsidRPr="00515F60">
        <w:rPr>
          <w:rFonts w:ascii="Source Sans Pro" w:hAnsi="Source Sans Pro"/>
          <w:color w:val="FFFFFF" w:themeColor="background1"/>
        </w:rPr>
        <w:t>Provenance refers to an item/object’s source, or origin, as well as its record of ownership. It establishes the context of the item/object, for both its time of manufacture and production, as well as its discovery. These are important elements for identifying possible illicit activity and in many cases may be an effective tool in the identification and reporting of suspicious activity. </w:t>
      </w:r>
    </w:p>
    <w:p w14:paraId="2AAF56EB" w14:textId="2F13584A" w:rsidR="00835D44" w:rsidRPr="00515F60" w:rsidRDefault="00835D44" w:rsidP="00512263">
      <w:pPr>
        <w:numPr>
          <w:ilvl w:val="0"/>
          <w:numId w:val="47"/>
        </w:numPr>
        <w:ind w:right="431"/>
        <w:rPr>
          <w:rFonts w:ascii="Source Sans Pro" w:hAnsi="Source Sans Pro"/>
          <w:color w:val="FFFFFF" w:themeColor="background1"/>
        </w:rPr>
      </w:pPr>
      <w:r w:rsidRPr="00515F60">
        <w:rPr>
          <w:rFonts w:ascii="Source Sans Pro" w:hAnsi="Source Sans Pro"/>
          <w:color w:val="FFFFFF" w:themeColor="background1"/>
        </w:rPr>
        <w:t>Provenance should be conducted on high</w:t>
      </w:r>
      <w:r w:rsidR="00F52916">
        <w:rPr>
          <w:rFonts w:ascii="Source Sans Pro" w:hAnsi="Source Sans Pro"/>
          <w:color w:val="FFFFFF" w:themeColor="background1"/>
        </w:rPr>
        <w:t>-</w:t>
      </w:r>
      <w:r w:rsidRPr="00515F60">
        <w:rPr>
          <w:rFonts w:ascii="Source Sans Pro" w:hAnsi="Source Sans Pro"/>
          <w:color w:val="FFFFFF" w:themeColor="background1"/>
        </w:rPr>
        <w:t>value art, antiquities, and taonga. Regions experiencing armed conflict and political instability are especially vulnerable to illicit trade, and special attention should be made for arts and antiquities originating from those areas. </w:t>
      </w:r>
    </w:p>
    <w:p w14:paraId="23A64386" w14:textId="77777777" w:rsidR="00835D44" w:rsidRPr="00835D44" w:rsidRDefault="00835D44" w:rsidP="00852075">
      <w:pPr>
        <w:ind w:right="431" w:firstLine="360"/>
        <w:rPr>
          <w:rFonts w:ascii="Source Sans Pro" w:hAnsi="Source Sans Pro"/>
          <w:b/>
          <w:bCs/>
          <w:color w:val="00465D"/>
          <w:sz w:val="28"/>
          <w:szCs w:val="28"/>
        </w:rPr>
      </w:pPr>
      <w:r w:rsidRPr="00835D44">
        <w:rPr>
          <w:rFonts w:ascii="Source Sans Pro" w:hAnsi="Source Sans Pro"/>
          <w:b/>
          <w:bCs/>
          <w:color w:val="00465D"/>
          <w:sz w:val="28"/>
          <w:szCs w:val="28"/>
        </w:rPr>
        <w:t>Further information </w:t>
      </w:r>
    </w:p>
    <w:p w14:paraId="3C793077" w14:textId="142EE248" w:rsidR="00835D44" w:rsidRPr="00835D44" w:rsidRDefault="00835D44" w:rsidP="00512263">
      <w:pPr>
        <w:numPr>
          <w:ilvl w:val="0"/>
          <w:numId w:val="48"/>
        </w:numPr>
        <w:ind w:right="431"/>
        <w:rPr>
          <w:rFonts w:ascii="Source Sans Pro" w:hAnsi="Source Sans Pro"/>
        </w:rPr>
      </w:pPr>
      <w:r w:rsidRPr="00835D44">
        <w:rPr>
          <w:rFonts w:ascii="Source Sans Pro" w:hAnsi="Source Sans Pro"/>
        </w:rPr>
        <w:t>For further information on crime types that pose a money laundering, terrorist financing or proliferation financing threat and sectoral vulnerabilities, including high</w:t>
      </w:r>
      <w:r w:rsidR="00B35A6E">
        <w:rPr>
          <w:rFonts w:ascii="Source Sans Pro" w:hAnsi="Source Sans Pro"/>
        </w:rPr>
        <w:t>-</w:t>
      </w:r>
      <w:r w:rsidRPr="00835D44">
        <w:rPr>
          <w:rFonts w:ascii="Source Sans Pro" w:hAnsi="Source Sans Pro"/>
        </w:rPr>
        <w:t xml:space="preserve">value dealers, it is recommended to refer to the </w:t>
      </w:r>
      <w:hyperlink r:id="rId14" w:tgtFrame="_blank" w:history="1">
        <w:r w:rsidRPr="00835D44">
          <w:rPr>
            <w:rStyle w:val="Hyperlink"/>
            <w:rFonts w:ascii="Source Sans Pro" w:hAnsi="Source Sans Pro"/>
          </w:rPr>
          <w:t>National Risk Assessment</w:t>
        </w:r>
      </w:hyperlink>
      <w:r w:rsidRPr="00835D44">
        <w:rPr>
          <w:rFonts w:ascii="Source Sans Pro" w:hAnsi="Source Sans Pro"/>
        </w:rPr>
        <w:t>. </w:t>
      </w:r>
    </w:p>
    <w:p w14:paraId="10451555" w14:textId="49B13F2D" w:rsidR="00835D44" w:rsidRPr="00835D44" w:rsidRDefault="00835D44" w:rsidP="00512263">
      <w:pPr>
        <w:numPr>
          <w:ilvl w:val="0"/>
          <w:numId w:val="49"/>
        </w:numPr>
        <w:ind w:right="431"/>
        <w:rPr>
          <w:rFonts w:ascii="Source Sans Pro" w:hAnsi="Source Sans Pro"/>
        </w:rPr>
      </w:pPr>
      <w:r w:rsidRPr="00835D44">
        <w:rPr>
          <w:rFonts w:ascii="Source Sans Pro" w:hAnsi="Source Sans Pro"/>
        </w:rPr>
        <w:t>If you require further information on the application of the Act, please contact Department of Internal Affairs</w:t>
      </w:r>
      <w:r w:rsidR="009E4353">
        <w:rPr>
          <w:rFonts w:ascii="Source Sans Pro" w:hAnsi="Source Sans Pro"/>
        </w:rPr>
        <w:t xml:space="preserve"> </w:t>
      </w:r>
      <w:r w:rsidR="009E4353" w:rsidRPr="00835D44">
        <w:rPr>
          <w:rFonts w:ascii="Source Sans Pro" w:hAnsi="Source Sans Pro"/>
        </w:rPr>
        <w:t>Te Tari Taiwhenua</w:t>
      </w:r>
      <w:r w:rsidRPr="00835D44">
        <w:rPr>
          <w:rFonts w:ascii="Source Sans Pro" w:hAnsi="Source Sans Pro"/>
        </w:rPr>
        <w:t xml:space="preserve">, AML/CFT Group on </w:t>
      </w:r>
      <w:hyperlink r:id="rId15" w:tgtFrame="_blank" w:history="1">
        <w:r w:rsidRPr="00835D44">
          <w:rPr>
            <w:rStyle w:val="Hyperlink"/>
            <w:rFonts w:ascii="Source Sans Pro" w:hAnsi="Source Sans Pro"/>
          </w:rPr>
          <w:t>amlcft@dia.govt.nz</w:t>
        </w:r>
      </w:hyperlink>
      <w:r w:rsidRPr="00835D44">
        <w:rPr>
          <w:rFonts w:ascii="Source Sans Pro" w:hAnsi="Source Sans Pro"/>
        </w:rPr>
        <w:t>. </w:t>
      </w:r>
    </w:p>
    <w:p w14:paraId="45501806" w14:textId="02ACEB1F" w:rsidR="00835D44" w:rsidRPr="00835D44" w:rsidRDefault="00835D44" w:rsidP="00512263">
      <w:pPr>
        <w:numPr>
          <w:ilvl w:val="0"/>
          <w:numId w:val="50"/>
        </w:numPr>
        <w:ind w:right="431"/>
        <w:rPr>
          <w:rFonts w:ascii="Source Sans Pro" w:hAnsi="Source Sans Pro"/>
        </w:rPr>
      </w:pPr>
      <w:r w:rsidRPr="00835D44">
        <w:rPr>
          <w:rFonts w:ascii="Source Sans Pro" w:hAnsi="Source Sans Pro"/>
        </w:rPr>
        <w:t xml:space="preserve">If you require further information regarding the suspicious activity reporting process using the FIU’s </w:t>
      </w:r>
      <w:r w:rsidR="001D41E1">
        <w:rPr>
          <w:rFonts w:ascii="Source Sans Pro" w:hAnsi="Source Sans Pro"/>
        </w:rPr>
        <w:t>g</w:t>
      </w:r>
      <w:r w:rsidRPr="00835D44">
        <w:rPr>
          <w:rFonts w:ascii="Source Sans Pro" w:hAnsi="Source Sans Pro"/>
        </w:rPr>
        <w:t xml:space="preserve">oAML system, please refer to the </w:t>
      </w:r>
      <w:hyperlink r:id="rId16" w:tgtFrame="_blank" w:history="1">
        <w:r w:rsidRPr="00835D44">
          <w:rPr>
            <w:rStyle w:val="Hyperlink"/>
            <w:rFonts w:ascii="Source Sans Pro" w:hAnsi="Source Sans Pro"/>
          </w:rPr>
          <w:t>FIU website</w:t>
        </w:r>
      </w:hyperlink>
      <w:r w:rsidRPr="00835D44">
        <w:rPr>
          <w:rFonts w:ascii="Source Sans Pro" w:hAnsi="Source Sans Pro"/>
        </w:rPr>
        <w:t xml:space="preserve">, access </w:t>
      </w:r>
      <w:hyperlink r:id="rId17" w:tgtFrame="_blank" w:history="1">
        <w:r w:rsidR="001D41E1">
          <w:rPr>
            <w:rStyle w:val="Hyperlink"/>
            <w:rFonts w:ascii="Source Sans Pro" w:hAnsi="Source Sans Pro"/>
          </w:rPr>
          <w:t>goAML</w:t>
        </w:r>
      </w:hyperlink>
      <w:r w:rsidRPr="00835D44">
        <w:rPr>
          <w:rFonts w:ascii="Source Sans Pro" w:hAnsi="Source Sans Pro"/>
        </w:rPr>
        <w:t xml:space="preserve">, </w:t>
      </w:r>
      <w:r w:rsidR="00A85137" w:rsidRPr="00835D44">
        <w:rPr>
          <w:rFonts w:ascii="Source Sans Pro" w:hAnsi="Source Sans Pro"/>
        </w:rPr>
        <w:t>or contact</w:t>
      </w:r>
      <w:r w:rsidRPr="00835D44">
        <w:rPr>
          <w:rFonts w:ascii="Source Sans Pro" w:hAnsi="Source Sans Pro"/>
        </w:rPr>
        <w:t xml:space="preserve"> the FIU on </w:t>
      </w:r>
      <w:hyperlink r:id="rId18" w:tgtFrame="_blank" w:history="1">
        <w:r w:rsidRPr="00835D44">
          <w:rPr>
            <w:rStyle w:val="Hyperlink"/>
            <w:rFonts w:ascii="Source Sans Pro" w:hAnsi="Source Sans Pro"/>
          </w:rPr>
          <w:t>goaml@police.govt.nz</w:t>
        </w:r>
      </w:hyperlink>
      <w:r w:rsidRPr="00835D44">
        <w:rPr>
          <w:rFonts w:ascii="Source Sans Pro" w:hAnsi="Source Sans Pro"/>
        </w:rPr>
        <w:t>. </w:t>
      </w:r>
    </w:p>
    <w:p w14:paraId="2CB67639" w14:textId="77777777" w:rsidR="00835D44" w:rsidRPr="00835D44" w:rsidRDefault="00835D44" w:rsidP="00512263">
      <w:pPr>
        <w:numPr>
          <w:ilvl w:val="0"/>
          <w:numId w:val="51"/>
        </w:numPr>
        <w:ind w:right="431"/>
        <w:rPr>
          <w:rFonts w:ascii="Source Sans Pro" w:hAnsi="Source Sans Pro"/>
        </w:rPr>
      </w:pPr>
      <w:r w:rsidRPr="00835D44">
        <w:rPr>
          <w:rFonts w:ascii="Source Sans Pro" w:hAnsi="Source Sans Pro"/>
        </w:rPr>
        <w:t xml:space="preserve">The </w:t>
      </w:r>
      <w:hyperlink r:id="rId19" w:tgtFrame="_blank" w:history="1">
        <w:r w:rsidRPr="00835D44">
          <w:rPr>
            <w:rStyle w:val="Hyperlink"/>
            <w:rFonts w:ascii="Source Sans Pro" w:hAnsi="Source Sans Pro"/>
          </w:rPr>
          <w:t>Financial Action Taskforce (FATF)</w:t>
        </w:r>
      </w:hyperlink>
      <w:r w:rsidRPr="00835D44">
        <w:rPr>
          <w:rFonts w:ascii="Source Sans Pro" w:hAnsi="Source Sans Pro"/>
        </w:rPr>
        <w:t xml:space="preserve"> provides useful information on ML/TF risks, likewise the </w:t>
      </w:r>
      <w:hyperlink r:id="rId20" w:tgtFrame="_blank" w:history="1">
        <w:r w:rsidRPr="00835D44">
          <w:rPr>
            <w:rStyle w:val="Hyperlink"/>
            <w:rFonts w:ascii="Source Sans Pro" w:hAnsi="Source Sans Pro"/>
          </w:rPr>
          <w:t>Asia Pacific Group on Money Laundering (APG)</w:t>
        </w:r>
      </w:hyperlink>
      <w:r w:rsidRPr="00835D44">
        <w:rPr>
          <w:rFonts w:ascii="Source Sans Pro" w:hAnsi="Source Sans Pro"/>
        </w:rPr>
        <w:t xml:space="preserve"> provides information relevant for this region, including yearly typology reports and up-to-date news on methods and trends. Dealers in other goods, including arts, antiquities and taonga may find the </w:t>
      </w:r>
      <w:hyperlink r:id="rId21" w:tgtFrame="_blank" w:history="1">
        <w:r w:rsidRPr="00835D44">
          <w:rPr>
            <w:rStyle w:val="Hyperlink"/>
            <w:rFonts w:ascii="Source Sans Pro" w:hAnsi="Source Sans Pro"/>
          </w:rPr>
          <w:t>FATF Report on Money Laundering and Terrorist Financing in the Art and Antiquities Market</w:t>
        </w:r>
      </w:hyperlink>
      <w:r w:rsidRPr="00835D44">
        <w:rPr>
          <w:rFonts w:ascii="Source Sans Pro" w:hAnsi="Source Sans Pro"/>
        </w:rPr>
        <w:t xml:space="preserve"> to be of particular relevance.  </w:t>
      </w:r>
    </w:p>
    <w:p w14:paraId="6EE22C97" w14:textId="77777777" w:rsidR="00835D44" w:rsidRPr="00835D44" w:rsidRDefault="00835D44" w:rsidP="00512263">
      <w:pPr>
        <w:numPr>
          <w:ilvl w:val="0"/>
          <w:numId w:val="52"/>
        </w:numPr>
        <w:ind w:right="431"/>
        <w:rPr>
          <w:rFonts w:ascii="Source Sans Pro" w:hAnsi="Source Sans Pro"/>
        </w:rPr>
      </w:pPr>
      <w:r w:rsidRPr="00835D44">
        <w:rPr>
          <w:rFonts w:ascii="Source Sans Pro" w:hAnsi="Source Sans Pro"/>
        </w:rPr>
        <w:t xml:space="preserve">Red flags and indicators can be found in </w:t>
      </w:r>
      <w:r w:rsidRPr="00835D44">
        <w:rPr>
          <w:rFonts w:ascii="Source Sans Pro" w:hAnsi="Source Sans Pro"/>
          <w:b/>
          <w:bCs/>
        </w:rPr>
        <w:t>Appendix 2</w:t>
      </w:r>
      <w:r w:rsidRPr="00835D44">
        <w:rPr>
          <w:rFonts w:ascii="Source Sans Pro" w:hAnsi="Source Sans Pro"/>
        </w:rPr>
        <w:t>. </w:t>
      </w:r>
    </w:p>
    <w:p w14:paraId="75D58C6C" w14:textId="0226DDA7" w:rsidR="00835D44" w:rsidRPr="00294597" w:rsidRDefault="005732B9" w:rsidP="00F34366">
      <w:pPr>
        <w:ind w:right="431" w:firstLine="360"/>
        <w:rPr>
          <w:rFonts w:ascii="Source Sans Pro" w:hAnsi="Source Sans Pro"/>
          <w:b/>
          <w:bCs/>
          <w:color w:val="00465D"/>
          <w:sz w:val="20"/>
          <w:szCs w:val="20"/>
        </w:rPr>
      </w:pPr>
      <w:r>
        <w:rPr>
          <w:rFonts w:ascii="Source Sans Pro" w:hAnsi="Source Sans Pro"/>
          <w:b/>
          <w:bCs/>
          <w:noProof/>
          <w:color w:val="00465D"/>
          <w:sz w:val="20"/>
          <w:szCs w:val="20"/>
        </w:rPr>
        <mc:AlternateContent>
          <mc:Choice Requires="wps">
            <w:drawing>
              <wp:anchor distT="0" distB="0" distL="114300" distR="114300" simplePos="0" relativeHeight="251658243" behindDoc="1" locked="0" layoutInCell="1" allowOverlap="1" wp14:anchorId="7BD32810" wp14:editId="3E71239F">
                <wp:simplePos x="0" y="0"/>
                <wp:positionH relativeFrom="column">
                  <wp:posOffset>341630</wp:posOffset>
                </wp:positionH>
                <wp:positionV relativeFrom="paragraph">
                  <wp:posOffset>236855</wp:posOffset>
                </wp:positionV>
                <wp:extent cx="5144770" cy="685800"/>
                <wp:effectExtent l="0" t="0" r="0" b="0"/>
                <wp:wrapNone/>
                <wp:docPr id="377316876" name="Rectangle 5"/>
                <wp:cNvGraphicFramePr/>
                <a:graphic xmlns:a="http://schemas.openxmlformats.org/drawingml/2006/main">
                  <a:graphicData uri="http://schemas.microsoft.com/office/word/2010/wordprocessingShape">
                    <wps:wsp>
                      <wps:cNvSpPr/>
                      <wps:spPr>
                        <a:xfrm>
                          <a:off x="0" y="0"/>
                          <a:ext cx="5144770" cy="685800"/>
                        </a:xfrm>
                        <a:prstGeom prst="rect">
                          <a:avLst/>
                        </a:prstGeom>
                        <a:solidFill>
                          <a:srgbClr val="FDE8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44B0AC" id="Rectangle 5" o:spid="_x0000_s1026" style="position:absolute;margin-left:26.9pt;margin-top:18.65pt;width:405.1pt;height:54pt;z-index:-2516582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" fillcolor="#fde8c2" stroked="f" strokeweight="2pt"/>
            </w:pict>
          </mc:Fallback>
        </mc:AlternateContent>
      </w:r>
      <w:r w:rsidR="00677759">
        <w:rPr>
          <w:rFonts w:ascii="Source Sans Pro" w:hAnsi="Source Sans Pro"/>
          <w:b/>
          <w:bCs/>
          <w:noProof/>
          <w:color w:val="00465D"/>
          <w:sz w:val="20"/>
          <w:szCs w:val="20"/>
        </w:rPr>
        <mc:AlternateContent>
          <mc:Choice Requires="wps">
            <w:drawing>
              <wp:anchor distT="0" distB="0" distL="114300" distR="114300" simplePos="0" relativeHeight="251658262" behindDoc="0" locked="0" layoutInCell="1" allowOverlap="1" wp14:anchorId="08A528F2" wp14:editId="30F68A61">
                <wp:simplePos x="0" y="0"/>
                <wp:positionH relativeFrom="column">
                  <wp:posOffset>229008</wp:posOffset>
                </wp:positionH>
                <wp:positionV relativeFrom="paragraph">
                  <wp:posOffset>244217</wp:posOffset>
                </wp:positionV>
                <wp:extent cx="113891" cy="685800"/>
                <wp:effectExtent l="0" t="0" r="635" b="0"/>
                <wp:wrapNone/>
                <wp:docPr id="721236106" name="Rectangle 6"/>
                <wp:cNvGraphicFramePr/>
                <a:graphic xmlns:a="http://schemas.openxmlformats.org/drawingml/2006/main">
                  <a:graphicData uri="http://schemas.microsoft.com/office/word/2010/wordprocessingShape">
                    <wps:wsp>
                      <wps:cNvSpPr/>
                      <wps:spPr>
                        <a:xfrm>
                          <a:off x="0" y="0"/>
                          <a:ext cx="113891" cy="685800"/>
                        </a:xfrm>
                        <a:prstGeom prst="rect">
                          <a:avLst/>
                        </a:prstGeom>
                        <a:solidFill>
                          <a:srgbClr val="F7B83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BA3EEF" id="Rectangle 6" o:spid="_x0000_s1026" style="position:absolute;margin-left:18.05pt;margin-top:19.25pt;width:8.95pt;height:54pt;z-index:25165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" fillcolor="#f7b834" stroked="f" strokeweight="2pt"/>
            </w:pict>
          </mc:Fallback>
        </mc:AlternateContent>
      </w:r>
      <w:r w:rsidR="00835D44" w:rsidRPr="00294597">
        <w:rPr>
          <w:rFonts w:ascii="Source Sans Pro" w:hAnsi="Source Sans Pro"/>
          <w:b/>
          <w:bCs/>
          <w:color w:val="00465D"/>
          <w:sz w:val="20"/>
          <w:szCs w:val="20"/>
        </w:rPr>
        <w:t>Disclaimer </w:t>
      </w:r>
    </w:p>
    <w:p w14:paraId="1C78F6E9" w14:textId="04F306B6" w:rsidR="00835D44" w:rsidRPr="008C49EB" w:rsidRDefault="008C49EB" w:rsidP="00F34366">
      <w:pPr>
        <w:ind w:left="720" w:right="431"/>
        <w:rPr>
          <w:rFonts w:ascii="Source Sans Pro" w:hAnsi="Source Sans Pro"/>
          <w:sz w:val="16"/>
          <w:szCs w:val="16"/>
        </w:rPr>
      </w:pPr>
      <w:r>
        <w:rPr>
          <w:rFonts w:ascii="Source Sans Pro" w:eastAsiaTheme="minorEastAsia" w:hAnsi="Source Sans Pro" w:cstheme="minorBidi"/>
          <w:noProof/>
          <w:color w:val="FFFFFF" w:themeColor="background1"/>
        </w:rPr>
        <mc:AlternateContent>
          <mc:Choice Requires="wps">
            <w:drawing>
              <wp:anchor distT="0" distB="0" distL="114300" distR="114300" simplePos="0" relativeHeight="251658248" behindDoc="1" locked="0" layoutInCell="1" allowOverlap="1" wp14:anchorId="7A552352" wp14:editId="5E482B54">
                <wp:simplePos x="0" y="0"/>
                <wp:positionH relativeFrom="column">
                  <wp:posOffset>4913484</wp:posOffset>
                </wp:positionH>
                <wp:positionV relativeFrom="page">
                  <wp:posOffset>9587230</wp:posOffset>
                </wp:positionV>
                <wp:extent cx="801713" cy="458058"/>
                <wp:effectExtent l="0" t="0" r="0" b="0"/>
                <wp:wrapNone/>
                <wp:docPr id="701181666" name="Rectangle 3"/>
                <wp:cNvGraphicFramePr/>
                <a:graphic xmlns:a="http://schemas.openxmlformats.org/drawingml/2006/main">
                  <a:graphicData uri="http://schemas.microsoft.com/office/word/2010/wordprocessingShape">
                    <wps:wsp>
                      <wps:cNvSpPr/>
                      <wps:spPr>
                        <a:xfrm>
                          <a:off x="0" y="0"/>
                          <a:ext cx="801713" cy="458058"/>
                        </a:xfrm>
                        <a:prstGeom prst="rect">
                          <a:avLst/>
                        </a:prstGeom>
                        <a:gradFill flip="none" rotWithShape="1">
                          <a:gsLst>
                            <a:gs pos="0">
                              <a:srgbClr val="00465D"/>
                            </a:gs>
                            <a:gs pos="100000">
                              <a:srgbClr val="2D657D"/>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7618F0" w14:textId="1F1B93D1" w:rsidR="008C49EB" w:rsidRPr="00BF1883" w:rsidRDefault="008C49EB" w:rsidP="008C49EB">
                            <w:pPr>
                              <w:jc w:val="center"/>
                              <w:rPr>
                                <w:color w:val="D9D9D9" w:themeColor="background1" w:themeShade="D9"/>
                                <w:sz w:val="16"/>
                                <w:szCs w:val="16"/>
                              </w:rPr>
                            </w:pPr>
                            <w:r>
                              <w:rPr>
                                <w:b/>
                                <w:bCs/>
                                <w:color w:val="FFFFFF" w:themeColor="background1"/>
                              </w:rPr>
                              <w:t>5</w:t>
                            </w:r>
                            <w:r>
                              <w:rPr>
                                <w:color w:val="FFFFFF" w:themeColor="background1"/>
                              </w:rPr>
                              <w:t xml:space="preserve"> </w:t>
                            </w:r>
                            <w:r w:rsidRPr="00BF1883">
                              <w:rPr>
                                <w:color w:val="D9D9D9" w:themeColor="background1" w:themeShade="D9"/>
                                <w:sz w:val="16"/>
                                <w:szCs w:val="16"/>
                              </w:rPr>
                              <w:t xml:space="preserve">/ </w:t>
                            </w:r>
                            <w:r>
                              <w:rPr>
                                <w:color w:val="D9D9D9" w:themeColor="background1" w:themeShade="D9"/>
                                <w:sz w:val="16"/>
                                <w:szCs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52352" id="_x0000_s1030" style="position:absolute;left:0;text-align:left;margin-left:386.9pt;margin-top:754.9pt;width:63.15pt;height:36.05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" fillcolor="#00465d" stroked="f" strokeweight="2pt">
                <v:fill color2="#2d657d" rotate="t" angle="90" focus="100%" type="gradient"/>
                <v:textbox>
                  <w:txbxContent>
                    <w:p w14:paraId="267618F0" w14:textId="1F1B93D1" w:rsidR="008C49EB" w:rsidRPr="00BF1883" w:rsidRDefault="008C49EB" w:rsidP="008C49EB">
                      <w:pPr>
                        <w:jc w:val="center"/>
                        <w:rPr>
                          <w:color w:val="D9D9D9" w:themeColor="background1" w:themeShade="D9"/>
                          <w:sz w:val="16"/>
                          <w:szCs w:val="16"/>
                        </w:rPr>
                      </w:pPr>
                      <w:r>
                        <w:rPr>
                          <w:b/>
                          <w:bCs/>
                          <w:color w:val="FFFFFF" w:themeColor="background1"/>
                        </w:rPr>
                        <w:t>5</w:t>
                      </w:r>
                      <w:r>
                        <w:rPr>
                          <w:color w:val="FFFFFF" w:themeColor="background1"/>
                        </w:rPr>
                        <w:t xml:space="preserve"> </w:t>
                      </w:r>
                      <w:r w:rsidRPr="00BF1883">
                        <w:rPr>
                          <w:color w:val="D9D9D9" w:themeColor="background1" w:themeShade="D9"/>
                          <w:sz w:val="16"/>
                          <w:szCs w:val="16"/>
                        </w:rPr>
                        <w:t xml:space="preserve">/ </w:t>
                      </w:r>
                      <w:r>
                        <w:rPr>
                          <w:color w:val="D9D9D9" w:themeColor="background1" w:themeShade="D9"/>
                          <w:sz w:val="16"/>
                          <w:szCs w:val="16"/>
                        </w:rPr>
                        <w:t>6</w:t>
                      </w:r>
                    </w:p>
                  </w:txbxContent>
                </v:textbox>
                <w10:wrap anchory="page"/>
              </v:rect>
            </w:pict>
          </mc:Fallback>
        </mc:AlternateContent>
      </w:r>
      <w:r w:rsidR="00835D44" w:rsidRPr="008C49EB">
        <w:rPr>
          <w:rFonts w:ascii="Source Sans Pro" w:hAnsi="Source Sans Pro"/>
          <w:b/>
          <w:bCs/>
          <w:sz w:val="16"/>
          <w:szCs w:val="16"/>
        </w:rPr>
        <w:t>Note:</w:t>
      </w:r>
      <w:r w:rsidR="00835D44" w:rsidRPr="008C49EB">
        <w:rPr>
          <w:rFonts w:ascii="Source Sans Pro" w:hAnsi="Source Sans Pro"/>
          <w:sz w:val="16"/>
          <w:szCs w:val="16"/>
        </w:rPr>
        <w:t xml:space="preserve"> This guidance has been produced by the Department of Internal Affairs under s132(2)(c) of the AML/CFT Act, for high-value dealers and persons in trade to which the cash transaction prohibition applies. This guidance does not set out all obligations under the AML/CFT Act, its associated regulations and codes of practice. This guidance does not constitute legal advice. </w:t>
      </w:r>
    </w:p>
    <w:p w14:paraId="70E79359" w14:textId="34B51BF3" w:rsidR="008C49EB" w:rsidRPr="00532F3C" w:rsidRDefault="008C49EB" w:rsidP="00532F3C">
      <w:pPr>
        <w:ind w:right="431" w:firstLine="360"/>
        <w:rPr>
          <w:rFonts w:ascii="Source Sans Pro" w:hAnsi="Source Sans Pro"/>
          <w:b/>
          <w:color w:val="00465D"/>
          <w:sz w:val="28"/>
          <w:szCs w:val="28"/>
        </w:rPr>
      </w:pPr>
      <w:r w:rsidRPr="008C49EB">
        <w:rPr>
          <w:rFonts w:ascii="Source Sans Pro" w:hAnsi="Source Sans Pro"/>
          <w:b/>
          <w:bCs/>
          <w:color w:val="00465D"/>
          <w:sz w:val="28"/>
          <w:szCs w:val="28"/>
        </w:rPr>
        <w:lastRenderedPageBreak/>
        <w:t>Version History</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4"/>
        <w:gridCol w:w="1784"/>
        <w:gridCol w:w="3389"/>
        <w:gridCol w:w="2023"/>
      </w:tblGrid>
      <w:tr w:rsidR="00546673" w14:paraId="38C0BC71" w14:textId="77777777" w:rsidTr="00EA2F6B">
        <w:tc>
          <w:tcPr>
            <w:tcW w:w="1444" w:type="dxa"/>
            <w:tcBorders>
              <w:bottom w:val="single" w:sz="48" w:space="0" w:color="FFFFFF" w:themeColor="background1"/>
              <w:right w:val="single" w:sz="48" w:space="0" w:color="FFFFFF" w:themeColor="background1"/>
            </w:tcBorders>
            <w:shd w:val="clear" w:color="auto" w:fill="00465D"/>
            <w:vAlign w:val="center"/>
          </w:tcPr>
          <w:p w14:paraId="4D0F49E9" w14:textId="194B48AB" w:rsidR="00E72A6E" w:rsidRPr="00E72A6E" w:rsidRDefault="00E72A6E" w:rsidP="00343D94">
            <w:pPr>
              <w:ind w:firstLine="11"/>
              <w:jc w:val="center"/>
              <w:rPr>
                <w:rFonts w:ascii="Source Sans Pro" w:hAnsi="Source Sans Pro"/>
                <w:b/>
                <w:bCs/>
              </w:rPr>
            </w:pPr>
            <w:r>
              <w:rPr>
                <w:rFonts w:ascii="Source Sans Pro" w:hAnsi="Source Sans Pro"/>
                <w:b/>
                <w:bCs/>
              </w:rPr>
              <w:t>Version</w:t>
            </w:r>
          </w:p>
        </w:tc>
        <w:tc>
          <w:tcPr>
            <w:tcW w:w="1784" w:type="dxa"/>
            <w:tcBorders>
              <w:left w:val="single" w:sz="48" w:space="0" w:color="FFFFFF" w:themeColor="background1"/>
              <w:bottom w:val="single" w:sz="48" w:space="0" w:color="FFFFFF" w:themeColor="background1"/>
              <w:right w:val="single" w:sz="48" w:space="0" w:color="FFFFFF" w:themeColor="background1"/>
            </w:tcBorders>
            <w:shd w:val="clear" w:color="auto" w:fill="00465D"/>
            <w:vAlign w:val="center"/>
          </w:tcPr>
          <w:p w14:paraId="5E934A02" w14:textId="76B90E5C" w:rsidR="00E72A6E" w:rsidRPr="00E72A6E" w:rsidRDefault="00E72A6E" w:rsidP="00343D94">
            <w:pPr>
              <w:jc w:val="center"/>
              <w:rPr>
                <w:rFonts w:ascii="Source Sans Pro" w:hAnsi="Source Sans Pro"/>
                <w:b/>
                <w:bCs/>
              </w:rPr>
            </w:pPr>
            <w:r>
              <w:rPr>
                <w:rFonts w:ascii="Source Sans Pro" w:hAnsi="Source Sans Pro"/>
                <w:b/>
                <w:bCs/>
              </w:rPr>
              <w:t>Date</w:t>
            </w:r>
          </w:p>
        </w:tc>
        <w:tc>
          <w:tcPr>
            <w:tcW w:w="3389" w:type="dxa"/>
            <w:tcBorders>
              <w:left w:val="single" w:sz="48" w:space="0" w:color="FFFFFF" w:themeColor="background1"/>
              <w:bottom w:val="single" w:sz="48" w:space="0" w:color="FFFFFF" w:themeColor="background1"/>
              <w:right w:val="single" w:sz="48" w:space="0" w:color="FFFFFF" w:themeColor="background1"/>
            </w:tcBorders>
            <w:shd w:val="clear" w:color="auto" w:fill="00465D"/>
            <w:vAlign w:val="center"/>
          </w:tcPr>
          <w:p w14:paraId="538B0AD0" w14:textId="574A9C3C" w:rsidR="00E72A6E" w:rsidRPr="00E72A6E" w:rsidRDefault="00E72A6E" w:rsidP="00343D94">
            <w:pPr>
              <w:jc w:val="center"/>
              <w:rPr>
                <w:rFonts w:ascii="Source Sans Pro" w:hAnsi="Source Sans Pro"/>
                <w:b/>
                <w:bCs/>
              </w:rPr>
            </w:pPr>
            <w:r>
              <w:rPr>
                <w:rFonts w:ascii="Source Sans Pro" w:hAnsi="Source Sans Pro"/>
                <w:b/>
                <w:bCs/>
              </w:rPr>
              <w:t>Author</w:t>
            </w:r>
          </w:p>
        </w:tc>
        <w:tc>
          <w:tcPr>
            <w:tcW w:w="2023" w:type="dxa"/>
            <w:tcBorders>
              <w:left w:val="single" w:sz="48" w:space="0" w:color="FFFFFF" w:themeColor="background1"/>
              <w:bottom w:val="single" w:sz="48" w:space="0" w:color="FFFFFF" w:themeColor="background1"/>
            </w:tcBorders>
            <w:shd w:val="clear" w:color="auto" w:fill="00465D"/>
            <w:vAlign w:val="center"/>
          </w:tcPr>
          <w:p w14:paraId="182AB078" w14:textId="0F1211BD" w:rsidR="00E72A6E" w:rsidRPr="00E72A6E" w:rsidRDefault="00E72A6E" w:rsidP="00343D94">
            <w:pPr>
              <w:jc w:val="center"/>
              <w:rPr>
                <w:rFonts w:ascii="Source Sans Pro" w:hAnsi="Source Sans Pro"/>
                <w:b/>
                <w:bCs/>
              </w:rPr>
            </w:pPr>
            <w:r>
              <w:rPr>
                <w:rFonts w:ascii="Source Sans Pro" w:hAnsi="Source Sans Pro"/>
                <w:b/>
                <w:bCs/>
              </w:rPr>
              <w:t>Description of Changes</w:t>
            </w:r>
          </w:p>
        </w:tc>
      </w:tr>
      <w:tr w:rsidR="00546673" w14:paraId="6952E411" w14:textId="77777777" w:rsidTr="00EA2F6B">
        <w:tc>
          <w:tcPr>
            <w:tcW w:w="1444" w:type="dxa"/>
            <w:tcBorders>
              <w:top w:val="single" w:sz="48" w:space="0" w:color="FFFFFF" w:themeColor="background1"/>
              <w:right w:val="single" w:sz="48" w:space="0" w:color="FFFFFF" w:themeColor="background1"/>
            </w:tcBorders>
            <w:shd w:val="clear" w:color="auto" w:fill="E5EEF0"/>
            <w:vAlign w:val="center"/>
          </w:tcPr>
          <w:p w14:paraId="550A1484" w14:textId="0EF56225" w:rsidR="00E72A6E" w:rsidRDefault="00082295" w:rsidP="00343D94">
            <w:pPr>
              <w:ind w:firstLine="14"/>
              <w:jc w:val="center"/>
              <w:rPr>
                <w:rFonts w:ascii="Source Sans Pro" w:hAnsi="Source Sans Pro"/>
              </w:rPr>
            </w:pPr>
            <w:r>
              <w:rPr>
                <w:rFonts w:ascii="Source Sans Pro" w:hAnsi="Source Sans Pro"/>
              </w:rPr>
              <w:t>1.0</w:t>
            </w:r>
          </w:p>
        </w:tc>
        <w:tc>
          <w:tcPr>
            <w:tcW w:w="1784" w:type="dxa"/>
            <w:tcBorders>
              <w:top w:val="single" w:sz="48" w:space="0" w:color="FFFFFF" w:themeColor="background1"/>
              <w:left w:val="single" w:sz="48" w:space="0" w:color="FFFFFF" w:themeColor="background1"/>
              <w:right w:val="single" w:sz="48" w:space="0" w:color="FFFFFF" w:themeColor="background1"/>
            </w:tcBorders>
            <w:shd w:val="clear" w:color="auto" w:fill="E5EEF0"/>
            <w:vAlign w:val="center"/>
          </w:tcPr>
          <w:p w14:paraId="7EC1E125" w14:textId="29F21F98" w:rsidR="00E72A6E" w:rsidRDefault="00473F68" w:rsidP="00343D94">
            <w:pPr>
              <w:jc w:val="center"/>
              <w:rPr>
                <w:rFonts w:ascii="Source Sans Pro" w:hAnsi="Source Sans Pro"/>
              </w:rPr>
            </w:pPr>
            <w:r>
              <w:rPr>
                <w:rFonts w:ascii="Source Sans Pro" w:hAnsi="Source Sans Pro"/>
              </w:rPr>
              <w:t>June</w:t>
            </w:r>
            <w:r w:rsidR="00082295">
              <w:rPr>
                <w:rFonts w:ascii="Source Sans Pro" w:hAnsi="Source Sans Pro"/>
              </w:rPr>
              <w:t xml:space="preserve"> 202</w:t>
            </w:r>
            <w:r w:rsidR="007A3AAC">
              <w:rPr>
                <w:rFonts w:ascii="Source Sans Pro" w:hAnsi="Source Sans Pro"/>
              </w:rPr>
              <w:t>6</w:t>
            </w:r>
          </w:p>
        </w:tc>
        <w:tc>
          <w:tcPr>
            <w:tcW w:w="3389" w:type="dxa"/>
            <w:tcBorders>
              <w:top w:val="single" w:sz="48" w:space="0" w:color="FFFFFF" w:themeColor="background1"/>
              <w:left w:val="single" w:sz="48" w:space="0" w:color="FFFFFF" w:themeColor="background1"/>
              <w:right w:val="single" w:sz="48" w:space="0" w:color="FFFFFF" w:themeColor="background1"/>
            </w:tcBorders>
            <w:shd w:val="clear" w:color="auto" w:fill="E5EEF0"/>
            <w:vAlign w:val="center"/>
          </w:tcPr>
          <w:p w14:paraId="6EE7366F" w14:textId="22010110" w:rsidR="00E72A6E" w:rsidRDefault="00082295" w:rsidP="00343D94">
            <w:pPr>
              <w:jc w:val="center"/>
              <w:rPr>
                <w:rFonts w:ascii="Source Sans Pro" w:hAnsi="Source Sans Pro"/>
              </w:rPr>
            </w:pPr>
            <w:r>
              <w:rPr>
                <w:rFonts w:ascii="Source Sans Pro" w:hAnsi="Source Sans Pro"/>
              </w:rPr>
              <w:t>Department of Internal Affairs and the New Zealand Financial Intelligence Unit</w:t>
            </w:r>
          </w:p>
        </w:tc>
        <w:tc>
          <w:tcPr>
            <w:tcW w:w="2023" w:type="dxa"/>
            <w:tcBorders>
              <w:top w:val="single" w:sz="48" w:space="0" w:color="FFFFFF" w:themeColor="background1"/>
              <w:left w:val="single" w:sz="48" w:space="0" w:color="FFFFFF" w:themeColor="background1"/>
            </w:tcBorders>
            <w:shd w:val="clear" w:color="auto" w:fill="E5EEF0"/>
            <w:vAlign w:val="center"/>
          </w:tcPr>
          <w:p w14:paraId="3720330A" w14:textId="325F24C3" w:rsidR="00E72A6E" w:rsidRDefault="00082295" w:rsidP="00343D94">
            <w:pPr>
              <w:jc w:val="center"/>
              <w:rPr>
                <w:rFonts w:ascii="Source Sans Pro" w:hAnsi="Source Sans Pro"/>
              </w:rPr>
            </w:pPr>
            <w:r>
              <w:rPr>
                <w:rFonts w:ascii="Source Sans Pro" w:hAnsi="Source Sans Pro"/>
              </w:rPr>
              <w:t>Initial version</w:t>
            </w:r>
          </w:p>
        </w:tc>
      </w:tr>
    </w:tbl>
    <w:p w14:paraId="22FBCEB2" w14:textId="1FDC1D67" w:rsidR="008C49EB" w:rsidRDefault="008C49EB" w:rsidP="00E72A6E">
      <w:pPr>
        <w:ind w:right="431"/>
        <w:rPr>
          <w:rFonts w:ascii="Source Sans Pro" w:hAnsi="Source Sans Pro"/>
        </w:rPr>
      </w:pPr>
    </w:p>
    <w:p w14:paraId="55A6569C" w14:textId="77777777" w:rsidR="008C49EB" w:rsidRDefault="008C49EB" w:rsidP="00852075">
      <w:pPr>
        <w:ind w:left="720" w:right="431"/>
        <w:rPr>
          <w:rFonts w:ascii="Source Sans Pro" w:hAnsi="Source Sans Pro"/>
        </w:rPr>
      </w:pPr>
    </w:p>
    <w:p w14:paraId="12BFFFF1" w14:textId="77777777" w:rsidR="008C49EB" w:rsidRDefault="008C49EB" w:rsidP="00852075">
      <w:pPr>
        <w:ind w:left="720" w:right="431"/>
        <w:rPr>
          <w:rFonts w:ascii="Source Sans Pro" w:hAnsi="Source Sans Pro"/>
        </w:rPr>
      </w:pPr>
    </w:p>
    <w:p w14:paraId="73D4E215" w14:textId="77777777" w:rsidR="008C49EB" w:rsidRDefault="008C49EB" w:rsidP="00852075">
      <w:pPr>
        <w:ind w:left="720" w:right="431"/>
        <w:rPr>
          <w:rFonts w:ascii="Source Sans Pro" w:hAnsi="Source Sans Pro"/>
        </w:rPr>
      </w:pPr>
    </w:p>
    <w:p w14:paraId="0FDB27E3" w14:textId="333965CF" w:rsidR="008C49EB" w:rsidRDefault="00EA2F6B" w:rsidP="00EA2F6B">
      <w:pPr>
        <w:tabs>
          <w:tab w:val="left" w:pos="4137"/>
        </w:tabs>
        <w:ind w:left="720" w:right="431"/>
        <w:rPr>
          <w:rFonts w:ascii="Source Sans Pro" w:hAnsi="Source Sans Pro"/>
        </w:rPr>
      </w:pPr>
      <w:r>
        <w:rPr>
          <w:rFonts w:ascii="Source Sans Pro" w:hAnsi="Source Sans Pro"/>
        </w:rPr>
        <w:tab/>
      </w:r>
    </w:p>
    <w:p w14:paraId="45B9807C" w14:textId="77777777" w:rsidR="008C49EB" w:rsidRDefault="008C49EB" w:rsidP="00852075">
      <w:pPr>
        <w:ind w:left="720" w:right="431"/>
        <w:rPr>
          <w:rFonts w:ascii="Source Sans Pro" w:hAnsi="Source Sans Pro"/>
        </w:rPr>
      </w:pPr>
    </w:p>
    <w:p w14:paraId="52F0A22E" w14:textId="77777777" w:rsidR="008C49EB" w:rsidRDefault="008C49EB" w:rsidP="00852075">
      <w:pPr>
        <w:ind w:left="720" w:right="431"/>
        <w:rPr>
          <w:rFonts w:ascii="Source Sans Pro" w:hAnsi="Source Sans Pro"/>
        </w:rPr>
      </w:pPr>
    </w:p>
    <w:p w14:paraId="026D3D86" w14:textId="77777777" w:rsidR="008C49EB" w:rsidRDefault="008C49EB" w:rsidP="00852075">
      <w:pPr>
        <w:ind w:left="720" w:right="431"/>
        <w:rPr>
          <w:rFonts w:ascii="Source Sans Pro" w:hAnsi="Source Sans Pro"/>
        </w:rPr>
      </w:pPr>
    </w:p>
    <w:p w14:paraId="616000E6" w14:textId="77777777" w:rsidR="008C49EB" w:rsidRDefault="008C49EB" w:rsidP="00852075">
      <w:pPr>
        <w:ind w:left="720" w:right="431"/>
        <w:rPr>
          <w:rFonts w:ascii="Source Sans Pro" w:hAnsi="Source Sans Pro"/>
        </w:rPr>
      </w:pPr>
    </w:p>
    <w:p w14:paraId="570E31B7" w14:textId="77777777" w:rsidR="008C49EB" w:rsidRDefault="008C49EB" w:rsidP="00852075">
      <w:pPr>
        <w:ind w:left="720" w:right="431"/>
        <w:rPr>
          <w:rFonts w:ascii="Source Sans Pro" w:hAnsi="Source Sans Pro"/>
        </w:rPr>
      </w:pPr>
    </w:p>
    <w:p w14:paraId="5661A31B" w14:textId="77777777" w:rsidR="008C49EB" w:rsidRDefault="008C49EB" w:rsidP="00852075">
      <w:pPr>
        <w:ind w:left="720" w:right="431"/>
        <w:rPr>
          <w:rFonts w:ascii="Source Sans Pro" w:hAnsi="Source Sans Pro"/>
        </w:rPr>
      </w:pPr>
    </w:p>
    <w:p w14:paraId="7A4C1B2F" w14:textId="77777777" w:rsidR="008C49EB" w:rsidRDefault="008C49EB" w:rsidP="00852075">
      <w:pPr>
        <w:ind w:left="720" w:right="431"/>
        <w:rPr>
          <w:rFonts w:ascii="Source Sans Pro" w:hAnsi="Source Sans Pro"/>
        </w:rPr>
      </w:pPr>
    </w:p>
    <w:p w14:paraId="463BA155" w14:textId="77777777" w:rsidR="008C49EB" w:rsidRDefault="008C49EB" w:rsidP="00852075">
      <w:pPr>
        <w:ind w:left="720" w:right="431"/>
        <w:rPr>
          <w:rFonts w:ascii="Source Sans Pro" w:hAnsi="Source Sans Pro"/>
        </w:rPr>
      </w:pPr>
    </w:p>
    <w:p w14:paraId="097A6A9D" w14:textId="77777777" w:rsidR="008C49EB" w:rsidRDefault="008C49EB" w:rsidP="00852075">
      <w:pPr>
        <w:ind w:left="720" w:right="431"/>
        <w:rPr>
          <w:rFonts w:ascii="Source Sans Pro" w:hAnsi="Source Sans Pro"/>
        </w:rPr>
      </w:pPr>
    </w:p>
    <w:p w14:paraId="40A36F7C" w14:textId="71C235BB" w:rsidR="008C49EB" w:rsidRDefault="008C49EB" w:rsidP="00852075">
      <w:pPr>
        <w:ind w:left="720" w:right="431"/>
        <w:rPr>
          <w:rFonts w:ascii="Source Sans Pro" w:hAnsi="Source Sans Pro"/>
        </w:rPr>
      </w:pPr>
    </w:p>
    <w:p w14:paraId="59867AE5" w14:textId="7BB6D99C" w:rsidR="008C49EB" w:rsidRDefault="008C49EB" w:rsidP="00852075">
      <w:pPr>
        <w:ind w:left="720" w:right="431"/>
        <w:rPr>
          <w:rFonts w:ascii="Source Sans Pro" w:hAnsi="Source Sans Pro"/>
        </w:rPr>
      </w:pPr>
    </w:p>
    <w:p w14:paraId="16B890DF" w14:textId="40E53BBC" w:rsidR="008C49EB" w:rsidRDefault="008C49EB" w:rsidP="00852075">
      <w:pPr>
        <w:ind w:left="720" w:right="431"/>
        <w:rPr>
          <w:rFonts w:ascii="Source Sans Pro" w:hAnsi="Source Sans Pro"/>
        </w:rPr>
      </w:pPr>
    </w:p>
    <w:p w14:paraId="5D5C79C5" w14:textId="59D7CBE6" w:rsidR="008C49EB" w:rsidRDefault="008C49EB" w:rsidP="00852075">
      <w:pPr>
        <w:ind w:left="720" w:right="431"/>
        <w:rPr>
          <w:rFonts w:ascii="Source Sans Pro" w:hAnsi="Source Sans Pro"/>
        </w:rPr>
      </w:pPr>
    </w:p>
    <w:p w14:paraId="179465CA" w14:textId="46B6218D" w:rsidR="008C49EB" w:rsidRDefault="00532F3C">
      <w:pPr>
        <w:keepLines w:val="0"/>
        <w:rPr>
          <w:rFonts w:ascii="Source Sans Pro" w:hAnsi="Source Sans Pro"/>
        </w:rPr>
      </w:pPr>
      <w:r>
        <w:rPr>
          <w:rFonts w:ascii="Source Sans Pro" w:hAnsi="Source Sans Pro"/>
          <w:noProof/>
        </w:rPr>
        <mc:AlternateContent>
          <mc:Choice Requires="wps">
            <w:drawing>
              <wp:anchor distT="0" distB="0" distL="114300" distR="114300" simplePos="0" relativeHeight="251658240" behindDoc="0" locked="0" layoutInCell="1" allowOverlap="1" wp14:anchorId="08747205" wp14:editId="10695E9B">
                <wp:simplePos x="0" y="0"/>
                <wp:positionH relativeFrom="column">
                  <wp:posOffset>1905</wp:posOffset>
                </wp:positionH>
                <wp:positionV relativeFrom="paragraph">
                  <wp:posOffset>399156</wp:posOffset>
                </wp:positionV>
                <wp:extent cx="5720715" cy="0"/>
                <wp:effectExtent l="0" t="38100" r="51435" b="38100"/>
                <wp:wrapNone/>
                <wp:docPr id="560470143" name="Straight Connector 5"/>
                <wp:cNvGraphicFramePr/>
                <a:graphic xmlns:a="http://schemas.openxmlformats.org/drawingml/2006/main">
                  <a:graphicData uri="http://schemas.microsoft.com/office/word/2010/wordprocessingShape">
                    <wps:wsp>
                      <wps:cNvCnPr/>
                      <wps:spPr>
                        <a:xfrm>
                          <a:off x="0" y="0"/>
                          <a:ext cx="5720715" cy="0"/>
                        </a:xfrm>
                        <a:prstGeom prst="line">
                          <a:avLst/>
                        </a:prstGeom>
                        <a:ln w="76200">
                          <a:solidFill>
                            <a:srgbClr val="00465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1F2EE5" id="Straight Connector 5"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5pt,31.45pt" to="450.6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" strokecolor="#00465d" strokeweight="6pt"/>
            </w:pict>
          </mc:Fallback>
        </mc:AlternateContent>
      </w:r>
      <w:r>
        <w:rPr>
          <w:rFonts w:ascii="Source Sans Pro" w:hAnsi="Source Sans Pro"/>
          <w:noProof/>
        </w:rPr>
        <w:drawing>
          <wp:anchor distT="0" distB="0" distL="114300" distR="114300" simplePos="0" relativeHeight="251658242" behindDoc="1" locked="0" layoutInCell="1" allowOverlap="1" wp14:anchorId="0235FA54" wp14:editId="4829C182">
            <wp:simplePos x="0" y="0"/>
            <wp:positionH relativeFrom="column">
              <wp:posOffset>3175</wp:posOffset>
            </wp:positionH>
            <wp:positionV relativeFrom="paragraph">
              <wp:posOffset>657932</wp:posOffset>
            </wp:positionV>
            <wp:extent cx="1494155" cy="427355"/>
            <wp:effectExtent l="0" t="0" r="0" b="0"/>
            <wp:wrapNone/>
            <wp:docPr id="18152699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269998" name="Picture 6"/>
                    <pic:cNvPicPr/>
                  </pic:nvPicPr>
                  <pic:blipFill>
                    <a:blip r:embed="rId22">
                      <a:extLst>
                        <a:ext uri="{96DAC541-7B7A-43D3-8B79-37D633B846F1}">
                          <asvg:svgBlip xmlns:asvg="http://schemas.microsoft.com/office/drawing/2016/SVG/main" r:embed="rId23"/>
                        </a:ext>
                      </a:extLst>
                    </a:blip>
                    <a:stretch>
                      <a:fillRect/>
                    </a:stretch>
                  </pic:blipFill>
                  <pic:spPr>
                    <a:xfrm>
                      <a:off x="0" y="0"/>
                      <a:ext cx="1494155" cy="427355"/>
                    </a:xfrm>
                    <a:prstGeom prst="rect">
                      <a:avLst/>
                    </a:prstGeom>
                  </pic:spPr>
                </pic:pic>
              </a:graphicData>
            </a:graphic>
            <wp14:sizeRelH relativeFrom="margin">
              <wp14:pctWidth>0</wp14:pctWidth>
            </wp14:sizeRelH>
            <wp14:sizeRelV relativeFrom="margin">
              <wp14:pctHeight>0</wp14:pctHeight>
            </wp14:sizeRelV>
          </wp:anchor>
        </w:drawing>
      </w:r>
      <w:r w:rsidRPr="001E0D3C">
        <w:rPr>
          <w:rFonts w:ascii="Source Sans Pro" w:hAnsi="Source Sans Pro"/>
          <w:noProof/>
        </w:rPr>
        <w:drawing>
          <wp:anchor distT="0" distB="0" distL="114300" distR="114300" simplePos="0" relativeHeight="251658264" behindDoc="1" locked="0" layoutInCell="1" allowOverlap="1" wp14:anchorId="58073681" wp14:editId="2783673F">
            <wp:simplePos x="0" y="0"/>
            <wp:positionH relativeFrom="column">
              <wp:posOffset>2058670</wp:posOffset>
            </wp:positionH>
            <wp:positionV relativeFrom="paragraph">
              <wp:posOffset>515209</wp:posOffset>
            </wp:positionV>
            <wp:extent cx="1492885" cy="685165"/>
            <wp:effectExtent l="0" t="0" r="0" b="0"/>
            <wp:wrapNone/>
            <wp:docPr id="189696396" name="Picture 4" descr="A blue and re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12961" name="Picture 4" descr="A blue and red logo&#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2885" cy="685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0D42">
        <w:rPr>
          <w:rFonts w:ascii="Source Sans Pro" w:eastAsiaTheme="minorEastAsia" w:hAnsi="Source Sans Pro" w:cstheme="minorBidi"/>
          <w:noProof/>
          <w:color w:val="FFFFFF" w:themeColor="background1"/>
        </w:rPr>
        <mc:AlternateContent>
          <mc:Choice Requires="wps">
            <w:drawing>
              <wp:anchor distT="0" distB="0" distL="114300" distR="114300" simplePos="0" relativeHeight="251658241" behindDoc="1" locked="0" layoutInCell="1" allowOverlap="1" wp14:anchorId="32DE0F20" wp14:editId="5578DB5C">
                <wp:simplePos x="0" y="0"/>
                <wp:positionH relativeFrom="column">
                  <wp:posOffset>4922949</wp:posOffset>
                </wp:positionH>
                <wp:positionV relativeFrom="page">
                  <wp:posOffset>9585960</wp:posOffset>
                </wp:positionV>
                <wp:extent cx="801713" cy="458058"/>
                <wp:effectExtent l="0" t="0" r="0" b="0"/>
                <wp:wrapNone/>
                <wp:docPr id="2076846212" name="Rectangle 3"/>
                <wp:cNvGraphicFramePr/>
                <a:graphic xmlns:a="http://schemas.openxmlformats.org/drawingml/2006/main">
                  <a:graphicData uri="http://schemas.microsoft.com/office/word/2010/wordprocessingShape">
                    <wps:wsp>
                      <wps:cNvSpPr/>
                      <wps:spPr>
                        <a:xfrm>
                          <a:off x="0" y="0"/>
                          <a:ext cx="801713" cy="458058"/>
                        </a:xfrm>
                        <a:prstGeom prst="rect">
                          <a:avLst/>
                        </a:prstGeom>
                        <a:gradFill flip="none" rotWithShape="1">
                          <a:gsLst>
                            <a:gs pos="0">
                              <a:srgbClr val="00465D"/>
                            </a:gs>
                            <a:gs pos="100000">
                              <a:srgbClr val="2D657D"/>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CB2E17" w14:textId="77777777" w:rsidR="00F00D42" w:rsidRPr="00BF1883" w:rsidRDefault="00F00D42" w:rsidP="00F00D42">
                            <w:pPr>
                              <w:jc w:val="center"/>
                              <w:rPr>
                                <w:color w:val="D9D9D9" w:themeColor="background1" w:themeShade="D9"/>
                                <w:sz w:val="16"/>
                                <w:szCs w:val="16"/>
                              </w:rPr>
                            </w:pPr>
                            <w:r>
                              <w:rPr>
                                <w:b/>
                                <w:bCs/>
                                <w:color w:val="FFFFFF" w:themeColor="background1"/>
                              </w:rPr>
                              <w:t>6</w:t>
                            </w:r>
                            <w:r>
                              <w:rPr>
                                <w:color w:val="FFFFFF" w:themeColor="background1"/>
                              </w:rPr>
                              <w:t xml:space="preserve"> </w:t>
                            </w:r>
                            <w:r w:rsidRPr="00BF1883">
                              <w:rPr>
                                <w:color w:val="D9D9D9" w:themeColor="background1" w:themeShade="D9"/>
                                <w:sz w:val="16"/>
                                <w:szCs w:val="16"/>
                              </w:rPr>
                              <w:t xml:space="preserve">/ </w:t>
                            </w:r>
                            <w:r>
                              <w:rPr>
                                <w:color w:val="D9D9D9" w:themeColor="background1" w:themeShade="D9"/>
                                <w:sz w:val="16"/>
                                <w:szCs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E0F20" id="_x0000_s1031" style="position:absolute;margin-left:387.65pt;margin-top:754.8pt;width:63.15pt;height:36.0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" fillcolor="#00465d" stroked="f" strokeweight="2pt">
                <v:fill color2="#2d657d" rotate="t" angle="90" focus="100%" type="gradient"/>
                <v:textbox>
                  <w:txbxContent>
                    <w:p w14:paraId="60CB2E17" w14:textId="77777777" w:rsidR="00F00D42" w:rsidRPr="00BF1883" w:rsidRDefault="00F00D42" w:rsidP="00F00D42">
                      <w:pPr>
                        <w:jc w:val="center"/>
                        <w:rPr>
                          <w:color w:val="D9D9D9" w:themeColor="background1" w:themeShade="D9"/>
                          <w:sz w:val="16"/>
                          <w:szCs w:val="16"/>
                        </w:rPr>
                      </w:pPr>
                      <w:r>
                        <w:rPr>
                          <w:b/>
                          <w:bCs/>
                          <w:color w:val="FFFFFF" w:themeColor="background1"/>
                        </w:rPr>
                        <w:t>6</w:t>
                      </w:r>
                      <w:r>
                        <w:rPr>
                          <w:color w:val="FFFFFF" w:themeColor="background1"/>
                        </w:rPr>
                        <w:t xml:space="preserve"> </w:t>
                      </w:r>
                      <w:r w:rsidRPr="00BF1883">
                        <w:rPr>
                          <w:color w:val="D9D9D9" w:themeColor="background1" w:themeShade="D9"/>
                          <w:sz w:val="16"/>
                          <w:szCs w:val="16"/>
                        </w:rPr>
                        <w:t xml:space="preserve">/ </w:t>
                      </w:r>
                      <w:r>
                        <w:rPr>
                          <w:color w:val="D9D9D9" w:themeColor="background1" w:themeShade="D9"/>
                          <w:sz w:val="16"/>
                          <w:szCs w:val="16"/>
                        </w:rPr>
                        <w:t>6</w:t>
                      </w:r>
                    </w:p>
                  </w:txbxContent>
                </v:textbox>
                <w10:wrap anchory="page"/>
              </v:rect>
            </w:pict>
          </mc:Fallback>
        </mc:AlternateContent>
      </w:r>
      <w:r w:rsidR="008C49EB">
        <w:rPr>
          <w:rFonts w:ascii="Source Sans Pro" w:hAnsi="Source Sans Pro"/>
        </w:rPr>
        <w:br w:type="page"/>
      </w:r>
    </w:p>
    <w:p w14:paraId="4D1DA96C" w14:textId="34C317CE" w:rsidR="00515F60" w:rsidRDefault="00DA0906" w:rsidP="00515F60">
      <w:pPr>
        <w:ind w:right="431"/>
        <w:rPr>
          <w:rFonts w:ascii="Source Sans Pro" w:hAnsi="Source Sans Pro"/>
          <w:b/>
          <w:bCs/>
          <w:color w:val="00465D"/>
          <w:sz w:val="28"/>
          <w:szCs w:val="28"/>
        </w:rPr>
      </w:pPr>
      <w:r w:rsidRPr="001E0D3C">
        <w:rPr>
          <w:rFonts w:ascii="Source Sans Pro" w:hAnsi="Source Sans Pro"/>
          <w:noProof/>
        </w:rPr>
        <w:lastRenderedPageBreak/>
        <w:drawing>
          <wp:anchor distT="0" distB="0" distL="114300" distR="114300" simplePos="0" relativeHeight="251658259" behindDoc="1" locked="0" layoutInCell="1" allowOverlap="1" wp14:anchorId="75CEFDC9" wp14:editId="377CAF06">
            <wp:simplePos x="0" y="0"/>
            <wp:positionH relativeFrom="column">
              <wp:posOffset>1944761</wp:posOffset>
            </wp:positionH>
            <wp:positionV relativeFrom="paragraph">
              <wp:posOffset>-113030</wp:posOffset>
            </wp:positionV>
            <wp:extent cx="1492952" cy="685597"/>
            <wp:effectExtent l="0" t="0" r="0" b="0"/>
            <wp:wrapNone/>
            <wp:docPr id="1207747380" name="Picture 4" descr="A blue and re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12961" name="Picture 4" descr="A blue and red logo&#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2952" cy="6855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406B">
        <w:rPr>
          <w:rFonts w:ascii="Source Sans Pro" w:hAnsi="Source Sans Pro"/>
          <w:noProof/>
        </w:rPr>
        <w:drawing>
          <wp:anchor distT="0" distB="0" distL="114300" distR="114300" simplePos="0" relativeHeight="251658256" behindDoc="1" locked="0" layoutInCell="1" allowOverlap="1" wp14:anchorId="5140F643" wp14:editId="671DE28C">
            <wp:simplePos x="0" y="0"/>
            <wp:positionH relativeFrom="column">
              <wp:posOffset>4218940</wp:posOffset>
            </wp:positionH>
            <wp:positionV relativeFrom="paragraph">
              <wp:posOffset>-6235</wp:posOffset>
            </wp:positionV>
            <wp:extent cx="1494155" cy="427355"/>
            <wp:effectExtent l="0" t="0" r="0" b="0"/>
            <wp:wrapNone/>
            <wp:docPr id="11781102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269998" name="Picture 6"/>
                    <pic:cNvPicPr/>
                  </pic:nvPicPr>
                  <pic:blipFill>
                    <a:blip r:embed="rId22">
                      <a:extLst>
                        <a:ext uri="{96DAC541-7B7A-43D3-8B79-37D633B846F1}">
                          <asvg:svgBlip xmlns:asvg="http://schemas.microsoft.com/office/drawing/2016/SVG/main" r:embed="rId23"/>
                        </a:ext>
                      </a:extLst>
                    </a:blip>
                    <a:stretch>
                      <a:fillRect/>
                    </a:stretch>
                  </pic:blipFill>
                  <pic:spPr>
                    <a:xfrm>
                      <a:off x="0" y="0"/>
                      <a:ext cx="1494155" cy="427355"/>
                    </a:xfrm>
                    <a:prstGeom prst="rect">
                      <a:avLst/>
                    </a:prstGeom>
                  </pic:spPr>
                </pic:pic>
              </a:graphicData>
            </a:graphic>
            <wp14:sizeRelH relativeFrom="margin">
              <wp14:pctWidth>0</wp14:pctWidth>
            </wp14:sizeRelH>
            <wp14:sizeRelV relativeFrom="margin">
              <wp14:pctHeight>0</wp14:pctHeight>
            </wp14:sizeRelV>
          </wp:anchor>
        </w:drawing>
      </w:r>
      <w:r w:rsidR="00515F60">
        <w:rPr>
          <w:rFonts w:ascii="Source Sans Pro" w:eastAsiaTheme="minorEastAsia" w:hAnsi="Source Sans Pro" w:cstheme="minorBidi"/>
          <w:noProof/>
          <w:color w:val="FFFFFF" w:themeColor="background1"/>
        </w:rPr>
        <mc:AlternateContent>
          <mc:Choice Requires="wps">
            <w:drawing>
              <wp:anchor distT="0" distB="0" distL="114300" distR="114300" simplePos="0" relativeHeight="251658250" behindDoc="1" locked="0" layoutInCell="1" allowOverlap="1" wp14:anchorId="7B35ED0D" wp14:editId="67D7FC13">
                <wp:simplePos x="0" y="0"/>
                <wp:positionH relativeFrom="column">
                  <wp:posOffset>2540</wp:posOffset>
                </wp:positionH>
                <wp:positionV relativeFrom="page">
                  <wp:posOffset>897255</wp:posOffset>
                </wp:positionV>
                <wp:extent cx="1026160" cy="458058"/>
                <wp:effectExtent l="0" t="0" r="2540" b="0"/>
                <wp:wrapNone/>
                <wp:docPr id="996353509" name="Rectangle 3"/>
                <wp:cNvGraphicFramePr/>
                <a:graphic xmlns:a="http://schemas.openxmlformats.org/drawingml/2006/main">
                  <a:graphicData uri="http://schemas.microsoft.com/office/word/2010/wordprocessingShape">
                    <wps:wsp>
                      <wps:cNvSpPr/>
                      <wps:spPr>
                        <a:xfrm>
                          <a:off x="0" y="0"/>
                          <a:ext cx="1026160" cy="458058"/>
                        </a:xfrm>
                        <a:prstGeom prst="rect">
                          <a:avLst/>
                        </a:prstGeom>
                        <a:gradFill flip="none" rotWithShape="1">
                          <a:gsLst>
                            <a:gs pos="0">
                              <a:srgbClr val="00465D"/>
                            </a:gs>
                            <a:gs pos="100000">
                              <a:srgbClr val="2D657D"/>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87640E2" w14:textId="60D413C5" w:rsidR="00515F60" w:rsidRPr="00BF1883" w:rsidRDefault="00515F60" w:rsidP="00515F60">
                            <w:pPr>
                              <w:jc w:val="center"/>
                              <w:rPr>
                                <w:color w:val="D9D9D9" w:themeColor="background1" w:themeShade="D9"/>
                                <w:sz w:val="16"/>
                                <w:szCs w:val="16"/>
                              </w:rPr>
                            </w:pPr>
                            <w:r>
                              <w:rPr>
                                <w:b/>
                                <w:bCs/>
                                <w:color w:val="FFFFFF" w:themeColor="background1"/>
                              </w:rPr>
                              <w:t>Appendix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5ED0D" id="_x0000_s1032" style="position:absolute;margin-left:.2pt;margin-top:70.65pt;width:80.8pt;height:36.0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" fillcolor="#00465d" stroked="f" strokeweight="2pt">
                <v:fill color2="#2d657d" rotate="t" angle="90" focus="100%" type="gradient"/>
                <v:textbox>
                  <w:txbxContent>
                    <w:p w14:paraId="587640E2" w14:textId="60D413C5" w:rsidR="00515F60" w:rsidRPr="00BF1883" w:rsidRDefault="00515F60" w:rsidP="00515F60">
                      <w:pPr>
                        <w:jc w:val="center"/>
                        <w:rPr>
                          <w:color w:val="D9D9D9" w:themeColor="background1" w:themeShade="D9"/>
                          <w:sz w:val="16"/>
                          <w:szCs w:val="16"/>
                        </w:rPr>
                      </w:pPr>
                      <w:r>
                        <w:rPr>
                          <w:b/>
                          <w:bCs/>
                          <w:color w:val="FFFFFF" w:themeColor="background1"/>
                        </w:rPr>
                        <w:t>Appendix 1</w:t>
                      </w:r>
                    </w:p>
                  </w:txbxContent>
                </v:textbox>
                <w10:wrap anchory="page"/>
              </v:rect>
            </w:pict>
          </mc:Fallback>
        </mc:AlternateContent>
      </w:r>
      <w:r w:rsidR="00515F60" w:rsidRPr="00515F60">
        <w:rPr>
          <w:rFonts w:ascii="Source Sans Pro" w:hAnsi="Source Sans Pro"/>
          <w:b/>
          <w:bCs/>
          <w:color w:val="00465D"/>
          <w:sz w:val="28"/>
          <w:szCs w:val="28"/>
        </w:rPr>
        <w:t xml:space="preserve"> </w:t>
      </w:r>
    </w:p>
    <w:p w14:paraId="1F009AA5" w14:textId="068EF113" w:rsidR="008C49EB" w:rsidRPr="00515F60" w:rsidRDefault="00EA4D50" w:rsidP="0009406B">
      <w:pPr>
        <w:ind w:left="360" w:right="431" w:firstLine="360"/>
        <w:rPr>
          <w:rFonts w:ascii="Source Sans Pro" w:hAnsi="Source Sans Pro"/>
          <w:b/>
          <w:bCs/>
          <w:color w:val="00465D"/>
          <w:sz w:val="28"/>
          <w:szCs w:val="28"/>
        </w:rPr>
      </w:pPr>
      <w:r>
        <w:rPr>
          <w:rFonts w:ascii="Source Sans Pro" w:hAnsi="Source Sans Pro"/>
          <w:noProof/>
        </w:rPr>
        <w:drawing>
          <wp:anchor distT="0" distB="0" distL="114300" distR="114300" simplePos="0" relativeHeight="251658263" behindDoc="1" locked="0" layoutInCell="1" allowOverlap="1" wp14:anchorId="73A87A24" wp14:editId="3C469209">
            <wp:simplePos x="0" y="0"/>
            <wp:positionH relativeFrom="column">
              <wp:posOffset>342504</wp:posOffset>
            </wp:positionH>
            <wp:positionV relativeFrom="paragraph">
              <wp:posOffset>995045</wp:posOffset>
            </wp:positionV>
            <wp:extent cx="5145859" cy="7541704"/>
            <wp:effectExtent l="0" t="0" r="0" b="2540"/>
            <wp:wrapNone/>
            <wp:docPr id="9880439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43957" name="Picture 4"/>
                    <pic:cNvPicPr/>
                  </pic:nvPicPr>
                  <pic:blipFill rotWithShape="1">
                    <a:blip r:embed="rId25">
                      <a:extLst>
                        <a:ext uri="{28A0092B-C50C-407E-A947-70E740481C1C}">
                          <a14:useLocalDpi xmlns:a14="http://schemas.microsoft.com/office/drawing/2010/main" val="0"/>
                        </a:ext>
                      </a:extLst>
                    </a:blip>
                    <a:srcRect l="8404" t="5858" r="8432" b="8149"/>
                    <a:stretch>
                      <a:fillRect/>
                    </a:stretch>
                  </pic:blipFill>
                  <pic:spPr bwMode="auto">
                    <a:xfrm>
                      <a:off x="0" y="0"/>
                      <a:ext cx="5145859" cy="75417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5F60">
        <w:rPr>
          <w:rFonts w:ascii="Source Sans Pro" w:hAnsi="Source Sans Pro"/>
          <w:b/>
          <w:bCs/>
          <w:color w:val="00465D"/>
          <w:sz w:val="28"/>
          <w:szCs w:val="28"/>
        </w:rPr>
        <w:br/>
      </w:r>
      <w:r w:rsidR="0009406B">
        <w:rPr>
          <w:rFonts w:ascii="Source Sans Pro" w:hAnsi="Source Sans Pro"/>
          <w:b/>
          <w:bCs/>
          <w:color w:val="00465D"/>
          <w:sz w:val="28"/>
          <w:szCs w:val="28"/>
        </w:rPr>
        <w:br/>
      </w:r>
      <w:r w:rsidR="00515F60" w:rsidRPr="00515F60">
        <w:rPr>
          <w:rFonts w:ascii="Source Sans Pro" w:hAnsi="Source Sans Pro"/>
          <w:b/>
          <w:bCs/>
          <w:color w:val="00465D"/>
          <w:sz w:val="28"/>
          <w:szCs w:val="28"/>
        </w:rPr>
        <w:t>How is my High-Value Goods Business Captured by the AML/CFT</w:t>
      </w:r>
      <w:r w:rsidR="00515F60">
        <w:rPr>
          <w:rFonts w:ascii="Source Sans Pro" w:hAnsi="Source Sans Pro"/>
          <w:b/>
          <w:bCs/>
          <w:color w:val="00465D"/>
          <w:sz w:val="28"/>
          <w:szCs w:val="28"/>
        </w:rPr>
        <w:t xml:space="preserve"> </w:t>
      </w:r>
      <w:r w:rsidR="00515F60" w:rsidRPr="00515F60">
        <w:rPr>
          <w:rFonts w:ascii="Source Sans Pro" w:hAnsi="Source Sans Pro"/>
          <w:b/>
          <w:bCs/>
          <w:color w:val="00465D"/>
          <w:sz w:val="28"/>
          <w:szCs w:val="28"/>
        </w:rPr>
        <w:t>Act?</w:t>
      </w:r>
    </w:p>
    <w:p w14:paraId="3530DBFE" w14:textId="5F97E7C9" w:rsidR="008C49EB" w:rsidRDefault="008C49EB" w:rsidP="00852075">
      <w:pPr>
        <w:ind w:left="720" w:right="431"/>
        <w:rPr>
          <w:rFonts w:ascii="Source Sans Pro" w:hAnsi="Source Sans Pro"/>
        </w:rPr>
      </w:pPr>
    </w:p>
    <w:p w14:paraId="5798FA25" w14:textId="5C7884BD" w:rsidR="00835D44" w:rsidRDefault="00835D44" w:rsidP="00852075">
      <w:pPr>
        <w:ind w:left="720" w:right="431"/>
        <w:rPr>
          <w:rFonts w:ascii="Source Sans Pro" w:hAnsi="Source Sans Pro"/>
        </w:rPr>
      </w:pPr>
    </w:p>
    <w:p w14:paraId="234237C9" w14:textId="77777777" w:rsidR="0009406B" w:rsidRDefault="0009406B" w:rsidP="00852075">
      <w:pPr>
        <w:ind w:left="720" w:right="431"/>
        <w:rPr>
          <w:rFonts w:ascii="Source Sans Pro" w:hAnsi="Source Sans Pro"/>
        </w:rPr>
      </w:pPr>
    </w:p>
    <w:p w14:paraId="0973346D" w14:textId="77777777" w:rsidR="0009406B" w:rsidRDefault="0009406B" w:rsidP="00852075">
      <w:pPr>
        <w:ind w:left="720" w:right="431"/>
        <w:rPr>
          <w:rFonts w:ascii="Source Sans Pro" w:hAnsi="Source Sans Pro"/>
        </w:rPr>
      </w:pPr>
    </w:p>
    <w:p w14:paraId="09C3D854" w14:textId="77777777" w:rsidR="0009406B" w:rsidRDefault="0009406B" w:rsidP="00852075">
      <w:pPr>
        <w:ind w:left="720" w:right="431"/>
        <w:rPr>
          <w:rFonts w:ascii="Source Sans Pro" w:hAnsi="Source Sans Pro"/>
        </w:rPr>
      </w:pPr>
    </w:p>
    <w:p w14:paraId="1B66F69D" w14:textId="77777777" w:rsidR="0009406B" w:rsidRDefault="0009406B" w:rsidP="00852075">
      <w:pPr>
        <w:ind w:left="720" w:right="431"/>
        <w:rPr>
          <w:rFonts w:ascii="Source Sans Pro" w:hAnsi="Source Sans Pro"/>
        </w:rPr>
      </w:pPr>
    </w:p>
    <w:p w14:paraId="6D122074" w14:textId="77777777" w:rsidR="0009406B" w:rsidRDefault="0009406B" w:rsidP="00852075">
      <w:pPr>
        <w:ind w:left="720" w:right="431"/>
        <w:rPr>
          <w:rFonts w:ascii="Source Sans Pro" w:hAnsi="Source Sans Pro"/>
        </w:rPr>
      </w:pPr>
    </w:p>
    <w:p w14:paraId="59464146" w14:textId="77777777" w:rsidR="0009406B" w:rsidRDefault="0009406B" w:rsidP="00852075">
      <w:pPr>
        <w:ind w:left="720" w:right="431"/>
        <w:rPr>
          <w:rFonts w:ascii="Source Sans Pro" w:hAnsi="Source Sans Pro"/>
        </w:rPr>
      </w:pPr>
    </w:p>
    <w:p w14:paraId="6011BC2F" w14:textId="77777777" w:rsidR="0009406B" w:rsidRDefault="0009406B" w:rsidP="00852075">
      <w:pPr>
        <w:ind w:left="720" w:right="431"/>
        <w:rPr>
          <w:rFonts w:ascii="Source Sans Pro" w:hAnsi="Source Sans Pro"/>
        </w:rPr>
      </w:pPr>
    </w:p>
    <w:p w14:paraId="305EC2A5" w14:textId="77777777" w:rsidR="0009406B" w:rsidRDefault="0009406B" w:rsidP="00852075">
      <w:pPr>
        <w:ind w:left="720" w:right="431"/>
        <w:rPr>
          <w:rFonts w:ascii="Source Sans Pro" w:hAnsi="Source Sans Pro"/>
        </w:rPr>
      </w:pPr>
    </w:p>
    <w:p w14:paraId="375AD950" w14:textId="77777777" w:rsidR="0009406B" w:rsidRDefault="0009406B" w:rsidP="00852075">
      <w:pPr>
        <w:ind w:left="720" w:right="431"/>
        <w:rPr>
          <w:rFonts w:ascii="Source Sans Pro" w:hAnsi="Source Sans Pro"/>
        </w:rPr>
      </w:pPr>
    </w:p>
    <w:p w14:paraId="13F27E0A" w14:textId="77777777" w:rsidR="0009406B" w:rsidRDefault="0009406B" w:rsidP="00852075">
      <w:pPr>
        <w:ind w:left="720" w:right="431"/>
        <w:rPr>
          <w:rFonts w:ascii="Source Sans Pro" w:hAnsi="Source Sans Pro"/>
        </w:rPr>
      </w:pPr>
    </w:p>
    <w:p w14:paraId="3E952911" w14:textId="77777777" w:rsidR="0009406B" w:rsidRDefault="0009406B" w:rsidP="00852075">
      <w:pPr>
        <w:ind w:left="720" w:right="431"/>
        <w:rPr>
          <w:rFonts w:ascii="Source Sans Pro" w:hAnsi="Source Sans Pro"/>
        </w:rPr>
      </w:pPr>
    </w:p>
    <w:p w14:paraId="117F31E3" w14:textId="77777777" w:rsidR="0009406B" w:rsidRDefault="0009406B" w:rsidP="00852075">
      <w:pPr>
        <w:ind w:left="720" w:right="431"/>
        <w:rPr>
          <w:rFonts w:ascii="Source Sans Pro" w:hAnsi="Source Sans Pro"/>
        </w:rPr>
      </w:pPr>
    </w:p>
    <w:p w14:paraId="1FE1C642" w14:textId="77777777" w:rsidR="0009406B" w:rsidRDefault="0009406B" w:rsidP="00852075">
      <w:pPr>
        <w:ind w:left="720" w:right="431"/>
        <w:rPr>
          <w:rFonts w:ascii="Source Sans Pro" w:hAnsi="Source Sans Pro"/>
        </w:rPr>
      </w:pPr>
    </w:p>
    <w:p w14:paraId="3DC249BA" w14:textId="77777777" w:rsidR="0009406B" w:rsidRDefault="0009406B" w:rsidP="00852075">
      <w:pPr>
        <w:ind w:left="720" w:right="431"/>
        <w:rPr>
          <w:rFonts w:ascii="Source Sans Pro" w:hAnsi="Source Sans Pro"/>
        </w:rPr>
      </w:pPr>
    </w:p>
    <w:p w14:paraId="69358F29" w14:textId="77777777" w:rsidR="0009406B" w:rsidRDefault="0009406B" w:rsidP="00852075">
      <w:pPr>
        <w:ind w:left="720" w:right="431"/>
        <w:rPr>
          <w:rFonts w:ascii="Source Sans Pro" w:hAnsi="Source Sans Pro"/>
        </w:rPr>
      </w:pPr>
    </w:p>
    <w:p w14:paraId="1A15C2F4" w14:textId="77777777" w:rsidR="0009406B" w:rsidRDefault="0009406B" w:rsidP="00852075">
      <w:pPr>
        <w:ind w:left="720" w:right="431"/>
        <w:rPr>
          <w:rFonts w:ascii="Source Sans Pro" w:hAnsi="Source Sans Pro"/>
        </w:rPr>
      </w:pPr>
    </w:p>
    <w:p w14:paraId="174140D9" w14:textId="77777777" w:rsidR="0009406B" w:rsidRDefault="0009406B" w:rsidP="00852075">
      <w:pPr>
        <w:ind w:left="720" w:right="431"/>
        <w:rPr>
          <w:rFonts w:ascii="Source Sans Pro" w:hAnsi="Source Sans Pro"/>
        </w:rPr>
      </w:pPr>
    </w:p>
    <w:p w14:paraId="5EFB0440" w14:textId="77777777" w:rsidR="0009406B" w:rsidRDefault="0009406B" w:rsidP="00852075">
      <w:pPr>
        <w:ind w:left="720" w:right="431"/>
        <w:rPr>
          <w:rFonts w:ascii="Source Sans Pro" w:hAnsi="Source Sans Pro"/>
        </w:rPr>
      </w:pPr>
    </w:p>
    <w:p w14:paraId="293DE710" w14:textId="77777777" w:rsidR="0009406B" w:rsidRDefault="0009406B" w:rsidP="00852075">
      <w:pPr>
        <w:ind w:left="720" w:right="431"/>
        <w:rPr>
          <w:rFonts w:ascii="Source Sans Pro" w:hAnsi="Source Sans Pro"/>
        </w:rPr>
      </w:pPr>
    </w:p>
    <w:p w14:paraId="1DA882F3" w14:textId="77777777" w:rsidR="0009406B" w:rsidRDefault="0009406B" w:rsidP="00852075">
      <w:pPr>
        <w:ind w:left="720" w:right="431"/>
        <w:rPr>
          <w:rFonts w:ascii="Source Sans Pro" w:hAnsi="Source Sans Pro"/>
        </w:rPr>
      </w:pPr>
    </w:p>
    <w:p w14:paraId="082E10EA" w14:textId="0E4018AC" w:rsidR="0009406B" w:rsidRDefault="001E0D3C" w:rsidP="00852075">
      <w:pPr>
        <w:ind w:left="720" w:right="431"/>
        <w:rPr>
          <w:rFonts w:ascii="Source Sans Pro" w:hAnsi="Source Sans Pro"/>
        </w:rPr>
      </w:pPr>
      <w:r w:rsidRPr="001E0D3C">
        <w:rPr>
          <w:rFonts w:ascii="Source Sans Pro" w:hAnsi="Source Sans Pro"/>
          <w:noProof/>
        </w:rPr>
        <w:lastRenderedPageBreak/>
        <w:drawing>
          <wp:anchor distT="0" distB="0" distL="114300" distR="114300" simplePos="0" relativeHeight="251658258" behindDoc="1" locked="0" layoutInCell="1" allowOverlap="1" wp14:anchorId="00CA1E5C" wp14:editId="40C80E6F">
            <wp:simplePos x="0" y="0"/>
            <wp:positionH relativeFrom="column">
              <wp:posOffset>2052515</wp:posOffset>
            </wp:positionH>
            <wp:positionV relativeFrom="paragraph">
              <wp:posOffset>-107950</wp:posOffset>
            </wp:positionV>
            <wp:extent cx="1492952" cy="685597"/>
            <wp:effectExtent l="0" t="0" r="0" b="0"/>
            <wp:wrapNone/>
            <wp:docPr id="713312961" name="Picture 4" descr="A blue and re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12961" name="Picture 4" descr="A blue and red logo&#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2952" cy="6855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04F6">
        <w:rPr>
          <w:rFonts w:ascii="Source Sans Pro" w:hAnsi="Source Sans Pro"/>
          <w:noProof/>
        </w:rPr>
        <w:drawing>
          <wp:anchor distT="0" distB="0" distL="114300" distR="114300" simplePos="0" relativeHeight="251658257" behindDoc="1" locked="0" layoutInCell="1" allowOverlap="1" wp14:anchorId="4BFF2765" wp14:editId="4BB645BC">
            <wp:simplePos x="0" y="0"/>
            <wp:positionH relativeFrom="column">
              <wp:posOffset>4224858</wp:posOffset>
            </wp:positionH>
            <wp:positionV relativeFrom="paragraph">
              <wp:posOffset>-635</wp:posOffset>
            </wp:positionV>
            <wp:extent cx="1494155" cy="427355"/>
            <wp:effectExtent l="0" t="0" r="0" b="0"/>
            <wp:wrapNone/>
            <wp:docPr id="13577729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269998" name="Picture 6"/>
                    <pic:cNvPicPr/>
                  </pic:nvPicPr>
                  <pic:blipFill>
                    <a:blip r:embed="rId22">
                      <a:extLst>
                        <a:ext uri="{96DAC541-7B7A-43D3-8B79-37D633B846F1}">
                          <asvg:svgBlip xmlns:asvg="http://schemas.microsoft.com/office/drawing/2016/SVG/main" r:embed="rId23"/>
                        </a:ext>
                      </a:extLst>
                    </a:blip>
                    <a:stretch>
                      <a:fillRect/>
                    </a:stretch>
                  </pic:blipFill>
                  <pic:spPr>
                    <a:xfrm>
                      <a:off x="0" y="0"/>
                      <a:ext cx="1494155" cy="427355"/>
                    </a:xfrm>
                    <a:prstGeom prst="rect">
                      <a:avLst/>
                    </a:prstGeom>
                  </pic:spPr>
                </pic:pic>
              </a:graphicData>
            </a:graphic>
            <wp14:sizeRelH relativeFrom="margin">
              <wp14:pctWidth>0</wp14:pctWidth>
            </wp14:sizeRelH>
            <wp14:sizeRelV relativeFrom="margin">
              <wp14:pctHeight>0</wp14:pctHeight>
            </wp14:sizeRelV>
          </wp:anchor>
        </w:drawing>
      </w:r>
    </w:p>
    <w:p w14:paraId="5242027C" w14:textId="65AB9E00" w:rsidR="0009406B" w:rsidRPr="00B304F6" w:rsidRDefault="007844C2" w:rsidP="00B304F6">
      <w:pPr>
        <w:ind w:left="360" w:right="431" w:firstLine="540"/>
        <w:rPr>
          <w:rFonts w:ascii="Source Sans Pro" w:hAnsi="Source Sans Pro"/>
          <w:b/>
          <w:bCs/>
          <w:color w:val="00465D"/>
          <w:sz w:val="28"/>
          <w:szCs w:val="28"/>
        </w:rPr>
      </w:pPr>
      <w:r>
        <w:rPr>
          <w:rFonts w:ascii="Source Sans Pro" w:hAnsi="Source Sans Pro"/>
          <w:b/>
          <w:bCs/>
          <w:color w:val="00465D"/>
          <w:sz w:val="28"/>
          <w:szCs w:val="28"/>
        </w:rPr>
        <w:br/>
      </w:r>
      <w:r w:rsidR="0009406B" w:rsidRPr="0009406B">
        <w:rPr>
          <w:rFonts w:ascii="Source Sans Pro" w:eastAsiaTheme="minorEastAsia" w:hAnsi="Source Sans Pro" w:cstheme="minorBidi"/>
          <w:b/>
          <w:bCs/>
          <w:noProof/>
          <w:color w:val="00465D"/>
          <w:sz w:val="28"/>
          <w:szCs w:val="28"/>
        </w:rPr>
        <mc:AlternateContent>
          <mc:Choice Requires="wps">
            <w:drawing>
              <wp:anchor distT="0" distB="0" distL="114300" distR="114300" simplePos="0" relativeHeight="251658251" behindDoc="1" locked="0" layoutInCell="1" allowOverlap="1" wp14:anchorId="2A23C0D6" wp14:editId="38A99FE5">
                <wp:simplePos x="0" y="0"/>
                <wp:positionH relativeFrom="column">
                  <wp:posOffset>0</wp:posOffset>
                </wp:positionH>
                <wp:positionV relativeFrom="page">
                  <wp:posOffset>899795</wp:posOffset>
                </wp:positionV>
                <wp:extent cx="1026160" cy="458058"/>
                <wp:effectExtent l="0" t="0" r="2540" b="0"/>
                <wp:wrapNone/>
                <wp:docPr id="1659916970" name="Rectangle 3"/>
                <wp:cNvGraphicFramePr/>
                <a:graphic xmlns:a="http://schemas.openxmlformats.org/drawingml/2006/main">
                  <a:graphicData uri="http://schemas.microsoft.com/office/word/2010/wordprocessingShape">
                    <wps:wsp>
                      <wps:cNvSpPr/>
                      <wps:spPr>
                        <a:xfrm>
                          <a:off x="0" y="0"/>
                          <a:ext cx="1026160" cy="458058"/>
                        </a:xfrm>
                        <a:prstGeom prst="rect">
                          <a:avLst/>
                        </a:prstGeom>
                        <a:gradFill flip="none" rotWithShape="1">
                          <a:gsLst>
                            <a:gs pos="0">
                              <a:srgbClr val="00465D"/>
                            </a:gs>
                            <a:gs pos="100000">
                              <a:srgbClr val="2D657D"/>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40CC69" w14:textId="5EAF1980" w:rsidR="0009406B" w:rsidRPr="00BF1883" w:rsidRDefault="0009406B" w:rsidP="0009406B">
                            <w:pPr>
                              <w:jc w:val="center"/>
                              <w:rPr>
                                <w:color w:val="D9D9D9" w:themeColor="background1" w:themeShade="D9"/>
                                <w:sz w:val="16"/>
                                <w:szCs w:val="16"/>
                              </w:rPr>
                            </w:pPr>
                            <w:r>
                              <w:rPr>
                                <w:b/>
                                <w:bCs/>
                                <w:color w:val="FFFFFF" w:themeColor="background1"/>
                              </w:rPr>
                              <w:t>Appendix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3C0D6" id="_x0000_s1033" style="position:absolute;left:0;text-align:left;margin-left:0;margin-top:70.85pt;width:80.8pt;height:36.0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" fillcolor="#00465d" stroked="f" strokeweight="2pt">
                <v:fill color2="#2d657d" rotate="t" angle="90" focus="100%" type="gradient"/>
                <v:textbox>
                  <w:txbxContent>
                    <w:p w14:paraId="7940CC69" w14:textId="5EAF1980" w:rsidR="0009406B" w:rsidRPr="00BF1883" w:rsidRDefault="0009406B" w:rsidP="0009406B">
                      <w:pPr>
                        <w:jc w:val="center"/>
                        <w:rPr>
                          <w:color w:val="D9D9D9" w:themeColor="background1" w:themeShade="D9"/>
                          <w:sz w:val="16"/>
                          <w:szCs w:val="16"/>
                        </w:rPr>
                      </w:pPr>
                      <w:r>
                        <w:rPr>
                          <w:b/>
                          <w:bCs/>
                          <w:color w:val="FFFFFF" w:themeColor="background1"/>
                        </w:rPr>
                        <w:t>Appendix 2</w:t>
                      </w:r>
                    </w:p>
                  </w:txbxContent>
                </v:textbox>
                <w10:wrap anchory="page"/>
              </v:rect>
            </w:pict>
          </mc:Fallback>
        </mc:AlternateContent>
      </w:r>
      <w:r w:rsidR="0009406B" w:rsidRPr="0009406B">
        <w:rPr>
          <w:rFonts w:ascii="Source Sans Pro" w:hAnsi="Source Sans Pro"/>
          <w:b/>
          <w:bCs/>
          <w:color w:val="00465D"/>
          <w:sz w:val="28"/>
          <w:szCs w:val="28"/>
        </w:rPr>
        <w:t>Red Flag Indicators for High</w:t>
      </w:r>
      <w:r w:rsidR="00F52916">
        <w:rPr>
          <w:rFonts w:ascii="Source Sans Pro" w:hAnsi="Source Sans Pro"/>
          <w:b/>
          <w:bCs/>
          <w:color w:val="00465D"/>
          <w:sz w:val="28"/>
          <w:szCs w:val="28"/>
        </w:rPr>
        <w:t>-</w:t>
      </w:r>
      <w:r w:rsidR="0009406B" w:rsidRPr="0009406B">
        <w:rPr>
          <w:rFonts w:ascii="Source Sans Pro" w:hAnsi="Source Sans Pro"/>
          <w:b/>
          <w:bCs/>
          <w:color w:val="00465D"/>
          <w:sz w:val="28"/>
          <w:szCs w:val="28"/>
        </w:rPr>
        <w:t>Value Dealers in Other Goods</w:t>
      </w:r>
    </w:p>
    <w:tbl>
      <w:tblPr>
        <w:tblStyle w:val="DIATable"/>
        <w:tblW w:w="0" w:type="auto"/>
        <w:tblInd w:w="468" w:type="dxa"/>
        <w:tblLook w:val="04A0" w:firstRow="1" w:lastRow="0" w:firstColumn="1" w:lastColumn="0" w:noHBand="0" w:noVBand="1"/>
      </w:tblPr>
      <w:tblGrid>
        <w:gridCol w:w="8280"/>
      </w:tblGrid>
      <w:tr w:rsidR="0009406B" w:rsidRPr="00580CD5" w14:paraId="39E4C06B" w14:textId="77777777" w:rsidTr="0031750D">
        <w:trPr>
          <w:cnfStyle w:val="100000000000" w:firstRow="1" w:lastRow="0" w:firstColumn="0" w:lastColumn="0" w:oddVBand="0" w:evenVBand="0" w:oddHBand="0" w:evenHBand="0" w:firstRowFirstColumn="0" w:firstRowLastColumn="0" w:lastRowFirstColumn="0" w:lastRowLastColumn="0"/>
        </w:trPr>
        <w:tc>
          <w:tcPr>
            <w:tcW w:w="8280" w:type="dxa"/>
          </w:tcPr>
          <w:p w14:paraId="6FD0D769" w14:textId="03D94889" w:rsidR="0009406B" w:rsidRPr="00580CD5" w:rsidRDefault="0009406B" w:rsidP="0009406B">
            <w:pPr>
              <w:ind w:right="431"/>
              <w:rPr>
                <w:rFonts w:ascii="Source Sans Pro" w:hAnsi="Source Sans Pro"/>
                <w:sz w:val="21"/>
                <w:szCs w:val="21"/>
              </w:rPr>
            </w:pPr>
            <w:r w:rsidRPr="00580CD5">
              <w:rPr>
                <w:rFonts w:ascii="Source Sans Pro" w:hAnsi="Source Sans Pro"/>
                <w:sz w:val="21"/>
                <w:szCs w:val="21"/>
              </w:rPr>
              <w:t>Red flag indicators for high</w:t>
            </w:r>
            <w:r w:rsidR="00F52916">
              <w:rPr>
                <w:rFonts w:ascii="Source Sans Pro" w:hAnsi="Source Sans Pro"/>
                <w:sz w:val="21"/>
                <w:szCs w:val="21"/>
              </w:rPr>
              <w:t>-</w:t>
            </w:r>
            <w:r w:rsidRPr="00580CD5">
              <w:rPr>
                <w:rFonts w:ascii="Source Sans Pro" w:hAnsi="Source Sans Pro"/>
                <w:sz w:val="21"/>
                <w:szCs w:val="21"/>
              </w:rPr>
              <w:t>value dealers in other goods include:</w:t>
            </w:r>
          </w:p>
        </w:tc>
      </w:tr>
      <w:tr w:rsidR="0009406B" w:rsidRPr="00580CD5" w14:paraId="55BDA414" w14:textId="77777777" w:rsidTr="0031750D">
        <w:tc>
          <w:tcPr>
            <w:tcW w:w="8280" w:type="dxa"/>
          </w:tcPr>
          <w:p w14:paraId="17B6AAA8" w14:textId="793E1832" w:rsidR="0009406B" w:rsidRPr="00580CD5" w:rsidRDefault="0009406B" w:rsidP="0009406B">
            <w:pPr>
              <w:ind w:right="431"/>
              <w:rPr>
                <w:rFonts w:ascii="Source Sans Pro" w:hAnsi="Source Sans Pro"/>
                <w:sz w:val="21"/>
                <w:szCs w:val="21"/>
              </w:rPr>
            </w:pPr>
            <w:r w:rsidRPr="00580CD5">
              <w:rPr>
                <w:rFonts w:ascii="Source Sans Pro" w:hAnsi="Source Sans Pro"/>
                <w:sz w:val="21"/>
                <w:szCs w:val="21"/>
              </w:rPr>
              <w:t>Use of shell companies, trusts, or third-party intermediaries to purchase, hold, or sell cultural objects, including art dealers, brokers, advisers, or interior designers.</w:t>
            </w:r>
          </w:p>
        </w:tc>
      </w:tr>
      <w:tr w:rsidR="0009406B" w:rsidRPr="00580CD5" w14:paraId="7D77CEA5" w14:textId="77777777" w:rsidTr="0031750D">
        <w:tc>
          <w:tcPr>
            <w:tcW w:w="8280" w:type="dxa"/>
            <w:shd w:val="clear" w:color="auto" w:fill="E5EEF0"/>
          </w:tcPr>
          <w:p w14:paraId="674C842E" w14:textId="5877137C" w:rsidR="0009406B" w:rsidRPr="00580CD5" w:rsidRDefault="00B304F6" w:rsidP="0009406B">
            <w:pPr>
              <w:ind w:right="431"/>
              <w:rPr>
                <w:rFonts w:ascii="Source Sans Pro" w:hAnsi="Source Sans Pro"/>
                <w:sz w:val="21"/>
                <w:szCs w:val="21"/>
              </w:rPr>
            </w:pPr>
            <w:r w:rsidRPr="00580CD5">
              <w:rPr>
                <w:rFonts w:ascii="Source Sans Pro" w:hAnsi="Source Sans Pro"/>
                <w:sz w:val="21"/>
                <w:szCs w:val="21"/>
              </w:rPr>
              <w:t xml:space="preserve">Cash transactions, in particular, using large volumes of cash.  </w:t>
            </w:r>
          </w:p>
        </w:tc>
      </w:tr>
      <w:tr w:rsidR="0009406B" w:rsidRPr="00580CD5" w14:paraId="38F9F3A8" w14:textId="77777777" w:rsidTr="0031750D">
        <w:tc>
          <w:tcPr>
            <w:tcW w:w="8280" w:type="dxa"/>
          </w:tcPr>
          <w:p w14:paraId="783F8C65" w14:textId="4B35A103" w:rsidR="0009406B" w:rsidRPr="00580CD5" w:rsidRDefault="00B304F6" w:rsidP="0009406B">
            <w:pPr>
              <w:ind w:right="431"/>
              <w:rPr>
                <w:rFonts w:ascii="Source Sans Pro" w:hAnsi="Source Sans Pro"/>
                <w:sz w:val="21"/>
                <w:szCs w:val="21"/>
              </w:rPr>
            </w:pPr>
            <w:r w:rsidRPr="00580CD5">
              <w:rPr>
                <w:rFonts w:ascii="Source Sans Pro" w:hAnsi="Source Sans Pro"/>
                <w:sz w:val="21"/>
                <w:szCs w:val="21"/>
              </w:rPr>
              <w:t>Use of large-denomination banknotes.</w:t>
            </w:r>
          </w:p>
        </w:tc>
      </w:tr>
      <w:tr w:rsidR="0009406B" w:rsidRPr="00580CD5" w14:paraId="2BE893F3" w14:textId="77777777" w:rsidTr="0031750D">
        <w:tc>
          <w:tcPr>
            <w:tcW w:w="8280" w:type="dxa"/>
            <w:shd w:val="clear" w:color="auto" w:fill="E5EEF0"/>
          </w:tcPr>
          <w:p w14:paraId="68053C56" w14:textId="4B08FE8B" w:rsidR="0009406B" w:rsidRPr="00580CD5" w:rsidRDefault="00B304F6" w:rsidP="0009406B">
            <w:pPr>
              <w:ind w:right="431"/>
              <w:rPr>
                <w:rFonts w:ascii="Source Sans Pro" w:hAnsi="Source Sans Pro"/>
                <w:sz w:val="21"/>
                <w:szCs w:val="21"/>
              </w:rPr>
            </w:pPr>
            <w:r w:rsidRPr="00580CD5">
              <w:rPr>
                <w:rFonts w:ascii="Source Sans Pro" w:hAnsi="Source Sans Pro"/>
                <w:sz w:val="21"/>
                <w:szCs w:val="21"/>
              </w:rPr>
              <w:t>Unusually high profit margins on the sale of an item of art, antiquity, or other cultural objects.</w:t>
            </w:r>
          </w:p>
        </w:tc>
      </w:tr>
      <w:tr w:rsidR="0009406B" w:rsidRPr="00580CD5" w14:paraId="2229A983" w14:textId="77777777" w:rsidTr="0031750D">
        <w:tc>
          <w:tcPr>
            <w:tcW w:w="8280" w:type="dxa"/>
          </w:tcPr>
          <w:p w14:paraId="1480898D" w14:textId="6B2266B2" w:rsidR="0009406B" w:rsidRPr="00580CD5" w:rsidRDefault="00B304F6" w:rsidP="0009406B">
            <w:pPr>
              <w:ind w:right="431"/>
              <w:rPr>
                <w:rFonts w:ascii="Source Sans Pro" w:hAnsi="Source Sans Pro"/>
                <w:sz w:val="21"/>
                <w:szCs w:val="21"/>
              </w:rPr>
            </w:pPr>
            <w:r w:rsidRPr="00580CD5">
              <w:rPr>
                <w:rFonts w:ascii="Source Sans Pro" w:hAnsi="Source Sans Pro"/>
                <w:sz w:val="21"/>
                <w:szCs w:val="21"/>
              </w:rPr>
              <w:t>Sales or purchases of items involving sellers who are not concerned with recouping their initial investment.</w:t>
            </w:r>
          </w:p>
        </w:tc>
      </w:tr>
      <w:tr w:rsidR="0009406B" w:rsidRPr="00580CD5" w14:paraId="6E8DA858" w14:textId="77777777" w:rsidTr="0031750D">
        <w:tc>
          <w:tcPr>
            <w:tcW w:w="8280" w:type="dxa"/>
            <w:shd w:val="clear" w:color="auto" w:fill="E5EEF0"/>
          </w:tcPr>
          <w:p w14:paraId="3358BE6A" w14:textId="074DCDC4" w:rsidR="0009406B" w:rsidRPr="00580CD5" w:rsidRDefault="00B304F6" w:rsidP="0009406B">
            <w:pPr>
              <w:ind w:right="431"/>
              <w:rPr>
                <w:rFonts w:ascii="Source Sans Pro" w:hAnsi="Source Sans Pro"/>
                <w:sz w:val="21"/>
                <w:szCs w:val="21"/>
              </w:rPr>
            </w:pPr>
            <w:r w:rsidRPr="00580CD5">
              <w:rPr>
                <w:rFonts w:ascii="Source Sans Pro" w:hAnsi="Source Sans Pro"/>
                <w:sz w:val="21"/>
                <w:szCs w:val="21"/>
              </w:rPr>
              <w:t>Sales, or purchases, of art vastly or routinely exceeding the expected sales value of the work.</w:t>
            </w:r>
          </w:p>
        </w:tc>
      </w:tr>
      <w:tr w:rsidR="0009406B" w:rsidRPr="00580CD5" w14:paraId="0F9351C5" w14:textId="77777777" w:rsidTr="0031750D">
        <w:tc>
          <w:tcPr>
            <w:tcW w:w="8280" w:type="dxa"/>
          </w:tcPr>
          <w:p w14:paraId="4B802EE1" w14:textId="1C1139EC" w:rsidR="0009406B" w:rsidRPr="00580CD5" w:rsidRDefault="00B304F6" w:rsidP="0009406B">
            <w:pPr>
              <w:ind w:right="431"/>
              <w:rPr>
                <w:rFonts w:ascii="Source Sans Pro" w:hAnsi="Source Sans Pro"/>
                <w:sz w:val="21"/>
                <w:szCs w:val="21"/>
              </w:rPr>
            </w:pPr>
            <w:r w:rsidRPr="00580CD5">
              <w:rPr>
                <w:rFonts w:ascii="Source Sans Pro" w:hAnsi="Source Sans Pro"/>
                <w:sz w:val="21"/>
                <w:szCs w:val="21"/>
              </w:rPr>
              <w:t>Sales, or purchases, of art involving purchasers who do not appear to be concerned with paying a substantially higher price than the notional value of the work.</w:t>
            </w:r>
          </w:p>
        </w:tc>
      </w:tr>
      <w:tr w:rsidR="0009406B" w:rsidRPr="00580CD5" w14:paraId="2D244535" w14:textId="77777777" w:rsidTr="0031750D">
        <w:tc>
          <w:tcPr>
            <w:tcW w:w="8280" w:type="dxa"/>
            <w:shd w:val="clear" w:color="auto" w:fill="E5EEF0"/>
          </w:tcPr>
          <w:p w14:paraId="21B4B8DA" w14:textId="36ED2C66" w:rsidR="0009406B" w:rsidRPr="00580CD5" w:rsidRDefault="00B304F6" w:rsidP="0009406B">
            <w:pPr>
              <w:ind w:right="431"/>
              <w:rPr>
                <w:rFonts w:ascii="Source Sans Pro" w:hAnsi="Source Sans Pro"/>
                <w:sz w:val="21"/>
                <w:szCs w:val="21"/>
              </w:rPr>
            </w:pPr>
            <w:r w:rsidRPr="00580CD5">
              <w:rPr>
                <w:rFonts w:ascii="Source Sans Pro" w:hAnsi="Source Sans Pro"/>
                <w:sz w:val="21"/>
                <w:szCs w:val="21"/>
              </w:rPr>
              <w:t>Sales, or purchases, of art where a client is not familiar with, or interested in, the provenance, history, style, genre, or artist of an object.</w:t>
            </w:r>
          </w:p>
        </w:tc>
      </w:tr>
      <w:tr w:rsidR="0009406B" w:rsidRPr="00580CD5" w14:paraId="3B50B4B6" w14:textId="77777777" w:rsidTr="0031750D">
        <w:tc>
          <w:tcPr>
            <w:tcW w:w="8280" w:type="dxa"/>
          </w:tcPr>
          <w:p w14:paraId="637FDD11" w14:textId="282DB5B1" w:rsidR="0009406B" w:rsidRPr="00580CD5" w:rsidRDefault="00B304F6" w:rsidP="0009406B">
            <w:pPr>
              <w:ind w:right="431"/>
              <w:rPr>
                <w:rFonts w:ascii="Source Sans Pro" w:hAnsi="Source Sans Pro"/>
                <w:sz w:val="21"/>
                <w:szCs w:val="21"/>
              </w:rPr>
            </w:pPr>
            <w:r w:rsidRPr="00580CD5">
              <w:rPr>
                <w:rFonts w:ascii="Source Sans Pro" w:hAnsi="Source Sans Pro"/>
                <w:sz w:val="21"/>
                <w:szCs w:val="21"/>
              </w:rPr>
              <w:t>Unwillingness of a customer to provide identification information to receive an art-collateralised loan, or early repayment, or use of cash to pay such a loan.</w:t>
            </w:r>
          </w:p>
        </w:tc>
      </w:tr>
      <w:tr w:rsidR="0009406B" w:rsidRPr="00580CD5" w14:paraId="5E475AB4" w14:textId="77777777" w:rsidTr="0031750D">
        <w:tc>
          <w:tcPr>
            <w:tcW w:w="8280" w:type="dxa"/>
            <w:shd w:val="clear" w:color="auto" w:fill="E5EEF0"/>
          </w:tcPr>
          <w:p w14:paraId="2231744C" w14:textId="723697ED" w:rsidR="0009406B" w:rsidRPr="00580CD5" w:rsidRDefault="00B304F6" w:rsidP="0009406B">
            <w:pPr>
              <w:ind w:right="431"/>
              <w:rPr>
                <w:rFonts w:ascii="Source Sans Pro" w:hAnsi="Source Sans Pro"/>
                <w:sz w:val="21"/>
                <w:szCs w:val="21"/>
              </w:rPr>
            </w:pPr>
            <w:r w:rsidRPr="00580CD5">
              <w:rPr>
                <w:rFonts w:ascii="Source Sans Pro" w:hAnsi="Source Sans Pro"/>
                <w:sz w:val="21"/>
                <w:szCs w:val="21"/>
              </w:rPr>
              <w:t>Imported, or exported, items not declared to the relevant customs administration(s).</w:t>
            </w:r>
          </w:p>
        </w:tc>
      </w:tr>
      <w:tr w:rsidR="0009406B" w:rsidRPr="00580CD5" w14:paraId="3DDDBD02" w14:textId="77777777" w:rsidTr="0031750D">
        <w:tc>
          <w:tcPr>
            <w:tcW w:w="8280" w:type="dxa"/>
          </w:tcPr>
          <w:p w14:paraId="726F9616" w14:textId="149F65F7" w:rsidR="0009406B" w:rsidRPr="00580CD5" w:rsidRDefault="00B304F6" w:rsidP="0009406B">
            <w:pPr>
              <w:ind w:right="431"/>
              <w:rPr>
                <w:rFonts w:ascii="Source Sans Pro" w:hAnsi="Source Sans Pro"/>
                <w:sz w:val="21"/>
                <w:szCs w:val="21"/>
              </w:rPr>
            </w:pPr>
            <w:r w:rsidRPr="00580CD5">
              <w:rPr>
                <w:rFonts w:ascii="Source Sans Pro" w:hAnsi="Source Sans Pro"/>
                <w:sz w:val="21"/>
                <w:szCs w:val="21"/>
              </w:rPr>
              <w:t>Purchase, or termination, of insurance policies to protect the market value or provide cash payments for the loss, theft, or destruction of privately held or donated high-value art in circumstances where other information has suggested the art has a low value</w:t>
            </w:r>
          </w:p>
        </w:tc>
      </w:tr>
      <w:tr w:rsidR="0009406B" w:rsidRPr="00580CD5" w14:paraId="2C274B3F" w14:textId="77777777" w:rsidTr="0031750D">
        <w:tc>
          <w:tcPr>
            <w:tcW w:w="8280" w:type="dxa"/>
            <w:shd w:val="clear" w:color="auto" w:fill="E5EEF0"/>
          </w:tcPr>
          <w:p w14:paraId="7EA8C8AB" w14:textId="5BEB5EE0" w:rsidR="0009406B" w:rsidRPr="00580CD5" w:rsidRDefault="00B304F6" w:rsidP="0009406B">
            <w:pPr>
              <w:ind w:right="431"/>
              <w:rPr>
                <w:rFonts w:ascii="Source Sans Pro" w:hAnsi="Source Sans Pro"/>
                <w:sz w:val="21"/>
                <w:szCs w:val="21"/>
              </w:rPr>
            </w:pPr>
            <w:r w:rsidRPr="00580CD5">
              <w:rPr>
                <w:rFonts w:ascii="Source Sans Pro" w:hAnsi="Source Sans Pro"/>
                <w:sz w:val="21"/>
                <w:szCs w:val="21"/>
              </w:rPr>
              <w:t>Presence of natural, or legal, persons known to be involved in, or suspected of, trafficking in cultural objects.</w:t>
            </w:r>
          </w:p>
        </w:tc>
      </w:tr>
      <w:tr w:rsidR="0009406B" w:rsidRPr="00580CD5" w14:paraId="62BE7E84" w14:textId="77777777" w:rsidTr="0031750D">
        <w:tc>
          <w:tcPr>
            <w:tcW w:w="8280" w:type="dxa"/>
          </w:tcPr>
          <w:p w14:paraId="7A7E84ED" w14:textId="5EF358DF" w:rsidR="0009406B" w:rsidRPr="00580CD5" w:rsidRDefault="00B304F6" w:rsidP="0009406B">
            <w:pPr>
              <w:ind w:right="431"/>
              <w:rPr>
                <w:rFonts w:ascii="Source Sans Pro" w:hAnsi="Source Sans Pro"/>
                <w:sz w:val="21"/>
                <w:szCs w:val="21"/>
              </w:rPr>
            </w:pPr>
            <w:r w:rsidRPr="00580CD5">
              <w:rPr>
                <w:rFonts w:ascii="Source Sans Pro" w:hAnsi="Source Sans Pro"/>
                <w:sz w:val="21"/>
                <w:szCs w:val="21"/>
              </w:rPr>
              <w:t>Use of social media or financial intermediaries to advertise cultural objects that have been looted.</w:t>
            </w:r>
          </w:p>
        </w:tc>
      </w:tr>
      <w:tr w:rsidR="0009406B" w:rsidRPr="00580CD5" w14:paraId="7F7EEEFE" w14:textId="77777777" w:rsidTr="0031750D">
        <w:tc>
          <w:tcPr>
            <w:tcW w:w="8280" w:type="dxa"/>
            <w:shd w:val="clear" w:color="auto" w:fill="E5EEF0"/>
          </w:tcPr>
          <w:p w14:paraId="41088910" w14:textId="246BEAE7" w:rsidR="0009406B" w:rsidRPr="00580CD5" w:rsidRDefault="00B304F6" w:rsidP="0009406B">
            <w:pPr>
              <w:ind w:right="431"/>
              <w:rPr>
                <w:rFonts w:ascii="Source Sans Pro" w:hAnsi="Source Sans Pro"/>
                <w:sz w:val="21"/>
                <w:szCs w:val="21"/>
              </w:rPr>
            </w:pPr>
            <w:r w:rsidRPr="00580CD5">
              <w:rPr>
                <w:rFonts w:ascii="Source Sans Pro" w:hAnsi="Source Sans Pro"/>
                <w:sz w:val="21"/>
                <w:szCs w:val="21"/>
              </w:rPr>
              <w:t>Unique archaeological pieces allegedly related to existing collections, but previously unstudied.</w:t>
            </w:r>
          </w:p>
        </w:tc>
      </w:tr>
      <w:tr w:rsidR="0009406B" w:rsidRPr="00580CD5" w14:paraId="7519F4AA" w14:textId="77777777" w:rsidTr="0031750D">
        <w:tc>
          <w:tcPr>
            <w:tcW w:w="8280" w:type="dxa"/>
          </w:tcPr>
          <w:p w14:paraId="43A391B7" w14:textId="172CD624" w:rsidR="0009406B" w:rsidRPr="00580CD5" w:rsidRDefault="00B304F6" w:rsidP="0009406B">
            <w:pPr>
              <w:ind w:right="431"/>
              <w:rPr>
                <w:rFonts w:ascii="Source Sans Pro" w:hAnsi="Source Sans Pro"/>
                <w:sz w:val="21"/>
                <w:szCs w:val="21"/>
              </w:rPr>
            </w:pPr>
            <w:r w:rsidRPr="00580CD5">
              <w:rPr>
                <w:rFonts w:ascii="Source Sans Pro" w:hAnsi="Source Sans Pro"/>
                <w:sz w:val="21"/>
                <w:szCs w:val="21"/>
              </w:rPr>
              <w:t>Newly ‘discovered’ art attributed to a prominent artist.</w:t>
            </w:r>
          </w:p>
        </w:tc>
      </w:tr>
      <w:tr w:rsidR="0009406B" w:rsidRPr="00580CD5" w14:paraId="54F9944A" w14:textId="77777777" w:rsidTr="0031750D">
        <w:tc>
          <w:tcPr>
            <w:tcW w:w="8280" w:type="dxa"/>
            <w:shd w:val="clear" w:color="auto" w:fill="E5EEF0"/>
          </w:tcPr>
          <w:p w14:paraId="7FCC2021" w14:textId="3CDBE4CD" w:rsidR="0009406B" w:rsidRPr="00580CD5" w:rsidRDefault="00B304F6" w:rsidP="0009406B">
            <w:pPr>
              <w:ind w:right="431"/>
              <w:rPr>
                <w:rFonts w:ascii="Source Sans Pro" w:hAnsi="Source Sans Pro"/>
                <w:sz w:val="21"/>
                <w:szCs w:val="21"/>
              </w:rPr>
            </w:pPr>
            <w:r w:rsidRPr="00580CD5">
              <w:rPr>
                <w:rFonts w:ascii="Source Sans Pro" w:hAnsi="Source Sans Pro"/>
                <w:sz w:val="21"/>
                <w:szCs w:val="21"/>
              </w:rPr>
              <w:t>Purchases of items by third party intermediaries on behalf of an ultimate seller or purchaser.</w:t>
            </w:r>
          </w:p>
        </w:tc>
      </w:tr>
      <w:tr w:rsidR="0009406B" w:rsidRPr="00580CD5" w14:paraId="65FBF727" w14:textId="77777777" w:rsidTr="0031750D">
        <w:tc>
          <w:tcPr>
            <w:tcW w:w="8280" w:type="dxa"/>
          </w:tcPr>
          <w:p w14:paraId="05BAAFEE" w14:textId="3B483266" w:rsidR="0009406B" w:rsidRPr="00580CD5" w:rsidRDefault="00B304F6" w:rsidP="0009406B">
            <w:pPr>
              <w:ind w:right="431"/>
              <w:rPr>
                <w:rFonts w:ascii="Source Sans Pro" w:hAnsi="Source Sans Pro"/>
                <w:sz w:val="21"/>
                <w:szCs w:val="21"/>
              </w:rPr>
            </w:pPr>
            <w:r w:rsidRPr="00580CD5">
              <w:rPr>
                <w:rFonts w:ascii="Source Sans Pro" w:hAnsi="Source Sans Pro"/>
                <w:sz w:val="21"/>
                <w:szCs w:val="21"/>
              </w:rPr>
              <w:t>Transactions involving market participants without expertise in concluding high-value purchases, or sales.</w:t>
            </w:r>
          </w:p>
        </w:tc>
      </w:tr>
      <w:tr w:rsidR="0009406B" w:rsidRPr="00580CD5" w14:paraId="1D6A3E3D" w14:textId="77777777" w:rsidTr="0031750D">
        <w:tc>
          <w:tcPr>
            <w:tcW w:w="8280" w:type="dxa"/>
            <w:shd w:val="clear" w:color="auto" w:fill="E5EEF0"/>
          </w:tcPr>
          <w:p w14:paraId="0E458E21" w14:textId="03A6AC11" w:rsidR="0009406B" w:rsidRPr="00580CD5" w:rsidRDefault="00B304F6" w:rsidP="0009406B">
            <w:pPr>
              <w:ind w:right="431"/>
              <w:rPr>
                <w:rFonts w:ascii="Source Sans Pro" w:hAnsi="Source Sans Pro"/>
                <w:sz w:val="21"/>
                <w:szCs w:val="21"/>
              </w:rPr>
            </w:pPr>
            <w:r w:rsidRPr="00580CD5">
              <w:rPr>
                <w:rFonts w:ascii="Source Sans Pro" w:hAnsi="Source Sans Pro"/>
                <w:sz w:val="21"/>
                <w:szCs w:val="21"/>
              </w:rPr>
              <w:t>Transactions involving politically exposed persons (PEPs), or their family members, or close associates.</w:t>
            </w:r>
          </w:p>
        </w:tc>
      </w:tr>
      <w:tr w:rsidR="0009406B" w:rsidRPr="00580CD5" w14:paraId="7D1A6642" w14:textId="77777777" w:rsidTr="0031750D">
        <w:tc>
          <w:tcPr>
            <w:tcW w:w="8280" w:type="dxa"/>
          </w:tcPr>
          <w:p w14:paraId="0FE2711F" w14:textId="5B9C52EF" w:rsidR="0009406B" w:rsidRPr="00580CD5" w:rsidRDefault="00B304F6" w:rsidP="0009406B">
            <w:pPr>
              <w:ind w:right="431"/>
              <w:rPr>
                <w:rFonts w:ascii="Source Sans Pro" w:hAnsi="Source Sans Pro"/>
                <w:sz w:val="21"/>
                <w:szCs w:val="21"/>
              </w:rPr>
            </w:pPr>
            <w:r w:rsidRPr="00580CD5">
              <w:rPr>
                <w:rFonts w:ascii="Source Sans Pro" w:hAnsi="Source Sans Pro"/>
                <w:sz w:val="21"/>
                <w:szCs w:val="21"/>
              </w:rPr>
              <w:t>Use of financial services to acquire, sell, or ship artworks or cultural property in and out of specialist storage facilities.</w:t>
            </w:r>
          </w:p>
        </w:tc>
      </w:tr>
      <w:tr w:rsidR="0009406B" w:rsidRPr="00580CD5" w14:paraId="299ADC94" w14:textId="77777777" w:rsidTr="0031750D">
        <w:tc>
          <w:tcPr>
            <w:tcW w:w="8280" w:type="dxa"/>
            <w:shd w:val="clear" w:color="auto" w:fill="E5EEF0"/>
          </w:tcPr>
          <w:p w14:paraId="78D1F46C" w14:textId="674A444E" w:rsidR="0009406B" w:rsidRPr="00580CD5" w:rsidRDefault="00B304F6" w:rsidP="0009406B">
            <w:pPr>
              <w:ind w:right="431"/>
              <w:rPr>
                <w:rFonts w:ascii="Source Sans Pro" w:hAnsi="Source Sans Pro"/>
                <w:sz w:val="21"/>
                <w:szCs w:val="21"/>
              </w:rPr>
            </w:pPr>
            <w:r w:rsidRPr="00580CD5">
              <w:rPr>
                <w:rFonts w:ascii="Source Sans Pro" w:hAnsi="Source Sans Pro"/>
                <w:sz w:val="21"/>
                <w:szCs w:val="21"/>
              </w:rPr>
              <w:t>Sale of objects/items originating from regions with current or historically recent armed conflict (post-1900).</w:t>
            </w:r>
          </w:p>
        </w:tc>
      </w:tr>
    </w:tbl>
    <w:p w14:paraId="65F8F512" w14:textId="61CEF2F9" w:rsidR="0009406B" w:rsidRPr="002F1569" w:rsidRDefault="0009406B" w:rsidP="00FB399E">
      <w:pPr>
        <w:ind w:right="431"/>
        <w:rPr>
          <w:rFonts w:ascii="Source Sans Pro" w:hAnsi="Source Sans Pro"/>
        </w:rPr>
      </w:pPr>
    </w:p>
    <w:sectPr w:rsidR="0009406B" w:rsidRPr="002F1569" w:rsidSect="00CF4BE3">
      <w:headerReference w:type="default" r:id="rId26"/>
      <w:footerReference w:type="default" r:id="rId27"/>
      <w:pgSz w:w="11907" w:h="16840" w:code="9"/>
      <w:pgMar w:top="1418" w:right="1418" w:bottom="992" w:left="1418" w:header="425" w:footer="6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C3DA1" w14:textId="77777777" w:rsidR="001E05E8" w:rsidRDefault="001E05E8">
      <w:r>
        <w:separator/>
      </w:r>
    </w:p>
    <w:p w14:paraId="4F253649" w14:textId="77777777" w:rsidR="001E05E8" w:rsidRDefault="001E05E8"/>
    <w:p w14:paraId="61A05E77" w14:textId="77777777" w:rsidR="001E05E8" w:rsidRDefault="001E05E8"/>
  </w:endnote>
  <w:endnote w:type="continuationSeparator" w:id="0">
    <w:p w14:paraId="3627CF8B" w14:textId="77777777" w:rsidR="001E05E8" w:rsidRDefault="001E05E8">
      <w:r>
        <w:continuationSeparator/>
      </w:r>
    </w:p>
    <w:p w14:paraId="3051CAA2" w14:textId="77777777" w:rsidR="001E05E8" w:rsidRDefault="001E05E8"/>
    <w:p w14:paraId="4CD77919" w14:textId="77777777" w:rsidR="001E05E8" w:rsidRDefault="001E05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ource Sans Pro">
    <w:altName w:val="Arial"/>
    <w:charset w:val="00"/>
    <w:family w:val="swiss"/>
    <w:pitch w:val="variable"/>
    <w:sig w:usb0="600002F7" w:usb1="02000001" w:usb2="00000000" w:usb3="00000000" w:csb0="000001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00ABD" w14:textId="3B6A195C" w:rsidR="008504D0" w:rsidRDefault="008504D0" w:rsidP="00126FDE">
    <w:pPr>
      <w:pStyle w:val="Footer"/>
      <w:tabs>
        <w:tab w:val="right" w:pos="9071"/>
      </w:tabs>
      <w:ind w:right="-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FCCCE" w14:textId="77777777" w:rsidR="001E05E8" w:rsidRDefault="001E05E8" w:rsidP="00FB1990">
      <w:pPr>
        <w:pStyle w:val="Spacer"/>
      </w:pPr>
      <w:r>
        <w:separator/>
      </w:r>
    </w:p>
    <w:p w14:paraId="3680C564" w14:textId="77777777" w:rsidR="001E05E8" w:rsidRDefault="001E05E8" w:rsidP="00FB1990">
      <w:pPr>
        <w:pStyle w:val="Spacer"/>
      </w:pPr>
    </w:p>
  </w:footnote>
  <w:footnote w:type="continuationSeparator" w:id="0">
    <w:p w14:paraId="6BF5E002" w14:textId="77777777" w:rsidR="001E05E8" w:rsidRDefault="001E05E8">
      <w:r>
        <w:continuationSeparator/>
      </w:r>
    </w:p>
    <w:p w14:paraId="529FA19D" w14:textId="77777777" w:rsidR="001E05E8" w:rsidRDefault="001E05E8"/>
    <w:p w14:paraId="5107EBA9" w14:textId="77777777" w:rsidR="001E05E8" w:rsidRDefault="001E05E8"/>
  </w:footnote>
  <w:footnote w:id="1">
    <w:p w14:paraId="41EDC063" w14:textId="41C05DC7" w:rsidR="00A3394C" w:rsidRDefault="00A3394C" w:rsidP="00470795">
      <w:pPr>
        <w:pStyle w:val="FootnoteText"/>
        <w:spacing w:before="0"/>
        <w:ind w:right="2231"/>
      </w:pPr>
      <w:r w:rsidRPr="00A3394C">
        <w:rPr>
          <w:rStyle w:val="FootnoteReference"/>
          <w:sz w:val="20"/>
        </w:rPr>
        <w:footnoteRef/>
      </w:r>
      <w:r w:rsidRPr="00A3394C">
        <w:t xml:space="preserve"> </w:t>
      </w:r>
      <w:r w:rsidR="00AF16C4">
        <w:t xml:space="preserve">Refer to </w:t>
      </w:r>
      <w:r w:rsidR="00760A77">
        <w:t xml:space="preserve">the definition of a </w:t>
      </w:r>
      <w:r w:rsidR="00C3589E" w:rsidRPr="00327F3C">
        <w:t>high</w:t>
      </w:r>
      <w:r w:rsidR="00F52916" w:rsidRPr="00327F3C">
        <w:t>-</w:t>
      </w:r>
      <w:r w:rsidR="00C3589E" w:rsidRPr="00327F3C">
        <w:t>value dealer</w:t>
      </w:r>
      <w:r w:rsidR="00AF16C4">
        <w:rPr>
          <w:b/>
        </w:rPr>
        <w:t xml:space="preserve"> </w:t>
      </w:r>
      <w:r w:rsidR="00760A77">
        <w:t>in</w:t>
      </w:r>
      <w:r w:rsidR="00AF16C4">
        <w:t xml:space="preserve"> section 5</w:t>
      </w:r>
      <w:r w:rsidR="00760A77">
        <w:t xml:space="preserve"> of the Act. Refer also to</w:t>
      </w:r>
      <w:r w:rsidR="00AF16C4">
        <w:t xml:space="preserve"> 67A </w:t>
      </w:r>
      <w:r w:rsidR="00C3589E">
        <w:t>of the</w:t>
      </w:r>
      <w:r w:rsidRPr="00A3394C">
        <w:t xml:space="preserve"> </w:t>
      </w:r>
      <w:r w:rsidR="00C3589E">
        <w:t>Act</w:t>
      </w:r>
      <w:r w:rsidRPr="00A3394C">
        <w:t>.</w:t>
      </w:r>
    </w:p>
  </w:footnote>
  <w:footnote w:id="2">
    <w:p w14:paraId="071DF9C9" w14:textId="41014CA3" w:rsidR="00470795" w:rsidRDefault="00470795" w:rsidP="00470795">
      <w:pPr>
        <w:pStyle w:val="FootnoteText"/>
        <w:spacing w:before="0"/>
      </w:pPr>
      <w:r>
        <w:rPr>
          <w:rStyle w:val="FootnoteReference"/>
        </w:rPr>
        <w:footnoteRef/>
      </w:r>
      <w:r>
        <w:t xml:space="preserve"> </w:t>
      </w:r>
      <w:r w:rsidR="00C3589E">
        <w:t>Refer to</w:t>
      </w:r>
      <w:r w:rsidRPr="00470795">
        <w:t xml:space="preserve"> Regulation 5AC of the AML/CFT (Definitions) Regulations 2011.</w:t>
      </w:r>
    </w:p>
  </w:footnote>
  <w:footnote w:id="3">
    <w:p w14:paraId="121A5A1A" w14:textId="1EEB70B0" w:rsidR="00470795" w:rsidRDefault="00470795">
      <w:pPr>
        <w:pStyle w:val="FootnoteText"/>
      </w:pPr>
      <w:r>
        <w:rPr>
          <w:rStyle w:val="FootnoteReference"/>
        </w:rPr>
        <w:footnoteRef/>
      </w:r>
      <w:r>
        <w:t xml:space="preserve"> </w:t>
      </w:r>
      <w:r w:rsidR="003536AE">
        <w:t>As defined in</w:t>
      </w:r>
      <w:r w:rsidRPr="00470795">
        <w:t xml:space="preserve"> section 6(1) of the Motor Vehicle Sales Act 2003.</w:t>
      </w:r>
    </w:p>
  </w:footnote>
  <w:footnote w:id="4">
    <w:p w14:paraId="01E28043" w14:textId="7C09D5A4" w:rsidR="00470795" w:rsidRDefault="00470795">
      <w:pPr>
        <w:pStyle w:val="FootnoteText"/>
      </w:pPr>
      <w:r>
        <w:rPr>
          <w:rStyle w:val="FootnoteReference"/>
        </w:rPr>
        <w:footnoteRef/>
      </w:r>
      <w:r>
        <w:t xml:space="preserve"> </w:t>
      </w:r>
      <w:r w:rsidR="003536AE">
        <w:t>As defined in</w:t>
      </w:r>
      <w:r w:rsidRPr="00470795">
        <w:t xml:space="preserve"> section 2(1) of the Maritime Transport Act 1994.</w:t>
      </w:r>
    </w:p>
  </w:footnote>
  <w:footnote w:id="5">
    <w:p w14:paraId="6419D950" w14:textId="776A82CA" w:rsidR="00470795" w:rsidRDefault="00470795" w:rsidP="00FC0AC7">
      <w:pPr>
        <w:pStyle w:val="FootnoteText"/>
        <w:ind w:right="2231"/>
      </w:pPr>
      <w:r>
        <w:rPr>
          <w:rStyle w:val="FootnoteReference"/>
        </w:rPr>
        <w:footnoteRef/>
      </w:r>
      <w:r>
        <w:t xml:space="preserve"> </w:t>
      </w:r>
      <w:r w:rsidR="000D69B6">
        <w:t>Refer to</w:t>
      </w:r>
      <w:r w:rsidRPr="00470795">
        <w:t xml:space="preserve"> s</w:t>
      </w:r>
      <w:r w:rsidR="000D69B6">
        <w:t xml:space="preserve">ection </w:t>
      </w:r>
      <w:r w:rsidRPr="00470795">
        <w:t>6(4(d) of the Anti-Money Laundering and Countering Financing of Terrorism Act 2009</w:t>
      </w:r>
    </w:p>
  </w:footnote>
  <w:footnote w:id="6">
    <w:p w14:paraId="5CE2908F" w14:textId="43DBB56C" w:rsidR="00470795" w:rsidRDefault="00470795" w:rsidP="00FC0AC7">
      <w:pPr>
        <w:pStyle w:val="FootnoteText"/>
        <w:ind w:right="2231"/>
      </w:pPr>
      <w:r>
        <w:rPr>
          <w:rStyle w:val="FootnoteReference"/>
        </w:rPr>
        <w:footnoteRef/>
      </w:r>
      <w:r>
        <w:t xml:space="preserve"> </w:t>
      </w:r>
      <w:r w:rsidR="001115D9">
        <w:t>As defined in</w:t>
      </w:r>
      <w:r w:rsidR="000D69B6">
        <w:t xml:space="preserve"> </w:t>
      </w:r>
      <w:r w:rsidR="00B267CE">
        <w:t xml:space="preserve">section </w:t>
      </w:r>
      <w:r w:rsidRPr="00470795">
        <w:t>2(1) of the Protected Objects Act 1975.</w:t>
      </w:r>
    </w:p>
  </w:footnote>
  <w:footnote w:id="7">
    <w:p w14:paraId="5CD47DA2" w14:textId="1AA31ED1" w:rsidR="00F01BC5" w:rsidRDefault="00F01BC5" w:rsidP="00FC0AC7">
      <w:pPr>
        <w:pStyle w:val="FootnoteText"/>
        <w:ind w:right="2231"/>
      </w:pPr>
      <w:r>
        <w:rPr>
          <w:rStyle w:val="FootnoteReference"/>
        </w:rPr>
        <w:footnoteRef/>
      </w:r>
      <w:r>
        <w:t xml:space="preserve"> </w:t>
      </w:r>
      <w:r w:rsidR="001115D9">
        <w:t>As defined in</w:t>
      </w:r>
      <w:r w:rsidR="00B267CE">
        <w:t xml:space="preserve"> section </w:t>
      </w:r>
      <w:r w:rsidRPr="00F01BC5">
        <w:t>2(1) of the Protected Objects Act 1975.</w:t>
      </w:r>
    </w:p>
  </w:footnote>
  <w:footnote w:id="8">
    <w:p w14:paraId="2A50D585" w14:textId="0BDA6301" w:rsidR="00F01BC5" w:rsidRDefault="00F01BC5" w:rsidP="00FC0AC7">
      <w:pPr>
        <w:pStyle w:val="FootnoteText"/>
        <w:ind w:right="2231"/>
      </w:pPr>
      <w:r>
        <w:rPr>
          <w:rStyle w:val="FootnoteReference"/>
        </w:rPr>
        <w:footnoteRef/>
      </w:r>
      <w:r>
        <w:t xml:space="preserve"> </w:t>
      </w:r>
      <w:r w:rsidR="001115D9">
        <w:t>As defined in</w:t>
      </w:r>
      <w:r w:rsidR="00C1668F">
        <w:t xml:space="preserve"> section </w:t>
      </w:r>
      <w:r w:rsidRPr="00F01BC5">
        <w:t>4(1) of the Auctioneers Act 2013</w:t>
      </w:r>
      <w:r w:rsidR="001115D9">
        <w:t>. Refer also to</w:t>
      </w:r>
      <w:r w:rsidR="00721CCB">
        <w:t xml:space="preserve"> section 5 </w:t>
      </w:r>
      <w:r w:rsidR="001115D9">
        <w:t>(</w:t>
      </w:r>
      <w:r w:rsidR="00721CCB">
        <w:rPr>
          <w:b/>
          <w:bCs/>
        </w:rPr>
        <w:t>high</w:t>
      </w:r>
      <w:r w:rsidR="00F52916">
        <w:rPr>
          <w:b/>
          <w:bCs/>
        </w:rPr>
        <w:t>-</w:t>
      </w:r>
      <w:r w:rsidR="00721CCB">
        <w:rPr>
          <w:b/>
          <w:bCs/>
        </w:rPr>
        <w:t>value dealer</w:t>
      </w:r>
      <w:r w:rsidR="001115D9">
        <w:rPr>
          <w:b/>
          <w:bCs/>
        </w:rPr>
        <w:t>)</w:t>
      </w:r>
      <w:r w:rsidR="007A7432">
        <w:rPr>
          <w:b/>
          <w:bCs/>
        </w:rPr>
        <w:t xml:space="preserve"> </w:t>
      </w:r>
      <w:r w:rsidR="007A7432">
        <w:t>(b) of the Act.</w:t>
      </w:r>
    </w:p>
  </w:footnote>
  <w:footnote w:id="9">
    <w:p w14:paraId="5ADC61FB" w14:textId="68A167B2" w:rsidR="00F01BC5" w:rsidRDefault="00F01BC5" w:rsidP="00FC0AC7">
      <w:pPr>
        <w:pStyle w:val="FootnoteText"/>
        <w:ind w:right="2231"/>
      </w:pPr>
      <w:r>
        <w:rPr>
          <w:rStyle w:val="FootnoteReference"/>
        </w:rPr>
        <w:footnoteRef/>
      </w:r>
      <w:r>
        <w:t xml:space="preserve"> </w:t>
      </w:r>
      <w:r w:rsidR="00721CCB">
        <w:t>Refer to section 6(4)(d) of the Act</w:t>
      </w:r>
    </w:p>
  </w:footnote>
  <w:footnote w:id="10">
    <w:p w14:paraId="115F2FA7" w14:textId="1527AFFB" w:rsidR="00F01BC5" w:rsidRDefault="00F01BC5" w:rsidP="00FC0AC7">
      <w:pPr>
        <w:pStyle w:val="FootnoteText"/>
        <w:ind w:right="2231"/>
      </w:pPr>
      <w:r>
        <w:rPr>
          <w:rStyle w:val="FootnoteReference"/>
        </w:rPr>
        <w:footnoteRef/>
      </w:r>
      <w:r>
        <w:t xml:space="preserve"> </w:t>
      </w:r>
      <w:r w:rsidR="007A7432">
        <w:t>Refer to sections 14, 15 and 16 of the Act</w:t>
      </w:r>
      <w:r w:rsidRPr="00F01BC5">
        <w:t>.</w:t>
      </w:r>
    </w:p>
  </w:footnote>
  <w:footnote w:id="11">
    <w:p w14:paraId="2361CE39" w14:textId="37748D1E" w:rsidR="00F01BC5" w:rsidRDefault="00F01BC5" w:rsidP="00FC0AC7">
      <w:pPr>
        <w:pStyle w:val="FootnoteText"/>
        <w:ind w:right="2231"/>
      </w:pPr>
      <w:r>
        <w:rPr>
          <w:rStyle w:val="FootnoteReference"/>
        </w:rPr>
        <w:footnoteRef/>
      </w:r>
      <w:r>
        <w:t xml:space="preserve"> </w:t>
      </w:r>
      <w:r w:rsidR="007A7432">
        <w:t>Refer to section 37 of the Act</w:t>
      </w:r>
      <w:r w:rsidRPr="00F01BC5">
        <w:t>.</w:t>
      </w:r>
    </w:p>
  </w:footnote>
  <w:footnote w:id="12">
    <w:p w14:paraId="77BF82EB" w14:textId="5D26602B" w:rsidR="00F01BC5" w:rsidRDefault="00F01BC5" w:rsidP="00FC0AC7">
      <w:pPr>
        <w:pStyle w:val="FootnoteText"/>
        <w:ind w:right="2231"/>
      </w:pPr>
      <w:r>
        <w:rPr>
          <w:rStyle w:val="FootnoteReference"/>
        </w:rPr>
        <w:footnoteRef/>
      </w:r>
      <w:r>
        <w:t xml:space="preserve"> </w:t>
      </w:r>
      <w:r w:rsidR="007A7432">
        <w:t>Refer to section 50 of the Act.</w:t>
      </w:r>
    </w:p>
  </w:footnote>
  <w:footnote w:id="13">
    <w:p w14:paraId="3F5C5DF9" w14:textId="6E802A4E" w:rsidR="00F01BC5" w:rsidRDefault="00F01BC5" w:rsidP="00FC0AC7">
      <w:pPr>
        <w:pStyle w:val="FootnoteText"/>
        <w:ind w:right="2231"/>
      </w:pPr>
      <w:r>
        <w:rPr>
          <w:rStyle w:val="FootnoteReference"/>
        </w:rPr>
        <w:footnoteRef/>
      </w:r>
      <w:r>
        <w:t xml:space="preserve"> </w:t>
      </w:r>
      <w:r w:rsidR="007A7432">
        <w:t>Refer to sections 48A and 48B of the Act</w:t>
      </w:r>
      <w:r w:rsidRPr="00F01BC5">
        <w:t>.</w:t>
      </w:r>
    </w:p>
  </w:footnote>
  <w:footnote w:id="14">
    <w:p w14:paraId="3528CF53" w14:textId="52B582D3" w:rsidR="00F01BC5" w:rsidRDefault="00F01BC5" w:rsidP="00FC0AC7">
      <w:pPr>
        <w:pStyle w:val="FootnoteText"/>
        <w:ind w:right="2231"/>
      </w:pPr>
      <w:r>
        <w:rPr>
          <w:rStyle w:val="FootnoteReference"/>
        </w:rPr>
        <w:footnoteRef/>
      </w:r>
      <w:r>
        <w:t xml:space="preserve"> </w:t>
      </w:r>
      <w:hyperlink r:id="rId1" w:anchor="LMS990591" w:history="1">
        <w:r w:rsidR="00981789" w:rsidRPr="00981789">
          <w:rPr>
            <w:rStyle w:val="Hyperlink"/>
          </w:rPr>
          <w:t>Statutes Amendment Act 2025 | New Zealand Legislation</w:t>
        </w:r>
      </w:hyperlink>
    </w:p>
  </w:footnote>
  <w:footnote w:id="15">
    <w:p w14:paraId="31EBD157" w14:textId="78E26C12" w:rsidR="00F01BC5" w:rsidRDefault="00F01BC5" w:rsidP="00FC0AC7">
      <w:pPr>
        <w:pStyle w:val="FootnoteText"/>
        <w:ind w:right="2231"/>
      </w:pPr>
      <w:r>
        <w:rPr>
          <w:rStyle w:val="FootnoteReference"/>
        </w:rPr>
        <w:footnoteRef/>
      </w:r>
      <w:r>
        <w:t xml:space="preserve"> </w:t>
      </w:r>
      <w:r w:rsidR="007A7432">
        <w:t xml:space="preserve">Refer to </w:t>
      </w:r>
      <w:r w:rsidRPr="00F01BC5">
        <w:t>section 40(5) of the</w:t>
      </w:r>
      <w:r w:rsidR="00912851">
        <w:t xml:space="preserve"> Act</w:t>
      </w:r>
      <w:r w:rsidRPr="00F01BC5">
        <w:t>.</w:t>
      </w:r>
    </w:p>
  </w:footnote>
  <w:footnote w:id="16">
    <w:p w14:paraId="00D6049B" w14:textId="2A3A0375" w:rsidR="00BA3622" w:rsidRDefault="00BA3622" w:rsidP="00F2304E">
      <w:pPr>
        <w:pStyle w:val="FootnoteText"/>
        <w:ind w:right="1511"/>
      </w:pPr>
      <w:r>
        <w:rPr>
          <w:rStyle w:val="FootnoteReference"/>
        </w:rPr>
        <w:footnoteRef/>
      </w:r>
      <w:r>
        <w:t xml:space="preserve"> </w:t>
      </w:r>
      <w:hyperlink r:id="rId2" w:anchor="LMS1454854" w:history="1">
        <w:r w:rsidR="00636A73" w:rsidRPr="00636A73">
          <w:rPr>
            <w:rStyle w:val="Hyperlink"/>
          </w:rPr>
          <w:t>Anti-Money Laundering and Countering Financing of Terrorism (Supervisor, Levy, and Other Matters) Amendment Act 2026 | New Zealand Legislation</w:t>
        </w:r>
      </w:hyperlink>
    </w:p>
  </w:footnote>
  <w:footnote w:id="17">
    <w:p w14:paraId="41CE3594" w14:textId="591E91D9" w:rsidR="008C1031" w:rsidRDefault="008C1031">
      <w:pPr>
        <w:pStyle w:val="FootnoteText"/>
      </w:pPr>
      <w:r>
        <w:rPr>
          <w:rStyle w:val="FootnoteReference"/>
        </w:rPr>
        <w:footnoteRef/>
      </w:r>
      <w:r>
        <w:t xml:space="preserve"> Refer to section 40A(2) of the Act.</w:t>
      </w:r>
    </w:p>
  </w:footnote>
  <w:footnote w:id="18">
    <w:p w14:paraId="1DA96CF9" w14:textId="47F5A89E" w:rsidR="00FC0AC7" w:rsidRDefault="00FC0AC7" w:rsidP="00FC0AC7">
      <w:pPr>
        <w:pStyle w:val="FootnoteText"/>
        <w:ind w:right="2231"/>
      </w:pPr>
      <w:r>
        <w:rPr>
          <w:rStyle w:val="FootnoteReference"/>
        </w:rPr>
        <w:footnoteRef/>
      </w:r>
      <w:r>
        <w:t xml:space="preserve"> </w:t>
      </w:r>
      <w:r w:rsidR="00912851">
        <w:t>Refer to</w:t>
      </w:r>
      <w:r w:rsidRPr="00FC0AC7">
        <w:t xml:space="preserve"> section 2 (taonga tūturu) of the Protected Objects Act 1975.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A3E23" w14:textId="5567FE06" w:rsidR="00677F8A" w:rsidRPr="00E63DFC" w:rsidRDefault="00294597" w:rsidP="00E63DFC">
    <w:pPr>
      <w:pStyle w:val="Header"/>
      <w:ind w:left="4569"/>
      <w:rPr>
        <w:sz w:val="24"/>
      </w:rPr>
    </w:pPr>
    <w:r>
      <w:rPr>
        <w:b/>
        <w:bCs/>
        <w:color w:val="00564D"/>
        <w:sz w:val="24"/>
      </w:rPr>
      <w:t xml:space="preserve">         </w:t>
    </w:r>
    <w:r w:rsidR="0074668B" w:rsidRPr="00F40767">
      <w:rPr>
        <w:b/>
        <w:color w:val="00465D"/>
        <w:sz w:val="24"/>
      </w:rPr>
      <w:t>Guidance</w:t>
    </w:r>
    <w:r w:rsidR="0074668B" w:rsidRPr="00E63DFC">
      <w:rPr>
        <w:sz w:val="24"/>
      </w:rPr>
      <w:t xml:space="preserve"> | </w:t>
    </w:r>
    <w:r>
      <w:rPr>
        <w:color w:val="0C79BE"/>
        <w:sz w:val="24"/>
      </w:rPr>
      <w:t>Suspicious Activity Reporting</w:t>
    </w:r>
    <w:r w:rsidR="00E63DFC">
      <w:rPr>
        <w:color w:val="0C79BE"/>
        <w:sz w:val="24"/>
      </w:rPr>
      <w:t xml:space="preserve">       </w:t>
    </w:r>
    <w:r w:rsidR="00835D44">
      <w:rPr>
        <w:noProof/>
        <w:color w:val="0C79BE"/>
        <w:sz w:val="24"/>
      </w:rPr>
      <w:drawing>
        <wp:inline distT="0" distB="0" distL="0" distR="0" wp14:anchorId="267C56F8" wp14:editId="18CAC623">
          <wp:extent cx="5760085" cy="8147685"/>
          <wp:effectExtent l="0" t="0" r="0" b="5715"/>
          <wp:docPr id="573713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823608" name="Picture 1088823608"/>
                  <pic:cNvPicPr/>
                </pic:nvPicPr>
                <pic:blipFill>
                  <a:blip r:embed="rId1">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sidR="0074668B" w:rsidRPr="00E63DFC">
      <w:rPr>
        <w:color w:val="0C79BE"/>
        <w:sz w:val="24"/>
      </w:rPr>
      <w:t>Specified High-Value Goods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1F84809"/>
    <w:multiLevelType w:val="multilevel"/>
    <w:tmpl w:val="818EBFC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4276E9B"/>
    <w:multiLevelType w:val="multilevel"/>
    <w:tmpl w:val="75F25806"/>
    <w:lvl w:ilvl="0">
      <w:start w:val="22"/>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10" w15:restartNumberingAfterBreak="0">
    <w:nsid w:val="083875EB"/>
    <w:multiLevelType w:val="multilevel"/>
    <w:tmpl w:val="2B50110E"/>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9215D08"/>
    <w:multiLevelType w:val="multilevel"/>
    <w:tmpl w:val="692E6C3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9F824D2"/>
    <w:multiLevelType w:val="multilevel"/>
    <w:tmpl w:val="92506E98"/>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B764D5D"/>
    <w:multiLevelType w:val="multilevel"/>
    <w:tmpl w:val="58401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5" w15:restartNumberingAfterBreak="0">
    <w:nsid w:val="139F6F5C"/>
    <w:multiLevelType w:val="multilevel"/>
    <w:tmpl w:val="74881A84"/>
    <w:lvl w:ilvl="0">
      <w:start w:val="7"/>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6142CFE"/>
    <w:multiLevelType w:val="multilevel"/>
    <w:tmpl w:val="A6C0AC14"/>
    <w:lvl w:ilvl="0">
      <w:start w:val="4"/>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8" w15:restartNumberingAfterBreak="0">
    <w:nsid w:val="19D71457"/>
    <w:multiLevelType w:val="multilevel"/>
    <w:tmpl w:val="144C2A4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E4203E7"/>
    <w:multiLevelType w:val="multilevel"/>
    <w:tmpl w:val="A7FAD4F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E73547F"/>
    <w:multiLevelType w:val="multilevel"/>
    <w:tmpl w:val="C382C8EE"/>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FD6122B"/>
    <w:multiLevelType w:val="multilevel"/>
    <w:tmpl w:val="70246FBA"/>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5F31269"/>
    <w:multiLevelType w:val="multilevel"/>
    <w:tmpl w:val="FE16420A"/>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A820216"/>
    <w:multiLevelType w:val="multilevel"/>
    <w:tmpl w:val="5080B4B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08A4AB6"/>
    <w:multiLevelType w:val="multilevel"/>
    <w:tmpl w:val="C3D666D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09E511A"/>
    <w:multiLevelType w:val="multilevel"/>
    <w:tmpl w:val="16565C1C"/>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562220D"/>
    <w:multiLevelType w:val="multilevel"/>
    <w:tmpl w:val="FEC466CE"/>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60F1C96"/>
    <w:multiLevelType w:val="multilevel"/>
    <w:tmpl w:val="DA1C1010"/>
    <w:lvl w:ilvl="0">
      <w:start w:val="2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66871CD"/>
    <w:multiLevelType w:val="multilevel"/>
    <w:tmpl w:val="4AFAE72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0"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39152579"/>
    <w:multiLevelType w:val="multilevel"/>
    <w:tmpl w:val="B104749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C345547"/>
    <w:multiLevelType w:val="multilevel"/>
    <w:tmpl w:val="892271F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4" w15:restartNumberingAfterBreak="0">
    <w:nsid w:val="3D2B555E"/>
    <w:multiLevelType w:val="multilevel"/>
    <w:tmpl w:val="865032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E8B2467"/>
    <w:multiLevelType w:val="multilevel"/>
    <w:tmpl w:val="8508E45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4C87F8E"/>
    <w:multiLevelType w:val="multilevel"/>
    <w:tmpl w:val="794CBB6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62542D4"/>
    <w:multiLevelType w:val="multilevel"/>
    <w:tmpl w:val="1E62DC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8B9138D"/>
    <w:multiLevelType w:val="multilevel"/>
    <w:tmpl w:val="78EEB1AA"/>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53AD4D88"/>
    <w:multiLevelType w:val="multilevel"/>
    <w:tmpl w:val="3B08F90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3"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44"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45"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46" w15:restartNumberingAfterBreak="0">
    <w:nsid w:val="6B85152D"/>
    <w:multiLevelType w:val="multilevel"/>
    <w:tmpl w:val="3230E52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48" w15:restartNumberingAfterBreak="0">
    <w:nsid w:val="741D486D"/>
    <w:multiLevelType w:val="multilevel"/>
    <w:tmpl w:val="97EE0348"/>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4581B8E"/>
    <w:multiLevelType w:val="multilevel"/>
    <w:tmpl w:val="BC6C00BE"/>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5842CC9"/>
    <w:multiLevelType w:val="multilevel"/>
    <w:tmpl w:val="BF9449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abstractNum w:abstractNumId="52" w15:restartNumberingAfterBreak="0">
    <w:nsid w:val="7D190E42"/>
    <w:multiLevelType w:val="multilevel"/>
    <w:tmpl w:val="647435B2"/>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DE05094"/>
    <w:multiLevelType w:val="multilevel"/>
    <w:tmpl w:val="F558CE14"/>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E6D60A7"/>
    <w:multiLevelType w:val="multilevel"/>
    <w:tmpl w:val="4E768B5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50074278">
    <w:abstractNumId w:val="5"/>
  </w:num>
  <w:num w:numId="2" w16cid:durableId="401413548">
    <w:abstractNumId w:val="4"/>
  </w:num>
  <w:num w:numId="3" w16cid:durableId="339553953">
    <w:abstractNumId w:val="3"/>
  </w:num>
  <w:num w:numId="4" w16cid:durableId="496649198">
    <w:abstractNumId w:val="2"/>
  </w:num>
  <w:num w:numId="5" w16cid:durableId="430052317">
    <w:abstractNumId w:val="1"/>
  </w:num>
  <w:num w:numId="6" w16cid:durableId="655180955">
    <w:abstractNumId w:val="0"/>
  </w:num>
  <w:num w:numId="7" w16cid:durableId="2040815348">
    <w:abstractNumId w:val="41"/>
  </w:num>
  <w:num w:numId="8" w16cid:durableId="1280336360">
    <w:abstractNumId w:val="42"/>
  </w:num>
  <w:num w:numId="9" w16cid:durableId="1363089051">
    <w:abstractNumId w:val="33"/>
  </w:num>
  <w:num w:numId="10" w16cid:durableId="2098596700">
    <w:abstractNumId w:val="17"/>
  </w:num>
  <w:num w:numId="11" w16cid:durableId="788620592">
    <w:abstractNumId w:val="43"/>
  </w:num>
  <w:num w:numId="12" w16cid:durableId="1780101533">
    <w:abstractNumId w:val="44"/>
  </w:num>
  <w:num w:numId="13" w16cid:durableId="541018741">
    <w:abstractNumId w:val="47"/>
  </w:num>
  <w:num w:numId="14" w16cid:durableId="1606958832">
    <w:abstractNumId w:val="9"/>
  </w:num>
  <w:num w:numId="15" w16cid:durableId="1060711198">
    <w:abstractNumId w:val="29"/>
  </w:num>
  <w:num w:numId="16" w16cid:durableId="1716733740">
    <w:abstractNumId w:val="51"/>
  </w:num>
  <w:num w:numId="17" w16cid:durableId="993534711">
    <w:abstractNumId w:val="45"/>
  </w:num>
  <w:num w:numId="18" w16cid:durableId="447437018">
    <w:abstractNumId w:val="39"/>
  </w:num>
  <w:num w:numId="19" w16cid:durableId="598409283">
    <w:abstractNumId w:val="30"/>
  </w:num>
  <w:num w:numId="20" w16cid:durableId="1335305585">
    <w:abstractNumId w:val="14"/>
  </w:num>
  <w:num w:numId="21" w16cid:durableId="637951381">
    <w:abstractNumId w:val="7"/>
  </w:num>
  <w:num w:numId="22" w16cid:durableId="889389822">
    <w:abstractNumId w:val="13"/>
  </w:num>
  <w:num w:numId="23" w16cid:durableId="406153297">
    <w:abstractNumId w:val="50"/>
  </w:num>
  <w:num w:numId="24" w16cid:durableId="1450510266">
    <w:abstractNumId w:val="34"/>
  </w:num>
  <w:num w:numId="25" w16cid:durableId="2031757232">
    <w:abstractNumId w:val="18"/>
  </w:num>
  <w:num w:numId="26" w16cid:durableId="1171989140">
    <w:abstractNumId w:val="37"/>
  </w:num>
  <w:num w:numId="27" w16cid:durableId="1483351075">
    <w:abstractNumId w:val="28"/>
  </w:num>
  <w:num w:numId="28" w16cid:durableId="624627777">
    <w:abstractNumId w:val="54"/>
  </w:num>
  <w:num w:numId="29" w16cid:durableId="189879284">
    <w:abstractNumId w:val="23"/>
  </w:num>
  <w:num w:numId="30" w16cid:durableId="1855797944">
    <w:abstractNumId w:val="11"/>
  </w:num>
  <w:num w:numId="31" w16cid:durableId="1082406910">
    <w:abstractNumId w:val="40"/>
  </w:num>
  <w:num w:numId="32" w16cid:durableId="981731175">
    <w:abstractNumId w:val="31"/>
  </w:num>
  <w:num w:numId="33" w16cid:durableId="612787323">
    <w:abstractNumId w:val="24"/>
  </w:num>
  <w:num w:numId="34" w16cid:durableId="902300435">
    <w:abstractNumId w:val="6"/>
  </w:num>
  <w:num w:numId="35" w16cid:durableId="116993416">
    <w:abstractNumId w:val="19"/>
  </w:num>
  <w:num w:numId="36" w16cid:durableId="280264470">
    <w:abstractNumId w:val="46"/>
  </w:num>
  <w:num w:numId="37" w16cid:durableId="733552691">
    <w:abstractNumId w:val="36"/>
  </w:num>
  <w:num w:numId="38" w16cid:durableId="715395053">
    <w:abstractNumId w:val="52"/>
  </w:num>
  <w:num w:numId="39" w16cid:durableId="1015570586">
    <w:abstractNumId w:val="32"/>
  </w:num>
  <w:num w:numId="40" w16cid:durableId="1026754993">
    <w:abstractNumId w:val="35"/>
  </w:num>
  <w:num w:numId="41" w16cid:durableId="1121262791">
    <w:abstractNumId w:val="53"/>
  </w:num>
  <w:num w:numId="42" w16cid:durableId="215900337">
    <w:abstractNumId w:val="25"/>
  </w:num>
  <w:num w:numId="43" w16cid:durableId="1453085718">
    <w:abstractNumId w:val="27"/>
  </w:num>
  <w:num w:numId="44" w16cid:durableId="741483522">
    <w:abstractNumId w:val="48"/>
  </w:num>
  <w:num w:numId="45" w16cid:durableId="1385643186">
    <w:abstractNumId w:val="10"/>
  </w:num>
  <w:num w:numId="46" w16cid:durableId="1901673957">
    <w:abstractNumId w:val="22"/>
  </w:num>
  <w:num w:numId="47" w16cid:durableId="813716772">
    <w:abstractNumId w:val="26"/>
  </w:num>
  <w:num w:numId="48" w16cid:durableId="575434051">
    <w:abstractNumId w:val="12"/>
  </w:num>
  <w:num w:numId="49" w16cid:durableId="1786924234">
    <w:abstractNumId w:val="49"/>
  </w:num>
  <w:num w:numId="50" w16cid:durableId="1380471564">
    <w:abstractNumId w:val="21"/>
  </w:num>
  <w:num w:numId="51" w16cid:durableId="542834965">
    <w:abstractNumId w:val="38"/>
  </w:num>
  <w:num w:numId="52" w16cid:durableId="2029990160">
    <w:abstractNumId w:val="20"/>
  </w:num>
  <w:num w:numId="53" w16cid:durableId="1018773546">
    <w:abstractNumId w:val="16"/>
  </w:num>
  <w:num w:numId="54" w16cid:durableId="1905337717">
    <w:abstractNumId w:val="15"/>
  </w:num>
  <w:num w:numId="55" w16cid:durableId="1913468589">
    <w:abstractNumId w:val="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Pr>
  <w:endnotePr>
    <w:endnote w:id="-1"/>
    <w:endnote w:id="0"/>
  </w:endnotePr>
  <w:compat>
    <w:suppressTop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4668B"/>
    <w:rsid w:val="0000328A"/>
    <w:rsid w:val="00003360"/>
    <w:rsid w:val="00003FC7"/>
    <w:rsid w:val="00005258"/>
    <w:rsid w:val="00005919"/>
    <w:rsid w:val="00006B1C"/>
    <w:rsid w:val="00007C42"/>
    <w:rsid w:val="00012F8D"/>
    <w:rsid w:val="00014FEC"/>
    <w:rsid w:val="00015020"/>
    <w:rsid w:val="0001647B"/>
    <w:rsid w:val="00017DE0"/>
    <w:rsid w:val="00020010"/>
    <w:rsid w:val="00021F24"/>
    <w:rsid w:val="00022C53"/>
    <w:rsid w:val="000267B8"/>
    <w:rsid w:val="00026F61"/>
    <w:rsid w:val="00027187"/>
    <w:rsid w:val="00031304"/>
    <w:rsid w:val="0003343E"/>
    <w:rsid w:val="00034673"/>
    <w:rsid w:val="000358AA"/>
    <w:rsid w:val="00035946"/>
    <w:rsid w:val="00036671"/>
    <w:rsid w:val="00037226"/>
    <w:rsid w:val="000409E2"/>
    <w:rsid w:val="0004288C"/>
    <w:rsid w:val="00044EA1"/>
    <w:rsid w:val="000458CC"/>
    <w:rsid w:val="000465C2"/>
    <w:rsid w:val="00046657"/>
    <w:rsid w:val="00047F65"/>
    <w:rsid w:val="00050A7F"/>
    <w:rsid w:val="00052217"/>
    <w:rsid w:val="00053342"/>
    <w:rsid w:val="00053FD5"/>
    <w:rsid w:val="00054574"/>
    <w:rsid w:val="0005649A"/>
    <w:rsid w:val="0006108F"/>
    <w:rsid w:val="00063BB2"/>
    <w:rsid w:val="000641EB"/>
    <w:rsid w:val="00065F18"/>
    <w:rsid w:val="000665EC"/>
    <w:rsid w:val="000667A8"/>
    <w:rsid w:val="0006698A"/>
    <w:rsid w:val="00067005"/>
    <w:rsid w:val="000735A0"/>
    <w:rsid w:val="00073E60"/>
    <w:rsid w:val="000758AD"/>
    <w:rsid w:val="00076035"/>
    <w:rsid w:val="00077013"/>
    <w:rsid w:val="00082295"/>
    <w:rsid w:val="00082CBC"/>
    <w:rsid w:val="0008366C"/>
    <w:rsid w:val="00091C3A"/>
    <w:rsid w:val="0009406B"/>
    <w:rsid w:val="000A6E68"/>
    <w:rsid w:val="000B107E"/>
    <w:rsid w:val="000B115B"/>
    <w:rsid w:val="000B5069"/>
    <w:rsid w:val="000C2507"/>
    <w:rsid w:val="000C302E"/>
    <w:rsid w:val="000C44F5"/>
    <w:rsid w:val="000C72E7"/>
    <w:rsid w:val="000D14A5"/>
    <w:rsid w:val="000D463D"/>
    <w:rsid w:val="000D5E65"/>
    <w:rsid w:val="000D61F6"/>
    <w:rsid w:val="000D6398"/>
    <w:rsid w:val="000D69B6"/>
    <w:rsid w:val="000D6A6E"/>
    <w:rsid w:val="000D7B18"/>
    <w:rsid w:val="000E3240"/>
    <w:rsid w:val="000E35CD"/>
    <w:rsid w:val="000E5AE2"/>
    <w:rsid w:val="000E677B"/>
    <w:rsid w:val="000F0260"/>
    <w:rsid w:val="000F37A3"/>
    <w:rsid w:val="000F4ADF"/>
    <w:rsid w:val="000F61AF"/>
    <w:rsid w:val="000F673F"/>
    <w:rsid w:val="000F7530"/>
    <w:rsid w:val="00100668"/>
    <w:rsid w:val="0010171C"/>
    <w:rsid w:val="00102FAD"/>
    <w:rsid w:val="00106EAE"/>
    <w:rsid w:val="00110295"/>
    <w:rsid w:val="001115D9"/>
    <w:rsid w:val="00112E85"/>
    <w:rsid w:val="00114742"/>
    <w:rsid w:val="001210FA"/>
    <w:rsid w:val="0012157B"/>
    <w:rsid w:val="00121870"/>
    <w:rsid w:val="00122C3A"/>
    <w:rsid w:val="00122F03"/>
    <w:rsid w:val="00126960"/>
    <w:rsid w:val="00126FDE"/>
    <w:rsid w:val="0013006C"/>
    <w:rsid w:val="001324C6"/>
    <w:rsid w:val="001329D4"/>
    <w:rsid w:val="00133199"/>
    <w:rsid w:val="0013703F"/>
    <w:rsid w:val="00140ED2"/>
    <w:rsid w:val="00141443"/>
    <w:rsid w:val="00141A09"/>
    <w:rsid w:val="00143E7C"/>
    <w:rsid w:val="0014415C"/>
    <w:rsid w:val="0014565E"/>
    <w:rsid w:val="00150451"/>
    <w:rsid w:val="001519BF"/>
    <w:rsid w:val="001529DB"/>
    <w:rsid w:val="001536C9"/>
    <w:rsid w:val="00160EB9"/>
    <w:rsid w:val="00161F2C"/>
    <w:rsid w:val="00162029"/>
    <w:rsid w:val="0016262F"/>
    <w:rsid w:val="0016433D"/>
    <w:rsid w:val="001707D2"/>
    <w:rsid w:val="0017788F"/>
    <w:rsid w:val="00182136"/>
    <w:rsid w:val="00184973"/>
    <w:rsid w:val="00184C0F"/>
    <w:rsid w:val="00191A99"/>
    <w:rsid w:val="001A25D4"/>
    <w:rsid w:val="001A5F55"/>
    <w:rsid w:val="001B0610"/>
    <w:rsid w:val="001B17DB"/>
    <w:rsid w:val="001B6145"/>
    <w:rsid w:val="001C0031"/>
    <w:rsid w:val="001C0C30"/>
    <w:rsid w:val="001C39E7"/>
    <w:rsid w:val="001C3A4A"/>
    <w:rsid w:val="001C4694"/>
    <w:rsid w:val="001D0111"/>
    <w:rsid w:val="001D0F2F"/>
    <w:rsid w:val="001D3FDB"/>
    <w:rsid w:val="001D41E1"/>
    <w:rsid w:val="001D5210"/>
    <w:rsid w:val="001D66F8"/>
    <w:rsid w:val="001D732A"/>
    <w:rsid w:val="001D7EAE"/>
    <w:rsid w:val="001E05E8"/>
    <w:rsid w:val="001E0D3C"/>
    <w:rsid w:val="001E35A3"/>
    <w:rsid w:val="001E3A25"/>
    <w:rsid w:val="001E64FC"/>
    <w:rsid w:val="001E7B4D"/>
    <w:rsid w:val="001F0724"/>
    <w:rsid w:val="001F1EA7"/>
    <w:rsid w:val="001F4C38"/>
    <w:rsid w:val="001F5ABA"/>
    <w:rsid w:val="002007DF"/>
    <w:rsid w:val="00200D15"/>
    <w:rsid w:val="00205FE8"/>
    <w:rsid w:val="00206BA3"/>
    <w:rsid w:val="00214B66"/>
    <w:rsid w:val="00215160"/>
    <w:rsid w:val="00216D49"/>
    <w:rsid w:val="0022167D"/>
    <w:rsid w:val="002224B4"/>
    <w:rsid w:val="00223BBE"/>
    <w:rsid w:val="0022655F"/>
    <w:rsid w:val="00226D5E"/>
    <w:rsid w:val="0023684A"/>
    <w:rsid w:val="00237A3D"/>
    <w:rsid w:val="00240E83"/>
    <w:rsid w:val="002473BF"/>
    <w:rsid w:val="002502D1"/>
    <w:rsid w:val="002557C4"/>
    <w:rsid w:val="00256B71"/>
    <w:rsid w:val="0026005F"/>
    <w:rsid w:val="00260A17"/>
    <w:rsid w:val="0026223F"/>
    <w:rsid w:val="002634AA"/>
    <w:rsid w:val="00265F84"/>
    <w:rsid w:val="00270EEC"/>
    <w:rsid w:val="00271637"/>
    <w:rsid w:val="00272FD2"/>
    <w:rsid w:val="00274E10"/>
    <w:rsid w:val="00276AC5"/>
    <w:rsid w:val="002777D8"/>
    <w:rsid w:val="002806A2"/>
    <w:rsid w:val="00281C6D"/>
    <w:rsid w:val="002864E3"/>
    <w:rsid w:val="00292FFB"/>
    <w:rsid w:val="00294597"/>
    <w:rsid w:val="002953AE"/>
    <w:rsid w:val="00295AEA"/>
    <w:rsid w:val="00297CC7"/>
    <w:rsid w:val="002A194F"/>
    <w:rsid w:val="002A2571"/>
    <w:rsid w:val="002A4BD9"/>
    <w:rsid w:val="002A4FE7"/>
    <w:rsid w:val="002B0E64"/>
    <w:rsid w:val="002B1266"/>
    <w:rsid w:val="002B1CEB"/>
    <w:rsid w:val="002C5D13"/>
    <w:rsid w:val="002C6D1D"/>
    <w:rsid w:val="002D3125"/>
    <w:rsid w:val="002D4F42"/>
    <w:rsid w:val="002E3F48"/>
    <w:rsid w:val="002E4CDE"/>
    <w:rsid w:val="002E5B5F"/>
    <w:rsid w:val="002E66E8"/>
    <w:rsid w:val="002E77A9"/>
    <w:rsid w:val="002F1569"/>
    <w:rsid w:val="002F2B5D"/>
    <w:rsid w:val="002F3084"/>
    <w:rsid w:val="002F3980"/>
    <w:rsid w:val="003002B9"/>
    <w:rsid w:val="0030084C"/>
    <w:rsid w:val="00300AB2"/>
    <w:rsid w:val="00301F66"/>
    <w:rsid w:val="00303545"/>
    <w:rsid w:val="003039E1"/>
    <w:rsid w:val="00310530"/>
    <w:rsid w:val="00310CD5"/>
    <w:rsid w:val="003129BA"/>
    <w:rsid w:val="003148FC"/>
    <w:rsid w:val="0031750D"/>
    <w:rsid w:val="0032132E"/>
    <w:rsid w:val="00322AAC"/>
    <w:rsid w:val="0032755E"/>
    <w:rsid w:val="00327F3C"/>
    <w:rsid w:val="00330820"/>
    <w:rsid w:val="0033238E"/>
    <w:rsid w:val="00336386"/>
    <w:rsid w:val="003401C8"/>
    <w:rsid w:val="00343D94"/>
    <w:rsid w:val="003448A5"/>
    <w:rsid w:val="00345B95"/>
    <w:rsid w:val="003465C8"/>
    <w:rsid w:val="00346A0F"/>
    <w:rsid w:val="003536AE"/>
    <w:rsid w:val="00354BE9"/>
    <w:rsid w:val="003572D3"/>
    <w:rsid w:val="0035765F"/>
    <w:rsid w:val="00360143"/>
    <w:rsid w:val="00361859"/>
    <w:rsid w:val="0037016B"/>
    <w:rsid w:val="00370FC0"/>
    <w:rsid w:val="00373206"/>
    <w:rsid w:val="003737ED"/>
    <w:rsid w:val="00375B80"/>
    <w:rsid w:val="003767BC"/>
    <w:rsid w:val="00377352"/>
    <w:rsid w:val="003814FF"/>
    <w:rsid w:val="00382AA0"/>
    <w:rsid w:val="00383E2D"/>
    <w:rsid w:val="003912D5"/>
    <w:rsid w:val="0039248E"/>
    <w:rsid w:val="0039276E"/>
    <w:rsid w:val="003951DB"/>
    <w:rsid w:val="003A0AD6"/>
    <w:rsid w:val="003A0FEC"/>
    <w:rsid w:val="003A10DA"/>
    <w:rsid w:val="003A113B"/>
    <w:rsid w:val="003A12C8"/>
    <w:rsid w:val="003A3932"/>
    <w:rsid w:val="003A6F10"/>
    <w:rsid w:val="003A6FFE"/>
    <w:rsid w:val="003A7695"/>
    <w:rsid w:val="003B154F"/>
    <w:rsid w:val="003B1DE8"/>
    <w:rsid w:val="003B32E1"/>
    <w:rsid w:val="003B3A23"/>
    <w:rsid w:val="003B4456"/>
    <w:rsid w:val="003B5BCC"/>
    <w:rsid w:val="003B6592"/>
    <w:rsid w:val="003C0A0B"/>
    <w:rsid w:val="003C298B"/>
    <w:rsid w:val="003C2F14"/>
    <w:rsid w:val="003C7326"/>
    <w:rsid w:val="003C772C"/>
    <w:rsid w:val="003D6095"/>
    <w:rsid w:val="003E0188"/>
    <w:rsid w:val="003E0ACF"/>
    <w:rsid w:val="003E1045"/>
    <w:rsid w:val="003E487C"/>
    <w:rsid w:val="003E4EE4"/>
    <w:rsid w:val="003F2B58"/>
    <w:rsid w:val="003F4D37"/>
    <w:rsid w:val="003F5886"/>
    <w:rsid w:val="003F6DFB"/>
    <w:rsid w:val="003F6E4E"/>
    <w:rsid w:val="003F7813"/>
    <w:rsid w:val="003F7D41"/>
    <w:rsid w:val="0040020C"/>
    <w:rsid w:val="00401CA0"/>
    <w:rsid w:val="00404367"/>
    <w:rsid w:val="0040700B"/>
    <w:rsid w:val="00407F54"/>
    <w:rsid w:val="0041024D"/>
    <w:rsid w:val="00411341"/>
    <w:rsid w:val="0041297F"/>
    <w:rsid w:val="00413006"/>
    <w:rsid w:val="00413966"/>
    <w:rsid w:val="00415015"/>
    <w:rsid w:val="00415CDB"/>
    <w:rsid w:val="004166D3"/>
    <w:rsid w:val="00417D72"/>
    <w:rsid w:val="0042210B"/>
    <w:rsid w:val="004231DC"/>
    <w:rsid w:val="0042551E"/>
    <w:rsid w:val="0042750C"/>
    <w:rsid w:val="0042776B"/>
    <w:rsid w:val="00430422"/>
    <w:rsid w:val="00431E14"/>
    <w:rsid w:val="00431F75"/>
    <w:rsid w:val="00433AD8"/>
    <w:rsid w:val="00433BED"/>
    <w:rsid w:val="00437A53"/>
    <w:rsid w:val="00437AA1"/>
    <w:rsid w:val="00443B10"/>
    <w:rsid w:val="0044455B"/>
    <w:rsid w:val="00445797"/>
    <w:rsid w:val="0044701B"/>
    <w:rsid w:val="00450244"/>
    <w:rsid w:val="004515A9"/>
    <w:rsid w:val="0045438D"/>
    <w:rsid w:val="0045451C"/>
    <w:rsid w:val="004545C7"/>
    <w:rsid w:val="004552A0"/>
    <w:rsid w:val="00457E34"/>
    <w:rsid w:val="00460A83"/>
    <w:rsid w:val="00460B3F"/>
    <w:rsid w:val="0046232F"/>
    <w:rsid w:val="00464752"/>
    <w:rsid w:val="00470227"/>
    <w:rsid w:val="00470795"/>
    <w:rsid w:val="00470BE5"/>
    <w:rsid w:val="00472A55"/>
    <w:rsid w:val="00473553"/>
    <w:rsid w:val="00473DE7"/>
    <w:rsid w:val="00473F68"/>
    <w:rsid w:val="00476068"/>
    <w:rsid w:val="004763B3"/>
    <w:rsid w:val="00477619"/>
    <w:rsid w:val="00480E19"/>
    <w:rsid w:val="00486E6E"/>
    <w:rsid w:val="004875DF"/>
    <w:rsid w:val="00487C1D"/>
    <w:rsid w:val="0049086D"/>
    <w:rsid w:val="00491EF3"/>
    <w:rsid w:val="00492135"/>
    <w:rsid w:val="004934DB"/>
    <w:rsid w:val="00494C6F"/>
    <w:rsid w:val="004A042E"/>
    <w:rsid w:val="004A5823"/>
    <w:rsid w:val="004A58F0"/>
    <w:rsid w:val="004B087E"/>
    <w:rsid w:val="004B0AAF"/>
    <w:rsid w:val="004B214C"/>
    <w:rsid w:val="004B240A"/>
    <w:rsid w:val="004B3924"/>
    <w:rsid w:val="004C09E3"/>
    <w:rsid w:val="004C37A7"/>
    <w:rsid w:val="004C3F35"/>
    <w:rsid w:val="004C4DDD"/>
    <w:rsid w:val="004C5BBF"/>
    <w:rsid w:val="004C5F40"/>
    <w:rsid w:val="004C6953"/>
    <w:rsid w:val="004C7001"/>
    <w:rsid w:val="004D1706"/>
    <w:rsid w:val="004D243F"/>
    <w:rsid w:val="004D58DA"/>
    <w:rsid w:val="004D6087"/>
    <w:rsid w:val="004D7473"/>
    <w:rsid w:val="004E0654"/>
    <w:rsid w:val="004E1FE0"/>
    <w:rsid w:val="004E730C"/>
    <w:rsid w:val="004F03FB"/>
    <w:rsid w:val="004F2E8A"/>
    <w:rsid w:val="004F431D"/>
    <w:rsid w:val="004F55E1"/>
    <w:rsid w:val="0050006E"/>
    <w:rsid w:val="00501C4B"/>
    <w:rsid w:val="005028A7"/>
    <w:rsid w:val="005047F0"/>
    <w:rsid w:val="00504A82"/>
    <w:rsid w:val="005050DF"/>
    <w:rsid w:val="00505CC6"/>
    <w:rsid w:val="005078B7"/>
    <w:rsid w:val="00510584"/>
    <w:rsid w:val="00510D73"/>
    <w:rsid w:val="00512263"/>
    <w:rsid w:val="00512ACB"/>
    <w:rsid w:val="0051416F"/>
    <w:rsid w:val="00515F60"/>
    <w:rsid w:val="005178A2"/>
    <w:rsid w:val="0052216D"/>
    <w:rsid w:val="00522BB6"/>
    <w:rsid w:val="00522DDB"/>
    <w:rsid w:val="00526115"/>
    <w:rsid w:val="00531FEE"/>
    <w:rsid w:val="00532F3C"/>
    <w:rsid w:val="00533463"/>
    <w:rsid w:val="00533674"/>
    <w:rsid w:val="00533FAF"/>
    <w:rsid w:val="00534CD5"/>
    <w:rsid w:val="005366B6"/>
    <w:rsid w:val="00541738"/>
    <w:rsid w:val="0054507C"/>
    <w:rsid w:val="00546673"/>
    <w:rsid w:val="00547A1B"/>
    <w:rsid w:val="00550B6F"/>
    <w:rsid w:val="00554BCD"/>
    <w:rsid w:val="00555F60"/>
    <w:rsid w:val="005605A5"/>
    <w:rsid w:val="00560B3C"/>
    <w:rsid w:val="00561A97"/>
    <w:rsid w:val="0056250C"/>
    <w:rsid w:val="00563DAC"/>
    <w:rsid w:val="00566541"/>
    <w:rsid w:val="00566D55"/>
    <w:rsid w:val="005675E0"/>
    <w:rsid w:val="00570A71"/>
    <w:rsid w:val="00570C00"/>
    <w:rsid w:val="005714C4"/>
    <w:rsid w:val="005732B9"/>
    <w:rsid w:val="005736A5"/>
    <w:rsid w:val="00576AAA"/>
    <w:rsid w:val="00580789"/>
    <w:rsid w:val="00580CD5"/>
    <w:rsid w:val="0058206B"/>
    <w:rsid w:val="00585690"/>
    <w:rsid w:val="005862D0"/>
    <w:rsid w:val="005874ED"/>
    <w:rsid w:val="00590181"/>
    <w:rsid w:val="005905F2"/>
    <w:rsid w:val="00591BDC"/>
    <w:rsid w:val="00592636"/>
    <w:rsid w:val="005940C1"/>
    <w:rsid w:val="00594AAA"/>
    <w:rsid w:val="00595B33"/>
    <w:rsid w:val="00595DA8"/>
    <w:rsid w:val="0059662F"/>
    <w:rsid w:val="00596836"/>
    <w:rsid w:val="005A01D4"/>
    <w:rsid w:val="005A37AC"/>
    <w:rsid w:val="005A415A"/>
    <w:rsid w:val="005B7254"/>
    <w:rsid w:val="005C11DE"/>
    <w:rsid w:val="005C5067"/>
    <w:rsid w:val="005C6358"/>
    <w:rsid w:val="005C688B"/>
    <w:rsid w:val="005D2DED"/>
    <w:rsid w:val="005D3066"/>
    <w:rsid w:val="005E16CA"/>
    <w:rsid w:val="005E3D2A"/>
    <w:rsid w:val="005E42EC"/>
    <w:rsid w:val="005E4B13"/>
    <w:rsid w:val="005E4C02"/>
    <w:rsid w:val="005E55A5"/>
    <w:rsid w:val="005E720A"/>
    <w:rsid w:val="005E7EAF"/>
    <w:rsid w:val="005F01DF"/>
    <w:rsid w:val="005F101B"/>
    <w:rsid w:val="005F1FE8"/>
    <w:rsid w:val="005F406B"/>
    <w:rsid w:val="005F6C62"/>
    <w:rsid w:val="005F76CC"/>
    <w:rsid w:val="005F7FF8"/>
    <w:rsid w:val="006004C4"/>
    <w:rsid w:val="00600CA4"/>
    <w:rsid w:val="00602416"/>
    <w:rsid w:val="006025CE"/>
    <w:rsid w:val="00603635"/>
    <w:rsid w:val="006041F2"/>
    <w:rsid w:val="006050DB"/>
    <w:rsid w:val="006064F5"/>
    <w:rsid w:val="00610AD1"/>
    <w:rsid w:val="006129F3"/>
    <w:rsid w:val="0061353B"/>
    <w:rsid w:val="00617298"/>
    <w:rsid w:val="0062158D"/>
    <w:rsid w:val="0062513A"/>
    <w:rsid w:val="00630DC4"/>
    <w:rsid w:val="00631B0C"/>
    <w:rsid w:val="00633182"/>
    <w:rsid w:val="00636A73"/>
    <w:rsid w:val="00636C3C"/>
    <w:rsid w:val="00637753"/>
    <w:rsid w:val="00640301"/>
    <w:rsid w:val="006413ED"/>
    <w:rsid w:val="006460F5"/>
    <w:rsid w:val="00647BB1"/>
    <w:rsid w:val="00660CE4"/>
    <w:rsid w:val="00661408"/>
    <w:rsid w:val="0066211E"/>
    <w:rsid w:val="00662716"/>
    <w:rsid w:val="00662E5A"/>
    <w:rsid w:val="00663B9D"/>
    <w:rsid w:val="00666991"/>
    <w:rsid w:val="00673E76"/>
    <w:rsid w:val="00676C9F"/>
    <w:rsid w:val="00677759"/>
    <w:rsid w:val="00677B13"/>
    <w:rsid w:val="00677F4E"/>
    <w:rsid w:val="00677F8A"/>
    <w:rsid w:val="00681A08"/>
    <w:rsid w:val="00681FC4"/>
    <w:rsid w:val="00685ECF"/>
    <w:rsid w:val="006875B8"/>
    <w:rsid w:val="00687CEA"/>
    <w:rsid w:val="006929AC"/>
    <w:rsid w:val="006930FD"/>
    <w:rsid w:val="00693201"/>
    <w:rsid w:val="00694E01"/>
    <w:rsid w:val="00695171"/>
    <w:rsid w:val="00695B75"/>
    <w:rsid w:val="006973D9"/>
    <w:rsid w:val="006A1A95"/>
    <w:rsid w:val="006A3252"/>
    <w:rsid w:val="006A38B7"/>
    <w:rsid w:val="006A576A"/>
    <w:rsid w:val="006A5C31"/>
    <w:rsid w:val="006A7156"/>
    <w:rsid w:val="006B1CB2"/>
    <w:rsid w:val="006B1DD1"/>
    <w:rsid w:val="006B3396"/>
    <w:rsid w:val="006B4628"/>
    <w:rsid w:val="006B4FE7"/>
    <w:rsid w:val="006B53D2"/>
    <w:rsid w:val="006C195E"/>
    <w:rsid w:val="006C6306"/>
    <w:rsid w:val="006C787D"/>
    <w:rsid w:val="006D2CE2"/>
    <w:rsid w:val="006D638F"/>
    <w:rsid w:val="006D7384"/>
    <w:rsid w:val="006E1B59"/>
    <w:rsid w:val="006E29A6"/>
    <w:rsid w:val="006E7BF7"/>
    <w:rsid w:val="006F06C5"/>
    <w:rsid w:val="006F2F3F"/>
    <w:rsid w:val="006F67DD"/>
    <w:rsid w:val="00702F2C"/>
    <w:rsid w:val="00705F5E"/>
    <w:rsid w:val="007068C8"/>
    <w:rsid w:val="00707164"/>
    <w:rsid w:val="00707973"/>
    <w:rsid w:val="007100E1"/>
    <w:rsid w:val="007118D5"/>
    <w:rsid w:val="00713E3D"/>
    <w:rsid w:val="00715B8F"/>
    <w:rsid w:val="00717BCB"/>
    <w:rsid w:val="00721CCB"/>
    <w:rsid w:val="007222F3"/>
    <w:rsid w:val="00724CA2"/>
    <w:rsid w:val="0073106E"/>
    <w:rsid w:val="00737A25"/>
    <w:rsid w:val="00740D0A"/>
    <w:rsid w:val="00744179"/>
    <w:rsid w:val="007450CC"/>
    <w:rsid w:val="0074668B"/>
    <w:rsid w:val="00751D06"/>
    <w:rsid w:val="00755142"/>
    <w:rsid w:val="0075598D"/>
    <w:rsid w:val="00756BB7"/>
    <w:rsid w:val="0075764B"/>
    <w:rsid w:val="00757B04"/>
    <w:rsid w:val="00760A77"/>
    <w:rsid w:val="00760C01"/>
    <w:rsid w:val="00761293"/>
    <w:rsid w:val="00761C30"/>
    <w:rsid w:val="00761E64"/>
    <w:rsid w:val="00765E0B"/>
    <w:rsid w:val="00767C04"/>
    <w:rsid w:val="007736A2"/>
    <w:rsid w:val="0077501F"/>
    <w:rsid w:val="00776EAA"/>
    <w:rsid w:val="0077780E"/>
    <w:rsid w:val="00777CA7"/>
    <w:rsid w:val="0078035F"/>
    <w:rsid w:val="00780C8D"/>
    <w:rsid w:val="00783926"/>
    <w:rsid w:val="007844C2"/>
    <w:rsid w:val="00785380"/>
    <w:rsid w:val="00786687"/>
    <w:rsid w:val="00792EEB"/>
    <w:rsid w:val="00794130"/>
    <w:rsid w:val="007959AB"/>
    <w:rsid w:val="007A3AAC"/>
    <w:rsid w:val="007A6226"/>
    <w:rsid w:val="007A7432"/>
    <w:rsid w:val="007B0D2C"/>
    <w:rsid w:val="007B199F"/>
    <w:rsid w:val="007B1E31"/>
    <w:rsid w:val="007B3C61"/>
    <w:rsid w:val="007B46D4"/>
    <w:rsid w:val="007B4C93"/>
    <w:rsid w:val="007B7CA8"/>
    <w:rsid w:val="007C195F"/>
    <w:rsid w:val="007C3C4D"/>
    <w:rsid w:val="007C7D96"/>
    <w:rsid w:val="007D1918"/>
    <w:rsid w:val="007E12F9"/>
    <w:rsid w:val="007E16FF"/>
    <w:rsid w:val="007E2FEE"/>
    <w:rsid w:val="007E5221"/>
    <w:rsid w:val="007E754B"/>
    <w:rsid w:val="007F03F2"/>
    <w:rsid w:val="007F24C9"/>
    <w:rsid w:val="007F6BFA"/>
    <w:rsid w:val="0080106D"/>
    <w:rsid w:val="00802471"/>
    <w:rsid w:val="008031DF"/>
    <w:rsid w:val="008041E5"/>
    <w:rsid w:val="00806509"/>
    <w:rsid w:val="008065D7"/>
    <w:rsid w:val="00810680"/>
    <w:rsid w:val="008111A3"/>
    <w:rsid w:val="008138AF"/>
    <w:rsid w:val="008166FE"/>
    <w:rsid w:val="00816E30"/>
    <w:rsid w:val="0082264B"/>
    <w:rsid w:val="0082305A"/>
    <w:rsid w:val="00824223"/>
    <w:rsid w:val="0082765B"/>
    <w:rsid w:val="00827F37"/>
    <w:rsid w:val="00832BBF"/>
    <w:rsid w:val="008352B1"/>
    <w:rsid w:val="008353E7"/>
    <w:rsid w:val="00835BD7"/>
    <w:rsid w:val="00835D44"/>
    <w:rsid w:val="008401FA"/>
    <w:rsid w:val="0084166D"/>
    <w:rsid w:val="008428E8"/>
    <w:rsid w:val="00843D71"/>
    <w:rsid w:val="00845167"/>
    <w:rsid w:val="00846C90"/>
    <w:rsid w:val="00846F11"/>
    <w:rsid w:val="0084745A"/>
    <w:rsid w:val="00847EE4"/>
    <w:rsid w:val="008504D0"/>
    <w:rsid w:val="00852075"/>
    <w:rsid w:val="008529AF"/>
    <w:rsid w:val="00852DCA"/>
    <w:rsid w:val="00852EE0"/>
    <w:rsid w:val="00855F08"/>
    <w:rsid w:val="008611FC"/>
    <w:rsid w:val="00864B37"/>
    <w:rsid w:val="00867EF0"/>
    <w:rsid w:val="00870045"/>
    <w:rsid w:val="00871473"/>
    <w:rsid w:val="00872BAA"/>
    <w:rsid w:val="008740EA"/>
    <w:rsid w:val="00876E5F"/>
    <w:rsid w:val="00877989"/>
    <w:rsid w:val="0088223B"/>
    <w:rsid w:val="00884A12"/>
    <w:rsid w:val="00890CE4"/>
    <w:rsid w:val="00891870"/>
    <w:rsid w:val="00891ED7"/>
    <w:rsid w:val="00892007"/>
    <w:rsid w:val="008A2DCD"/>
    <w:rsid w:val="008A5450"/>
    <w:rsid w:val="008A599D"/>
    <w:rsid w:val="008B7B54"/>
    <w:rsid w:val="008C016F"/>
    <w:rsid w:val="008C025C"/>
    <w:rsid w:val="008C1031"/>
    <w:rsid w:val="008C1F6B"/>
    <w:rsid w:val="008C237B"/>
    <w:rsid w:val="008C3187"/>
    <w:rsid w:val="008C49EB"/>
    <w:rsid w:val="008C5E4F"/>
    <w:rsid w:val="008C5E73"/>
    <w:rsid w:val="008C75D3"/>
    <w:rsid w:val="008C780E"/>
    <w:rsid w:val="008D1C07"/>
    <w:rsid w:val="008D4B69"/>
    <w:rsid w:val="008D63B7"/>
    <w:rsid w:val="008D68D1"/>
    <w:rsid w:val="008D6A03"/>
    <w:rsid w:val="008D6CA7"/>
    <w:rsid w:val="008D7B7D"/>
    <w:rsid w:val="008E2C42"/>
    <w:rsid w:val="008E508C"/>
    <w:rsid w:val="008E7FEE"/>
    <w:rsid w:val="008F116D"/>
    <w:rsid w:val="008F2019"/>
    <w:rsid w:val="008F241E"/>
    <w:rsid w:val="008F2F06"/>
    <w:rsid w:val="008F31F5"/>
    <w:rsid w:val="008F4ED2"/>
    <w:rsid w:val="008F67F5"/>
    <w:rsid w:val="008F6BCE"/>
    <w:rsid w:val="008F73A2"/>
    <w:rsid w:val="008F7FB8"/>
    <w:rsid w:val="00900D4B"/>
    <w:rsid w:val="00905F9B"/>
    <w:rsid w:val="00912851"/>
    <w:rsid w:val="00913E95"/>
    <w:rsid w:val="009162EB"/>
    <w:rsid w:val="009170B9"/>
    <w:rsid w:val="009174A5"/>
    <w:rsid w:val="009205E8"/>
    <w:rsid w:val="00923A87"/>
    <w:rsid w:val="00927482"/>
    <w:rsid w:val="00936411"/>
    <w:rsid w:val="00936FF5"/>
    <w:rsid w:val="00937097"/>
    <w:rsid w:val="0094654B"/>
    <w:rsid w:val="0095112B"/>
    <w:rsid w:val="0095387D"/>
    <w:rsid w:val="0095712A"/>
    <w:rsid w:val="009653E9"/>
    <w:rsid w:val="00971558"/>
    <w:rsid w:val="00972F8A"/>
    <w:rsid w:val="00973A6D"/>
    <w:rsid w:val="0097655E"/>
    <w:rsid w:val="009804E0"/>
    <w:rsid w:val="00981789"/>
    <w:rsid w:val="00983735"/>
    <w:rsid w:val="0098549B"/>
    <w:rsid w:val="009865AA"/>
    <w:rsid w:val="00986EF8"/>
    <w:rsid w:val="00987080"/>
    <w:rsid w:val="0098765A"/>
    <w:rsid w:val="00987E5B"/>
    <w:rsid w:val="00990E83"/>
    <w:rsid w:val="00991620"/>
    <w:rsid w:val="00991939"/>
    <w:rsid w:val="00992075"/>
    <w:rsid w:val="00992EA7"/>
    <w:rsid w:val="009937EA"/>
    <w:rsid w:val="0099395C"/>
    <w:rsid w:val="009941C0"/>
    <w:rsid w:val="00995612"/>
    <w:rsid w:val="009968B0"/>
    <w:rsid w:val="009A4AB6"/>
    <w:rsid w:val="009A6CB2"/>
    <w:rsid w:val="009B0982"/>
    <w:rsid w:val="009B2400"/>
    <w:rsid w:val="009B3448"/>
    <w:rsid w:val="009B4C99"/>
    <w:rsid w:val="009B6699"/>
    <w:rsid w:val="009C13FB"/>
    <w:rsid w:val="009C2D92"/>
    <w:rsid w:val="009C3CBB"/>
    <w:rsid w:val="009C4E8E"/>
    <w:rsid w:val="009C582B"/>
    <w:rsid w:val="009C65C5"/>
    <w:rsid w:val="009C66EA"/>
    <w:rsid w:val="009D28CF"/>
    <w:rsid w:val="009D2AAC"/>
    <w:rsid w:val="009D4D30"/>
    <w:rsid w:val="009D5384"/>
    <w:rsid w:val="009D7A93"/>
    <w:rsid w:val="009E13B1"/>
    <w:rsid w:val="009E1769"/>
    <w:rsid w:val="009E2C49"/>
    <w:rsid w:val="009E4200"/>
    <w:rsid w:val="009E4353"/>
    <w:rsid w:val="009E5D36"/>
    <w:rsid w:val="009E6179"/>
    <w:rsid w:val="009E6375"/>
    <w:rsid w:val="009E7CA0"/>
    <w:rsid w:val="00A0368A"/>
    <w:rsid w:val="00A03EB2"/>
    <w:rsid w:val="00A04392"/>
    <w:rsid w:val="00A069CE"/>
    <w:rsid w:val="00A07CC6"/>
    <w:rsid w:val="00A109D8"/>
    <w:rsid w:val="00A14553"/>
    <w:rsid w:val="00A153EB"/>
    <w:rsid w:val="00A16003"/>
    <w:rsid w:val="00A167D7"/>
    <w:rsid w:val="00A23D39"/>
    <w:rsid w:val="00A23EC2"/>
    <w:rsid w:val="00A24FBB"/>
    <w:rsid w:val="00A3394C"/>
    <w:rsid w:val="00A3453E"/>
    <w:rsid w:val="00A34E40"/>
    <w:rsid w:val="00A35550"/>
    <w:rsid w:val="00A400FB"/>
    <w:rsid w:val="00A41491"/>
    <w:rsid w:val="00A42ED2"/>
    <w:rsid w:val="00A433DB"/>
    <w:rsid w:val="00A44987"/>
    <w:rsid w:val="00A44B33"/>
    <w:rsid w:val="00A4766D"/>
    <w:rsid w:val="00A47AD9"/>
    <w:rsid w:val="00A47AE2"/>
    <w:rsid w:val="00A5067A"/>
    <w:rsid w:val="00A50E00"/>
    <w:rsid w:val="00A52529"/>
    <w:rsid w:val="00A52768"/>
    <w:rsid w:val="00A53624"/>
    <w:rsid w:val="00A5570A"/>
    <w:rsid w:val="00A55EAF"/>
    <w:rsid w:val="00A5766B"/>
    <w:rsid w:val="00A65529"/>
    <w:rsid w:val="00A66EB3"/>
    <w:rsid w:val="00A679D9"/>
    <w:rsid w:val="00A70020"/>
    <w:rsid w:val="00A72907"/>
    <w:rsid w:val="00A7392A"/>
    <w:rsid w:val="00A758C9"/>
    <w:rsid w:val="00A7725A"/>
    <w:rsid w:val="00A77512"/>
    <w:rsid w:val="00A84BE2"/>
    <w:rsid w:val="00A85137"/>
    <w:rsid w:val="00A863E3"/>
    <w:rsid w:val="00A94161"/>
    <w:rsid w:val="00A945F0"/>
    <w:rsid w:val="00A97BFB"/>
    <w:rsid w:val="00AA6938"/>
    <w:rsid w:val="00AA736C"/>
    <w:rsid w:val="00AA7F4C"/>
    <w:rsid w:val="00AB0BBC"/>
    <w:rsid w:val="00AB3A92"/>
    <w:rsid w:val="00AB4394"/>
    <w:rsid w:val="00AB478B"/>
    <w:rsid w:val="00AB47AC"/>
    <w:rsid w:val="00AB4AD9"/>
    <w:rsid w:val="00AB65FC"/>
    <w:rsid w:val="00AB7AAA"/>
    <w:rsid w:val="00AC0BF5"/>
    <w:rsid w:val="00AC125F"/>
    <w:rsid w:val="00AC6B97"/>
    <w:rsid w:val="00AC73A9"/>
    <w:rsid w:val="00AC7C1E"/>
    <w:rsid w:val="00AD544C"/>
    <w:rsid w:val="00AD6393"/>
    <w:rsid w:val="00AD6E77"/>
    <w:rsid w:val="00AD774A"/>
    <w:rsid w:val="00AD79D0"/>
    <w:rsid w:val="00AD7A25"/>
    <w:rsid w:val="00AE0009"/>
    <w:rsid w:val="00AE2666"/>
    <w:rsid w:val="00AE28A4"/>
    <w:rsid w:val="00AE478C"/>
    <w:rsid w:val="00AF094E"/>
    <w:rsid w:val="00AF16C4"/>
    <w:rsid w:val="00AF193A"/>
    <w:rsid w:val="00AF3A5A"/>
    <w:rsid w:val="00AF3E15"/>
    <w:rsid w:val="00AF433C"/>
    <w:rsid w:val="00AF5218"/>
    <w:rsid w:val="00AF60A0"/>
    <w:rsid w:val="00AF65A5"/>
    <w:rsid w:val="00B01A6F"/>
    <w:rsid w:val="00B0480E"/>
    <w:rsid w:val="00B0718F"/>
    <w:rsid w:val="00B1026A"/>
    <w:rsid w:val="00B156F6"/>
    <w:rsid w:val="00B17B54"/>
    <w:rsid w:val="00B20ECA"/>
    <w:rsid w:val="00B21166"/>
    <w:rsid w:val="00B263AE"/>
    <w:rsid w:val="00B267CE"/>
    <w:rsid w:val="00B26E3E"/>
    <w:rsid w:val="00B304F6"/>
    <w:rsid w:val="00B33A6C"/>
    <w:rsid w:val="00B3510B"/>
    <w:rsid w:val="00B35A6E"/>
    <w:rsid w:val="00B37BA0"/>
    <w:rsid w:val="00B37DF4"/>
    <w:rsid w:val="00B42777"/>
    <w:rsid w:val="00B429CA"/>
    <w:rsid w:val="00B42F17"/>
    <w:rsid w:val="00B43A02"/>
    <w:rsid w:val="00B43D43"/>
    <w:rsid w:val="00B44B07"/>
    <w:rsid w:val="00B4556D"/>
    <w:rsid w:val="00B45ED6"/>
    <w:rsid w:val="00B47091"/>
    <w:rsid w:val="00B51DDB"/>
    <w:rsid w:val="00B51FD7"/>
    <w:rsid w:val="00B56534"/>
    <w:rsid w:val="00B57329"/>
    <w:rsid w:val="00B57A21"/>
    <w:rsid w:val="00B6126B"/>
    <w:rsid w:val="00B62C3E"/>
    <w:rsid w:val="00B645DE"/>
    <w:rsid w:val="00B65857"/>
    <w:rsid w:val="00B6603C"/>
    <w:rsid w:val="00B66698"/>
    <w:rsid w:val="00B716AC"/>
    <w:rsid w:val="00B73AD3"/>
    <w:rsid w:val="00B745DC"/>
    <w:rsid w:val="00B819FC"/>
    <w:rsid w:val="00B84350"/>
    <w:rsid w:val="00B8486E"/>
    <w:rsid w:val="00B855A6"/>
    <w:rsid w:val="00B85664"/>
    <w:rsid w:val="00B85AFE"/>
    <w:rsid w:val="00B91098"/>
    <w:rsid w:val="00B91904"/>
    <w:rsid w:val="00B92735"/>
    <w:rsid w:val="00B934B1"/>
    <w:rsid w:val="00B95D40"/>
    <w:rsid w:val="00B969ED"/>
    <w:rsid w:val="00B974A1"/>
    <w:rsid w:val="00BA3622"/>
    <w:rsid w:val="00BA6A79"/>
    <w:rsid w:val="00BA77F1"/>
    <w:rsid w:val="00BB0D90"/>
    <w:rsid w:val="00BB2FA5"/>
    <w:rsid w:val="00BB3A59"/>
    <w:rsid w:val="00BB4430"/>
    <w:rsid w:val="00BB4ACF"/>
    <w:rsid w:val="00BB60C6"/>
    <w:rsid w:val="00BB6ABF"/>
    <w:rsid w:val="00BB7984"/>
    <w:rsid w:val="00BC4340"/>
    <w:rsid w:val="00BC45F7"/>
    <w:rsid w:val="00BC6A06"/>
    <w:rsid w:val="00BD096B"/>
    <w:rsid w:val="00BD137C"/>
    <w:rsid w:val="00BD2C4C"/>
    <w:rsid w:val="00BD577A"/>
    <w:rsid w:val="00BD7525"/>
    <w:rsid w:val="00BE071D"/>
    <w:rsid w:val="00BE3BC7"/>
    <w:rsid w:val="00BE67FB"/>
    <w:rsid w:val="00BF1AB7"/>
    <w:rsid w:val="00BF544F"/>
    <w:rsid w:val="00BF7FE9"/>
    <w:rsid w:val="00C00323"/>
    <w:rsid w:val="00C03596"/>
    <w:rsid w:val="00C05EEC"/>
    <w:rsid w:val="00C075CF"/>
    <w:rsid w:val="00C11D8F"/>
    <w:rsid w:val="00C12245"/>
    <w:rsid w:val="00C13784"/>
    <w:rsid w:val="00C15A13"/>
    <w:rsid w:val="00C1668F"/>
    <w:rsid w:val="00C238D9"/>
    <w:rsid w:val="00C245B6"/>
    <w:rsid w:val="00C24A9D"/>
    <w:rsid w:val="00C2677E"/>
    <w:rsid w:val="00C310BA"/>
    <w:rsid w:val="00C31542"/>
    <w:rsid w:val="00C31ABE"/>
    <w:rsid w:val="00C320FB"/>
    <w:rsid w:val="00C33075"/>
    <w:rsid w:val="00C34D6C"/>
    <w:rsid w:val="00C3589E"/>
    <w:rsid w:val="00C4033E"/>
    <w:rsid w:val="00C40BE2"/>
    <w:rsid w:val="00C41839"/>
    <w:rsid w:val="00C441AD"/>
    <w:rsid w:val="00C5028E"/>
    <w:rsid w:val="00C54E78"/>
    <w:rsid w:val="00C60634"/>
    <w:rsid w:val="00C6078D"/>
    <w:rsid w:val="00C6095B"/>
    <w:rsid w:val="00C61816"/>
    <w:rsid w:val="00C61E43"/>
    <w:rsid w:val="00C657CF"/>
    <w:rsid w:val="00C706E3"/>
    <w:rsid w:val="00C7728D"/>
    <w:rsid w:val="00C80D62"/>
    <w:rsid w:val="00C8388B"/>
    <w:rsid w:val="00C84944"/>
    <w:rsid w:val="00C850EA"/>
    <w:rsid w:val="00C87EFA"/>
    <w:rsid w:val="00C90217"/>
    <w:rsid w:val="00C936CD"/>
    <w:rsid w:val="00C94EDF"/>
    <w:rsid w:val="00C96BFD"/>
    <w:rsid w:val="00C96C98"/>
    <w:rsid w:val="00CA328D"/>
    <w:rsid w:val="00CA3CE0"/>
    <w:rsid w:val="00CA4026"/>
    <w:rsid w:val="00CA4836"/>
    <w:rsid w:val="00CA5358"/>
    <w:rsid w:val="00CA668A"/>
    <w:rsid w:val="00CB0B17"/>
    <w:rsid w:val="00CB1DCA"/>
    <w:rsid w:val="00CB42A5"/>
    <w:rsid w:val="00CB4499"/>
    <w:rsid w:val="00CC6A0E"/>
    <w:rsid w:val="00CC70E3"/>
    <w:rsid w:val="00CD0550"/>
    <w:rsid w:val="00CD0C96"/>
    <w:rsid w:val="00CD2DB0"/>
    <w:rsid w:val="00CD3177"/>
    <w:rsid w:val="00CD502A"/>
    <w:rsid w:val="00CE00DC"/>
    <w:rsid w:val="00CE0297"/>
    <w:rsid w:val="00CE2892"/>
    <w:rsid w:val="00CE2AE0"/>
    <w:rsid w:val="00CE3079"/>
    <w:rsid w:val="00CE41E5"/>
    <w:rsid w:val="00CF12CF"/>
    <w:rsid w:val="00CF4BE3"/>
    <w:rsid w:val="00CF7856"/>
    <w:rsid w:val="00D02D70"/>
    <w:rsid w:val="00D04B61"/>
    <w:rsid w:val="00D05EC2"/>
    <w:rsid w:val="00D060D2"/>
    <w:rsid w:val="00D13E2D"/>
    <w:rsid w:val="00D1427D"/>
    <w:rsid w:val="00D14394"/>
    <w:rsid w:val="00D16281"/>
    <w:rsid w:val="00D22E77"/>
    <w:rsid w:val="00D242CD"/>
    <w:rsid w:val="00D25731"/>
    <w:rsid w:val="00D26F74"/>
    <w:rsid w:val="00D2710B"/>
    <w:rsid w:val="00D31895"/>
    <w:rsid w:val="00D319E4"/>
    <w:rsid w:val="00D341C3"/>
    <w:rsid w:val="00D3487C"/>
    <w:rsid w:val="00D37B4C"/>
    <w:rsid w:val="00D4047C"/>
    <w:rsid w:val="00D42843"/>
    <w:rsid w:val="00D42A55"/>
    <w:rsid w:val="00D42D2A"/>
    <w:rsid w:val="00D44758"/>
    <w:rsid w:val="00D50649"/>
    <w:rsid w:val="00D5152A"/>
    <w:rsid w:val="00D55402"/>
    <w:rsid w:val="00D5595D"/>
    <w:rsid w:val="00D560EB"/>
    <w:rsid w:val="00D60F8F"/>
    <w:rsid w:val="00D63725"/>
    <w:rsid w:val="00D63A77"/>
    <w:rsid w:val="00D63C3C"/>
    <w:rsid w:val="00D65145"/>
    <w:rsid w:val="00D71232"/>
    <w:rsid w:val="00D719D8"/>
    <w:rsid w:val="00D72AEF"/>
    <w:rsid w:val="00D73D87"/>
    <w:rsid w:val="00D74314"/>
    <w:rsid w:val="00D76B98"/>
    <w:rsid w:val="00D76CF1"/>
    <w:rsid w:val="00D8126D"/>
    <w:rsid w:val="00D81410"/>
    <w:rsid w:val="00D81B32"/>
    <w:rsid w:val="00D84800"/>
    <w:rsid w:val="00D848F4"/>
    <w:rsid w:val="00D867CC"/>
    <w:rsid w:val="00D87779"/>
    <w:rsid w:val="00D90CE5"/>
    <w:rsid w:val="00D92505"/>
    <w:rsid w:val="00D92CAE"/>
    <w:rsid w:val="00DA07E2"/>
    <w:rsid w:val="00DA0906"/>
    <w:rsid w:val="00DA210F"/>
    <w:rsid w:val="00DA267C"/>
    <w:rsid w:val="00DA27B3"/>
    <w:rsid w:val="00DA5101"/>
    <w:rsid w:val="00DA79EF"/>
    <w:rsid w:val="00DB0B43"/>
    <w:rsid w:val="00DB0C0B"/>
    <w:rsid w:val="00DB30AF"/>
    <w:rsid w:val="00DB3B74"/>
    <w:rsid w:val="00DB4E0B"/>
    <w:rsid w:val="00DB6D81"/>
    <w:rsid w:val="00DC22FF"/>
    <w:rsid w:val="00DC5870"/>
    <w:rsid w:val="00DD0384"/>
    <w:rsid w:val="00DD0901"/>
    <w:rsid w:val="00DD4890"/>
    <w:rsid w:val="00DD4AB0"/>
    <w:rsid w:val="00DD7133"/>
    <w:rsid w:val="00DE16B6"/>
    <w:rsid w:val="00DE3242"/>
    <w:rsid w:val="00DE3323"/>
    <w:rsid w:val="00DE36CA"/>
    <w:rsid w:val="00DE6E21"/>
    <w:rsid w:val="00DE7E63"/>
    <w:rsid w:val="00DF00FD"/>
    <w:rsid w:val="00DF0979"/>
    <w:rsid w:val="00DF77A2"/>
    <w:rsid w:val="00E14201"/>
    <w:rsid w:val="00E14A07"/>
    <w:rsid w:val="00E15430"/>
    <w:rsid w:val="00E15786"/>
    <w:rsid w:val="00E17F13"/>
    <w:rsid w:val="00E2325C"/>
    <w:rsid w:val="00E23663"/>
    <w:rsid w:val="00E26529"/>
    <w:rsid w:val="00E26D36"/>
    <w:rsid w:val="00E26E62"/>
    <w:rsid w:val="00E277F9"/>
    <w:rsid w:val="00E367C5"/>
    <w:rsid w:val="00E37828"/>
    <w:rsid w:val="00E37E71"/>
    <w:rsid w:val="00E41C3C"/>
    <w:rsid w:val="00E42486"/>
    <w:rsid w:val="00E42847"/>
    <w:rsid w:val="00E452B1"/>
    <w:rsid w:val="00E46064"/>
    <w:rsid w:val="00E4792C"/>
    <w:rsid w:val="00E604A1"/>
    <w:rsid w:val="00E6091E"/>
    <w:rsid w:val="00E63D9D"/>
    <w:rsid w:val="00E63DFC"/>
    <w:rsid w:val="00E64D44"/>
    <w:rsid w:val="00E65CC0"/>
    <w:rsid w:val="00E67A8C"/>
    <w:rsid w:val="00E70465"/>
    <w:rsid w:val="00E7293C"/>
    <w:rsid w:val="00E72A6E"/>
    <w:rsid w:val="00E73AA8"/>
    <w:rsid w:val="00E76812"/>
    <w:rsid w:val="00E80228"/>
    <w:rsid w:val="00E81C43"/>
    <w:rsid w:val="00E83BB7"/>
    <w:rsid w:val="00E86D2A"/>
    <w:rsid w:val="00E8711A"/>
    <w:rsid w:val="00E957A8"/>
    <w:rsid w:val="00E97D1B"/>
    <w:rsid w:val="00EA2D4F"/>
    <w:rsid w:val="00EA2ED4"/>
    <w:rsid w:val="00EA2F6B"/>
    <w:rsid w:val="00EA3C6B"/>
    <w:rsid w:val="00EA491A"/>
    <w:rsid w:val="00EA4D50"/>
    <w:rsid w:val="00EA597F"/>
    <w:rsid w:val="00EA6285"/>
    <w:rsid w:val="00EA7626"/>
    <w:rsid w:val="00EB1583"/>
    <w:rsid w:val="00EB54A9"/>
    <w:rsid w:val="00EC23FB"/>
    <w:rsid w:val="00EC7017"/>
    <w:rsid w:val="00ED4356"/>
    <w:rsid w:val="00ED7681"/>
    <w:rsid w:val="00EE14F2"/>
    <w:rsid w:val="00EE243C"/>
    <w:rsid w:val="00EE7204"/>
    <w:rsid w:val="00EE7693"/>
    <w:rsid w:val="00EF0FED"/>
    <w:rsid w:val="00EF5DFB"/>
    <w:rsid w:val="00EF63C6"/>
    <w:rsid w:val="00EF787F"/>
    <w:rsid w:val="00F00D42"/>
    <w:rsid w:val="00F01BC5"/>
    <w:rsid w:val="00F034FB"/>
    <w:rsid w:val="00F05606"/>
    <w:rsid w:val="00F105F5"/>
    <w:rsid w:val="00F1075A"/>
    <w:rsid w:val="00F148B4"/>
    <w:rsid w:val="00F14A28"/>
    <w:rsid w:val="00F14CFC"/>
    <w:rsid w:val="00F1526C"/>
    <w:rsid w:val="00F226AF"/>
    <w:rsid w:val="00F22E82"/>
    <w:rsid w:val="00F2304E"/>
    <w:rsid w:val="00F23607"/>
    <w:rsid w:val="00F24492"/>
    <w:rsid w:val="00F2483A"/>
    <w:rsid w:val="00F263E5"/>
    <w:rsid w:val="00F2662B"/>
    <w:rsid w:val="00F32A2F"/>
    <w:rsid w:val="00F333DC"/>
    <w:rsid w:val="00F337BF"/>
    <w:rsid w:val="00F33D14"/>
    <w:rsid w:val="00F34366"/>
    <w:rsid w:val="00F405DA"/>
    <w:rsid w:val="00F40767"/>
    <w:rsid w:val="00F417AA"/>
    <w:rsid w:val="00F42059"/>
    <w:rsid w:val="00F42268"/>
    <w:rsid w:val="00F43257"/>
    <w:rsid w:val="00F473B6"/>
    <w:rsid w:val="00F500C9"/>
    <w:rsid w:val="00F50B7B"/>
    <w:rsid w:val="00F52916"/>
    <w:rsid w:val="00F52E57"/>
    <w:rsid w:val="00F53E06"/>
    <w:rsid w:val="00F54188"/>
    <w:rsid w:val="00F54CC0"/>
    <w:rsid w:val="00F56C83"/>
    <w:rsid w:val="00F6121B"/>
    <w:rsid w:val="00F6342F"/>
    <w:rsid w:val="00F65CD9"/>
    <w:rsid w:val="00F660BC"/>
    <w:rsid w:val="00F727A5"/>
    <w:rsid w:val="00F74633"/>
    <w:rsid w:val="00F847A9"/>
    <w:rsid w:val="00F9046D"/>
    <w:rsid w:val="00F90B58"/>
    <w:rsid w:val="00F9424A"/>
    <w:rsid w:val="00FA37C4"/>
    <w:rsid w:val="00FA5FE9"/>
    <w:rsid w:val="00FA67D2"/>
    <w:rsid w:val="00FA722B"/>
    <w:rsid w:val="00FA7274"/>
    <w:rsid w:val="00FB14A4"/>
    <w:rsid w:val="00FB1990"/>
    <w:rsid w:val="00FB26D8"/>
    <w:rsid w:val="00FB302F"/>
    <w:rsid w:val="00FB399E"/>
    <w:rsid w:val="00FB5A92"/>
    <w:rsid w:val="00FB7076"/>
    <w:rsid w:val="00FB7D2A"/>
    <w:rsid w:val="00FB7DCB"/>
    <w:rsid w:val="00FC0AC7"/>
    <w:rsid w:val="00FC1C69"/>
    <w:rsid w:val="00FC2DCE"/>
    <w:rsid w:val="00FC2DEB"/>
    <w:rsid w:val="00FC3739"/>
    <w:rsid w:val="00FC4F12"/>
    <w:rsid w:val="00FC5746"/>
    <w:rsid w:val="00FC70A9"/>
    <w:rsid w:val="00FD1704"/>
    <w:rsid w:val="00FD2988"/>
    <w:rsid w:val="00FD3977"/>
    <w:rsid w:val="00FE0410"/>
    <w:rsid w:val="00FE342D"/>
    <w:rsid w:val="00FE5AD9"/>
    <w:rsid w:val="00FE7040"/>
    <w:rsid w:val="00FE7A33"/>
    <w:rsid w:val="00FF3414"/>
    <w:rsid w:val="00FF5B61"/>
    <w:rsid w:val="00FF7970"/>
    <w:rsid w:val="02088ED4"/>
    <w:rsid w:val="02387D25"/>
    <w:rsid w:val="03EC21A8"/>
    <w:rsid w:val="0B7E75AE"/>
    <w:rsid w:val="14640EC3"/>
    <w:rsid w:val="14D4F146"/>
    <w:rsid w:val="2193CCA7"/>
    <w:rsid w:val="2B330583"/>
    <w:rsid w:val="2D0BCBFD"/>
    <w:rsid w:val="3FA52C98"/>
    <w:rsid w:val="3FE854B0"/>
    <w:rsid w:val="412B7026"/>
    <w:rsid w:val="42509D03"/>
    <w:rsid w:val="45E5D24B"/>
    <w:rsid w:val="47AFBD37"/>
    <w:rsid w:val="47D946C1"/>
    <w:rsid w:val="4858F6D1"/>
    <w:rsid w:val="4D6C0531"/>
    <w:rsid w:val="4DA083CF"/>
    <w:rsid w:val="519F4349"/>
    <w:rsid w:val="5A730C91"/>
    <w:rsid w:val="5D6AAC66"/>
    <w:rsid w:val="6225F890"/>
    <w:rsid w:val="6277DD1C"/>
    <w:rsid w:val="6459F630"/>
    <w:rsid w:val="68C1CD09"/>
    <w:rsid w:val="6AA63D6F"/>
    <w:rsid w:val="74D2E7C6"/>
    <w:rsid w:val="77E8BC5E"/>
    <w:rsid w:val="7C2CD1C9"/>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1A4447"/>
  <w15:chartTrackingRefBased/>
  <w15:docId w15:val="{2AD928A4-46D6-46BE-92CC-E0BC5FC25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A55"/>
    <w:pPr>
      <w:keepLines/>
    </w:pPr>
    <w:rPr>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0"/>
      </w:numPr>
      <w:tabs>
        <w:tab w:val="num" w:pos="1247"/>
      </w:tabs>
      <w:spacing w:after="120"/>
      <w:ind w:left="2155" w:hanging="908"/>
    </w:pPr>
  </w:style>
  <w:style w:type="paragraph" w:customStyle="1" w:styleId="Numberedpara1level4i">
    <w:name w:val="Numbered para (1) level 4 (i)"/>
    <w:basedOn w:val="Normal"/>
    <w:semiHidden/>
    <w:rsid w:val="00065F18"/>
    <w:pPr>
      <w:numPr>
        <w:ilvl w:val="3"/>
        <w:numId w:val="20"/>
      </w:numPr>
      <w:spacing w:after="120"/>
      <w:ind w:left="1440" w:hanging="36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link w:val="FootnoteTextChar"/>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semiHidden/>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8"/>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8"/>
      </w:numPr>
      <w:tabs>
        <w:tab w:val="left" w:pos="567"/>
      </w:tabs>
      <w:spacing w:before="60" w:after="60"/>
      <w:ind w:left="924" w:hanging="357"/>
    </w:pPr>
    <w:rPr>
      <w:sz w:val="22"/>
    </w:rPr>
  </w:style>
  <w:style w:type="paragraph" w:customStyle="1" w:styleId="Legislationa">
    <w:name w:val="Legislation (a)"/>
    <w:basedOn w:val="Normal"/>
    <w:semiHidden/>
    <w:qFormat/>
    <w:rsid w:val="00065F18"/>
    <w:pPr>
      <w:numPr>
        <w:ilvl w:val="2"/>
        <w:numId w:val="18"/>
      </w:numPr>
      <w:spacing w:before="60" w:after="60"/>
      <w:ind w:left="1298" w:hanging="374"/>
    </w:pPr>
    <w:rPr>
      <w:sz w:val="22"/>
    </w:rPr>
  </w:style>
  <w:style w:type="paragraph" w:customStyle="1" w:styleId="Legislationi">
    <w:name w:val="Legislation (i)"/>
    <w:basedOn w:val="Normal"/>
    <w:semiHidden/>
    <w:qFormat/>
    <w:rsid w:val="00065F18"/>
    <w:pPr>
      <w:numPr>
        <w:ilvl w:val="3"/>
        <w:numId w:val="18"/>
      </w:numPr>
      <w:spacing w:before="60" w:after="60"/>
      <w:ind w:left="1440" w:hanging="3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19"/>
      </w:numPr>
      <w:tabs>
        <w:tab w:val="clear" w:pos="567"/>
      </w:tabs>
      <w:spacing w:after="120"/>
    </w:pPr>
  </w:style>
  <w:style w:type="paragraph" w:customStyle="1" w:styleId="Numberedpara2level2a">
    <w:name w:val="Numbered para (2) level 2 (a)"/>
    <w:basedOn w:val="Normal"/>
    <w:semiHidden/>
    <w:qFormat/>
    <w:rsid w:val="00065F18"/>
    <w:pPr>
      <w:numPr>
        <w:ilvl w:val="1"/>
        <w:numId w:val="19"/>
      </w:numPr>
      <w:spacing w:after="120"/>
      <w:ind w:left="567" w:hanging="567"/>
    </w:pPr>
  </w:style>
  <w:style w:type="paragraph" w:customStyle="1" w:styleId="Numberedpara2level3i">
    <w:name w:val="Numbered para (2) level 3 (i)"/>
    <w:basedOn w:val="Normal"/>
    <w:semiHidden/>
    <w:qFormat/>
    <w:rsid w:val="00065F18"/>
    <w:pPr>
      <w:numPr>
        <w:ilvl w:val="2"/>
        <w:numId w:val="19"/>
      </w:numPr>
      <w:spacing w:after="120"/>
      <w:ind w:left="924" w:hanging="357"/>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0"/>
      </w:numPr>
      <w:spacing w:after="120"/>
      <w:ind w:left="1247" w:hanging="680"/>
    </w:pPr>
  </w:style>
  <w:style w:type="paragraph" w:customStyle="1" w:styleId="Numberedpara11headingwithnumber">
    <w:name w:val="Numbered para (1) 1 (heading with number)"/>
    <w:basedOn w:val="Normal"/>
    <w:semiHidden/>
    <w:qFormat/>
    <w:rsid w:val="00ED4356"/>
    <w:pPr>
      <w:keepNext/>
      <w:numPr>
        <w:numId w:val="20"/>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1"/>
      </w:numPr>
      <w:tabs>
        <w:tab w:val="num" w:pos="720"/>
      </w:tabs>
      <w:spacing w:after="120"/>
      <w:ind w:left="720" w:hanging="360"/>
    </w:pPr>
  </w:style>
  <w:style w:type="paragraph" w:customStyle="1" w:styleId="Numberedpara3level211">
    <w:name w:val="Numbered para (3) level 2 (1.1)"/>
    <w:basedOn w:val="Normal"/>
    <w:semiHidden/>
    <w:qFormat/>
    <w:rsid w:val="004F2E8A"/>
    <w:pPr>
      <w:numPr>
        <w:ilvl w:val="1"/>
        <w:numId w:val="21"/>
      </w:numPr>
      <w:tabs>
        <w:tab w:val="num" w:pos="1440"/>
      </w:tabs>
      <w:spacing w:after="120"/>
      <w:ind w:left="1440" w:hanging="360"/>
    </w:pPr>
  </w:style>
  <w:style w:type="paragraph" w:customStyle="1" w:styleId="Numberedpara3level3111">
    <w:name w:val="Numbered para (3) level 3 (1.1.1)"/>
    <w:basedOn w:val="Normal"/>
    <w:semiHidden/>
    <w:qFormat/>
    <w:rsid w:val="004F2E8A"/>
    <w:pPr>
      <w:numPr>
        <w:ilvl w:val="2"/>
        <w:numId w:val="21"/>
      </w:numPr>
      <w:tabs>
        <w:tab w:val="clear" w:pos="1247"/>
        <w:tab w:val="num" w:pos="2160"/>
      </w:tabs>
      <w:spacing w:after="120"/>
      <w:ind w:left="2160" w:hanging="36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74668B"/>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74668B"/>
    <w:rPr>
      <w:i/>
      <w:iCs/>
      <w:color w:val="404040" w:themeColor="text1" w:themeTint="BF"/>
      <w:lang w:eastAsia="en-US"/>
    </w:rPr>
  </w:style>
  <w:style w:type="character" w:styleId="UnresolvedMention">
    <w:name w:val="Unresolved Mention"/>
    <w:basedOn w:val="DefaultParagraphFont"/>
    <w:uiPriority w:val="99"/>
    <w:semiHidden/>
    <w:unhideWhenUsed/>
    <w:rsid w:val="00835D44"/>
    <w:rPr>
      <w:color w:val="605E5C"/>
      <w:shd w:val="clear" w:color="auto" w:fill="E1DFDD"/>
    </w:rPr>
  </w:style>
  <w:style w:type="character" w:customStyle="1" w:styleId="FootnoteTextChar">
    <w:name w:val="Footnote Text Char"/>
    <w:basedOn w:val="DefaultParagraphFont"/>
    <w:link w:val="FootnoteText"/>
    <w:semiHidden/>
    <w:rsid w:val="00A3394C"/>
    <w:rPr>
      <w:sz w:val="20"/>
      <w:szCs w:val="20"/>
      <w:lang w:eastAsia="en-US"/>
    </w:rPr>
  </w:style>
  <w:style w:type="paragraph" w:styleId="CommentText">
    <w:name w:val="annotation text"/>
    <w:basedOn w:val="Normal"/>
    <w:link w:val="CommentTextChar"/>
    <w:uiPriority w:val="99"/>
    <w:semiHidden/>
    <w:rsid w:val="005E7EAF"/>
    <w:rPr>
      <w:sz w:val="20"/>
      <w:szCs w:val="20"/>
    </w:rPr>
  </w:style>
  <w:style w:type="character" w:customStyle="1" w:styleId="CommentTextChar">
    <w:name w:val="Comment Text Char"/>
    <w:basedOn w:val="DefaultParagraphFont"/>
    <w:link w:val="CommentText"/>
    <w:uiPriority w:val="99"/>
    <w:semiHidden/>
    <w:rsid w:val="005E7EAF"/>
    <w:rPr>
      <w:sz w:val="20"/>
      <w:szCs w:val="20"/>
      <w:lang w:eastAsia="en-US"/>
    </w:rPr>
  </w:style>
  <w:style w:type="paragraph" w:styleId="CommentSubject">
    <w:name w:val="annotation subject"/>
    <w:basedOn w:val="CommentText"/>
    <w:next w:val="CommentText"/>
    <w:link w:val="CommentSubjectChar"/>
    <w:uiPriority w:val="99"/>
    <w:semiHidden/>
    <w:rsid w:val="005E7EAF"/>
    <w:rPr>
      <w:b/>
      <w:bCs/>
    </w:rPr>
  </w:style>
  <w:style w:type="character" w:customStyle="1" w:styleId="CommentSubjectChar">
    <w:name w:val="Comment Subject Char"/>
    <w:basedOn w:val="CommentTextChar"/>
    <w:link w:val="CommentSubject"/>
    <w:uiPriority w:val="99"/>
    <w:semiHidden/>
    <w:rsid w:val="005E7EAF"/>
    <w:rPr>
      <w:b/>
      <w:bCs/>
      <w:sz w:val="20"/>
      <w:szCs w:val="20"/>
      <w:lang w:eastAsia="en-US"/>
    </w:rPr>
  </w:style>
  <w:style w:type="paragraph" w:styleId="Revision">
    <w:name w:val="Revision"/>
    <w:hidden/>
    <w:uiPriority w:val="99"/>
    <w:semiHidden/>
    <w:rsid w:val="00D63725"/>
    <w:pPr>
      <w:spacing w:before="0" w:after="0"/>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iu.police.govt.nz/Home" TargetMode="External"/><Relationship Id="rId18" Type="http://schemas.openxmlformats.org/officeDocument/2006/relationships/hyperlink" Target="mailto:goaml@police.govt.nz"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fatf-gafi.org/content/dam/fatf-gafi/reports/Money-Laundering-Terrorist-Financing-Art-Antiquities-Market.pdf.coredownload.pdf"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fiu.police.govt.nz/Account/LogOn"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www.police.govt.nz/advice/businesses-and-organisations/fiu" TargetMode="External"/><Relationship Id="rId20" Type="http://schemas.openxmlformats.org/officeDocument/2006/relationships/hyperlink" Target="https://apgml.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5" Type="http://schemas.openxmlformats.org/officeDocument/2006/relationships/customXml" Target="../customXml/item5.xml"/><Relationship Id="rId15" Type="http://schemas.openxmlformats.org/officeDocument/2006/relationships/hyperlink" Target="mailto:amlcft@dia.govt.nz" TargetMode="External"/><Relationship Id="rId23" Type="http://schemas.openxmlformats.org/officeDocument/2006/relationships/image" Target="media/image3.sv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fatf-gafi.org/en/home.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olice.govt.nz/sites/default/files/publications/fiu-nra2024.pdf" TargetMode="External"/><Relationship Id="rId22" Type="http://schemas.openxmlformats.org/officeDocument/2006/relationships/image" Target="media/image2.pn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legislation.govt.nz/act/public/2026/17/en/latest/" TargetMode="External"/><Relationship Id="rId1" Type="http://schemas.openxmlformats.org/officeDocument/2006/relationships/hyperlink" Target="https://www.legislation.govt.nz/act/public/2025/74/en/late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Administration Document" ma:contentTypeID="0x010100F130098D5C7CD04C83A4FF899F0479E60100AF63F55F6DD4964F94DCC515550E267D" ma:contentTypeVersion="39" ma:contentTypeDescription="Administration Document" ma:contentTypeScope="" ma:versionID="7061f2a3e3a88e5c339a11f192b2b1cd">
  <xsd:schema xmlns:xsd="http://www.w3.org/2001/XMLSchema" xmlns:xs="http://www.w3.org/2001/XMLSchema" xmlns:p="http://schemas.microsoft.com/office/2006/metadata/properties" xmlns:ns2="89d0c6c8-e2e3-4e07-91a0-0308145fc47f" xmlns:ns3="5750afb1-007a-481a-96df-a71c539b9a3e" xmlns:ns4="801967d0-d6f3-4f42-b291-8c0dd083e2af" targetNamespace="http://schemas.microsoft.com/office/2006/metadata/properties" ma:root="true" ma:fieldsID="ec51f937860fa96fb7b3a29adf059ab8" ns2:_="" ns3:_="" ns4:_="">
    <xsd:import namespace="89d0c6c8-e2e3-4e07-91a0-0308145fc47f"/>
    <xsd:import namespace="5750afb1-007a-481a-96df-a71c539b9a3e"/>
    <xsd:import namespace="801967d0-d6f3-4f42-b291-8c0dd083e2af"/>
    <xsd:element name="properties">
      <xsd:complexType>
        <xsd:sequence>
          <xsd:element name="documentManagement">
            <xsd:complexType>
              <xsd:all>
                <xsd:element ref="ns3:TaxCatchAll" minOccurs="0"/>
                <xsd:element ref="ns2:DIANotes" minOccurs="0"/>
                <xsd:element ref="ns2:DIAPrivateEntity" minOccurs="0"/>
                <xsd:element ref="ns2:DIAReferenceNumber" minOccurs="0"/>
                <xsd:element ref="ns2:C3TopicNote" minOccurs="0"/>
                <xsd:element ref="ns3:TaxKeywordTaxHTField" minOccurs="0"/>
                <xsd:element ref="ns3:TaxCatchAllLabel" minOccurs="0"/>
                <xsd:element ref="ns2:iecec8ede3584b1b8404bd77dd657952" minOccurs="0"/>
                <xsd:element ref="ns2:g5cb09987d4c4fd4af5e2ea766b0b534" minOccurs="0"/>
                <xsd:element ref="ns2:_dlc_DocId" minOccurs="0"/>
                <xsd:element ref="ns2:_dlc_DocIdUrl" minOccurs="0"/>
                <xsd:element ref="ns2:_dlc_DocIdPersistId" minOccurs="0"/>
                <xsd:element ref="ns2:fb0acd9b50134d3ba543a165964de6f7" minOccurs="0"/>
                <xsd:element ref="ns2:c41c3d7b501f42eabe3a3ee29d03880d" minOccurs="0"/>
                <xsd:element ref="ns2:p13d184f8af74d7592423cfb5601e728" minOccurs="0"/>
                <xsd:element ref="ns4:MediaServiceMetadata" minOccurs="0"/>
                <xsd:element ref="ns4:MediaServiceFastMetadata" minOccurs="0"/>
                <xsd:element ref="ns4:MediaServiceSearchProperties" minOccurs="0"/>
                <xsd:element ref="ns4:MediaServiceDateTaken" minOccurs="0"/>
                <xsd:element ref="ns4:lcf76f155ced4ddcb4097134ff3c332f" minOccurs="0"/>
                <xsd:element ref="ns4:MediaServiceOCR" minOccurs="0"/>
                <xsd:element ref="ns4:MediaServiceGenerationTime" minOccurs="0"/>
                <xsd:element ref="ns4:MediaServiceEventHashCode" minOccurs="0"/>
                <xsd:element ref="ns2:i0f84bba906045b4af568ee102a52dc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d0c6c8-e2e3-4e07-91a0-0308145fc47f" elementFormDefault="qualified">
    <xsd:import namespace="http://schemas.microsoft.com/office/2006/documentManagement/types"/>
    <xsd:import namespace="http://schemas.microsoft.com/office/infopath/2007/PartnerControls"/>
    <xsd:element name="DIANotes" ma:index="13" nillable="true" ma:displayName="Notes" ma:description="Additional information, can include URL link to another document" ma:internalName="DIANotes" ma:readOnly="false">
      <xsd:simpleType>
        <xsd:restriction base="dms:Note">
          <xsd:maxLength value="255"/>
        </xsd:restriction>
      </xsd:simpleType>
    </xsd:element>
    <xsd:element name="DIAPrivateEntity" ma:index="17" nillable="true" ma:displayName="Private Entity" ma:description="Use for the name of a private or non regulated entity or individual with whom DIA has a relationship or from whom, or about whom a complaint is received or investigation initiated" ma:internalName="DIAPrivateEntity" ma:readOnly="false">
      <xsd:simpleType>
        <xsd:restriction base="dms:Text"/>
      </xsd:simpleType>
    </xsd:element>
    <xsd:element name="DIAReferenceNumber" ma:index="18" nillable="true" ma:displayName="Reference Number" ma:description="Use to specify the reference number" ma:internalName="DIAReferenceNumber" ma:readOnly="false">
      <xsd:simpleType>
        <xsd:restriction base="dms:Text"/>
      </xsd:simpleType>
    </xsd:element>
    <xsd:element name="C3TopicNote" ma:index="19" nillable="true" ma:taxonomy="true" ma:internalName="C3TopicNote" ma:taxonomyFieldName="C3Topic" ma:displayName="Topic" ma:indexed="true" ma:readOnly="false" ma:fieldId="{6a3fe89f-a6dd-4490-a9c1-3ef38d67b8c7}" ma:sspId="220cfdc9-10b9-451b-a41a-57414fe47a11" ma:termSetId="1da65063-e695-4993-a37c-e46055755abf" ma:anchorId="8785e897-1015-4819-8d7f-3d24a91cbe5b" ma:open="true" ma:isKeyword="false">
      <xsd:complexType>
        <xsd:sequence>
          <xsd:element ref="pc:Terms" minOccurs="0" maxOccurs="1"/>
        </xsd:sequence>
      </xsd:complexType>
    </xsd:element>
    <xsd:element name="iecec8ede3584b1b8404bd77dd657952" ma:index="22" nillable="true" ma:taxonomy="true" ma:internalName="iecec8ede3584b1b8404bd77dd657952" ma:taxonomyFieldName="DIAAdministrationDocumentType" ma:displayName="Administration Document Type" ma:readOnly="false" ma:fieldId="{2ecec8ed-e358-4b1b-8404-bd77dd657952}" ma:sspId="220cfdc9-10b9-451b-a41a-57414fe47a11" ma:termSetId="eaa7675e-2d63-44d2-9e06-85d5e73ce368" ma:anchorId="00000000-0000-0000-0000-000000000000" ma:open="false" ma:isKeyword="false">
      <xsd:complexType>
        <xsd:sequence>
          <xsd:element ref="pc:Terms" minOccurs="0" maxOccurs="1"/>
        </xsd:sequence>
      </xsd:complexType>
    </xsd:element>
    <xsd:element name="g5cb09987d4c4fd4af5e2ea766b0b534" ma:index="23" ma:taxonomy="true" ma:internalName="g5cb09987d4c4fd4af5e2ea766b0b534" ma:taxonomyFieldName="DIASecurityClassification" ma:displayName="Security Classification" ma:readOnly="false" ma:default="2;#UNCLASSIFIED|2c10f15e-4fe4-4bec-ae91-1116436da94b" ma:fieldId="{05cb0998-7d4c-4fd4-af5e-2ea766b0b534}" ma:sspId="220cfdc9-10b9-451b-a41a-57414fe47a11" ma:termSetId="00e9160e-5cc3-4f05-9047-e482ea24a95f"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fb0acd9b50134d3ba543a165964de6f7" ma:index="27" nillable="true" ma:taxonomy="true" ma:internalName="fb0acd9b50134d3ba543a165964de6f7" ma:taxonomyFieldName="DIAOfficialEntity" ma:displayName="Official Entity" ma:readOnly="false" ma:fieldId="{fb0acd9b-5013-4d3b-a543-a165964de6f7}" ma:sspId="220cfdc9-10b9-451b-a41a-57414fe47a11" ma:termSetId="962fbc7a-8f33-40b5-b11a-87d7921022a8" ma:anchorId="00000000-0000-0000-0000-000000000000" ma:open="false" ma:isKeyword="false">
      <xsd:complexType>
        <xsd:sequence>
          <xsd:element ref="pc:Terms" minOccurs="0" maxOccurs="1"/>
        </xsd:sequence>
      </xsd:complexType>
    </xsd:element>
    <xsd:element name="c41c3d7b501f42eabe3a3ee29d03880d" ma:index="28" nillable="true" ma:taxonomy="true" ma:internalName="c41c3d7b501f42eabe3a3ee29d03880d" ma:taxonomyFieldName="DIALegislation" ma:displayName="Legislation" ma:readOnly="false" ma:fieldId="{c41c3d7b-501f-42ea-be3a-3ee29d03880d}" ma:sspId="220cfdc9-10b9-451b-a41a-57414fe47a11" ma:termSetId="d3d327d7-5365-4556-8990-578cbb151723" ma:anchorId="00000000-0000-0000-0000-000000000000" ma:open="false" ma:isKeyword="false">
      <xsd:complexType>
        <xsd:sequence>
          <xsd:element ref="pc:Terms" minOccurs="0" maxOccurs="1"/>
        </xsd:sequence>
      </xsd:complexType>
    </xsd:element>
    <xsd:element name="p13d184f8af74d7592423cfb5601e728" ma:index="29" nillable="true" ma:taxonomy="true" ma:internalName="p13d184f8af74d7592423cfb5601e728" ma:taxonomyFieldName="DIAPortfolio" ma:displayName="Portfolio" ma:readOnly="false" ma:fieldId="{913d184f-8af7-4d75-9242-3cfb5601e728}" ma:sspId="220cfdc9-10b9-451b-a41a-57414fe47a11" ma:termSetId="8f088340-0c5e-4686-b1b2-3e1dd9212e72" ma:anchorId="00000000-0000-0000-0000-000000000000" ma:open="false" ma:isKeyword="false">
      <xsd:complexType>
        <xsd:sequence>
          <xsd:element ref="pc:Terms" minOccurs="0" maxOccurs="1"/>
        </xsd:sequence>
      </xsd:complexType>
    </xsd:element>
    <xsd:element name="i0f84bba906045b4af568ee102a52dcb" ma:index="40" nillable="true" ma:taxonomy="true" ma:internalName="i0f84bba906045b4af568ee102a52dcb" ma:taxonomyFieldName="RevIMBCS" ma:displayName="RDS" ma:indexed="true" ma:default="" ma:fieldId="{20f84bba-9060-45b4-af56-8ee102a52dcb}" ma:sspId="220cfdc9-10b9-451b-a41a-57414fe47a11" ma:termSetId="bb1f7e15-201c-4f3f-8cd2-247a09e4082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50afb1-007a-481a-96df-a71c539b9a3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0ab12dc-c3dd-4312-9859-76b1f1ffb5e1}" ma:internalName="TaxCatchAll" ma:readOnly="false" ma:showField="CatchAllData" ma:web="89d0c6c8-e2e3-4e07-91a0-0308145fc47f">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21" nillable="true" ma:displayName="Taxonomy Catch All Column1" ma:hidden="true" ma:list="{30ab12dc-c3dd-4312-9859-76b1f1ffb5e1}" ma:internalName="TaxCatchAllLabel" ma:readOnly="true" ma:showField="CatchAllDataLabel" ma:web="89d0c6c8-e2e3-4e07-91a0-0308145fc47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01967d0-d6f3-4f42-b291-8c0dd083e2af"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DateTaken" ma:index="33" nillable="true" ma:displayName="MediaServiceDateTaken" ma:hidden="true" ma:indexed="true" ma:internalName="MediaServiceDateTaken" ma:readOnly="true">
      <xsd:simpleType>
        <xsd:restriction base="dms:Text"/>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220cfdc9-10b9-451b-a41a-57414fe47a11" ma:termSetId="09814cd3-568e-fe90-9814-8d621ff8fb84" ma:anchorId="fba54fb3-c3e1-fe81-a776-ca4b69148c4d" ma:open="true" ma:isKeyword="false">
      <xsd:complexType>
        <xsd:sequence>
          <xsd:element ref="pc:Terms" minOccurs="0" maxOccurs="1"/>
        </xsd:sequence>
      </xsd:complex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p:properties xmlns:p="http://schemas.microsoft.com/office/2006/metadata/properties" xmlns:xsi="http://www.w3.org/2001/XMLSchema-instance" xmlns:pc="http://schemas.microsoft.com/office/infopath/2007/PartnerControls">
  <documentManagement>
    <p13d184f8af74d7592423cfb5601e728 xmlns="89d0c6c8-e2e3-4e07-91a0-0308145fc47f">
      <Terms xmlns="http://schemas.microsoft.com/office/infopath/2007/PartnerControls"/>
    </p13d184f8af74d7592423cfb5601e728>
    <C3TopicNote xmlns="89d0c6c8-e2e3-4e07-91a0-0308145fc47f">
      <Terms xmlns="http://schemas.microsoft.com/office/infopath/2007/PartnerControls"/>
    </C3TopicNote>
    <TaxKeywordTaxHTField xmlns="5750afb1-007a-481a-96df-a71c539b9a3e">
      <Terms xmlns="http://schemas.microsoft.com/office/infopath/2007/PartnerControls"/>
    </TaxKeywordTaxHTField>
    <DIANotes xmlns="89d0c6c8-e2e3-4e07-91a0-0308145fc47f" xsi:nil="true"/>
    <fb0acd9b50134d3ba543a165964de6f7 xmlns="89d0c6c8-e2e3-4e07-91a0-0308145fc47f">
      <Terms xmlns="http://schemas.microsoft.com/office/infopath/2007/PartnerControls"/>
    </fb0acd9b50134d3ba543a165964de6f7>
    <DIAPrivateEntity xmlns="89d0c6c8-e2e3-4e07-91a0-0308145fc47f" xsi:nil="true"/>
    <iecec8ede3584b1b8404bd77dd657952 xmlns="89d0c6c8-e2e3-4e07-91a0-0308145fc47f">
      <Terms xmlns="http://schemas.microsoft.com/office/infopath/2007/PartnerControls"/>
    </iecec8ede3584b1b8404bd77dd657952>
    <TaxCatchAll xmlns="5750afb1-007a-481a-96df-a71c539b9a3e">
      <Value>2</Value>
      <Value>3</Value>
    </TaxCatchAll>
    <DIAReferenceNumber xmlns="89d0c6c8-e2e3-4e07-91a0-0308145fc47f" xsi:nil="true"/>
    <c41c3d7b501f42eabe3a3ee29d03880d xmlns="89d0c6c8-e2e3-4e07-91a0-0308145fc47f">
      <Terms xmlns="http://schemas.microsoft.com/office/infopath/2007/PartnerControls"/>
    </c41c3d7b501f42eabe3a3ee29d03880d>
    <lcf76f155ced4ddcb4097134ff3c332f xmlns="801967d0-d6f3-4f42-b291-8c0dd083e2af">
      <Terms xmlns="http://schemas.microsoft.com/office/infopath/2007/PartnerControls"/>
    </lcf76f155ced4ddcb4097134ff3c332f>
    <g5cb09987d4c4fd4af5e2ea766b0b534 xmlns="89d0c6c8-e2e3-4e07-91a0-0308145fc47f">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2c10f15e-4fe4-4bec-ae91-1116436da94b</TermId>
        </TermInfo>
      </Terms>
    </g5cb09987d4c4fd4af5e2ea766b0b534>
    <_dlc_DocId xmlns="89d0c6c8-e2e3-4e07-91a0-0308145fc47f">UNEQ3UPQ67R5-1293725762-575</_dlc_DocId>
    <_dlc_DocIdUrl xmlns="89d0c6c8-e2e3-4e07-91a0-0308145fc47f">
      <Url>https://azurediagovt.sharepoint.com/sites/ECMS-FIG-PLM-POLA/_layouts/15/DocIdRedir.aspx?ID=UNEQ3UPQ67R5-1293725762-575</Url>
      <Description>UNEQ3UPQ67R5-1293725762-575</Description>
    </_dlc_DocIdUrl>
    <i0f84bba906045b4af568ee102a52dcb xmlns="89d0c6c8-e2e3-4e07-91a0-0308145fc47f">
      <Terms xmlns="http://schemas.microsoft.com/office/infopath/2007/PartnerControls"/>
    </i0f84bba906045b4af568ee102a52dcb>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5BEDB-DB29-42AF-A958-9793E7CBB572}">
  <ds:schemaRefs>
    <ds:schemaRef ds:uri="http://schemas.microsoft.com/sharepoint/events"/>
  </ds:schemaRefs>
</ds:datastoreItem>
</file>

<file path=customXml/itemProps2.xml><?xml version="1.0" encoding="utf-8"?>
<ds:datastoreItem xmlns:ds="http://schemas.openxmlformats.org/officeDocument/2006/customXml" ds:itemID="{B354E7CE-6F92-44A1-A81A-924E5B2673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d0c6c8-e2e3-4e07-91a0-0308145fc47f"/>
    <ds:schemaRef ds:uri="5750afb1-007a-481a-96df-a71c539b9a3e"/>
    <ds:schemaRef ds:uri="801967d0-d6f3-4f42-b291-8c0dd083e2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02E488-C3E7-4405-A0E1-750A279F7ABC}">
  <ds:schemaRefs>
    <ds:schemaRef ds:uri="http://schemas.microsoft.com/sharepoint/v3/contenttype/forms"/>
  </ds:schemaRefs>
</ds:datastoreItem>
</file>

<file path=customXml/itemProps4.xml><?xml version="1.0" encoding="utf-8"?>
<ds:datastoreItem xmlns:ds="http://schemas.openxmlformats.org/officeDocument/2006/customXml" ds:itemID="{7C130A81-B2FB-4730-89CA-57D202BB4DBE}">
  <ds:schemaRefs>
    <ds:schemaRef ds:uri="http://schemas.microsoft.com/office/2006/metadata/properties"/>
    <ds:schemaRef ds:uri="http://schemas.microsoft.com/office/infopath/2007/PartnerControls"/>
    <ds:schemaRef ds:uri="89d0c6c8-e2e3-4e07-91a0-0308145fc47f"/>
    <ds:schemaRef ds:uri="5750afb1-007a-481a-96df-a71c539b9a3e"/>
    <ds:schemaRef ds:uri="801967d0-d6f3-4f42-b291-8c0dd083e2af"/>
  </ds:schemaRefs>
</ds:datastoreItem>
</file>

<file path=customXml/itemProps5.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2069</Words>
  <Characters>11426</Characters>
  <Application>Microsoft Office Word</Application>
  <DocSecurity>0</DocSecurity>
  <Lines>317</Lines>
  <Paragraphs>112</Paragraphs>
  <ScaleCrop>false</ScaleCrop>
  <Company/>
  <LinksUpToDate>false</LinksUpToDate>
  <CharactersWithSpaces>13383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Lance Russell</dc:creator>
  <cp:keywords/>
  <dc:description/>
  <cp:lastModifiedBy>Julie Ung</cp:lastModifiedBy>
  <cp:revision>187</cp:revision>
  <cp:lastPrinted>2025-11-25T14:39:00Z</cp:lastPrinted>
  <dcterms:created xsi:type="dcterms:W3CDTF">2025-11-24T18:45:00Z</dcterms:created>
  <dcterms:modified xsi:type="dcterms:W3CDTF">2026-06-09T21:54:00Z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0x010100F130098D5C7CD04C83A4FF899F0479E60100AF63F55F6DD4964F94DCC515550E267D</vt:lpwstr>
  </property>
  <property fmtid="{D5CDD505-2E9C-101B-9397-08002B2CF9AE}" pid="3" name="me27afb448da4f21af2cbbe63bc0a74b">
    <vt:lpwstr>Correspondence|dcd6b05f-dc80-4336-b228-09aebf3d212c</vt:lpwstr>
  </property>
  <property fmtid="{D5CDD505-2E9C-101B-9397-08002B2CF9AE}" pid="4" name="DIASecurityClassification">
    <vt:lpwstr>2;#UNCLASSIFIED|2c10f15e-4fe4-4bec-ae91-1116436da94b</vt:lpwstr>
  </property>
  <property fmtid="{D5CDD505-2E9C-101B-9397-08002B2CF9AE}" pid="5" name="_dlc_DocIdItemGuid">
    <vt:lpwstr>c884e365-0e58-4be7-9ead-d6dc2d2d73f4</vt:lpwstr>
  </property>
  <property fmtid="{D5CDD505-2E9C-101B-9397-08002B2CF9AE}" pid="6" name="TaxKeyword">
    <vt:lpwstr/>
  </property>
  <property fmtid="{D5CDD505-2E9C-101B-9397-08002B2CF9AE}" pid="7" name="DIALegislation">
    <vt:lpwstr/>
  </property>
  <property fmtid="{D5CDD505-2E9C-101B-9397-08002B2CF9AE}" pid="8" name="MediaServiceImageTags">
    <vt:lpwstr/>
  </property>
  <property fmtid="{D5CDD505-2E9C-101B-9397-08002B2CF9AE}" pid="9" name="cdcbb807467d4ec5834e1bcc551d036f">
    <vt:lpwstr/>
  </property>
  <property fmtid="{D5CDD505-2E9C-101B-9397-08002B2CF9AE}" pid="10" name="DIAReportDocumentType">
    <vt:lpwstr/>
  </property>
  <property fmtid="{D5CDD505-2E9C-101B-9397-08002B2CF9AE}" pid="11" name="c37eb17d1d164712bdec40d06678670d">
    <vt:lpwstr/>
  </property>
  <property fmtid="{D5CDD505-2E9C-101B-9397-08002B2CF9AE}" pid="12" name="DIAEmailContentType">
    <vt:lpwstr>3;#Correspondence|dcd6b05f-dc80-4336-b228-09aebf3d212c</vt:lpwstr>
  </property>
  <property fmtid="{D5CDD505-2E9C-101B-9397-08002B2CF9AE}" pid="13" name="p82bb163a298491da1337c2e9eaacbe6">
    <vt:lpwstr/>
  </property>
  <property fmtid="{D5CDD505-2E9C-101B-9397-08002B2CF9AE}" pid="14" name="a41d430bcbd24985a92dc9238a235abc">
    <vt:lpwstr/>
  </property>
  <property fmtid="{D5CDD505-2E9C-101B-9397-08002B2CF9AE}" pid="15" name="DIAMeetingDocumentType">
    <vt:lpwstr/>
  </property>
  <property fmtid="{D5CDD505-2E9C-101B-9397-08002B2CF9AE}" pid="16" name="DIAPortfolio">
    <vt:lpwstr/>
  </property>
  <property fmtid="{D5CDD505-2E9C-101B-9397-08002B2CF9AE}" pid="17" name="DIAOfficialEntity">
    <vt:lpwstr/>
  </property>
  <property fmtid="{D5CDD505-2E9C-101B-9397-08002B2CF9AE}" pid="18" name="DIAAdministrationDocumentType">
    <vt:lpwstr/>
  </property>
  <property fmtid="{D5CDD505-2E9C-101B-9397-08002B2CF9AE}" pid="19" name="DIABriefingType">
    <vt:lpwstr/>
  </property>
  <property fmtid="{D5CDD505-2E9C-101B-9397-08002B2CF9AE}" pid="20" name="g9e6e40b804a437888e2dd313754a8ee">
    <vt:lpwstr/>
  </property>
  <property fmtid="{D5CDD505-2E9C-101B-9397-08002B2CF9AE}" pid="21" name="DIABriefingAudience">
    <vt:lpwstr/>
  </property>
  <property fmtid="{D5CDD505-2E9C-101B-9397-08002B2CF9AE}" pid="22" name="C3Topic">
    <vt:lpwstr/>
  </property>
  <property fmtid="{D5CDD505-2E9C-101B-9397-08002B2CF9AE}" pid="23" name="DIAMediaDocumentType">
    <vt:lpwstr/>
  </property>
  <property fmtid="{D5CDD505-2E9C-101B-9397-08002B2CF9AE}" pid="24" name="RevIMBCS">
    <vt:lpwstr/>
  </property>
</Properties>
</file>