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01DE5" w14:textId="78F3D261" w:rsidR="006B2543" w:rsidRPr="00925391" w:rsidRDefault="00E40367" w:rsidP="008860B2">
      <w:pPr>
        <w:ind w:left="360"/>
        <w:rPr>
          <w:rFonts w:cs="Arial"/>
          <w:lang w:val="en-NZ"/>
        </w:rPr>
      </w:pPr>
      <w:r>
        <w:rPr>
          <w:rFonts w:cs="Arial"/>
          <w:noProof/>
          <w:lang w:val="en-NZ"/>
        </w:rPr>
        <mc:AlternateContent>
          <mc:Choice Requires="wps">
            <w:drawing>
              <wp:anchor distT="36576" distB="36576" distL="36576" distR="36576" simplePos="0" relativeHeight="251654144" behindDoc="0" locked="0" layoutInCell="1" allowOverlap="1" wp14:anchorId="5BB72E6A" wp14:editId="7865EAF6">
                <wp:simplePos x="0" y="0"/>
                <wp:positionH relativeFrom="column">
                  <wp:posOffset>571500</wp:posOffset>
                </wp:positionH>
                <wp:positionV relativeFrom="paragraph">
                  <wp:posOffset>-74295</wp:posOffset>
                </wp:positionV>
                <wp:extent cx="5322570" cy="866140"/>
                <wp:effectExtent l="0" t="4445" r="1905" b="0"/>
                <wp:wrapNone/>
                <wp:docPr id="7167285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570" cy="866140"/>
                        </a:xfrm>
                        <a:prstGeom prst="rect">
                          <a:avLst/>
                        </a:prstGeom>
                        <a:solidFill>
                          <a:srgbClr val="000048"/>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BE00C1C" w14:textId="77777777" w:rsidR="00193FC3" w:rsidRDefault="00193FC3" w:rsidP="006B2543">
                            <w:pPr>
                              <w:widowControl w:val="0"/>
                              <w:rPr>
                                <w:rFonts w:cs="Arial"/>
                                <w:b/>
                                <w:bCs/>
                                <w:color w:val="FFFFFF"/>
                                <w:sz w:val="22"/>
                                <w:szCs w:val="22"/>
                                <w:lang w:val="en-NZ"/>
                              </w:rPr>
                            </w:pPr>
                            <w:r>
                              <w:rPr>
                                <w:rFonts w:cs="Arial"/>
                                <w:b/>
                                <w:bCs/>
                                <w:color w:val="FFFFFF"/>
                                <w:sz w:val="72"/>
                                <w:szCs w:val="72"/>
                                <w:lang w:val="en-NZ"/>
                              </w:rPr>
                              <w:t>AML/CFT</w:t>
                            </w:r>
                          </w:p>
                          <w:p w14:paraId="3D3D7BA5" w14:textId="77777777" w:rsidR="00193FC3" w:rsidRDefault="00193FC3" w:rsidP="006B2543">
                            <w:pPr>
                              <w:widowControl w:val="0"/>
                              <w:rPr>
                                <w:rFonts w:cs="Arial"/>
                                <w:b/>
                                <w:bCs/>
                                <w:color w:val="FFFFFF"/>
                                <w:sz w:val="28"/>
                                <w:szCs w:val="28"/>
                                <w:lang w:val="en-NZ"/>
                              </w:rPr>
                            </w:pPr>
                            <w:r>
                              <w:rPr>
                                <w:rFonts w:cs="Arial"/>
                                <w:b/>
                                <w:bCs/>
                                <w:color w:val="FFFFFF"/>
                                <w:sz w:val="28"/>
                                <w:szCs w:val="28"/>
                                <w:lang w:val="en-NZ"/>
                              </w:rPr>
                              <w:t>Anti-money laundering and countering financing of terrorism</w:t>
                            </w:r>
                          </w:p>
                          <w:p w14:paraId="7ABD2AE0" w14:textId="77777777" w:rsidR="00193FC3" w:rsidRDefault="00193FC3" w:rsidP="006B2543">
                            <w:pPr>
                              <w:widowControl w:val="0"/>
                              <w:rPr>
                                <w:rFonts w:cs="Arial"/>
                                <w:b/>
                                <w:bCs/>
                                <w:color w:val="FFFFFF"/>
                                <w:sz w:val="72"/>
                                <w:szCs w:val="72"/>
                                <w:lang w:val="en-NZ"/>
                              </w:rPr>
                            </w:pPr>
                            <w:r>
                              <w:rPr>
                                <w:rFonts w:cs="Arial"/>
                                <w:b/>
                                <w:bCs/>
                                <w:color w:val="FFFFFF"/>
                                <w:sz w:val="72"/>
                                <w:szCs w:val="72"/>
                                <w:lang w:val="en-NZ"/>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72E6A" id="_x0000_t202" coordsize="21600,21600" o:spt="202" path="m,l,21600r21600,l21600,xe">
                <v:stroke joinstyle="miter"/>
                <v:path gradientshapeok="t" o:connecttype="rect"/>
              </v:shapetype>
              <v:shape id="Text Box 3" o:spid="_x0000_s1026" type="#_x0000_t202" style="position:absolute;left:0;text-align:left;margin-left:45pt;margin-top:-5.85pt;width:419.1pt;height:68.2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" fillcolor="#000048" stroked="f" insetpen="t">
                <v:shadow color="#ccc"/>
                <v:textbox inset="2.88pt,2.88pt,2.88pt,2.88pt">
                  <w:txbxContent>
                    <w:p w14:paraId="5BE00C1C" w14:textId="77777777" w:rsidR="00193FC3" w:rsidRDefault="00193FC3" w:rsidP="006B2543">
                      <w:pPr>
                        <w:widowControl w:val="0"/>
                        <w:rPr>
                          <w:rFonts w:cs="Arial"/>
                          <w:b/>
                          <w:bCs/>
                          <w:color w:val="FFFFFF"/>
                          <w:sz w:val="22"/>
                          <w:szCs w:val="22"/>
                          <w:lang w:val="en-NZ"/>
                        </w:rPr>
                      </w:pPr>
                      <w:r>
                        <w:rPr>
                          <w:rFonts w:cs="Arial"/>
                          <w:b/>
                          <w:bCs/>
                          <w:color w:val="FFFFFF"/>
                          <w:sz w:val="72"/>
                          <w:szCs w:val="72"/>
                          <w:lang w:val="en-NZ"/>
                        </w:rPr>
                        <w:t>AML/CFT</w:t>
                      </w:r>
                    </w:p>
                    <w:p w14:paraId="3D3D7BA5" w14:textId="77777777" w:rsidR="00193FC3" w:rsidRDefault="00193FC3" w:rsidP="006B2543">
                      <w:pPr>
                        <w:widowControl w:val="0"/>
                        <w:rPr>
                          <w:rFonts w:cs="Arial"/>
                          <w:b/>
                          <w:bCs/>
                          <w:color w:val="FFFFFF"/>
                          <w:sz w:val="28"/>
                          <w:szCs w:val="28"/>
                          <w:lang w:val="en-NZ"/>
                        </w:rPr>
                      </w:pPr>
                      <w:r>
                        <w:rPr>
                          <w:rFonts w:cs="Arial"/>
                          <w:b/>
                          <w:bCs/>
                          <w:color w:val="FFFFFF"/>
                          <w:sz w:val="28"/>
                          <w:szCs w:val="28"/>
                          <w:lang w:val="en-NZ"/>
                        </w:rPr>
                        <w:t>Anti-money laundering and countering financing of terrorism</w:t>
                      </w:r>
                    </w:p>
                    <w:p w14:paraId="7ABD2AE0" w14:textId="77777777" w:rsidR="00193FC3" w:rsidRDefault="00193FC3" w:rsidP="006B2543">
                      <w:pPr>
                        <w:widowControl w:val="0"/>
                        <w:rPr>
                          <w:rFonts w:cs="Arial"/>
                          <w:b/>
                          <w:bCs/>
                          <w:color w:val="FFFFFF"/>
                          <w:sz w:val="72"/>
                          <w:szCs w:val="72"/>
                          <w:lang w:val="en-NZ"/>
                        </w:rPr>
                      </w:pPr>
                      <w:r>
                        <w:rPr>
                          <w:rFonts w:cs="Arial"/>
                          <w:b/>
                          <w:bCs/>
                          <w:color w:val="FFFFFF"/>
                          <w:sz w:val="72"/>
                          <w:szCs w:val="72"/>
                          <w:lang w:val="en-NZ"/>
                        </w:rPr>
                        <w:t xml:space="preserve"> </w:t>
                      </w:r>
                    </w:p>
                  </w:txbxContent>
                </v:textbox>
              </v:shape>
            </w:pict>
          </mc:Fallback>
        </mc:AlternateContent>
      </w:r>
      <w:r>
        <w:rPr>
          <w:rFonts w:cs="Arial"/>
          <w:noProof/>
          <w:lang w:val="en-NZ"/>
        </w:rPr>
        <mc:AlternateContent>
          <mc:Choice Requires="wps">
            <w:drawing>
              <wp:anchor distT="0" distB="0" distL="114300" distR="114300" simplePos="0" relativeHeight="251661312" behindDoc="0" locked="0" layoutInCell="1" allowOverlap="1" wp14:anchorId="1D7C7D5D" wp14:editId="30DE3195">
                <wp:simplePos x="0" y="0"/>
                <wp:positionH relativeFrom="column">
                  <wp:posOffset>-201930</wp:posOffset>
                </wp:positionH>
                <wp:positionV relativeFrom="paragraph">
                  <wp:posOffset>9521825</wp:posOffset>
                </wp:positionV>
                <wp:extent cx="6120130" cy="0"/>
                <wp:effectExtent l="7620" t="8890" r="6350" b="10160"/>
                <wp:wrapNone/>
                <wp:docPr id="135674587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B319E"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749.75pt" to="466pt,7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" strokecolor="#00004b"/>
            </w:pict>
          </mc:Fallback>
        </mc:AlternateContent>
      </w:r>
    </w:p>
    <w:p w14:paraId="5D179C94" w14:textId="77777777" w:rsidR="006B2543" w:rsidRPr="00925391" w:rsidRDefault="006B2543" w:rsidP="008860B2">
      <w:pPr>
        <w:ind w:left="360"/>
        <w:rPr>
          <w:rFonts w:cs="Arial"/>
          <w:lang w:val="en-NZ"/>
        </w:rPr>
      </w:pPr>
    </w:p>
    <w:p w14:paraId="6DDEB10E" w14:textId="77777777" w:rsidR="006B2543" w:rsidRPr="00925391" w:rsidRDefault="006B2543" w:rsidP="008860B2">
      <w:pPr>
        <w:ind w:left="360"/>
        <w:rPr>
          <w:rFonts w:cs="Arial"/>
          <w:lang w:val="en-NZ"/>
        </w:rPr>
      </w:pPr>
    </w:p>
    <w:p w14:paraId="133B5761" w14:textId="77777777" w:rsidR="006B2543" w:rsidRPr="00925391" w:rsidRDefault="006B2543" w:rsidP="008860B2">
      <w:pPr>
        <w:ind w:left="360"/>
        <w:rPr>
          <w:rFonts w:cs="Arial"/>
          <w:lang w:val="en-NZ"/>
        </w:rPr>
      </w:pPr>
    </w:p>
    <w:p w14:paraId="6693F04A" w14:textId="77777777" w:rsidR="006B2543" w:rsidRPr="00925391" w:rsidRDefault="006B2543" w:rsidP="008860B2">
      <w:pPr>
        <w:ind w:left="360"/>
        <w:rPr>
          <w:rFonts w:cs="Arial"/>
          <w:lang w:val="en-NZ"/>
        </w:rPr>
      </w:pPr>
    </w:p>
    <w:p w14:paraId="54762EBC" w14:textId="77777777" w:rsidR="006B2543" w:rsidRPr="00925391" w:rsidRDefault="006B2543" w:rsidP="008860B2">
      <w:pPr>
        <w:ind w:left="360"/>
        <w:rPr>
          <w:rFonts w:cs="Arial"/>
          <w:lang w:val="en-NZ"/>
        </w:rPr>
      </w:pPr>
    </w:p>
    <w:p w14:paraId="54EBB2B2" w14:textId="77777777" w:rsidR="006B2543" w:rsidRPr="00925391" w:rsidRDefault="006B2543" w:rsidP="008860B2">
      <w:pPr>
        <w:ind w:left="360"/>
        <w:rPr>
          <w:rFonts w:cs="Arial"/>
          <w:lang w:val="en-NZ"/>
        </w:rPr>
      </w:pPr>
    </w:p>
    <w:p w14:paraId="71332CAE" w14:textId="413837A8" w:rsidR="006B2543" w:rsidRPr="00925391" w:rsidRDefault="00E40367" w:rsidP="008860B2">
      <w:pPr>
        <w:ind w:left="360"/>
        <w:rPr>
          <w:rFonts w:cs="Arial"/>
          <w:lang w:val="en-NZ"/>
        </w:rPr>
      </w:pPr>
      <w:r>
        <w:rPr>
          <w:rFonts w:cs="Arial"/>
          <w:noProof/>
          <w:lang w:val="en-NZ"/>
        </w:rPr>
        <mc:AlternateContent>
          <mc:Choice Requires="wps">
            <w:drawing>
              <wp:anchor distT="0" distB="0" distL="114300" distR="114300" simplePos="0" relativeHeight="251655168" behindDoc="0" locked="0" layoutInCell="1" allowOverlap="1" wp14:anchorId="4BE21EFE" wp14:editId="1CECBDC0">
                <wp:simplePos x="0" y="0"/>
                <wp:positionH relativeFrom="column">
                  <wp:posOffset>342900</wp:posOffset>
                </wp:positionH>
                <wp:positionV relativeFrom="paragraph">
                  <wp:posOffset>144780</wp:posOffset>
                </wp:positionV>
                <wp:extent cx="4914900" cy="3684905"/>
                <wp:effectExtent l="0" t="0" r="0" b="4445"/>
                <wp:wrapNone/>
                <wp:docPr id="4836227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684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35B0DC" w14:textId="77777777" w:rsidR="00193FC3" w:rsidRDefault="00193FC3">
                            <w:pPr>
                              <w:rPr>
                                <w:b/>
                                <w:sz w:val="96"/>
                                <w:szCs w:val="96"/>
                                <w:lang w:val="en-NZ"/>
                              </w:rPr>
                            </w:pPr>
                            <w:r>
                              <w:rPr>
                                <w:b/>
                                <w:sz w:val="96"/>
                                <w:szCs w:val="96"/>
                                <w:lang w:val="en-NZ"/>
                              </w:rPr>
                              <w:t>Risk Assessment</w:t>
                            </w:r>
                          </w:p>
                          <w:p w14:paraId="66CEB8B1" w14:textId="77777777" w:rsidR="00193FC3" w:rsidRDefault="00193FC3">
                            <w:pPr>
                              <w:rPr>
                                <w:b/>
                                <w:sz w:val="96"/>
                                <w:szCs w:val="96"/>
                                <w:lang w:val="en-NZ"/>
                              </w:rPr>
                            </w:pPr>
                            <w:r>
                              <w:rPr>
                                <w:b/>
                                <w:sz w:val="96"/>
                                <w:szCs w:val="96"/>
                                <w:lang w:val="en-NZ"/>
                              </w:rPr>
                              <w:t>Guideline</w:t>
                            </w:r>
                          </w:p>
                          <w:p w14:paraId="2390572A" w14:textId="77777777" w:rsidR="00193FC3" w:rsidRDefault="00193FC3">
                            <w:pPr>
                              <w:rPr>
                                <w:b/>
                                <w:sz w:val="96"/>
                                <w:szCs w:val="96"/>
                                <w:lang w:val="en-NZ"/>
                              </w:rPr>
                            </w:pPr>
                          </w:p>
                          <w:p w14:paraId="736C9935" w14:textId="77777777" w:rsidR="00193FC3" w:rsidRPr="00636875" w:rsidRDefault="00193FC3">
                            <w:pPr>
                              <w:rPr>
                                <w:b/>
                                <w:sz w:val="36"/>
                                <w:szCs w:val="36"/>
                                <w:lang w:val="en-NZ"/>
                              </w:rPr>
                            </w:pPr>
                            <w:r>
                              <w:rPr>
                                <w:b/>
                                <w:sz w:val="36"/>
                                <w:szCs w:val="36"/>
                                <w:lang w:val="en-NZ"/>
                              </w:rPr>
                              <w:t>May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21EFE" id="Text Box 4" o:spid="_x0000_s1027" type="#_x0000_t202" style="position:absolute;left:0;text-align:left;margin-left:27pt;margin-top:11.4pt;width:387pt;height:290.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" stroked="f">
                <v:textbox>
                  <w:txbxContent>
                    <w:p w14:paraId="4035B0DC" w14:textId="77777777" w:rsidR="00193FC3" w:rsidRDefault="00193FC3">
                      <w:pPr>
                        <w:rPr>
                          <w:b/>
                          <w:sz w:val="96"/>
                          <w:szCs w:val="96"/>
                          <w:lang w:val="en-NZ"/>
                        </w:rPr>
                      </w:pPr>
                      <w:r>
                        <w:rPr>
                          <w:b/>
                          <w:sz w:val="96"/>
                          <w:szCs w:val="96"/>
                          <w:lang w:val="en-NZ"/>
                        </w:rPr>
                        <w:t>Risk Assessment</w:t>
                      </w:r>
                    </w:p>
                    <w:p w14:paraId="66CEB8B1" w14:textId="77777777" w:rsidR="00193FC3" w:rsidRDefault="00193FC3">
                      <w:pPr>
                        <w:rPr>
                          <w:b/>
                          <w:sz w:val="96"/>
                          <w:szCs w:val="96"/>
                          <w:lang w:val="en-NZ"/>
                        </w:rPr>
                      </w:pPr>
                      <w:r>
                        <w:rPr>
                          <w:b/>
                          <w:sz w:val="96"/>
                          <w:szCs w:val="96"/>
                          <w:lang w:val="en-NZ"/>
                        </w:rPr>
                        <w:t>Guideline</w:t>
                      </w:r>
                    </w:p>
                    <w:p w14:paraId="2390572A" w14:textId="77777777" w:rsidR="00193FC3" w:rsidRDefault="00193FC3">
                      <w:pPr>
                        <w:rPr>
                          <w:b/>
                          <w:sz w:val="96"/>
                          <w:szCs w:val="96"/>
                          <w:lang w:val="en-NZ"/>
                        </w:rPr>
                      </w:pPr>
                    </w:p>
                    <w:p w14:paraId="736C9935" w14:textId="77777777" w:rsidR="00193FC3" w:rsidRPr="00636875" w:rsidRDefault="00193FC3">
                      <w:pPr>
                        <w:rPr>
                          <w:b/>
                          <w:sz w:val="36"/>
                          <w:szCs w:val="36"/>
                          <w:lang w:val="en-NZ"/>
                        </w:rPr>
                      </w:pPr>
                      <w:r>
                        <w:rPr>
                          <w:b/>
                          <w:sz w:val="36"/>
                          <w:szCs w:val="36"/>
                          <w:lang w:val="en-NZ"/>
                        </w:rPr>
                        <w:t>May 2018</w:t>
                      </w:r>
                    </w:p>
                  </w:txbxContent>
                </v:textbox>
              </v:shape>
            </w:pict>
          </mc:Fallback>
        </mc:AlternateContent>
      </w:r>
    </w:p>
    <w:p w14:paraId="5345FD21" w14:textId="77777777" w:rsidR="006B2543" w:rsidRPr="00925391" w:rsidRDefault="006B2543" w:rsidP="008860B2">
      <w:pPr>
        <w:ind w:left="360"/>
        <w:rPr>
          <w:rFonts w:cs="Arial"/>
          <w:lang w:val="en-NZ"/>
        </w:rPr>
      </w:pPr>
    </w:p>
    <w:p w14:paraId="3F0CC6CF" w14:textId="77777777" w:rsidR="006B2543" w:rsidRPr="00925391" w:rsidRDefault="006B2543" w:rsidP="008860B2">
      <w:pPr>
        <w:ind w:left="360"/>
        <w:rPr>
          <w:rFonts w:cs="Arial"/>
          <w:lang w:val="en-NZ"/>
        </w:rPr>
      </w:pPr>
    </w:p>
    <w:p w14:paraId="6833DBA6" w14:textId="77777777" w:rsidR="006B2543" w:rsidRPr="00925391" w:rsidRDefault="006B2543" w:rsidP="008860B2">
      <w:pPr>
        <w:ind w:left="360"/>
        <w:rPr>
          <w:rFonts w:cs="Arial"/>
          <w:lang w:val="en-NZ"/>
        </w:rPr>
      </w:pPr>
    </w:p>
    <w:p w14:paraId="287E5116" w14:textId="77777777" w:rsidR="006B2543" w:rsidRPr="00925391" w:rsidRDefault="006B2543" w:rsidP="008860B2">
      <w:pPr>
        <w:ind w:left="360"/>
        <w:rPr>
          <w:rFonts w:cs="Arial"/>
          <w:lang w:val="en-NZ"/>
        </w:rPr>
      </w:pPr>
    </w:p>
    <w:p w14:paraId="10F99468" w14:textId="77777777" w:rsidR="006B2543" w:rsidRPr="00925391" w:rsidRDefault="006B2543" w:rsidP="008860B2">
      <w:pPr>
        <w:ind w:left="360"/>
        <w:rPr>
          <w:rFonts w:cs="Arial"/>
          <w:lang w:val="en-NZ"/>
        </w:rPr>
      </w:pPr>
    </w:p>
    <w:p w14:paraId="51BF2456" w14:textId="77777777" w:rsidR="006B2543" w:rsidRPr="00925391" w:rsidRDefault="006B2543" w:rsidP="008860B2">
      <w:pPr>
        <w:ind w:left="360"/>
        <w:rPr>
          <w:rFonts w:cs="Arial"/>
          <w:lang w:val="en-NZ"/>
        </w:rPr>
      </w:pPr>
    </w:p>
    <w:p w14:paraId="2CE1C6D1" w14:textId="77777777" w:rsidR="006B2543" w:rsidRPr="00925391" w:rsidRDefault="006B2543" w:rsidP="008860B2">
      <w:pPr>
        <w:ind w:left="360"/>
        <w:rPr>
          <w:rFonts w:cs="Arial"/>
          <w:lang w:val="en-NZ"/>
        </w:rPr>
      </w:pPr>
    </w:p>
    <w:p w14:paraId="6C951604" w14:textId="77777777" w:rsidR="006B2543" w:rsidRPr="00925391" w:rsidRDefault="006B2543" w:rsidP="008860B2">
      <w:pPr>
        <w:ind w:left="360"/>
        <w:rPr>
          <w:rFonts w:cs="Arial"/>
          <w:lang w:val="en-NZ"/>
        </w:rPr>
      </w:pPr>
    </w:p>
    <w:p w14:paraId="2E7A8C58" w14:textId="77777777" w:rsidR="006B2543" w:rsidRPr="00925391" w:rsidRDefault="006B2543" w:rsidP="008860B2">
      <w:pPr>
        <w:ind w:left="360"/>
        <w:rPr>
          <w:rFonts w:cs="Arial"/>
          <w:lang w:val="en-NZ"/>
        </w:rPr>
      </w:pPr>
    </w:p>
    <w:p w14:paraId="2E66CD3C" w14:textId="77777777" w:rsidR="006B2543" w:rsidRPr="00925391" w:rsidRDefault="006B2543" w:rsidP="008860B2">
      <w:pPr>
        <w:ind w:left="360"/>
        <w:rPr>
          <w:rFonts w:cs="Arial"/>
          <w:lang w:val="en-NZ"/>
        </w:rPr>
      </w:pPr>
    </w:p>
    <w:p w14:paraId="38DC324A" w14:textId="77777777" w:rsidR="006B2543" w:rsidRPr="00925391" w:rsidRDefault="006B2543" w:rsidP="008860B2">
      <w:pPr>
        <w:ind w:left="360"/>
        <w:rPr>
          <w:rFonts w:cs="Arial"/>
          <w:lang w:val="en-NZ"/>
        </w:rPr>
      </w:pPr>
    </w:p>
    <w:p w14:paraId="72822343" w14:textId="77777777" w:rsidR="006B2543" w:rsidRPr="00925391" w:rsidRDefault="006B2543" w:rsidP="008860B2">
      <w:pPr>
        <w:ind w:left="360"/>
        <w:rPr>
          <w:rFonts w:cs="Arial"/>
          <w:lang w:val="en-NZ"/>
        </w:rPr>
      </w:pPr>
    </w:p>
    <w:p w14:paraId="058FAE24" w14:textId="77777777" w:rsidR="006B2543" w:rsidRPr="00925391" w:rsidRDefault="006B2543" w:rsidP="008860B2">
      <w:pPr>
        <w:ind w:left="360"/>
        <w:rPr>
          <w:rFonts w:cs="Arial"/>
          <w:lang w:val="en-NZ"/>
        </w:rPr>
      </w:pPr>
    </w:p>
    <w:p w14:paraId="741844A9" w14:textId="77777777" w:rsidR="006B2543" w:rsidRPr="00925391" w:rsidRDefault="006B2543" w:rsidP="008860B2">
      <w:pPr>
        <w:ind w:left="360"/>
        <w:rPr>
          <w:rFonts w:cs="Arial"/>
          <w:lang w:val="en-NZ"/>
        </w:rPr>
      </w:pPr>
    </w:p>
    <w:p w14:paraId="620F0054" w14:textId="77777777" w:rsidR="006B2543" w:rsidRPr="00925391" w:rsidRDefault="006B2543" w:rsidP="008860B2">
      <w:pPr>
        <w:ind w:left="360"/>
        <w:rPr>
          <w:rFonts w:cs="Arial"/>
          <w:lang w:val="en-NZ"/>
        </w:rPr>
      </w:pPr>
    </w:p>
    <w:p w14:paraId="748C76F2" w14:textId="77777777" w:rsidR="006B2543" w:rsidRPr="00925391" w:rsidRDefault="006B2543" w:rsidP="008860B2">
      <w:pPr>
        <w:ind w:left="360"/>
        <w:rPr>
          <w:rFonts w:cs="Arial"/>
          <w:lang w:val="en-NZ"/>
        </w:rPr>
      </w:pPr>
    </w:p>
    <w:p w14:paraId="4BBC1959" w14:textId="77777777" w:rsidR="006B2543" w:rsidRPr="00925391" w:rsidRDefault="006B2543" w:rsidP="008860B2">
      <w:pPr>
        <w:ind w:left="360"/>
        <w:rPr>
          <w:rFonts w:cs="Arial"/>
          <w:lang w:val="en-NZ"/>
        </w:rPr>
      </w:pPr>
    </w:p>
    <w:p w14:paraId="0A2559DB" w14:textId="77777777" w:rsidR="006B2543" w:rsidRPr="00925391" w:rsidRDefault="006B2543" w:rsidP="008860B2">
      <w:pPr>
        <w:ind w:left="360"/>
        <w:rPr>
          <w:rFonts w:cs="Arial"/>
          <w:lang w:val="en-NZ"/>
        </w:rPr>
      </w:pPr>
    </w:p>
    <w:p w14:paraId="55F4D6F6" w14:textId="77777777" w:rsidR="006B2543" w:rsidRPr="00925391" w:rsidRDefault="006B2543" w:rsidP="008860B2">
      <w:pPr>
        <w:ind w:left="360"/>
        <w:rPr>
          <w:rFonts w:cs="Arial"/>
          <w:lang w:val="en-NZ"/>
        </w:rPr>
      </w:pPr>
    </w:p>
    <w:p w14:paraId="2CE7823F" w14:textId="77777777" w:rsidR="006B2543" w:rsidRPr="00925391" w:rsidRDefault="006B2543" w:rsidP="008860B2">
      <w:pPr>
        <w:ind w:left="360"/>
        <w:rPr>
          <w:rFonts w:cs="Arial"/>
          <w:lang w:val="en-NZ"/>
        </w:rPr>
      </w:pPr>
    </w:p>
    <w:p w14:paraId="487C6D6C" w14:textId="77777777" w:rsidR="006B2543" w:rsidRPr="00925391" w:rsidRDefault="006B2543" w:rsidP="008860B2">
      <w:pPr>
        <w:ind w:left="360"/>
        <w:rPr>
          <w:rFonts w:cs="Arial"/>
          <w:lang w:val="en-NZ"/>
        </w:rPr>
      </w:pPr>
    </w:p>
    <w:p w14:paraId="687EAD76" w14:textId="77777777" w:rsidR="006B2543" w:rsidRPr="00925391" w:rsidRDefault="006B2543" w:rsidP="008860B2">
      <w:pPr>
        <w:ind w:left="360"/>
        <w:rPr>
          <w:rFonts w:cs="Arial"/>
          <w:lang w:val="en-NZ"/>
        </w:rPr>
      </w:pPr>
    </w:p>
    <w:p w14:paraId="5ED170EA" w14:textId="77777777" w:rsidR="006B2543" w:rsidRPr="00925391" w:rsidRDefault="006B2543" w:rsidP="008860B2">
      <w:pPr>
        <w:ind w:left="360"/>
        <w:rPr>
          <w:rFonts w:cs="Arial"/>
          <w:lang w:val="en-NZ"/>
        </w:rPr>
      </w:pPr>
    </w:p>
    <w:p w14:paraId="23E5B42D" w14:textId="7C5B4352" w:rsidR="006B2543" w:rsidRPr="00925391" w:rsidRDefault="00E40367" w:rsidP="008860B2">
      <w:pPr>
        <w:ind w:left="360"/>
        <w:rPr>
          <w:rFonts w:cs="Arial"/>
          <w:sz w:val="22"/>
          <w:szCs w:val="22"/>
          <w:lang w:val="en-NZ"/>
        </w:rPr>
      </w:pPr>
      <w:r>
        <w:rPr>
          <w:rFonts w:cs="Arial"/>
          <w:noProof/>
          <w:sz w:val="22"/>
          <w:szCs w:val="22"/>
          <w:lang w:val="en-NZ"/>
        </w:rPr>
        <w:drawing>
          <wp:inline distT="0" distB="0" distL="0" distR="0" wp14:anchorId="3CCBD7AE" wp14:editId="5D5B7F30">
            <wp:extent cx="2267585" cy="62166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7585" cy="621665"/>
                    </a:xfrm>
                    <a:prstGeom prst="rect">
                      <a:avLst/>
                    </a:prstGeom>
                    <a:noFill/>
                    <a:ln>
                      <a:noFill/>
                    </a:ln>
                  </pic:spPr>
                </pic:pic>
              </a:graphicData>
            </a:graphic>
          </wp:inline>
        </w:drawing>
      </w:r>
    </w:p>
    <w:p w14:paraId="3E3DDCCB" w14:textId="77777777" w:rsidR="006B2543" w:rsidRPr="00925391" w:rsidRDefault="006B2543" w:rsidP="008860B2">
      <w:pPr>
        <w:ind w:left="360"/>
        <w:rPr>
          <w:rFonts w:cs="Arial"/>
          <w:lang w:val="en-NZ"/>
        </w:rPr>
      </w:pPr>
    </w:p>
    <w:p w14:paraId="664C254B" w14:textId="77777777" w:rsidR="006B2543" w:rsidRPr="00925391" w:rsidRDefault="006B2543" w:rsidP="008860B2">
      <w:pPr>
        <w:ind w:left="360"/>
        <w:rPr>
          <w:rFonts w:cs="Arial"/>
          <w:lang w:val="en-NZ"/>
        </w:rPr>
      </w:pPr>
    </w:p>
    <w:p w14:paraId="123FAE60" w14:textId="77777777" w:rsidR="006B2543" w:rsidRPr="00925391" w:rsidRDefault="006B2543" w:rsidP="008860B2">
      <w:pPr>
        <w:ind w:left="360"/>
        <w:rPr>
          <w:rFonts w:cs="Arial"/>
          <w:lang w:val="en-NZ"/>
        </w:rPr>
      </w:pPr>
    </w:p>
    <w:p w14:paraId="30116394" w14:textId="0DE29A7D" w:rsidR="006B2543" w:rsidRPr="00925391" w:rsidRDefault="00E40367" w:rsidP="008860B2">
      <w:pPr>
        <w:ind w:left="360"/>
        <w:rPr>
          <w:rFonts w:cs="Arial"/>
          <w:lang w:val="en-NZ"/>
        </w:rPr>
      </w:pPr>
      <w:r>
        <w:rPr>
          <w:rFonts w:cs="Arial"/>
          <w:noProof/>
          <w:lang w:val="en-NZ"/>
        </w:rPr>
        <w:drawing>
          <wp:anchor distT="0" distB="0" distL="114300" distR="114300" simplePos="0" relativeHeight="251659264" behindDoc="0" locked="0" layoutInCell="1" allowOverlap="1" wp14:anchorId="731E0D24" wp14:editId="50E7880F">
            <wp:simplePos x="0" y="0"/>
            <wp:positionH relativeFrom="column">
              <wp:posOffset>1800225</wp:posOffset>
            </wp:positionH>
            <wp:positionV relativeFrom="paragraph">
              <wp:posOffset>7524115</wp:posOffset>
            </wp:positionV>
            <wp:extent cx="2628265" cy="717550"/>
            <wp:effectExtent l="0" t="0" r="0" b="0"/>
            <wp:wrapNone/>
            <wp:docPr id="8" name="Picture 6"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lour RBNZ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265" cy="717550"/>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lang w:val="en-NZ"/>
        </w:rPr>
        <w:drawing>
          <wp:anchor distT="0" distB="0" distL="114300" distR="114300" simplePos="0" relativeHeight="251658240" behindDoc="0" locked="0" layoutInCell="1" allowOverlap="1" wp14:anchorId="62EB2399" wp14:editId="3A2C4F35">
            <wp:simplePos x="0" y="0"/>
            <wp:positionH relativeFrom="column">
              <wp:posOffset>1800225</wp:posOffset>
            </wp:positionH>
            <wp:positionV relativeFrom="paragraph">
              <wp:posOffset>7524115</wp:posOffset>
            </wp:positionV>
            <wp:extent cx="2628265" cy="717550"/>
            <wp:effectExtent l="0" t="0" r="0" b="0"/>
            <wp:wrapNone/>
            <wp:docPr id="7" name="Picture 5"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our RBNZ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265" cy="717550"/>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lang w:val="en-NZ"/>
        </w:rPr>
        <w:drawing>
          <wp:anchor distT="0" distB="0" distL="114300" distR="114300" simplePos="0" relativeHeight="251657216" behindDoc="0" locked="0" layoutInCell="1" allowOverlap="1" wp14:anchorId="71C198CB" wp14:editId="4CA03C0B">
            <wp:simplePos x="0" y="0"/>
            <wp:positionH relativeFrom="column">
              <wp:posOffset>1800225</wp:posOffset>
            </wp:positionH>
            <wp:positionV relativeFrom="paragraph">
              <wp:posOffset>7524115</wp:posOffset>
            </wp:positionV>
            <wp:extent cx="2628265" cy="717550"/>
            <wp:effectExtent l="0" t="0" r="0" b="0"/>
            <wp:wrapNone/>
            <wp:docPr id="6" name="Picture 4"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our RBNZ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265" cy="717550"/>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lang w:val="en-NZ"/>
        </w:rPr>
        <w:drawing>
          <wp:anchor distT="0" distB="0" distL="114300" distR="114300" simplePos="0" relativeHeight="251656192" behindDoc="0" locked="0" layoutInCell="1" allowOverlap="1" wp14:anchorId="2B0F9963" wp14:editId="00C2CF88">
            <wp:simplePos x="0" y="0"/>
            <wp:positionH relativeFrom="column">
              <wp:posOffset>1800225</wp:posOffset>
            </wp:positionH>
            <wp:positionV relativeFrom="paragraph">
              <wp:posOffset>7524115</wp:posOffset>
            </wp:positionV>
            <wp:extent cx="2628265" cy="717550"/>
            <wp:effectExtent l="0" t="0" r="0" b="0"/>
            <wp:wrapNone/>
            <wp:docPr id="5" name="Picture 3"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ur RBNZ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265" cy="717550"/>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lang w:val="en-NZ"/>
        </w:rPr>
        <w:drawing>
          <wp:inline distT="0" distB="0" distL="0" distR="0" wp14:anchorId="107C2556" wp14:editId="30E5F3B2">
            <wp:extent cx="2292350" cy="7924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2350" cy="792480"/>
                    </a:xfrm>
                    <a:prstGeom prst="rect">
                      <a:avLst/>
                    </a:prstGeom>
                    <a:noFill/>
                    <a:ln>
                      <a:noFill/>
                    </a:ln>
                  </pic:spPr>
                </pic:pic>
              </a:graphicData>
            </a:graphic>
          </wp:inline>
        </w:drawing>
      </w:r>
    </w:p>
    <w:p w14:paraId="26260247" w14:textId="77777777" w:rsidR="006B2543" w:rsidRPr="00925391" w:rsidRDefault="006B2543" w:rsidP="008860B2">
      <w:pPr>
        <w:ind w:left="360"/>
        <w:rPr>
          <w:rFonts w:cs="Arial"/>
          <w:lang w:val="en-NZ"/>
        </w:rPr>
      </w:pPr>
    </w:p>
    <w:p w14:paraId="1B322BA5" w14:textId="77777777" w:rsidR="006B2543" w:rsidRPr="00925391" w:rsidRDefault="006B2543" w:rsidP="008860B2">
      <w:pPr>
        <w:ind w:left="360"/>
        <w:rPr>
          <w:rFonts w:cs="Arial"/>
          <w:lang w:val="en-NZ"/>
        </w:rPr>
      </w:pPr>
    </w:p>
    <w:p w14:paraId="6EC12837" w14:textId="77777777" w:rsidR="006B2543" w:rsidRPr="00925391" w:rsidRDefault="006B2543" w:rsidP="008860B2">
      <w:pPr>
        <w:ind w:left="360"/>
        <w:rPr>
          <w:rFonts w:cs="Arial"/>
          <w:lang w:val="en-NZ"/>
        </w:rPr>
      </w:pPr>
    </w:p>
    <w:p w14:paraId="0330A691" w14:textId="66C16C65" w:rsidR="00BB6D43" w:rsidRPr="00925391" w:rsidRDefault="00E40367" w:rsidP="008860B2">
      <w:pPr>
        <w:ind w:left="360"/>
        <w:rPr>
          <w:lang w:val="en-NZ" w:eastAsia="en-NZ"/>
        </w:rPr>
        <w:sectPr w:rsidR="00BB6D43" w:rsidRPr="00925391" w:rsidSect="006B2543">
          <w:headerReference w:type="default" r:id="rId11"/>
          <w:footerReference w:type="even" r:id="rId12"/>
          <w:footerReference w:type="default" r:id="rId13"/>
          <w:type w:val="continuous"/>
          <w:pgSz w:w="11906" w:h="16838"/>
          <w:pgMar w:top="550" w:right="1276" w:bottom="454" w:left="1440" w:header="709" w:footer="709" w:gutter="0"/>
          <w:cols w:space="708"/>
          <w:docGrid w:linePitch="360"/>
        </w:sectPr>
      </w:pPr>
      <w:r>
        <w:rPr>
          <w:rFonts w:cs="Arial"/>
          <w:noProof/>
          <w:lang w:val="en-NZ"/>
        </w:rPr>
        <mc:AlternateContent>
          <mc:Choice Requires="wps">
            <w:drawing>
              <wp:anchor distT="36576" distB="36576" distL="36576" distR="36576" simplePos="0" relativeHeight="251660288" behindDoc="0" locked="0" layoutInCell="1" allowOverlap="1" wp14:anchorId="05B11AD4" wp14:editId="2F0B7CD9">
                <wp:simplePos x="0" y="0"/>
                <wp:positionH relativeFrom="column">
                  <wp:posOffset>1043940</wp:posOffset>
                </wp:positionH>
                <wp:positionV relativeFrom="paragraph">
                  <wp:posOffset>10081260</wp:posOffset>
                </wp:positionV>
                <wp:extent cx="6058535" cy="0"/>
                <wp:effectExtent l="5715" t="10160" r="12700" b="8890"/>
                <wp:wrapNone/>
                <wp:docPr id="72428495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1BAA11" id="Line 9" o:spid="_x0000_s1026" style="position:absolute;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sidR="006B2543" w:rsidRPr="00925391">
        <w:rPr>
          <w:rFonts w:cs="Arial"/>
          <w:lang w:val="en-NZ"/>
        </w:rPr>
        <w:t xml:space="preserve"> </w:t>
      </w:r>
      <w:r>
        <w:rPr>
          <w:noProof/>
          <w:lang w:val="en-NZ" w:eastAsia="en-NZ"/>
        </w:rPr>
        <w:drawing>
          <wp:inline distT="0" distB="0" distL="0" distR="0" wp14:anchorId="765EEE89" wp14:editId="3CDACC8C">
            <wp:extent cx="2328545" cy="63373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8545" cy="633730"/>
                    </a:xfrm>
                    <a:prstGeom prst="rect">
                      <a:avLst/>
                    </a:prstGeom>
                    <a:noFill/>
                    <a:ln>
                      <a:noFill/>
                    </a:ln>
                  </pic:spPr>
                </pic:pic>
              </a:graphicData>
            </a:graphic>
          </wp:inline>
        </w:drawing>
      </w:r>
    </w:p>
    <w:p w14:paraId="7C72C165" w14:textId="77777777" w:rsidR="006B2543" w:rsidRPr="00925391" w:rsidRDefault="00A37C2D" w:rsidP="00E27DC1">
      <w:pPr>
        <w:pStyle w:val="Heading1"/>
        <w:rPr>
          <w:lang w:val="en-NZ"/>
        </w:rPr>
      </w:pPr>
      <w:bookmarkStart w:id="0" w:name="_Ref509236238"/>
      <w:r>
        <w:rPr>
          <w:lang w:val="en-NZ"/>
        </w:rPr>
        <w:lastRenderedPageBreak/>
        <w:t>What is this guideline fo</w:t>
      </w:r>
      <w:bookmarkEnd w:id="0"/>
      <w:r>
        <w:rPr>
          <w:lang w:val="en-NZ"/>
        </w:rPr>
        <w:t>r</w:t>
      </w:r>
    </w:p>
    <w:p w14:paraId="59722CCA" w14:textId="77777777" w:rsidR="00737C83" w:rsidRPr="00925391" w:rsidRDefault="00B82554" w:rsidP="00A7029F">
      <w:pPr>
        <w:pStyle w:val="Numbers1"/>
      </w:pPr>
      <w:r w:rsidRPr="00925391">
        <w:t xml:space="preserve">This </w:t>
      </w:r>
      <w:r w:rsidR="0026228C" w:rsidRPr="00925391">
        <w:t>guideline</w:t>
      </w:r>
      <w:r w:rsidR="00491B30" w:rsidRPr="00925391">
        <w:t xml:space="preserve"> </w:t>
      </w:r>
      <w:r w:rsidR="00A7029F" w:rsidRPr="00925391">
        <w:rPr>
          <w:rFonts w:cs="Arial"/>
        </w:rPr>
        <w:t xml:space="preserve">is designed to help </w:t>
      </w:r>
      <w:r w:rsidR="00A7029F" w:rsidRPr="00925391">
        <w:t>you conduct</w:t>
      </w:r>
      <w:r w:rsidR="00ED244D" w:rsidRPr="00925391">
        <w:t xml:space="preserve"> your </w:t>
      </w:r>
      <w:r w:rsidR="00D14315" w:rsidRPr="00925391">
        <w:t xml:space="preserve">money laundering and terrorism financing </w:t>
      </w:r>
      <w:r w:rsidR="00ED244D" w:rsidRPr="00925391">
        <w:t>risk a</w:t>
      </w:r>
      <w:r w:rsidR="00737C83" w:rsidRPr="00925391">
        <w:t>ssessment</w:t>
      </w:r>
      <w:r w:rsidR="00D14315" w:rsidRPr="00925391">
        <w:t xml:space="preserve"> (risk assessment)</w:t>
      </w:r>
      <w:r w:rsidR="009219D5" w:rsidRPr="00925391">
        <w:t xml:space="preserve"> </w:t>
      </w:r>
      <w:r w:rsidR="006B2543" w:rsidRPr="00925391">
        <w:t>under the Anti-Money Laundering and Countering Fi</w:t>
      </w:r>
      <w:r w:rsidR="00280B15" w:rsidRPr="00925391">
        <w:t xml:space="preserve">nancing of Terrorism </w:t>
      </w:r>
      <w:r w:rsidR="00DE32C7" w:rsidRPr="00925391">
        <w:t xml:space="preserve">(AML/CFT) </w:t>
      </w:r>
      <w:r w:rsidR="00280B15" w:rsidRPr="00925391">
        <w:t>Act 2009 (</w:t>
      </w:r>
      <w:r w:rsidR="006B2543" w:rsidRPr="00925391">
        <w:t>the Act).</w:t>
      </w:r>
    </w:p>
    <w:p w14:paraId="0C2D1DEC" w14:textId="77777777" w:rsidR="007B46FF" w:rsidRPr="00925391" w:rsidRDefault="007B46FF" w:rsidP="00A7029F">
      <w:pPr>
        <w:pStyle w:val="Numbers1"/>
        <w:numPr>
          <w:ilvl w:val="0"/>
          <w:numId w:val="0"/>
        </w:numPr>
        <w:ind w:left="471"/>
        <w:rPr>
          <w:rFonts w:cs="Arial"/>
        </w:rPr>
      </w:pPr>
    </w:p>
    <w:p w14:paraId="39E1A6B9" w14:textId="77777777" w:rsidR="00E46648" w:rsidRPr="00925391" w:rsidRDefault="007B46FF" w:rsidP="00A7029F">
      <w:pPr>
        <w:pStyle w:val="Numbers1"/>
      </w:pPr>
      <w:r w:rsidRPr="00925391">
        <w:t>You understand your business bette</w:t>
      </w:r>
      <w:r w:rsidR="00E46648" w:rsidRPr="00925391">
        <w:t>r than anyone else. Y</w:t>
      </w:r>
      <w:r w:rsidRPr="00925391">
        <w:t xml:space="preserve">ou are best placed to identify </w:t>
      </w:r>
      <w:r w:rsidR="00E46648" w:rsidRPr="00925391">
        <w:t xml:space="preserve">and determine the level of </w:t>
      </w:r>
      <w:r w:rsidRPr="00925391">
        <w:t xml:space="preserve">risks your business faces from money laundering (ML) and </w:t>
      </w:r>
      <w:r w:rsidR="00E46648" w:rsidRPr="00925391">
        <w:t>terrorism financing (TF)</w:t>
      </w:r>
      <w:r w:rsidR="00B31D3A" w:rsidRPr="00925391">
        <w:t>,</w:t>
      </w:r>
      <w:r w:rsidRPr="00925391">
        <w:t xml:space="preserve"> and to develop appropriate strategies to manage and control these risks. </w:t>
      </w:r>
    </w:p>
    <w:p w14:paraId="20C5E5B2" w14:textId="77777777" w:rsidR="00ED244D" w:rsidRPr="00925391" w:rsidRDefault="00ED244D" w:rsidP="00A7029F">
      <w:pPr>
        <w:pStyle w:val="Numbers1"/>
        <w:numPr>
          <w:ilvl w:val="0"/>
          <w:numId w:val="0"/>
        </w:numPr>
        <w:rPr>
          <w:rFonts w:cs="Arial"/>
        </w:rPr>
      </w:pPr>
    </w:p>
    <w:p w14:paraId="63099303" w14:textId="77777777" w:rsidR="00E46648" w:rsidRPr="00925391" w:rsidRDefault="00737C83" w:rsidP="00A7029F">
      <w:pPr>
        <w:pStyle w:val="Numbers1"/>
        <w:rPr>
          <w:rFonts w:cs="Arial"/>
        </w:rPr>
      </w:pPr>
      <w:r w:rsidRPr="00925391">
        <w:t>A risk assess</w:t>
      </w:r>
      <w:r w:rsidR="00E46648" w:rsidRPr="00925391">
        <w:t xml:space="preserve">ment is the first step you must </w:t>
      </w:r>
      <w:r w:rsidR="00E92C2D" w:rsidRPr="00925391">
        <w:t>take before developing your</w:t>
      </w:r>
      <w:r w:rsidRPr="00925391">
        <w:t xml:space="preserve"> </w:t>
      </w:r>
      <w:r w:rsidR="00E92C2D" w:rsidRPr="00925391">
        <w:t xml:space="preserve">AML/CFT </w:t>
      </w:r>
      <w:r w:rsidRPr="00925391">
        <w:t>programme</w:t>
      </w:r>
      <w:r w:rsidR="00A207F1" w:rsidRPr="00925391">
        <w:t xml:space="preserve"> (programme)</w:t>
      </w:r>
      <w:r w:rsidRPr="00925391">
        <w:t>. It involves identif</w:t>
      </w:r>
      <w:r w:rsidR="00E92C2D" w:rsidRPr="00925391">
        <w:t>ying and assessing the</w:t>
      </w:r>
      <w:r w:rsidR="00B31D3A" w:rsidRPr="00925391">
        <w:t xml:space="preserve"> inherent</w:t>
      </w:r>
      <w:r w:rsidR="00E92C2D" w:rsidRPr="00925391">
        <w:t xml:space="preserve"> risks your</w:t>
      </w:r>
      <w:r w:rsidRPr="00925391">
        <w:t xml:space="preserve"> business reasonably expects to face fro</w:t>
      </w:r>
      <w:r w:rsidR="00B31D3A" w:rsidRPr="00925391">
        <w:t>m ML/TF</w:t>
      </w:r>
      <w:r w:rsidR="00E92C2D" w:rsidRPr="00925391">
        <w:t>.</w:t>
      </w:r>
      <w:r w:rsidRPr="00925391">
        <w:rPr>
          <w:b/>
        </w:rPr>
        <w:t xml:space="preserve"> </w:t>
      </w:r>
      <w:r w:rsidRPr="00925391">
        <w:t xml:space="preserve">Once </w:t>
      </w:r>
      <w:r w:rsidR="0005199F" w:rsidRPr="00925391">
        <w:t>you complete your</w:t>
      </w:r>
      <w:r w:rsidRPr="00925391">
        <w:t xml:space="preserve"> r</w:t>
      </w:r>
      <w:r w:rsidR="00B31D3A" w:rsidRPr="00925391">
        <w:t xml:space="preserve">isk assessment, you </w:t>
      </w:r>
      <w:r w:rsidR="00F15A2D" w:rsidRPr="00925391">
        <w:t xml:space="preserve">can then put in place a </w:t>
      </w:r>
      <w:r w:rsidRPr="00925391">
        <w:t xml:space="preserve">programme that minimises or mitigates these risks. </w:t>
      </w:r>
      <w:r w:rsidR="00E46648" w:rsidRPr="00925391">
        <w:rPr>
          <w:rFonts w:cs="Arial"/>
        </w:rPr>
        <w:t xml:space="preserve">Your </w:t>
      </w:r>
      <w:r w:rsidR="00A207F1" w:rsidRPr="00925391">
        <w:rPr>
          <w:rFonts w:cs="Arial"/>
        </w:rPr>
        <w:t>programme</w:t>
      </w:r>
      <w:r w:rsidR="00E46648" w:rsidRPr="00925391">
        <w:rPr>
          <w:rFonts w:cs="Arial"/>
        </w:rPr>
        <w:t xml:space="preserve"> </w:t>
      </w:r>
      <w:r w:rsidR="00E46648" w:rsidRPr="00925391">
        <w:rPr>
          <w:rFonts w:cs="Arial"/>
          <w:b/>
        </w:rPr>
        <w:t>must</w:t>
      </w:r>
      <w:r w:rsidR="00E46648" w:rsidRPr="00925391">
        <w:rPr>
          <w:rFonts w:cs="Arial"/>
        </w:rPr>
        <w:t xml:space="preserve"> be based on your risk assessment.</w:t>
      </w:r>
    </w:p>
    <w:p w14:paraId="0159C085" w14:textId="77777777" w:rsidR="00E46648" w:rsidRPr="00925391" w:rsidRDefault="00E46648" w:rsidP="00A7029F">
      <w:pPr>
        <w:pStyle w:val="Numbers1"/>
        <w:numPr>
          <w:ilvl w:val="0"/>
          <w:numId w:val="0"/>
        </w:numPr>
        <w:ind w:left="471"/>
      </w:pPr>
    </w:p>
    <w:p w14:paraId="6B3B6D67" w14:textId="77777777" w:rsidR="002E5B4C" w:rsidRPr="00925391" w:rsidRDefault="002E5B4C" w:rsidP="002E5B4C">
      <w:pPr>
        <w:pStyle w:val="Numbers1"/>
        <w:rPr>
          <w:rFonts w:cs="Arial"/>
        </w:rPr>
      </w:pPr>
      <w:r w:rsidRPr="00925391">
        <w:t xml:space="preserve">You should keep in mind that an effective AML/CFT regime is risk-based. Your programme </w:t>
      </w:r>
      <w:r w:rsidRPr="00527E14">
        <w:rPr>
          <w:b/>
        </w:rPr>
        <w:t xml:space="preserve">must </w:t>
      </w:r>
      <w:r w:rsidRPr="00925391">
        <w:t>manage and mitigate the ML/TF risks faced by your business. For instance, if you are a low-risk business you may only need a simple programme that is proportionate to your low risk.</w:t>
      </w:r>
    </w:p>
    <w:p w14:paraId="61E1065F" w14:textId="77777777" w:rsidR="00F15A2D" w:rsidRPr="00925391" w:rsidRDefault="00F15A2D" w:rsidP="00A7029F">
      <w:pPr>
        <w:pStyle w:val="Numbers1"/>
        <w:numPr>
          <w:ilvl w:val="0"/>
          <w:numId w:val="0"/>
        </w:numPr>
        <w:ind w:left="471"/>
        <w:rPr>
          <w:rFonts w:cs="Arial"/>
        </w:rPr>
      </w:pPr>
    </w:p>
    <w:p w14:paraId="10BE5CEE" w14:textId="77777777" w:rsidR="00596CB9" w:rsidRPr="00925391" w:rsidRDefault="00F15A2D" w:rsidP="00A7029F">
      <w:pPr>
        <w:pStyle w:val="Numbers1"/>
      </w:pPr>
      <w:r w:rsidRPr="00925391">
        <w:t>Following this guideline is not</w:t>
      </w:r>
      <w:r w:rsidR="00B31D3A" w:rsidRPr="00925391">
        <w:t xml:space="preserve"> mandatory. </w:t>
      </w:r>
      <w:r w:rsidR="00E45450">
        <w:t>However, you</w:t>
      </w:r>
      <w:r w:rsidR="00E45450" w:rsidRPr="00321BA8">
        <w:rPr>
          <w:b/>
        </w:rPr>
        <w:t xml:space="preserve"> must</w:t>
      </w:r>
      <w:r w:rsidR="00E45450">
        <w:t xml:space="preserve"> undertake a risk assessment and </w:t>
      </w:r>
      <w:r w:rsidR="00E45450" w:rsidRPr="00321BA8">
        <w:rPr>
          <w:b/>
        </w:rPr>
        <w:t>must</w:t>
      </w:r>
      <w:r w:rsidR="00E45450">
        <w:t xml:space="preserve"> establish a programme.</w:t>
      </w:r>
    </w:p>
    <w:p w14:paraId="71FFD7F2" w14:textId="77777777" w:rsidR="00596CB9" w:rsidRPr="00925391" w:rsidRDefault="00596CB9" w:rsidP="00A7029F">
      <w:pPr>
        <w:pStyle w:val="Numbers1"/>
        <w:numPr>
          <w:ilvl w:val="0"/>
          <w:numId w:val="0"/>
        </w:numPr>
        <w:ind w:left="471"/>
        <w:rPr>
          <w:rFonts w:cs="Arial"/>
          <w:sz w:val="16"/>
          <w:szCs w:val="16"/>
        </w:rPr>
      </w:pPr>
    </w:p>
    <w:p w14:paraId="7F0C55AC" w14:textId="77777777" w:rsidR="004C5019" w:rsidRPr="00925391" w:rsidRDefault="00D14315" w:rsidP="00A7029F">
      <w:pPr>
        <w:pStyle w:val="Numbers1"/>
        <w:rPr>
          <w:rFonts w:cs="Arial"/>
          <w:sz w:val="16"/>
          <w:szCs w:val="16"/>
        </w:rPr>
      </w:pPr>
      <w:r w:rsidRPr="00925391">
        <w:rPr>
          <w:rFonts w:cs="Arial"/>
        </w:rPr>
        <w:t xml:space="preserve">Your risk assessment and programme should reflect </w:t>
      </w:r>
      <w:r w:rsidR="008F4B8A" w:rsidRPr="00925391">
        <w:rPr>
          <w:rFonts w:cs="Arial"/>
        </w:rPr>
        <w:t xml:space="preserve">a </w:t>
      </w:r>
      <w:r w:rsidR="006654B3" w:rsidRPr="00925391">
        <w:rPr>
          <w:rFonts w:cs="Arial"/>
        </w:rPr>
        <w:t>risk-based</w:t>
      </w:r>
      <w:r w:rsidR="00596CB9" w:rsidRPr="00925391">
        <w:rPr>
          <w:rFonts w:cs="Arial"/>
        </w:rPr>
        <w:t xml:space="preserve"> </w:t>
      </w:r>
      <w:r w:rsidR="00940692" w:rsidRPr="00925391">
        <w:rPr>
          <w:rFonts w:cs="Arial"/>
        </w:rPr>
        <w:t>approach that</w:t>
      </w:r>
      <w:r w:rsidR="00B31D3A" w:rsidRPr="00925391">
        <w:rPr>
          <w:rFonts w:cs="Arial"/>
        </w:rPr>
        <w:t xml:space="preserve"> </w:t>
      </w:r>
      <w:r w:rsidR="00B95484" w:rsidRPr="00925391">
        <w:rPr>
          <w:rFonts w:cs="Arial"/>
        </w:rPr>
        <w:t>allow</w:t>
      </w:r>
      <w:r w:rsidR="00596CB9" w:rsidRPr="00925391">
        <w:rPr>
          <w:rFonts w:cs="Arial"/>
        </w:rPr>
        <w:t>s</w:t>
      </w:r>
      <w:r w:rsidR="00B95484" w:rsidRPr="00925391">
        <w:rPr>
          <w:rFonts w:cs="Arial"/>
        </w:rPr>
        <w:t xml:space="preserve"> you some flexibility in the steps you take when</w:t>
      </w:r>
      <w:r w:rsidRPr="00925391">
        <w:rPr>
          <w:rFonts w:cs="Arial"/>
        </w:rPr>
        <w:t xml:space="preserve"> meeting your AML/CFT obligations</w:t>
      </w:r>
      <w:r w:rsidR="00B95484" w:rsidRPr="00925391">
        <w:rPr>
          <w:rFonts w:cs="Arial"/>
        </w:rPr>
        <w:t>.</w:t>
      </w:r>
      <w:r w:rsidR="00596CB9" w:rsidRPr="00925391">
        <w:rPr>
          <w:rFonts w:cs="Arial"/>
        </w:rPr>
        <w:t xml:space="preserve"> </w:t>
      </w:r>
      <w:r w:rsidR="00537740" w:rsidRPr="00925391">
        <w:t xml:space="preserve">A </w:t>
      </w:r>
      <w:r w:rsidR="006654B3" w:rsidRPr="00925391">
        <w:t>risk-based</w:t>
      </w:r>
      <w:r w:rsidR="009219D5" w:rsidRPr="00925391">
        <w:t xml:space="preserve"> approach does not stop</w:t>
      </w:r>
      <w:r w:rsidR="006202F6" w:rsidRPr="00925391">
        <w:t xml:space="preserve"> you from engaging in transactions/activities or establishing business relationships with higher</w:t>
      </w:r>
      <w:r w:rsidR="00C568BE" w:rsidRPr="00925391">
        <w:t>-</w:t>
      </w:r>
      <w:r w:rsidR="006202F6" w:rsidRPr="00925391">
        <w:t>risk cus</w:t>
      </w:r>
      <w:r w:rsidR="002A78CE" w:rsidRPr="00925391">
        <w:t>tomers. Rather, it should help</w:t>
      </w:r>
      <w:r w:rsidR="006202F6" w:rsidRPr="00925391">
        <w:t xml:space="preserve"> you to effec</w:t>
      </w:r>
      <w:r w:rsidR="002A78CE" w:rsidRPr="00925391">
        <w:t>tively manage and prioritise</w:t>
      </w:r>
      <w:r w:rsidR="00705C9D" w:rsidRPr="00925391">
        <w:t xml:space="preserve"> your response to</w:t>
      </w:r>
      <w:r w:rsidR="002A78CE" w:rsidRPr="00925391">
        <w:t xml:space="preserve"> </w:t>
      </w:r>
      <w:r w:rsidR="00E92C2D" w:rsidRPr="00925391">
        <w:t xml:space="preserve">ML/TF </w:t>
      </w:r>
      <w:r w:rsidR="009B531F" w:rsidRPr="00925391">
        <w:t>risks</w:t>
      </w:r>
      <w:r w:rsidR="006202F6" w:rsidRPr="00925391">
        <w:t>.</w:t>
      </w:r>
      <w:r w:rsidR="00582E4D" w:rsidRPr="00925391">
        <w:rPr>
          <w:rFonts w:cs="Arial"/>
          <w:sz w:val="16"/>
          <w:szCs w:val="16"/>
        </w:rPr>
        <w:t xml:space="preserve"> </w:t>
      </w:r>
      <w:r w:rsidR="00C568BE" w:rsidRPr="00925391">
        <w:t xml:space="preserve">The </w:t>
      </w:r>
      <w:r w:rsidR="00C568BE" w:rsidRPr="00925391">
        <w:rPr>
          <w:rFonts w:cs="Arial"/>
        </w:rPr>
        <w:t>e</w:t>
      </w:r>
      <w:r w:rsidR="006B2543" w:rsidRPr="00925391">
        <w:rPr>
          <w:rFonts w:cs="Arial"/>
        </w:rPr>
        <w:t>xamples in this gui</w:t>
      </w:r>
      <w:r w:rsidR="002A78CE" w:rsidRPr="00925391">
        <w:rPr>
          <w:rFonts w:cs="Arial"/>
        </w:rPr>
        <w:t>deline are suggestions to help you meet</w:t>
      </w:r>
      <w:r w:rsidR="006B2543" w:rsidRPr="00925391">
        <w:rPr>
          <w:rFonts w:cs="Arial"/>
        </w:rPr>
        <w:t xml:space="preserve"> you</w:t>
      </w:r>
      <w:r w:rsidR="003108C1" w:rsidRPr="00925391">
        <w:rPr>
          <w:rFonts w:cs="Arial"/>
        </w:rPr>
        <w:t>r obligations under the Act. The</w:t>
      </w:r>
      <w:r w:rsidR="001B4867" w:rsidRPr="00925391">
        <w:rPr>
          <w:rFonts w:cs="Arial"/>
        </w:rPr>
        <w:t>y</w:t>
      </w:r>
      <w:r w:rsidR="006B2543" w:rsidRPr="00925391">
        <w:rPr>
          <w:rFonts w:cs="Arial"/>
        </w:rPr>
        <w:t xml:space="preserve"> are not</w:t>
      </w:r>
      <w:r w:rsidR="002643DF" w:rsidRPr="00925391">
        <w:rPr>
          <w:rFonts w:cs="Arial"/>
        </w:rPr>
        <w:t xml:space="preserve"> exhaustive and are illustrative in nature.</w:t>
      </w:r>
    </w:p>
    <w:p w14:paraId="173FA3F1" w14:textId="77777777" w:rsidR="006B2543" w:rsidRPr="00925391" w:rsidRDefault="006B2543" w:rsidP="00A7029F">
      <w:pPr>
        <w:pStyle w:val="Numbers1"/>
        <w:numPr>
          <w:ilvl w:val="0"/>
          <w:numId w:val="0"/>
        </w:numPr>
        <w:rPr>
          <w:rFonts w:cs="Arial"/>
          <w:sz w:val="16"/>
          <w:szCs w:val="16"/>
        </w:rPr>
      </w:pPr>
    </w:p>
    <w:p w14:paraId="7F812326" w14:textId="77777777" w:rsidR="006B2543" w:rsidRPr="00925391" w:rsidRDefault="00B82554" w:rsidP="00A7029F">
      <w:pPr>
        <w:pStyle w:val="Numbers1"/>
        <w:rPr>
          <w:rFonts w:cs="Arial"/>
        </w:rPr>
      </w:pPr>
      <w:r w:rsidRPr="00925391">
        <w:rPr>
          <w:rFonts w:cs="Arial"/>
        </w:rPr>
        <w:t xml:space="preserve">This </w:t>
      </w:r>
      <w:r w:rsidR="0026228C" w:rsidRPr="00925391">
        <w:rPr>
          <w:rFonts w:cs="Arial"/>
        </w:rPr>
        <w:t>guideline</w:t>
      </w:r>
      <w:r w:rsidR="00B95484" w:rsidRPr="00925391">
        <w:rPr>
          <w:rFonts w:cs="Arial"/>
        </w:rPr>
        <w:t xml:space="preserve"> </w:t>
      </w:r>
      <w:r w:rsidR="006B2543" w:rsidRPr="00925391">
        <w:rPr>
          <w:rFonts w:cs="Arial"/>
        </w:rPr>
        <w:t>is</w:t>
      </w:r>
      <w:r w:rsidR="00B95484" w:rsidRPr="00925391">
        <w:rPr>
          <w:rFonts w:cs="Arial"/>
        </w:rPr>
        <w:t xml:space="preserve"> </w:t>
      </w:r>
      <w:r w:rsidR="006B2543" w:rsidRPr="00925391">
        <w:rPr>
          <w:rFonts w:cs="Arial"/>
        </w:rPr>
        <w:t xml:space="preserve">for information </w:t>
      </w:r>
      <w:r w:rsidR="00AD1084" w:rsidRPr="00925391">
        <w:rPr>
          <w:rFonts w:cs="Arial"/>
        </w:rPr>
        <w:t xml:space="preserve">purposes </w:t>
      </w:r>
      <w:r w:rsidR="006B2543" w:rsidRPr="00925391">
        <w:rPr>
          <w:rFonts w:cs="Arial"/>
        </w:rPr>
        <w:t>only</w:t>
      </w:r>
      <w:r w:rsidR="00725D37" w:rsidRPr="00925391">
        <w:rPr>
          <w:rFonts w:cs="Arial"/>
        </w:rPr>
        <w:t xml:space="preserve">. It </w:t>
      </w:r>
      <w:r w:rsidR="006B2543" w:rsidRPr="00925391">
        <w:rPr>
          <w:rFonts w:cs="Arial"/>
        </w:rPr>
        <w:t>can</w:t>
      </w:r>
      <w:r w:rsidR="00AD1084" w:rsidRPr="00925391">
        <w:rPr>
          <w:rFonts w:cs="Arial"/>
        </w:rPr>
        <w:t>n</w:t>
      </w:r>
      <w:r w:rsidR="006B2543" w:rsidRPr="00925391">
        <w:rPr>
          <w:rFonts w:cs="Arial"/>
        </w:rPr>
        <w:t xml:space="preserve">ot be relied on as evidence of complying with the requirements of the Act. It does not constitute legal </w:t>
      </w:r>
      <w:r w:rsidR="002A78CE" w:rsidRPr="00925391">
        <w:rPr>
          <w:rFonts w:cs="Arial"/>
        </w:rPr>
        <w:t>advice from any of the AML/CFT s</w:t>
      </w:r>
      <w:r w:rsidR="006B2543" w:rsidRPr="00925391">
        <w:rPr>
          <w:rFonts w:cs="Arial"/>
        </w:rPr>
        <w:t xml:space="preserve">upervisors and cannot be relied </w:t>
      </w:r>
      <w:r w:rsidR="00B95484" w:rsidRPr="00925391">
        <w:rPr>
          <w:rFonts w:cs="Arial"/>
        </w:rPr>
        <w:t>up</w:t>
      </w:r>
      <w:r w:rsidR="00E46648" w:rsidRPr="00925391">
        <w:rPr>
          <w:rFonts w:cs="Arial"/>
        </w:rPr>
        <w:t xml:space="preserve">on as such. </w:t>
      </w:r>
      <w:r w:rsidR="006B2543" w:rsidRPr="00925391">
        <w:rPr>
          <w:rFonts w:cs="Arial"/>
        </w:rPr>
        <w:t>After</w:t>
      </w:r>
      <w:r w:rsidRPr="00925391">
        <w:rPr>
          <w:rFonts w:cs="Arial"/>
        </w:rPr>
        <w:t xml:space="preserve"> reading this </w:t>
      </w:r>
      <w:r w:rsidR="0026228C" w:rsidRPr="00925391">
        <w:rPr>
          <w:rFonts w:cs="Arial"/>
        </w:rPr>
        <w:t>guideline</w:t>
      </w:r>
      <w:r w:rsidR="006B2543" w:rsidRPr="00925391">
        <w:rPr>
          <w:rFonts w:cs="Arial"/>
        </w:rPr>
        <w:t>, if you still do not understand any of your ob</w:t>
      </w:r>
      <w:r w:rsidR="004705FA" w:rsidRPr="00925391">
        <w:rPr>
          <w:rFonts w:cs="Arial"/>
        </w:rPr>
        <w:t xml:space="preserve">ligations you should </w:t>
      </w:r>
      <w:r w:rsidR="00BD73C3" w:rsidRPr="00925391">
        <w:rPr>
          <w:rFonts w:cs="Arial"/>
        </w:rPr>
        <w:t>contact your AML/CFT</w:t>
      </w:r>
      <w:r w:rsidR="00BD73C3">
        <w:rPr>
          <w:rFonts w:cs="Arial"/>
        </w:rPr>
        <w:t xml:space="preserve"> supervisor</w:t>
      </w:r>
      <w:r w:rsidR="00BD73C3" w:rsidRPr="00925391">
        <w:rPr>
          <w:rFonts w:cs="Arial"/>
        </w:rPr>
        <w:t xml:space="preserve"> </w:t>
      </w:r>
      <w:r w:rsidR="00BD73C3">
        <w:rPr>
          <w:rFonts w:cs="Arial"/>
        </w:rPr>
        <w:t xml:space="preserve">or </w:t>
      </w:r>
      <w:r w:rsidR="004705FA" w:rsidRPr="00925391">
        <w:rPr>
          <w:rFonts w:cs="Arial"/>
        </w:rPr>
        <w:t xml:space="preserve">seek independent </w:t>
      </w:r>
      <w:r w:rsidR="00E46648" w:rsidRPr="00925391">
        <w:rPr>
          <w:rFonts w:cs="Arial"/>
        </w:rPr>
        <w:t xml:space="preserve">professional </w:t>
      </w:r>
      <w:r w:rsidR="00A37C2D" w:rsidRPr="00925391">
        <w:rPr>
          <w:rFonts w:cs="Arial"/>
        </w:rPr>
        <w:t>advice</w:t>
      </w:r>
      <w:r w:rsidR="00BD73C3">
        <w:rPr>
          <w:rFonts w:cs="Arial"/>
        </w:rPr>
        <w:t>.</w:t>
      </w:r>
    </w:p>
    <w:p w14:paraId="182E5767" w14:textId="77777777" w:rsidR="00B6618A" w:rsidRPr="00925391" w:rsidRDefault="00B6618A" w:rsidP="00A7029F">
      <w:pPr>
        <w:pStyle w:val="Numbers1"/>
        <w:numPr>
          <w:ilvl w:val="0"/>
          <w:numId w:val="0"/>
        </w:numPr>
        <w:ind w:left="471"/>
        <w:rPr>
          <w:rFonts w:cs="Arial"/>
        </w:rPr>
      </w:pPr>
    </w:p>
    <w:p w14:paraId="44DBC1CA" w14:textId="77777777" w:rsidR="00B31D3A" w:rsidRPr="00925391" w:rsidRDefault="001D7F61" w:rsidP="00E27DC1">
      <w:pPr>
        <w:pStyle w:val="Numbers1"/>
        <w:rPr>
          <w:rFonts w:cs="Arial"/>
        </w:rPr>
      </w:pPr>
      <w:r w:rsidRPr="00925391">
        <w:rPr>
          <w:rFonts w:cs="Arial"/>
        </w:rPr>
        <w:t>You can access the AML/CFT guidance referenced in this guideline at the following websites:</w:t>
      </w:r>
    </w:p>
    <w:p w14:paraId="3DA64524" w14:textId="77777777" w:rsidR="00B6618A" w:rsidRPr="00925391" w:rsidRDefault="00B31D3A" w:rsidP="00E27DC1">
      <w:pPr>
        <w:pStyle w:val="Bullet1"/>
        <w:tabs>
          <w:tab w:val="left" w:pos="5387"/>
        </w:tabs>
      </w:pPr>
      <w:r w:rsidRPr="00925391">
        <w:t xml:space="preserve">Financial Intelligence Unit (FIU): </w:t>
      </w:r>
      <w:r w:rsidRPr="00925391">
        <w:tab/>
      </w:r>
      <w:hyperlink r:id="rId15" w:history="1">
        <w:r w:rsidRPr="00925391">
          <w:rPr>
            <w:rStyle w:val="Hyperlink"/>
            <w:rFonts w:cs="Arial"/>
          </w:rPr>
          <w:t>http://bit.ly/2zpmWPJ</w:t>
        </w:r>
      </w:hyperlink>
      <w:r w:rsidRPr="00925391">
        <w:t xml:space="preserve"> </w:t>
      </w:r>
    </w:p>
    <w:p w14:paraId="2EB738FE" w14:textId="77777777" w:rsidR="00BB4E31" w:rsidRPr="00925391" w:rsidRDefault="00BB4E31" w:rsidP="00E27DC1">
      <w:pPr>
        <w:pStyle w:val="Bullet1"/>
        <w:tabs>
          <w:tab w:val="left" w:pos="5387"/>
        </w:tabs>
      </w:pPr>
      <w:r w:rsidRPr="00925391">
        <w:t>Department of Internal Affair</w:t>
      </w:r>
      <w:r w:rsidR="002E3A98" w:rsidRPr="00925391">
        <w:t xml:space="preserve">s </w:t>
      </w:r>
      <w:r w:rsidR="00204D44" w:rsidRPr="00925391">
        <w:t>(</w:t>
      </w:r>
      <w:r w:rsidRPr="00925391">
        <w:t xml:space="preserve">DIA): </w:t>
      </w:r>
      <w:r w:rsidR="00204D44" w:rsidRPr="00925391">
        <w:tab/>
      </w:r>
      <w:hyperlink r:id="rId16" w:history="1">
        <w:r w:rsidRPr="00925391">
          <w:rPr>
            <w:rStyle w:val="Hyperlink"/>
            <w:rFonts w:cs="Arial"/>
          </w:rPr>
          <w:t>http://bit.ly/2gQ3Iev</w:t>
        </w:r>
      </w:hyperlink>
      <w:r w:rsidR="00A7029F" w:rsidRPr="00925391">
        <w:t xml:space="preserve"> </w:t>
      </w:r>
    </w:p>
    <w:p w14:paraId="4612239E" w14:textId="77777777" w:rsidR="00BB4E31" w:rsidRPr="00925391" w:rsidRDefault="00BB4E31" w:rsidP="00E27DC1">
      <w:pPr>
        <w:pStyle w:val="Bullet1"/>
        <w:tabs>
          <w:tab w:val="left" w:pos="5387"/>
        </w:tabs>
      </w:pPr>
      <w:r w:rsidRPr="00925391">
        <w:t>R</w:t>
      </w:r>
      <w:r w:rsidR="002E3A98" w:rsidRPr="00925391">
        <w:t>eserve B</w:t>
      </w:r>
      <w:r w:rsidRPr="00925391">
        <w:t xml:space="preserve">ank of New Zealand (RBNZ): </w:t>
      </w:r>
      <w:r w:rsidR="005F033C" w:rsidRPr="00925391">
        <w:tab/>
      </w:r>
      <w:hyperlink r:id="rId17" w:history="1">
        <w:r w:rsidRPr="00925391">
          <w:rPr>
            <w:rStyle w:val="Hyperlink"/>
            <w:rFonts w:cs="Arial"/>
          </w:rPr>
          <w:t>http://bit.ly/2n6RYdp</w:t>
        </w:r>
      </w:hyperlink>
      <w:r w:rsidRPr="00925391">
        <w:t xml:space="preserve"> </w:t>
      </w:r>
    </w:p>
    <w:p w14:paraId="40ED38D8" w14:textId="77777777" w:rsidR="004C5019" w:rsidRPr="00925391" w:rsidRDefault="00BB4E31" w:rsidP="00E27DC1">
      <w:pPr>
        <w:pStyle w:val="Bullet1"/>
        <w:tabs>
          <w:tab w:val="left" w:pos="5387"/>
        </w:tabs>
      </w:pPr>
      <w:r w:rsidRPr="00925391">
        <w:t xml:space="preserve">Financial Markets Authority (FMA): </w:t>
      </w:r>
      <w:r w:rsidRPr="00925391">
        <w:tab/>
      </w:r>
      <w:hyperlink r:id="rId18" w:history="1">
        <w:r w:rsidRPr="00925391">
          <w:rPr>
            <w:rStyle w:val="Hyperlink"/>
            <w:rFonts w:cs="Arial"/>
          </w:rPr>
          <w:t>http://bit.ly/2hV45oJ</w:t>
        </w:r>
      </w:hyperlink>
      <w:r w:rsidRPr="00925391">
        <w:t xml:space="preserve"> </w:t>
      </w:r>
    </w:p>
    <w:p w14:paraId="67AA8524" w14:textId="77777777" w:rsidR="00DF212E" w:rsidRPr="00925391" w:rsidRDefault="00E27DC1" w:rsidP="00E27DC1">
      <w:pPr>
        <w:pStyle w:val="Heading1"/>
        <w:rPr>
          <w:lang w:val="en-NZ"/>
        </w:rPr>
      </w:pPr>
      <w:bookmarkStart w:id="1" w:name="_Ref509236243"/>
      <w:r w:rsidRPr="00925391">
        <w:rPr>
          <w:lang w:val="en-NZ"/>
        </w:rPr>
        <w:lastRenderedPageBreak/>
        <w:t>T</w:t>
      </w:r>
      <w:r w:rsidR="00C10CCF" w:rsidRPr="00925391">
        <w:rPr>
          <w:lang w:val="en-NZ"/>
        </w:rPr>
        <w:t xml:space="preserve">erms used in </w:t>
      </w:r>
      <w:r w:rsidR="002766E9" w:rsidRPr="00925391">
        <w:rPr>
          <w:lang w:val="en-NZ"/>
        </w:rPr>
        <w:t>this</w:t>
      </w:r>
      <w:r w:rsidR="004F2471" w:rsidRPr="00925391">
        <w:rPr>
          <w:lang w:val="en-NZ"/>
        </w:rPr>
        <w:t xml:space="preserve"> </w:t>
      </w:r>
      <w:r w:rsidR="0026228C" w:rsidRPr="00925391">
        <w:rPr>
          <w:lang w:val="en-NZ"/>
        </w:rPr>
        <w:t>guideline</w:t>
      </w:r>
      <w:bookmarkEnd w:id="1"/>
      <w:r w:rsidR="004F2A46" w:rsidRPr="00925391">
        <w:rPr>
          <w:lang w:val="en-NZ"/>
        </w:rPr>
        <w:t xml:space="preserve"> </w:t>
      </w:r>
    </w:p>
    <w:p w14:paraId="13C2ABA5" w14:textId="77777777" w:rsidR="00611D00" w:rsidRPr="00925391" w:rsidRDefault="00611D00" w:rsidP="00A7029F">
      <w:pPr>
        <w:pStyle w:val="Numbers1"/>
      </w:pPr>
      <w:r w:rsidRPr="00925391">
        <w:t>The Act does not define the terms set out below. For the purpo</w:t>
      </w:r>
      <w:r w:rsidR="008F356B" w:rsidRPr="00925391">
        <w:t xml:space="preserve">ses of this </w:t>
      </w:r>
      <w:r w:rsidR="00EF6600" w:rsidRPr="00925391">
        <w:t>guideline,</w:t>
      </w:r>
      <w:r w:rsidR="00BB4E31" w:rsidRPr="00925391">
        <w:t xml:space="preserve"> the following definitions apply.</w:t>
      </w:r>
    </w:p>
    <w:p w14:paraId="2E3F8C32" w14:textId="77777777" w:rsidR="00611D00" w:rsidRPr="00925391" w:rsidRDefault="00611D00" w:rsidP="00632C2C">
      <w:pPr>
        <w:pStyle w:val="Bullet1"/>
      </w:pPr>
      <w:r w:rsidRPr="00925391">
        <w:rPr>
          <w:b/>
        </w:rPr>
        <w:t>Material change</w:t>
      </w:r>
      <w:r w:rsidR="00F30003" w:rsidRPr="00925391">
        <w:rPr>
          <w:b/>
        </w:rPr>
        <w:t xml:space="preserve"> </w:t>
      </w:r>
      <w:r w:rsidR="00F30003" w:rsidRPr="00925391">
        <w:t>–</w:t>
      </w:r>
      <w:r w:rsidRPr="00925391">
        <w:t xml:space="preserve"> ML/TF risk is not static and can change quickly. A material change is an event, activity or situation that you identify that could ch</w:t>
      </w:r>
      <w:r w:rsidR="00B31D3A" w:rsidRPr="00925391">
        <w:t>ange the level of ML/TF risk you may encounter.</w:t>
      </w:r>
    </w:p>
    <w:p w14:paraId="56F216EE" w14:textId="77777777" w:rsidR="00611D00" w:rsidRPr="00925391" w:rsidRDefault="00BB4E31" w:rsidP="00632C2C">
      <w:pPr>
        <w:pStyle w:val="Bullet1"/>
      </w:pPr>
      <w:r w:rsidRPr="00925391">
        <w:rPr>
          <w:b/>
        </w:rPr>
        <w:t>Risk-based approach</w:t>
      </w:r>
      <w:r w:rsidR="00611D00" w:rsidRPr="00925391">
        <w:t xml:space="preserve"> </w:t>
      </w:r>
      <w:r w:rsidR="00DB0ED1" w:rsidRPr="00925391">
        <w:t>r</w:t>
      </w:r>
      <w:r w:rsidR="00611D00" w:rsidRPr="00925391">
        <w:t>efers to the proportionate AML/CFT measures that you implement in response to identified risks. An effective risk</w:t>
      </w:r>
      <w:r w:rsidR="00737EFA" w:rsidRPr="00925391">
        <w:t>-</w:t>
      </w:r>
      <w:r w:rsidR="00611D00" w:rsidRPr="00925391">
        <w:t>based approach</w:t>
      </w:r>
      <w:r w:rsidRPr="00925391">
        <w:t xml:space="preserve"> (sometimes called RBA)</w:t>
      </w:r>
      <w:r w:rsidR="00611D00" w:rsidRPr="00925391">
        <w:t xml:space="preserve"> allows you to exercise informed judg</w:t>
      </w:r>
      <w:r w:rsidR="004F2A46" w:rsidRPr="00925391">
        <w:t>e</w:t>
      </w:r>
      <w:r w:rsidR="004705FA" w:rsidRPr="00925391">
        <w:t xml:space="preserve">ment when meeting your AML/CFT obligations. </w:t>
      </w:r>
      <w:r w:rsidR="00611D00" w:rsidRPr="00925391">
        <w:t>Under a risk-based appro</w:t>
      </w:r>
      <w:r w:rsidR="004F2A46" w:rsidRPr="00925391">
        <w:t>ach, there is no such thing as “zero risk”</w:t>
      </w:r>
      <w:r w:rsidR="00611D00" w:rsidRPr="00925391">
        <w:t>.</w:t>
      </w:r>
    </w:p>
    <w:p w14:paraId="20668E37" w14:textId="77777777" w:rsidR="00611D00" w:rsidRPr="00925391" w:rsidRDefault="00611D00" w:rsidP="00632C2C">
      <w:pPr>
        <w:pStyle w:val="Bullet1"/>
      </w:pPr>
      <w:r w:rsidRPr="00925391">
        <w:rPr>
          <w:b/>
        </w:rPr>
        <w:t>Inherent risk</w:t>
      </w:r>
      <w:r w:rsidR="00266E8E" w:rsidRPr="00925391">
        <w:t xml:space="preserve"> is the </w:t>
      </w:r>
      <w:r w:rsidRPr="00925391">
        <w:t>assessed ML/TF risk before any AML/CFT controls and measures are in place.</w:t>
      </w:r>
    </w:p>
    <w:p w14:paraId="196AA116" w14:textId="77777777" w:rsidR="00C420FD" w:rsidRPr="00925391" w:rsidRDefault="00611D00" w:rsidP="00632C2C">
      <w:pPr>
        <w:pStyle w:val="Bullet1"/>
      </w:pPr>
      <w:r w:rsidRPr="00925391">
        <w:rPr>
          <w:b/>
        </w:rPr>
        <w:t>Residual risk</w:t>
      </w:r>
      <w:r w:rsidRPr="00925391">
        <w:t xml:space="preserve"> </w:t>
      </w:r>
      <w:r w:rsidR="00266E8E" w:rsidRPr="00925391">
        <w:t xml:space="preserve">is </w:t>
      </w:r>
      <w:r w:rsidRPr="00925391">
        <w:t>the assessed ML/TF risk after AML/CFT controls and measures have been put in place.</w:t>
      </w:r>
    </w:p>
    <w:p w14:paraId="2AB278F3" w14:textId="77777777" w:rsidR="00C420FD" w:rsidRPr="00925391" w:rsidRDefault="00C420FD" w:rsidP="00317B34">
      <w:pPr>
        <w:pStyle w:val="Bullet1"/>
      </w:pPr>
      <w:r w:rsidRPr="00925391">
        <w:rPr>
          <w:b/>
        </w:rPr>
        <w:t>Gatekeepers</w:t>
      </w:r>
      <w:r w:rsidR="00F30003" w:rsidRPr="00925391">
        <w:rPr>
          <w:b/>
        </w:rPr>
        <w:t xml:space="preserve"> </w:t>
      </w:r>
      <w:r w:rsidR="00F30003" w:rsidRPr="00925391">
        <w:t>–</w:t>
      </w:r>
      <w:r w:rsidR="00A37C2D">
        <w:t xml:space="preserve"> </w:t>
      </w:r>
      <w:r w:rsidR="00317B34" w:rsidRPr="00925391">
        <w:t>The legal, accountancy, real estate</w:t>
      </w:r>
      <w:r w:rsidR="00317B34">
        <w:t xml:space="preserve">, and </w:t>
      </w:r>
      <w:r w:rsidR="00317B34" w:rsidRPr="00317B34">
        <w:t>trust and company service provider</w:t>
      </w:r>
      <w:r w:rsidR="00317B34">
        <w:t xml:space="preserve"> </w:t>
      </w:r>
      <w:r w:rsidR="00317B34" w:rsidRPr="00925391">
        <w:t xml:space="preserve">sectors </w:t>
      </w:r>
      <w:r w:rsidRPr="00925391">
        <w:t>are known as designated non-financial business</w:t>
      </w:r>
      <w:r w:rsidR="004A7B81">
        <w:t>es</w:t>
      </w:r>
      <w:r w:rsidRPr="00925391">
        <w:t xml:space="preserve"> and professions</w:t>
      </w:r>
      <w:r w:rsidR="00666D92" w:rsidRPr="00925391">
        <w:t>,</w:t>
      </w:r>
      <w:r w:rsidRPr="00925391">
        <w:t xml:space="preserve"> or more commonly as “gatekeepers”. Gatekeepers refers to the role they play in providing services and products that can be used to facilitate the entry of illicit funds into the legitimate financial system.</w:t>
      </w:r>
    </w:p>
    <w:p w14:paraId="1BD6BF59" w14:textId="77777777" w:rsidR="00611D00" w:rsidRPr="00925391" w:rsidRDefault="00611D00" w:rsidP="00E27DC1">
      <w:pPr>
        <w:rPr>
          <w:lang w:val="en-NZ"/>
        </w:rPr>
      </w:pPr>
    </w:p>
    <w:p w14:paraId="18776E3C" w14:textId="77777777" w:rsidR="00611D00" w:rsidRPr="00925391" w:rsidRDefault="00611D00" w:rsidP="00A7029F">
      <w:pPr>
        <w:pStyle w:val="Numbers1"/>
      </w:pPr>
      <w:r w:rsidRPr="00925391">
        <w:rPr>
          <w:bCs/>
        </w:rPr>
        <w:t>On 1 July 2018,</w:t>
      </w:r>
      <w:r w:rsidRPr="00925391">
        <w:rPr>
          <w:b/>
          <w:bCs/>
        </w:rPr>
        <w:t xml:space="preserve"> </w:t>
      </w:r>
      <w:r w:rsidRPr="00925391">
        <w:rPr>
          <w:bCs/>
        </w:rPr>
        <w:t>suspicious transaction reports (STRs)</w:t>
      </w:r>
      <w:r w:rsidRPr="00925391">
        <w:t xml:space="preserve"> will be replaced by </w:t>
      </w:r>
      <w:r w:rsidRPr="00925391">
        <w:rPr>
          <w:bCs/>
        </w:rPr>
        <w:t>suspicious activity reports (SARs</w:t>
      </w:r>
      <w:r w:rsidR="00B31D3A" w:rsidRPr="00925391">
        <w:t>). T</w:t>
      </w:r>
      <w:r w:rsidRPr="00925391">
        <w:t xml:space="preserve">he acronym SAR </w:t>
      </w:r>
      <w:r w:rsidR="00B31D3A" w:rsidRPr="00925391">
        <w:t xml:space="preserve">is used </w:t>
      </w:r>
      <w:r w:rsidRPr="00925391">
        <w:t>to denote both types of reporting for the purposes of this guideline.</w:t>
      </w:r>
    </w:p>
    <w:p w14:paraId="38CCB06A" w14:textId="77777777" w:rsidR="00654DCB" w:rsidRPr="00925391" w:rsidRDefault="002766E9" w:rsidP="00E27DC1">
      <w:pPr>
        <w:pStyle w:val="Heading1"/>
        <w:rPr>
          <w:lang w:val="en-NZ"/>
        </w:rPr>
      </w:pPr>
      <w:r w:rsidRPr="00925391">
        <w:rPr>
          <w:lang w:val="en-NZ"/>
        </w:rPr>
        <w:t xml:space="preserve">Structure of </w:t>
      </w:r>
      <w:r w:rsidR="00666D92" w:rsidRPr="00925391">
        <w:rPr>
          <w:lang w:val="en-NZ"/>
        </w:rPr>
        <w:t>this</w:t>
      </w:r>
      <w:r w:rsidR="00654DCB" w:rsidRPr="00925391">
        <w:rPr>
          <w:lang w:val="en-NZ"/>
        </w:rPr>
        <w:t xml:space="preserve"> </w:t>
      </w:r>
      <w:r w:rsidR="0026228C" w:rsidRPr="00925391">
        <w:rPr>
          <w:lang w:val="en-NZ"/>
        </w:rPr>
        <w:t>guideline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5116"/>
        <w:gridCol w:w="2159"/>
      </w:tblGrid>
      <w:tr w:rsidR="00E658BB" w:rsidRPr="00925391" w14:paraId="1B1CABDE" w14:textId="77777777" w:rsidTr="00DD5D35">
        <w:tc>
          <w:tcPr>
            <w:tcW w:w="1951" w:type="dxa"/>
            <w:shd w:val="clear" w:color="auto" w:fill="auto"/>
          </w:tcPr>
          <w:p w14:paraId="1F98AA53" w14:textId="77777777" w:rsidR="00E658BB" w:rsidRPr="00925391" w:rsidRDefault="00E658BB" w:rsidP="00E27DC1">
            <w:pPr>
              <w:spacing w:before="60" w:after="60"/>
              <w:rPr>
                <w:rFonts w:eastAsia="Calibri" w:cs="Arial"/>
                <w:sz w:val="22"/>
                <w:szCs w:val="22"/>
                <w:lang w:val="en-NZ"/>
              </w:rPr>
            </w:pPr>
          </w:p>
        </w:tc>
        <w:tc>
          <w:tcPr>
            <w:tcW w:w="5245" w:type="dxa"/>
            <w:shd w:val="clear" w:color="auto" w:fill="auto"/>
          </w:tcPr>
          <w:p w14:paraId="3ECB077F" w14:textId="77777777" w:rsidR="00E658BB" w:rsidRPr="00925391" w:rsidRDefault="002C7A16" w:rsidP="00E27DC1">
            <w:pPr>
              <w:spacing w:before="60" w:after="60"/>
              <w:rPr>
                <w:rFonts w:eastAsia="Calibri" w:cs="Arial"/>
                <w:sz w:val="22"/>
                <w:szCs w:val="22"/>
                <w:lang w:val="en-NZ"/>
              </w:rPr>
            </w:pPr>
            <w:r>
              <w:rPr>
                <w:rFonts w:eastAsia="Calibri" w:cs="Arial"/>
                <w:sz w:val="22"/>
                <w:szCs w:val="22"/>
                <w:lang w:val="en-NZ"/>
              </w:rPr>
              <w:t>What is this guideline for</w:t>
            </w:r>
          </w:p>
        </w:tc>
        <w:tc>
          <w:tcPr>
            <w:tcW w:w="2210" w:type="dxa"/>
            <w:shd w:val="clear" w:color="auto" w:fill="auto"/>
          </w:tcPr>
          <w:p w14:paraId="0DEB68B5" w14:textId="77777777" w:rsidR="00E658BB" w:rsidRPr="00925391" w:rsidRDefault="00D05D5C" w:rsidP="00E27DC1">
            <w:pPr>
              <w:spacing w:before="60" w:after="60"/>
              <w:rPr>
                <w:rFonts w:eastAsia="Calibri" w:cs="Arial"/>
                <w:sz w:val="22"/>
                <w:szCs w:val="22"/>
                <w:lang w:val="en-NZ"/>
              </w:rPr>
            </w:pPr>
            <w:r w:rsidRPr="00925391">
              <w:rPr>
                <w:rFonts w:eastAsia="Calibri" w:cs="Arial"/>
                <w:sz w:val="22"/>
                <w:szCs w:val="22"/>
                <w:lang w:val="en-NZ"/>
              </w:rPr>
              <w:t xml:space="preserve">Page </w:t>
            </w:r>
            <w:r w:rsidR="00737EFA" w:rsidRPr="00925391">
              <w:rPr>
                <w:rFonts w:eastAsia="Calibri" w:cs="Arial"/>
                <w:sz w:val="22"/>
                <w:szCs w:val="22"/>
                <w:lang w:val="en-NZ"/>
              </w:rPr>
              <w:fldChar w:fldCharType="begin"/>
            </w:r>
            <w:r w:rsidR="00737EFA" w:rsidRPr="00925391">
              <w:rPr>
                <w:rFonts w:eastAsia="Calibri" w:cs="Arial"/>
                <w:sz w:val="22"/>
                <w:szCs w:val="22"/>
                <w:lang w:val="en-NZ"/>
              </w:rPr>
              <w:instrText xml:space="preserve"> PAGEREF _Ref509236238 \h </w:instrText>
            </w:r>
            <w:r w:rsidR="00737EFA" w:rsidRPr="00925391">
              <w:rPr>
                <w:rFonts w:eastAsia="Calibri" w:cs="Arial"/>
                <w:sz w:val="22"/>
                <w:szCs w:val="22"/>
                <w:lang w:val="en-NZ"/>
              </w:rPr>
            </w:r>
            <w:r w:rsidR="00737EFA" w:rsidRPr="00925391">
              <w:rPr>
                <w:rFonts w:eastAsia="Calibri" w:cs="Arial"/>
                <w:sz w:val="22"/>
                <w:szCs w:val="22"/>
                <w:lang w:val="en-NZ"/>
              </w:rPr>
              <w:fldChar w:fldCharType="separate"/>
            </w:r>
            <w:r w:rsidR="00491248">
              <w:rPr>
                <w:rFonts w:eastAsia="Calibri" w:cs="Arial"/>
                <w:noProof/>
                <w:sz w:val="22"/>
                <w:szCs w:val="22"/>
                <w:lang w:val="en-NZ"/>
              </w:rPr>
              <w:t>2</w:t>
            </w:r>
            <w:r w:rsidR="00737EFA" w:rsidRPr="00925391">
              <w:rPr>
                <w:rFonts w:eastAsia="Calibri" w:cs="Arial"/>
                <w:sz w:val="22"/>
                <w:szCs w:val="22"/>
                <w:lang w:val="en-NZ"/>
              </w:rPr>
              <w:fldChar w:fldCharType="end"/>
            </w:r>
          </w:p>
        </w:tc>
      </w:tr>
      <w:tr w:rsidR="00530D0D" w:rsidRPr="00925391" w14:paraId="117E8AC9" w14:textId="77777777" w:rsidTr="00DD5D35">
        <w:tc>
          <w:tcPr>
            <w:tcW w:w="1951" w:type="dxa"/>
            <w:shd w:val="clear" w:color="auto" w:fill="auto"/>
          </w:tcPr>
          <w:p w14:paraId="35FA1B65" w14:textId="77777777" w:rsidR="00530D0D" w:rsidRPr="00925391" w:rsidRDefault="00530D0D" w:rsidP="00E27DC1">
            <w:pPr>
              <w:spacing w:before="60" w:after="60"/>
              <w:rPr>
                <w:rFonts w:eastAsia="Calibri" w:cs="Arial"/>
                <w:sz w:val="22"/>
                <w:szCs w:val="22"/>
                <w:lang w:val="en-NZ"/>
              </w:rPr>
            </w:pPr>
          </w:p>
        </w:tc>
        <w:tc>
          <w:tcPr>
            <w:tcW w:w="5245" w:type="dxa"/>
            <w:shd w:val="clear" w:color="auto" w:fill="auto"/>
          </w:tcPr>
          <w:p w14:paraId="56F9D0ED" w14:textId="77777777" w:rsidR="00530D0D" w:rsidRPr="00925391" w:rsidRDefault="00530D0D" w:rsidP="00E27DC1">
            <w:pPr>
              <w:spacing w:before="60" w:after="60"/>
              <w:rPr>
                <w:rFonts w:eastAsia="Calibri" w:cs="Arial"/>
                <w:sz w:val="22"/>
                <w:szCs w:val="22"/>
                <w:lang w:val="en-NZ"/>
              </w:rPr>
            </w:pPr>
            <w:r w:rsidRPr="00925391">
              <w:rPr>
                <w:rFonts w:eastAsia="Calibri" w:cs="Arial"/>
                <w:sz w:val="22"/>
                <w:szCs w:val="22"/>
                <w:lang w:val="en-NZ"/>
              </w:rPr>
              <w:t>Terms used in</w:t>
            </w:r>
            <w:r w:rsidR="004705FA" w:rsidRPr="00925391">
              <w:rPr>
                <w:rFonts w:eastAsia="Calibri" w:cs="Arial"/>
                <w:sz w:val="22"/>
                <w:szCs w:val="22"/>
                <w:lang w:val="en-NZ"/>
              </w:rPr>
              <w:t xml:space="preserve"> this </w:t>
            </w:r>
            <w:r w:rsidRPr="00925391">
              <w:rPr>
                <w:rFonts w:eastAsia="Calibri" w:cs="Arial"/>
                <w:sz w:val="22"/>
                <w:szCs w:val="22"/>
                <w:lang w:val="en-NZ"/>
              </w:rPr>
              <w:t>guideline</w:t>
            </w:r>
          </w:p>
        </w:tc>
        <w:tc>
          <w:tcPr>
            <w:tcW w:w="2210" w:type="dxa"/>
            <w:shd w:val="clear" w:color="auto" w:fill="auto"/>
          </w:tcPr>
          <w:p w14:paraId="48D0E8C4" w14:textId="77777777" w:rsidR="00530D0D" w:rsidRPr="00925391" w:rsidRDefault="00530D0D" w:rsidP="00E27DC1">
            <w:pPr>
              <w:spacing w:before="60" w:after="60"/>
              <w:rPr>
                <w:rFonts w:eastAsia="Calibri" w:cs="Arial"/>
                <w:sz w:val="22"/>
                <w:szCs w:val="22"/>
                <w:lang w:val="en-NZ"/>
              </w:rPr>
            </w:pPr>
            <w:r w:rsidRPr="00925391">
              <w:rPr>
                <w:rFonts w:eastAsia="Calibri" w:cs="Arial"/>
                <w:sz w:val="22"/>
                <w:szCs w:val="22"/>
                <w:lang w:val="en-NZ"/>
              </w:rPr>
              <w:t xml:space="preserve">Page </w:t>
            </w:r>
            <w:r w:rsidR="00737EFA" w:rsidRPr="00925391">
              <w:rPr>
                <w:rFonts w:eastAsia="Calibri" w:cs="Arial"/>
                <w:sz w:val="22"/>
                <w:szCs w:val="22"/>
                <w:lang w:val="en-NZ"/>
              </w:rPr>
              <w:fldChar w:fldCharType="begin"/>
            </w:r>
            <w:r w:rsidR="00737EFA" w:rsidRPr="00925391">
              <w:rPr>
                <w:rFonts w:eastAsia="Calibri" w:cs="Arial"/>
                <w:sz w:val="22"/>
                <w:szCs w:val="22"/>
                <w:lang w:val="en-NZ"/>
              </w:rPr>
              <w:instrText xml:space="preserve"> PAGEREF _Ref509236243 \h </w:instrText>
            </w:r>
            <w:r w:rsidR="00737EFA" w:rsidRPr="00925391">
              <w:rPr>
                <w:rFonts w:eastAsia="Calibri" w:cs="Arial"/>
                <w:sz w:val="22"/>
                <w:szCs w:val="22"/>
                <w:lang w:val="en-NZ"/>
              </w:rPr>
            </w:r>
            <w:r w:rsidR="00737EFA" w:rsidRPr="00925391">
              <w:rPr>
                <w:rFonts w:eastAsia="Calibri" w:cs="Arial"/>
                <w:sz w:val="22"/>
                <w:szCs w:val="22"/>
                <w:lang w:val="en-NZ"/>
              </w:rPr>
              <w:fldChar w:fldCharType="separate"/>
            </w:r>
            <w:r w:rsidR="00491248">
              <w:rPr>
                <w:rFonts w:eastAsia="Calibri" w:cs="Arial"/>
                <w:noProof/>
                <w:sz w:val="22"/>
                <w:szCs w:val="22"/>
                <w:lang w:val="en-NZ"/>
              </w:rPr>
              <w:t>3</w:t>
            </w:r>
            <w:r w:rsidR="00737EFA" w:rsidRPr="00925391">
              <w:rPr>
                <w:rFonts w:eastAsia="Calibri" w:cs="Arial"/>
                <w:sz w:val="22"/>
                <w:szCs w:val="22"/>
                <w:lang w:val="en-NZ"/>
              </w:rPr>
              <w:fldChar w:fldCharType="end"/>
            </w:r>
          </w:p>
        </w:tc>
      </w:tr>
      <w:tr w:rsidR="0015103F" w:rsidRPr="00925391" w14:paraId="5B1473CC" w14:textId="77777777" w:rsidTr="00DD5D35">
        <w:tc>
          <w:tcPr>
            <w:tcW w:w="1951" w:type="dxa"/>
            <w:shd w:val="clear" w:color="auto" w:fill="auto"/>
          </w:tcPr>
          <w:p w14:paraId="3E9F03DB" w14:textId="77777777" w:rsidR="0015103F" w:rsidRPr="00925391" w:rsidRDefault="0015103F" w:rsidP="00E27DC1">
            <w:pPr>
              <w:spacing w:before="60" w:after="60"/>
              <w:rPr>
                <w:rFonts w:eastAsia="Calibri" w:cs="Arial"/>
                <w:sz w:val="22"/>
                <w:szCs w:val="22"/>
                <w:lang w:val="en-NZ"/>
              </w:rPr>
            </w:pPr>
            <w:r w:rsidRPr="00925391">
              <w:rPr>
                <w:rFonts w:eastAsia="Calibri" w:cs="Arial"/>
                <w:sz w:val="22"/>
                <w:szCs w:val="22"/>
                <w:lang w:val="en-NZ"/>
              </w:rPr>
              <w:t>Part 1</w:t>
            </w:r>
          </w:p>
        </w:tc>
        <w:tc>
          <w:tcPr>
            <w:tcW w:w="5245" w:type="dxa"/>
            <w:shd w:val="clear" w:color="auto" w:fill="auto"/>
          </w:tcPr>
          <w:p w14:paraId="7563C34B" w14:textId="77777777" w:rsidR="0015103F" w:rsidRPr="00925391" w:rsidRDefault="002766E9" w:rsidP="00E27DC1">
            <w:pPr>
              <w:spacing w:before="60" w:after="60"/>
              <w:rPr>
                <w:rFonts w:eastAsia="Calibri" w:cs="Arial"/>
                <w:sz w:val="22"/>
                <w:szCs w:val="22"/>
                <w:lang w:val="en-NZ"/>
              </w:rPr>
            </w:pPr>
            <w:r w:rsidRPr="00925391">
              <w:rPr>
                <w:rFonts w:eastAsia="Calibri" w:cs="Arial"/>
                <w:sz w:val="22"/>
                <w:szCs w:val="22"/>
                <w:lang w:val="en-NZ"/>
              </w:rPr>
              <w:t>Introduction</w:t>
            </w:r>
          </w:p>
        </w:tc>
        <w:tc>
          <w:tcPr>
            <w:tcW w:w="2210" w:type="dxa"/>
            <w:shd w:val="clear" w:color="auto" w:fill="auto"/>
          </w:tcPr>
          <w:p w14:paraId="0F48132E" w14:textId="77777777" w:rsidR="0015103F" w:rsidRPr="00925391" w:rsidRDefault="0015103F" w:rsidP="00E27DC1">
            <w:pPr>
              <w:spacing w:before="60" w:after="60"/>
              <w:rPr>
                <w:lang w:val="en-NZ"/>
              </w:rPr>
            </w:pPr>
            <w:r w:rsidRPr="00925391">
              <w:rPr>
                <w:rFonts w:eastAsia="Calibri" w:cs="Arial"/>
                <w:sz w:val="22"/>
                <w:szCs w:val="22"/>
                <w:lang w:val="en-NZ"/>
              </w:rPr>
              <w:t>Page</w:t>
            </w:r>
            <w:r w:rsidR="00D05D5C" w:rsidRPr="00925391">
              <w:rPr>
                <w:rFonts w:eastAsia="Calibri" w:cs="Arial"/>
                <w:sz w:val="22"/>
                <w:szCs w:val="22"/>
                <w:lang w:val="en-NZ"/>
              </w:rPr>
              <w:t xml:space="preserve"> </w:t>
            </w:r>
            <w:r w:rsidR="00737EFA" w:rsidRPr="00925391">
              <w:rPr>
                <w:rFonts w:eastAsia="Calibri" w:cs="Arial"/>
                <w:sz w:val="22"/>
                <w:szCs w:val="22"/>
                <w:lang w:val="en-NZ"/>
              </w:rPr>
              <w:fldChar w:fldCharType="begin"/>
            </w:r>
            <w:r w:rsidR="00737EFA" w:rsidRPr="00925391">
              <w:rPr>
                <w:rFonts w:eastAsia="Calibri" w:cs="Arial"/>
                <w:sz w:val="22"/>
                <w:szCs w:val="22"/>
                <w:lang w:val="en-NZ"/>
              </w:rPr>
              <w:instrText xml:space="preserve"> PAGEREF _Ref509236249 \h </w:instrText>
            </w:r>
            <w:r w:rsidR="00737EFA" w:rsidRPr="00925391">
              <w:rPr>
                <w:rFonts w:eastAsia="Calibri" w:cs="Arial"/>
                <w:sz w:val="22"/>
                <w:szCs w:val="22"/>
                <w:lang w:val="en-NZ"/>
              </w:rPr>
            </w:r>
            <w:r w:rsidR="00737EFA" w:rsidRPr="00925391">
              <w:rPr>
                <w:rFonts w:eastAsia="Calibri" w:cs="Arial"/>
                <w:sz w:val="22"/>
                <w:szCs w:val="22"/>
                <w:lang w:val="en-NZ"/>
              </w:rPr>
              <w:fldChar w:fldCharType="separate"/>
            </w:r>
            <w:r w:rsidR="00491248">
              <w:rPr>
                <w:rFonts w:eastAsia="Calibri" w:cs="Arial"/>
                <w:noProof/>
                <w:sz w:val="22"/>
                <w:szCs w:val="22"/>
                <w:lang w:val="en-NZ"/>
              </w:rPr>
              <w:t>4</w:t>
            </w:r>
            <w:r w:rsidR="00737EFA" w:rsidRPr="00925391">
              <w:rPr>
                <w:rFonts w:eastAsia="Calibri" w:cs="Arial"/>
                <w:sz w:val="22"/>
                <w:szCs w:val="22"/>
                <w:lang w:val="en-NZ"/>
              </w:rPr>
              <w:fldChar w:fldCharType="end"/>
            </w:r>
          </w:p>
        </w:tc>
      </w:tr>
      <w:tr w:rsidR="006654B3" w:rsidRPr="00925391" w14:paraId="49BC94CC" w14:textId="77777777" w:rsidTr="00DD5D35">
        <w:tc>
          <w:tcPr>
            <w:tcW w:w="1951" w:type="dxa"/>
            <w:shd w:val="clear" w:color="auto" w:fill="auto"/>
          </w:tcPr>
          <w:p w14:paraId="3AAB39C4" w14:textId="77777777" w:rsidR="006654B3" w:rsidRPr="00925391" w:rsidRDefault="006654B3" w:rsidP="00E27DC1">
            <w:pPr>
              <w:spacing w:before="60" w:after="60"/>
              <w:rPr>
                <w:rFonts w:eastAsia="Calibri" w:cs="Arial"/>
                <w:sz w:val="22"/>
                <w:szCs w:val="22"/>
                <w:lang w:val="en-NZ"/>
              </w:rPr>
            </w:pPr>
            <w:r w:rsidRPr="00925391">
              <w:rPr>
                <w:rFonts w:eastAsia="Calibri" w:cs="Arial"/>
                <w:sz w:val="22"/>
                <w:szCs w:val="22"/>
                <w:lang w:val="en-NZ"/>
              </w:rPr>
              <w:t>Part 2</w:t>
            </w:r>
          </w:p>
        </w:tc>
        <w:tc>
          <w:tcPr>
            <w:tcW w:w="5245" w:type="dxa"/>
            <w:shd w:val="clear" w:color="auto" w:fill="auto"/>
          </w:tcPr>
          <w:p w14:paraId="55D3FA2E" w14:textId="77777777" w:rsidR="006654B3" w:rsidRPr="00925391" w:rsidRDefault="002766E9" w:rsidP="00E27DC1">
            <w:pPr>
              <w:spacing w:before="60" w:after="60"/>
              <w:rPr>
                <w:rFonts w:eastAsia="Calibri" w:cs="Arial"/>
                <w:sz w:val="22"/>
                <w:szCs w:val="22"/>
                <w:lang w:val="en-NZ"/>
              </w:rPr>
            </w:pPr>
            <w:r w:rsidRPr="00925391">
              <w:rPr>
                <w:rFonts w:eastAsia="Calibri" w:cs="Arial"/>
                <w:sz w:val="22"/>
                <w:szCs w:val="22"/>
                <w:lang w:val="en-NZ"/>
              </w:rPr>
              <w:t>Identifying risk</w:t>
            </w:r>
          </w:p>
        </w:tc>
        <w:tc>
          <w:tcPr>
            <w:tcW w:w="2210" w:type="dxa"/>
            <w:shd w:val="clear" w:color="auto" w:fill="auto"/>
          </w:tcPr>
          <w:p w14:paraId="403198B8" w14:textId="77777777" w:rsidR="006654B3" w:rsidRPr="00925391" w:rsidRDefault="00D05D5C" w:rsidP="00E27DC1">
            <w:pPr>
              <w:spacing w:before="60" w:after="60"/>
              <w:rPr>
                <w:rFonts w:eastAsia="Calibri" w:cs="Arial"/>
                <w:sz w:val="22"/>
                <w:szCs w:val="22"/>
                <w:lang w:val="en-NZ"/>
              </w:rPr>
            </w:pPr>
            <w:r w:rsidRPr="00925391">
              <w:rPr>
                <w:rFonts w:eastAsia="Calibri" w:cs="Arial"/>
                <w:sz w:val="22"/>
                <w:szCs w:val="22"/>
                <w:lang w:val="en-NZ"/>
              </w:rPr>
              <w:t>Pa</w:t>
            </w:r>
            <w:r w:rsidR="002766E9" w:rsidRPr="00925391">
              <w:rPr>
                <w:rFonts w:eastAsia="Calibri" w:cs="Arial"/>
                <w:sz w:val="22"/>
                <w:szCs w:val="22"/>
                <w:lang w:val="en-NZ"/>
              </w:rPr>
              <w:t xml:space="preserve">ge </w:t>
            </w:r>
            <w:r w:rsidR="00737EFA" w:rsidRPr="00925391">
              <w:rPr>
                <w:rFonts w:eastAsia="Calibri" w:cs="Arial"/>
                <w:sz w:val="22"/>
                <w:szCs w:val="22"/>
                <w:lang w:val="en-NZ"/>
              </w:rPr>
              <w:fldChar w:fldCharType="begin"/>
            </w:r>
            <w:r w:rsidR="00737EFA" w:rsidRPr="00925391">
              <w:rPr>
                <w:rFonts w:eastAsia="Calibri" w:cs="Arial"/>
                <w:sz w:val="22"/>
                <w:szCs w:val="22"/>
                <w:lang w:val="en-NZ"/>
              </w:rPr>
              <w:instrText xml:space="preserve"> PAGEREF _Ref509236262 \h </w:instrText>
            </w:r>
            <w:r w:rsidR="00737EFA" w:rsidRPr="00925391">
              <w:rPr>
                <w:rFonts w:eastAsia="Calibri" w:cs="Arial"/>
                <w:sz w:val="22"/>
                <w:szCs w:val="22"/>
                <w:lang w:val="en-NZ"/>
              </w:rPr>
            </w:r>
            <w:r w:rsidR="00737EFA" w:rsidRPr="00925391">
              <w:rPr>
                <w:rFonts w:eastAsia="Calibri" w:cs="Arial"/>
                <w:sz w:val="22"/>
                <w:szCs w:val="22"/>
                <w:lang w:val="en-NZ"/>
              </w:rPr>
              <w:fldChar w:fldCharType="separate"/>
            </w:r>
            <w:r w:rsidR="00491248">
              <w:rPr>
                <w:rFonts w:eastAsia="Calibri" w:cs="Arial"/>
                <w:noProof/>
                <w:sz w:val="22"/>
                <w:szCs w:val="22"/>
                <w:lang w:val="en-NZ"/>
              </w:rPr>
              <w:t>7</w:t>
            </w:r>
            <w:r w:rsidR="00737EFA" w:rsidRPr="00925391">
              <w:rPr>
                <w:rFonts w:eastAsia="Calibri" w:cs="Arial"/>
                <w:sz w:val="22"/>
                <w:szCs w:val="22"/>
                <w:lang w:val="en-NZ"/>
              </w:rPr>
              <w:fldChar w:fldCharType="end"/>
            </w:r>
          </w:p>
        </w:tc>
      </w:tr>
      <w:tr w:rsidR="006654B3" w:rsidRPr="00925391" w14:paraId="11C6D058" w14:textId="77777777" w:rsidTr="00DD5D35">
        <w:tc>
          <w:tcPr>
            <w:tcW w:w="1951" w:type="dxa"/>
            <w:shd w:val="clear" w:color="auto" w:fill="auto"/>
          </w:tcPr>
          <w:p w14:paraId="62A53AA9" w14:textId="77777777" w:rsidR="006654B3" w:rsidRPr="00925391" w:rsidRDefault="006654B3" w:rsidP="00E27DC1">
            <w:pPr>
              <w:spacing w:before="60" w:after="60"/>
              <w:rPr>
                <w:rFonts w:eastAsia="Calibri" w:cs="Arial"/>
                <w:sz w:val="22"/>
                <w:szCs w:val="22"/>
                <w:lang w:val="en-NZ"/>
              </w:rPr>
            </w:pPr>
            <w:r w:rsidRPr="00925391">
              <w:rPr>
                <w:rFonts w:eastAsia="Calibri" w:cs="Arial"/>
                <w:sz w:val="22"/>
                <w:szCs w:val="22"/>
                <w:lang w:val="en-NZ"/>
              </w:rPr>
              <w:t>Part 3</w:t>
            </w:r>
          </w:p>
        </w:tc>
        <w:tc>
          <w:tcPr>
            <w:tcW w:w="5245" w:type="dxa"/>
            <w:shd w:val="clear" w:color="auto" w:fill="auto"/>
          </w:tcPr>
          <w:p w14:paraId="77C85C74" w14:textId="77777777" w:rsidR="006654B3" w:rsidRPr="00925391" w:rsidRDefault="002766E9" w:rsidP="00E27DC1">
            <w:pPr>
              <w:spacing w:before="60" w:after="60"/>
              <w:rPr>
                <w:rFonts w:eastAsia="Calibri" w:cs="Arial"/>
                <w:sz w:val="22"/>
                <w:szCs w:val="22"/>
                <w:lang w:val="en-NZ"/>
              </w:rPr>
            </w:pPr>
            <w:r w:rsidRPr="00925391">
              <w:rPr>
                <w:rFonts w:eastAsia="Calibri" w:cs="Arial"/>
                <w:sz w:val="22"/>
                <w:szCs w:val="22"/>
                <w:lang w:val="en-NZ"/>
              </w:rPr>
              <w:t>Assessing risk</w:t>
            </w:r>
          </w:p>
        </w:tc>
        <w:tc>
          <w:tcPr>
            <w:tcW w:w="2210" w:type="dxa"/>
            <w:shd w:val="clear" w:color="auto" w:fill="auto"/>
          </w:tcPr>
          <w:p w14:paraId="5C8FC008" w14:textId="77777777" w:rsidR="006654B3" w:rsidRPr="00925391" w:rsidRDefault="002766E9" w:rsidP="00E27DC1">
            <w:pPr>
              <w:spacing w:before="60" w:after="60"/>
              <w:rPr>
                <w:rFonts w:eastAsia="Calibri" w:cs="Arial"/>
                <w:sz w:val="22"/>
                <w:szCs w:val="22"/>
                <w:lang w:val="en-NZ"/>
              </w:rPr>
            </w:pPr>
            <w:r w:rsidRPr="00925391">
              <w:rPr>
                <w:rFonts w:eastAsia="Calibri" w:cs="Arial"/>
                <w:sz w:val="22"/>
                <w:szCs w:val="22"/>
                <w:lang w:val="en-NZ"/>
              </w:rPr>
              <w:t xml:space="preserve">Page </w:t>
            </w:r>
            <w:r w:rsidR="00737EFA" w:rsidRPr="00925391">
              <w:rPr>
                <w:rFonts w:eastAsia="Calibri" w:cs="Arial"/>
                <w:sz w:val="22"/>
                <w:szCs w:val="22"/>
                <w:lang w:val="en-NZ"/>
              </w:rPr>
              <w:fldChar w:fldCharType="begin"/>
            </w:r>
            <w:r w:rsidR="00737EFA" w:rsidRPr="00925391">
              <w:rPr>
                <w:rFonts w:eastAsia="Calibri" w:cs="Arial"/>
                <w:sz w:val="22"/>
                <w:szCs w:val="22"/>
                <w:lang w:val="en-NZ"/>
              </w:rPr>
              <w:instrText xml:space="preserve"> PAGEREF _Ref509236279 \h </w:instrText>
            </w:r>
            <w:r w:rsidR="00737EFA" w:rsidRPr="00925391">
              <w:rPr>
                <w:rFonts w:eastAsia="Calibri" w:cs="Arial"/>
                <w:sz w:val="22"/>
                <w:szCs w:val="22"/>
                <w:lang w:val="en-NZ"/>
              </w:rPr>
            </w:r>
            <w:r w:rsidR="00737EFA" w:rsidRPr="00925391">
              <w:rPr>
                <w:rFonts w:eastAsia="Calibri" w:cs="Arial"/>
                <w:sz w:val="22"/>
                <w:szCs w:val="22"/>
                <w:lang w:val="en-NZ"/>
              </w:rPr>
              <w:fldChar w:fldCharType="separate"/>
            </w:r>
            <w:r w:rsidR="00491248">
              <w:rPr>
                <w:rFonts w:eastAsia="Calibri" w:cs="Arial"/>
                <w:noProof/>
                <w:sz w:val="22"/>
                <w:szCs w:val="22"/>
                <w:lang w:val="en-NZ"/>
              </w:rPr>
              <w:t>11</w:t>
            </w:r>
            <w:r w:rsidR="00737EFA" w:rsidRPr="00925391">
              <w:rPr>
                <w:rFonts w:eastAsia="Calibri" w:cs="Arial"/>
                <w:sz w:val="22"/>
                <w:szCs w:val="22"/>
                <w:lang w:val="en-NZ"/>
              </w:rPr>
              <w:fldChar w:fldCharType="end"/>
            </w:r>
          </w:p>
        </w:tc>
      </w:tr>
      <w:tr w:rsidR="006654B3" w:rsidRPr="00925391" w14:paraId="3D8AB158" w14:textId="77777777" w:rsidTr="00DD5D35">
        <w:tc>
          <w:tcPr>
            <w:tcW w:w="1951" w:type="dxa"/>
            <w:shd w:val="clear" w:color="auto" w:fill="auto"/>
          </w:tcPr>
          <w:p w14:paraId="133386DB" w14:textId="77777777" w:rsidR="006654B3" w:rsidRPr="00925391" w:rsidRDefault="006654B3" w:rsidP="00E27DC1">
            <w:pPr>
              <w:spacing w:before="60" w:after="60"/>
              <w:rPr>
                <w:rFonts w:eastAsia="Calibri" w:cs="Arial"/>
                <w:sz w:val="22"/>
                <w:szCs w:val="22"/>
                <w:lang w:val="en-NZ"/>
              </w:rPr>
            </w:pPr>
            <w:r w:rsidRPr="00925391">
              <w:rPr>
                <w:rFonts w:eastAsia="Calibri" w:cs="Arial"/>
                <w:sz w:val="22"/>
                <w:szCs w:val="22"/>
                <w:lang w:val="en-NZ"/>
              </w:rPr>
              <w:t>Part 4</w:t>
            </w:r>
          </w:p>
        </w:tc>
        <w:tc>
          <w:tcPr>
            <w:tcW w:w="5245" w:type="dxa"/>
            <w:shd w:val="clear" w:color="auto" w:fill="auto"/>
          </w:tcPr>
          <w:p w14:paraId="3AC92C97" w14:textId="77777777" w:rsidR="006654B3" w:rsidRPr="00925391" w:rsidRDefault="002766E9" w:rsidP="00E27DC1">
            <w:pPr>
              <w:spacing w:before="60" w:after="60"/>
              <w:rPr>
                <w:rFonts w:eastAsia="Calibri" w:cs="Arial"/>
                <w:sz w:val="22"/>
                <w:szCs w:val="22"/>
                <w:lang w:val="en-NZ"/>
              </w:rPr>
            </w:pPr>
            <w:r w:rsidRPr="00925391">
              <w:rPr>
                <w:rFonts w:eastAsia="Calibri" w:cs="Arial"/>
                <w:sz w:val="22"/>
                <w:szCs w:val="22"/>
                <w:lang w:val="en-NZ"/>
              </w:rPr>
              <w:t>Applying a risk assessment</w:t>
            </w:r>
          </w:p>
        </w:tc>
        <w:tc>
          <w:tcPr>
            <w:tcW w:w="2210" w:type="dxa"/>
            <w:shd w:val="clear" w:color="auto" w:fill="auto"/>
          </w:tcPr>
          <w:p w14:paraId="52C07D10" w14:textId="77777777" w:rsidR="006654B3" w:rsidRPr="00925391" w:rsidRDefault="002766E9" w:rsidP="00E27DC1">
            <w:pPr>
              <w:spacing w:before="60" w:after="60"/>
              <w:rPr>
                <w:rFonts w:eastAsia="Calibri" w:cs="Arial"/>
                <w:sz w:val="22"/>
                <w:szCs w:val="22"/>
                <w:lang w:val="en-NZ"/>
              </w:rPr>
            </w:pPr>
            <w:r w:rsidRPr="00925391">
              <w:rPr>
                <w:rFonts w:eastAsia="Calibri" w:cs="Arial"/>
                <w:sz w:val="22"/>
                <w:szCs w:val="22"/>
                <w:lang w:val="en-NZ"/>
              </w:rPr>
              <w:t xml:space="preserve">Page </w:t>
            </w:r>
            <w:r w:rsidR="00737EFA" w:rsidRPr="00925391">
              <w:rPr>
                <w:rFonts w:eastAsia="Calibri" w:cs="Arial"/>
                <w:sz w:val="22"/>
                <w:szCs w:val="22"/>
                <w:lang w:val="en-NZ"/>
              </w:rPr>
              <w:fldChar w:fldCharType="begin"/>
            </w:r>
            <w:r w:rsidR="00737EFA" w:rsidRPr="00925391">
              <w:rPr>
                <w:rFonts w:eastAsia="Calibri" w:cs="Arial"/>
                <w:sz w:val="22"/>
                <w:szCs w:val="22"/>
                <w:lang w:val="en-NZ"/>
              </w:rPr>
              <w:instrText xml:space="preserve"> PAGEREF _Ref509236285 \h </w:instrText>
            </w:r>
            <w:r w:rsidR="00737EFA" w:rsidRPr="00925391">
              <w:rPr>
                <w:rFonts w:eastAsia="Calibri" w:cs="Arial"/>
                <w:sz w:val="22"/>
                <w:szCs w:val="22"/>
                <w:lang w:val="en-NZ"/>
              </w:rPr>
            </w:r>
            <w:r w:rsidR="00737EFA" w:rsidRPr="00925391">
              <w:rPr>
                <w:rFonts w:eastAsia="Calibri" w:cs="Arial"/>
                <w:sz w:val="22"/>
                <w:szCs w:val="22"/>
                <w:lang w:val="en-NZ"/>
              </w:rPr>
              <w:fldChar w:fldCharType="separate"/>
            </w:r>
            <w:r w:rsidR="00491248">
              <w:rPr>
                <w:rFonts w:eastAsia="Calibri" w:cs="Arial"/>
                <w:noProof/>
                <w:sz w:val="22"/>
                <w:szCs w:val="22"/>
                <w:lang w:val="en-NZ"/>
              </w:rPr>
              <w:t>13</w:t>
            </w:r>
            <w:r w:rsidR="00737EFA" w:rsidRPr="00925391">
              <w:rPr>
                <w:rFonts w:eastAsia="Calibri" w:cs="Arial"/>
                <w:sz w:val="22"/>
                <w:szCs w:val="22"/>
                <w:lang w:val="en-NZ"/>
              </w:rPr>
              <w:fldChar w:fldCharType="end"/>
            </w:r>
          </w:p>
        </w:tc>
      </w:tr>
      <w:tr w:rsidR="0015103F" w:rsidRPr="00925391" w14:paraId="39A4C6D8" w14:textId="77777777" w:rsidTr="00DD5D35">
        <w:tc>
          <w:tcPr>
            <w:tcW w:w="1951" w:type="dxa"/>
            <w:shd w:val="clear" w:color="auto" w:fill="auto"/>
          </w:tcPr>
          <w:p w14:paraId="0CC25157" w14:textId="77777777" w:rsidR="0015103F" w:rsidRPr="00925391" w:rsidRDefault="006654B3" w:rsidP="00E27DC1">
            <w:pPr>
              <w:spacing w:before="60" w:after="60"/>
              <w:rPr>
                <w:rFonts w:eastAsia="Calibri" w:cs="Arial"/>
                <w:sz w:val="22"/>
                <w:szCs w:val="22"/>
                <w:lang w:val="en-NZ"/>
              </w:rPr>
            </w:pPr>
            <w:r w:rsidRPr="00925391">
              <w:rPr>
                <w:rFonts w:eastAsia="Calibri" w:cs="Arial"/>
                <w:sz w:val="22"/>
                <w:szCs w:val="22"/>
                <w:lang w:val="en-NZ"/>
              </w:rPr>
              <w:t>Part 5</w:t>
            </w:r>
          </w:p>
        </w:tc>
        <w:tc>
          <w:tcPr>
            <w:tcW w:w="5245" w:type="dxa"/>
            <w:shd w:val="clear" w:color="auto" w:fill="auto"/>
          </w:tcPr>
          <w:p w14:paraId="15B73E51" w14:textId="77777777" w:rsidR="0015103F" w:rsidRPr="00925391" w:rsidRDefault="002766E9" w:rsidP="00E27DC1">
            <w:pPr>
              <w:spacing w:before="60" w:after="60"/>
              <w:rPr>
                <w:rFonts w:eastAsia="Calibri" w:cs="Arial"/>
                <w:sz w:val="22"/>
                <w:szCs w:val="22"/>
                <w:lang w:val="en-NZ"/>
              </w:rPr>
            </w:pPr>
            <w:r w:rsidRPr="00925391">
              <w:rPr>
                <w:rFonts w:eastAsia="Calibri" w:cs="Arial"/>
                <w:sz w:val="22"/>
                <w:szCs w:val="22"/>
                <w:lang w:val="en-NZ"/>
              </w:rPr>
              <w:t>Review and audit of risk assessment</w:t>
            </w:r>
          </w:p>
        </w:tc>
        <w:tc>
          <w:tcPr>
            <w:tcW w:w="2210" w:type="dxa"/>
            <w:shd w:val="clear" w:color="auto" w:fill="auto"/>
          </w:tcPr>
          <w:p w14:paraId="31DE5662" w14:textId="77777777" w:rsidR="0015103F" w:rsidRPr="00925391" w:rsidRDefault="002766E9" w:rsidP="00E27DC1">
            <w:pPr>
              <w:spacing w:before="60" w:after="60"/>
              <w:rPr>
                <w:lang w:val="en-NZ"/>
              </w:rPr>
            </w:pPr>
            <w:r w:rsidRPr="00925391">
              <w:rPr>
                <w:rFonts w:eastAsia="Calibri" w:cs="Arial"/>
                <w:sz w:val="22"/>
                <w:szCs w:val="22"/>
                <w:lang w:val="en-NZ"/>
              </w:rPr>
              <w:t xml:space="preserve">Page </w:t>
            </w:r>
            <w:r w:rsidR="00737EFA" w:rsidRPr="00925391">
              <w:rPr>
                <w:rFonts w:eastAsia="Calibri" w:cs="Arial"/>
                <w:sz w:val="22"/>
                <w:szCs w:val="22"/>
                <w:lang w:val="en-NZ"/>
              </w:rPr>
              <w:fldChar w:fldCharType="begin"/>
            </w:r>
            <w:r w:rsidR="00737EFA" w:rsidRPr="00925391">
              <w:rPr>
                <w:rFonts w:eastAsia="Calibri" w:cs="Arial"/>
                <w:sz w:val="22"/>
                <w:szCs w:val="22"/>
                <w:lang w:val="en-NZ"/>
              </w:rPr>
              <w:instrText xml:space="preserve"> PAGEREF _Ref509236295 \h </w:instrText>
            </w:r>
            <w:r w:rsidR="00737EFA" w:rsidRPr="00925391">
              <w:rPr>
                <w:rFonts w:eastAsia="Calibri" w:cs="Arial"/>
                <w:sz w:val="22"/>
                <w:szCs w:val="22"/>
                <w:lang w:val="en-NZ"/>
              </w:rPr>
            </w:r>
            <w:r w:rsidR="00737EFA" w:rsidRPr="00925391">
              <w:rPr>
                <w:rFonts w:eastAsia="Calibri" w:cs="Arial"/>
                <w:sz w:val="22"/>
                <w:szCs w:val="22"/>
                <w:lang w:val="en-NZ"/>
              </w:rPr>
              <w:fldChar w:fldCharType="separate"/>
            </w:r>
            <w:r w:rsidR="00491248">
              <w:rPr>
                <w:rFonts w:eastAsia="Calibri" w:cs="Arial"/>
                <w:noProof/>
                <w:sz w:val="22"/>
                <w:szCs w:val="22"/>
                <w:lang w:val="en-NZ"/>
              </w:rPr>
              <w:t>14</w:t>
            </w:r>
            <w:r w:rsidR="00737EFA" w:rsidRPr="00925391">
              <w:rPr>
                <w:rFonts w:eastAsia="Calibri" w:cs="Arial"/>
                <w:sz w:val="22"/>
                <w:szCs w:val="22"/>
                <w:lang w:val="en-NZ"/>
              </w:rPr>
              <w:fldChar w:fldCharType="end"/>
            </w:r>
          </w:p>
        </w:tc>
      </w:tr>
      <w:tr w:rsidR="009219D5" w:rsidRPr="00925391" w14:paraId="05B2E978" w14:textId="77777777" w:rsidTr="00DD5D35">
        <w:tc>
          <w:tcPr>
            <w:tcW w:w="1951" w:type="dxa"/>
            <w:shd w:val="clear" w:color="auto" w:fill="auto"/>
          </w:tcPr>
          <w:p w14:paraId="016D0CC3" w14:textId="77777777" w:rsidR="009219D5" w:rsidRPr="00925391" w:rsidRDefault="009219D5" w:rsidP="00E27DC1">
            <w:pPr>
              <w:spacing w:before="60" w:after="60"/>
              <w:rPr>
                <w:rFonts w:eastAsia="Calibri" w:cs="Arial"/>
                <w:sz w:val="22"/>
                <w:szCs w:val="22"/>
                <w:lang w:val="en-NZ"/>
              </w:rPr>
            </w:pPr>
            <w:r w:rsidRPr="00925391">
              <w:rPr>
                <w:rFonts w:eastAsia="Calibri" w:cs="Arial"/>
                <w:sz w:val="22"/>
                <w:szCs w:val="22"/>
                <w:lang w:val="en-NZ"/>
              </w:rPr>
              <w:t>Part 6</w:t>
            </w:r>
          </w:p>
        </w:tc>
        <w:tc>
          <w:tcPr>
            <w:tcW w:w="5245" w:type="dxa"/>
            <w:shd w:val="clear" w:color="auto" w:fill="auto"/>
          </w:tcPr>
          <w:p w14:paraId="4F8F4278" w14:textId="77777777" w:rsidR="009219D5" w:rsidRPr="00925391" w:rsidRDefault="00666D92" w:rsidP="00E27DC1">
            <w:pPr>
              <w:spacing w:before="60" w:after="60"/>
              <w:rPr>
                <w:rFonts w:eastAsia="Calibri" w:cs="Arial"/>
                <w:sz w:val="22"/>
                <w:szCs w:val="22"/>
                <w:lang w:val="en-NZ"/>
              </w:rPr>
            </w:pPr>
            <w:r w:rsidRPr="00925391">
              <w:rPr>
                <w:rFonts w:eastAsia="Calibri" w:cs="Arial"/>
                <w:sz w:val="22"/>
                <w:szCs w:val="22"/>
                <w:lang w:val="en-NZ"/>
              </w:rPr>
              <w:t>List of abbreviations</w:t>
            </w:r>
          </w:p>
        </w:tc>
        <w:tc>
          <w:tcPr>
            <w:tcW w:w="2210" w:type="dxa"/>
            <w:shd w:val="clear" w:color="auto" w:fill="auto"/>
          </w:tcPr>
          <w:p w14:paraId="45F5E730" w14:textId="77777777" w:rsidR="009219D5" w:rsidRPr="00925391" w:rsidRDefault="002766E9" w:rsidP="00E27DC1">
            <w:pPr>
              <w:spacing w:before="60" w:after="60"/>
              <w:rPr>
                <w:rFonts w:eastAsia="Calibri" w:cs="Arial"/>
                <w:sz w:val="22"/>
                <w:szCs w:val="22"/>
                <w:lang w:val="en-NZ"/>
              </w:rPr>
            </w:pPr>
            <w:r w:rsidRPr="00925391">
              <w:rPr>
                <w:rFonts w:eastAsia="Calibri" w:cs="Arial"/>
                <w:sz w:val="22"/>
                <w:szCs w:val="22"/>
                <w:lang w:val="en-NZ"/>
              </w:rPr>
              <w:t xml:space="preserve">Page </w:t>
            </w:r>
            <w:r w:rsidR="00737EFA" w:rsidRPr="00925391">
              <w:rPr>
                <w:rFonts w:eastAsia="Calibri" w:cs="Arial"/>
                <w:sz w:val="22"/>
                <w:szCs w:val="22"/>
                <w:lang w:val="en-NZ"/>
              </w:rPr>
              <w:fldChar w:fldCharType="begin"/>
            </w:r>
            <w:r w:rsidR="00737EFA" w:rsidRPr="00925391">
              <w:rPr>
                <w:rFonts w:eastAsia="Calibri" w:cs="Arial"/>
                <w:sz w:val="22"/>
                <w:szCs w:val="22"/>
                <w:lang w:val="en-NZ"/>
              </w:rPr>
              <w:instrText xml:space="preserve"> PAGEREF _Ref509236302 \h </w:instrText>
            </w:r>
            <w:r w:rsidR="00737EFA" w:rsidRPr="00925391">
              <w:rPr>
                <w:rFonts w:eastAsia="Calibri" w:cs="Arial"/>
                <w:sz w:val="22"/>
                <w:szCs w:val="22"/>
                <w:lang w:val="en-NZ"/>
              </w:rPr>
            </w:r>
            <w:r w:rsidR="00737EFA" w:rsidRPr="00925391">
              <w:rPr>
                <w:rFonts w:eastAsia="Calibri" w:cs="Arial"/>
                <w:sz w:val="22"/>
                <w:szCs w:val="22"/>
                <w:lang w:val="en-NZ"/>
              </w:rPr>
              <w:fldChar w:fldCharType="separate"/>
            </w:r>
            <w:r w:rsidR="00491248">
              <w:rPr>
                <w:rFonts w:eastAsia="Calibri" w:cs="Arial"/>
                <w:noProof/>
                <w:sz w:val="22"/>
                <w:szCs w:val="22"/>
                <w:lang w:val="en-NZ"/>
              </w:rPr>
              <w:t>15</w:t>
            </w:r>
            <w:r w:rsidR="00737EFA" w:rsidRPr="00925391">
              <w:rPr>
                <w:rFonts w:eastAsia="Calibri" w:cs="Arial"/>
                <w:sz w:val="22"/>
                <w:szCs w:val="22"/>
                <w:lang w:val="en-NZ"/>
              </w:rPr>
              <w:fldChar w:fldCharType="end"/>
            </w:r>
          </w:p>
        </w:tc>
      </w:tr>
    </w:tbl>
    <w:p w14:paraId="3BB34995" w14:textId="77777777" w:rsidR="00582E4D" w:rsidRPr="00925391" w:rsidRDefault="00582E4D" w:rsidP="00A7029F">
      <w:pPr>
        <w:pStyle w:val="Heading2"/>
        <w:rPr>
          <w:rFonts w:cs="Arial"/>
          <w:sz w:val="32"/>
          <w:szCs w:val="32"/>
          <w:lang w:val="en-NZ"/>
        </w:rPr>
      </w:pPr>
    </w:p>
    <w:p w14:paraId="681A9A50" w14:textId="77777777" w:rsidR="00747DD2" w:rsidRPr="00925391" w:rsidRDefault="00582E4D" w:rsidP="00E27DC1">
      <w:pPr>
        <w:pStyle w:val="Heading1"/>
        <w:rPr>
          <w:lang w:val="en-NZ"/>
        </w:rPr>
      </w:pPr>
      <w:r w:rsidRPr="00925391">
        <w:rPr>
          <w:lang w:val="en-NZ"/>
        </w:rPr>
        <w:br w:type="page"/>
      </w:r>
      <w:bookmarkStart w:id="2" w:name="_Ref509236249"/>
      <w:r w:rsidR="004705FA" w:rsidRPr="00925391">
        <w:rPr>
          <w:lang w:val="en-NZ"/>
        </w:rPr>
        <w:lastRenderedPageBreak/>
        <w:t xml:space="preserve">Part 1: </w:t>
      </w:r>
      <w:r w:rsidR="002766E9" w:rsidRPr="00925391">
        <w:rPr>
          <w:lang w:val="en-NZ"/>
        </w:rPr>
        <w:t>Introduction</w:t>
      </w:r>
      <w:bookmarkEnd w:id="2"/>
      <w:r w:rsidR="00F43EE9" w:rsidRPr="00925391">
        <w:rPr>
          <w:lang w:val="en-NZ"/>
        </w:rPr>
        <w:t xml:space="preserve"> </w:t>
      </w:r>
    </w:p>
    <w:p w14:paraId="5F9EF050" w14:textId="77777777" w:rsidR="002766E9" w:rsidRPr="00925391" w:rsidRDefault="002766E9" w:rsidP="00666D92">
      <w:pPr>
        <w:pStyle w:val="Heading2"/>
        <w:rPr>
          <w:lang w:val="en-NZ"/>
        </w:rPr>
      </w:pPr>
      <w:r w:rsidRPr="00925391">
        <w:rPr>
          <w:lang w:val="en-NZ"/>
        </w:rPr>
        <w:t>The Anti-Money Laundering and Countering Financing of Terrorism Act 2009</w:t>
      </w:r>
    </w:p>
    <w:p w14:paraId="6F761390" w14:textId="77777777" w:rsidR="002766E9" w:rsidRPr="00925391" w:rsidRDefault="002766E9" w:rsidP="00A7029F">
      <w:pPr>
        <w:pStyle w:val="Numbers1"/>
      </w:pPr>
      <w:r w:rsidRPr="00925391">
        <w:t>The purposes of the Act are</w:t>
      </w:r>
      <w:r w:rsidR="00C420FD" w:rsidRPr="00925391">
        <w:t xml:space="preserve"> to</w:t>
      </w:r>
      <w:r w:rsidRPr="00925391">
        <w:t>:</w:t>
      </w:r>
    </w:p>
    <w:p w14:paraId="1FD967BC" w14:textId="77777777" w:rsidR="002766E9" w:rsidRPr="00925391" w:rsidRDefault="00AE4F57" w:rsidP="00E27DC1">
      <w:pPr>
        <w:pStyle w:val="Bullet1"/>
      </w:pPr>
      <w:r w:rsidRPr="00925391">
        <w:t xml:space="preserve">detect </w:t>
      </w:r>
      <w:r w:rsidR="00DC620A" w:rsidRPr="00925391">
        <w:t>and deter money laundering (ML) and terrorism financing (TF)</w:t>
      </w:r>
    </w:p>
    <w:p w14:paraId="726D6AD7" w14:textId="77777777" w:rsidR="002766E9" w:rsidRPr="00925391" w:rsidRDefault="00AE4F57" w:rsidP="00E27DC1">
      <w:pPr>
        <w:pStyle w:val="Bullet1"/>
      </w:pPr>
      <w:r w:rsidRPr="00925391">
        <w:t xml:space="preserve">maintain </w:t>
      </w:r>
      <w:r w:rsidR="002766E9" w:rsidRPr="00925391">
        <w:t>and enhance New Zealand’s international reputation by adopting, where appropriate in the New Zealand context, re</w:t>
      </w:r>
      <w:r w:rsidR="00C420FD" w:rsidRPr="00925391">
        <w:t>commendations issued by the Financial Action Task Force (FATF)</w:t>
      </w:r>
    </w:p>
    <w:p w14:paraId="6AA8A83F" w14:textId="77777777" w:rsidR="002766E9" w:rsidRPr="00925391" w:rsidRDefault="00AE4F57" w:rsidP="00E27DC1">
      <w:pPr>
        <w:pStyle w:val="Bullet1"/>
      </w:pPr>
      <w:r w:rsidRPr="00925391">
        <w:t xml:space="preserve">contribute </w:t>
      </w:r>
      <w:r w:rsidR="002766E9" w:rsidRPr="00925391">
        <w:t>to public confidence in the financial system</w:t>
      </w:r>
      <w:r w:rsidRPr="00925391">
        <w:t>.</w:t>
      </w:r>
    </w:p>
    <w:p w14:paraId="634B79B0" w14:textId="77777777" w:rsidR="00C420FD" w:rsidRPr="00925391" w:rsidRDefault="00C420FD" w:rsidP="00A7029F">
      <w:pPr>
        <w:pStyle w:val="Numbers1"/>
        <w:numPr>
          <w:ilvl w:val="0"/>
          <w:numId w:val="0"/>
        </w:numPr>
        <w:ind w:left="942"/>
      </w:pPr>
    </w:p>
    <w:p w14:paraId="618837FE" w14:textId="77777777" w:rsidR="003C3376" w:rsidRPr="00925391" w:rsidRDefault="003C3376" w:rsidP="00BD34AF">
      <w:pPr>
        <w:pStyle w:val="Heading2"/>
        <w:rPr>
          <w:lang w:val="en-NZ"/>
        </w:rPr>
      </w:pPr>
      <w:r w:rsidRPr="00925391">
        <w:rPr>
          <w:lang w:val="en-NZ"/>
        </w:rPr>
        <w:t>What you have to do</w:t>
      </w:r>
    </w:p>
    <w:p w14:paraId="41D8EA0F" w14:textId="77777777" w:rsidR="003C3376" w:rsidRPr="00925391" w:rsidRDefault="003C3376" w:rsidP="00A7029F">
      <w:pPr>
        <w:pStyle w:val="Numbers1"/>
      </w:pPr>
      <w:r w:rsidRPr="00925391">
        <w:rPr>
          <w:rFonts w:eastAsia="Calibri"/>
        </w:rPr>
        <w:t>The</w:t>
      </w:r>
      <w:r w:rsidRPr="00925391">
        <w:t xml:space="preserve"> first things you </w:t>
      </w:r>
      <w:r w:rsidR="00E27DC1" w:rsidRPr="00925391">
        <w:t>should</w:t>
      </w:r>
      <w:r w:rsidR="00925391" w:rsidRPr="00925391">
        <w:t xml:space="preserve"> </w:t>
      </w:r>
      <w:r w:rsidRPr="00925391">
        <w:t>do as part of your obligations under the Act are:</w:t>
      </w:r>
    </w:p>
    <w:p w14:paraId="399812AC" w14:textId="77777777" w:rsidR="003C3376" w:rsidRPr="00925391" w:rsidRDefault="00AE4F57" w:rsidP="00E27DC1">
      <w:pPr>
        <w:pStyle w:val="Bullet1"/>
      </w:pPr>
      <w:r w:rsidRPr="00925391">
        <w:t xml:space="preserve">appoint </w:t>
      </w:r>
      <w:r w:rsidR="003C3376" w:rsidRPr="00925391">
        <w:t>a</w:t>
      </w:r>
      <w:r w:rsidR="00A37470" w:rsidRPr="00925391">
        <w:t>n AML/CFT</w:t>
      </w:r>
      <w:r w:rsidR="003C3376" w:rsidRPr="00925391">
        <w:t xml:space="preserve"> compliance officer</w:t>
      </w:r>
      <w:r w:rsidR="00A37470" w:rsidRPr="00925391">
        <w:t xml:space="preserve"> (compliance officer)</w:t>
      </w:r>
    </w:p>
    <w:p w14:paraId="1A11266E" w14:textId="77777777" w:rsidR="003C3376" w:rsidRPr="00925391" w:rsidRDefault="00A53541" w:rsidP="00E27DC1">
      <w:pPr>
        <w:pStyle w:val="Bullet1"/>
      </w:pPr>
      <w:r w:rsidRPr="00925391">
        <w:t xml:space="preserve">conduct </w:t>
      </w:r>
      <w:r w:rsidR="003C3376" w:rsidRPr="00925391">
        <w:t>a risk assessment</w:t>
      </w:r>
      <w:r w:rsidR="00B31D3A" w:rsidRPr="00925391">
        <w:t xml:space="preserve"> to ide</w:t>
      </w:r>
      <w:r w:rsidR="00724050" w:rsidRPr="00925391">
        <w:t>ntify and determine the ML/TF</w:t>
      </w:r>
      <w:r w:rsidR="00B31D3A" w:rsidRPr="00925391">
        <w:t xml:space="preserve"> risk</w:t>
      </w:r>
      <w:r w:rsidR="00724050" w:rsidRPr="00925391">
        <w:t>s</w:t>
      </w:r>
      <w:r w:rsidR="00B31D3A" w:rsidRPr="00925391">
        <w:t xml:space="preserve"> you may encounter</w:t>
      </w:r>
      <w:r w:rsidR="00E830C1" w:rsidRPr="00925391">
        <w:t xml:space="preserve"> in the course of your business</w:t>
      </w:r>
    </w:p>
    <w:p w14:paraId="1EFC0A8D" w14:textId="77777777" w:rsidR="003C3376" w:rsidRPr="00925391" w:rsidRDefault="00AE4F57" w:rsidP="00E27DC1">
      <w:pPr>
        <w:pStyle w:val="Bullet1"/>
      </w:pPr>
      <w:r w:rsidRPr="00925391">
        <w:t xml:space="preserve">develop </w:t>
      </w:r>
      <w:r w:rsidR="00B31D3A" w:rsidRPr="00925391">
        <w:t xml:space="preserve">and implement a </w:t>
      </w:r>
      <w:r w:rsidR="00A37470" w:rsidRPr="00925391">
        <w:t>programme</w:t>
      </w:r>
      <w:r w:rsidR="00B31D3A" w:rsidRPr="00925391">
        <w:t xml:space="preserve"> containing the procedures, policies and controls used to manage</w:t>
      </w:r>
      <w:r w:rsidR="00724050" w:rsidRPr="00925391">
        <w:t xml:space="preserve"> and mitigate</w:t>
      </w:r>
      <w:r w:rsidR="00B31D3A" w:rsidRPr="00925391">
        <w:t xml:space="preserve"> those risks</w:t>
      </w:r>
      <w:r w:rsidR="00A207F1" w:rsidRPr="00925391">
        <w:t>.</w:t>
      </w:r>
    </w:p>
    <w:p w14:paraId="462D8CBA" w14:textId="77777777" w:rsidR="003C3376" w:rsidRPr="00925391" w:rsidRDefault="003C3376" w:rsidP="00A7029F">
      <w:pPr>
        <w:pStyle w:val="Numbers1"/>
        <w:numPr>
          <w:ilvl w:val="0"/>
          <w:numId w:val="0"/>
        </w:numPr>
      </w:pPr>
    </w:p>
    <w:p w14:paraId="5C7C9CAD" w14:textId="77777777" w:rsidR="00C420FD" w:rsidRPr="00925391" w:rsidRDefault="00C420FD" w:rsidP="00BD34AF">
      <w:pPr>
        <w:pStyle w:val="Heading2"/>
        <w:rPr>
          <w:lang w:val="en-NZ"/>
        </w:rPr>
      </w:pPr>
      <w:r w:rsidRPr="00925391">
        <w:rPr>
          <w:lang w:val="en-NZ"/>
        </w:rPr>
        <w:t xml:space="preserve">Risk </w:t>
      </w:r>
      <w:r w:rsidR="00523237" w:rsidRPr="00925391">
        <w:rPr>
          <w:lang w:val="en-NZ"/>
        </w:rPr>
        <w:t>a</w:t>
      </w:r>
      <w:r w:rsidRPr="00925391">
        <w:rPr>
          <w:lang w:val="en-NZ"/>
        </w:rPr>
        <w:t>ssessment</w:t>
      </w:r>
    </w:p>
    <w:p w14:paraId="33938246" w14:textId="77777777" w:rsidR="00C420FD" w:rsidRPr="00925391" w:rsidRDefault="00C420FD" w:rsidP="00A7029F">
      <w:pPr>
        <w:pStyle w:val="Numbers1"/>
        <w:rPr>
          <w:rFonts w:eastAsia="Calibri"/>
        </w:rPr>
      </w:pPr>
      <w:r w:rsidRPr="00925391">
        <w:rPr>
          <w:rFonts w:eastAsia="Calibri"/>
        </w:rPr>
        <w:t xml:space="preserve">A core </w:t>
      </w:r>
      <w:r w:rsidR="00B31D3A" w:rsidRPr="00925391">
        <w:rPr>
          <w:rFonts w:eastAsia="Calibri"/>
        </w:rPr>
        <w:t xml:space="preserve">element of your </w:t>
      </w:r>
      <w:r w:rsidRPr="00925391">
        <w:rPr>
          <w:rFonts w:eastAsia="Calibri"/>
        </w:rPr>
        <w:t xml:space="preserve">AML/CFT regime is an adequate and effective risk assessment. The risk assessment is the foundation of a proportionate risk-based </w:t>
      </w:r>
      <w:r w:rsidR="00F97741" w:rsidRPr="00925391">
        <w:rPr>
          <w:rFonts w:eastAsia="Calibri"/>
        </w:rPr>
        <w:t xml:space="preserve">AML/CFT framework. </w:t>
      </w:r>
      <w:r w:rsidR="00AA0EFC" w:rsidRPr="00925391">
        <w:rPr>
          <w:rFonts w:eastAsia="Calibri"/>
        </w:rPr>
        <w:t xml:space="preserve">Your </w:t>
      </w:r>
      <w:r w:rsidR="00F97741" w:rsidRPr="00925391">
        <w:rPr>
          <w:rFonts w:eastAsia="Calibri"/>
        </w:rPr>
        <w:t>AML/CFT</w:t>
      </w:r>
      <w:r w:rsidRPr="00925391">
        <w:rPr>
          <w:rFonts w:eastAsia="Calibri"/>
        </w:rPr>
        <w:t xml:space="preserve"> supervisor expect</w:t>
      </w:r>
      <w:r w:rsidR="00AA0EFC" w:rsidRPr="00925391">
        <w:rPr>
          <w:rFonts w:eastAsia="Calibri"/>
        </w:rPr>
        <w:t>s</w:t>
      </w:r>
      <w:r w:rsidRPr="00925391">
        <w:rPr>
          <w:rFonts w:eastAsia="Calibri"/>
        </w:rPr>
        <w:t xml:space="preserve"> that </w:t>
      </w:r>
      <w:r w:rsidR="009475A8" w:rsidRPr="00925391">
        <w:rPr>
          <w:rFonts w:eastAsia="Calibri"/>
        </w:rPr>
        <w:t>you will have</w:t>
      </w:r>
      <w:r w:rsidRPr="00925391">
        <w:rPr>
          <w:rFonts w:eastAsia="Calibri"/>
        </w:rPr>
        <w:t xml:space="preserve"> a clear understan</w:t>
      </w:r>
      <w:r w:rsidR="009475A8" w:rsidRPr="00925391">
        <w:rPr>
          <w:rFonts w:eastAsia="Calibri"/>
        </w:rPr>
        <w:t>ding of the ML/TF risks</w:t>
      </w:r>
      <w:r w:rsidR="00F97741" w:rsidRPr="00925391">
        <w:rPr>
          <w:rFonts w:eastAsia="Calibri"/>
        </w:rPr>
        <w:t xml:space="preserve"> and vulnerabilities</w:t>
      </w:r>
      <w:r w:rsidR="009475A8" w:rsidRPr="00925391">
        <w:rPr>
          <w:rFonts w:eastAsia="Calibri"/>
        </w:rPr>
        <w:t xml:space="preserve"> </w:t>
      </w:r>
      <w:r w:rsidR="00A207F1" w:rsidRPr="00925391">
        <w:rPr>
          <w:rFonts w:eastAsia="Calibri"/>
        </w:rPr>
        <w:t xml:space="preserve">you face during the </w:t>
      </w:r>
      <w:r w:rsidRPr="00925391">
        <w:rPr>
          <w:rFonts w:eastAsia="Calibri"/>
        </w:rPr>
        <w:t xml:space="preserve">course of </w:t>
      </w:r>
      <w:r w:rsidR="00F97741" w:rsidRPr="00925391">
        <w:rPr>
          <w:rFonts w:eastAsia="Calibri"/>
        </w:rPr>
        <w:t>business</w:t>
      </w:r>
      <w:r w:rsidRPr="00925391">
        <w:rPr>
          <w:rFonts w:eastAsia="Calibri"/>
        </w:rPr>
        <w:t>.</w:t>
      </w:r>
    </w:p>
    <w:p w14:paraId="3CF980B6" w14:textId="77777777" w:rsidR="00D836E8" w:rsidRPr="00925391" w:rsidRDefault="00D836E8" w:rsidP="00A7029F">
      <w:pPr>
        <w:pStyle w:val="Numbers1"/>
        <w:numPr>
          <w:ilvl w:val="0"/>
          <w:numId w:val="0"/>
        </w:numPr>
        <w:ind w:left="471"/>
        <w:rPr>
          <w:rFonts w:eastAsia="Calibri"/>
        </w:rPr>
      </w:pPr>
    </w:p>
    <w:p w14:paraId="4ACB9252" w14:textId="77777777" w:rsidR="00C420FD" w:rsidRPr="00925391" w:rsidRDefault="00D836E8" w:rsidP="00E27DC1">
      <w:pPr>
        <w:pStyle w:val="Numbers1"/>
      </w:pPr>
      <w:r w:rsidRPr="00925391">
        <w:t xml:space="preserve">You </w:t>
      </w:r>
      <w:r w:rsidRPr="00925391">
        <w:rPr>
          <w:b/>
        </w:rPr>
        <w:t>must</w:t>
      </w:r>
      <w:r w:rsidRPr="00925391">
        <w:t xml:space="preserve"> </w:t>
      </w:r>
      <w:r w:rsidRPr="00925391">
        <w:rPr>
          <w:rFonts w:eastAsia="Calibri"/>
        </w:rPr>
        <w:t>base</w:t>
      </w:r>
      <w:r w:rsidRPr="00925391">
        <w:t xml:space="preserve"> your programme on your risk assessment. The risk assessment is the foundation document for your entire AML/CFT reg</w:t>
      </w:r>
      <w:r w:rsidR="00B31D3A" w:rsidRPr="00925391">
        <w:t xml:space="preserve">ime. This should be </w:t>
      </w:r>
      <w:r w:rsidRPr="00925391">
        <w:t xml:space="preserve">clearly </w:t>
      </w:r>
      <w:r w:rsidR="00B31D3A" w:rsidRPr="00925391">
        <w:t xml:space="preserve">explained </w:t>
      </w:r>
      <w:r w:rsidRPr="00925391">
        <w:t>in your risk assessment and programme documentation.</w:t>
      </w:r>
    </w:p>
    <w:p w14:paraId="7EB92336" w14:textId="77777777" w:rsidR="00E27DC1" w:rsidRPr="00925391" w:rsidRDefault="00E27DC1" w:rsidP="00E27DC1">
      <w:pPr>
        <w:pStyle w:val="Numbers1"/>
        <w:numPr>
          <w:ilvl w:val="0"/>
          <w:numId w:val="0"/>
        </w:numPr>
        <w:ind w:left="471" w:hanging="471"/>
        <w:rPr>
          <w:rFonts w:eastAsia="Calibri"/>
        </w:rPr>
      </w:pPr>
    </w:p>
    <w:p w14:paraId="1F88BD24" w14:textId="77777777" w:rsidR="00E27DC1" w:rsidRPr="00925391" w:rsidRDefault="00E27DC1" w:rsidP="00E27DC1">
      <w:pPr>
        <w:pStyle w:val="Heading2"/>
        <w:rPr>
          <w:lang w:val="en-NZ"/>
        </w:rPr>
      </w:pPr>
      <w:r w:rsidRPr="00925391">
        <w:rPr>
          <w:lang w:val="en-NZ"/>
        </w:rPr>
        <w:t>Using AML/CFT guidance</w:t>
      </w:r>
    </w:p>
    <w:p w14:paraId="5BCCBE8E" w14:textId="77777777" w:rsidR="00E27DC1" w:rsidRPr="00925391" w:rsidRDefault="00E27DC1" w:rsidP="00E27DC1">
      <w:pPr>
        <w:pStyle w:val="Numbers1"/>
      </w:pPr>
      <w:r w:rsidRPr="00925391">
        <w:t xml:space="preserve">You </w:t>
      </w:r>
      <w:r w:rsidRPr="00925391">
        <w:rPr>
          <w:b/>
        </w:rPr>
        <w:t>must</w:t>
      </w:r>
      <w:r w:rsidRPr="00925391">
        <w:t xml:space="preserve"> consider any applicable guidance material produced by your AML/CFT supervisor or the </w:t>
      </w:r>
      <w:r w:rsidR="00A207F1" w:rsidRPr="00925391">
        <w:t>New Zealand</w:t>
      </w:r>
      <w:r w:rsidR="000C0356">
        <w:t xml:space="preserve"> </w:t>
      </w:r>
      <w:r w:rsidR="00A207F1" w:rsidRPr="00925391">
        <w:t xml:space="preserve">Financial </w:t>
      </w:r>
      <w:r w:rsidR="00A37C2D">
        <w:t>I</w:t>
      </w:r>
      <w:r w:rsidR="00A207F1" w:rsidRPr="00925391">
        <w:t>ntelligence Unit (FIU)</w:t>
      </w:r>
      <w:r w:rsidR="00C36415" w:rsidRPr="00925391">
        <w:t xml:space="preserve"> and any other information </w:t>
      </w:r>
      <w:r w:rsidRPr="00925391">
        <w:t>provid</w:t>
      </w:r>
      <w:r w:rsidR="00C36415" w:rsidRPr="00925391">
        <w:t xml:space="preserve">ed </w:t>
      </w:r>
      <w:r w:rsidRPr="00925391">
        <w:t>in</w:t>
      </w:r>
      <w:r w:rsidR="00C36415" w:rsidRPr="00925391">
        <w:t xml:space="preserve"> relation to the</w:t>
      </w:r>
      <w:r w:rsidRPr="00925391">
        <w:t xml:space="preserve"> </w:t>
      </w:r>
      <w:r w:rsidRPr="00925391">
        <w:rPr>
          <w:rStyle w:val="label"/>
        </w:rPr>
        <w:t>regulations</w:t>
      </w:r>
      <w:r w:rsidRPr="00925391">
        <w:t>. We strongly recommend that you are familiar with the following documents before you</w:t>
      </w:r>
      <w:r w:rsidR="00A207F1" w:rsidRPr="00925391">
        <w:t xml:space="preserve"> undertake your risk assessment</w:t>
      </w:r>
      <w:r w:rsidRPr="00925391">
        <w:t>.</w:t>
      </w:r>
    </w:p>
    <w:p w14:paraId="58B73B6E" w14:textId="77777777" w:rsidR="00E27DC1" w:rsidRPr="00925391" w:rsidRDefault="00E27DC1" w:rsidP="00E27DC1">
      <w:pPr>
        <w:pStyle w:val="Bullet1"/>
      </w:pPr>
      <w:r w:rsidRPr="00925391">
        <w:t>The National Risk Assessment (NRA) and</w:t>
      </w:r>
      <w:r w:rsidR="002E0ABA" w:rsidRPr="00925391">
        <w:t xml:space="preserve"> FIU guidance material</w:t>
      </w:r>
      <w:r w:rsidR="00B2657A" w:rsidRPr="00925391">
        <w:t xml:space="preserve"> (accessible </w:t>
      </w:r>
      <w:r w:rsidR="00C36415" w:rsidRPr="00925391">
        <w:t>to reporting entities registered with the FIU’s goAML system)</w:t>
      </w:r>
      <w:r w:rsidRPr="00925391">
        <w:rPr>
          <w:rStyle w:val="FootnoteReference"/>
        </w:rPr>
        <w:footnoteReference w:id="1"/>
      </w:r>
      <w:r w:rsidRPr="00925391">
        <w:t xml:space="preserve"> </w:t>
      </w:r>
    </w:p>
    <w:p w14:paraId="086FCFBE" w14:textId="77777777" w:rsidR="00E27DC1" w:rsidRPr="00925391" w:rsidRDefault="00E27DC1" w:rsidP="00E27DC1">
      <w:pPr>
        <w:pStyle w:val="Bullet1"/>
      </w:pPr>
      <w:r w:rsidRPr="00925391">
        <w:t xml:space="preserve">Sector </w:t>
      </w:r>
      <w:r w:rsidR="00216645">
        <w:t>r</w:t>
      </w:r>
      <w:r w:rsidRPr="00925391">
        <w:t xml:space="preserve">isk </w:t>
      </w:r>
      <w:r w:rsidR="00216645">
        <w:t>a</w:t>
      </w:r>
      <w:r w:rsidRPr="00925391">
        <w:t>ssessments</w:t>
      </w:r>
      <w:r w:rsidR="00A23DA2" w:rsidRPr="00925391">
        <w:t xml:space="preserve"> (SRA</w:t>
      </w:r>
      <w:r w:rsidRPr="00925391">
        <w:t>s) produced by the AML/CFT supervisors</w:t>
      </w:r>
      <w:r w:rsidRPr="00925391">
        <w:rPr>
          <w:rStyle w:val="FootnoteReference"/>
        </w:rPr>
        <w:footnoteReference w:id="2"/>
      </w:r>
    </w:p>
    <w:p w14:paraId="44816B43" w14:textId="77777777" w:rsidR="00E27DC1" w:rsidRPr="00925391" w:rsidRDefault="00E27DC1" w:rsidP="00E27DC1">
      <w:pPr>
        <w:pStyle w:val="Bullet1"/>
      </w:pPr>
      <w:r w:rsidRPr="00925391">
        <w:t xml:space="preserve">Industry-specific guidance – for example, DIA has produced the </w:t>
      </w:r>
      <w:r w:rsidRPr="00925391">
        <w:rPr>
          <w:i/>
        </w:rPr>
        <w:t>Lawyers and Conveyancers Guideline</w:t>
      </w:r>
      <w:r w:rsidRPr="00925391">
        <w:rPr>
          <w:rStyle w:val="FootnoteReference"/>
        </w:rPr>
        <w:footnoteReference w:id="3"/>
      </w:r>
      <w:r w:rsidRPr="00925391">
        <w:t xml:space="preserve"> </w:t>
      </w:r>
    </w:p>
    <w:p w14:paraId="33FCCEDE" w14:textId="77777777" w:rsidR="00E27DC1" w:rsidRPr="009A66C4" w:rsidRDefault="00E27DC1" w:rsidP="00E27DC1">
      <w:pPr>
        <w:pStyle w:val="Bullet1"/>
      </w:pPr>
      <w:r w:rsidRPr="00925391">
        <w:lastRenderedPageBreak/>
        <w:t xml:space="preserve">AML/CFT supervisor guidance – for example, </w:t>
      </w:r>
      <w:r w:rsidR="008860B2">
        <w:t xml:space="preserve">the </w:t>
      </w:r>
      <w:r w:rsidRPr="00925391">
        <w:t xml:space="preserve">FMA has produced the </w:t>
      </w:r>
      <w:r w:rsidRPr="00925391">
        <w:rPr>
          <w:i/>
        </w:rPr>
        <w:t>AML/CFT Guide for Small Financial Adviser Businesses</w:t>
      </w:r>
      <w:r w:rsidRPr="00925391">
        <w:rPr>
          <w:rStyle w:val="FootnoteReference"/>
        </w:rPr>
        <w:footnoteReference w:id="4"/>
      </w:r>
      <w:r w:rsidRPr="00925391">
        <w:t xml:space="preserve"> and DIA has produced </w:t>
      </w:r>
      <w:r w:rsidRPr="00925391">
        <w:rPr>
          <w:i/>
        </w:rPr>
        <w:t>Risk Assessment and Programme: Prompts and Notes for DIA Reporting Entities</w:t>
      </w:r>
      <w:r w:rsidRPr="00925391">
        <w:rPr>
          <w:rStyle w:val="FootnoteReference"/>
        </w:rPr>
        <w:footnoteReference w:id="5"/>
      </w:r>
      <w:r w:rsidRPr="00925391">
        <w:rPr>
          <w:i/>
        </w:rPr>
        <w:t xml:space="preserve"> </w:t>
      </w:r>
    </w:p>
    <w:p w14:paraId="0498F936" w14:textId="77777777" w:rsidR="009A66C4" w:rsidRPr="00925391" w:rsidRDefault="009A66C4" w:rsidP="009A66C4">
      <w:pPr>
        <w:pStyle w:val="Bullet1"/>
        <w:numPr>
          <w:ilvl w:val="0"/>
          <w:numId w:val="0"/>
        </w:numPr>
        <w:ind w:left="942"/>
      </w:pPr>
    </w:p>
    <w:p w14:paraId="7B9D48EE" w14:textId="77777777" w:rsidR="009A66C4" w:rsidRPr="00925391" w:rsidRDefault="009A66C4" w:rsidP="009A66C4">
      <w:pPr>
        <w:pStyle w:val="Heading2"/>
        <w:rPr>
          <w:lang w:val="en-NZ"/>
        </w:rPr>
      </w:pPr>
      <w:r w:rsidRPr="00925391">
        <w:rPr>
          <w:lang w:val="en-NZ"/>
        </w:rPr>
        <w:t>Legal obligations relating to risk assessments</w:t>
      </w:r>
    </w:p>
    <w:p w14:paraId="5C03DB21" w14:textId="77777777" w:rsidR="009A66C4" w:rsidRPr="00925391" w:rsidRDefault="009A66C4" w:rsidP="009A66C4">
      <w:pPr>
        <w:pStyle w:val="Numbers1"/>
      </w:pPr>
      <w:r w:rsidRPr="00925391">
        <w:t>As a reporting entity</w:t>
      </w:r>
      <w:r w:rsidRPr="00925391">
        <w:rPr>
          <w:rStyle w:val="FootnoteReference"/>
        </w:rPr>
        <w:footnoteReference w:id="6"/>
      </w:r>
      <w:r w:rsidRPr="00925391">
        <w:t xml:space="preserve"> you have a number of obligations under the Act in relation to your risk assessment:</w:t>
      </w:r>
    </w:p>
    <w:p w14:paraId="1AFA66D2" w14:textId="77777777" w:rsidR="009A66C4" w:rsidRPr="00925391" w:rsidRDefault="009A66C4" w:rsidP="009A66C4">
      <w:pPr>
        <w:pStyle w:val="Bullet1"/>
      </w:pPr>
      <w:r w:rsidRPr="00925391">
        <w:t xml:space="preserve">Your risk assessment </w:t>
      </w:r>
      <w:r w:rsidRPr="00925391">
        <w:rPr>
          <w:b/>
        </w:rPr>
        <w:t>must</w:t>
      </w:r>
      <w:r w:rsidRPr="00925391">
        <w:t xml:space="preserve"> identify the risk of ML/TF you may reasonably expect to face during your business. </w:t>
      </w:r>
    </w:p>
    <w:p w14:paraId="13473400" w14:textId="77777777" w:rsidR="009A66C4" w:rsidRPr="00925391" w:rsidRDefault="009A66C4" w:rsidP="009A66C4">
      <w:pPr>
        <w:pStyle w:val="Bullet1"/>
      </w:pPr>
      <w:r w:rsidRPr="00925391">
        <w:t xml:space="preserve">Your risk assessment </w:t>
      </w:r>
      <w:r w:rsidRPr="00925391">
        <w:rPr>
          <w:b/>
        </w:rPr>
        <w:t>must</w:t>
      </w:r>
      <w:r w:rsidRPr="00925391">
        <w:t xml:space="preserve"> enable you to determine the level of risk involved in relation to relevant obligations under the Act. This includes the ML/TF risk presented by your customer, the products and services you offer and the countries you deal with.</w:t>
      </w:r>
    </w:p>
    <w:p w14:paraId="2DA28FD6" w14:textId="77777777" w:rsidR="009A66C4" w:rsidRPr="00925391" w:rsidRDefault="009A66C4" w:rsidP="009A66C4">
      <w:pPr>
        <w:pStyle w:val="Bullet1"/>
      </w:pPr>
      <w:r w:rsidRPr="00925391">
        <w:t xml:space="preserve">Your risk assessment </w:t>
      </w:r>
      <w:r w:rsidRPr="00925391">
        <w:rPr>
          <w:b/>
        </w:rPr>
        <w:t>must</w:t>
      </w:r>
      <w:r w:rsidRPr="00925391">
        <w:t xml:space="preserve"> be in writing and include a description of how it will be kept up to date.</w:t>
      </w:r>
    </w:p>
    <w:p w14:paraId="5074C22F" w14:textId="77777777" w:rsidR="009A66C4" w:rsidRPr="00925391" w:rsidRDefault="009A66C4" w:rsidP="009A66C4">
      <w:pPr>
        <w:pStyle w:val="Bullet1"/>
      </w:pPr>
      <w:r w:rsidRPr="00925391">
        <w:t xml:space="preserve">Your risk assessment </w:t>
      </w:r>
      <w:r w:rsidRPr="00925391">
        <w:rPr>
          <w:b/>
        </w:rPr>
        <w:t xml:space="preserve">must </w:t>
      </w:r>
      <w:r w:rsidRPr="00925391">
        <w:t>have regard to guidance produced by the AML/CFT supervisors and the FIU.</w:t>
      </w:r>
    </w:p>
    <w:p w14:paraId="2A4A5CD1" w14:textId="77777777" w:rsidR="009A66C4" w:rsidRPr="00925391" w:rsidRDefault="009A66C4" w:rsidP="009A66C4">
      <w:pPr>
        <w:pStyle w:val="Bullet1"/>
      </w:pPr>
      <w:r w:rsidRPr="00925391">
        <w:t xml:space="preserve">You </w:t>
      </w:r>
      <w:r w:rsidRPr="00925391">
        <w:rPr>
          <w:b/>
        </w:rPr>
        <w:t>must</w:t>
      </w:r>
      <w:r w:rsidRPr="00925391">
        <w:t xml:space="preserve"> use your risk assessment to develop your programme as set out in the Act. Refer to the</w:t>
      </w:r>
      <w:r w:rsidRPr="00925391">
        <w:rPr>
          <w:i/>
        </w:rPr>
        <w:t xml:space="preserve"> AML/CFT Programme Guideline</w:t>
      </w:r>
      <w:r w:rsidRPr="00925391">
        <w:rPr>
          <w:rStyle w:val="FootnoteReference"/>
        </w:rPr>
        <w:footnoteReference w:id="7"/>
      </w:r>
      <w:r w:rsidRPr="00925391">
        <w:t xml:space="preserve"> for further information.</w:t>
      </w:r>
    </w:p>
    <w:p w14:paraId="01D78C4E" w14:textId="77777777" w:rsidR="009A66C4" w:rsidRPr="00925391" w:rsidRDefault="009A66C4" w:rsidP="009A66C4">
      <w:pPr>
        <w:pStyle w:val="Bullet1"/>
      </w:pPr>
      <w:r w:rsidRPr="00925391">
        <w:t xml:space="preserve">You </w:t>
      </w:r>
      <w:r w:rsidRPr="00925391">
        <w:rPr>
          <w:b/>
        </w:rPr>
        <w:t>must</w:t>
      </w:r>
      <w:r w:rsidRPr="00925391">
        <w:t xml:space="preserve"> review your risk assessment to ensure it is up to date, identifies any deficiencies, and make any changes identified as necessary.</w:t>
      </w:r>
      <w:r w:rsidRPr="00925391">
        <w:rPr>
          <w:rStyle w:val="FootnoteReference"/>
        </w:rPr>
        <w:footnoteReference w:id="8"/>
      </w:r>
      <w:r w:rsidRPr="00925391">
        <w:t xml:space="preserve"> </w:t>
      </w:r>
    </w:p>
    <w:p w14:paraId="452E3FA9" w14:textId="154771A9" w:rsidR="009A66C4" w:rsidRDefault="009A66C4" w:rsidP="009A66C4">
      <w:pPr>
        <w:pStyle w:val="Bullet1"/>
      </w:pPr>
      <w:r w:rsidRPr="00925391">
        <w:t xml:space="preserve">Your risk assessment </w:t>
      </w:r>
      <w:r w:rsidRPr="00925391">
        <w:rPr>
          <w:b/>
        </w:rPr>
        <w:t>must</w:t>
      </w:r>
      <w:r w:rsidRPr="00925391">
        <w:t xml:space="preserve"> be independently audited by an appropriately qualified person every </w:t>
      </w:r>
      <w:r w:rsidR="00924308">
        <w:t>three</w:t>
      </w:r>
      <w:r w:rsidRPr="00925391">
        <w:t xml:space="preserve"> year</w:t>
      </w:r>
      <w:r>
        <w:t>s</w:t>
      </w:r>
      <w:r w:rsidRPr="00925391">
        <w:t xml:space="preserve"> or at any other time at the request of your</w:t>
      </w:r>
      <w:r w:rsidRPr="00925391" w:rsidDel="00D00680">
        <w:t xml:space="preserve"> </w:t>
      </w:r>
      <w:r w:rsidRPr="00925391">
        <w:t>AML/CFT supervisor.</w:t>
      </w:r>
    </w:p>
    <w:p w14:paraId="1A4D207F" w14:textId="77777777" w:rsidR="009A66C4" w:rsidRPr="00925391" w:rsidRDefault="009A66C4" w:rsidP="009A66C4">
      <w:pPr>
        <w:pStyle w:val="Bullet1"/>
        <w:numPr>
          <w:ilvl w:val="0"/>
          <w:numId w:val="0"/>
        </w:numPr>
        <w:ind w:left="942"/>
      </w:pPr>
    </w:p>
    <w:p w14:paraId="1BE47A69" w14:textId="77777777" w:rsidR="009A66C4" w:rsidRPr="00872353" w:rsidRDefault="009A66C4" w:rsidP="009A66C4">
      <w:pPr>
        <w:pStyle w:val="Numbers1"/>
      </w:pPr>
      <w:r w:rsidRPr="00872353">
        <w:t xml:space="preserve">You </w:t>
      </w:r>
      <w:r w:rsidRPr="00872353">
        <w:rPr>
          <w:b/>
        </w:rPr>
        <w:t xml:space="preserve">must </w:t>
      </w:r>
      <w:r w:rsidRPr="00235D4E">
        <w:t xml:space="preserve">also </w:t>
      </w:r>
      <w:r w:rsidRPr="00872353">
        <w:t>prepare an</w:t>
      </w:r>
      <w:r>
        <w:t>d submit an</w:t>
      </w:r>
      <w:r w:rsidRPr="00872353">
        <w:t xml:space="preserve"> annual report </w:t>
      </w:r>
      <w:r>
        <w:t>to your AML/CFT supervisor</w:t>
      </w:r>
      <w:r w:rsidRPr="00872353">
        <w:t>.</w:t>
      </w:r>
      <w:r>
        <w:t xml:space="preserve"> This </w:t>
      </w:r>
      <w:r w:rsidRPr="00984B27">
        <w:rPr>
          <w:b/>
        </w:rPr>
        <w:t>must</w:t>
      </w:r>
      <w:r>
        <w:t xml:space="preserve"> be in the prescribed form and </w:t>
      </w:r>
      <w:r w:rsidRPr="00984B27">
        <w:rPr>
          <w:b/>
        </w:rPr>
        <w:t>must</w:t>
      </w:r>
      <w:r>
        <w:t xml:space="preserve"> be provided at a time appointed by the supervisor. Refer to the </w:t>
      </w:r>
      <w:r w:rsidRPr="00984B27">
        <w:rPr>
          <w:i/>
        </w:rPr>
        <w:t>User Guide: Annual AML/CFT Report 2016</w:t>
      </w:r>
      <w:r>
        <w:t xml:space="preserve"> for further information.</w:t>
      </w:r>
    </w:p>
    <w:p w14:paraId="2738D28E" w14:textId="77777777" w:rsidR="009A66C4" w:rsidRPr="00925391" w:rsidRDefault="009A66C4" w:rsidP="009A66C4">
      <w:pPr>
        <w:rPr>
          <w:rFonts w:cs="Arial"/>
          <w:lang w:val="en-NZ"/>
        </w:rPr>
      </w:pPr>
    </w:p>
    <w:p w14:paraId="49F26535" w14:textId="77777777" w:rsidR="009A66C4" w:rsidRPr="00925391" w:rsidRDefault="009A66C4" w:rsidP="009A66C4">
      <w:pPr>
        <w:pStyle w:val="Numbers1"/>
        <w:rPr>
          <w:rFonts w:eastAsia="Calibri"/>
        </w:rPr>
      </w:pPr>
      <w:r w:rsidRPr="00925391">
        <w:t>When conducting your risk assessment, you do not have to follow the processes in this guideline. As long as you</w:t>
      </w:r>
      <w:r w:rsidRPr="00925391" w:rsidDel="00D00680">
        <w:t xml:space="preserve"> </w:t>
      </w:r>
      <w:r w:rsidRPr="00925391">
        <w:t>comply with your obligations under the Act and any other applicable laws or regulations, you can choose the method of risk assessment that best suits your business. For example, large financial institutions may have their own systems and methodology for conducting a risk assessment.</w:t>
      </w:r>
      <w:r w:rsidRPr="00925391">
        <w:rPr>
          <w:rFonts w:eastAsia="Calibri"/>
        </w:rPr>
        <w:t xml:space="preserve"> </w:t>
      </w:r>
      <w:r w:rsidRPr="00925391">
        <w:t>However, you should be prepared to explain and demonstrate to your AML/CFT supervisor the adequacy and effectiveness of your procedures, policies and controls.</w:t>
      </w:r>
    </w:p>
    <w:p w14:paraId="73217100" w14:textId="77777777" w:rsidR="009A66C4" w:rsidRPr="00925391" w:rsidRDefault="009A66C4" w:rsidP="009A66C4">
      <w:pPr>
        <w:pStyle w:val="Numbers1"/>
        <w:numPr>
          <w:ilvl w:val="0"/>
          <w:numId w:val="0"/>
        </w:numPr>
        <w:ind w:left="471"/>
        <w:rPr>
          <w:rFonts w:eastAsia="Calibri"/>
        </w:rPr>
      </w:pPr>
    </w:p>
    <w:p w14:paraId="64F90987" w14:textId="77777777" w:rsidR="009A66C4" w:rsidRPr="00925391" w:rsidRDefault="009A66C4" w:rsidP="009A66C4">
      <w:pPr>
        <w:pStyle w:val="Numbers1"/>
      </w:pPr>
      <w:bookmarkStart w:id="3" w:name="_Hlk513457602"/>
      <w:r w:rsidRPr="00925391">
        <w:lastRenderedPageBreak/>
        <w:t xml:space="preserve">When evaluating your risk assessment (and your programme), supervisors and auditors will want to explore both </w:t>
      </w:r>
      <w:r w:rsidRPr="00925391">
        <w:rPr>
          <w:b/>
        </w:rPr>
        <w:t>adequacy</w:t>
      </w:r>
      <w:r w:rsidRPr="00925391">
        <w:t xml:space="preserve"> and </w:t>
      </w:r>
      <w:r w:rsidRPr="00925391">
        <w:rPr>
          <w:b/>
        </w:rPr>
        <w:t>effectiveness</w:t>
      </w:r>
      <w:r w:rsidRPr="00925391">
        <w:t>. Adequacy</w:t>
      </w:r>
      <w:r>
        <w:t xml:space="preserve"> is </w:t>
      </w:r>
      <w:r w:rsidRPr="00925391">
        <w:t xml:space="preserve">described as how compliant your risk assessment is with the various obligations of the Act. Effectiveness </w:t>
      </w:r>
      <w:r>
        <w:t xml:space="preserve">is </w:t>
      </w:r>
      <w:r w:rsidRPr="00925391">
        <w:t>described as how well the practical application of the risk assessment meets the obligations of the Act. This will be something you discuss with your supervisor and auditor.</w:t>
      </w:r>
    </w:p>
    <w:bookmarkEnd w:id="3"/>
    <w:p w14:paraId="40EF7C0D" w14:textId="77777777" w:rsidR="00E27DC1" w:rsidRPr="00925391" w:rsidRDefault="00E27DC1" w:rsidP="00E27DC1">
      <w:pPr>
        <w:pStyle w:val="Numbers1"/>
        <w:numPr>
          <w:ilvl w:val="0"/>
          <w:numId w:val="0"/>
        </w:numPr>
        <w:ind w:left="471" w:hanging="471"/>
      </w:pPr>
    </w:p>
    <w:p w14:paraId="3E76C9CD" w14:textId="77777777" w:rsidR="009A66C4" w:rsidRDefault="009A66C4" w:rsidP="009A66C4">
      <w:pPr>
        <w:pStyle w:val="Heading2"/>
        <w:rPr>
          <w:lang w:val="en-NZ"/>
        </w:rPr>
      </w:pPr>
      <w:r>
        <w:rPr>
          <w:lang w:val="en-NZ"/>
        </w:rPr>
        <w:t>Background</w:t>
      </w:r>
    </w:p>
    <w:p w14:paraId="6E289776" w14:textId="77777777" w:rsidR="009A66C4" w:rsidRPr="00471CC7" w:rsidRDefault="009A66C4" w:rsidP="009A66C4">
      <w:pPr>
        <w:pStyle w:val="Numbers1"/>
        <w:rPr>
          <w:b/>
        </w:rPr>
      </w:pPr>
      <w:r w:rsidRPr="00471CC7">
        <w:rPr>
          <w:b/>
        </w:rPr>
        <w:t>Financial Action Task Force (FATF)</w:t>
      </w:r>
      <w:r w:rsidRPr="00471CC7">
        <w:rPr>
          <w:rFonts w:eastAsia="Calibri"/>
          <w:b/>
        </w:rPr>
        <w:t xml:space="preserve"> </w:t>
      </w:r>
      <w:r w:rsidRPr="00471CC7">
        <w:rPr>
          <w:b/>
        </w:rPr>
        <w:t>recommendations</w:t>
      </w:r>
      <w:r w:rsidRPr="00471CC7">
        <w:rPr>
          <w:rStyle w:val="FootnoteReference"/>
          <w:rFonts w:cs="Arial"/>
          <w:b/>
        </w:rPr>
        <w:footnoteReference w:id="9"/>
      </w:r>
      <w:r w:rsidRPr="00471CC7">
        <w:rPr>
          <w:b/>
        </w:rPr>
        <w:t xml:space="preserve"> - </w:t>
      </w:r>
      <w:r w:rsidRPr="00471CC7">
        <w:rPr>
          <w:rFonts w:eastAsia="Calibri"/>
        </w:rPr>
        <w:t xml:space="preserve">All </w:t>
      </w:r>
      <w:r w:rsidRPr="00471CC7">
        <w:t>countries</w:t>
      </w:r>
      <w:r w:rsidRPr="00471CC7">
        <w:rPr>
          <w:rFonts w:eastAsia="Calibri"/>
        </w:rPr>
        <w:t xml:space="preserve"> are exposed to illicit international money flows. The global nature of ML/TF is reflected in the work of the FATF based on input from international experts. </w:t>
      </w:r>
      <w:r w:rsidRPr="00471CC7">
        <w:rPr>
          <w:rFonts w:cs="Calibri"/>
        </w:rPr>
        <w:t xml:space="preserve">The FATF 40 </w:t>
      </w:r>
      <w:r w:rsidRPr="00471CC7">
        <w:t>Recommendations</w:t>
      </w:r>
      <w:r w:rsidRPr="00471CC7">
        <w:rPr>
          <w:rFonts w:cs="Calibri"/>
        </w:rPr>
        <w:t xml:space="preserve"> and 11 Immediate Outcomes represent a global standard of AML/CFT. Compliance with and demonstrated effective use of these standards are an important part of New Zealand’s international reputation and ability to combat ML/TF. New Zealand will be evaluated on these standards and outcomes in 2020.</w:t>
      </w:r>
      <w:r w:rsidRPr="00471CC7">
        <w:rPr>
          <w:rFonts w:eastAsia="Calibri"/>
        </w:rPr>
        <w:t xml:space="preserve"> </w:t>
      </w:r>
    </w:p>
    <w:p w14:paraId="2647697A" w14:textId="77777777" w:rsidR="009A66C4" w:rsidRPr="00872353" w:rsidRDefault="009A66C4" w:rsidP="009A66C4">
      <w:pPr>
        <w:pStyle w:val="Numbers1"/>
        <w:numPr>
          <w:ilvl w:val="0"/>
          <w:numId w:val="0"/>
        </w:numPr>
        <w:ind w:left="471"/>
      </w:pPr>
    </w:p>
    <w:p w14:paraId="1CA63E78" w14:textId="77777777" w:rsidR="009A66C4" w:rsidRPr="00471CC7" w:rsidRDefault="009A66C4" w:rsidP="009A66C4">
      <w:pPr>
        <w:pStyle w:val="Numbers1"/>
        <w:rPr>
          <w:b/>
        </w:rPr>
      </w:pPr>
      <w:r w:rsidRPr="00471CC7">
        <w:rPr>
          <w:b/>
        </w:rPr>
        <w:t xml:space="preserve">Domestic and international money laundering threat - </w:t>
      </w:r>
      <w:r w:rsidRPr="00471CC7">
        <w:rPr>
          <w:rFonts w:eastAsia="Calibri"/>
        </w:rPr>
        <w:t>The FIU estimates that NZ$1.35 billion in illicit funds is generated annually for laundering. This figure excludes transnational laundering of overseas proceeds of crime and laundering the proceeds of domestic tax evasion. The transactional value of ML and the harm caused by ML and associated offending is likely to be significantly more than this figure.</w:t>
      </w:r>
      <w:r w:rsidRPr="00471CC7">
        <w:rPr>
          <w:rFonts w:eastAsia="Calibri"/>
          <w:b/>
        </w:rPr>
        <w:t xml:space="preserve"> </w:t>
      </w:r>
    </w:p>
    <w:p w14:paraId="30B75092" w14:textId="77777777" w:rsidR="009A66C4" w:rsidRPr="00872353" w:rsidRDefault="009A66C4" w:rsidP="009A66C4">
      <w:pPr>
        <w:pStyle w:val="Numbers1"/>
        <w:numPr>
          <w:ilvl w:val="0"/>
          <w:numId w:val="0"/>
        </w:numPr>
        <w:ind w:left="471"/>
        <w:rPr>
          <w:rFonts w:eastAsia="Calibri"/>
        </w:rPr>
      </w:pPr>
    </w:p>
    <w:p w14:paraId="039AB5C1" w14:textId="77777777" w:rsidR="009A66C4" w:rsidRPr="00872353" w:rsidRDefault="009A66C4" w:rsidP="009A66C4">
      <w:pPr>
        <w:pStyle w:val="Numbers1"/>
        <w:rPr>
          <w:rFonts w:eastAsia="Calibri"/>
        </w:rPr>
      </w:pPr>
      <w:r w:rsidRPr="00872353">
        <w:rPr>
          <w:rFonts w:eastAsia="Calibri"/>
        </w:rPr>
        <w:t xml:space="preserve">New Zealand faces an unknown scale of ML generated from overseas proceeds of crime. The International Monetary Fund estimates that approximately 2–5% of global GDP (approximately US$2 trillion) is the proceeds of crime. </w:t>
      </w:r>
    </w:p>
    <w:p w14:paraId="613B4FE1" w14:textId="77777777" w:rsidR="00C420FD" w:rsidRPr="00925391" w:rsidRDefault="00C420FD" w:rsidP="00A7029F">
      <w:pPr>
        <w:pStyle w:val="Numbers1"/>
        <w:numPr>
          <w:ilvl w:val="0"/>
          <w:numId w:val="0"/>
        </w:numPr>
        <w:ind w:left="471"/>
        <w:rPr>
          <w:rFonts w:eastAsia="Calibri"/>
        </w:rPr>
      </w:pPr>
    </w:p>
    <w:p w14:paraId="3B744F5E" w14:textId="77777777" w:rsidR="00C420FD" w:rsidRPr="00925391" w:rsidRDefault="00C420FD" w:rsidP="00BD34AF">
      <w:pPr>
        <w:pStyle w:val="Heading2"/>
        <w:rPr>
          <w:lang w:val="en-NZ"/>
        </w:rPr>
      </w:pPr>
      <w:r w:rsidRPr="00925391">
        <w:rPr>
          <w:lang w:val="en-NZ"/>
        </w:rPr>
        <w:t>Terrorism financing</w:t>
      </w:r>
    </w:p>
    <w:p w14:paraId="7815A0D0" w14:textId="77777777" w:rsidR="00C420FD" w:rsidRPr="00925391" w:rsidRDefault="00C420FD" w:rsidP="00A7029F">
      <w:pPr>
        <w:pStyle w:val="Numbers1"/>
      </w:pPr>
      <w:r w:rsidRPr="00925391">
        <w:t xml:space="preserve">Although TF risk is assessed as low in New Zealand, it is prudent to provide guidance on the vulnerabilities and risks associated with the global issue of TF. </w:t>
      </w:r>
      <w:r w:rsidR="00F313F5" w:rsidRPr="00925391">
        <w:t>Please refer to your</w:t>
      </w:r>
      <w:r w:rsidR="00C550D9" w:rsidRPr="00925391">
        <w:t xml:space="preserve"> relevant</w:t>
      </w:r>
      <w:r w:rsidR="00F313F5" w:rsidRPr="00925391">
        <w:t xml:space="preserve"> SRA and the NRA for more information on the financing of terrorism.</w:t>
      </w:r>
      <w:r w:rsidR="00E10E46" w:rsidRPr="00925391">
        <w:rPr>
          <w:rStyle w:val="FootnoteReference"/>
        </w:rPr>
        <w:footnoteReference w:id="10"/>
      </w:r>
    </w:p>
    <w:p w14:paraId="70C73954" w14:textId="77777777" w:rsidR="00F313F5" w:rsidRPr="00925391" w:rsidRDefault="00F313F5" w:rsidP="00F10B36">
      <w:pPr>
        <w:rPr>
          <w:lang w:val="en-NZ"/>
        </w:rPr>
      </w:pPr>
    </w:p>
    <w:p w14:paraId="25EF4FC4" w14:textId="77777777" w:rsidR="00F313F5" w:rsidRPr="00925391" w:rsidRDefault="00F313F5" w:rsidP="00666D92">
      <w:pPr>
        <w:pStyle w:val="Heading2"/>
        <w:rPr>
          <w:rFonts w:cs="Verdana"/>
          <w:lang w:val="en-NZ"/>
        </w:rPr>
      </w:pPr>
      <w:r w:rsidRPr="00925391">
        <w:rPr>
          <w:lang w:val="en-NZ"/>
        </w:rPr>
        <w:t>Stages of money laundering</w:t>
      </w:r>
    </w:p>
    <w:p w14:paraId="68D3DC9B" w14:textId="77777777" w:rsidR="00F313F5" w:rsidRPr="00925391" w:rsidRDefault="00F313F5" w:rsidP="00A7029F">
      <w:pPr>
        <w:pStyle w:val="Numbers1"/>
      </w:pPr>
      <w:r w:rsidRPr="00925391">
        <w:t>It is worthwhile covering some of the basics of ML/TF before considering ML/TF risk. ML is generally considered to take place in three phases: placement, layering and integration. TF shares many of the characteristics of ML but may also involve legitimate funds and usually involves smaller amounts.</w:t>
      </w:r>
    </w:p>
    <w:p w14:paraId="22C30E50" w14:textId="77777777" w:rsidR="00F313F5" w:rsidRPr="00925391" w:rsidRDefault="00F313F5" w:rsidP="00A7029F">
      <w:pPr>
        <w:pStyle w:val="Numbers1"/>
        <w:numPr>
          <w:ilvl w:val="0"/>
          <w:numId w:val="0"/>
        </w:numPr>
        <w:ind w:left="471"/>
      </w:pPr>
    </w:p>
    <w:p w14:paraId="3008CB09" w14:textId="77777777" w:rsidR="00F313F5" w:rsidRPr="00925391" w:rsidRDefault="00F313F5" w:rsidP="00A7029F">
      <w:pPr>
        <w:pStyle w:val="Numbers1"/>
      </w:pPr>
      <w:r w:rsidRPr="00925391">
        <w:rPr>
          <w:b/>
        </w:rPr>
        <w:t xml:space="preserve">Placement </w:t>
      </w:r>
      <w:r w:rsidRPr="00925391">
        <w:t xml:space="preserve">occurs when criminals introduce proceeds of crime into the financial system. </w:t>
      </w:r>
      <w:r w:rsidR="00940692" w:rsidRPr="00925391">
        <w:t xml:space="preserve">This can be done by breaking up large amounts of cash into smaller sums that are then deposited directly into an account, or by purchasing shares or by loading credit cards. </w:t>
      </w:r>
      <w:r w:rsidRPr="00925391">
        <w:t xml:space="preserve">In some offences, such as fraud or tax evasion, placement is likely to occur electronically and may be inherent in the offending. </w:t>
      </w:r>
    </w:p>
    <w:p w14:paraId="5C61E60B" w14:textId="77777777" w:rsidR="00F313F5" w:rsidRPr="00925391" w:rsidRDefault="00F313F5" w:rsidP="00A7029F">
      <w:pPr>
        <w:pStyle w:val="Numbers1"/>
        <w:numPr>
          <w:ilvl w:val="0"/>
          <w:numId w:val="0"/>
        </w:numPr>
        <w:ind w:left="471"/>
      </w:pPr>
    </w:p>
    <w:p w14:paraId="32C322AB" w14:textId="77777777" w:rsidR="00F313F5" w:rsidRPr="00925391" w:rsidRDefault="00F313F5" w:rsidP="00A7029F">
      <w:pPr>
        <w:pStyle w:val="Numbers1"/>
      </w:pPr>
      <w:r w:rsidRPr="00925391">
        <w:rPr>
          <w:b/>
        </w:rPr>
        <w:lastRenderedPageBreak/>
        <w:t>Layering</w:t>
      </w:r>
      <w:r w:rsidRPr="00925391">
        <w:t xml:space="preserve"> occurs once proceeds of crime are in the financial system. Layering involves a series of conversions or movements of funds </w:t>
      </w:r>
      <w:r w:rsidR="003B389C" w:rsidRPr="00925391">
        <w:t xml:space="preserve">in order </w:t>
      </w:r>
      <w:r w:rsidRPr="00925391">
        <w:t>to distance or disguise them from their criminal origin. The funds might be channelled through the purchase and sale of investment instruments</w:t>
      </w:r>
      <w:r w:rsidR="00C550D9" w:rsidRPr="00925391">
        <w:t xml:space="preserve"> or high</w:t>
      </w:r>
      <w:r w:rsidR="003B389C" w:rsidRPr="00925391">
        <w:t>-</w:t>
      </w:r>
      <w:r w:rsidR="00C550D9" w:rsidRPr="00925391">
        <w:t xml:space="preserve">value </w:t>
      </w:r>
      <w:r w:rsidR="004140E2" w:rsidRPr="00925391">
        <w:t>goods</w:t>
      </w:r>
      <w:r w:rsidR="004140E2">
        <w:t xml:space="preserve"> or</w:t>
      </w:r>
      <w:r w:rsidRPr="00925391">
        <w:t xml:space="preserve"> be wired through various accounts across the world. In some instances, the launderer might disguise the transfers as payme</w:t>
      </w:r>
      <w:r w:rsidR="00C550D9" w:rsidRPr="00925391">
        <w:t xml:space="preserve">nts for goods or services, </w:t>
      </w:r>
      <w:r w:rsidRPr="00925391">
        <w:t>giving them a</w:t>
      </w:r>
      <w:r w:rsidR="00C550D9" w:rsidRPr="00925391">
        <w:t>n appearance of legitimacy.</w:t>
      </w:r>
    </w:p>
    <w:p w14:paraId="0315B877" w14:textId="77777777" w:rsidR="00F313F5" w:rsidRPr="00925391" w:rsidRDefault="00F313F5" w:rsidP="00A7029F">
      <w:pPr>
        <w:pStyle w:val="Numbers1"/>
        <w:numPr>
          <w:ilvl w:val="0"/>
          <w:numId w:val="0"/>
        </w:numPr>
        <w:ind w:left="471"/>
      </w:pPr>
    </w:p>
    <w:p w14:paraId="73526580" w14:textId="77777777" w:rsidR="00F313F5" w:rsidRPr="00925391" w:rsidRDefault="00F313F5" w:rsidP="00A7029F">
      <w:pPr>
        <w:pStyle w:val="Numbers1"/>
      </w:pPr>
      <w:r w:rsidRPr="00925391">
        <w:rPr>
          <w:b/>
        </w:rPr>
        <w:t xml:space="preserve">Integration </w:t>
      </w:r>
      <w:r w:rsidRPr="00925391">
        <w:t>occurs once enough layers have been created to hide the</w:t>
      </w:r>
      <w:r w:rsidR="00C550D9" w:rsidRPr="00925391">
        <w:t xml:space="preserve"> criminal origin of funds</w:t>
      </w:r>
      <w:r w:rsidRPr="00925391">
        <w:t xml:space="preserve">. This stage is the ultimate objective of laundering: funds re-enter the legitimate economy, such as in real estate, high-value assets, or business ventures, allowing criminals to use the criminal proceeds of offending. </w:t>
      </w:r>
    </w:p>
    <w:p w14:paraId="3B0CC927" w14:textId="77777777" w:rsidR="00BD34AF" w:rsidRPr="00925391" w:rsidRDefault="00BD34AF" w:rsidP="00F10B36">
      <w:pPr>
        <w:rPr>
          <w:lang w:val="en-NZ"/>
        </w:rPr>
      </w:pPr>
    </w:p>
    <w:p w14:paraId="748DAC11" w14:textId="77777777" w:rsidR="00F313F5" w:rsidRPr="00925391" w:rsidRDefault="00F313F5" w:rsidP="00F10B36">
      <w:pPr>
        <w:pStyle w:val="Heading2"/>
        <w:rPr>
          <w:lang w:val="en-NZ"/>
        </w:rPr>
      </w:pPr>
      <w:r w:rsidRPr="00925391">
        <w:rPr>
          <w:lang w:val="en-NZ"/>
        </w:rPr>
        <w:t>Predicate offences</w:t>
      </w:r>
    </w:p>
    <w:p w14:paraId="7A0EEC47" w14:textId="77777777" w:rsidR="00F313F5" w:rsidRPr="00925391" w:rsidRDefault="00F313F5" w:rsidP="009A66C4">
      <w:pPr>
        <w:pStyle w:val="Numbers1"/>
        <w:rPr>
          <w:lang w:eastAsia="en-NZ"/>
        </w:rPr>
      </w:pPr>
      <w:bookmarkStart w:id="4" w:name="_Ref509237579"/>
      <w:r w:rsidRPr="00925391">
        <w:t>Predicate offences are the crimes underlying ML/TF activity</w:t>
      </w:r>
      <w:r w:rsidR="003B389C" w:rsidRPr="00925391">
        <w:t>.</w:t>
      </w:r>
      <w:r w:rsidRPr="00925391">
        <w:t xml:space="preserve"> </w:t>
      </w:r>
      <w:r w:rsidR="003B389C" w:rsidRPr="00925391">
        <w:t>I</w:t>
      </w:r>
      <w:r w:rsidRPr="00925391">
        <w:t xml:space="preserve">t is important that </w:t>
      </w:r>
      <w:r w:rsidR="002A1032">
        <w:t xml:space="preserve">you understand </w:t>
      </w:r>
      <w:r w:rsidRPr="00925391">
        <w:t>the various types of predicate offence</w:t>
      </w:r>
      <w:r w:rsidR="008E58B5" w:rsidRPr="00925391">
        <w:t>s</w:t>
      </w:r>
      <w:r w:rsidRPr="00925391">
        <w:t>.</w:t>
      </w:r>
      <w:r w:rsidR="00C550D9" w:rsidRPr="00925391">
        <w:t xml:space="preserve"> Please refer to your relevant SRA and the NRA </w:t>
      </w:r>
      <w:r w:rsidRPr="00925391">
        <w:t>for more information on predicate offending.</w:t>
      </w:r>
      <w:bookmarkEnd w:id="4"/>
    </w:p>
    <w:p w14:paraId="298B5369" w14:textId="77777777" w:rsidR="005A6FFF" w:rsidRPr="00925391" w:rsidRDefault="005A6FFF" w:rsidP="00F10B36">
      <w:pPr>
        <w:pStyle w:val="Heading1"/>
        <w:rPr>
          <w:lang w:val="en-NZ"/>
        </w:rPr>
      </w:pPr>
      <w:bookmarkStart w:id="5" w:name="_Ref509236262"/>
      <w:r w:rsidRPr="00925391">
        <w:rPr>
          <w:lang w:val="en-NZ"/>
        </w:rPr>
        <w:t>Part 2: Identifying risk</w:t>
      </w:r>
      <w:bookmarkEnd w:id="5"/>
    </w:p>
    <w:p w14:paraId="610BA11C" w14:textId="77777777" w:rsidR="00A47CA3" w:rsidRPr="00925391" w:rsidRDefault="00A47CA3" w:rsidP="00A7029F">
      <w:pPr>
        <w:pStyle w:val="Numbers1"/>
      </w:pPr>
      <w:r w:rsidRPr="00925391">
        <w:t xml:space="preserve">As part of </w:t>
      </w:r>
      <w:r w:rsidR="00EF6600" w:rsidRPr="00925391">
        <w:t>assessing</w:t>
      </w:r>
      <w:r w:rsidRPr="00925391">
        <w:t xml:space="preserve"> risk, you </w:t>
      </w:r>
      <w:r w:rsidR="008260F6" w:rsidRPr="00925391">
        <w:rPr>
          <w:b/>
        </w:rPr>
        <w:t>must</w:t>
      </w:r>
      <w:r w:rsidR="008260F6" w:rsidRPr="00925391">
        <w:t xml:space="preserve"> </w:t>
      </w:r>
      <w:r w:rsidRPr="00925391">
        <w:t>address your “inherent risks”. These are the ML/TF risks present before you a</w:t>
      </w:r>
      <w:r w:rsidR="00D836E8" w:rsidRPr="00925391">
        <w:t xml:space="preserve">pply controls and mitigations. </w:t>
      </w:r>
      <w:r w:rsidR="008E6C26" w:rsidRPr="00925391">
        <w:t xml:space="preserve">You may wish to assess your “residual” risk (the risk after your controls and mitigations) as part of your risk assessment. However, </w:t>
      </w:r>
      <w:r w:rsidR="00DD091A" w:rsidRPr="00925391">
        <w:t xml:space="preserve">your </w:t>
      </w:r>
      <w:r w:rsidR="00B1390E" w:rsidRPr="00925391">
        <w:t xml:space="preserve">AML/CFT </w:t>
      </w:r>
      <w:r w:rsidR="008E6C26" w:rsidRPr="00925391">
        <w:t>supervisor will expect that your risk assessment deals with inherent risk. If your risk assessment covers residual risk, you will need to document</w:t>
      </w:r>
      <w:r w:rsidR="0063129C" w:rsidRPr="00925391">
        <w:t xml:space="preserve"> and demonstrate</w:t>
      </w:r>
      <w:r w:rsidR="008E6C26" w:rsidRPr="00925391">
        <w:t xml:space="preserve"> how you arrived at your residual risk ratings.</w:t>
      </w:r>
    </w:p>
    <w:p w14:paraId="16309155" w14:textId="77777777" w:rsidR="005A6FFF" w:rsidRPr="00925391" w:rsidRDefault="005A6FFF" w:rsidP="00A7029F">
      <w:pPr>
        <w:pStyle w:val="Numbers1"/>
        <w:numPr>
          <w:ilvl w:val="0"/>
          <w:numId w:val="0"/>
        </w:numPr>
        <w:ind w:left="471"/>
      </w:pPr>
    </w:p>
    <w:p w14:paraId="60441B68" w14:textId="77777777" w:rsidR="005A6FFF" w:rsidRPr="00925391" w:rsidRDefault="005A6FFF" w:rsidP="00A7029F">
      <w:pPr>
        <w:pStyle w:val="Numbers1"/>
      </w:pPr>
      <w:r w:rsidRPr="00925391">
        <w:t xml:space="preserve">When you </w:t>
      </w:r>
      <w:r w:rsidR="00DD091A" w:rsidRPr="00925391">
        <w:t>identify</w:t>
      </w:r>
      <w:r w:rsidRPr="00925391">
        <w:t xml:space="preserve"> how your business may be vulnerable to ML/TF risks</w:t>
      </w:r>
      <w:r w:rsidR="00DD091A" w:rsidRPr="00925391">
        <w:t>,</w:t>
      </w:r>
      <w:r w:rsidR="00E830C1" w:rsidRPr="00925391">
        <w:t xml:space="preserve"> you </w:t>
      </w:r>
      <w:r w:rsidR="00E830C1" w:rsidRPr="00925391">
        <w:rPr>
          <w:b/>
        </w:rPr>
        <w:t>must</w:t>
      </w:r>
      <w:r w:rsidR="00E830C1" w:rsidRPr="00925391">
        <w:t xml:space="preserve"> </w:t>
      </w:r>
      <w:r w:rsidRPr="00925391">
        <w:t>consider all of the following:</w:t>
      </w:r>
    </w:p>
    <w:p w14:paraId="2FDC4118" w14:textId="77777777" w:rsidR="005A6FFF" w:rsidRPr="00925391" w:rsidRDefault="005A6FFF" w:rsidP="008950D3">
      <w:pPr>
        <w:pStyle w:val="Bullet1"/>
      </w:pPr>
      <w:r w:rsidRPr="00925391">
        <w:t>the nature, size and complexity of your business</w:t>
      </w:r>
    </w:p>
    <w:p w14:paraId="2FBA072B" w14:textId="77777777" w:rsidR="005A6FFF" w:rsidRPr="00925391" w:rsidRDefault="005A6FFF" w:rsidP="008950D3">
      <w:pPr>
        <w:pStyle w:val="Bullet1"/>
        <w:rPr>
          <w:rFonts w:cs="Arial"/>
        </w:rPr>
      </w:pPr>
      <w:r w:rsidRPr="00925391">
        <w:rPr>
          <w:rFonts w:cs="Arial"/>
        </w:rPr>
        <w:t>the products and services you offer</w:t>
      </w:r>
    </w:p>
    <w:p w14:paraId="0EB1C11C" w14:textId="77777777" w:rsidR="005A6FFF" w:rsidRPr="00925391" w:rsidRDefault="005A6FFF" w:rsidP="00091EC6">
      <w:pPr>
        <w:pStyle w:val="Bullet1"/>
      </w:pPr>
      <w:r w:rsidRPr="00925391">
        <w:t>the way you deliver your products and services</w:t>
      </w:r>
    </w:p>
    <w:p w14:paraId="544A0365" w14:textId="77777777" w:rsidR="005A6FFF" w:rsidRPr="00925391" w:rsidRDefault="005A6FFF" w:rsidP="002004BA">
      <w:pPr>
        <w:pStyle w:val="Bullet1"/>
      </w:pPr>
      <w:r w:rsidRPr="00925391">
        <w:t>the types of customers you deal with</w:t>
      </w:r>
    </w:p>
    <w:p w14:paraId="36712AAF" w14:textId="77777777" w:rsidR="005A6FFF" w:rsidRPr="00925391" w:rsidRDefault="005A6FFF" w:rsidP="00D17A2A">
      <w:pPr>
        <w:pStyle w:val="Bullet1"/>
      </w:pPr>
      <w:r w:rsidRPr="00925391">
        <w:t>the countries you deal with</w:t>
      </w:r>
    </w:p>
    <w:p w14:paraId="2E7F521E" w14:textId="77777777" w:rsidR="005A6FFF" w:rsidRPr="00925391" w:rsidRDefault="005A6FFF" w:rsidP="00F10B36">
      <w:pPr>
        <w:pStyle w:val="Bullet1"/>
      </w:pPr>
      <w:r w:rsidRPr="00925391">
        <w:t>the institutions you deal with</w:t>
      </w:r>
      <w:r w:rsidR="00C63732" w:rsidRPr="00925391">
        <w:t>.</w:t>
      </w:r>
    </w:p>
    <w:p w14:paraId="657E1ADE" w14:textId="77777777" w:rsidR="008E6C26" w:rsidRPr="00925391" w:rsidRDefault="008E6C26" w:rsidP="008950D3">
      <w:pPr>
        <w:pStyle w:val="Bullet1"/>
        <w:numPr>
          <w:ilvl w:val="0"/>
          <w:numId w:val="0"/>
        </w:numPr>
        <w:ind w:left="720"/>
      </w:pPr>
    </w:p>
    <w:p w14:paraId="31D9ABEA" w14:textId="77777777" w:rsidR="005A6FFF" w:rsidRPr="00925391" w:rsidRDefault="005A6FFF" w:rsidP="00BD34AF">
      <w:pPr>
        <w:pStyle w:val="Heading2"/>
        <w:rPr>
          <w:lang w:val="en-NZ"/>
        </w:rPr>
      </w:pPr>
      <w:r w:rsidRPr="00925391">
        <w:rPr>
          <w:lang w:val="en-NZ"/>
        </w:rPr>
        <w:t>The nature, size and complexity of your business</w:t>
      </w:r>
    </w:p>
    <w:p w14:paraId="06A4EDC1" w14:textId="77777777" w:rsidR="005A6FFF" w:rsidRPr="00925391" w:rsidRDefault="00DB6FEA" w:rsidP="00A7029F">
      <w:pPr>
        <w:pStyle w:val="Numbers1"/>
      </w:pPr>
      <w:r w:rsidRPr="00925391">
        <w:t>The size and complexity of your</w:t>
      </w:r>
      <w:r w:rsidR="005A6FFF" w:rsidRPr="00925391">
        <w:t xml:space="preserve"> business plays an important role in how attractive or susceptible</w:t>
      </w:r>
      <w:r w:rsidR="0009357D" w:rsidRPr="00925391">
        <w:t xml:space="preserve"> it is for ML/TF</w:t>
      </w:r>
      <w:r w:rsidR="005A6FFF" w:rsidRPr="00925391">
        <w:t xml:space="preserve">. For example, because a large business is less likely to know its customers personally, it could offer a greater degree of anonymity than a small business. Likewise, a business that conducts complex transactions across international jurisdictions could offer greater opportunities to money launderers than a purely domestic business. </w:t>
      </w:r>
    </w:p>
    <w:p w14:paraId="0041AC01" w14:textId="77777777" w:rsidR="00DE73CE" w:rsidRPr="00925391" w:rsidRDefault="00DE73CE" w:rsidP="00A7029F">
      <w:pPr>
        <w:pStyle w:val="Numbers1"/>
        <w:numPr>
          <w:ilvl w:val="0"/>
          <w:numId w:val="0"/>
        </w:numPr>
        <w:ind w:left="471"/>
      </w:pPr>
    </w:p>
    <w:p w14:paraId="72706040" w14:textId="77777777" w:rsidR="00B808E5" w:rsidRPr="00925391" w:rsidRDefault="00DE73CE" w:rsidP="00B808E5">
      <w:pPr>
        <w:pStyle w:val="Numbers1"/>
        <w:rPr>
          <w:rFonts w:cs="Arial"/>
        </w:rPr>
      </w:pPr>
      <w:r w:rsidRPr="00925391">
        <w:t>Use of corporate data will help you work out what parts of your business are vulnerable to ML/TF activity. For instance, you may have identified a higher</w:t>
      </w:r>
      <w:r w:rsidR="000D4D44" w:rsidRPr="00925391">
        <w:t>-</w:t>
      </w:r>
      <w:r w:rsidRPr="00925391">
        <w:t>risk product</w:t>
      </w:r>
      <w:r w:rsidR="000D4D44" w:rsidRPr="00925391">
        <w:t>,</w:t>
      </w:r>
      <w:r w:rsidRPr="00925391">
        <w:t xml:space="preserve"> but without knowing how many of those products you have provided to </w:t>
      </w:r>
      <w:r w:rsidRPr="00925391">
        <w:lastRenderedPageBreak/>
        <w:t>customers</w:t>
      </w:r>
      <w:r w:rsidR="00EF6600" w:rsidRPr="00925391">
        <w:t>,</w:t>
      </w:r>
      <w:r w:rsidRPr="00925391">
        <w:t xml:space="preserve"> and where they are </w:t>
      </w:r>
      <w:r w:rsidR="00622627" w:rsidRPr="00925391">
        <w:t>domiciled</w:t>
      </w:r>
      <w:r w:rsidR="00EF6600" w:rsidRPr="00925391">
        <w:t>,</w:t>
      </w:r>
      <w:r w:rsidR="00622627" w:rsidRPr="00925391">
        <w:t xml:space="preserve"> this will result in a flawed assessment of risk. Using your annual report data will help in this matter.</w:t>
      </w:r>
    </w:p>
    <w:p w14:paraId="5C2978CD" w14:textId="77777777" w:rsidR="00B808E5" w:rsidRPr="00925391" w:rsidRDefault="00B808E5" w:rsidP="00B808E5">
      <w:pPr>
        <w:pStyle w:val="Numbers1"/>
        <w:numPr>
          <w:ilvl w:val="0"/>
          <w:numId w:val="0"/>
        </w:numPr>
        <w:ind w:left="471"/>
        <w:rPr>
          <w:rFonts w:cs="Arial"/>
        </w:rPr>
      </w:pPr>
    </w:p>
    <w:p w14:paraId="3E0C3AF2" w14:textId="77777777" w:rsidR="005A6FFF" w:rsidRPr="00925391" w:rsidRDefault="005A6FFF" w:rsidP="00BD34AF">
      <w:pPr>
        <w:pStyle w:val="Heading2"/>
        <w:rPr>
          <w:lang w:val="en-NZ"/>
        </w:rPr>
      </w:pPr>
      <w:r w:rsidRPr="00925391">
        <w:rPr>
          <w:lang w:val="en-NZ"/>
        </w:rPr>
        <w:t>The products an</w:t>
      </w:r>
      <w:r w:rsidR="00BA44C2" w:rsidRPr="00925391">
        <w:rPr>
          <w:lang w:val="en-NZ"/>
        </w:rPr>
        <w:t>d services your business offers</w:t>
      </w:r>
    </w:p>
    <w:p w14:paraId="763E3405" w14:textId="77777777" w:rsidR="005A6FFF" w:rsidRPr="00925391" w:rsidRDefault="005A6FFF" w:rsidP="00A7029F">
      <w:pPr>
        <w:pStyle w:val="Numbers1"/>
      </w:pPr>
      <w:r w:rsidRPr="00925391">
        <w:t xml:space="preserve">Some products </w:t>
      </w:r>
      <w:r w:rsidR="00DB6FEA" w:rsidRPr="00925391">
        <w:t xml:space="preserve">and services are vulnerable to </w:t>
      </w:r>
      <w:r w:rsidR="0009357D" w:rsidRPr="00925391">
        <w:t>ML/TF</w:t>
      </w:r>
      <w:r w:rsidR="00DB6FEA" w:rsidRPr="00925391">
        <w:t xml:space="preserve"> by their nature</w:t>
      </w:r>
      <w:r w:rsidRPr="00925391">
        <w:t>. When considering whether the products and services your business offers could be</w:t>
      </w:r>
      <w:r w:rsidR="00DB6FEA" w:rsidRPr="00925391">
        <w:t xml:space="preserve"> exploited</w:t>
      </w:r>
      <w:r w:rsidR="00667A7E" w:rsidRPr="00925391">
        <w:t xml:space="preserve"> for ML/TF</w:t>
      </w:r>
      <w:r w:rsidR="00DB6FEA" w:rsidRPr="00925391">
        <w:t xml:space="preserve"> purposes</w:t>
      </w:r>
      <w:r w:rsidRPr="00925391">
        <w:t>, we recommend you consider issues such as:</w:t>
      </w:r>
    </w:p>
    <w:p w14:paraId="4B5EA96A" w14:textId="77777777" w:rsidR="00DB6FEA" w:rsidRPr="00925391" w:rsidRDefault="00DB6FEA" w:rsidP="008950D3">
      <w:pPr>
        <w:pStyle w:val="Bullet1"/>
      </w:pPr>
      <w:r w:rsidRPr="00925391">
        <w:t>Does the product/service allow for anonymity?</w:t>
      </w:r>
    </w:p>
    <w:p w14:paraId="09961C41" w14:textId="77777777" w:rsidR="00DB6FEA" w:rsidRPr="00925391" w:rsidRDefault="00DB6FEA" w:rsidP="008950D3">
      <w:pPr>
        <w:pStyle w:val="Bullet1"/>
      </w:pPr>
      <w:r w:rsidRPr="00925391">
        <w:t>Does the product/service disguise or conceal the beneficial owner of your customer?</w:t>
      </w:r>
    </w:p>
    <w:p w14:paraId="5EC6ADCC" w14:textId="77777777" w:rsidR="0009357D" w:rsidRPr="00925391" w:rsidRDefault="00940692" w:rsidP="008950D3">
      <w:pPr>
        <w:pStyle w:val="Bullet1"/>
      </w:pPr>
      <w:r w:rsidRPr="00925391">
        <w:t>Does the product/service disguise or conceal the source of wealth or funds of your customer?</w:t>
      </w:r>
    </w:p>
    <w:p w14:paraId="07065031" w14:textId="77777777" w:rsidR="005A6FFF" w:rsidRPr="00925391" w:rsidRDefault="005A6FFF" w:rsidP="00091EC6">
      <w:pPr>
        <w:pStyle w:val="Bullet1"/>
      </w:pPr>
      <w:r w:rsidRPr="00925391">
        <w:t>Does the product</w:t>
      </w:r>
      <w:r w:rsidR="00DB6FEA" w:rsidRPr="00925391">
        <w:t>/service</w:t>
      </w:r>
      <w:r w:rsidRPr="00925391">
        <w:t xml:space="preserve"> allow payments to third parties? </w:t>
      </w:r>
    </w:p>
    <w:p w14:paraId="183F1C8E" w14:textId="77777777" w:rsidR="005A6FFF" w:rsidRPr="00925391" w:rsidRDefault="005A6FFF" w:rsidP="002004BA">
      <w:pPr>
        <w:pStyle w:val="Bullet1"/>
      </w:pPr>
      <w:r w:rsidRPr="00925391">
        <w:t>Does the product</w:t>
      </w:r>
      <w:r w:rsidR="00DB6FEA" w:rsidRPr="00925391">
        <w:t>/service</w:t>
      </w:r>
      <w:r w:rsidRPr="00925391">
        <w:t xml:space="preserve"> commonly involve receipt or payment in cash?</w:t>
      </w:r>
      <w:r w:rsidR="00A7029F" w:rsidRPr="00925391">
        <w:t xml:space="preserve"> </w:t>
      </w:r>
    </w:p>
    <w:p w14:paraId="48372244" w14:textId="77777777" w:rsidR="005A6FFF" w:rsidRPr="00925391" w:rsidRDefault="00DB6FEA" w:rsidP="00D17A2A">
      <w:pPr>
        <w:pStyle w:val="Bullet1"/>
      </w:pPr>
      <w:r w:rsidRPr="00925391">
        <w:t>Has the product/service been identified in</w:t>
      </w:r>
      <w:r w:rsidR="0009357D" w:rsidRPr="00925391">
        <w:t xml:space="preserve"> the</w:t>
      </w:r>
      <w:r w:rsidRPr="00925391">
        <w:t xml:space="preserve"> NRA</w:t>
      </w:r>
      <w:r w:rsidR="002E0ABA" w:rsidRPr="00925391">
        <w:t>, FIU guidance</w:t>
      </w:r>
      <w:r w:rsidR="00C36415" w:rsidRPr="00925391">
        <w:t xml:space="preserve"> material</w:t>
      </w:r>
      <w:r w:rsidRPr="00925391">
        <w:t xml:space="preserve"> or SRAs</w:t>
      </w:r>
      <w:r w:rsidR="005A6FFF" w:rsidRPr="00925391">
        <w:t xml:space="preserve"> as </w:t>
      </w:r>
      <w:r w:rsidR="0009357D" w:rsidRPr="00925391">
        <w:t xml:space="preserve">presenting a </w:t>
      </w:r>
      <w:r w:rsidR="005A6FFF" w:rsidRPr="00925391">
        <w:t>higher</w:t>
      </w:r>
      <w:r w:rsidR="0009357D" w:rsidRPr="00925391">
        <w:t xml:space="preserve"> ML/TF</w:t>
      </w:r>
      <w:r w:rsidR="005A6FFF" w:rsidRPr="00925391">
        <w:t xml:space="preserve"> risk?</w:t>
      </w:r>
    </w:p>
    <w:p w14:paraId="062A6AC4" w14:textId="77777777" w:rsidR="00DB6FEA" w:rsidRPr="00925391" w:rsidRDefault="00DB6FEA" w:rsidP="00BD34AF">
      <w:pPr>
        <w:pStyle w:val="Bullet1"/>
      </w:pPr>
      <w:r w:rsidRPr="00925391">
        <w:t>Does the product/service allow for the movement of funds across borders?</w:t>
      </w:r>
    </w:p>
    <w:p w14:paraId="244E8F70" w14:textId="77777777" w:rsidR="00DB6FEA" w:rsidRPr="00925391" w:rsidRDefault="00DB6FEA" w:rsidP="009557B9">
      <w:pPr>
        <w:pStyle w:val="Bullet1"/>
        <w:numPr>
          <w:ilvl w:val="0"/>
          <w:numId w:val="0"/>
        </w:numPr>
        <w:ind w:left="720"/>
      </w:pPr>
    </w:p>
    <w:p w14:paraId="74E171EF" w14:textId="77777777" w:rsidR="005A6FFF" w:rsidRPr="00925391" w:rsidRDefault="00DB6FEA" w:rsidP="00193FC3">
      <w:pPr>
        <w:pStyle w:val="Numbers1"/>
        <w:rPr>
          <w:rStyle w:val="label"/>
        </w:rPr>
      </w:pPr>
      <w:r w:rsidRPr="00925391">
        <w:t>Many other factors can contribute to the ML/TF risk of your products and services. It will be your responsibility to identify tho</w:t>
      </w:r>
      <w:r w:rsidR="00A207F1" w:rsidRPr="00925391">
        <w:t xml:space="preserve">se factors as part of your risk </w:t>
      </w:r>
      <w:r w:rsidRPr="00925391">
        <w:t>assessment.</w:t>
      </w:r>
      <w:r w:rsidR="0009357D" w:rsidRPr="00925391">
        <w:t xml:space="preserve"> Domestic AML/CFT guidance material will help you in this exercise. </w:t>
      </w:r>
      <w:r w:rsidRPr="00925391">
        <w:rPr>
          <w:rStyle w:val="label"/>
          <w:rFonts w:cs="Arial"/>
        </w:rPr>
        <w:t xml:space="preserve">The </w:t>
      </w:r>
      <w:r w:rsidR="005A6FFF" w:rsidRPr="00925391">
        <w:rPr>
          <w:rStyle w:val="label"/>
          <w:rFonts w:cs="Arial"/>
        </w:rPr>
        <w:t>FATF, the Asia</w:t>
      </w:r>
      <w:r w:rsidR="009557B9" w:rsidRPr="00925391">
        <w:rPr>
          <w:rStyle w:val="label"/>
          <w:rFonts w:cs="Arial"/>
        </w:rPr>
        <w:t xml:space="preserve"> </w:t>
      </w:r>
      <w:r w:rsidR="005A6FFF" w:rsidRPr="00925391">
        <w:rPr>
          <w:rStyle w:val="label"/>
          <w:rFonts w:cs="Arial"/>
        </w:rPr>
        <w:t>Pacific Group on Money Laundering (APG)</w:t>
      </w:r>
      <w:r w:rsidR="006A6E26" w:rsidRPr="00925391">
        <w:rPr>
          <w:rStyle w:val="FootnoteReference"/>
          <w:rFonts w:cs="Arial"/>
        </w:rPr>
        <w:footnoteReference w:id="11"/>
      </w:r>
      <w:r w:rsidR="005A6FFF" w:rsidRPr="00925391">
        <w:rPr>
          <w:rStyle w:val="label"/>
          <w:rFonts w:cs="Arial"/>
        </w:rPr>
        <w:t xml:space="preserve">, and </w:t>
      </w:r>
      <w:r w:rsidR="00F9656F" w:rsidRPr="00925391">
        <w:rPr>
          <w:rStyle w:val="label"/>
          <w:rFonts w:cs="Arial"/>
        </w:rPr>
        <w:t>other overseas AML/CFT agencies (such as</w:t>
      </w:r>
      <w:r w:rsidR="00193FC3" w:rsidRPr="00925391">
        <w:rPr>
          <w:rStyle w:val="label"/>
          <w:rFonts w:cs="Arial"/>
        </w:rPr>
        <w:t xml:space="preserve"> the</w:t>
      </w:r>
      <w:r w:rsidR="00F9656F" w:rsidRPr="00925391">
        <w:rPr>
          <w:rStyle w:val="label"/>
          <w:rFonts w:cs="Arial"/>
        </w:rPr>
        <w:t xml:space="preserve"> </w:t>
      </w:r>
      <w:r w:rsidR="00193FC3" w:rsidRPr="00925391">
        <w:rPr>
          <w:rStyle w:val="label"/>
          <w:rFonts w:cs="Arial"/>
        </w:rPr>
        <w:t>Australian Transaction Reports and Analysis Centre (</w:t>
      </w:r>
      <w:r w:rsidR="00F9656F" w:rsidRPr="00925391">
        <w:rPr>
          <w:rStyle w:val="label"/>
          <w:rFonts w:cs="Arial"/>
        </w:rPr>
        <w:t>AUSTRAC</w:t>
      </w:r>
      <w:r w:rsidR="00193FC3" w:rsidRPr="00925391">
        <w:rPr>
          <w:rStyle w:val="label"/>
          <w:rFonts w:cs="Arial"/>
        </w:rPr>
        <w:t>)</w:t>
      </w:r>
      <w:r w:rsidR="006A6E26" w:rsidRPr="00925391">
        <w:rPr>
          <w:rStyle w:val="FootnoteReference"/>
          <w:rFonts w:cs="Arial"/>
        </w:rPr>
        <w:footnoteReference w:id="12"/>
      </w:r>
      <w:r w:rsidR="00F9656F" w:rsidRPr="00925391">
        <w:rPr>
          <w:rStyle w:val="label"/>
          <w:rFonts w:cs="Arial"/>
        </w:rPr>
        <w:t xml:space="preserve">) also publish documents in relation to the </w:t>
      </w:r>
      <w:r w:rsidR="005A6FFF" w:rsidRPr="00925391">
        <w:rPr>
          <w:rStyle w:val="label"/>
          <w:rFonts w:cs="Arial"/>
        </w:rPr>
        <w:t>m</w:t>
      </w:r>
      <w:r w:rsidR="00667A7E" w:rsidRPr="00925391">
        <w:rPr>
          <w:rStyle w:val="label"/>
          <w:rFonts w:cs="Arial"/>
        </w:rPr>
        <w:t>ethods and trends used for ML/TF</w:t>
      </w:r>
      <w:r w:rsidRPr="00925391">
        <w:rPr>
          <w:rStyle w:val="label"/>
          <w:rFonts w:cs="Arial"/>
        </w:rPr>
        <w:t xml:space="preserve"> (these are </w:t>
      </w:r>
      <w:r w:rsidR="00EF6600" w:rsidRPr="00925391">
        <w:rPr>
          <w:rStyle w:val="label"/>
          <w:rFonts w:cs="Arial"/>
        </w:rPr>
        <w:t>also called typologies).</w:t>
      </w:r>
    </w:p>
    <w:p w14:paraId="07DCCB26" w14:textId="77777777" w:rsidR="005A6FFF" w:rsidRPr="00925391" w:rsidRDefault="005A6FFF" w:rsidP="00A7029F">
      <w:pPr>
        <w:rPr>
          <w:rFonts w:cs="Arial"/>
          <w:lang w:val="en-NZ"/>
        </w:rPr>
      </w:pPr>
    </w:p>
    <w:p w14:paraId="3C6A24E1" w14:textId="77777777" w:rsidR="005A6FFF" w:rsidRPr="00925391" w:rsidRDefault="005A6FFF" w:rsidP="00BD34AF">
      <w:pPr>
        <w:pStyle w:val="Heading2"/>
        <w:rPr>
          <w:lang w:val="en-NZ"/>
        </w:rPr>
      </w:pPr>
      <w:r w:rsidRPr="00925391">
        <w:rPr>
          <w:lang w:val="en-NZ"/>
        </w:rPr>
        <w:t>The way your business del</w:t>
      </w:r>
      <w:r w:rsidR="00BA44C2" w:rsidRPr="00925391">
        <w:rPr>
          <w:lang w:val="en-NZ"/>
        </w:rPr>
        <w:t>ivers its products and services</w:t>
      </w:r>
    </w:p>
    <w:p w14:paraId="4F15AECB" w14:textId="77777777" w:rsidR="005A6FFF" w:rsidRPr="00925391" w:rsidRDefault="005A6FFF" w:rsidP="00A7029F">
      <w:pPr>
        <w:pStyle w:val="Numbers1"/>
      </w:pPr>
      <w:r w:rsidRPr="00925391">
        <w:t>The way your business</w:t>
      </w:r>
      <w:r w:rsidR="00B808E5" w:rsidRPr="00925391">
        <w:t xml:space="preserve"> on-boards your customers and delivers your</w:t>
      </w:r>
      <w:r w:rsidRPr="00925391">
        <w:t xml:space="preserve"> products and ser</w:t>
      </w:r>
      <w:r w:rsidR="00F9656F" w:rsidRPr="00925391">
        <w:t>vices affects its vulnerability to</w:t>
      </w:r>
      <w:r w:rsidR="00667A7E" w:rsidRPr="00925391">
        <w:t xml:space="preserve"> ML/TF</w:t>
      </w:r>
      <w:r w:rsidRPr="00925391">
        <w:t>.</w:t>
      </w:r>
      <w:r w:rsidR="00DB6FEA" w:rsidRPr="00925391">
        <w:t xml:space="preserve"> </w:t>
      </w:r>
      <w:r w:rsidRPr="00925391">
        <w:t>For example:</w:t>
      </w:r>
    </w:p>
    <w:p w14:paraId="0DDF8089" w14:textId="77777777" w:rsidR="00F9656F" w:rsidRPr="00925391" w:rsidRDefault="005A6FFF" w:rsidP="008950D3">
      <w:pPr>
        <w:pStyle w:val="Bullet1"/>
      </w:pPr>
      <w:r w:rsidRPr="00925391">
        <w:t xml:space="preserve">Does your business have non-face-to-face </w:t>
      </w:r>
      <w:r w:rsidR="00B2657A" w:rsidRPr="00925391">
        <w:t>customers (via post, telephone,</w:t>
      </w:r>
      <w:r w:rsidR="00EF6600" w:rsidRPr="00925391">
        <w:t xml:space="preserve"> internet</w:t>
      </w:r>
      <w:r w:rsidR="00E02CFE" w:rsidRPr="00925391">
        <w:t xml:space="preserve"> or via intermediaries</w:t>
      </w:r>
      <w:r w:rsidRPr="00925391">
        <w:t xml:space="preserve">)? </w:t>
      </w:r>
    </w:p>
    <w:p w14:paraId="5252B2A1" w14:textId="77777777" w:rsidR="005A6FFF" w:rsidRPr="00925391" w:rsidRDefault="00F9656F" w:rsidP="008950D3">
      <w:pPr>
        <w:pStyle w:val="Bullet1"/>
      </w:pPr>
      <w:r w:rsidRPr="00925391">
        <w:t>Do you provide your product</w:t>
      </w:r>
      <w:r w:rsidR="00193FC3" w:rsidRPr="00925391">
        <w:t>s</w:t>
      </w:r>
      <w:r w:rsidRPr="00925391">
        <w:t>/services via the internet?</w:t>
      </w:r>
    </w:p>
    <w:p w14:paraId="499BA06E" w14:textId="77777777" w:rsidR="00F97741" w:rsidRPr="00925391" w:rsidRDefault="005A6FFF" w:rsidP="00091EC6">
      <w:pPr>
        <w:pStyle w:val="Bullet1"/>
      </w:pPr>
      <w:r w:rsidRPr="00925391">
        <w:t xml:space="preserve">Does your business have indirect relationships with customers (via intermediaries, pooled accounts, </w:t>
      </w:r>
      <w:r w:rsidR="00940692" w:rsidRPr="00925391">
        <w:t>etc</w:t>
      </w:r>
      <w:r w:rsidRPr="00925391">
        <w:t>)?</w:t>
      </w:r>
    </w:p>
    <w:p w14:paraId="726682E9" w14:textId="77777777" w:rsidR="0009357D" w:rsidRPr="00925391" w:rsidRDefault="0009357D" w:rsidP="00193FC3">
      <w:pPr>
        <w:pStyle w:val="Bullet1"/>
      </w:pPr>
      <w:r w:rsidRPr="00925391">
        <w:t xml:space="preserve">Do you provide your </w:t>
      </w:r>
      <w:r w:rsidR="00193FC3" w:rsidRPr="00925391">
        <w:t xml:space="preserve">products/services </w:t>
      </w:r>
      <w:r w:rsidRPr="00925391">
        <w:t>via agents</w:t>
      </w:r>
      <w:r w:rsidR="00E02CFE" w:rsidRPr="00925391">
        <w:t xml:space="preserve"> or intermediaries</w:t>
      </w:r>
      <w:r w:rsidRPr="00925391">
        <w:t>?</w:t>
      </w:r>
    </w:p>
    <w:p w14:paraId="61B91483" w14:textId="77777777" w:rsidR="0009357D" w:rsidRPr="00925391" w:rsidRDefault="0009357D" w:rsidP="002004BA">
      <w:pPr>
        <w:pStyle w:val="Bullet1"/>
      </w:pPr>
      <w:r w:rsidRPr="00925391">
        <w:t>Do you provide your products/services to overseas jurisdictions?</w:t>
      </w:r>
    </w:p>
    <w:p w14:paraId="1454C6C6" w14:textId="77777777" w:rsidR="005A6FFF" w:rsidRPr="00925391" w:rsidRDefault="005A6FFF" w:rsidP="00A7029F">
      <w:pPr>
        <w:rPr>
          <w:rFonts w:cs="Arial"/>
          <w:lang w:val="en-NZ"/>
        </w:rPr>
      </w:pPr>
    </w:p>
    <w:p w14:paraId="135A63F6" w14:textId="77777777" w:rsidR="005A6FFF" w:rsidRPr="00925391" w:rsidRDefault="005A6FFF" w:rsidP="00BD34AF">
      <w:pPr>
        <w:pStyle w:val="Heading2"/>
        <w:rPr>
          <w:lang w:val="en-NZ"/>
        </w:rPr>
      </w:pPr>
      <w:r w:rsidRPr="00925391">
        <w:rPr>
          <w:lang w:val="en-NZ"/>
        </w:rPr>
        <w:t>The types of cus</w:t>
      </w:r>
      <w:r w:rsidR="00BA44C2" w:rsidRPr="00925391">
        <w:rPr>
          <w:lang w:val="en-NZ"/>
        </w:rPr>
        <w:t>tomers your business deals with</w:t>
      </w:r>
    </w:p>
    <w:p w14:paraId="0DB99988" w14:textId="77777777" w:rsidR="006C2791" w:rsidRPr="00925391" w:rsidRDefault="005A6FFF" w:rsidP="00A7029F">
      <w:pPr>
        <w:pStyle w:val="Numbers1"/>
      </w:pPr>
      <w:r w:rsidRPr="00925391">
        <w:t>Some categories of customers pose a</w:t>
      </w:r>
      <w:r w:rsidR="00667A7E" w:rsidRPr="00925391">
        <w:t xml:space="preserve"> higher risk of ML/TF</w:t>
      </w:r>
      <w:r w:rsidR="00F9656F" w:rsidRPr="00925391">
        <w:t xml:space="preserve"> than others</w:t>
      </w:r>
      <w:r w:rsidR="00A205AE" w:rsidRPr="00925391">
        <w:t>, especially when combined with higher</w:t>
      </w:r>
      <w:r w:rsidR="00091EC6" w:rsidRPr="00925391">
        <w:t>-</w:t>
      </w:r>
      <w:r w:rsidR="00A205AE" w:rsidRPr="00925391">
        <w:t>risk products/services and jurisdictions</w:t>
      </w:r>
      <w:r w:rsidR="00F9656F" w:rsidRPr="00925391">
        <w:t>.</w:t>
      </w:r>
    </w:p>
    <w:p w14:paraId="24439C9F" w14:textId="77777777" w:rsidR="006C2791" w:rsidRPr="00925391" w:rsidRDefault="006C2791" w:rsidP="00A7029F">
      <w:pPr>
        <w:pStyle w:val="Numbers1"/>
        <w:numPr>
          <w:ilvl w:val="0"/>
          <w:numId w:val="0"/>
        </w:numPr>
        <w:ind w:left="471"/>
      </w:pPr>
    </w:p>
    <w:p w14:paraId="50DC4BAA" w14:textId="77777777" w:rsidR="006C2791" w:rsidRPr="00925391" w:rsidRDefault="006C2791" w:rsidP="0015001F">
      <w:pPr>
        <w:pStyle w:val="Numbers1"/>
      </w:pPr>
      <w:r w:rsidRPr="00925391">
        <w:t>The Act sets out circumstances where you</w:t>
      </w:r>
      <w:r w:rsidRPr="00925391">
        <w:rPr>
          <w:b/>
        </w:rPr>
        <w:t xml:space="preserve"> must</w:t>
      </w:r>
      <w:r w:rsidRPr="00925391">
        <w:t xml:space="preserve"> conduct enhanced customer due diligence (EDD) and where simplified </w:t>
      </w:r>
      <w:r w:rsidR="0015001F" w:rsidRPr="0015001F">
        <w:t xml:space="preserve">customer due diligence </w:t>
      </w:r>
      <w:r w:rsidR="0015001F">
        <w:t>(</w:t>
      </w:r>
      <w:r w:rsidR="00193FC3" w:rsidRPr="00925391">
        <w:t>CDD</w:t>
      </w:r>
      <w:r w:rsidR="0015001F">
        <w:t>)</w:t>
      </w:r>
      <w:r w:rsidRPr="00925391">
        <w:t xml:space="preserve"> applies. </w:t>
      </w:r>
      <w:r w:rsidR="00940692" w:rsidRPr="00925391">
        <w:lastRenderedPageBreak/>
        <w:t>These sets of circumstances are a useful reference point for the types of situations that may present a higher or lower risk of</w:t>
      </w:r>
      <w:r w:rsidR="00667A7E" w:rsidRPr="00925391">
        <w:t xml:space="preserve"> ML/TF</w:t>
      </w:r>
      <w:r w:rsidR="00940692" w:rsidRPr="00925391">
        <w:t xml:space="preserve">. </w:t>
      </w:r>
      <w:r w:rsidR="00B808E5" w:rsidRPr="00925391">
        <w:t xml:space="preserve">Refer to the </w:t>
      </w:r>
      <w:r w:rsidR="00B808E5" w:rsidRPr="00925391">
        <w:rPr>
          <w:i/>
        </w:rPr>
        <w:t>Enhanced Customer Due Diligence Guideline</w:t>
      </w:r>
      <w:r w:rsidR="00B808E5" w:rsidRPr="00925391">
        <w:rPr>
          <w:rStyle w:val="FootnoteReference"/>
        </w:rPr>
        <w:footnoteReference w:id="13"/>
      </w:r>
      <w:r w:rsidR="00B808E5" w:rsidRPr="00925391">
        <w:rPr>
          <w:b/>
        </w:rPr>
        <w:t xml:space="preserve"> </w:t>
      </w:r>
      <w:r w:rsidR="00B808E5" w:rsidRPr="00925391">
        <w:t>for further information.</w:t>
      </w:r>
    </w:p>
    <w:p w14:paraId="2E4F92AC" w14:textId="77777777" w:rsidR="006C2791" w:rsidRPr="00925391" w:rsidRDefault="006C2791" w:rsidP="00A7029F">
      <w:pPr>
        <w:pStyle w:val="Numbers1"/>
        <w:numPr>
          <w:ilvl w:val="0"/>
          <w:numId w:val="0"/>
        </w:numPr>
        <w:ind w:left="471"/>
      </w:pPr>
    </w:p>
    <w:p w14:paraId="3DBAA920" w14:textId="77777777" w:rsidR="005A6FFF" w:rsidRPr="00925391" w:rsidRDefault="00F9656F" w:rsidP="00A7029F">
      <w:pPr>
        <w:pStyle w:val="Numbers1"/>
      </w:pPr>
      <w:r w:rsidRPr="00925391">
        <w:t xml:space="preserve">Questions you will need to ask yourself </w:t>
      </w:r>
      <w:r w:rsidR="00193FC3" w:rsidRPr="00925391">
        <w:t>about</w:t>
      </w:r>
      <w:r w:rsidRPr="00925391">
        <w:t xml:space="preserve"> your customers, new and existing, include:</w:t>
      </w:r>
      <w:r w:rsidR="005A6FFF" w:rsidRPr="00925391">
        <w:t xml:space="preserve"> </w:t>
      </w:r>
    </w:p>
    <w:p w14:paraId="3CF705E5" w14:textId="77777777" w:rsidR="00A11223" w:rsidRPr="00925391" w:rsidRDefault="00DC63B5" w:rsidP="008950D3">
      <w:pPr>
        <w:pStyle w:val="Bullet1"/>
      </w:pPr>
      <w:r w:rsidRPr="00925391">
        <w:t xml:space="preserve">Are they </w:t>
      </w:r>
      <w:r w:rsidR="00A11223" w:rsidRPr="00925391">
        <w:t>a trust or other legal person?</w:t>
      </w:r>
    </w:p>
    <w:p w14:paraId="6BA9F0CA" w14:textId="77777777" w:rsidR="00E02CFE" w:rsidRPr="00925391" w:rsidRDefault="00E02CFE" w:rsidP="008950D3">
      <w:pPr>
        <w:pStyle w:val="Bullet1"/>
      </w:pPr>
      <w:r w:rsidRPr="00925391">
        <w:t>Have you identified beneficial ownership?</w:t>
      </w:r>
    </w:p>
    <w:p w14:paraId="718763F9" w14:textId="77777777" w:rsidR="00A11223" w:rsidRPr="00925391" w:rsidRDefault="00DC63B5" w:rsidP="00AE68F9">
      <w:pPr>
        <w:pStyle w:val="Bullet1"/>
      </w:pPr>
      <w:r w:rsidRPr="00925391">
        <w:t xml:space="preserve">Are they </w:t>
      </w:r>
      <w:r w:rsidR="00A262B3">
        <w:t>specified</w:t>
      </w:r>
      <w:r w:rsidR="0009357D" w:rsidRPr="00925391">
        <w:t xml:space="preserve"> in the Act as requiring </w:t>
      </w:r>
      <w:r w:rsidR="006A6E26" w:rsidRPr="00925391">
        <w:t>EDD</w:t>
      </w:r>
      <w:r w:rsidR="0009357D" w:rsidRPr="00925391">
        <w:t xml:space="preserve">? </w:t>
      </w:r>
    </w:p>
    <w:p w14:paraId="72134B8E" w14:textId="77777777" w:rsidR="005A6FFF" w:rsidRPr="00925391" w:rsidRDefault="00F9656F" w:rsidP="008950D3">
      <w:pPr>
        <w:pStyle w:val="Bullet1"/>
      </w:pPr>
      <w:r w:rsidRPr="00925391">
        <w:t xml:space="preserve">Are they </w:t>
      </w:r>
      <w:r w:rsidR="005A6FFF" w:rsidRPr="00925391">
        <w:t xml:space="preserve">involved in occasional or one-off </w:t>
      </w:r>
      <w:r w:rsidRPr="00925391">
        <w:t>activities/</w:t>
      </w:r>
      <w:r w:rsidR="005A6FFF" w:rsidRPr="00925391">
        <w:t>transactions above a certain threshold</w:t>
      </w:r>
      <w:r w:rsidRPr="00925391">
        <w:t>?</w:t>
      </w:r>
    </w:p>
    <w:p w14:paraId="6946696A" w14:textId="77777777" w:rsidR="005A6FFF" w:rsidRPr="00925391" w:rsidRDefault="00F9656F" w:rsidP="008950D3">
      <w:pPr>
        <w:pStyle w:val="Bullet1"/>
      </w:pPr>
      <w:r w:rsidRPr="00925391">
        <w:t xml:space="preserve">Do they use </w:t>
      </w:r>
      <w:r w:rsidR="005A6FFF" w:rsidRPr="00925391">
        <w:t>complex business structures that offer no apparent financial benefits</w:t>
      </w:r>
      <w:r w:rsidRPr="00925391">
        <w:t>?</w:t>
      </w:r>
    </w:p>
    <w:p w14:paraId="4D46F7D3" w14:textId="77777777" w:rsidR="00787653" w:rsidRPr="00925391" w:rsidRDefault="00F9656F" w:rsidP="00787653">
      <w:pPr>
        <w:pStyle w:val="Bullet1"/>
      </w:pPr>
      <w:r w:rsidRPr="00925391">
        <w:t>Are they a</w:t>
      </w:r>
      <w:r w:rsidR="005A6FFF" w:rsidRPr="00925391">
        <w:t xml:space="preserve"> </w:t>
      </w:r>
      <w:r w:rsidR="0015001F">
        <w:t>p</w:t>
      </w:r>
      <w:r w:rsidR="005A6FFF" w:rsidRPr="00925391">
        <w:t xml:space="preserve">olitically </w:t>
      </w:r>
      <w:r w:rsidR="0015001F">
        <w:t>e</w:t>
      </w:r>
      <w:r w:rsidR="005A6FFF" w:rsidRPr="00925391">
        <w:t>xpos</w:t>
      </w:r>
      <w:r w:rsidRPr="00925391">
        <w:t xml:space="preserve">ed </w:t>
      </w:r>
      <w:r w:rsidR="0015001F">
        <w:t>p</w:t>
      </w:r>
      <w:r w:rsidRPr="00925391">
        <w:t>erson (PEP)</w:t>
      </w:r>
      <w:r w:rsidR="00A207F1" w:rsidRPr="00925391">
        <w:t>?</w:t>
      </w:r>
      <w:r w:rsidR="001E7459" w:rsidRPr="00925391">
        <w:rPr>
          <w:rStyle w:val="FootnoteReference"/>
        </w:rPr>
        <w:footnoteReference w:id="14"/>
      </w:r>
    </w:p>
    <w:p w14:paraId="369E3E35" w14:textId="77777777" w:rsidR="005A6FFF" w:rsidRPr="00925391" w:rsidRDefault="00A11223" w:rsidP="00091EC6">
      <w:pPr>
        <w:pStyle w:val="Bullet1"/>
      </w:pPr>
      <w:r w:rsidRPr="00925391">
        <w:t>Are they a cash</w:t>
      </w:r>
      <w:r w:rsidR="00AE68F9" w:rsidRPr="00925391">
        <w:t>-</w:t>
      </w:r>
      <w:r w:rsidRPr="00925391">
        <w:t xml:space="preserve">intensive </w:t>
      </w:r>
      <w:r w:rsidR="00AE68F9" w:rsidRPr="00925391">
        <w:t>business</w:t>
      </w:r>
      <w:r w:rsidRPr="00925391">
        <w:t>?</w:t>
      </w:r>
    </w:p>
    <w:p w14:paraId="6FC547F3" w14:textId="77777777" w:rsidR="005A6FFF" w:rsidRPr="00925391" w:rsidRDefault="00A11223" w:rsidP="002004BA">
      <w:pPr>
        <w:pStyle w:val="Bullet1"/>
      </w:pPr>
      <w:r w:rsidRPr="00925391">
        <w:t xml:space="preserve">Are they </w:t>
      </w:r>
      <w:r w:rsidR="005A6FFF" w:rsidRPr="00925391">
        <w:t>involved in businesses</w:t>
      </w:r>
      <w:r w:rsidR="00E02CFE" w:rsidRPr="00925391">
        <w:t xml:space="preserve"> associated</w:t>
      </w:r>
      <w:r w:rsidRPr="00925391">
        <w:t xml:space="preserve"> with high levels of corruption?</w:t>
      </w:r>
    </w:p>
    <w:p w14:paraId="7E66272A" w14:textId="77777777" w:rsidR="00A11223" w:rsidRPr="00925391" w:rsidRDefault="00DC63B5" w:rsidP="00D17A2A">
      <w:pPr>
        <w:pStyle w:val="Bullet1"/>
      </w:pPr>
      <w:r w:rsidRPr="00925391">
        <w:t xml:space="preserve">Do they </w:t>
      </w:r>
      <w:r w:rsidR="00A11223" w:rsidRPr="00925391">
        <w:t xml:space="preserve">have </w:t>
      </w:r>
      <w:r w:rsidRPr="00925391">
        <w:t xml:space="preserve">an </w:t>
      </w:r>
      <w:r w:rsidR="00A11223" w:rsidRPr="00925391">
        <w:t xml:space="preserve">unexplained or hard to verify source of </w:t>
      </w:r>
      <w:r w:rsidR="005A6FFF" w:rsidRPr="00925391">
        <w:t>wealth and/or source of fun</w:t>
      </w:r>
      <w:r w:rsidR="00A11223" w:rsidRPr="00925391">
        <w:t xml:space="preserve">ds? </w:t>
      </w:r>
    </w:p>
    <w:p w14:paraId="2FF97A0F" w14:textId="77777777" w:rsidR="005A6FFF" w:rsidRPr="00925391" w:rsidRDefault="00940692" w:rsidP="00BD34AF">
      <w:pPr>
        <w:pStyle w:val="Bullet1"/>
      </w:pPr>
      <w:r w:rsidRPr="00925391">
        <w:t>Do they conduct business thr</w:t>
      </w:r>
      <w:r w:rsidR="00C626E6" w:rsidRPr="00925391">
        <w:t>ough, or are they introduced by</w:t>
      </w:r>
      <w:r w:rsidR="00922632">
        <w:t>,</w:t>
      </w:r>
      <w:r w:rsidRPr="00925391">
        <w:t xml:space="preserve"> gatekeepers such as accountants, lawyers, or other professionals? </w:t>
      </w:r>
      <w:r w:rsidR="00A205AE" w:rsidRPr="00925391">
        <w:t xml:space="preserve">(Refer to your </w:t>
      </w:r>
      <w:r w:rsidR="00A53541" w:rsidRPr="00925391">
        <w:t xml:space="preserve">relevant </w:t>
      </w:r>
      <w:r w:rsidR="00A205AE" w:rsidRPr="00925391">
        <w:t>SRA for more information on gatekeepers</w:t>
      </w:r>
      <w:r w:rsidR="00AE68F9" w:rsidRPr="00925391">
        <w:t>.</w:t>
      </w:r>
      <w:r w:rsidR="00A205AE" w:rsidRPr="00925391">
        <w:t>)</w:t>
      </w:r>
    </w:p>
    <w:p w14:paraId="10CC5869" w14:textId="77777777" w:rsidR="005A6FFF" w:rsidRPr="00925391" w:rsidRDefault="00DC63B5" w:rsidP="00AE68F9">
      <w:pPr>
        <w:pStyle w:val="Bullet1"/>
      </w:pPr>
      <w:r w:rsidRPr="00925391">
        <w:t xml:space="preserve">Are they </w:t>
      </w:r>
      <w:r w:rsidR="00A11223" w:rsidRPr="00925391">
        <w:t xml:space="preserve">a </w:t>
      </w:r>
      <w:r w:rsidR="005A6FFF" w:rsidRPr="00925391">
        <w:t>non-profit organisation</w:t>
      </w:r>
      <w:r w:rsidR="00A11223" w:rsidRPr="00925391">
        <w:t>?</w:t>
      </w:r>
    </w:p>
    <w:p w14:paraId="0A686826" w14:textId="77777777" w:rsidR="0009357D" w:rsidRPr="00925391" w:rsidRDefault="0009357D" w:rsidP="002004BA">
      <w:pPr>
        <w:pStyle w:val="Bullet1"/>
      </w:pPr>
      <w:r w:rsidRPr="00925391">
        <w:t xml:space="preserve">Have they been identified in the NRA, </w:t>
      </w:r>
      <w:r w:rsidR="00134A49">
        <w:t xml:space="preserve">FIU </w:t>
      </w:r>
      <w:r w:rsidR="00A37C2D">
        <w:t>guidance material</w:t>
      </w:r>
      <w:r w:rsidR="00134A49" w:rsidRPr="00925391">
        <w:t xml:space="preserve"> </w:t>
      </w:r>
      <w:r w:rsidRPr="00925391">
        <w:t>or SRAs as presenting a higher ML/TF risk?</w:t>
      </w:r>
    </w:p>
    <w:p w14:paraId="62702F87" w14:textId="77777777" w:rsidR="0009357D" w:rsidRPr="00925391" w:rsidRDefault="0009357D" w:rsidP="00D17A2A">
      <w:pPr>
        <w:pStyle w:val="Bullet1"/>
        <w:numPr>
          <w:ilvl w:val="0"/>
          <w:numId w:val="0"/>
        </w:numPr>
        <w:ind w:left="720"/>
      </w:pPr>
    </w:p>
    <w:p w14:paraId="04DC30F4" w14:textId="77777777" w:rsidR="0009357D" w:rsidRPr="00C00452" w:rsidRDefault="005F3133" w:rsidP="00A7029F">
      <w:pPr>
        <w:pStyle w:val="Numbers1"/>
        <w:rPr>
          <w:rStyle w:val="label"/>
        </w:rPr>
      </w:pPr>
      <w:r w:rsidRPr="00C00452">
        <w:t xml:space="preserve">This list is not </w:t>
      </w:r>
      <w:r w:rsidR="00A37C2D" w:rsidRPr="00C00452">
        <w:t>exhaustive,</w:t>
      </w:r>
      <w:r w:rsidRPr="00C00452">
        <w:t xml:space="preserve"> and m</w:t>
      </w:r>
      <w:r w:rsidR="0009357D" w:rsidRPr="00C00452">
        <w:t>any other factors can contribute to customer ML/TF risk.</w:t>
      </w:r>
      <w:r w:rsidR="00E02CFE" w:rsidRPr="00C00452">
        <w:t xml:space="preserve"> As with your products and services i</w:t>
      </w:r>
      <w:r w:rsidR="0009357D" w:rsidRPr="00C00452">
        <w:t>t will be your responsibility to identify those factors as part of your risk assessment</w:t>
      </w:r>
      <w:r w:rsidR="00E02CFE" w:rsidRPr="00C00452">
        <w:t>. Domestic and international g</w:t>
      </w:r>
      <w:r w:rsidR="0009357D" w:rsidRPr="00C00452">
        <w:t xml:space="preserve">uidance material will help you in this exercise. </w:t>
      </w:r>
    </w:p>
    <w:p w14:paraId="0E4EAB21" w14:textId="77777777" w:rsidR="005A6FFF" w:rsidRPr="00C00452" w:rsidRDefault="005A6FFF" w:rsidP="008950D3">
      <w:pPr>
        <w:pStyle w:val="Bullet1"/>
        <w:numPr>
          <w:ilvl w:val="0"/>
          <w:numId w:val="0"/>
        </w:numPr>
        <w:ind w:left="720"/>
      </w:pPr>
    </w:p>
    <w:p w14:paraId="7B07C416" w14:textId="77777777" w:rsidR="005A6FFF" w:rsidRPr="00C00452" w:rsidRDefault="005A6FFF" w:rsidP="00BD34AF">
      <w:pPr>
        <w:pStyle w:val="Heading2"/>
        <w:rPr>
          <w:lang w:val="en-NZ"/>
        </w:rPr>
      </w:pPr>
      <w:r w:rsidRPr="00C00452">
        <w:rPr>
          <w:lang w:val="en-NZ"/>
        </w:rPr>
        <w:t>The cou</w:t>
      </w:r>
      <w:r w:rsidR="00BA44C2" w:rsidRPr="00C00452">
        <w:rPr>
          <w:lang w:val="en-NZ"/>
        </w:rPr>
        <w:t>ntries your business deals with</w:t>
      </w:r>
    </w:p>
    <w:p w14:paraId="73FA7B8C" w14:textId="77777777" w:rsidR="00570922" w:rsidRPr="00C00452" w:rsidRDefault="00A205AE" w:rsidP="00A7029F">
      <w:pPr>
        <w:pStyle w:val="Numbers1"/>
      </w:pPr>
      <w:r w:rsidRPr="00C00452">
        <w:t>I</w:t>
      </w:r>
      <w:r w:rsidR="00570922" w:rsidRPr="00C00452">
        <w:t>t is important to understand that the risks associated with a country are wider than</w:t>
      </w:r>
      <w:r w:rsidR="006B046C" w:rsidRPr="00C00452">
        <w:t xml:space="preserve"> </w:t>
      </w:r>
      <w:r w:rsidR="00570922" w:rsidRPr="00C00452">
        <w:t xml:space="preserve">having insufficient AML/CFT measures in place. </w:t>
      </w:r>
      <w:r w:rsidR="007D64E3" w:rsidRPr="00C00452">
        <w:t xml:space="preserve">It is also important to recognise the international operation of ML/TF and that New Zealand’s </w:t>
      </w:r>
      <w:r w:rsidR="00C00452" w:rsidRPr="00C00452">
        <w:t xml:space="preserve">reputation as a high-integrity, low-corruption jurisdiction makes it </w:t>
      </w:r>
      <w:r w:rsidR="007D64E3" w:rsidRPr="00C00452">
        <w:t xml:space="preserve">vulnerable to </w:t>
      </w:r>
      <w:r w:rsidR="006C2791" w:rsidRPr="00C00452">
        <w:t>abuse</w:t>
      </w:r>
      <w:r w:rsidR="007D64E3" w:rsidRPr="00C00452">
        <w:t xml:space="preserve">. </w:t>
      </w:r>
      <w:r w:rsidR="00570922" w:rsidRPr="00C00452">
        <w:t>Country risk can result from:</w:t>
      </w:r>
    </w:p>
    <w:p w14:paraId="6B6297ED" w14:textId="77777777" w:rsidR="00570922" w:rsidRPr="00925391" w:rsidRDefault="00193FC3" w:rsidP="008950D3">
      <w:pPr>
        <w:pStyle w:val="Bullet1"/>
      </w:pPr>
      <w:r w:rsidRPr="00925391">
        <w:t xml:space="preserve">ineffective </w:t>
      </w:r>
      <w:r w:rsidR="00570922" w:rsidRPr="00925391">
        <w:t>AML/CFT measures</w:t>
      </w:r>
    </w:p>
    <w:p w14:paraId="406B58DB" w14:textId="77777777" w:rsidR="00E02CFE" w:rsidRPr="00925391" w:rsidRDefault="00E02CFE" w:rsidP="008950D3">
      <w:pPr>
        <w:pStyle w:val="Bullet1"/>
      </w:pPr>
      <w:r w:rsidRPr="00925391">
        <w:t>ineffective rule of law and economic stability</w:t>
      </w:r>
    </w:p>
    <w:p w14:paraId="713CA9D7" w14:textId="77777777" w:rsidR="00570922" w:rsidRPr="00925391" w:rsidRDefault="00193FC3" w:rsidP="008950D3">
      <w:pPr>
        <w:pStyle w:val="Bullet1"/>
      </w:pPr>
      <w:r w:rsidRPr="00925391">
        <w:t xml:space="preserve">high </w:t>
      </w:r>
      <w:r w:rsidR="00570922" w:rsidRPr="00925391">
        <w:t>levels of organised crime</w:t>
      </w:r>
    </w:p>
    <w:p w14:paraId="3F4C869B" w14:textId="77777777" w:rsidR="00570922" w:rsidRPr="00925391" w:rsidRDefault="00193FC3" w:rsidP="00091EC6">
      <w:pPr>
        <w:pStyle w:val="Bullet1"/>
      </w:pPr>
      <w:r w:rsidRPr="00925391">
        <w:t xml:space="preserve">prevalence </w:t>
      </w:r>
      <w:r w:rsidR="006C2791" w:rsidRPr="00925391">
        <w:t>of b</w:t>
      </w:r>
      <w:r w:rsidR="00570922" w:rsidRPr="00925391">
        <w:t>ribery and corruption</w:t>
      </w:r>
    </w:p>
    <w:p w14:paraId="75D4B88E" w14:textId="77777777" w:rsidR="00570922" w:rsidRPr="00925391" w:rsidRDefault="00193FC3" w:rsidP="00091EC6">
      <w:pPr>
        <w:pStyle w:val="Bullet1"/>
      </w:pPr>
      <w:r w:rsidRPr="00925391">
        <w:t xml:space="preserve">association </w:t>
      </w:r>
      <w:r w:rsidR="00570922" w:rsidRPr="00925391">
        <w:t>with TF</w:t>
      </w:r>
    </w:p>
    <w:p w14:paraId="7CB90E07" w14:textId="77777777" w:rsidR="00570922" w:rsidRPr="00925391" w:rsidRDefault="00193FC3" w:rsidP="002004BA">
      <w:pPr>
        <w:pStyle w:val="Bullet1"/>
      </w:pPr>
      <w:r w:rsidRPr="00925391">
        <w:lastRenderedPageBreak/>
        <w:t xml:space="preserve">conflict </w:t>
      </w:r>
      <w:r w:rsidR="00570922" w:rsidRPr="00925391">
        <w:t xml:space="preserve">zones and </w:t>
      </w:r>
      <w:r w:rsidR="00A207F1" w:rsidRPr="00925391">
        <w:t xml:space="preserve">their </w:t>
      </w:r>
      <w:r w:rsidR="00570922" w:rsidRPr="00925391">
        <w:t>bordering countries</w:t>
      </w:r>
    </w:p>
    <w:p w14:paraId="625C18DA" w14:textId="77777777" w:rsidR="00570922" w:rsidRPr="00925391" w:rsidRDefault="00193FC3" w:rsidP="00D17A2A">
      <w:pPr>
        <w:pStyle w:val="Bullet1"/>
      </w:pPr>
      <w:r w:rsidRPr="00925391">
        <w:t xml:space="preserve">production </w:t>
      </w:r>
      <w:r w:rsidR="00570922" w:rsidRPr="00925391">
        <w:t>and/or transnational shipment of illicit drugs.</w:t>
      </w:r>
    </w:p>
    <w:p w14:paraId="02325C35" w14:textId="77777777" w:rsidR="00570922" w:rsidRPr="00925391" w:rsidRDefault="00570922" w:rsidP="00A7029F">
      <w:pPr>
        <w:pStyle w:val="Numbers1"/>
        <w:numPr>
          <w:ilvl w:val="0"/>
          <w:numId w:val="0"/>
        </w:numPr>
        <w:ind w:left="471" w:hanging="471"/>
        <w:rPr>
          <w:rFonts w:cs="Arial"/>
        </w:rPr>
      </w:pPr>
    </w:p>
    <w:p w14:paraId="61081E24" w14:textId="77777777" w:rsidR="00570922" w:rsidRPr="00925391" w:rsidRDefault="001F2944" w:rsidP="001F2944">
      <w:pPr>
        <w:pStyle w:val="Numbers1"/>
      </w:pPr>
      <w:r w:rsidRPr="00925391">
        <w:t>To help you determine country risk, t</w:t>
      </w:r>
      <w:r w:rsidR="00570922" w:rsidRPr="00925391">
        <w:t xml:space="preserve">he </w:t>
      </w:r>
      <w:r w:rsidR="0009357D" w:rsidRPr="00925391">
        <w:t>AML/CFT supervisor</w:t>
      </w:r>
      <w:r w:rsidR="00437BAF" w:rsidRPr="00925391">
        <w:t>s</w:t>
      </w:r>
      <w:r w:rsidR="0009357D" w:rsidRPr="00925391">
        <w:t xml:space="preserve"> produced</w:t>
      </w:r>
      <w:r w:rsidR="00437BAF" w:rsidRPr="00925391">
        <w:t xml:space="preserve"> the</w:t>
      </w:r>
      <w:r w:rsidR="0009357D" w:rsidRPr="00925391">
        <w:t xml:space="preserve"> </w:t>
      </w:r>
      <w:r w:rsidR="00570922" w:rsidRPr="00925391">
        <w:rPr>
          <w:i/>
        </w:rPr>
        <w:t>Countries Assessment Guideline</w:t>
      </w:r>
      <w:r w:rsidR="006C2791" w:rsidRPr="00925391">
        <w:t>.</w:t>
      </w:r>
      <w:r w:rsidR="005C69BE" w:rsidRPr="00925391">
        <w:rPr>
          <w:rStyle w:val="FootnoteReference"/>
        </w:rPr>
        <w:footnoteReference w:id="15"/>
      </w:r>
      <w:r w:rsidR="006C2791" w:rsidRPr="00925391">
        <w:t xml:space="preserve"> Other </w:t>
      </w:r>
      <w:r w:rsidR="00570922" w:rsidRPr="00925391">
        <w:t>information sources that can help you in assessing country risk</w:t>
      </w:r>
      <w:r w:rsidR="006C2791" w:rsidRPr="00925391">
        <w:t xml:space="preserve"> include</w:t>
      </w:r>
      <w:r w:rsidR="00570922" w:rsidRPr="00925391">
        <w:t>:</w:t>
      </w:r>
    </w:p>
    <w:p w14:paraId="0F793076" w14:textId="77777777" w:rsidR="00570922" w:rsidRPr="00925391" w:rsidRDefault="00A205AE" w:rsidP="008950D3">
      <w:pPr>
        <w:pStyle w:val="Bullet1"/>
      </w:pPr>
      <w:r w:rsidRPr="00925391">
        <w:t>FATF</w:t>
      </w:r>
      <w:r w:rsidR="00570922" w:rsidRPr="00925391">
        <w:t xml:space="preserve"> list of high-risk and non-cooperative jurisdictions</w:t>
      </w:r>
      <w:r w:rsidR="00154320" w:rsidRPr="00925391">
        <w:rPr>
          <w:rStyle w:val="FootnoteReference"/>
        </w:rPr>
        <w:footnoteReference w:id="16"/>
      </w:r>
    </w:p>
    <w:p w14:paraId="3744E021" w14:textId="77777777" w:rsidR="00570922" w:rsidRPr="00925391" w:rsidRDefault="00570922" w:rsidP="008950D3">
      <w:pPr>
        <w:pStyle w:val="Bullet1"/>
      </w:pPr>
      <w:r w:rsidRPr="00925391">
        <w:t>FATF mutual evaluation reports</w:t>
      </w:r>
    </w:p>
    <w:p w14:paraId="685733D8" w14:textId="77777777" w:rsidR="00570922" w:rsidRPr="00925391" w:rsidRDefault="004C5019" w:rsidP="00091EC6">
      <w:pPr>
        <w:pStyle w:val="Bullet1"/>
      </w:pPr>
      <w:r w:rsidRPr="00925391">
        <w:t>European Union</w:t>
      </w:r>
      <w:r w:rsidR="00570922" w:rsidRPr="00925391">
        <w:t xml:space="preserve"> AML and </w:t>
      </w:r>
      <w:r w:rsidR="004C6671" w:rsidRPr="00925391">
        <w:t>t</w:t>
      </w:r>
      <w:r w:rsidR="00570922" w:rsidRPr="00925391">
        <w:t>ax blacklists</w:t>
      </w:r>
    </w:p>
    <w:p w14:paraId="746CC7D9" w14:textId="77777777" w:rsidR="00570922" w:rsidRPr="00925391" w:rsidRDefault="00570922" w:rsidP="00091EC6">
      <w:pPr>
        <w:pStyle w:val="Bullet1"/>
      </w:pPr>
      <w:r w:rsidRPr="00925391">
        <w:t>Basel AML Index</w:t>
      </w:r>
      <w:r w:rsidR="006A6E26" w:rsidRPr="00925391">
        <w:rPr>
          <w:rStyle w:val="FootnoteReference"/>
        </w:rPr>
        <w:footnoteReference w:id="17"/>
      </w:r>
    </w:p>
    <w:p w14:paraId="0C3BBCA2" w14:textId="77777777" w:rsidR="00570922" w:rsidRPr="00925391" w:rsidRDefault="00570922" w:rsidP="004C6671">
      <w:pPr>
        <w:pStyle w:val="Bullet1"/>
      </w:pPr>
      <w:r w:rsidRPr="00925391">
        <w:t>United Nations Office on Drugs and Crime</w:t>
      </w:r>
      <w:r w:rsidR="007D64E3" w:rsidRPr="00925391">
        <w:t xml:space="preserve"> (UNODC)</w:t>
      </w:r>
      <w:r w:rsidR="006A6E26" w:rsidRPr="00925391">
        <w:rPr>
          <w:rStyle w:val="FootnoteReference"/>
        </w:rPr>
        <w:footnoteReference w:id="18"/>
      </w:r>
      <w:r w:rsidRPr="00925391">
        <w:t xml:space="preserve"> reports</w:t>
      </w:r>
    </w:p>
    <w:p w14:paraId="6AC03C6F" w14:textId="77777777" w:rsidR="00570922" w:rsidRPr="00925391" w:rsidRDefault="00570922" w:rsidP="004C6671">
      <w:pPr>
        <w:pStyle w:val="Bullet1"/>
      </w:pPr>
      <w:r w:rsidRPr="00925391">
        <w:t>Transparency International Corruption Perceptions Index</w:t>
      </w:r>
      <w:r w:rsidR="006A6E26" w:rsidRPr="00925391">
        <w:rPr>
          <w:rStyle w:val="FootnoteReference"/>
        </w:rPr>
        <w:footnoteReference w:id="19"/>
      </w:r>
    </w:p>
    <w:p w14:paraId="6BDB6742" w14:textId="77777777" w:rsidR="00570922" w:rsidRPr="00925391" w:rsidRDefault="006B046C" w:rsidP="002004BA">
      <w:pPr>
        <w:pStyle w:val="Bullet1"/>
      </w:pPr>
      <w:r>
        <w:t>trusted</w:t>
      </w:r>
      <w:r w:rsidR="001F2944" w:rsidRPr="00925391">
        <w:t xml:space="preserve"> </w:t>
      </w:r>
      <w:r w:rsidR="00570922" w:rsidRPr="00925391">
        <w:t>and independent media sources</w:t>
      </w:r>
      <w:r w:rsidR="001F2944" w:rsidRPr="00925391">
        <w:t>.</w:t>
      </w:r>
    </w:p>
    <w:p w14:paraId="5B152F42" w14:textId="77777777" w:rsidR="00CE7504" w:rsidRPr="00925391" w:rsidRDefault="00CE7504" w:rsidP="004B4E5A">
      <w:pPr>
        <w:pStyle w:val="Bullet1"/>
        <w:numPr>
          <w:ilvl w:val="0"/>
          <w:numId w:val="0"/>
        </w:numPr>
        <w:ind w:left="720"/>
      </w:pPr>
    </w:p>
    <w:p w14:paraId="56C2E08D" w14:textId="77777777" w:rsidR="00CE7504" w:rsidRPr="00925391" w:rsidRDefault="00CE7504" w:rsidP="00A7029F">
      <w:pPr>
        <w:pStyle w:val="Numbers1"/>
      </w:pPr>
      <w:r w:rsidRPr="00925391">
        <w:t>While not directly associated with AML/CFT</w:t>
      </w:r>
      <w:r w:rsidR="004C6671" w:rsidRPr="00925391">
        <w:t>,</w:t>
      </w:r>
      <w:r w:rsidRPr="00925391">
        <w:t xml:space="preserve"> you may want to consider checking if countries </w:t>
      </w:r>
      <w:r w:rsidR="00D85C8F" w:rsidRPr="00925391">
        <w:t xml:space="preserve">are </w:t>
      </w:r>
      <w:r w:rsidRPr="00925391">
        <w:t>subject to United Nations</w:t>
      </w:r>
      <w:r w:rsidR="001E7459" w:rsidRPr="00925391">
        <w:t xml:space="preserve"> sanctions</w:t>
      </w:r>
      <w:r w:rsidR="00922632">
        <w:t>,</w:t>
      </w:r>
      <w:r w:rsidR="001E7459" w:rsidRPr="00925391">
        <w:t xml:space="preserve"> </w:t>
      </w:r>
      <w:r w:rsidRPr="00925391">
        <w:t>embargoes or similar measures.</w:t>
      </w:r>
    </w:p>
    <w:p w14:paraId="0D2D5871" w14:textId="77777777" w:rsidR="005A6FFF" w:rsidRPr="00925391" w:rsidRDefault="005A6FFF" w:rsidP="00A7029F">
      <w:pPr>
        <w:rPr>
          <w:rFonts w:cs="Arial"/>
          <w:lang w:val="en-NZ"/>
        </w:rPr>
      </w:pPr>
    </w:p>
    <w:p w14:paraId="1FA6AB03" w14:textId="77777777" w:rsidR="005A6FFF" w:rsidRPr="00925391" w:rsidRDefault="005A6FFF" w:rsidP="00BD34AF">
      <w:pPr>
        <w:pStyle w:val="Heading2"/>
        <w:rPr>
          <w:lang w:val="en-NZ"/>
        </w:rPr>
      </w:pPr>
      <w:r w:rsidRPr="00925391">
        <w:rPr>
          <w:lang w:val="en-NZ"/>
        </w:rPr>
        <w:t>The institutions your business deals with</w:t>
      </w:r>
    </w:p>
    <w:p w14:paraId="57FB6243" w14:textId="77777777" w:rsidR="005A6FFF" w:rsidRPr="00925391" w:rsidRDefault="006C2791" w:rsidP="00A7029F">
      <w:pPr>
        <w:pStyle w:val="Numbers1"/>
      </w:pPr>
      <w:r w:rsidRPr="00925391">
        <w:t>Some institutions present more ML/TF risk than others. This may be due to the nature of their industry or their association</w:t>
      </w:r>
      <w:r w:rsidR="00FB4706" w:rsidRPr="00925391">
        <w:t>, or the</w:t>
      </w:r>
      <w:r w:rsidRPr="00925391">
        <w:t xml:space="preserve"> types of business relationships</w:t>
      </w:r>
      <w:r w:rsidR="00FB4706" w:rsidRPr="00925391">
        <w:t xml:space="preserve"> that they have</w:t>
      </w:r>
      <w:r w:rsidRPr="00925391">
        <w:t>. For instance</w:t>
      </w:r>
      <w:r w:rsidR="00667A7E" w:rsidRPr="00925391">
        <w:t>,</w:t>
      </w:r>
      <w:r w:rsidRPr="00925391">
        <w:t xml:space="preserve"> </w:t>
      </w:r>
      <w:r w:rsidR="005A6FFF" w:rsidRPr="00925391">
        <w:t xml:space="preserve">financial </w:t>
      </w:r>
      <w:r w:rsidR="00EF6600" w:rsidRPr="00925391">
        <w:t>institutions that</w:t>
      </w:r>
      <w:r w:rsidR="005A6FFF" w:rsidRPr="00925391">
        <w:t xml:space="preserve"> are </w:t>
      </w:r>
      <w:r w:rsidR="006C3BAB" w:rsidRPr="00925391">
        <w:t xml:space="preserve">unregulated or shell companies and </w:t>
      </w:r>
      <w:r w:rsidRPr="00925391">
        <w:t xml:space="preserve">banks </w:t>
      </w:r>
      <w:r w:rsidR="005A6FFF" w:rsidRPr="00925391">
        <w:t>are</w:t>
      </w:r>
      <w:r w:rsidR="006C3BAB" w:rsidRPr="00925391">
        <w:t xml:space="preserve"> high-risk institutions and are </w:t>
      </w:r>
      <w:r w:rsidR="00667A7E" w:rsidRPr="00925391">
        <w:t>more likely to be used for ML/TF</w:t>
      </w:r>
      <w:r w:rsidR="00A23DA2" w:rsidRPr="00925391">
        <w:t xml:space="preserve"> purposes</w:t>
      </w:r>
      <w:r w:rsidR="006C3BAB" w:rsidRPr="00925391">
        <w:t xml:space="preserve"> or </w:t>
      </w:r>
      <w:r w:rsidR="00667A7E" w:rsidRPr="00925391">
        <w:t>operated</w:t>
      </w:r>
      <w:r w:rsidR="00A23DA2" w:rsidRPr="00925391">
        <w:t xml:space="preserve"> by criminals to disguise beneficial ownership</w:t>
      </w:r>
      <w:r w:rsidR="005A6FFF" w:rsidRPr="00925391">
        <w:t>.</w:t>
      </w:r>
    </w:p>
    <w:p w14:paraId="61F58BD0" w14:textId="77777777" w:rsidR="00CE7504" w:rsidRPr="00925391" w:rsidRDefault="00CE7504" w:rsidP="00A7029F">
      <w:pPr>
        <w:pStyle w:val="Numbers1"/>
        <w:numPr>
          <w:ilvl w:val="0"/>
          <w:numId w:val="0"/>
        </w:numPr>
        <w:ind w:left="471"/>
      </w:pPr>
    </w:p>
    <w:p w14:paraId="2401A4D9" w14:textId="77777777" w:rsidR="00CE7504" w:rsidRPr="00925391" w:rsidRDefault="006C2791" w:rsidP="00A7029F">
      <w:pPr>
        <w:pStyle w:val="Numbers1"/>
      </w:pPr>
      <w:r w:rsidRPr="00925391">
        <w:t>H</w:t>
      </w:r>
      <w:r w:rsidR="00CE7504" w:rsidRPr="00925391">
        <w:t>igher</w:t>
      </w:r>
      <w:r w:rsidR="00D85C8F" w:rsidRPr="00925391">
        <w:t>-</w:t>
      </w:r>
      <w:r w:rsidR="00CE7504" w:rsidRPr="00925391">
        <w:t>risk entities su</w:t>
      </w:r>
      <w:r w:rsidR="0004747C" w:rsidRPr="00925391">
        <w:t>ch as banks, money remitters</w:t>
      </w:r>
      <w:r w:rsidRPr="00925391">
        <w:t xml:space="preserve"> and gatekeepers </w:t>
      </w:r>
      <w:r w:rsidR="00CE7504" w:rsidRPr="00925391">
        <w:t xml:space="preserve">are vulnerable to exploitation for ML/TF purposes and can represent risk to your business. </w:t>
      </w:r>
      <w:r w:rsidR="00A53541" w:rsidRPr="00925391">
        <w:t>We recommend</w:t>
      </w:r>
      <w:r w:rsidR="008E6C26" w:rsidRPr="00925391">
        <w:t xml:space="preserve"> that you refer to</w:t>
      </w:r>
      <w:r w:rsidR="00E02CFE" w:rsidRPr="00925391">
        <w:t xml:space="preserve"> the NRA and</w:t>
      </w:r>
      <w:r w:rsidR="008E6C26" w:rsidRPr="00925391">
        <w:t xml:space="preserve"> your </w:t>
      </w:r>
      <w:r w:rsidR="00A53541" w:rsidRPr="00925391">
        <w:t xml:space="preserve">relevant </w:t>
      </w:r>
      <w:r w:rsidR="008E6C26" w:rsidRPr="00925391">
        <w:t>SRA</w:t>
      </w:r>
      <w:r w:rsidR="00CE7504" w:rsidRPr="00925391">
        <w:t xml:space="preserve"> for further informat</w:t>
      </w:r>
      <w:r w:rsidR="009A0202" w:rsidRPr="00925391">
        <w:t>ion.</w:t>
      </w:r>
    </w:p>
    <w:p w14:paraId="6E1DDD17" w14:textId="77777777" w:rsidR="005A6FFF" w:rsidRPr="00925391" w:rsidRDefault="005A6FFF" w:rsidP="00A7029F">
      <w:pPr>
        <w:rPr>
          <w:rFonts w:cs="Arial"/>
          <w:lang w:val="en-NZ"/>
        </w:rPr>
      </w:pPr>
    </w:p>
    <w:p w14:paraId="0AB7A768" w14:textId="77777777" w:rsidR="005A6FFF" w:rsidRPr="00925391" w:rsidRDefault="005A6FFF" w:rsidP="00BD34AF">
      <w:pPr>
        <w:pStyle w:val="Heading2"/>
        <w:rPr>
          <w:lang w:val="en-NZ"/>
        </w:rPr>
      </w:pPr>
      <w:r w:rsidRPr="00925391">
        <w:rPr>
          <w:lang w:val="en-NZ"/>
        </w:rPr>
        <w:t>Other factors to consider when identifying aspects of your business that may be</w:t>
      </w:r>
      <w:r w:rsidRPr="00925391" w:rsidDel="005401D4">
        <w:rPr>
          <w:lang w:val="en-NZ"/>
        </w:rPr>
        <w:t xml:space="preserve"> </w:t>
      </w:r>
      <w:r w:rsidR="00667A7E" w:rsidRPr="00925391">
        <w:rPr>
          <w:lang w:val="en-NZ"/>
        </w:rPr>
        <w:t>susceptible to ML/TF</w:t>
      </w:r>
    </w:p>
    <w:p w14:paraId="429DF18F" w14:textId="77777777" w:rsidR="005A6FFF" w:rsidRPr="00925391" w:rsidRDefault="006306E3" w:rsidP="00A7029F">
      <w:pPr>
        <w:pStyle w:val="Numbers1"/>
        <w:rPr>
          <w:rFonts w:cs="Arial"/>
        </w:rPr>
      </w:pPr>
      <w:r w:rsidRPr="00925391">
        <w:rPr>
          <w:rFonts w:cs="Arial"/>
        </w:rPr>
        <w:t>The Act also sets</w:t>
      </w:r>
      <w:r w:rsidR="005A6FFF" w:rsidRPr="00925391">
        <w:rPr>
          <w:rFonts w:cs="Arial"/>
        </w:rPr>
        <w:t xml:space="preserve"> out </w:t>
      </w:r>
      <w:r w:rsidRPr="00925391">
        <w:rPr>
          <w:rFonts w:cs="Arial"/>
        </w:rPr>
        <w:t xml:space="preserve">special steps you </w:t>
      </w:r>
      <w:r w:rsidR="005A6FFF" w:rsidRPr="00925391">
        <w:rPr>
          <w:rFonts w:cs="Arial"/>
          <w:b/>
        </w:rPr>
        <w:t>must</w:t>
      </w:r>
      <w:r w:rsidR="005A6FFF" w:rsidRPr="00925391">
        <w:rPr>
          <w:rFonts w:cs="Arial"/>
        </w:rPr>
        <w:t xml:space="preserve"> take in relation to PEPs, wire transfers, correspond</w:t>
      </w:r>
      <w:r w:rsidR="006A6E26" w:rsidRPr="00925391">
        <w:rPr>
          <w:rFonts w:cs="Arial"/>
        </w:rPr>
        <w:t>ent banking and new technologies</w:t>
      </w:r>
      <w:r w:rsidR="00EF6600" w:rsidRPr="00925391">
        <w:rPr>
          <w:rFonts w:cs="Arial"/>
        </w:rPr>
        <w:t>.</w:t>
      </w:r>
      <w:r w:rsidR="005A6FFF" w:rsidRPr="00925391">
        <w:rPr>
          <w:rFonts w:cs="Arial"/>
        </w:rPr>
        <w:t xml:space="preserve"> This information should </w:t>
      </w:r>
      <w:r w:rsidR="001F2944" w:rsidRPr="00925391">
        <w:rPr>
          <w:rFonts w:cs="Arial"/>
        </w:rPr>
        <w:t>help you to identify</w:t>
      </w:r>
      <w:r w:rsidRPr="00925391">
        <w:rPr>
          <w:rFonts w:cs="Arial"/>
        </w:rPr>
        <w:t xml:space="preserve"> high-</w:t>
      </w:r>
      <w:r w:rsidR="005A6FFF" w:rsidRPr="00925391">
        <w:rPr>
          <w:rFonts w:cs="Arial"/>
        </w:rPr>
        <w:t>risk areas of your business.</w:t>
      </w:r>
    </w:p>
    <w:p w14:paraId="4048DE4E" w14:textId="77777777" w:rsidR="005A6FFF" w:rsidRPr="00925391" w:rsidRDefault="005A6FFF" w:rsidP="00A7029F">
      <w:pPr>
        <w:pStyle w:val="Numbers1"/>
        <w:numPr>
          <w:ilvl w:val="0"/>
          <w:numId w:val="0"/>
        </w:numPr>
        <w:rPr>
          <w:rFonts w:cs="Arial"/>
        </w:rPr>
      </w:pPr>
    </w:p>
    <w:p w14:paraId="46852AA1" w14:textId="77777777" w:rsidR="0069565B" w:rsidRPr="00527E14" w:rsidRDefault="005A6FFF" w:rsidP="00527E14">
      <w:pPr>
        <w:pStyle w:val="Numbers1"/>
        <w:rPr>
          <w:rFonts w:cs="Arial"/>
        </w:rPr>
      </w:pPr>
      <w:r w:rsidRPr="00925391">
        <w:rPr>
          <w:rFonts w:cs="Arial"/>
        </w:rPr>
        <w:t xml:space="preserve">The </w:t>
      </w:r>
      <w:r w:rsidR="006306E3" w:rsidRPr="00925391">
        <w:rPr>
          <w:rFonts w:cs="Arial"/>
        </w:rPr>
        <w:t xml:space="preserve">NRA and SRAs </w:t>
      </w:r>
      <w:r w:rsidR="00A23DA2" w:rsidRPr="00925391">
        <w:rPr>
          <w:rFonts w:cs="Arial"/>
        </w:rPr>
        <w:t xml:space="preserve">are </w:t>
      </w:r>
      <w:r w:rsidRPr="00925391">
        <w:rPr>
          <w:rFonts w:cs="Arial"/>
        </w:rPr>
        <w:t xml:space="preserve">useful sources of information when identifying how your </w:t>
      </w:r>
      <w:r w:rsidR="00667A7E" w:rsidRPr="00925391">
        <w:rPr>
          <w:rFonts w:cs="Arial"/>
        </w:rPr>
        <w:t>business could be used for ML/TF</w:t>
      </w:r>
      <w:r w:rsidRPr="00925391">
        <w:rPr>
          <w:rFonts w:cs="Arial"/>
        </w:rPr>
        <w:t xml:space="preserve">. </w:t>
      </w:r>
      <w:r w:rsidR="00940692" w:rsidRPr="00527E14">
        <w:rPr>
          <w:rFonts w:cs="Arial"/>
        </w:rPr>
        <w:t xml:space="preserve">You should also consider emerging trends that are </w:t>
      </w:r>
      <w:r w:rsidR="002E0ABA" w:rsidRPr="00527E14">
        <w:rPr>
          <w:rFonts w:cs="Arial"/>
        </w:rPr>
        <w:t xml:space="preserve">signalled by the FIU in their </w:t>
      </w:r>
      <w:r w:rsidR="0096087A" w:rsidRPr="00527E14">
        <w:rPr>
          <w:rFonts w:cs="Arial"/>
        </w:rPr>
        <w:t>guidance</w:t>
      </w:r>
      <w:r w:rsidR="00940692" w:rsidRPr="00527E14">
        <w:rPr>
          <w:rFonts w:cs="Arial"/>
        </w:rPr>
        <w:t xml:space="preserve"> when identifying risks in your business.</w:t>
      </w:r>
      <w:r w:rsidR="006C3BAB" w:rsidRPr="00527E14">
        <w:rPr>
          <w:rFonts w:cs="Arial"/>
        </w:rPr>
        <w:t xml:space="preserve"> </w:t>
      </w:r>
      <w:r w:rsidR="006306E3" w:rsidRPr="00527E14">
        <w:rPr>
          <w:rFonts w:cs="Arial"/>
        </w:rPr>
        <w:t>I</w:t>
      </w:r>
      <w:r w:rsidRPr="00527E14">
        <w:rPr>
          <w:rFonts w:cs="Arial"/>
        </w:rPr>
        <w:t>nformation on current ML</w:t>
      </w:r>
      <w:r w:rsidR="00667A7E" w:rsidRPr="00527E14">
        <w:rPr>
          <w:rFonts w:cs="Arial"/>
        </w:rPr>
        <w:t>/TF</w:t>
      </w:r>
      <w:r w:rsidR="006A6E26" w:rsidRPr="00527E14">
        <w:rPr>
          <w:rFonts w:cs="Arial"/>
        </w:rPr>
        <w:t xml:space="preserve"> methods is available on the FATF website.</w:t>
      </w:r>
      <w:r w:rsidRPr="00527E14">
        <w:rPr>
          <w:rFonts w:cs="Arial"/>
        </w:rPr>
        <w:t xml:space="preserve"> This website also has links to other internet pages that you could refer to when assessing the risk your business could</w:t>
      </w:r>
      <w:r w:rsidR="00A37470" w:rsidRPr="00527E14">
        <w:rPr>
          <w:rFonts w:cs="Arial"/>
        </w:rPr>
        <w:t xml:space="preserve"> be reasonably expected to face.</w:t>
      </w:r>
      <w:bookmarkStart w:id="6" w:name="_Ref509236279"/>
    </w:p>
    <w:p w14:paraId="7DC14996" w14:textId="77777777" w:rsidR="005A6FFF" w:rsidRPr="00925391" w:rsidRDefault="005A6FFF" w:rsidP="0069565B">
      <w:pPr>
        <w:pStyle w:val="Heading1"/>
        <w:rPr>
          <w:lang w:val="en-NZ"/>
        </w:rPr>
      </w:pPr>
      <w:r w:rsidRPr="00925391">
        <w:rPr>
          <w:lang w:val="en-NZ"/>
        </w:rPr>
        <w:lastRenderedPageBreak/>
        <w:t>Part</w:t>
      </w:r>
      <w:r w:rsidR="00E83302" w:rsidRPr="00925391">
        <w:rPr>
          <w:lang w:val="en-NZ"/>
        </w:rPr>
        <w:t xml:space="preserve"> </w:t>
      </w:r>
      <w:r w:rsidRPr="00925391">
        <w:rPr>
          <w:lang w:val="en-NZ"/>
        </w:rPr>
        <w:t>3: Assessing risk</w:t>
      </w:r>
      <w:bookmarkEnd w:id="6"/>
    </w:p>
    <w:p w14:paraId="7B30FD4B" w14:textId="77777777" w:rsidR="0017112B" w:rsidRPr="00925391" w:rsidRDefault="0069565B" w:rsidP="0069565B">
      <w:pPr>
        <w:pStyle w:val="Numbers1"/>
      </w:pPr>
      <w:r w:rsidRPr="00925391">
        <w:t xml:space="preserve">Risk can be defined in many ways, and there is no one-size-fits-all assessment model for this process. </w:t>
      </w:r>
      <w:r w:rsidR="00A37470" w:rsidRPr="00925391">
        <w:t>Once</w:t>
      </w:r>
      <w:r w:rsidR="00A37470" w:rsidRPr="00925391">
        <w:rPr>
          <w:rFonts w:cs="Arial"/>
        </w:rPr>
        <w:t xml:space="preserve"> you have identified the ML/TF ris</w:t>
      </w:r>
      <w:r w:rsidR="00A207F1" w:rsidRPr="00925391">
        <w:rPr>
          <w:rFonts w:cs="Arial"/>
        </w:rPr>
        <w:t xml:space="preserve">k that you face </w:t>
      </w:r>
      <w:r w:rsidR="006B046C" w:rsidRPr="00925391">
        <w:rPr>
          <w:rFonts w:cs="Arial"/>
        </w:rPr>
        <w:t>during</w:t>
      </w:r>
      <w:r w:rsidR="00A37470" w:rsidRPr="00925391">
        <w:rPr>
          <w:rFonts w:cs="Arial"/>
        </w:rPr>
        <w:t xml:space="preserve"> business</w:t>
      </w:r>
      <w:r w:rsidR="00D85C8F" w:rsidRPr="00925391">
        <w:rPr>
          <w:rFonts w:cs="Arial"/>
        </w:rPr>
        <w:t>,</w:t>
      </w:r>
      <w:r w:rsidR="00A37470" w:rsidRPr="00925391">
        <w:rPr>
          <w:rFonts w:cs="Arial"/>
        </w:rPr>
        <w:t xml:space="preserve"> you </w:t>
      </w:r>
      <w:r w:rsidR="00A37470" w:rsidRPr="00925391">
        <w:rPr>
          <w:rFonts w:cs="Arial"/>
          <w:b/>
        </w:rPr>
        <w:t>must</w:t>
      </w:r>
      <w:r w:rsidR="00A37470" w:rsidRPr="00925391">
        <w:rPr>
          <w:rFonts w:cs="Arial"/>
        </w:rPr>
        <w:t xml:space="preserve"> determine the level of </w:t>
      </w:r>
      <w:r w:rsidR="006B046C">
        <w:rPr>
          <w:rFonts w:cs="Arial"/>
        </w:rPr>
        <w:t xml:space="preserve">that </w:t>
      </w:r>
      <w:r w:rsidR="00A37470" w:rsidRPr="00925391">
        <w:rPr>
          <w:rFonts w:cs="Arial"/>
        </w:rPr>
        <w:t>risk.</w:t>
      </w:r>
      <w:r w:rsidR="00A37470" w:rsidRPr="00925391">
        <w:t xml:space="preserve"> </w:t>
      </w:r>
      <w:r w:rsidR="0017112B" w:rsidRPr="00925391">
        <w:t>When assessing risk, you should consider:</w:t>
      </w:r>
    </w:p>
    <w:p w14:paraId="2172258D" w14:textId="77777777" w:rsidR="0017112B" w:rsidRPr="00925391" w:rsidRDefault="00EA3992" w:rsidP="000C63C8">
      <w:pPr>
        <w:pStyle w:val="Bullet1"/>
      </w:pPr>
      <w:r w:rsidRPr="00925391">
        <w:t>each element</w:t>
      </w:r>
      <w:r w:rsidR="00AA06A9" w:rsidRPr="00925391">
        <w:t xml:space="preserve"> of risk</w:t>
      </w:r>
      <w:r w:rsidR="00A37470" w:rsidRPr="00925391">
        <w:t xml:space="preserve"> you have identified</w:t>
      </w:r>
    </w:p>
    <w:p w14:paraId="33175D14" w14:textId="77777777" w:rsidR="0017112B" w:rsidRPr="00925391" w:rsidRDefault="00A37470" w:rsidP="000C63C8">
      <w:pPr>
        <w:pStyle w:val="Bullet1"/>
      </w:pPr>
      <w:r w:rsidRPr="00925391">
        <w:t>your business experience</w:t>
      </w:r>
      <w:r w:rsidR="00AA06A9" w:rsidRPr="00925391">
        <w:t xml:space="preserve"> in relation to that risk</w:t>
      </w:r>
    </w:p>
    <w:p w14:paraId="225A8D5A" w14:textId="77777777" w:rsidR="00AA06A9" w:rsidRPr="00925391" w:rsidRDefault="00A37470" w:rsidP="000C63C8">
      <w:pPr>
        <w:pStyle w:val="Bullet1"/>
      </w:pPr>
      <w:r w:rsidRPr="00925391">
        <w:t>information and guidance published b</w:t>
      </w:r>
      <w:r w:rsidR="004E215D" w:rsidRPr="00925391">
        <w:t>y</w:t>
      </w:r>
      <w:r w:rsidR="00AA06A9" w:rsidRPr="00925391">
        <w:t xml:space="preserve"> the AML/CFT supervisors and </w:t>
      </w:r>
      <w:r w:rsidR="004E215D" w:rsidRPr="00925391">
        <w:t>the FIU</w:t>
      </w:r>
    </w:p>
    <w:p w14:paraId="06ED7B4F" w14:textId="77777777" w:rsidR="00A37470" w:rsidRPr="00925391" w:rsidRDefault="00AA06A9" w:rsidP="000C63C8">
      <w:pPr>
        <w:pStyle w:val="Bullet1"/>
      </w:pPr>
      <w:r w:rsidRPr="00925391">
        <w:t>information and guidance published by</w:t>
      </w:r>
      <w:r w:rsidR="004E215D" w:rsidRPr="00925391">
        <w:t xml:space="preserve"> </w:t>
      </w:r>
      <w:r w:rsidR="00A37470" w:rsidRPr="00925391">
        <w:t xml:space="preserve">international organisations such as </w:t>
      </w:r>
      <w:r w:rsidR="00D85C8F" w:rsidRPr="00925391">
        <w:t xml:space="preserve">the </w:t>
      </w:r>
      <w:r w:rsidR="007D64E3" w:rsidRPr="00925391">
        <w:t>FATF, APG</w:t>
      </w:r>
      <w:r w:rsidR="00A37470" w:rsidRPr="00925391">
        <w:t xml:space="preserve"> </w:t>
      </w:r>
      <w:r w:rsidR="007E4EB8" w:rsidRPr="00925391">
        <w:t xml:space="preserve">and </w:t>
      </w:r>
      <w:r w:rsidR="00A37470" w:rsidRPr="00925391">
        <w:t>UNODC</w:t>
      </w:r>
      <w:r w:rsidR="00765B60" w:rsidRPr="00925391">
        <w:t>,</w:t>
      </w:r>
      <w:r w:rsidR="00A37470" w:rsidRPr="00925391">
        <w:t xml:space="preserve"> and AML agencies from equivalent jurisdictions such as AUSTRAC.</w:t>
      </w:r>
    </w:p>
    <w:p w14:paraId="5FA02F5C" w14:textId="77777777" w:rsidR="00A37470" w:rsidRPr="00925391" w:rsidRDefault="00A37470" w:rsidP="00A7029F">
      <w:pPr>
        <w:rPr>
          <w:rFonts w:cs="Arial"/>
          <w:lang w:val="en-NZ"/>
        </w:rPr>
      </w:pPr>
    </w:p>
    <w:p w14:paraId="1F45B5F7" w14:textId="77777777" w:rsidR="001C0A03" w:rsidRPr="00925391" w:rsidRDefault="00BE5D2C" w:rsidP="00A23DA2">
      <w:pPr>
        <w:pStyle w:val="Numbers1"/>
      </w:pPr>
      <w:r w:rsidRPr="00925391">
        <w:t xml:space="preserve">You should allow for </w:t>
      </w:r>
      <w:r w:rsidR="00A37470" w:rsidRPr="00925391">
        <w:t xml:space="preserve">the different </w:t>
      </w:r>
      <w:r w:rsidR="00EF6600" w:rsidRPr="00925391">
        <w:t>situations that</w:t>
      </w:r>
      <w:r w:rsidR="00A37470" w:rsidRPr="00925391">
        <w:t xml:space="preserve"> currently arise in your business</w:t>
      </w:r>
      <w:r w:rsidR="00EA3992" w:rsidRPr="00925391">
        <w:t xml:space="preserve"> or are</w:t>
      </w:r>
      <w:r w:rsidR="00A37470" w:rsidRPr="00925391">
        <w:t xml:space="preserve"> likely to arise </w:t>
      </w:r>
      <w:r w:rsidR="00EA3992" w:rsidRPr="00925391">
        <w:t xml:space="preserve">in the near future. For instance, your risk assessment should consider the impact of </w:t>
      </w:r>
      <w:r w:rsidR="00A37470" w:rsidRPr="00925391">
        <w:t>new produ</w:t>
      </w:r>
      <w:r w:rsidR="00EA3992" w:rsidRPr="00925391">
        <w:t>cts, services or customer types</w:t>
      </w:r>
      <w:r w:rsidR="00FE3830" w:rsidRPr="00925391">
        <w:t>,</w:t>
      </w:r>
      <w:r w:rsidR="00EA3992" w:rsidRPr="00925391">
        <w:t xml:space="preserve"> </w:t>
      </w:r>
      <w:r w:rsidR="00AF4C88" w:rsidRPr="00925391">
        <w:t>as well as</w:t>
      </w:r>
      <w:r w:rsidR="006B046C">
        <w:t xml:space="preserve"> new </w:t>
      </w:r>
      <w:r w:rsidR="00A23DA2" w:rsidRPr="00925391">
        <w:t xml:space="preserve">technology. In </w:t>
      </w:r>
      <w:r w:rsidR="00EB3A42" w:rsidRPr="00925391">
        <w:t>addition,</w:t>
      </w:r>
      <w:r w:rsidR="00A23DA2" w:rsidRPr="00925391">
        <w:t xml:space="preserve"> </w:t>
      </w:r>
      <w:r w:rsidR="001C0A03" w:rsidRPr="00925391">
        <w:t xml:space="preserve">ML/TF risks will often operate together and represent higher risks in combination. </w:t>
      </w:r>
    </w:p>
    <w:p w14:paraId="50627A87" w14:textId="77777777" w:rsidR="006C3BAB" w:rsidRPr="00925391" w:rsidRDefault="006C3BAB" w:rsidP="00AA06A9">
      <w:pPr>
        <w:pStyle w:val="Numbers1"/>
        <w:numPr>
          <w:ilvl w:val="0"/>
          <w:numId w:val="0"/>
        </w:numPr>
      </w:pPr>
    </w:p>
    <w:p w14:paraId="6D0376EA" w14:textId="77777777" w:rsidR="006B046C" w:rsidRDefault="006B046C" w:rsidP="00A7029F">
      <w:pPr>
        <w:pStyle w:val="Numbers1"/>
      </w:pPr>
      <w:r>
        <w:t>Potential ways to assess risk include but are not limited to:</w:t>
      </w:r>
    </w:p>
    <w:p w14:paraId="38F5E219" w14:textId="77777777" w:rsidR="006B046C" w:rsidRDefault="00EA3992" w:rsidP="006B046C">
      <w:pPr>
        <w:pStyle w:val="Bullet1"/>
      </w:pPr>
      <w:r w:rsidRPr="00925391">
        <w:t>how likely an event is</w:t>
      </w:r>
    </w:p>
    <w:p w14:paraId="4BEFB2EC" w14:textId="77777777" w:rsidR="006B046C" w:rsidRDefault="00FB4706" w:rsidP="006B046C">
      <w:pPr>
        <w:pStyle w:val="Bullet1"/>
      </w:pPr>
      <w:r w:rsidRPr="00925391">
        <w:t>how likely an event is</w:t>
      </w:r>
      <w:r w:rsidR="00EA3992" w:rsidRPr="00925391">
        <w:t xml:space="preserve"> and the consequence of that event</w:t>
      </w:r>
    </w:p>
    <w:p w14:paraId="45AFD968" w14:textId="77777777" w:rsidR="006B046C" w:rsidRDefault="00EA3992" w:rsidP="006B046C">
      <w:pPr>
        <w:pStyle w:val="Bullet1"/>
      </w:pPr>
      <w:r w:rsidRPr="00925391">
        <w:t>vulnerability, threat and impact</w:t>
      </w:r>
    </w:p>
    <w:p w14:paraId="0634442D" w14:textId="77777777" w:rsidR="00A47CA3" w:rsidRPr="00925391" w:rsidRDefault="00EA3992" w:rsidP="006B046C">
      <w:pPr>
        <w:pStyle w:val="Bullet1"/>
      </w:pPr>
      <w:r w:rsidRPr="00925391">
        <w:t>the effect of uncertainty on an event</w:t>
      </w:r>
    </w:p>
    <w:p w14:paraId="1E281A36" w14:textId="77777777" w:rsidR="00A47CA3" w:rsidRPr="00925391" w:rsidRDefault="00A47CA3" w:rsidP="00A7029F">
      <w:pPr>
        <w:pStyle w:val="Numbers1"/>
        <w:numPr>
          <w:ilvl w:val="0"/>
          <w:numId w:val="0"/>
        </w:numPr>
        <w:ind w:left="471"/>
      </w:pPr>
    </w:p>
    <w:p w14:paraId="03825560" w14:textId="77777777" w:rsidR="00A47CA3" w:rsidRPr="00925391" w:rsidRDefault="006B046C" w:rsidP="006B046C">
      <w:pPr>
        <w:pStyle w:val="Numbers1"/>
        <w:keepNext/>
      </w:pPr>
      <w:r w:rsidRPr="00925391">
        <w:t>Some examples are provided later in this section</w:t>
      </w:r>
      <w:r w:rsidR="009E4D56">
        <w:t>,</w:t>
      </w:r>
      <w:r>
        <w:t xml:space="preserve"> but w</w:t>
      </w:r>
      <w:r w:rsidR="00EA3992" w:rsidRPr="00925391">
        <w:t>hichever method you use</w:t>
      </w:r>
      <w:r w:rsidR="009E4D56">
        <w:t xml:space="preserve"> </w:t>
      </w:r>
      <w:r w:rsidR="00E830C1" w:rsidRPr="00925391">
        <w:t xml:space="preserve">you </w:t>
      </w:r>
      <w:r w:rsidR="00A47CA3" w:rsidRPr="00925391">
        <w:t>will</w:t>
      </w:r>
      <w:r w:rsidR="00EA3992" w:rsidRPr="00925391">
        <w:t xml:space="preserve"> need to</w:t>
      </w:r>
      <w:r>
        <w:t xml:space="preserve"> </w:t>
      </w:r>
      <w:r w:rsidR="00EA3992" w:rsidRPr="00925391">
        <w:t xml:space="preserve">explain and demonstrate its adequacy and effectiveness to </w:t>
      </w:r>
      <w:r w:rsidR="00B1390E" w:rsidRPr="00925391">
        <w:t xml:space="preserve">your </w:t>
      </w:r>
      <w:r w:rsidR="00EA3992" w:rsidRPr="00925391">
        <w:t>AML/CFT superviso</w:t>
      </w:r>
      <w:r>
        <w:t xml:space="preserve">r </w:t>
      </w:r>
      <w:r w:rsidRPr="006B046C">
        <w:rPr>
          <w:b/>
        </w:rPr>
        <w:t>and</w:t>
      </w:r>
      <w:r>
        <w:t xml:space="preserve"> </w:t>
      </w:r>
      <w:r w:rsidR="00A47CA3" w:rsidRPr="00925391">
        <w:t>ensure it is appropriate and proportionate to your needs.</w:t>
      </w:r>
    </w:p>
    <w:p w14:paraId="3A11E97D" w14:textId="77777777" w:rsidR="00DE73CE" w:rsidRPr="00925391" w:rsidRDefault="00DE73CE" w:rsidP="00091EC6">
      <w:pPr>
        <w:pStyle w:val="Bullet1"/>
        <w:numPr>
          <w:ilvl w:val="0"/>
          <w:numId w:val="0"/>
        </w:numPr>
        <w:ind w:left="720"/>
      </w:pPr>
    </w:p>
    <w:p w14:paraId="5C37414B" w14:textId="77777777" w:rsidR="00A37C2D" w:rsidRDefault="006B046C" w:rsidP="00781B0E">
      <w:pPr>
        <w:pStyle w:val="Numbers1"/>
      </w:pPr>
      <w:r>
        <w:t>Y</w:t>
      </w:r>
      <w:r w:rsidR="00DE73CE" w:rsidRPr="00925391">
        <w:t>our assessment of risk should be informed, logical and clearly recorded. For instance, if you have identified gatekeepers as presenting higher inherent risk in relation to the delivery of your product</w:t>
      </w:r>
      <w:r w:rsidR="00FE3830" w:rsidRPr="00925391">
        <w:t>,</w:t>
      </w:r>
      <w:r w:rsidR="00DE73CE" w:rsidRPr="00925391">
        <w:t xml:space="preserve"> your risk assessment should indicate how you arrived at this rating (domestic guidance, case studies, direct experience).</w:t>
      </w:r>
    </w:p>
    <w:p w14:paraId="4ED0AEC4" w14:textId="77777777" w:rsidR="006B046C" w:rsidRPr="006B046C" w:rsidRDefault="006B046C" w:rsidP="006B046C">
      <w:pPr>
        <w:pStyle w:val="Numbers1"/>
        <w:numPr>
          <w:ilvl w:val="0"/>
          <w:numId w:val="0"/>
        </w:numPr>
        <w:ind w:left="471" w:hanging="471"/>
      </w:pPr>
    </w:p>
    <w:p w14:paraId="36CD6AD9" w14:textId="77777777" w:rsidR="001C0A03" w:rsidRPr="00925391" w:rsidRDefault="002E1014" w:rsidP="000C63C8">
      <w:pPr>
        <w:pStyle w:val="Heading2"/>
        <w:rPr>
          <w:lang w:val="en-NZ"/>
        </w:rPr>
      </w:pPr>
      <w:r w:rsidRPr="00925391">
        <w:rPr>
          <w:lang w:val="en-NZ"/>
        </w:rPr>
        <w:t xml:space="preserve">Risk assessment </w:t>
      </w:r>
      <w:r w:rsidR="00761B71" w:rsidRPr="00925391">
        <w:rPr>
          <w:lang w:val="en-NZ"/>
        </w:rPr>
        <w:t>(low</w:t>
      </w:r>
      <w:r w:rsidR="00B17DFC" w:rsidRPr="00925391">
        <w:rPr>
          <w:lang w:val="en-NZ"/>
        </w:rPr>
        <w:t>er</w:t>
      </w:r>
      <w:r w:rsidR="00761B71" w:rsidRPr="00925391">
        <w:rPr>
          <w:lang w:val="en-NZ"/>
        </w:rPr>
        <w:t xml:space="preserve"> complexity)</w:t>
      </w:r>
    </w:p>
    <w:p w14:paraId="0188D1EA" w14:textId="77777777" w:rsidR="00EE34A8" w:rsidRPr="00A37C2D" w:rsidRDefault="00EE34A8" w:rsidP="00A37C2D">
      <w:pPr>
        <w:pStyle w:val="Numbers1"/>
        <w:keepNext/>
        <w:spacing w:line="240" w:lineRule="auto"/>
      </w:pPr>
      <w:r w:rsidRPr="00925391">
        <w:t xml:space="preserve">In line with the previous </w:t>
      </w:r>
      <w:r w:rsidR="00BC0D5A" w:rsidRPr="00925391">
        <w:t>AML/CFT supervisor</w:t>
      </w:r>
      <w:r w:rsidRPr="00925391">
        <w:t xml:space="preserve"> guidance, you may want to assess risk by only considering the likelihood of ML/TF activity. This</w:t>
      </w:r>
      <w:r w:rsidR="00BC0D5A" w:rsidRPr="00925391">
        <w:t xml:space="preserve"> assessment</w:t>
      </w:r>
      <w:r w:rsidRPr="00925391">
        <w:t xml:space="preserve"> should involve considering each risk</w:t>
      </w:r>
      <w:r w:rsidR="00C64AC4" w:rsidRPr="00925391">
        <w:t xml:space="preserve"> factor</w:t>
      </w:r>
      <w:r w:rsidR="00BC0D5A" w:rsidRPr="00925391">
        <w:t xml:space="preserve"> you have identified, combined</w:t>
      </w:r>
      <w:r w:rsidRPr="00925391">
        <w:t xml:space="preserve"> with your business experience and information published by regulators and international organisations such as </w:t>
      </w:r>
      <w:r w:rsidR="009750CE">
        <w:t xml:space="preserve">the </w:t>
      </w:r>
      <w:r w:rsidRPr="00925391">
        <w:t>FATF.</w:t>
      </w:r>
      <w:r w:rsidR="0069565B" w:rsidRPr="00925391">
        <w:t xml:space="preserve"> </w:t>
      </w:r>
      <w:r w:rsidR="00043E75" w:rsidRPr="00925391">
        <w:rPr>
          <w:rFonts w:cs="Arial"/>
        </w:rPr>
        <w:t>Your</w:t>
      </w:r>
      <w:r w:rsidRPr="00925391">
        <w:rPr>
          <w:rFonts w:cs="Arial"/>
        </w:rPr>
        <w:t xml:space="preserve"> likelihood rating could correspond to:</w:t>
      </w:r>
    </w:p>
    <w:p w14:paraId="78E9B1A1" w14:textId="77777777" w:rsidR="00A37C2D" w:rsidRPr="00925391" w:rsidRDefault="00A37C2D" w:rsidP="008860B2">
      <w:pPr>
        <w:pStyle w:val="Numbers1"/>
        <w:numPr>
          <w:ilvl w:val="0"/>
          <w:numId w:val="0"/>
        </w:numPr>
        <w:ind w:left="47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2256"/>
        <w:gridCol w:w="2368"/>
        <w:gridCol w:w="2237"/>
      </w:tblGrid>
      <w:tr w:rsidR="00EE34A8" w:rsidRPr="00925391" w14:paraId="1709254F" w14:textId="77777777" w:rsidTr="00F906F1">
        <w:tc>
          <w:tcPr>
            <w:tcW w:w="0" w:type="auto"/>
            <w:shd w:val="clear" w:color="auto" w:fill="92D050"/>
          </w:tcPr>
          <w:p w14:paraId="38507376" w14:textId="77777777" w:rsidR="00EE34A8" w:rsidRPr="00925391" w:rsidRDefault="00EE34A8" w:rsidP="00F906F1">
            <w:pPr>
              <w:rPr>
                <w:rFonts w:cs="Arial"/>
                <w:sz w:val="20"/>
                <w:szCs w:val="20"/>
                <w:lang w:val="en-NZ"/>
              </w:rPr>
            </w:pPr>
            <w:r w:rsidRPr="00925391">
              <w:rPr>
                <w:rFonts w:cs="Arial"/>
                <w:sz w:val="20"/>
                <w:szCs w:val="20"/>
                <w:lang w:val="en-NZ"/>
              </w:rPr>
              <w:t>Very unlikely</w:t>
            </w:r>
          </w:p>
        </w:tc>
        <w:tc>
          <w:tcPr>
            <w:tcW w:w="0" w:type="auto"/>
            <w:shd w:val="clear" w:color="auto" w:fill="FFFF00"/>
          </w:tcPr>
          <w:p w14:paraId="016A528F" w14:textId="77777777" w:rsidR="00EE34A8" w:rsidRPr="00925391" w:rsidRDefault="00EE34A8" w:rsidP="00F906F1">
            <w:pPr>
              <w:rPr>
                <w:rFonts w:cs="Arial"/>
                <w:sz w:val="20"/>
                <w:szCs w:val="20"/>
                <w:lang w:val="en-NZ"/>
              </w:rPr>
            </w:pPr>
            <w:r w:rsidRPr="00925391">
              <w:rPr>
                <w:rFonts w:cs="Arial"/>
                <w:sz w:val="20"/>
                <w:szCs w:val="20"/>
                <w:lang w:val="en-NZ"/>
              </w:rPr>
              <w:t>Possible</w:t>
            </w:r>
          </w:p>
        </w:tc>
        <w:tc>
          <w:tcPr>
            <w:tcW w:w="0" w:type="auto"/>
            <w:shd w:val="clear" w:color="auto" w:fill="FFC000"/>
          </w:tcPr>
          <w:p w14:paraId="66EDDF82" w14:textId="77777777" w:rsidR="00EE34A8" w:rsidRPr="00925391" w:rsidRDefault="00EE34A8" w:rsidP="00F906F1">
            <w:pPr>
              <w:rPr>
                <w:rFonts w:cs="Arial"/>
                <w:color w:val="FFC000"/>
                <w:sz w:val="20"/>
                <w:szCs w:val="20"/>
                <w:lang w:val="en-NZ"/>
              </w:rPr>
            </w:pPr>
            <w:r w:rsidRPr="00925391">
              <w:rPr>
                <w:rFonts w:cs="Arial"/>
                <w:sz w:val="20"/>
                <w:szCs w:val="20"/>
                <w:lang w:val="en-NZ"/>
              </w:rPr>
              <w:t>Likely</w:t>
            </w:r>
          </w:p>
        </w:tc>
        <w:tc>
          <w:tcPr>
            <w:tcW w:w="0" w:type="auto"/>
            <w:shd w:val="clear" w:color="auto" w:fill="FF0000"/>
          </w:tcPr>
          <w:p w14:paraId="4EA47AD5" w14:textId="77777777" w:rsidR="00EE34A8" w:rsidRPr="00925391" w:rsidRDefault="00EE34A8" w:rsidP="00F906F1">
            <w:pPr>
              <w:rPr>
                <w:rFonts w:cs="Arial"/>
                <w:sz w:val="20"/>
                <w:szCs w:val="20"/>
                <w:lang w:val="en-NZ"/>
              </w:rPr>
            </w:pPr>
            <w:r w:rsidRPr="00925391">
              <w:rPr>
                <w:rFonts w:cs="Arial"/>
                <w:sz w:val="20"/>
                <w:szCs w:val="20"/>
                <w:lang w:val="en-NZ"/>
              </w:rPr>
              <w:t>Very likely</w:t>
            </w:r>
          </w:p>
        </w:tc>
      </w:tr>
      <w:tr w:rsidR="00EE34A8" w:rsidRPr="00925391" w14:paraId="08FCB643" w14:textId="77777777" w:rsidTr="00F906F1">
        <w:trPr>
          <w:trHeight w:val="1101"/>
        </w:trPr>
        <w:tc>
          <w:tcPr>
            <w:tcW w:w="0" w:type="auto"/>
          </w:tcPr>
          <w:p w14:paraId="54E8F8B4" w14:textId="77777777" w:rsidR="00EE34A8" w:rsidRPr="00925391" w:rsidRDefault="00EE34A8" w:rsidP="00F906F1">
            <w:pPr>
              <w:rPr>
                <w:rFonts w:cs="Arial"/>
                <w:sz w:val="20"/>
                <w:szCs w:val="20"/>
                <w:lang w:val="en-NZ"/>
              </w:rPr>
            </w:pPr>
            <w:r w:rsidRPr="00925391">
              <w:rPr>
                <w:rFonts w:cs="Arial"/>
                <w:sz w:val="20"/>
                <w:szCs w:val="20"/>
                <w:lang w:val="en-NZ"/>
              </w:rPr>
              <w:t xml:space="preserve">There is very little chance of ML/FT occurring in this area of your business. </w:t>
            </w:r>
          </w:p>
        </w:tc>
        <w:tc>
          <w:tcPr>
            <w:tcW w:w="0" w:type="auto"/>
          </w:tcPr>
          <w:p w14:paraId="0899E34A" w14:textId="77777777" w:rsidR="00EE34A8" w:rsidRPr="00925391" w:rsidRDefault="00EE34A8" w:rsidP="00F906F1">
            <w:pPr>
              <w:rPr>
                <w:rFonts w:cs="Arial"/>
                <w:sz w:val="20"/>
                <w:szCs w:val="20"/>
                <w:lang w:val="en-NZ"/>
              </w:rPr>
            </w:pPr>
            <w:r w:rsidRPr="00925391">
              <w:rPr>
                <w:rFonts w:cs="Arial"/>
                <w:sz w:val="20"/>
                <w:szCs w:val="20"/>
                <w:lang w:val="en-NZ"/>
              </w:rPr>
              <w:t xml:space="preserve">There is a small chance of ML/FT occurring in this area of your business </w:t>
            </w:r>
          </w:p>
        </w:tc>
        <w:tc>
          <w:tcPr>
            <w:tcW w:w="0" w:type="auto"/>
          </w:tcPr>
          <w:p w14:paraId="12B155D1" w14:textId="77777777" w:rsidR="00EE34A8" w:rsidRPr="00925391" w:rsidRDefault="00EE34A8" w:rsidP="00F906F1">
            <w:pPr>
              <w:rPr>
                <w:rFonts w:cs="Arial"/>
                <w:sz w:val="20"/>
                <w:szCs w:val="20"/>
                <w:lang w:val="en-NZ"/>
              </w:rPr>
            </w:pPr>
            <w:r w:rsidRPr="00925391">
              <w:rPr>
                <w:rFonts w:cs="Arial"/>
                <w:sz w:val="20"/>
                <w:szCs w:val="20"/>
                <w:lang w:val="en-NZ"/>
              </w:rPr>
              <w:t>There is a moderate chance of ML/FT occurring in this area of your business.</w:t>
            </w:r>
          </w:p>
        </w:tc>
        <w:tc>
          <w:tcPr>
            <w:tcW w:w="0" w:type="auto"/>
          </w:tcPr>
          <w:p w14:paraId="3835F4CA" w14:textId="77777777" w:rsidR="00EE34A8" w:rsidRPr="00925391" w:rsidRDefault="00EE34A8" w:rsidP="00F906F1">
            <w:pPr>
              <w:rPr>
                <w:rFonts w:cs="Arial"/>
                <w:sz w:val="20"/>
                <w:szCs w:val="20"/>
                <w:lang w:val="en-NZ"/>
              </w:rPr>
            </w:pPr>
            <w:r w:rsidRPr="00925391">
              <w:rPr>
                <w:rFonts w:cs="Arial"/>
                <w:sz w:val="20"/>
                <w:szCs w:val="20"/>
                <w:lang w:val="en-NZ"/>
              </w:rPr>
              <w:t xml:space="preserve">There is a high chance of ML/FT occurring in this area of your business </w:t>
            </w:r>
          </w:p>
        </w:tc>
      </w:tr>
    </w:tbl>
    <w:p w14:paraId="61E8E9C0" w14:textId="77777777" w:rsidR="00EE34A8" w:rsidRPr="00925391" w:rsidRDefault="00EE34A8" w:rsidP="00EE34A8">
      <w:pPr>
        <w:rPr>
          <w:lang w:val="en-NZ"/>
        </w:rPr>
      </w:pPr>
    </w:p>
    <w:p w14:paraId="3F5C5A8B" w14:textId="77777777" w:rsidR="00043E75" w:rsidRPr="00925391" w:rsidRDefault="00043E75" w:rsidP="008860B2">
      <w:pPr>
        <w:pStyle w:val="Numbers1"/>
        <w:spacing w:line="240" w:lineRule="auto"/>
      </w:pPr>
      <w:r w:rsidRPr="00925391">
        <w:lastRenderedPageBreak/>
        <w:t>For example, you may have identified that one of your products is vulnerable to ML/TF due to the potential for cross</w:t>
      </w:r>
      <w:r w:rsidR="009750CE">
        <w:t>-</w:t>
      </w:r>
      <w:r w:rsidRPr="00925391">
        <w:t>border movement o</w:t>
      </w:r>
      <w:r w:rsidR="004655F9" w:rsidRPr="00925391">
        <w:t xml:space="preserve">f funds. Your risk </w:t>
      </w:r>
      <w:r w:rsidRPr="00925391">
        <w:rPr>
          <w:rFonts w:cs="Arial"/>
        </w:rPr>
        <w:t>assessment highlights the product is easily accessible, that many customers are using it</w:t>
      </w:r>
      <w:r w:rsidR="009750CE">
        <w:rPr>
          <w:rFonts w:cs="Arial"/>
        </w:rPr>
        <w:t>,</w:t>
      </w:r>
      <w:r w:rsidRPr="00925391">
        <w:rPr>
          <w:rFonts w:cs="Arial"/>
        </w:rPr>
        <w:t xml:space="preserve"> and it is used in higher</w:t>
      </w:r>
      <w:r w:rsidR="009750CE">
        <w:rPr>
          <w:rFonts w:cs="Arial"/>
        </w:rPr>
        <w:t>-</w:t>
      </w:r>
      <w:r w:rsidRPr="00925391">
        <w:rPr>
          <w:rFonts w:cs="Arial"/>
        </w:rPr>
        <w:t>risk jurisdictions. Combined with domestic and international guidance</w:t>
      </w:r>
      <w:r w:rsidR="009750CE">
        <w:rPr>
          <w:rFonts w:cs="Arial"/>
        </w:rPr>
        <w:t>,</w:t>
      </w:r>
      <w:r w:rsidRPr="00925391">
        <w:rPr>
          <w:rFonts w:cs="Arial"/>
        </w:rPr>
        <w:t xml:space="preserve"> you assess that the</w:t>
      </w:r>
      <w:r w:rsidR="00A23DA2" w:rsidRPr="00925391">
        <w:rPr>
          <w:rFonts w:cs="Arial"/>
        </w:rPr>
        <w:t xml:space="preserve"> inherent risk rating of </w:t>
      </w:r>
      <w:r w:rsidRPr="00925391">
        <w:rPr>
          <w:rFonts w:cs="Arial"/>
        </w:rPr>
        <w:t xml:space="preserve">this product </w:t>
      </w:r>
      <w:r w:rsidR="00BF5691">
        <w:rPr>
          <w:rFonts w:cs="Arial"/>
        </w:rPr>
        <w:t>as</w:t>
      </w:r>
      <w:r w:rsidRPr="00925391">
        <w:rPr>
          <w:rFonts w:cs="Arial"/>
        </w:rPr>
        <w:t xml:space="preserve"> </w:t>
      </w:r>
      <w:r w:rsidRPr="00925391">
        <w:rPr>
          <w:rFonts w:cs="Arial"/>
          <w:i/>
        </w:rPr>
        <w:t>likely.</w:t>
      </w:r>
    </w:p>
    <w:p w14:paraId="550A60A2" w14:textId="77777777" w:rsidR="00761B71" w:rsidRPr="00925391" w:rsidRDefault="00761B71" w:rsidP="008860B2">
      <w:pPr>
        <w:pStyle w:val="Numbers1"/>
        <w:numPr>
          <w:ilvl w:val="0"/>
          <w:numId w:val="0"/>
        </w:numPr>
        <w:spacing w:line="240" w:lineRule="auto"/>
        <w:ind w:left="471"/>
        <w:rPr>
          <w:rFonts w:cs="Arial"/>
        </w:rPr>
      </w:pPr>
    </w:p>
    <w:p w14:paraId="0A2A1466" w14:textId="77777777" w:rsidR="00761B71" w:rsidRPr="00925391" w:rsidRDefault="00043E75" w:rsidP="008860B2">
      <w:pPr>
        <w:pStyle w:val="Numbers1"/>
        <w:spacing w:line="240" w:lineRule="auto"/>
      </w:pPr>
      <w:r w:rsidRPr="00925391">
        <w:t xml:space="preserve">Your programme should then address this </w:t>
      </w:r>
      <w:r w:rsidRPr="00925391">
        <w:rPr>
          <w:i/>
        </w:rPr>
        <w:t>likely</w:t>
      </w:r>
      <w:r w:rsidRPr="00925391">
        <w:t xml:space="preserve"> risk with appropriate control measures. You will need to </w:t>
      </w:r>
      <w:r w:rsidR="00527E14">
        <w:t>do this</w:t>
      </w:r>
      <w:r w:rsidRPr="00925391">
        <w:t xml:space="preserve"> with each of your identified risks.</w:t>
      </w:r>
    </w:p>
    <w:p w14:paraId="0B5D55F7" w14:textId="77777777" w:rsidR="00761B71" w:rsidRPr="00925391" w:rsidRDefault="00761B71" w:rsidP="008860B2">
      <w:pPr>
        <w:pStyle w:val="Numbers1"/>
        <w:numPr>
          <w:ilvl w:val="0"/>
          <w:numId w:val="0"/>
        </w:numPr>
        <w:spacing w:line="240" w:lineRule="auto"/>
        <w:ind w:left="471"/>
      </w:pPr>
    </w:p>
    <w:p w14:paraId="16B78E18" w14:textId="77777777" w:rsidR="00043E75" w:rsidRPr="00925391" w:rsidRDefault="002E1014" w:rsidP="00761B71">
      <w:pPr>
        <w:pStyle w:val="Heading2"/>
        <w:rPr>
          <w:lang w:val="en-NZ"/>
        </w:rPr>
      </w:pPr>
      <w:r w:rsidRPr="00925391">
        <w:rPr>
          <w:lang w:val="en-NZ"/>
        </w:rPr>
        <w:t>Risk assessment</w:t>
      </w:r>
      <w:r w:rsidR="00761B71" w:rsidRPr="00925391">
        <w:rPr>
          <w:lang w:val="en-NZ"/>
        </w:rPr>
        <w:t xml:space="preserve"> (medium complexity)</w:t>
      </w:r>
    </w:p>
    <w:p w14:paraId="1AD2EC63" w14:textId="77777777" w:rsidR="00761B71" w:rsidRPr="00925391" w:rsidRDefault="00EE34A8" w:rsidP="008860B2">
      <w:pPr>
        <w:pStyle w:val="Numbers1"/>
        <w:spacing w:line="240" w:lineRule="auto"/>
      </w:pPr>
      <w:r w:rsidRPr="00925391">
        <w:t xml:space="preserve">Another way to determine the level of risk is to work out how </w:t>
      </w:r>
      <w:r w:rsidRPr="00A37C2D">
        <w:rPr>
          <w:b/>
        </w:rPr>
        <w:t>likely</w:t>
      </w:r>
      <w:r w:rsidRPr="00925391">
        <w:t xml:space="preserve"> the risk is going to happen and cross-reference that with the </w:t>
      </w:r>
      <w:r w:rsidRPr="00A37C2D">
        <w:rPr>
          <w:b/>
        </w:rPr>
        <w:t>consequence</w:t>
      </w:r>
      <w:r w:rsidRPr="00925391">
        <w:t xml:space="preserve"> of that risk (see the example of a risk matrix below). </w:t>
      </w:r>
    </w:p>
    <w:p w14:paraId="28C35840" w14:textId="77777777" w:rsidR="00761B71" w:rsidRPr="00925391" w:rsidRDefault="00761B71" w:rsidP="008860B2">
      <w:pPr>
        <w:pStyle w:val="Numbers1"/>
        <w:numPr>
          <w:ilvl w:val="0"/>
          <w:numId w:val="0"/>
        </w:numPr>
        <w:spacing w:line="240" w:lineRule="auto"/>
        <w:ind w:left="471"/>
      </w:pPr>
    </w:p>
    <w:p w14:paraId="691D5142" w14:textId="77777777" w:rsidR="00EE34A8" w:rsidRPr="00925391" w:rsidRDefault="00EE34A8" w:rsidP="008860B2">
      <w:pPr>
        <w:pStyle w:val="Numbers1"/>
        <w:spacing w:line="240" w:lineRule="auto"/>
      </w:pPr>
      <w:r w:rsidRPr="00925391">
        <w:t>Using likelihood ratings and consequence ratings can provide you with a</w:t>
      </w:r>
      <w:r w:rsidR="00BC0D5A" w:rsidRPr="00925391">
        <w:t xml:space="preserve"> more comprehensive understanding of your risk and a robust</w:t>
      </w:r>
      <w:r w:rsidRPr="00925391">
        <w:t xml:space="preserve"> framework to help you arrive at a final risk rating. These ratings, in combination with structured professional opi</w:t>
      </w:r>
      <w:r w:rsidR="00A23DA2" w:rsidRPr="00925391">
        <w:t xml:space="preserve">nion and experience, will assist you in </w:t>
      </w:r>
      <w:r w:rsidRPr="00925391">
        <w:t>apply</w:t>
      </w:r>
      <w:r w:rsidR="00A23DA2" w:rsidRPr="00925391">
        <w:t>ing</w:t>
      </w:r>
      <w:r w:rsidRPr="00925391">
        <w:t xml:space="preserve"> the appropriate risk management measures as detailed in your programme.</w:t>
      </w:r>
    </w:p>
    <w:p w14:paraId="24C35228" w14:textId="77777777" w:rsidR="00043E75" w:rsidRPr="00925391" w:rsidRDefault="00043E75" w:rsidP="008860B2">
      <w:pPr>
        <w:pStyle w:val="Numbers1"/>
        <w:numPr>
          <w:ilvl w:val="0"/>
          <w:numId w:val="0"/>
        </w:numPr>
        <w:spacing w:line="240" w:lineRule="auto"/>
        <w:ind w:left="471"/>
      </w:pPr>
    </w:p>
    <w:p w14:paraId="743381B3" w14:textId="77777777" w:rsidR="00043E75" w:rsidRPr="00925391" w:rsidRDefault="00EE34A8" w:rsidP="0069565B">
      <w:pPr>
        <w:pStyle w:val="Numbers1"/>
        <w:rPr>
          <w:rFonts w:cs="Arial"/>
        </w:rPr>
      </w:pPr>
      <w:r w:rsidRPr="00925391">
        <w:rPr>
          <w:rFonts w:cs="Arial"/>
        </w:rPr>
        <w:t xml:space="preserve">For </w:t>
      </w:r>
      <w:r w:rsidRPr="00925391">
        <w:t>example,</w:t>
      </w:r>
      <w:r w:rsidR="00BF5691">
        <w:rPr>
          <w:rFonts w:cs="Arial"/>
        </w:rPr>
        <w:t xml:space="preserve"> </w:t>
      </w:r>
      <w:r w:rsidRPr="00925391">
        <w:rPr>
          <w:rFonts w:cs="Arial"/>
        </w:rPr>
        <w:t xml:space="preserve">you may have identified that one of your products is vulnerable to ML/TF </w:t>
      </w:r>
      <w:r w:rsidR="00043E75" w:rsidRPr="00925391">
        <w:rPr>
          <w:rFonts w:cs="Arial"/>
        </w:rPr>
        <w:t>and you</w:t>
      </w:r>
      <w:r w:rsidRPr="00925391">
        <w:rPr>
          <w:rFonts w:cs="Arial"/>
        </w:rPr>
        <w:t xml:space="preserve"> assess that the likelihood of this product b</w:t>
      </w:r>
      <w:r w:rsidR="00B17DFC" w:rsidRPr="00925391">
        <w:rPr>
          <w:rFonts w:cs="Arial"/>
        </w:rPr>
        <w:t xml:space="preserve">eing used in ML/TF activity is </w:t>
      </w:r>
      <w:r w:rsidRPr="00925391">
        <w:rPr>
          <w:rFonts w:cs="Arial"/>
          <w:i/>
        </w:rPr>
        <w:t>highly probable.</w:t>
      </w:r>
      <w:r w:rsidRPr="00925391">
        <w:rPr>
          <w:rFonts w:cs="Arial"/>
        </w:rPr>
        <w:t xml:space="preserve"> </w:t>
      </w:r>
      <w:r w:rsidR="00043E75" w:rsidRPr="00925391">
        <w:rPr>
          <w:rFonts w:cs="Arial"/>
        </w:rPr>
        <w:t xml:space="preserve">You judge the impact of the identified risk happening in terms of financial loss and assess the consequence as </w:t>
      </w:r>
      <w:r w:rsidR="00043E75" w:rsidRPr="00925391">
        <w:rPr>
          <w:rFonts w:cs="Arial"/>
          <w:i/>
        </w:rPr>
        <w:t>moderate</w:t>
      </w:r>
      <w:r w:rsidR="00043E75" w:rsidRPr="00925391">
        <w:rPr>
          <w:rFonts w:cs="Arial"/>
        </w:rPr>
        <w:t xml:space="preserve">. </w:t>
      </w:r>
    </w:p>
    <w:p w14:paraId="7703A091" w14:textId="77777777" w:rsidR="0069565B" w:rsidRPr="00925391" w:rsidRDefault="0069565B" w:rsidP="0069565B">
      <w:pPr>
        <w:pStyle w:val="Numbers1"/>
        <w:numPr>
          <w:ilvl w:val="0"/>
          <w:numId w:val="0"/>
        </w:numPr>
        <w:ind w:left="471"/>
        <w:rPr>
          <w:b/>
        </w:rPr>
      </w:pPr>
    </w:p>
    <w:p w14:paraId="6133D448" w14:textId="77777777" w:rsidR="0069565B" w:rsidRPr="00527E14" w:rsidRDefault="00043E75" w:rsidP="00527E14">
      <w:pPr>
        <w:pStyle w:val="Numbers1"/>
        <w:rPr>
          <w:b/>
        </w:rPr>
      </w:pPr>
      <w:r w:rsidRPr="00925391">
        <w:rPr>
          <w:rFonts w:cs="Arial"/>
        </w:rPr>
        <w:t xml:space="preserve">Cross-referencing </w:t>
      </w:r>
      <w:r w:rsidRPr="00925391">
        <w:rPr>
          <w:rFonts w:cs="Arial"/>
          <w:i/>
        </w:rPr>
        <w:t>highly probable</w:t>
      </w:r>
      <w:r w:rsidRPr="00925391">
        <w:rPr>
          <w:rFonts w:cs="Arial"/>
        </w:rPr>
        <w:t xml:space="preserve"> with </w:t>
      </w:r>
      <w:r w:rsidRPr="00925391">
        <w:rPr>
          <w:rFonts w:cs="Arial"/>
          <w:i/>
        </w:rPr>
        <w:t>moderate</w:t>
      </w:r>
      <w:r w:rsidR="00B17DFC" w:rsidRPr="00925391">
        <w:rPr>
          <w:rFonts w:cs="Arial"/>
          <w:i/>
        </w:rPr>
        <w:t xml:space="preserve"> </w:t>
      </w:r>
      <w:r w:rsidR="00B17DFC" w:rsidRPr="00925391">
        <w:rPr>
          <w:rFonts w:cs="Arial"/>
        </w:rPr>
        <w:t>in the risk matrix below</w:t>
      </w:r>
      <w:r w:rsidRPr="00925391">
        <w:rPr>
          <w:rFonts w:cs="Arial"/>
        </w:rPr>
        <w:t xml:space="preserve"> results in a final inherent risk rating of </w:t>
      </w:r>
      <w:r w:rsidRPr="00925391">
        <w:rPr>
          <w:rFonts w:cs="Arial"/>
          <w:i/>
        </w:rPr>
        <w:t>medium-high</w:t>
      </w:r>
      <w:r w:rsidRPr="00925391">
        <w:rPr>
          <w:rFonts w:cs="Arial"/>
        </w:rPr>
        <w:t xml:space="preserve">. </w:t>
      </w:r>
      <w:r w:rsidRPr="00925391">
        <w:t xml:space="preserve">Your programme should then address this </w:t>
      </w:r>
      <w:r w:rsidRPr="00925391">
        <w:rPr>
          <w:i/>
        </w:rPr>
        <w:t>medium-high</w:t>
      </w:r>
      <w:r w:rsidRPr="00925391">
        <w:t xml:space="preserve"> risk with appropriate control measures. You will need to undertake this exercise with each of your identified risks.</w:t>
      </w:r>
      <w:r w:rsidR="00F22478" w:rsidRPr="00925391">
        <w:rPr>
          <w:rFonts w:cs="Arial"/>
        </w:rPr>
        <w:t xml:space="preserve"> The risk matrix below is </w:t>
      </w:r>
      <w:r w:rsidR="009E4D56">
        <w:rPr>
          <w:rFonts w:cs="Arial"/>
        </w:rPr>
        <w:t xml:space="preserve">provided as </w:t>
      </w:r>
      <w:r w:rsidR="00F22478" w:rsidRPr="00925391">
        <w:rPr>
          <w:rFonts w:cs="Arial"/>
        </w:rPr>
        <w:t>an illustrative example</w:t>
      </w:r>
      <w:r w:rsidR="009E4D56">
        <w:rPr>
          <w:rFonts w:cs="Arial"/>
        </w:rPr>
        <w:t xml:space="preserve"> only</w:t>
      </w:r>
      <w:r w:rsidR="00F22478" w:rsidRPr="00925391">
        <w:rPr>
          <w:rFonts w:cs="Arial"/>
        </w:rPr>
        <w:t xml:space="preserve">. </w:t>
      </w:r>
    </w:p>
    <w:p w14:paraId="1C63C6DE" w14:textId="77777777" w:rsidR="00527E14" w:rsidRPr="00527E14" w:rsidRDefault="00527E14" w:rsidP="00527E14">
      <w:pPr>
        <w:pStyle w:val="Numbers1"/>
        <w:numPr>
          <w:ilvl w:val="0"/>
          <w:numId w:val="0"/>
        </w:numPr>
        <w:ind w:left="471"/>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
        <w:gridCol w:w="2007"/>
        <w:gridCol w:w="1252"/>
        <w:gridCol w:w="588"/>
        <w:gridCol w:w="453"/>
        <w:gridCol w:w="1428"/>
        <w:gridCol w:w="364"/>
        <w:gridCol w:w="1102"/>
        <w:gridCol w:w="1107"/>
      </w:tblGrid>
      <w:tr w:rsidR="00EB06DE" w:rsidRPr="00925391" w14:paraId="4E3222BE" w14:textId="77777777" w:rsidTr="00527E14">
        <w:tc>
          <w:tcPr>
            <w:tcW w:w="479" w:type="pct"/>
            <w:vMerge w:val="restart"/>
            <w:shd w:val="clear" w:color="auto" w:fill="BFBFBF"/>
            <w:textDirection w:val="btLr"/>
          </w:tcPr>
          <w:p w14:paraId="3AD0FE07" w14:textId="77777777" w:rsidR="00EB06DE" w:rsidRPr="00925391" w:rsidRDefault="00EB06DE" w:rsidP="000C63C8">
            <w:pPr>
              <w:keepNext/>
              <w:spacing w:before="60" w:after="60"/>
              <w:ind w:left="113" w:right="113"/>
              <w:rPr>
                <w:rFonts w:cs="Arial"/>
                <w:sz w:val="22"/>
                <w:szCs w:val="22"/>
                <w:lang w:val="en-NZ"/>
              </w:rPr>
            </w:pPr>
            <w:r w:rsidRPr="00925391">
              <w:rPr>
                <w:rFonts w:cs="Arial"/>
                <w:sz w:val="22"/>
                <w:szCs w:val="22"/>
                <w:lang w:val="en-NZ"/>
              </w:rPr>
              <w:t>Likelihood scale</w:t>
            </w:r>
          </w:p>
        </w:tc>
        <w:tc>
          <w:tcPr>
            <w:tcW w:w="1093" w:type="pct"/>
          </w:tcPr>
          <w:p w14:paraId="7EAE220A"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5 Almost certain</w:t>
            </w:r>
          </w:p>
        </w:tc>
        <w:tc>
          <w:tcPr>
            <w:tcW w:w="682" w:type="pct"/>
            <w:shd w:val="clear" w:color="auto" w:fill="FFFF00"/>
          </w:tcPr>
          <w:p w14:paraId="795CCF1E"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11</w:t>
            </w:r>
          </w:p>
        </w:tc>
        <w:tc>
          <w:tcPr>
            <w:tcW w:w="567" w:type="pct"/>
            <w:gridSpan w:val="2"/>
            <w:shd w:val="clear" w:color="auto" w:fill="FFC000"/>
          </w:tcPr>
          <w:p w14:paraId="7882AAE8"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16</w:t>
            </w:r>
          </w:p>
        </w:tc>
        <w:tc>
          <w:tcPr>
            <w:tcW w:w="778" w:type="pct"/>
            <w:shd w:val="clear" w:color="auto" w:fill="FFC000"/>
          </w:tcPr>
          <w:p w14:paraId="47E36D9B"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20</w:t>
            </w:r>
          </w:p>
        </w:tc>
        <w:tc>
          <w:tcPr>
            <w:tcW w:w="798" w:type="pct"/>
            <w:gridSpan w:val="2"/>
            <w:shd w:val="clear" w:color="auto" w:fill="FF0000"/>
          </w:tcPr>
          <w:p w14:paraId="7AF0BFBA"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23</w:t>
            </w:r>
          </w:p>
        </w:tc>
        <w:tc>
          <w:tcPr>
            <w:tcW w:w="603" w:type="pct"/>
            <w:shd w:val="clear" w:color="auto" w:fill="FF0000"/>
          </w:tcPr>
          <w:p w14:paraId="00F83C68"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25</w:t>
            </w:r>
          </w:p>
        </w:tc>
      </w:tr>
      <w:tr w:rsidR="00EB06DE" w:rsidRPr="00925391" w14:paraId="078F2423" w14:textId="77777777" w:rsidTr="00527E14">
        <w:tc>
          <w:tcPr>
            <w:tcW w:w="479" w:type="pct"/>
            <w:vMerge/>
            <w:shd w:val="clear" w:color="auto" w:fill="BFBFBF"/>
          </w:tcPr>
          <w:p w14:paraId="746BBF5E" w14:textId="77777777" w:rsidR="00EB06DE" w:rsidRPr="00925391" w:rsidRDefault="00EB06DE" w:rsidP="000C63C8">
            <w:pPr>
              <w:keepNext/>
              <w:spacing w:before="60" w:after="60"/>
              <w:rPr>
                <w:rFonts w:cs="Arial"/>
                <w:sz w:val="22"/>
                <w:szCs w:val="22"/>
                <w:lang w:val="en-NZ"/>
              </w:rPr>
            </w:pPr>
          </w:p>
        </w:tc>
        <w:tc>
          <w:tcPr>
            <w:tcW w:w="1093" w:type="pct"/>
          </w:tcPr>
          <w:p w14:paraId="6499777A"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4 Highly probable</w:t>
            </w:r>
          </w:p>
        </w:tc>
        <w:tc>
          <w:tcPr>
            <w:tcW w:w="682" w:type="pct"/>
            <w:shd w:val="clear" w:color="auto" w:fill="FFFF00"/>
          </w:tcPr>
          <w:p w14:paraId="6E8966BF"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7</w:t>
            </w:r>
          </w:p>
        </w:tc>
        <w:tc>
          <w:tcPr>
            <w:tcW w:w="567" w:type="pct"/>
            <w:gridSpan w:val="2"/>
            <w:shd w:val="clear" w:color="auto" w:fill="FFFF00"/>
          </w:tcPr>
          <w:p w14:paraId="2837AF04"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12</w:t>
            </w:r>
          </w:p>
        </w:tc>
        <w:tc>
          <w:tcPr>
            <w:tcW w:w="778" w:type="pct"/>
            <w:shd w:val="clear" w:color="auto" w:fill="FFC000"/>
          </w:tcPr>
          <w:p w14:paraId="7B41E937"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17</w:t>
            </w:r>
          </w:p>
        </w:tc>
        <w:tc>
          <w:tcPr>
            <w:tcW w:w="798" w:type="pct"/>
            <w:gridSpan w:val="2"/>
            <w:shd w:val="clear" w:color="auto" w:fill="FFC000"/>
          </w:tcPr>
          <w:p w14:paraId="2A9CEF19"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21</w:t>
            </w:r>
          </w:p>
        </w:tc>
        <w:tc>
          <w:tcPr>
            <w:tcW w:w="603" w:type="pct"/>
            <w:shd w:val="clear" w:color="auto" w:fill="FF0000"/>
          </w:tcPr>
          <w:p w14:paraId="618D5F55"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24</w:t>
            </w:r>
          </w:p>
        </w:tc>
      </w:tr>
      <w:tr w:rsidR="00EB06DE" w:rsidRPr="00925391" w14:paraId="6025F71D" w14:textId="77777777" w:rsidTr="00527E14">
        <w:tc>
          <w:tcPr>
            <w:tcW w:w="479" w:type="pct"/>
            <w:vMerge/>
            <w:shd w:val="clear" w:color="auto" w:fill="BFBFBF"/>
          </w:tcPr>
          <w:p w14:paraId="196A078B" w14:textId="77777777" w:rsidR="00EB06DE" w:rsidRPr="00925391" w:rsidRDefault="00EB06DE" w:rsidP="000C63C8">
            <w:pPr>
              <w:keepNext/>
              <w:spacing w:before="60" w:after="60"/>
              <w:rPr>
                <w:rFonts w:cs="Arial"/>
                <w:sz w:val="22"/>
                <w:szCs w:val="22"/>
                <w:lang w:val="en-NZ"/>
              </w:rPr>
            </w:pPr>
          </w:p>
        </w:tc>
        <w:tc>
          <w:tcPr>
            <w:tcW w:w="1093" w:type="pct"/>
          </w:tcPr>
          <w:p w14:paraId="13B01526"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3 Possible</w:t>
            </w:r>
          </w:p>
        </w:tc>
        <w:tc>
          <w:tcPr>
            <w:tcW w:w="682" w:type="pct"/>
            <w:shd w:val="clear" w:color="auto" w:fill="FFFF00"/>
          </w:tcPr>
          <w:p w14:paraId="65280860"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4</w:t>
            </w:r>
          </w:p>
        </w:tc>
        <w:tc>
          <w:tcPr>
            <w:tcW w:w="567" w:type="pct"/>
            <w:gridSpan w:val="2"/>
            <w:shd w:val="clear" w:color="auto" w:fill="FFFF00"/>
          </w:tcPr>
          <w:p w14:paraId="4BD64635"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8</w:t>
            </w:r>
          </w:p>
        </w:tc>
        <w:tc>
          <w:tcPr>
            <w:tcW w:w="778" w:type="pct"/>
            <w:shd w:val="clear" w:color="auto" w:fill="FFFF00"/>
          </w:tcPr>
          <w:p w14:paraId="76503857"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13</w:t>
            </w:r>
          </w:p>
        </w:tc>
        <w:tc>
          <w:tcPr>
            <w:tcW w:w="798" w:type="pct"/>
            <w:gridSpan w:val="2"/>
            <w:shd w:val="clear" w:color="auto" w:fill="FFC000"/>
          </w:tcPr>
          <w:p w14:paraId="7E8E60AE"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18</w:t>
            </w:r>
          </w:p>
        </w:tc>
        <w:tc>
          <w:tcPr>
            <w:tcW w:w="603" w:type="pct"/>
            <w:shd w:val="clear" w:color="auto" w:fill="FF0000"/>
          </w:tcPr>
          <w:p w14:paraId="371FF5D0"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22</w:t>
            </w:r>
          </w:p>
        </w:tc>
      </w:tr>
      <w:tr w:rsidR="00EB06DE" w:rsidRPr="00925391" w14:paraId="44239472" w14:textId="77777777" w:rsidTr="00527E14">
        <w:tc>
          <w:tcPr>
            <w:tcW w:w="479" w:type="pct"/>
            <w:vMerge/>
            <w:shd w:val="clear" w:color="auto" w:fill="BFBFBF"/>
          </w:tcPr>
          <w:p w14:paraId="2B860979" w14:textId="77777777" w:rsidR="00EB06DE" w:rsidRPr="00925391" w:rsidRDefault="00EB06DE" w:rsidP="000C63C8">
            <w:pPr>
              <w:keepNext/>
              <w:spacing w:before="60" w:after="60"/>
              <w:rPr>
                <w:rFonts w:cs="Arial"/>
                <w:sz w:val="22"/>
                <w:szCs w:val="22"/>
                <w:lang w:val="en-NZ"/>
              </w:rPr>
            </w:pPr>
          </w:p>
        </w:tc>
        <w:tc>
          <w:tcPr>
            <w:tcW w:w="1093" w:type="pct"/>
          </w:tcPr>
          <w:p w14:paraId="50263D0D"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2 Unlikely</w:t>
            </w:r>
          </w:p>
        </w:tc>
        <w:tc>
          <w:tcPr>
            <w:tcW w:w="682" w:type="pct"/>
            <w:shd w:val="clear" w:color="auto" w:fill="92D050"/>
          </w:tcPr>
          <w:p w14:paraId="6600EA3F"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2</w:t>
            </w:r>
          </w:p>
        </w:tc>
        <w:tc>
          <w:tcPr>
            <w:tcW w:w="567" w:type="pct"/>
            <w:gridSpan w:val="2"/>
            <w:shd w:val="clear" w:color="auto" w:fill="FFFF00"/>
          </w:tcPr>
          <w:p w14:paraId="4C275A83"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5</w:t>
            </w:r>
          </w:p>
        </w:tc>
        <w:tc>
          <w:tcPr>
            <w:tcW w:w="778" w:type="pct"/>
            <w:shd w:val="clear" w:color="auto" w:fill="FFFF00"/>
          </w:tcPr>
          <w:p w14:paraId="1CC83573"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9</w:t>
            </w:r>
          </w:p>
        </w:tc>
        <w:tc>
          <w:tcPr>
            <w:tcW w:w="798" w:type="pct"/>
            <w:gridSpan w:val="2"/>
            <w:shd w:val="clear" w:color="auto" w:fill="FFC000"/>
          </w:tcPr>
          <w:p w14:paraId="47B738CB"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14</w:t>
            </w:r>
          </w:p>
        </w:tc>
        <w:tc>
          <w:tcPr>
            <w:tcW w:w="603" w:type="pct"/>
            <w:shd w:val="clear" w:color="auto" w:fill="FFC000"/>
          </w:tcPr>
          <w:p w14:paraId="5B0AB08A"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19</w:t>
            </w:r>
          </w:p>
        </w:tc>
      </w:tr>
      <w:tr w:rsidR="00EB06DE" w:rsidRPr="00925391" w14:paraId="3C096B33" w14:textId="77777777" w:rsidTr="00527E14">
        <w:tc>
          <w:tcPr>
            <w:tcW w:w="479" w:type="pct"/>
            <w:vMerge/>
            <w:shd w:val="clear" w:color="auto" w:fill="BFBFBF"/>
          </w:tcPr>
          <w:p w14:paraId="2402ABFD" w14:textId="77777777" w:rsidR="00EB06DE" w:rsidRPr="00925391" w:rsidRDefault="00EB06DE" w:rsidP="000C63C8">
            <w:pPr>
              <w:keepNext/>
              <w:spacing w:before="60" w:after="60"/>
              <w:rPr>
                <w:rFonts w:cs="Arial"/>
                <w:sz w:val="22"/>
                <w:szCs w:val="22"/>
                <w:lang w:val="en-NZ"/>
              </w:rPr>
            </w:pPr>
          </w:p>
        </w:tc>
        <w:tc>
          <w:tcPr>
            <w:tcW w:w="1093" w:type="pct"/>
          </w:tcPr>
          <w:p w14:paraId="158CC2D5"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1 Improbable</w:t>
            </w:r>
          </w:p>
        </w:tc>
        <w:tc>
          <w:tcPr>
            <w:tcW w:w="682" w:type="pct"/>
            <w:shd w:val="clear" w:color="auto" w:fill="92D050"/>
          </w:tcPr>
          <w:p w14:paraId="541B2884"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1</w:t>
            </w:r>
          </w:p>
        </w:tc>
        <w:tc>
          <w:tcPr>
            <w:tcW w:w="567" w:type="pct"/>
            <w:gridSpan w:val="2"/>
            <w:shd w:val="clear" w:color="auto" w:fill="92D050"/>
          </w:tcPr>
          <w:p w14:paraId="30EE2034"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3</w:t>
            </w:r>
          </w:p>
        </w:tc>
        <w:tc>
          <w:tcPr>
            <w:tcW w:w="778" w:type="pct"/>
            <w:shd w:val="clear" w:color="auto" w:fill="FFFF00"/>
          </w:tcPr>
          <w:p w14:paraId="3A5632F9"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6</w:t>
            </w:r>
          </w:p>
        </w:tc>
        <w:tc>
          <w:tcPr>
            <w:tcW w:w="798" w:type="pct"/>
            <w:gridSpan w:val="2"/>
            <w:shd w:val="clear" w:color="auto" w:fill="FFFF00"/>
          </w:tcPr>
          <w:p w14:paraId="17EE4A42"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10</w:t>
            </w:r>
          </w:p>
        </w:tc>
        <w:tc>
          <w:tcPr>
            <w:tcW w:w="603" w:type="pct"/>
            <w:shd w:val="clear" w:color="auto" w:fill="FFC000"/>
          </w:tcPr>
          <w:p w14:paraId="2BA38A9D"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15</w:t>
            </w:r>
          </w:p>
        </w:tc>
      </w:tr>
      <w:tr w:rsidR="00EB06DE" w:rsidRPr="00925391" w14:paraId="43A76B2F" w14:textId="77777777" w:rsidTr="00527E14">
        <w:tc>
          <w:tcPr>
            <w:tcW w:w="479" w:type="pct"/>
            <w:vMerge/>
            <w:shd w:val="clear" w:color="auto" w:fill="BFBFBF"/>
          </w:tcPr>
          <w:p w14:paraId="506245EA" w14:textId="77777777" w:rsidR="00EB06DE" w:rsidRPr="00925391" w:rsidRDefault="00EB06DE" w:rsidP="000C63C8">
            <w:pPr>
              <w:keepNext/>
              <w:spacing w:before="60" w:after="60"/>
              <w:rPr>
                <w:rFonts w:cs="Arial"/>
                <w:sz w:val="22"/>
                <w:szCs w:val="22"/>
                <w:lang w:val="en-NZ"/>
              </w:rPr>
            </w:pPr>
          </w:p>
        </w:tc>
        <w:tc>
          <w:tcPr>
            <w:tcW w:w="1093" w:type="pct"/>
          </w:tcPr>
          <w:p w14:paraId="6520F94C" w14:textId="77777777" w:rsidR="00EB06DE" w:rsidRPr="00925391" w:rsidRDefault="00EB06DE" w:rsidP="000C63C8">
            <w:pPr>
              <w:keepNext/>
              <w:spacing w:before="60" w:after="60"/>
              <w:rPr>
                <w:rFonts w:cs="Arial"/>
                <w:sz w:val="22"/>
                <w:szCs w:val="22"/>
                <w:lang w:val="en-NZ"/>
              </w:rPr>
            </w:pPr>
          </w:p>
        </w:tc>
        <w:tc>
          <w:tcPr>
            <w:tcW w:w="682" w:type="pct"/>
          </w:tcPr>
          <w:p w14:paraId="3D08C9E7"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1 Minimal</w:t>
            </w:r>
          </w:p>
        </w:tc>
        <w:tc>
          <w:tcPr>
            <w:tcW w:w="567" w:type="pct"/>
            <w:gridSpan w:val="2"/>
          </w:tcPr>
          <w:p w14:paraId="15366EF9"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2 Minor</w:t>
            </w:r>
          </w:p>
        </w:tc>
        <w:tc>
          <w:tcPr>
            <w:tcW w:w="778" w:type="pct"/>
          </w:tcPr>
          <w:p w14:paraId="644C07F1"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3 Moderate</w:t>
            </w:r>
          </w:p>
        </w:tc>
        <w:tc>
          <w:tcPr>
            <w:tcW w:w="798" w:type="pct"/>
            <w:gridSpan w:val="2"/>
          </w:tcPr>
          <w:p w14:paraId="53D99F50"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4 Significant</w:t>
            </w:r>
          </w:p>
        </w:tc>
        <w:tc>
          <w:tcPr>
            <w:tcW w:w="603" w:type="pct"/>
          </w:tcPr>
          <w:p w14:paraId="5EC19614"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5 Severe</w:t>
            </w:r>
          </w:p>
        </w:tc>
      </w:tr>
      <w:tr w:rsidR="00EB06DE" w:rsidRPr="00925391" w14:paraId="67A3FD77" w14:textId="77777777" w:rsidTr="004655F9">
        <w:tc>
          <w:tcPr>
            <w:tcW w:w="479" w:type="pct"/>
            <w:vMerge/>
            <w:shd w:val="clear" w:color="auto" w:fill="BFBFBF"/>
          </w:tcPr>
          <w:p w14:paraId="08C7D5D3" w14:textId="77777777" w:rsidR="00EB06DE" w:rsidRPr="00925391" w:rsidRDefault="00EB06DE" w:rsidP="000C63C8">
            <w:pPr>
              <w:keepNext/>
              <w:spacing w:before="60" w:after="60"/>
              <w:rPr>
                <w:rFonts w:cs="Arial"/>
                <w:sz w:val="22"/>
                <w:szCs w:val="22"/>
                <w:lang w:val="en-NZ"/>
              </w:rPr>
            </w:pPr>
          </w:p>
        </w:tc>
        <w:tc>
          <w:tcPr>
            <w:tcW w:w="4521" w:type="pct"/>
            <w:gridSpan w:val="8"/>
            <w:shd w:val="clear" w:color="auto" w:fill="BFBFBF"/>
            <w:vAlign w:val="center"/>
          </w:tcPr>
          <w:p w14:paraId="7562BAC5"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Consequence scale</w:t>
            </w:r>
          </w:p>
        </w:tc>
      </w:tr>
      <w:tr w:rsidR="00EB06DE" w:rsidRPr="00925391" w14:paraId="02C0B36E" w14:textId="77777777" w:rsidTr="00527E14">
        <w:tc>
          <w:tcPr>
            <w:tcW w:w="479" w:type="pct"/>
            <w:shd w:val="clear" w:color="auto" w:fill="BFBFBF"/>
          </w:tcPr>
          <w:p w14:paraId="193FBFA2"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Risk</w:t>
            </w:r>
          </w:p>
          <w:p w14:paraId="3DA777ED" w14:textId="77777777" w:rsidR="00EB06DE" w:rsidRPr="00925391" w:rsidRDefault="00EB06DE" w:rsidP="000C63C8">
            <w:pPr>
              <w:keepNext/>
              <w:spacing w:before="60" w:after="60"/>
              <w:rPr>
                <w:rFonts w:cs="Arial"/>
                <w:sz w:val="22"/>
                <w:szCs w:val="22"/>
                <w:lang w:val="en-NZ"/>
              </w:rPr>
            </w:pPr>
            <w:r w:rsidRPr="00925391">
              <w:rPr>
                <w:rFonts w:cs="Arial"/>
                <w:sz w:val="22"/>
                <w:szCs w:val="22"/>
                <w:lang w:val="en-NZ"/>
              </w:rPr>
              <w:t>rating</w:t>
            </w:r>
          </w:p>
        </w:tc>
        <w:tc>
          <w:tcPr>
            <w:tcW w:w="1093" w:type="pct"/>
            <w:shd w:val="clear" w:color="auto" w:fill="92D050"/>
            <w:vAlign w:val="center"/>
          </w:tcPr>
          <w:p w14:paraId="5CB0A346" w14:textId="77777777" w:rsidR="00EB06DE" w:rsidRPr="00925391" w:rsidRDefault="00EB06DE" w:rsidP="008B32BD">
            <w:pPr>
              <w:spacing w:before="60" w:after="60"/>
              <w:rPr>
                <w:rFonts w:cs="Arial"/>
                <w:sz w:val="22"/>
                <w:szCs w:val="22"/>
                <w:lang w:val="en-NZ"/>
              </w:rPr>
            </w:pPr>
            <w:r w:rsidRPr="00925391">
              <w:rPr>
                <w:rFonts w:cs="Arial"/>
                <w:sz w:val="22"/>
                <w:szCs w:val="22"/>
                <w:lang w:val="en-NZ"/>
              </w:rPr>
              <w:t>Low</w:t>
            </w:r>
          </w:p>
        </w:tc>
        <w:tc>
          <w:tcPr>
            <w:tcW w:w="1002" w:type="pct"/>
            <w:gridSpan w:val="2"/>
            <w:shd w:val="clear" w:color="auto" w:fill="FFFF00"/>
            <w:vAlign w:val="center"/>
          </w:tcPr>
          <w:p w14:paraId="7F74AF02" w14:textId="77777777" w:rsidR="00EB06DE" w:rsidRPr="00925391" w:rsidRDefault="00EB06DE" w:rsidP="008B32BD">
            <w:pPr>
              <w:spacing w:before="60" w:after="60"/>
              <w:rPr>
                <w:rFonts w:cs="Arial"/>
                <w:sz w:val="22"/>
                <w:szCs w:val="22"/>
                <w:lang w:val="en-NZ"/>
              </w:rPr>
            </w:pPr>
            <w:r w:rsidRPr="00925391">
              <w:rPr>
                <w:rFonts w:cs="Arial"/>
                <w:sz w:val="22"/>
                <w:szCs w:val="22"/>
                <w:lang w:val="en-NZ"/>
              </w:rPr>
              <w:t>Medium</w:t>
            </w:r>
          </w:p>
        </w:tc>
        <w:tc>
          <w:tcPr>
            <w:tcW w:w="1223" w:type="pct"/>
            <w:gridSpan w:val="3"/>
            <w:shd w:val="clear" w:color="auto" w:fill="FFC000"/>
            <w:vAlign w:val="center"/>
          </w:tcPr>
          <w:p w14:paraId="3A6AE639" w14:textId="77777777" w:rsidR="00EB06DE" w:rsidRPr="00925391" w:rsidRDefault="00EB06DE" w:rsidP="00AE7144">
            <w:pPr>
              <w:spacing w:before="60" w:after="60"/>
              <w:rPr>
                <w:rFonts w:cs="Arial"/>
                <w:sz w:val="22"/>
                <w:szCs w:val="22"/>
                <w:lang w:val="en-NZ"/>
              </w:rPr>
            </w:pPr>
            <w:r w:rsidRPr="00925391">
              <w:rPr>
                <w:rFonts w:cs="Arial"/>
                <w:sz w:val="22"/>
                <w:szCs w:val="22"/>
                <w:lang w:val="en-NZ"/>
              </w:rPr>
              <w:t>Medium-high</w:t>
            </w:r>
          </w:p>
        </w:tc>
        <w:tc>
          <w:tcPr>
            <w:tcW w:w="1203" w:type="pct"/>
            <w:gridSpan w:val="2"/>
            <w:shd w:val="clear" w:color="auto" w:fill="FF0000"/>
            <w:vAlign w:val="center"/>
          </w:tcPr>
          <w:p w14:paraId="320EF458" w14:textId="77777777" w:rsidR="00EB06DE" w:rsidRPr="00925391" w:rsidRDefault="00EB06DE" w:rsidP="00C569A2">
            <w:pPr>
              <w:spacing w:before="60" w:after="60"/>
              <w:rPr>
                <w:rFonts w:cs="Arial"/>
                <w:sz w:val="22"/>
                <w:szCs w:val="22"/>
                <w:lang w:val="en-NZ"/>
              </w:rPr>
            </w:pPr>
            <w:r w:rsidRPr="00925391">
              <w:rPr>
                <w:rFonts w:cs="Arial"/>
                <w:sz w:val="22"/>
                <w:szCs w:val="22"/>
                <w:lang w:val="en-NZ"/>
              </w:rPr>
              <w:t>High</w:t>
            </w:r>
          </w:p>
        </w:tc>
      </w:tr>
    </w:tbl>
    <w:p w14:paraId="35B0462C" w14:textId="77777777" w:rsidR="0069565B" w:rsidRPr="00925391" w:rsidRDefault="0069565B" w:rsidP="0069565B">
      <w:pPr>
        <w:rPr>
          <w:lang w:val="en-NZ"/>
        </w:rPr>
      </w:pPr>
    </w:p>
    <w:p w14:paraId="4680DD34" w14:textId="77777777" w:rsidR="00761B71" w:rsidRPr="00925391" w:rsidRDefault="002E1014" w:rsidP="00761B71">
      <w:pPr>
        <w:pStyle w:val="Heading2"/>
        <w:rPr>
          <w:lang w:val="en-NZ"/>
        </w:rPr>
      </w:pPr>
      <w:r w:rsidRPr="00925391">
        <w:rPr>
          <w:lang w:val="en-NZ"/>
        </w:rPr>
        <w:t xml:space="preserve">Risk assessment </w:t>
      </w:r>
      <w:r w:rsidR="00761B71" w:rsidRPr="00925391">
        <w:rPr>
          <w:lang w:val="en-NZ"/>
        </w:rPr>
        <w:t>(high</w:t>
      </w:r>
      <w:r w:rsidR="00B17DFC" w:rsidRPr="00925391">
        <w:rPr>
          <w:lang w:val="en-NZ"/>
        </w:rPr>
        <w:t>er</w:t>
      </w:r>
      <w:r w:rsidR="00761B71" w:rsidRPr="00925391">
        <w:rPr>
          <w:lang w:val="en-NZ"/>
        </w:rPr>
        <w:t xml:space="preserve"> complexity)</w:t>
      </w:r>
    </w:p>
    <w:p w14:paraId="58B2EEDA" w14:textId="77777777" w:rsidR="004655F9" w:rsidRPr="00925391" w:rsidRDefault="004655F9" w:rsidP="00761B71">
      <w:pPr>
        <w:pStyle w:val="Numbers1"/>
      </w:pPr>
      <w:r w:rsidRPr="00925391">
        <w:t>More complicated and comprehensive assessments of risk may suit</w:t>
      </w:r>
      <w:r w:rsidR="00FB4706" w:rsidRPr="00925391">
        <w:t xml:space="preserve"> larger </w:t>
      </w:r>
      <w:r w:rsidRPr="00925391">
        <w:t>businesses</w:t>
      </w:r>
      <w:r w:rsidR="00FB4706" w:rsidRPr="00925391">
        <w:t xml:space="preserve"> with multiple products or services</w:t>
      </w:r>
      <w:r w:rsidRPr="00925391">
        <w:t xml:space="preserve">. </w:t>
      </w:r>
    </w:p>
    <w:p w14:paraId="63820EAA" w14:textId="77777777" w:rsidR="004655F9" w:rsidRPr="00925391" w:rsidRDefault="004655F9" w:rsidP="004655F9">
      <w:pPr>
        <w:pStyle w:val="Numbers1"/>
        <w:numPr>
          <w:ilvl w:val="0"/>
          <w:numId w:val="0"/>
        </w:numPr>
      </w:pPr>
    </w:p>
    <w:p w14:paraId="0F797810" w14:textId="77777777" w:rsidR="00761B71" w:rsidRPr="00925391" w:rsidRDefault="00761B71" w:rsidP="00761B71">
      <w:pPr>
        <w:pStyle w:val="Numbers1"/>
        <w:rPr>
          <w:b/>
        </w:rPr>
      </w:pPr>
      <w:r w:rsidRPr="00925391">
        <w:lastRenderedPageBreak/>
        <w:t>You could assess risk likelihood in terms of threat and vulnerability. For example, you may consider domestic tax evasion criminals as the threat, and your accounts dealing with cash payme</w:t>
      </w:r>
      <w:r w:rsidR="002E1014" w:rsidRPr="00925391">
        <w:t>nts as the vulnerability. Depending on the risk assessment method you use</w:t>
      </w:r>
      <w:r w:rsidR="009750CE">
        <w:t>,</w:t>
      </w:r>
      <w:r w:rsidR="002E1014" w:rsidRPr="00925391">
        <w:t xml:space="preserve"> this</w:t>
      </w:r>
      <w:r w:rsidRPr="00925391">
        <w:t xml:space="preserve"> could result in a</w:t>
      </w:r>
      <w:r w:rsidR="00A23DA2" w:rsidRPr="00925391">
        <w:t xml:space="preserve">n inherent risk rating </w:t>
      </w:r>
      <w:r w:rsidRPr="00925391">
        <w:t xml:space="preserve">of </w:t>
      </w:r>
      <w:r w:rsidRPr="00925391">
        <w:rPr>
          <w:i/>
        </w:rPr>
        <w:t>highly probable</w:t>
      </w:r>
      <w:r w:rsidRPr="00925391">
        <w:t>. You may then want to assess the impact of this event on your business and the wider environment.</w:t>
      </w:r>
    </w:p>
    <w:p w14:paraId="41FFAB4B" w14:textId="77777777" w:rsidR="00761B71" w:rsidRPr="00925391" w:rsidRDefault="00761B71" w:rsidP="00761B71">
      <w:pPr>
        <w:pStyle w:val="Numbers1"/>
        <w:numPr>
          <w:ilvl w:val="0"/>
          <w:numId w:val="0"/>
        </w:numPr>
        <w:ind w:left="471" w:hanging="471"/>
        <w:rPr>
          <w:rFonts w:cs="Arial"/>
        </w:rPr>
      </w:pPr>
    </w:p>
    <w:p w14:paraId="085B3FE8" w14:textId="77777777" w:rsidR="00761B71" w:rsidRPr="00925391" w:rsidRDefault="00761B71" w:rsidP="00761B71">
      <w:pPr>
        <w:pStyle w:val="Numbers1"/>
        <w:rPr>
          <w:rFonts w:cs="Arial"/>
        </w:rPr>
      </w:pPr>
      <w:r w:rsidRPr="00925391">
        <w:t xml:space="preserve">Determining </w:t>
      </w:r>
      <w:r w:rsidR="002E1014" w:rsidRPr="00925391">
        <w:t>the</w:t>
      </w:r>
      <w:r w:rsidRPr="00925391">
        <w:t xml:space="preserve"> impact</w:t>
      </w:r>
      <w:r w:rsidR="002E1014" w:rsidRPr="00925391">
        <w:t xml:space="preserve"> of ML/TF activity</w:t>
      </w:r>
      <w:r w:rsidRPr="00925391">
        <w:t xml:space="preserve"> can be challenging but can also </w:t>
      </w:r>
      <w:r w:rsidR="009750CE">
        <w:t>help</w:t>
      </w:r>
      <w:r w:rsidR="009750CE" w:rsidRPr="00925391">
        <w:t xml:space="preserve"> </w:t>
      </w:r>
      <w:r w:rsidR="002E1014" w:rsidRPr="00925391">
        <w:t xml:space="preserve">you focus your </w:t>
      </w:r>
      <w:r w:rsidRPr="00925391">
        <w:t xml:space="preserve">AML/CFT resources in a more effective and targeted manner. When determining </w:t>
      </w:r>
      <w:r w:rsidR="00527E14" w:rsidRPr="00925391">
        <w:t>impact,</w:t>
      </w:r>
      <w:r w:rsidR="002E1014" w:rsidRPr="00925391">
        <w:t xml:space="preserve"> </w:t>
      </w:r>
      <w:r w:rsidRPr="00925391">
        <w:t>you may want to consider a number of factors</w:t>
      </w:r>
      <w:r w:rsidR="009750CE">
        <w:t>,</w:t>
      </w:r>
      <w:r w:rsidRPr="00925391">
        <w:t xml:space="preserve"> including:</w:t>
      </w:r>
    </w:p>
    <w:p w14:paraId="2FAF4AB9" w14:textId="77777777" w:rsidR="00761B71" w:rsidRPr="00925391" w:rsidRDefault="009750CE" w:rsidP="00761B71">
      <w:pPr>
        <w:pStyle w:val="Bullet1"/>
        <w:rPr>
          <w:rFonts w:cs="Arial"/>
        </w:rPr>
      </w:pPr>
      <w:r>
        <w:t>n</w:t>
      </w:r>
      <w:r w:rsidR="00761B71" w:rsidRPr="00925391">
        <w:t>ature and size of your business (domestic and international)</w:t>
      </w:r>
    </w:p>
    <w:p w14:paraId="72D271D2" w14:textId="77777777" w:rsidR="00B17DFC" w:rsidRPr="00925391" w:rsidRDefault="009750CE" w:rsidP="00761B71">
      <w:pPr>
        <w:pStyle w:val="Bullet1"/>
        <w:rPr>
          <w:rFonts w:cs="Arial"/>
        </w:rPr>
      </w:pPr>
      <w:r>
        <w:t>e</w:t>
      </w:r>
      <w:r w:rsidR="00B17DFC" w:rsidRPr="00925391">
        <w:t>conomic impact and financial repercussions</w:t>
      </w:r>
    </w:p>
    <w:p w14:paraId="0E658498" w14:textId="77777777" w:rsidR="00761B71" w:rsidRPr="00925391" w:rsidRDefault="009750CE" w:rsidP="00761B71">
      <w:pPr>
        <w:pStyle w:val="Bullet1"/>
        <w:rPr>
          <w:rFonts w:cs="Arial"/>
        </w:rPr>
      </w:pPr>
      <w:r>
        <w:t>p</w:t>
      </w:r>
      <w:r w:rsidR="00761B71" w:rsidRPr="00925391">
        <w:t xml:space="preserve">otential financial and reputational consequences </w:t>
      </w:r>
    </w:p>
    <w:p w14:paraId="679C8612" w14:textId="77777777" w:rsidR="00761B71" w:rsidRPr="00925391" w:rsidRDefault="009750CE" w:rsidP="00761B71">
      <w:pPr>
        <w:pStyle w:val="Bullet1"/>
        <w:rPr>
          <w:rFonts w:cs="Arial"/>
        </w:rPr>
      </w:pPr>
      <w:r>
        <w:t>t</w:t>
      </w:r>
      <w:r w:rsidR="00761B71" w:rsidRPr="00925391">
        <w:t xml:space="preserve">errorism-related impacts </w:t>
      </w:r>
    </w:p>
    <w:p w14:paraId="7AD04BFC" w14:textId="77777777" w:rsidR="00761B71" w:rsidRPr="00925391" w:rsidRDefault="009750CE" w:rsidP="00761B71">
      <w:pPr>
        <w:pStyle w:val="Bullet1"/>
        <w:rPr>
          <w:rFonts w:cs="Arial"/>
        </w:rPr>
      </w:pPr>
      <w:r>
        <w:t>w</w:t>
      </w:r>
      <w:r w:rsidR="00761B71" w:rsidRPr="00925391">
        <w:t>ider criminal activity and social harm</w:t>
      </w:r>
    </w:p>
    <w:p w14:paraId="23FFEE85" w14:textId="77777777" w:rsidR="002E1014" w:rsidRPr="00925391" w:rsidRDefault="009750CE" w:rsidP="002E1014">
      <w:pPr>
        <w:pStyle w:val="Bullet1"/>
        <w:rPr>
          <w:rFonts w:cs="Arial"/>
        </w:rPr>
      </w:pPr>
      <w:r>
        <w:t>p</w:t>
      </w:r>
      <w:r w:rsidR="002E1014" w:rsidRPr="00925391">
        <w:t>olitical impact</w:t>
      </w:r>
    </w:p>
    <w:p w14:paraId="2C6E346B" w14:textId="77777777" w:rsidR="00761B71" w:rsidRPr="00925391" w:rsidRDefault="009750CE" w:rsidP="002E1014">
      <w:pPr>
        <w:pStyle w:val="Bullet1"/>
        <w:rPr>
          <w:rFonts w:cs="Arial"/>
        </w:rPr>
      </w:pPr>
      <w:r>
        <w:t>n</w:t>
      </w:r>
      <w:r w:rsidR="00761B71" w:rsidRPr="00925391">
        <w:t>egative media</w:t>
      </w:r>
      <w:r>
        <w:t>.</w:t>
      </w:r>
    </w:p>
    <w:p w14:paraId="1ADDA705" w14:textId="77777777" w:rsidR="00761B71" w:rsidRPr="00925391" w:rsidRDefault="00761B71" w:rsidP="00761B71">
      <w:pPr>
        <w:pStyle w:val="Bullet1"/>
        <w:numPr>
          <w:ilvl w:val="0"/>
          <w:numId w:val="0"/>
        </w:numPr>
        <w:ind w:left="942" w:hanging="471"/>
      </w:pPr>
    </w:p>
    <w:p w14:paraId="445D1C7E" w14:textId="77777777" w:rsidR="00B17DFC" w:rsidRPr="00925391" w:rsidRDefault="00761B71" w:rsidP="00F22478">
      <w:pPr>
        <w:pStyle w:val="Numbers1"/>
        <w:rPr>
          <w:rFonts w:cs="Arial"/>
        </w:rPr>
      </w:pPr>
      <w:r w:rsidRPr="00925391">
        <w:t xml:space="preserve">You may want to give more weight to certain </w:t>
      </w:r>
      <w:r w:rsidR="00527E14">
        <w:t>factors</w:t>
      </w:r>
      <w:r w:rsidRPr="00925391">
        <w:t xml:space="preserve"> to provide </w:t>
      </w:r>
      <w:r w:rsidR="00F22478" w:rsidRPr="00925391">
        <w:t xml:space="preserve">a more nuanced </w:t>
      </w:r>
      <w:r w:rsidR="00A23DA2" w:rsidRPr="00925391">
        <w:t>understanding of your</w:t>
      </w:r>
      <w:r w:rsidR="00F22478" w:rsidRPr="00925391">
        <w:t xml:space="preserve"> ML/TF risk.</w:t>
      </w:r>
    </w:p>
    <w:p w14:paraId="431AF806" w14:textId="77777777" w:rsidR="00B17DFC" w:rsidRPr="00925391" w:rsidRDefault="00B17DFC" w:rsidP="00B17DFC">
      <w:pPr>
        <w:pStyle w:val="Numbers1"/>
        <w:numPr>
          <w:ilvl w:val="0"/>
          <w:numId w:val="0"/>
        </w:numPr>
        <w:ind w:left="471"/>
        <w:rPr>
          <w:rFonts w:cs="Arial"/>
        </w:rPr>
      </w:pPr>
    </w:p>
    <w:p w14:paraId="7CA9C762" w14:textId="77777777" w:rsidR="00454E4B" w:rsidRPr="00925391" w:rsidRDefault="00F22478" w:rsidP="00B17DFC">
      <w:pPr>
        <w:pStyle w:val="Numbers1"/>
        <w:rPr>
          <w:rFonts w:cs="Arial"/>
        </w:rPr>
      </w:pPr>
      <w:r w:rsidRPr="00925391">
        <w:t>In addition, you may want to consider how your risks can compound across the various risk factors.</w:t>
      </w:r>
      <w:r w:rsidR="00B17DFC" w:rsidRPr="00925391">
        <w:rPr>
          <w:rFonts w:cs="Arial"/>
        </w:rPr>
        <w:t xml:space="preserve"> </w:t>
      </w:r>
      <w:r w:rsidRPr="00925391">
        <w:t xml:space="preserve">For example, you may identify that one of your products is high-risk </w:t>
      </w:r>
      <w:r w:rsidRPr="00527E14">
        <w:rPr>
          <w:b/>
        </w:rPr>
        <w:t>and</w:t>
      </w:r>
      <w:r w:rsidRPr="00925391">
        <w:t xml:space="preserve"> </w:t>
      </w:r>
      <w:r w:rsidR="00B17DFC" w:rsidRPr="00925391">
        <w:t xml:space="preserve">is </w:t>
      </w:r>
      <w:r w:rsidRPr="00925391">
        <w:t>being used in a high-risk jurisdiction</w:t>
      </w:r>
      <w:r w:rsidR="00FB4706" w:rsidRPr="00925391">
        <w:t xml:space="preserve"> that is directly involved in the production or transnational-shipment of </w:t>
      </w:r>
      <w:r w:rsidR="0096087A" w:rsidRPr="00925391">
        <w:t>illicit</w:t>
      </w:r>
      <w:r w:rsidR="00FB4706" w:rsidRPr="00925391">
        <w:t xml:space="preserve"> drugs. </w:t>
      </w:r>
      <w:r w:rsidRPr="00925391">
        <w:t>As such</w:t>
      </w:r>
      <w:r w:rsidR="00543AA4">
        <w:t>,</w:t>
      </w:r>
      <w:r w:rsidRPr="00925391">
        <w:t xml:space="preserve"> you assess the compounded risk of this scenario as</w:t>
      </w:r>
      <w:r w:rsidR="00B17DFC" w:rsidRPr="00925391">
        <w:t xml:space="preserve"> presenting</w:t>
      </w:r>
      <w:r w:rsidR="00A23DA2" w:rsidRPr="00925391">
        <w:t xml:space="preserve"> an inherent risk rating of</w:t>
      </w:r>
      <w:r w:rsidR="00B17DFC" w:rsidRPr="00925391">
        <w:t xml:space="preserve"> </w:t>
      </w:r>
      <w:r w:rsidR="00B17DFC" w:rsidRPr="00925391">
        <w:rPr>
          <w:i/>
        </w:rPr>
        <w:t>severe</w:t>
      </w:r>
      <w:r w:rsidR="00BF5691">
        <w:t xml:space="preserve">. You would be expected to </w:t>
      </w:r>
      <w:r w:rsidR="002E1014" w:rsidRPr="00925391">
        <w:t>prioritise and</w:t>
      </w:r>
      <w:r w:rsidR="00B17DFC" w:rsidRPr="00925391">
        <w:t xml:space="preserve"> allocate your resources accordingly. </w:t>
      </w:r>
    </w:p>
    <w:p w14:paraId="1852E634" w14:textId="77777777" w:rsidR="00454E4B" w:rsidRPr="00925391" w:rsidRDefault="00454E4B" w:rsidP="000C63C8">
      <w:pPr>
        <w:pStyle w:val="Heading1"/>
        <w:rPr>
          <w:lang w:val="en-NZ"/>
        </w:rPr>
      </w:pPr>
      <w:bookmarkStart w:id="7" w:name="_Ref509236285"/>
      <w:r w:rsidRPr="00925391">
        <w:rPr>
          <w:lang w:val="en-NZ"/>
        </w:rPr>
        <w:t>Part 4: Applying a risk assessment</w:t>
      </w:r>
      <w:bookmarkEnd w:id="7"/>
    </w:p>
    <w:p w14:paraId="3F560613" w14:textId="77777777" w:rsidR="005F20AB" w:rsidRPr="00925391" w:rsidRDefault="005F20AB" w:rsidP="00A7029F">
      <w:pPr>
        <w:pStyle w:val="Numbers1"/>
      </w:pPr>
      <w:r w:rsidRPr="00925391">
        <w:t xml:space="preserve">Your risk assessment should help you </w:t>
      </w:r>
      <w:r w:rsidR="00D02958" w:rsidRPr="00925391">
        <w:t xml:space="preserve">rank and </w:t>
      </w:r>
      <w:r w:rsidRPr="00925391">
        <w:t>prioritise your risks and provide a framework of how you will manage those risks.</w:t>
      </w:r>
    </w:p>
    <w:p w14:paraId="6233CEAF" w14:textId="77777777" w:rsidR="005F20AB" w:rsidRPr="00925391" w:rsidRDefault="005F20AB" w:rsidP="00A7029F">
      <w:pPr>
        <w:pStyle w:val="Numbers1"/>
        <w:numPr>
          <w:ilvl w:val="0"/>
          <w:numId w:val="0"/>
        </w:numPr>
        <w:ind w:left="471"/>
      </w:pPr>
    </w:p>
    <w:p w14:paraId="788CE9DC" w14:textId="77777777" w:rsidR="00B0714D" w:rsidRPr="00925391" w:rsidRDefault="00454E4B" w:rsidP="00A7029F">
      <w:pPr>
        <w:pStyle w:val="Numbers1"/>
      </w:pPr>
      <w:bookmarkStart w:id="8" w:name="_Ref509325443"/>
      <w:r w:rsidRPr="00925391">
        <w:t xml:space="preserve">Your risk assessment </w:t>
      </w:r>
      <w:r w:rsidRPr="00925391">
        <w:rPr>
          <w:b/>
        </w:rPr>
        <w:t>must</w:t>
      </w:r>
      <w:r w:rsidRPr="00925391">
        <w:t xml:space="preserve"> enable you to prepare a </w:t>
      </w:r>
      <w:r w:rsidR="00462693" w:rsidRPr="00925391">
        <w:t>comprehensive programme. It should</w:t>
      </w:r>
      <w:r w:rsidRPr="00925391">
        <w:t xml:space="preserve"> enable you to meet your</w:t>
      </w:r>
      <w:r w:rsidR="00570922" w:rsidRPr="00925391">
        <w:t xml:space="preserve"> relevant obligations under the</w:t>
      </w:r>
      <w:r w:rsidRPr="00925391">
        <w:t xml:space="preserve"> Act and</w:t>
      </w:r>
      <w:r w:rsidR="00BF5691">
        <w:t xml:space="preserve"> </w:t>
      </w:r>
      <w:r w:rsidR="007D1409" w:rsidRPr="00925391">
        <w:t>r</w:t>
      </w:r>
      <w:r w:rsidR="00CF41E4" w:rsidRPr="00925391">
        <w:t xml:space="preserve">egulations, including </w:t>
      </w:r>
      <w:r w:rsidRPr="00925391">
        <w:t>your obligations to conduct CDD</w:t>
      </w:r>
      <w:r w:rsidR="00BF5691">
        <w:t xml:space="preserve">, </w:t>
      </w:r>
      <w:r w:rsidR="00CF41E4" w:rsidRPr="00925391">
        <w:t>monitor</w:t>
      </w:r>
      <w:r w:rsidR="00BF5691">
        <w:t xml:space="preserve"> accounts and activities</w:t>
      </w:r>
      <w:r w:rsidR="00CF41E4" w:rsidRPr="00925391">
        <w:t xml:space="preserve"> </w:t>
      </w:r>
      <w:r w:rsidRPr="00925391">
        <w:t>and report suspicious activity.</w:t>
      </w:r>
      <w:bookmarkEnd w:id="8"/>
      <w:r w:rsidR="0064598B" w:rsidRPr="00925391">
        <w:t xml:space="preserve"> </w:t>
      </w:r>
    </w:p>
    <w:p w14:paraId="50F49867" w14:textId="77777777" w:rsidR="00B0714D" w:rsidRPr="00925391" w:rsidRDefault="00B0714D" w:rsidP="00A7029F">
      <w:pPr>
        <w:pStyle w:val="Numbers1"/>
        <w:numPr>
          <w:ilvl w:val="0"/>
          <w:numId w:val="0"/>
        </w:numPr>
        <w:ind w:left="471"/>
      </w:pPr>
    </w:p>
    <w:p w14:paraId="52878E72" w14:textId="77777777" w:rsidR="00454E4B" w:rsidRPr="00925391" w:rsidRDefault="00BF5691" w:rsidP="00A7029F">
      <w:pPr>
        <w:pStyle w:val="Numbers1"/>
      </w:pPr>
      <w:r>
        <w:t xml:space="preserve">Your risk assessment should help in determining suspicion and consequently assist in the decision to submit an SAR to the FIU. </w:t>
      </w:r>
      <w:r w:rsidR="00B0714D" w:rsidRPr="00925391">
        <w:t xml:space="preserve">You </w:t>
      </w:r>
      <w:r w:rsidR="00B0714D" w:rsidRPr="00925391">
        <w:rPr>
          <w:b/>
        </w:rPr>
        <w:t>must</w:t>
      </w:r>
      <w:r w:rsidR="00B0714D" w:rsidRPr="00925391">
        <w:t xml:space="preserve"> </w:t>
      </w:r>
      <w:r w:rsidR="00940692" w:rsidRPr="00925391">
        <w:t>submit</w:t>
      </w:r>
      <w:r w:rsidR="00B0714D" w:rsidRPr="00925391">
        <w:t xml:space="preserve"> an SAR </w:t>
      </w:r>
      <w:r w:rsidR="00D02958" w:rsidRPr="00925391">
        <w:t>to the FIU if you think activities</w:t>
      </w:r>
      <w:r w:rsidR="00B0714D" w:rsidRPr="00925391">
        <w:t xml:space="preserve"> or transactions are suspicious. </w:t>
      </w:r>
      <w:r w:rsidR="00462693" w:rsidRPr="00925391">
        <w:t>For instance, you may consider</w:t>
      </w:r>
      <w:r w:rsidR="00A23DA2" w:rsidRPr="00925391">
        <w:t xml:space="preserve"> unexpected</w:t>
      </w:r>
      <w:r w:rsidR="00462693" w:rsidRPr="00925391">
        <w:t xml:space="preserve"> international activity of a domestic</w:t>
      </w:r>
      <w:r w:rsidR="00543AA4">
        <w:t>-</w:t>
      </w:r>
      <w:r w:rsidR="00462693" w:rsidRPr="00925391">
        <w:t>based customer unusual, especially if it involves a high-risk jurisdiction, and</w:t>
      </w:r>
      <w:r w:rsidR="00A23DA2" w:rsidRPr="00925391">
        <w:t xml:space="preserve"> </w:t>
      </w:r>
      <w:r w:rsidR="00462693" w:rsidRPr="00925391">
        <w:t>submit an SAR.</w:t>
      </w:r>
    </w:p>
    <w:p w14:paraId="35707BE3" w14:textId="77777777" w:rsidR="006F4727" w:rsidRPr="00925391" w:rsidRDefault="006F4727" w:rsidP="00A7029F">
      <w:pPr>
        <w:pStyle w:val="Numbers1"/>
        <w:numPr>
          <w:ilvl w:val="0"/>
          <w:numId w:val="0"/>
        </w:numPr>
        <w:ind w:left="471"/>
      </w:pPr>
    </w:p>
    <w:p w14:paraId="374D9074" w14:textId="77777777" w:rsidR="008F4B8A" w:rsidRPr="00925391" w:rsidRDefault="006F4727" w:rsidP="008F4B8A">
      <w:pPr>
        <w:pStyle w:val="Numbers1"/>
      </w:pPr>
      <w:r w:rsidRPr="00925391">
        <w:t xml:space="preserve">You </w:t>
      </w:r>
      <w:r w:rsidRPr="00925391">
        <w:rPr>
          <w:b/>
        </w:rPr>
        <w:t xml:space="preserve">must </w:t>
      </w:r>
      <w:r w:rsidRPr="00925391">
        <w:t>conduc</w:t>
      </w:r>
      <w:r w:rsidR="008F4B8A" w:rsidRPr="00925391">
        <w:t xml:space="preserve">t ongoing CDD. </w:t>
      </w:r>
      <w:r w:rsidR="002E1014" w:rsidRPr="00925391">
        <w:t>Your risk assessment will help you target and prioritise the resources needed for ongoing C</w:t>
      </w:r>
      <w:r w:rsidR="008F4B8A" w:rsidRPr="00925391">
        <w:t xml:space="preserve">DD. For instance, you may want </w:t>
      </w:r>
      <w:r w:rsidR="00462693" w:rsidRPr="00925391">
        <w:t xml:space="preserve">to undertake </w:t>
      </w:r>
      <w:r w:rsidR="008F4B8A" w:rsidRPr="00925391">
        <w:t xml:space="preserve">ongoing CDD on your high-risk customers on a more regular basis than </w:t>
      </w:r>
      <w:r w:rsidR="00CF41E4" w:rsidRPr="00925391">
        <w:t xml:space="preserve">on your </w:t>
      </w:r>
      <w:r w:rsidR="008F4B8A" w:rsidRPr="00925391">
        <w:t>lower</w:t>
      </w:r>
      <w:r w:rsidR="00AC6784">
        <w:t>-</w:t>
      </w:r>
      <w:r w:rsidR="008F4B8A" w:rsidRPr="00925391">
        <w:t>risk customers</w:t>
      </w:r>
      <w:r w:rsidR="00EB3A42" w:rsidRPr="00925391">
        <w:t xml:space="preserve">. </w:t>
      </w:r>
    </w:p>
    <w:p w14:paraId="35AB7594" w14:textId="77777777" w:rsidR="00EB3A42" w:rsidRPr="00925391" w:rsidRDefault="00EB3A42" w:rsidP="00EB3A42">
      <w:pPr>
        <w:pStyle w:val="Numbers1"/>
        <w:numPr>
          <w:ilvl w:val="0"/>
          <w:numId w:val="0"/>
        </w:numPr>
        <w:ind w:left="471"/>
      </w:pPr>
    </w:p>
    <w:p w14:paraId="0DCA7487" w14:textId="77777777" w:rsidR="008F4B8A" w:rsidRPr="00925391" w:rsidRDefault="008F4B8A" w:rsidP="008F4B8A">
      <w:pPr>
        <w:pStyle w:val="Numbers1"/>
      </w:pPr>
      <w:r w:rsidRPr="00925391">
        <w:lastRenderedPageBreak/>
        <w:t xml:space="preserve">You </w:t>
      </w:r>
      <w:r w:rsidRPr="00925391">
        <w:rPr>
          <w:b/>
        </w:rPr>
        <w:t xml:space="preserve">must </w:t>
      </w:r>
      <w:r w:rsidRPr="00925391">
        <w:t xml:space="preserve">undertake account monitoring. Your risk assessment will help you design the triggers, red flags and scenarios that can form part of your account monitoring. For instance, </w:t>
      </w:r>
      <w:r w:rsidR="00462693" w:rsidRPr="00925391">
        <w:t xml:space="preserve">you may want </w:t>
      </w:r>
      <w:r w:rsidRPr="00925391">
        <w:t>the activity of a high-risk customer</w:t>
      </w:r>
      <w:r w:rsidR="00EB3A42" w:rsidRPr="00925391">
        <w:t xml:space="preserve"> in a high-</w:t>
      </w:r>
      <w:r w:rsidR="00A23DA2" w:rsidRPr="00925391">
        <w:t>risk jurisdiction (as identified in your risk assessment)</w:t>
      </w:r>
      <w:r w:rsidR="00462693" w:rsidRPr="00925391">
        <w:t xml:space="preserve"> to </w:t>
      </w:r>
      <w:r w:rsidRPr="00925391">
        <w:t xml:space="preserve">be subject to more frequent and in-depth </w:t>
      </w:r>
      <w:r w:rsidR="00A23DA2" w:rsidRPr="00925391">
        <w:t>scrutiny</w:t>
      </w:r>
      <w:r w:rsidRPr="00925391">
        <w:t>.</w:t>
      </w:r>
    </w:p>
    <w:p w14:paraId="2AE516A4" w14:textId="77777777" w:rsidR="00EA05FC" w:rsidRPr="00925391" w:rsidRDefault="00EA05FC" w:rsidP="000C63C8">
      <w:pPr>
        <w:rPr>
          <w:lang w:val="en-NZ"/>
        </w:rPr>
      </w:pPr>
    </w:p>
    <w:p w14:paraId="31A262E0" w14:textId="77777777" w:rsidR="001E7459" w:rsidRPr="00925391" w:rsidRDefault="001E7459" w:rsidP="000C63C8">
      <w:pPr>
        <w:pStyle w:val="Heading2"/>
        <w:rPr>
          <w:lang w:val="en-NZ"/>
        </w:rPr>
      </w:pPr>
      <w:r w:rsidRPr="00925391">
        <w:rPr>
          <w:lang w:val="en-NZ"/>
        </w:rPr>
        <w:t>New and developing technologies and products</w:t>
      </w:r>
    </w:p>
    <w:p w14:paraId="3DB80849" w14:textId="77777777" w:rsidR="001E7459" w:rsidRPr="00925391" w:rsidRDefault="001E7459" w:rsidP="00A7029F">
      <w:pPr>
        <w:pStyle w:val="Numbers1"/>
      </w:pPr>
      <w:r w:rsidRPr="00925391">
        <w:t>New and developing technologies</w:t>
      </w:r>
      <w:r w:rsidR="007D1409" w:rsidRPr="00925391">
        <w:t xml:space="preserve"> and </w:t>
      </w:r>
      <w:r w:rsidRPr="00925391">
        <w:t xml:space="preserve">products can present unknown ML/TF risks </w:t>
      </w:r>
      <w:r w:rsidR="00DE73CE" w:rsidRPr="00925391">
        <w:t xml:space="preserve">and vulnerabilities. In addition, </w:t>
      </w:r>
      <w:r w:rsidRPr="00925391">
        <w:t>new methods of delivery may be able to bypass existing AML/CFT measures to allow anonymity</w:t>
      </w:r>
      <w:r w:rsidR="00DE73CE" w:rsidRPr="00925391">
        <w:t xml:space="preserve"> and disguise beneficial ownership</w:t>
      </w:r>
      <w:r w:rsidRPr="00925391">
        <w:t>. Your risk assessment should consider whether your business is, or may be, exposed to customers involved in new and developing technologies and products. Your programme should detail the procedures, policies and controls that you will implement for this type of customer and technology.</w:t>
      </w:r>
    </w:p>
    <w:p w14:paraId="5822BB59" w14:textId="77777777" w:rsidR="006E6880" w:rsidRPr="00925391" w:rsidRDefault="006E6880" w:rsidP="00A7029F">
      <w:pPr>
        <w:pStyle w:val="Numbers1"/>
        <w:numPr>
          <w:ilvl w:val="0"/>
          <w:numId w:val="0"/>
        </w:numPr>
        <w:rPr>
          <w:b/>
        </w:rPr>
      </w:pPr>
    </w:p>
    <w:p w14:paraId="477A3593" w14:textId="77777777" w:rsidR="006E6880" w:rsidRPr="00925391" w:rsidRDefault="006E6880" w:rsidP="000C63C8">
      <w:pPr>
        <w:pStyle w:val="Heading2"/>
        <w:rPr>
          <w:lang w:val="en-NZ"/>
        </w:rPr>
      </w:pPr>
      <w:r w:rsidRPr="00925391">
        <w:rPr>
          <w:lang w:val="en-NZ"/>
        </w:rPr>
        <w:t>Material changes and risk assessment</w:t>
      </w:r>
    </w:p>
    <w:p w14:paraId="366625FD" w14:textId="77777777" w:rsidR="006E6880" w:rsidRPr="00925391" w:rsidRDefault="006E6880" w:rsidP="00A7029F">
      <w:pPr>
        <w:pStyle w:val="Numbers1"/>
        <w:rPr>
          <w:rFonts w:cs="Arial"/>
        </w:rPr>
      </w:pPr>
      <w:r w:rsidRPr="00925391">
        <w:t>Your risk assessment should adapt when there is a material change in the nature and purpose of your business or your relationship with a customer. A material change could present an increase</w:t>
      </w:r>
      <w:r w:rsidR="00DE73CE" w:rsidRPr="00925391">
        <w:t>, or decrease,</w:t>
      </w:r>
      <w:r w:rsidRPr="00925391">
        <w:t xml:space="preserve"> in ML/TF risk.</w:t>
      </w:r>
    </w:p>
    <w:p w14:paraId="07CC2FBC" w14:textId="77777777" w:rsidR="006E6880" w:rsidRPr="00925391" w:rsidRDefault="006E6880" w:rsidP="00A7029F">
      <w:pPr>
        <w:pStyle w:val="Numbers1"/>
        <w:numPr>
          <w:ilvl w:val="0"/>
          <w:numId w:val="0"/>
        </w:numPr>
        <w:ind w:left="471"/>
        <w:rPr>
          <w:rFonts w:cs="Arial"/>
        </w:rPr>
      </w:pPr>
    </w:p>
    <w:p w14:paraId="3F4FE416" w14:textId="77777777" w:rsidR="006C3BAB" w:rsidRPr="00925391" w:rsidRDefault="006E6880" w:rsidP="006C3BAB">
      <w:pPr>
        <w:pStyle w:val="Numbers1"/>
        <w:rPr>
          <w:rFonts w:cs="Arial"/>
        </w:rPr>
      </w:pPr>
      <w:r w:rsidRPr="00925391">
        <w:rPr>
          <w:rFonts w:cs="Arial"/>
        </w:rPr>
        <w:t>M</w:t>
      </w:r>
      <w:r w:rsidRPr="00925391">
        <w:t xml:space="preserve">aterial change could include circumstances where you introduce new products or </w:t>
      </w:r>
      <w:r w:rsidR="00BF5691" w:rsidRPr="00925391">
        <w:t>services or</w:t>
      </w:r>
      <w:r w:rsidRPr="00925391">
        <w:t xml:space="preserve"> have customers</w:t>
      </w:r>
      <w:r w:rsidR="00E02CFE" w:rsidRPr="00925391">
        <w:t xml:space="preserve"> (or their beneficial owner)</w:t>
      </w:r>
      <w:r w:rsidRPr="00925391">
        <w:t xml:space="preserve"> based in new jurisdictions. </w:t>
      </w:r>
      <w:r w:rsidR="00CF41E4" w:rsidRPr="00925391">
        <w:t>Material change can include when you start using new methods of delivering your services or you have new corporate or organisatio</w:t>
      </w:r>
      <w:r w:rsidR="00C64AC4" w:rsidRPr="00925391">
        <w:t>nal structures. It could result from you deciding</w:t>
      </w:r>
      <w:r w:rsidR="00CF41E4" w:rsidRPr="00925391">
        <w:t xml:space="preserve"> to o</w:t>
      </w:r>
      <w:r w:rsidR="00C64AC4" w:rsidRPr="00925391">
        <w:t>utsource CDD functions or changing</w:t>
      </w:r>
      <w:r w:rsidR="00CF41E4" w:rsidRPr="00925391">
        <w:t xml:space="preserve"> your processes for dealing with PEPs. </w:t>
      </w:r>
      <w:r w:rsidR="00CF41E4" w:rsidRPr="00925391">
        <w:rPr>
          <w:rFonts w:cs="Arial"/>
        </w:rPr>
        <w:t>In these circumstances, you may need</w:t>
      </w:r>
      <w:r w:rsidR="00C626E6" w:rsidRPr="00925391">
        <w:rPr>
          <w:rFonts w:cs="Arial"/>
        </w:rPr>
        <w:t xml:space="preserve"> to refresh</w:t>
      </w:r>
      <w:r w:rsidR="00CF41E4" w:rsidRPr="00925391">
        <w:rPr>
          <w:rFonts w:cs="Arial"/>
        </w:rPr>
        <w:t xml:space="preserve"> your risk assessment.</w:t>
      </w:r>
    </w:p>
    <w:p w14:paraId="76EE00F2" w14:textId="77777777" w:rsidR="00E83302" w:rsidRPr="00925391" w:rsidRDefault="00E83302" w:rsidP="000C63C8">
      <w:pPr>
        <w:pStyle w:val="Heading1"/>
        <w:rPr>
          <w:lang w:val="en-NZ"/>
        </w:rPr>
      </w:pPr>
      <w:bookmarkStart w:id="9" w:name="_Ref509236295"/>
      <w:r w:rsidRPr="00925391">
        <w:rPr>
          <w:lang w:val="en-NZ"/>
        </w:rPr>
        <w:t>Part 5: Review and audit of risk assessment</w:t>
      </w:r>
      <w:bookmarkEnd w:id="9"/>
    </w:p>
    <w:p w14:paraId="23A745C4" w14:textId="77777777" w:rsidR="00E83302" w:rsidRPr="00925391" w:rsidRDefault="00E83302" w:rsidP="000C63C8">
      <w:pPr>
        <w:pStyle w:val="Heading2"/>
        <w:rPr>
          <w:lang w:val="en-NZ"/>
        </w:rPr>
      </w:pPr>
      <w:r w:rsidRPr="00925391">
        <w:rPr>
          <w:lang w:val="en-NZ"/>
        </w:rPr>
        <w:t>Reviewing a risk assessment</w:t>
      </w:r>
    </w:p>
    <w:p w14:paraId="632C41CC" w14:textId="77777777" w:rsidR="00E83302" w:rsidRPr="00925391" w:rsidRDefault="00D02958" w:rsidP="00A7029F">
      <w:pPr>
        <w:pStyle w:val="Numbers1"/>
      </w:pPr>
      <w:r w:rsidRPr="00925391">
        <w:t>Y</w:t>
      </w:r>
      <w:r w:rsidR="00E83302" w:rsidRPr="00925391">
        <w:t xml:space="preserve">ou </w:t>
      </w:r>
      <w:r w:rsidR="00BA1A20" w:rsidRPr="00925391">
        <w:rPr>
          <w:b/>
        </w:rPr>
        <w:t>must</w:t>
      </w:r>
      <w:r w:rsidR="00BA1A20" w:rsidRPr="00925391">
        <w:t xml:space="preserve"> </w:t>
      </w:r>
      <w:r w:rsidR="00E83302" w:rsidRPr="00925391">
        <w:t>review your risk assessment to:</w:t>
      </w:r>
    </w:p>
    <w:p w14:paraId="33E527E5" w14:textId="77777777" w:rsidR="00E83302" w:rsidRPr="00925391" w:rsidRDefault="00E83302" w:rsidP="008950D3">
      <w:pPr>
        <w:pStyle w:val="Bullet1"/>
      </w:pPr>
      <w:r w:rsidRPr="00925391">
        <w:t xml:space="preserve">ensure it </w:t>
      </w:r>
      <w:r w:rsidR="00BF5691">
        <w:t>remains</w:t>
      </w:r>
      <w:r w:rsidRPr="00925391">
        <w:t xml:space="preserve"> current</w:t>
      </w:r>
      <w:r w:rsidR="00BF5691">
        <w:t xml:space="preserve"> at all times</w:t>
      </w:r>
    </w:p>
    <w:p w14:paraId="79384E89" w14:textId="77777777" w:rsidR="00E83302" w:rsidRPr="00925391" w:rsidRDefault="00E83302" w:rsidP="008950D3">
      <w:pPr>
        <w:pStyle w:val="Bullet1"/>
      </w:pPr>
      <w:r w:rsidRPr="00925391">
        <w:t xml:space="preserve">identify any deficiencies in </w:t>
      </w:r>
      <w:r w:rsidR="00580356" w:rsidRPr="00925391">
        <w:t xml:space="preserve">its </w:t>
      </w:r>
      <w:r w:rsidRPr="00925391">
        <w:t xml:space="preserve">effectiveness </w:t>
      </w:r>
    </w:p>
    <w:p w14:paraId="0029CF84" w14:textId="77777777" w:rsidR="00E83302" w:rsidRPr="00925391" w:rsidRDefault="00E83302" w:rsidP="00091EC6">
      <w:pPr>
        <w:pStyle w:val="Bullet1"/>
      </w:pPr>
      <w:r w:rsidRPr="00925391">
        <w:t xml:space="preserve">make any changes </w:t>
      </w:r>
      <w:r w:rsidR="00580356" w:rsidRPr="00925391">
        <w:t xml:space="preserve">that are </w:t>
      </w:r>
      <w:r w:rsidRPr="00925391">
        <w:t>identified as being necessary in this process</w:t>
      </w:r>
      <w:r w:rsidR="00BD34AF" w:rsidRPr="00925391">
        <w:t>.</w:t>
      </w:r>
    </w:p>
    <w:p w14:paraId="5F0AA43D" w14:textId="77777777" w:rsidR="00BA1A20" w:rsidRPr="00925391" w:rsidRDefault="00BA1A20" w:rsidP="00091EC6">
      <w:pPr>
        <w:pStyle w:val="Bullet1"/>
        <w:numPr>
          <w:ilvl w:val="0"/>
          <w:numId w:val="0"/>
        </w:numPr>
        <w:ind w:left="357"/>
      </w:pPr>
    </w:p>
    <w:p w14:paraId="364B9539" w14:textId="77777777" w:rsidR="00BA1A20" w:rsidRPr="00925391" w:rsidRDefault="00DE73CE" w:rsidP="00A7029F">
      <w:pPr>
        <w:pStyle w:val="Numbers1"/>
      </w:pPr>
      <w:bookmarkStart w:id="10" w:name="_Hlk513457960"/>
      <w:r w:rsidRPr="00925391">
        <w:t>You may want to schedule this</w:t>
      </w:r>
      <w:r w:rsidR="00BF5691">
        <w:t xml:space="preserve"> annually</w:t>
      </w:r>
      <w:r w:rsidRPr="00925391">
        <w:t xml:space="preserve"> as part of your annual report process </w:t>
      </w:r>
      <w:r w:rsidR="00392F7B" w:rsidRPr="00925391">
        <w:t>and/</w:t>
      </w:r>
      <w:r w:rsidRPr="00925391">
        <w:t>or as a</w:t>
      </w:r>
      <w:r w:rsidR="00E02CFE" w:rsidRPr="00925391">
        <w:t xml:space="preserve"> result of a trigger event. A trigger event could be</w:t>
      </w:r>
      <w:r w:rsidR="00BF5691">
        <w:t xml:space="preserve"> the emergence of</w:t>
      </w:r>
      <w:r w:rsidR="00E02CFE" w:rsidRPr="00925391">
        <w:t xml:space="preserve"> </w:t>
      </w:r>
      <w:r w:rsidRPr="00925391">
        <w:t>new technology</w:t>
      </w:r>
      <w:r w:rsidR="00AC6784">
        <w:t>;</w:t>
      </w:r>
      <w:r w:rsidR="00C36415" w:rsidRPr="00925391">
        <w:t xml:space="preserve"> a new customer base</w:t>
      </w:r>
      <w:r w:rsidR="00AC6784">
        <w:t>;</w:t>
      </w:r>
      <w:r w:rsidR="00C36415" w:rsidRPr="00925391">
        <w:t xml:space="preserve"> new services or products</w:t>
      </w:r>
      <w:r w:rsidR="00AC6784">
        <w:t>;</w:t>
      </w:r>
      <w:r w:rsidR="00C36415" w:rsidRPr="00925391">
        <w:t xml:space="preserve"> new ML/TF risks as determined by the FATF, AML/CFT supervisors or the FIU</w:t>
      </w:r>
      <w:r w:rsidR="00AC6784">
        <w:t>;</w:t>
      </w:r>
      <w:r w:rsidRPr="00925391">
        <w:t xml:space="preserve"> or </w:t>
      </w:r>
      <w:r w:rsidR="00C36415" w:rsidRPr="00925391">
        <w:t>updated regulations</w:t>
      </w:r>
      <w:r w:rsidR="00AC6784">
        <w:t>.</w:t>
      </w:r>
      <w:r w:rsidR="00041437">
        <w:t xml:space="preserve"> Version control of documents is useful to demonstrate this.</w:t>
      </w:r>
    </w:p>
    <w:bookmarkEnd w:id="10"/>
    <w:p w14:paraId="0CA88480" w14:textId="77777777" w:rsidR="00E83302" w:rsidRPr="00925391" w:rsidRDefault="00E83302" w:rsidP="00A7029F">
      <w:pPr>
        <w:ind w:left="680"/>
        <w:rPr>
          <w:rFonts w:cs="Arial"/>
          <w:lang w:val="en-NZ"/>
        </w:rPr>
      </w:pPr>
    </w:p>
    <w:p w14:paraId="37EFDF58" w14:textId="77777777" w:rsidR="00E83302" w:rsidRPr="00925391" w:rsidRDefault="006E6880" w:rsidP="000C63C8">
      <w:pPr>
        <w:pStyle w:val="Heading2"/>
        <w:rPr>
          <w:lang w:val="en-NZ"/>
        </w:rPr>
      </w:pPr>
      <w:r w:rsidRPr="00925391">
        <w:rPr>
          <w:lang w:val="en-NZ"/>
        </w:rPr>
        <w:t>Auditing a risk assessment</w:t>
      </w:r>
    </w:p>
    <w:p w14:paraId="0857F955" w14:textId="502ADBD6" w:rsidR="00693AD7" w:rsidRPr="00872353" w:rsidRDefault="00693AD7" w:rsidP="00693AD7">
      <w:pPr>
        <w:pStyle w:val="Numbers1"/>
      </w:pPr>
      <w:bookmarkStart w:id="11" w:name="_Ref509236302"/>
      <w:r w:rsidRPr="00872353">
        <w:t xml:space="preserve">You </w:t>
      </w:r>
      <w:r w:rsidRPr="00872353">
        <w:rPr>
          <w:b/>
        </w:rPr>
        <w:t>must</w:t>
      </w:r>
      <w:r w:rsidRPr="00872353">
        <w:t xml:space="preserve"> audit your programme (as well as your risk assessment) every </w:t>
      </w:r>
      <w:r w:rsidR="00924308">
        <w:t>three</w:t>
      </w:r>
      <w:r w:rsidRPr="00872353">
        <w:t xml:space="preserve"> years, or at any other time at the request of your </w:t>
      </w:r>
      <w:smartTag w:uri="urn:schemas-microsoft-com:office:smarttags" w:element="stockticker">
        <w:r w:rsidRPr="00872353">
          <w:t>AML</w:t>
        </w:r>
      </w:smartTag>
      <w:r w:rsidRPr="00872353">
        <w:t>/CFT supervisor. You</w:t>
      </w:r>
      <w:r w:rsidRPr="00872353">
        <w:rPr>
          <w:b/>
        </w:rPr>
        <w:t xml:space="preserve"> must</w:t>
      </w:r>
      <w:r w:rsidRPr="00872353">
        <w:t xml:space="preserve"> provide a copy of your audit to your AML/CFT supervisor on request.</w:t>
      </w:r>
    </w:p>
    <w:p w14:paraId="3204D47F" w14:textId="77777777" w:rsidR="00693AD7" w:rsidRPr="00872353" w:rsidRDefault="00693AD7" w:rsidP="00693AD7">
      <w:pPr>
        <w:pStyle w:val="Numbers1"/>
        <w:numPr>
          <w:ilvl w:val="0"/>
          <w:numId w:val="0"/>
        </w:numPr>
        <w:ind w:left="471"/>
      </w:pPr>
    </w:p>
    <w:p w14:paraId="7E58E2D3" w14:textId="77777777" w:rsidR="00693AD7" w:rsidRPr="00872353" w:rsidRDefault="00693AD7" w:rsidP="00693AD7">
      <w:pPr>
        <w:pStyle w:val="Numbers1"/>
      </w:pPr>
      <w:r w:rsidRPr="00872353">
        <w:rPr>
          <w:b/>
        </w:rPr>
        <w:lastRenderedPageBreak/>
        <w:t>The auditor must be appropriately qualified</w:t>
      </w:r>
      <w:r w:rsidRPr="00872353">
        <w:t xml:space="preserve"> </w:t>
      </w:r>
      <w:r w:rsidRPr="00872353">
        <w:rPr>
          <w:b/>
        </w:rPr>
        <w:t>–</w:t>
      </w:r>
      <w:r w:rsidRPr="00872353">
        <w:t xml:space="preserve"> The Act states that your auditor </w:t>
      </w:r>
      <w:r w:rsidRPr="00872353">
        <w:rPr>
          <w:b/>
        </w:rPr>
        <w:t>must</w:t>
      </w:r>
      <w:r w:rsidRPr="00872353">
        <w:t xml:space="preserve"> be appropriately qualified to conduct the audit. This does not necessarily mean that the person must be a chartered accountant or qualified to undertake financial audits. It does mean that the person has to have relevant skills or experience to conduct the assessment. You should be able to justify to your AML/CFT supervisor how your auditor is appropriately qualified.</w:t>
      </w:r>
    </w:p>
    <w:p w14:paraId="3302BEED" w14:textId="77777777" w:rsidR="00693AD7" w:rsidRPr="00872353" w:rsidRDefault="00693AD7" w:rsidP="00693AD7">
      <w:pPr>
        <w:ind w:left="57"/>
        <w:rPr>
          <w:rFonts w:cs="Arial"/>
          <w:lang w:val="en-NZ"/>
        </w:rPr>
      </w:pPr>
    </w:p>
    <w:p w14:paraId="0B6350C2" w14:textId="77777777" w:rsidR="00693AD7" w:rsidRPr="00872353" w:rsidRDefault="00693AD7" w:rsidP="00693AD7">
      <w:pPr>
        <w:pStyle w:val="Numbers1"/>
      </w:pPr>
      <w:r w:rsidRPr="00872353">
        <w:rPr>
          <w:b/>
        </w:rPr>
        <w:t>The audit must be conducted by an independent person</w:t>
      </w:r>
      <w:r w:rsidRPr="00872353">
        <w:t xml:space="preserve"> – The Act states that your auditor </w:t>
      </w:r>
      <w:r w:rsidRPr="00872353">
        <w:rPr>
          <w:b/>
        </w:rPr>
        <w:t>must</w:t>
      </w:r>
      <w:r w:rsidRPr="00872353">
        <w:t xml:space="preserve"> be independent, and not involved in the development of your risk assessment or the establishment, implementation or maintenance of your programme. The person/s appointed to undertake the audit may be a member of your staff (for instance, an internal audit team), provided they are adequately separated from the AML/CFT area of your business. You should be able to justify to your AML/CFT supervisor how your auditor is independent.</w:t>
      </w:r>
    </w:p>
    <w:p w14:paraId="7C1DE0F7" w14:textId="77777777" w:rsidR="00693AD7" w:rsidRPr="00872353" w:rsidRDefault="00693AD7" w:rsidP="00693AD7">
      <w:pPr>
        <w:rPr>
          <w:lang w:val="en-NZ"/>
        </w:rPr>
      </w:pPr>
    </w:p>
    <w:p w14:paraId="214C504E" w14:textId="77777777" w:rsidR="00693AD7" w:rsidRPr="00872353" w:rsidRDefault="00693AD7" w:rsidP="00693AD7">
      <w:pPr>
        <w:pStyle w:val="Numbers1"/>
        <w:rPr>
          <w:b/>
        </w:rPr>
      </w:pPr>
      <w:r w:rsidRPr="00872353">
        <w:t>You may choose to appoint an external firm to undertake both the audit and review provided you are satisfied there are appropriate separation and conflict of interest arrangements.</w:t>
      </w:r>
      <w:r w:rsidRPr="00872353">
        <w:rPr>
          <w:b/>
        </w:rPr>
        <w:t xml:space="preserve"> </w:t>
      </w:r>
      <w:r w:rsidRPr="00872353">
        <w:t xml:space="preserve">The annual report that you are required to provide to your AML/CFT supervisor </w:t>
      </w:r>
      <w:r w:rsidRPr="00872353">
        <w:rPr>
          <w:b/>
        </w:rPr>
        <w:t>must</w:t>
      </w:r>
      <w:r w:rsidRPr="00872353">
        <w:t xml:space="preserve"> consider results and implications of the audit. Refer to the AML/CFT supervisor guidance </w:t>
      </w:r>
      <w:r w:rsidRPr="00872353">
        <w:rPr>
          <w:i/>
        </w:rPr>
        <w:t>Guideline for Audits of Risk Assessments and AML/CFT Programmes</w:t>
      </w:r>
      <w:r w:rsidRPr="00872353">
        <w:rPr>
          <w:rStyle w:val="FootnoteReference"/>
        </w:rPr>
        <w:footnoteReference w:id="20"/>
      </w:r>
      <w:r w:rsidRPr="00872353">
        <w:rPr>
          <w:b/>
        </w:rPr>
        <w:t xml:space="preserve"> </w:t>
      </w:r>
      <w:r w:rsidRPr="00872353">
        <w:t>for more information.</w:t>
      </w:r>
    </w:p>
    <w:p w14:paraId="07B17B75" w14:textId="77777777" w:rsidR="009219D5" w:rsidRPr="00925391" w:rsidRDefault="009219D5" w:rsidP="004B4E5A">
      <w:pPr>
        <w:pStyle w:val="Heading1"/>
        <w:rPr>
          <w:lang w:val="en-NZ"/>
        </w:rPr>
      </w:pPr>
      <w:r w:rsidRPr="00925391">
        <w:rPr>
          <w:lang w:val="en-NZ"/>
        </w:rPr>
        <w:t xml:space="preserve">Part 6: </w:t>
      </w:r>
      <w:bookmarkEnd w:id="11"/>
      <w:r w:rsidR="00666D92" w:rsidRPr="00925391">
        <w:rPr>
          <w:lang w:val="en-NZ"/>
        </w:rPr>
        <w:t>List of abbreviations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6971"/>
      </w:tblGrid>
      <w:tr w:rsidR="00AC6784" w:rsidRPr="00925391" w14:paraId="23F6F359" w14:textId="77777777" w:rsidTr="00527E14">
        <w:trPr>
          <w:cantSplit/>
        </w:trPr>
        <w:tc>
          <w:tcPr>
            <w:tcW w:w="2235" w:type="dxa"/>
            <w:shd w:val="clear" w:color="auto" w:fill="auto"/>
          </w:tcPr>
          <w:p w14:paraId="3ED9F70B" w14:textId="77777777" w:rsidR="00AC6784" w:rsidRPr="00925391" w:rsidRDefault="00AC6784" w:rsidP="004B4E5A">
            <w:pPr>
              <w:pStyle w:val="Heading2"/>
              <w:spacing w:before="60" w:after="60"/>
              <w:rPr>
                <w:rFonts w:eastAsia="Calibri" w:cs="Arial"/>
                <w:b w:val="0"/>
                <w:sz w:val="24"/>
                <w:szCs w:val="24"/>
                <w:lang w:val="en-NZ"/>
              </w:rPr>
            </w:pPr>
            <w:r w:rsidRPr="00925391">
              <w:rPr>
                <w:rFonts w:eastAsia="Calibri" w:cs="Arial"/>
                <w:b w:val="0"/>
                <w:sz w:val="24"/>
                <w:szCs w:val="24"/>
                <w:lang w:val="en-NZ"/>
              </w:rPr>
              <w:t>The Act</w:t>
            </w:r>
          </w:p>
        </w:tc>
        <w:tc>
          <w:tcPr>
            <w:tcW w:w="7171" w:type="dxa"/>
            <w:shd w:val="clear" w:color="auto" w:fill="auto"/>
          </w:tcPr>
          <w:p w14:paraId="4AE73C09" w14:textId="77777777" w:rsidR="00AC6784" w:rsidRPr="00925391" w:rsidRDefault="00AC6784" w:rsidP="004B4E5A">
            <w:pPr>
              <w:pStyle w:val="Heading2"/>
              <w:spacing w:before="60" w:after="60"/>
              <w:rPr>
                <w:rFonts w:eastAsia="Calibri" w:cs="Arial"/>
                <w:b w:val="0"/>
                <w:sz w:val="24"/>
                <w:szCs w:val="24"/>
                <w:lang w:val="en-NZ"/>
              </w:rPr>
            </w:pPr>
            <w:r w:rsidRPr="00AC6784">
              <w:rPr>
                <w:rFonts w:eastAsia="Calibri" w:cs="Arial"/>
                <w:b w:val="0"/>
                <w:sz w:val="24"/>
                <w:szCs w:val="24"/>
                <w:lang w:val="en-NZ"/>
              </w:rPr>
              <w:t>Anti-Money Laundering and Countering Financing of Terrorism</w:t>
            </w:r>
            <w:r w:rsidRPr="00925391">
              <w:rPr>
                <w:rFonts w:eastAsia="Calibri" w:cs="Arial"/>
                <w:b w:val="0"/>
                <w:sz w:val="24"/>
                <w:szCs w:val="24"/>
                <w:lang w:val="en-NZ"/>
              </w:rPr>
              <w:t xml:space="preserve"> Act 2009</w:t>
            </w:r>
          </w:p>
        </w:tc>
      </w:tr>
      <w:tr w:rsidR="002B0B99" w:rsidRPr="00925391" w14:paraId="0F94E751" w14:textId="77777777" w:rsidTr="00527E14">
        <w:trPr>
          <w:cantSplit/>
        </w:trPr>
        <w:tc>
          <w:tcPr>
            <w:tcW w:w="2235" w:type="dxa"/>
            <w:shd w:val="clear" w:color="auto" w:fill="auto"/>
          </w:tcPr>
          <w:p w14:paraId="53E25B26" w14:textId="77777777" w:rsidR="002B0B99" w:rsidRPr="00925391" w:rsidRDefault="002B0B99" w:rsidP="004B4E5A">
            <w:pPr>
              <w:pStyle w:val="Heading2"/>
              <w:spacing w:before="60" w:after="60"/>
              <w:rPr>
                <w:rFonts w:eastAsia="Calibri" w:cs="Arial"/>
                <w:b w:val="0"/>
                <w:sz w:val="24"/>
                <w:szCs w:val="24"/>
                <w:lang w:val="en-NZ"/>
              </w:rPr>
            </w:pPr>
            <w:r w:rsidRPr="00925391">
              <w:rPr>
                <w:rFonts w:eastAsia="Calibri" w:cs="Arial"/>
                <w:b w:val="0"/>
                <w:sz w:val="24"/>
                <w:szCs w:val="24"/>
                <w:lang w:val="en-NZ"/>
              </w:rPr>
              <w:t>AML/CFT</w:t>
            </w:r>
          </w:p>
        </w:tc>
        <w:tc>
          <w:tcPr>
            <w:tcW w:w="7171" w:type="dxa"/>
            <w:shd w:val="clear" w:color="auto" w:fill="auto"/>
          </w:tcPr>
          <w:p w14:paraId="2DCF9507" w14:textId="77777777" w:rsidR="002B0B99" w:rsidRPr="00925391" w:rsidRDefault="002B0B99" w:rsidP="004B4E5A">
            <w:pPr>
              <w:pStyle w:val="Heading2"/>
              <w:spacing w:before="60" w:after="60"/>
              <w:rPr>
                <w:rFonts w:eastAsia="Calibri" w:cs="Arial"/>
                <w:b w:val="0"/>
                <w:sz w:val="24"/>
                <w:szCs w:val="24"/>
                <w:lang w:val="en-NZ"/>
              </w:rPr>
            </w:pPr>
            <w:r w:rsidRPr="00925391">
              <w:rPr>
                <w:rFonts w:eastAsia="Calibri" w:cs="Arial"/>
                <w:b w:val="0"/>
                <w:sz w:val="24"/>
                <w:szCs w:val="24"/>
                <w:lang w:val="en-NZ"/>
              </w:rPr>
              <w:t xml:space="preserve">Anti-money laundering and countering financing of terrorism </w:t>
            </w:r>
          </w:p>
        </w:tc>
      </w:tr>
      <w:tr w:rsidR="002B0B99" w:rsidRPr="00925391" w14:paraId="3C0AD9BB" w14:textId="77777777" w:rsidTr="00527E14">
        <w:trPr>
          <w:cantSplit/>
        </w:trPr>
        <w:tc>
          <w:tcPr>
            <w:tcW w:w="2235" w:type="dxa"/>
            <w:shd w:val="clear" w:color="auto" w:fill="auto"/>
          </w:tcPr>
          <w:p w14:paraId="5E7AC3A0" w14:textId="77777777" w:rsidR="002B0B99" w:rsidRPr="00925391" w:rsidRDefault="002B0B99" w:rsidP="004B4E5A">
            <w:pPr>
              <w:pStyle w:val="Heading2"/>
              <w:spacing w:before="60" w:after="60"/>
              <w:rPr>
                <w:rFonts w:eastAsia="Calibri" w:cs="Arial"/>
                <w:b w:val="0"/>
                <w:sz w:val="24"/>
                <w:szCs w:val="24"/>
                <w:lang w:val="en-NZ"/>
              </w:rPr>
            </w:pPr>
            <w:r w:rsidRPr="00925391">
              <w:rPr>
                <w:rFonts w:eastAsia="Calibri" w:cs="Arial"/>
                <w:b w:val="0"/>
                <w:sz w:val="24"/>
                <w:szCs w:val="24"/>
                <w:lang w:val="en-NZ"/>
              </w:rPr>
              <w:t>APG</w:t>
            </w:r>
          </w:p>
        </w:tc>
        <w:tc>
          <w:tcPr>
            <w:tcW w:w="7171" w:type="dxa"/>
            <w:shd w:val="clear" w:color="auto" w:fill="auto"/>
          </w:tcPr>
          <w:p w14:paraId="26AFA99E" w14:textId="77777777" w:rsidR="002B0B99" w:rsidRPr="00925391" w:rsidRDefault="002B0B99" w:rsidP="004B4E5A">
            <w:pPr>
              <w:pStyle w:val="Heading2"/>
              <w:spacing w:before="60" w:after="60"/>
              <w:rPr>
                <w:rFonts w:eastAsia="Calibri" w:cs="Arial"/>
                <w:b w:val="0"/>
                <w:sz w:val="24"/>
                <w:szCs w:val="24"/>
                <w:lang w:val="en-NZ"/>
              </w:rPr>
            </w:pPr>
            <w:r w:rsidRPr="00925391">
              <w:rPr>
                <w:rFonts w:eastAsia="Calibri" w:cs="Arial"/>
                <w:b w:val="0"/>
                <w:sz w:val="24"/>
                <w:szCs w:val="24"/>
                <w:lang w:val="en-NZ"/>
              </w:rPr>
              <w:t>Asia</w:t>
            </w:r>
            <w:r w:rsidR="00EB3A42" w:rsidRPr="00925391">
              <w:rPr>
                <w:rFonts w:eastAsia="Calibri" w:cs="Arial"/>
                <w:b w:val="0"/>
                <w:sz w:val="24"/>
                <w:szCs w:val="24"/>
                <w:lang w:val="en-NZ"/>
              </w:rPr>
              <w:t xml:space="preserve"> </w:t>
            </w:r>
            <w:r w:rsidR="00403E82" w:rsidRPr="00925391">
              <w:rPr>
                <w:rFonts w:eastAsia="Calibri" w:cs="Arial"/>
                <w:b w:val="0"/>
                <w:sz w:val="24"/>
                <w:szCs w:val="24"/>
                <w:lang w:val="en-NZ"/>
              </w:rPr>
              <w:t>P</w:t>
            </w:r>
            <w:r w:rsidRPr="00925391">
              <w:rPr>
                <w:rFonts w:eastAsia="Calibri" w:cs="Arial"/>
                <w:b w:val="0"/>
                <w:sz w:val="24"/>
                <w:szCs w:val="24"/>
                <w:lang w:val="en-NZ"/>
              </w:rPr>
              <w:t>acific Group on Money Laundering</w:t>
            </w:r>
          </w:p>
        </w:tc>
      </w:tr>
      <w:tr w:rsidR="00580356" w:rsidRPr="00925391" w14:paraId="6E991EB5" w14:textId="77777777" w:rsidTr="00527E14">
        <w:trPr>
          <w:cantSplit/>
        </w:trPr>
        <w:tc>
          <w:tcPr>
            <w:tcW w:w="2235" w:type="dxa"/>
            <w:shd w:val="clear" w:color="auto" w:fill="auto"/>
          </w:tcPr>
          <w:p w14:paraId="074FB1C7" w14:textId="77777777" w:rsidR="00580356" w:rsidRPr="00925391" w:rsidRDefault="00580356" w:rsidP="00403E82">
            <w:pPr>
              <w:spacing w:before="60" w:after="60"/>
              <w:rPr>
                <w:rFonts w:eastAsia="Calibri" w:cs="Calibri"/>
                <w:lang w:val="en-NZ"/>
              </w:rPr>
            </w:pPr>
            <w:r w:rsidRPr="00925391">
              <w:rPr>
                <w:rFonts w:eastAsia="Calibri" w:cs="Calibri"/>
                <w:lang w:val="en-NZ"/>
              </w:rPr>
              <w:t>AUSTRAC</w:t>
            </w:r>
          </w:p>
        </w:tc>
        <w:tc>
          <w:tcPr>
            <w:tcW w:w="7171" w:type="dxa"/>
            <w:shd w:val="clear" w:color="auto" w:fill="auto"/>
          </w:tcPr>
          <w:p w14:paraId="1763E6C7" w14:textId="77777777" w:rsidR="00580356" w:rsidRPr="00925391" w:rsidRDefault="00580356" w:rsidP="00580356">
            <w:pPr>
              <w:spacing w:before="60" w:after="60"/>
              <w:rPr>
                <w:rFonts w:eastAsia="Calibri" w:cs="Calibri"/>
                <w:lang w:val="en-NZ"/>
              </w:rPr>
            </w:pPr>
            <w:r w:rsidRPr="00925391">
              <w:rPr>
                <w:rFonts w:eastAsia="Calibri" w:cs="Calibri"/>
                <w:lang w:val="en-NZ"/>
              </w:rPr>
              <w:t>Australian Transaction Reports and Analysis Centre</w:t>
            </w:r>
          </w:p>
        </w:tc>
      </w:tr>
      <w:tr w:rsidR="002B0B99" w:rsidRPr="00925391" w14:paraId="7F81440D" w14:textId="77777777" w:rsidTr="00527E14">
        <w:trPr>
          <w:cantSplit/>
        </w:trPr>
        <w:tc>
          <w:tcPr>
            <w:tcW w:w="2235" w:type="dxa"/>
            <w:shd w:val="clear" w:color="auto" w:fill="auto"/>
          </w:tcPr>
          <w:p w14:paraId="033BEB5C" w14:textId="77777777" w:rsidR="002B0B99" w:rsidRPr="00925391" w:rsidRDefault="002B0B99" w:rsidP="004B4E5A">
            <w:pPr>
              <w:spacing w:before="60" w:after="60"/>
              <w:rPr>
                <w:rFonts w:eastAsia="Calibri" w:cs="Calibri"/>
                <w:lang w:val="en-NZ"/>
              </w:rPr>
            </w:pPr>
            <w:r w:rsidRPr="00925391">
              <w:rPr>
                <w:rFonts w:eastAsia="Calibri" w:cs="Calibri"/>
                <w:lang w:val="en-NZ"/>
              </w:rPr>
              <w:t>CDD</w:t>
            </w:r>
          </w:p>
        </w:tc>
        <w:tc>
          <w:tcPr>
            <w:tcW w:w="7171" w:type="dxa"/>
            <w:shd w:val="clear" w:color="auto" w:fill="auto"/>
          </w:tcPr>
          <w:p w14:paraId="2CC0E797" w14:textId="77777777" w:rsidR="002B0B99" w:rsidRPr="00925391" w:rsidRDefault="002B0B99" w:rsidP="004B4E5A">
            <w:pPr>
              <w:spacing w:before="60" w:after="60"/>
              <w:rPr>
                <w:rFonts w:eastAsia="Calibri" w:cs="Calibri"/>
                <w:lang w:val="en-NZ"/>
              </w:rPr>
            </w:pPr>
            <w:r w:rsidRPr="00925391">
              <w:rPr>
                <w:rFonts w:eastAsia="Calibri" w:cs="Calibri"/>
                <w:lang w:val="en-NZ"/>
              </w:rPr>
              <w:t>Customer due diligence</w:t>
            </w:r>
          </w:p>
        </w:tc>
      </w:tr>
      <w:tr w:rsidR="002B0B99" w:rsidRPr="00925391" w14:paraId="0A759979" w14:textId="77777777" w:rsidTr="00527E14">
        <w:trPr>
          <w:cantSplit/>
        </w:trPr>
        <w:tc>
          <w:tcPr>
            <w:tcW w:w="2235" w:type="dxa"/>
            <w:shd w:val="clear" w:color="auto" w:fill="auto"/>
          </w:tcPr>
          <w:p w14:paraId="1D1CA069" w14:textId="77777777" w:rsidR="002B0B99" w:rsidRPr="00925391" w:rsidRDefault="002B0B99" w:rsidP="004B4E5A">
            <w:pPr>
              <w:spacing w:before="60" w:after="60"/>
              <w:rPr>
                <w:rFonts w:eastAsia="Calibri" w:cs="Calibri"/>
                <w:lang w:val="en-NZ"/>
              </w:rPr>
            </w:pPr>
            <w:r w:rsidRPr="00925391">
              <w:rPr>
                <w:rFonts w:eastAsia="Calibri" w:cs="Calibri"/>
                <w:lang w:val="en-NZ"/>
              </w:rPr>
              <w:t>DIA</w:t>
            </w:r>
          </w:p>
        </w:tc>
        <w:tc>
          <w:tcPr>
            <w:tcW w:w="7171" w:type="dxa"/>
            <w:shd w:val="clear" w:color="auto" w:fill="auto"/>
          </w:tcPr>
          <w:p w14:paraId="6E428F05" w14:textId="77777777" w:rsidR="002B0B99" w:rsidRPr="00925391" w:rsidRDefault="002B0B99" w:rsidP="004B4E5A">
            <w:pPr>
              <w:spacing w:before="60" w:after="60"/>
              <w:rPr>
                <w:rFonts w:eastAsia="Calibri" w:cs="Calibri"/>
                <w:lang w:val="en-NZ"/>
              </w:rPr>
            </w:pPr>
            <w:r w:rsidRPr="00925391">
              <w:rPr>
                <w:rFonts w:eastAsia="Calibri" w:cs="Calibri"/>
                <w:lang w:val="en-NZ"/>
              </w:rPr>
              <w:t>Department of Internal Affairs</w:t>
            </w:r>
          </w:p>
        </w:tc>
      </w:tr>
      <w:tr w:rsidR="002B0B99" w:rsidRPr="00925391" w14:paraId="3F5AA156" w14:textId="77777777" w:rsidTr="00527E14">
        <w:trPr>
          <w:cantSplit/>
        </w:trPr>
        <w:tc>
          <w:tcPr>
            <w:tcW w:w="2235" w:type="dxa"/>
            <w:shd w:val="clear" w:color="auto" w:fill="auto"/>
          </w:tcPr>
          <w:p w14:paraId="5C8D64BD" w14:textId="77777777" w:rsidR="002B0B99" w:rsidRPr="00925391" w:rsidRDefault="002B0B99" w:rsidP="004B4E5A">
            <w:pPr>
              <w:spacing w:before="60" w:after="60"/>
              <w:rPr>
                <w:rFonts w:eastAsia="Calibri" w:cs="Calibri"/>
                <w:lang w:val="en-NZ"/>
              </w:rPr>
            </w:pPr>
            <w:r w:rsidRPr="00925391">
              <w:rPr>
                <w:rFonts w:eastAsia="Calibri" w:cs="Calibri"/>
                <w:lang w:val="en-NZ"/>
              </w:rPr>
              <w:t>EDD</w:t>
            </w:r>
          </w:p>
        </w:tc>
        <w:tc>
          <w:tcPr>
            <w:tcW w:w="7171" w:type="dxa"/>
            <w:shd w:val="clear" w:color="auto" w:fill="auto"/>
          </w:tcPr>
          <w:p w14:paraId="375E7FD3" w14:textId="77777777" w:rsidR="002B0B99" w:rsidRPr="00925391" w:rsidRDefault="002B0B99" w:rsidP="004B4E5A">
            <w:pPr>
              <w:spacing w:before="60" w:after="60"/>
              <w:rPr>
                <w:rFonts w:eastAsia="Calibri" w:cs="Calibri"/>
                <w:lang w:val="en-NZ"/>
              </w:rPr>
            </w:pPr>
            <w:r w:rsidRPr="00925391">
              <w:rPr>
                <w:rFonts w:eastAsia="Calibri" w:cs="Calibri"/>
                <w:lang w:val="en-NZ"/>
              </w:rPr>
              <w:t xml:space="preserve">Enhanced </w:t>
            </w:r>
            <w:r w:rsidR="00580356" w:rsidRPr="00925391">
              <w:rPr>
                <w:rFonts w:eastAsia="Calibri" w:cs="Calibri"/>
                <w:lang w:val="en-NZ"/>
              </w:rPr>
              <w:t xml:space="preserve">customer </w:t>
            </w:r>
            <w:r w:rsidRPr="00925391">
              <w:rPr>
                <w:rFonts w:eastAsia="Calibri" w:cs="Calibri"/>
                <w:lang w:val="en-NZ"/>
              </w:rPr>
              <w:t>due diligence</w:t>
            </w:r>
          </w:p>
        </w:tc>
      </w:tr>
      <w:tr w:rsidR="002B0B99" w:rsidRPr="00925391" w14:paraId="6E8724E0" w14:textId="77777777" w:rsidTr="00527E14">
        <w:trPr>
          <w:cantSplit/>
        </w:trPr>
        <w:tc>
          <w:tcPr>
            <w:tcW w:w="2235" w:type="dxa"/>
            <w:shd w:val="clear" w:color="auto" w:fill="auto"/>
          </w:tcPr>
          <w:p w14:paraId="12EC385C" w14:textId="77777777" w:rsidR="002B0B99" w:rsidRPr="00925391" w:rsidRDefault="002B0B99" w:rsidP="004B4E5A">
            <w:pPr>
              <w:spacing w:before="60" w:after="60"/>
              <w:rPr>
                <w:rFonts w:eastAsia="Calibri" w:cs="Calibri"/>
                <w:lang w:val="en-NZ"/>
              </w:rPr>
            </w:pPr>
            <w:r w:rsidRPr="00925391">
              <w:rPr>
                <w:rFonts w:eastAsia="Calibri" w:cs="Calibri"/>
                <w:lang w:val="en-NZ"/>
              </w:rPr>
              <w:t>FATF</w:t>
            </w:r>
          </w:p>
        </w:tc>
        <w:tc>
          <w:tcPr>
            <w:tcW w:w="7171" w:type="dxa"/>
            <w:shd w:val="clear" w:color="auto" w:fill="auto"/>
          </w:tcPr>
          <w:p w14:paraId="0B3AEC47" w14:textId="77777777" w:rsidR="002B0B99" w:rsidRPr="00925391" w:rsidRDefault="002B0B99" w:rsidP="004B4E5A">
            <w:pPr>
              <w:spacing w:before="60" w:after="60"/>
              <w:rPr>
                <w:rFonts w:eastAsia="Calibri" w:cs="Calibri"/>
                <w:lang w:val="en-NZ"/>
              </w:rPr>
            </w:pPr>
            <w:r w:rsidRPr="00925391">
              <w:rPr>
                <w:rFonts w:eastAsia="Calibri" w:cs="Calibri"/>
                <w:lang w:val="en-NZ"/>
              </w:rPr>
              <w:t>Financial Action Task Force</w:t>
            </w:r>
          </w:p>
        </w:tc>
      </w:tr>
      <w:tr w:rsidR="002B0B99" w:rsidRPr="00925391" w14:paraId="2ACE0378" w14:textId="77777777" w:rsidTr="00527E14">
        <w:trPr>
          <w:cantSplit/>
        </w:trPr>
        <w:tc>
          <w:tcPr>
            <w:tcW w:w="2235" w:type="dxa"/>
            <w:shd w:val="clear" w:color="auto" w:fill="auto"/>
          </w:tcPr>
          <w:p w14:paraId="519E9159" w14:textId="77777777" w:rsidR="002B0B99" w:rsidRPr="00925391" w:rsidRDefault="002B0B99" w:rsidP="004B4E5A">
            <w:pPr>
              <w:spacing w:before="60" w:after="60"/>
              <w:rPr>
                <w:rFonts w:eastAsia="Calibri" w:cs="Calibri"/>
                <w:lang w:val="en-NZ"/>
              </w:rPr>
            </w:pPr>
            <w:r w:rsidRPr="00925391">
              <w:rPr>
                <w:rFonts w:eastAsia="Calibri" w:cs="Calibri"/>
                <w:lang w:val="en-NZ"/>
              </w:rPr>
              <w:t>FIU</w:t>
            </w:r>
          </w:p>
        </w:tc>
        <w:tc>
          <w:tcPr>
            <w:tcW w:w="7171" w:type="dxa"/>
            <w:shd w:val="clear" w:color="auto" w:fill="auto"/>
          </w:tcPr>
          <w:p w14:paraId="4B3AD36E" w14:textId="77777777" w:rsidR="002B0B99" w:rsidRPr="00925391" w:rsidRDefault="002B0B99" w:rsidP="004B4E5A">
            <w:pPr>
              <w:spacing w:before="60" w:after="60"/>
              <w:rPr>
                <w:rFonts w:eastAsia="Calibri" w:cs="Calibri"/>
                <w:lang w:val="en-NZ"/>
              </w:rPr>
            </w:pPr>
            <w:r w:rsidRPr="00925391">
              <w:rPr>
                <w:rFonts w:eastAsia="Calibri" w:cs="Calibri"/>
                <w:lang w:val="en-NZ"/>
              </w:rPr>
              <w:t>New Zealand Financial Intelligence Unit</w:t>
            </w:r>
          </w:p>
        </w:tc>
      </w:tr>
      <w:tr w:rsidR="002B0B99" w:rsidRPr="00925391" w14:paraId="383235A7" w14:textId="77777777" w:rsidTr="00527E14">
        <w:trPr>
          <w:cantSplit/>
        </w:trPr>
        <w:tc>
          <w:tcPr>
            <w:tcW w:w="2235" w:type="dxa"/>
            <w:shd w:val="clear" w:color="auto" w:fill="auto"/>
          </w:tcPr>
          <w:p w14:paraId="3C67EAA3" w14:textId="77777777" w:rsidR="002B0B99" w:rsidRPr="00925391" w:rsidRDefault="002B0B99" w:rsidP="004B4E5A">
            <w:pPr>
              <w:spacing w:before="60" w:after="60"/>
              <w:rPr>
                <w:rFonts w:eastAsia="Calibri" w:cs="Calibri"/>
                <w:lang w:val="en-NZ"/>
              </w:rPr>
            </w:pPr>
            <w:r w:rsidRPr="00925391">
              <w:rPr>
                <w:rFonts w:eastAsia="Calibri" w:cs="Calibri"/>
                <w:lang w:val="en-NZ"/>
              </w:rPr>
              <w:t>FMA</w:t>
            </w:r>
          </w:p>
        </w:tc>
        <w:tc>
          <w:tcPr>
            <w:tcW w:w="7171" w:type="dxa"/>
            <w:shd w:val="clear" w:color="auto" w:fill="auto"/>
          </w:tcPr>
          <w:p w14:paraId="79A13319" w14:textId="77777777" w:rsidR="002B0B99" w:rsidRPr="00925391" w:rsidRDefault="002B0B99" w:rsidP="004B4E5A">
            <w:pPr>
              <w:spacing w:before="60" w:after="60"/>
              <w:rPr>
                <w:rFonts w:eastAsia="Calibri" w:cs="Calibri"/>
                <w:lang w:val="en-NZ"/>
              </w:rPr>
            </w:pPr>
            <w:r w:rsidRPr="00925391">
              <w:rPr>
                <w:rFonts w:eastAsia="Calibri" w:cs="Calibri"/>
                <w:lang w:val="en-NZ"/>
              </w:rPr>
              <w:t>Financial Markets Authority</w:t>
            </w:r>
          </w:p>
        </w:tc>
      </w:tr>
      <w:tr w:rsidR="002B0B99" w:rsidRPr="00925391" w14:paraId="22557FE8" w14:textId="77777777" w:rsidTr="00527E14">
        <w:trPr>
          <w:cantSplit/>
        </w:trPr>
        <w:tc>
          <w:tcPr>
            <w:tcW w:w="2235" w:type="dxa"/>
            <w:shd w:val="clear" w:color="auto" w:fill="auto"/>
          </w:tcPr>
          <w:p w14:paraId="79410CF9" w14:textId="77777777" w:rsidR="002B0B99" w:rsidRPr="00925391" w:rsidRDefault="002B0B99" w:rsidP="004B4E5A">
            <w:pPr>
              <w:spacing w:before="60" w:after="60"/>
              <w:rPr>
                <w:rFonts w:eastAsia="Calibri" w:cs="Calibri"/>
                <w:lang w:val="en-NZ"/>
              </w:rPr>
            </w:pPr>
            <w:r w:rsidRPr="00925391">
              <w:rPr>
                <w:rFonts w:eastAsia="Calibri" w:cs="Calibri"/>
                <w:lang w:val="en-NZ"/>
              </w:rPr>
              <w:t>ML</w:t>
            </w:r>
          </w:p>
        </w:tc>
        <w:tc>
          <w:tcPr>
            <w:tcW w:w="7171" w:type="dxa"/>
            <w:shd w:val="clear" w:color="auto" w:fill="auto"/>
          </w:tcPr>
          <w:p w14:paraId="4F9BAD55" w14:textId="77777777" w:rsidR="002B0B99" w:rsidRPr="00925391" w:rsidRDefault="002B0B99" w:rsidP="004B4E5A">
            <w:pPr>
              <w:spacing w:before="60" w:after="60"/>
              <w:rPr>
                <w:rFonts w:eastAsia="Calibri" w:cs="Calibri"/>
                <w:lang w:val="en-NZ"/>
              </w:rPr>
            </w:pPr>
            <w:r w:rsidRPr="00925391">
              <w:rPr>
                <w:rFonts w:eastAsia="Calibri" w:cs="Calibri"/>
                <w:lang w:val="en-NZ"/>
              </w:rPr>
              <w:t>Money laundering</w:t>
            </w:r>
          </w:p>
        </w:tc>
      </w:tr>
      <w:tr w:rsidR="00580356" w:rsidRPr="00925391" w14:paraId="3E2BD5FE" w14:textId="77777777" w:rsidTr="00527E14">
        <w:trPr>
          <w:cantSplit/>
        </w:trPr>
        <w:tc>
          <w:tcPr>
            <w:tcW w:w="2235" w:type="dxa"/>
            <w:shd w:val="clear" w:color="auto" w:fill="auto"/>
          </w:tcPr>
          <w:p w14:paraId="45189B95" w14:textId="77777777" w:rsidR="00580356" w:rsidRPr="00925391" w:rsidRDefault="00580356" w:rsidP="00403E82">
            <w:pPr>
              <w:spacing w:before="60" w:after="60"/>
              <w:rPr>
                <w:rFonts w:eastAsia="Calibri" w:cs="Calibri"/>
                <w:lang w:val="en-NZ"/>
              </w:rPr>
            </w:pPr>
            <w:r w:rsidRPr="00925391">
              <w:rPr>
                <w:rFonts w:eastAsia="Calibri" w:cs="Calibri"/>
                <w:lang w:val="en-NZ"/>
              </w:rPr>
              <w:t>NRA</w:t>
            </w:r>
          </w:p>
        </w:tc>
        <w:tc>
          <w:tcPr>
            <w:tcW w:w="7171" w:type="dxa"/>
            <w:shd w:val="clear" w:color="auto" w:fill="auto"/>
          </w:tcPr>
          <w:p w14:paraId="5C1574B9" w14:textId="77777777" w:rsidR="00580356" w:rsidRPr="00925391" w:rsidRDefault="00580356" w:rsidP="00403E82">
            <w:pPr>
              <w:spacing w:before="60" w:after="60"/>
              <w:rPr>
                <w:rFonts w:eastAsia="Calibri" w:cs="Calibri"/>
                <w:lang w:val="en-NZ"/>
              </w:rPr>
            </w:pPr>
            <w:r w:rsidRPr="00925391">
              <w:rPr>
                <w:rFonts w:eastAsia="Calibri" w:cs="Calibri"/>
                <w:lang w:val="en-NZ"/>
              </w:rPr>
              <w:t>National Risk Assessment</w:t>
            </w:r>
          </w:p>
        </w:tc>
      </w:tr>
      <w:tr w:rsidR="002B0B99" w:rsidRPr="00925391" w14:paraId="750A9293" w14:textId="77777777" w:rsidTr="00527E14">
        <w:trPr>
          <w:cantSplit/>
        </w:trPr>
        <w:tc>
          <w:tcPr>
            <w:tcW w:w="2235" w:type="dxa"/>
            <w:shd w:val="clear" w:color="auto" w:fill="auto"/>
          </w:tcPr>
          <w:p w14:paraId="32BD439F" w14:textId="77777777" w:rsidR="002B0B99" w:rsidRPr="00925391" w:rsidRDefault="002B0B99" w:rsidP="004B4E5A">
            <w:pPr>
              <w:spacing w:before="60" w:after="60"/>
              <w:rPr>
                <w:rFonts w:eastAsia="Calibri" w:cs="Calibri"/>
                <w:lang w:val="en-NZ"/>
              </w:rPr>
            </w:pPr>
            <w:r w:rsidRPr="00925391">
              <w:rPr>
                <w:rFonts w:eastAsia="Calibri" w:cs="Calibri"/>
                <w:lang w:val="en-NZ"/>
              </w:rPr>
              <w:t>PEP</w:t>
            </w:r>
          </w:p>
        </w:tc>
        <w:tc>
          <w:tcPr>
            <w:tcW w:w="7171" w:type="dxa"/>
            <w:shd w:val="clear" w:color="auto" w:fill="auto"/>
          </w:tcPr>
          <w:p w14:paraId="21D7F624" w14:textId="77777777" w:rsidR="002B0B99" w:rsidRPr="00925391" w:rsidRDefault="002B0B99" w:rsidP="004B4E5A">
            <w:pPr>
              <w:spacing w:before="60" w:after="60"/>
              <w:rPr>
                <w:rFonts w:eastAsia="Calibri" w:cs="Calibri"/>
                <w:lang w:val="en-NZ"/>
              </w:rPr>
            </w:pPr>
            <w:r w:rsidRPr="00925391">
              <w:rPr>
                <w:rFonts w:eastAsia="Calibri" w:cs="Calibri"/>
                <w:lang w:val="en-NZ"/>
              </w:rPr>
              <w:t>Political</w:t>
            </w:r>
            <w:r w:rsidR="008F4AF1" w:rsidRPr="00925391">
              <w:rPr>
                <w:rFonts w:eastAsia="Calibri" w:cs="Calibri"/>
                <w:lang w:val="en-NZ"/>
              </w:rPr>
              <w:t>ly</w:t>
            </w:r>
            <w:r w:rsidRPr="00925391">
              <w:rPr>
                <w:rFonts w:eastAsia="Calibri" w:cs="Calibri"/>
                <w:lang w:val="en-NZ"/>
              </w:rPr>
              <w:t xml:space="preserve"> exposed person</w:t>
            </w:r>
          </w:p>
        </w:tc>
      </w:tr>
      <w:tr w:rsidR="00B62565" w:rsidRPr="00925391" w14:paraId="7C87A834" w14:textId="77777777" w:rsidTr="00527E14">
        <w:trPr>
          <w:cantSplit/>
        </w:trPr>
        <w:tc>
          <w:tcPr>
            <w:tcW w:w="2235" w:type="dxa"/>
            <w:shd w:val="clear" w:color="auto" w:fill="auto"/>
          </w:tcPr>
          <w:p w14:paraId="31A606E4" w14:textId="77777777" w:rsidR="00B62565" w:rsidRPr="00925391" w:rsidRDefault="00B62565" w:rsidP="004B4E5A">
            <w:pPr>
              <w:pStyle w:val="Heading2"/>
              <w:spacing w:before="60" w:after="60"/>
              <w:rPr>
                <w:rFonts w:eastAsia="Calibri" w:cs="Arial"/>
                <w:b w:val="0"/>
                <w:sz w:val="24"/>
                <w:szCs w:val="24"/>
                <w:lang w:val="en-NZ"/>
              </w:rPr>
            </w:pPr>
            <w:r w:rsidRPr="00925391">
              <w:rPr>
                <w:rFonts w:eastAsia="Calibri" w:cs="Arial"/>
                <w:b w:val="0"/>
                <w:sz w:val="24"/>
                <w:szCs w:val="24"/>
                <w:lang w:val="en-NZ"/>
              </w:rPr>
              <w:t>Programme</w:t>
            </w:r>
          </w:p>
        </w:tc>
        <w:tc>
          <w:tcPr>
            <w:tcW w:w="7171" w:type="dxa"/>
            <w:shd w:val="clear" w:color="auto" w:fill="auto"/>
          </w:tcPr>
          <w:p w14:paraId="49632B79" w14:textId="77777777" w:rsidR="00B62565" w:rsidRPr="00925391" w:rsidRDefault="00B62565" w:rsidP="004B4E5A">
            <w:pPr>
              <w:pStyle w:val="Heading2"/>
              <w:spacing w:before="60" w:after="60"/>
              <w:rPr>
                <w:rFonts w:eastAsia="Calibri" w:cs="Arial"/>
                <w:b w:val="0"/>
                <w:sz w:val="24"/>
                <w:szCs w:val="24"/>
                <w:lang w:val="en-NZ"/>
              </w:rPr>
            </w:pPr>
            <w:r w:rsidRPr="00925391">
              <w:rPr>
                <w:rFonts w:eastAsia="Calibri" w:cs="Arial"/>
                <w:b w:val="0"/>
                <w:sz w:val="24"/>
                <w:szCs w:val="24"/>
                <w:lang w:val="en-NZ"/>
              </w:rPr>
              <w:t>AML/CFT programme</w:t>
            </w:r>
          </w:p>
        </w:tc>
      </w:tr>
      <w:tr w:rsidR="002B0B99" w:rsidRPr="00925391" w14:paraId="2A4595D4" w14:textId="77777777" w:rsidTr="00527E14">
        <w:trPr>
          <w:cantSplit/>
        </w:trPr>
        <w:tc>
          <w:tcPr>
            <w:tcW w:w="2235" w:type="dxa"/>
            <w:shd w:val="clear" w:color="auto" w:fill="auto"/>
          </w:tcPr>
          <w:p w14:paraId="7B4CDEA1" w14:textId="77777777" w:rsidR="002B0B99" w:rsidRPr="00925391" w:rsidRDefault="002B0B99" w:rsidP="004B4E5A">
            <w:pPr>
              <w:spacing w:before="60" w:after="60"/>
              <w:rPr>
                <w:rFonts w:eastAsia="Calibri" w:cs="Calibri"/>
                <w:lang w:val="en-NZ"/>
              </w:rPr>
            </w:pPr>
            <w:r w:rsidRPr="00925391">
              <w:rPr>
                <w:rFonts w:eastAsia="Calibri" w:cs="Calibri"/>
                <w:lang w:val="en-NZ"/>
              </w:rPr>
              <w:t>RBA</w:t>
            </w:r>
          </w:p>
        </w:tc>
        <w:tc>
          <w:tcPr>
            <w:tcW w:w="7171" w:type="dxa"/>
            <w:shd w:val="clear" w:color="auto" w:fill="auto"/>
          </w:tcPr>
          <w:p w14:paraId="4F05BD8C" w14:textId="77777777" w:rsidR="002B0B99" w:rsidRPr="00925391" w:rsidRDefault="002B0B99" w:rsidP="004B4E5A">
            <w:pPr>
              <w:spacing w:before="60" w:after="60"/>
              <w:rPr>
                <w:rFonts w:eastAsia="Calibri" w:cs="Calibri"/>
                <w:lang w:val="en-NZ"/>
              </w:rPr>
            </w:pPr>
            <w:r w:rsidRPr="00925391">
              <w:rPr>
                <w:rFonts w:eastAsia="Calibri" w:cs="Calibri"/>
                <w:lang w:val="en-NZ"/>
              </w:rPr>
              <w:t>Risk</w:t>
            </w:r>
            <w:r w:rsidR="00403E82" w:rsidRPr="00925391">
              <w:rPr>
                <w:rFonts w:eastAsia="Calibri" w:cs="Calibri"/>
                <w:lang w:val="en-NZ"/>
              </w:rPr>
              <w:t>-</w:t>
            </w:r>
            <w:r w:rsidRPr="00925391">
              <w:rPr>
                <w:rFonts w:eastAsia="Calibri" w:cs="Calibri"/>
                <w:lang w:val="en-NZ"/>
              </w:rPr>
              <w:t>based approach</w:t>
            </w:r>
          </w:p>
        </w:tc>
      </w:tr>
      <w:tr w:rsidR="002B0B99" w:rsidRPr="00925391" w14:paraId="18426964" w14:textId="77777777" w:rsidTr="00527E14">
        <w:trPr>
          <w:cantSplit/>
        </w:trPr>
        <w:tc>
          <w:tcPr>
            <w:tcW w:w="2235" w:type="dxa"/>
            <w:shd w:val="clear" w:color="auto" w:fill="auto"/>
          </w:tcPr>
          <w:p w14:paraId="4A91A40E" w14:textId="77777777" w:rsidR="002B0B99" w:rsidRPr="00925391" w:rsidRDefault="002B0B99" w:rsidP="004B4E5A">
            <w:pPr>
              <w:spacing w:before="60" w:after="60"/>
              <w:rPr>
                <w:rFonts w:eastAsia="Calibri" w:cs="Calibri"/>
                <w:lang w:val="en-NZ"/>
              </w:rPr>
            </w:pPr>
            <w:r w:rsidRPr="00925391">
              <w:rPr>
                <w:rFonts w:eastAsia="Calibri" w:cs="Calibri"/>
                <w:lang w:val="en-NZ"/>
              </w:rPr>
              <w:t>RBNZ</w:t>
            </w:r>
          </w:p>
        </w:tc>
        <w:tc>
          <w:tcPr>
            <w:tcW w:w="7171" w:type="dxa"/>
            <w:shd w:val="clear" w:color="auto" w:fill="auto"/>
          </w:tcPr>
          <w:p w14:paraId="504F9636" w14:textId="77777777" w:rsidR="002B0B99" w:rsidRPr="00925391" w:rsidRDefault="002B0B99" w:rsidP="004B4E5A">
            <w:pPr>
              <w:spacing w:before="60" w:after="60"/>
              <w:rPr>
                <w:rFonts w:eastAsia="Calibri" w:cs="Calibri"/>
                <w:lang w:val="en-NZ"/>
              </w:rPr>
            </w:pPr>
            <w:r w:rsidRPr="00925391">
              <w:rPr>
                <w:rFonts w:eastAsia="Calibri" w:cs="Calibri"/>
                <w:lang w:val="en-NZ"/>
              </w:rPr>
              <w:t>Reserve Bank of New Zealand</w:t>
            </w:r>
          </w:p>
        </w:tc>
      </w:tr>
      <w:tr w:rsidR="002B0B99" w:rsidRPr="00925391" w14:paraId="04D67077" w14:textId="77777777" w:rsidTr="00527E14">
        <w:trPr>
          <w:cantSplit/>
        </w:trPr>
        <w:tc>
          <w:tcPr>
            <w:tcW w:w="2235" w:type="dxa"/>
            <w:shd w:val="clear" w:color="auto" w:fill="auto"/>
          </w:tcPr>
          <w:p w14:paraId="46D1D7A7" w14:textId="77777777" w:rsidR="002B0B99" w:rsidRPr="00925391" w:rsidRDefault="002B0B99" w:rsidP="004B4E5A">
            <w:pPr>
              <w:spacing w:before="60" w:after="60"/>
              <w:rPr>
                <w:rFonts w:eastAsia="Calibri" w:cs="Calibri"/>
                <w:lang w:val="en-NZ"/>
              </w:rPr>
            </w:pPr>
            <w:r w:rsidRPr="00925391">
              <w:rPr>
                <w:rFonts w:eastAsia="Calibri" w:cs="Calibri"/>
                <w:lang w:val="en-NZ"/>
              </w:rPr>
              <w:lastRenderedPageBreak/>
              <w:t>RCA</w:t>
            </w:r>
          </w:p>
        </w:tc>
        <w:tc>
          <w:tcPr>
            <w:tcW w:w="7171" w:type="dxa"/>
            <w:shd w:val="clear" w:color="auto" w:fill="auto"/>
          </w:tcPr>
          <w:p w14:paraId="7B4AEF97" w14:textId="77777777" w:rsidR="002B0B99" w:rsidRPr="00925391" w:rsidRDefault="002B0B99" w:rsidP="004B4E5A">
            <w:pPr>
              <w:spacing w:before="60" w:after="60"/>
              <w:rPr>
                <w:rFonts w:eastAsia="Calibri" w:cs="Calibri"/>
                <w:lang w:val="en-NZ"/>
              </w:rPr>
            </w:pPr>
            <w:r w:rsidRPr="00925391">
              <w:rPr>
                <w:rFonts w:eastAsia="Calibri" w:cs="Calibri"/>
                <w:lang w:val="en-NZ"/>
              </w:rPr>
              <w:t>Relative and close associate</w:t>
            </w:r>
          </w:p>
        </w:tc>
      </w:tr>
      <w:tr w:rsidR="002B0B99" w:rsidRPr="00925391" w14:paraId="255D980E" w14:textId="77777777" w:rsidTr="00527E14">
        <w:trPr>
          <w:cantSplit/>
        </w:trPr>
        <w:tc>
          <w:tcPr>
            <w:tcW w:w="2235" w:type="dxa"/>
            <w:shd w:val="clear" w:color="auto" w:fill="auto"/>
          </w:tcPr>
          <w:p w14:paraId="31A53B68" w14:textId="77777777" w:rsidR="002B0B99" w:rsidRPr="00925391" w:rsidRDefault="002B0B99" w:rsidP="004B4E5A">
            <w:pPr>
              <w:spacing w:before="60" w:after="60"/>
              <w:rPr>
                <w:rFonts w:eastAsia="Calibri" w:cs="Calibri"/>
                <w:lang w:val="en-NZ"/>
              </w:rPr>
            </w:pPr>
            <w:r w:rsidRPr="00925391">
              <w:rPr>
                <w:rFonts w:eastAsia="Calibri" w:cs="Calibri"/>
                <w:lang w:val="en-NZ"/>
              </w:rPr>
              <w:t>Risk assessment</w:t>
            </w:r>
          </w:p>
        </w:tc>
        <w:tc>
          <w:tcPr>
            <w:tcW w:w="7171" w:type="dxa"/>
            <w:shd w:val="clear" w:color="auto" w:fill="auto"/>
          </w:tcPr>
          <w:p w14:paraId="2AE4C4C6" w14:textId="77777777" w:rsidR="002B0B99" w:rsidRPr="00925391" w:rsidRDefault="002B0B99" w:rsidP="004B4E5A">
            <w:pPr>
              <w:spacing w:before="60" w:after="60"/>
              <w:rPr>
                <w:rFonts w:eastAsia="Calibri" w:cs="Calibri"/>
                <w:lang w:val="en-NZ"/>
              </w:rPr>
            </w:pPr>
            <w:r w:rsidRPr="00925391">
              <w:rPr>
                <w:rFonts w:eastAsia="Calibri" w:cs="Calibri"/>
                <w:lang w:val="en-NZ"/>
              </w:rPr>
              <w:t>AML/CFT risk assessment</w:t>
            </w:r>
          </w:p>
        </w:tc>
      </w:tr>
      <w:tr w:rsidR="002B0B99" w:rsidRPr="00925391" w14:paraId="575DC934" w14:textId="77777777" w:rsidTr="00527E14">
        <w:trPr>
          <w:cantSplit/>
        </w:trPr>
        <w:tc>
          <w:tcPr>
            <w:tcW w:w="2235" w:type="dxa"/>
            <w:shd w:val="clear" w:color="auto" w:fill="auto"/>
          </w:tcPr>
          <w:p w14:paraId="129F0670" w14:textId="77777777" w:rsidR="002B0B99" w:rsidRPr="00925391" w:rsidRDefault="002B0B99" w:rsidP="004B4E5A">
            <w:pPr>
              <w:spacing w:before="60" w:after="60"/>
              <w:rPr>
                <w:rFonts w:eastAsia="Calibri" w:cs="Calibri"/>
                <w:lang w:val="en-NZ"/>
              </w:rPr>
            </w:pPr>
            <w:r w:rsidRPr="00925391">
              <w:rPr>
                <w:rFonts w:eastAsia="Calibri" w:cs="Calibri"/>
                <w:lang w:val="en-NZ"/>
              </w:rPr>
              <w:t>SAR</w:t>
            </w:r>
          </w:p>
        </w:tc>
        <w:tc>
          <w:tcPr>
            <w:tcW w:w="7171" w:type="dxa"/>
            <w:shd w:val="clear" w:color="auto" w:fill="auto"/>
          </w:tcPr>
          <w:p w14:paraId="79C6B6BF" w14:textId="77777777" w:rsidR="002B0B99" w:rsidRPr="00925391" w:rsidRDefault="002B0B99" w:rsidP="004B4E5A">
            <w:pPr>
              <w:spacing w:before="60" w:after="60"/>
              <w:rPr>
                <w:rFonts w:eastAsia="Calibri" w:cs="Calibri"/>
                <w:lang w:val="en-NZ"/>
              </w:rPr>
            </w:pPr>
            <w:r w:rsidRPr="00925391">
              <w:rPr>
                <w:rFonts w:eastAsia="Calibri" w:cs="Calibri"/>
                <w:lang w:val="en-NZ"/>
              </w:rPr>
              <w:t>Suspicious activity report</w:t>
            </w:r>
          </w:p>
        </w:tc>
      </w:tr>
      <w:tr w:rsidR="00580356" w:rsidRPr="00925391" w14:paraId="7A564AC2" w14:textId="77777777" w:rsidTr="00527E14">
        <w:trPr>
          <w:cantSplit/>
        </w:trPr>
        <w:tc>
          <w:tcPr>
            <w:tcW w:w="2235" w:type="dxa"/>
            <w:shd w:val="clear" w:color="auto" w:fill="auto"/>
          </w:tcPr>
          <w:p w14:paraId="43FCA7A2" w14:textId="77777777" w:rsidR="00580356" w:rsidRPr="00925391" w:rsidRDefault="00580356" w:rsidP="00403E82">
            <w:pPr>
              <w:spacing w:before="60" w:after="60"/>
              <w:rPr>
                <w:rFonts w:eastAsia="Calibri" w:cs="Calibri"/>
                <w:lang w:val="en-NZ"/>
              </w:rPr>
            </w:pPr>
            <w:r w:rsidRPr="00925391">
              <w:rPr>
                <w:rFonts w:eastAsia="Calibri" w:cs="Calibri"/>
                <w:lang w:val="en-NZ"/>
              </w:rPr>
              <w:t>SRA</w:t>
            </w:r>
          </w:p>
        </w:tc>
        <w:tc>
          <w:tcPr>
            <w:tcW w:w="7171" w:type="dxa"/>
            <w:shd w:val="clear" w:color="auto" w:fill="auto"/>
          </w:tcPr>
          <w:p w14:paraId="4EB7C03A" w14:textId="77777777" w:rsidR="00580356" w:rsidRPr="00925391" w:rsidRDefault="00580356" w:rsidP="00403E82">
            <w:pPr>
              <w:spacing w:before="60" w:after="60"/>
              <w:rPr>
                <w:rFonts w:eastAsia="Calibri" w:cs="Calibri"/>
                <w:lang w:val="en-NZ"/>
              </w:rPr>
            </w:pPr>
            <w:r w:rsidRPr="00925391">
              <w:rPr>
                <w:rFonts w:eastAsia="Calibri" w:cs="Calibri"/>
                <w:lang w:val="en-NZ"/>
              </w:rPr>
              <w:t xml:space="preserve">Sector </w:t>
            </w:r>
            <w:r w:rsidR="003561B4" w:rsidRPr="00925391">
              <w:rPr>
                <w:rFonts w:eastAsia="Calibri" w:cs="Calibri"/>
                <w:lang w:val="en-NZ"/>
              </w:rPr>
              <w:t>risk assessment</w:t>
            </w:r>
          </w:p>
        </w:tc>
      </w:tr>
      <w:tr w:rsidR="002B0B99" w:rsidRPr="00925391" w14:paraId="47D519BF" w14:textId="77777777" w:rsidTr="00527E14">
        <w:trPr>
          <w:cantSplit/>
        </w:trPr>
        <w:tc>
          <w:tcPr>
            <w:tcW w:w="2235" w:type="dxa"/>
            <w:shd w:val="clear" w:color="auto" w:fill="auto"/>
          </w:tcPr>
          <w:p w14:paraId="5B7EDE93" w14:textId="77777777" w:rsidR="002B0B99" w:rsidRPr="00925391" w:rsidRDefault="002B0B99" w:rsidP="004B4E5A">
            <w:pPr>
              <w:pStyle w:val="Heading2"/>
              <w:spacing w:before="60" w:after="60"/>
              <w:rPr>
                <w:rFonts w:eastAsia="Calibri" w:cs="Arial"/>
                <w:b w:val="0"/>
                <w:sz w:val="24"/>
                <w:szCs w:val="24"/>
                <w:lang w:val="en-NZ"/>
              </w:rPr>
            </w:pPr>
            <w:r w:rsidRPr="00925391">
              <w:rPr>
                <w:rFonts w:eastAsia="Calibri" w:cs="Arial"/>
                <w:b w:val="0"/>
                <w:sz w:val="24"/>
                <w:szCs w:val="24"/>
                <w:lang w:val="en-NZ"/>
              </w:rPr>
              <w:t>STR</w:t>
            </w:r>
          </w:p>
        </w:tc>
        <w:tc>
          <w:tcPr>
            <w:tcW w:w="7171" w:type="dxa"/>
            <w:shd w:val="clear" w:color="auto" w:fill="auto"/>
          </w:tcPr>
          <w:p w14:paraId="2D2D8F09" w14:textId="77777777" w:rsidR="002B0B99" w:rsidRPr="00925391" w:rsidRDefault="002B0B99" w:rsidP="004B4E5A">
            <w:pPr>
              <w:pStyle w:val="Heading2"/>
              <w:spacing w:before="60" w:after="60"/>
              <w:rPr>
                <w:rFonts w:eastAsia="Calibri" w:cs="Arial"/>
                <w:b w:val="0"/>
                <w:sz w:val="24"/>
                <w:szCs w:val="24"/>
                <w:lang w:val="en-NZ"/>
              </w:rPr>
            </w:pPr>
            <w:r w:rsidRPr="00925391">
              <w:rPr>
                <w:rFonts w:eastAsia="Calibri" w:cs="Arial"/>
                <w:b w:val="0"/>
                <w:sz w:val="24"/>
                <w:szCs w:val="24"/>
                <w:lang w:val="en-NZ"/>
              </w:rPr>
              <w:t>Suspicious transaction report</w:t>
            </w:r>
          </w:p>
        </w:tc>
      </w:tr>
      <w:tr w:rsidR="002B0B99" w:rsidRPr="00925391" w14:paraId="5C0128B0" w14:textId="77777777" w:rsidTr="00527E14">
        <w:trPr>
          <w:cantSplit/>
        </w:trPr>
        <w:tc>
          <w:tcPr>
            <w:tcW w:w="2235" w:type="dxa"/>
            <w:shd w:val="clear" w:color="auto" w:fill="auto"/>
          </w:tcPr>
          <w:p w14:paraId="5549872E" w14:textId="77777777" w:rsidR="002B0B99" w:rsidRPr="00925391" w:rsidRDefault="002B0B99" w:rsidP="004B4E5A">
            <w:pPr>
              <w:spacing w:before="60" w:after="60"/>
              <w:rPr>
                <w:rFonts w:eastAsia="Calibri" w:cs="Calibri"/>
                <w:lang w:val="en-NZ"/>
              </w:rPr>
            </w:pPr>
            <w:r w:rsidRPr="00925391">
              <w:rPr>
                <w:rFonts w:eastAsia="Calibri" w:cs="Calibri"/>
                <w:lang w:val="en-NZ"/>
              </w:rPr>
              <w:t>TF</w:t>
            </w:r>
          </w:p>
        </w:tc>
        <w:tc>
          <w:tcPr>
            <w:tcW w:w="7171" w:type="dxa"/>
            <w:shd w:val="clear" w:color="auto" w:fill="auto"/>
          </w:tcPr>
          <w:p w14:paraId="00D3E4E7" w14:textId="77777777" w:rsidR="002B0B99" w:rsidRPr="00925391" w:rsidRDefault="002B0B99" w:rsidP="004B4E5A">
            <w:pPr>
              <w:spacing w:before="60" w:after="60"/>
              <w:rPr>
                <w:rFonts w:eastAsia="Calibri" w:cs="Calibri"/>
                <w:lang w:val="en-NZ"/>
              </w:rPr>
            </w:pPr>
            <w:r w:rsidRPr="00925391">
              <w:rPr>
                <w:rFonts w:eastAsia="Calibri" w:cs="Calibri"/>
                <w:lang w:val="en-NZ"/>
              </w:rPr>
              <w:t>Terrorism financing</w:t>
            </w:r>
          </w:p>
        </w:tc>
      </w:tr>
      <w:tr w:rsidR="002B0B99" w:rsidRPr="00925391" w14:paraId="287E73B6" w14:textId="77777777" w:rsidTr="00527E14">
        <w:trPr>
          <w:cantSplit/>
        </w:trPr>
        <w:tc>
          <w:tcPr>
            <w:tcW w:w="2235" w:type="dxa"/>
            <w:shd w:val="clear" w:color="auto" w:fill="auto"/>
          </w:tcPr>
          <w:p w14:paraId="3382DFAD" w14:textId="77777777" w:rsidR="002B0B99" w:rsidRPr="00925391" w:rsidRDefault="002B0B99" w:rsidP="004B4E5A">
            <w:pPr>
              <w:spacing w:before="60" w:after="60"/>
              <w:rPr>
                <w:rFonts w:eastAsia="Calibri" w:cs="Calibri"/>
                <w:lang w:val="en-NZ"/>
              </w:rPr>
            </w:pPr>
            <w:r w:rsidRPr="00925391">
              <w:rPr>
                <w:rFonts w:eastAsia="Calibri" w:cs="Calibri"/>
                <w:lang w:val="en-NZ"/>
              </w:rPr>
              <w:t>UNODC</w:t>
            </w:r>
          </w:p>
        </w:tc>
        <w:tc>
          <w:tcPr>
            <w:tcW w:w="7171" w:type="dxa"/>
            <w:shd w:val="clear" w:color="auto" w:fill="auto"/>
          </w:tcPr>
          <w:p w14:paraId="3ECBB8D4" w14:textId="77777777" w:rsidR="002B0B99" w:rsidRPr="00925391" w:rsidRDefault="002B0B99" w:rsidP="004B4E5A">
            <w:pPr>
              <w:spacing w:before="60" w:after="60"/>
              <w:rPr>
                <w:rFonts w:eastAsia="Calibri" w:cs="Calibri"/>
                <w:lang w:val="en-NZ"/>
              </w:rPr>
            </w:pPr>
            <w:r w:rsidRPr="00925391">
              <w:rPr>
                <w:rFonts w:eastAsia="Calibri" w:cs="Calibri"/>
                <w:lang w:val="en-NZ"/>
              </w:rPr>
              <w:t>United Nations Office on Drugs and Crime</w:t>
            </w:r>
          </w:p>
        </w:tc>
      </w:tr>
    </w:tbl>
    <w:p w14:paraId="1629C6AA" w14:textId="77777777" w:rsidR="00E46648" w:rsidRPr="00925391" w:rsidRDefault="00E46648" w:rsidP="00A7029F">
      <w:pPr>
        <w:rPr>
          <w:lang w:val="en-NZ"/>
        </w:rPr>
      </w:pPr>
    </w:p>
    <w:sectPr w:rsidR="00E46648" w:rsidRPr="00925391" w:rsidSect="00BB6D43">
      <w:footerReference w:type="default" r:id="rId19"/>
      <w:pgSz w:w="11906" w:h="16838"/>
      <w:pgMar w:top="550" w:right="1276" w:bottom="45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7DD7C" w14:textId="77777777" w:rsidR="00E97024" w:rsidRDefault="00E97024">
      <w:r>
        <w:separator/>
      </w:r>
    </w:p>
  </w:endnote>
  <w:endnote w:type="continuationSeparator" w:id="0">
    <w:p w14:paraId="2F2144AB" w14:textId="77777777" w:rsidR="00E97024" w:rsidRDefault="00E9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540F7" w14:textId="77777777" w:rsidR="00193FC3" w:rsidRDefault="00193FC3" w:rsidP="006B25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1248">
      <w:rPr>
        <w:rStyle w:val="PageNumber"/>
        <w:noProof/>
      </w:rPr>
      <w:t>15</w:t>
    </w:r>
    <w:r>
      <w:rPr>
        <w:rStyle w:val="PageNumber"/>
      </w:rPr>
      <w:fldChar w:fldCharType="end"/>
    </w:r>
  </w:p>
  <w:p w14:paraId="6E2A426F" w14:textId="77777777" w:rsidR="00193FC3" w:rsidRDefault="00193FC3">
    <w:pPr>
      <w:pStyle w:val="Footer"/>
    </w:pPr>
  </w:p>
  <w:p w14:paraId="66437C28" w14:textId="77777777" w:rsidR="00193FC3" w:rsidRDefault="00193F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4CF9" w14:textId="6651B15A" w:rsidR="00193FC3" w:rsidRDefault="00E40367" w:rsidP="006B2543">
    <w:pPr>
      <w:tabs>
        <w:tab w:val="right" w:pos="8842"/>
      </w:tabs>
      <w:ind w:right="360"/>
      <w:jc w:val="right"/>
    </w:pPr>
    <w:r>
      <w:rPr>
        <w:noProof/>
      </w:rPr>
      <mc:AlternateContent>
        <mc:Choice Requires="wps">
          <w:drawing>
            <wp:anchor distT="0" distB="0" distL="114300" distR="114300" simplePos="0" relativeHeight="251657216" behindDoc="0" locked="0" layoutInCell="1" allowOverlap="1" wp14:anchorId="0592C305" wp14:editId="76FD1669">
              <wp:simplePos x="0" y="0"/>
              <wp:positionH relativeFrom="column">
                <wp:posOffset>-201930</wp:posOffset>
              </wp:positionH>
              <wp:positionV relativeFrom="paragraph">
                <wp:posOffset>-6985</wp:posOffset>
              </wp:positionV>
              <wp:extent cx="6120130" cy="0"/>
              <wp:effectExtent l="7620" t="11430" r="6350" b="7620"/>
              <wp:wrapNone/>
              <wp:docPr id="207390587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4B656"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55pt" to="46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" strokecolor="#00004b"/>
          </w:pict>
        </mc:Fallback>
      </mc:AlternateContent>
    </w:r>
    <w:r>
      <w:rPr>
        <w:noProof/>
      </w:rPr>
      <mc:AlternateContent>
        <mc:Choice Requires="wps">
          <w:drawing>
            <wp:anchor distT="36576" distB="36576" distL="36576" distR="36576" simplePos="0" relativeHeight="251656192" behindDoc="0" locked="0" layoutInCell="1" allowOverlap="1" wp14:anchorId="6A503D07" wp14:editId="35805B8D">
              <wp:simplePos x="0" y="0"/>
              <wp:positionH relativeFrom="column">
                <wp:posOffset>1043940</wp:posOffset>
              </wp:positionH>
              <wp:positionV relativeFrom="paragraph">
                <wp:posOffset>10081260</wp:posOffset>
              </wp:positionV>
              <wp:extent cx="6058535" cy="0"/>
              <wp:effectExtent l="5715" t="12700" r="12700" b="6350"/>
              <wp:wrapNone/>
              <wp:docPr id="84752245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07CE32" id="Line 3" o:spid="_x0000_s1026" style="position:absolute;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Pr>
        <w:noProof/>
      </w:rPr>
      <mc:AlternateContent>
        <mc:Choice Requires="wps">
          <w:drawing>
            <wp:anchor distT="36576" distB="36576" distL="36576" distR="36576" simplePos="0" relativeHeight="251655168" behindDoc="0" locked="0" layoutInCell="1" allowOverlap="1" wp14:anchorId="234227D0" wp14:editId="5E4844A2">
              <wp:simplePos x="0" y="0"/>
              <wp:positionH relativeFrom="column">
                <wp:posOffset>1043940</wp:posOffset>
              </wp:positionH>
              <wp:positionV relativeFrom="paragraph">
                <wp:posOffset>10081260</wp:posOffset>
              </wp:positionV>
              <wp:extent cx="6058535" cy="0"/>
              <wp:effectExtent l="5715" t="12700" r="12700" b="6350"/>
              <wp:wrapNone/>
              <wp:docPr id="134985366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6A9F26" id="Line 2" o:spid="_x0000_s1026" style="position:absolute;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24AB6" w14:textId="4115CFE8" w:rsidR="00BB6D43" w:rsidRDefault="00BB6D43" w:rsidP="006B2543">
    <w:pPr>
      <w:tabs>
        <w:tab w:val="right" w:pos="8842"/>
      </w:tabs>
      <w:ind w:right="360"/>
      <w:jc w:val="right"/>
    </w:pPr>
    <w:r>
      <w:rPr>
        <w:rStyle w:val="PageNumber"/>
      </w:rPr>
      <w:fldChar w:fldCharType="begin"/>
    </w:r>
    <w:r>
      <w:rPr>
        <w:rStyle w:val="PageNumber"/>
      </w:rPr>
      <w:instrText xml:space="preserve"> PAGE </w:instrText>
    </w:r>
    <w:r>
      <w:rPr>
        <w:rStyle w:val="PageNumber"/>
      </w:rPr>
      <w:fldChar w:fldCharType="separate"/>
    </w:r>
    <w:r w:rsidR="00C00452">
      <w:rPr>
        <w:rStyle w:val="PageNumber"/>
        <w:noProof/>
      </w:rPr>
      <w:t>8</w:t>
    </w:r>
    <w:r>
      <w:rPr>
        <w:rStyle w:val="PageNumber"/>
      </w:rPr>
      <w:fldChar w:fldCharType="end"/>
    </w:r>
    <w:r w:rsidR="00E40367">
      <w:rPr>
        <w:noProof/>
      </w:rPr>
      <mc:AlternateContent>
        <mc:Choice Requires="wps">
          <w:drawing>
            <wp:anchor distT="0" distB="0" distL="114300" distR="114300" simplePos="0" relativeHeight="251661312" behindDoc="0" locked="0" layoutInCell="1" allowOverlap="1" wp14:anchorId="3BFE0A1D" wp14:editId="3823663C">
              <wp:simplePos x="0" y="0"/>
              <wp:positionH relativeFrom="column">
                <wp:posOffset>-201930</wp:posOffset>
              </wp:positionH>
              <wp:positionV relativeFrom="paragraph">
                <wp:posOffset>-6985</wp:posOffset>
              </wp:positionV>
              <wp:extent cx="6120130" cy="0"/>
              <wp:effectExtent l="7620" t="11430" r="6350" b="7620"/>
              <wp:wrapNone/>
              <wp:docPr id="211374886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A08B5"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55pt" to="46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" strokecolor="#00004b"/>
          </w:pict>
        </mc:Fallback>
      </mc:AlternateContent>
    </w:r>
    <w:r w:rsidR="00E40367">
      <w:rPr>
        <w:noProof/>
      </w:rPr>
      <mc:AlternateContent>
        <mc:Choice Requires="wps">
          <w:drawing>
            <wp:anchor distT="36576" distB="36576" distL="36576" distR="36576" simplePos="0" relativeHeight="251660288" behindDoc="0" locked="0" layoutInCell="1" allowOverlap="1" wp14:anchorId="1BD6D32E" wp14:editId="7695982B">
              <wp:simplePos x="0" y="0"/>
              <wp:positionH relativeFrom="column">
                <wp:posOffset>1043940</wp:posOffset>
              </wp:positionH>
              <wp:positionV relativeFrom="paragraph">
                <wp:posOffset>10081260</wp:posOffset>
              </wp:positionV>
              <wp:extent cx="6058535" cy="0"/>
              <wp:effectExtent l="5715" t="12700" r="12700" b="6350"/>
              <wp:wrapNone/>
              <wp:docPr id="196395815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D3470B" id="Line 7" o:spid="_x0000_s1026" style="position:absolute;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sidR="00E40367">
      <w:rPr>
        <w:noProof/>
      </w:rPr>
      <mc:AlternateContent>
        <mc:Choice Requires="wps">
          <w:drawing>
            <wp:anchor distT="36576" distB="36576" distL="36576" distR="36576" simplePos="0" relativeHeight="251659264" behindDoc="0" locked="0" layoutInCell="1" allowOverlap="1" wp14:anchorId="1B703A9E" wp14:editId="5EC12AD9">
              <wp:simplePos x="0" y="0"/>
              <wp:positionH relativeFrom="column">
                <wp:posOffset>1043940</wp:posOffset>
              </wp:positionH>
              <wp:positionV relativeFrom="paragraph">
                <wp:posOffset>10081260</wp:posOffset>
              </wp:positionV>
              <wp:extent cx="6058535" cy="0"/>
              <wp:effectExtent l="5715" t="12700" r="12700" b="6350"/>
              <wp:wrapNone/>
              <wp:docPr id="145811986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76C758" id="Line 6" o:spid="_x0000_s1026" style="position:absolute;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E34ED" w14:textId="77777777" w:rsidR="00E97024" w:rsidRDefault="00E97024">
      <w:r>
        <w:separator/>
      </w:r>
    </w:p>
  </w:footnote>
  <w:footnote w:type="continuationSeparator" w:id="0">
    <w:p w14:paraId="4A871F95" w14:textId="77777777" w:rsidR="00E97024" w:rsidRDefault="00E97024">
      <w:r>
        <w:continuationSeparator/>
      </w:r>
    </w:p>
  </w:footnote>
  <w:footnote w:id="1">
    <w:p w14:paraId="3B858E00" w14:textId="77777777" w:rsidR="00E27DC1" w:rsidRPr="00F91A97" w:rsidRDefault="00E27DC1" w:rsidP="00E27DC1">
      <w:pPr>
        <w:pStyle w:val="FootnoteText"/>
        <w:rPr>
          <w:lang w:val="en-NZ"/>
        </w:rPr>
      </w:pPr>
      <w:r>
        <w:rPr>
          <w:rStyle w:val="FootnoteReference"/>
        </w:rPr>
        <w:footnoteRef/>
      </w:r>
      <w:r>
        <w:t xml:space="preserve"> </w:t>
      </w:r>
      <w:hyperlink r:id="rId1" w:history="1">
        <w:r w:rsidRPr="00651810">
          <w:rPr>
            <w:rStyle w:val="Hyperlink"/>
          </w:rPr>
          <w:t>http://bit.ly/2zpmWPJ</w:t>
        </w:r>
      </w:hyperlink>
      <w:r>
        <w:t xml:space="preserve"> </w:t>
      </w:r>
    </w:p>
  </w:footnote>
  <w:footnote w:id="2">
    <w:p w14:paraId="0DA55E3C" w14:textId="77777777" w:rsidR="00E27DC1" w:rsidRPr="00D43BC4" w:rsidRDefault="00E27DC1" w:rsidP="00E27DC1">
      <w:pPr>
        <w:pStyle w:val="FootnoteText"/>
        <w:rPr>
          <w:lang w:val="en-NZ"/>
        </w:rPr>
      </w:pPr>
      <w:r>
        <w:rPr>
          <w:rStyle w:val="FootnoteReference"/>
        </w:rPr>
        <w:footnoteRef/>
      </w:r>
      <w:r>
        <w:t xml:space="preserve"> </w:t>
      </w:r>
      <w:hyperlink r:id="rId2" w:history="1">
        <w:r w:rsidRPr="001C4C22">
          <w:rPr>
            <w:rStyle w:val="Hyperlink"/>
          </w:rPr>
          <w:t>http://bit.ly/2HPNEou</w:t>
        </w:r>
      </w:hyperlink>
      <w:r>
        <w:t xml:space="preserve"> </w:t>
      </w:r>
    </w:p>
  </w:footnote>
  <w:footnote w:id="3">
    <w:p w14:paraId="1C1CDB2C" w14:textId="77777777" w:rsidR="00E27DC1" w:rsidRPr="00F91A97" w:rsidRDefault="00E27DC1" w:rsidP="00E27DC1">
      <w:pPr>
        <w:pStyle w:val="FootnoteText"/>
        <w:rPr>
          <w:lang w:val="en-NZ"/>
        </w:rPr>
      </w:pPr>
      <w:r>
        <w:rPr>
          <w:rStyle w:val="FootnoteReference"/>
        </w:rPr>
        <w:footnoteRef/>
      </w:r>
      <w:r>
        <w:t xml:space="preserve"> </w:t>
      </w:r>
      <w:hyperlink r:id="rId3" w:history="1">
        <w:r w:rsidRPr="00651810">
          <w:rPr>
            <w:rStyle w:val="Hyperlink"/>
          </w:rPr>
          <w:t>http://bit.ly/2GP2Bbi</w:t>
        </w:r>
      </w:hyperlink>
      <w:r>
        <w:t xml:space="preserve"> </w:t>
      </w:r>
    </w:p>
  </w:footnote>
  <w:footnote w:id="4">
    <w:p w14:paraId="1A10E361" w14:textId="77777777" w:rsidR="00E27DC1" w:rsidRPr="00F91A97" w:rsidRDefault="00E27DC1" w:rsidP="00E27DC1">
      <w:pPr>
        <w:pStyle w:val="FootnoteText"/>
        <w:rPr>
          <w:lang w:val="en-NZ"/>
        </w:rPr>
      </w:pPr>
      <w:r>
        <w:rPr>
          <w:rStyle w:val="FootnoteReference"/>
        </w:rPr>
        <w:footnoteRef/>
      </w:r>
      <w:r>
        <w:t xml:space="preserve"> </w:t>
      </w:r>
      <w:hyperlink r:id="rId4" w:history="1">
        <w:r w:rsidRPr="00651810">
          <w:rPr>
            <w:rStyle w:val="Hyperlink"/>
          </w:rPr>
          <w:t>http://bit.ly/2nb1TyA</w:t>
        </w:r>
      </w:hyperlink>
      <w:r>
        <w:t xml:space="preserve"> </w:t>
      </w:r>
    </w:p>
  </w:footnote>
  <w:footnote w:id="5">
    <w:p w14:paraId="14EFC327" w14:textId="77777777" w:rsidR="00E27DC1" w:rsidRPr="00F91A97" w:rsidRDefault="00E27DC1" w:rsidP="00E27DC1">
      <w:pPr>
        <w:pStyle w:val="FootnoteText"/>
        <w:rPr>
          <w:lang w:val="en-NZ"/>
        </w:rPr>
      </w:pPr>
      <w:r>
        <w:rPr>
          <w:rStyle w:val="FootnoteReference"/>
        </w:rPr>
        <w:footnoteRef/>
      </w:r>
      <w:r>
        <w:t xml:space="preserve"> </w:t>
      </w:r>
      <w:hyperlink r:id="rId5" w:history="1">
        <w:r w:rsidRPr="00651810">
          <w:rPr>
            <w:rStyle w:val="Hyperlink"/>
          </w:rPr>
          <w:t>http://bit.ly/2EBUMXy</w:t>
        </w:r>
      </w:hyperlink>
      <w:r>
        <w:t xml:space="preserve"> </w:t>
      </w:r>
    </w:p>
  </w:footnote>
  <w:footnote w:id="6">
    <w:p w14:paraId="4D1E6A83" w14:textId="77777777" w:rsidR="009A66C4" w:rsidRPr="00F10B36" w:rsidRDefault="009A66C4" w:rsidP="009A66C4">
      <w:pPr>
        <w:pStyle w:val="FootnoteText"/>
        <w:rPr>
          <w:lang w:val="en-NZ"/>
        </w:rPr>
      </w:pPr>
      <w:r>
        <w:rPr>
          <w:rStyle w:val="FootnoteReference"/>
        </w:rPr>
        <w:footnoteRef/>
      </w:r>
      <w:r>
        <w:t xml:space="preserve"> </w:t>
      </w:r>
      <w:r>
        <w:rPr>
          <w:rStyle w:val="bumpedfont15"/>
          <w:bCs/>
          <w:color w:val="000000"/>
        </w:rPr>
        <w:t>Except for high-value d</w:t>
      </w:r>
      <w:r w:rsidRPr="002716AA">
        <w:rPr>
          <w:rStyle w:val="bumpedfont15"/>
          <w:bCs/>
          <w:color w:val="000000"/>
        </w:rPr>
        <w:t>ealers</w:t>
      </w:r>
      <w:r>
        <w:rPr>
          <w:rStyle w:val="bumpedfont15"/>
          <w:bCs/>
          <w:color w:val="000000"/>
        </w:rPr>
        <w:t>,</w:t>
      </w:r>
      <w:r w:rsidRPr="002716AA">
        <w:rPr>
          <w:rStyle w:val="bumpedfont15"/>
          <w:bCs/>
          <w:color w:val="000000"/>
        </w:rPr>
        <w:t xml:space="preserve"> who only need to comply with parts of the Act </w:t>
      </w:r>
      <w:r>
        <w:rPr>
          <w:rStyle w:val="bumpedfont15"/>
          <w:color w:val="000000"/>
        </w:rPr>
        <w:t xml:space="preserve">from 1 August 2019. While high-value dealers </w:t>
      </w:r>
      <w:r w:rsidRPr="006C0CE2">
        <w:rPr>
          <w:color w:val="000000"/>
        </w:rPr>
        <w:t>are not required t</w:t>
      </w:r>
      <w:r>
        <w:rPr>
          <w:color w:val="000000"/>
        </w:rPr>
        <w:t>o conduct a risk assessment</w:t>
      </w:r>
      <w:r w:rsidRPr="006C0CE2">
        <w:rPr>
          <w:color w:val="000000"/>
        </w:rPr>
        <w:t>, they should consider industry</w:t>
      </w:r>
      <w:r>
        <w:rPr>
          <w:color w:val="000000"/>
        </w:rPr>
        <w:t>-</w:t>
      </w:r>
      <w:r w:rsidRPr="006C0CE2">
        <w:rPr>
          <w:color w:val="000000"/>
        </w:rPr>
        <w:t xml:space="preserve">specific guidance for their sector (to be published </w:t>
      </w:r>
      <w:r>
        <w:rPr>
          <w:color w:val="000000"/>
        </w:rPr>
        <w:t>at a later date</w:t>
      </w:r>
      <w:r w:rsidRPr="006C0CE2">
        <w:rPr>
          <w:color w:val="000000"/>
        </w:rPr>
        <w:t>).</w:t>
      </w:r>
    </w:p>
  </w:footnote>
  <w:footnote w:id="7">
    <w:p w14:paraId="22E8F809" w14:textId="77777777" w:rsidR="009A66C4" w:rsidRPr="00F10B36" w:rsidRDefault="009A66C4" w:rsidP="009A66C4">
      <w:pPr>
        <w:pStyle w:val="FootnoteText"/>
        <w:rPr>
          <w:lang w:val="en-NZ"/>
        </w:rPr>
      </w:pPr>
      <w:r>
        <w:rPr>
          <w:rStyle w:val="FootnoteReference"/>
        </w:rPr>
        <w:footnoteRef/>
      </w:r>
      <w:r>
        <w:t xml:space="preserve"> </w:t>
      </w:r>
      <w:hyperlink r:id="rId6" w:history="1">
        <w:r w:rsidRPr="00651810">
          <w:rPr>
            <w:rStyle w:val="Hyperlink"/>
          </w:rPr>
          <w:t>http://bit.ly/2poP4i2</w:t>
        </w:r>
      </w:hyperlink>
      <w:r>
        <w:t xml:space="preserve"> </w:t>
      </w:r>
    </w:p>
  </w:footnote>
  <w:footnote w:id="8">
    <w:p w14:paraId="5E803FF1" w14:textId="77777777" w:rsidR="009A66C4" w:rsidRPr="00193FC3" w:rsidRDefault="009A66C4" w:rsidP="009A66C4">
      <w:pPr>
        <w:pStyle w:val="FootnoteText"/>
        <w:rPr>
          <w:lang w:val="en-NZ"/>
        </w:rPr>
      </w:pPr>
      <w:r w:rsidRPr="00193FC3">
        <w:rPr>
          <w:rStyle w:val="FootnoteReference"/>
        </w:rPr>
        <w:footnoteRef/>
      </w:r>
      <w:r w:rsidRPr="00193FC3">
        <w:t xml:space="preserve"> The use of version control of your document can help demonstrate that you are keeping your risk assessment current.</w:t>
      </w:r>
    </w:p>
  </w:footnote>
  <w:footnote w:id="9">
    <w:p w14:paraId="7921F61C" w14:textId="77777777" w:rsidR="009A66C4" w:rsidRPr="00707B0E" w:rsidRDefault="009A66C4" w:rsidP="009A66C4">
      <w:pPr>
        <w:pStyle w:val="FootnoteText"/>
        <w:rPr>
          <w:lang w:val="en-NZ"/>
        </w:rPr>
      </w:pPr>
      <w:r>
        <w:rPr>
          <w:rStyle w:val="FootnoteReference"/>
        </w:rPr>
        <w:footnoteRef/>
      </w:r>
      <w:r>
        <w:t xml:space="preserve"> </w:t>
      </w:r>
      <w:hyperlink r:id="rId7" w:history="1">
        <w:r w:rsidRPr="00651810">
          <w:rPr>
            <w:rStyle w:val="Hyperlink"/>
          </w:rPr>
          <w:t>http://www.fatf-gafi.org/</w:t>
        </w:r>
      </w:hyperlink>
      <w:r>
        <w:t xml:space="preserve"> </w:t>
      </w:r>
    </w:p>
  </w:footnote>
  <w:footnote w:id="10">
    <w:p w14:paraId="26EB9027" w14:textId="77777777" w:rsidR="00E10E46" w:rsidRPr="00F91A97" w:rsidRDefault="00E10E46" w:rsidP="00E10E46">
      <w:pPr>
        <w:pStyle w:val="FootnoteText"/>
        <w:rPr>
          <w:lang w:val="en-NZ"/>
        </w:rPr>
      </w:pPr>
      <w:r>
        <w:rPr>
          <w:rStyle w:val="FootnoteReference"/>
        </w:rPr>
        <w:footnoteRef/>
      </w:r>
      <w:r>
        <w:t xml:space="preserve"> </w:t>
      </w:r>
      <w:hyperlink r:id="rId8" w:history="1">
        <w:r w:rsidRPr="00B13B95">
          <w:rPr>
            <w:rStyle w:val="Hyperlink"/>
          </w:rPr>
          <w:t>http://bit.ly/2HPNEou</w:t>
        </w:r>
      </w:hyperlink>
      <w:r>
        <w:t xml:space="preserve"> </w:t>
      </w:r>
    </w:p>
  </w:footnote>
  <w:footnote w:id="11">
    <w:p w14:paraId="3605E4F0" w14:textId="77777777" w:rsidR="00193FC3" w:rsidRPr="00193FC3" w:rsidRDefault="00193FC3">
      <w:pPr>
        <w:pStyle w:val="FootnoteText"/>
        <w:rPr>
          <w:lang w:val="en-NZ"/>
        </w:rPr>
      </w:pPr>
      <w:r w:rsidRPr="00193FC3">
        <w:rPr>
          <w:rStyle w:val="FootnoteReference"/>
        </w:rPr>
        <w:footnoteRef/>
      </w:r>
      <w:r w:rsidRPr="00193FC3">
        <w:t xml:space="preserve"> </w:t>
      </w:r>
      <w:hyperlink r:id="rId9" w:history="1">
        <w:r w:rsidRPr="00193FC3">
          <w:rPr>
            <w:rStyle w:val="Hyperlink"/>
          </w:rPr>
          <w:t>http://www.apgml.org/</w:t>
        </w:r>
      </w:hyperlink>
      <w:r w:rsidRPr="00193FC3">
        <w:t xml:space="preserve"> </w:t>
      </w:r>
    </w:p>
  </w:footnote>
  <w:footnote w:id="12">
    <w:p w14:paraId="1B2C8A94" w14:textId="77777777" w:rsidR="00193FC3" w:rsidRPr="00193FC3" w:rsidRDefault="00193FC3">
      <w:pPr>
        <w:pStyle w:val="FootnoteText"/>
        <w:rPr>
          <w:lang w:val="en-NZ"/>
        </w:rPr>
      </w:pPr>
      <w:r w:rsidRPr="00193FC3">
        <w:rPr>
          <w:rStyle w:val="FootnoteReference"/>
        </w:rPr>
        <w:footnoteRef/>
      </w:r>
      <w:r w:rsidRPr="00193FC3">
        <w:t xml:space="preserve"> </w:t>
      </w:r>
      <w:hyperlink r:id="rId10" w:history="1">
        <w:r w:rsidRPr="00193FC3">
          <w:rPr>
            <w:rStyle w:val="Hyperlink"/>
          </w:rPr>
          <w:t>http://www.austrac.gov.au/</w:t>
        </w:r>
      </w:hyperlink>
      <w:r w:rsidRPr="00193FC3">
        <w:t xml:space="preserve"> </w:t>
      </w:r>
    </w:p>
  </w:footnote>
  <w:footnote w:id="13">
    <w:p w14:paraId="16CD1CDF" w14:textId="77777777" w:rsidR="00B808E5" w:rsidRPr="004B4E5A" w:rsidRDefault="00B808E5" w:rsidP="00B808E5">
      <w:pPr>
        <w:pStyle w:val="FootnoteText"/>
        <w:rPr>
          <w:lang w:val="en-NZ"/>
        </w:rPr>
      </w:pPr>
      <w:r>
        <w:rPr>
          <w:rStyle w:val="FootnoteReference"/>
        </w:rPr>
        <w:footnoteRef/>
      </w:r>
      <w:r>
        <w:t xml:space="preserve"> </w:t>
      </w:r>
      <w:hyperlink r:id="rId11" w:history="1">
        <w:r w:rsidRPr="00651810">
          <w:rPr>
            <w:rStyle w:val="Hyperlink"/>
          </w:rPr>
          <w:t>http://bit.ly/2puaRpm</w:t>
        </w:r>
      </w:hyperlink>
      <w:r>
        <w:t xml:space="preserve"> </w:t>
      </w:r>
    </w:p>
  </w:footnote>
  <w:footnote w:id="14">
    <w:p w14:paraId="55D946F7" w14:textId="77777777" w:rsidR="00193FC3" w:rsidRPr="00193FC3" w:rsidRDefault="00193FC3" w:rsidP="008860B2">
      <w:pPr>
        <w:pStyle w:val="Numbers1"/>
        <w:numPr>
          <w:ilvl w:val="0"/>
          <w:numId w:val="0"/>
        </w:numPr>
      </w:pPr>
      <w:r w:rsidRPr="00193FC3">
        <w:rPr>
          <w:rStyle w:val="FootnoteReference"/>
          <w:sz w:val="20"/>
          <w:szCs w:val="20"/>
        </w:rPr>
        <w:footnoteRef/>
      </w:r>
      <w:r w:rsidRPr="00193FC3">
        <w:rPr>
          <w:sz w:val="20"/>
          <w:szCs w:val="20"/>
        </w:rPr>
        <w:t xml:space="preserve"> </w:t>
      </w:r>
      <w:r w:rsidRPr="00193FC3">
        <w:rPr>
          <w:rFonts w:cs="Arial"/>
          <w:sz w:val="20"/>
          <w:szCs w:val="20"/>
        </w:rPr>
        <w:t>A PEP is a person who in the last 12 months has held a prominent overseas</w:t>
      </w:r>
      <w:r w:rsidRPr="00193FC3">
        <w:rPr>
          <w:rFonts w:cs="Arial"/>
          <w:i/>
          <w:sz w:val="20"/>
          <w:szCs w:val="20"/>
        </w:rPr>
        <w:t xml:space="preserve"> </w:t>
      </w:r>
      <w:r w:rsidRPr="00193FC3">
        <w:rPr>
          <w:rFonts w:cs="Arial"/>
          <w:sz w:val="20"/>
          <w:szCs w:val="20"/>
        </w:rPr>
        <w:t xml:space="preserve">position. The term PEP </w:t>
      </w:r>
      <w:r w:rsidRPr="00193FC3">
        <w:rPr>
          <w:sz w:val="20"/>
          <w:szCs w:val="20"/>
        </w:rPr>
        <w:t xml:space="preserve">includes their relatives and close associates, </w:t>
      </w:r>
      <w:r w:rsidR="001F2944">
        <w:rPr>
          <w:sz w:val="20"/>
          <w:szCs w:val="20"/>
        </w:rPr>
        <w:t>who</w:t>
      </w:r>
      <w:r w:rsidR="001F2944" w:rsidRPr="00193FC3">
        <w:rPr>
          <w:sz w:val="20"/>
          <w:szCs w:val="20"/>
        </w:rPr>
        <w:t xml:space="preserve"> </w:t>
      </w:r>
      <w:r w:rsidRPr="00193FC3">
        <w:rPr>
          <w:rFonts w:cs="Arial"/>
          <w:sz w:val="20"/>
          <w:szCs w:val="20"/>
        </w:rPr>
        <w:t xml:space="preserve">are sometimes called RCAs. It also includes people who have beneficial ownership of legal entities or arrangements existing to benefit PEPs. Refer to the </w:t>
      </w:r>
      <w:r w:rsidRPr="004B4E5A">
        <w:rPr>
          <w:rFonts w:cs="Arial"/>
          <w:i/>
          <w:sz w:val="20"/>
          <w:szCs w:val="20"/>
        </w:rPr>
        <w:t>Enhanced Customer Due Diligence Guideline</w:t>
      </w:r>
      <w:r w:rsidRPr="00193FC3">
        <w:rPr>
          <w:rFonts w:cs="Arial"/>
          <w:sz w:val="20"/>
          <w:szCs w:val="20"/>
        </w:rPr>
        <w:t xml:space="preserve"> for more information on PEPs.</w:t>
      </w:r>
    </w:p>
  </w:footnote>
  <w:footnote w:id="15">
    <w:p w14:paraId="0B84552A" w14:textId="77777777" w:rsidR="005C69BE" w:rsidRPr="000C63C8" w:rsidRDefault="005C69BE">
      <w:pPr>
        <w:pStyle w:val="FootnoteText"/>
        <w:rPr>
          <w:lang w:val="en-NZ"/>
        </w:rPr>
      </w:pPr>
      <w:r>
        <w:rPr>
          <w:rStyle w:val="FootnoteReference"/>
        </w:rPr>
        <w:footnoteRef/>
      </w:r>
      <w:r>
        <w:t xml:space="preserve"> </w:t>
      </w:r>
      <w:hyperlink r:id="rId12" w:history="1">
        <w:r w:rsidRPr="00651810">
          <w:rPr>
            <w:rStyle w:val="Hyperlink"/>
          </w:rPr>
          <w:t>http://bit.ly/2hOTHPk</w:t>
        </w:r>
      </w:hyperlink>
      <w:r>
        <w:t xml:space="preserve"> </w:t>
      </w:r>
    </w:p>
  </w:footnote>
  <w:footnote w:id="16">
    <w:p w14:paraId="6EC3E128" w14:textId="77777777" w:rsidR="00154320" w:rsidRPr="00154320" w:rsidRDefault="00154320">
      <w:pPr>
        <w:pStyle w:val="FootnoteText"/>
      </w:pPr>
      <w:r>
        <w:rPr>
          <w:rStyle w:val="FootnoteReference"/>
        </w:rPr>
        <w:footnoteRef/>
      </w:r>
      <w:r>
        <w:t xml:space="preserve"> </w:t>
      </w:r>
      <w:r w:rsidR="00922632" w:rsidRPr="00922632">
        <w:t xml:space="preserve"> </w:t>
      </w:r>
      <w:hyperlink r:id="rId13" w:history="1">
        <w:r w:rsidR="00922632" w:rsidRPr="00E0782F">
          <w:rPr>
            <w:rStyle w:val="Hyperlink"/>
          </w:rPr>
          <w:t>https://bit.ly/1RA355J</w:t>
        </w:r>
      </w:hyperlink>
      <w:r w:rsidR="00922632">
        <w:rPr>
          <w:rStyle w:val="Hyperlink"/>
        </w:rPr>
        <w:t xml:space="preserve"> </w:t>
      </w:r>
    </w:p>
  </w:footnote>
  <w:footnote w:id="17">
    <w:p w14:paraId="6BA19E82" w14:textId="77777777" w:rsidR="00193FC3" w:rsidRPr="00193FC3" w:rsidRDefault="00193FC3">
      <w:pPr>
        <w:pStyle w:val="FootnoteText"/>
        <w:rPr>
          <w:lang w:val="en-NZ"/>
        </w:rPr>
      </w:pPr>
      <w:r w:rsidRPr="00193FC3">
        <w:rPr>
          <w:rStyle w:val="FootnoteReference"/>
        </w:rPr>
        <w:footnoteRef/>
      </w:r>
      <w:r w:rsidRPr="00193FC3">
        <w:t xml:space="preserve"> </w:t>
      </w:r>
      <w:hyperlink r:id="rId14" w:history="1">
        <w:r w:rsidRPr="00193FC3">
          <w:rPr>
            <w:rStyle w:val="Hyperlink"/>
          </w:rPr>
          <w:t>https://index.baselgovernance.org/</w:t>
        </w:r>
      </w:hyperlink>
      <w:r w:rsidRPr="00193FC3">
        <w:t xml:space="preserve"> </w:t>
      </w:r>
    </w:p>
  </w:footnote>
  <w:footnote w:id="18">
    <w:p w14:paraId="324ADF7B" w14:textId="77777777" w:rsidR="00193FC3" w:rsidRPr="00193FC3" w:rsidRDefault="00193FC3">
      <w:pPr>
        <w:pStyle w:val="FootnoteText"/>
        <w:rPr>
          <w:lang w:val="en-NZ"/>
        </w:rPr>
      </w:pPr>
      <w:r w:rsidRPr="00193FC3">
        <w:rPr>
          <w:rStyle w:val="FootnoteReference"/>
        </w:rPr>
        <w:footnoteRef/>
      </w:r>
      <w:r w:rsidRPr="00193FC3">
        <w:t xml:space="preserve"> </w:t>
      </w:r>
      <w:hyperlink r:id="rId15" w:history="1">
        <w:r w:rsidRPr="00193FC3">
          <w:rPr>
            <w:rStyle w:val="Hyperlink"/>
          </w:rPr>
          <w:t>http://www.unodc.org/</w:t>
        </w:r>
      </w:hyperlink>
      <w:r w:rsidRPr="00193FC3">
        <w:t xml:space="preserve"> </w:t>
      </w:r>
    </w:p>
  </w:footnote>
  <w:footnote w:id="19">
    <w:p w14:paraId="7D6C4E11" w14:textId="77777777" w:rsidR="00193FC3" w:rsidRPr="00193FC3" w:rsidRDefault="00193FC3">
      <w:pPr>
        <w:pStyle w:val="FootnoteText"/>
        <w:rPr>
          <w:lang w:val="en-NZ"/>
        </w:rPr>
      </w:pPr>
      <w:r w:rsidRPr="00193FC3">
        <w:rPr>
          <w:rStyle w:val="FootnoteReference"/>
        </w:rPr>
        <w:footnoteRef/>
      </w:r>
      <w:r w:rsidRPr="00193FC3">
        <w:t xml:space="preserve"> </w:t>
      </w:r>
      <w:hyperlink r:id="rId16" w:history="1">
        <w:r w:rsidR="009750CE" w:rsidRPr="00E0782F">
          <w:rPr>
            <w:rStyle w:val="Hyperlink"/>
          </w:rPr>
          <w:t>https://bit.ly/2BJaDBF</w:t>
        </w:r>
      </w:hyperlink>
    </w:p>
  </w:footnote>
  <w:footnote w:id="20">
    <w:p w14:paraId="3EFBE0F4" w14:textId="77777777" w:rsidR="00693AD7" w:rsidRPr="00F91A97" w:rsidRDefault="00693AD7" w:rsidP="00693AD7">
      <w:pPr>
        <w:pStyle w:val="FootnoteText"/>
        <w:rPr>
          <w:lang w:val="en-NZ"/>
        </w:rPr>
      </w:pPr>
      <w:r>
        <w:rPr>
          <w:rStyle w:val="FootnoteReference"/>
        </w:rPr>
        <w:footnoteRef/>
      </w:r>
      <w:r>
        <w:t xml:space="preserve"> </w:t>
      </w:r>
      <w:hyperlink r:id="rId17" w:history="1">
        <w:r w:rsidRPr="00651810">
          <w:rPr>
            <w:rStyle w:val="Hyperlink"/>
          </w:rPr>
          <w:t>http://bit.ly/2u6zb5I</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BD8DA" w14:textId="7645E87B" w:rsidR="00193FC3" w:rsidRPr="00ED30A3" w:rsidRDefault="00E40367" w:rsidP="006B2543">
    <w:pPr>
      <w:pStyle w:val="Header"/>
      <w:rPr>
        <w:sz w:val="12"/>
        <w:szCs w:val="12"/>
        <w:lang w:val="en-NZ"/>
      </w:rPr>
    </w:pPr>
    <w:r>
      <w:rPr>
        <w:noProof/>
      </w:rPr>
      <mc:AlternateContent>
        <mc:Choice Requires="wps">
          <w:drawing>
            <wp:anchor distT="0" distB="0" distL="114300" distR="114300" simplePos="0" relativeHeight="251658240" behindDoc="0" locked="0" layoutInCell="1" allowOverlap="1" wp14:anchorId="4DEA9EDA" wp14:editId="66200AA9">
              <wp:simplePos x="0" y="0"/>
              <wp:positionH relativeFrom="column">
                <wp:posOffset>-230505</wp:posOffset>
              </wp:positionH>
              <wp:positionV relativeFrom="paragraph">
                <wp:posOffset>12065</wp:posOffset>
              </wp:positionV>
              <wp:extent cx="6120130" cy="0"/>
              <wp:effectExtent l="7620" t="5080" r="6350" b="13970"/>
              <wp:wrapNone/>
              <wp:docPr id="46171265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4BCF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95pt" to="463.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" strokecolor="#00004b"/>
          </w:pict>
        </mc:Fallback>
      </mc:AlternateContent>
    </w:r>
    <w:r>
      <w:rPr>
        <w:noProof/>
      </w:rPr>
      <mc:AlternateContent>
        <mc:Choice Requires="wps">
          <w:drawing>
            <wp:anchor distT="36576" distB="36576" distL="36576" distR="36576" simplePos="0" relativeHeight="251654144" behindDoc="0" locked="0" layoutInCell="1" allowOverlap="1" wp14:anchorId="3CDD0197" wp14:editId="428E9C48">
              <wp:simplePos x="0" y="0"/>
              <wp:positionH relativeFrom="column">
                <wp:posOffset>-685800</wp:posOffset>
              </wp:positionH>
              <wp:positionV relativeFrom="paragraph">
                <wp:posOffset>8890</wp:posOffset>
              </wp:positionV>
              <wp:extent cx="478790" cy="9601200"/>
              <wp:effectExtent l="0" t="1905" r="0" b="0"/>
              <wp:wrapNone/>
              <wp:docPr id="35279261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78790" cy="9601200"/>
                      </a:xfrm>
                      <a:prstGeom prst="rect">
                        <a:avLst/>
                      </a:prstGeom>
                      <a:solidFill>
                        <a:srgbClr val="00004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91EB7" id="Rectangle 1" o:spid="_x0000_s1026" style="position:absolute;margin-left:-54pt;margin-top:.7pt;width:37.7pt;height:756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" fillcolor="#000048" stroked="f" strokeweight="0" insetpen="t">
              <v:shadow color="#ccc"/>
              <o:lock v:ext="edit" shapetype="t"/>
              <v:textbox inset="2.88pt,2.88pt,2.88pt,2.88pt"/>
            </v:rect>
          </w:pict>
        </mc:Fallback>
      </mc:AlternateContent>
    </w:r>
  </w:p>
  <w:p w14:paraId="0E4AD8B3" w14:textId="77777777" w:rsidR="00193FC3" w:rsidRDefault="00193F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AD491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4C74A0"/>
    <w:multiLevelType w:val="hybridMultilevel"/>
    <w:tmpl w:val="CB74BF5E"/>
    <w:lvl w:ilvl="0" w:tplc="8F320A20">
      <w:start w:val="1"/>
      <w:numFmt w:val="decimal"/>
      <w:pStyle w:val="Numbers1"/>
      <w:lvlText w:val="%1."/>
      <w:lvlJc w:val="left"/>
      <w:pPr>
        <w:tabs>
          <w:tab w:val="num" w:pos="471"/>
        </w:tabs>
        <w:ind w:left="471" w:hanging="471"/>
      </w:pPr>
      <w:rPr>
        <w:rFonts w:cs="Times New Roman"/>
        <w:b w:val="0"/>
        <w:bCs w:val="0"/>
        <w:i w:val="0"/>
        <w:iCs w:val="0"/>
        <w:caps w:val="0"/>
        <w:smallCaps w:val="0"/>
        <w:strike w:val="0"/>
        <w:dstrike w:val="0"/>
        <w:vanish w:val="0"/>
        <w:spacing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505FC"/>
    <w:multiLevelType w:val="hybridMultilevel"/>
    <w:tmpl w:val="96EC4F0E"/>
    <w:lvl w:ilvl="0" w:tplc="3348B5FC">
      <w:start w:val="1"/>
      <w:numFmt w:val="bullet"/>
      <w:pStyle w:val="Bullet1"/>
      <w:lvlText w:val=""/>
      <w:lvlJc w:val="left"/>
      <w:pPr>
        <w:tabs>
          <w:tab w:val="num" w:pos="942"/>
        </w:tabs>
        <w:ind w:left="942" w:hanging="471"/>
      </w:pPr>
      <w:rPr>
        <w:rFonts w:ascii="Symbol" w:hAnsi="Symbol" w:hint="default"/>
        <w:b w:val="0"/>
        <w:bCs w:val="0"/>
        <w:i w:val="0"/>
        <w:iCs w:val="0"/>
        <w:caps w:val="0"/>
        <w:smallCaps w:val="0"/>
        <w:strike w:val="0"/>
        <w:dstrike w:val="0"/>
        <w:vanish w:val="0"/>
        <w:spacing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4090001">
      <w:start w:val="1"/>
      <w:numFmt w:val="bullet"/>
      <w:lvlText w:val=""/>
      <w:lvlJc w:val="left"/>
      <w:pPr>
        <w:tabs>
          <w:tab w:val="num" w:pos="1911"/>
        </w:tabs>
        <w:ind w:left="1911" w:hanging="360"/>
      </w:pPr>
      <w:rPr>
        <w:rFonts w:ascii="Symbol" w:hAnsi="Symbol" w:hint="default"/>
      </w:rPr>
    </w:lvl>
    <w:lvl w:ilvl="2" w:tplc="08090005" w:tentative="1">
      <w:start w:val="1"/>
      <w:numFmt w:val="bullet"/>
      <w:lvlText w:val=""/>
      <w:lvlJc w:val="left"/>
      <w:pPr>
        <w:tabs>
          <w:tab w:val="num" w:pos="2631"/>
        </w:tabs>
        <w:ind w:left="2631" w:hanging="360"/>
      </w:pPr>
      <w:rPr>
        <w:rFonts w:ascii="Wingdings" w:hAnsi="Wingdings" w:hint="default"/>
      </w:rPr>
    </w:lvl>
    <w:lvl w:ilvl="3" w:tplc="08090001" w:tentative="1">
      <w:start w:val="1"/>
      <w:numFmt w:val="bullet"/>
      <w:lvlText w:val=""/>
      <w:lvlJc w:val="left"/>
      <w:pPr>
        <w:tabs>
          <w:tab w:val="num" w:pos="3351"/>
        </w:tabs>
        <w:ind w:left="3351" w:hanging="360"/>
      </w:pPr>
      <w:rPr>
        <w:rFonts w:ascii="Symbol" w:hAnsi="Symbol" w:hint="default"/>
      </w:rPr>
    </w:lvl>
    <w:lvl w:ilvl="4" w:tplc="08090003" w:tentative="1">
      <w:start w:val="1"/>
      <w:numFmt w:val="bullet"/>
      <w:lvlText w:val="o"/>
      <w:lvlJc w:val="left"/>
      <w:pPr>
        <w:tabs>
          <w:tab w:val="num" w:pos="4071"/>
        </w:tabs>
        <w:ind w:left="4071" w:hanging="360"/>
      </w:pPr>
      <w:rPr>
        <w:rFonts w:ascii="Courier New" w:hAnsi="Courier New" w:hint="default"/>
      </w:rPr>
    </w:lvl>
    <w:lvl w:ilvl="5" w:tplc="08090005" w:tentative="1">
      <w:start w:val="1"/>
      <w:numFmt w:val="bullet"/>
      <w:lvlText w:val=""/>
      <w:lvlJc w:val="left"/>
      <w:pPr>
        <w:tabs>
          <w:tab w:val="num" w:pos="4791"/>
        </w:tabs>
        <w:ind w:left="4791" w:hanging="360"/>
      </w:pPr>
      <w:rPr>
        <w:rFonts w:ascii="Wingdings" w:hAnsi="Wingdings" w:hint="default"/>
      </w:rPr>
    </w:lvl>
    <w:lvl w:ilvl="6" w:tplc="08090001" w:tentative="1">
      <w:start w:val="1"/>
      <w:numFmt w:val="bullet"/>
      <w:lvlText w:val=""/>
      <w:lvlJc w:val="left"/>
      <w:pPr>
        <w:tabs>
          <w:tab w:val="num" w:pos="5511"/>
        </w:tabs>
        <w:ind w:left="5511" w:hanging="360"/>
      </w:pPr>
      <w:rPr>
        <w:rFonts w:ascii="Symbol" w:hAnsi="Symbol" w:hint="default"/>
      </w:rPr>
    </w:lvl>
    <w:lvl w:ilvl="7" w:tplc="08090003" w:tentative="1">
      <w:start w:val="1"/>
      <w:numFmt w:val="bullet"/>
      <w:lvlText w:val="o"/>
      <w:lvlJc w:val="left"/>
      <w:pPr>
        <w:tabs>
          <w:tab w:val="num" w:pos="6231"/>
        </w:tabs>
        <w:ind w:left="6231" w:hanging="360"/>
      </w:pPr>
      <w:rPr>
        <w:rFonts w:ascii="Courier New" w:hAnsi="Courier New" w:hint="default"/>
      </w:rPr>
    </w:lvl>
    <w:lvl w:ilvl="8" w:tplc="08090005" w:tentative="1">
      <w:start w:val="1"/>
      <w:numFmt w:val="bullet"/>
      <w:lvlText w:val=""/>
      <w:lvlJc w:val="left"/>
      <w:pPr>
        <w:tabs>
          <w:tab w:val="num" w:pos="6951"/>
        </w:tabs>
        <w:ind w:left="6951" w:hanging="360"/>
      </w:pPr>
      <w:rPr>
        <w:rFonts w:ascii="Wingdings" w:hAnsi="Wingdings" w:hint="default"/>
      </w:rPr>
    </w:lvl>
  </w:abstractNum>
  <w:abstractNum w:abstractNumId="3" w15:restartNumberingAfterBreak="0">
    <w:nsid w:val="29740CC2"/>
    <w:multiLevelType w:val="multilevel"/>
    <w:tmpl w:val="E3F60752"/>
    <w:lvl w:ilvl="0">
      <w:start w:val="1"/>
      <w:numFmt w:val="bullet"/>
      <w:lvlText w:val=""/>
      <w:lvlJc w:val="left"/>
      <w:pPr>
        <w:tabs>
          <w:tab w:val="num" w:pos="720"/>
        </w:tabs>
        <w:ind w:left="720" w:hanging="363"/>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4" w15:restartNumberingAfterBreak="0">
    <w:nsid w:val="3AF465DA"/>
    <w:multiLevelType w:val="hybridMultilevel"/>
    <w:tmpl w:val="CFF0A800"/>
    <w:lvl w:ilvl="0" w:tplc="B48846F6">
      <w:start w:val="1"/>
      <w:numFmt w:val="bullet"/>
      <w:lvlText w:val=""/>
      <w:lvlJc w:val="left"/>
      <w:pPr>
        <w:tabs>
          <w:tab w:val="num" w:pos="720"/>
        </w:tabs>
        <w:ind w:left="720" w:hanging="363"/>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1C6D00"/>
    <w:multiLevelType w:val="hybridMultilevel"/>
    <w:tmpl w:val="96782712"/>
    <w:lvl w:ilvl="0" w:tplc="BEB84A30">
      <w:start w:val="1"/>
      <w:numFmt w:val="lowerRoman"/>
      <w:pStyle w:val="Numbers3"/>
      <w:lvlText w:val="%1."/>
      <w:lvlJc w:val="right"/>
      <w:pPr>
        <w:tabs>
          <w:tab w:val="num" w:pos="1021"/>
        </w:tabs>
        <w:ind w:left="420" w:firstLine="48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3CD4B97"/>
    <w:multiLevelType w:val="hybridMultilevel"/>
    <w:tmpl w:val="492441C8"/>
    <w:lvl w:ilvl="0" w:tplc="BC4C38B2">
      <w:start w:val="1"/>
      <w:numFmt w:val="lowerLetter"/>
      <w:pStyle w:val="Numbers2"/>
      <w:lvlText w:val="%1)"/>
      <w:lvlJc w:val="left"/>
      <w:pPr>
        <w:tabs>
          <w:tab w:val="num" w:pos="510"/>
        </w:tabs>
        <w:ind w:left="510" w:hanging="453"/>
      </w:pPr>
      <w:rPr>
        <w:rFonts w:ascii="Arial" w:hAnsi="Arial" w:cs="Times New Roman" w:hint="default"/>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num w:numId="1" w16cid:durableId="1998920514">
    <w:abstractNumId w:val="4"/>
  </w:num>
  <w:num w:numId="2" w16cid:durableId="1905947979">
    <w:abstractNumId w:val="1"/>
  </w:num>
  <w:num w:numId="3" w16cid:durableId="248781252">
    <w:abstractNumId w:val="5"/>
  </w:num>
  <w:num w:numId="4" w16cid:durableId="556553194">
    <w:abstractNumId w:val="6"/>
  </w:num>
  <w:num w:numId="5" w16cid:durableId="200438410">
    <w:abstractNumId w:val="7"/>
  </w:num>
  <w:num w:numId="6" w16cid:durableId="1754736166">
    <w:abstractNumId w:val="2"/>
  </w:num>
  <w:num w:numId="7" w16cid:durableId="701441647">
    <w:abstractNumId w:val="1"/>
  </w:num>
  <w:num w:numId="8" w16cid:durableId="599338804">
    <w:abstractNumId w:val="1"/>
  </w:num>
  <w:num w:numId="9" w16cid:durableId="680736843">
    <w:abstractNumId w:val="1"/>
  </w:num>
  <w:num w:numId="10" w16cid:durableId="1665011993">
    <w:abstractNumId w:val="1"/>
  </w:num>
  <w:num w:numId="11" w16cid:durableId="566186397">
    <w:abstractNumId w:val="3"/>
  </w:num>
  <w:num w:numId="12" w16cid:durableId="802697897">
    <w:abstractNumId w:val="1"/>
  </w:num>
  <w:num w:numId="13" w16cid:durableId="1101990437">
    <w:abstractNumId w:val="1"/>
  </w:num>
  <w:num w:numId="14" w16cid:durableId="1410617085">
    <w:abstractNumId w:val="4"/>
  </w:num>
  <w:num w:numId="15" w16cid:durableId="19481348">
    <w:abstractNumId w:val="1"/>
  </w:num>
  <w:num w:numId="16" w16cid:durableId="847331965">
    <w:abstractNumId w:val="1"/>
  </w:num>
  <w:num w:numId="17" w16cid:durableId="1909654286">
    <w:abstractNumId w:val="1"/>
  </w:num>
  <w:num w:numId="18" w16cid:durableId="1692755136">
    <w:abstractNumId w:val="1"/>
  </w:num>
  <w:num w:numId="19" w16cid:durableId="2016609133">
    <w:abstractNumId w:val="1"/>
  </w:num>
  <w:num w:numId="20" w16cid:durableId="573587029">
    <w:abstractNumId w:val="1"/>
  </w:num>
  <w:num w:numId="21" w16cid:durableId="154228518">
    <w:abstractNumId w:val="1"/>
  </w:num>
  <w:num w:numId="22" w16cid:durableId="596672106">
    <w:abstractNumId w:val="1"/>
  </w:num>
  <w:num w:numId="23" w16cid:durableId="1900675375">
    <w:abstractNumId w:val="1"/>
  </w:num>
  <w:num w:numId="24" w16cid:durableId="474177248">
    <w:abstractNumId w:val="0"/>
  </w:num>
  <w:num w:numId="25" w16cid:durableId="185412954">
    <w:abstractNumId w:val="4"/>
  </w:num>
  <w:num w:numId="26" w16cid:durableId="21901247">
    <w:abstractNumId w:val="4"/>
  </w:num>
  <w:num w:numId="27" w16cid:durableId="1966882104">
    <w:abstractNumId w:val="1"/>
  </w:num>
  <w:num w:numId="28" w16cid:durableId="1080634761">
    <w:abstractNumId w:val="1"/>
  </w:num>
  <w:num w:numId="29" w16cid:durableId="212084717">
    <w:abstractNumId w:val="1"/>
  </w:num>
  <w:num w:numId="30" w16cid:durableId="1989744503">
    <w:abstractNumId w:val="1"/>
  </w:num>
  <w:num w:numId="31" w16cid:durableId="1948389443">
    <w:abstractNumId w:val="1"/>
  </w:num>
  <w:num w:numId="32" w16cid:durableId="527134946">
    <w:abstractNumId w:val="1"/>
  </w:num>
  <w:num w:numId="33" w16cid:durableId="1450466856">
    <w:abstractNumId w:val="1"/>
  </w:num>
  <w:num w:numId="34" w16cid:durableId="1982029581">
    <w:abstractNumId w:val="4"/>
  </w:num>
  <w:num w:numId="35" w16cid:durableId="1227255375">
    <w:abstractNumId w:val="1"/>
  </w:num>
  <w:num w:numId="36" w16cid:durableId="409348971">
    <w:abstractNumId w:val="1"/>
  </w:num>
  <w:num w:numId="37" w16cid:durableId="1527212901">
    <w:abstractNumId w:val="1"/>
  </w:num>
  <w:num w:numId="38" w16cid:durableId="1444379521">
    <w:abstractNumId w:val="1"/>
  </w:num>
  <w:num w:numId="39" w16cid:durableId="1314797816">
    <w:abstractNumId w:val="1"/>
  </w:num>
  <w:num w:numId="40" w16cid:durableId="880289543">
    <w:abstractNumId w:val="1"/>
  </w:num>
  <w:num w:numId="41" w16cid:durableId="1915241517">
    <w:abstractNumId w:val="1"/>
  </w:num>
  <w:num w:numId="42" w16cid:durableId="572007855">
    <w:abstractNumId w:val="1"/>
  </w:num>
  <w:num w:numId="43" w16cid:durableId="1627421947">
    <w:abstractNumId w:val="1"/>
  </w:num>
  <w:num w:numId="44" w16cid:durableId="2062513702">
    <w:abstractNumId w:val="1"/>
  </w:num>
  <w:num w:numId="45" w16cid:durableId="1342506940">
    <w:abstractNumId w:val="2"/>
  </w:num>
  <w:num w:numId="46" w16cid:durableId="1506945137">
    <w:abstractNumId w:val="1"/>
  </w:num>
  <w:num w:numId="47" w16cid:durableId="963190733">
    <w:abstractNumId w:val="1"/>
  </w:num>
  <w:num w:numId="48" w16cid:durableId="966592398">
    <w:abstractNumId w:val="2"/>
  </w:num>
  <w:num w:numId="49" w16cid:durableId="212330257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activeWritingStyle w:appName="MSWord" w:lang="en-GB" w:vendorID="64" w:dllVersion="6" w:nlCheck="1" w:checkStyle="0"/>
  <w:activeWritingStyle w:appName="MSWord" w:lang="en-NZ" w:vendorID="64" w:dllVersion="6" w:nlCheck="1" w:checkStyle="0"/>
  <w:activeWritingStyle w:appName="MSWord" w:lang="en-GB" w:vendorID="64" w:dllVersion="0" w:nlCheck="1" w:checkStyle="0"/>
  <w:activeWritingStyle w:appName="MSWord" w:lang="en-NZ" w:vendorID="64" w:dllVersion="0" w:nlCheck="1" w:checkStyle="0"/>
  <w:activeWritingStyle w:appName="MSWord" w:lang="en-US" w:vendorID="64" w:dllVersion="6" w:nlCheck="1" w:checkStyle="1"/>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79"/>
    <w:rsid w:val="0000114F"/>
    <w:rsid w:val="0000240F"/>
    <w:rsid w:val="0001135B"/>
    <w:rsid w:val="00012B31"/>
    <w:rsid w:val="00015299"/>
    <w:rsid w:val="00015543"/>
    <w:rsid w:val="00020150"/>
    <w:rsid w:val="00024D0D"/>
    <w:rsid w:val="00025E55"/>
    <w:rsid w:val="00032F9E"/>
    <w:rsid w:val="00041437"/>
    <w:rsid w:val="000430AA"/>
    <w:rsid w:val="00043E75"/>
    <w:rsid w:val="00045B8C"/>
    <w:rsid w:val="000465EB"/>
    <w:rsid w:val="000472B0"/>
    <w:rsid w:val="0004747C"/>
    <w:rsid w:val="00050F35"/>
    <w:rsid w:val="0005199F"/>
    <w:rsid w:val="000658E1"/>
    <w:rsid w:val="0006659B"/>
    <w:rsid w:val="000739CC"/>
    <w:rsid w:val="00077987"/>
    <w:rsid w:val="0008508D"/>
    <w:rsid w:val="00091EC6"/>
    <w:rsid w:val="0009357D"/>
    <w:rsid w:val="000A3679"/>
    <w:rsid w:val="000A3C0A"/>
    <w:rsid w:val="000A6E2F"/>
    <w:rsid w:val="000B5F1D"/>
    <w:rsid w:val="000B631C"/>
    <w:rsid w:val="000C0356"/>
    <w:rsid w:val="000C1478"/>
    <w:rsid w:val="000C63C8"/>
    <w:rsid w:val="000D11E3"/>
    <w:rsid w:val="000D4D44"/>
    <w:rsid w:val="000E1BD5"/>
    <w:rsid w:val="000E22DE"/>
    <w:rsid w:val="000E2BC8"/>
    <w:rsid w:val="000E57A2"/>
    <w:rsid w:val="000E7079"/>
    <w:rsid w:val="000E7816"/>
    <w:rsid w:val="000F4ECB"/>
    <w:rsid w:val="000F732F"/>
    <w:rsid w:val="0010090A"/>
    <w:rsid w:val="00110EA9"/>
    <w:rsid w:val="001122D5"/>
    <w:rsid w:val="0011491C"/>
    <w:rsid w:val="00114BB4"/>
    <w:rsid w:val="00115801"/>
    <w:rsid w:val="00116C41"/>
    <w:rsid w:val="00122ACD"/>
    <w:rsid w:val="00123B21"/>
    <w:rsid w:val="00124A5C"/>
    <w:rsid w:val="001255FB"/>
    <w:rsid w:val="0012736B"/>
    <w:rsid w:val="00131025"/>
    <w:rsid w:val="001312BF"/>
    <w:rsid w:val="001328BF"/>
    <w:rsid w:val="00133A0B"/>
    <w:rsid w:val="00134A49"/>
    <w:rsid w:val="00142F30"/>
    <w:rsid w:val="00145A54"/>
    <w:rsid w:val="00146279"/>
    <w:rsid w:val="00147412"/>
    <w:rsid w:val="00147E8F"/>
    <w:rsid w:val="0015001F"/>
    <w:rsid w:val="0015103F"/>
    <w:rsid w:val="00153D02"/>
    <w:rsid w:val="00154320"/>
    <w:rsid w:val="001544BB"/>
    <w:rsid w:val="0015636C"/>
    <w:rsid w:val="00157FE4"/>
    <w:rsid w:val="00162919"/>
    <w:rsid w:val="00166C46"/>
    <w:rsid w:val="0017065E"/>
    <w:rsid w:val="0017112B"/>
    <w:rsid w:val="00172499"/>
    <w:rsid w:val="00183814"/>
    <w:rsid w:val="0018444F"/>
    <w:rsid w:val="00186D7A"/>
    <w:rsid w:val="00193FC3"/>
    <w:rsid w:val="001960CF"/>
    <w:rsid w:val="00197515"/>
    <w:rsid w:val="00197C18"/>
    <w:rsid w:val="00197FC2"/>
    <w:rsid w:val="001A1113"/>
    <w:rsid w:val="001A27D5"/>
    <w:rsid w:val="001B0455"/>
    <w:rsid w:val="001B4867"/>
    <w:rsid w:val="001B49E6"/>
    <w:rsid w:val="001B5756"/>
    <w:rsid w:val="001B5E3D"/>
    <w:rsid w:val="001C0A03"/>
    <w:rsid w:val="001D6150"/>
    <w:rsid w:val="001D6654"/>
    <w:rsid w:val="001D73FD"/>
    <w:rsid w:val="001D7F61"/>
    <w:rsid w:val="001E2B23"/>
    <w:rsid w:val="001E7459"/>
    <w:rsid w:val="001F13CF"/>
    <w:rsid w:val="001F2944"/>
    <w:rsid w:val="001F33C5"/>
    <w:rsid w:val="002001E6"/>
    <w:rsid w:val="002004BA"/>
    <w:rsid w:val="002031CC"/>
    <w:rsid w:val="00204D44"/>
    <w:rsid w:val="00206776"/>
    <w:rsid w:val="002070A0"/>
    <w:rsid w:val="00211E6B"/>
    <w:rsid w:val="00213316"/>
    <w:rsid w:val="00213E06"/>
    <w:rsid w:val="002145BB"/>
    <w:rsid w:val="00216645"/>
    <w:rsid w:val="002222B9"/>
    <w:rsid w:val="0022243D"/>
    <w:rsid w:val="0022576C"/>
    <w:rsid w:val="0022599B"/>
    <w:rsid w:val="00225DA8"/>
    <w:rsid w:val="00233D33"/>
    <w:rsid w:val="002411A6"/>
    <w:rsid w:val="00241FBA"/>
    <w:rsid w:val="00242919"/>
    <w:rsid w:val="002534DA"/>
    <w:rsid w:val="0026228C"/>
    <w:rsid w:val="002643DF"/>
    <w:rsid w:val="00266E8E"/>
    <w:rsid w:val="0026741F"/>
    <w:rsid w:val="00267621"/>
    <w:rsid w:val="002750C6"/>
    <w:rsid w:val="002766E9"/>
    <w:rsid w:val="00276B15"/>
    <w:rsid w:val="00280B15"/>
    <w:rsid w:val="002816F3"/>
    <w:rsid w:val="00283924"/>
    <w:rsid w:val="002847BD"/>
    <w:rsid w:val="00290422"/>
    <w:rsid w:val="00292AED"/>
    <w:rsid w:val="00297BDA"/>
    <w:rsid w:val="002A056A"/>
    <w:rsid w:val="002A1032"/>
    <w:rsid w:val="002A2F5B"/>
    <w:rsid w:val="002A531A"/>
    <w:rsid w:val="002A552E"/>
    <w:rsid w:val="002A5E80"/>
    <w:rsid w:val="002A6040"/>
    <w:rsid w:val="002A6934"/>
    <w:rsid w:val="002A78CE"/>
    <w:rsid w:val="002B0B99"/>
    <w:rsid w:val="002B252A"/>
    <w:rsid w:val="002C0033"/>
    <w:rsid w:val="002C05C2"/>
    <w:rsid w:val="002C1937"/>
    <w:rsid w:val="002C5B19"/>
    <w:rsid w:val="002C7A16"/>
    <w:rsid w:val="002D18EE"/>
    <w:rsid w:val="002D5B29"/>
    <w:rsid w:val="002E0732"/>
    <w:rsid w:val="002E0ABA"/>
    <w:rsid w:val="002E1014"/>
    <w:rsid w:val="002E3A98"/>
    <w:rsid w:val="002E5B4C"/>
    <w:rsid w:val="002E6A12"/>
    <w:rsid w:val="002F0A7E"/>
    <w:rsid w:val="002F77ED"/>
    <w:rsid w:val="002F7F84"/>
    <w:rsid w:val="00303530"/>
    <w:rsid w:val="00304910"/>
    <w:rsid w:val="00305A1A"/>
    <w:rsid w:val="003108C1"/>
    <w:rsid w:val="0031311B"/>
    <w:rsid w:val="00313224"/>
    <w:rsid w:val="00315250"/>
    <w:rsid w:val="00317B34"/>
    <w:rsid w:val="00320851"/>
    <w:rsid w:val="00320F10"/>
    <w:rsid w:val="00321BD3"/>
    <w:rsid w:val="003243DE"/>
    <w:rsid w:val="003255B4"/>
    <w:rsid w:val="0032759B"/>
    <w:rsid w:val="00333406"/>
    <w:rsid w:val="00334E50"/>
    <w:rsid w:val="00344B5A"/>
    <w:rsid w:val="00347BB9"/>
    <w:rsid w:val="003548D9"/>
    <w:rsid w:val="00354CFE"/>
    <w:rsid w:val="00355BE7"/>
    <w:rsid w:val="003561B4"/>
    <w:rsid w:val="00360053"/>
    <w:rsid w:val="00367534"/>
    <w:rsid w:val="003737FC"/>
    <w:rsid w:val="003746DB"/>
    <w:rsid w:val="00375A65"/>
    <w:rsid w:val="0037768A"/>
    <w:rsid w:val="00382146"/>
    <w:rsid w:val="003839CD"/>
    <w:rsid w:val="003863AF"/>
    <w:rsid w:val="00392D4B"/>
    <w:rsid w:val="00392F7B"/>
    <w:rsid w:val="0039417B"/>
    <w:rsid w:val="0039447D"/>
    <w:rsid w:val="003A23EA"/>
    <w:rsid w:val="003A2BC6"/>
    <w:rsid w:val="003A334B"/>
    <w:rsid w:val="003A55BC"/>
    <w:rsid w:val="003A6EDF"/>
    <w:rsid w:val="003B0759"/>
    <w:rsid w:val="003B0E67"/>
    <w:rsid w:val="003B389C"/>
    <w:rsid w:val="003B456A"/>
    <w:rsid w:val="003B5114"/>
    <w:rsid w:val="003B6B11"/>
    <w:rsid w:val="003C11EB"/>
    <w:rsid w:val="003C18CB"/>
    <w:rsid w:val="003C2FCC"/>
    <w:rsid w:val="003C3376"/>
    <w:rsid w:val="003C39C6"/>
    <w:rsid w:val="003C5D5D"/>
    <w:rsid w:val="003D40F2"/>
    <w:rsid w:val="003D7F29"/>
    <w:rsid w:val="003E2558"/>
    <w:rsid w:val="003E30A0"/>
    <w:rsid w:val="003E61BD"/>
    <w:rsid w:val="003E677E"/>
    <w:rsid w:val="003F10EA"/>
    <w:rsid w:val="003F20C7"/>
    <w:rsid w:val="003F2993"/>
    <w:rsid w:val="003F3D77"/>
    <w:rsid w:val="003F574E"/>
    <w:rsid w:val="003F6E5D"/>
    <w:rsid w:val="00400447"/>
    <w:rsid w:val="004025A2"/>
    <w:rsid w:val="00403750"/>
    <w:rsid w:val="00403E82"/>
    <w:rsid w:val="0040618A"/>
    <w:rsid w:val="00407542"/>
    <w:rsid w:val="00410C18"/>
    <w:rsid w:val="004118B6"/>
    <w:rsid w:val="00413CBB"/>
    <w:rsid w:val="004140E2"/>
    <w:rsid w:val="00416092"/>
    <w:rsid w:val="0041664F"/>
    <w:rsid w:val="00416ADE"/>
    <w:rsid w:val="00424992"/>
    <w:rsid w:val="00425DA7"/>
    <w:rsid w:val="00425FDD"/>
    <w:rsid w:val="00430CF0"/>
    <w:rsid w:val="00430EF9"/>
    <w:rsid w:val="00437015"/>
    <w:rsid w:val="00437BAF"/>
    <w:rsid w:val="00437E0A"/>
    <w:rsid w:val="004437D9"/>
    <w:rsid w:val="00444F07"/>
    <w:rsid w:val="00445A4D"/>
    <w:rsid w:val="00451604"/>
    <w:rsid w:val="00451F96"/>
    <w:rsid w:val="00453C07"/>
    <w:rsid w:val="00453F94"/>
    <w:rsid w:val="00454E4B"/>
    <w:rsid w:val="004572E9"/>
    <w:rsid w:val="004603EF"/>
    <w:rsid w:val="00462693"/>
    <w:rsid w:val="00463BAE"/>
    <w:rsid w:val="004655F9"/>
    <w:rsid w:val="004671D1"/>
    <w:rsid w:val="004705FA"/>
    <w:rsid w:val="004748C2"/>
    <w:rsid w:val="00475180"/>
    <w:rsid w:val="00475A5C"/>
    <w:rsid w:val="00480AF2"/>
    <w:rsid w:val="00491248"/>
    <w:rsid w:val="00491B30"/>
    <w:rsid w:val="004975C5"/>
    <w:rsid w:val="004A3A27"/>
    <w:rsid w:val="004A42A0"/>
    <w:rsid w:val="004A7B81"/>
    <w:rsid w:val="004B22E3"/>
    <w:rsid w:val="004B34C0"/>
    <w:rsid w:val="004B4E5A"/>
    <w:rsid w:val="004C262F"/>
    <w:rsid w:val="004C3F46"/>
    <w:rsid w:val="004C5019"/>
    <w:rsid w:val="004C6022"/>
    <w:rsid w:val="004C63E0"/>
    <w:rsid w:val="004C6671"/>
    <w:rsid w:val="004C6C31"/>
    <w:rsid w:val="004C7F90"/>
    <w:rsid w:val="004D15C7"/>
    <w:rsid w:val="004D3FD6"/>
    <w:rsid w:val="004D5286"/>
    <w:rsid w:val="004E215D"/>
    <w:rsid w:val="004E7063"/>
    <w:rsid w:val="004E7943"/>
    <w:rsid w:val="004E7B18"/>
    <w:rsid w:val="004F18F0"/>
    <w:rsid w:val="004F2471"/>
    <w:rsid w:val="004F2A46"/>
    <w:rsid w:val="00503C84"/>
    <w:rsid w:val="00503F4F"/>
    <w:rsid w:val="0050466C"/>
    <w:rsid w:val="00506926"/>
    <w:rsid w:val="00510668"/>
    <w:rsid w:val="00511387"/>
    <w:rsid w:val="00512BD8"/>
    <w:rsid w:val="00513CA6"/>
    <w:rsid w:val="005140A0"/>
    <w:rsid w:val="005148A7"/>
    <w:rsid w:val="00520EE0"/>
    <w:rsid w:val="005217F0"/>
    <w:rsid w:val="00521953"/>
    <w:rsid w:val="00523237"/>
    <w:rsid w:val="005239FB"/>
    <w:rsid w:val="00523A28"/>
    <w:rsid w:val="005247DE"/>
    <w:rsid w:val="00526D02"/>
    <w:rsid w:val="00527E14"/>
    <w:rsid w:val="00530D0D"/>
    <w:rsid w:val="005323F7"/>
    <w:rsid w:val="00533E83"/>
    <w:rsid w:val="00536041"/>
    <w:rsid w:val="00537740"/>
    <w:rsid w:val="00540381"/>
    <w:rsid w:val="00543AA4"/>
    <w:rsid w:val="00544C81"/>
    <w:rsid w:val="00547015"/>
    <w:rsid w:val="005474DA"/>
    <w:rsid w:val="00547C7D"/>
    <w:rsid w:val="0055082F"/>
    <w:rsid w:val="0055262D"/>
    <w:rsid w:val="00554DC6"/>
    <w:rsid w:val="00557DC4"/>
    <w:rsid w:val="00561313"/>
    <w:rsid w:val="00562F66"/>
    <w:rsid w:val="00565C88"/>
    <w:rsid w:val="00565ED7"/>
    <w:rsid w:val="00570922"/>
    <w:rsid w:val="00571819"/>
    <w:rsid w:val="00574F52"/>
    <w:rsid w:val="005751F8"/>
    <w:rsid w:val="005772FE"/>
    <w:rsid w:val="00580356"/>
    <w:rsid w:val="00582E4D"/>
    <w:rsid w:val="00584FB6"/>
    <w:rsid w:val="0058692C"/>
    <w:rsid w:val="00586D83"/>
    <w:rsid w:val="00587904"/>
    <w:rsid w:val="00592AF0"/>
    <w:rsid w:val="00596CB9"/>
    <w:rsid w:val="005A6FFF"/>
    <w:rsid w:val="005B12CD"/>
    <w:rsid w:val="005B3F1F"/>
    <w:rsid w:val="005B5EC6"/>
    <w:rsid w:val="005B6F61"/>
    <w:rsid w:val="005C4436"/>
    <w:rsid w:val="005C616C"/>
    <w:rsid w:val="005C6927"/>
    <w:rsid w:val="005C69BE"/>
    <w:rsid w:val="005D0A3A"/>
    <w:rsid w:val="005D1C1F"/>
    <w:rsid w:val="005D6C04"/>
    <w:rsid w:val="005D6CB4"/>
    <w:rsid w:val="005E4EA2"/>
    <w:rsid w:val="005E5779"/>
    <w:rsid w:val="005E6325"/>
    <w:rsid w:val="005E663B"/>
    <w:rsid w:val="005F033C"/>
    <w:rsid w:val="005F20AB"/>
    <w:rsid w:val="005F3133"/>
    <w:rsid w:val="005F52B2"/>
    <w:rsid w:val="005F69C4"/>
    <w:rsid w:val="00601460"/>
    <w:rsid w:val="006028DA"/>
    <w:rsid w:val="006046A9"/>
    <w:rsid w:val="0060480F"/>
    <w:rsid w:val="0060711A"/>
    <w:rsid w:val="006076B2"/>
    <w:rsid w:val="00611D00"/>
    <w:rsid w:val="0061220E"/>
    <w:rsid w:val="00617567"/>
    <w:rsid w:val="00617DAE"/>
    <w:rsid w:val="006202F6"/>
    <w:rsid w:val="00622627"/>
    <w:rsid w:val="006266C7"/>
    <w:rsid w:val="00627866"/>
    <w:rsid w:val="006306E3"/>
    <w:rsid w:val="0063129C"/>
    <w:rsid w:val="006323CB"/>
    <w:rsid w:val="00632C2C"/>
    <w:rsid w:val="00633C21"/>
    <w:rsid w:val="00634336"/>
    <w:rsid w:val="00634CC2"/>
    <w:rsid w:val="00641AD5"/>
    <w:rsid w:val="0064598B"/>
    <w:rsid w:val="00654DCB"/>
    <w:rsid w:val="00654F75"/>
    <w:rsid w:val="00662AA7"/>
    <w:rsid w:val="006654B3"/>
    <w:rsid w:val="00666D92"/>
    <w:rsid w:val="00667A7E"/>
    <w:rsid w:val="00667BC0"/>
    <w:rsid w:val="00670BD4"/>
    <w:rsid w:val="006747DE"/>
    <w:rsid w:val="00681D2B"/>
    <w:rsid w:val="00686313"/>
    <w:rsid w:val="00687DBB"/>
    <w:rsid w:val="006911E3"/>
    <w:rsid w:val="00693A98"/>
    <w:rsid w:val="00693AD7"/>
    <w:rsid w:val="00693F4B"/>
    <w:rsid w:val="0069565B"/>
    <w:rsid w:val="00696AC6"/>
    <w:rsid w:val="00696F44"/>
    <w:rsid w:val="006A2EDE"/>
    <w:rsid w:val="006A6E26"/>
    <w:rsid w:val="006A703E"/>
    <w:rsid w:val="006A7F53"/>
    <w:rsid w:val="006B046C"/>
    <w:rsid w:val="006B0923"/>
    <w:rsid w:val="006B2543"/>
    <w:rsid w:val="006B2EA5"/>
    <w:rsid w:val="006C06E8"/>
    <w:rsid w:val="006C200A"/>
    <w:rsid w:val="006C2791"/>
    <w:rsid w:val="006C3BAB"/>
    <w:rsid w:val="006C554E"/>
    <w:rsid w:val="006C6CD9"/>
    <w:rsid w:val="006D4F99"/>
    <w:rsid w:val="006D580A"/>
    <w:rsid w:val="006E2260"/>
    <w:rsid w:val="006E319C"/>
    <w:rsid w:val="006E5FA6"/>
    <w:rsid w:val="006E6880"/>
    <w:rsid w:val="006E68C8"/>
    <w:rsid w:val="006E7E66"/>
    <w:rsid w:val="006F1444"/>
    <w:rsid w:val="006F2394"/>
    <w:rsid w:val="006F2BB0"/>
    <w:rsid w:val="006F3619"/>
    <w:rsid w:val="006F4727"/>
    <w:rsid w:val="00700A75"/>
    <w:rsid w:val="007059F0"/>
    <w:rsid w:val="00705C9D"/>
    <w:rsid w:val="00705DF2"/>
    <w:rsid w:val="00716C43"/>
    <w:rsid w:val="00721E84"/>
    <w:rsid w:val="00721FF2"/>
    <w:rsid w:val="0072300A"/>
    <w:rsid w:val="00724050"/>
    <w:rsid w:val="00725D37"/>
    <w:rsid w:val="00732E7B"/>
    <w:rsid w:val="00735E88"/>
    <w:rsid w:val="00737C83"/>
    <w:rsid w:val="00737EFA"/>
    <w:rsid w:val="00744BF1"/>
    <w:rsid w:val="00744C44"/>
    <w:rsid w:val="00747372"/>
    <w:rsid w:val="00747A9F"/>
    <w:rsid w:val="00747BEC"/>
    <w:rsid w:val="00747DD2"/>
    <w:rsid w:val="00750162"/>
    <w:rsid w:val="00751662"/>
    <w:rsid w:val="0075483C"/>
    <w:rsid w:val="00754BE2"/>
    <w:rsid w:val="00761B71"/>
    <w:rsid w:val="00764EB6"/>
    <w:rsid w:val="00765B60"/>
    <w:rsid w:val="00770538"/>
    <w:rsid w:val="0077079A"/>
    <w:rsid w:val="007732CD"/>
    <w:rsid w:val="007762B5"/>
    <w:rsid w:val="0078170E"/>
    <w:rsid w:val="00781B0E"/>
    <w:rsid w:val="007835E6"/>
    <w:rsid w:val="00785530"/>
    <w:rsid w:val="007865CA"/>
    <w:rsid w:val="00787653"/>
    <w:rsid w:val="00790ECE"/>
    <w:rsid w:val="007964DD"/>
    <w:rsid w:val="007A60ED"/>
    <w:rsid w:val="007A6CC8"/>
    <w:rsid w:val="007B1BA2"/>
    <w:rsid w:val="007B46FF"/>
    <w:rsid w:val="007C04BA"/>
    <w:rsid w:val="007C6C79"/>
    <w:rsid w:val="007D0154"/>
    <w:rsid w:val="007D1409"/>
    <w:rsid w:val="007D1994"/>
    <w:rsid w:val="007D49A5"/>
    <w:rsid w:val="007D5179"/>
    <w:rsid w:val="007D64E3"/>
    <w:rsid w:val="007D6524"/>
    <w:rsid w:val="007D6AD9"/>
    <w:rsid w:val="007E39F2"/>
    <w:rsid w:val="007E3EDE"/>
    <w:rsid w:val="007E4EB8"/>
    <w:rsid w:val="007E5A5B"/>
    <w:rsid w:val="007F16D6"/>
    <w:rsid w:val="007F1D3B"/>
    <w:rsid w:val="007F3BCA"/>
    <w:rsid w:val="008042FB"/>
    <w:rsid w:val="008111EC"/>
    <w:rsid w:val="0081294E"/>
    <w:rsid w:val="00812D89"/>
    <w:rsid w:val="008131A5"/>
    <w:rsid w:val="008133AE"/>
    <w:rsid w:val="0081606C"/>
    <w:rsid w:val="00822CAE"/>
    <w:rsid w:val="008260F6"/>
    <w:rsid w:val="008270B1"/>
    <w:rsid w:val="0082798B"/>
    <w:rsid w:val="00827E27"/>
    <w:rsid w:val="0083238B"/>
    <w:rsid w:val="00837E76"/>
    <w:rsid w:val="008451F2"/>
    <w:rsid w:val="00851EA9"/>
    <w:rsid w:val="008541A6"/>
    <w:rsid w:val="00855855"/>
    <w:rsid w:val="00857054"/>
    <w:rsid w:val="0086192C"/>
    <w:rsid w:val="008666AD"/>
    <w:rsid w:val="008705C4"/>
    <w:rsid w:val="0087096B"/>
    <w:rsid w:val="008718E6"/>
    <w:rsid w:val="00873273"/>
    <w:rsid w:val="008753A9"/>
    <w:rsid w:val="00882628"/>
    <w:rsid w:val="00882744"/>
    <w:rsid w:val="008860B2"/>
    <w:rsid w:val="00886D2B"/>
    <w:rsid w:val="008904F1"/>
    <w:rsid w:val="00893380"/>
    <w:rsid w:val="00894025"/>
    <w:rsid w:val="008950D3"/>
    <w:rsid w:val="00897A35"/>
    <w:rsid w:val="008A3C9C"/>
    <w:rsid w:val="008A5FE9"/>
    <w:rsid w:val="008B32BD"/>
    <w:rsid w:val="008B6A63"/>
    <w:rsid w:val="008B75AA"/>
    <w:rsid w:val="008B7F25"/>
    <w:rsid w:val="008C204A"/>
    <w:rsid w:val="008C4969"/>
    <w:rsid w:val="008C594E"/>
    <w:rsid w:val="008C5EA9"/>
    <w:rsid w:val="008D096A"/>
    <w:rsid w:val="008D1B49"/>
    <w:rsid w:val="008E1270"/>
    <w:rsid w:val="008E4E8E"/>
    <w:rsid w:val="008E58B5"/>
    <w:rsid w:val="008E6C26"/>
    <w:rsid w:val="008F11E3"/>
    <w:rsid w:val="008F3269"/>
    <w:rsid w:val="008F356B"/>
    <w:rsid w:val="008F4AF1"/>
    <w:rsid w:val="008F4B8A"/>
    <w:rsid w:val="00901FE0"/>
    <w:rsid w:val="009068EA"/>
    <w:rsid w:val="00910AEA"/>
    <w:rsid w:val="009146E8"/>
    <w:rsid w:val="00914D9C"/>
    <w:rsid w:val="009219D5"/>
    <w:rsid w:val="00922632"/>
    <w:rsid w:val="0092288C"/>
    <w:rsid w:val="00924308"/>
    <w:rsid w:val="00925284"/>
    <w:rsid w:val="00925391"/>
    <w:rsid w:val="009279EC"/>
    <w:rsid w:val="0093747F"/>
    <w:rsid w:val="00940692"/>
    <w:rsid w:val="009408B5"/>
    <w:rsid w:val="00946608"/>
    <w:rsid w:val="009475A8"/>
    <w:rsid w:val="00947899"/>
    <w:rsid w:val="00952A4D"/>
    <w:rsid w:val="009553A8"/>
    <w:rsid w:val="009557B9"/>
    <w:rsid w:val="00956A9A"/>
    <w:rsid w:val="0096087A"/>
    <w:rsid w:val="00973A05"/>
    <w:rsid w:val="009750CE"/>
    <w:rsid w:val="0097690C"/>
    <w:rsid w:val="00976F0D"/>
    <w:rsid w:val="009773A5"/>
    <w:rsid w:val="00980D88"/>
    <w:rsid w:val="009868B4"/>
    <w:rsid w:val="009872B0"/>
    <w:rsid w:val="00987FB1"/>
    <w:rsid w:val="00990776"/>
    <w:rsid w:val="00990EA8"/>
    <w:rsid w:val="00991533"/>
    <w:rsid w:val="00992051"/>
    <w:rsid w:val="00992C48"/>
    <w:rsid w:val="00993908"/>
    <w:rsid w:val="00994519"/>
    <w:rsid w:val="009A0202"/>
    <w:rsid w:val="009A077C"/>
    <w:rsid w:val="009A3430"/>
    <w:rsid w:val="009A3A55"/>
    <w:rsid w:val="009A66C4"/>
    <w:rsid w:val="009A6DC0"/>
    <w:rsid w:val="009A6FD0"/>
    <w:rsid w:val="009A745F"/>
    <w:rsid w:val="009B3A9A"/>
    <w:rsid w:val="009B4A8D"/>
    <w:rsid w:val="009B4F7C"/>
    <w:rsid w:val="009B531F"/>
    <w:rsid w:val="009B7DFA"/>
    <w:rsid w:val="009C1D54"/>
    <w:rsid w:val="009C23C8"/>
    <w:rsid w:val="009C2D5C"/>
    <w:rsid w:val="009D28F2"/>
    <w:rsid w:val="009D46CA"/>
    <w:rsid w:val="009D7C5B"/>
    <w:rsid w:val="009E4D56"/>
    <w:rsid w:val="009E5B93"/>
    <w:rsid w:val="009F0580"/>
    <w:rsid w:val="009F2651"/>
    <w:rsid w:val="009F36B6"/>
    <w:rsid w:val="009F65C1"/>
    <w:rsid w:val="009F694F"/>
    <w:rsid w:val="00A07442"/>
    <w:rsid w:val="00A11223"/>
    <w:rsid w:val="00A205AE"/>
    <w:rsid w:val="00A207F1"/>
    <w:rsid w:val="00A218A6"/>
    <w:rsid w:val="00A21C3F"/>
    <w:rsid w:val="00A22635"/>
    <w:rsid w:val="00A23B9D"/>
    <w:rsid w:val="00A23DA2"/>
    <w:rsid w:val="00A262B3"/>
    <w:rsid w:val="00A33515"/>
    <w:rsid w:val="00A3672E"/>
    <w:rsid w:val="00A37470"/>
    <w:rsid w:val="00A37C2D"/>
    <w:rsid w:val="00A412CB"/>
    <w:rsid w:val="00A4424B"/>
    <w:rsid w:val="00A47CA3"/>
    <w:rsid w:val="00A51790"/>
    <w:rsid w:val="00A53541"/>
    <w:rsid w:val="00A54E4A"/>
    <w:rsid w:val="00A607FA"/>
    <w:rsid w:val="00A65082"/>
    <w:rsid w:val="00A7029F"/>
    <w:rsid w:val="00A70EE3"/>
    <w:rsid w:val="00A728E9"/>
    <w:rsid w:val="00A7387A"/>
    <w:rsid w:val="00A73DD8"/>
    <w:rsid w:val="00A740D6"/>
    <w:rsid w:val="00A74DC1"/>
    <w:rsid w:val="00A8165D"/>
    <w:rsid w:val="00A81C03"/>
    <w:rsid w:val="00A836A2"/>
    <w:rsid w:val="00A8372D"/>
    <w:rsid w:val="00AA06A9"/>
    <w:rsid w:val="00AA0EFC"/>
    <w:rsid w:val="00AB49DD"/>
    <w:rsid w:val="00AB4D73"/>
    <w:rsid w:val="00AB4D78"/>
    <w:rsid w:val="00AC20F1"/>
    <w:rsid w:val="00AC2476"/>
    <w:rsid w:val="00AC3983"/>
    <w:rsid w:val="00AC42AF"/>
    <w:rsid w:val="00AC6784"/>
    <w:rsid w:val="00AC6B4D"/>
    <w:rsid w:val="00AD1084"/>
    <w:rsid w:val="00AE316B"/>
    <w:rsid w:val="00AE4F57"/>
    <w:rsid w:val="00AE68F9"/>
    <w:rsid w:val="00AE7144"/>
    <w:rsid w:val="00AE7816"/>
    <w:rsid w:val="00AF4A64"/>
    <w:rsid w:val="00AF4C88"/>
    <w:rsid w:val="00AF5397"/>
    <w:rsid w:val="00B01595"/>
    <w:rsid w:val="00B01D05"/>
    <w:rsid w:val="00B06447"/>
    <w:rsid w:val="00B0714D"/>
    <w:rsid w:val="00B105E7"/>
    <w:rsid w:val="00B1390E"/>
    <w:rsid w:val="00B1393F"/>
    <w:rsid w:val="00B16E68"/>
    <w:rsid w:val="00B17DFC"/>
    <w:rsid w:val="00B20324"/>
    <w:rsid w:val="00B2657A"/>
    <w:rsid w:val="00B266D8"/>
    <w:rsid w:val="00B31516"/>
    <w:rsid w:val="00B31D3A"/>
    <w:rsid w:val="00B40D39"/>
    <w:rsid w:val="00B42DA9"/>
    <w:rsid w:val="00B443D6"/>
    <w:rsid w:val="00B4534F"/>
    <w:rsid w:val="00B46813"/>
    <w:rsid w:val="00B52DE4"/>
    <w:rsid w:val="00B62565"/>
    <w:rsid w:val="00B64C04"/>
    <w:rsid w:val="00B6618A"/>
    <w:rsid w:val="00B70162"/>
    <w:rsid w:val="00B710DA"/>
    <w:rsid w:val="00B7469E"/>
    <w:rsid w:val="00B75136"/>
    <w:rsid w:val="00B808E5"/>
    <w:rsid w:val="00B82554"/>
    <w:rsid w:val="00B838D0"/>
    <w:rsid w:val="00B83A08"/>
    <w:rsid w:val="00B873FD"/>
    <w:rsid w:val="00B9085E"/>
    <w:rsid w:val="00B9160E"/>
    <w:rsid w:val="00B920BA"/>
    <w:rsid w:val="00B9240E"/>
    <w:rsid w:val="00B92E22"/>
    <w:rsid w:val="00B951AB"/>
    <w:rsid w:val="00B95484"/>
    <w:rsid w:val="00B956F1"/>
    <w:rsid w:val="00B95B1C"/>
    <w:rsid w:val="00B97ABE"/>
    <w:rsid w:val="00BA00C4"/>
    <w:rsid w:val="00BA1A20"/>
    <w:rsid w:val="00BA3A1A"/>
    <w:rsid w:val="00BA44C2"/>
    <w:rsid w:val="00BB0053"/>
    <w:rsid w:val="00BB14C6"/>
    <w:rsid w:val="00BB4E31"/>
    <w:rsid w:val="00BB6D43"/>
    <w:rsid w:val="00BC0D5A"/>
    <w:rsid w:val="00BC1CF7"/>
    <w:rsid w:val="00BC2391"/>
    <w:rsid w:val="00BC4689"/>
    <w:rsid w:val="00BC564F"/>
    <w:rsid w:val="00BC58FE"/>
    <w:rsid w:val="00BC5E38"/>
    <w:rsid w:val="00BC7076"/>
    <w:rsid w:val="00BD0FA9"/>
    <w:rsid w:val="00BD34AF"/>
    <w:rsid w:val="00BD5153"/>
    <w:rsid w:val="00BD6A95"/>
    <w:rsid w:val="00BD73C3"/>
    <w:rsid w:val="00BD79D4"/>
    <w:rsid w:val="00BE093B"/>
    <w:rsid w:val="00BE2F8E"/>
    <w:rsid w:val="00BE3CF7"/>
    <w:rsid w:val="00BE5B65"/>
    <w:rsid w:val="00BE5CC1"/>
    <w:rsid w:val="00BE5D2C"/>
    <w:rsid w:val="00BE6051"/>
    <w:rsid w:val="00BF2014"/>
    <w:rsid w:val="00BF5691"/>
    <w:rsid w:val="00C00452"/>
    <w:rsid w:val="00C04FFB"/>
    <w:rsid w:val="00C07F3D"/>
    <w:rsid w:val="00C10CCF"/>
    <w:rsid w:val="00C1110C"/>
    <w:rsid w:val="00C11CA3"/>
    <w:rsid w:val="00C14011"/>
    <w:rsid w:val="00C23056"/>
    <w:rsid w:val="00C25027"/>
    <w:rsid w:val="00C25A35"/>
    <w:rsid w:val="00C26782"/>
    <w:rsid w:val="00C267D2"/>
    <w:rsid w:val="00C316CB"/>
    <w:rsid w:val="00C31D67"/>
    <w:rsid w:val="00C335E0"/>
    <w:rsid w:val="00C34E5A"/>
    <w:rsid w:val="00C35AD3"/>
    <w:rsid w:val="00C35DD1"/>
    <w:rsid w:val="00C36415"/>
    <w:rsid w:val="00C409DB"/>
    <w:rsid w:val="00C41619"/>
    <w:rsid w:val="00C420FD"/>
    <w:rsid w:val="00C440A1"/>
    <w:rsid w:val="00C45769"/>
    <w:rsid w:val="00C462A5"/>
    <w:rsid w:val="00C46A8A"/>
    <w:rsid w:val="00C474DD"/>
    <w:rsid w:val="00C50ABE"/>
    <w:rsid w:val="00C50AF3"/>
    <w:rsid w:val="00C53FE7"/>
    <w:rsid w:val="00C5436A"/>
    <w:rsid w:val="00C54871"/>
    <w:rsid w:val="00C550D9"/>
    <w:rsid w:val="00C568BE"/>
    <w:rsid w:val="00C569A2"/>
    <w:rsid w:val="00C57AE4"/>
    <w:rsid w:val="00C60DBA"/>
    <w:rsid w:val="00C61E9E"/>
    <w:rsid w:val="00C626E6"/>
    <w:rsid w:val="00C62B9A"/>
    <w:rsid w:val="00C63732"/>
    <w:rsid w:val="00C646C1"/>
    <w:rsid w:val="00C64AC4"/>
    <w:rsid w:val="00C700A9"/>
    <w:rsid w:val="00C722C6"/>
    <w:rsid w:val="00C859BA"/>
    <w:rsid w:val="00C92578"/>
    <w:rsid w:val="00C936E1"/>
    <w:rsid w:val="00C94241"/>
    <w:rsid w:val="00C94F8A"/>
    <w:rsid w:val="00C9586A"/>
    <w:rsid w:val="00CA41D4"/>
    <w:rsid w:val="00CB08A9"/>
    <w:rsid w:val="00CB0DBA"/>
    <w:rsid w:val="00CB288C"/>
    <w:rsid w:val="00CB66C3"/>
    <w:rsid w:val="00CC1883"/>
    <w:rsid w:val="00CC2EE3"/>
    <w:rsid w:val="00CC4212"/>
    <w:rsid w:val="00CC6B26"/>
    <w:rsid w:val="00CD1586"/>
    <w:rsid w:val="00CD1CC6"/>
    <w:rsid w:val="00CD6BE5"/>
    <w:rsid w:val="00CE0032"/>
    <w:rsid w:val="00CE0B13"/>
    <w:rsid w:val="00CE7504"/>
    <w:rsid w:val="00CF1E08"/>
    <w:rsid w:val="00CF29DC"/>
    <w:rsid w:val="00CF41E4"/>
    <w:rsid w:val="00CF5A90"/>
    <w:rsid w:val="00D02958"/>
    <w:rsid w:val="00D05902"/>
    <w:rsid w:val="00D05D5C"/>
    <w:rsid w:val="00D11B28"/>
    <w:rsid w:val="00D11C79"/>
    <w:rsid w:val="00D132E5"/>
    <w:rsid w:val="00D14315"/>
    <w:rsid w:val="00D16861"/>
    <w:rsid w:val="00D17A2A"/>
    <w:rsid w:val="00D22033"/>
    <w:rsid w:val="00D25BC9"/>
    <w:rsid w:val="00D26819"/>
    <w:rsid w:val="00D3300E"/>
    <w:rsid w:val="00D34BF5"/>
    <w:rsid w:val="00D40531"/>
    <w:rsid w:val="00D41D90"/>
    <w:rsid w:val="00D44547"/>
    <w:rsid w:val="00D476D1"/>
    <w:rsid w:val="00D4785C"/>
    <w:rsid w:val="00D50A4B"/>
    <w:rsid w:val="00D50BC0"/>
    <w:rsid w:val="00D56267"/>
    <w:rsid w:val="00D609E8"/>
    <w:rsid w:val="00D62F28"/>
    <w:rsid w:val="00D7023C"/>
    <w:rsid w:val="00D7235C"/>
    <w:rsid w:val="00D74F68"/>
    <w:rsid w:val="00D76685"/>
    <w:rsid w:val="00D8016F"/>
    <w:rsid w:val="00D828EC"/>
    <w:rsid w:val="00D836E8"/>
    <w:rsid w:val="00D85C8F"/>
    <w:rsid w:val="00D900B1"/>
    <w:rsid w:val="00D9090D"/>
    <w:rsid w:val="00D91B66"/>
    <w:rsid w:val="00D94B9B"/>
    <w:rsid w:val="00DA2378"/>
    <w:rsid w:val="00DA4F91"/>
    <w:rsid w:val="00DA7091"/>
    <w:rsid w:val="00DA7919"/>
    <w:rsid w:val="00DB0441"/>
    <w:rsid w:val="00DB0ED1"/>
    <w:rsid w:val="00DB1941"/>
    <w:rsid w:val="00DB277E"/>
    <w:rsid w:val="00DB2C4B"/>
    <w:rsid w:val="00DB6FEA"/>
    <w:rsid w:val="00DC0033"/>
    <w:rsid w:val="00DC33FC"/>
    <w:rsid w:val="00DC3436"/>
    <w:rsid w:val="00DC4F9B"/>
    <w:rsid w:val="00DC599A"/>
    <w:rsid w:val="00DC620A"/>
    <w:rsid w:val="00DC6382"/>
    <w:rsid w:val="00DC63B5"/>
    <w:rsid w:val="00DD091A"/>
    <w:rsid w:val="00DD5D35"/>
    <w:rsid w:val="00DD686F"/>
    <w:rsid w:val="00DD72DC"/>
    <w:rsid w:val="00DE32C7"/>
    <w:rsid w:val="00DE73CE"/>
    <w:rsid w:val="00DF0B37"/>
    <w:rsid w:val="00DF212E"/>
    <w:rsid w:val="00DF48CF"/>
    <w:rsid w:val="00DF58C7"/>
    <w:rsid w:val="00E016DE"/>
    <w:rsid w:val="00E01B63"/>
    <w:rsid w:val="00E02CFE"/>
    <w:rsid w:val="00E02D65"/>
    <w:rsid w:val="00E07331"/>
    <w:rsid w:val="00E10E46"/>
    <w:rsid w:val="00E1139B"/>
    <w:rsid w:val="00E16424"/>
    <w:rsid w:val="00E16C63"/>
    <w:rsid w:val="00E24A0D"/>
    <w:rsid w:val="00E27DC1"/>
    <w:rsid w:val="00E3184F"/>
    <w:rsid w:val="00E32179"/>
    <w:rsid w:val="00E32F12"/>
    <w:rsid w:val="00E3325E"/>
    <w:rsid w:val="00E33BB6"/>
    <w:rsid w:val="00E40367"/>
    <w:rsid w:val="00E41287"/>
    <w:rsid w:val="00E4522B"/>
    <w:rsid w:val="00E45450"/>
    <w:rsid w:val="00E46648"/>
    <w:rsid w:val="00E53C23"/>
    <w:rsid w:val="00E54AE5"/>
    <w:rsid w:val="00E621DD"/>
    <w:rsid w:val="00E627F9"/>
    <w:rsid w:val="00E658BB"/>
    <w:rsid w:val="00E707FD"/>
    <w:rsid w:val="00E75166"/>
    <w:rsid w:val="00E757F6"/>
    <w:rsid w:val="00E830C1"/>
    <w:rsid w:val="00E83147"/>
    <w:rsid w:val="00E83302"/>
    <w:rsid w:val="00E86D70"/>
    <w:rsid w:val="00E92C2D"/>
    <w:rsid w:val="00E9493A"/>
    <w:rsid w:val="00E97024"/>
    <w:rsid w:val="00EA05FC"/>
    <w:rsid w:val="00EA13E7"/>
    <w:rsid w:val="00EA3992"/>
    <w:rsid w:val="00EA3AEF"/>
    <w:rsid w:val="00EB06DE"/>
    <w:rsid w:val="00EB3A42"/>
    <w:rsid w:val="00EB5F6E"/>
    <w:rsid w:val="00EB6977"/>
    <w:rsid w:val="00EB6ED0"/>
    <w:rsid w:val="00EB701B"/>
    <w:rsid w:val="00EB7398"/>
    <w:rsid w:val="00EC0DB0"/>
    <w:rsid w:val="00EC39D9"/>
    <w:rsid w:val="00EC6B16"/>
    <w:rsid w:val="00EC7029"/>
    <w:rsid w:val="00EC7F23"/>
    <w:rsid w:val="00ED244D"/>
    <w:rsid w:val="00ED62AA"/>
    <w:rsid w:val="00EE2958"/>
    <w:rsid w:val="00EE34A8"/>
    <w:rsid w:val="00EE7E7C"/>
    <w:rsid w:val="00EF3DDC"/>
    <w:rsid w:val="00EF6600"/>
    <w:rsid w:val="00EF6853"/>
    <w:rsid w:val="00EF6C17"/>
    <w:rsid w:val="00F013D0"/>
    <w:rsid w:val="00F0317A"/>
    <w:rsid w:val="00F0475F"/>
    <w:rsid w:val="00F06D26"/>
    <w:rsid w:val="00F107D7"/>
    <w:rsid w:val="00F10B36"/>
    <w:rsid w:val="00F11DA1"/>
    <w:rsid w:val="00F15A2D"/>
    <w:rsid w:val="00F15A44"/>
    <w:rsid w:val="00F20E77"/>
    <w:rsid w:val="00F22478"/>
    <w:rsid w:val="00F23406"/>
    <w:rsid w:val="00F30003"/>
    <w:rsid w:val="00F30235"/>
    <w:rsid w:val="00F313F5"/>
    <w:rsid w:val="00F353B4"/>
    <w:rsid w:val="00F37050"/>
    <w:rsid w:val="00F3771F"/>
    <w:rsid w:val="00F42383"/>
    <w:rsid w:val="00F4393D"/>
    <w:rsid w:val="00F43EE9"/>
    <w:rsid w:val="00F441FC"/>
    <w:rsid w:val="00F5196C"/>
    <w:rsid w:val="00F614C1"/>
    <w:rsid w:val="00F64B4A"/>
    <w:rsid w:val="00F654F4"/>
    <w:rsid w:val="00F7267E"/>
    <w:rsid w:val="00F7337E"/>
    <w:rsid w:val="00F74E4E"/>
    <w:rsid w:val="00F75C59"/>
    <w:rsid w:val="00F7608C"/>
    <w:rsid w:val="00F76709"/>
    <w:rsid w:val="00F85060"/>
    <w:rsid w:val="00F906F1"/>
    <w:rsid w:val="00F90BF1"/>
    <w:rsid w:val="00F920F6"/>
    <w:rsid w:val="00F9656F"/>
    <w:rsid w:val="00F96D06"/>
    <w:rsid w:val="00F97741"/>
    <w:rsid w:val="00FA1D07"/>
    <w:rsid w:val="00FA5AEA"/>
    <w:rsid w:val="00FA614E"/>
    <w:rsid w:val="00FA67E9"/>
    <w:rsid w:val="00FA7C51"/>
    <w:rsid w:val="00FB1BC8"/>
    <w:rsid w:val="00FB2901"/>
    <w:rsid w:val="00FB4706"/>
    <w:rsid w:val="00FB7363"/>
    <w:rsid w:val="00FC0B47"/>
    <w:rsid w:val="00FD166A"/>
    <w:rsid w:val="00FD2373"/>
    <w:rsid w:val="00FD3158"/>
    <w:rsid w:val="00FD7544"/>
    <w:rsid w:val="00FE0567"/>
    <w:rsid w:val="00FE3830"/>
    <w:rsid w:val="00FE688C"/>
    <w:rsid w:val="00FE73F2"/>
    <w:rsid w:val="00FF0B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63"/>
    <o:shapelayout v:ext="edit">
      <o:idmap v:ext="edit" data="2"/>
    </o:shapelayout>
  </w:shapeDefaults>
  <w:decimalSymbol w:val="."/>
  <w:listSeparator w:val=","/>
  <w14:docId w14:val="0338FBA5"/>
  <w15:chartTrackingRefBased/>
  <w15:docId w15:val="{DCFA550B-659D-471B-893F-318BFC12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uiPriority="99"/>
    <w:lsdException w:name="caption" w:locked="1" w:semiHidden="1" w:unhideWhenUsed="1" w:qFormat="1"/>
    <w:lsdException w:name="annotation reference" w:uiPriority="99"/>
    <w:lsdException w:name="List Bullet" w:uiPriority="99"/>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8B5"/>
    <w:pPr>
      <w:spacing w:line="252" w:lineRule="auto"/>
    </w:pPr>
    <w:rPr>
      <w:rFonts w:ascii="Arial" w:hAnsi="Arial"/>
      <w:sz w:val="24"/>
      <w:szCs w:val="24"/>
      <w:lang w:val="en-GB" w:eastAsia="en-GB"/>
    </w:rPr>
  </w:style>
  <w:style w:type="paragraph" w:styleId="Heading1">
    <w:name w:val="heading 1"/>
    <w:basedOn w:val="Normal"/>
    <w:next w:val="Normal"/>
    <w:qFormat/>
    <w:rsid w:val="008B32BD"/>
    <w:pPr>
      <w:keepNext/>
      <w:spacing w:before="240" w:after="120"/>
      <w:outlineLvl w:val="0"/>
    </w:pPr>
    <w:rPr>
      <w:rFonts w:cs="Arial"/>
      <w:b/>
      <w:bCs/>
      <w:kern w:val="32"/>
      <w:sz w:val="32"/>
      <w:szCs w:val="32"/>
    </w:rPr>
  </w:style>
  <w:style w:type="paragraph" w:styleId="Heading2">
    <w:name w:val="heading 2"/>
    <w:basedOn w:val="Normal"/>
    <w:next w:val="Normal"/>
    <w:link w:val="Heading2Char"/>
    <w:qFormat/>
    <w:rsid w:val="00BD34AF"/>
    <w:pPr>
      <w:keepNext/>
      <w:spacing w:after="120"/>
      <w:outlineLvl w:val="1"/>
    </w:pPr>
    <w:rPr>
      <w:b/>
      <w:sz w:val="26"/>
      <w:szCs w:val="20"/>
    </w:rPr>
  </w:style>
  <w:style w:type="paragraph" w:styleId="Heading3">
    <w:name w:val="heading 3"/>
    <w:basedOn w:val="Normal"/>
    <w:next w:val="Normal"/>
    <w:link w:val="Heading3Char1"/>
    <w:qFormat/>
    <w:rsid w:val="00EB6EBA"/>
    <w:pPr>
      <w:keepNext/>
      <w:outlineLvl w:val="2"/>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1">
    <w:name w:val="Heading 41"/>
    <w:basedOn w:val="Normal"/>
    <w:next w:val="Normal"/>
    <w:rsid w:val="00704F2C"/>
    <w:pPr>
      <w:keepNext/>
    </w:pPr>
    <w:rPr>
      <w:i/>
      <w:u w:val="single"/>
    </w:rPr>
  </w:style>
  <w:style w:type="paragraph" w:customStyle="1" w:styleId="Heading51">
    <w:name w:val="Heading 51"/>
    <w:basedOn w:val="Normal"/>
    <w:next w:val="Normal"/>
    <w:rsid w:val="00EB6EBA"/>
    <w:pPr>
      <w:keepNext/>
    </w:pPr>
    <w:rPr>
      <w:i/>
    </w:rPr>
  </w:style>
  <w:style w:type="paragraph" w:styleId="NormalWeb">
    <w:name w:val="Normal (Web)"/>
    <w:basedOn w:val="Normal"/>
    <w:rsid w:val="003949B6"/>
    <w:pPr>
      <w:spacing w:before="100" w:beforeAutospacing="1" w:after="100" w:afterAutospacing="1"/>
    </w:pPr>
  </w:style>
  <w:style w:type="paragraph" w:styleId="Header">
    <w:name w:val="header"/>
    <w:basedOn w:val="Normal"/>
    <w:rsid w:val="00704DA8"/>
    <w:pPr>
      <w:tabs>
        <w:tab w:val="center" w:pos="4153"/>
        <w:tab w:val="right" w:pos="8306"/>
      </w:tabs>
    </w:pPr>
  </w:style>
  <w:style w:type="paragraph" w:styleId="Footer">
    <w:name w:val="footer"/>
    <w:basedOn w:val="Normal"/>
    <w:link w:val="FooterChar"/>
    <w:rsid w:val="00704DA8"/>
    <w:pPr>
      <w:tabs>
        <w:tab w:val="center" w:pos="4153"/>
        <w:tab w:val="right" w:pos="8306"/>
      </w:tabs>
    </w:pPr>
    <w:rPr>
      <w:szCs w:val="20"/>
    </w:rPr>
  </w:style>
  <w:style w:type="character" w:styleId="PageNumber">
    <w:name w:val="page number"/>
    <w:rsid w:val="00CD5123"/>
    <w:rPr>
      <w:rFonts w:ascii="Arial" w:hAnsi="Arial"/>
    </w:rPr>
  </w:style>
  <w:style w:type="paragraph" w:customStyle="1" w:styleId="Numbers1">
    <w:name w:val="Numbers 1"/>
    <w:basedOn w:val="Normal"/>
    <w:rsid w:val="00632C2C"/>
    <w:pPr>
      <w:numPr>
        <w:numId w:val="2"/>
      </w:numPr>
    </w:pPr>
    <w:rPr>
      <w:lang w:val="en-NZ"/>
    </w:rPr>
  </w:style>
  <w:style w:type="paragraph" w:customStyle="1" w:styleId="Bullet1">
    <w:name w:val="Bullet 1"/>
    <w:basedOn w:val="Numbers1"/>
    <w:rsid w:val="008B32BD"/>
    <w:pPr>
      <w:numPr>
        <w:numId w:val="6"/>
      </w:numPr>
      <w:spacing w:before="40"/>
    </w:pPr>
  </w:style>
  <w:style w:type="character" w:styleId="Hyperlink">
    <w:name w:val="Hyperlink"/>
    <w:rsid w:val="00EA776A"/>
    <w:rPr>
      <w:color w:val="0000FF"/>
      <w:u w:val="single"/>
    </w:rPr>
  </w:style>
  <w:style w:type="paragraph" w:customStyle="1" w:styleId="Bullet2">
    <w:name w:val="Bullet 2"/>
    <w:basedOn w:val="Normal"/>
    <w:rsid w:val="00A4322C"/>
  </w:style>
  <w:style w:type="paragraph" w:customStyle="1" w:styleId="Numbers2">
    <w:name w:val="Numbers 2"/>
    <w:basedOn w:val="Numbers1"/>
    <w:next w:val="Normal"/>
    <w:rsid w:val="00CD5123"/>
    <w:pPr>
      <w:numPr>
        <w:numId w:val="4"/>
      </w:numPr>
      <w:tabs>
        <w:tab w:val="num" w:pos="963"/>
      </w:tabs>
      <w:ind w:left="963"/>
    </w:pPr>
  </w:style>
  <w:style w:type="character" w:customStyle="1" w:styleId="Heading2Char">
    <w:name w:val="Heading 2 Char"/>
    <w:link w:val="Heading2"/>
    <w:locked/>
    <w:rsid w:val="00BD34AF"/>
    <w:rPr>
      <w:rFonts w:ascii="Arial" w:hAnsi="Arial"/>
      <w:b/>
      <w:sz w:val="26"/>
      <w:lang w:val="en-GB" w:eastAsia="en-GB"/>
    </w:rPr>
  </w:style>
  <w:style w:type="paragraph" w:styleId="FootnoteText">
    <w:name w:val="footnote text"/>
    <w:link w:val="FootnoteTextChar"/>
    <w:semiHidden/>
    <w:rsid w:val="008E58B5"/>
    <w:pPr>
      <w:spacing w:after="40"/>
    </w:pPr>
    <w:rPr>
      <w:rFonts w:ascii="Arial" w:hAnsi="Arial"/>
      <w:lang w:val="en-GB" w:eastAsia="en-GB"/>
    </w:rPr>
  </w:style>
  <w:style w:type="character" w:styleId="FootnoteReference">
    <w:name w:val="footnote reference"/>
    <w:semiHidden/>
    <w:rsid w:val="004E24B0"/>
    <w:rPr>
      <w:vertAlign w:val="superscript"/>
    </w:rPr>
  </w:style>
  <w:style w:type="paragraph" w:styleId="BalloonText">
    <w:name w:val="Balloon Text"/>
    <w:basedOn w:val="Normal"/>
    <w:semiHidden/>
    <w:rsid w:val="00F30D15"/>
    <w:rPr>
      <w:rFonts w:ascii="Tahoma" w:hAnsi="Tahoma" w:cs="Tahoma"/>
      <w:sz w:val="16"/>
      <w:szCs w:val="16"/>
    </w:rPr>
  </w:style>
  <w:style w:type="character" w:styleId="CommentReference">
    <w:name w:val="annotation reference"/>
    <w:uiPriority w:val="99"/>
    <w:semiHidden/>
    <w:rsid w:val="00F30D15"/>
    <w:rPr>
      <w:sz w:val="16"/>
    </w:rPr>
  </w:style>
  <w:style w:type="paragraph" w:styleId="CommentText">
    <w:name w:val="annotation text"/>
    <w:basedOn w:val="Normal"/>
    <w:link w:val="CommentTextChar1"/>
    <w:uiPriority w:val="99"/>
    <w:semiHidden/>
    <w:rsid w:val="00F30D15"/>
    <w:rPr>
      <w:sz w:val="20"/>
      <w:szCs w:val="20"/>
    </w:rPr>
  </w:style>
  <w:style w:type="paragraph" w:styleId="CommentSubject">
    <w:name w:val="annotation subject"/>
    <w:basedOn w:val="CommentText"/>
    <w:next w:val="CommentText"/>
    <w:semiHidden/>
    <w:rsid w:val="00F30D15"/>
    <w:rPr>
      <w:b/>
      <w:bCs/>
    </w:rPr>
  </w:style>
  <w:style w:type="paragraph" w:customStyle="1" w:styleId="Numbers3">
    <w:name w:val="Numbers 3"/>
    <w:basedOn w:val="Numbers1"/>
    <w:rsid w:val="0003611F"/>
    <w:pPr>
      <w:numPr>
        <w:numId w:val="3"/>
      </w:numPr>
    </w:pPr>
  </w:style>
  <w:style w:type="character" w:customStyle="1" w:styleId="CharChar5">
    <w:name w:val="Char Char5"/>
    <w:rsid w:val="00217924"/>
    <w:rPr>
      <w:rFonts w:ascii="Arial" w:hAnsi="Arial"/>
      <w:b/>
      <w:sz w:val="28"/>
      <w:lang w:val="en-GB" w:eastAsia="en-GB"/>
    </w:rPr>
  </w:style>
  <w:style w:type="paragraph" w:styleId="BodyText">
    <w:name w:val="Body Text"/>
    <w:basedOn w:val="Normal"/>
    <w:link w:val="BodyTextChar"/>
    <w:semiHidden/>
    <w:rsid w:val="00217924"/>
    <w:pPr>
      <w:spacing w:after="200" w:line="280" w:lineRule="atLeast"/>
    </w:pPr>
    <w:rPr>
      <w:sz w:val="22"/>
      <w:szCs w:val="20"/>
      <w:lang w:val="en-NZ" w:eastAsia="en-US"/>
    </w:rPr>
  </w:style>
  <w:style w:type="character" w:customStyle="1" w:styleId="BodyTextChar">
    <w:name w:val="Body Text Char"/>
    <w:link w:val="BodyText"/>
    <w:semiHidden/>
    <w:locked/>
    <w:rsid w:val="00217924"/>
    <w:rPr>
      <w:rFonts w:ascii="Arial" w:eastAsia="Times New Roman" w:hAnsi="Arial"/>
      <w:sz w:val="22"/>
      <w:lang w:val="en-NZ" w:eastAsia="en-US"/>
    </w:rPr>
  </w:style>
  <w:style w:type="paragraph" w:customStyle="1" w:styleId="ColorfulList-Accent11">
    <w:name w:val="Colorful List - Accent 11"/>
    <w:basedOn w:val="Normal"/>
    <w:qFormat/>
    <w:rsid w:val="00217924"/>
    <w:pPr>
      <w:spacing w:after="200" w:line="276" w:lineRule="auto"/>
      <w:ind w:left="720"/>
      <w:contextualSpacing/>
    </w:pPr>
    <w:rPr>
      <w:rFonts w:ascii="Calibri" w:hAnsi="Calibri"/>
      <w:sz w:val="22"/>
      <w:szCs w:val="22"/>
      <w:lang w:val="en-NZ" w:eastAsia="en-US"/>
    </w:rPr>
  </w:style>
  <w:style w:type="character" w:customStyle="1" w:styleId="CommentTextChar1">
    <w:name w:val="Comment Text Char1"/>
    <w:link w:val="CommentText"/>
    <w:semiHidden/>
    <w:locked/>
    <w:rsid w:val="00217924"/>
    <w:rPr>
      <w:rFonts w:ascii="Arial" w:hAnsi="Arial"/>
      <w:lang w:val="en-GB" w:eastAsia="en-GB"/>
    </w:rPr>
  </w:style>
  <w:style w:type="character" w:customStyle="1" w:styleId="FooterChar">
    <w:name w:val="Footer Char"/>
    <w:link w:val="Footer"/>
    <w:semiHidden/>
    <w:locked/>
    <w:rsid w:val="00217924"/>
    <w:rPr>
      <w:rFonts w:ascii="Arial" w:hAnsi="Arial"/>
      <w:sz w:val="24"/>
      <w:lang w:val="en-GB" w:eastAsia="en-GB"/>
    </w:rPr>
  </w:style>
  <w:style w:type="character" w:customStyle="1" w:styleId="Heading3Char1">
    <w:name w:val="Heading 3 Char1"/>
    <w:link w:val="Heading3"/>
    <w:locked/>
    <w:rsid w:val="00217924"/>
    <w:rPr>
      <w:rFonts w:ascii="Arial" w:hAnsi="Arial"/>
      <w:b/>
      <w:sz w:val="26"/>
      <w:lang w:val="en-GB" w:eastAsia="en-GB"/>
    </w:rPr>
  </w:style>
  <w:style w:type="character" w:customStyle="1" w:styleId="Heading3Char">
    <w:name w:val="Heading 3 Char"/>
    <w:locked/>
    <w:rsid w:val="00217924"/>
    <w:rPr>
      <w:rFonts w:ascii="Cambria" w:hAnsi="Cambria"/>
      <w:b/>
      <w:color w:val="4F81BD"/>
      <w:sz w:val="24"/>
      <w:lang w:val="en-GB" w:eastAsia="en-GB"/>
    </w:rPr>
  </w:style>
  <w:style w:type="character" w:customStyle="1" w:styleId="CommentTextChar">
    <w:name w:val="Comment Text Char"/>
    <w:uiPriority w:val="99"/>
    <w:semiHidden/>
    <w:locked/>
    <w:rsid w:val="00217924"/>
    <w:rPr>
      <w:rFonts w:ascii="Arial" w:hAnsi="Arial"/>
      <w:sz w:val="20"/>
      <w:lang w:val="en-GB" w:eastAsia="en-GB"/>
    </w:rPr>
  </w:style>
  <w:style w:type="character" w:customStyle="1" w:styleId="FootnoteTextChar">
    <w:name w:val="Footnote Text Char"/>
    <w:link w:val="FootnoteText"/>
    <w:semiHidden/>
    <w:locked/>
    <w:rsid w:val="008E58B5"/>
    <w:rPr>
      <w:rFonts w:ascii="Arial" w:hAnsi="Arial"/>
      <w:lang w:val="en-GB" w:eastAsia="en-GB"/>
    </w:rPr>
  </w:style>
  <w:style w:type="paragraph" w:customStyle="1" w:styleId="Default">
    <w:name w:val="Default"/>
    <w:rsid w:val="00217924"/>
    <w:pPr>
      <w:autoSpaceDE w:val="0"/>
      <w:autoSpaceDN w:val="0"/>
      <w:adjustRightInd w:val="0"/>
    </w:pPr>
    <w:rPr>
      <w:color w:val="000000"/>
      <w:sz w:val="24"/>
      <w:szCs w:val="24"/>
      <w:lang w:val="en-GB" w:eastAsia="en-GB"/>
    </w:rPr>
  </w:style>
  <w:style w:type="paragraph" w:customStyle="1" w:styleId="ColorfulShading-Accent11">
    <w:name w:val="Colorful Shading - Accent 11"/>
    <w:hidden/>
    <w:semiHidden/>
    <w:rsid w:val="00BB0248"/>
    <w:rPr>
      <w:rFonts w:ascii="Arial" w:hAnsi="Arial"/>
      <w:sz w:val="24"/>
      <w:szCs w:val="24"/>
      <w:lang w:val="en-GB" w:eastAsia="en-GB"/>
    </w:rPr>
  </w:style>
  <w:style w:type="paragraph" w:customStyle="1" w:styleId="List123">
    <w:name w:val="List 1 2 3"/>
    <w:basedOn w:val="Normal"/>
    <w:rsid w:val="00990EA8"/>
    <w:pPr>
      <w:keepLines/>
      <w:numPr>
        <w:numId w:val="5"/>
      </w:numPr>
      <w:spacing w:before="80" w:after="80"/>
    </w:pPr>
    <w:rPr>
      <w:rFonts w:ascii="Calibri" w:eastAsia="Calibri" w:hAnsi="Calibri"/>
      <w:lang w:val="en-NZ" w:eastAsia="en-US"/>
    </w:rPr>
  </w:style>
  <w:style w:type="paragraph" w:styleId="ListParagraph">
    <w:name w:val="List Paragraph"/>
    <w:basedOn w:val="List123"/>
    <w:uiPriority w:val="34"/>
    <w:qFormat/>
    <w:rsid w:val="00990EA8"/>
  </w:style>
  <w:style w:type="paragraph" w:customStyle="1" w:styleId="List123level2">
    <w:name w:val="List 1 2 3 level 2"/>
    <w:basedOn w:val="Normal"/>
    <w:uiPriority w:val="1"/>
    <w:semiHidden/>
    <w:qFormat/>
    <w:rsid w:val="00990EA8"/>
    <w:pPr>
      <w:keepLines/>
      <w:numPr>
        <w:ilvl w:val="1"/>
        <w:numId w:val="5"/>
      </w:numPr>
      <w:tabs>
        <w:tab w:val="num" w:pos="1440"/>
      </w:tabs>
      <w:spacing w:before="80" w:after="80"/>
      <w:ind w:left="1440" w:hanging="360"/>
    </w:pPr>
    <w:rPr>
      <w:rFonts w:ascii="Calibri" w:eastAsia="Calibri" w:hAnsi="Calibri"/>
      <w:lang w:val="en-NZ" w:eastAsia="en-US"/>
    </w:rPr>
  </w:style>
  <w:style w:type="paragraph" w:customStyle="1" w:styleId="List123level3">
    <w:name w:val="List 1 2 3 level 3"/>
    <w:basedOn w:val="Normal"/>
    <w:uiPriority w:val="1"/>
    <w:semiHidden/>
    <w:qFormat/>
    <w:rsid w:val="00990EA8"/>
    <w:pPr>
      <w:keepLines/>
      <w:numPr>
        <w:ilvl w:val="2"/>
        <w:numId w:val="5"/>
      </w:numPr>
      <w:tabs>
        <w:tab w:val="num" w:pos="2160"/>
      </w:tabs>
      <w:spacing w:before="80" w:after="80"/>
      <w:ind w:left="2160" w:hanging="360"/>
    </w:pPr>
    <w:rPr>
      <w:rFonts w:ascii="Calibri" w:eastAsia="Calibri" w:hAnsi="Calibri"/>
      <w:lang w:val="en-NZ" w:eastAsia="en-US"/>
    </w:rPr>
  </w:style>
  <w:style w:type="table" w:styleId="TableGrid">
    <w:name w:val="Table Grid"/>
    <w:basedOn w:val="TableNormal"/>
    <w:uiPriority w:val="59"/>
    <w:rsid w:val="008042FB"/>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4867"/>
    <w:rPr>
      <w:rFonts w:ascii="Arial" w:hAnsi="Arial"/>
      <w:sz w:val="24"/>
      <w:szCs w:val="24"/>
      <w:lang w:val="en-GB" w:eastAsia="en-GB"/>
    </w:rPr>
  </w:style>
  <w:style w:type="paragraph" w:styleId="EndnoteText">
    <w:name w:val="endnote text"/>
    <w:basedOn w:val="Normal"/>
    <w:link w:val="EndnoteTextChar"/>
    <w:rsid w:val="00024D0D"/>
    <w:rPr>
      <w:sz w:val="20"/>
      <w:szCs w:val="20"/>
    </w:rPr>
  </w:style>
  <w:style w:type="character" w:customStyle="1" w:styleId="EndnoteTextChar">
    <w:name w:val="Endnote Text Char"/>
    <w:link w:val="EndnoteText"/>
    <w:rsid w:val="00024D0D"/>
    <w:rPr>
      <w:rFonts w:ascii="Arial" w:hAnsi="Arial"/>
      <w:lang w:val="en-GB" w:eastAsia="en-GB"/>
    </w:rPr>
  </w:style>
  <w:style w:type="character" w:styleId="EndnoteReference">
    <w:name w:val="endnote reference"/>
    <w:rsid w:val="00024D0D"/>
    <w:rPr>
      <w:vertAlign w:val="superscript"/>
    </w:rPr>
  </w:style>
  <w:style w:type="paragraph" w:styleId="ListBullet">
    <w:name w:val="List Bullet"/>
    <w:basedOn w:val="Numbers1"/>
    <w:uiPriority w:val="99"/>
    <w:rsid w:val="00565ED7"/>
    <w:pPr>
      <w:numPr>
        <w:numId w:val="0"/>
      </w:numPr>
      <w:spacing w:before="80"/>
    </w:pPr>
    <w:rPr>
      <w:rFonts w:cs="Arial"/>
    </w:rPr>
  </w:style>
  <w:style w:type="character" w:customStyle="1" w:styleId="label">
    <w:name w:val="label"/>
    <w:rsid w:val="005A6FFF"/>
    <w:rPr>
      <w:rFonts w:cs="Times New Roman"/>
    </w:rPr>
  </w:style>
  <w:style w:type="character" w:styleId="FollowedHyperlink">
    <w:name w:val="FollowedHyperlink"/>
    <w:rsid w:val="00C568BE"/>
    <w:rPr>
      <w:color w:val="800080"/>
      <w:u w:val="single"/>
    </w:rPr>
  </w:style>
  <w:style w:type="character" w:customStyle="1" w:styleId="bumpedfont15">
    <w:name w:val="bumpedfont15"/>
    <w:rsid w:val="00F10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
      <w:marLeft w:val="0"/>
      <w:marRight w:val="0"/>
      <w:marTop w:val="0"/>
      <w:marBottom w:val="0"/>
      <w:divBdr>
        <w:top w:val="none" w:sz="0" w:space="0" w:color="auto"/>
        <w:left w:val="none" w:sz="0" w:space="0" w:color="auto"/>
        <w:bottom w:val="none" w:sz="0" w:space="0" w:color="auto"/>
        <w:right w:val="none" w:sz="0" w:space="0" w:color="auto"/>
      </w:divBdr>
    </w:div>
    <w:div w:id="8">
      <w:marLeft w:val="143"/>
      <w:marRight w:val="143"/>
      <w:marTop w:val="143"/>
      <w:marBottom w:val="143"/>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single" w:sz="18" w:space="0" w:color="7A797D"/>
            <w:right w:val="single" w:sz="18" w:space="0" w:color="7A797D"/>
          </w:divBdr>
          <w:divsChild>
            <w:div w:id="2">
              <w:marLeft w:val="0"/>
              <w:marRight w:val="0"/>
              <w:marTop w:val="0"/>
              <w:marBottom w:val="0"/>
              <w:divBdr>
                <w:top w:val="single" w:sz="6" w:space="0" w:color="8C8A91"/>
                <w:left w:val="single" w:sz="6" w:space="0" w:color="8C8A91"/>
                <w:bottom w:val="single" w:sz="6" w:space="0" w:color="8C8A91"/>
                <w:right w:val="single" w:sz="6" w:space="0" w:color="8C8A91"/>
              </w:divBdr>
              <w:divsChild>
                <w:div w:id="4">
                  <w:marLeft w:val="0"/>
                  <w:marRight w:val="0"/>
                  <w:marTop w:val="0"/>
                  <w:marBottom w:val="0"/>
                  <w:divBdr>
                    <w:top w:val="single" w:sz="36" w:space="0" w:color="CCCCCC"/>
                    <w:left w:val="single" w:sz="36" w:space="0" w:color="CCCCCC"/>
                    <w:bottom w:val="single" w:sz="36" w:space="0" w:color="CCCCCC"/>
                    <w:right w:val="single" w:sz="36" w:space="0" w:color="CCCCCC"/>
                  </w:divBdr>
                  <w:divsChild>
                    <w:div w:id="14">
                      <w:marLeft w:val="0"/>
                      <w:marRight w:val="0"/>
                      <w:marTop w:val="0"/>
                      <w:marBottom w:val="0"/>
                      <w:divBdr>
                        <w:top w:val="single" w:sz="6" w:space="0" w:color="8C8A91"/>
                        <w:left w:val="single" w:sz="6" w:space="0" w:color="8C8A91"/>
                        <w:bottom w:val="single" w:sz="6" w:space="0" w:color="8C8A91"/>
                        <w:right w:val="single" w:sz="6" w:space="0" w:color="8C8A91"/>
                      </w:divBdr>
                      <w:divsChild>
                        <w:div w:id="16">
                          <w:marLeft w:val="0"/>
                          <w:marRight w:val="0"/>
                          <w:marTop w:val="0"/>
                          <w:marBottom w:val="0"/>
                          <w:divBdr>
                            <w:top w:val="single" w:sz="36" w:space="0" w:color="CCCCCC"/>
                            <w:left w:val="single" w:sz="36" w:space="0" w:color="CCCCCC"/>
                            <w:bottom w:val="single" w:sz="36" w:space="0" w:color="CCCCCC"/>
                            <w:right w:val="single" w:sz="36" w:space="0" w:color="CCCCCC"/>
                          </w:divBdr>
                          <w:divsChild>
                            <w:div w:id="18">
                              <w:marLeft w:val="0"/>
                              <w:marRight w:val="0"/>
                              <w:marTop w:val="0"/>
                              <w:marBottom w:val="0"/>
                              <w:divBdr>
                                <w:top w:val="single" w:sz="6" w:space="0" w:color="8C8A91"/>
                                <w:left w:val="single" w:sz="6" w:space="0" w:color="8C8A91"/>
                                <w:bottom w:val="single" w:sz="6" w:space="0" w:color="8C8A91"/>
                                <w:right w:val="single" w:sz="6" w:space="0" w:color="8C8A91"/>
                              </w:divBdr>
                              <w:divsChild>
                                <w:div w:id="3">
                                  <w:marLeft w:val="0"/>
                                  <w:marRight w:val="0"/>
                                  <w:marTop w:val="0"/>
                                  <w:marBottom w:val="0"/>
                                  <w:divBdr>
                                    <w:top w:val="single" w:sz="18" w:space="6" w:color="666666"/>
                                    <w:left w:val="single" w:sz="18" w:space="6" w:color="666666"/>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dotted" w:sz="6" w:space="7" w:color="666666"/>
                                                <w:bottom w:val="dotted" w:sz="6" w:space="7" w:color="666666"/>
                                                <w:right w:val="dotted" w:sz="6" w:space="7" w:color="666666"/>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33259666">
      <w:bodyDiv w:val="1"/>
      <w:marLeft w:val="0"/>
      <w:marRight w:val="0"/>
      <w:marTop w:val="0"/>
      <w:marBottom w:val="0"/>
      <w:divBdr>
        <w:top w:val="none" w:sz="0" w:space="0" w:color="auto"/>
        <w:left w:val="none" w:sz="0" w:space="0" w:color="auto"/>
        <w:bottom w:val="none" w:sz="0" w:space="0" w:color="auto"/>
        <w:right w:val="none" w:sz="0" w:space="0" w:color="auto"/>
      </w:divBdr>
    </w:div>
    <w:div w:id="613025793">
      <w:bodyDiv w:val="1"/>
      <w:marLeft w:val="0"/>
      <w:marRight w:val="0"/>
      <w:marTop w:val="0"/>
      <w:marBottom w:val="0"/>
      <w:divBdr>
        <w:top w:val="none" w:sz="0" w:space="0" w:color="auto"/>
        <w:left w:val="none" w:sz="0" w:space="0" w:color="auto"/>
        <w:bottom w:val="none" w:sz="0" w:space="0" w:color="auto"/>
        <w:right w:val="none" w:sz="0" w:space="0" w:color="auto"/>
      </w:divBdr>
    </w:div>
    <w:div w:id="659696242">
      <w:bodyDiv w:val="1"/>
      <w:marLeft w:val="0"/>
      <w:marRight w:val="0"/>
      <w:marTop w:val="0"/>
      <w:marBottom w:val="0"/>
      <w:divBdr>
        <w:top w:val="none" w:sz="0" w:space="0" w:color="auto"/>
        <w:left w:val="none" w:sz="0" w:space="0" w:color="auto"/>
        <w:bottom w:val="none" w:sz="0" w:space="0" w:color="auto"/>
        <w:right w:val="none" w:sz="0" w:space="0" w:color="auto"/>
      </w:divBdr>
    </w:div>
    <w:div w:id="916330843">
      <w:bodyDiv w:val="1"/>
      <w:marLeft w:val="0"/>
      <w:marRight w:val="0"/>
      <w:marTop w:val="0"/>
      <w:marBottom w:val="0"/>
      <w:divBdr>
        <w:top w:val="none" w:sz="0" w:space="0" w:color="auto"/>
        <w:left w:val="none" w:sz="0" w:space="0" w:color="auto"/>
        <w:bottom w:val="none" w:sz="0" w:space="0" w:color="auto"/>
        <w:right w:val="none" w:sz="0" w:space="0" w:color="auto"/>
      </w:divBdr>
    </w:div>
    <w:div w:id="1279142837">
      <w:bodyDiv w:val="1"/>
      <w:marLeft w:val="0"/>
      <w:marRight w:val="0"/>
      <w:marTop w:val="0"/>
      <w:marBottom w:val="0"/>
      <w:divBdr>
        <w:top w:val="none" w:sz="0" w:space="0" w:color="auto"/>
        <w:left w:val="none" w:sz="0" w:space="0" w:color="auto"/>
        <w:bottom w:val="none" w:sz="0" w:space="0" w:color="auto"/>
        <w:right w:val="none" w:sz="0" w:space="0" w:color="auto"/>
      </w:divBdr>
    </w:div>
    <w:div w:id="152732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bit.ly/2hV45o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bit.ly/2n6RYdp"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bit.ly/2gQ3Ie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bit.ly/2zpmWPJ" TargetMode="External"/><Relationship Id="rId23" Type="http://schemas.openxmlformats.org/officeDocument/2006/relationships/customXml" Target="../customXml/item3.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bit.ly/2HPNEou" TargetMode="External"/><Relationship Id="rId13" Type="http://schemas.openxmlformats.org/officeDocument/2006/relationships/hyperlink" Target="https://bit.ly/1RA355J" TargetMode="External"/><Relationship Id="rId3" Type="http://schemas.openxmlformats.org/officeDocument/2006/relationships/hyperlink" Target="http://bit.ly/2GP2Bbi" TargetMode="External"/><Relationship Id="rId7" Type="http://schemas.openxmlformats.org/officeDocument/2006/relationships/hyperlink" Target="http://www.fatf-gafi.org/" TargetMode="External"/><Relationship Id="rId12" Type="http://schemas.openxmlformats.org/officeDocument/2006/relationships/hyperlink" Target="http://bit.ly/2hOTHPk" TargetMode="External"/><Relationship Id="rId17" Type="http://schemas.openxmlformats.org/officeDocument/2006/relationships/hyperlink" Target="http://bit.ly/2u6zb5I" TargetMode="External"/><Relationship Id="rId2" Type="http://schemas.openxmlformats.org/officeDocument/2006/relationships/hyperlink" Target="http://bit.ly/2HPNEou" TargetMode="External"/><Relationship Id="rId16" Type="http://schemas.openxmlformats.org/officeDocument/2006/relationships/hyperlink" Target="https://bit.ly/2BJaDBF" TargetMode="External"/><Relationship Id="rId1" Type="http://schemas.openxmlformats.org/officeDocument/2006/relationships/hyperlink" Target="http://bit.ly/2zpmWPJ" TargetMode="External"/><Relationship Id="rId6" Type="http://schemas.openxmlformats.org/officeDocument/2006/relationships/hyperlink" Target="http://bit.ly/2poP4i2" TargetMode="External"/><Relationship Id="rId11" Type="http://schemas.openxmlformats.org/officeDocument/2006/relationships/hyperlink" Target="http://bit.ly/2puaRpm" TargetMode="External"/><Relationship Id="rId5" Type="http://schemas.openxmlformats.org/officeDocument/2006/relationships/hyperlink" Target="http://bit.ly/2EBUMXy" TargetMode="External"/><Relationship Id="rId15" Type="http://schemas.openxmlformats.org/officeDocument/2006/relationships/hyperlink" Target="http://www.unodc.org/" TargetMode="External"/><Relationship Id="rId10" Type="http://schemas.openxmlformats.org/officeDocument/2006/relationships/hyperlink" Target="http://www.austrac.gov.au/" TargetMode="External"/><Relationship Id="rId4" Type="http://schemas.openxmlformats.org/officeDocument/2006/relationships/hyperlink" Target="http://bit.ly/2nb1TyA" TargetMode="External"/><Relationship Id="rId9" Type="http://schemas.openxmlformats.org/officeDocument/2006/relationships/hyperlink" Target="http://www.apgml.org/" TargetMode="External"/><Relationship Id="rId14" Type="http://schemas.openxmlformats.org/officeDocument/2006/relationships/hyperlink" Target="https://index.baselgovernanc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ersron\Desktop\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76FBD895B6CEAC4B8A1B94AE0100FE50030036E8C8E8C1CAD14CB71E7B0338E4099B" ma:contentTypeVersion="17" ma:contentTypeDescription="Administration Document" ma:contentTypeScope="" ma:versionID="52c91e802506c70ced6b483a2b8faabe">
  <xsd:schema xmlns:xsd="http://www.w3.org/2001/XMLSchema" xmlns:xs="http://www.w3.org/2001/XMLSchema" xmlns:p="http://schemas.microsoft.com/office/2006/metadata/properties" xmlns:ns2="89d0c6c8-e2e3-4e07-91a0-0308145fc47f" xmlns:ns3="5750afb1-007a-481a-96df-a71c539b9a3e" xmlns:ns4="e197b017-2f84-4305-8aee-e2ff806e2ff6" targetNamespace="http://schemas.microsoft.com/office/2006/metadata/properties" ma:root="true" ma:fieldsID="eca3501b27d71cb21966dabdfd42df05" ns2:_="" ns3:_="" ns4:_="">
    <xsd:import namespace="89d0c6c8-e2e3-4e07-91a0-0308145fc47f"/>
    <xsd:import namespace="5750afb1-007a-481a-96df-a71c539b9a3e"/>
    <xsd:import namespace="e197b017-2f84-4305-8aee-e2ff806e2ff6"/>
    <xsd:element name="properties">
      <xsd:complexType>
        <xsd:sequence>
          <xsd:element name="documentManagement">
            <xsd:complexType>
              <xsd:all>
                <xsd:element ref="ns3:TaxCatchAll" minOccurs="0"/>
                <xsd:element ref="ns2:DIANotes" minOccurs="0"/>
                <xsd:element ref="ns2:C3TopicNote" minOccurs="0"/>
                <xsd:element ref="ns3:TaxKeywordTaxHTField" minOccurs="0"/>
                <xsd:element ref="ns3:TaxCatchAllLabel" minOccurs="0"/>
                <xsd:element ref="ns2:abd14fc118d74ac191cda88615a8467c" minOccurs="0"/>
                <xsd:element ref="ns2:ea3c6b56d556460fbeed1cb795bcbdf8" minOccurs="0"/>
                <xsd:element ref="ns2:_dlc_DocId" minOccurs="0"/>
                <xsd:element ref="ns2:_dlc_DocIdUrl" minOccurs="0"/>
                <xsd:element ref="ns2:_dlc_DocIdPersistId" minOccurs="0"/>
                <xsd:element ref="ns4:MediaServiceMetadata" minOccurs="0"/>
                <xsd:element ref="ns4:MediaServiceFastMetadata"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0c6c8-e2e3-4e07-91a0-0308145fc47f"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C3TopicNote" ma:index="14" nillable="true" ma:taxonomy="true" ma:internalName="C3TopicNote" ma:taxonomyFieldName="C3Topic" ma:displayName="Topic" ma:indexed="true" ma:readOnly="false" ma:fieldId="{6a3fe89f-a6dd-4490-a9c1-3ef38d67b8c7}" ma:sspId="220cfdc9-10b9-451b-a41a-57414fe47a11" ma:termSetId="93895e98-8daa-4392-8163-da238c93d801" ma:anchorId="7af111ec-6b21-4286-8dd2-8bd223fdb35a" ma:open="true" ma:isKeyword="false">
      <xsd:complexType>
        <xsd:sequence>
          <xsd:element ref="pc:Terms" minOccurs="0" maxOccurs="1"/>
        </xsd:sequence>
      </xsd:complexType>
    </xsd:element>
    <xsd:element name="abd14fc118d74ac191cda88615a8467c" ma:index="17" nillable="true" ma:taxonomy="true" ma:internalName="abd14fc118d74ac191cda88615a8467c" ma:taxonomyFieldName="DIAAdministrationDocumentType" ma:displayName="Administration Document Type" ma:readOnly="false" ma:fieldId="{abd14fc1-18d7-4ac1-91cd-a88615a8467c}"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ea3c6b56d556460fbeed1cb795bcbdf8" ma:index="18" ma:taxonomy="true" ma:internalName="ea3c6b56d556460fbeed1cb795bcbdf8" ma:taxonomyFieldName="DIASecurityClassification" ma:displayName="Security Classification" ma:readOnly="false" ma:default="-1;#UNCLASSIFIED|2c10f15e-4fe4-4bec-ae91-1116436da94b" ma:fieldId="{ea3c6b56-d556-460f-beed-1cb795bcbdf8}"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85390a9-ec0b-459b-b701-622a9521b0af}" ma:internalName="TaxCatchAll" ma:readOnly="false" ma:showField="CatchAllData" ma:web="89d0c6c8-e2e3-4e07-91a0-0308145fc47f">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16" nillable="true" ma:displayName="Taxonomy Catch All Column1" ma:hidden="true" ma:list="{285390a9-ec0b-459b-b701-622a9521b0af}" ma:internalName="TaxCatchAllLabel" ma:readOnly="true" ma:showField="CatchAllDataLabel" ma:web="89d0c6c8-e2e3-4e07-91a0-0308145fc4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97b017-2f84-4305-8aee-e2ff806e2ff6"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abd14fc118d74ac191cda88615a8467c xmlns="89d0c6c8-e2e3-4e07-91a0-0308145fc47f">
      <Terms xmlns="http://schemas.microsoft.com/office/infopath/2007/PartnerControls"/>
    </abd14fc118d74ac191cda88615a8467c>
    <C3TopicNote xmlns="89d0c6c8-e2e3-4e07-91a0-0308145fc47f">
      <Terms xmlns="http://schemas.microsoft.com/office/infopath/2007/PartnerControls"/>
    </C3TopicNote>
    <TaxKeywordTaxHTField xmlns="5750afb1-007a-481a-96df-a71c539b9a3e">
      <Terms xmlns="http://schemas.microsoft.com/office/infopath/2007/PartnerControls"/>
    </TaxKeywordTaxHTField>
    <DIANotes xmlns="89d0c6c8-e2e3-4e07-91a0-0308145fc47f" xsi:nil="true"/>
    <TaxCatchAll xmlns="5750afb1-007a-481a-96df-a71c539b9a3e">
      <Value>-1</Value>
    </TaxCatchAll>
    <ea3c6b56d556460fbeed1cb795bcbdf8 xmlns="89d0c6c8-e2e3-4e07-91a0-0308145fc47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ea3c6b56d556460fbeed1cb795bcbdf8>
    <_dlc_DocId xmlns="89d0c6c8-e2e3-4e07-91a0-0308145fc47f">5M4QHKCMUZZQ-941281375-42</_dlc_DocId>
    <_dlc_DocIdUrl xmlns="89d0c6c8-e2e3-4e07-91a0-0308145fc47f">
      <Url>https://azurediagovt.sharepoint.com/sites/ECMS-GMB-SEE/_layouts/15/DocIdRedir.aspx?ID=5M4QHKCMUZZQ-941281375-42</Url>
      <Description>5M4QHKCMUZZQ-941281375-42</Description>
    </_dlc_DocIdUrl>
  </documentManagement>
</p:properties>
</file>

<file path=customXml/itemProps1.xml><?xml version="1.0" encoding="utf-8"?>
<ds:datastoreItem xmlns:ds="http://schemas.openxmlformats.org/officeDocument/2006/customXml" ds:itemID="{3A7A3A51-317E-4DF7-B74D-E560B03E17FD}">
  <ds:schemaRefs>
    <ds:schemaRef ds:uri="http://schemas.openxmlformats.org/officeDocument/2006/bibliography"/>
  </ds:schemaRefs>
</ds:datastoreItem>
</file>

<file path=customXml/itemProps2.xml><?xml version="1.0" encoding="utf-8"?>
<ds:datastoreItem xmlns:ds="http://schemas.openxmlformats.org/officeDocument/2006/customXml" ds:itemID="{F0F0A68B-A92C-456D-8E29-33C72609B9D7}"/>
</file>

<file path=customXml/itemProps3.xml><?xml version="1.0" encoding="utf-8"?>
<ds:datastoreItem xmlns:ds="http://schemas.openxmlformats.org/officeDocument/2006/customXml" ds:itemID="{F3B4D29B-AAA0-4483-8F18-885717ED81C7}"/>
</file>

<file path=customXml/itemProps4.xml><?xml version="1.0" encoding="utf-8"?>
<ds:datastoreItem xmlns:ds="http://schemas.openxmlformats.org/officeDocument/2006/customXml" ds:itemID="{34A57478-0477-4812-94BC-ACBBE5AC8CA3}"/>
</file>

<file path=customXml/itemProps5.xml><?xml version="1.0" encoding="utf-8"?>
<ds:datastoreItem xmlns:ds="http://schemas.openxmlformats.org/officeDocument/2006/customXml" ds:itemID="{DB5E9B63-3E06-4A49-848D-B97EB36CEF92}"/>
</file>

<file path=docProps/app.xml><?xml version="1.0" encoding="utf-8"?>
<Properties xmlns="http://schemas.openxmlformats.org/officeDocument/2006/extended-properties" xmlns:vt="http://schemas.openxmlformats.org/officeDocument/2006/docPropsVTypes">
  <Template>Word template</Template>
  <TotalTime>1</TotalTime>
  <Pages>16</Pages>
  <Words>4981</Words>
  <Characters>28394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Heading 1</vt:lpstr>
    </vt:vector>
  </TitlesOfParts>
  <Company>Department of Internal Affairs</Company>
  <LinksUpToDate>false</LinksUpToDate>
  <CharactersWithSpaces>33309</CharactersWithSpaces>
  <SharedDoc>false</SharedDoc>
  <HLinks>
    <vt:vector size="126" baseType="variant">
      <vt:variant>
        <vt:i4>5046342</vt:i4>
      </vt:variant>
      <vt:variant>
        <vt:i4>9</vt:i4>
      </vt:variant>
      <vt:variant>
        <vt:i4>0</vt:i4>
      </vt:variant>
      <vt:variant>
        <vt:i4>5</vt:i4>
      </vt:variant>
      <vt:variant>
        <vt:lpwstr>http://bit.ly/2hV45oJ</vt:lpwstr>
      </vt:variant>
      <vt:variant>
        <vt:lpwstr/>
      </vt:variant>
      <vt:variant>
        <vt:i4>393290</vt:i4>
      </vt:variant>
      <vt:variant>
        <vt:i4>6</vt:i4>
      </vt:variant>
      <vt:variant>
        <vt:i4>0</vt:i4>
      </vt:variant>
      <vt:variant>
        <vt:i4>5</vt:i4>
      </vt:variant>
      <vt:variant>
        <vt:lpwstr>http://bit.ly/2n6RYdp</vt:lpwstr>
      </vt:variant>
      <vt:variant>
        <vt:lpwstr/>
      </vt:variant>
      <vt:variant>
        <vt:i4>5177373</vt:i4>
      </vt:variant>
      <vt:variant>
        <vt:i4>3</vt:i4>
      </vt:variant>
      <vt:variant>
        <vt:i4>0</vt:i4>
      </vt:variant>
      <vt:variant>
        <vt:i4>5</vt:i4>
      </vt:variant>
      <vt:variant>
        <vt:lpwstr>http://bit.ly/2gQ3Iev</vt:lpwstr>
      </vt:variant>
      <vt:variant>
        <vt:lpwstr/>
      </vt:variant>
      <vt:variant>
        <vt:i4>1638402</vt:i4>
      </vt:variant>
      <vt:variant>
        <vt:i4>0</vt:i4>
      </vt:variant>
      <vt:variant>
        <vt:i4>0</vt:i4>
      </vt:variant>
      <vt:variant>
        <vt:i4>5</vt:i4>
      </vt:variant>
      <vt:variant>
        <vt:lpwstr>http://bit.ly/2zpmWPJ</vt:lpwstr>
      </vt:variant>
      <vt:variant>
        <vt:lpwstr/>
      </vt:variant>
      <vt:variant>
        <vt:i4>4456529</vt:i4>
      </vt:variant>
      <vt:variant>
        <vt:i4>48</vt:i4>
      </vt:variant>
      <vt:variant>
        <vt:i4>0</vt:i4>
      </vt:variant>
      <vt:variant>
        <vt:i4>5</vt:i4>
      </vt:variant>
      <vt:variant>
        <vt:lpwstr>http://bit.ly/2u6zb5I</vt:lpwstr>
      </vt:variant>
      <vt:variant>
        <vt:lpwstr/>
      </vt:variant>
      <vt:variant>
        <vt:i4>7667828</vt:i4>
      </vt:variant>
      <vt:variant>
        <vt:i4>45</vt:i4>
      </vt:variant>
      <vt:variant>
        <vt:i4>0</vt:i4>
      </vt:variant>
      <vt:variant>
        <vt:i4>5</vt:i4>
      </vt:variant>
      <vt:variant>
        <vt:lpwstr>https://bit.ly/2BJaDBF</vt:lpwstr>
      </vt:variant>
      <vt:variant>
        <vt:lpwstr/>
      </vt:variant>
      <vt:variant>
        <vt:i4>5898246</vt:i4>
      </vt:variant>
      <vt:variant>
        <vt:i4>42</vt:i4>
      </vt:variant>
      <vt:variant>
        <vt:i4>0</vt:i4>
      </vt:variant>
      <vt:variant>
        <vt:i4>5</vt:i4>
      </vt:variant>
      <vt:variant>
        <vt:lpwstr>http://www.unodc.org/</vt:lpwstr>
      </vt:variant>
      <vt:variant>
        <vt:lpwstr/>
      </vt:variant>
      <vt:variant>
        <vt:i4>2228271</vt:i4>
      </vt:variant>
      <vt:variant>
        <vt:i4>39</vt:i4>
      </vt:variant>
      <vt:variant>
        <vt:i4>0</vt:i4>
      </vt:variant>
      <vt:variant>
        <vt:i4>5</vt:i4>
      </vt:variant>
      <vt:variant>
        <vt:lpwstr>https://index.baselgovernance.org/</vt:lpwstr>
      </vt:variant>
      <vt:variant>
        <vt:lpwstr/>
      </vt:variant>
      <vt:variant>
        <vt:i4>2097249</vt:i4>
      </vt:variant>
      <vt:variant>
        <vt:i4>36</vt:i4>
      </vt:variant>
      <vt:variant>
        <vt:i4>0</vt:i4>
      </vt:variant>
      <vt:variant>
        <vt:i4>5</vt:i4>
      </vt:variant>
      <vt:variant>
        <vt:lpwstr>https://bit.ly/1RA355J</vt:lpwstr>
      </vt:variant>
      <vt:variant>
        <vt:lpwstr/>
      </vt:variant>
      <vt:variant>
        <vt:i4>1179650</vt:i4>
      </vt:variant>
      <vt:variant>
        <vt:i4>33</vt:i4>
      </vt:variant>
      <vt:variant>
        <vt:i4>0</vt:i4>
      </vt:variant>
      <vt:variant>
        <vt:i4>5</vt:i4>
      </vt:variant>
      <vt:variant>
        <vt:lpwstr>http://bit.ly/2hOTHPk</vt:lpwstr>
      </vt:variant>
      <vt:variant>
        <vt:lpwstr/>
      </vt:variant>
      <vt:variant>
        <vt:i4>2031618</vt:i4>
      </vt:variant>
      <vt:variant>
        <vt:i4>30</vt:i4>
      </vt:variant>
      <vt:variant>
        <vt:i4>0</vt:i4>
      </vt:variant>
      <vt:variant>
        <vt:i4>5</vt:i4>
      </vt:variant>
      <vt:variant>
        <vt:lpwstr>http://bit.ly/2puaRpm</vt:lpwstr>
      </vt:variant>
      <vt:variant>
        <vt:lpwstr/>
      </vt:variant>
      <vt:variant>
        <vt:i4>7798826</vt:i4>
      </vt:variant>
      <vt:variant>
        <vt:i4>27</vt:i4>
      </vt:variant>
      <vt:variant>
        <vt:i4>0</vt:i4>
      </vt:variant>
      <vt:variant>
        <vt:i4>5</vt:i4>
      </vt:variant>
      <vt:variant>
        <vt:lpwstr>http://www.austrac.gov.au/</vt:lpwstr>
      </vt:variant>
      <vt:variant>
        <vt:lpwstr/>
      </vt:variant>
      <vt:variant>
        <vt:i4>4784145</vt:i4>
      </vt:variant>
      <vt:variant>
        <vt:i4>24</vt:i4>
      </vt:variant>
      <vt:variant>
        <vt:i4>0</vt:i4>
      </vt:variant>
      <vt:variant>
        <vt:i4>5</vt:i4>
      </vt:variant>
      <vt:variant>
        <vt:lpwstr>http://www.apgml.org/</vt:lpwstr>
      </vt:variant>
      <vt:variant>
        <vt:lpwstr/>
      </vt:variant>
      <vt:variant>
        <vt:i4>1507344</vt:i4>
      </vt:variant>
      <vt:variant>
        <vt:i4>21</vt:i4>
      </vt:variant>
      <vt:variant>
        <vt:i4>0</vt:i4>
      </vt:variant>
      <vt:variant>
        <vt:i4>5</vt:i4>
      </vt:variant>
      <vt:variant>
        <vt:lpwstr>http://bit.ly/2HPNEou</vt:lpwstr>
      </vt:variant>
      <vt:variant>
        <vt:lpwstr/>
      </vt:variant>
      <vt:variant>
        <vt:i4>1310730</vt:i4>
      </vt:variant>
      <vt:variant>
        <vt:i4>18</vt:i4>
      </vt:variant>
      <vt:variant>
        <vt:i4>0</vt:i4>
      </vt:variant>
      <vt:variant>
        <vt:i4>5</vt:i4>
      </vt:variant>
      <vt:variant>
        <vt:lpwstr>http://www.fatf-gafi.org/</vt:lpwstr>
      </vt:variant>
      <vt:variant>
        <vt:lpwstr/>
      </vt:variant>
      <vt:variant>
        <vt:i4>1507422</vt:i4>
      </vt:variant>
      <vt:variant>
        <vt:i4>15</vt:i4>
      </vt:variant>
      <vt:variant>
        <vt:i4>0</vt:i4>
      </vt:variant>
      <vt:variant>
        <vt:i4>5</vt:i4>
      </vt:variant>
      <vt:variant>
        <vt:lpwstr>http://bit.ly/2poP4i2</vt:lpwstr>
      </vt:variant>
      <vt:variant>
        <vt:lpwstr/>
      </vt:variant>
      <vt:variant>
        <vt:i4>1441802</vt:i4>
      </vt:variant>
      <vt:variant>
        <vt:i4>12</vt:i4>
      </vt:variant>
      <vt:variant>
        <vt:i4>0</vt:i4>
      </vt:variant>
      <vt:variant>
        <vt:i4>5</vt:i4>
      </vt:variant>
      <vt:variant>
        <vt:lpwstr>http://bit.ly/2EBUMXy</vt:lpwstr>
      </vt:variant>
      <vt:variant>
        <vt:lpwstr/>
      </vt:variant>
      <vt:variant>
        <vt:i4>5767187</vt:i4>
      </vt:variant>
      <vt:variant>
        <vt:i4>9</vt:i4>
      </vt:variant>
      <vt:variant>
        <vt:i4>0</vt:i4>
      </vt:variant>
      <vt:variant>
        <vt:i4>5</vt:i4>
      </vt:variant>
      <vt:variant>
        <vt:lpwstr>http://bit.ly/2nb1TyA</vt:lpwstr>
      </vt:variant>
      <vt:variant>
        <vt:lpwstr/>
      </vt:variant>
      <vt:variant>
        <vt:i4>4784151</vt:i4>
      </vt:variant>
      <vt:variant>
        <vt:i4>6</vt:i4>
      </vt:variant>
      <vt:variant>
        <vt:i4>0</vt:i4>
      </vt:variant>
      <vt:variant>
        <vt:i4>5</vt:i4>
      </vt:variant>
      <vt:variant>
        <vt:lpwstr>http://bit.ly/2GP2Bbi</vt:lpwstr>
      </vt:variant>
      <vt:variant>
        <vt:lpwstr/>
      </vt:variant>
      <vt:variant>
        <vt:i4>1507344</vt:i4>
      </vt:variant>
      <vt:variant>
        <vt:i4>3</vt:i4>
      </vt:variant>
      <vt:variant>
        <vt:i4>0</vt:i4>
      </vt:variant>
      <vt:variant>
        <vt:i4>5</vt:i4>
      </vt:variant>
      <vt:variant>
        <vt:lpwstr>http://bit.ly/2HPNEou</vt:lpwstr>
      </vt:variant>
      <vt:variant>
        <vt:lpwstr/>
      </vt:variant>
      <vt:variant>
        <vt:i4>1638402</vt:i4>
      </vt:variant>
      <vt:variant>
        <vt:i4>0</vt:i4>
      </vt:variant>
      <vt:variant>
        <vt:i4>0</vt:i4>
      </vt:variant>
      <vt:variant>
        <vt:i4>5</vt:i4>
      </vt:variant>
      <vt:variant>
        <vt:lpwstr>http://bit.ly/2zpmWPJ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subject/>
  <dc:creator>pleaceki</dc:creator>
  <cp:keywords/>
  <cp:lastModifiedBy>Umesh Kaushik</cp:lastModifiedBy>
  <cp:revision>2</cp:revision>
  <cp:lastPrinted>2018-04-30T00:20:00Z</cp:lastPrinted>
  <dcterms:created xsi:type="dcterms:W3CDTF">2025-07-16T21:10:00Z</dcterms:created>
  <dcterms:modified xsi:type="dcterms:W3CDTF">2025-07-16T21:10:00Z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0x01010076FBD895B6CEAC4B8A1B94AE0100FE50030036E8C8E8C1CAD14CB71E7B0338E4099B</vt:lpwstr>
  </property>
  <property fmtid="{D5CDD505-2E9C-101B-9397-08002B2CF9AE}" pid="3" name="DIASecurityClassification">
    <vt:i4>-1</vt:i4>
  </property>
  <property fmtid="{D5CDD505-2E9C-101B-9397-08002B2CF9AE}" pid="4" name="_dlc_DocIdItemGuid">
    <vt:lpwstr>473b3efa-8a59-4121-8c2e-3057ea8eccf8</vt:lpwstr>
  </property>
</Properties>
</file>