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F1787" w14:textId="77777777" w:rsidR="002F151B" w:rsidRPr="002F151B" w:rsidRDefault="002F151B" w:rsidP="00230F84">
      <w:pPr>
        <w:spacing w:before="0" w:after="0"/>
        <w:ind w:right="-142"/>
        <w:rPr>
          <w:b/>
          <w:color w:val="1F546B" w:themeColor="text2"/>
          <w:sz w:val="16"/>
          <w:szCs w:val="16"/>
        </w:rPr>
      </w:pPr>
    </w:p>
    <w:p w14:paraId="318BC8C4" w14:textId="2946C970" w:rsidR="008C3A5A" w:rsidRPr="002F151B" w:rsidRDefault="00656365" w:rsidP="00B17432">
      <w:pPr>
        <w:spacing w:before="0"/>
        <w:ind w:right="-143"/>
        <w:rPr>
          <w:color w:val="1F546B" w:themeColor="text2"/>
          <w:sz w:val="40"/>
          <w:szCs w:val="40"/>
        </w:rPr>
      </w:pPr>
      <w:r w:rsidRPr="00494763">
        <w:rPr>
          <w:b/>
          <w:bCs/>
          <w:color w:val="1F546B" w:themeColor="text2"/>
          <w:sz w:val="40"/>
          <w:szCs w:val="40"/>
        </w:rPr>
        <w:t xml:space="preserve">Guidance: </w:t>
      </w:r>
      <w:r w:rsidR="00283541" w:rsidRPr="00494763">
        <w:rPr>
          <w:b/>
          <w:bCs/>
          <w:color w:val="1F546B" w:themeColor="text2"/>
          <w:sz w:val="40"/>
          <w:szCs w:val="40"/>
        </w:rPr>
        <w:t xml:space="preserve">New regulations </w:t>
      </w:r>
      <w:r w:rsidR="003322B5" w:rsidRPr="00494763">
        <w:rPr>
          <w:b/>
          <w:bCs/>
          <w:color w:val="1F546B" w:themeColor="text2"/>
          <w:sz w:val="40"/>
          <w:szCs w:val="40"/>
        </w:rPr>
        <w:t>clarifying AML/CFT requirements for</w:t>
      </w:r>
      <w:r w:rsidR="00283541" w:rsidRPr="00494763">
        <w:rPr>
          <w:b/>
          <w:bCs/>
          <w:color w:val="1F546B" w:themeColor="text2"/>
          <w:sz w:val="40"/>
          <w:szCs w:val="40"/>
        </w:rPr>
        <w:t xml:space="preserve"> DNFBPs providing trust and company services</w:t>
      </w:r>
    </w:p>
    <w:p w14:paraId="0417758D" w14:textId="1198C2D1" w:rsidR="00E10FE7" w:rsidRPr="00E10FE7" w:rsidRDefault="00E10FE7" w:rsidP="00E10FE7">
      <w:pPr>
        <w:spacing w:after="0" w:line="276" w:lineRule="auto"/>
        <w:rPr>
          <w:b/>
          <w:bCs/>
          <w:sz w:val="28"/>
          <w:szCs w:val="28"/>
        </w:rPr>
      </w:pPr>
      <w:r w:rsidRPr="00C20D6C">
        <w:rPr>
          <w:b/>
          <w:bCs/>
          <w:sz w:val="28"/>
          <w:szCs w:val="28"/>
        </w:rPr>
        <w:t>Background</w:t>
      </w:r>
    </w:p>
    <w:p w14:paraId="2C1FB418" w14:textId="37D41CA6" w:rsidR="00466A28" w:rsidRDefault="00283541" w:rsidP="00C21769">
      <w:pPr>
        <w:pStyle w:val="ListParagraph"/>
        <w:numPr>
          <w:ilvl w:val="0"/>
          <w:numId w:val="39"/>
        </w:numPr>
        <w:spacing w:after="120" w:line="276" w:lineRule="auto"/>
        <w:ind w:left="360"/>
        <w:jc w:val="both"/>
      </w:pPr>
      <w:r>
        <w:t xml:space="preserve">Effective </w:t>
      </w:r>
      <w:r w:rsidR="00466A28">
        <w:t>31 July 2023</w:t>
      </w:r>
      <w:r w:rsidR="00C821CE">
        <w:t>,</w:t>
      </w:r>
      <w:r w:rsidR="00466A28">
        <w:t xml:space="preserve"> three new </w:t>
      </w:r>
      <w:r w:rsidR="00F610F3">
        <w:t xml:space="preserve">amendment </w:t>
      </w:r>
      <w:r w:rsidR="00466A28">
        <w:t>regulations tak</w:t>
      </w:r>
      <w:r w:rsidR="00A02454">
        <w:t>e</w:t>
      </w:r>
      <w:r w:rsidR="00466A28">
        <w:t xml:space="preserve"> effect that </w:t>
      </w:r>
      <w:r w:rsidR="00F610F3">
        <w:t xml:space="preserve">further define </w:t>
      </w:r>
      <w:r w:rsidR="00893320">
        <w:t>requirements of</w:t>
      </w:r>
      <w:r w:rsidR="00466A28">
        <w:t xml:space="preserve"> the Anti-Money Laundering and Countering Financing of </w:t>
      </w:r>
      <w:r w:rsidR="003322B5">
        <w:t>Terrorism (</w:t>
      </w:r>
      <w:r w:rsidR="003322B5" w:rsidRPr="00E10FE7">
        <w:rPr>
          <w:b/>
          <w:bCs/>
        </w:rPr>
        <w:t>AML/CFT</w:t>
      </w:r>
      <w:r w:rsidR="003322B5">
        <w:t xml:space="preserve">) </w:t>
      </w:r>
      <w:r w:rsidR="00466A28">
        <w:t>Act 2009 (</w:t>
      </w:r>
      <w:r w:rsidR="003322B5" w:rsidRPr="003322B5">
        <w:t xml:space="preserve">the </w:t>
      </w:r>
      <w:r w:rsidR="00466A28" w:rsidRPr="00E10FE7">
        <w:rPr>
          <w:b/>
          <w:bCs/>
        </w:rPr>
        <w:t>Act</w:t>
      </w:r>
      <w:r w:rsidR="00466A28">
        <w:t xml:space="preserve">) </w:t>
      </w:r>
      <w:r w:rsidR="00F610F3">
        <w:t>and associated regulations.</w:t>
      </w:r>
    </w:p>
    <w:p w14:paraId="0F7674C9" w14:textId="723AF2FB" w:rsidR="00466A28" w:rsidRDefault="00466A28" w:rsidP="00521B29">
      <w:pPr>
        <w:pStyle w:val="ListParagraph"/>
        <w:numPr>
          <w:ilvl w:val="0"/>
          <w:numId w:val="39"/>
        </w:numPr>
        <w:spacing w:after="120" w:line="276" w:lineRule="auto"/>
        <w:ind w:left="357" w:hanging="357"/>
        <w:jc w:val="both"/>
      </w:pPr>
      <w:r>
        <w:t>Th</w:t>
      </w:r>
      <w:r w:rsidR="00E10FE7">
        <w:t>ese regulat</w:t>
      </w:r>
      <w:r w:rsidR="00F610F3">
        <w:t>ory amendments</w:t>
      </w:r>
      <w:r w:rsidR="00E10FE7">
        <w:t xml:space="preserve"> are </w:t>
      </w:r>
      <w:r w:rsidR="003322B5">
        <w:t>important for</w:t>
      </w:r>
      <w:r w:rsidRPr="7F527006">
        <w:t xml:space="preserve"> </w:t>
      </w:r>
      <w:r w:rsidR="003322B5">
        <w:t>all</w:t>
      </w:r>
      <w:r>
        <w:t xml:space="preserve"> law firms, accounting practices and trust and company service providers</w:t>
      </w:r>
      <w:r w:rsidR="00007BA1" w:rsidRPr="7F527006">
        <w:t xml:space="preserve"> (</w:t>
      </w:r>
      <w:r w:rsidR="00007BA1" w:rsidRPr="00067E5E">
        <w:rPr>
          <w:b/>
          <w:bCs/>
        </w:rPr>
        <w:t>TCSPs</w:t>
      </w:r>
      <w:r w:rsidR="00007BA1" w:rsidRPr="7F527006">
        <w:t>)</w:t>
      </w:r>
      <w:r>
        <w:t xml:space="preserve"> that carry out the following</w:t>
      </w:r>
      <w:r w:rsidR="00F610F3" w:rsidRPr="00F610F3">
        <w:t xml:space="preserve"> designated non-financial business or profession</w:t>
      </w:r>
      <w:r w:rsidR="00F610F3" w:rsidRPr="7F527006">
        <w:t xml:space="preserve"> (</w:t>
      </w:r>
      <w:r w:rsidR="00F610F3" w:rsidRPr="00521B29">
        <w:rPr>
          <w:b/>
          <w:bCs/>
        </w:rPr>
        <w:t>DNFBP</w:t>
      </w:r>
      <w:r w:rsidR="00F610F3" w:rsidRPr="7F527006">
        <w:t>)</w:t>
      </w:r>
      <w:r w:rsidR="00067E5E" w:rsidRPr="7F527006">
        <w:t xml:space="preserve"> </w:t>
      </w:r>
      <w:r>
        <w:t>activities under s5(1) of the Act:</w:t>
      </w:r>
    </w:p>
    <w:p w14:paraId="349E0373" w14:textId="77777777" w:rsidR="00466A28" w:rsidRPr="00521B29" w:rsidRDefault="00466A28" w:rsidP="00521B29">
      <w:pPr>
        <w:pStyle w:val="Heading5"/>
        <w:numPr>
          <w:ilvl w:val="0"/>
          <w:numId w:val="37"/>
        </w:numPr>
        <w:shd w:val="clear" w:color="auto" w:fill="FFFFFF" w:themeFill="background1"/>
        <w:spacing w:before="0" w:after="0" w:line="276" w:lineRule="auto"/>
        <w:jc w:val="both"/>
        <w:textAlignment w:val="baseline"/>
        <w:rPr>
          <w:rFonts w:asciiTheme="minorHAnsi" w:hAnsiTheme="minorHAnsi" w:cstheme="minorBidi"/>
          <w:b w:val="0"/>
          <w:bCs w:val="0"/>
          <w:color w:val="000000" w:themeColor="text1"/>
        </w:rPr>
      </w:pPr>
      <w:r w:rsidRPr="00494763">
        <w:rPr>
          <w:rFonts w:asciiTheme="minorHAnsi" w:hAnsiTheme="minorHAnsi" w:cstheme="minorBidi"/>
          <w:b w:val="0"/>
          <w:bCs w:val="0"/>
          <w:color w:val="000000"/>
        </w:rPr>
        <w:t>acting as a formation agent of legal persons or legal arrangements:</w:t>
      </w:r>
    </w:p>
    <w:p w14:paraId="5A679889" w14:textId="6A1338A2" w:rsidR="00466A28" w:rsidRPr="00521B29" w:rsidRDefault="00466A28" w:rsidP="00521B29">
      <w:pPr>
        <w:pStyle w:val="Heading5"/>
        <w:numPr>
          <w:ilvl w:val="0"/>
          <w:numId w:val="37"/>
        </w:numPr>
        <w:shd w:val="clear" w:color="auto" w:fill="FFFFFF" w:themeFill="background1"/>
        <w:spacing w:before="0" w:after="120" w:line="276" w:lineRule="auto"/>
        <w:ind w:left="1077"/>
        <w:jc w:val="both"/>
        <w:textAlignment w:val="baseline"/>
        <w:rPr>
          <w:rFonts w:asciiTheme="minorHAnsi" w:hAnsiTheme="minorHAnsi" w:cstheme="minorBidi"/>
          <w:b w:val="0"/>
          <w:bCs w:val="0"/>
          <w:color w:val="000000" w:themeColor="text1"/>
        </w:rPr>
      </w:pPr>
      <w:r w:rsidRPr="00494763">
        <w:rPr>
          <w:rFonts w:asciiTheme="minorHAnsi" w:hAnsiTheme="minorHAnsi" w:cstheme="minorBidi"/>
          <w:b w:val="0"/>
          <w:bCs w:val="0"/>
          <w:color w:val="000000"/>
        </w:rPr>
        <w:t>acting as, or arranging for a person to act as, a nominee director or nominee shareholder or trustee in relation to legal persons or legal arrangements</w:t>
      </w:r>
      <w:r w:rsidR="00017555" w:rsidRPr="00494763">
        <w:rPr>
          <w:rFonts w:asciiTheme="minorHAnsi" w:hAnsiTheme="minorHAnsi" w:cstheme="minorBidi"/>
          <w:b w:val="0"/>
          <w:bCs w:val="0"/>
          <w:color w:val="000000"/>
        </w:rPr>
        <w:t>.</w:t>
      </w:r>
    </w:p>
    <w:p w14:paraId="53796D23" w14:textId="5AECD9E7" w:rsidR="006668C4" w:rsidRDefault="003322B5" w:rsidP="00521B29">
      <w:pPr>
        <w:pStyle w:val="ListParagraph"/>
        <w:numPr>
          <w:ilvl w:val="0"/>
          <w:numId w:val="39"/>
        </w:numPr>
        <w:spacing w:after="0" w:line="276" w:lineRule="auto"/>
        <w:ind w:left="357" w:hanging="357"/>
        <w:jc w:val="both"/>
      </w:pPr>
      <w:r w:rsidRPr="003322B5">
        <w:t>The</w:t>
      </w:r>
      <w:r>
        <w:t xml:space="preserve"> new</w:t>
      </w:r>
      <w:r w:rsidRPr="003322B5">
        <w:t xml:space="preserve"> regulations follow </w:t>
      </w:r>
      <w:r>
        <w:t xml:space="preserve">the Ministry of Justice’s </w:t>
      </w:r>
      <w:hyperlink r:id="rId8" w:history="1">
        <w:r w:rsidR="00E44966">
          <w:rPr>
            <w:rStyle w:val="Hyperlink"/>
          </w:rPr>
          <w:t>Statutory Review</w:t>
        </w:r>
      </w:hyperlink>
      <w:r w:rsidR="00A02454" w:rsidRPr="7CC89F29">
        <w:t xml:space="preserve"> </w:t>
      </w:r>
      <w:r>
        <w:t xml:space="preserve">of the Act completed in 2022. </w:t>
      </w:r>
    </w:p>
    <w:p w14:paraId="5FDA651E" w14:textId="1EA69927" w:rsidR="006668C4" w:rsidRDefault="00017555" w:rsidP="00521B29">
      <w:pPr>
        <w:pStyle w:val="ListParagraph"/>
        <w:numPr>
          <w:ilvl w:val="0"/>
          <w:numId w:val="39"/>
        </w:numPr>
        <w:spacing w:after="0" w:line="276" w:lineRule="auto"/>
        <w:ind w:left="357" w:hanging="357"/>
        <w:jc w:val="both"/>
      </w:pPr>
      <w:r>
        <w:t>This review was required by section 156A of the Act and began on 1 July 2021. It</w:t>
      </w:r>
      <w:r w:rsidR="003322B5">
        <w:t xml:space="preserve"> identified various circumstances in which</w:t>
      </w:r>
      <w:r w:rsidRPr="2011B00B">
        <w:t xml:space="preserve"> </w:t>
      </w:r>
      <w:r w:rsidR="003322B5">
        <w:t xml:space="preserve">the Act’s requirements </w:t>
      </w:r>
      <w:r w:rsidR="006668C4">
        <w:t xml:space="preserve">for these </w:t>
      </w:r>
      <w:r w:rsidR="003322B5">
        <w:t>DNFBP</w:t>
      </w:r>
      <w:r w:rsidR="006668C4">
        <w:t xml:space="preserve"> activities</w:t>
      </w:r>
      <w:r>
        <w:t xml:space="preserve"> needed to be further defined</w:t>
      </w:r>
      <w:r w:rsidR="006668C4" w:rsidRPr="2011B00B">
        <w:t xml:space="preserve"> </w:t>
      </w:r>
      <w:r w:rsidR="006A06C5" w:rsidRPr="2011B00B">
        <w:t>–</w:t>
      </w:r>
      <w:r w:rsidR="003322B5" w:rsidRPr="2011B00B">
        <w:t xml:space="preserve"> </w:t>
      </w:r>
      <w:r w:rsidR="006A06C5">
        <w:t xml:space="preserve">This </w:t>
      </w:r>
      <w:r w:rsidR="00CA4DB5">
        <w:t xml:space="preserve">includes </w:t>
      </w:r>
      <w:r w:rsidR="00D66BC8">
        <w:t xml:space="preserve">the </w:t>
      </w:r>
      <w:r w:rsidR="006A06C5">
        <w:t>definition of customer</w:t>
      </w:r>
      <w:r w:rsidR="003322B5">
        <w:t>, who</w:t>
      </w:r>
      <w:r w:rsidR="006668C4" w:rsidRPr="2011B00B">
        <w:t xml:space="preserve"> </w:t>
      </w:r>
      <w:r w:rsidR="003322B5">
        <w:t>must be subject to customer due diligence</w:t>
      </w:r>
      <w:r w:rsidR="002D500F" w:rsidRPr="2011B00B">
        <w:t xml:space="preserve"> (</w:t>
      </w:r>
      <w:r w:rsidR="002D500F" w:rsidRPr="00E10FE7">
        <w:rPr>
          <w:b/>
          <w:bCs/>
        </w:rPr>
        <w:t>CDD</w:t>
      </w:r>
      <w:r w:rsidR="002D500F" w:rsidRPr="2011B00B">
        <w:t>)</w:t>
      </w:r>
      <w:r w:rsidR="006668C4" w:rsidRPr="2011B00B">
        <w:t xml:space="preserve"> </w:t>
      </w:r>
      <w:r w:rsidR="003322B5">
        <w:t xml:space="preserve">requirements and </w:t>
      </w:r>
      <w:r w:rsidR="006668C4">
        <w:t>who is t</w:t>
      </w:r>
      <w:r w:rsidR="003322B5">
        <w:t>he reporting entity responsible for doing so.</w:t>
      </w:r>
      <w:r w:rsidR="006668C4" w:rsidRPr="2011B00B">
        <w:t xml:space="preserve"> </w:t>
      </w:r>
      <w:r w:rsidR="00F72DF6">
        <w:t xml:space="preserve">It was identified that some DNFBPs were over-complying with the Act </w:t>
      </w:r>
      <w:r w:rsidR="00D66BC8">
        <w:t xml:space="preserve">as </w:t>
      </w:r>
      <w:r w:rsidR="009F656D">
        <w:t>obligations were unclear.</w:t>
      </w:r>
    </w:p>
    <w:p w14:paraId="2CF08DFF" w14:textId="056DDB8A" w:rsidR="009F656D" w:rsidRDefault="009F656D" w:rsidP="00697E16">
      <w:pPr>
        <w:pStyle w:val="ListParagraph"/>
        <w:numPr>
          <w:ilvl w:val="0"/>
          <w:numId w:val="39"/>
        </w:numPr>
        <w:spacing w:after="0" w:line="276" w:lineRule="auto"/>
        <w:ind w:left="357" w:hanging="357"/>
        <w:jc w:val="both"/>
      </w:pPr>
      <w:r>
        <w:t xml:space="preserve">This </w:t>
      </w:r>
      <w:r w:rsidR="00045CB6">
        <w:t>guidance</w:t>
      </w:r>
      <w:r>
        <w:t xml:space="preserve"> is intended to inform you of</w:t>
      </w:r>
      <w:r w:rsidR="00045CB6">
        <w:t xml:space="preserve"> these</w:t>
      </w:r>
      <w:r>
        <w:t xml:space="preserve"> recent changes to the Act and associated regulations, it </w:t>
      </w:r>
      <w:r w:rsidR="4DA5F821">
        <w:t>does not constitute</w:t>
      </w:r>
      <w:r>
        <w:t xml:space="preserve"> legal advice.</w:t>
      </w:r>
    </w:p>
    <w:p w14:paraId="61724862" w14:textId="08715B39" w:rsidR="00A02454" w:rsidRPr="0068711B" w:rsidRDefault="006668C4" w:rsidP="0068711B">
      <w:pPr>
        <w:spacing w:before="360" w:after="0" w:line="276" w:lineRule="auto"/>
        <w:jc w:val="both"/>
        <w:rPr>
          <w:b/>
          <w:bCs/>
          <w:sz w:val="28"/>
          <w:szCs w:val="28"/>
        </w:rPr>
      </w:pPr>
      <w:r w:rsidRPr="0068711B">
        <w:rPr>
          <w:b/>
          <w:bCs/>
          <w:sz w:val="28"/>
          <w:szCs w:val="28"/>
        </w:rPr>
        <w:t>Definition of customer</w:t>
      </w:r>
      <w:r w:rsidR="00A02454" w:rsidRPr="0068711B">
        <w:rPr>
          <w:b/>
          <w:bCs/>
          <w:sz w:val="28"/>
          <w:szCs w:val="28"/>
        </w:rPr>
        <w:t xml:space="preserve"> </w:t>
      </w:r>
    </w:p>
    <w:p w14:paraId="663C7F94" w14:textId="4FF3324B" w:rsidR="00DF1354" w:rsidRDefault="00DF1354" w:rsidP="00C21769">
      <w:pPr>
        <w:pStyle w:val="ListParagraph"/>
        <w:numPr>
          <w:ilvl w:val="0"/>
          <w:numId w:val="39"/>
        </w:numPr>
        <w:spacing w:after="120" w:line="276" w:lineRule="auto"/>
        <w:ind w:left="360"/>
        <w:jc w:val="both"/>
      </w:pPr>
      <w:r w:rsidRPr="00D85462">
        <w:t xml:space="preserve">New </w:t>
      </w:r>
      <w:hyperlink r:id="rId9" w:anchor="LMS877234" w:history="1">
        <w:r w:rsidR="00A5063B">
          <w:rPr>
            <w:rStyle w:val="Hyperlink"/>
          </w:rPr>
          <w:t>Regulation 5F</w:t>
        </w:r>
      </w:hyperlink>
      <w:r w:rsidR="00A02454" w:rsidRPr="00697E16">
        <w:t xml:space="preserve"> </w:t>
      </w:r>
      <w:r w:rsidR="00A02454">
        <w:t xml:space="preserve">of the </w:t>
      </w:r>
      <w:r w:rsidR="00A02454" w:rsidRPr="00A02454">
        <w:t>AML/CFT (Definitions) Regulations 2011</w:t>
      </w:r>
      <w:r w:rsidR="00A02454">
        <w:t xml:space="preserve"> clarifies who </w:t>
      </w:r>
      <w:r w:rsidR="009F656D">
        <w:t xml:space="preserve">a </w:t>
      </w:r>
      <w:r w:rsidR="00A02454">
        <w:t>customer is if a DNFBP is instructed to form a legal person or a legal arrangement as an occasional activity (i.e. outside of a business relationship).</w:t>
      </w:r>
      <w:r w:rsidR="00F72DF6">
        <w:t>When carrying out this instruction</w:t>
      </w:r>
      <w:r w:rsidRPr="7F527006">
        <w:t xml:space="preserve">: </w:t>
      </w:r>
    </w:p>
    <w:p w14:paraId="0E37AF6D" w14:textId="1DA033AB" w:rsidR="00DF1354" w:rsidRDefault="00A02454" w:rsidP="00DF1354">
      <w:pPr>
        <w:pStyle w:val="ListParagraph"/>
        <w:numPr>
          <w:ilvl w:val="0"/>
          <w:numId w:val="40"/>
        </w:numPr>
        <w:spacing w:before="0" w:after="120" w:line="276" w:lineRule="auto"/>
        <w:jc w:val="both"/>
      </w:pPr>
      <w:r>
        <w:t>the customer</w:t>
      </w:r>
      <w:r w:rsidR="00F72DF6">
        <w:t xml:space="preserve"> is</w:t>
      </w:r>
      <w:r w:rsidR="00DF1354">
        <w:t xml:space="preserve"> </w:t>
      </w:r>
      <w:r w:rsidR="00F72DF6">
        <w:t>the person who instructs the DNFBP to form the legal person or legal arrangement</w:t>
      </w:r>
      <w:r w:rsidR="00DF1354">
        <w:t>; and</w:t>
      </w:r>
    </w:p>
    <w:p w14:paraId="55F56EFE" w14:textId="1B14BD43" w:rsidR="004C22D4" w:rsidRDefault="00F72DF6" w:rsidP="00697E16">
      <w:pPr>
        <w:pStyle w:val="ListParagraph"/>
        <w:numPr>
          <w:ilvl w:val="0"/>
          <w:numId w:val="40"/>
        </w:numPr>
        <w:spacing w:before="0" w:after="120" w:line="276" w:lineRule="auto"/>
        <w:jc w:val="both"/>
      </w:pPr>
      <w:r>
        <w:t>the DNFBP</w:t>
      </w:r>
      <w:r w:rsidR="004E2D8D" w:rsidRPr="2011B00B">
        <w:t xml:space="preserve"> </w:t>
      </w:r>
      <w:r w:rsidR="00DF1354">
        <w:t>must</w:t>
      </w:r>
      <w:r w:rsidR="004C22D4" w:rsidRPr="2011B00B">
        <w:t>,</w:t>
      </w:r>
      <w:r w:rsidR="004C22D4">
        <w:t xml:space="preserve"> according to the level of risk involved,</w:t>
      </w:r>
      <w:r w:rsidRPr="2011B00B">
        <w:t xml:space="preserve"> </w:t>
      </w:r>
      <w:r w:rsidR="00675DA7">
        <w:t xml:space="preserve">take reasonable steps to </w:t>
      </w:r>
      <w:r>
        <w:t>verify the identity of any person</w:t>
      </w:r>
      <w:r w:rsidR="00893320">
        <w:t>(s)</w:t>
      </w:r>
      <w:r>
        <w:t xml:space="preserve"> that will meet the definition of beneficial owner of the</w:t>
      </w:r>
      <w:r w:rsidR="00367853">
        <w:t xml:space="preserve"> (to be formed)</w:t>
      </w:r>
      <w:r>
        <w:t xml:space="preserve"> legal person or legal arrangement.</w:t>
      </w:r>
    </w:p>
    <w:p w14:paraId="4F6CAAB4" w14:textId="77777777" w:rsidR="0068711B" w:rsidRDefault="0068711B">
      <w:pPr>
        <w:spacing w:before="480" w:after="0" w:line="276" w:lineRule="auto"/>
        <w:rPr>
          <w:b/>
          <w:bCs/>
          <w:sz w:val="28"/>
          <w:szCs w:val="28"/>
        </w:rPr>
      </w:pPr>
    </w:p>
    <w:p w14:paraId="5A0058EA" w14:textId="77777777" w:rsidR="0068711B" w:rsidRDefault="0068711B" w:rsidP="0068711B">
      <w:pPr>
        <w:spacing w:before="0" w:after="0" w:line="276" w:lineRule="auto"/>
        <w:rPr>
          <w:b/>
          <w:bCs/>
          <w:sz w:val="28"/>
          <w:szCs w:val="28"/>
        </w:rPr>
      </w:pPr>
    </w:p>
    <w:p w14:paraId="6D41BFCB" w14:textId="77777777" w:rsidR="0068711B" w:rsidRPr="0068711B" w:rsidRDefault="0068711B" w:rsidP="0068711B">
      <w:pPr>
        <w:spacing w:before="0" w:after="0" w:line="276" w:lineRule="auto"/>
        <w:rPr>
          <w:b/>
          <w:bCs/>
          <w:sz w:val="16"/>
          <w:szCs w:val="16"/>
        </w:rPr>
      </w:pPr>
    </w:p>
    <w:p w14:paraId="366D9F22" w14:textId="31643B3F" w:rsidR="006668C4" w:rsidRPr="00697E16" w:rsidRDefault="006668C4" w:rsidP="0068711B">
      <w:pPr>
        <w:spacing w:before="0" w:after="0" w:line="276" w:lineRule="auto"/>
        <w:rPr>
          <w:b/>
          <w:bCs/>
          <w:sz w:val="28"/>
          <w:szCs w:val="28"/>
        </w:rPr>
      </w:pPr>
      <w:r w:rsidRPr="00237AC0">
        <w:rPr>
          <w:b/>
          <w:bCs/>
          <w:sz w:val="28"/>
          <w:szCs w:val="28"/>
        </w:rPr>
        <w:t>Acting as</w:t>
      </w:r>
      <w:r w:rsidR="00237AC0">
        <w:rPr>
          <w:b/>
          <w:bCs/>
          <w:sz w:val="28"/>
          <w:szCs w:val="28"/>
        </w:rPr>
        <w:t xml:space="preserve"> (</w:t>
      </w:r>
      <w:r w:rsidRPr="00237AC0">
        <w:rPr>
          <w:b/>
          <w:bCs/>
          <w:sz w:val="28"/>
          <w:szCs w:val="28"/>
        </w:rPr>
        <w:t>or arranging</w:t>
      </w:r>
      <w:r w:rsidR="00237AC0">
        <w:rPr>
          <w:b/>
          <w:bCs/>
          <w:sz w:val="28"/>
          <w:szCs w:val="28"/>
        </w:rPr>
        <w:t xml:space="preserve"> for a person to act as)</w:t>
      </w:r>
      <w:r w:rsidRPr="00237AC0">
        <w:rPr>
          <w:b/>
          <w:bCs/>
          <w:sz w:val="28"/>
          <w:szCs w:val="28"/>
        </w:rPr>
        <w:t xml:space="preserve"> a nominee or trustee</w:t>
      </w:r>
    </w:p>
    <w:p w14:paraId="5353B90C" w14:textId="076DF472" w:rsidR="00367853" w:rsidRDefault="00B24AE8" w:rsidP="00C21769">
      <w:pPr>
        <w:pStyle w:val="ListParagraph"/>
        <w:numPr>
          <w:ilvl w:val="0"/>
          <w:numId w:val="39"/>
        </w:numPr>
        <w:spacing w:after="120" w:line="276" w:lineRule="auto"/>
        <w:ind w:left="360"/>
        <w:jc w:val="both"/>
      </w:pPr>
      <w:r w:rsidRPr="00D85462">
        <w:t xml:space="preserve">New </w:t>
      </w:r>
      <w:hyperlink r:id="rId10" w:anchor="LMS877236" w:history="1">
        <w:r w:rsidR="009E0E3D">
          <w:rPr>
            <w:rStyle w:val="Hyperlink"/>
          </w:rPr>
          <w:t>Regulation 5G</w:t>
        </w:r>
      </w:hyperlink>
      <w:r w:rsidR="00F72DF6" w:rsidRPr="00F72DF6">
        <w:t xml:space="preserve"> </w:t>
      </w:r>
      <w:r>
        <w:t xml:space="preserve">of </w:t>
      </w:r>
      <w:r w:rsidR="00F72DF6" w:rsidRPr="00F72DF6">
        <w:t>the</w:t>
      </w:r>
      <w:r w:rsidR="00F72DF6">
        <w:t xml:space="preserve"> </w:t>
      </w:r>
      <w:r w:rsidR="00F72DF6" w:rsidRPr="00A02454">
        <w:t>AML/CFT (Definitions) Regulations 2011</w:t>
      </w:r>
      <w:r w:rsidR="00F72DF6">
        <w:t xml:space="preserve"> clarifies who the customer is if a DNFBP acts as</w:t>
      </w:r>
      <w:r w:rsidR="00893320">
        <w:t>,</w:t>
      </w:r>
      <w:r w:rsidR="00F72DF6">
        <w:t xml:space="preserve"> or arranges for a person to act as</w:t>
      </w:r>
      <w:r w:rsidR="00893320">
        <w:t>,</w:t>
      </w:r>
      <w:r w:rsidR="00F72DF6">
        <w:t xml:space="preserve"> a nominee director, a nominee shareholder or a trustee of a legal person or legal arrangement</w:t>
      </w:r>
      <w:r>
        <w:t>.</w:t>
      </w:r>
      <w:r w:rsidR="00F72DF6">
        <w:t xml:space="preserve"> </w:t>
      </w:r>
      <w:r>
        <w:t>T</w:t>
      </w:r>
      <w:r w:rsidR="00F72DF6">
        <w:t>he customer is th</w:t>
      </w:r>
      <w:r w:rsidR="009F63C7">
        <w:t>e</w:t>
      </w:r>
      <w:r w:rsidR="00F72DF6">
        <w:t xml:space="preserve"> legal person or legal arrangement that the DNFBP </w:t>
      </w:r>
      <w:r w:rsidR="00893320">
        <w:t xml:space="preserve">is </w:t>
      </w:r>
      <w:r w:rsidR="00F72DF6">
        <w:t>act</w:t>
      </w:r>
      <w:r w:rsidR="00893320">
        <w:t>ing for</w:t>
      </w:r>
      <w:r w:rsidR="00367853">
        <w:t xml:space="preserve"> (or is arranging for someone else to act for)</w:t>
      </w:r>
      <w:r w:rsidR="00893320" w:rsidRPr="7F527006">
        <w:t>.</w:t>
      </w:r>
      <w:r w:rsidR="00367853" w:rsidRPr="7F527006">
        <w:t xml:space="preserve"> </w:t>
      </w:r>
    </w:p>
    <w:p w14:paraId="66AFB714" w14:textId="157CD3F2" w:rsidR="00E10FE7" w:rsidRDefault="00F72DF6" w:rsidP="7CC89F29">
      <w:pPr>
        <w:pStyle w:val="ListParagraph"/>
        <w:numPr>
          <w:ilvl w:val="0"/>
          <w:numId w:val="39"/>
        </w:numPr>
        <w:spacing w:before="0" w:after="120" w:line="276" w:lineRule="auto"/>
        <w:ind w:left="357" w:hanging="357"/>
        <w:jc w:val="both"/>
      </w:pPr>
      <w:r>
        <w:t>T</w:t>
      </w:r>
      <w:r w:rsidR="00893320">
        <w:t xml:space="preserve">he customer is </w:t>
      </w:r>
      <w:r w:rsidR="00893320" w:rsidRPr="00E10FE7">
        <w:rPr>
          <w:u w:val="single"/>
        </w:rPr>
        <w:t>not</w:t>
      </w:r>
      <w:r w:rsidR="00893320" w:rsidRPr="7F527006">
        <w:t xml:space="preserve"> </w:t>
      </w:r>
      <w:r w:rsidR="00F01D1A">
        <w:t>a</w:t>
      </w:r>
      <w:r w:rsidR="007F6B30" w:rsidRPr="7F527006">
        <w:t xml:space="preserve"> </w:t>
      </w:r>
      <w:r w:rsidR="00893320">
        <w:t>third-party</w:t>
      </w:r>
      <w:r w:rsidR="009F63C7" w:rsidRPr="7F527006">
        <w:t xml:space="preserve"> </w:t>
      </w:r>
      <w:r w:rsidR="002D500F">
        <w:t xml:space="preserve">intermediary </w:t>
      </w:r>
      <w:r w:rsidR="009F63C7" w:rsidRPr="7F527006">
        <w:t>(</w:t>
      </w:r>
      <w:r w:rsidR="007F6B30">
        <w:t>e.g.</w:t>
      </w:r>
      <w:r w:rsidR="007F6B30" w:rsidRPr="7F527006">
        <w:t xml:space="preserve"> </w:t>
      </w:r>
      <w:r w:rsidR="00007BA1">
        <w:t xml:space="preserve">an agent or </w:t>
      </w:r>
      <w:r w:rsidR="009F63C7">
        <w:t>another</w:t>
      </w:r>
      <w:r w:rsidR="002D500F">
        <w:t xml:space="preserve"> law firm, accountant or TCSP, including if</w:t>
      </w:r>
      <w:r w:rsidR="009F63C7">
        <w:t xml:space="preserve"> overseas)</w:t>
      </w:r>
      <w:r w:rsidR="00893320">
        <w:t xml:space="preserve"> that engages the DNFBP </w:t>
      </w:r>
      <w:r w:rsidR="009F63C7">
        <w:t xml:space="preserve">to act as or arrange for </w:t>
      </w:r>
      <w:r w:rsidR="00007BA1">
        <w:t>someone</w:t>
      </w:r>
      <w:r w:rsidR="009F63C7">
        <w:t xml:space="preserve"> to act as a nominee or trustee.</w:t>
      </w:r>
    </w:p>
    <w:p w14:paraId="48029356" w14:textId="20477595" w:rsidR="009F63C7" w:rsidRDefault="00367853" w:rsidP="4DA5F821">
      <w:pPr>
        <w:pStyle w:val="ListParagraph"/>
        <w:numPr>
          <w:ilvl w:val="0"/>
          <w:numId w:val="39"/>
        </w:numPr>
        <w:spacing w:before="0" w:line="276" w:lineRule="auto"/>
        <w:ind w:left="357" w:hanging="357"/>
        <w:jc w:val="both"/>
      </w:pPr>
      <w:r>
        <w:t>In turn, this means that the</w:t>
      </w:r>
      <w:r w:rsidR="00007BA1">
        <w:t xml:space="preserve"> DNFBP’s</w:t>
      </w:r>
      <w:r w:rsidR="009F63C7" w:rsidRPr="7F527006">
        <w:t xml:space="preserve"> </w:t>
      </w:r>
      <w:r w:rsidR="00EC22A9">
        <w:t>CDD</w:t>
      </w:r>
      <w:r w:rsidR="00007BA1">
        <w:t xml:space="preserve"> obligations</w:t>
      </w:r>
      <w:r w:rsidR="00162401" w:rsidRPr="7F527006">
        <w:t xml:space="preserve"> </w:t>
      </w:r>
      <w:r w:rsidR="00007BA1">
        <w:t>under the Act</w:t>
      </w:r>
      <w:r w:rsidR="002D500F">
        <w:t xml:space="preserve"> (including ongoing CDD and account monitoring)</w:t>
      </w:r>
      <w:r w:rsidR="009F63C7">
        <w:t xml:space="preserve"> must be applied to</w:t>
      </w:r>
      <w:r w:rsidR="002D500F">
        <w:rPr>
          <w:rStyle w:val="FootnoteReference"/>
        </w:rPr>
        <w:footnoteReference w:id="2"/>
      </w:r>
      <w:r w:rsidR="009F63C7" w:rsidRPr="7F527006">
        <w:t>:</w:t>
      </w:r>
    </w:p>
    <w:p w14:paraId="0635D0F3" w14:textId="7B9C98DE" w:rsidR="009F63C7" w:rsidRDefault="00675DA7" w:rsidP="00E10FE7">
      <w:pPr>
        <w:pStyle w:val="ListParagraph"/>
        <w:numPr>
          <w:ilvl w:val="0"/>
          <w:numId w:val="38"/>
        </w:numPr>
        <w:spacing w:line="276" w:lineRule="auto"/>
        <w:ind w:left="714" w:hanging="357"/>
        <w:jc w:val="both"/>
      </w:pPr>
      <w:r>
        <w:t xml:space="preserve"> </w:t>
      </w:r>
      <w:r w:rsidR="009F63C7">
        <w:t>the legal person or legal arrangement</w:t>
      </w:r>
      <w:r w:rsidR="004C22D4">
        <w:t xml:space="preserve"> that the DNFBP is acting for (or arranging for someone else to act for)</w:t>
      </w:r>
      <w:r w:rsidR="00EC22A9">
        <w:t>:</w:t>
      </w:r>
      <w:r w:rsidR="002D500F">
        <w:t xml:space="preserve"> </w:t>
      </w:r>
    </w:p>
    <w:p w14:paraId="36CBE8D9" w14:textId="7698D6C6" w:rsidR="009F63C7" w:rsidRDefault="009F63C7" w:rsidP="00E10FE7">
      <w:pPr>
        <w:pStyle w:val="ListParagraph"/>
        <w:numPr>
          <w:ilvl w:val="0"/>
          <w:numId w:val="38"/>
        </w:numPr>
        <w:spacing w:line="276" w:lineRule="auto"/>
        <w:ind w:left="714" w:hanging="357"/>
        <w:jc w:val="both"/>
      </w:pPr>
      <w:r>
        <w:t xml:space="preserve">any person(s) that </w:t>
      </w:r>
      <w:r w:rsidR="002D500F">
        <w:t>is the</w:t>
      </w:r>
      <w:r>
        <w:t xml:space="preserve"> beneficial owner of th</w:t>
      </w:r>
      <w:r w:rsidR="00045CB6">
        <w:t>at</w:t>
      </w:r>
      <w:r>
        <w:t xml:space="preserve"> legal person or legal arrangement</w:t>
      </w:r>
      <w:r w:rsidR="00EC22A9">
        <w:t>:</w:t>
      </w:r>
    </w:p>
    <w:p w14:paraId="612F3A62" w14:textId="607471A0" w:rsidR="006668C4" w:rsidRDefault="009F63C7" w:rsidP="00E10FE7">
      <w:pPr>
        <w:pStyle w:val="ListParagraph"/>
        <w:numPr>
          <w:ilvl w:val="0"/>
          <w:numId w:val="38"/>
        </w:numPr>
        <w:spacing w:line="276" w:lineRule="auto"/>
        <w:ind w:left="714" w:hanging="357"/>
        <w:jc w:val="both"/>
      </w:pPr>
      <w:r>
        <w:t xml:space="preserve">any person </w:t>
      </w:r>
      <w:r w:rsidR="002D500F">
        <w:t>acting on behalf of th</w:t>
      </w:r>
      <w:r w:rsidR="00045CB6">
        <w:t>at</w:t>
      </w:r>
      <w:r w:rsidR="002D500F">
        <w:t xml:space="preserve"> legal person or legal arrangement (Note this may </w:t>
      </w:r>
      <w:r w:rsidR="00D67D4A">
        <w:t xml:space="preserve">now </w:t>
      </w:r>
      <w:r w:rsidR="002D500F">
        <w:t>include the third-party intermediary).</w:t>
      </w:r>
    </w:p>
    <w:p w14:paraId="7D60A3F3" w14:textId="57380906" w:rsidR="006668C4" w:rsidRPr="00237AC0" w:rsidRDefault="006668C4" w:rsidP="00656365">
      <w:pPr>
        <w:spacing w:before="360" w:after="0" w:line="276" w:lineRule="auto"/>
        <w:rPr>
          <w:b/>
          <w:bCs/>
          <w:sz w:val="28"/>
          <w:szCs w:val="28"/>
        </w:rPr>
      </w:pPr>
      <w:r w:rsidRPr="00237AC0">
        <w:rPr>
          <w:b/>
          <w:bCs/>
          <w:sz w:val="28"/>
          <w:szCs w:val="28"/>
        </w:rPr>
        <w:t>Corporate trustees and nominee companies</w:t>
      </w:r>
    </w:p>
    <w:p w14:paraId="1BBF0240" w14:textId="6E37DF2A" w:rsidR="00F72DF6" w:rsidRDefault="00B24AE8" w:rsidP="00C21769">
      <w:pPr>
        <w:pStyle w:val="ListParagraph"/>
        <w:numPr>
          <w:ilvl w:val="0"/>
          <w:numId w:val="39"/>
        </w:numPr>
        <w:spacing w:after="120" w:line="276" w:lineRule="auto"/>
        <w:ind w:left="360"/>
        <w:jc w:val="both"/>
      </w:pPr>
      <w:r w:rsidRPr="00D85462">
        <w:t xml:space="preserve">New </w:t>
      </w:r>
      <w:bookmarkStart w:id="0" w:name="_Hlk142580817"/>
      <w:r w:rsidR="00045CB6">
        <w:fldChar w:fldCharType="begin"/>
      </w:r>
      <w:r w:rsidR="00045CB6">
        <w:instrText>HYPERLINK "https://www.legislation.govt.nz/regulation/public/2011/0223/latest/LMS879464.html"</w:instrText>
      </w:r>
      <w:r w:rsidR="00045CB6">
        <w:fldChar w:fldCharType="separate"/>
      </w:r>
      <w:r w:rsidR="00045CB6">
        <w:rPr>
          <w:rStyle w:val="Hyperlink"/>
        </w:rPr>
        <w:t>Regulation 24AF</w:t>
      </w:r>
      <w:r w:rsidR="00045CB6">
        <w:fldChar w:fldCharType="end"/>
      </w:r>
      <w:r w:rsidR="002D500F">
        <w:t xml:space="preserve"> of </w:t>
      </w:r>
      <w:bookmarkEnd w:id="0"/>
      <w:r w:rsidR="002D500F">
        <w:t>the AML/CFT (Exemptions) Regulations 2011 clarifies th</w:t>
      </w:r>
      <w:r>
        <w:t xml:space="preserve">at </w:t>
      </w:r>
      <w:r w:rsidR="002D500F">
        <w:t xml:space="preserve">when a </w:t>
      </w:r>
      <w:r w:rsidR="00D47D1B">
        <w:t>DNFBP</w:t>
      </w:r>
      <w:r w:rsidR="00F01D1A">
        <w:t xml:space="preserve"> in New Zealand</w:t>
      </w:r>
      <w:r w:rsidR="00D47D1B">
        <w:t xml:space="preserve"> (most likely a </w:t>
      </w:r>
      <w:r w:rsidR="00007BA1">
        <w:t>law firm, accounting practice or TCSP</w:t>
      </w:r>
      <w:r w:rsidR="00D47D1B">
        <w:t>)</w:t>
      </w:r>
      <w:r w:rsidR="00007BA1">
        <w:t xml:space="preserve"> delivers its trust and company services </w:t>
      </w:r>
      <w:r w:rsidR="00367853">
        <w:t xml:space="preserve">through </w:t>
      </w:r>
      <w:r w:rsidR="00007BA1">
        <w:t>separate legal person</w:t>
      </w:r>
      <w:r w:rsidR="00F01D1A">
        <w:t>s</w:t>
      </w:r>
      <w:r w:rsidR="00DE3E8D">
        <w:t xml:space="preserve"> (i.e. a </w:t>
      </w:r>
      <w:r w:rsidR="00D47D1B">
        <w:t xml:space="preserve">corporate trustee or </w:t>
      </w:r>
      <w:r w:rsidR="00007BA1">
        <w:t xml:space="preserve">nominee </w:t>
      </w:r>
      <w:r w:rsidR="00D47D1B">
        <w:t>company</w:t>
      </w:r>
      <w:r w:rsidR="00DE3E8D">
        <w:t>), the DNFBP is the reporting entity for that activity</w:t>
      </w:r>
      <w:r w:rsidR="00EC22A9">
        <w:t>, subject to</w:t>
      </w:r>
      <w:r w:rsidR="00DE3E8D">
        <w:t xml:space="preserve"> certain conditions </w:t>
      </w:r>
      <w:r w:rsidR="00EC22A9">
        <w:t>being</w:t>
      </w:r>
      <w:r w:rsidR="00DE3E8D">
        <w:t xml:space="preserve"> met</w:t>
      </w:r>
      <w:r w:rsidR="00007BA1">
        <w:t>.</w:t>
      </w:r>
    </w:p>
    <w:p w14:paraId="6D31A1E7" w14:textId="5E593315" w:rsidR="00D47D1B" w:rsidRDefault="00007BA1" w:rsidP="7CC89F29">
      <w:pPr>
        <w:pStyle w:val="ListParagraph"/>
        <w:numPr>
          <w:ilvl w:val="0"/>
          <w:numId w:val="39"/>
        </w:numPr>
        <w:spacing w:before="0" w:line="276" w:lineRule="auto"/>
        <w:ind w:left="357" w:hanging="357"/>
        <w:jc w:val="both"/>
      </w:pPr>
      <w:r>
        <w:t xml:space="preserve">The regulation </w:t>
      </w:r>
      <w:r w:rsidR="00367853">
        <w:t>states</w:t>
      </w:r>
      <w:r>
        <w:t xml:space="preserve"> that a</w:t>
      </w:r>
      <w:r w:rsidR="00DE3E8D">
        <w:t xml:space="preserve"> separate</w:t>
      </w:r>
      <w:r w:rsidRPr="7F527006">
        <w:t xml:space="preserve"> </w:t>
      </w:r>
      <w:r w:rsidR="007F6B30">
        <w:t>corporate trustee or nominee company used</w:t>
      </w:r>
      <w:r>
        <w:t xml:space="preserve"> by a </w:t>
      </w:r>
      <w:r w:rsidR="00D47D1B">
        <w:t>DNFBP</w:t>
      </w:r>
      <w:r w:rsidRPr="7F527006">
        <w:t xml:space="preserve"> </w:t>
      </w:r>
      <w:r w:rsidR="00EC22A9">
        <w:t>to deliver its trust and company services</w:t>
      </w:r>
      <w:r>
        <w:t xml:space="preserve"> is not a reporting entity under the Act</w:t>
      </w:r>
      <w:r w:rsidR="00EC22A9">
        <w:t>, when</w:t>
      </w:r>
      <w:r w:rsidR="00D47D1B" w:rsidRPr="7F527006">
        <w:t>:</w:t>
      </w:r>
    </w:p>
    <w:p w14:paraId="3A5DACA0" w14:textId="55985F92" w:rsidR="00D47D1B" w:rsidRDefault="00D47D1B" w:rsidP="00E10FE7">
      <w:pPr>
        <w:pStyle w:val="ListParagraph"/>
        <w:numPr>
          <w:ilvl w:val="0"/>
          <w:numId w:val="38"/>
        </w:numPr>
        <w:spacing w:line="276" w:lineRule="auto"/>
        <w:ind w:left="714" w:hanging="357"/>
        <w:jc w:val="both"/>
      </w:pPr>
      <w:r>
        <w:t>the corporate trustee or</w:t>
      </w:r>
      <w:r w:rsidR="00237AC0">
        <w:t xml:space="preserve"> </w:t>
      </w:r>
      <w:r>
        <w:t>nominee company</w:t>
      </w:r>
      <w:r w:rsidR="00EC22A9">
        <w:t xml:space="preserve"> is </w:t>
      </w:r>
      <w:r>
        <w:t>a subsidiary</w:t>
      </w:r>
      <w:r>
        <w:rPr>
          <w:rStyle w:val="FootnoteReference"/>
        </w:rPr>
        <w:footnoteReference w:id="3"/>
      </w:r>
      <w:r>
        <w:t xml:space="preserve"> of, controlled by, and deliver</w:t>
      </w:r>
      <w:r w:rsidR="00EC22A9">
        <w:t>s</w:t>
      </w:r>
      <w:r>
        <w:t xml:space="preserve"> services on behalf of a DNFBP that is</w:t>
      </w:r>
      <w:r w:rsidR="00237AC0">
        <w:t xml:space="preserve"> a</w:t>
      </w:r>
      <w:r>
        <w:t xml:space="preserve"> reporting entity in New Zealand (known as the </w:t>
      </w:r>
      <w:r w:rsidRPr="00D47D1B">
        <w:rPr>
          <w:b/>
          <w:bCs/>
        </w:rPr>
        <w:t>parent entity</w:t>
      </w:r>
      <w:r>
        <w:t xml:space="preserve">); and  </w:t>
      </w:r>
    </w:p>
    <w:p w14:paraId="1DAE3C5A" w14:textId="3679747A" w:rsidR="00D47D1B" w:rsidRDefault="00D47D1B" w:rsidP="00697E16">
      <w:pPr>
        <w:pStyle w:val="ListParagraph"/>
        <w:numPr>
          <w:ilvl w:val="0"/>
          <w:numId w:val="38"/>
        </w:numPr>
        <w:spacing w:after="480" w:line="276" w:lineRule="auto"/>
        <w:ind w:left="714" w:hanging="357"/>
        <w:jc w:val="both"/>
      </w:pPr>
      <w:r>
        <w:t>the parent entity ha</w:t>
      </w:r>
      <w:r w:rsidR="00EC22A9">
        <w:t>s</w:t>
      </w:r>
      <w:r>
        <w:t xml:space="preserve"> established</w:t>
      </w:r>
      <w:r w:rsidR="00EC22A9">
        <w:t>,</w:t>
      </w:r>
      <w:r w:rsidR="00237AC0">
        <w:t xml:space="preserve"> and </w:t>
      </w:r>
      <w:r>
        <w:t>implement</w:t>
      </w:r>
      <w:r w:rsidR="00EC22A9">
        <w:t>s</w:t>
      </w:r>
      <w:r>
        <w:t xml:space="preserve"> and maintain</w:t>
      </w:r>
      <w:r w:rsidR="00EC22A9">
        <w:t>s,</w:t>
      </w:r>
      <w:r>
        <w:t xml:space="preserve"> an AML/CFT programme for th</w:t>
      </w:r>
      <w:r w:rsidR="00F01D1A">
        <w:t>e</w:t>
      </w:r>
      <w:r>
        <w:t xml:space="preserve"> trustee or nominee services</w:t>
      </w:r>
      <w:r w:rsidR="00F01D1A">
        <w:t xml:space="preserve"> </w:t>
      </w:r>
      <w:r w:rsidR="00237AC0">
        <w:t xml:space="preserve">that are </w:t>
      </w:r>
      <w:r w:rsidR="00F01D1A">
        <w:t>provided by the corporate trustee or nominee company</w:t>
      </w:r>
      <w:r>
        <w:t>.</w:t>
      </w:r>
    </w:p>
    <w:p w14:paraId="54A8DADC" w14:textId="77777777" w:rsidR="0068711B" w:rsidRPr="0068711B" w:rsidRDefault="0068711B" w:rsidP="0068711B">
      <w:pPr>
        <w:spacing w:line="276" w:lineRule="auto"/>
        <w:ind w:left="360"/>
        <w:jc w:val="both"/>
        <w:rPr>
          <w:sz w:val="16"/>
          <w:szCs w:val="16"/>
        </w:rPr>
      </w:pPr>
    </w:p>
    <w:p w14:paraId="4F1C15B3" w14:textId="6FEBDD1B" w:rsidR="00367853" w:rsidRPr="00697E16" w:rsidRDefault="00237AC0" w:rsidP="0068711B">
      <w:pPr>
        <w:pStyle w:val="ListParagraph"/>
        <w:numPr>
          <w:ilvl w:val="0"/>
          <w:numId w:val="39"/>
        </w:numPr>
        <w:spacing w:before="0" w:line="276" w:lineRule="auto"/>
        <w:ind w:left="360"/>
        <w:jc w:val="both"/>
        <w:rPr>
          <w:b/>
          <w:bCs/>
        </w:rPr>
      </w:pPr>
      <w:r>
        <w:t>Importantly, a corporate trustee or nominee company that does not meet these conditions is still a reporting entity in New Zealand</w:t>
      </w:r>
      <w:r w:rsidR="00D67D4A">
        <w:t xml:space="preserve"> and is therefore required to comply with the Act in full</w:t>
      </w:r>
      <w:r>
        <w:t>. This includes any corporate trustee or nominee company that is not a subsidiary of a New Zealand reporting entity or for whom a parent entity does not have an AML/CFT programme in place.</w:t>
      </w:r>
      <w:r w:rsidR="00367853" w:rsidRPr="7F527006">
        <w:t xml:space="preserve"> </w:t>
      </w:r>
    </w:p>
    <w:p w14:paraId="4860A3C7" w14:textId="4BF69E19" w:rsidR="00237AC0" w:rsidRPr="00656365" w:rsidRDefault="00237AC0" w:rsidP="00237AC0">
      <w:pPr>
        <w:spacing w:before="240" w:after="0" w:line="276" w:lineRule="auto"/>
        <w:rPr>
          <w:b/>
          <w:bCs/>
          <w:sz w:val="28"/>
          <w:szCs w:val="28"/>
        </w:rPr>
      </w:pPr>
      <w:r w:rsidRPr="00656365">
        <w:rPr>
          <w:b/>
          <w:bCs/>
          <w:sz w:val="28"/>
          <w:szCs w:val="28"/>
        </w:rPr>
        <w:t>AML/CFT programmes</w:t>
      </w:r>
    </w:p>
    <w:p w14:paraId="7DEF6BE4" w14:textId="468E5875" w:rsidR="00237AC0" w:rsidRDefault="00237AC0" w:rsidP="00C21769">
      <w:pPr>
        <w:pStyle w:val="ListParagraph"/>
        <w:numPr>
          <w:ilvl w:val="0"/>
          <w:numId w:val="39"/>
        </w:numPr>
        <w:spacing w:after="120" w:line="276" w:lineRule="auto"/>
        <w:ind w:left="360"/>
        <w:jc w:val="both"/>
      </w:pPr>
      <w:r w:rsidRPr="00237AC0">
        <w:t xml:space="preserve">All DNFBPs </w:t>
      </w:r>
      <w:r>
        <w:t>impacted by these regulations should ensure that their risk assessments and AML/CFT programmes are updated to reflect these</w:t>
      </w:r>
      <w:r w:rsidR="00162401">
        <w:t xml:space="preserve"> new </w:t>
      </w:r>
      <w:r>
        <w:t xml:space="preserve">requirements.     </w:t>
      </w:r>
    </w:p>
    <w:p w14:paraId="12D7FFDE" w14:textId="5DE45FE3" w:rsidR="00121C89" w:rsidRDefault="00367853" w:rsidP="7B76E523">
      <w:pPr>
        <w:pStyle w:val="ListParagraph"/>
        <w:numPr>
          <w:ilvl w:val="0"/>
          <w:numId w:val="39"/>
        </w:numPr>
        <w:spacing w:before="0" w:line="276" w:lineRule="auto"/>
        <w:ind w:left="357" w:hanging="357"/>
        <w:jc w:val="both"/>
      </w:pPr>
      <w:r>
        <w:t>If you require further inf</w:t>
      </w:r>
      <w:r w:rsidR="00121C89">
        <w:t xml:space="preserve">ormation on these new </w:t>
      </w:r>
      <w:r w:rsidR="00162401">
        <w:t>amendments to the r</w:t>
      </w:r>
      <w:r w:rsidR="00121C89">
        <w:t xml:space="preserve">egulations, please contact </w:t>
      </w:r>
      <w:r w:rsidR="00121C89" w:rsidRPr="00885D69">
        <w:t xml:space="preserve">Te Tari </w:t>
      </w:r>
      <w:proofErr w:type="spellStart"/>
      <w:r w:rsidR="00121C89" w:rsidRPr="00885D69">
        <w:t>Taiwhenua</w:t>
      </w:r>
      <w:proofErr w:type="spellEnd"/>
      <w:r w:rsidR="00121C89" w:rsidRPr="00885D69">
        <w:t xml:space="preserve"> Department of Internal Affairs (</w:t>
      </w:r>
      <w:r w:rsidR="00121C89" w:rsidRPr="00656365">
        <w:rPr>
          <w:b/>
          <w:bCs/>
        </w:rPr>
        <w:t>DIA</w:t>
      </w:r>
      <w:r w:rsidR="00121C89" w:rsidRPr="7B76E523">
        <w:t xml:space="preserve">) </w:t>
      </w:r>
      <w:r w:rsidR="00CA4137">
        <w:t xml:space="preserve">AML/CFT Group </w:t>
      </w:r>
      <w:r w:rsidR="00121C89">
        <w:t xml:space="preserve">on </w:t>
      </w:r>
      <w:hyperlink r:id="rId11" w:history="1">
        <w:r w:rsidR="00121C89" w:rsidRPr="0059388A">
          <w:rPr>
            <w:rStyle w:val="Hyperlink"/>
          </w:rPr>
          <w:t>amlcft@dia.govt.nz</w:t>
        </w:r>
      </w:hyperlink>
      <w:r w:rsidR="00CA4137" w:rsidRPr="7B76E523">
        <w:t>.</w:t>
      </w:r>
    </w:p>
    <w:p w14:paraId="44DA189F" w14:textId="7920DE67" w:rsidR="00237AC0" w:rsidRDefault="00237AC0" w:rsidP="00237AC0">
      <w:pPr>
        <w:spacing w:line="276" w:lineRule="auto"/>
      </w:pPr>
    </w:p>
    <w:p w14:paraId="7D00FE64" w14:textId="2A2C2E9A" w:rsidR="00367853" w:rsidRDefault="00367853" w:rsidP="00237AC0">
      <w:pPr>
        <w:spacing w:line="276" w:lineRule="auto"/>
      </w:pPr>
    </w:p>
    <w:p w14:paraId="7C048F8D" w14:textId="56040A9C" w:rsidR="00367853" w:rsidRDefault="00367853" w:rsidP="00237AC0">
      <w:pPr>
        <w:spacing w:line="276" w:lineRule="auto"/>
      </w:pPr>
    </w:p>
    <w:p w14:paraId="7417DC35" w14:textId="5267DFC7" w:rsidR="00367853" w:rsidRDefault="00367853" w:rsidP="00237AC0">
      <w:pPr>
        <w:spacing w:line="276" w:lineRule="auto"/>
      </w:pPr>
    </w:p>
    <w:p w14:paraId="6E3A5C04" w14:textId="4FE901AF" w:rsidR="00367853" w:rsidRDefault="00367853" w:rsidP="00237AC0">
      <w:pPr>
        <w:spacing w:line="276" w:lineRule="auto"/>
      </w:pPr>
    </w:p>
    <w:p w14:paraId="38F276B5" w14:textId="48C0D951" w:rsidR="00367853" w:rsidRDefault="00367853" w:rsidP="00237AC0">
      <w:pPr>
        <w:spacing w:line="276" w:lineRule="auto"/>
      </w:pPr>
    </w:p>
    <w:p w14:paraId="295DD0EB" w14:textId="0F248EB5" w:rsidR="00367853" w:rsidRDefault="00367853" w:rsidP="00237AC0">
      <w:pPr>
        <w:spacing w:line="276" w:lineRule="auto"/>
      </w:pPr>
    </w:p>
    <w:p w14:paraId="0883663C" w14:textId="77777777" w:rsidR="00367853" w:rsidRDefault="00367853" w:rsidP="00237AC0">
      <w:pPr>
        <w:spacing w:line="276" w:lineRule="auto"/>
      </w:pPr>
    </w:p>
    <w:p w14:paraId="5FF89C45" w14:textId="285EE852" w:rsidR="00283541" w:rsidRPr="00656365" w:rsidRDefault="00283541" w:rsidP="7CC89F29">
      <w:pPr>
        <w:pStyle w:val="Heading3"/>
        <w:rPr>
          <w:szCs w:val="28"/>
        </w:rPr>
      </w:pPr>
      <w:r w:rsidRPr="00494763">
        <w:t xml:space="preserve">Disclaimer </w:t>
      </w:r>
    </w:p>
    <w:p w14:paraId="5F8FFB66" w14:textId="557DD9FB" w:rsidR="00283541" w:rsidRPr="00656365" w:rsidRDefault="00283541" w:rsidP="00283541">
      <w:r w:rsidRPr="00656365">
        <w:t xml:space="preserve">Note: This guidance has been produced by the Department of Internal Affairs for DNFBPs under s132(2)(c) of the AML/CFT Act. It is for those DNFBPs that </w:t>
      </w:r>
      <w:r w:rsidR="00466A28" w:rsidRPr="00656365">
        <w:t xml:space="preserve">carry out activities (i) and (ii) in the definition of DNFBP in s5(1) of the AML/CFT Act. </w:t>
      </w:r>
      <w:r w:rsidRPr="00656365">
        <w:t>This guidance does not set out comprehensive obligations under the AML/CFT Act and associated regulations and codes of practice. This guidance does not constitute legal advice.</w:t>
      </w:r>
    </w:p>
    <w:p w14:paraId="180E2D0D" w14:textId="77777777" w:rsidR="00656365" w:rsidRDefault="00656365" w:rsidP="00656365">
      <w:pPr>
        <w:pStyle w:val="Heading3"/>
        <w:rPr>
          <w:szCs w:val="28"/>
        </w:rPr>
      </w:pPr>
    </w:p>
    <w:p w14:paraId="3F0D165F" w14:textId="146C4134" w:rsidR="00656365" w:rsidRPr="00656365" w:rsidRDefault="00656365" w:rsidP="00656365">
      <w:pPr>
        <w:pStyle w:val="Heading3"/>
        <w:rPr>
          <w:sz w:val="24"/>
          <w:szCs w:val="24"/>
        </w:rPr>
      </w:pPr>
      <w:r w:rsidRPr="00494763">
        <w:t>V</w:t>
      </w:r>
      <w:r w:rsidRPr="00656365">
        <w:rPr>
          <w:sz w:val="24"/>
          <w:szCs w:val="24"/>
        </w:rPr>
        <w:t>ersion history</w:t>
      </w:r>
    </w:p>
    <w:tbl>
      <w:tblPr>
        <w:tblStyle w:val="DIATable"/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3387"/>
      </w:tblGrid>
      <w:tr w:rsidR="00494763" w:rsidRPr="00494763" w14:paraId="2D4A9FC7" w14:textId="77777777" w:rsidTr="00697E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62879A9A" w14:textId="4C759539" w:rsidR="00656365" w:rsidRPr="00697E16" w:rsidRDefault="000615F2">
            <w:pPr>
              <w:rPr>
                <w:b w:val="0"/>
                <w:bCs/>
                <w:color w:val="auto"/>
                <w:sz w:val="24"/>
              </w:rPr>
            </w:pPr>
            <w:r>
              <w:rPr>
                <w:b w:val="0"/>
                <w:color w:val="auto"/>
              </w:rPr>
              <w:t>August 2023</w:t>
            </w:r>
          </w:p>
        </w:tc>
        <w:tc>
          <w:tcPr>
            <w:tcW w:w="33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0742EB54" w14:textId="04298B06" w:rsidR="00656365" w:rsidRPr="000615F2" w:rsidRDefault="000615F2">
            <w:pPr>
              <w:rPr>
                <w:b w:val="0"/>
                <w:color w:val="auto"/>
                <w:sz w:val="24"/>
              </w:rPr>
            </w:pPr>
            <w:r w:rsidRPr="000615F2">
              <w:rPr>
                <w:b w:val="0"/>
                <w:color w:val="auto"/>
              </w:rPr>
              <w:t>Original version</w:t>
            </w:r>
          </w:p>
        </w:tc>
      </w:tr>
    </w:tbl>
    <w:p w14:paraId="327B1926" w14:textId="77777777" w:rsidR="00656365" w:rsidRDefault="00656365" w:rsidP="00656365"/>
    <w:p w14:paraId="1B0ED364" w14:textId="13EA091C" w:rsidR="00656365" w:rsidRPr="00583D7C" w:rsidRDefault="00656365" w:rsidP="00583D7C">
      <w:pPr>
        <w:keepLines w:val="0"/>
        <w:spacing w:before="0" w:after="0"/>
        <w:rPr>
          <w:rFonts w:asciiTheme="minorHAnsi" w:eastAsia="Times New Roman" w:hAnsiTheme="minorHAnsi" w:cstheme="minorHAnsi"/>
          <w:sz w:val="22"/>
          <w:szCs w:val="22"/>
          <w:u w:val="single"/>
          <w:lang w:eastAsia="en-NZ"/>
        </w:rPr>
      </w:pPr>
    </w:p>
    <w:sectPr w:rsidR="00656365" w:rsidRPr="00583D7C" w:rsidSect="00494763">
      <w:headerReference w:type="default" r:id="rId12"/>
      <w:footerReference w:type="default" r:id="rId13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98968" w14:textId="77777777" w:rsidR="009615D6" w:rsidRDefault="009615D6">
      <w:r>
        <w:separator/>
      </w:r>
    </w:p>
    <w:p w14:paraId="53090F15" w14:textId="77777777" w:rsidR="009615D6" w:rsidRDefault="009615D6"/>
    <w:p w14:paraId="1D946A3A" w14:textId="77777777" w:rsidR="009615D6" w:rsidRDefault="009615D6"/>
  </w:endnote>
  <w:endnote w:type="continuationSeparator" w:id="0">
    <w:p w14:paraId="052B8520" w14:textId="77777777" w:rsidR="009615D6" w:rsidRDefault="009615D6">
      <w:r>
        <w:continuationSeparator/>
      </w:r>
    </w:p>
    <w:p w14:paraId="719EC1A3" w14:textId="77777777" w:rsidR="009615D6" w:rsidRDefault="009615D6"/>
    <w:p w14:paraId="72778013" w14:textId="77777777" w:rsidR="009615D6" w:rsidRDefault="009615D6"/>
  </w:endnote>
  <w:endnote w:type="continuationNotice" w:id="1">
    <w:p w14:paraId="61C404EB" w14:textId="77777777" w:rsidR="009615D6" w:rsidRDefault="009615D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61613" w14:textId="77777777" w:rsidR="008504D0" w:rsidRDefault="008504D0" w:rsidP="00126FDE">
    <w:pPr>
      <w:pStyle w:val="Footer"/>
      <w:tabs>
        <w:tab w:val="right" w:pos="9071"/>
      </w:tabs>
      <w:ind w:right="-1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E0918" w14:textId="77777777" w:rsidR="009615D6" w:rsidRDefault="009615D6" w:rsidP="00FB1990">
      <w:pPr>
        <w:pStyle w:val="Spacer"/>
      </w:pPr>
      <w:r>
        <w:separator/>
      </w:r>
    </w:p>
    <w:p w14:paraId="1EFFCF8A" w14:textId="77777777" w:rsidR="009615D6" w:rsidRDefault="009615D6" w:rsidP="00FB1990">
      <w:pPr>
        <w:pStyle w:val="Spacer"/>
      </w:pPr>
    </w:p>
  </w:footnote>
  <w:footnote w:type="continuationSeparator" w:id="0">
    <w:p w14:paraId="0DD87C0A" w14:textId="77777777" w:rsidR="009615D6" w:rsidRDefault="009615D6">
      <w:r>
        <w:continuationSeparator/>
      </w:r>
    </w:p>
    <w:p w14:paraId="451B342B" w14:textId="77777777" w:rsidR="009615D6" w:rsidRDefault="009615D6"/>
    <w:p w14:paraId="3FAD39BA" w14:textId="77777777" w:rsidR="009615D6" w:rsidRDefault="009615D6"/>
  </w:footnote>
  <w:footnote w:type="continuationNotice" w:id="1">
    <w:p w14:paraId="6B91998A" w14:textId="77777777" w:rsidR="009615D6" w:rsidRDefault="009615D6">
      <w:pPr>
        <w:spacing w:before="0" w:after="0"/>
      </w:pPr>
    </w:p>
  </w:footnote>
  <w:footnote w:id="2">
    <w:p w14:paraId="4F816129" w14:textId="697FBD73" w:rsidR="002D500F" w:rsidRPr="002D500F" w:rsidRDefault="002D500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Section 11(1)(a) of the Act</w:t>
      </w:r>
    </w:p>
  </w:footnote>
  <w:footnote w:id="3">
    <w:p w14:paraId="5F6B9F48" w14:textId="68538BC9" w:rsidR="00D47D1B" w:rsidRPr="00D47D1B" w:rsidRDefault="00D47D1B" w:rsidP="00D47D1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A subsidiary means wholly owned by the parent entity, or a company owned </w:t>
      </w:r>
      <w:r>
        <w:t>by— (i) 2 or more accountants in public practice, and practising in partnership, who are partners; or (ii) 2 or more solicitors in public practice, and practising in partnership, who are partners; or (iii) a solicitor in sole practice; or (iv) an accountant in sole practice.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E451A" w14:textId="1768D734" w:rsidR="006252C8" w:rsidRDefault="0020441A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8240" behindDoc="1" locked="0" layoutInCell="1" allowOverlap="1" wp14:anchorId="06D90A9E" wp14:editId="5B9685C0">
          <wp:simplePos x="0" y="0"/>
          <wp:positionH relativeFrom="column">
            <wp:posOffset>3538220</wp:posOffset>
          </wp:positionH>
          <wp:positionV relativeFrom="paragraph">
            <wp:posOffset>34925</wp:posOffset>
          </wp:positionV>
          <wp:extent cx="2171700" cy="585470"/>
          <wp:effectExtent l="0" t="0" r="0" b="5080"/>
          <wp:wrapTight wrapText="bothSides">
            <wp:wrapPolygon edited="0">
              <wp:start x="0" y="0"/>
              <wp:lineTo x="0" y="21085"/>
              <wp:lineTo x="21411" y="21085"/>
              <wp:lineTo x="21411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158349F"/>
    <w:multiLevelType w:val="hybridMultilevel"/>
    <w:tmpl w:val="32F0765C"/>
    <w:lvl w:ilvl="0" w:tplc="B61E0AD6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37" w:hanging="360"/>
      </w:pPr>
    </w:lvl>
    <w:lvl w:ilvl="2" w:tplc="1409001B" w:tentative="1">
      <w:start w:val="1"/>
      <w:numFmt w:val="lowerRoman"/>
      <w:lvlText w:val="%3."/>
      <w:lvlJc w:val="right"/>
      <w:pPr>
        <w:ind w:left="2157" w:hanging="180"/>
      </w:pPr>
    </w:lvl>
    <w:lvl w:ilvl="3" w:tplc="1409000F" w:tentative="1">
      <w:start w:val="1"/>
      <w:numFmt w:val="decimal"/>
      <w:lvlText w:val="%4."/>
      <w:lvlJc w:val="left"/>
      <w:pPr>
        <w:ind w:left="2877" w:hanging="360"/>
      </w:pPr>
    </w:lvl>
    <w:lvl w:ilvl="4" w:tplc="14090019" w:tentative="1">
      <w:start w:val="1"/>
      <w:numFmt w:val="lowerLetter"/>
      <w:lvlText w:val="%5."/>
      <w:lvlJc w:val="left"/>
      <w:pPr>
        <w:ind w:left="3597" w:hanging="360"/>
      </w:pPr>
    </w:lvl>
    <w:lvl w:ilvl="5" w:tplc="1409001B" w:tentative="1">
      <w:start w:val="1"/>
      <w:numFmt w:val="lowerRoman"/>
      <w:lvlText w:val="%6."/>
      <w:lvlJc w:val="right"/>
      <w:pPr>
        <w:ind w:left="4317" w:hanging="180"/>
      </w:pPr>
    </w:lvl>
    <w:lvl w:ilvl="6" w:tplc="1409000F" w:tentative="1">
      <w:start w:val="1"/>
      <w:numFmt w:val="decimal"/>
      <w:lvlText w:val="%7."/>
      <w:lvlJc w:val="left"/>
      <w:pPr>
        <w:ind w:left="5037" w:hanging="360"/>
      </w:pPr>
    </w:lvl>
    <w:lvl w:ilvl="7" w:tplc="14090019" w:tentative="1">
      <w:start w:val="1"/>
      <w:numFmt w:val="lowerLetter"/>
      <w:lvlText w:val="%8."/>
      <w:lvlJc w:val="left"/>
      <w:pPr>
        <w:ind w:left="5757" w:hanging="360"/>
      </w:pPr>
    </w:lvl>
    <w:lvl w:ilvl="8" w:tplc="1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41307F8"/>
    <w:multiLevelType w:val="hybridMultilevel"/>
    <w:tmpl w:val="1C08C22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0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1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2" w15:restartNumberingAfterBreak="0">
    <w:nsid w:val="14564AB8"/>
    <w:multiLevelType w:val="hybridMultilevel"/>
    <w:tmpl w:val="0B643C3C"/>
    <w:lvl w:ilvl="0" w:tplc="936036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841ED"/>
    <w:multiLevelType w:val="multilevel"/>
    <w:tmpl w:val="26B2BF6C"/>
    <w:styleLink w:val="MCStyle2"/>
    <w:lvl w:ilvl="0">
      <w:start w:val="1"/>
      <w:numFmt w:val="decimal"/>
      <w:pStyle w:val="NumStyle2Lev1"/>
      <w:lvlText w:val="%1"/>
      <w:lvlJc w:val="left"/>
      <w:pPr>
        <w:tabs>
          <w:tab w:val="num" w:pos="709"/>
        </w:tabs>
        <w:ind w:left="709" w:hanging="709"/>
      </w:pPr>
      <w:rPr>
        <w:caps w:val="0"/>
        <w:smallCaps w:val="0"/>
      </w:rPr>
    </w:lvl>
    <w:lvl w:ilvl="1">
      <w:start w:val="1"/>
      <w:numFmt w:val="decimal"/>
      <w:pStyle w:val="NumStyle2Lev2"/>
      <w:lvlText w:val="%1.%2"/>
      <w:lvlJc w:val="left"/>
      <w:pPr>
        <w:tabs>
          <w:tab w:val="num" w:pos="709"/>
        </w:tabs>
        <w:ind w:left="709" w:hanging="709"/>
      </w:pPr>
      <w:rPr>
        <w:b w:val="0"/>
        <w:i w:val="0"/>
        <w:caps w:val="0"/>
        <w:sz w:val="22"/>
      </w:rPr>
    </w:lvl>
    <w:lvl w:ilvl="2">
      <w:start w:val="1"/>
      <w:numFmt w:val="lowerLetter"/>
      <w:pStyle w:val="NumStyle2Lev3"/>
      <w:lvlText w:val="(%3)"/>
      <w:lvlJc w:val="left"/>
      <w:pPr>
        <w:tabs>
          <w:tab w:val="num" w:pos="1417"/>
        </w:tabs>
        <w:ind w:left="1417" w:hanging="708"/>
      </w:pPr>
      <w:rPr>
        <w:b w:val="0"/>
        <w:i w:val="0"/>
        <w:caps w:val="0"/>
        <w:sz w:val="22"/>
      </w:rPr>
    </w:lvl>
    <w:lvl w:ilvl="3">
      <w:start w:val="1"/>
      <w:numFmt w:val="lowerRoman"/>
      <w:pStyle w:val="NumStyle2Lev4"/>
      <w:lvlText w:val="(%4)"/>
      <w:lvlJc w:val="left"/>
      <w:pPr>
        <w:tabs>
          <w:tab w:val="num" w:pos="2126"/>
        </w:tabs>
        <w:ind w:left="2126" w:hanging="709"/>
      </w:pPr>
      <w:rPr>
        <w:rFonts w:ascii="Calibri" w:hAnsi="Calibri" w:cs="Times New Roman" w:hint="default"/>
        <w:b w:val="0"/>
        <w:i w:val="0"/>
        <w:caps w:val="0"/>
        <w:sz w:val="22"/>
      </w:rPr>
    </w:lvl>
    <w:lvl w:ilvl="4">
      <w:start w:val="1"/>
      <w:numFmt w:val="upperLetter"/>
      <w:pStyle w:val="NumStyle2Lev5"/>
      <w:lvlText w:val="(%5)"/>
      <w:lvlJc w:val="left"/>
      <w:pPr>
        <w:tabs>
          <w:tab w:val="num" w:pos="2835"/>
        </w:tabs>
        <w:ind w:left="2835" w:hanging="709"/>
      </w:pPr>
      <w:rPr>
        <w:rFonts w:ascii="Calibri" w:hAnsi="Calibri" w:cs="Times New Roman" w:hint="default"/>
        <w:b w:val="0"/>
        <w:i w:val="0"/>
        <w:caps w:val="0"/>
        <w:sz w:val="22"/>
      </w:rPr>
    </w:lvl>
    <w:lvl w:ilvl="5">
      <w:numFmt w:val="none"/>
      <w:lvlRestart w:val="0"/>
      <w:suff w:val="nothing"/>
      <w:lvlText w:val=""/>
      <w:lvlJc w:val="left"/>
      <w:pPr>
        <w:ind w:left="0" w:firstLine="0"/>
      </w:pPr>
      <w:rPr>
        <w:rFonts w:ascii="Calibri" w:hAnsi="Calibri" w:cs="Times New Roman" w:hint="default"/>
        <w:b w:val="0"/>
        <w:i w:val="0"/>
        <w:caps w:val="0"/>
        <w:sz w:val="22"/>
      </w:rPr>
    </w:lvl>
    <w:lvl w:ilvl="6">
      <w:numFmt w:val="none"/>
      <w:lvlRestart w:val="0"/>
      <w:suff w:val="nothing"/>
      <w:lvlText w:val=""/>
      <w:lvlJc w:val="left"/>
      <w:pPr>
        <w:ind w:left="0" w:firstLine="0"/>
      </w:pPr>
      <w:rPr>
        <w:rFonts w:ascii="Calibri" w:hAnsi="Calibri" w:cs="Times New Roman" w:hint="default"/>
        <w:b w:val="0"/>
        <w:i w:val="0"/>
        <w:caps w:val="0"/>
        <w:sz w:val="22"/>
      </w:rPr>
    </w:lvl>
    <w:lvl w:ilvl="7">
      <w:numFmt w:val="none"/>
      <w:lvlRestart w:val="0"/>
      <w:suff w:val="nothing"/>
      <w:lvlText w:val=""/>
      <w:lvlJc w:val="left"/>
      <w:pPr>
        <w:ind w:left="0" w:firstLine="0"/>
      </w:pPr>
      <w:rPr>
        <w:rFonts w:ascii="Calibri" w:hAnsi="Calibri" w:cs="Times New Roman" w:hint="default"/>
        <w:b w:val="0"/>
        <w:i w:val="0"/>
        <w:caps w:val="0"/>
        <w:sz w:val="22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ascii="Calibri" w:hAnsi="Calibri" w:cs="Times New Roman" w:hint="default"/>
        <w:b w:val="0"/>
        <w:i w:val="0"/>
        <w:caps w:val="0"/>
        <w:sz w:val="22"/>
      </w:rPr>
    </w:lvl>
  </w:abstractNum>
  <w:abstractNum w:abstractNumId="14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5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04516"/>
    <w:multiLevelType w:val="hybridMultilevel"/>
    <w:tmpl w:val="6BFABE50"/>
    <w:lvl w:ilvl="0" w:tplc="90DCF4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B00405C"/>
    <w:multiLevelType w:val="hybridMultilevel"/>
    <w:tmpl w:val="63CAD7E4"/>
    <w:lvl w:ilvl="0" w:tplc="B6A4554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DB641B8"/>
    <w:multiLevelType w:val="hybridMultilevel"/>
    <w:tmpl w:val="B0040D4A"/>
    <w:lvl w:ilvl="0" w:tplc="2E6C2A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B0561"/>
    <w:multiLevelType w:val="hybridMultilevel"/>
    <w:tmpl w:val="083C32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450EB"/>
    <w:multiLevelType w:val="hybridMultilevel"/>
    <w:tmpl w:val="256C2866"/>
    <w:lvl w:ilvl="0" w:tplc="355691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6013551"/>
    <w:multiLevelType w:val="hybridMultilevel"/>
    <w:tmpl w:val="2552FCCE"/>
    <w:lvl w:ilvl="0" w:tplc="9E8850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A937E5A"/>
    <w:multiLevelType w:val="hybridMultilevel"/>
    <w:tmpl w:val="F7B0E7E4"/>
    <w:lvl w:ilvl="0" w:tplc="E88269B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3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3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3" w15:restartNumberingAfterBreak="0">
    <w:nsid w:val="6B817F9D"/>
    <w:multiLevelType w:val="hybridMultilevel"/>
    <w:tmpl w:val="151293A0"/>
    <w:lvl w:ilvl="0" w:tplc="14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6" w15:restartNumberingAfterBreak="0">
    <w:nsid w:val="7BD4365B"/>
    <w:multiLevelType w:val="multilevel"/>
    <w:tmpl w:val="26B2BF6C"/>
    <w:numStyleLink w:val="MCStyle2"/>
  </w:abstractNum>
  <w:abstractNum w:abstractNumId="37" w15:restartNumberingAfterBreak="0">
    <w:nsid w:val="7E8D9E3C"/>
    <w:multiLevelType w:val="hybridMultilevel"/>
    <w:tmpl w:val="13004CD4"/>
    <w:lvl w:ilvl="0" w:tplc="F9FCF774">
      <w:start w:val="1"/>
      <w:numFmt w:val="decimal"/>
      <w:lvlText w:val="%1."/>
      <w:lvlJc w:val="left"/>
      <w:pPr>
        <w:ind w:left="720" w:hanging="360"/>
      </w:pPr>
    </w:lvl>
    <w:lvl w:ilvl="1" w:tplc="AE80E01E">
      <w:start w:val="1"/>
      <w:numFmt w:val="lowerLetter"/>
      <w:lvlText w:val="%2."/>
      <w:lvlJc w:val="left"/>
      <w:pPr>
        <w:ind w:left="1440" w:hanging="360"/>
      </w:pPr>
    </w:lvl>
    <w:lvl w:ilvl="2" w:tplc="84149932">
      <w:start w:val="1"/>
      <w:numFmt w:val="lowerRoman"/>
      <w:lvlText w:val="%3."/>
      <w:lvlJc w:val="right"/>
      <w:pPr>
        <w:ind w:left="2160" w:hanging="180"/>
      </w:pPr>
    </w:lvl>
    <w:lvl w:ilvl="3" w:tplc="846490BC">
      <w:start w:val="1"/>
      <w:numFmt w:val="decimal"/>
      <w:lvlText w:val="%4."/>
      <w:lvlJc w:val="left"/>
      <w:pPr>
        <w:ind w:left="2880" w:hanging="360"/>
      </w:pPr>
    </w:lvl>
    <w:lvl w:ilvl="4" w:tplc="2688BC5A">
      <w:start w:val="1"/>
      <w:numFmt w:val="lowerLetter"/>
      <w:lvlText w:val="%5."/>
      <w:lvlJc w:val="left"/>
      <w:pPr>
        <w:ind w:left="3600" w:hanging="360"/>
      </w:pPr>
    </w:lvl>
    <w:lvl w:ilvl="5" w:tplc="543E5364">
      <w:start w:val="1"/>
      <w:numFmt w:val="lowerRoman"/>
      <w:lvlText w:val="%6."/>
      <w:lvlJc w:val="right"/>
      <w:pPr>
        <w:ind w:left="4320" w:hanging="180"/>
      </w:pPr>
    </w:lvl>
    <w:lvl w:ilvl="6" w:tplc="935CB8FA">
      <w:start w:val="1"/>
      <w:numFmt w:val="decimal"/>
      <w:lvlText w:val="%7."/>
      <w:lvlJc w:val="left"/>
      <w:pPr>
        <w:ind w:left="5040" w:hanging="360"/>
      </w:pPr>
    </w:lvl>
    <w:lvl w:ilvl="7" w:tplc="EE9C5FAE">
      <w:start w:val="1"/>
      <w:numFmt w:val="lowerLetter"/>
      <w:lvlText w:val="%8."/>
      <w:lvlJc w:val="left"/>
      <w:pPr>
        <w:ind w:left="5760" w:hanging="360"/>
      </w:pPr>
    </w:lvl>
    <w:lvl w:ilvl="8" w:tplc="2154D810">
      <w:start w:val="1"/>
      <w:numFmt w:val="lowerRoman"/>
      <w:lvlText w:val="%9."/>
      <w:lvlJc w:val="right"/>
      <w:pPr>
        <w:ind w:left="6480" w:hanging="180"/>
      </w:pPr>
    </w:lvl>
  </w:abstractNum>
  <w:num w:numId="1" w16cid:durableId="724376023">
    <w:abstractNumId w:val="5"/>
  </w:num>
  <w:num w:numId="2" w16cid:durableId="391661365">
    <w:abstractNumId w:val="4"/>
  </w:num>
  <w:num w:numId="3" w16cid:durableId="194661897">
    <w:abstractNumId w:val="3"/>
  </w:num>
  <w:num w:numId="4" w16cid:durableId="1670521261">
    <w:abstractNumId w:val="2"/>
  </w:num>
  <w:num w:numId="5" w16cid:durableId="767388785">
    <w:abstractNumId w:val="1"/>
  </w:num>
  <w:num w:numId="6" w16cid:durableId="397366757">
    <w:abstractNumId w:val="0"/>
  </w:num>
  <w:num w:numId="7" w16cid:durableId="1073621704">
    <w:abstractNumId w:val="26"/>
  </w:num>
  <w:num w:numId="8" w16cid:durableId="227503017">
    <w:abstractNumId w:val="28"/>
  </w:num>
  <w:num w:numId="9" w16cid:durableId="1849978071">
    <w:abstractNumId w:val="20"/>
  </w:num>
  <w:num w:numId="10" w16cid:durableId="367993596">
    <w:abstractNumId w:val="14"/>
  </w:num>
  <w:num w:numId="11" w16cid:durableId="640157582">
    <w:abstractNumId w:val="29"/>
  </w:num>
  <w:num w:numId="12" w16cid:durableId="1367827444">
    <w:abstractNumId w:val="31"/>
  </w:num>
  <w:num w:numId="13" w16cid:durableId="1026559130">
    <w:abstractNumId w:val="34"/>
  </w:num>
  <w:num w:numId="14" w16cid:durableId="343241133">
    <w:abstractNumId w:val="9"/>
  </w:num>
  <w:num w:numId="15" w16cid:durableId="1389954053">
    <w:abstractNumId w:val="17"/>
  </w:num>
  <w:num w:numId="16" w16cid:durableId="1439525679">
    <w:abstractNumId w:val="35"/>
  </w:num>
  <w:num w:numId="17" w16cid:durableId="211234161">
    <w:abstractNumId w:val="32"/>
  </w:num>
  <w:num w:numId="18" w16cid:durableId="1125123572">
    <w:abstractNumId w:val="30"/>
  </w:num>
  <w:num w:numId="19" w16cid:durableId="337199411">
    <w:abstractNumId w:val="24"/>
  </w:num>
  <w:num w:numId="20" w16cid:durableId="705255300">
    <w:abstractNumId w:val="18"/>
  </w:num>
  <w:num w:numId="21" w16cid:durableId="222909798">
    <w:abstractNumId w:val="11"/>
  </w:num>
  <w:num w:numId="22" w16cid:durableId="52510687">
    <w:abstractNumId w:val="7"/>
  </w:num>
  <w:num w:numId="23" w16cid:durableId="590553576">
    <w:abstractNumId w:val="15"/>
  </w:num>
  <w:num w:numId="24" w16cid:durableId="2112897682">
    <w:abstractNumId w:val="10"/>
  </w:num>
  <w:num w:numId="25" w16cid:durableId="10221296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2275273">
    <w:abstractNumId w:val="27"/>
  </w:num>
  <w:num w:numId="27" w16cid:durableId="128909958">
    <w:abstractNumId w:val="8"/>
  </w:num>
  <w:num w:numId="28" w16cid:durableId="315064160">
    <w:abstractNumId w:val="22"/>
  </w:num>
  <w:num w:numId="29" w16cid:durableId="569314936">
    <w:abstractNumId w:val="33"/>
  </w:num>
  <w:num w:numId="30" w16cid:durableId="3432405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1" w16cid:durableId="1977562960">
    <w:abstractNumId w:val="36"/>
    <w:lvlOverride w:ilvl="0">
      <w:startOverride w:val="1"/>
      <w:lvl w:ilvl="0">
        <w:start w:val="1"/>
        <w:numFmt w:val="decimal"/>
        <w:lvlText w:val="%1"/>
        <w:lvlJc w:val="left"/>
        <w:pPr>
          <w:tabs>
            <w:tab w:val="num" w:pos="709"/>
          </w:tabs>
          <w:ind w:left="709" w:hanging="709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tabs>
            <w:tab w:val="num" w:pos="6522"/>
          </w:tabs>
          <w:ind w:left="6522" w:hanging="709"/>
        </w:pPr>
        <w:rPr>
          <w:b w:val="0"/>
          <w:i w:val="0"/>
          <w:caps w:val="0"/>
          <w:sz w:val="22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2" w16cid:durableId="521092108">
    <w:abstractNumId w:val="13"/>
  </w:num>
  <w:num w:numId="33" w16cid:durableId="1042093919">
    <w:abstractNumId w:val="16"/>
  </w:num>
  <w:num w:numId="34" w16cid:durableId="534200673">
    <w:abstractNumId w:val="19"/>
  </w:num>
  <w:num w:numId="35" w16cid:durableId="929780799">
    <w:abstractNumId w:val="25"/>
  </w:num>
  <w:num w:numId="36" w16cid:durableId="13684891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58192801">
    <w:abstractNumId w:val="21"/>
  </w:num>
  <w:num w:numId="38" w16cid:durableId="1633561657">
    <w:abstractNumId w:val="12"/>
  </w:num>
  <w:num w:numId="39" w16cid:durableId="2078430304">
    <w:abstractNumId w:val="23"/>
  </w:num>
  <w:num w:numId="40" w16cid:durableId="1804274086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5A"/>
    <w:rsid w:val="00003360"/>
    <w:rsid w:val="00003FC7"/>
    <w:rsid w:val="00005919"/>
    <w:rsid w:val="00007BA1"/>
    <w:rsid w:val="00007C42"/>
    <w:rsid w:val="00015020"/>
    <w:rsid w:val="0001647B"/>
    <w:rsid w:val="00017555"/>
    <w:rsid w:val="00020010"/>
    <w:rsid w:val="000206A5"/>
    <w:rsid w:val="00034673"/>
    <w:rsid w:val="00036671"/>
    <w:rsid w:val="00037226"/>
    <w:rsid w:val="000409E2"/>
    <w:rsid w:val="00044EA1"/>
    <w:rsid w:val="00045CB6"/>
    <w:rsid w:val="00054574"/>
    <w:rsid w:val="0005649A"/>
    <w:rsid w:val="000615F2"/>
    <w:rsid w:val="00063BB2"/>
    <w:rsid w:val="00065F18"/>
    <w:rsid w:val="00067005"/>
    <w:rsid w:val="00067E5E"/>
    <w:rsid w:val="00076035"/>
    <w:rsid w:val="00077013"/>
    <w:rsid w:val="00091C3A"/>
    <w:rsid w:val="000D2F22"/>
    <w:rsid w:val="000D61F6"/>
    <w:rsid w:val="000E3240"/>
    <w:rsid w:val="000E6200"/>
    <w:rsid w:val="000E677B"/>
    <w:rsid w:val="000F4ADF"/>
    <w:rsid w:val="000F61AF"/>
    <w:rsid w:val="0010171C"/>
    <w:rsid w:val="00102FAD"/>
    <w:rsid w:val="001071C1"/>
    <w:rsid w:val="00121870"/>
    <w:rsid w:val="00121C89"/>
    <w:rsid w:val="00124541"/>
    <w:rsid w:val="00126FDE"/>
    <w:rsid w:val="001302F7"/>
    <w:rsid w:val="0013703F"/>
    <w:rsid w:val="00140ED2"/>
    <w:rsid w:val="00143E7C"/>
    <w:rsid w:val="0014415C"/>
    <w:rsid w:val="0014565E"/>
    <w:rsid w:val="001536C9"/>
    <w:rsid w:val="00162401"/>
    <w:rsid w:val="0016433D"/>
    <w:rsid w:val="00164D4A"/>
    <w:rsid w:val="00184C0F"/>
    <w:rsid w:val="001A5F55"/>
    <w:rsid w:val="001B6F23"/>
    <w:rsid w:val="001C0031"/>
    <w:rsid w:val="001C0A23"/>
    <w:rsid w:val="001C0C30"/>
    <w:rsid w:val="001C515C"/>
    <w:rsid w:val="001D0111"/>
    <w:rsid w:val="001D7EAE"/>
    <w:rsid w:val="001E64FC"/>
    <w:rsid w:val="001F0724"/>
    <w:rsid w:val="002007DF"/>
    <w:rsid w:val="0020441A"/>
    <w:rsid w:val="00205FE8"/>
    <w:rsid w:val="00206BA3"/>
    <w:rsid w:val="00215160"/>
    <w:rsid w:val="002224B4"/>
    <w:rsid w:val="00226D5E"/>
    <w:rsid w:val="00230F84"/>
    <w:rsid w:val="00237A3D"/>
    <w:rsid w:val="00237AC0"/>
    <w:rsid w:val="00240E83"/>
    <w:rsid w:val="002502D1"/>
    <w:rsid w:val="00260A17"/>
    <w:rsid w:val="00270EEC"/>
    <w:rsid w:val="0027404D"/>
    <w:rsid w:val="00275085"/>
    <w:rsid w:val="002777D8"/>
    <w:rsid w:val="00277B30"/>
    <w:rsid w:val="002806A2"/>
    <w:rsid w:val="00283541"/>
    <w:rsid w:val="00297CC7"/>
    <w:rsid w:val="002A194F"/>
    <w:rsid w:val="002A4BD9"/>
    <w:rsid w:val="002A4FE7"/>
    <w:rsid w:val="002B1CEB"/>
    <w:rsid w:val="002D3125"/>
    <w:rsid w:val="002D4F42"/>
    <w:rsid w:val="002D500F"/>
    <w:rsid w:val="002E2192"/>
    <w:rsid w:val="002F151B"/>
    <w:rsid w:val="0030084C"/>
    <w:rsid w:val="003039E1"/>
    <w:rsid w:val="003129BA"/>
    <w:rsid w:val="003148FC"/>
    <w:rsid w:val="0032132E"/>
    <w:rsid w:val="00325555"/>
    <w:rsid w:val="00330820"/>
    <w:rsid w:val="00330CF4"/>
    <w:rsid w:val="003322B5"/>
    <w:rsid w:val="003465C8"/>
    <w:rsid w:val="00367853"/>
    <w:rsid w:val="0037016B"/>
    <w:rsid w:val="00370FC0"/>
    <w:rsid w:val="00372A0E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66A28"/>
    <w:rsid w:val="004676C5"/>
    <w:rsid w:val="00472A55"/>
    <w:rsid w:val="00476068"/>
    <w:rsid w:val="004763B3"/>
    <w:rsid w:val="00477619"/>
    <w:rsid w:val="00486E6E"/>
    <w:rsid w:val="004875DF"/>
    <w:rsid w:val="00487C1D"/>
    <w:rsid w:val="00494763"/>
    <w:rsid w:val="00494C6F"/>
    <w:rsid w:val="004A5823"/>
    <w:rsid w:val="004B0AAF"/>
    <w:rsid w:val="004B214C"/>
    <w:rsid w:val="004B3924"/>
    <w:rsid w:val="004C22D4"/>
    <w:rsid w:val="004C4DDD"/>
    <w:rsid w:val="004C5F40"/>
    <w:rsid w:val="004C6953"/>
    <w:rsid w:val="004C7001"/>
    <w:rsid w:val="004D1706"/>
    <w:rsid w:val="004D243F"/>
    <w:rsid w:val="004D7473"/>
    <w:rsid w:val="004E2D8D"/>
    <w:rsid w:val="004F2E8A"/>
    <w:rsid w:val="004F55E1"/>
    <w:rsid w:val="00501C4B"/>
    <w:rsid w:val="005028A7"/>
    <w:rsid w:val="005078B7"/>
    <w:rsid w:val="00510D73"/>
    <w:rsid w:val="00512ACB"/>
    <w:rsid w:val="00521B29"/>
    <w:rsid w:val="0052216D"/>
    <w:rsid w:val="00526115"/>
    <w:rsid w:val="00533FAF"/>
    <w:rsid w:val="005366B6"/>
    <w:rsid w:val="00554BCD"/>
    <w:rsid w:val="00555F60"/>
    <w:rsid w:val="0055607D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3D7C"/>
    <w:rsid w:val="00585690"/>
    <w:rsid w:val="00591BDC"/>
    <w:rsid w:val="00594AAA"/>
    <w:rsid w:val="00595A7A"/>
    <w:rsid w:val="00595B33"/>
    <w:rsid w:val="0059662F"/>
    <w:rsid w:val="005B7254"/>
    <w:rsid w:val="005D28FE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252C8"/>
    <w:rsid w:val="00637753"/>
    <w:rsid w:val="00656365"/>
    <w:rsid w:val="00660CE4"/>
    <w:rsid w:val="00662716"/>
    <w:rsid w:val="006668C4"/>
    <w:rsid w:val="00675DA7"/>
    <w:rsid w:val="00676C9F"/>
    <w:rsid w:val="00677B13"/>
    <w:rsid w:val="00677F4E"/>
    <w:rsid w:val="00677F8A"/>
    <w:rsid w:val="00681A08"/>
    <w:rsid w:val="00685ECF"/>
    <w:rsid w:val="0068711B"/>
    <w:rsid w:val="006875B8"/>
    <w:rsid w:val="00687CEA"/>
    <w:rsid w:val="00694E01"/>
    <w:rsid w:val="00695171"/>
    <w:rsid w:val="00695B75"/>
    <w:rsid w:val="00697E16"/>
    <w:rsid w:val="006A06C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2CCC"/>
    <w:rsid w:val="006E5359"/>
    <w:rsid w:val="006E7BF7"/>
    <w:rsid w:val="00702F2C"/>
    <w:rsid w:val="007068C8"/>
    <w:rsid w:val="0070739A"/>
    <w:rsid w:val="00715B8F"/>
    <w:rsid w:val="0073106E"/>
    <w:rsid w:val="00731CAF"/>
    <w:rsid w:val="007466AC"/>
    <w:rsid w:val="00754665"/>
    <w:rsid w:val="00755142"/>
    <w:rsid w:val="00755833"/>
    <w:rsid w:val="00756BB7"/>
    <w:rsid w:val="0075764B"/>
    <w:rsid w:val="00760C01"/>
    <w:rsid w:val="00761293"/>
    <w:rsid w:val="00767C04"/>
    <w:rsid w:val="007736A2"/>
    <w:rsid w:val="00791CE2"/>
    <w:rsid w:val="007A6226"/>
    <w:rsid w:val="007B3C61"/>
    <w:rsid w:val="007B5B4D"/>
    <w:rsid w:val="007C6A81"/>
    <w:rsid w:val="007D1918"/>
    <w:rsid w:val="007F03F2"/>
    <w:rsid w:val="007F49F3"/>
    <w:rsid w:val="007F6B30"/>
    <w:rsid w:val="008031DF"/>
    <w:rsid w:val="008065D7"/>
    <w:rsid w:val="00811052"/>
    <w:rsid w:val="008111A3"/>
    <w:rsid w:val="00816E30"/>
    <w:rsid w:val="0082264B"/>
    <w:rsid w:val="0082765B"/>
    <w:rsid w:val="0083101C"/>
    <w:rsid w:val="00833307"/>
    <w:rsid w:val="008352B1"/>
    <w:rsid w:val="008353E7"/>
    <w:rsid w:val="00835BD7"/>
    <w:rsid w:val="008428E8"/>
    <w:rsid w:val="00843D71"/>
    <w:rsid w:val="00846F11"/>
    <w:rsid w:val="0084745A"/>
    <w:rsid w:val="008504D0"/>
    <w:rsid w:val="0085414F"/>
    <w:rsid w:val="00870045"/>
    <w:rsid w:val="00870E33"/>
    <w:rsid w:val="00876E5F"/>
    <w:rsid w:val="00884A12"/>
    <w:rsid w:val="00890CE4"/>
    <w:rsid w:val="00891ED7"/>
    <w:rsid w:val="008925C7"/>
    <w:rsid w:val="00893320"/>
    <w:rsid w:val="008B02AA"/>
    <w:rsid w:val="008B5C08"/>
    <w:rsid w:val="008B7B54"/>
    <w:rsid w:val="008C3187"/>
    <w:rsid w:val="008C3A5A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6929"/>
    <w:rsid w:val="0095712A"/>
    <w:rsid w:val="009615D6"/>
    <w:rsid w:val="00965402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2C09"/>
    <w:rsid w:val="009A6CB2"/>
    <w:rsid w:val="009B044E"/>
    <w:rsid w:val="009B0982"/>
    <w:rsid w:val="009B4C99"/>
    <w:rsid w:val="009C13FB"/>
    <w:rsid w:val="009D28CF"/>
    <w:rsid w:val="009E0E3D"/>
    <w:rsid w:val="009E5D36"/>
    <w:rsid w:val="009E6375"/>
    <w:rsid w:val="009E7CA0"/>
    <w:rsid w:val="009F63C7"/>
    <w:rsid w:val="009F656D"/>
    <w:rsid w:val="00A02454"/>
    <w:rsid w:val="00A04392"/>
    <w:rsid w:val="00A069CE"/>
    <w:rsid w:val="00A109D8"/>
    <w:rsid w:val="00A16003"/>
    <w:rsid w:val="00A167D7"/>
    <w:rsid w:val="00A23D39"/>
    <w:rsid w:val="00A23EC2"/>
    <w:rsid w:val="00A24FBB"/>
    <w:rsid w:val="00A304A9"/>
    <w:rsid w:val="00A3453E"/>
    <w:rsid w:val="00A42ED2"/>
    <w:rsid w:val="00A44B33"/>
    <w:rsid w:val="00A5063B"/>
    <w:rsid w:val="00A50E00"/>
    <w:rsid w:val="00A52529"/>
    <w:rsid w:val="00A53624"/>
    <w:rsid w:val="00A55EAF"/>
    <w:rsid w:val="00A5766B"/>
    <w:rsid w:val="00A77512"/>
    <w:rsid w:val="00A81113"/>
    <w:rsid w:val="00A863E3"/>
    <w:rsid w:val="00A94161"/>
    <w:rsid w:val="00A97BFB"/>
    <w:rsid w:val="00AA0445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F3A5A"/>
    <w:rsid w:val="00AF3E15"/>
    <w:rsid w:val="00AF5218"/>
    <w:rsid w:val="00AF60A0"/>
    <w:rsid w:val="00AF6DD5"/>
    <w:rsid w:val="00B01A6F"/>
    <w:rsid w:val="00B0480E"/>
    <w:rsid w:val="00B1026A"/>
    <w:rsid w:val="00B158E6"/>
    <w:rsid w:val="00B17432"/>
    <w:rsid w:val="00B21166"/>
    <w:rsid w:val="00B21A51"/>
    <w:rsid w:val="00B24AE8"/>
    <w:rsid w:val="00B263AE"/>
    <w:rsid w:val="00B33A6C"/>
    <w:rsid w:val="00B42F17"/>
    <w:rsid w:val="00B43A02"/>
    <w:rsid w:val="00B45E86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2949"/>
    <w:rsid w:val="00BC45F7"/>
    <w:rsid w:val="00BC6A06"/>
    <w:rsid w:val="00BC6B22"/>
    <w:rsid w:val="00BD137C"/>
    <w:rsid w:val="00BD5881"/>
    <w:rsid w:val="00BE3BC7"/>
    <w:rsid w:val="00BE7CF0"/>
    <w:rsid w:val="00BF1AB7"/>
    <w:rsid w:val="00BF7FE9"/>
    <w:rsid w:val="00C03596"/>
    <w:rsid w:val="00C05EEC"/>
    <w:rsid w:val="00C15A13"/>
    <w:rsid w:val="00C21769"/>
    <w:rsid w:val="00C238D9"/>
    <w:rsid w:val="00C24A9D"/>
    <w:rsid w:val="00C2677E"/>
    <w:rsid w:val="00C31542"/>
    <w:rsid w:val="00C32A41"/>
    <w:rsid w:val="00C42A07"/>
    <w:rsid w:val="00C5028E"/>
    <w:rsid w:val="00C54E78"/>
    <w:rsid w:val="00C6078D"/>
    <w:rsid w:val="00C657CF"/>
    <w:rsid w:val="00C80881"/>
    <w:rsid w:val="00C80D62"/>
    <w:rsid w:val="00C821CE"/>
    <w:rsid w:val="00C8388B"/>
    <w:rsid w:val="00C84944"/>
    <w:rsid w:val="00C90217"/>
    <w:rsid w:val="00C96BFD"/>
    <w:rsid w:val="00C96C98"/>
    <w:rsid w:val="00CA4137"/>
    <w:rsid w:val="00CA4DB5"/>
    <w:rsid w:val="00CA5358"/>
    <w:rsid w:val="00CB0B17"/>
    <w:rsid w:val="00CB1DCA"/>
    <w:rsid w:val="00CC1500"/>
    <w:rsid w:val="00CD502A"/>
    <w:rsid w:val="00CD7192"/>
    <w:rsid w:val="00CF12CF"/>
    <w:rsid w:val="00CF4BE3"/>
    <w:rsid w:val="00D060D2"/>
    <w:rsid w:val="00D13E2D"/>
    <w:rsid w:val="00D14394"/>
    <w:rsid w:val="00D242CD"/>
    <w:rsid w:val="00D26F74"/>
    <w:rsid w:val="00D341C3"/>
    <w:rsid w:val="00D35577"/>
    <w:rsid w:val="00D37C55"/>
    <w:rsid w:val="00D42843"/>
    <w:rsid w:val="00D47D1B"/>
    <w:rsid w:val="00D5152A"/>
    <w:rsid w:val="00D5233C"/>
    <w:rsid w:val="00D560EB"/>
    <w:rsid w:val="00D65145"/>
    <w:rsid w:val="00D66BC8"/>
    <w:rsid w:val="00D67D4A"/>
    <w:rsid w:val="00D73D87"/>
    <w:rsid w:val="00D74314"/>
    <w:rsid w:val="00D81410"/>
    <w:rsid w:val="00D85462"/>
    <w:rsid w:val="00D92505"/>
    <w:rsid w:val="00DA267C"/>
    <w:rsid w:val="00DA27B3"/>
    <w:rsid w:val="00DA36AE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3E8D"/>
    <w:rsid w:val="00DE7E63"/>
    <w:rsid w:val="00DF1354"/>
    <w:rsid w:val="00DF77A2"/>
    <w:rsid w:val="00E05316"/>
    <w:rsid w:val="00E10FE7"/>
    <w:rsid w:val="00E20B8E"/>
    <w:rsid w:val="00E256AA"/>
    <w:rsid w:val="00E33A1B"/>
    <w:rsid w:val="00E367C5"/>
    <w:rsid w:val="00E37E71"/>
    <w:rsid w:val="00E42486"/>
    <w:rsid w:val="00E42847"/>
    <w:rsid w:val="00E44966"/>
    <w:rsid w:val="00E46064"/>
    <w:rsid w:val="00E552A6"/>
    <w:rsid w:val="00E604A1"/>
    <w:rsid w:val="00E65B7A"/>
    <w:rsid w:val="00E7293C"/>
    <w:rsid w:val="00E73AA8"/>
    <w:rsid w:val="00E76812"/>
    <w:rsid w:val="00E80228"/>
    <w:rsid w:val="00E86D2A"/>
    <w:rsid w:val="00E8711A"/>
    <w:rsid w:val="00E90F47"/>
    <w:rsid w:val="00E916B4"/>
    <w:rsid w:val="00EA1722"/>
    <w:rsid w:val="00EA2ED4"/>
    <w:rsid w:val="00EA491A"/>
    <w:rsid w:val="00EB1583"/>
    <w:rsid w:val="00EB30A6"/>
    <w:rsid w:val="00EB54A9"/>
    <w:rsid w:val="00EC22A9"/>
    <w:rsid w:val="00EC23FB"/>
    <w:rsid w:val="00EC7017"/>
    <w:rsid w:val="00ED3ACC"/>
    <w:rsid w:val="00ED4356"/>
    <w:rsid w:val="00ED7681"/>
    <w:rsid w:val="00EE243C"/>
    <w:rsid w:val="00EE674B"/>
    <w:rsid w:val="00EF63C6"/>
    <w:rsid w:val="00F01D1A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610F3"/>
    <w:rsid w:val="00F66D10"/>
    <w:rsid w:val="00F727A5"/>
    <w:rsid w:val="00F72DF6"/>
    <w:rsid w:val="00F847A9"/>
    <w:rsid w:val="00F96009"/>
    <w:rsid w:val="00FA18A5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  <w:rsid w:val="039C9657"/>
    <w:rsid w:val="1D26E801"/>
    <w:rsid w:val="2011B00B"/>
    <w:rsid w:val="41572473"/>
    <w:rsid w:val="4DA5F821"/>
    <w:rsid w:val="74C2C2DB"/>
    <w:rsid w:val="7B76E523"/>
    <w:rsid w:val="7CC89F29"/>
    <w:rsid w:val="7F52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FA416C"/>
  <w15:chartTrackingRefBased/>
  <w15:docId w15:val="{50EDD502-AB86-471B-8AE2-E6BA1870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A5A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8C3A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3A5A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6A5"/>
    <w:rPr>
      <w:b/>
      <w:bCs/>
      <w:sz w:val="20"/>
      <w:szCs w:val="20"/>
      <w:lang w:eastAsia="en-US"/>
    </w:rPr>
  </w:style>
  <w:style w:type="paragraph" w:customStyle="1" w:styleId="NumStyle2Lev2">
    <w:name w:val="NumStyle2Lev2"/>
    <w:basedOn w:val="Normal"/>
    <w:link w:val="NumStyle2Lev2Char"/>
    <w:uiPriority w:val="2"/>
    <w:qFormat/>
    <w:rsid w:val="00230F84"/>
    <w:pPr>
      <w:keepLines w:val="0"/>
      <w:numPr>
        <w:ilvl w:val="1"/>
        <w:numId w:val="32"/>
      </w:numPr>
      <w:spacing w:before="240" w:after="0"/>
    </w:pPr>
    <w:rPr>
      <w:rFonts w:eastAsia="Times New Roman"/>
      <w:sz w:val="22"/>
      <w:lang w:eastAsia="en-NZ"/>
    </w:rPr>
  </w:style>
  <w:style w:type="paragraph" w:customStyle="1" w:styleId="NumStyle2Lev1">
    <w:name w:val="NumStyle2Lev1"/>
    <w:basedOn w:val="Normal"/>
    <w:next w:val="NumStyle2Lev2"/>
    <w:uiPriority w:val="2"/>
    <w:qFormat/>
    <w:rsid w:val="00230F84"/>
    <w:pPr>
      <w:keepNext/>
      <w:keepLines w:val="0"/>
      <w:numPr>
        <w:numId w:val="32"/>
      </w:numPr>
      <w:spacing w:before="360"/>
    </w:pPr>
    <w:rPr>
      <w:rFonts w:eastAsia="Times New Roman"/>
      <w:b/>
      <w:sz w:val="28"/>
      <w:szCs w:val="28"/>
      <w:lang w:eastAsia="en-NZ"/>
    </w:rPr>
  </w:style>
  <w:style w:type="character" w:customStyle="1" w:styleId="NumStyle2Lev2Char">
    <w:name w:val="NumStyle2Lev2 Char"/>
    <w:basedOn w:val="DefaultParagraphFont"/>
    <w:link w:val="NumStyle2Lev2"/>
    <w:uiPriority w:val="2"/>
    <w:locked/>
    <w:rsid w:val="00230F84"/>
    <w:rPr>
      <w:rFonts w:eastAsia="Times New Roman"/>
      <w:sz w:val="22"/>
    </w:rPr>
  </w:style>
  <w:style w:type="character" w:customStyle="1" w:styleId="NumStyle2Lev3Char1">
    <w:name w:val="NumStyle2Lev3 Char1"/>
    <w:link w:val="NumStyle2Lev3"/>
    <w:uiPriority w:val="2"/>
    <w:locked/>
    <w:rsid w:val="00230F84"/>
  </w:style>
  <w:style w:type="paragraph" w:customStyle="1" w:styleId="NumStyle2Lev3">
    <w:name w:val="NumStyle2Lev3"/>
    <w:basedOn w:val="Normal"/>
    <w:link w:val="NumStyle2Lev3Char1"/>
    <w:uiPriority w:val="2"/>
    <w:qFormat/>
    <w:rsid w:val="00230F84"/>
    <w:pPr>
      <w:keepLines w:val="0"/>
      <w:numPr>
        <w:ilvl w:val="2"/>
        <w:numId w:val="32"/>
      </w:numPr>
      <w:spacing w:before="240" w:after="0"/>
    </w:pPr>
    <w:rPr>
      <w:lang w:eastAsia="en-NZ"/>
    </w:rPr>
  </w:style>
  <w:style w:type="paragraph" w:customStyle="1" w:styleId="NumStyle2Lev4">
    <w:name w:val="NumStyle2Lev4"/>
    <w:basedOn w:val="Normal"/>
    <w:uiPriority w:val="2"/>
    <w:qFormat/>
    <w:rsid w:val="00230F84"/>
    <w:pPr>
      <w:keepLines w:val="0"/>
      <w:numPr>
        <w:ilvl w:val="3"/>
        <w:numId w:val="32"/>
      </w:numPr>
      <w:spacing w:before="240" w:after="0"/>
    </w:pPr>
    <w:rPr>
      <w:rFonts w:eastAsia="Times New Roman"/>
      <w:sz w:val="22"/>
      <w:lang w:eastAsia="en-NZ"/>
    </w:rPr>
  </w:style>
  <w:style w:type="paragraph" w:customStyle="1" w:styleId="NumStyle2Lev5">
    <w:name w:val="NumStyle2Lev5"/>
    <w:basedOn w:val="Normal"/>
    <w:uiPriority w:val="2"/>
    <w:qFormat/>
    <w:rsid w:val="00230F84"/>
    <w:pPr>
      <w:keepLines w:val="0"/>
      <w:numPr>
        <w:ilvl w:val="4"/>
        <w:numId w:val="32"/>
      </w:numPr>
      <w:spacing w:before="240" w:after="0"/>
    </w:pPr>
    <w:rPr>
      <w:rFonts w:eastAsia="Times New Roman"/>
      <w:sz w:val="22"/>
      <w:lang w:eastAsia="en-NZ"/>
    </w:rPr>
  </w:style>
  <w:style w:type="numbering" w:customStyle="1" w:styleId="MCStyle2">
    <w:name w:val="MC Style 2"/>
    <w:uiPriority w:val="99"/>
    <w:rsid w:val="00230F84"/>
    <w:pPr>
      <w:numPr>
        <w:numId w:val="32"/>
      </w:numPr>
    </w:pPr>
  </w:style>
  <w:style w:type="paragraph" w:styleId="Revision">
    <w:name w:val="Revision"/>
    <w:hidden/>
    <w:uiPriority w:val="99"/>
    <w:semiHidden/>
    <w:rsid w:val="00325555"/>
    <w:pPr>
      <w:spacing w:before="0" w:after="0"/>
    </w:pPr>
    <w:rPr>
      <w:lang w:eastAsia="en-US"/>
    </w:rPr>
  </w:style>
  <w:style w:type="paragraph" w:customStyle="1" w:styleId="text">
    <w:name w:val="text"/>
    <w:basedOn w:val="Normal"/>
    <w:rsid w:val="00466A28"/>
    <w:pPr>
      <w:keepLines w:val="0"/>
      <w:spacing w:before="100" w:beforeAutospacing="1" w:after="100" w:afterAutospacing="1"/>
    </w:pPr>
    <w:rPr>
      <w:rFonts w:ascii="Times New Roman" w:eastAsia="Times New Roman" w:hAnsi="Times New Roman"/>
      <w:lang w:eastAsia="en-NZ"/>
    </w:rPr>
  </w:style>
  <w:style w:type="character" w:customStyle="1" w:styleId="label">
    <w:name w:val="label"/>
    <w:basedOn w:val="DefaultParagraphFont"/>
    <w:rsid w:val="00466A28"/>
  </w:style>
  <w:style w:type="character" w:styleId="UnresolvedMention">
    <w:name w:val="Unresolved Mention"/>
    <w:basedOn w:val="DefaultParagraphFont"/>
    <w:uiPriority w:val="99"/>
    <w:semiHidden/>
    <w:unhideWhenUsed/>
    <w:rsid w:val="00121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5629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1920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8047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765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ice.govt.nz/assets/AMLCFT-Statutory-Review-Final-Report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lcft@dia.govt.n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egislation.govt.nz/regulation/public/2011/0222/latest/whol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slation.govt.nz/regulation/public/2011/0222/latest/whole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46C72-F085-4612-9DFE-87512A11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898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Milnes</dc:creator>
  <cp:keywords/>
  <dc:description/>
  <cp:lastModifiedBy>Robert Milnes</cp:lastModifiedBy>
  <cp:revision>9</cp:revision>
  <cp:lastPrinted>2023-08-28T04:07:00Z</cp:lastPrinted>
  <dcterms:created xsi:type="dcterms:W3CDTF">2023-08-18T01:07:00Z</dcterms:created>
  <dcterms:modified xsi:type="dcterms:W3CDTF">2023-08-28T04:11:00Z</dcterms:modified>
</cp:coreProperties>
</file>