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76002992"/>
        <w:docPartObj>
          <w:docPartGallery w:val="Cover Pages"/>
          <w:docPartUnique/>
        </w:docPartObj>
      </w:sdtPr>
      <w:sdtContent>
        <w:p w14:paraId="46D9361A" w14:textId="6331E365" w:rsidR="008F707C" w:rsidRDefault="0061730F">
          <w:r w:rsidRPr="00E44DEF">
            <w:rPr>
              <w:rFonts w:eastAsia="Calibri" w:cs="Calibri"/>
              <w:noProof/>
              <w:color w:val="000000"/>
              <w:sz w:val="22"/>
              <w:szCs w:val="22"/>
              <w:lang w:eastAsia="en-NZ"/>
            </w:rPr>
            <w:drawing>
              <wp:anchor distT="0" distB="0" distL="114300" distR="114300" simplePos="0" relativeHeight="251735040" behindDoc="0" locked="0" layoutInCell="1" allowOverlap="1" wp14:anchorId="43CFEAB4" wp14:editId="517C6568">
                <wp:simplePos x="0" y="0"/>
                <wp:positionH relativeFrom="column">
                  <wp:posOffset>3867150</wp:posOffset>
                </wp:positionH>
                <wp:positionV relativeFrom="page">
                  <wp:posOffset>546100</wp:posOffset>
                </wp:positionV>
                <wp:extent cx="2555875" cy="262255"/>
                <wp:effectExtent l="0" t="0" r="0" b="4445"/>
                <wp:wrapNone/>
                <wp:docPr id="10" name="Picture 10"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sidR="00E44DEF" w:rsidRPr="00E44DEF">
            <w:rPr>
              <w:rFonts w:eastAsia="Calibri" w:cs="Calibri"/>
              <w:noProof/>
              <w:color w:val="000000"/>
              <w:sz w:val="22"/>
              <w:szCs w:val="22"/>
              <w:lang w:eastAsia="en-NZ"/>
            </w:rPr>
            <w:drawing>
              <wp:anchor distT="0" distB="0" distL="114300" distR="114300" simplePos="0" relativeHeight="251748352" behindDoc="0" locked="0" layoutInCell="1" allowOverlap="1" wp14:anchorId="2136075F" wp14:editId="2E6B9063">
                <wp:simplePos x="0" y="0"/>
                <wp:positionH relativeFrom="column">
                  <wp:posOffset>-1200150</wp:posOffset>
                </wp:positionH>
                <wp:positionV relativeFrom="paragraph">
                  <wp:posOffset>311150</wp:posOffset>
                </wp:positionV>
                <wp:extent cx="7887335" cy="73723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887335" cy="737235"/>
                        </a:xfrm>
                        <a:prstGeom prst="rect">
                          <a:avLst/>
                        </a:prstGeom>
                      </pic:spPr>
                    </pic:pic>
                  </a:graphicData>
                </a:graphic>
                <wp14:sizeRelH relativeFrom="margin">
                  <wp14:pctWidth>0</wp14:pctWidth>
                </wp14:sizeRelH>
                <wp14:sizeRelV relativeFrom="margin">
                  <wp14:pctHeight>0</wp14:pctHeight>
                </wp14:sizeRelV>
              </wp:anchor>
            </w:drawing>
          </w:r>
          <w:r w:rsidR="00E44DEF" w:rsidRPr="00E44DEF">
            <w:rPr>
              <w:rFonts w:eastAsia="Calibri" w:cs="Calibri"/>
              <w:noProof/>
              <w:color w:val="000000"/>
              <w:sz w:val="22"/>
              <w:szCs w:val="22"/>
              <w:lang w:eastAsia="en-NZ"/>
            </w:rPr>
            <w:drawing>
              <wp:anchor distT="0" distB="0" distL="114300" distR="114300" simplePos="0" relativeHeight="251742208" behindDoc="0" locked="0" layoutInCell="1" allowOverlap="1" wp14:anchorId="30D5E088" wp14:editId="2D32C7BD">
                <wp:simplePos x="0" y="0"/>
                <wp:positionH relativeFrom="page">
                  <wp:posOffset>438150</wp:posOffset>
                </wp:positionH>
                <wp:positionV relativeFrom="line">
                  <wp:posOffset>-627380</wp:posOffset>
                </wp:positionV>
                <wp:extent cx="3086100" cy="8324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8610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D1A78" w14:textId="01B99520" w:rsidR="00E44DEF" w:rsidRPr="00E44DEF" w:rsidRDefault="00E44DEF" w:rsidP="00E44DEF">
          <w:pPr>
            <w:keepLines w:val="0"/>
            <w:spacing w:before="0" w:after="0" w:line="259" w:lineRule="auto"/>
            <w:ind w:left="-720" w:right="10252"/>
            <w:rPr>
              <w:rFonts w:eastAsia="Calibri" w:cs="Calibri"/>
              <w:color w:val="000000"/>
              <w:sz w:val="22"/>
              <w:szCs w:val="22"/>
              <w:lang w:eastAsia="en-NZ"/>
            </w:rPr>
          </w:pPr>
        </w:p>
        <w:tbl>
          <w:tblPr>
            <w:tblStyle w:val="Blanktable1"/>
            <w:tblpPr w:leftFromText="180" w:rightFromText="180" w:vertAnchor="page" w:horzAnchor="page" w:tblpX="178" w:tblpY="3346"/>
            <w:tblW w:w="12073" w:type="dxa"/>
            <w:tblInd w:w="0" w:type="dxa"/>
            <w:shd w:val="clear" w:color="auto" w:fill="44546A"/>
            <w:tblLook w:val="04A0" w:firstRow="1" w:lastRow="0" w:firstColumn="1" w:lastColumn="0" w:noHBand="0" w:noVBand="1"/>
            <w:tblDescription w:val="This table is for layout only."/>
          </w:tblPr>
          <w:tblGrid>
            <w:gridCol w:w="12073"/>
          </w:tblGrid>
          <w:tr w:rsidR="00E44DEF" w:rsidRPr="00E44DEF" w14:paraId="0BCD66DC" w14:textId="77777777" w:rsidTr="00C61636">
            <w:trPr>
              <w:trHeight w:hRule="exact" w:val="4750"/>
            </w:trPr>
            <w:tc>
              <w:tcPr>
                <w:tcW w:w="12073" w:type="dxa"/>
                <w:shd w:val="clear" w:color="auto" w:fill="00465F"/>
                <w:vAlign w:val="bottom"/>
              </w:tcPr>
              <w:p w14:paraId="56428106" w14:textId="77777777" w:rsidR="00E44DEF" w:rsidRDefault="00E44DEF" w:rsidP="00C97E4A">
                <w:pPr>
                  <w:spacing w:before="0" w:after="360" w:line="276" w:lineRule="auto"/>
                  <w:ind w:left="170"/>
                  <w:contextualSpacing/>
                  <w:rPr>
                    <w:rFonts w:eastAsia="Calibri"/>
                    <w:b/>
                    <w:color w:val="FFFFFF"/>
                    <w:sz w:val="52"/>
                    <w:szCs w:val="80"/>
                  </w:rPr>
                </w:pPr>
                <w:r w:rsidRPr="00E44DEF">
                  <w:rPr>
                    <w:rFonts w:eastAsia="Calibri"/>
                    <w:b/>
                    <w:color w:val="FFFFFF"/>
                    <w:sz w:val="52"/>
                    <w:szCs w:val="80"/>
                  </w:rPr>
                  <w:t>Guideline:</w:t>
                </w:r>
              </w:p>
              <w:p w14:paraId="505CA6FC" w14:textId="393A1679" w:rsidR="00E44DEF" w:rsidRDefault="00E44DEF" w:rsidP="00C97E4A">
                <w:pPr>
                  <w:spacing w:line="276" w:lineRule="auto"/>
                  <w:ind w:left="170"/>
                  <w:contextualSpacing/>
                  <w:rPr>
                    <w:rFonts w:eastAsia="Calibri"/>
                    <w:b/>
                    <w:color w:val="FFFFFF"/>
                    <w:sz w:val="80"/>
                    <w:szCs w:val="80"/>
                  </w:rPr>
                </w:pPr>
                <w:r>
                  <w:rPr>
                    <w:rFonts w:eastAsia="Calibri"/>
                    <w:b/>
                    <w:color w:val="FFFFFF"/>
                    <w:sz w:val="80"/>
                    <w:szCs w:val="80"/>
                  </w:rPr>
                  <w:t>Virtual Asset Service Providers</w:t>
                </w:r>
              </w:p>
              <w:p w14:paraId="0D7EE94B" w14:textId="7E9B0024" w:rsidR="00E44DEF" w:rsidRPr="00E44DEF" w:rsidRDefault="00E44DEF" w:rsidP="00C97E4A">
                <w:pPr>
                  <w:spacing w:line="276" w:lineRule="auto"/>
                  <w:ind w:left="170"/>
                  <w:contextualSpacing/>
                  <w:rPr>
                    <w:rFonts w:eastAsia="Calibri"/>
                    <w:b/>
                    <w:color w:val="FFFFFF"/>
                    <w:sz w:val="48"/>
                    <w:szCs w:val="80"/>
                  </w:rPr>
                </w:pPr>
                <w:r w:rsidRPr="00E44DEF">
                  <w:rPr>
                    <w:rFonts w:eastAsia="Calibri"/>
                    <w:b/>
                    <w:color w:val="FFFFFF"/>
                    <w:sz w:val="48"/>
                    <w:szCs w:val="80"/>
                  </w:rPr>
                  <w:t>Comply</w:t>
                </w:r>
                <w:r>
                  <w:rPr>
                    <w:rFonts w:eastAsia="Calibri"/>
                    <w:b/>
                    <w:color w:val="FFFFFF"/>
                    <w:sz w:val="48"/>
                    <w:szCs w:val="80"/>
                  </w:rPr>
                  <w:t>ing with the Anti-Money Laundering and Countering Financing of Terrorism Act 2009</w:t>
                </w:r>
                <w:r w:rsidRPr="00E44DEF">
                  <w:rPr>
                    <w:rFonts w:eastAsia="Calibri"/>
                    <w:b/>
                    <w:color w:val="FFFFFF"/>
                    <w:sz w:val="48"/>
                    <w:szCs w:val="80"/>
                  </w:rPr>
                  <w:t xml:space="preserve"> </w:t>
                </w:r>
              </w:p>
              <w:p w14:paraId="58C88A42" w14:textId="2E85F6F9" w:rsidR="00E44DEF" w:rsidRPr="00E44DEF" w:rsidRDefault="00E44DEF" w:rsidP="00C97E4A">
                <w:pPr>
                  <w:spacing w:line="276" w:lineRule="auto"/>
                  <w:ind w:left="170"/>
                  <w:contextualSpacing/>
                  <w:rPr>
                    <w:rFonts w:eastAsia="Calibri"/>
                    <w:b/>
                    <w:color w:val="FFFFFF"/>
                    <w:sz w:val="28"/>
                    <w:szCs w:val="80"/>
                  </w:rPr>
                </w:pPr>
                <w:r>
                  <w:rPr>
                    <w:rFonts w:eastAsia="Calibri"/>
                    <w:b/>
                    <w:color w:val="FFFFFF"/>
                    <w:sz w:val="28"/>
                    <w:szCs w:val="80"/>
                  </w:rPr>
                  <w:t>March 2020</w:t>
                </w:r>
              </w:p>
              <w:p w14:paraId="206CDFAB" w14:textId="77777777" w:rsidR="00E44DEF" w:rsidRPr="00E44DEF" w:rsidRDefault="00E44DEF" w:rsidP="00C61636">
                <w:pPr>
                  <w:spacing w:line="276" w:lineRule="auto"/>
                  <w:contextualSpacing/>
                  <w:jc w:val="right"/>
                  <w:rPr>
                    <w:rFonts w:eastAsia="Calibri"/>
                    <w:b/>
                    <w:color w:val="FFFFFF"/>
                    <w:sz w:val="52"/>
                    <w:szCs w:val="80"/>
                  </w:rPr>
                </w:pPr>
              </w:p>
            </w:tc>
          </w:tr>
        </w:tbl>
        <w:p w14:paraId="5C3D585D" w14:textId="4091A0FD" w:rsidR="00E44DEF" w:rsidRPr="00E44DEF" w:rsidRDefault="00E44DEF" w:rsidP="00E44DEF">
          <w:pPr>
            <w:keepLines w:val="0"/>
            <w:spacing w:before="0" w:after="0" w:line="259" w:lineRule="auto"/>
            <w:ind w:left="-720" w:right="10252"/>
            <w:rPr>
              <w:rFonts w:eastAsia="Calibri" w:cs="Calibri"/>
              <w:color w:val="000000"/>
              <w:sz w:val="22"/>
              <w:szCs w:val="22"/>
              <w:lang w:eastAsia="en-NZ"/>
            </w:rPr>
          </w:pPr>
        </w:p>
        <w:p w14:paraId="11B6F935" w14:textId="01DB5D8E" w:rsidR="008F707C" w:rsidRPr="00C61636" w:rsidRDefault="00C61636" w:rsidP="00C61636">
          <w:pPr>
            <w:keepLines w:val="0"/>
            <w:spacing w:before="0" w:after="160" w:line="259" w:lineRule="auto"/>
            <w:rPr>
              <w:rFonts w:eastAsia="Calibri" w:cs="Calibri"/>
              <w:color w:val="000000"/>
              <w:sz w:val="22"/>
              <w:szCs w:val="22"/>
              <w:lang w:eastAsia="en-NZ"/>
            </w:rPr>
          </w:pPr>
          <w:r w:rsidRPr="00E44DEF">
            <w:rPr>
              <w:rFonts w:eastAsia="Calibri" w:cs="Calibri"/>
              <w:noProof/>
              <w:color w:val="000000"/>
              <w:sz w:val="22"/>
              <w:szCs w:val="22"/>
              <w:lang w:eastAsia="en-NZ"/>
            </w:rPr>
            <mc:AlternateContent>
              <mc:Choice Requires="wps">
                <w:drawing>
                  <wp:anchor distT="0" distB="0" distL="114300" distR="114300" simplePos="0" relativeHeight="251723776" behindDoc="1" locked="0" layoutInCell="1" allowOverlap="1" wp14:anchorId="0E82CC60" wp14:editId="7AB78D25">
                    <wp:simplePos x="0" y="0"/>
                    <wp:positionH relativeFrom="column">
                      <wp:posOffset>-919480</wp:posOffset>
                    </wp:positionH>
                    <wp:positionV relativeFrom="paragraph">
                      <wp:posOffset>259715</wp:posOffset>
                    </wp:positionV>
                    <wp:extent cx="7611110" cy="3429000"/>
                    <wp:effectExtent l="0" t="0" r="27940" b="19050"/>
                    <wp:wrapNone/>
                    <wp:docPr id="1" name="Rectangle 1"/>
                    <wp:cNvGraphicFramePr/>
                    <a:graphic xmlns:a="http://schemas.openxmlformats.org/drawingml/2006/main">
                      <a:graphicData uri="http://schemas.microsoft.com/office/word/2010/wordprocessingShape">
                        <wps:wsp>
                          <wps:cNvSpPr/>
                          <wps:spPr>
                            <a:xfrm>
                              <a:off x="0" y="0"/>
                              <a:ext cx="7611110" cy="3429000"/>
                            </a:xfrm>
                            <a:prstGeom prst="rect">
                              <a:avLst/>
                            </a:prstGeom>
                            <a:solidFill>
                              <a:srgbClr val="00465F"/>
                            </a:solidFill>
                            <a:ln w="12700" cap="flat" cmpd="sng" algn="ctr">
                              <a:solidFill>
                                <a:srgbClr val="00465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C39FD" id="Rectangle 1" o:spid="_x0000_s1026" style="position:absolute;margin-left:-72.4pt;margin-top:20.45pt;width:599.3pt;height:270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" fillcolor="#00465f" strokecolor="#00465f" strokeweight="1pt"/>
                </w:pict>
              </mc:Fallback>
            </mc:AlternateContent>
          </w:r>
          <w:r w:rsidRPr="00C61636">
            <w:rPr>
              <w:noProof/>
            </w:rPr>
            <w:drawing>
              <wp:anchor distT="0" distB="0" distL="114300" distR="114300" simplePos="0" relativeHeight="251757568" behindDoc="1" locked="0" layoutInCell="1" allowOverlap="1" wp14:anchorId="3A453B29" wp14:editId="4F1B19A4">
                <wp:simplePos x="0" y="0"/>
                <wp:positionH relativeFrom="column">
                  <wp:posOffset>-919480</wp:posOffset>
                </wp:positionH>
                <wp:positionV relativeFrom="paragraph">
                  <wp:posOffset>3692350</wp:posOffset>
                </wp:positionV>
                <wp:extent cx="7611110" cy="5327190"/>
                <wp:effectExtent l="0" t="0" r="889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611110" cy="5327190"/>
                        </a:xfrm>
                        <a:prstGeom prst="rect">
                          <a:avLst/>
                        </a:prstGeom>
                      </pic:spPr>
                    </pic:pic>
                  </a:graphicData>
                </a:graphic>
                <wp14:sizeRelH relativeFrom="page">
                  <wp14:pctWidth>0</wp14:pctWidth>
                </wp14:sizeRelH>
                <wp14:sizeRelV relativeFrom="page">
                  <wp14:pctHeight>0</wp14:pctHeight>
                </wp14:sizeRelV>
              </wp:anchor>
            </w:drawing>
          </w:r>
          <w:r w:rsidR="00E44DEF" w:rsidRPr="00E44DEF">
            <w:rPr>
              <w:rFonts w:eastAsia="Calibri" w:cs="Calibri"/>
              <w:color w:val="000000"/>
              <w:sz w:val="22"/>
              <w:szCs w:val="22"/>
              <w:lang w:eastAsia="en-NZ"/>
            </w:rPr>
            <w:br w:type="page"/>
          </w:r>
        </w:p>
      </w:sdtContent>
    </w:sdt>
    <w:sdt>
      <w:sdtPr>
        <w:rPr>
          <w:rFonts w:ascii="Calibri" w:eastAsiaTheme="minorHAnsi" w:hAnsi="Calibri" w:cs="Times New Roman"/>
          <w:color w:val="auto"/>
          <w:sz w:val="24"/>
          <w:szCs w:val="24"/>
          <w:lang w:val="en-NZ"/>
        </w:rPr>
        <w:id w:val="896319840"/>
        <w:docPartObj>
          <w:docPartGallery w:val="Table of Contents"/>
          <w:docPartUnique/>
        </w:docPartObj>
      </w:sdtPr>
      <w:sdtEndPr>
        <w:rPr>
          <w:b/>
          <w:bCs/>
          <w:noProof/>
          <w:sz w:val="20"/>
        </w:rPr>
      </w:sdtEndPr>
      <w:sdtContent>
        <w:p w14:paraId="28360E2A" w14:textId="6C2D2376" w:rsidR="00E3084C" w:rsidRPr="000F6894" w:rsidRDefault="00E3084C">
          <w:pPr>
            <w:pStyle w:val="TOCHeading"/>
            <w:rPr>
              <w:sz w:val="28"/>
              <w:lang w:val="en-NZ"/>
            </w:rPr>
          </w:pPr>
          <w:r>
            <w:t>Contents</w:t>
          </w:r>
        </w:p>
        <w:p w14:paraId="61F7FA8A" w14:textId="7E5432EE" w:rsidR="00015CAD" w:rsidRDefault="00E3084C">
          <w:pPr>
            <w:pStyle w:val="TOC1"/>
            <w:rPr>
              <w:rFonts w:asciiTheme="minorHAnsi" w:eastAsiaTheme="minorEastAsia" w:hAnsiTheme="minorHAnsi" w:cstheme="minorBidi"/>
              <w:b w:val="0"/>
              <w:noProof/>
              <w:color w:val="auto"/>
              <w:sz w:val="22"/>
              <w:szCs w:val="22"/>
              <w:lang w:eastAsia="en-NZ"/>
            </w:rPr>
          </w:pPr>
          <w:r w:rsidRPr="006615AF">
            <w:rPr>
              <w:sz w:val="18"/>
            </w:rPr>
            <w:fldChar w:fldCharType="begin"/>
          </w:r>
          <w:r w:rsidRPr="006615AF">
            <w:rPr>
              <w:sz w:val="18"/>
            </w:rPr>
            <w:instrText xml:space="preserve"> TOC \o "1-3" \h \z \u </w:instrText>
          </w:r>
          <w:r w:rsidRPr="006615AF">
            <w:rPr>
              <w:sz w:val="18"/>
            </w:rPr>
            <w:fldChar w:fldCharType="separate"/>
          </w:r>
          <w:hyperlink w:anchor="_Toc34985618" w:history="1">
            <w:r w:rsidR="00015CAD" w:rsidRPr="003448BC">
              <w:rPr>
                <w:rStyle w:val="Hyperlink"/>
                <w:noProof/>
              </w:rPr>
              <w:t>Executive Summary</w:t>
            </w:r>
            <w:r w:rsidR="00015CAD">
              <w:rPr>
                <w:noProof/>
                <w:webHidden/>
              </w:rPr>
              <w:tab/>
            </w:r>
            <w:r w:rsidR="00015CAD">
              <w:rPr>
                <w:noProof/>
                <w:webHidden/>
              </w:rPr>
              <w:fldChar w:fldCharType="begin"/>
            </w:r>
            <w:r w:rsidR="00015CAD">
              <w:rPr>
                <w:noProof/>
                <w:webHidden/>
              </w:rPr>
              <w:instrText xml:space="preserve"> PAGEREF _Toc34985618 \h </w:instrText>
            </w:r>
            <w:r w:rsidR="00015CAD">
              <w:rPr>
                <w:noProof/>
                <w:webHidden/>
              </w:rPr>
            </w:r>
            <w:r w:rsidR="00015CAD">
              <w:rPr>
                <w:noProof/>
                <w:webHidden/>
              </w:rPr>
              <w:fldChar w:fldCharType="separate"/>
            </w:r>
            <w:r w:rsidR="00015CAD">
              <w:rPr>
                <w:noProof/>
                <w:webHidden/>
              </w:rPr>
              <w:t>3</w:t>
            </w:r>
            <w:r w:rsidR="00015CAD">
              <w:rPr>
                <w:noProof/>
                <w:webHidden/>
              </w:rPr>
              <w:fldChar w:fldCharType="end"/>
            </w:r>
          </w:hyperlink>
        </w:p>
        <w:p w14:paraId="01536EF5" w14:textId="3C40FF91" w:rsidR="00015CAD" w:rsidRDefault="005F6E6A">
          <w:pPr>
            <w:pStyle w:val="TOC2"/>
            <w:rPr>
              <w:rFonts w:asciiTheme="minorHAnsi" w:eastAsiaTheme="minorEastAsia" w:hAnsiTheme="minorHAnsi" w:cstheme="minorBidi"/>
              <w:sz w:val="22"/>
              <w:szCs w:val="22"/>
              <w:lang w:eastAsia="en-NZ"/>
            </w:rPr>
          </w:pPr>
          <w:hyperlink w:anchor="_Toc34985619" w:history="1">
            <w:r w:rsidR="00015CAD" w:rsidRPr="003448BC">
              <w:rPr>
                <w:rStyle w:val="Hyperlink"/>
              </w:rPr>
              <w:t>Disclaimer</w:t>
            </w:r>
            <w:r w:rsidR="00015CAD">
              <w:rPr>
                <w:webHidden/>
              </w:rPr>
              <w:tab/>
            </w:r>
            <w:r w:rsidR="00015CAD">
              <w:rPr>
                <w:webHidden/>
              </w:rPr>
              <w:fldChar w:fldCharType="begin"/>
            </w:r>
            <w:r w:rsidR="00015CAD">
              <w:rPr>
                <w:webHidden/>
              </w:rPr>
              <w:instrText xml:space="preserve"> PAGEREF _Toc34985619 \h </w:instrText>
            </w:r>
            <w:r w:rsidR="00015CAD">
              <w:rPr>
                <w:webHidden/>
              </w:rPr>
            </w:r>
            <w:r w:rsidR="00015CAD">
              <w:rPr>
                <w:webHidden/>
              </w:rPr>
              <w:fldChar w:fldCharType="separate"/>
            </w:r>
            <w:r w:rsidR="00015CAD">
              <w:rPr>
                <w:webHidden/>
              </w:rPr>
              <w:t>3</w:t>
            </w:r>
            <w:r w:rsidR="00015CAD">
              <w:rPr>
                <w:webHidden/>
              </w:rPr>
              <w:fldChar w:fldCharType="end"/>
            </w:r>
          </w:hyperlink>
        </w:p>
        <w:p w14:paraId="78D452EA" w14:textId="68176C72" w:rsidR="00015CAD" w:rsidRDefault="005F6E6A">
          <w:pPr>
            <w:pStyle w:val="TOC1"/>
            <w:rPr>
              <w:rFonts w:asciiTheme="minorHAnsi" w:eastAsiaTheme="minorEastAsia" w:hAnsiTheme="minorHAnsi" w:cstheme="minorBidi"/>
              <w:b w:val="0"/>
              <w:noProof/>
              <w:color w:val="auto"/>
              <w:sz w:val="22"/>
              <w:szCs w:val="22"/>
              <w:lang w:eastAsia="en-NZ"/>
            </w:rPr>
          </w:pPr>
          <w:hyperlink w:anchor="_Toc34985620" w:history="1">
            <w:r w:rsidR="00015CAD" w:rsidRPr="003448BC">
              <w:rPr>
                <w:rStyle w:val="Hyperlink"/>
                <w:noProof/>
              </w:rPr>
              <w:t>Overview</w:t>
            </w:r>
            <w:r w:rsidR="00015CAD">
              <w:rPr>
                <w:noProof/>
                <w:webHidden/>
              </w:rPr>
              <w:tab/>
            </w:r>
            <w:r w:rsidR="00015CAD">
              <w:rPr>
                <w:noProof/>
                <w:webHidden/>
              </w:rPr>
              <w:fldChar w:fldCharType="begin"/>
            </w:r>
            <w:r w:rsidR="00015CAD">
              <w:rPr>
                <w:noProof/>
                <w:webHidden/>
              </w:rPr>
              <w:instrText xml:space="preserve"> PAGEREF _Toc34985620 \h </w:instrText>
            </w:r>
            <w:r w:rsidR="00015CAD">
              <w:rPr>
                <w:noProof/>
                <w:webHidden/>
              </w:rPr>
            </w:r>
            <w:r w:rsidR="00015CAD">
              <w:rPr>
                <w:noProof/>
                <w:webHidden/>
              </w:rPr>
              <w:fldChar w:fldCharType="separate"/>
            </w:r>
            <w:r w:rsidR="00015CAD">
              <w:rPr>
                <w:noProof/>
                <w:webHidden/>
              </w:rPr>
              <w:t>4</w:t>
            </w:r>
            <w:r w:rsidR="00015CAD">
              <w:rPr>
                <w:noProof/>
                <w:webHidden/>
              </w:rPr>
              <w:fldChar w:fldCharType="end"/>
            </w:r>
          </w:hyperlink>
        </w:p>
        <w:p w14:paraId="047DD7C5" w14:textId="0A5FBB09" w:rsidR="00015CAD" w:rsidRDefault="005F6E6A">
          <w:pPr>
            <w:pStyle w:val="TOC2"/>
            <w:rPr>
              <w:rFonts w:asciiTheme="minorHAnsi" w:eastAsiaTheme="minorEastAsia" w:hAnsiTheme="minorHAnsi" w:cstheme="minorBidi"/>
              <w:sz w:val="22"/>
              <w:szCs w:val="22"/>
              <w:lang w:eastAsia="en-NZ"/>
            </w:rPr>
          </w:pPr>
          <w:hyperlink w:anchor="_Toc34985621" w:history="1">
            <w:r w:rsidR="00015CAD" w:rsidRPr="003448BC">
              <w:rPr>
                <w:rStyle w:val="Hyperlink"/>
              </w:rPr>
              <w:t>Capture Point under the Act</w:t>
            </w:r>
            <w:r w:rsidR="00015CAD">
              <w:rPr>
                <w:webHidden/>
              </w:rPr>
              <w:tab/>
            </w:r>
            <w:r w:rsidR="00015CAD">
              <w:rPr>
                <w:webHidden/>
              </w:rPr>
              <w:fldChar w:fldCharType="begin"/>
            </w:r>
            <w:r w:rsidR="00015CAD">
              <w:rPr>
                <w:webHidden/>
              </w:rPr>
              <w:instrText xml:space="preserve"> PAGEREF _Toc34985621 \h </w:instrText>
            </w:r>
            <w:r w:rsidR="00015CAD">
              <w:rPr>
                <w:webHidden/>
              </w:rPr>
            </w:r>
            <w:r w:rsidR="00015CAD">
              <w:rPr>
                <w:webHidden/>
              </w:rPr>
              <w:fldChar w:fldCharType="separate"/>
            </w:r>
            <w:r w:rsidR="00015CAD">
              <w:rPr>
                <w:webHidden/>
              </w:rPr>
              <w:t>4</w:t>
            </w:r>
            <w:r w:rsidR="00015CAD">
              <w:rPr>
                <w:webHidden/>
              </w:rPr>
              <w:fldChar w:fldCharType="end"/>
            </w:r>
          </w:hyperlink>
        </w:p>
        <w:p w14:paraId="6ACB49DA" w14:textId="0BDA2C45" w:rsidR="00015CAD" w:rsidRDefault="005F6E6A">
          <w:pPr>
            <w:pStyle w:val="TOC2"/>
            <w:rPr>
              <w:rFonts w:asciiTheme="minorHAnsi" w:eastAsiaTheme="minorEastAsia" w:hAnsiTheme="minorHAnsi" w:cstheme="minorBidi"/>
              <w:sz w:val="22"/>
              <w:szCs w:val="22"/>
              <w:lang w:eastAsia="en-NZ"/>
            </w:rPr>
          </w:pPr>
          <w:hyperlink w:anchor="_Toc34985622" w:history="1">
            <w:r w:rsidR="00015CAD" w:rsidRPr="003448BC">
              <w:rPr>
                <w:rStyle w:val="Hyperlink"/>
              </w:rPr>
              <w:t>Ordinary Course of Business</w:t>
            </w:r>
            <w:r w:rsidR="00015CAD">
              <w:rPr>
                <w:webHidden/>
              </w:rPr>
              <w:tab/>
            </w:r>
            <w:r w:rsidR="00015CAD">
              <w:rPr>
                <w:webHidden/>
              </w:rPr>
              <w:fldChar w:fldCharType="begin"/>
            </w:r>
            <w:r w:rsidR="00015CAD">
              <w:rPr>
                <w:webHidden/>
              </w:rPr>
              <w:instrText xml:space="preserve"> PAGEREF _Toc34985622 \h </w:instrText>
            </w:r>
            <w:r w:rsidR="00015CAD">
              <w:rPr>
                <w:webHidden/>
              </w:rPr>
            </w:r>
            <w:r w:rsidR="00015CAD">
              <w:rPr>
                <w:webHidden/>
              </w:rPr>
              <w:fldChar w:fldCharType="separate"/>
            </w:r>
            <w:r w:rsidR="00015CAD">
              <w:rPr>
                <w:webHidden/>
              </w:rPr>
              <w:t>5</w:t>
            </w:r>
            <w:r w:rsidR="00015CAD">
              <w:rPr>
                <w:webHidden/>
              </w:rPr>
              <w:fldChar w:fldCharType="end"/>
            </w:r>
          </w:hyperlink>
        </w:p>
        <w:p w14:paraId="13DD0D42" w14:textId="1DCAC488" w:rsidR="00015CAD" w:rsidRDefault="005F6E6A">
          <w:pPr>
            <w:pStyle w:val="TOC2"/>
            <w:rPr>
              <w:rFonts w:asciiTheme="minorHAnsi" w:eastAsiaTheme="minorEastAsia" w:hAnsiTheme="minorHAnsi" w:cstheme="minorBidi"/>
              <w:sz w:val="22"/>
              <w:szCs w:val="22"/>
              <w:lang w:eastAsia="en-NZ"/>
            </w:rPr>
          </w:pPr>
          <w:hyperlink w:anchor="_Toc34985623" w:history="1">
            <w:r w:rsidR="00015CAD" w:rsidRPr="003448BC">
              <w:rPr>
                <w:rStyle w:val="Hyperlink"/>
              </w:rPr>
              <w:t>Territorial Scope</w:t>
            </w:r>
            <w:r w:rsidR="00015CAD">
              <w:rPr>
                <w:webHidden/>
              </w:rPr>
              <w:tab/>
            </w:r>
            <w:r w:rsidR="00015CAD">
              <w:rPr>
                <w:webHidden/>
              </w:rPr>
              <w:fldChar w:fldCharType="begin"/>
            </w:r>
            <w:r w:rsidR="00015CAD">
              <w:rPr>
                <w:webHidden/>
              </w:rPr>
              <w:instrText xml:space="preserve"> PAGEREF _Toc34985623 \h </w:instrText>
            </w:r>
            <w:r w:rsidR="00015CAD">
              <w:rPr>
                <w:webHidden/>
              </w:rPr>
            </w:r>
            <w:r w:rsidR="00015CAD">
              <w:rPr>
                <w:webHidden/>
              </w:rPr>
              <w:fldChar w:fldCharType="separate"/>
            </w:r>
            <w:r w:rsidR="00015CAD">
              <w:rPr>
                <w:webHidden/>
              </w:rPr>
              <w:t>5</w:t>
            </w:r>
            <w:r w:rsidR="00015CAD">
              <w:rPr>
                <w:webHidden/>
              </w:rPr>
              <w:fldChar w:fldCharType="end"/>
            </w:r>
          </w:hyperlink>
        </w:p>
        <w:p w14:paraId="22526788" w14:textId="0384B562" w:rsidR="00015CAD" w:rsidRDefault="005F6E6A">
          <w:pPr>
            <w:pStyle w:val="TOC1"/>
            <w:rPr>
              <w:rFonts w:asciiTheme="minorHAnsi" w:eastAsiaTheme="minorEastAsia" w:hAnsiTheme="minorHAnsi" w:cstheme="minorBidi"/>
              <w:b w:val="0"/>
              <w:noProof/>
              <w:color w:val="auto"/>
              <w:sz w:val="22"/>
              <w:szCs w:val="22"/>
              <w:lang w:eastAsia="en-NZ"/>
            </w:rPr>
          </w:pPr>
          <w:hyperlink w:anchor="_Toc34985624" w:history="1">
            <w:r w:rsidR="00015CAD" w:rsidRPr="003448BC">
              <w:rPr>
                <w:rStyle w:val="Hyperlink"/>
                <w:noProof/>
              </w:rPr>
              <w:t>ML/TF Risks of the VASP sector</w:t>
            </w:r>
            <w:r w:rsidR="00015CAD">
              <w:rPr>
                <w:noProof/>
                <w:webHidden/>
              </w:rPr>
              <w:tab/>
            </w:r>
            <w:r w:rsidR="00015CAD">
              <w:rPr>
                <w:noProof/>
                <w:webHidden/>
              </w:rPr>
              <w:fldChar w:fldCharType="begin"/>
            </w:r>
            <w:r w:rsidR="00015CAD">
              <w:rPr>
                <w:noProof/>
                <w:webHidden/>
              </w:rPr>
              <w:instrText xml:space="preserve"> PAGEREF _Toc34985624 \h </w:instrText>
            </w:r>
            <w:r w:rsidR="00015CAD">
              <w:rPr>
                <w:noProof/>
                <w:webHidden/>
              </w:rPr>
            </w:r>
            <w:r w:rsidR="00015CAD">
              <w:rPr>
                <w:noProof/>
                <w:webHidden/>
              </w:rPr>
              <w:fldChar w:fldCharType="separate"/>
            </w:r>
            <w:r w:rsidR="00015CAD">
              <w:rPr>
                <w:noProof/>
                <w:webHidden/>
              </w:rPr>
              <w:t>6</w:t>
            </w:r>
            <w:r w:rsidR="00015CAD">
              <w:rPr>
                <w:noProof/>
                <w:webHidden/>
              </w:rPr>
              <w:fldChar w:fldCharType="end"/>
            </w:r>
          </w:hyperlink>
        </w:p>
        <w:p w14:paraId="4E5A9BFB" w14:textId="6684FAE7" w:rsidR="00015CAD" w:rsidRDefault="005F6E6A">
          <w:pPr>
            <w:pStyle w:val="TOC2"/>
            <w:rPr>
              <w:rFonts w:asciiTheme="minorHAnsi" w:eastAsiaTheme="minorEastAsia" w:hAnsiTheme="minorHAnsi" w:cstheme="minorBidi"/>
              <w:sz w:val="22"/>
              <w:szCs w:val="22"/>
              <w:lang w:eastAsia="en-NZ"/>
            </w:rPr>
          </w:pPr>
          <w:hyperlink w:anchor="_Toc34985625" w:history="1">
            <w:r w:rsidR="00015CAD" w:rsidRPr="003448BC">
              <w:rPr>
                <w:rStyle w:val="Hyperlink"/>
              </w:rPr>
              <w:t>VASP Sector Inherent Risk</w:t>
            </w:r>
            <w:r w:rsidR="00015CAD">
              <w:rPr>
                <w:webHidden/>
              </w:rPr>
              <w:tab/>
            </w:r>
            <w:r w:rsidR="00015CAD">
              <w:rPr>
                <w:webHidden/>
              </w:rPr>
              <w:fldChar w:fldCharType="begin"/>
            </w:r>
            <w:r w:rsidR="00015CAD">
              <w:rPr>
                <w:webHidden/>
              </w:rPr>
              <w:instrText xml:space="preserve"> PAGEREF _Toc34985625 \h </w:instrText>
            </w:r>
            <w:r w:rsidR="00015CAD">
              <w:rPr>
                <w:webHidden/>
              </w:rPr>
            </w:r>
            <w:r w:rsidR="00015CAD">
              <w:rPr>
                <w:webHidden/>
              </w:rPr>
              <w:fldChar w:fldCharType="separate"/>
            </w:r>
            <w:r w:rsidR="00015CAD">
              <w:rPr>
                <w:webHidden/>
              </w:rPr>
              <w:t>6</w:t>
            </w:r>
            <w:r w:rsidR="00015CAD">
              <w:rPr>
                <w:webHidden/>
              </w:rPr>
              <w:fldChar w:fldCharType="end"/>
            </w:r>
          </w:hyperlink>
        </w:p>
        <w:p w14:paraId="051EC248" w14:textId="4CF8E315" w:rsidR="00015CAD" w:rsidRDefault="005F6E6A">
          <w:pPr>
            <w:pStyle w:val="TOC2"/>
            <w:rPr>
              <w:rFonts w:asciiTheme="minorHAnsi" w:eastAsiaTheme="minorEastAsia" w:hAnsiTheme="minorHAnsi" w:cstheme="minorBidi"/>
              <w:sz w:val="22"/>
              <w:szCs w:val="22"/>
              <w:lang w:eastAsia="en-NZ"/>
            </w:rPr>
          </w:pPr>
          <w:hyperlink w:anchor="_Toc34985626" w:history="1">
            <w:r w:rsidR="00015CAD" w:rsidRPr="003448BC">
              <w:rPr>
                <w:rStyle w:val="Hyperlink"/>
              </w:rPr>
              <w:t>Key Vulnerabilities and High-Risk Factors</w:t>
            </w:r>
            <w:r w:rsidR="00015CAD">
              <w:rPr>
                <w:webHidden/>
              </w:rPr>
              <w:tab/>
            </w:r>
            <w:r w:rsidR="00015CAD">
              <w:rPr>
                <w:webHidden/>
              </w:rPr>
              <w:fldChar w:fldCharType="begin"/>
            </w:r>
            <w:r w:rsidR="00015CAD">
              <w:rPr>
                <w:webHidden/>
              </w:rPr>
              <w:instrText xml:space="preserve"> PAGEREF _Toc34985626 \h </w:instrText>
            </w:r>
            <w:r w:rsidR="00015CAD">
              <w:rPr>
                <w:webHidden/>
              </w:rPr>
            </w:r>
            <w:r w:rsidR="00015CAD">
              <w:rPr>
                <w:webHidden/>
              </w:rPr>
              <w:fldChar w:fldCharType="separate"/>
            </w:r>
            <w:r w:rsidR="00015CAD">
              <w:rPr>
                <w:webHidden/>
              </w:rPr>
              <w:t>6</w:t>
            </w:r>
            <w:r w:rsidR="00015CAD">
              <w:rPr>
                <w:webHidden/>
              </w:rPr>
              <w:fldChar w:fldCharType="end"/>
            </w:r>
          </w:hyperlink>
        </w:p>
        <w:p w14:paraId="080FEC52" w14:textId="2CC3D270" w:rsidR="00015CAD" w:rsidRDefault="005F6E6A">
          <w:pPr>
            <w:pStyle w:val="TOC2"/>
            <w:rPr>
              <w:rFonts w:asciiTheme="minorHAnsi" w:eastAsiaTheme="minorEastAsia" w:hAnsiTheme="minorHAnsi" w:cstheme="minorBidi"/>
              <w:sz w:val="22"/>
              <w:szCs w:val="22"/>
              <w:lang w:eastAsia="en-NZ"/>
            </w:rPr>
          </w:pPr>
          <w:hyperlink w:anchor="_Toc34985627" w:history="1">
            <w:r w:rsidR="00015CAD" w:rsidRPr="003448BC">
              <w:rPr>
                <w:rStyle w:val="Hyperlink"/>
              </w:rPr>
              <w:t>VASP-specific risk factors</w:t>
            </w:r>
            <w:r w:rsidR="00015CAD">
              <w:rPr>
                <w:webHidden/>
              </w:rPr>
              <w:tab/>
            </w:r>
            <w:r w:rsidR="00015CAD">
              <w:rPr>
                <w:webHidden/>
              </w:rPr>
              <w:fldChar w:fldCharType="begin"/>
            </w:r>
            <w:r w:rsidR="00015CAD">
              <w:rPr>
                <w:webHidden/>
              </w:rPr>
              <w:instrText xml:space="preserve"> PAGEREF _Toc34985627 \h </w:instrText>
            </w:r>
            <w:r w:rsidR="00015CAD">
              <w:rPr>
                <w:webHidden/>
              </w:rPr>
            </w:r>
            <w:r w:rsidR="00015CAD">
              <w:rPr>
                <w:webHidden/>
              </w:rPr>
              <w:fldChar w:fldCharType="separate"/>
            </w:r>
            <w:r w:rsidR="00015CAD">
              <w:rPr>
                <w:webHidden/>
              </w:rPr>
              <w:t>7</w:t>
            </w:r>
            <w:r w:rsidR="00015CAD">
              <w:rPr>
                <w:webHidden/>
              </w:rPr>
              <w:fldChar w:fldCharType="end"/>
            </w:r>
          </w:hyperlink>
        </w:p>
        <w:p w14:paraId="65E9C70D" w14:textId="305D1B94" w:rsidR="00015CAD" w:rsidRDefault="005F6E6A">
          <w:pPr>
            <w:pStyle w:val="TOC1"/>
            <w:rPr>
              <w:rFonts w:asciiTheme="minorHAnsi" w:eastAsiaTheme="minorEastAsia" w:hAnsiTheme="minorHAnsi" w:cstheme="minorBidi"/>
              <w:b w:val="0"/>
              <w:noProof/>
              <w:color w:val="auto"/>
              <w:sz w:val="22"/>
              <w:szCs w:val="22"/>
              <w:lang w:eastAsia="en-NZ"/>
            </w:rPr>
          </w:pPr>
          <w:hyperlink w:anchor="_Toc34985628" w:history="1">
            <w:r w:rsidR="00015CAD" w:rsidRPr="003448BC">
              <w:rPr>
                <w:rStyle w:val="Hyperlink"/>
                <w:noProof/>
              </w:rPr>
              <w:t>Your AML/CFT Supervisor</w:t>
            </w:r>
            <w:r w:rsidR="00015CAD">
              <w:rPr>
                <w:noProof/>
                <w:webHidden/>
              </w:rPr>
              <w:tab/>
            </w:r>
            <w:r w:rsidR="00015CAD">
              <w:rPr>
                <w:noProof/>
                <w:webHidden/>
              </w:rPr>
              <w:fldChar w:fldCharType="begin"/>
            </w:r>
            <w:r w:rsidR="00015CAD">
              <w:rPr>
                <w:noProof/>
                <w:webHidden/>
              </w:rPr>
              <w:instrText xml:space="preserve"> PAGEREF _Toc34985628 \h </w:instrText>
            </w:r>
            <w:r w:rsidR="00015CAD">
              <w:rPr>
                <w:noProof/>
                <w:webHidden/>
              </w:rPr>
            </w:r>
            <w:r w:rsidR="00015CAD">
              <w:rPr>
                <w:noProof/>
                <w:webHidden/>
              </w:rPr>
              <w:fldChar w:fldCharType="separate"/>
            </w:r>
            <w:r w:rsidR="00015CAD">
              <w:rPr>
                <w:noProof/>
                <w:webHidden/>
              </w:rPr>
              <w:t>9</w:t>
            </w:r>
            <w:r w:rsidR="00015CAD">
              <w:rPr>
                <w:noProof/>
                <w:webHidden/>
              </w:rPr>
              <w:fldChar w:fldCharType="end"/>
            </w:r>
          </w:hyperlink>
        </w:p>
        <w:p w14:paraId="54861F94" w14:textId="19AA1986" w:rsidR="00015CAD" w:rsidRDefault="005F6E6A">
          <w:pPr>
            <w:pStyle w:val="TOC2"/>
            <w:rPr>
              <w:rFonts w:asciiTheme="minorHAnsi" w:eastAsiaTheme="minorEastAsia" w:hAnsiTheme="minorHAnsi" w:cstheme="minorBidi"/>
              <w:sz w:val="22"/>
              <w:szCs w:val="22"/>
              <w:lang w:eastAsia="en-NZ"/>
            </w:rPr>
          </w:pPr>
          <w:hyperlink w:anchor="_Toc34985629" w:history="1">
            <w:r w:rsidR="00015CAD" w:rsidRPr="003448BC">
              <w:rPr>
                <w:rStyle w:val="Hyperlink"/>
              </w:rPr>
              <w:t>Who is my Supervisor?</w:t>
            </w:r>
            <w:r w:rsidR="00015CAD">
              <w:rPr>
                <w:webHidden/>
              </w:rPr>
              <w:tab/>
            </w:r>
            <w:r w:rsidR="00015CAD">
              <w:rPr>
                <w:webHidden/>
              </w:rPr>
              <w:fldChar w:fldCharType="begin"/>
            </w:r>
            <w:r w:rsidR="00015CAD">
              <w:rPr>
                <w:webHidden/>
              </w:rPr>
              <w:instrText xml:space="preserve"> PAGEREF _Toc34985629 \h </w:instrText>
            </w:r>
            <w:r w:rsidR="00015CAD">
              <w:rPr>
                <w:webHidden/>
              </w:rPr>
            </w:r>
            <w:r w:rsidR="00015CAD">
              <w:rPr>
                <w:webHidden/>
              </w:rPr>
              <w:fldChar w:fldCharType="separate"/>
            </w:r>
            <w:r w:rsidR="00015CAD">
              <w:rPr>
                <w:webHidden/>
              </w:rPr>
              <w:t>9</w:t>
            </w:r>
            <w:r w:rsidR="00015CAD">
              <w:rPr>
                <w:webHidden/>
              </w:rPr>
              <w:fldChar w:fldCharType="end"/>
            </w:r>
          </w:hyperlink>
        </w:p>
        <w:p w14:paraId="38765326" w14:textId="4602F9D3" w:rsidR="00015CAD" w:rsidRDefault="005F6E6A">
          <w:pPr>
            <w:pStyle w:val="TOC2"/>
            <w:rPr>
              <w:rFonts w:asciiTheme="minorHAnsi" w:eastAsiaTheme="minorEastAsia" w:hAnsiTheme="minorHAnsi" w:cstheme="minorBidi"/>
              <w:sz w:val="22"/>
              <w:szCs w:val="22"/>
              <w:lang w:eastAsia="en-NZ"/>
            </w:rPr>
          </w:pPr>
          <w:hyperlink w:anchor="_Toc34985630" w:history="1">
            <w:r w:rsidR="00015CAD" w:rsidRPr="003448BC">
              <w:rPr>
                <w:rStyle w:val="Hyperlink"/>
              </w:rPr>
              <w:t>What can I expect from my AML/CFT Supervisor?</w:t>
            </w:r>
            <w:r w:rsidR="00015CAD">
              <w:rPr>
                <w:webHidden/>
              </w:rPr>
              <w:tab/>
            </w:r>
            <w:r w:rsidR="00015CAD">
              <w:rPr>
                <w:webHidden/>
              </w:rPr>
              <w:fldChar w:fldCharType="begin"/>
            </w:r>
            <w:r w:rsidR="00015CAD">
              <w:rPr>
                <w:webHidden/>
              </w:rPr>
              <w:instrText xml:space="preserve"> PAGEREF _Toc34985630 \h </w:instrText>
            </w:r>
            <w:r w:rsidR="00015CAD">
              <w:rPr>
                <w:webHidden/>
              </w:rPr>
            </w:r>
            <w:r w:rsidR="00015CAD">
              <w:rPr>
                <w:webHidden/>
              </w:rPr>
              <w:fldChar w:fldCharType="separate"/>
            </w:r>
            <w:r w:rsidR="00015CAD">
              <w:rPr>
                <w:webHidden/>
              </w:rPr>
              <w:t>10</w:t>
            </w:r>
            <w:r w:rsidR="00015CAD">
              <w:rPr>
                <w:webHidden/>
              </w:rPr>
              <w:fldChar w:fldCharType="end"/>
            </w:r>
          </w:hyperlink>
        </w:p>
        <w:p w14:paraId="2E609F3D" w14:textId="0B395267" w:rsidR="00015CAD" w:rsidRDefault="005F6E6A">
          <w:pPr>
            <w:pStyle w:val="TOC3"/>
            <w:rPr>
              <w:rFonts w:asciiTheme="minorHAnsi" w:eastAsiaTheme="minorEastAsia" w:hAnsiTheme="minorHAnsi" w:cstheme="minorBidi"/>
              <w:sz w:val="22"/>
              <w:szCs w:val="22"/>
              <w:lang w:eastAsia="en-NZ"/>
            </w:rPr>
          </w:pPr>
          <w:hyperlink w:anchor="_Toc34985631" w:history="1">
            <w:r w:rsidR="00015CAD" w:rsidRPr="003448BC">
              <w:rPr>
                <w:rStyle w:val="Hyperlink"/>
              </w:rPr>
              <w:t>The Department’s regulatory approach</w:t>
            </w:r>
            <w:r w:rsidR="00015CAD">
              <w:rPr>
                <w:webHidden/>
              </w:rPr>
              <w:tab/>
            </w:r>
            <w:r w:rsidR="00015CAD">
              <w:rPr>
                <w:webHidden/>
              </w:rPr>
              <w:fldChar w:fldCharType="begin"/>
            </w:r>
            <w:r w:rsidR="00015CAD">
              <w:rPr>
                <w:webHidden/>
              </w:rPr>
              <w:instrText xml:space="preserve"> PAGEREF _Toc34985631 \h </w:instrText>
            </w:r>
            <w:r w:rsidR="00015CAD">
              <w:rPr>
                <w:webHidden/>
              </w:rPr>
            </w:r>
            <w:r w:rsidR="00015CAD">
              <w:rPr>
                <w:webHidden/>
              </w:rPr>
              <w:fldChar w:fldCharType="separate"/>
            </w:r>
            <w:r w:rsidR="00015CAD">
              <w:rPr>
                <w:webHidden/>
              </w:rPr>
              <w:t>10</w:t>
            </w:r>
            <w:r w:rsidR="00015CAD">
              <w:rPr>
                <w:webHidden/>
              </w:rPr>
              <w:fldChar w:fldCharType="end"/>
            </w:r>
          </w:hyperlink>
        </w:p>
        <w:p w14:paraId="4BC9B71C" w14:textId="0904B921" w:rsidR="00015CAD" w:rsidRDefault="005F6E6A">
          <w:pPr>
            <w:pStyle w:val="TOC3"/>
            <w:rPr>
              <w:rFonts w:asciiTheme="minorHAnsi" w:eastAsiaTheme="minorEastAsia" w:hAnsiTheme="minorHAnsi" w:cstheme="minorBidi"/>
              <w:sz w:val="22"/>
              <w:szCs w:val="22"/>
              <w:lang w:eastAsia="en-NZ"/>
            </w:rPr>
          </w:pPr>
          <w:hyperlink w:anchor="_Toc34985632" w:history="1">
            <w:r w:rsidR="00015CAD" w:rsidRPr="003448BC">
              <w:rPr>
                <w:rStyle w:val="Hyperlink"/>
              </w:rPr>
              <w:t>Monitoring and enforcement</w:t>
            </w:r>
            <w:r w:rsidR="00015CAD">
              <w:rPr>
                <w:webHidden/>
              </w:rPr>
              <w:tab/>
            </w:r>
            <w:r w:rsidR="00015CAD">
              <w:rPr>
                <w:webHidden/>
              </w:rPr>
              <w:fldChar w:fldCharType="begin"/>
            </w:r>
            <w:r w:rsidR="00015CAD">
              <w:rPr>
                <w:webHidden/>
              </w:rPr>
              <w:instrText xml:space="preserve"> PAGEREF _Toc34985632 \h </w:instrText>
            </w:r>
            <w:r w:rsidR="00015CAD">
              <w:rPr>
                <w:webHidden/>
              </w:rPr>
            </w:r>
            <w:r w:rsidR="00015CAD">
              <w:rPr>
                <w:webHidden/>
              </w:rPr>
              <w:fldChar w:fldCharType="separate"/>
            </w:r>
            <w:r w:rsidR="00015CAD">
              <w:rPr>
                <w:webHidden/>
              </w:rPr>
              <w:t>11</w:t>
            </w:r>
            <w:r w:rsidR="00015CAD">
              <w:rPr>
                <w:webHidden/>
              </w:rPr>
              <w:fldChar w:fldCharType="end"/>
            </w:r>
          </w:hyperlink>
        </w:p>
        <w:p w14:paraId="14827FBF" w14:textId="68D7494C" w:rsidR="00015CAD" w:rsidRDefault="005F6E6A">
          <w:pPr>
            <w:pStyle w:val="TOC3"/>
            <w:rPr>
              <w:rFonts w:asciiTheme="minorHAnsi" w:eastAsiaTheme="minorEastAsia" w:hAnsiTheme="minorHAnsi" w:cstheme="minorBidi"/>
              <w:sz w:val="22"/>
              <w:szCs w:val="22"/>
              <w:lang w:eastAsia="en-NZ"/>
            </w:rPr>
          </w:pPr>
          <w:hyperlink w:anchor="_Toc34985633" w:history="1">
            <w:r w:rsidR="00015CAD" w:rsidRPr="003448BC">
              <w:rPr>
                <w:rStyle w:val="Hyperlink"/>
              </w:rPr>
              <w:t>Investigations of ML/TF</w:t>
            </w:r>
            <w:r w:rsidR="00015CAD">
              <w:rPr>
                <w:webHidden/>
              </w:rPr>
              <w:tab/>
            </w:r>
            <w:r w:rsidR="00015CAD">
              <w:rPr>
                <w:webHidden/>
              </w:rPr>
              <w:fldChar w:fldCharType="begin"/>
            </w:r>
            <w:r w:rsidR="00015CAD">
              <w:rPr>
                <w:webHidden/>
              </w:rPr>
              <w:instrText xml:space="preserve"> PAGEREF _Toc34985633 \h </w:instrText>
            </w:r>
            <w:r w:rsidR="00015CAD">
              <w:rPr>
                <w:webHidden/>
              </w:rPr>
            </w:r>
            <w:r w:rsidR="00015CAD">
              <w:rPr>
                <w:webHidden/>
              </w:rPr>
              <w:fldChar w:fldCharType="separate"/>
            </w:r>
            <w:r w:rsidR="00015CAD">
              <w:rPr>
                <w:webHidden/>
              </w:rPr>
              <w:t>11</w:t>
            </w:r>
            <w:r w:rsidR="00015CAD">
              <w:rPr>
                <w:webHidden/>
              </w:rPr>
              <w:fldChar w:fldCharType="end"/>
            </w:r>
          </w:hyperlink>
        </w:p>
        <w:p w14:paraId="6D6B7C4E" w14:textId="6A423BA6" w:rsidR="00015CAD" w:rsidRDefault="005F6E6A">
          <w:pPr>
            <w:pStyle w:val="TOC1"/>
            <w:rPr>
              <w:rFonts w:asciiTheme="minorHAnsi" w:eastAsiaTheme="minorEastAsia" w:hAnsiTheme="minorHAnsi" w:cstheme="minorBidi"/>
              <w:b w:val="0"/>
              <w:noProof/>
              <w:color w:val="auto"/>
              <w:sz w:val="22"/>
              <w:szCs w:val="22"/>
              <w:lang w:eastAsia="en-NZ"/>
            </w:rPr>
          </w:pPr>
          <w:hyperlink w:anchor="_Toc34985634" w:history="1">
            <w:r w:rsidR="00015CAD" w:rsidRPr="003448BC">
              <w:rPr>
                <w:rStyle w:val="Hyperlink"/>
                <w:noProof/>
              </w:rPr>
              <w:t>Compliance Obligations</w:t>
            </w:r>
            <w:r w:rsidR="00015CAD">
              <w:rPr>
                <w:noProof/>
                <w:webHidden/>
              </w:rPr>
              <w:tab/>
            </w:r>
            <w:r w:rsidR="00015CAD">
              <w:rPr>
                <w:noProof/>
                <w:webHidden/>
              </w:rPr>
              <w:fldChar w:fldCharType="begin"/>
            </w:r>
            <w:r w:rsidR="00015CAD">
              <w:rPr>
                <w:noProof/>
                <w:webHidden/>
              </w:rPr>
              <w:instrText xml:space="preserve"> PAGEREF _Toc34985634 \h </w:instrText>
            </w:r>
            <w:r w:rsidR="00015CAD">
              <w:rPr>
                <w:noProof/>
                <w:webHidden/>
              </w:rPr>
            </w:r>
            <w:r w:rsidR="00015CAD">
              <w:rPr>
                <w:noProof/>
                <w:webHidden/>
              </w:rPr>
              <w:fldChar w:fldCharType="separate"/>
            </w:r>
            <w:r w:rsidR="00015CAD">
              <w:rPr>
                <w:noProof/>
                <w:webHidden/>
              </w:rPr>
              <w:t>12</w:t>
            </w:r>
            <w:r w:rsidR="00015CAD">
              <w:rPr>
                <w:noProof/>
                <w:webHidden/>
              </w:rPr>
              <w:fldChar w:fldCharType="end"/>
            </w:r>
          </w:hyperlink>
        </w:p>
        <w:p w14:paraId="4F8CA5D6" w14:textId="4D205CC4" w:rsidR="00015CAD" w:rsidRDefault="005F6E6A">
          <w:pPr>
            <w:pStyle w:val="TOC2"/>
            <w:rPr>
              <w:rFonts w:asciiTheme="minorHAnsi" w:eastAsiaTheme="minorEastAsia" w:hAnsiTheme="minorHAnsi" w:cstheme="minorBidi"/>
              <w:sz w:val="22"/>
              <w:szCs w:val="22"/>
              <w:lang w:eastAsia="en-NZ"/>
            </w:rPr>
          </w:pPr>
          <w:hyperlink w:anchor="_Toc34985635" w:history="1">
            <w:r w:rsidR="00015CAD" w:rsidRPr="003448BC">
              <w:rPr>
                <w:rStyle w:val="Hyperlink"/>
              </w:rPr>
              <w:t>Compliance Officer</w:t>
            </w:r>
            <w:r w:rsidR="00015CAD">
              <w:rPr>
                <w:webHidden/>
              </w:rPr>
              <w:tab/>
            </w:r>
            <w:r w:rsidR="00015CAD">
              <w:rPr>
                <w:webHidden/>
              </w:rPr>
              <w:fldChar w:fldCharType="begin"/>
            </w:r>
            <w:r w:rsidR="00015CAD">
              <w:rPr>
                <w:webHidden/>
              </w:rPr>
              <w:instrText xml:space="preserve"> PAGEREF _Toc34985635 \h </w:instrText>
            </w:r>
            <w:r w:rsidR="00015CAD">
              <w:rPr>
                <w:webHidden/>
              </w:rPr>
            </w:r>
            <w:r w:rsidR="00015CAD">
              <w:rPr>
                <w:webHidden/>
              </w:rPr>
              <w:fldChar w:fldCharType="separate"/>
            </w:r>
            <w:r w:rsidR="00015CAD">
              <w:rPr>
                <w:webHidden/>
              </w:rPr>
              <w:t>12</w:t>
            </w:r>
            <w:r w:rsidR="00015CAD">
              <w:rPr>
                <w:webHidden/>
              </w:rPr>
              <w:fldChar w:fldCharType="end"/>
            </w:r>
          </w:hyperlink>
        </w:p>
        <w:p w14:paraId="61C2D2FD" w14:textId="4FFC55EE" w:rsidR="00015CAD" w:rsidRDefault="005F6E6A">
          <w:pPr>
            <w:pStyle w:val="TOC2"/>
            <w:rPr>
              <w:rFonts w:asciiTheme="minorHAnsi" w:eastAsiaTheme="minorEastAsia" w:hAnsiTheme="minorHAnsi" w:cstheme="minorBidi"/>
              <w:sz w:val="22"/>
              <w:szCs w:val="22"/>
              <w:lang w:eastAsia="en-NZ"/>
            </w:rPr>
          </w:pPr>
          <w:hyperlink w:anchor="_Toc34985636" w:history="1">
            <w:r w:rsidR="00015CAD" w:rsidRPr="003448BC">
              <w:rPr>
                <w:rStyle w:val="Hyperlink"/>
              </w:rPr>
              <w:t>Risk Assessment</w:t>
            </w:r>
            <w:r w:rsidR="00015CAD">
              <w:rPr>
                <w:webHidden/>
              </w:rPr>
              <w:tab/>
            </w:r>
            <w:r w:rsidR="00015CAD">
              <w:rPr>
                <w:webHidden/>
              </w:rPr>
              <w:fldChar w:fldCharType="begin"/>
            </w:r>
            <w:r w:rsidR="00015CAD">
              <w:rPr>
                <w:webHidden/>
              </w:rPr>
              <w:instrText xml:space="preserve"> PAGEREF _Toc34985636 \h </w:instrText>
            </w:r>
            <w:r w:rsidR="00015CAD">
              <w:rPr>
                <w:webHidden/>
              </w:rPr>
            </w:r>
            <w:r w:rsidR="00015CAD">
              <w:rPr>
                <w:webHidden/>
              </w:rPr>
              <w:fldChar w:fldCharType="separate"/>
            </w:r>
            <w:r w:rsidR="00015CAD">
              <w:rPr>
                <w:webHidden/>
              </w:rPr>
              <w:t>12</w:t>
            </w:r>
            <w:r w:rsidR="00015CAD">
              <w:rPr>
                <w:webHidden/>
              </w:rPr>
              <w:fldChar w:fldCharType="end"/>
            </w:r>
          </w:hyperlink>
        </w:p>
        <w:p w14:paraId="0A25225C" w14:textId="0E3705C1" w:rsidR="00015CAD" w:rsidRDefault="005F6E6A">
          <w:pPr>
            <w:pStyle w:val="TOC3"/>
            <w:rPr>
              <w:rFonts w:asciiTheme="minorHAnsi" w:eastAsiaTheme="minorEastAsia" w:hAnsiTheme="minorHAnsi" w:cstheme="minorBidi"/>
              <w:sz w:val="22"/>
              <w:szCs w:val="22"/>
              <w:lang w:eastAsia="en-NZ"/>
            </w:rPr>
          </w:pPr>
          <w:hyperlink w:anchor="_Toc34985637" w:history="1">
            <w:r w:rsidR="00015CAD" w:rsidRPr="003448BC">
              <w:rPr>
                <w:rStyle w:val="Hyperlink"/>
              </w:rPr>
              <w:t>Assessing your ML/TF Risks</w:t>
            </w:r>
            <w:r w:rsidR="00015CAD">
              <w:rPr>
                <w:webHidden/>
              </w:rPr>
              <w:tab/>
            </w:r>
            <w:r w:rsidR="00015CAD">
              <w:rPr>
                <w:webHidden/>
              </w:rPr>
              <w:fldChar w:fldCharType="begin"/>
            </w:r>
            <w:r w:rsidR="00015CAD">
              <w:rPr>
                <w:webHidden/>
              </w:rPr>
              <w:instrText xml:space="preserve"> PAGEREF _Toc34985637 \h </w:instrText>
            </w:r>
            <w:r w:rsidR="00015CAD">
              <w:rPr>
                <w:webHidden/>
              </w:rPr>
            </w:r>
            <w:r w:rsidR="00015CAD">
              <w:rPr>
                <w:webHidden/>
              </w:rPr>
              <w:fldChar w:fldCharType="separate"/>
            </w:r>
            <w:r w:rsidR="00015CAD">
              <w:rPr>
                <w:webHidden/>
              </w:rPr>
              <w:t>13</w:t>
            </w:r>
            <w:r w:rsidR="00015CAD">
              <w:rPr>
                <w:webHidden/>
              </w:rPr>
              <w:fldChar w:fldCharType="end"/>
            </w:r>
          </w:hyperlink>
        </w:p>
        <w:p w14:paraId="4DA3CCDB" w14:textId="41F8CFCA" w:rsidR="00015CAD" w:rsidRDefault="005F6E6A">
          <w:pPr>
            <w:pStyle w:val="TOC3"/>
            <w:rPr>
              <w:rFonts w:asciiTheme="minorHAnsi" w:eastAsiaTheme="minorEastAsia" w:hAnsiTheme="minorHAnsi" w:cstheme="minorBidi"/>
              <w:sz w:val="22"/>
              <w:szCs w:val="22"/>
              <w:lang w:eastAsia="en-NZ"/>
            </w:rPr>
          </w:pPr>
          <w:hyperlink w:anchor="_Toc34985638" w:history="1">
            <w:r w:rsidR="00015CAD" w:rsidRPr="003448BC">
              <w:rPr>
                <w:rStyle w:val="Hyperlink"/>
              </w:rPr>
              <w:t>New or developing technologies, or products, that might favour anonymity</w:t>
            </w:r>
            <w:r w:rsidR="00015CAD">
              <w:rPr>
                <w:webHidden/>
              </w:rPr>
              <w:tab/>
            </w:r>
            <w:r w:rsidR="00015CAD">
              <w:rPr>
                <w:webHidden/>
              </w:rPr>
              <w:fldChar w:fldCharType="begin"/>
            </w:r>
            <w:r w:rsidR="00015CAD">
              <w:rPr>
                <w:webHidden/>
              </w:rPr>
              <w:instrText xml:space="preserve"> PAGEREF _Toc34985638 \h </w:instrText>
            </w:r>
            <w:r w:rsidR="00015CAD">
              <w:rPr>
                <w:webHidden/>
              </w:rPr>
            </w:r>
            <w:r w:rsidR="00015CAD">
              <w:rPr>
                <w:webHidden/>
              </w:rPr>
              <w:fldChar w:fldCharType="separate"/>
            </w:r>
            <w:r w:rsidR="00015CAD">
              <w:rPr>
                <w:webHidden/>
              </w:rPr>
              <w:t>15</w:t>
            </w:r>
            <w:r w:rsidR="00015CAD">
              <w:rPr>
                <w:webHidden/>
              </w:rPr>
              <w:fldChar w:fldCharType="end"/>
            </w:r>
          </w:hyperlink>
        </w:p>
        <w:p w14:paraId="1FF6D88F" w14:textId="2D12060D" w:rsidR="00015CAD" w:rsidRDefault="005F6E6A">
          <w:pPr>
            <w:pStyle w:val="TOC2"/>
            <w:rPr>
              <w:rFonts w:asciiTheme="minorHAnsi" w:eastAsiaTheme="minorEastAsia" w:hAnsiTheme="minorHAnsi" w:cstheme="minorBidi"/>
              <w:sz w:val="22"/>
              <w:szCs w:val="22"/>
              <w:lang w:eastAsia="en-NZ"/>
            </w:rPr>
          </w:pPr>
          <w:hyperlink w:anchor="_Toc34985639" w:history="1">
            <w:r w:rsidR="00015CAD" w:rsidRPr="003448BC">
              <w:rPr>
                <w:rStyle w:val="Hyperlink"/>
              </w:rPr>
              <w:t>AML/CFT Programme</w:t>
            </w:r>
            <w:r w:rsidR="00015CAD">
              <w:rPr>
                <w:webHidden/>
              </w:rPr>
              <w:tab/>
            </w:r>
            <w:r w:rsidR="00015CAD">
              <w:rPr>
                <w:webHidden/>
              </w:rPr>
              <w:fldChar w:fldCharType="begin"/>
            </w:r>
            <w:r w:rsidR="00015CAD">
              <w:rPr>
                <w:webHidden/>
              </w:rPr>
              <w:instrText xml:space="preserve"> PAGEREF _Toc34985639 \h </w:instrText>
            </w:r>
            <w:r w:rsidR="00015CAD">
              <w:rPr>
                <w:webHidden/>
              </w:rPr>
            </w:r>
            <w:r w:rsidR="00015CAD">
              <w:rPr>
                <w:webHidden/>
              </w:rPr>
              <w:fldChar w:fldCharType="separate"/>
            </w:r>
            <w:r w:rsidR="00015CAD">
              <w:rPr>
                <w:webHidden/>
              </w:rPr>
              <w:t>15</w:t>
            </w:r>
            <w:r w:rsidR="00015CAD">
              <w:rPr>
                <w:webHidden/>
              </w:rPr>
              <w:fldChar w:fldCharType="end"/>
            </w:r>
          </w:hyperlink>
        </w:p>
        <w:p w14:paraId="5BDEA81C" w14:textId="007D1B8A" w:rsidR="00015CAD" w:rsidRDefault="005F6E6A">
          <w:pPr>
            <w:pStyle w:val="TOC2"/>
            <w:rPr>
              <w:rFonts w:asciiTheme="minorHAnsi" w:eastAsiaTheme="minorEastAsia" w:hAnsiTheme="minorHAnsi" w:cstheme="minorBidi"/>
              <w:sz w:val="22"/>
              <w:szCs w:val="22"/>
              <w:lang w:eastAsia="en-NZ"/>
            </w:rPr>
          </w:pPr>
          <w:hyperlink w:anchor="_Toc34985640" w:history="1">
            <w:r w:rsidR="00015CAD" w:rsidRPr="003448BC">
              <w:rPr>
                <w:rStyle w:val="Hyperlink"/>
              </w:rPr>
              <w:t>Annual Reports, Audits, and Recordkeeping</w:t>
            </w:r>
            <w:r w:rsidR="00015CAD">
              <w:rPr>
                <w:webHidden/>
              </w:rPr>
              <w:tab/>
            </w:r>
            <w:r w:rsidR="00015CAD">
              <w:rPr>
                <w:webHidden/>
              </w:rPr>
              <w:fldChar w:fldCharType="begin"/>
            </w:r>
            <w:r w:rsidR="00015CAD">
              <w:rPr>
                <w:webHidden/>
              </w:rPr>
              <w:instrText xml:space="preserve"> PAGEREF _Toc34985640 \h </w:instrText>
            </w:r>
            <w:r w:rsidR="00015CAD">
              <w:rPr>
                <w:webHidden/>
              </w:rPr>
            </w:r>
            <w:r w:rsidR="00015CAD">
              <w:rPr>
                <w:webHidden/>
              </w:rPr>
              <w:fldChar w:fldCharType="separate"/>
            </w:r>
            <w:r w:rsidR="00015CAD">
              <w:rPr>
                <w:webHidden/>
              </w:rPr>
              <w:t>17</w:t>
            </w:r>
            <w:r w:rsidR="00015CAD">
              <w:rPr>
                <w:webHidden/>
              </w:rPr>
              <w:fldChar w:fldCharType="end"/>
            </w:r>
          </w:hyperlink>
        </w:p>
        <w:p w14:paraId="07E422ED" w14:textId="65C20A57" w:rsidR="00015CAD" w:rsidRDefault="005F6E6A">
          <w:pPr>
            <w:pStyle w:val="TOC3"/>
            <w:rPr>
              <w:rFonts w:asciiTheme="minorHAnsi" w:eastAsiaTheme="minorEastAsia" w:hAnsiTheme="minorHAnsi" w:cstheme="minorBidi"/>
              <w:sz w:val="22"/>
              <w:szCs w:val="22"/>
              <w:lang w:eastAsia="en-NZ"/>
            </w:rPr>
          </w:pPr>
          <w:hyperlink w:anchor="_Toc34985641" w:history="1">
            <w:r w:rsidR="00015CAD" w:rsidRPr="003448BC">
              <w:rPr>
                <w:rStyle w:val="Hyperlink"/>
              </w:rPr>
              <w:t>Annual Report</w:t>
            </w:r>
            <w:r w:rsidR="00015CAD">
              <w:rPr>
                <w:webHidden/>
              </w:rPr>
              <w:tab/>
            </w:r>
            <w:r w:rsidR="00015CAD">
              <w:rPr>
                <w:webHidden/>
              </w:rPr>
              <w:fldChar w:fldCharType="begin"/>
            </w:r>
            <w:r w:rsidR="00015CAD">
              <w:rPr>
                <w:webHidden/>
              </w:rPr>
              <w:instrText xml:space="preserve"> PAGEREF _Toc34985641 \h </w:instrText>
            </w:r>
            <w:r w:rsidR="00015CAD">
              <w:rPr>
                <w:webHidden/>
              </w:rPr>
            </w:r>
            <w:r w:rsidR="00015CAD">
              <w:rPr>
                <w:webHidden/>
              </w:rPr>
              <w:fldChar w:fldCharType="separate"/>
            </w:r>
            <w:r w:rsidR="00015CAD">
              <w:rPr>
                <w:webHidden/>
              </w:rPr>
              <w:t>17</w:t>
            </w:r>
            <w:r w:rsidR="00015CAD">
              <w:rPr>
                <w:webHidden/>
              </w:rPr>
              <w:fldChar w:fldCharType="end"/>
            </w:r>
          </w:hyperlink>
        </w:p>
        <w:p w14:paraId="561C8F06" w14:textId="6E05C247" w:rsidR="00015CAD" w:rsidRDefault="005F6E6A">
          <w:pPr>
            <w:pStyle w:val="TOC3"/>
            <w:rPr>
              <w:rFonts w:asciiTheme="minorHAnsi" w:eastAsiaTheme="minorEastAsia" w:hAnsiTheme="minorHAnsi" w:cstheme="minorBidi"/>
              <w:sz w:val="22"/>
              <w:szCs w:val="22"/>
              <w:lang w:eastAsia="en-NZ"/>
            </w:rPr>
          </w:pPr>
          <w:hyperlink w:anchor="_Toc34985642" w:history="1">
            <w:r w:rsidR="00015CAD" w:rsidRPr="003448BC">
              <w:rPr>
                <w:rStyle w:val="Hyperlink"/>
              </w:rPr>
              <w:t>Independent AML/CFT Audits</w:t>
            </w:r>
            <w:r w:rsidR="00015CAD">
              <w:rPr>
                <w:webHidden/>
              </w:rPr>
              <w:tab/>
            </w:r>
            <w:r w:rsidR="00015CAD">
              <w:rPr>
                <w:webHidden/>
              </w:rPr>
              <w:fldChar w:fldCharType="begin"/>
            </w:r>
            <w:r w:rsidR="00015CAD">
              <w:rPr>
                <w:webHidden/>
              </w:rPr>
              <w:instrText xml:space="preserve"> PAGEREF _Toc34985642 \h </w:instrText>
            </w:r>
            <w:r w:rsidR="00015CAD">
              <w:rPr>
                <w:webHidden/>
              </w:rPr>
            </w:r>
            <w:r w:rsidR="00015CAD">
              <w:rPr>
                <w:webHidden/>
              </w:rPr>
              <w:fldChar w:fldCharType="separate"/>
            </w:r>
            <w:r w:rsidR="00015CAD">
              <w:rPr>
                <w:webHidden/>
              </w:rPr>
              <w:t>17</w:t>
            </w:r>
            <w:r w:rsidR="00015CAD">
              <w:rPr>
                <w:webHidden/>
              </w:rPr>
              <w:fldChar w:fldCharType="end"/>
            </w:r>
          </w:hyperlink>
        </w:p>
        <w:p w14:paraId="20A7CA79" w14:textId="1769D4B5" w:rsidR="00015CAD" w:rsidRDefault="005F6E6A">
          <w:pPr>
            <w:pStyle w:val="TOC3"/>
            <w:rPr>
              <w:rFonts w:asciiTheme="minorHAnsi" w:eastAsiaTheme="minorEastAsia" w:hAnsiTheme="minorHAnsi" w:cstheme="minorBidi"/>
              <w:sz w:val="22"/>
              <w:szCs w:val="22"/>
              <w:lang w:eastAsia="en-NZ"/>
            </w:rPr>
          </w:pPr>
          <w:hyperlink w:anchor="_Toc34985643" w:history="1">
            <w:r w:rsidR="00015CAD" w:rsidRPr="003448BC">
              <w:rPr>
                <w:rStyle w:val="Hyperlink"/>
              </w:rPr>
              <w:t>Record keeping</w:t>
            </w:r>
            <w:r w:rsidR="00015CAD">
              <w:rPr>
                <w:webHidden/>
              </w:rPr>
              <w:tab/>
            </w:r>
            <w:r w:rsidR="00015CAD">
              <w:rPr>
                <w:webHidden/>
              </w:rPr>
              <w:fldChar w:fldCharType="begin"/>
            </w:r>
            <w:r w:rsidR="00015CAD">
              <w:rPr>
                <w:webHidden/>
              </w:rPr>
              <w:instrText xml:space="preserve"> PAGEREF _Toc34985643 \h </w:instrText>
            </w:r>
            <w:r w:rsidR="00015CAD">
              <w:rPr>
                <w:webHidden/>
              </w:rPr>
            </w:r>
            <w:r w:rsidR="00015CAD">
              <w:rPr>
                <w:webHidden/>
              </w:rPr>
              <w:fldChar w:fldCharType="separate"/>
            </w:r>
            <w:r w:rsidR="00015CAD">
              <w:rPr>
                <w:webHidden/>
              </w:rPr>
              <w:t>18</w:t>
            </w:r>
            <w:r w:rsidR="00015CAD">
              <w:rPr>
                <w:webHidden/>
              </w:rPr>
              <w:fldChar w:fldCharType="end"/>
            </w:r>
          </w:hyperlink>
        </w:p>
        <w:p w14:paraId="600F5002" w14:textId="17E6EBFE" w:rsidR="00015CAD" w:rsidRDefault="005F6E6A">
          <w:pPr>
            <w:pStyle w:val="TOC2"/>
            <w:rPr>
              <w:rFonts w:asciiTheme="minorHAnsi" w:eastAsiaTheme="minorEastAsia" w:hAnsiTheme="minorHAnsi" w:cstheme="minorBidi"/>
              <w:sz w:val="22"/>
              <w:szCs w:val="22"/>
              <w:lang w:eastAsia="en-NZ"/>
            </w:rPr>
          </w:pPr>
          <w:hyperlink w:anchor="_Toc34985644" w:history="1">
            <w:r w:rsidR="00015CAD" w:rsidRPr="003448BC">
              <w:rPr>
                <w:rStyle w:val="Hyperlink"/>
              </w:rPr>
              <w:t>Wire transfers</w:t>
            </w:r>
            <w:r w:rsidR="00015CAD">
              <w:rPr>
                <w:webHidden/>
              </w:rPr>
              <w:tab/>
            </w:r>
            <w:r w:rsidR="00015CAD">
              <w:rPr>
                <w:webHidden/>
              </w:rPr>
              <w:fldChar w:fldCharType="begin"/>
            </w:r>
            <w:r w:rsidR="00015CAD">
              <w:rPr>
                <w:webHidden/>
              </w:rPr>
              <w:instrText xml:space="preserve"> PAGEREF _Toc34985644 \h </w:instrText>
            </w:r>
            <w:r w:rsidR="00015CAD">
              <w:rPr>
                <w:webHidden/>
              </w:rPr>
            </w:r>
            <w:r w:rsidR="00015CAD">
              <w:rPr>
                <w:webHidden/>
              </w:rPr>
              <w:fldChar w:fldCharType="separate"/>
            </w:r>
            <w:r w:rsidR="00015CAD">
              <w:rPr>
                <w:webHidden/>
              </w:rPr>
              <w:t>18</w:t>
            </w:r>
            <w:r w:rsidR="00015CAD">
              <w:rPr>
                <w:webHidden/>
              </w:rPr>
              <w:fldChar w:fldCharType="end"/>
            </w:r>
          </w:hyperlink>
        </w:p>
        <w:p w14:paraId="467D4494" w14:textId="29BB4BEA" w:rsidR="00015CAD" w:rsidRDefault="005F6E6A">
          <w:pPr>
            <w:pStyle w:val="TOC2"/>
            <w:rPr>
              <w:rFonts w:asciiTheme="minorHAnsi" w:eastAsiaTheme="minorEastAsia" w:hAnsiTheme="minorHAnsi" w:cstheme="minorBidi"/>
              <w:sz w:val="22"/>
              <w:szCs w:val="22"/>
              <w:lang w:eastAsia="en-NZ"/>
            </w:rPr>
          </w:pPr>
          <w:hyperlink w:anchor="_Toc34985645" w:history="1">
            <w:r w:rsidR="00015CAD" w:rsidRPr="003448BC">
              <w:rPr>
                <w:rStyle w:val="Hyperlink"/>
              </w:rPr>
              <w:t>Reporting Transactions</w:t>
            </w:r>
            <w:r w:rsidR="00015CAD">
              <w:rPr>
                <w:webHidden/>
              </w:rPr>
              <w:tab/>
            </w:r>
            <w:r w:rsidR="00015CAD">
              <w:rPr>
                <w:webHidden/>
              </w:rPr>
              <w:fldChar w:fldCharType="begin"/>
            </w:r>
            <w:r w:rsidR="00015CAD">
              <w:rPr>
                <w:webHidden/>
              </w:rPr>
              <w:instrText xml:space="preserve"> PAGEREF _Toc34985645 \h </w:instrText>
            </w:r>
            <w:r w:rsidR="00015CAD">
              <w:rPr>
                <w:webHidden/>
              </w:rPr>
            </w:r>
            <w:r w:rsidR="00015CAD">
              <w:rPr>
                <w:webHidden/>
              </w:rPr>
              <w:fldChar w:fldCharType="separate"/>
            </w:r>
            <w:r w:rsidR="00015CAD">
              <w:rPr>
                <w:webHidden/>
              </w:rPr>
              <w:t>19</w:t>
            </w:r>
            <w:r w:rsidR="00015CAD">
              <w:rPr>
                <w:webHidden/>
              </w:rPr>
              <w:fldChar w:fldCharType="end"/>
            </w:r>
          </w:hyperlink>
        </w:p>
        <w:p w14:paraId="4EBCB22A" w14:textId="7C969D7F" w:rsidR="00015CAD" w:rsidRDefault="005F6E6A">
          <w:pPr>
            <w:pStyle w:val="TOC3"/>
            <w:rPr>
              <w:rFonts w:asciiTheme="minorHAnsi" w:eastAsiaTheme="minorEastAsia" w:hAnsiTheme="minorHAnsi" w:cstheme="minorBidi"/>
              <w:sz w:val="22"/>
              <w:szCs w:val="22"/>
              <w:lang w:eastAsia="en-NZ"/>
            </w:rPr>
          </w:pPr>
          <w:hyperlink w:anchor="_Toc34985646" w:history="1">
            <w:r w:rsidR="00015CAD" w:rsidRPr="003448BC">
              <w:rPr>
                <w:rStyle w:val="Hyperlink"/>
              </w:rPr>
              <w:t>Suspicious Activities and Transactions</w:t>
            </w:r>
            <w:r w:rsidR="00015CAD">
              <w:rPr>
                <w:webHidden/>
              </w:rPr>
              <w:tab/>
            </w:r>
            <w:r w:rsidR="00015CAD">
              <w:rPr>
                <w:webHidden/>
              </w:rPr>
              <w:fldChar w:fldCharType="begin"/>
            </w:r>
            <w:r w:rsidR="00015CAD">
              <w:rPr>
                <w:webHidden/>
              </w:rPr>
              <w:instrText xml:space="preserve"> PAGEREF _Toc34985646 \h </w:instrText>
            </w:r>
            <w:r w:rsidR="00015CAD">
              <w:rPr>
                <w:webHidden/>
              </w:rPr>
            </w:r>
            <w:r w:rsidR="00015CAD">
              <w:rPr>
                <w:webHidden/>
              </w:rPr>
              <w:fldChar w:fldCharType="separate"/>
            </w:r>
            <w:r w:rsidR="00015CAD">
              <w:rPr>
                <w:webHidden/>
              </w:rPr>
              <w:t>19</w:t>
            </w:r>
            <w:r w:rsidR="00015CAD">
              <w:rPr>
                <w:webHidden/>
              </w:rPr>
              <w:fldChar w:fldCharType="end"/>
            </w:r>
          </w:hyperlink>
        </w:p>
        <w:p w14:paraId="380BCB47" w14:textId="45DBCADC" w:rsidR="00015CAD" w:rsidRDefault="005F6E6A">
          <w:pPr>
            <w:pStyle w:val="TOC3"/>
            <w:rPr>
              <w:rFonts w:asciiTheme="minorHAnsi" w:eastAsiaTheme="minorEastAsia" w:hAnsiTheme="minorHAnsi" w:cstheme="minorBidi"/>
              <w:sz w:val="22"/>
              <w:szCs w:val="22"/>
              <w:lang w:eastAsia="en-NZ"/>
            </w:rPr>
          </w:pPr>
          <w:hyperlink w:anchor="_Toc34985647" w:history="1">
            <w:r w:rsidR="00015CAD" w:rsidRPr="003448BC">
              <w:rPr>
                <w:rStyle w:val="Hyperlink"/>
              </w:rPr>
              <w:t>Prescribed Transactions</w:t>
            </w:r>
            <w:r w:rsidR="00015CAD">
              <w:rPr>
                <w:webHidden/>
              </w:rPr>
              <w:tab/>
            </w:r>
            <w:r w:rsidR="00015CAD">
              <w:rPr>
                <w:webHidden/>
              </w:rPr>
              <w:fldChar w:fldCharType="begin"/>
            </w:r>
            <w:r w:rsidR="00015CAD">
              <w:rPr>
                <w:webHidden/>
              </w:rPr>
              <w:instrText xml:space="preserve"> PAGEREF _Toc34985647 \h </w:instrText>
            </w:r>
            <w:r w:rsidR="00015CAD">
              <w:rPr>
                <w:webHidden/>
              </w:rPr>
            </w:r>
            <w:r w:rsidR="00015CAD">
              <w:rPr>
                <w:webHidden/>
              </w:rPr>
              <w:fldChar w:fldCharType="separate"/>
            </w:r>
            <w:r w:rsidR="00015CAD">
              <w:rPr>
                <w:webHidden/>
              </w:rPr>
              <w:t>20</w:t>
            </w:r>
            <w:r w:rsidR="00015CAD">
              <w:rPr>
                <w:webHidden/>
              </w:rPr>
              <w:fldChar w:fldCharType="end"/>
            </w:r>
          </w:hyperlink>
        </w:p>
        <w:p w14:paraId="37822A5A" w14:textId="05A1ABAD" w:rsidR="00015CAD" w:rsidRDefault="005F6E6A">
          <w:pPr>
            <w:pStyle w:val="TOC2"/>
            <w:rPr>
              <w:rFonts w:asciiTheme="minorHAnsi" w:eastAsiaTheme="minorEastAsia" w:hAnsiTheme="minorHAnsi" w:cstheme="minorBidi"/>
              <w:sz w:val="22"/>
              <w:szCs w:val="22"/>
              <w:lang w:eastAsia="en-NZ"/>
            </w:rPr>
          </w:pPr>
          <w:hyperlink w:anchor="_Toc34985648" w:history="1">
            <w:r w:rsidR="00015CAD" w:rsidRPr="003448BC">
              <w:rPr>
                <w:rStyle w:val="Hyperlink"/>
              </w:rPr>
              <w:t>Other Compliance Obligations</w:t>
            </w:r>
            <w:r w:rsidR="00015CAD">
              <w:rPr>
                <w:webHidden/>
              </w:rPr>
              <w:tab/>
            </w:r>
            <w:r w:rsidR="00015CAD">
              <w:rPr>
                <w:webHidden/>
              </w:rPr>
              <w:fldChar w:fldCharType="begin"/>
            </w:r>
            <w:r w:rsidR="00015CAD">
              <w:rPr>
                <w:webHidden/>
              </w:rPr>
              <w:instrText xml:space="preserve"> PAGEREF _Toc34985648 \h </w:instrText>
            </w:r>
            <w:r w:rsidR="00015CAD">
              <w:rPr>
                <w:webHidden/>
              </w:rPr>
            </w:r>
            <w:r w:rsidR="00015CAD">
              <w:rPr>
                <w:webHidden/>
              </w:rPr>
              <w:fldChar w:fldCharType="separate"/>
            </w:r>
            <w:r w:rsidR="00015CAD">
              <w:rPr>
                <w:webHidden/>
              </w:rPr>
              <w:t>20</w:t>
            </w:r>
            <w:r w:rsidR="00015CAD">
              <w:rPr>
                <w:webHidden/>
              </w:rPr>
              <w:fldChar w:fldCharType="end"/>
            </w:r>
          </w:hyperlink>
        </w:p>
        <w:p w14:paraId="179F8415" w14:textId="6E890E1A" w:rsidR="00015CAD" w:rsidRDefault="005F6E6A">
          <w:pPr>
            <w:pStyle w:val="TOC3"/>
            <w:rPr>
              <w:rFonts w:asciiTheme="minorHAnsi" w:eastAsiaTheme="minorEastAsia" w:hAnsiTheme="minorHAnsi" w:cstheme="minorBidi"/>
              <w:sz w:val="22"/>
              <w:szCs w:val="22"/>
              <w:lang w:eastAsia="en-NZ"/>
            </w:rPr>
          </w:pPr>
          <w:hyperlink w:anchor="_Toc34985649" w:history="1">
            <w:r w:rsidR="00015CAD" w:rsidRPr="003448BC">
              <w:rPr>
                <w:rStyle w:val="Hyperlink"/>
              </w:rPr>
              <w:t>Financial Service Providers Register</w:t>
            </w:r>
            <w:r w:rsidR="00015CAD">
              <w:rPr>
                <w:webHidden/>
              </w:rPr>
              <w:tab/>
            </w:r>
            <w:r w:rsidR="00015CAD">
              <w:rPr>
                <w:webHidden/>
              </w:rPr>
              <w:fldChar w:fldCharType="begin"/>
            </w:r>
            <w:r w:rsidR="00015CAD">
              <w:rPr>
                <w:webHidden/>
              </w:rPr>
              <w:instrText xml:space="preserve"> PAGEREF _Toc34985649 \h </w:instrText>
            </w:r>
            <w:r w:rsidR="00015CAD">
              <w:rPr>
                <w:webHidden/>
              </w:rPr>
            </w:r>
            <w:r w:rsidR="00015CAD">
              <w:rPr>
                <w:webHidden/>
              </w:rPr>
              <w:fldChar w:fldCharType="separate"/>
            </w:r>
            <w:r w:rsidR="00015CAD">
              <w:rPr>
                <w:webHidden/>
              </w:rPr>
              <w:t>20</w:t>
            </w:r>
            <w:r w:rsidR="00015CAD">
              <w:rPr>
                <w:webHidden/>
              </w:rPr>
              <w:fldChar w:fldCharType="end"/>
            </w:r>
          </w:hyperlink>
        </w:p>
        <w:p w14:paraId="5D9AD4BF" w14:textId="5BB04420" w:rsidR="00015CAD" w:rsidRDefault="005F6E6A">
          <w:pPr>
            <w:pStyle w:val="TOC1"/>
            <w:rPr>
              <w:rFonts w:asciiTheme="minorHAnsi" w:eastAsiaTheme="minorEastAsia" w:hAnsiTheme="minorHAnsi" w:cstheme="minorBidi"/>
              <w:b w:val="0"/>
              <w:noProof/>
              <w:color w:val="auto"/>
              <w:sz w:val="22"/>
              <w:szCs w:val="22"/>
              <w:lang w:eastAsia="en-NZ"/>
            </w:rPr>
          </w:pPr>
          <w:hyperlink w:anchor="_Toc34985650" w:history="1">
            <w:r w:rsidR="00015CAD" w:rsidRPr="003448BC">
              <w:rPr>
                <w:rStyle w:val="Hyperlink"/>
                <w:noProof/>
              </w:rPr>
              <w:t>Customer Due Diligence (CDD) Obligations</w:t>
            </w:r>
            <w:r w:rsidR="00015CAD">
              <w:rPr>
                <w:noProof/>
                <w:webHidden/>
              </w:rPr>
              <w:tab/>
            </w:r>
            <w:r w:rsidR="00015CAD">
              <w:rPr>
                <w:noProof/>
                <w:webHidden/>
              </w:rPr>
              <w:fldChar w:fldCharType="begin"/>
            </w:r>
            <w:r w:rsidR="00015CAD">
              <w:rPr>
                <w:noProof/>
                <w:webHidden/>
              </w:rPr>
              <w:instrText xml:space="preserve"> PAGEREF _Toc34985650 \h </w:instrText>
            </w:r>
            <w:r w:rsidR="00015CAD">
              <w:rPr>
                <w:noProof/>
                <w:webHidden/>
              </w:rPr>
            </w:r>
            <w:r w:rsidR="00015CAD">
              <w:rPr>
                <w:noProof/>
                <w:webHidden/>
              </w:rPr>
              <w:fldChar w:fldCharType="separate"/>
            </w:r>
            <w:r w:rsidR="00015CAD">
              <w:rPr>
                <w:noProof/>
                <w:webHidden/>
              </w:rPr>
              <w:t>21</w:t>
            </w:r>
            <w:r w:rsidR="00015CAD">
              <w:rPr>
                <w:noProof/>
                <w:webHidden/>
              </w:rPr>
              <w:fldChar w:fldCharType="end"/>
            </w:r>
          </w:hyperlink>
        </w:p>
        <w:p w14:paraId="17E0894B" w14:textId="6F743F59" w:rsidR="00015CAD" w:rsidRDefault="005F6E6A">
          <w:pPr>
            <w:pStyle w:val="TOC2"/>
            <w:rPr>
              <w:rFonts w:asciiTheme="minorHAnsi" w:eastAsiaTheme="minorEastAsia" w:hAnsiTheme="minorHAnsi" w:cstheme="minorBidi"/>
              <w:sz w:val="22"/>
              <w:szCs w:val="22"/>
              <w:lang w:eastAsia="en-NZ"/>
            </w:rPr>
          </w:pPr>
          <w:hyperlink w:anchor="_Toc34985651" w:history="1">
            <w:r w:rsidR="00015CAD" w:rsidRPr="003448BC">
              <w:rPr>
                <w:rStyle w:val="Hyperlink"/>
              </w:rPr>
              <w:t>Who do I conduct CDD on?</w:t>
            </w:r>
            <w:r w:rsidR="00015CAD">
              <w:rPr>
                <w:webHidden/>
              </w:rPr>
              <w:tab/>
            </w:r>
            <w:r w:rsidR="00015CAD">
              <w:rPr>
                <w:webHidden/>
              </w:rPr>
              <w:fldChar w:fldCharType="begin"/>
            </w:r>
            <w:r w:rsidR="00015CAD">
              <w:rPr>
                <w:webHidden/>
              </w:rPr>
              <w:instrText xml:space="preserve"> PAGEREF _Toc34985651 \h </w:instrText>
            </w:r>
            <w:r w:rsidR="00015CAD">
              <w:rPr>
                <w:webHidden/>
              </w:rPr>
            </w:r>
            <w:r w:rsidR="00015CAD">
              <w:rPr>
                <w:webHidden/>
              </w:rPr>
              <w:fldChar w:fldCharType="separate"/>
            </w:r>
            <w:r w:rsidR="00015CAD">
              <w:rPr>
                <w:webHidden/>
              </w:rPr>
              <w:t>21</w:t>
            </w:r>
            <w:r w:rsidR="00015CAD">
              <w:rPr>
                <w:webHidden/>
              </w:rPr>
              <w:fldChar w:fldCharType="end"/>
            </w:r>
          </w:hyperlink>
        </w:p>
        <w:p w14:paraId="1BFFB6EC" w14:textId="30626480" w:rsidR="00015CAD" w:rsidRDefault="005F6E6A">
          <w:pPr>
            <w:pStyle w:val="TOC2"/>
            <w:rPr>
              <w:rFonts w:asciiTheme="minorHAnsi" w:eastAsiaTheme="minorEastAsia" w:hAnsiTheme="minorHAnsi" w:cstheme="minorBidi"/>
              <w:sz w:val="22"/>
              <w:szCs w:val="22"/>
              <w:lang w:eastAsia="en-NZ"/>
            </w:rPr>
          </w:pPr>
          <w:hyperlink w:anchor="_Toc34985652" w:history="1">
            <w:r w:rsidR="00015CAD" w:rsidRPr="00015CAD">
              <w:rPr>
                <w:rStyle w:val="Hyperlink"/>
                <w:rFonts w:cs="Arial"/>
                <w:bCs/>
                <w:iCs/>
              </w:rPr>
              <w:t>What a business relationship means and when it starts</w:t>
            </w:r>
            <w:r w:rsidR="00015CAD">
              <w:rPr>
                <w:webHidden/>
              </w:rPr>
              <w:tab/>
            </w:r>
            <w:r w:rsidR="00015CAD">
              <w:rPr>
                <w:webHidden/>
              </w:rPr>
              <w:fldChar w:fldCharType="begin"/>
            </w:r>
            <w:r w:rsidR="00015CAD">
              <w:rPr>
                <w:webHidden/>
              </w:rPr>
              <w:instrText xml:space="preserve"> PAGEREF _Toc34985652 \h </w:instrText>
            </w:r>
            <w:r w:rsidR="00015CAD">
              <w:rPr>
                <w:webHidden/>
              </w:rPr>
            </w:r>
            <w:r w:rsidR="00015CAD">
              <w:rPr>
                <w:webHidden/>
              </w:rPr>
              <w:fldChar w:fldCharType="separate"/>
            </w:r>
            <w:r w:rsidR="00015CAD">
              <w:rPr>
                <w:webHidden/>
              </w:rPr>
              <w:t>22</w:t>
            </w:r>
            <w:r w:rsidR="00015CAD">
              <w:rPr>
                <w:webHidden/>
              </w:rPr>
              <w:fldChar w:fldCharType="end"/>
            </w:r>
          </w:hyperlink>
        </w:p>
        <w:p w14:paraId="3C1949CF" w14:textId="3733DB63" w:rsidR="00015CAD" w:rsidRDefault="005F6E6A">
          <w:pPr>
            <w:pStyle w:val="TOC2"/>
            <w:rPr>
              <w:rFonts w:asciiTheme="minorHAnsi" w:eastAsiaTheme="minorEastAsia" w:hAnsiTheme="minorHAnsi" w:cstheme="minorBidi"/>
              <w:sz w:val="22"/>
              <w:szCs w:val="22"/>
              <w:lang w:eastAsia="en-NZ"/>
            </w:rPr>
          </w:pPr>
          <w:hyperlink w:anchor="_Toc34985653" w:history="1">
            <w:r w:rsidR="00015CAD" w:rsidRPr="003448BC">
              <w:rPr>
                <w:rStyle w:val="Hyperlink"/>
              </w:rPr>
              <w:t>New customers</w:t>
            </w:r>
            <w:r w:rsidR="00015CAD">
              <w:rPr>
                <w:webHidden/>
              </w:rPr>
              <w:tab/>
            </w:r>
            <w:r w:rsidR="00015CAD">
              <w:rPr>
                <w:webHidden/>
              </w:rPr>
              <w:fldChar w:fldCharType="begin"/>
            </w:r>
            <w:r w:rsidR="00015CAD">
              <w:rPr>
                <w:webHidden/>
              </w:rPr>
              <w:instrText xml:space="preserve"> PAGEREF _Toc34985653 \h </w:instrText>
            </w:r>
            <w:r w:rsidR="00015CAD">
              <w:rPr>
                <w:webHidden/>
              </w:rPr>
            </w:r>
            <w:r w:rsidR="00015CAD">
              <w:rPr>
                <w:webHidden/>
              </w:rPr>
              <w:fldChar w:fldCharType="separate"/>
            </w:r>
            <w:r w:rsidR="00015CAD">
              <w:rPr>
                <w:webHidden/>
              </w:rPr>
              <w:t>22</w:t>
            </w:r>
            <w:r w:rsidR="00015CAD">
              <w:rPr>
                <w:webHidden/>
              </w:rPr>
              <w:fldChar w:fldCharType="end"/>
            </w:r>
          </w:hyperlink>
        </w:p>
        <w:p w14:paraId="31316E61" w14:textId="6AC8F086" w:rsidR="00015CAD" w:rsidRDefault="005F6E6A">
          <w:pPr>
            <w:pStyle w:val="TOC2"/>
            <w:rPr>
              <w:rFonts w:asciiTheme="minorHAnsi" w:eastAsiaTheme="minorEastAsia" w:hAnsiTheme="minorHAnsi" w:cstheme="minorBidi"/>
              <w:sz w:val="22"/>
              <w:szCs w:val="22"/>
              <w:lang w:eastAsia="en-NZ"/>
            </w:rPr>
          </w:pPr>
          <w:hyperlink w:anchor="_Toc34985654" w:history="1">
            <w:r w:rsidR="00015CAD" w:rsidRPr="003448BC">
              <w:rPr>
                <w:rStyle w:val="Hyperlink"/>
              </w:rPr>
              <w:t>Occasional customers</w:t>
            </w:r>
            <w:r w:rsidR="00015CAD">
              <w:rPr>
                <w:webHidden/>
              </w:rPr>
              <w:tab/>
            </w:r>
            <w:r w:rsidR="00015CAD">
              <w:rPr>
                <w:webHidden/>
              </w:rPr>
              <w:fldChar w:fldCharType="begin"/>
            </w:r>
            <w:r w:rsidR="00015CAD">
              <w:rPr>
                <w:webHidden/>
              </w:rPr>
              <w:instrText xml:space="preserve"> PAGEREF _Toc34985654 \h </w:instrText>
            </w:r>
            <w:r w:rsidR="00015CAD">
              <w:rPr>
                <w:webHidden/>
              </w:rPr>
            </w:r>
            <w:r w:rsidR="00015CAD">
              <w:rPr>
                <w:webHidden/>
              </w:rPr>
              <w:fldChar w:fldCharType="separate"/>
            </w:r>
            <w:r w:rsidR="00015CAD">
              <w:rPr>
                <w:webHidden/>
              </w:rPr>
              <w:t>23</w:t>
            </w:r>
            <w:r w:rsidR="00015CAD">
              <w:rPr>
                <w:webHidden/>
              </w:rPr>
              <w:fldChar w:fldCharType="end"/>
            </w:r>
          </w:hyperlink>
        </w:p>
        <w:p w14:paraId="50645375" w14:textId="3FAB1656" w:rsidR="00015CAD" w:rsidRDefault="005F6E6A">
          <w:pPr>
            <w:pStyle w:val="TOC2"/>
            <w:rPr>
              <w:rFonts w:asciiTheme="minorHAnsi" w:eastAsiaTheme="minorEastAsia" w:hAnsiTheme="minorHAnsi" w:cstheme="minorBidi"/>
              <w:sz w:val="22"/>
              <w:szCs w:val="22"/>
              <w:lang w:eastAsia="en-NZ"/>
            </w:rPr>
          </w:pPr>
          <w:hyperlink w:anchor="_Toc34985655" w:history="1">
            <w:r w:rsidR="00015CAD" w:rsidRPr="003448BC">
              <w:rPr>
                <w:rStyle w:val="Hyperlink"/>
              </w:rPr>
              <w:t>CDD for other types of customers</w:t>
            </w:r>
            <w:r w:rsidR="00015CAD">
              <w:rPr>
                <w:webHidden/>
              </w:rPr>
              <w:tab/>
            </w:r>
            <w:r w:rsidR="00015CAD">
              <w:rPr>
                <w:webHidden/>
              </w:rPr>
              <w:fldChar w:fldCharType="begin"/>
            </w:r>
            <w:r w:rsidR="00015CAD">
              <w:rPr>
                <w:webHidden/>
              </w:rPr>
              <w:instrText xml:space="preserve"> PAGEREF _Toc34985655 \h </w:instrText>
            </w:r>
            <w:r w:rsidR="00015CAD">
              <w:rPr>
                <w:webHidden/>
              </w:rPr>
            </w:r>
            <w:r w:rsidR="00015CAD">
              <w:rPr>
                <w:webHidden/>
              </w:rPr>
              <w:fldChar w:fldCharType="separate"/>
            </w:r>
            <w:r w:rsidR="00015CAD">
              <w:rPr>
                <w:webHidden/>
              </w:rPr>
              <w:t>23</w:t>
            </w:r>
            <w:r w:rsidR="00015CAD">
              <w:rPr>
                <w:webHidden/>
              </w:rPr>
              <w:fldChar w:fldCharType="end"/>
            </w:r>
          </w:hyperlink>
        </w:p>
        <w:p w14:paraId="33E28FA3" w14:textId="60ED7E9C" w:rsidR="00015CAD" w:rsidRDefault="005F6E6A">
          <w:pPr>
            <w:pStyle w:val="TOC3"/>
            <w:rPr>
              <w:rFonts w:asciiTheme="minorHAnsi" w:eastAsiaTheme="minorEastAsia" w:hAnsiTheme="minorHAnsi" w:cstheme="minorBidi"/>
              <w:sz w:val="22"/>
              <w:szCs w:val="22"/>
              <w:lang w:eastAsia="en-NZ"/>
            </w:rPr>
          </w:pPr>
          <w:hyperlink w:anchor="_Toc34985656" w:history="1">
            <w:r w:rsidR="00015CAD" w:rsidRPr="003448BC">
              <w:rPr>
                <w:rStyle w:val="Hyperlink"/>
              </w:rPr>
              <w:t>Trusts</w:t>
            </w:r>
            <w:r w:rsidR="00015CAD">
              <w:rPr>
                <w:webHidden/>
              </w:rPr>
              <w:tab/>
            </w:r>
            <w:r w:rsidR="00015CAD">
              <w:rPr>
                <w:webHidden/>
              </w:rPr>
              <w:fldChar w:fldCharType="begin"/>
            </w:r>
            <w:r w:rsidR="00015CAD">
              <w:rPr>
                <w:webHidden/>
              </w:rPr>
              <w:instrText xml:space="preserve"> PAGEREF _Toc34985656 \h </w:instrText>
            </w:r>
            <w:r w:rsidR="00015CAD">
              <w:rPr>
                <w:webHidden/>
              </w:rPr>
            </w:r>
            <w:r w:rsidR="00015CAD">
              <w:rPr>
                <w:webHidden/>
              </w:rPr>
              <w:fldChar w:fldCharType="separate"/>
            </w:r>
            <w:r w:rsidR="00015CAD">
              <w:rPr>
                <w:webHidden/>
              </w:rPr>
              <w:t>23</w:t>
            </w:r>
            <w:r w:rsidR="00015CAD">
              <w:rPr>
                <w:webHidden/>
              </w:rPr>
              <w:fldChar w:fldCharType="end"/>
            </w:r>
          </w:hyperlink>
        </w:p>
        <w:p w14:paraId="15AD3BC8" w14:textId="5E99C5A0" w:rsidR="00015CAD" w:rsidRDefault="005F6E6A">
          <w:pPr>
            <w:pStyle w:val="TOC3"/>
            <w:rPr>
              <w:rFonts w:asciiTheme="minorHAnsi" w:eastAsiaTheme="minorEastAsia" w:hAnsiTheme="minorHAnsi" w:cstheme="minorBidi"/>
              <w:sz w:val="22"/>
              <w:szCs w:val="22"/>
              <w:lang w:eastAsia="en-NZ"/>
            </w:rPr>
          </w:pPr>
          <w:hyperlink w:anchor="_Toc34985657" w:history="1">
            <w:r w:rsidR="00015CAD" w:rsidRPr="003448BC">
              <w:rPr>
                <w:rStyle w:val="Hyperlink"/>
              </w:rPr>
              <w:t>Companies</w:t>
            </w:r>
            <w:r w:rsidR="00015CAD">
              <w:rPr>
                <w:webHidden/>
              </w:rPr>
              <w:tab/>
            </w:r>
            <w:r w:rsidR="00015CAD">
              <w:rPr>
                <w:webHidden/>
              </w:rPr>
              <w:fldChar w:fldCharType="begin"/>
            </w:r>
            <w:r w:rsidR="00015CAD">
              <w:rPr>
                <w:webHidden/>
              </w:rPr>
              <w:instrText xml:space="preserve"> PAGEREF _Toc34985657 \h </w:instrText>
            </w:r>
            <w:r w:rsidR="00015CAD">
              <w:rPr>
                <w:webHidden/>
              </w:rPr>
            </w:r>
            <w:r w:rsidR="00015CAD">
              <w:rPr>
                <w:webHidden/>
              </w:rPr>
              <w:fldChar w:fldCharType="separate"/>
            </w:r>
            <w:r w:rsidR="00015CAD">
              <w:rPr>
                <w:webHidden/>
              </w:rPr>
              <w:t>23</w:t>
            </w:r>
            <w:r w:rsidR="00015CAD">
              <w:rPr>
                <w:webHidden/>
              </w:rPr>
              <w:fldChar w:fldCharType="end"/>
            </w:r>
          </w:hyperlink>
        </w:p>
        <w:p w14:paraId="31DB19C9" w14:textId="570BD450" w:rsidR="00015CAD" w:rsidRDefault="005F6E6A">
          <w:pPr>
            <w:pStyle w:val="TOC3"/>
            <w:rPr>
              <w:rFonts w:asciiTheme="minorHAnsi" w:eastAsiaTheme="minorEastAsia" w:hAnsiTheme="minorHAnsi" w:cstheme="minorBidi"/>
              <w:sz w:val="22"/>
              <w:szCs w:val="22"/>
              <w:lang w:eastAsia="en-NZ"/>
            </w:rPr>
          </w:pPr>
          <w:hyperlink w:anchor="_Toc34985658" w:history="1">
            <w:r w:rsidR="00015CAD" w:rsidRPr="003448BC">
              <w:rPr>
                <w:rStyle w:val="Hyperlink"/>
              </w:rPr>
              <w:t>Sole Traders, Co-operatives, and Partnerships</w:t>
            </w:r>
            <w:r w:rsidR="00015CAD">
              <w:rPr>
                <w:webHidden/>
              </w:rPr>
              <w:tab/>
            </w:r>
            <w:r w:rsidR="00015CAD">
              <w:rPr>
                <w:webHidden/>
              </w:rPr>
              <w:fldChar w:fldCharType="begin"/>
            </w:r>
            <w:r w:rsidR="00015CAD">
              <w:rPr>
                <w:webHidden/>
              </w:rPr>
              <w:instrText xml:space="preserve"> PAGEREF _Toc34985658 \h </w:instrText>
            </w:r>
            <w:r w:rsidR="00015CAD">
              <w:rPr>
                <w:webHidden/>
              </w:rPr>
            </w:r>
            <w:r w:rsidR="00015CAD">
              <w:rPr>
                <w:webHidden/>
              </w:rPr>
              <w:fldChar w:fldCharType="separate"/>
            </w:r>
            <w:r w:rsidR="00015CAD">
              <w:rPr>
                <w:webHidden/>
              </w:rPr>
              <w:t>23</w:t>
            </w:r>
            <w:r w:rsidR="00015CAD">
              <w:rPr>
                <w:webHidden/>
              </w:rPr>
              <w:fldChar w:fldCharType="end"/>
            </w:r>
          </w:hyperlink>
        </w:p>
        <w:p w14:paraId="3D78FB5A" w14:textId="4DDF5CC9" w:rsidR="00015CAD" w:rsidRDefault="005F6E6A">
          <w:pPr>
            <w:pStyle w:val="TOC3"/>
            <w:rPr>
              <w:rFonts w:asciiTheme="minorHAnsi" w:eastAsiaTheme="minorEastAsia" w:hAnsiTheme="minorHAnsi" w:cstheme="minorBidi"/>
              <w:sz w:val="22"/>
              <w:szCs w:val="22"/>
              <w:lang w:eastAsia="en-NZ"/>
            </w:rPr>
          </w:pPr>
          <w:hyperlink w:anchor="_Toc34985659" w:history="1">
            <w:r w:rsidR="00015CAD" w:rsidRPr="003448BC">
              <w:rPr>
                <w:rStyle w:val="Hyperlink"/>
              </w:rPr>
              <w:t>Clubs and Societies</w:t>
            </w:r>
            <w:r w:rsidR="00015CAD">
              <w:rPr>
                <w:webHidden/>
              </w:rPr>
              <w:tab/>
            </w:r>
            <w:r w:rsidR="00015CAD">
              <w:rPr>
                <w:webHidden/>
              </w:rPr>
              <w:fldChar w:fldCharType="begin"/>
            </w:r>
            <w:r w:rsidR="00015CAD">
              <w:rPr>
                <w:webHidden/>
              </w:rPr>
              <w:instrText xml:space="preserve"> PAGEREF _Toc34985659 \h </w:instrText>
            </w:r>
            <w:r w:rsidR="00015CAD">
              <w:rPr>
                <w:webHidden/>
              </w:rPr>
            </w:r>
            <w:r w:rsidR="00015CAD">
              <w:rPr>
                <w:webHidden/>
              </w:rPr>
              <w:fldChar w:fldCharType="separate"/>
            </w:r>
            <w:r w:rsidR="00015CAD">
              <w:rPr>
                <w:webHidden/>
              </w:rPr>
              <w:t>24</w:t>
            </w:r>
            <w:r w:rsidR="00015CAD">
              <w:rPr>
                <w:webHidden/>
              </w:rPr>
              <w:fldChar w:fldCharType="end"/>
            </w:r>
          </w:hyperlink>
        </w:p>
        <w:p w14:paraId="654F8289" w14:textId="127998BB" w:rsidR="00015CAD" w:rsidRDefault="005F6E6A">
          <w:pPr>
            <w:pStyle w:val="TOC2"/>
            <w:rPr>
              <w:rFonts w:asciiTheme="minorHAnsi" w:eastAsiaTheme="minorEastAsia" w:hAnsiTheme="minorHAnsi" w:cstheme="minorBidi"/>
              <w:sz w:val="22"/>
              <w:szCs w:val="22"/>
              <w:lang w:eastAsia="en-NZ"/>
            </w:rPr>
          </w:pPr>
          <w:hyperlink w:anchor="_Toc34985660" w:history="1">
            <w:r w:rsidR="00015CAD" w:rsidRPr="003448BC">
              <w:rPr>
                <w:rStyle w:val="Hyperlink"/>
              </w:rPr>
              <w:t>Politically Exposed Persons</w:t>
            </w:r>
            <w:r w:rsidR="00015CAD">
              <w:rPr>
                <w:webHidden/>
              </w:rPr>
              <w:tab/>
            </w:r>
            <w:r w:rsidR="00015CAD">
              <w:rPr>
                <w:webHidden/>
              </w:rPr>
              <w:fldChar w:fldCharType="begin"/>
            </w:r>
            <w:r w:rsidR="00015CAD">
              <w:rPr>
                <w:webHidden/>
              </w:rPr>
              <w:instrText xml:space="preserve"> PAGEREF _Toc34985660 \h </w:instrText>
            </w:r>
            <w:r w:rsidR="00015CAD">
              <w:rPr>
                <w:webHidden/>
              </w:rPr>
            </w:r>
            <w:r w:rsidR="00015CAD">
              <w:rPr>
                <w:webHidden/>
              </w:rPr>
              <w:fldChar w:fldCharType="separate"/>
            </w:r>
            <w:r w:rsidR="00015CAD">
              <w:rPr>
                <w:webHidden/>
              </w:rPr>
              <w:t>24</w:t>
            </w:r>
            <w:r w:rsidR="00015CAD">
              <w:rPr>
                <w:webHidden/>
              </w:rPr>
              <w:fldChar w:fldCharType="end"/>
            </w:r>
          </w:hyperlink>
        </w:p>
        <w:p w14:paraId="364FAF9E" w14:textId="13CCF9AD" w:rsidR="00015CAD" w:rsidRDefault="005F6E6A">
          <w:pPr>
            <w:pStyle w:val="TOC2"/>
            <w:rPr>
              <w:rFonts w:asciiTheme="minorHAnsi" w:eastAsiaTheme="minorEastAsia" w:hAnsiTheme="minorHAnsi" w:cstheme="minorBidi"/>
              <w:sz w:val="22"/>
              <w:szCs w:val="22"/>
              <w:lang w:eastAsia="en-NZ"/>
            </w:rPr>
          </w:pPr>
          <w:hyperlink w:anchor="_Toc34985661" w:history="1">
            <w:r w:rsidR="00015CAD" w:rsidRPr="003448BC">
              <w:rPr>
                <w:rStyle w:val="Hyperlink"/>
              </w:rPr>
              <w:t>Identity Verification Code of Practice</w:t>
            </w:r>
            <w:r w:rsidR="00015CAD">
              <w:rPr>
                <w:webHidden/>
              </w:rPr>
              <w:tab/>
            </w:r>
            <w:r w:rsidR="00015CAD">
              <w:rPr>
                <w:webHidden/>
              </w:rPr>
              <w:fldChar w:fldCharType="begin"/>
            </w:r>
            <w:r w:rsidR="00015CAD">
              <w:rPr>
                <w:webHidden/>
              </w:rPr>
              <w:instrText xml:space="preserve"> PAGEREF _Toc34985661 \h </w:instrText>
            </w:r>
            <w:r w:rsidR="00015CAD">
              <w:rPr>
                <w:webHidden/>
              </w:rPr>
            </w:r>
            <w:r w:rsidR="00015CAD">
              <w:rPr>
                <w:webHidden/>
              </w:rPr>
              <w:fldChar w:fldCharType="separate"/>
            </w:r>
            <w:r w:rsidR="00015CAD">
              <w:rPr>
                <w:webHidden/>
              </w:rPr>
              <w:t>24</w:t>
            </w:r>
            <w:r w:rsidR="00015CAD">
              <w:rPr>
                <w:webHidden/>
              </w:rPr>
              <w:fldChar w:fldCharType="end"/>
            </w:r>
          </w:hyperlink>
        </w:p>
        <w:p w14:paraId="2A10FED1" w14:textId="5479C6F6" w:rsidR="00015CAD" w:rsidRDefault="005F6E6A">
          <w:pPr>
            <w:pStyle w:val="TOC2"/>
            <w:rPr>
              <w:rFonts w:asciiTheme="minorHAnsi" w:eastAsiaTheme="minorEastAsia" w:hAnsiTheme="minorHAnsi" w:cstheme="minorBidi"/>
              <w:sz w:val="22"/>
              <w:szCs w:val="22"/>
              <w:lang w:eastAsia="en-NZ"/>
            </w:rPr>
          </w:pPr>
          <w:hyperlink w:anchor="_Toc34985662" w:history="1">
            <w:r w:rsidR="00015CAD" w:rsidRPr="003448BC">
              <w:rPr>
                <w:rStyle w:val="Hyperlink"/>
              </w:rPr>
              <w:t>Ongoing CDD and Account Monitoring</w:t>
            </w:r>
            <w:r w:rsidR="00015CAD">
              <w:rPr>
                <w:webHidden/>
              </w:rPr>
              <w:tab/>
            </w:r>
            <w:r w:rsidR="00015CAD">
              <w:rPr>
                <w:webHidden/>
              </w:rPr>
              <w:fldChar w:fldCharType="begin"/>
            </w:r>
            <w:r w:rsidR="00015CAD">
              <w:rPr>
                <w:webHidden/>
              </w:rPr>
              <w:instrText xml:space="preserve"> PAGEREF _Toc34985662 \h </w:instrText>
            </w:r>
            <w:r w:rsidR="00015CAD">
              <w:rPr>
                <w:webHidden/>
              </w:rPr>
            </w:r>
            <w:r w:rsidR="00015CAD">
              <w:rPr>
                <w:webHidden/>
              </w:rPr>
              <w:fldChar w:fldCharType="separate"/>
            </w:r>
            <w:r w:rsidR="00015CAD">
              <w:rPr>
                <w:webHidden/>
              </w:rPr>
              <w:t>25</w:t>
            </w:r>
            <w:r w:rsidR="00015CAD">
              <w:rPr>
                <w:webHidden/>
              </w:rPr>
              <w:fldChar w:fldCharType="end"/>
            </w:r>
          </w:hyperlink>
        </w:p>
        <w:p w14:paraId="690C572A" w14:textId="215A7A3D" w:rsidR="00015CAD" w:rsidRDefault="005F6E6A">
          <w:pPr>
            <w:pStyle w:val="TOC2"/>
            <w:rPr>
              <w:rFonts w:asciiTheme="minorHAnsi" w:eastAsiaTheme="minorEastAsia" w:hAnsiTheme="minorHAnsi" w:cstheme="minorBidi"/>
              <w:sz w:val="22"/>
              <w:szCs w:val="22"/>
              <w:lang w:eastAsia="en-NZ"/>
            </w:rPr>
          </w:pPr>
          <w:hyperlink w:anchor="_Toc34985663" w:history="1">
            <w:r w:rsidR="00015CAD" w:rsidRPr="003448BC">
              <w:rPr>
                <w:rStyle w:val="Hyperlink"/>
              </w:rPr>
              <w:t>Different types of CDD</w:t>
            </w:r>
            <w:r w:rsidR="00015CAD">
              <w:rPr>
                <w:webHidden/>
              </w:rPr>
              <w:tab/>
            </w:r>
            <w:r w:rsidR="00015CAD">
              <w:rPr>
                <w:webHidden/>
              </w:rPr>
              <w:fldChar w:fldCharType="begin"/>
            </w:r>
            <w:r w:rsidR="00015CAD">
              <w:rPr>
                <w:webHidden/>
              </w:rPr>
              <w:instrText xml:space="preserve"> PAGEREF _Toc34985663 \h </w:instrText>
            </w:r>
            <w:r w:rsidR="00015CAD">
              <w:rPr>
                <w:webHidden/>
              </w:rPr>
            </w:r>
            <w:r w:rsidR="00015CAD">
              <w:rPr>
                <w:webHidden/>
              </w:rPr>
              <w:fldChar w:fldCharType="separate"/>
            </w:r>
            <w:r w:rsidR="00015CAD">
              <w:rPr>
                <w:webHidden/>
              </w:rPr>
              <w:t>26</w:t>
            </w:r>
            <w:r w:rsidR="00015CAD">
              <w:rPr>
                <w:webHidden/>
              </w:rPr>
              <w:fldChar w:fldCharType="end"/>
            </w:r>
          </w:hyperlink>
        </w:p>
        <w:p w14:paraId="1978CBCA" w14:textId="00CF2393" w:rsidR="00015CAD" w:rsidRDefault="005F6E6A">
          <w:pPr>
            <w:pStyle w:val="TOC2"/>
            <w:rPr>
              <w:rFonts w:asciiTheme="minorHAnsi" w:eastAsiaTheme="minorEastAsia" w:hAnsiTheme="minorHAnsi" w:cstheme="minorBidi"/>
              <w:sz w:val="22"/>
              <w:szCs w:val="22"/>
              <w:lang w:eastAsia="en-NZ"/>
            </w:rPr>
          </w:pPr>
          <w:hyperlink w:anchor="_Toc34985664" w:history="1">
            <w:r w:rsidR="00015CAD" w:rsidRPr="00015CAD">
              <w:rPr>
                <w:rStyle w:val="Hyperlink"/>
                <w:rFonts w:cs="Arial"/>
                <w:bCs/>
                <w:iCs/>
              </w:rPr>
              <w:t>Other CDD requirements</w:t>
            </w:r>
            <w:r w:rsidR="00015CAD">
              <w:rPr>
                <w:webHidden/>
              </w:rPr>
              <w:tab/>
            </w:r>
            <w:r w:rsidR="00015CAD">
              <w:rPr>
                <w:webHidden/>
              </w:rPr>
              <w:fldChar w:fldCharType="begin"/>
            </w:r>
            <w:r w:rsidR="00015CAD">
              <w:rPr>
                <w:webHidden/>
              </w:rPr>
              <w:instrText xml:space="preserve"> PAGEREF _Toc34985664 \h </w:instrText>
            </w:r>
            <w:r w:rsidR="00015CAD">
              <w:rPr>
                <w:webHidden/>
              </w:rPr>
            </w:r>
            <w:r w:rsidR="00015CAD">
              <w:rPr>
                <w:webHidden/>
              </w:rPr>
              <w:fldChar w:fldCharType="separate"/>
            </w:r>
            <w:r w:rsidR="00015CAD">
              <w:rPr>
                <w:webHidden/>
              </w:rPr>
              <w:t>26</w:t>
            </w:r>
            <w:r w:rsidR="00015CAD">
              <w:rPr>
                <w:webHidden/>
              </w:rPr>
              <w:fldChar w:fldCharType="end"/>
            </w:r>
          </w:hyperlink>
        </w:p>
        <w:p w14:paraId="4A2EBC94" w14:textId="4BEB3EA1" w:rsidR="00015CAD" w:rsidRDefault="005F6E6A">
          <w:pPr>
            <w:pStyle w:val="TOC1"/>
            <w:rPr>
              <w:rFonts w:asciiTheme="minorHAnsi" w:eastAsiaTheme="minorEastAsia" w:hAnsiTheme="minorHAnsi" w:cstheme="minorBidi"/>
              <w:b w:val="0"/>
              <w:noProof/>
              <w:color w:val="auto"/>
              <w:sz w:val="22"/>
              <w:szCs w:val="22"/>
              <w:lang w:eastAsia="en-NZ"/>
            </w:rPr>
          </w:pPr>
          <w:hyperlink w:anchor="_Toc34985665" w:history="1">
            <w:r w:rsidR="00015CAD" w:rsidRPr="003448BC">
              <w:rPr>
                <w:rStyle w:val="Hyperlink"/>
                <w:noProof/>
              </w:rPr>
              <w:t>Where to get further support</w:t>
            </w:r>
            <w:r w:rsidR="00015CAD">
              <w:rPr>
                <w:noProof/>
                <w:webHidden/>
              </w:rPr>
              <w:tab/>
            </w:r>
            <w:r w:rsidR="00015CAD">
              <w:rPr>
                <w:noProof/>
                <w:webHidden/>
              </w:rPr>
              <w:fldChar w:fldCharType="begin"/>
            </w:r>
            <w:r w:rsidR="00015CAD">
              <w:rPr>
                <w:noProof/>
                <w:webHidden/>
              </w:rPr>
              <w:instrText xml:space="preserve"> PAGEREF _Toc34985665 \h </w:instrText>
            </w:r>
            <w:r w:rsidR="00015CAD">
              <w:rPr>
                <w:noProof/>
                <w:webHidden/>
              </w:rPr>
            </w:r>
            <w:r w:rsidR="00015CAD">
              <w:rPr>
                <w:noProof/>
                <w:webHidden/>
              </w:rPr>
              <w:fldChar w:fldCharType="separate"/>
            </w:r>
            <w:r w:rsidR="00015CAD">
              <w:rPr>
                <w:noProof/>
                <w:webHidden/>
              </w:rPr>
              <w:t>28</w:t>
            </w:r>
            <w:r w:rsidR="00015CAD">
              <w:rPr>
                <w:noProof/>
                <w:webHidden/>
              </w:rPr>
              <w:fldChar w:fldCharType="end"/>
            </w:r>
          </w:hyperlink>
        </w:p>
        <w:p w14:paraId="3CCA30E8" w14:textId="6C24FC82" w:rsidR="00E3084C" w:rsidRPr="000F6894" w:rsidRDefault="00E3084C">
          <w:pPr>
            <w:rPr>
              <w:sz w:val="20"/>
            </w:rPr>
          </w:pPr>
          <w:r w:rsidRPr="006615AF">
            <w:rPr>
              <w:b/>
              <w:bCs/>
              <w:noProof/>
              <w:sz w:val="18"/>
            </w:rPr>
            <w:fldChar w:fldCharType="end"/>
          </w:r>
        </w:p>
      </w:sdtContent>
    </w:sdt>
    <w:p w14:paraId="41B04862" w14:textId="77777777" w:rsidR="00E3084C" w:rsidRPr="00E3084C" w:rsidRDefault="00E3084C" w:rsidP="00E3084C"/>
    <w:p w14:paraId="08406682" w14:textId="76DD7431" w:rsidR="00E3084C" w:rsidRDefault="00E3084C">
      <w:pPr>
        <w:keepLines w:val="0"/>
      </w:pPr>
      <w:r>
        <w:br w:type="page"/>
      </w:r>
    </w:p>
    <w:p w14:paraId="5C75DCF8" w14:textId="422DBBBD" w:rsidR="00865329" w:rsidRDefault="00E3084C" w:rsidP="00E3084C">
      <w:pPr>
        <w:pStyle w:val="Heading1"/>
      </w:pPr>
      <w:bookmarkStart w:id="0" w:name="_Toc34985618"/>
      <w:r>
        <w:lastRenderedPageBreak/>
        <w:t>Executive Summary</w:t>
      </w:r>
      <w:bookmarkEnd w:id="0"/>
    </w:p>
    <w:p w14:paraId="009E2631" w14:textId="2C5016B9" w:rsidR="009440E2" w:rsidRDefault="009440E2" w:rsidP="00865329">
      <w:pPr>
        <w:rPr>
          <w:sz w:val="22"/>
        </w:rPr>
      </w:pPr>
      <w:r w:rsidRPr="00071D78">
        <w:rPr>
          <w:sz w:val="22"/>
        </w:rPr>
        <w:t xml:space="preserve">Virtual Asset Service Provider (VASP) is a term that encompasses several different activities and services – an individual business may offer some or all of these. VASPs deal in </w:t>
      </w:r>
      <w:r w:rsidR="00E021CA">
        <w:rPr>
          <w:sz w:val="22"/>
        </w:rPr>
        <w:t>v</w:t>
      </w:r>
      <w:r w:rsidR="00251C56" w:rsidRPr="00071D78">
        <w:rPr>
          <w:sz w:val="22"/>
        </w:rPr>
        <w:t xml:space="preserve">irtual </w:t>
      </w:r>
      <w:r w:rsidR="00E021CA">
        <w:rPr>
          <w:sz w:val="22"/>
        </w:rPr>
        <w:t>a</w:t>
      </w:r>
      <w:r w:rsidR="00251C56" w:rsidRPr="00071D78">
        <w:rPr>
          <w:sz w:val="22"/>
        </w:rPr>
        <w:t xml:space="preserve">ssets – digital representations of value, which can be digitally traded, or transferred, and can be used for payment or investment purposes. A common example of a </w:t>
      </w:r>
      <w:r w:rsidR="00E021CA">
        <w:rPr>
          <w:sz w:val="22"/>
        </w:rPr>
        <w:t>virtual asset</w:t>
      </w:r>
      <w:r w:rsidR="00251C56" w:rsidRPr="00071D78">
        <w:rPr>
          <w:sz w:val="22"/>
        </w:rPr>
        <w:t xml:space="preserve"> is a cryptocurrency</w:t>
      </w:r>
      <w:r w:rsidR="00D273B3">
        <w:rPr>
          <w:sz w:val="22"/>
        </w:rPr>
        <w:t>,</w:t>
      </w:r>
      <w:r w:rsidR="00251C56" w:rsidRPr="00071D78">
        <w:rPr>
          <w:sz w:val="22"/>
        </w:rPr>
        <w:t xml:space="preserve"> such as Bitcoin.</w:t>
      </w:r>
    </w:p>
    <w:p w14:paraId="38D83F57" w14:textId="4EACA736" w:rsidR="00FF6323" w:rsidRDefault="00E3084C" w:rsidP="00392B3B">
      <w:pPr>
        <w:rPr>
          <w:sz w:val="22"/>
        </w:rPr>
      </w:pPr>
      <w:r w:rsidRPr="00E3084C">
        <w:rPr>
          <w:sz w:val="22"/>
        </w:rPr>
        <w:t>Money laundering (ML) is the method by which people disguise and conceal the proceeds of crime and protect and enjoy assets</w:t>
      </w:r>
      <w:r w:rsidR="009376D4">
        <w:rPr>
          <w:sz w:val="22"/>
        </w:rPr>
        <w:t xml:space="preserve"> they have derived from illegal activity</w:t>
      </w:r>
      <w:r>
        <w:rPr>
          <w:sz w:val="22"/>
        </w:rPr>
        <w:t>.</w:t>
      </w:r>
      <w:r w:rsidRPr="00E3084C">
        <w:rPr>
          <w:sz w:val="22"/>
        </w:rPr>
        <w:t xml:space="preserve"> Some people in New Zealand may also be</w:t>
      </w:r>
      <w:r>
        <w:rPr>
          <w:sz w:val="22"/>
        </w:rPr>
        <w:t xml:space="preserve"> facilitating</w:t>
      </w:r>
      <w:r w:rsidRPr="00E3084C">
        <w:rPr>
          <w:sz w:val="22"/>
        </w:rPr>
        <w:t xml:space="preserve"> </w:t>
      </w:r>
      <w:r>
        <w:rPr>
          <w:sz w:val="22"/>
        </w:rPr>
        <w:t xml:space="preserve">terrorism financing (TF) </w:t>
      </w:r>
      <w:r w:rsidRPr="00E3084C">
        <w:rPr>
          <w:sz w:val="22"/>
        </w:rPr>
        <w:t>using similar techniques to avoid detection by authorities and to protect the identity of those providing and receiving the funds</w:t>
      </w:r>
      <w:r>
        <w:rPr>
          <w:sz w:val="22"/>
        </w:rPr>
        <w:t>.</w:t>
      </w:r>
      <w:r w:rsidR="00804685">
        <w:rPr>
          <w:sz w:val="22"/>
        </w:rPr>
        <w:t xml:space="preserve"> </w:t>
      </w:r>
      <w:r w:rsidR="00804685" w:rsidRPr="00804685">
        <w:rPr>
          <w:sz w:val="22"/>
        </w:rPr>
        <w:t>People with criminal intentions value anonymity and are looking for ways to distance themselves from their activities while still enjoying the proceeds of their crime. Both domestic and international evidence suggests that</w:t>
      </w:r>
      <w:r w:rsidR="00804685">
        <w:rPr>
          <w:sz w:val="22"/>
        </w:rPr>
        <w:t xml:space="preserve"> the use of</w:t>
      </w:r>
      <w:r w:rsidR="00804685" w:rsidRPr="00804685">
        <w:rPr>
          <w:sz w:val="22"/>
        </w:rPr>
        <w:t xml:space="preserve"> </w:t>
      </w:r>
      <w:r w:rsidR="00E021CA">
        <w:rPr>
          <w:sz w:val="22"/>
        </w:rPr>
        <w:t>virtual asset</w:t>
      </w:r>
      <w:r w:rsidR="00804685">
        <w:rPr>
          <w:sz w:val="22"/>
        </w:rPr>
        <w:t>s</w:t>
      </w:r>
      <w:r w:rsidR="00804685" w:rsidRPr="00804685">
        <w:rPr>
          <w:sz w:val="22"/>
        </w:rPr>
        <w:t xml:space="preserve">, </w:t>
      </w:r>
      <w:r w:rsidR="00804685">
        <w:rPr>
          <w:sz w:val="22"/>
        </w:rPr>
        <w:t xml:space="preserve">and the associated services provided by VASPs, </w:t>
      </w:r>
      <w:r w:rsidR="00804685" w:rsidRPr="00804685">
        <w:rPr>
          <w:sz w:val="22"/>
        </w:rPr>
        <w:t>is a way for criminals to create a false perception of legitimately acquired wealth.</w:t>
      </w:r>
    </w:p>
    <w:p w14:paraId="17E284CF" w14:textId="3FDDBF5E" w:rsidR="0021761C" w:rsidRDefault="00FF6323" w:rsidP="00D273B3">
      <w:pPr>
        <w:rPr>
          <w:sz w:val="22"/>
        </w:rPr>
      </w:pPr>
      <w:r>
        <w:rPr>
          <w:sz w:val="22"/>
        </w:rPr>
        <w:t xml:space="preserve">This guidance has been developed to help the VASP sector understand their compliance obligations under </w:t>
      </w:r>
      <w:r w:rsidRPr="00FF6323">
        <w:rPr>
          <w:sz w:val="22"/>
        </w:rPr>
        <w:t>New Zealand’s Anti-Money Laundering and Countering Financing of Terrorism (AML/CFT) regime</w:t>
      </w:r>
      <w:r>
        <w:rPr>
          <w:sz w:val="22"/>
        </w:rPr>
        <w:t xml:space="preserve"> and works alongside the recently developed VASP </w:t>
      </w:r>
      <w:r w:rsidR="00AA0F1E">
        <w:rPr>
          <w:sz w:val="22"/>
        </w:rPr>
        <w:t>S</w:t>
      </w:r>
      <w:r>
        <w:rPr>
          <w:sz w:val="22"/>
        </w:rPr>
        <w:t xml:space="preserve">ector </w:t>
      </w:r>
      <w:r w:rsidR="00AA0F1E">
        <w:rPr>
          <w:sz w:val="22"/>
        </w:rPr>
        <w:t>R</w:t>
      </w:r>
      <w:r>
        <w:rPr>
          <w:sz w:val="22"/>
        </w:rPr>
        <w:t xml:space="preserve">isk </w:t>
      </w:r>
      <w:r w:rsidR="00AA0F1E">
        <w:rPr>
          <w:sz w:val="22"/>
        </w:rPr>
        <w:t>A</w:t>
      </w:r>
      <w:r>
        <w:rPr>
          <w:sz w:val="22"/>
        </w:rPr>
        <w:t>ssessment</w:t>
      </w:r>
      <w:r w:rsidRPr="00FF6323">
        <w:rPr>
          <w:sz w:val="22"/>
        </w:rPr>
        <w:t xml:space="preserve">. </w:t>
      </w:r>
      <w:r>
        <w:rPr>
          <w:sz w:val="22"/>
        </w:rPr>
        <w:t xml:space="preserve">The development has been driven by the growth of the VASP sector in both size and sophistication, and the introduction of </w:t>
      </w:r>
      <w:r w:rsidR="00545BAC">
        <w:rPr>
          <w:sz w:val="22"/>
        </w:rPr>
        <w:t>Financial Action Task Force (</w:t>
      </w:r>
      <w:r>
        <w:rPr>
          <w:sz w:val="22"/>
        </w:rPr>
        <w:t>FATF</w:t>
      </w:r>
      <w:r w:rsidR="00545BAC">
        <w:rPr>
          <w:sz w:val="22"/>
        </w:rPr>
        <w:t>)</w:t>
      </w:r>
      <w:r>
        <w:rPr>
          <w:sz w:val="22"/>
        </w:rPr>
        <w:t xml:space="preserve"> standards relating to VASPs.</w:t>
      </w:r>
    </w:p>
    <w:p w14:paraId="7DDDF0B9" w14:textId="3E39FC5D" w:rsidR="006615AF" w:rsidRDefault="001A4445" w:rsidP="00865329">
      <w:pPr>
        <w:rPr>
          <w:sz w:val="22"/>
        </w:rPr>
      </w:pPr>
      <w:r>
        <w:rPr>
          <w:sz w:val="22"/>
        </w:rPr>
        <w:t>As a supervisor</w:t>
      </w:r>
      <w:r w:rsidR="003B7920">
        <w:rPr>
          <w:sz w:val="22"/>
        </w:rPr>
        <w:t xml:space="preserve"> of the Anti-Money Laundering and Countering Financing</w:t>
      </w:r>
      <w:r w:rsidR="00F522E3">
        <w:rPr>
          <w:sz w:val="22"/>
        </w:rPr>
        <w:t xml:space="preserve"> of</w:t>
      </w:r>
      <w:r w:rsidR="003B7920">
        <w:rPr>
          <w:sz w:val="22"/>
        </w:rPr>
        <w:t xml:space="preserve"> Terrorism Act 2009 (</w:t>
      </w:r>
      <w:r w:rsidR="00F522E3">
        <w:rPr>
          <w:sz w:val="22"/>
        </w:rPr>
        <w:t>‘the</w:t>
      </w:r>
      <w:r w:rsidR="003B7920">
        <w:rPr>
          <w:sz w:val="22"/>
        </w:rPr>
        <w:t xml:space="preserve"> Act</w:t>
      </w:r>
      <w:r w:rsidR="00F522E3">
        <w:rPr>
          <w:sz w:val="22"/>
        </w:rPr>
        <w:t>’</w:t>
      </w:r>
      <w:r w:rsidR="003B7920">
        <w:rPr>
          <w:sz w:val="22"/>
        </w:rPr>
        <w:t>)</w:t>
      </w:r>
      <w:r>
        <w:rPr>
          <w:sz w:val="22"/>
        </w:rPr>
        <w:t xml:space="preserve">, </w:t>
      </w:r>
      <w:r w:rsidR="00E90D89">
        <w:rPr>
          <w:sz w:val="22"/>
        </w:rPr>
        <w:t>t</w:t>
      </w:r>
      <w:r>
        <w:rPr>
          <w:sz w:val="22"/>
        </w:rPr>
        <w:t>he Department of Internal Affairs (</w:t>
      </w:r>
      <w:r w:rsidR="00E90D89">
        <w:rPr>
          <w:sz w:val="22"/>
        </w:rPr>
        <w:t>the Department</w:t>
      </w:r>
      <w:r>
        <w:rPr>
          <w:sz w:val="22"/>
        </w:rPr>
        <w:t>)</w:t>
      </w:r>
      <w:r w:rsidR="00E3084C" w:rsidRPr="00E3084C">
        <w:rPr>
          <w:sz w:val="22"/>
        </w:rPr>
        <w:t xml:space="preserve"> recognise</w:t>
      </w:r>
      <w:r>
        <w:rPr>
          <w:sz w:val="22"/>
        </w:rPr>
        <w:t>s</w:t>
      </w:r>
      <w:r w:rsidR="00E3084C" w:rsidRPr="00E3084C">
        <w:rPr>
          <w:sz w:val="22"/>
        </w:rPr>
        <w:t xml:space="preserve"> that </w:t>
      </w:r>
      <w:r w:rsidR="00603DAA">
        <w:rPr>
          <w:sz w:val="22"/>
        </w:rPr>
        <w:t>achieving compliance with the</w:t>
      </w:r>
      <w:r w:rsidR="00E3084C" w:rsidRPr="00E3084C">
        <w:rPr>
          <w:sz w:val="22"/>
        </w:rPr>
        <w:t xml:space="preserve"> </w:t>
      </w:r>
      <w:r w:rsidR="00AA213A">
        <w:rPr>
          <w:sz w:val="22"/>
        </w:rPr>
        <w:t>Act</w:t>
      </w:r>
      <w:r w:rsidR="00AA213A" w:rsidRPr="00E3084C">
        <w:rPr>
          <w:sz w:val="22"/>
        </w:rPr>
        <w:t xml:space="preserve"> </w:t>
      </w:r>
      <w:r w:rsidR="00E3084C" w:rsidRPr="00E3084C">
        <w:rPr>
          <w:sz w:val="22"/>
        </w:rPr>
        <w:t>will take time and effort</w:t>
      </w:r>
      <w:r w:rsidR="00E3084C">
        <w:rPr>
          <w:sz w:val="22"/>
        </w:rPr>
        <w:t>.</w:t>
      </w:r>
      <w:r w:rsidR="00E3084C" w:rsidRPr="00E3084C">
        <w:rPr>
          <w:sz w:val="22"/>
        </w:rPr>
        <w:t xml:space="preserve"> </w:t>
      </w:r>
      <w:r w:rsidR="00D273B3" w:rsidRPr="00D273B3">
        <w:rPr>
          <w:sz w:val="22"/>
        </w:rPr>
        <w:t>This guideline helps you to determine whether your business must comply with the Act and, if so, what you must do to ensure you comply with the Act. You must comply with the Act by ensuring you identify, understand, and assess the risks of ML/TF to your business, and manage those risks in your day</w:t>
      </w:r>
      <w:r w:rsidR="00473609">
        <w:rPr>
          <w:sz w:val="22"/>
        </w:rPr>
        <w:t>-</w:t>
      </w:r>
      <w:r w:rsidR="00D273B3" w:rsidRPr="00D273B3">
        <w:rPr>
          <w:sz w:val="22"/>
        </w:rPr>
        <w:t>to</w:t>
      </w:r>
      <w:r w:rsidR="00473609">
        <w:rPr>
          <w:sz w:val="22"/>
        </w:rPr>
        <w:t>-</w:t>
      </w:r>
      <w:r w:rsidR="00D273B3" w:rsidRPr="00D273B3">
        <w:rPr>
          <w:sz w:val="22"/>
        </w:rPr>
        <w:t>day business via a dedicated AML/CFT programme. AML/CFT programmes will vary from business to business according to professional judgements about how to best manage specific risks.</w:t>
      </w:r>
    </w:p>
    <w:p w14:paraId="1A004506" w14:textId="1764A9C2" w:rsidR="00151CC9" w:rsidRDefault="00151CC9" w:rsidP="00865329">
      <w:pPr>
        <w:rPr>
          <w:sz w:val="22"/>
        </w:rPr>
      </w:pPr>
    </w:p>
    <w:p w14:paraId="0BD14242" w14:textId="75E79C17" w:rsidR="00151CC9" w:rsidRDefault="00151CC9" w:rsidP="00865329">
      <w:pPr>
        <w:rPr>
          <w:sz w:val="22"/>
        </w:rPr>
      </w:pPr>
    </w:p>
    <w:p w14:paraId="515C0E73" w14:textId="53A3216D" w:rsidR="00151CC9" w:rsidRDefault="00151CC9" w:rsidP="00865329">
      <w:pPr>
        <w:rPr>
          <w:sz w:val="22"/>
        </w:rPr>
      </w:pPr>
    </w:p>
    <w:p w14:paraId="34462FA9" w14:textId="039F30CD" w:rsidR="00151CC9" w:rsidRDefault="00151CC9" w:rsidP="00865329">
      <w:pPr>
        <w:rPr>
          <w:sz w:val="22"/>
        </w:rPr>
      </w:pPr>
    </w:p>
    <w:p w14:paraId="6C83D300" w14:textId="77777777" w:rsidR="00151CC9" w:rsidRDefault="00151CC9" w:rsidP="00865329">
      <w:pPr>
        <w:rPr>
          <w:sz w:val="22"/>
        </w:rPr>
      </w:pPr>
    </w:p>
    <w:p w14:paraId="6C080C3E" w14:textId="0D335C66" w:rsidR="000B0B05" w:rsidRDefault="000B0B05" w:rsidP="00865329">
      <w:pPr>
        <w:rPr>
          <w:sz w:val="22"/>
        </w:rPr>
      </w:pPr>
    </w:p>
    <w:p w14:paraId="6D1B76A5" w14:textId="77777777" w:rsidR="00E3084C" w:rsidRDefault="00E3084C" w:rsidP="00E3084C">
      <w:pPr>
        <w:pStyle w:val="Heading2"/>
      </w:pPr>
      <w:bookmarkStart w:id="1" w:name="_Toc34985619"/>
      <w:r w:rsidRPr="00E3084C">
        <w:t>Disclaimer</w:t>
      </w:r>
      <w:bookmarkEnd w:id="1"/>
      <w:r w:rsidRPr="00E3084C">
        <w:t xml:space="preserve"> </w:t>
      </w:r>
    </w:p>
    <w:p w14:paraId="5DDFECF3" w14:textId="43F716E7" w:rsidR="006615AF" w:rsidRDefault="00E3084C" w:rsidP="000B0B05">
      <w:pPr>
        <w:rPr>
          <w:sz w:val="22"/>
        </w:rPr>
      </w:pPr>
      <w:r w:rsidRPr="00E3084C">
        <w:rPr>
          <w:sz w:val="22"/>
        </w:rPr>
        <w:t>This guideline is provided for information purposes only and cannot be relied on as evidence of complying with the requirements of the AML/CFT Act</w:t>
      </w:r>
      <w:r>
        <w:rPr>
          <w:rFonts w:ascii="Tahoma" w:hAnsi="Tahoma" w:cs="Tahoma"/>
          <w:sz w:val="22"/>
        </w:rPr>
        <w:t>.</w:t>
      </w:r>
      <w:r w:rsidRPr="00E3084C">
        <w:rPr>
          <w:sz w:val="22"/>
        </w:rPr>
        <w:t xml:space="preserve"> It does not constitute legal advice and cannot be relied on as such</w:t>
      </w:r>
      <w:r>
        <w:rPr>
          <w:rFonts w:ascii="Tahoma" w:hAnsi="Tahoma" w:cs="Tahoma"/>
          <w:sz w:val="22"/>
        </w:rPr>
        <w:t>.</w:t>
      </w:r>
      <w:r w:rsidRPr="00E3084C">
        <w:rPr>
          <w:sz w:val="22"/>
        </w:rPr>
        <w:t xml:space="preserve"> If after reading this guideline you do not fully understand your obligations, you should seek suitable professional or legal advice or contact your supervisor, the Department of Internal Affairs</w:t>
      </w:r>
      <w:r w:rsidR="00E021CA">
        <w:rPr>
          <w:sz w:val="22"/>
        </w:rPr>
        <w:t>,</w:t>
      </w:r>
      <w:r w:rsidRPr="00E3084C">
        <w:rPr>
          <w:sz w:val="22"/>
        </w:rPr>
        <w:t xml:space="preserve"> at </w:t>
      </w:r>
      <w:hyperlink r:id="rId15" w:history="1">
        <w:r w:rsidRPr="00916D49">
          <w:rPr>
            <w:rStyle w:val="Hyperlink"/>
            <w:sz w:val="22"/>
          </w:rPr>
          <w:t>Amlcft@dia</w:t>
        </w:r>
        <w:r w:rsidRPr="00916D49">
          <w:rPr>
            <w:rStyle w:val="Hyperlink"/>
            <w:rFonts w:ascii="Tahoma" w:hAnsi="Tahoma" w:cs="Tahoma"/>
            <w:sz w:val="22"/>
          </w:rPr>
          <w:t>.</w:t>
        </w:r>
        <w:r w:rsidRPr="00916D49">
          <w:rPr>
            <w:rStyle w:val="Hyperlink"/>
            <w:sz w:val="22"/>
          </w:rPr>
          <w:t>govt</w:t>
        </w:r>
        <w:r w:rsidRPr="00916D49">
          <w:rPr>
            <w:rStyle w:val="Hyperlink"/>
            <w:rFonts w:ascii="Tahoma" w:hAnsi="Tahoma" w:cs="Tahoma"/>
            <w:sz w:val="22"/>
          </w:rPr>
          <w:t>.</w:t>
        </w:r>
        <w:r w:rsidRPr="00916D49">
          <w:rPr>
            <w:rStyle w:val="Hyperlink"/>
            <w:sz w:val="22"/>
          </w:rPr>
          <w:t>nz</w:t>
        </w:r>
      </w:hyperlink>
      <w:r>
        <w:rPr>
          <w:sz w:val="22"/>
        </w:rPr>
        <w:t xml:space="preserve"> </w:t>
      </w:r>
      <w:r>
        <w:rPr>
          <w:sz w:val="22"/>
        </w:rPr>
        <w:br w:type="page"/>
      </w:r>
    </w:p>
    <w:p w14:paraId="20870694" w14:textId="4AD2459D" w:rsidR="00A12807" w:rsidRDefault="00CA74A4" w:rsidP="00E3084C">
      <w:pPr>
        <w:pStyle w:val="Heading1"/>
      </w:pPr>
      <w:bookmarkStart w:id="2" w:name="_Toc34985620"/>
      <w:r>
        <w:lastRenderedPageBreak/>
        <w:t>Overview</w:t>
      </w:r>
      <w:bookmarkEnd w:id="2"/>
    </w:p>
    <w:p w14:paraId="771425B8" w14:textId="77777777" w:rsidR="006804FD" w:rsidRDefault="006804FD" w:rsidP="00E3084C">
      <w:pPr>
        <w:pStyle w:val="Heading2"/>
      </w:pPr>
      <w:bookmarkStart w:id="3" w:name="_Toc34985621"/>
      <w:r>
        <w:t>Capture Point under the Act</w:t>
      </w:r>
      <w:bookmarkEnd w:id="3"/>
    </w:p>
    <w:p w14:paraId="472632BA" w14:textId="777F7197" w:rsidR="0023603B" w:rsidRDefault="00F522E3" w:rsidP="006804FD">
      <w:pPr>
        <w:rPr>
          <w:sz w:val="22"/>
        </w:rPr>
      </w:pPr>
      <w:r>
        <w:rPr>
          <w:sz w:val="22"/>
        </w:rPr>
        <w:t>A ‘capture point’ is where a busi</w:t>
      </w:r>
      <w:bookmarkStart w:id="4" w:name="_GoBack"/>
      <w:bookmarkEnd w:id="4"/>
      <w:r>
        <w:rPr>
          <w:sz w:val="22"/>
        </w:rPr>
        <w:t>ness offers services</w:t>
      </w:r>
      <w:r w:rsidR="00906D17">
        <w:rPr>
          <w:sz w:val="22"/>
        </w:rPr>
        <w:t xml:space="preserve"> that fit</w:t>
      </w:r>
      <w:r>
        <w:rPr>
          <w:sz w:val="22"/>
        </w:rPr>
        <w:t xml:space="preserve"> under the definitions</w:t>
      </w:r>
      <w:r w:rsidR="00906D17">
        <w:rPr>
          <w:sz w:val="22"/>
        </w:rPr>
        <w:t xml:space="preserve"> specified</w:t>
      </w:r>
      <w:r>
        <w:rPr>
          <w:sz w:val="22"/>
        </w:rPr>
        <w:t xml:space="preserve"> in section 5(1) of the Act. </w:t>
      </w:r>
      <w:bookmarkStart w:id="5" w:name="_Hlk34986739"/>
      <w:r w:rsidR="0023603B">
        <w:rPr>
          <w:sz w:val="22"/>
        </w:rPr>
        <w:t xml:space="preserve">Capture points define which businesses have compliance obligations under the Act – if your business </w:t>
      </w:r>
      <w:r w:rsidR="0023603B" w:rsidRPr="0023603B">
        <w:rPr>
          <w:sz w:val="22"/>
        </w:rPr>
        <w:t>undertake</w:t>
      </w:r>
      <w:r w:rsidR="0023603B">
        <w:rPr>
          <w:sz w:val="22"/>
        </w:rPr>
        <w:t>s a</w:t>
      </w:r>
      <w:r w:rsidR="00A72A47">
        <w:rPr>
          <w:sz w:val="22"/>
        </w:rPr>
        <w:t>n</w:t>
      </w:r>
      <w:r w:rsidR="0023603B" w:rsidRPr="0023603B">
        <w:rPr>
          <w:sz w:val="22"/>
        </w:rPr>
        <w:t xml:space="preserve"> activity</w:t>
      </w:r>
      <w:r w:rsidR="00A72A47">
        <w:rPr>
          <w:sz w:val="22"/>
        </w:rPr>
        <w:t xml:space="preserve"> that fits</w:t>
      </w:r>
      <w:r w:rsidR="003B369C">
        <w:rPr>
          <w:sz w:val="22"/>
        </w:rPr>
        <w:t xml:space="preserve"> with these definitions</w:t>
      </w:r>
      <w:r w:rsidR="0023603B">
        <w:rPr>
          <w:sz w:val="22"/>
        </w:rPr>
        <w:t>,</w:t>
      </w:r>
      <w:r w:rsidR="00A72A47">
        <w:rPr>
          <w:sz w:val="22"/>
        </w:rPr>
        <w:t xml:space="preserve"> (a ‘captured activity’)</w:t>
      </w:r>
      <w:r w:rsidR="0023603B" w:rsidRPr="0023603B">
        <w:rPr>
          <w:sz w:val="22"/>
        </w:rPr>
        <w:t xml:space="preserve"> you are a reporting entity with AML/CFT obligations</w:t>
      </w:r>
      <w:r w:rsidR="0023603B">
        <w:rPr>
          <w:sz w:val="22"/>
        </w:rPr>
        <w:t>.</w:t>
      </w:r>
      <w:bookmarkEnd w:id="5"/>
    </w:p>
    <w:p w14:paraId="317E5829" w14:textId="48AEEB6D" w:rsidR="002770AE" w:rsidRPr="00071D78" w:rsidRDefault="006804FD" w:rsidP="006804FD">
      <w:pPr>
        <w:rPr>
          <w:sz w:val="22"/>
        </w:rPr>
      </w:pPr>
      <w:r w:rsidRPr="00071D78">
        <w:rPr>
          <w:sz w:val="22"/>
        </w:rPr>
        <w:t>VASPs are considered ‘financial institutions’ as defined in</w:t>
      </w:r>
      <w:r w:rsidR="009421BC" w:rsidRPr="00071D78">
        <w:rPr>
          <w:sz w:val="22"/>
        </w:rPr>
        <w:t xml:space="preserve"> section 5</w:t>
      </w:r>
      <w:r w:rsidR="00F522E3">
        <w:rPr>
          <w:sz w:val="22"/>
        </w:rPr>
        <w:t>(1)</w:t>
      </w:r>
      <w:r w:rsidR="009421BC" w:rsidRPr="00071D78">
        <w:rPr>
          <w:sz w:val="22"/>
        </w:rPr>
        <w:t xml:space="preserve"> of</w:t>
      </w:r>
      <w:r w:rsidRPr="00071D78">
        <w:rPr>
          <w:sz w:val="22"/>
        </w:rPr>
        <w:t xml:space="preserve"> </w:t>
      </w:r>
      <w:r w:rsidR="001702B8">
        <w:rPr>
          <w:sz w:val="22"/>
        </w:rPr>
        <w:t>the</w:t>
      </w:r>
      <w:r w:rsidRPr="00071D78">
        <w:rPr>
          <w:sz w:val="22"/>
        </w:rPr>
        <w:t xml:space="preserve"> Act. VASPs may offer a diverse range of services, </w:t>
      </w:r>
      <w:r w:rsidR="009421BC" w:rsidRPr="00071D78">
        <w:rPr>
          <w:sz w:val="22"/>
        </w:rPr>
        <w:t xml:space="preserve">for example </w:t>
      </w:r>
      <w:r w:rsidR="009421BC" w:rsidRPr="00071D78">
        <w:rPr>
          <w:i/>
          <w:sz w:val="22"/>
        </w:rPr>
        <w:t>‘</w:t>
      </w:r>
      <w:r w:rsidR="009421BC" w:rsidRPr="00584253">
        <w:rPr>
          <w:sz w:val="22"/>
        </w:rPr>
        <w:t>transferring money or value for, or on behalf of, a customer’</w:t>
      </w:r>
      <w:r w:rsidR="009421BC" w:rsidRPr="00F522E3">
        <w:rPr>
          <w:sz w:val="22"/>
        </w:rPr>
        <w:t xml:space="preserve">, </w:t>
      </w:r>
      <w:r w:rsidR="009421BC" w:rsidRPr="00584253">
        <w:rPr>
          <w:sz w:val="22"/>
        </w:rPr>
        <w:t>‘money or currency changing’</w:t>
      </w:r>
      <w:r w:rsidR="00DC42D1" w:rsidRPr="00584253">
        <w:rPr>
          <w:sz w:val="22"/>
        </w:rPr>
        <w:t xml:space="preserve">, </w:t>
      </w:r>
      <w:r w:rsidR="00DC42D1" w:rsidRPr="00F522E3">
        <w:rPr>
          <w:sz w:val="22"/>
        </w:rPr>
        <w:t>or</w:t>
      </w:r>
      <w:r w:rsidR="00DC42D1" w:rsidRPr="00584253">
        <w:rPr>
          <w:sz w:val="22"/>
        </w:rPr>
        <w:t xml:space="preserve"> ‘investing, administering, or managing funds or money on behalf of other persons’</w:t>
      </w:r>
      <w:r w:rsidR="009421BC" w:rsidRPr="00071D78">
        <w:rPr>
          <w:sz w:val="22"/>
        </w:rPr>
        <w:t xml:space="preserve">. </w:t>
      </w:r>
      <w:r w:rsidR="00DC42D1" w:rsidRPr="00071D78">
        <w:rPr>
          <w:sz w:val="22"/>
        </w:rPr>
        <w:t>In many cases, VASPs may offer services fitting more than one capture point.</w:t>
      </w:r>
    </w:p>
    <w:p w14:paraId="739B61E6" w14:textId="535B8D30" w:rsidR="00A12807" w:rsidRPr="00321FD8" w:rsidRDefault="00F144D9" w:rsidP="00321FD8">
      <w:pPr>
        <w:rPr>
          <w:sz w:val="22"/>
        </w:rPr>
      </w:pPr>
      <w:r w:rsidRPr="00071D78">
        <w:rPr>
          <w:sz w:val="22"/>
        </w:rPr>
        <w:t>The below table may assist VASPs in determining potential capture points</w:t>
      </w:r>
      <w:r w:rsidR="00DC42D1" w:rsidRPr="00071D78">
        <w:rPr>
          <w:sz w:val="22"/>
        </w:rPr>
        <w:t xml:space="preserve"> – this should only be considered as a guideline, and VASPs should consider </w:t>
      </w:r>
      <w:r w:rsidR="00F6641A">
        <w:rPr>
          <w:sz w:val="22"/>
        </w:rPr>
        <w:t xml:space="preserve">where </w:t>
      </w:r>
      <w:r w:rsidR="00DC42D1" w:rsidRPr="00071D78">
        <w:rPr>
          <w:sz w:val="22"/>
        </w:rPr>
        <w:t>the services their business offers</w:t>
      </w:r>
      <w:r w:rsidR="00F6641A">
        <w:rPr>
          <w:sz w:val="22"/>
        </w:rPr>
        <w:t xml:space="preserve"> fit with the various capture points under the Act.</w:t>
      </w:r>
    </w:p>
    <w:tbl>
      <w:tblPr>
        <w:tblStyle w:val="DIATable"/>
        <w:tblW w:w="9640" w:type="dxa"/>
        <w:tblInd w:w="-34" w:type="dxa"/>
        <w:tblLook w:val="04A0" w:firstRow="1" w:lastRow="0" w:firstColumn="1" w:lastColumn="0" w:noHBand="0" w:noVBand="1"/>
      </w:tblPr>
      <w:tblGrid>
        <w:gridCol w:w="1469"/>
        <w:gridCol w:w="4337"/>
        <w:gridCol w:w="3834"/>
      </w:tblGrid>
      <w:tr w:rsidR="009421BC" w14:paraId="12809629" w14:textId="77777777" w:rsidTr="00627DDB">
        <w:trPr>
          <w:cnfStyle w:val="100000000000" w:firstRow="1" w:lastRow="0" w:firstColumn="0" w:lastColumn="0" w:oddVBand="0" w:evenVBand="0" w:oddHBand="0" w:evenHBand="0" w:firstRowFirstColumn="0" w:firstRowLastColumn="0" w:lastRowFirstColumn="0" w:lastRowLastColumn="0"/>
        </w:trPr>
        <w:tc>
          <w:tcPr>
            <w:tcW w:w="1469" w:type="dxa"/>
          </w:tcPr>
          <w:p w14:paraId="2B07B462" w14:textId="77777777" w:rsidR="009421BC" w:rsidRDefault="009421BC" w:rsidP="00A12807">
            <w:r>
              <w:t>Type of VASP</w:t>
            </w:r>
          </w:p>
        </w:tc>
        <w:tc>
          <w:tcPr>
            <w:tcW w:w="4337" w:type="dxa"/>
          </w:tcPr>
          <w:p w14:paraId="619FE8F1" w14:textId="02450511" w:rsidR="009421BC" w:rsidRDefault="009421BC" w:rsidP="00A12807">
            <w:r>
              <w:t xml:space="preserve">Typical </w:t>
            </w:r>
            <w:r w:rsidR="00321FD8">
              <w:t>a</w:t>
            </w:r>
            <w:r>
              <w:t>ctivit</w:t>
            </w:r>
            <w:r w:rsidR="00906D17">
              <w:t>ies</w:t>
            </w:r>
          </w:p>
        </w:tc>
        <w:tc>
          <w:tcPr>
            <w:tcW w:w="3834" w:type="dxa"/>
          </w:tcPr>
          <w:p w14:paraId="4EB8617B" w14:textId="0C58048A" w:rsidR="009421BC" w:rsidRDefault="00321FD8" w:rsidP="00A12807">
            <w:r>
              <w:t>Examples of p</w:t>
            </w:r>
            <w:r w:rsidR="009421BC">
              <w:t xml:space="preserve">ossible </w:t>
            </w:r>
            <w:r>
              <w:t>c</w:t>
            </w:r>
            <w:r w:rsidR="009421BC">
              <w:t xml:space="preserve">apture </w:t>
            </w:r>
            <w:r>
              <w:t>p</w:t>
            </w:r>
            <w:r w:rsidR="009421BC">
              <w:t>oint</w:t>
            </w:r>
            <w:r w:rsidR="00906D17">
              <w:t>s</w:t>
            </w:r>
          </w:p>
        </w:tc>
      </w:tr>
      <w:tr w:rsidR="009421BC" w14:paraId="58477067" w14:textId="77777777" w:rsidTr="00627DDB">
        <w:tc>
          <w:tcPr>
            <w:tcW w:w="1469" w:type="dxa"/>
          </w:tcPr>
          <w:p w14:paraId="6A0D5AA4" w14:textId="77777777" w:rsidR="009421BC" w:rsidRPr="009421BC" w:rsidRDefault="009421BC" w:rsidP="00A12807">
            <w:pPr>
              <w:rPr>
                <w:b/>
                <w:szCs w:val="22"/>
              </w:rPr>
            </w:pPr>
            <w:r w:rsidRPr="00104A25">
              <w:rPr>
                <w:b/>
                <w:bCs/>
                <w:szCs w:val="22"/>
              </w:rPr>
              <w:t>Virtual Asset Exchanges</w:t>
            </w:r>
          </w:p>
        </w:tc>
        <w:tc>
          <w:tcPr>
            <w:tcW w:w="4337" w:type="dxa"/>
          </w:tcPr>
          <w:p w14:paraId="1D5B24D0" w14:textId="0FEA5443" w:rsidR="009421BC" w:rsidRDefault="009421BC" w:rsidP="00104A25">
            <w:pPr>
              <w:spacing w:line="276" w:lineRule="auto"/>
              <w:rPr>
                <w:szCs w:val="22"/>
              </w:rPr>
            </w:pPr>
            <w:r w:rsidRPr="00104A25">
              <w:rPr>
                <w:szCs w:val="22"/>
              </w:rPr>
              <w:t>Issuing virtual assets such as virtual currency/digital tokens to facilitate virtual asset trading</w:t>
            </w:r>
          </w:p>
          <w:p w14:paraId="12DE627E" w14:textId="6DEE674A" w:rsidR="009421BC" w:rsidRDefault="009421BC" w:rsidP="00104A25">
            <w:pPr>
              <w:rPr>
                <w:szCs w:val="22"/>
              </w:rPr>
            </w:pPr>
            <w:r w:rsidRPr="00104A25">
              <w:rPr>
                <w:szCs w:val="22"/>
              </w:rPr>
              <w:t>Providing a digital online platform facilitating virtual asset trading.  Trading may occur between virtual assets or between virtual asset and fiat currency.</w:t>
            </w:r>
          </w:p>
          <w:p w14:paraId="4CA0143B" w14:textId="25F7149C" w:rsidR="00627DDB" w:rsidRPr="009421BC" w:rsidRDefault="00627DDB" w:rsidP="00104A25">
            <w:pPr>
              <w:rPr>
                <w:szCs w:val="22"/>
              </w:rPr>
            </w:pPr>
          </w:p>
        </w:tc>
        <w:tc>
          <w:tcPr>
            <w:tcW w:w="3834" w:type="dxa"/>
          </w:tcPr>
          <w:p w14:paraId="3434FF04" w14:textId="63DD312F" w:rsidR="009421BC" w:rsidRPr="009722E0" w:rsidRDefault="009421BC" w:rsidP="009722E0">
            <w:pPr>
              <w:pStyle w:val="ListParagraph"/>
              <w:numPr>
                <w:ilvl w:val="0"/>
                <w:numId w:val="47"/>
              </w:numPr>
              <w:spacing w:before="56" w:after="32" w:line="276" w:lineRule="auto"/>
              <w:ind w:left="414" w:hanging="357"/>
              <w:rPr>
                <w:szCs w:val="22"/>
              </w:rPr>
            </w:pPr>
            <w:r w:rsidRPr="009722E0">
              <w:rPr>
                <w:szCs w:val="22"/>
              </w:rPr>
              <w:t>issuing or managing the means of payment</w:t>
            </w:r>
          </w:p>
          <w:p w14:paraId="7027FF49" w14:textId="5552C85B" w:rsidR="009421BC" w:rsidRPr="009722E0" w:rsidRDefault="009421BC" w:rsidP="009722E0">
            <w:pPr>
              <w:pStyle w:val="ListParagraph"/>
              <w:numPr>
                <w:ilvl w:val="0"/>
                <w:numId w:val="47"/>
              </w:numPr>
              <w:spacing w:before="56" w:after="32" w:line="276" w:lineRule="auto"/>
              <w:ind w:left="414" w:hanging="357"/>
            </w:pPr>
            <w:r w:rsidRPr="009722E0">
              <w:t>transferring money or value for, or on behalf of, a customer</w:t>
            </w:r>
          </w:p>
          <w:p w14:paraId="4979949F" w14:textId="6E69363E" w:rsidR="009421BC" w:rsidRPr="009722E0" w:rsidRDefault="009421BC" w:rsidP="009722E0">
            <w:pPr>
              <w:pStyle w:val="ListParagraph"/>
              <w:numPr>
                <w:ilvl w:val="0"/>
                <w:numId w:val="47"/>
              </w:numPr>
              <w:spacing w:before="56" w:after="32" w:line="276" w:lineRule="auto"/>
              <w:ind w:left="414" w:hanging="357"/>
              <w:rPr>
                <w:szCs w:val="22"/>
              </w:rPr>
            </w:pPr>
            <w:r w:rsidRPr="009722E0">
              <w:t>money or currency changing</w:t>
            </w:r>
          </w:p>
        </w:tc>
      </w:tr>
      <w:tr w:rsidR="009421BC" w14:paraId="62D03DF6" w14:textId="77777777" w:rsidTr="00627DDB">
        <w:tc>
          <w:tcPr>
            <w:tcW w:w="1469" w:type="dxa"/>
          </w:tcPr>
          <w:p w14:paraId="47AFF4B0" w14:textId="77777777" w:rsidR="009421BC" w:rsidRPr="009421BC" w:rsidRDefault="009421BC" w:rsidP="00A12807">
            <w:pPr>
              <w:rPr>
                <w:b/>
                <w:szCs w:val="22"/>
              </w:rPr>
            </w:pPr>
            <w:r w:rsidRPr="00104A25">
              <w:rPr>
                <w:b/>
                <w:bCs/>
                <w:szCs w:val="22"/>
              </w:rPr>
              <w:t>Virtual Asset Wallet Providers</w:t>
            </w:r>
          </w:p>
        </w:tc>
        <w:tc>
          <w:tcPr>
            <w:tcW w:w="4337" w:type="dxa"/>
          </w:tcPr>
          <w:p w14:paraId="444AD28A" w14:textId="2CE006C3" w:rsidR="009421BC" w:rsidRPr="009421BC" w:rsidRDefault="009421BC" w:rsidP="00A12807">
            <w:pPr>
              <w:rPr>
                <w:szCs w:val="22"/>
              </w:rPr>
            </w:pPr>
            <w:r w:rsidRPr="00104A25">
              <w:rPr>
                <w:szCs w:val="22"/>
              </w:rPr>
              <w:t>Providing storage for virtual assets or fiat currency on behalf of others and facilitating exchanges between virtual assets or fiat currency.</w:t>
            </w:r>
          </w:p>
        </w:tc>
        <w:tc>
          <w:tcPr>
            <w:tcW w:w="3834" w:type="dxa"/>
          </w:tcPr>
          <w:p w14:paraId="057BC05E" w14:textId="37B4C805" w:rsidR="00F144D9" w:rsidRPr="009722E0" w:rsidRDefault="00F144D9" w:rsidP="009722E0">
            <w:pPr>
              <w:pStyle w:val="ListParagraph"/>
              <w:numPr>
                <w:ilvl w:val="0"/>
                <w:numId w:val="46"/>
              </w:numPr>
              <w:spacing w:before="56" w:after="32"/>
              <w:ind w:left="414" w:hanging="357"/>
              <w:rPr>
                <w:szCs w:val="22"/>
              </w:rPr>
            </w:pPr>
            <w:r w:rsidRPr="009722E0">
              <w:rPr>
                <w:szCs w:val="22"/>
              </w:rPr>
              <w:t>accepting deposits or other repayable funds from the public</w:t>
            </w:r>
          </w:p>
          <w:p w14:paraId="778F8D84" w14:textId="22B0A059" w:rsidR="00F144D9" w:rsidRPr="009722E0" w:rsidRDefault="00F144D9" w:rsidP="009722E0">
            <w:pPr>
              <w:pStyle w:val="ListParagraph"/>
              <w:numPr>
                <w:ilvl w:val="0"/>
                <w:numId w:val="46"/>
              </w:numPr>
              <w:spacing w:before="56" w:after="32"/>
              <w:ind w:left="414" w:hanging="357"/>
              <w:rPr>
                <w:szCs w:val="22"/>
              </w:rPr>
            </w:pPr>
            <w:r w:rsidRPr="009722E0">
              <w:t>transferring money or value for, or on behalf of, a customer</w:t>
            </w:r>
          </w:p>
          <w:p w14:paraId="7AF2883D" w14:textId="0074FA3D" w:rsidR="00F144D9" w:rsidRPr="009722E0" w:rsidRDefault="00F144D9" w:rsidP="009722E0">
            <w:pPr>
              <w:pStyle w:val="ListParagraph"/>
              <w:numPr>
                <w:ilvl w:val="0"/>
                <w:numId w:val="46"/>
              </w:numPr>
              <w:spacing w:before="56" w:after="32"/>
              <w:ind w:left="414" w:hanging="357"/>
            </w:pPr>
            <w:r w:rsidRPr="009722E0">
              <w:t>money or currency changing</w:t>
            </w:r>
          </w:p>
          <w:p w14:paraId="59350A12" w14:textId="03DAC635" w:rsidR="00627DDB" w:rsidRPr="00F144D9" w:rsidRDefault="00627DDB" w:rsidP="00F144D9">
            <w:pPr>
              <w:rPr>
                <w:szCs w:val="22"/>
              </w:rPr>
            </w:pPr>
          </w:p>
        </w:tc>
      </w:tr>
      <w:tr w:rsidR="009421BC" w14:paraId="06422FA5" w14:textId="77777777" w:rsidTr="00A72A47">
        <w:trPr>
          <w:trHeight w:val="901"/>
        </w:trPr>
        <w:tc>
          <w:tcPr>
            <w:tcW w:w="1469" w:type="dxa"/>
          </w:tcPr>
          <w:p w14:paraId="69E5F602" w14:textId="77777777" w:rsidR="009421BC" w:rsidRPr="00104A25" w:rsidRDefault="009421BC" w:rsidP="00104A25">
            <w:pPr>
              <w:spacing w:line="276" w:lineRule="auto"/>
              <w:rPr>
                <w:rFonts w:asciiTheme="minorHAnsi" w:hAnsiTheme="minorHAnsi" w:cstheme="minorHAnsi"/>
                <w:b/>
                <w:szCs w:val="22"/>
              </w:rPr>
            </w:pPr>
            <w:r w:rsidRPr="00104A25">
              <w:rPr>
                <w:rFonts w:asciiTheme="minorHAnsi" w:hAnsiTheme="minorHAnsi" w:cstheme="minorHAnsi"/>
                <w:b/>
                <w:bCs/>
                <w:szCs w:val="22"/>
              </w:rPr>
              <w:t>Virtual Asset Broking</w:t>
            </w:r>
          </w:p>
        </w:tc>
        <w:tc>
          <w:tcPr>
            <w:tcW w:w="4337" w:type="dxa"/>
          </w:tcPr>
          <w:p w14:paraId="361B9D4B" w14:textId="75E2D427" w:rsidR="00627DDB" w:rsidRPr="00104A25" w:rsidRDefault="009421BC" w:rsidP="00104A25">
            <w:pPr>
              <w:spacing w:line="276" w:lineRule="auto"/>
              <w:rPr>
                <w:rFonts w:asciiTheme="minorHAnsi" w:hAnsiTheme="minorHAnsi" w:cstheme="minorHAnsi"/>
                <w:szCs w:val="22"/>
              </w:rPr>
            </w:pPr>
            <w:r w:rsidRPr="00104A25">
              <w:rPr>
                <w:rFonts w:asciiTheme="minorHAnsi" w:hAnsiTheme="minorHAnsi" w:cstheme="minorHAnsi"/>
                <w:szCs w:val="22"/>
              </w:rPr>
              <w:t>Arranging transactions involving virtual assets.</w:t>
            </w:r>
          </w:p>
        </w:tc>
        <w:tc>
          <w:tcPr>
            <w:tcW w:w="3834" w:type="dxa"/>
          </w:tcPr>
          <w:p w14:paraId="5C6E15AB" w14:textId="2D6A2988" w:rsidR="009421BC" w:rsidRPr="009722E0" w:rsidRDefault="00321FD8" w:rsidP="009722E0">
            <w:pPr>
              <w:pStyle w:val="ListParagraph"/>
              <w:numPr>
                <w:ilvl w:val="0"/>
                <w:numId w:val="45"/>
              </w:numPr>
              <w:spacing w:before="56" w:after="32" w:line="276" w:lineRule="auto"/>
              <w:ind w:left="414" w:hanging="357"/>
              <w:rPr>
                <w:rFonts w:asciiTheme="minorHAnsi" w:hAnsiTheme="minorHAnsi" w:cstheme="minorHAnsi"/>
                <w:szCs w:val="22"/>
              </w:rPr>
            </w:pPr>
            <w:r w:rsidRPr="009722E0">
              <w:t>transferring money or value for, or on behalf of, a customer</w:t>
            </w:r>
          </w:p>
        </w:tc>
      </w:tr>
      <w:tr w:rsidR="009421BC" w14:paraId="644D7D60" w14:textId="77777777" w:rsidTr="00627DDB">
        <w:tc>
          <w:tcPr>
            <w:tcW w:w="1469" w:type="dxa"/>
          </w:tcPr>
          <w:p w14:paraId="342A7D59" w14:textId="77777777" w:rsidR="009421BC" w:rsidRPr="00F144D9" w:rsidRDefault="009421BC" w:rsidP="00104A25">
            <w:pPr>
              <w:rPr>
                <w:rFonts w:asciiTheme="minorHAnsi" w:hAnsiTheme="minorHAnsi" w:cstheme="minorHAnsi"/>
                <w:b/>
                <w:szCs w:val="22"/>
              </w:rPr>
            </w:pPr>
            <w:r w:rsidRPr="00104A25">
              <w:rPr>
                <w:rFonts w:asciiTheme="minorHAnsi" w:hAnsiTheme="minorHAnsi" w:cstheme="minorHAnsi"/>
                <w:b/>
                <w:bCs/>
                <w:szCs w:val="22"/>
              </w:rPr>
              <w:t>Initial Coin Offering (ICO) Providers</w:t>
            </w:r>
          </w:p>
        </w:tc>
        <w:tc>
          <w:tcPr>
            <w:tcW w:w="4337" w:type="dxa"/>
          </w:tcPr>
          <w:p w14:paraId="5D177FD8" w14:textId="4F69F53B" w:rsidR="009421BC" w:rsidRPr="00F144D9" w:rsidRDefault="009421BC" w:rsidP="00104A25">
            <w:pPr>
              <w:rPr>
                <w:rFonts w:asciiTheme="minorHAnsi" w:hAnsiTheme="minorHAnsi" w:cstheme="minorHAnsi"/>
                <w:szCs w:val="22"/>
              </w:rPr>
            </w:pPr>
            <w:r w:rsidRPr="00104A25">
              <w:rPr>
                <w:rFonts w:asciiTheme="minorHAnsi" w:hAnsiTheme="minorHAnsi" w:cstheme="minorHAnsi"/>
                <w:szCs w:val="22"/>
              </w:rPr>
              <w:t>Issuing and selling virtual assets/digital tokens to the public</w:t>
            </w:r>
          </w:p>
        </w:tc>
        <w:tc>
          <w:tcPr>
            <w:tcW w:w="3834" w:type="dxa"/>
          </w:tcPr>
          <w:p w14:paraId="153E4329" w14:textId="5CC80558" w:rsidR="00627DDB" w:rsidRPr="009722E0" w:rsidRDefault="00627DDB" w:rsidP="009722E0">
            <w:pPr>
              <w:pStyle w:val="ListParagraph"/>
              <w:numPr>
                <w:ilvl w:val="0"/>
                <w:numId w:val="44"/>
              </w:numPr>
              <w:spacing w:before="56" w:after="32"/>
              <w:ind w:left="414" w:hanging="357"/>
              <w:rPr>
                <w:szCs w:val="22"/>
              </w:rPr>
            </w:pPr>
            <w:r w:rsidRPr="009722E0">
              <w:rPr>
                <w:szCs w:val="22"/>
              </w:rPr>
              <w:t>transferring money or value for, or on behalf of, a customer</w:t>
            </w:r>
          </w:p>
          <w:p w14:paraId="77198CAE" w14:textId="1406E298" w:rsidR="00627DDB" w:rsidRPr="009722E0" w:rsidRDefault="00627DDB" w:rsidP="009722E0">
            <w:pPr>
              <w:pStyle w:val="ListParagraph"/>
              <w:numPr>
                <w:ilvl w:val="0"/>
                <w:numId w:val="44"/>
              </w:numPr>
              <w:spacing w:before="56" w:after="32"/>
              <w:ind w:left="414" w:hanging="357"/>
              <w:rPr>
                <w:szCs w:val="22"/>
              </w:rPr>
            </w:pPr>
            <w:r w:rsidRPr="009722E0">
              <w:rPr>
                <w:szCs w:val="22"/>
              </w:rPr>
              <w:t>issuing or manging the means of payment</w:t>
            </w:r>
          </w:p>
          <w:p w14:paraId="46A0E828" w14:textId="672F9C09" w:rsidR="00DC42D1" w:rsidRPr="009722E0" w:rsidRDefault="00DC42D1" w:rsidP="009722E0">
            <w:pPr>
              <w:pStyle w:val="ListParagraph"/>
              <w:numPr>
                <w:ilvl w:val="0"/>
                <w:numId w:val="44"/>
              </w:numPr>
              <w:spacing w:before="56" w:after="32"/>
              <w:ind w:left="414" w:hanging="357"/>
            </w:pPr>
            <w:r w:rsidRPr="009722E0">
              <w:t>money or currency changing</w:t>
            </w:r>
          </w:p>
          <w:p w14:paraId="69906A5E" w14:textId="456173B6" w:rsidR="00627DDB" w:rsidRPr="00F144D9" w:rsidRDefault="00627DDB" w:rsidP="00104A25">
            <w:pPr>
              <w:rPr>
                <w:rFonts w:asciiTheme="minorHAnsi" w:hAnsiTheme="minorHAnsi" w:cstheme="minorHAnsi"/>
                <w:szCs w:val="22"/>
              </w:rPr>
            </w:pPr>
          </w:p>
        </w:tc>
      </w:tr>
      <w:tr w:rsidR="00627DDB" w14:paraId="4CC3D16E" w14:textId="77777777" w:rsidTr="00627DDB">
        <w:tc>
          <w:tcPr>
            <w:tcW w:w="1469" w:type="dxa"/>
          </w:tcPr>
          <w:p w14:paraId="0BCFB4EE" w14:textId="77777777" w:rsidR="00627DDB" w:rsidRPr="00F144D9" w:rsidRDefault="00627DDB" w:rsidP="00104A25">
            <w:pPr>
              <w:rPr>
                <w:rFonts w:asciiTheme="minorHAnsi" w:hAnsiTheme="minorHAnsi" w:cstheme="minorHAnsi"/>
                <w:b/>
                <w:szCs w:val="22"/>
              </w:rPr>
            </w:pPr>
            <w:r w:rsidRPr="00104A25">
              <w:rPr>
                <w:rFonts w:asciiTheme="minorHAnsi" w:hAnsiTheme="minorHAnsi" w:cstheme="minorHAnsi"/>
                <w:b/>
                <w:bCs/>
                <w:szCs w:val="22"/>
                <w:bdr w:val="none" w:sz="0" w:space="0" w:color="auto" w:frame="1"/>
                <w:lang w:eastAsia="en-NZ"/>
              </w:rPr>
              <w:t>Providing investment opportunities in virtual assets</w:t>
            </w:r>
          </w:p>
        </w:tc>
        <w:tc>
          <w:tcPr>
            <w:tcW w:w="8171" w:type="dxa"/>
            <w:gridSpan w:val="2"/>
          </w:tcPr>
          <w:p w14:paraId="4C720201" w14:textId="01C4E6EF" w:rsidR="00627DDB" w:rsidRPr="00F144D9" w:rsidRDefault="00627DDB" w:rsidP="00104A25">
            <w:pPr>
              <w:rPr>
                <w:rFonts w:asciiTheme="minorHAnsi" w:hAnsiTheme="minorHAnsi" w:cstheme="minorHAnsi"/>
                <w:szCs w:val="22"/>
              </w:rPr>
            </w:pPr>
            <w:r w:rsidRPr="00627DDB">
              <w:rPr>
                <w:rFonts w:asciiTheme="minorHAnsi" w:hAnsiTheme="minorHAnsi" w:cstheme="minorHAnsi"/>
                <w:szCs w:val="22"/>
              </w:rPr>
              <w:t xml:space="preserve">If you are providing investment opportunities in virtual assets (e.g. via a derivatives issuer providing virtual asset options), AML/CFT obligations will apply in the same way as if you were providing investment opportunities in traditional assets or financial products. For more information, see </w:t>
            </w:r>
            <w:hyperlink r:id="rId16" w:history="1">
              <w:r w:rsidR="00552F26" w:rsidRPr="00A73D1E">
                <w:rPr>
                  <w:rStyle w:val="Hyperlink"/>
                  <w:rFonts w:asciiTheme="minorHAnsi" w:hAnsiTheme="minorHAnsi" w:cstheme="minorHAnsi"/>
                  <w:szCs w:val="22"/>
                </w:rPr>
                <w:t>https://www.fma.govt.nz/compliance/amlcft/</w:t>
              </w:r>
            </w:hyperlink>
            <w:r w:rsidR="00552F26">
              <w:rPr>
                <w:rFonts w:asciiTheme="minorHAnsi" w:hAnsiTheme="minorHAnsi" w:cstheme="minorHAnsi"/>
                <w:szCs w:val="22"/>
              </w:rPr>
              <w:t xml:space="preserve"> </w:t>
            </w:r>
          </w:p>
        </w:tc>
      </w:tr>
    </w:tbl>
    <w:p w14:paraId="7013A3CD" w14:textId="24BADB55" w:rsidR="00C02EC9" w:rsidRDefault="00C02EC9" w:rsidP="00C02EC9">
      <w:pPr>
        <w:pStyle w:val="Heading2"/>
      </w:pPr>
      <w:bookmarkStart w:id="6" w:name="_Toc34985622"/>
      <w:r>
        <w:lastRenderedPageBreak/>
        <w:t>Ordinary Course of Business</w:t>
      </w:r>
      <w:bookmarkEnd w:id="6"/>
    </w:p>
    <w:p w14:paraId="777ED0B9" w14:textId="4C381F72" w:rsidR="000B0B05" w:rsidRPr="000B0B05" w:rsidRDefault="00906D17" w:rsidP="000B0B05">
      <w:pPr>
        <w:rPr>
          <w:sz w:val="22"/>
        </w:rPr>
      </w:pPr>
      <w:r w:rsidRPr="00906D17">
        <w:rPr>
          <w:sz w:val="22"/>
        </w:rPr>
        <w:t>When your business is involved in any of the capture points defined in the Act, you must determine whether the business activity is within the “ordinary course of business”. If your entity is involved in capture points as part its ordinary course of business, you have obligations to comply with under the Act</w:t>
      </w:r>
      <w:r>
        <w:rPr>
          <w:sz w:val="22"/>
        </w:rPr>
        <w:t>.</w:t>
      </w:r>
      <w:r w:rsidRPr="00906D17" w:rsidDel="00906D17">
        <w:rPr>
          <w:sz w:val="22"/>
        </w:rPr>
        <w:t xml:space="preserve"> </w:t>
      </w:r>
      <w:r w:rsidR="000B0B05" w:rsidRPr="000B0B05">
        <w:rPr>
          <w:sz w:val="22"/>
        </w:rPr>
        <w:t xml:space="preserve">Whether an activity is </w:t>
      </w:r>
      <w:r w:rsidR="000B0B05">
        <w:rPr>
          <w:sz w:val="22"/>
        </w:rPr>
        <w:t>with</w:t>
      </w:r>
      <w:r w:rsidR="000B0B05" w:rsidRPr="000B0B05">
        <w:rPr>
          <w:sz w:val="22"/>
        </w:rPr>
        <w:t>in</w:t>
      </w:r>
      <w:r w:rsidR="000B0B05">
        <w:rPr>
          <w:sz w:val="22"/>
        </w:rPr>
        <w:t xml:space="preserve"> the</w:t>
      </w:r>
      <w:r w:rsidR="000B0B05" w:rsidRPr="000B0B05">
        <w:rPr>
          <w:sz w:val="22"/>
        </w:rPr>
        <w:t xml:space="preserve"> ordinary course of business will always be a matter of judgement depending on the nature of </w:t>
      </w:r>
      <w:r w:rsidR="000B0B05">
        <w:rPr>
          <w:sz w:val="22"/>
        </w:rPr>
        <w:t>the</w:t>
      </w:r>
      <w:r w:rsidR="000B0B05" w:rsidRPr="000B0B05">
        <w:rPr>
          <w:sz w:val="22"/>
        </w:rPr>
        <w:t xml:space="preserve"> business</w:t>
      </w:r>
      <w:r w:rsidR="000B0B05">
        <w:rPr>
          <w:rFonts w:ascii="Tahoma" w:hAnsi="Tahoma" w:cs="Tahoma"/>
          <w:sz w:val="22"/>
        </w:rPr>
        <w:t>.</w:t>
      </w:r>
      <w:r w:rsidR="000B0B05" w:rsidRPr="000B0B05">
        <w:rPr>
          <w:sz w:val="22"/>
        </w:rPr>
        <w:t xml:space="preserve"> Some relevant factors to take into consideration would be whether the activity:</w:t>
      </w:r>
    </w:p>
    <w:p w14:paraId="0D4164D3" w14:textId="77777777" w:rsidR="000B0B05" w:rsidRDefault="000B0B05" w:rsidP="000D3935">
      <w:pPr>
        <w:pStyle w:val="ListParagraph"/>
        <w:numPr>
          <w:ilvl w:val="0"/>
          <w:numId w:val="22"/>
        </w:numPr>
        <w:rPr>
          <w:sz w:val="22"/>
        </w:rPr>
      </w:pPr>
      <w:r w:rsidRPr="000B0B05">
        <w:rPr>
          <w:sz w:val="22"/>
        </w:rPr>
        <w:t xml:space="preserve">Is normal or otherwise unremarkable for your business </w:t>
      </w:r>
    </w:p>
    <w:p w14:paraId="3226F6EB" w14:textId="4C34FD11" w:rsidR="000B0B05" w:rsidRDefault="000B0B05" w:rsidP="000D3935">
      <w:pPr>
        <w:pStyle w:val="ListParagraph"/>
        <w:numPr>
          <w:ilvl w:val="0"/>
          <w:numId w:val="22"/>
        </w:numPr>
        <w:rPr>
          <w:sz w:val="22"/>
        </w:rPr>
      </w:pPr>
      <w:r w:rsidRPr="000B0B05">
        <w:rPr>
          <w:sz w:val="22"/>
        </w:rPr>
        <w:t xml:space="preserve">Is frequent </w:t>
      </w:r>
    </w:p>
    <w:p w14:paraId="677C00A2" w14:textId="77777777" w:rsidR="000B0B05" w:rsidRDefault="000B0B05" w:rsidP="000D3935">
      <w:pPr>
        <w:pStyle w:val="ListParagraph"/>
        <w:numPr>
          <w:ilvl w:val="0"/>
          <w:numId w:val="22"/>
        </w:numPr>
        <w:rPr>
          <w:sz w:val="22"/>
        </w:rPr>
      </w:pPr>
      <w:r w:rsidRPr="000B0B05">
        <w:rPr>
          <w:sz w:val="22"/>
        </w:rPr>
        <w:t xml:space="preserve">Is regular (meaning predictable, consistent) </w:t>
      </w:r>
    </w:p>
    <w:p w14:paraId="7797BE8E" w14:textId="77777777" w:rsidR="000B0B05" w:rsidRDefault="000B0B05" w:rsidP="000D3935">
      <w:pPr>
        <w:pStyle w:val="ListParagraph"/>
        <w:numPr>
          <w:ilvl w:val="0"/>
          <w:numId w:val="22"/>
        </w:numPr>
        <w:rPr>
          <w:sz w:val="22"/>
        </w:rPr>
      </w:pPr>
      <w:r w:rsidRPr="000B0B05">
        <w:rPr>
          <w:sz w:val="22"/>
        </w:rPr>
        <w:t xml:space="preserve">Involves significant amounts of money </w:t>
      </w:r>
    </w:p>
    <w:p w14:paraId="48D27914" w14:textId="77777777" w:rsidR="000B0B05" w:rsidRDefault="000B0B05" w:rsidP="000D3935">
      <w:pPr>
        <w:pStyle w:val="ListParagraph"/>
        <w:numPr>
          <w:ilvl w:val="0"/>
          <w:numId w:val="22"/>
        </w:numPr>
        <w:rPr>
          <w:sz w:val="22"/>
        </w:rPr>
      </w:pPr>
      <w:r w:rsidRPr="000B0B05">
        <w:rPr>
          <w:sz w:val="22"/>
        </w:rPr>
        <w:t xml:space="preserve">Is a source of income </w:t>
      </w:r>
    </w:p>
    <w:p w14:paraId="2E0EA0AC" w14:textId="77777777" w:rsidR="000B0B05" w:rsidRDefault="000B0B05" w:rsidP="000D3935">
      <w:pPr>
        <w:pStyle w:val="ListParagraph"/>
        <w:numPr>
          <w:ilvl w:val="0"/>
          <w:numId w:val="22"/>
        </w:numPr>
        <w:rPr>
          <w:sz w:val="22"/>
        </w:rPr>
      </w:pPr>
      <w:r w:rsidRPr="000B0B05">
        <w:rPr>
          <w:sz w:val="22"/>
        </w:rPr>
        <w:t xml:space="preserve">Involves significant resources </w:t>
      </w:r>
    </w:p>
    <w:p w14:paraId="571A3A33" w14:textId="57B43789" w:rsidR="000B0B05" w:rsidRDefault="000B0B05" w:rsidP="000D3935">
      <w:pPr>
        <w:pStyle w:val="ListParagraph"/>
        <w:numPr>
          <w:ilvl w:val="0"/>
          <w:numId w:val="22"/>
        </w:numPr>
        <w:rPr>
          <w:sz w:val="22"/>
        </w:rPr>
      </w:pPr>
      <w:r w:rsidRPr="000B0B05">
        <w:rPr>
          <w:sz w:val="22"/>
        </w:rPr>
        <w:t>Involves a service offered to customers</w:t>
      </w:r>
    </w:p>
    <w:p w14:paraId="1C8A7174" w14:textId="1A5050DE" w:rsidR="00AF5125" w:rsidRDefault="000B0B05" w:rsidP="00906D17">
      <w:pPr>
        <w:rPr>
          <w:sz w:val="22"/>
        </w:rPr>
      </w:pPr>
      <w:r w:rsidRPr="000B0B05">
        <w:rPr>
          <w:sz w:val="22"/>
        </w:rPr>
        <w:t>For further information, please refer to the guidance ‘</w:t>
      </w:r>
      <w:hyperlink r:id="rId17" w:history="1">
        <w:r w:rsidRPr="00906D17">
          <w:rPr>
            <w:rStyle w:val="Hyperlink"/>
            <w:sz w:val="22"/>
          </w:rPr>
          <w:t>Interpreting Ordinary Course of Business</w:t>
        </w:r>
      </w:hyperlink>
      <w:r w:rsidRPr="000B0B05">
        <w:rPr>
          <w:sz w:val="22"/>
        </w:rPr>
        <w:t>’ on the Department’s website</w:t>
      </w:r>
      <w:r w:rsidR="00CF0109">
        <w:rPr>
          <w:sz w:val="22"/>
        </w:rPr>
        <w:t>.</w:t>
      </w:r>
      <w:r w:rsidRPr="000B0B05">
        <w:rPr>
          <w:sz w:val="22"/>
        </w:rPr>
        <w:t xml:space="preserve"> </w:t>
      </w:r>
      <w:r>
        <w:rPr>
          <w:sz w:val="22"/>
        </w:rPr>
        <w:t xml:space="preserve"> </w:t>
      </w:r>
    </w:p>
    <w:p w14:paraId="1469A664" w14:textId="69486AF3" w:rsidR="00C02EC9" w:rsidRDefault="00C02EC9" w:rsidP="00C02EC9">
      <w:pPr>
        <w:pStyle w:val="Heading2"/>
      </w:pPr>
      <w:bookmarkStart w:id="7" w:name="_Toc34985623"/>
      <w:r>
        <w:t>Territorial Scope</w:t>
      </w:r>
      <w:bookmarkEnd w:id="7"/>
    </w:p>
    <w:p w14:paraId="260865FE" w14:textId="283D0D91" w:rsidR="00C50E2B" w:rsidRDefault="0063648A" w:rsidP="002770AE">
      <w:pPr>
        <w:rPr>
          <w:sz w:val="22"/>
        </w:rPr>
      </w:pPr>
      <w:r>
        <w:rPr>
          <w:sz w:val="22"/>
        </w:rPr>
        <w:t xml:space="preserve">For a </w:t>
      </w:r>
      <w:r w:rsidR="00C50E2B">
        <w:rPr>
          <w:sz w:val="22"/>
        </w:rPr>
        <w:t>New Zealand registered</w:t>
      </w:r>
      <w:r>
        <w:rPr>
          <w:sz w:val="22"/>
        </w:rPr>
        <w:t xml:space="preserve"> VASP,</w:t>
      </w:r>
      <w:r w:rsidR="00217D5B">
        <w:rPr>
          <w:sz w:val="22"/>
        </w:rPr>
        <w:t xml:space="preserve"> </w:t>
      </w:r>
      <w:r w:rsidR="00C50E2B">
        <w:rPr>
          <w:sz w:val="22"/>
        </w:rPr>
        <w:t xml:space="preserve">in order to be captured by the Act, </w:t>
      </w:r>
      <w:r>
        <w:rPr>
          <w:sz w:val="22"/>
        </w:rPr>
        <w:t>o</w:t>
      </w:r>
      <w:r w:rsidR="000B0B05" w:rsidRPr="000B0B05">
        <w:rPr>
          <w:sz w:val="22"/>
        </w:rPr>
        <w:t xml:space="preserve">ne or more of the </w:t>
      </w:r>
      <w:r w:rsidR="000B0B05">
        <w:rPr>
          <w:sz w:val="22"/>
        </w:rPr>
        <w:t>business</w:t>
      </w:r>
      <w:r w:rsidR="00CF0109">
        <w:rPr>
          <w:sz w:val="22"/>
        </w:rPr>
        <w:t>’s</w:t>
      </w:r>
      <w:r w:rsidR="000B0B05">
        <w:rPr>
          <w:sz w:val="22"/>
        </w:rPr>
        <w:t xml:space="preserve"> </w:t>
      </w:r>
      <w:r w:rsidR="000B0B05" w:rsidRPr="000B0B05">
        <w:rPr>
          <w:sz w:val="22"/>
        </w:rPr>
        <w:t xml:space="preserve">activities must be carried on </w:t>
      </w:r>
      <w:r w:rsidR="00C50E2B">
        <w:rPr>
          <w:sz w:val="22"/>
        </w:rPr>
        <w:t>with</w:t>
      </w:r>
      <w:r w:rsidR="000B0B05" w:rsidRPr="000B0B05">
        <w:rPr>
          <w:sz w:val="22"/>
        </w:rPr>
        <w:t>in New Zealand in the ordinary course of business</w:t>
      </w:r>
      <w:r w:rsidR="00C50E2B">
        <w:rPr>
          <w:sz w:val="22"/>
        </w:rPr>
        <w:t>.</w:t>
      </w:r>
    </w:p>
    <w:p w14:paraId="51F822A7" w14:textId="3C2A320D" w:rsidR="00C50E2B" w:rsidRDefault="00C50E2B" w:rsidP="002770AE">
      <w:pPr>
        <w:rPr>
          <w:sz w:val="22"/>
        </w:rPr>
      </w:pPr>
      <w:r w:rsidRPr="00C50E2B">
        <w:rPr>
          <w:sz w:val="22"/>
        </w:rPr>
        <w:t xml:space="preserve">A </w:t>
      </w:r>
      <w:r>
        <w:rPr>
          <w:sz w:val="22"/>
        </w:rPr>
        <w:t>VASP</w:t>
      </w:r>
      <w:r w:rsidRPr="00C50E2B">
        <w:rPr>
          <w:sz w:val="22"/>
        </w:rPr>
        <w:t xml:space="preserve"> incorporated or formed in New </w:t>
      </w:r>
      <w:r>
        <w:rPr>
          <w:sz w:val="22"/>
        </w:rPr>
        <w:t xml:space="preserve">Zealand </w:t>
      </w:r>
      <w:r w:rsidRPr="00C50E2B">
        <w:rPr>
          <w:sz w:val="22"/>
        </w:rPr>
        <w:t>which, in the ordinary course of business, carr</w:t>
      </w:r>
      <w:r w:rsidR="009601AD">
        <w:rPr>
          <w:sz w:val="22"/>
        </w:rPr>
        <w:t>ies</w:t>
      </w:r>
      <w:r w:rsidRPr="00C50E2B">
        <w:rPr>
          <w:sz w:val="22"/>
        </w:rPr>
        <w:t xml:space="preserve"> on</w:t>
      </w:r>
      <w:r w:rsidR="00C22F7D">
        <w:rPr>
          <w:sz w:val="22"/>
        </w:rPr>
        <w:t xml:space="preserve"> their business</w:t>
      </w:r>
      <w:r w:rsidRPr="00C50E2B">
        <w:rPr>
          <w:sz w:val="22"/>
        </w:rPr>
        <w:t xml:space="preserve"> activities wholly outside New Zealand will not be a “reporting entity” under the Act. A </w:t>
      </w:r>
      <w:r>
        <w:rPr>
          <w:sz w:val="22"/>
        </w:rPr>
        <w:t>VASP</w:t>
      </w:r>
      <w:r w:rsidRPr="00C50E2B">
        <w:rPr>
          <w:sz w:val="22"/>
        </w:rPr>
        <w:t xml:space="preserve"> in this category w</w:t>
      </w:r>
      <w:r>
        <w:rPr>
          <w:sz w:val="22"/>
        </w:rPr>
        <w:t>ould</w:t>
      </w:r>
      <w:r w:rsidRPr="00C50E2B">
        <w:rPr>
          <w:sz w:val="22"/>
        </w:rPr>
        <w:t xml:space="preserve"> be subject to AML/CFT requirements in the country where its activities are conducted.</w:t>
      </w:r>
    </w:p>
    <w:p w14:paraId="5CE5F7EA" w14:textId="5C3B7DFC" w:rsidR="000B0B05" w:rsidRDefault="0063648A" w:rsidP="002770AE">
      <w:pPr>
        <w:rPr>
          <w:sz w:val="22"/>
        </w:rPr>
      </w:pPr>
      <w:r>
        <w:rPr>
          <w:sz w:val="22"/>
        </w:rPr>
        <w:t>VASP</w:t>
      </w:r>
      <w:r w:rsidR="00217D5B">
        <w:rPr>
          <w:sz w:val="22"/>
        </w:rPr>
        <w:t xml:space="preserve">s </w:t>
      </w:r>
      <w:r w:rsidR="00987929">
        <w:rPr>
          <w:sz w:val="22"/>
        </w:rPr>
        <w:t xml:space="preserve">registered outside of New Zealand </w:t>
      </w:r>
      <w:r w:rsidR="00217D5B">
        <w:rPr>
          <w:sz w:val="22"/>
        </w:rPr>
        <w:t xml:space="preserve">may also </w:t>
      </w:r>
      <w:r>
        <w:rPr>
          <w:sz w:val="22"/>
        </w:rPr>
        <w:t>be considered to be</w:t>
      </w:r>
      <w:r w:rsidR="00217D5B">
        <w:rPr>
          <w:sz w:val="22"/>
        </w:rPr>
        <w:t xml:space="preserve"> </w:t>
      </w:r>
      <w:r w:rsidR="00217D5B" w:rsidRPr="00217D5B">
        <w:rPr>
          <w:sz w:val="22"/>
        </w:rPr>
        <w:t>carr</w:t>
      </w:r>
      <w:r w:rsidR="00217D5B">
        <w:rPr>
          <w:sz w:val="22"/>
        </w:rPr>
        <w:t>ying</w:t>
      </w:r>
      <w:r w:rsidR="00217D5B" w:rsidRPr="00217D5B">
        <w:rPr>
          <w:sz w:val="22"/>
        </w:rPr>
        <w:t xml:space="preserve"> on</w:t>
      </w:r>
      <w:r w:rsidR="00217D5B">
        <w:rPr>
          <w:sz w:val="22"/>
        </w:rPr>
        <w:t xml:space="preserve"> business</w:t>
      </w:r>
      <w:r w:rsidR="00217D5B" w:rsidRPr="00217D5B">
        <w:rPr>
          <w:sz w:val="22"/>
        </w:rPr>
        <w:t xml:space="preserve"> in New Zealand</w:t>
      </w:r>
      <w:r w:rsidR="009601AD">
        <w:rPr>
          <w:sz w:val="22"/>
        </w:rPr>
        <w:t>, and therefore having AML/CFT obligations in New Zealand,</w:t>
      </w:r>
      <w:r w:rsidR="00217D5B" w:rsidRPr="00217D5B">
        <w:rPr>
          <w:sz w:val="22"/>
        </w:rPr>
        <w:t xml:space="preserve"> </w:t>
      </w:r>
      <w:r w:rsidR="00217D5B">
        <w:rPr>
          <w:sz w:val="22"/>
        </w:rPr>
        <w:t>if</w:t>
      </w:r>
      <w:r w:rsidR="00217D5B" w:rsidRPr="00217D5B">
        <w:rPr>
          <w:sz w:val="22"/>
        </w:rPr>
        <w:t xml:space="preserve"> the entity is actively and directly advertising or soliciting business from persons in New Zealand</w:t>
      </w:r>
      <w:r w:rsidR="00217D5B">
        <w:rPr>
          <w:sz w:val="22"/>
        </w:rPr>
        <w:t>.</w:t>
      </w:r>
      <w:r>
        <w:rPr>
          <w:sz w:val="22"/>
        </w:rPr>
        <w:t xml:space="preserve"> </w:t>
      </w:r>
      <w:r w:rsidR="00987929">
        <w:rPr>
          <w:sz w:val="22"/>
        </w:rPr>
        <w:t xml:space="preserve">These </w:t>
      </w:r>
      <w:r>
        <w:rPr>
          <w:sz w:val="22"/>
        </w:rPr>
        <w:t>entities should also consider their registration obligations under the Companies Act 1993, and the</w:t>
      </w:r>
      <w:r w:rsidRPr="0063648A">
        <w:rPr>
          <w:sz w:val="22"/>
        </w:rPr>
        <w:t xml:space="preserve"> Financial Service Providers (Registration and Dispute Resolution) Act 2008</w:t>
      </w:r>
      <w:r>
        <w:rPr>
          <w:sz w:val="22"/>
        </w:rPr>
        <w:t>.</w:t>
      </w:r>
    </w:p>
    <w:p w14:paraId="3093B57A" w14:textId="7A8ADC16" w:rsidR="000B0B05" w:rsidRPr="002770AE" w:rsidRDefault="000B0B05" w:rsidP="002770AE">
      <w:pPr>
        <w:rPr>
          <w:sz w:val="22"/>
        </w:rPr>
      </w:pPr>
      <w:r w:rsidRPr="000B0B05">
        <w:rPr>
          <w:sz w:val="22"/>
        </w:rPr>
        <w:t xml:space="preserve">Even though the Act only has jurisdiction in New Zealand, </w:t>
      </w:r>
      <w:r w:rsidR="0063648A">
        <w:rPr>
          <w:sz w:val="22"/>
        </w:rPr>
        <w:t>VASPs</w:t>
      </w:r>
      <w:r w:rsidRPr="000B0B05">
        <w:rPr>
          <w:sz w:val="22"/>
        </w:rPr>
        <w:t xml:space="preserve"> should consider reporting on suspicious activities and transactions that occur offshore</w:t>
      </w:r>
      <w:r w:rsidR="00C50E2B">
        <w:rPr>
          <w:sz w:val="22"/>
        </w:rPr>
        <w:t xml:space="preserve"> as a matter of best practice</w:t>
      </w:r>
      <w:r>
        <w:rPr>
          <w:rFonts w:ascii="Tahoma" w:hAnsi="Tahoma" w:cs="Tahoma"/>
          <w:sz w:val="22"/>
        </w:rPr>
        <w:t>.</w:t>
      </w:r>
    </w:p>
    <w:p w14:paraId="1437A49D" w14:textId="34DFA662" w:rsidR="006E195E" w:rsidRDefault="000B0B05" w:rsidP="002770AE">
      <w:pPr>
        <w:rPr>
          <w:sz w:val="22"/>
          <w:szCs w:val="22"/>
        </w:rPr>
      </w:pPr>
      <w:r w:rsidRPr="00217D5B">
        <w:rPr>
          <w:sz w:val="22"/>
          <w:szCs w:val="22"/>
        </w:rPr>
        <w:t>For further information, please refer to the guidance ‘</w:t>
      </w:r>
      <w:hyperlink r:id="rId18" w:history="1">
        <w:r w:rsidRPr="00337E72">
          <w:rPr>
            <w:rStyle w:val="Hyperlink"/>
            <w:sz w:val="22"/>
            <w:szCs w:val="22"/>
          </w:rPr>
          <w:t xml:space="preserve">Territorial Scope of the </w:t>
        </w:r>
        <w:r w:rsidR="00217D5B" w:rsidRPr="00337E72">
          <w:rPr>
            <w:rStyle w:val="Hyperlink"/>
            <w:sz w:val="22"/>
            <w:szCs w:val="22"/>
          </w:rPr>
          <w:t>Anti-Money Laundering and Countering Financing of Terrorism Act 2009</w:t>
        </w:r>
      </w:hyperlink>
      <w:r w:rsidR="00217D5B" w:rsidRPr="00217D5B">
        <w:rPr>
          <w:sz w:val="22"/>
          <w:szCs w:val="22"/>
        </w:rPr>
        <w:t>’</w:t>
      </w:r>
      <w:r w:rsidRPr="00217D5B">
        <w:rPr>
          <w:sz w:val="22"/>
          <w:szCs w:val="22"/>
        </w:rPr>
        <w:t xml:space="preserve"> on the Department’s website</w:t>
      </w:r>
      <w:r w:rsidR="00337E72">
        <w:rPr>
          <w:sz w:val="22"/>
          <w:szCs w:val="22"/>
        </w:rPr>
        <w:t>.</w:t>
      </w:r>
    </w:p>
    <w:p w14:paraId="488A8693" w14:textId="644AA1CB" w:rsidR="006378FD" w:rsidRDefault="006378FD">
      <w:pPr>
        <w:keepLines w:val="0"/>
        <w:rPr>
          <w:rStyle w:val="Hyperlink"/>
          <w:sz w:val="22"/>
          <w:szCs w:val="22"/>
        </w:rPr>
      </w:pPr>
      <w:r>
        <w:rPr>
          <w:rStyle w:val="Hyperlink"/>
          <w:sz w:val="22"/>
          <w:szCs w:val="22"/>
        </w:rPr>
        <w:br w:type="page"/>
      </w:r>
    </w:p>
    <w:p w14:paraId="7085D78B" w14:textId="3290F574" w:rsidR="001A4445" w:rsidRDefault="001A4445" w:rsidP="000B0B05">
      <w:pPr>
        <w:pStyle w:val="Heading1"/>
      </w:pPr>
      <w:bookmarkStart w:id="8" w:name="_Toc34985624"/>
      <w:r>
        <w:lastRenderedPageBreak/>
        <w:t>ML</w:t>
      </w:r>
      <w:r w:rsidR="00BE2EC1">
        <w:t>/</w:t>
      </w:r>
      <w:r>
        <w:t>TF Risks of the VASP sector</w:t>
      </w:r>
      <w:bookmarkEnd w:id="8"/>
    </w:p>
    <w:p w14:paraId="340C536F" w14:textId="3CB9268E" w:rsidR="00B4532B" w:rsidRDefault="00525B60" w:rsidP="001A4445">
      <w:pPr>
        <w:rPr>
          <w:sz w:val="22"/>
        </w:rPr>
      </w:pPr>
      <w:r w:rsidRPr="00AD47EF">
        <w:rPr>
          <w:sz w:val="22"/>
        </w:rPr>
        <w:t xml:space="preserve">This section provides more detail on the risks and </w:t>
      </w:r>
      <w:r w:rsidR="00524989">
        <w:rPr>
          <w:sz w:val="22"/>
        </w:rPr>
        <w:t>’</w:t>
      </w:r>
      <w:r w:rsidRPr="00AD47EF">
        <w:rPr>
          <w:sz w:val="22"/>
        </w:rPr>
        <w:t>red flags</w:t>
      </w:r>
      <w:r w:rsidR="00524989">
        <w:rPr>
          <w:sz w:val="22"/>
        </w:rPr>
        <w:t>’</w:t>
      </w:r>
      <w:r w:rsidRPr="00AD47EF">
        <w:rPr>
          <w:sz w:val="22"/>
        </w:rPr>
        <w:t xml:space="preserve"> to be on the lookout for when you are conducting </w:t>
      </w:r>
      <w:r w:rsidR="004D4CB9">
        <w:rPr>
          <w:sz w:val="22"/>
        </w:rPr>
        <w:t xml:space="preserve">captured </w:t>
      </w:r>
      <w:r w:rsidRPr="00AD47EF">
        <w:rPr>
          <w:sz w:val="22"/>
        </w:rPr>
        <w:t>activities for your customers</w:t>
      </w:r>
      <w:r w:rsidR="00B4532B" w:rsidRPr="00B4532B">
        <w:rPr>
          <w:sz w:val="22"/>
        </w:rPr>
        <w:t xml:space="preserve"> </w:t>
      </w:r>
      <w:r w:rsidR="00B4532B">
        <w:rPr>
          <w:sz w:val="22"/>
        </w:rPr>
        <w:t xml:space="preserve">The information in this section is taken from the </w:t>
      </w:r>
      <w:r w:rsidR="0049255B">
        <w:rPr>
          <w:sz w:val="22"/>
        </w:rPr>
        <w:t>Department</w:t>
      </w:r>
      <w:r w:rsidR="00B4532B">
        <w:rPr>
          <w:sz w:val="22"/>
        </w:rPr>
        <w:t xml:space="preserve">’s </w:t>
      </w:r>
      <w:hyperlink r:id="rId19" w:history="1">
        <w:r w:rsidR="00B4532B">
          <w:rPr>
            <w:rStyle w:val="Hyperlink"/>
            <w:sz w:val="22"/>
          </w:rPr>
          <w:t>Financial Institutions Sector Risk Assessment</w:t>
        </w:r>
      </w:hyperlink>
      <w:r w:rsidR="00B4532B">
        <w:rPr>
          <w:rStyle w:val="Hyperlink"/>
          <w:sz w:val="22"/>
        </w:rPr>
        <w:t xml:space="preserve">. </w:t>
      </w:r>
      <w:r w:rsidRPr="00AD47EF">
        <w:rPr>
          <w:sz w:val="22"/>
        </w:rPr>
        <w:t>The r</w:t>
      </w:r>
      <w:r w:rsidR="00B4532B">
        <w:rPr>
          <w:sz w:val="22"/>
        </w:rPr>
        <w:t xml:space="preserve">isk assessment </w:t>
      </w:r>
      <w:r w:rsidRPr="00AD47EF">
        <w:rPr>
          <w:sz w:val="22"/>
        </w:rPr>
        <w:t>ha</w:t>
      </w:r>
      <w:r w:rsidR="00B4532B">
        <w:rPr>
          <w:sz w:val="22"/>
        </w:rPr>
        <w:t>s</w:t>
      </w:r>
      <w:r w:rsidRPr="00AD47EF">
        <w:rPr>
          <w:sz w:val="22"/>
        </w:rPr>
        <w:t xml:space="preserve"> been</w:t>
      </w:r>
      <w:r w:rsidR="00B4532B">
        <w:rPr>
          <w:sz w:val="22"/>
        </w:rPr>
        <w:t xml:space="preserve"> developed from information</w:t>
      </w:r>
      <w:r w:rsidRPr="00AD47EF">
        <w:rPr>
          <w:sz w:val="22"/>
        </w:rPr>
        <w:t xml:space="preserve"> taken from a range of open source publications and professional judgements of subject matter experts. </w:t>
      </w:r>
      <w:r w:rsidR="00B4532B">
        <w:rPr>
          <w:sz w:val="22"/>
        </w:rPr>
        <w:t xml:space="preserve">The Department would expect VASPs to be familiar with the Sector Risk Assessment and </w:t>
      </w:r>
      <w:proofErr w:type="gramStart"/>
      <w:r w:rsidR="00B4532B">
        <w:rPr>
          <w:sz w:val="22"/>
        </w:rPr>
        <w:t>make reference</w:t>
      </w:r>
      <w:proofErr w:type="gramEnd"/>
      <w:r w:rsidR="00B4532B">
        <w:rPr>
          <w:sz w:val="22"/>
        </w:rPr>
        <w:t xml:space="preserve"> to this in their own organisation’s </w:t>
      </w:r>
      <w:r w:rsidR="00AA0F1E">
        <w:rPr>
          <w:sz w:val="22"/>
        </w:rPr>
        <w:t>r</w:t>
      </w:r>
      <w:r w:rsidR="00B4532B">
        <w:rPr>
          <w:sz w:val="22"/>
        </w:rPr>
        <w:t xml:space="preserve">isk </w:t>
      </w:r>
      <w:r w:rsidR="00AA0F1E">
        <w:rPr>
          <w:sz w:val="22"/>
        </w:rPr>
        <w:t>a</w:t>
      </w:r>
      <w:r w:rsidR="00B4532B">
        <w:rPr>
          <w:sz w:val="22"/>
        </w:rPr>
        <w:t>ssessment and AML</w:t>
      </w:r>
      <w:r w:rsidR="00334E2A">
        <w:rPr>
          <w:sz w:val="22"/>
        </w:rPr>
        <w:t>/CFT</w:t>
      </w:r>
      <w:r w:rsidR="00B4532B">
        <w:rPr>
          <w:sz w:val="22"/>
        </w:rPr>
        <w:t xml:space="preserve"> </w:t>
      </w:r>
      <w:r w:rsidR="00015CAD">
        <w:rPr>
          <w:sz w:val="22"/>
        </w:rPr>
        <w:t>p</w:t>
      </w:r>
      <w:r w:rsidR="00B4532B">
        <w:rPr>
          <w:sz w:val="22"/>
        </w:rPr>
        <w:t xml:space="preserve">rogramme. </w:t>
      </w:r>
    </w:p>
    <w:p w14:paraId="744BC2B7" w14:textId="5A3A125A" w:rsidR="00525B60" w:rsidRPr="00AD47EF" w:rsidRDefault="00525B60" w:rsidP="001A4445">
      <w:pPr>
        <w:rPr>
          <w:sz w:val="22"/>
        </w:rPr>
      </w:pPr>
      <w:r w:rsidRPr="00AD47EF">
        <w:rPr>
          <w:sz w:val="22"/>
        </w:rPr>
        <w:t>Th</w:t>
      </w:r>
      <w:r w:rsidR="00B4532B">
        <w:rPr>
          <w:sz w:val="22"/>
        </w:rPr>
        <w:t>is section has</w:t>
      </w:r>
      <w:r w:rsidRPr="00AD47EF">
        <w:rPr>
          <w:sz w:val="22"/>
        </w:rPr>
        <w:t xml:space="preserve"> been arranged in the following categories:</w:t>
      </w:r>
    </w:p>
    <w:p w14:paraId="584DDCA7" w14:textId="2C5C4D41" w:rsidR="00525B60" w:rsidRPr="00AD47EF" w:rsidRDefault="00525B60" w:rsidP="009722E0">
      <w:pPr>
        <w:pStyle w:val="ListParagraph"/>
        <w:numPr>
          <w:ilvl w:val="0"/>
          <w:numId w:val="37"/>
        </w:numPr>
        <w:rPr>
          <w:sz w:val="22"/>
        </w:rPr>
      </w:pPr>
      <w:r w:rsidRPr="00AD47EF">
        <w:rPr>
          <w:sz w:val="22"/>
        </w:rPr>
        <w:t>VASP Sector</w:t>
      </w:r>
      <w:r w:rsidR="00B4532B">
        <w:rPr>
          <w:sz w:val="22"/>
        </w:rPr>
        <w:t xml:space="preserve"> Inherent</w:t>
      </w:r>
      <w:r w:rsidRPr="00AD47EF">
        <w:rPr>
          <w:sz w:val="22"/>
        </w:rPr>
        <w:t xml:space="preserve"> Risk</w:t>
      </w:r>
    </w:p>
    <w:p w14:paraId="318F6094" w14:textId="6A319D56" w:rsidR="00525B60" w:rsidRPr="00AD47EF" w:rsidRDefault="00E45CEC" w:rsidP="009722E0">
      <w:pPr>
        <w:pStyle w:val="ListParagraph"/>
        <w:numPr>
          <w:ilvl w:val="0"/>
          <w:numId w:val="37"/>
        </w:numPr>
        <w:rPr>
          <w:sz w:val="22"/>
        </w:rPr>
      </w:pPr>
      <w:r>
        <w:rPr>
          <w:sz w:val="22"/>
        </w:rPr>
        <w:t>Key Vulnerabilities and High-Risk Factors</w:t>
      </w:r>
    </w:p>
    <w:p w14:paraId="628EFAC8" w14:textId="5116F201" w:rsidR="00B4532B" w:rsidRPr="00B4532B" w:rsidRDefault="00525B60" w:rsidP="009722E0">
      <w:pPr>
        <w:pStyle w:val="ListParagraph"/>
        <w:numPr>
          <w:ilvl w:val="0"/>
          <w:numId w:val="37"/>
        </w:numPr>
        <w:rPr>
          <w:sz w:val="22"/>
        </w:rPr>
      </w:pPr>
      <w:r w:rsidRPr="00AD47EF">
        <w:rPr>
          <w:sz w:val="22"/>
        </w:rPr>
        <w:t xml:space="preserve">VASP-specific Risks </w:t>
      </w:r>
    </w:p>
    <w:p w14:paraId="21E5DBDC" w14:textId="1AD2A548" w:rsidR="00525B60" w:rsidRDefault="00525B60" w:rsidP="00525B60">
      <w:pPr>
        <w:pStyle w:val="Heading2"/>
      </w:pPr>
      <w:bookmarkStart w:id="9" w:name="_Toc34985625"/>
      <w:r>
        <w:t xml:space="preserve">VASP </w:t>
      </w:r>
      <w:r w:rsidRPr="00525B60">
        <w:t xml:space="preserve">Sector </w:t>
      </w:r>
      <w:r w:rsidR="00DD4A65">
        <w:t xml:space="preserve">Inherent </w:t>
      </w:r>
      <w:r w:rsidRPr="00525B60">
        <w:t>Risk</w:t>
      </w:r>
      <w:bookmarkEnd w:id="9"/>
    </w:p>
    <w:p w14:paraId="1A31E267" w14:textId="20492537" w:rsidR="00820140" w:rsidRPr="00AD47EF" w:rsidRDefault="00334E2A" w:rsidP="00820140">
      <w:pPr>
        <w:rPr>
          <w:sz w:val="22"/>
        </w:rPr>
      </w:pPr>
      <w:r w:rsidRPr="00DD4A65">
        <w:rPr>
          <w:b/>
          <w:bCs/>
          <w:noProof/>
          <w:sz w:val="22"/>
        </w:rPr>
        <mc:AlternateContent>
          <mc:Choice Requires="wps">
            <w:drawing>
              <wp:anchor distT="0" distB="0" distL="114300" distR="114300" simplePos="0" relativeHeight="251711488" behindDoc="0" locked="0" layoutInCell="1" allowOverlap="1" wp14:anchorId="364D2CB9" wp14:editId="258F14F2">
                <wp:simplePos x="0" y="0"/>
                <wp:positionH relativeFrom="column">
                  <wp:posOffset>-33655</wp:posOffset>
                </wp:positionH>
                <wp:positionV relativeFrom="paragraph">
                  <wp:posOffset>704215</wp:posOffset>
                </wp:positionV>
                <wp:extent cx="6038850" cy="1790700"/>
                <wp:effectExtent l="0" t="0" r="19050" b="19050"/>
                <wp:wrapTopAndBottom/>
                <wp:docPr id="200" name="Text Box 200"/>
                <wp:cNvGraphicFramePr/>
                <a:graphic xmlns:a="http://schemas.openxmlformats.org/drawingml/2006/main">
                  <a:graphicData uri="http://schemas.microsoft.com/office/word/2010/wordprocessingShape">
                    <wps:wsp>
                      <wps:cNvSpPr txBox="1"/>
                      <wps:spPr>
                        <a:xfrm>
                          <a:off x="0" y="0"/>
                          <a:ext cx="6038850" cy="1790700"/>
                        </a:xfrm>
                        <a:prstGeom prst="rect">
                          <a:avLst/>
                        </a:prstGeom>
                        <a:noFill/>
                        <a:ln w="25400" cap="flat" cmpd="sng" algn="ctr">
                          <a:solidFill>
                            <a:srgbClr val="FF0000"/>
                          </a:solidFill>
                          <a:prstDash val="solid"/>
                        </a:ln>
                        <a:effectLst/>
                      </wps:spPr>
                      <wps:txbx>
                        <w:txbxContent>
                          <w:p w14:paraId="245C4822" w14:textId="5DAADA48" w:rsidR="005F6E6A" w:rsidRPr="00584253" w:rsidRDefault="005F6E6A" w:rsidP="00584253">
                            <w:pPr>
                              <w:spacing w:before="0"/>
                              <w:rPr>
                                <w:b/>
                                <w:color w:val="FF0000"/>
                                <w:sz w:val="32"/>
                                <w:szCs w:val="20"/>
                                <w:u w:val="single"/>
                              </w:rPr>
                            </w:pPr>
                            <w:r w:rsidRPr="00584253">
                              <w:rPr>
                                <w:b/>
                                <w:color w:val="FF0000"/>
                                <w:sz w:val="32"/>
                                <w:szCs w:val="20"/>
                                <w:u w:val="single"/>
                              </w:rPr>
                              <w:t>Overall Inherent Risk: High</w:t>
                            </w:r>
                          </w:p>
                          <w:p w14:paraId="7B4F26C2" w14:textId="3DDEB897" w:rsidR="005F6E6A" w:rsidRPr="00584253" w:rsidRDefault="005F6E6A" w:rsidP="00525B60">
                            <w:pPr>
                              <w:rPr>
                                <w:szCs w:val="20"/>
                              </w:rPr>
                            </w:pPr>
                            <w:r w:rsidRPr="00584253">
                              <w:rPr>
                                <w:szCs w:val="20"/>
                              </w:rPr>
                              <w:t>Whilst individual VASPs will have their own level of residual risk determined by the ML/TF risk factors that apply to their specific services and activities and the controls they will put in place to mitigate these risks, both domestic and international evidence and guidance points to risks presented by the VASP sector.</w:t>
                            </w:r>
                            <w:r w:rsidRPr="00584253">
                              <w:t xml:space="preserve"> </w:t>
                            </w:r>
                            <w:r w:rsidRPr="00584253">
                              <w:rPr>
                                <w:szCs w:val="20"/>
                              </w:rPr>
                              <w:t>The easy access and wide geographic spread of VASP services, coupled with their pseudo-anonymous nature and use in every phase of ML/TF and in many different ML/TF typologies, means this sector presents a high inherent risk of ML/TF.</w:t>
                            </w:r>
                          </w:p>
                          <w:p w14:paraId="268EDC2F" w14:textId="77777777" w:rsidR="005F6E6A" w:rsidRPr="00584253" w:rsidRDefault="005F6E6A" w:rsidP="00525B60">
                            <w:pPr>
                              <w:rPr>
                                <w:caps/>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D2CB9" id="_x0000_t202" coordsize="21600,21600" o:spt="202" path="m,l,21600r21600,l21600,xe">
                <v:stroke joinstyle="miter"/>
                <v:path gradientshapeok="t" o:connecttype="rect"/>
              </v:shapetype>
              <v:shape id="Text Box 200" o:spid="_x0000_s1026" type="#_x0000_t202" style="position:absolute;margin-left:-2.65pt;margin-top:55.45pt;width:475.5pt;height:14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" filled="f" strokecolor="red" strokeweight="2pt">
                <v:textbox inset=",7.2pt,,0">
                  <w:txbxContent>
                    <w:p w14:paraId="245C4822" w14:textId="5DAADA48" w:rsidR="005F6E6A" w:rsidRPr="00584253" w:rsidRDefault="005F6E6A" w:rsidP="00584253">
                      <w:pPr>
                        <w:spacing w:before="0"/>
                        <w:rPr>
                          <w:b/>
                          <w:color w:val="FF0000"/>
                          <w:sz w:val="32"/>
                          <w:szCs w:val="20"/>
                          <w:u w:val="single"/>
                        </w:rPr>
                      </w:pPr>
                      <w:r w:rsidRPr="00584253">
                        <w:rPr>
                          <w:b/>
                          <w:color w:val="FF0000"/>
                          <w:sz w:val="32"/>
                          <w:szCs w:val="20"/>
                          <w:u w:val="single"/>
                        </w:rPr>
                        <w:t>Overall Inherent Risk: High</w:t>
                      </w:r>
                    </w:p>
                    <w:p w14:paraId="7B4F26C2" w14:textId="3DDEB897" w:rsidR="005F6E6A" w:rsidRPr="00584253" w:rsidRDefault="005F6E6A" w:rsidP="00525B60">
                      <w:pPr>
                        <w:rPr>
                          <w:szCs w:val="20"/>
                        </w:rPr>
                      </w:pPr>
                      <w:r w:rsidRPr="00584253">
                        <w:rPr>
                          <w:szCs w:val="20"/>
                        </w:rPr>
                        <w:t>Whilst individual VASPs will have their own level of residual risk determined by the ML/TF risk factors that apply to their specific services and activities and the controls they will put in place to mitigate these risks, both domestic and international evidence and guidance points to risks presented by the VASP sector.</w:t>
                      </w:r>
                      <w:r w:rsidRPr="00584253">
                        <w:t xml:space="preserve"> </w:t>
                      </w:r>
                      <w:r w:rsidRPr="00584253">
                        <w:rPr>
                          <w:szCs w:val="20"/>
                        </w:rPr>
                        <w:t>The easy access and wide geographic spread of VASP services, coupled with their pseudo-anonymous nature and use in every phase of ML/TF and in many different ML/TF typologies, means this sector presents a high inherent risk of ML/TF.</w:t>
                      </w:r>
                    </w:p>
                    <w:p w14:paraId="268EDC2F" w14:textId="77777777" w:rsidR="005F6E6A" w:rsidRPr="00584253" w:rsidRDefault="005F6E6A" w:rsidP="00525B60">
                      <w:pPr>
                        <w:rPr>
                          <w:caps/>
                          <w:sz w:val="26"/>
                          <w:szCs w:val="26"/>
                        </w:rPr>
                      </w:pPr>
                    </w:p>
                  </w:txbxContent>
                </v:textbox>
                <w10:wrap type="topAndBottom"/>
              </v:shape>
            </w:pict>
          </mc:Fallback>
        </mc:AlternateContent>
      </w:r>
      <w:r w:rsidR="00820140" w:rsidRPr="00820140">
        <w:rPr>
          <w:sz w:val="22"/>
        </w:rPr>
        <w:t>Inherent risk is the assessed ML/TF risk before any controls or mitigation measures have been put in place. Residual risk is the assessed ML/TF risk after any controls or mitigation measures have been put in place.</w:t>
      </w:r>
    </w:p>
    <w:p w14:paraId="21DBE8E9" w14:textId="77777777" w:rsidR="00EF4AF5" w:rsidRDefault="00EF4AF5" w:rsidP="009A5F9C">
      <w:pPr>
        <w:pStyle w:val="Heading2"/>
      </w:pPr>
    </w:p>
    <w:p w14:paraId="7BFE06BC" w14:textId="6E6B34F7" w:rsidR="009A5F9C" w:rsidRDefault="00E75DB2" w:rsidP="009A5F9C">
      <w:pPr>
        <w:pStyle w:val="Heading2"/>
      </w:pPr>
      <w:bookmarkStart w:id="10" w:name="_Toc34985626"/>
      <w:r>
        <w:t>Key</w:t>
      </w:r>
      <w:r w:rsidR="009A5F9C">
        <w:t xml:space="preserve"> </w:t>
      </w:r>
      <w:r w:rsidRPr="00E75DB2">
        <w:t>Vulnerabilities and High-Risk Factors</w:t>
      </w:r>
      <w:bookmarkEnd w:id="10"/>
    </w:p>
    <w:p w14:paraId="24ABDAA3" w14:textId="3C74D003" w:rsidR="00E45CEC" w:rsidRPr="00E75DB2" w:rsidRDefault="00E75DB2" w:rsidP="009A5F9C">
      <w:pPr>
        <w:rPr>
          <w:sz w:val="22"/>
        </w:rPr>
      </w:pPr>
      <w:r>
        <w:rPr>
          <w:sz w:val="22"/>
        </w:rPr>
        <w:t>As part of</w:t>
      </w:r>
      <w:r w:rsidRPr="00DD4A65">
        <w:rPr>
          <w:sz w:val="22"/>
        </w:rPr>
        <w:t xml:space="preserve"> </w:t>
      </w:r>
      <w:r w:rsidR="008F7541">
        <w:rPr>
          <w:sz w:val="22"/>
        </w:rPr>
        <w:t>the Department</w:t>
      </w:r>
      <w:r w:rsidRPr="00DD4A65">
        <w:rPr>
          <w:sz w:val="22"/>
        </w:rPr>
        <w:t>’s Financial Institutions Sector Risk Assessment</w:t>
      </w:r>
      <w:r>
        <w:rPr>
          <w:sz w:val="22"/>
        </w:rPr>
        <w:t xml:space="preserve">, </w:t>
      </w:r>
      <w:r w:rsidR="008F7541">
        <w:rPr>
          <w:sz w:val="22"/>
        </w:rPr>
        <w:t>six</w:t>
      </w:r>
      <w:r>
        <w:rPr>
          <w:sz w:val="22"/>
        </w:rPr>
        <w:t xml:space="preserve"> key vulnerabilities and </w:t>
      </w:r>
      <w:r w:rsidR="00520E92">
        <w:rPr>
          <w:sz w:val="22"/>
        </w:rPr>
        <w:t>high-risk</w:t>
      </w:r>
      <w:r w:rsidR="00E11CD1">
        <w:rPr>
          <w:sz w:val="22"/>
        </w:rPr>
        <w:t xml:space="preserve"> factors associated with the VASP sector</w:t>
      </w:r>
      <w:r w:rsidR="008F7541">
        <w:rPr>
          <w:sz w:val="22"/>
        </w:rPr>
        <w:t xml:space="preserve"> have been identified</w:t>
      </w:r>
      <w:r w:rsidR="00E11CD1">
        <w:rPr>
          <w:sz w:val="22"/>
        </w:rPr>
        <w:t>.</w:t>
      </w:r>
      <w:r w:rsidR="00520E92">
        <w:rPr>
          <w:sz w:val="22"/>
        </w:rPr>
        <w:t xml:space="preserve"> </w:t>
      </w:r>
    </w:p>
    <w:p w14:paraId="171B8986" w14:textId="78490E81" w:rsidR="00525B60" w:rsidRPr="00E75DB2" w:rsidRDefault="00E75DB2" w:rsidP="009722E0">
      <w:pPr>
        <w:pStyle w:val="ListParagraph"/>
        <w:numPr>
          <w:ilvl w:val="0"/>
          <w:numId w:val="39"/>
        </w:numPr>
        <w:rPr>
          <w:sz w:val="22"/>
        </w:rPr>
      </w:pPr>
      <w:r w:rsidRPr="00E75DB2">
        <w:rPr>
          <w:sz w:val="22"/>
        </w:rPr>
        <w:t>New Payment Technology</w:t>
      </w:r>
    </w:p>
    <w:p w14:paraId="25BE5EEE" w14:textId="7B49B326" w:rsidR="00E75DB2" w:rsidRPr="00E75DB2" w:rsidRDefault="00E75DB2" w:rsidP="009722E0">
      <w:pPr>
        <w:pStyle w:val="ListParagraph"/>
        <w:numPr>
          <w:ilvl w:val="0"/>
          <w:numId w:val="39"/>
        </w:numPr>
        <w:rPr>
          <w:sz w:val="22"/>
        </w:rPr>
      </w:pPr>
      <w:r w:rsidRPr="00E75DB2">
        <w:rPr>
          <w:sz w:val="22"/>
        </w:rPr>
        <w:t>Anonymity and Complexity</w:t>
      </w:r>
    </w:p>
    <w:p w14:paraId="708A2E82" w14:textId="0D828133" w:rsidR="00E75DB2" w:rsidRDefault="00E75DB2" w:rsidP="009722E0">
      <w:pPr>
        <w:pStyle w:val="ListParagraph"/>
        <w:numPr>
          <w:ilvl w:val="0"/>
          <w:numId w:val="39"/>
        </w:numPr>
        <w:rPr>
          <w:sz w:val="22"/>
        </w:rPr>
      </w:pPr>
      <w:r>
        <w:rPr>
          <w:sz w:val="22"/>
        </w:rPr>
        <w:t>Lack of ML/TF Awareness</w:t>
      </w:r>
    </w:p>
    <w:p w14:paraId="62A34A95" w14:textId="0CCEB02F" w:rsidR="00E75DB2" w:rsidRDefault="00E75DB2" w:rsidP="009722E0">
      <w:pPr>
        <w:pStyle w:val="ListParagraph"/>
        <w:numPr>
          <w:ilvl w:val="0"/>
          <w:numId w:val="39"/>
        </w:numPr>
        <w:rPr>
          <w:sz w:val="22"/>
        </w:rPr>
      </w:pPr>
      <w:r>
        <w:rPr>
          <w:sz w:val="22"/>
        </w:rPr>
        <w:t>International Payments</w:t>
      </w:r>
    </w:p>
    <w:p w14:paraId="7049BFA2" w14:textId="78BDC26E" w:rsidR="00E75DB2" w:rsidRDefault="00E75DB2" w:rsidP="009722E0">
      <w:pPr>
        <w:pStyle w:val="ListParagraph"/>
        <w:numPr>
          <w:ilvl w:val="0"/>
          <w:numId w:val="39"/>
        </w:numPr>
        <w:rPr>
          <w:sz w:val="22"/>
        </w:rPr>
      </w:pPr>
      <w:r>
        <w:rPr>
          <w:sz w:val="22"/>
        </w:rPr>
        <w:t>High risk customers/jurisdictions</w:t>
      </w:r>
    </w:p>
    <w:p w14:paraId="22D8DBCA" w14:textId="64D2313C" w:rsidR="00E75DB2" w:rsidRPr="00E75DB2" w:rsidRDefault="008F7541" w:rsidP="009722E0">
      <w:pPr>
        <w:pStyle w:val="ListParagraph"/>
        <w:numPr>
          <w:ilvl w:val="0"/>
          <w:numId w:val="39"/>
        </w:numPr>
        <w:rPr>
          <w:sz w:val="22"/>
        </w:rPr>
      </w:pPr>
      <w:r>
        <w:rPr>
          <w:sz w:val="22"/>
        </w:rPr>
        <w:t>Politically-exposed persons (</w:t>
      </w:r>
      <w:r w:rsidR="00E75DB2">
        <w:rPr>
          <w:sz w:val="22"/>
        </w:rPr>
        <w:t>PEPs</w:t>
      </w:r>
      <w:r>
        <w:rPr>
          <w:sz w:val="22"/>
        </w:rPr>
        <w:t>)</w:t>
      </w:r>
      <w:r w:rsidR="00E75DB2">
        <w:rPr>
          <w:sz w:val="22"/>
        </w:rPr>
        <w:t xml:space="preserve"> and High Wealth individuals</w:t>
      </w:r>
    </w:p>
    <w:p w14:paraId="22155C8E" w14:textId="3A003C5D" w:rsidR="008F7541" w:rsidRDefault="008F7541" w:rsidP="001A4445">
      <w:pPr>
        <w:rPr>
          <w:rStyle w:val="Hyperlink"/>
          <w:sz w:val="22"/>
        </w:rPr>
      </w:pPr>
      <w:r>
        <w:rPr>
          <w:sz w:val="22"/>
        </w:rPr>
        <w:t xml:space="preserve">These risks are described fully in the </w:t>
      </w:r>
      <w:hyperlink r:id="rId20" w:history="1">
        <w:r>
          <w:rPr>
            <w:rStyle w:val="Hyperlink"/>
            <w:sz w:val="22"/>
          </w:rPr>
          <w:t>Sector Risk Assessment</w:t>
        </w:r>
      </w:hyperlink>
      <w:r>
        <w:rPr>
          <w:rStyle w:val="Hyperlink"/>
          <w:sz w:val="22"/>
        </w:rPr>
        <w:t>.</w:t>
      </w:r>
    </w:p>
    <w:p w14:paraId="069B230A" w14:textId="2F54B764" w:rsidR="00525B60" w:rsidRPr="00E75DB2" w:rsidRDefault="00520E92" w:rsidP="001A4445">
      <w:pPr>
        <w:rPr>
          <w:sz w:val="22"/>
        </w:rPr>
      </w:pPr>
      <w:r>
        <w:rPr>
          <w:sz w:val="22"/>
        </w:rPr>
        <w:lastRenderedPageBreak/>
        <w:t>The Department expect</w:t>
      </w:r>
      <w:r w:rsidR="008F7541">
        <w:rPr>
          <w:sz w:val="22"/>
        </w:rPr>
        <w:t>s</w:t>
      </w:r>
      <w:r>
        <w:rPr>
          <w:sz w:val="22"/>
        </w:rPr>
        <w:t xml:space="preserve"> that these are </w:t>
      </w:r>
      <w:r w:rsidR="008F7541">
        <w:rPr>
          <w:sz w:val="22"/>
        </w:rPr>
        <w:t xml:space="preserve">considered </w:t>
      </w:r>
      <w:r>
        <w:rPr>
          <w:sz w:val="22"/>
        </w:rPr>
        <w:t xml:space="preserve">as part of your risk assessment, which is described later in this guideline. These are not the only potential risk factors </w:t>
      </w:r>
      <w:r w:rsidR="00025E90">
        <w:rPr>
          <w:sz w:val="22"/>
        </w:rPr>
        <w:t xml:space="preserve">relevant to your business </w:t>
      </w:r>
      <w:r>
        <w:rPr>
          <w:sz w:val="22"/>
        </w:rPr>
        <w:t>and</w:t>
      </w:r>
      <w:r w:rsidR="00025E90">
        <w:rPr>
          <w:sz w:val="22"/>
        </w:rPr>
        <w:t xml:space="preserve"> </w:t>
      </w:r>
      <w:r>
        <w:rPr>
          <w:sz w:val="22"/>
        </w:rPr>
        <w:t xml:space="preserve">should not be the only risks considered in your </w:t>
      </w:r>
      <w:r w:rsidR="00AA0F1E">
        <w:rPr>
          <w:sz w:val="22"/>
        </w:rPr>
        <w:t>r</w:t>
      </w:r>
      <w:r>
        <w:rPr>
          <w:sz w:val="22"/>
        </w:rPr>
        <w:t xml:space="preserve">isk </w:t>
      </w:r>
      <w:r w:rsidR="00AA0F1E">
        <w:rPr>
          <w:sz w:val="22"/>
        </w:rPr>
        <w:t>a</w:t>
      </w:r>
      <w:r>
        <w:rPr>
          <w:sz w:val="22"/>
        </w:rPr>
        <w:t>ssessment – they are however important overarching themes relevant to the VASP sector.</w:t>
      </w:r>
    </w:p>
    <w:p w14:paraId="58BFF995" w14:textId="6BE8AAA2" w:rsidR="00E75DB2" w:rsidRPr="00E75DB2" w:rsidRDefault="00E75DB2" w:rsidP="001A4445">
      <w:pPr>
        <w:rPr>
          <w:sz w:val="22"/>
        </w:rPr>
      </w:pPr>
      <w:r w:rsidRPr="00E75DB2">
        <w:rPr>
          <w:sz w:val="22"/>
        </w:rPr>
        <w:t>Note that key vulnerabilities and high-risk factors</w:t>
      </w:r>
      <w:r w:rsidR="00025E90">
        <w:rPr>
          <w:sz w:val="22"/>
        </w:rPr>
        <w:t xml:space="preserve"> relevant to your business</w:t>
      </w:r>
      <w:r w:rsidRPr="00E75DB2">
        <w:rPr>
          <w:sz w:val="22"/>
        </w:rPr>
        <w:t xml:space="preserve"> do not operate in isolation but in combination, resulting in a compounding risk of ML/TF. </w:t>
      </w:r>
      <w:r w:rsidR="00025E90">
        <w:rPr>
          <w:sz w:val="22"/>
        </w:rPr>
        <w:t>Accordingly, your c</w:t>
      </w:r>
      <w:r w:rsidRPr="00E75DB2">
        <w:rPr>
          <w:sz w:val="22"/>
        </w:rPr>
        <w:t xml:space="preserve">ontext is essential in identifying and determining </w:t>
      </w:r>
      <w:r w:rsidR="00025E90">
        <w:rPr>
          <w:sz w:val="22"/>
        </w:rPr>
        <w:t>your business’</w:t>
      </w:r>
      <w:r w:rsidRPr="00E75DB2">
        <w:rPr>
          <w:sz w:val="22"/>
        </w:rPr>
        <w:t xml:space="preserve"> degree of ML/TF vulnerability and risk.</w:t>
      </w:r>
    </w:p>
    <w:p w14:paraId="4ABB068F" w14:textId="65F77584" w:rsidR="009A5F9C" w:rsidRDefault="009A5F9C" w:rsidP="009A5F9C">
      <w:pPr>
        <w:pStyle w:val="Heading2"/>
      </w:pPr>
      <w:bookmarkStart w:id="11" w:name="_Toc34985627"/>
      <w:r>
        <w:t>VASP</w:t>
      </w:r>
      <w:r w:rsidR="00CD48C8">
        <w:t>-</w:t>
      </w:r>
      <w:r>
        <w:t>specific risk factors</w:t>
      </w:r>
      <w:bookmarkEnd w:id="11"/>
    </w:p>
    <w:p w14:paraId="432F21EB" w14:textId="692DA86A" w:rsidR="0038282A" w:rsidRDefault="0038282A" w:rsidP="00A53F7B">
      <w:pPr>
        <w:rPr>
          <w:sz w:val="22"/>
          <w:szCs w:val="22"/>
        </w:rPr>
      </w:pPr>
      <w:r w:rsidRPr="0038282A">
        <w:rPr>
          <w:sz w:val="22"/>
          <w:szCs w:val="22"/>
        </w:rPr>
        <w:t xml:space="preserve">Depending on the characteristics of the </w:t>
      </w:r>
      <w:r w:rsidR="00F05D49">
        <w:rPr>
          <w:sz w:val="22"/>
          <w:szCs w:val="22"/>
        </w:rPr>
        <w:t>virtual asset</w:t>
      </w:r>
      <w:r w:rsidR="00025E90">
        <w:rPr>
          <w:sz w:val="22"/>
          <w:szCs w:val="22"/>
        </w:rPr>
        <w:t>s they deal with</w:t>
      </w:r>
      <w:r w:rsidRPr="0038282A">
        <w:rPr>
          <w:sz w:val="22"/>
          <w:szCs w:val="22"/>
        </w:rPr>
        <w:t xml:space="preserve">, VASPs can face similar risks to </w:t>
      </w:r>
      <w:r w:rsidR="00817D78">
        <w:rPr>
          <w:sz w:val="22"/>
          <w:szCs w:val="22"/>
        </w:rPr>
        <w:t xml:space="preserve">other providers of higher-risk products/services, such as </w:t>
      </w:r>
      <w:r w:rsidRPr="0038282A">
        <w:rPr>
          <w:sz w:val="22"/>
          <w:szCs w:val="22"/>
        </w:rPr>
        <w:t>the money remittance sector, providers of currency exchange, and payment providers</w:t>
      </w:r>
      <w:r w:rsidR="00817D78">
        <w:rPr>
          <w:sz w:val="22"/>
          <w:szCs w:val="22"/>
        </w:rPr>
        <w:t>.</w:t>
      </w:r>
    </w:p>
    <w:p w14:paraId="4CCD42F0" w14:textId="0A81F8BB" w:rsidR="00025E90" w:rsidRDefault="00F13515" w:rsidP="00A53F7B">
      <w:pPr>
        <w:rPr>
          <w:sz w:val="22"/>
          <w:szCs w:val="22"/>
        </w:rPr>
      </w:pPr>
      <w:r>
        <w:rPr>
          <w:sz w:val="22"/>
          <w:szCs w:val="22"/>
        </w:rPr>
        <w:t>T</w:t>
      </w:r>
      <w:r w:rsidRPr="0038282A">
        <w:rPr>
          <w:sz w:val="22"/>
          <w:szCs w:val="22"/>
        </w:rPr>
        <w:t xml:space="preserve">he nature of the </w:t>
      </w:r>
      <w:r w:rsidR="00F05D49">
        <w:rPr>
          <w:sz w:val="22"/>
          <w:szCs w:val="22"/>
        </w:rPr>
        <w:t>virtual assets</w:t>
      </w:r>
      <w:r w:rsidRPr="0038282A">
        <w:rPr>
          <w:sz w:val="22"/>
          <w:szCs w:val="22"/>
        </w:rPr>
        <w:t xml:space="preserve"> will have a large impact on the overall risk the VASP faces. Whether a </w:t>
      </w:r>
      <w:r w:rsidR="00906BA7">
        <w:rPr>
          <w:sz w:val="22"/>
          <w:szCs w:val="22"/>
        </w:rPr>
        <w:t>virtual asset</w:t>
      </w:r>
      <w:r w:rsidRPr="0038282A">
        <w:rPr>
          <w:sz w:val="22"/>
          <w:szCs w:val="22"/>
        </w:rPr>
        <w:t xml:space="preserve"> is centralised or decentralised, and convertible or non-convertible, may change the risk profile significantly</w:t>
      </w:r>
      <w:r>
        <w:rPr>
          <w:sz w:val="22"/>
          <w:szCs w:val="22"/>
        </w:rPr>
        <w:t>.</w:t>
      </w:r>
      <w:r w:rsidRPr="0038282A">
        <w:rPr>
          <w:sz w:val="22"/>
          <w:szCs w:val="22"/>
        </w:rPr>
        <w:t xml:space="preserve"> </w:t>
      </w:r>
      <w:r w:rsidR="00025E90">
        <w:rPr>
          <w:sz w:val="22"/>
          <w:szCs w:val="22"/>
        </w:rPr>
        <w:t>These characteristics and some of their associated risks are discussed below.</w:t>
      </w:r>
    </w:p>
    <w:p w14:paraId="2CAC37D2" w14:textId="487EF08F" w:rsidR="00025E90" w:rsidRPr="0038282A" w:rsidRDefault="00F13515" w:rsidP="00A53F7B">
      <w:pPr>
        <w:rPr>
          <w:sz w:val="22"/>
          <w:szCs w:val="22"/>
        </w:rPr>
      </w:pPr>
      <w:r w:rsidRPr="0038282A">
        <w:rPr>
          <w:sz w:val="22"/>
          <w:szCs w:val="22"/>
        </w:rPr>
        <w:t xml:space="preserve">Many of the </w:t>
      </w:r>
      <w:r w:rsidR="00025E90">
        <w:rPr>
          <w:sz w:val="22"/>
          <w:szCs w:val="22"/>
        </w:rPr>
        <w:t>example</w:t>
      </w:r>
      <w:r w:rsidR="00025E90" w:rsidRPr="0038282A">
        <w:rPr>
          <w:sz w:val="22"/>
          <w:szCs w:val="22"/>
        </w:rPr>
        <w:t xml:space="preserve"> </w:t>
      </w:r>
      <w:r w:rsidRPr="0038282A">
        <w:rPr>
          <w:sz w:val="22"/>
          <w:szCs w:val="22"/>
        </w:rPr>
        <w:t xml:space="preserve">risks </w:t>
      </w:r>
      <w:r w:rsidR="00025E90">
        <w:rPr>
          <w:sz w:val="22"/>
          <w:szCs w:val="22"/>
        </w:rPr>
        <w:t xml:space="preserve">listed below </w:t>
      </w:r>
      <w:r w:rsidRPr="0038282A">
        <w:rPr>
          <w:sz w:val="22"/>
          <w:szCs w:val="22"/>
        </w:rPr>
        <w:t xml:space="preserve">are applicable for some virtual assets but not others – i.e. non-convertible </w:t>
      </w:r>
      <w:r w:rsidR="00F05D49">
        <w:rPr>
          <w:sz w:val="22"/>
          <w:szCs w:val="22"/>
        </w:rPr>
        <w:t>virtual assets</w:t>
      </w:r>
      <w:r w:rsidR="00025E90">
        <w:rPr>
          <w:sz w:val="22"/>
          <w:szCs w:val="22"/>
        </w:rPr>
        <w:t xml:space="preserve"> </w:t>
      </w:r>
      <w:r w:rsidRPr="0038282A">
        <w:rPr>
          <w:sz w:val="22"/>
          <w:szCs w:val="22"/>
        </w:rPr>
        <w:t xml:space="preserve">do not face risks associated with the conversion to other </w:t>
      </w:r>
      <w:r w:rsidR="00F05D49">
        <w:rPr>
          <w:sz w:val="22"/>
          <w:szCs w:val="22"/>
        </w:rPr>
        <w:t>virtual assets</w:t>
      </w:r>
      <w:r w:rsidRPr="0038282A">
        <w:rPr>
          <w:sz w:val="22"/>
          <w:szCs w:val="22"/>
        </w:rPr>
        <w:t>, or back to into fiat currency.</w:t>
      </w:r>
    </w:p>
    <w:p w14:paraId="0E81CAD2" w14:textId="0228ECBA" w:rsidR="00A53F7B" w:rsidRDefault="0038282A" w:rsidP="00A53F7B">
      <w:pPr>
        <w:rPr>
          <w:sz w:val="22"/>
          <w:szCs w:val="22"/>
        </w:rPr>
      </w:pPr>
      <w:r>
        <w:rPr>
          <w:sz w:val="22"/>
          <w:szCs w:val="22"/>
        </w:rPr>
        <w:t>A number of specific risk factors for VASPs are detailed below</w:t>
      </w:r>
      <w:r w:rsidR="00F03549">
        <w:rPr>
          <w:sz w:val="22"/>
          <w:szCs w:val="22"/>
        </w:rPr>
        <w:t xml:space="preserve">. This </w:t>
      </w:r>
      <w:r w:rsidR="00B80B13">
        <w:rPr>
          <w:sz w:val="22"/>
          <w:szCs w:val="22"/>
        </w:rPr>
        <w:t xml:space="preserve">is </w:t>
      </w:r>
      <w:r w:rsidR="00F03549">
        <w:rPr>
          <w:sz w:val="22"/>
          <w:szCs w:val="22"/>
        </w:rPr>
        <w:t>not</w:t>
      </w:r>
      <w:r w:rsidR="00B80B13">
        <w:rPr>
          <w:sz w:val="22"/>
          <w:szCs w:val="22"/>
        </w:rPr>
        <w:t xml:space="preserve"> to</w:t>
      </w:r>
      <w:r w:rsidR="00F03549">
        <w:rPr>
          <w:sz w:val="22"/>
          <w:szCs w:val="22"/>
        </w:rPr>
        <w:t xml:space="preserve"> be considered an exhaustive list, and VASPs </w:t>
      </w:r>
      <w:r w:rsidR="00B80B13">
        <w:rPr>
          <w:sz w:val="22"/>
          <w:szCs w:val="22"/>
        </w:rPr>
        <w:t>should</w:t>
      </w:r>
      <w:r w:rsidR="00F03549">
        <w:rPr>
          <w:sz w:val="22"/>
          <w:szCs w:val="22"/>
        </w:rPr>
        <w:t xml:space="preserve"> consult </w:t>
      </w:r>
      <w:r w:rsidR="001A1154">
        <w:rPr>
          <w:sz w:val="22"/>
          <w:szCs w:val="22"/>
        </w:rPr>
        <w:t>both supervisor</w:t>
      </w:r>
      <w:r w:rsidR="00C56ED9">
        <w:rPr>
          <w:sz w:val="22"/>
          <w:szCs w:val="22"/>
        </w:rPr>
        <w:t>-</w:t>
      </w:r>
      <w:r w:rsidR="001A1154">
        <w:rPr>
          <w:sz w:val="22"/>
          <w:szCs w:val="22"/>
        </w:rPr>
        <w:t xml:space="preserve">issued guidance, and relevant </w:t>
      </w:r>
      <w:r w:rsidR="00C56ED9">
        <w:rPr>
          <w:sz w:val="22"/>
          <w:szCs w:val="22"/>
        </w:rPr>
        <w:t xml:space="preserve">domestic and </w:t>
      </w:r>
      <w:r w:rsidR="001A1154">
        <w:rPr>
          <w:sz w:val="22"/>
          <w:szCs w:val="22"/>
        </w:rPr>
        <w:t>international sources of information</w:t>
      </w:r>
      <w:r w:rsidR="00B80B13">
        <w:rPr>
          <w:sz w:val="22"/>
          <w:szCs w:val="22"/>
        </w:rPr>
        <w:t xml:space="preserve"> to determine the risks applicable to them</w:t>
      </w:r>
      <w:r w:rsidR="001A1154">
        <w:rPr>
          <w:sz w:val="22"/>
          <w:szCs w:val="22"/>
        </w:rPr>
        <w:t>.</w:t>
      </w:r>
    </w:p>
    <w:p w14:paraId="7CF0F4C8" w14:textId="657DEF49" w:rsidR="00804867" w:rsidRPr="0038282A" w:rsidRDefault="00804867" w:rsidP="00FD12B1">
      <w:pPr>
        <w:spacing w:before="80" w:after="80"/>
        <w:rPr>
          <w:sz w:val="22"/>
          <w:szCs w:val="22"/>
        </w:rPr>
      </w:pPr>
      <w:r>
        <w:rPr>
          <w:noProof/>
          <w:sz w:val="22"/>
          <w:szCs w:val="22"/>
        </w:rPr>
        <w:drawing>
          <wp:inline distT="0" distB="0" distL="0" distR="0" wp14:anchorId="2B51B184" wp14:editId="5DF2C0A8">
            <wp:extent cx="5829300" cy="4533900"/>
            <wp:effectExtent l="19050" t="0" r="38100" b="0"/>
            <wp:docPr id="199" name="Diagram 1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B2B71FA" w14:textId="25BB921A" w:rsidR="00804867" w:rsidRDefault="00804867" w:rsidP="00804867">
      <w:pPr>
        <w:spacing w:before="80" w:after="120"/>
        <w:rPr>
          <w:sz w:val="22"/>
          <w:szCs w:val="22"/>
        </w:rPr>
      </w:pPr>
      <w:r>
        <w:rPr>
          <w:noProof/>
          <w:sz w:val="22"/>
          <w:szCs w:val="22"/>
        </w:rPr>
        <w:lastRenderedPageBreak/>
        <w:drawing>
          <wp:anchor distT="0" distB="0" distL="114300" distR="114300" simplePos="0" relativeHeight="251767808" behindDoc="1" locked="0" layoutInCell="1" allowOverlap="1" wp14:anchorId="6A3243EC" wp14:editId="016E464E">
            <wp:simplePos x="0" y="0"/>
            <wp:positionH relativeFrom="column">
              <wp:posOffset>23495</wp:posOffset>
            </wp:positionH>
            <wp:positionV relativeFrom="paragraph">
              <wp:posOffset>-119380</wp:posOffset>
            </wp:positionV>
            <wp:extent cx="5760085" cy="9467850"/>
            <wp:effectExtent l="19050" t="0" r="50165" b="0"/>
            <wp:wrapTight wrapText="bothSides">
              <wp:wrapPolygon edited="0">
                <wp:start x="71" y="348"/>
                <wp:lineTo x="-71" y="522"/>
                <wp:lineTo x="-71" y="16906"/>
                <wp:lineTo x="214" y="17124"/>
                <wp:lineTo x="-71" y="17210"/>
                <wp:lineTo x="-71" y="21035"/>
                <wp:lineTo x="143" y="21252"/>
                <wp:lineTo x="21431" y="21252"/>
                <wp:lineTo x="21502" y="21165"/>
                <wp:lineTo x="21717" y="20687"/>
                <wp:lineTo x="21717" y="17732"/>
                <wp:lineTo x="21574" y="17297"/>
                <wp:lineTo x="21431" y="17124"/>
                <wp:lineTo x="21717" y="16472"/>
                <wp:lineTo x="21717" y="1130"/>
                <wp:lineTo x="21574" y="565"/>
                <wp:lineTo x="21502" y="348"/>
                <wp:lineTo x="71" y="348"/>
              </wp:wrapPolygon>
            </wp:wrapTight>
            <wp:docPr id="201" name="Diagram 2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14:paraId="09DD9340" w14:textId="7C39C6D9" w:rsidR="00E6722C" w:rsidRDefault="00E6722C" w:rsidP="000B0B05">
      <w:pPr>
        <w:pStyle w:val="Heading1"/>
      </w:pPr>
      <w:bookmarkStart w:id="12" w:name="_Toc34985628"/>
      <w:r>
        <w:lastRenderedPageBreak/>
        <w:t xml:space="preserve">Your </w:t>
      </w:r>
      <w:r w:rsidR="00CE2F9E">
        <w:t>AML</w:t>
      </w:r>
      <w:r w:rsidR="00601A9B">
        <w:t>/CFT</w:t>
      </w:r>
      <w:r w:rsidR="00CE2F9E">
        <w:t xml:space="preserve"> Supervisor</w:t>
      </w:r>
      <w:bookmarkEnd w:id="12"/>
    </w:p>
    <w:p w14:paraId="1979108A" w14:textId="61897F50" w:rsidR="00985174" w:rsidRDefault="00985174" w:rsidP="00985174">
      <w:pPr>
        <w:pStyle w:val="Heading2"/>
      </w:pPr>
      <w:bookmarkStart w:id="13" w:name="_Toc34985629"/>
      <w:r>
        <w:t>Who is my Supervisor?</w:t>
      </w:r>
      <w:bookmarkEnd w:id="13"/>
    </w:p>
    <w:p w14:paraId="4973E795" w14:textId="496CD100" w:rsidR="007979E3" w:rsidRDefault="00601A9B" w:rsidP="00A12807">
      <w:pPr>
        <w:rPr>
          <w:sz w:val="22"/>
        </w:rPr>
      </w:pPr>
      <w:r>
        <w:rPr>
          <w:sz w:val="22"/>
        </w:rPr>
        <w:t>As a VASP operating i</w:t>
      </w:r>
      <w:r w:rsidR="009440E2" w:rsidRPr="00071D78">
        <w:rPr>
          <w:sz w:val="22"/>
        </w:rPr>
        <w:t>n New Zealand</w:t>
      </w:r>
      <w:r w:rsidR="00392B3B" w:rsidRPr="00071D78">
        <w:rPr>
          <w:sz w:val="22"/>
        </w:rPr>
        <w:t xml:space="preserve">, </w:t>
      </w:r>
      <w:r w:rsidR="00392B3B">
        <w:rPr>
          <w:sz w:val="22"/>
        </w:rPr>
        <w:t>you</w:t>
      </w:r>
      <w:r w:rsidR="009440E2" w:rsidRPr="00071D78">
        <w:rPr>
          <w:sz w:val="22"/>
        </w:rPr>
        <w:t xml:space="preserve"> may be supervised by either</w:t>
      </w:r>
      <w:r w:rsidR="00985174">
        <w:rPr>
          <w:sz w:val="22"/>
        </w:rPr>
        <w:t xml:space="preserve"> the Department</w:t>
      </w:r>
      <w:r w:rsidR="009440E2" w:rsidRPr="00071D78">
        <w:rPr>
          <w:sz w:val="22"/>
        </w:rPr>
        <w:t xml:space="preserve"> a</w:t>
      </w:r>
      <w:r w:rsidR="00985174">
        <w:rPr>
          <w:sz w:val="22"/>
        </w:rPr>
        <w:t>s</w:t>
      </w:r>
      <w:r w:rsidR="009440E2" w:rsidRPr="00071D78">
        <w:rPr>
          <w:sz w:val="22"/>
        </w:rPr>
        <w:t xml:space="preserve"> the </w:t>
      </w:r>
      <w:r w:rsidR="00985174">
        <w:rPr>
          <w:sz w:val="22"/>
        </w:rPr>
        <w:t>lead supervisor,</w:t>
      </w:r>
      <w:r w:rsidR="009440E2" w:rsidRPr="00071D78">
        <w:rPr>
          <w:sz w:val="22"/>
        </w:rPr>
        <w:t xml:space="preserve"> or</w:t>
      </w:r>
      <w:r w:rsidR="00985174">
        <w:rPr>
          <w:sz w:val="22"/>
        </w:rPr>
        <w:t xml:space="preserve"> in certain cases</w:t>
      </w:r>
      <w:r w:rsidR="009440E2" w:rsidRPr="00071D78">
        <w:rPr>
          <w:sz w:val="22"/>
        </w:rPr>
        <w:t xml:space="preserve"> the </w:t>
      </w:r>
      <w:r w:rsidR="00985174">
        <w:rPr>
          <w:sz w:val="22"/>
        </w:rPr>
        <w:t>Financial Markets Authority (</w:t>
      </w:r>
      <w:r w:rsidR="009440E2" w:rsidRPr="00071D78">
        <w:rPr>
          <w:sz w:val="22"/>
        </w:rPr>
        <w:t>FMA</w:t>
      </w:r>
      <w:r w:rsidR="00985174">
        <w:rPr>
          <w:sz w:val="22"/>
        </w:rPr>
        <w:t>)</w:t>
      </w:r>
      <w:r w:rsidR="009440E2" w:rsidRPr="00071D78">
        <w:rPr>
          <w:sz w:val="22"/>
        </w:rPr>
        <w:t xml:space="preserve">. </w:t>
      </w:r>
    </w:p>
    <w:p w14:paraId="6E5A946A" w14:textId="1DF4592C" w:rsidR="009440E2" w:rsidRDefault="009440E2" w:rsidP="00A53F7B">
      <w:pPr>
        <w:spacing w:after="120"/>
        <w:rPr>
          <w:sz w:val="22"/>
        </w:rPr>
      </w:pPr>
      <w:r w:rsidRPr="00071D78">
        <w:rPr>
          <w:sz w:val="22"/>
        </w:rPr>
        <w:t xml:space="preserve">The supervisor is determined based upon the activities </w:t>
      </w:r>
      <w:r w:rsidR="00601A9B">
        <w:rPr>
          <w:sz w:val="22"/>
        </w:rPr>
        <w:t>you</w:t>
      </w:r>
      <w:r w:rsidRPr="00071D78">
        <w:rPr>
          <w:sz w:val="22"/>
        </w:rPr>
        <w:t xml:space="preserve"> undertake. </w:t>
      </w:r>
      <w:r w:rsidR="00601A9B">
        <w:rPr>
          <w:sz w:val="22"/>
        </w:rPr>
        <w:t>If you</w:t>
      </w:r>
      <w:r w:rsidRPr="00071D78">
        <w:rPr>
          <w:sz w:val="22"/>
        </w:rPr>
        <w:t xml:space="preserve"> are unsure of who </w:t>
      </w:r>
      <w:r w:rsidR="00601A9B">
        <w:rPr>
          <w:sz w:val="22"/>
        </w:rPr>
        <w:t xml:space="preserve">your </w:t>
      </w:r>
      <w:r w:rsidRPr="00071D78">
        <w:rPr>
          <w:sz w:val="22"/>
        </w:rPr>
        <w:t>supervisor is</w:t>
      </w:r>
      <w:r w:rsidR="00601A9B">
        <w:rPr>
          <w:sz w:val="22"/>
        </w:rPr>
        <w:t>, you</w:t>
      </w:r>
      <w:r w:rsidRPr="00071D78">
        <w:rPr>
          <w:sz w:val="22"/>
        </w:rPr>
        <w:t xml:space="preserve"> should contact the </w:t>
      </w:r>
      <w:r w:rsidR="0049255B">
        <w:rPr>
          <w:sz w:val="22"/>
        </w:rPr>
        <w:t>Department</w:t>
      </w:r>
      <w:r w:rsidRPr="00071D78">
        <w:rPr>
          <w:sz w:val="22"/>
        </w:rPr>
        <w:t xml:space="preserve"> in the first instance.</w:t>
      </w:r>
      <w:r w:rsidR="007979E3">
        <w:rPr>
          <w:sz w:val="22"/>
        </w:rPr>
        <w:t xml:space="preserve"> The following flowchart and table may assist </w:t>
      </w:r>
      <w:r w:rsidR="00601A9B">
        <w:rPr>
          <w:sz w:val="22"/>
        </w:rPr>
        <w:t xml:space="preserve">you </w:t>
      </w:r>
      <w:r w:rsidR="007979E3">
        <w:rPr>
          <w:sz w:val="22"/>
        </w:rPr>
        <w:t>in determining their likely supervisor:</w:t>
      </w:r>
    </w:p>
    <w:p w14:paraId="440CE94B" w14:textId="23312766" w:rsidR="00A53F7B" w:rsidRPr="007979E3" w:rsidRDefault="00A53F7B" w:rsidP="00A53F7B">
      <w:pPr>
        <w:pStyle w:val="Heading4"/>
        <w:spacing w:before="120"/>
      </w:pPr>
      <w:r w:rsidRPr="007979E3">
        <w:rPr>
          <w:noProof/>
        </w:rPr>
        <mc:AlternateContent>
          <mc:Choice Requires="wps">
            <w:drawing>
              <wp:anchor distT="0" distB="0" distL="114300" distR="114300" simplePos="0" relativeHeight="251632640" behindDoc="0" locked="0" layoutInCell="1" allowOverlap="1" wp14:anchorId="3C5F4F17" wp14:editId="7A8C15CE">
                <wp:simplePos x="0" y="0"/>
                <wp:positionH relativeFrom="column">
                  <wp:posOffset>4136708</wp:posOffset>
                </wp:positionH>
                <wp:positionV relativeFrom="paragraph">
                  <wp:posOffset>211137</wp:posOffset>
                </wp:positionV>
                <wp:extent cx="586740" cy="1552576"/>
                <wp:effectExtent l="0" t="6668" r="0" b="0"/>
                <wp:wrapNone/>
                <wp:docPr id="12" name="Arrow: Bent 12"/>
                <wp:cNvGraphicFramePr/>
                <a:graphic xmlns:a="http://schemas.openxmlformats.org/drawingml/2006/main">
                  <a:graphicData uri="http://schemas.microsoft.com/office/word/2010/wordprocessingShape">
                    <wps:wsp>
                      <wps:cNvSpPr/>
                      <wps:spPr>
                        <a:xfrm rot="5400000">
                          <a:off x="0" y="0"/>
                          <a:ext cx="586740" cy="1552576"/>
                        </a:xfrm>
                        <a:prstGeom prst="bentArrow">
                          <a:avLst>
                            <a:gd name="adj1" fmla="val 14906"/>
                            <a:gd name="adj2" fmla="val 29329"/>
                            <a:gd name="adj3" fmla="val 41698"/>
                            <a:gd name="adj4" fmla="val 0"/>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B791" id="Arrow: Bent 12" o:spid="_x0000_s1026" style="position:absolute;margin-left:325.75pt;margin-top:16.6pt;width:46.2pt;height:122.25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740,155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" path="m,1552576l,128355r,l342081,128355,342081,,586740,172085,342081,344170r,-128355l87459,215815r,l87459,1552576r-87459,xe" fillcolor="red" stroked="f" strokeweight="2pt">
                <v:path arrowok="t" o:connecttype="custom" o:connectlocs="0,1552576;0,128355;0,128355;342081,128355;342081,0;586740,172085;342081,344170;342081,215815;87459,215815;87459,215815;87459,1552576;0,1552576" o:connectangles="0,0,0,0,0,0,0,0,0,0,0,0"/>
              </v:shape>
            </w:pict>
          </mc:Fallback>
        </mc:AlternateContent>
      </w:r>
      <w:r w:rsidRPr="007979E3">
        <w:rPr>
          <w:b w:val="0"/>
          <w:noProof/>
        </w:rPr>
        <mc:AlternateContent>
          <mc:Choice Requires="wps">
            <w:drawing>
              <wp:anchor distT="0" distB="0" distL="114300" distR="114300" simplePos="0" relativeHeight="251653120" behindDoc="0" locked="0" layoutInCell="1" allowOverlap="1" wp14:anchorId="4B2C339D" wp14:editId="6B2D74F2">
                <wp:simplePos x="0" y="0"/>
                <wp:positionH relativeFrom="column">
                  <wp:posOffset>607060</wp:posOffset>
                </wp:positionH>
                <wp:positionV relativeFrom="paragraph">
                  <wp:posOffset>227965</wp:posOffset>
                </wp:positionV>
                <wp:extent cx="935355" cy="68961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35355" cy="689610"/>
                        </a:xfrm>
                        <a:prstGeom prst="rect">
                          <a:avLst/>
                        </a:prstGeom>
                        <a:noFill/>
                        <a:ln>
                          <a:noFill/>
                        </a:ln>
                      </wps:spPr>
                      <wps:txbx>
                        <w:txbxContent>
                          <w:p w14:paraId="6B7936B3" w14:textId="77777777" w:rsidR="005F6E6A" w:rsidRPr="008E21C6" w:rsidRDefault="005F6E6A" w:rsidP="007979E3">
                            <w:pPr>
                              <w:ind w:left="720" w:hanging="360"/>
                              <w:jc w:val="center"/>
                              <w:rPr>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21C6">
                              <w:rPr>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339D" id="Text Box 15" o:spid="_x0000_s1027" type="#_x0000_t202" style="position:absolute;margin-left:47.8pt;margin-top:17.95pt;width:73.65pt;height:5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" filled="f" stroked="f">
                <v:textbox>
                  <w:txbxContent>
                    <w:p w14:paraId="6B7936B3" w14:textId="77777777" w:rsidR="005F6E6A" w:rsidRPr="008E21C6" w:rsidRDefault="005F6E6A" w:rsidP="007979E3">
                      <w:pPr>
                        <w:ind w:left="720" w:hanging="360"/>
                        <w:jc w:val="center"/>
                        <w:rPr>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21C6">
                        <w:rPr>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shape>
            </w:pict>
          </mc:Fallback>
        </mc:AlternateContent>
      </w:r>
      <w:r w:rsidRPr="007979E3">
        <w:rPr>
          <w:b w:val="0"/>
          <w:noProof/>
        </w:rPr>
        <mc:AlternateContent>
          <mc:Choice Requires="wps">
            <w:drawing>
              <wp:anchor distT="0" distB="0" distL="114300" distR="114300" simplePos="0" relativeHeight="251676672" behindDoc="0" locked="0" layoutInCell="1" allowOverlap="1" wp14:anchorId="2A9D1F6A" wp14:editId="49EC6485">
                <wp:simplePos x="0" y="0"/>
                <wp:positionH relativeFrom="column">
                  <wp:posOffset>3482975</wp:posOffset>
                </wp:positionH>
                <wp:positionV relativeFrom="paragraph">
                  <wp:posOffset>200660</wp:posOffset>
                </wp:positionV>
                <wp:extent cx="1271270" cy="68961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71270" cy="689610"/>
                        </a:xfrm>
                        <a:prstGeom prst="rect">
                          <a:avLst/>
                        </a:prstGeom>
                        <a:noFill/>
                        <a:ln>
                          <a:noFill/>
                        </a:ln>
                      </wps:spPr>
                      <wps:txbx>
                        <w:txbxContent>
                          <w:p w14:paraId="2434731B" w14:textId="77777777" w:rsidR="005F6E6A" w:rsidRPr="008E21C6" w:rsidRDefault="005F6E6A" w:rsidP="007979E3">
                            <w:pPr>
                              <w:ind w:left="720" w:hanging="360"/>
                              <w:jc w:val="center"/>
                              <w:rPr>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21C6">
                              <w:rPr>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D1F6A" id="Text Box 17" o:spid="_x0000_s1028" type="#_x0000_t202" style="position:absolute;margin-left:274.25pt;margin-top:15.8pt;width:100.1pt;height:5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" filled="f" stroked="f">
                <v:textbox>
                  <w:txbxContent>
                    <w:p w14:paraId="2434731B" w14:textId="77777777" w:rsidR="005F6E6A" w:rsidRPr="008E21C6" w:rsidRDefault="005F6E6A" w:rsidP="007979E3">
                      <w:pPr>
                        <w:ind w:left="720" w:hanging="360"/>
                        <w:jc w:val="center"/>
                        <w:rPr>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21C6">
                        <w:rPr>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shape>
            </w:pict>
          </mc:Fallback>
        </mc:AlternateContent>
      </w:r>
      <w:r>
        <w:t>Supervisor: Department of Internal Affairs (DIA) or Financial Markets Authority (FMA)?</w:t>
      </w:r>
    </w:p>
    <w:p w14:paraId="1A139CD0" w14:textId="5EF98C62" w:rsidR="007979E3" w:rsidRPr="0034574E" w:rsidRDefault="007979E3" w:rsidP="00A12807">
      <w:pPr>
        <w:rPr>
          <w:b/>
          <w:sz w:val="22"/>
        </w:rPr>
      </w:pPr>
      <w:r w:rsidRPr="007979E3">
        <w:rPr>
          <w:b/>
          <w:noProof/>
        </w:rPr>
        <mc:AlternateContent>
          <mc:Choice Requires="wps">
            <w:drawing>
              <wp:anchor distT="0" distB="0" distL="114300" distR="114300" simplePos="0" relativeHeight="251764736" behindDoc="0" locked="0" layoutInCell="1" allowOverlap="1" wp14:anchorId="106260AC" wp14:editId="0CD91EDB">
                <wp:simplePos x="0" y="0"/>
                <wp:positionH relativeFrom="column">
                  <wp:posOffset>1772829</wp:posOffset>
                </wp:positionH>
                <wp:positionV relativeFrom="paragraph">
                  <wp:posOffset>89535</wp:posOffset>
                </wp:positionV>
                <wp:extent cx="1892595" cy="762000"/>
                <wp:effectExtent l="0" t="0" r="0" b="0"/>
                <wp:wrapNone/>
                <wp:docPr id="28" name="Rectangle 28"/>
                <wp:cNvGraphicFramePr/>
                <a:graphic xmlns:a="http://schemas.openxmlformats.org/drawingml/2006/main">
                  <a:graphicData uri="http://schemas.microsoft.com/office/word/2010/wordprocessingShape">
                    <wps:wsp>
                      <wps:cNvSpPr/>
                      <wps:spPr>
                        <a:xfrm>
                          <a:off x="0" y="0"/>
                          <a:ext cx="1892595" cy="762000"/>
                        </a:xfrm>
                        <a:prstGeom prst="rect">
                          <a:avLst/>
                        </a:prstGeom>
                        <a:solidFill>
                          <a:schemeClr val="tx2">
                            <a:lumMod val="20000"/>
                            <a:lumOff val="80000"/>
                          </a:schemeClr>
                        </a:solidFill>
                        <a:ln w="25400" cap="flat" cmpd="sng" algn="ctr">
                          <a:noFill/>
                          <a:prstDash val="solid"/>
                        </a:ln>
                        <a:effectLst/>
                      </wps:spPr>
                      <wps:txbx>
                        <w:txbxContent>
                          <w:p w14:paraId="4CD759FA" w14:textId="15D3D223" w:rsidR="005F6E6A" w:rsidRPr="00584253" w:rsidRDefault="005F6E6A" w:rsidP="00584253">
                            <w:pPr>
                              <w:spacing w:before="0"/>
                              <w:jc w:val="center"/>
                            </w:pPr>
                            <w:r w:rsidRPr="00584253">
                              <w:t xml:space="preserve">Are you registered on the </w:t>
                            </w:r>
                            <w:hyperlink r:id="rId31" w:history="1">
                              <w:r w:rsidRPr="00584253">
                                <w:rPr>
                                  <w:rStyle w:val="Hyperlink"/>
                                </w:rPr>
                                <w:t xml:space="preserve">Financial </w:t>
                              </w:r>
                              <w:r>
                                <w:rPr>
                                  <w:rStyle w:val="Hyperlink"/>
                                </w:rPr>
                                <w:t>S</w:t>
                              </w:r>
                              <w:r w:rsidRPr="00584253">
                                <w:rPr>
                                  <w:rStyle w:val="Hyperlink"/>
                                </w:rPr>
                                <w:t xml:space="preserve">ervice </w:t>
                              </w:r>
                              <w:r>
                                <w:rPr>
                                  <w:rStyle w:val="Hyperlink"/>
                                </w:rPr>
                                <w:t>P</w:t>
                              </w:r>
                              <w:r w:rsidRPr="00584253">
                                <w:rPr>
                                  <w:rStyle w:val="Hyperlink"/>
                                </w:rPr>
                                <w:t xml:space="preserve">roviders </w:t>
                              </w:r>
                              <w:r>
                                <w:rPr>
                                  <w:rStyle w:val="Hyperlink"/>
                                </w:rPr>
                                <w:t>R</w:t>
                              </w:r>
                              <w:r w:rsidRPr="00584253">
                                <w:rPr>
                                  <w:rStyle w:val="Hyperlink"/>
                                </w:rPr>
                                <w:t>egister</w:t>
                              </w:r>
                            </w:hyperlink>
                            <w:r w:rsidRPr="00584253">
                              <w:t>? (FSPR)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260AC" id="Rectangle 28" o:spid="_x0000_s1029" style="position:absolute;margin-left:139.6pt;margin-top:7.05pt;width:149pt;height:60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" fillcolor="#c5e1ee [671]" stroked="f" strokeweight="2pt">
                <v:textbox>
                  <w:txbxContent>
                    <w:p w14:paraId="4CD759FA" w14:textId="15D3D223" w:rsidR="005F6E6A" w:rsidRPr="00584253" w:rsidRDefault="005F6E6A" w:rsidP="00584253">
                      <w:pPr>
                        <w:spacing w:before="0"/>
                        <w:jc w:val="center"/>
                      </w:pPr>
                      <w:r w:rsidRPr="00584253">
                        <w:t xml:space="preserve">Are you registered on the </w:t>
                      </w:r>
                      <w:hyperlink r:id="rId32" w:history="1">
                        <w:r w:rsidRPr="00584253">
                          <w:rPr>
                            <w:rStyle w:val="Hyperlink"/>
                          </w:rPr>
                          <w:t xml:space="preserve">Financial </w:t>
                        </w:r>
                        <w:r>
                          <w:rPr>
                            <w:rStyle w:val="Hyperlink"/>
                          </w:rPr>
                          <w:t>S</w:t>
                        </w:r>
                        <w:r w:rsidRPr="00584253">
                          <w:rPr>
                            <w:rStyle w:val="Hyperlink"/>
                          </w:rPr>
                          <w:t xml:space="preserve">ervice </w:t>
                        </w:r>
                        <w:r>
                          <w:rPr>
                            <w:rStyle w:val="Hyperlink"/>
                          </w:rPr>
                          <w:t>P</w:t>
                        </w:r>
                        <w:r w:rsidRPr="00584253">
                          <w:rPr>
                            <w:rStyle w:val="Hyperlink"/>
                          </w:rPr>
                          <w:t xml:space="preserve">roviders </w:t>
                        </w:r>
                        <w:r>
                          <w:rPr>
                            <w:rStyle w:val="Hyperlink"/>
                          </w:rPr>
                          <w:t>R</w:t>
                        </w:r>
                        <w:r w:rsidRPr="00584253">
                          <w:rPr>
                            <w:rStyle w:val="Hyperlink"/>
                          </w:rPr>
                          <w:t>egister</w:t>
                        </w:r>
                      </w:hyperlink>
                      <w:r w:rsidRPr="00584253">
                        <w:t>? (FSPR)</w:t>
                      </w:r>
                    </w:p>
                  </w:txbxContent>
                </v:textbox>
              </v:rect>
            </w:pict>
          </mc:Fallback>
        </mc:AlternateContent>
      </w:r>
    </w:p>
    <w:p w14:paraId="70224923" w14:textId="463F4262" w:rsidR="007979E3" w:rsidRPr="007979E3" w:rsidRDefault="007E2F24" w:rsidP="007979E3">
      <w:pPr>
        <w:ind w:left="720" w:hanging="360"/>
      </w:pPr>
      <w:r w:rsidRPr="007979E3">
        <w:rPr>
          <w:noProof/>
        </w:rPr>
        <mc:AlternateContent>
          <mc:Choice Requires="wps">
            <w:drawing>
              <wp:anchor distT="0" distB="0" distL="114300" distR="114300" simplePos="0" relativeHeight="251568128" behindDoc="0" locked="0" layoutInCell="1" allowOverlap="1" wp14:anchorId="4EE56584" wp14:editId="0081778D">
                <wp:simplePos x="0" y="0"/>
                <wp:positionH relativeFrom="column">
                  <wp:posOffset>275748</wp:posOffset>
                </wp:positionH>
                <wp:positionV relativeFrom="paragraph">
                  <wp:posOffset>337028</wp:posOffset>
                </wp:positionV>
                <wp:extent cx="1717359" cy="1263832"/>
                <wp:effectExtent l="0" t="1905" r="0" b="0"/>
                <wp:wrapNone/>
                <wp:docPr id="13" name="Arrow: Bent 13"/>
                <wp:cNvGraphicFramePr/>
                <a:graphic xmlns:a="http://schemas.openxmlformats.org/drawingml/2006/main">
                  <a:graphicData uri="http://schemas.microsoft.com/office/word/2010/wordprocessingShape">
                    <wps:wsp>
                      <wps:cNvSpPr/>
                      <wps:spPr>
                        <a:xfrm rot="5400000" flipV="1">
                          <a:off x="0" y="0"/>
                          <a:ext cx="1717359" cy="1263832"/>
                        </a:xfrm>
                        <a:prstGeom prst="bentArrow">
                          <a:avLst>
                            <a:gd name="adj1" fmla="val 6465"/>
                            <a:gd name="adj2" fmla="val 11582"/>
                            <a:gd name="adj3" fmla="val 19578"/>
                            <a:gd name="adj4" fmla="val 0"/>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EF20" id="Arrow: Bent 13" o:spid="_x0000_s1026" style="position:absolute;margin-left:21.7pt;margin-top:26.55pt;width:135.25pt;height:99.5pt;rotation:-90;flip:y;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7359,126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" path="m,1263832l,105524r,l1469926,105524,1469926,r247433,146377l1469926,292754r,-105524l81707,187230r,l81707,1263832r-81707,xe" fillcolor="black [3213]" stroked="f" strokeweight="2pt">
                <v:path arrowok="t" o:connecttype="custom" o:connectlocs="0,1263832;0,105524;0,105524;1469926,105524;1469926,0;1717359,146377;1469926,292754;1469926,187230;81707,187230;81707,187230;81707,1263832;0,1263832" o:connectangles="0,0,0,0,0,0,0,0,0,0,0,0"/>
              </v:shape>
            </w:pict>
          </mc:Fallback>
        </mc:AlternateContent>
      </w:r>
    </w:p>
    <w:p w14:paraId="6E5CACE9" w14:textId="7417961A" w:rsidR="007979E3" w:rsidRPr="007979E3" w:rsidRDefault="007E2F24" w:rsidP="007979E3">
      <w:pPr>
        <w:ind w:left="720" w:hanging="360"/>
      </w:pPr>
      <w:r w:rsidRPr="007979E3">
        <w:rPr>
          <w:noProof/>
        </w:rPr>
        <mc:AlternateContent>
          <mc:Choice Requires="wps">
            <w:drawing>
              <wp:anchor distT="0" distB="0" distL="114300" distR="114300" simplePos="0" relativeHeight="251684864" behindDoc="0" locked="0" layoutInCell="1" allowOverlap="1" wp14:anchorId="42A093BE" wp14:editId="01D41459">
                <wp:simplePos x="0" y="0"/>
                <wp:positionH relativeFrom="column">
                  <wp:posOffset>2611029</wp:posOffset>
                </wp:positionH>
                <wp:positionV relativeFrom="paragraph">
                  <wp:posOffset>190500</wp:posOffset>
                </wp:positionV>
                <wp:extent cx="1323340" cy="788670"/>
                <wp:effectExtent l="0" t="0" r="0" b="0"/>
                <wp:wrapNone/>
                <wp:docPr id="22" name="Arrow: Bent-Up 22"/>
                <wp:cNvGraphicFramePr/>
                <a:graphic xmlns:a="http://schemas.openxmlformats.org/drawingml/2006/main">
                  <a:graphicData uri="http://schemas.microsoft.com/office/word/2010/wordprocessingShape">
                    <wps:wsp>
                      <wps:cNvSpPr/>
                      <wps:spPr>
                        <a:xfrm flipH="1">
                          <a:off x="0" y="0"/>
                          <a:ext cx="1323340" cy="788670"/>
                        </a:xfrm>
                        <a:prstGeom prst="bentUpArrow">
                          <a:avLst>
                            <a:gd name="adj1" fmla="val 10763"/>
                            <a:gd name="adj2" fmla="val 19119"/>
                            <a:gd name="adj3" fmla="val 36036"/>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1E2C6" id="Arrow: Bent-Up 22" o:spid="_x0000_s1026" style="position:absolute;margin-left:205.6pt;margin-top:15pt;width:104.2pt;height:62.1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3340,78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" path="m,703785r1130112,l1130112,284205r-108344,l1172554,r150786,284205l1214996,284205r,504465l,788670,,703785xe" fillcolor="black [3213]" stroked="f" strokeweight="2pt">
                <v:path arrowok="t" o:connecttype="custom" o:connectlocs="0,703785;1130112,703785;1130112,284205;1021768,284205;1172554,0;1323340,284205;1214996,284205;1214996,788670;0,788670;0,703785" o:connectangles="0,0,0,0,0,0,0,0,0,0"/>
              </v:shape>
            </w:pict>
          </mc:Fallback>
        </mc:AlternateContent>
      </w:r>
    </w:p>
    <w:p w14:paraId="746267BE" w14:textId="445F3E9C" w:rsidR="007979E3" w:rsidRPr="007979E3" w:rsidRDefault="0016625C" w:rsidP="007979E3">
      <w:pPr>
        <w:ind w:left="924" w:hanging="357"/>
      </w:pPr>
      <w:r w:rsidRPr="007979E3">
        <w:rPr>
          <w:noProof/>
        </w:rPr>
        <mc:AlternateContent>
          <mc:Choice Requires="wps">
            <w:drawing>
              <wp:anchor distT="0" distB="0" distL="114300" distR="114300" simplePos="0" relativeHeight="251703296" behindDoc="0" locked="0" layoutInCell="1" allowOverlap="1" wp14:anchorId="7A421D41" wp14:editId="401D4FAF">
                <wp:simplePos x="0" y="0"/>
                <wp:positionH relativeFrom="column">
                  <wp:posOffset>3928745</wp:posOffset>
                </wp:positionH>
                <wp:positionV relativeFrom="paragraph">
                  <wp:posOffset>22860</wp:posOffset>
                </wp:positionV>
                <wp:extent cx="2400300" cy="1228725"/>
                <wp:effectExtent l="0" t="0" r="0" b="9525"/>
                <wp:wrapNone/>
                <wp:docPr id="4" name="Rectangle 4"/>
                <wp:cNvGraphicFramePr/>
                <a:graphic xmlns:a="http://schemas.openxmlformats.org/drawingml/2006/main">
                  <a:graphicData uri="http://schemas.microsoft.com/office/word/2010/wordprocessingShape">
                    <wps:wsp>
                      <wps:cNvSpPr/>
                      <wps:spPr>
                        <a:xfrm>
                          <a:off x="0" y="0"/>
                          <a:ext cx="2400300" cy="1228725"/>
                        </a:xfrm>
                        <a:prstGeom prst="rect">
                          <a:avLst/>
                        </a:prstGeom>
                        <a:solidFill>
                          <a:schemeClr val="tx2">
                            <a:lumMod val="20000"/>
                            <a:lumOff val="80000"/>
                          </a:schemeClr>
                        </a:solidFill>
                        <a:ln w="25400" cap="flat" cmpd="sng" algn="ctr">
                          <a:noFill/>
                          <a:prstDash val="solid"/>
                        </a:ln>
                        <a:effectLst/>
                      </wps:spPr>
                      <wps:txbx>
                        <w:txbxContent>
                          <w:p w14:paraId="7CA3A428" w14:textId="2CCEAB91" w:rsidR="005F6E6A" w:rsidRPr="00584253" w:rsidRDefault="005F6E6A" w:rsidP="00584253">
                            <w:pPr>
                              <w:spacing w:before="0"/>
                              <w:jc w:val="center"/>
                            </w:pPr>
                            <w:r w:rsidRPr="00584253">
                              <w:t>You must register on the FSPR. Remaining unregistered is potentially an offence under the F</w:t>
                            </w:r>
                            <w:r>
                              <w:t xml:space="preserve">inancial </w:t>
                            </w:r>
                            <w:r w:rsidRPr="00584253">
                              <w:t>S</w:t>
                            </w:r>
                            <w:r>
                              <w:t xml:space="preserve">ervice </w:t>
                            </w:r>
                            <w:r w:rsidRPr="00584253">
                              <w:t>P</w:t>
                            </w:r>
                            <w:r>
                              <w:t>roviders</w:t>
                            </w:r>
                            <w:r w:rsidRPr="00584253">
                              <w:t xml:space="preserve"> </w:t>
                            </w:r>
                            <w:r>
                              <w:t xml:space="preserve">(Registration and Dispute </w:t>
                            </w:r>
                            <w:proofErr w:type="gramStart"/>
                            <w:r>
                              <w:t>Resolution)</w:t>
                            </w:r>
                            <w:r w:rsidRPr="00584253">
                              <w:t>Act</w:t>
                            </w:r>
                            <w:proofErr w:type="gramEnd"/>
                            <w:r>
                              <w:t xml:space="preserve"> 2008</w:t>
                            </w:r>
                            <w:r w:rsidRPr="00584253">
                              <w:t>.</w:t>
                            </w:r>
                          </w:p>
                          <w:p w14:paraId="2CDD98A8" w14:textId="77777777" w:rsidR="005F6E6A" w:rsidRPr="0034574E" w:rsidRDefault="005F6E6A" w:rsidP="007979E3">
                            <w:pPr>
                              <w:jc w:val="center"/>
                              <w:rPr>
                                <w:sz w:val="22"/>
                              </w:rPr>
                            </w:pPr>
                            <w:r w:rsidRPr="0034574E">
                              <w:rPr>
                                <w:sz w:val="22"/>
                              </w:rPr>
                              <w:t xml:space="preserve"> Interim supervisor will be 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21D41" id="Rectangle 4" o:spid="_x0000_s1030" style="position:absolute;left:0;text-align:left;margin-left:309.35pt;margin-top:1.8pt;width:189pt;height:9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" fillcolor="#c5e1ee [671]" stroked="f" strokeweight="2pt">
                <v:textbox>
                  <w:txbxContent>
                    <w:p w14:paraId="7CA3A428" w14:textId="2CCEAB91" w:rsidR="005F6E6A" w:rsidRPr="00584253" w:rsidRDefault="005F6E6A" w:rsidP="00584253">
                      <w:pPr>
                        <w:spacing w:before="0"/>
                        <w:jc w:val="center"/>
                      </w:pPr>
                      <w:r w:rsidRPr="00584253">
                        <w:t>You must register on the FSPR. Remaining unregistered is potentially an offence under the F</w:t>
                      </w:r>
                      <w:r>
                        <w:t xml:space="preserve">inancial </w:t>
                      </w:r>
                      <w:r w:rsidRPr="00584253">
                        <w:t>S</w:t>
                      </w:r>
                      <w:r>
                        <w:t xml:space="preserve">ervice </w:t>
                      </w:r>
                      <w:r w:rsidRPr="00584253">
                        <w:t>P</w:t>
                      </w:r>
                      <w:r>
                        <w:t>roviders</w:t>
                      </w:r>
                      <w:r w:rsidRPr="00584253">
                        <w:t xml:space="preserve"> </w:t>
                      </w:r>
                      <w:r>
                        <w:t xml:space="preserve">(Registration and Dispute </w:t>
                      </w:r>
                      <w:proofErr w:type="gramStart"/>
                      <w:r>
                        <w:t>Resolution)</w:t>
                      </w:r>
                      <w:r w:rsidRPr="00584253">
                        <w:t>Act</w:t>
                      </w:r>
                      <w:proofErr w:type="gramEnd"/>
                      <w:r>
                        <w:t xml:space="preserve"> 2008</w:t>
                      </w:r>
                      <w:r w:rsidRPr="00584253">
                        <w:t>.</w:t>
                      </w:r>
                    </w:p>
                    <w:p w14:paraId="2CDD98A8" w14:textId="77777777" w:rsidR="005F6E6A" w:rsidRPr="0034574E" w:rsidRDefault="005F6E6A" w:rsidP="007979E3">
                      <w:pPr>
                        <w:jc w:val="center"/>
                        <w:rPr>
                          <w:sz w:val="22"/>
                        </w:rPr>
                      </w:pPr>
                      <w:r w:rsidRPr="0034574E">
                        <w:rPr>
                          <w:sz w:val="22"/>
                        </w:rPr>
                        <w:t xml:space="preserve"> Interim supervisor will be DIA.</w:t>
                      </w:r>
                    </w:p>
                  </w:txbxContent>
                </v:textbox>
              </v:rect>
            </w:pict>
          </mc:Fallback>
        </mc:AlternateContent>
      </w:r>
      <w:r w:rsidR="00BD2521" w:rsidRPr="007979E3">
        <w:rPr>
          <w:noProof/>
        </w:rPr>
        <mc:AlternateContent>
          <mc:Choice Requires="wps">
            <w:drawing>
              <wp:anchor distT="0" distB="0" distL="114300" distR="114300" simplePos="0" relativeHeight="251589632" behindDoc="0" locked="0" layoutInCell="1" allowOverlap="1" wp14:anchorId="04076D17" wp14:editId="3F86B823">
                <wp:simplePos x="0" y="0"/>
                <wp:positionH relativeFrom="column">
                  <wp:posOffset>2779849</wp:posOffset>
                </wp:positionH>
                <wp:positionV relativeFrom="paragraph">
                  <wp:posOffset>202746</wp:posOffset>
                </wp:positionV>
                <wp:extent cx="1311910" cy="3536950"/>
                <wp:effectExtent l="0" t="7620" r="0" b="0"/>
                <wp:wrapNone/>
                <wp:docPr id="18" name="Arrow: Bent 18"/>
                <wp:cNvGraphicFramePr/>
                <a:graphic xmlns:a="http://schemas.openxmlformats.org/drawingml/2006/main">
                  <a:graphicData uri="http://schemas.microsoft.com/office/word/2010/wordprocessingShape">
                    <wps:wsp>
                      <wps:cNvSpPr/>
                      <wps:spPr>
                        <a:xfrm rot="5400000">
                          <a:off x="0" y="0"/>
                          <a:ext cx="1311910" cy="3536950"/>
                        </a:xfrm>
                        <a:prstGeom prst="bentArrow">
                          <a:avLst>
                            <a:gd name="adj1" fmla="val 6879"/>
                            <a:gd name="adj2" fmla="val 11982"/>
                            <a:gd name="adj3" fmla="val 19695"/>
                            <a:gd name="adj4" fmla="val 0"/>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09A67" id="Arrow: Bent 18" o:spid="_x0000_s1026" style="position:absolute;margin-left:218.9pt;margin-top:15.95pt;width:103.3pt;height:278.5pt;rotation:9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1910,353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" path="m,3536950l,112070r,l1053529,112070,1053529,r258381,157193l1053529,314386r,-112070l90246,202316r,l90246,3536950r-90246,xe" fillcolor="black [3213]" stroked="f" strokeweight="2pt">
                <v:path arrowok="t" o:connecttype="custom" o:connectlocs="0,3536950;0,112070;0,112070;1053529,112070;1053529,0;1311910,157193;1053529,314386;1053529,202316;90246,202316;90246,202316;90246,3536950;0,3536950" o:connectangles="0,0,0,0,0,0,0,0,0,0,0,0"/>
              </v:shape>
            </w:pict>
          </mc:Fallback>
        </mc:AlternateContent>
      </w:r>
    </w:p>
    <w:p w14:paraId="7E32E306" w14:textId="04BF87FF" w:rsidR="007979E3" w:rsidRPr="007979E3" w:rsidRDefault="007979E3" w:rsidP="007979E3">
      <w:pPr>
        <w:ind w:left="924" w:hanging="357"/>
      </w:pPr>
    </w:p>
    <w:p w14:paraId="013C58E4" w14:textId="130359CC" w:rsidR="007979E3" w:rsidRPr="007979E3" w:rsidRDefault="007979E3" w:rsidP="007979E3">
      <w:pPr>
        <w:ind w:left="924" w:hanging="357"/>
      </w:pPr>
    </w:p>
    <w:p w14:paraId="032AD21D" w14:textId="02989678" w:rsidR="007979E3" w:rsidRPr="007979E3" w:rsidRDefault="006C0983" w:rsidP="007979E3">
      <w:pPr>
        <w:ind w:left="924" w:hanging="357"/>
      </w:pPr>
      <w:r w:rsidRPr="007979E3">
        <w:rPr>
          <w:noProof/>
        </w:rPr>
        <mc:AlternateContent>
          <mc:Choice Requires="wps">
            <w:drawing>
              <wp:anchor distT="0" distB="0" distL="114300" distR="114300" simplePos="0" relativeHeight="251693056" behindDoc="0" locked="0" layoutInCell="1" allowOverlap="1" wp14:anchorId="731EA95B" wp14:editId="2E52F3DA">
                <wp:simplePos x="0" y="0"/>
                <wp:positionH relativeFrom="column">
                  <wp:posOffset>-405130</wp:posOffset>
                </wp:positionH>
                <wp:positionV relativeFrom="paragraph">
                  <wp:posOffset>132079</wp:posOffset>
                </wp:positionV>
                <wp:extent cx="2187575" cy="676275"/>
                <wp:effectExtent l="0" t="0" r="3175" b="9525"/>
                <wp:wrapNone/>
                <wp:docPr id="7" name="Rectangle 7"/>
                <wp:cNvGraphicFramePr/>
                <a:graphic xmlns:a="http://schemas.openxmlformats.org/drawingml/2006/main">
                  <a:graphicData uri="http://schemas.microsoft.com/office/word/2010/wordprocessingShape">
                    <wps:wsp>
                      <wps:cNvSpPr/>
                      <wps:spPr>
                        <a:xfrm>
                          <a:off x="0" y="0"/>
                          <a:ext cx="2187575" cy="676275"/>
                        </a:xfrm>
                        <a:prstGeom prst="rect">
                          <a:avLst/>
                        </a:prstGeom>
                        <a:solidFill>
                          <a:schemeClr val="tx2">
                            <a:lumMod val="20000"/>
                            <a:lumOff val="80000"/>
                          </a:schemeClr>
                        </a:solidFill>
                        <a:ln w="25400" cap="flat" cmpd="sng" algn="ctr">
                          <a:noFill/>
                          <a:prstDash val="solid"/>
                        </a:ln>
                        <a:effectLst/>
                      </wps:spPr>
                      <wps:txbx>
                        <w:txbxContent>
                          <w:p w14:paraId="4C361DE7" w14:textId="5104C844" w:rsidR="005F6E6A" w:rsidRPr="00584253" w:rsidRDefault="005F6E6A" w:rsidP="00584253">
                            <w:pPr>
                              <w:spacing w:before="0"/>
                              <w:jc w:val="center"/>
                            </w:pPr>
                            <w:r w:rsidRPr="00584253">
                              <w:t xml:space="preserve">What service(s) are you registered to provide on the FSPR? </w:t>
                            </w:r>
                          </w:p>
                          <w:p w14:paraId="5325FB96" w14:textId="26201EFF" w:rsidR="005F6E6A" w:rsidRDefault="005F6E6A" w:rsidP="00584253">
                            <w:pPr>
                              <w:spacing w:befor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EA95B" id="Rectangle 7" o:spid="_x0000_s1031" style="position:absolute;left:0;text-align:left;margin-left:-31.9pt;margin-top:10.4pt;width:172.25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" fillcolor="#c5e1ee [671]" stroked="f" strokeweight="2pt">
                <v:textbox>
                  <w:txbxContent>
                    <w:p w14:paraId="4C361DE7" w14:textId="5104C844" w:rsidR="005F6E6A" w:rsidRPr="00584253" w:rsidRDefault="005F6E6A" w:rsidP="00584253">
                      <w:pPr>
                        <w:spacing w:before="0"/>
                        <w:jc w:val="center"/>
                      </w:pPr>
                      <w:r w:rsidRPr="00584253">
                        <w:t xml:space="preserve">What service(s) are you registered to provide on the FSPR? </w:t>
                      </w:r>
                    </w:p>
                    <w:p w14:paraId="5325FB96" w14:textId="26201EFF" w:rsidR="005F6E6A" w:rsidRDefault="005F6E6A" w:rsidP="00584253">
                      <w:pPr>
                        <w:spacing w:before="0"/>
                        <w:jc w:val="center"/>
                      </w:pPr>
                    </w:p>
                  </w:txbxContent>
                </v:textbox>
              </v:rect>
            </w:pict>
          </mc:Fallback>
        </mc:AlternateContent>
      </w:r>
    </w:p>
    <w:p w14:paraId="1CCB4741" w14:textId="1BD3A49E" w:rsidR="007979E3" w:rsidRPr="007979E3" w:rsidRDefault="007E2F24" w:rsidP="007979E3">
      <w:pPr>
        <w:ind w:left="924" w:hanging="357"/>
      </w:pPr>
      <w:r w:rsidRPr="007979E3">
        <w:rPr>
          <w:noProof/>
        </w:rPr>
        <mc:AlternateContent>
          <mc:Choice Requires="wps">
            <w:drawing>
              <wp:anchor distT="0" distB="0" distL="114300" distR="114300" simplePos="0" relativeHeight="251617280" behindDoc="0" locked="0" layoutInCell="1" allowOverlap="1" wp14:anchorId="24534C55" wp14:editId="3F61C391">
                <wp:simplePos x="0" y="0"/>
                <wp:positionH relativeFrom="column">
                  <wp:posOffset>1783533</wp:posOffset>
                </wp:positionH>
                <wp:positionV relativeFrom="paragraph">
                  <wp:posOffset>62322</wp:posOffset>
                </wp:positionV>
                <wp:extent cx="1087755" cy="1316717"/>
                <wp:effectExtent l="0" t="0" r="0" b="0"/>
                <wp:wrapNone/>
                <wp:docPr id="20" name="Arrow: Bent 20"/>
                <wp:cNvGraphicFramePr/>
                <a:graphic xmlns:a="http://schemas.openxmlformats.org/drawingml/2006/main">
                  <a:graphicData uri="http://schemas.microsoft.com/office/word/2010/wordprocessingShape">
                    <wps:wsp>
                      <wps:cNvSpPr/>
                      <wps:spPr>
                        <a:xfrm rot="5400000">
                          <a:off x="0" y="0"/>
                          <a:ext cx="1087755" cy="1316717"/>
                        </a:xfrm>
                        <a:prstGeom prst="bentArrow">
                          <a:avLst>
                            <a:gd name="adj1" fmla="val 8497"/>
                            <a:gd name="adj2" fmla="val 15143"/>
                            <a:gd name="adj3" fmla="val 25270"/>
                            <a:gd name="adj4" fmla="val 0"/>
                          </a:avLst>
                        </a:prstGeom>
                        <a:solidFill>
                          <a:schemeClr val="tx1"/>
                        </a:solidFill>
                        <a:ln w="25400" cap="flat" cmpd="sng" algn="ctr">
                          <a:noFill/>
                          <a:prstDash val="solid"/>
                        </a:ln>
                        <a:effectLst/>
                      </wps:spPr>
                      <wps:txbx>
                        <w:txbxContent>
                          <w:p w14:paraId="08D7E7E7" w14:textId="3139822D" w:rsidR="005F6E6A" w:rsidRDefault="005F6E6A" w:rsidP="00651A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4C55" id="Arrow: Bent 20" o:spid="_x0000_s1032" style="position:absolute;left:0;text-align:left;margin-left:140.45pt;margin-top:4.9pt;width:85.65pt;height:103.7pt;rotation:9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7755,13167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" adj="-11796480,,5400" path="m,1316717l,118505r,l812879,118505,812879,r274876,164719l812879,329437r,-118505l92427,210932r,l92427,1316717r-92427,xe" fillcolor="black [3213]" stroked="f" strokeweight="2pt">
                <v:stroke joinstyle="miter"/>
                <v:formulas/>
                <v:path arrowok="t" o:connecttype="custom" o:connectlocs="0,1316717;0,118505;0,118505;812879,118505;812879,0;1087755,164719;812879,329437;812879,210932;92427,210932;92427,210932;92427,1316717;0,1316717" o:connectangles="0,0,0,0,0,0,0,0,0,0,0,0" textboxrect="0,0,1087755,1316717"/>
                <v:textbox>
                  <w:txbxContent>
                    <w:p w14:paraId="08D7E7E7" w14:textId="3139822D" w:rsidR="005F6E6A" w:rsidRDefault="005F6E6A" w:rsidP="00651A80">
                      <w:pPr>
                        <w:jc w:val="center"/>
                      </w:pPr>
                      <w:r>
                        <w:t xml:space="preserve"> </w:t>
                      </w:r>
                    </w:p>
                  </w:txbxContent>
                </v:textbox>
              </v:shape>
            </w:pict>
          </mc:Fallback>
        </mc:AlternateContent>
      </w:r>
    </w:p>
    <w:p w14:paraId="3D7947BD" w14:textId="2D9FCADF" w:rsidR="007979E3" w:rsidRPr="007979E3" w:rsidRDefault="00651A80" w:rsidP="007979E3">
      <w:pPr>
        <w:ind w:left="924" w:hanging="357"/>
      </w:pPr>
      <w:r w:rsidRPr="007979E3">
        <w:rPr>
          <w:noProof/>
        </w:rPr>
        <mc:AlternateContent>
          <mc:Choice Requires="wps">
            <w:drawing>
              <wp:anchor distT="0" distB="0" distL="114300" distR="114300" simplePos="0" relativeHeight="251597824" behindDoc="0" locked="0" layoutInCell="1" allowOverlap="1" wp14:anchorId="4C7CD292" wp14:editId="2498758F">
                <wp:simplePos x="0" y="0"/>
                <wp:positionH relativeFrom="column">
                  <wp:posOffset>486954</wp:posOffset>
                </wp:positionH>
                <wp:positionV relativeFrom="paragraph">
                  <wp:posOffset>65405</wp:posOffset>
                </wp:positionV>
                <wp:extent cx="336550" cy="881380"/>
                <wp:effectExtent l="0" t="0" r="6350" b="0"/>
                <wp:wrapNone/>
                <wp:docPr id="19" name="Arrow: Down 19"/>
                <wp:cNvGraphicFramePr/>
                <a:graphic xmlns:a="http://schemas.openxmlformats.org/drawingml/2006/main">
                  <a:graphicData uri="http://schemas.microsoft.com/office/word/2010/wordprocessingShape">
                    <wps:wsp>
                      <wps:cNvSpPr/>
                      <wps:spPr>
                        <a:xfrm>
                          <a:off x="0" y="0"/>
                          <a:ext cx="336550" cy="881380"/>
                        </a:xfrm>
                        <a:prstGeom prst="downArrow">
                          <a:avLst>
                            <a:gd name="adj1" fmla="val 31484"/>
                            <a:gd name="adj2" fmla="val 79022"/>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B13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38.35pt;margin-top:5.15pt;width:26.5pt;height:69.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" adj="15082,7400" fillcolor="black [3213]" stroked="f" strokeweight="2pt"/>
            </w:pict>
          </mc:Fallback>
        </mc:AlternateContent>
      </w:r>
    </w:p>
    <w:p w14:paraId="70C1F4E9" w14:textId="0D3A1D45" w:rsidR="007979E3" w:rsidRPr="007979E3" w:rsidRDefault="007979E3" w:rsidP="007979E3">
      <w:pPr>
        <w:ind w:left="924" w:hanging="357"/>
      </w:pPr>
    </w:p>
    <w:p w14:paraId="5BDD8FAB" w14:textId="16D2B6D3" w:rsidR="007979E3" w:rsidRPr="007979E3" w:rsidRDefault="00A53F7B" w:rsidP="007979E3">
      <w:pPr>
        <w:ind w:left="924" w:hanging="357"/>
      </w:pPr>
      <w:r w:rsidRPr="007979E3">
        <w:rPr>
          <w:noProof/>
        </w:rPr>
        <mc:AlternateContent>
          <mc:Choice Requires="wps">
            <w:drawing>
              <wp:anchor distT="0" distB="0" distL="114300" distR="114300" simplePos="0" relativeHeight="251579392" behindDoc="0" locked="0" layoutInCell="1" allowOverlap="1" wp14:anchorId="3137AF6D" wp14:editId="07E2A74D">
                <wp:simplePos x="0" y="0"/>
                <wp:positionH relativeFrom="column">
                  <wp:posOffset>-433705</wp:posOffset>
                </wp:positionH>
                <wp:positionV relativeFrom="paragraph">
                  <wp:posOffset>267970</wp:posOffset>
                </wp:positionV>
                <wp:extent cx="2217420" cy="3181350"/>
                <wp:effectExtent l="0" t="0" r="0" b="0"/>
                <wp:wrapNone/>
                <wp:docPr id="8" name="Rectangle 8"/>
                <wp:cNvGraphicFramePr/>
                <a:graphic xmlns:a="http://schemas.openxmlformats.org/drawingml/2006/main">
                  <a:graphicData uri="http://schemas.microsoft.com/office/word/2010/wordprocessingShape">
                    <wps:wsp>
                      <wps:cNvSpPr/>
                      <wps:spPr>
                        <a:xfrm>
                          <a:off x="0" y="0"/>
                          <a:ext cx="2217420" cy="3181350"/>
                        </a:xfrm>
                        <a:prstGeom prst="rect">
                          <a:avLst/>
                        </a:prstGeom>
                        <a:solidFill>
                          <a:srgbClr val="8EC5DE"/>
                        </a:solidFill>
                        <a:ln w="25400" cap="flat" cmpd="sng" algn="ctr">
                          <a:noFill/>
                          <a:prstDash val="solid"/>
                        </a:ln>
                        <a:effectLst/>
                      </wps:spPr>
                      <wps:txbx>
                        <w:txbxContent>
                          <w:p w14:paraId="7335E261" w14:textId="02A3BF30" w:rsidR="005F6E6A" w:rsidRPr="006C0983" w:rsidRDefault="005F6E6A" w:rsidP="007979E3">
                            <w:r w:rsidRPr="006C0983">
                              <w:t>DIA Services include:</w:t>
                            </w:r>
                          </w:p>
                          <w:p w14:paraId="0095B5CB" w14:textId="77777777" w:rsidR="005F6E6A" w:rsidRPr="006C0983" w:rsidRDefault="005F6E6A" w:rsidP="006C0983">
                            <w:pPr>
                              <w:pStyle w:val="ListParagraph"/>
                              <w:numPr>
                                <w:ilvl w:val="0"/>
                                <w:numId w:val="24"/>
                              </w:numPr>
                              <w:ind w:left="426" w:hanging="426"/>
                            </w:pPr>
                            <w:r w:rsidRPr="006C0983">
                              <w:rPr>
                                <w:b/>
                              </w:rPr>
                              <w:t>Issuing or managing means of payment</w:t>
                            </w:r>
                            <w:r w:rsidRPr="006C0983">
                              <w:t xml:space="preserve"> – i.e. most virtual asset issuers</w:t>
                            </w:r>
                          </w:p>
                          <w:p w14:paraId="0A6BEDB6" w14:textId="77777777" w:rsidR="005F6E6A" w:rsidRPr="006C0983" w:rsidRDefault="005F6E6A" w:rsidP="006C0983">
                            <w:pPr>
                              <w:pStyle w:val="ListParagraph"/>
                              <w:numPr>
                                <w:ilvl w:val="0"/>
                                <w:numId w:val="24"/>
                              </w:numPr>
                              <w:ind w:left="426" w:hanging="426"/>
                            </w:pPr>
                            <w:r w:rsidRPr="006C0983">
                              <w:rPr>
                                <w:b/>
                              </w:rPr>
                              <w:t>Transferring money, or value for, or on behalf of a customer</w:t>
                            </w:r>
                            <w:r w:rsidRPr="006C0983">
                              <w:t xml:space="preserve"> – i.e. most virtual asset exchanges</w:t>
                            </w:r>
                          </w:p>
                          <w:p w14:paraId="698B2519" w14:textId="5EEA4A29" w:rsidR="005F6E6A" w:rsidRPr="006C0983" w:rsidRDefault="005F6E6A" w:rsidP="006C0983">
                            <w:pPr>
                              <w:pStyle w:val="ListParagraph"/>
                              <w:numPr>
                                <w:ilvl w:val="0"/>
                                <w:numId w:val="24"/>
                              </w:numPr>
                              <w:ind w:left="426" w:hanging="426"/>
                            </w:pPr>
                            <w:r w:rsidRPr="006C0983">
                              <w:t>Anything else not specifically supervised by FMA</w:t>
                            </w:r>
                          </w:p>
                          <w:p w14:paraId="5D2BE9CD" w14:textId="001E19C7" w:rsidR="005F6E6A" w:rsidRDefault="005F6E6A" w:rsidP="006C0983">
                            <w:pPr>
                              <w:rPr>
                                <w:color w:val="FFFFFF" w:themeColor="background1"/>
                              </w:rPr>
                            </w:pPr>
                          </w:p>
                          <w:p w14:paraId="1DCFA376" w14:textId="77777777" w:rsidR="005F6E6A" w:rsidRPr="006C0983" w:rsidRDefault="005F6E6A" w:rsidP="006C0983">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7AF6D" id="Rectangle 8" o:spid="_x0000_s1033" style="position:absolute;left:0;text-align:left;margin-left:-34.15pt;margin-top:21.1pt;width:174.6pt;height:25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" fillcolor="#8ec5de" stroked="f" strokeweight="2pt">
                <v:textbox>
                  <w:txbxContent>
                    <w:p w14:paraId="7335E261" w14:textId="02A3BF30" w:rsidR="005F6E6A" w:rsidRPr="006C0983" w:rsidRDefault="005F6E6A" w:rsidP="007979E3">
                      <w:r w:rsidRPr="006C0983">
                        <w:t>DIA Services include:</w:t>
                      </w:r>
                    </w:p>
                    <w:p w14:paraId="0095B5CB" w14:textId="77777777" w:rsidR="005F6E6A" w:rsidRPr="006C0983" w:rsidRDefault="005F6E6A" w:rsidP="006C0983">
                      <w:pPr>
                        <w:pStyle w:val="ListParagraph"/>
                        <w:numPr>
                          <w:ilvl w:val="0"/>
                          <w:numId w:val="24"/>
                        </w:numPr>
                        <w:ind w:left="426" w:hanging="426"/>
                      </w:pPr>
                      <w:r w:rsidRPr="006C0983">
                        <w:rPr>
                          <w:b/>
                        </w:rPr>
                        <w:t>Issuing or managing means of payment</w:t>
                      </w:r>
                      <w:r w:rsidRPr="006C0983">
                        <w:t xml:space="preserve"> – i.e. most virtual asset issuers</w:t>
                      </w:r>
                    </w:p>
                    <w:p w14:paraId="0A6BEDB6" w14:textId="77777777" w:rsidR="005F6E6A" w:rsidRPr="006C0983" w:rsidRDefault="005F6E6A" w:rsidP="006C0983">
                      <w:pPr>
                        <w:pStyle w:val="ListParagraph"/>
                        <w:numPr>
                          <w:ilvl w:val="0"/>
                          <w:numId w:val="24"/>
                        </w:numPr>
                        <w:ind w:left="426" w:hanging="426"/>
                      </w:pPr>
                      <w:r w:rsidRPr="006C0983">
                        <w:rPr>
                          <w:b/>
                        </w:rPr>
                        <w:t>Transferring money, or value for, or on behalf of a customer</w:t>
                      </w:r>
                      <w:r w:rsidRPr="006C0983">
                        <w:t xml:space="preserve"> – i.e. most virtual asset exchanges</w:t>
                      </w:r>
                    </w:p>
                    <w:p w14:paraId="698B2519" w14:textId="5EEA4A29" w:rsidR="005F6E6A" w:rsidRPr="006C0983" w:rsidRDefault="005F6E6A" w:rsidP="006C0983">
                      <w:pPr>
                        <w:pStyle w:val="ListParagraph"/>
                        <w:numPr>
                          <w:ilvl w:val="0"/>
                          <w:numId w:val="24"/>
                        </w:numPr>
                        <w:ind w:left="426" w:hanging="426"/>
                      </w:pPr>
                      <w:r w:rsidRPr="006C0983">
                        <w:t>Anything else not specifically supervised by FMA</w:t>
                      </w:r>
                    </w:p>
                    <w:p w14:paraId="5D2BE9CD" w14:textId="001E19C7" w:rsidR="005F6E6A" w:rsidRDefault="005F6E6A" w:rsidP="006C0983">
                      <w:pPr>
                        <w:rPr>
                          <w:color w:val="FFFFFF" w:themeColor="background1"/>
                        </w:rPr>
                      </w:pPr>
                    </w:p>
                    <w:p w14:paraId="1DCFA376" w14:textId="77777777" w:rsidR="005F6E6A" w:rsidRPr="006C0983" w:rsidRDefault="005F6E6A" w:rsidP="006C0983">
                      <w:pPr>
                        <w:rPr>
                          <w:color w:val="FFFFFF" w:themeColor="background1"/>
                        </w:rPr>
                      </w:pPr>
                    </w:p>
                  </w:txbxContent>
                </v:textbox>
              </v:rect>
            </w:pict>
          </mc:Fallback>
        </mc:AlternateContent>
      </w:r>
      <w:r w:rsidRPr="007979E3">
        <w:rPr>
          <w:noProof/>
        </w:rPr>
        <mc:AlternateContent>
          <mc:Choice Requires="wps">
            <w:drawing>
              <wp:anchor distT="0" distB="0" distL="114300" distR="114300" simplePos="0" relativeHeight="251559936" behindDoc="0" locked="0" layoutInCell="1" allowOverlap="1" wp14:anchorId="00C0C56F" wp14:editId="1D38D8DE">
                <wp:simplePos x="0" y="0"/>
                <wp:positionH relativeFrom="column">
                  <wp:posOffset>3890645</wp:posOffset>
                </wp:positionH>
                <wp:positionV relativeFrom="paragraph">
                  <wp:posOffset>277494</wp:posOffset>
                </wp:positionV>
                <wp:extent cx="2486025" cy="3171825"/>
                <wp:effectExtent l="0" t="0" r="9525" b="9525"/>
                <wp:wrapNone/>
                <wp:docPr id="14" name="Rectangle 14"/>
                <wp:cNvGraphicFramePr/>
                <a:graphic xmlns:a="http://schemas.openxmlformats.org/drawingml/2006/main">
                  <a:graphicData uri="http://schemas.microsoft.com/office/word/2010/wordprocessingShape">
                    <wps:wsp>
                      <wps:cNvSpPr/>
                      <wps:spPr>
                        <a:xfrm>
                          <a:off x="0" y="0"/>
                          <a:ext cx="2486025" cy="3171825"/>
                        </a:xfrm>
                        <a:prstGeom prst="rect">
                          <a:avLst/>
                        </a:prstGeom>
                        <a:solidFill>
                          <a:schemeClr val="accent4">
                            <a:lumMod val="60000"/>
                            <a:lumOff val="40000"/>
                          </a:schemeClr>
                        </a:solidFill>
                        <a:ln w="25400" cap="flat" cmpd="sng" algn="ctr">
                          <a:noFill/>
                          <a:prstDash val="solid"/>
                        </a:ln>
                        <a:effectLst/>
                      </wps:spPr>
                      <wps:txbx>
                        <w:txbxContent>
                          <w:p w14:paraId="5D9C4704" w14:textId="77777777" w:rsidR="005F6E6A" w:rsidRPr="00151194" w:rsidRDefault="005F6E6A" w:rsidP="007979E3">
                            <w:r w:rsidRPr="00151194">
                              <w:t>FMA Services include:</w:t>
                            </w:r>
                          </w:p>
                          <w:p w14:paraId="4F5D5080" w14:textId="77777777" w:rsidR="005F6E6A" w:rsidRPr="00151194" w:rsidRDefault="005F6E6A" w:rsidP="000D3935">
                            <w:pPr>
                              <w:pStyle w:val="ListParagraph"/>
                              <w:numPr>
                                <w:ilvl w:val="0"/>
                                <w:numId w:val="23"/>
                              </w:numPr>
                              <w:ind w:left="360"/>
                            </w:pPr>
                            <w:r w:rsidRPr="00151194">
                              <w:t xml:space="preserve">Providing a “licensed market service” (i.e. entity is licensed by the FMA to provide that service).  Licensed entities are listed </w:t>
                            </w:r>
                            <w:hyperlink r:id="rId33" w:history="1">
                              <w:r w:rsidRPr="00151194">
                                <w:rPr>
                                  <w:rStyle w:val="Hyperlink"/>
                                </w:rPr>
                                <w:t>here</w:t>
                              </w:r>
                            </w:hyperlink>
                            <w:r w:rsidRPr="00151194">
                              <w:t xml:space="preserve">. </w:t>
                            </w:r>
                          </w:p>
                          <w:p w14:paraId="49E6157E" w14:textId="63590465" w:rsidR="005F6E6A" w:rsidRPr="00151194" w:rsidRDefault="005F6E6A" w:rsidP="000D3935">
                            <w:pPr>
                              <w:pStyle w:val="ListParagraph"/>
                              <w:numPr>
                                <w:ilvl w:val="0"/>
                                <w:numId w:val="23"/>
                              </w:numPr>
                              <w:ind w:left="360"/>
                            </w:pPr>
                            <w:r>
                              <w:t>P</w:t>
                            </w:r>
                            <w:r w:rsidRPr="00151194">
                              <w:t>articipating in a F</w:t>
                            </w:r>
                            <w:r>
                              <w:t xml:space="preserve">inancial </w:t>
                            </w:r>
                            <w:r w:rsidRPr="00151194">
                              <w:t>M</w:t>
                            </w:r>
                            <w:r>
                              <w:t xml:space="preserve">arkets </w:t>
                            </w:r>
                            <w:r w:rsidRPr="00151194">
                              <w:t>C</w:t>
                            </w:r>
                            <w:r>
                              <w:t>onduct</w:t>
                            </w:r>
                            <w:r w:rsidRPr="00151194">
                              <w:t xml:space="preserve"> offer as the issuer or offeror of the financial products  </w:t>
                            </w:r>
                          </w:p>
                          <w:p w14:paraId="38EB2C57" w14:textId="040CFF17" w:rsidR="005F6E6A" w:rsidRPr="00151194" w:rsidRDefault="005F6E6A" w:rsidP="000D3935">
                            <w:pPr>
                              <w:pStyle w:val="ListParagraph"/>
                              <w:numPr>
                                <w:ilvl w:val="0"/>
                                <w:numId w:val="23"/>
                              </w:numPr>
                              <w:ind w:left="360"/>
                            </w:pPr>
                            <w:r>
                              <w:t>K</w:t>
                            </w:r>
                            <w:r w:rsidRPr="00151194">
                              <w:t>eeping, investing, administering, or managing money, securities, or investment portfolios on behalf of other persons</w:t>
                            </w:r>
                            <w:r w:rsidRPr="00151194" w:rsidDel="00DD6B0F">
                              <w:t xml:space="preserve"> </w:t>
                            </w:r>
                          </w:p>
                          <w:p w14:paraId="3110C598" w14:textId="77777777" w:rsidR="005F6E6A" w:rsidRDefault="005F6E6A" w:rsidP="00797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0C56F" id="Rectangle 14" o:spid="_x0000_s1034" style="position:absolute;left:0;text-align:left;margin-left:306.35pt;margin-top:21.85pt;width:195.75pt;height:249.7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" fillcolor="#92cc63 [1943]" stroked="f" strokeweight="2pt">
                <v:textbox>
                  <w:txbxContent>
                    <w:p w14:paraId="5D9C4704" w14:textId="77777777" w:rsidR="005F6E6A" w:rsidRPr="00151194" w:rsidRDefault="005F6E6A" w:rsidP="007979E3">
                      <w:r w:rsidRPr="00151194">
                        <w:t>FMA Services include:</w:t>
                      </w:r>
                    </w:p>
                    <w:p w14:paraId="4F5D5080" w14:textId="77777777" w:rsidR="005F6E6A" w:rsidRPr="00151194" w:rsidRDefault="005F6E6A" w:rsidP="000D3935">
                      <w:pPr>
                        <w:pStyle w:val="ListParagraph"/>
                        <w:numPr>
                          <w:ilvl w:val="0"/>
                          <w:numId w:val="23"/>
                        </w:numPr>
                        <w:ind w:left="360"/>
                      </w:pPr>
                      <w:r w:rsidRPr="00151194">
                        <w:t xml:space="preserve">Providing a “licensed market service” (i.e. entity is licensed by the FMA to provide that service).  Licensed entities are listed </w:t>
                      </w:r>
                      <w:hyperlink r:id="rId34" w:history="1">
                        <w:r w:rsidRPr="00151194">
                          <w:rPr>
                            <w:rStyle w:val="Hyperlink"/>
                          </w:rPr>
                          <w:t>here</w:t>
                        </w:r>
                      </w:hyperlink>
                      <w:r w:rsidRPr="00151194">
                        <w:t xml:space="preserve">. </w:t>
                      </w:r>
                    </w:p>
                    <w:p w14:paraId="49E6157E" w14:textId="63590465" w:rsidR="005F6E6A" w:rsidRPr="00151194" w:rsidRDefault="005F6E6A" w:rsidP="000D3935">
                      <w:pPr>
                        <w:pStyle w:val="ListParagraph"/>
                        <w:numPr>
                          <w:ilvl w:val="0"/>
                          <w:numId w:val="23"/>
                        </w:numPr>
                        <w:ind w:left="360"/>
                      </w:pPr>
                      <w:r>
                        <w:t>P</w:t>
                      </w:r>
                      <w:r w:rsidRPr="00151194">
                        <w:t>articipating in a F</w:t>
                      </w:r>
                      <w:r>
                        <w:t xml:space="preserve">inancial </w:t>
                      </w:r>
                      <w:r w:rsidRPr="00151194">
                        <w:t>M</w:t>
                      </w:r>
                      <w:r>
                        <w:t xml:space="preserve">arkets </w:t>
                      </w:r>
                      <w:r w:rsidRPr="00151194">
                        <w:t>C</w:t>
                      </w:r>
                      <w:r>
                        <w:t>onduct</w:t>
                      </w:r>
                      <w:r w:rsidRPr="00151194">
                        <w:t xml:space="preserve"> offer as the issuer or offeror of the financial products  </w:t>
                      </w:r>
                    </w:p>
                    <w:p w14:paraId="38EB2C57" w14:textId="040CFF17" w:rsidR="005F6E6A" w:rsidRPr="00151194" w:rsidRDefault="005F6E6A" w:rsidP="000D3935">
                      <w:pPr>
                        <w:pStyle w:val="ListParagraph"/>
                        <w:numPr>
                          <w:ilvl w:val="0"/>
                          <w:numId w:val="23"/>
                        </w:numPr>
                        <w:ind w:left="360"/>
                      </w:pPr>
                      <w:r>
                        <w:t>K</w:t>
                      </w:r>
                      <w:r w:rsidRPr="00151194">
                        <w:t>eeping, investing, administering, or managing money, securities, or investment portfolios on behalf of other persons</w:t>
                      </w:r>
                      <w:r w:rsidRPr="00151194" w:rsidDel="00DD6B0F">
                        <w:t xml:space="preserve"> </w:t>
                      </w:r>
                    </w:p>
                    <w:p w14:paraId="3110C598" w14:textId="77777777" w:rsidR="005F6E6A" w:rsidRDefault="005F6E6A" w:rsidP="007979E3">
                      <w:pPr>
                        <w:jc w:val="center"/>
                      </w:pPr>
                    </w:p>
                  </w:txbxContent>
                </v:textbox>
              </v:rect>
            </w:pict>
          </mc:Fallback>
        </mc:AlternateContent>
      </w:r>
      <w:r w:rsidRPr="007979E3">
        <w:rPr>
          <w:noProof/>
        </w:rPr>
        <mc:AlternateContent>
          <mc:Choice Requires="wps">
            <w:drawing>
              <wp:anchor distT="0" distB="0" distL="114300" distR="114300" simplePos="0" relativeHeight="251609088" behindDoc="0" locked="0" layoutInCell="1" allowOverlap="1" wp14:anchorId="19752D31" wp14:editId="28E4705A">
                <wp:simplePos x="0" y="0"/>
                <wp:positionH relativeFrom="column">
                  <wp:posOffset>2029460</wp:posOffset>
                </wp:positionH>
                <wp:positionV relativeFrom="paragraph">
                  <wp:posOffset>254000</wp:posOffset>
                </wp:positionV>
                <wp:extent cx="1616075" cy="590550"/>
                <wp:effectExtent l="0" t="0" r="3175" b="0"/>
                <wp:wrapNone/>
                <wp:docPr id="11" name="Rectangle 11"/>
                <wp:cNvGraphicFramePr/>
                <a:graphic xmlns:a="http://schemas.openxmlformats.org/drawingml/2006/main">
                  <a:graphicData uri="http://schemas.microsoft.com/office/word/2010/wordprocessingShape">
                    <wps:wsp>
                      <wps:cNvSpPr/>
                      <wps:spPr>
                        <a:xfrm>
                          <a:off x="0" y="0"/>
                          <a:ext cx="1616075" cy="590550"/>
                        </a:xfrm>
                        <a:prstGeom prst="rect">
                          <a:avLst/>
                        </a:prstGeom>
                        <a:solidFill>
                          <a:schemeClr val="tx2">
                            <a:lumMod val="20000"/>
                            <a:lumOff val="80000"/>
                          </a:schemeClr>
                        </a:solidFill>
                        <a:ln w="25400" cap="flat" cmpd="sng" algn="ctr">
                          <a:noFill/>
                          <a:prstDash val="solid"/>
                        </a:ln>
                        <a:effectLst/>
                      </wps:spPr>
                      <wps:txbx>
                        <w:txbxContent>
                          <w:p w14:paraId="69BB9DA9" w14:textId="77777777" w:rsidR="005F6E6A" w:rsidRPr="00584253" w:rsidRDefault="005F6E6A" w:rsidP="007979E3">
                            <w:pPr>
                              <w:jc w:val="center"/>
                            </w:pPr>
                            <w:r w:rsidRPr="00584253">
                              <w:t>Both DIA &amp; FMA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52D31" id="Rectangle 11" o:spid="_x0000_s1035" style="position:absolute;left:0;text-align:left;margin-left:159.8pt;margin-top:20pt;width:127.25pt;height:46.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" fillcolor="#c5e1ee [671]" stroked="f" strokeweight="2pt">
                <v:textbox>
                  <w:txbxContent>
                    <w:p w14:paraId="69BB9DA9" w14:textId="77777777" w:rsidR="005F6E6A" w:rsidRPr="00584253" w:rsidRDefault="005F6E6A" w:rsidP="007979E3">
                      <w:pPr>
                        <w:jc w:val="center"/>
                      </w:pPr>
                      <w:r w:rsidRPr="00584253">
                        <w:t>Both DIA &amp; FMA Services</w:t>
                      </w:r>
                    </w:p>
                  </w:txbxContent>
                </v:textbox>
              </v:rect>
            </w:pict>
          </mc:Fallback>
        </mc:AlternateContent>
      </w:r>
    </w:p>
    <w:p w14:paraId="5DDD8B3B" w14:textId="13209B25" w:rsidR="007979E3" w:rsidRPr="007979E3" w:rsidRDefault="007979E3" w:rsidP="007979E3">
      <w:pPr>
        <w:ind w:left="924" w:hanging="357"/>
      </w:pPr>
    </w:p>
    <w:p w14:paraId="173336CB" w14:textId="4CDD73F1" w:rsidR="007979E3" w:rsidRPr="007979E3" w:rsidRDefault="00651A80" w:rsidP="007979E3">
      <w:pPr>
        <w:ind w:left="924" w:hanging="357"/>
      </w:pPr>
      <w:r w:rsidRPr="007979E3">
        <w:rPr>
          <w:noProof/>
        </w:rPr>
        <mc:AlternateContent>
          <mc:Choice Requires="wps">
            <w:drawing>
              <wp:anchor distT="0" distB="0" distL="114300" distR="114300" simplePos="0" relativeHeight="251707392" behindDoc="0" locked="0" layoutInCell="1" allowOverlap="1" wp14:anchorId="00C160DC" wp14:editId="5EB6ECE8">
                <wp:simplePos x="0" y="0"/>
                <wp:positionH relativeFrom="column">
                  <wp:posOffset>2649129</wp:posOffset>
                </wp:positionH>
                <wp:positionV relativeFrom="paragraph">
                  <wp:posOffset>180975</wp:posOffset>
                </wp:positionV>
                <wp:extent cx="325483" cy="1099457"/>
                <wp:effectExtent l="0" t="0" r="0" b="5715"/>
                <wp:wrapNone/>
                <wp:docPr id="21" name="Arrow: Down 21"/>
                <wp:cNvGraphicFramePr/>
                <a:graphic xmlns:a="http://schemas.openxmlformats.org/drawingml/2006/main">
                  <a:graphicData uri="http://schemas.microsoft.com/office/word/2010/wordprocessingShape">
                    <wps:wsp>
                      <wps:cNvSpPr/>
                      <wps:spPr>
                        <a:xfrm>
                          <a:off x="0" y="0"/>
                          <a:ext cx="325483" cy="1099457"/>
                        </a:xfrm>
                        <a:prstGeom prst="downArrow">
                          <a:avLst>
                            <a:gd name="adj1" fmla="val 34962"/>
                            <a:gd name="adj2" fmla="val 72557"/>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CAAE5" id="Arrow: Down 21" o:spid="_x0000_s1026" type="#_x0000_t67" style="position:absolute;margin-left:208.6pt;margin-top:14.25pt;width:25.65pt;height:8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" adj="16960,7024" fillcolor="black [3213]" stroked="f" strokeweight="2pt"/>
            </w:pict>
          </mc:Fallback>
        </mc:AlternateContent>
      </w:r>
    </w:p>
    <w:p w14:paraId="22C9D3DA" w14:textId="4522387A" w:rsidR="007979E3" w:rsidRPr="007979E3" w:rsidRDefault="007979E3" w:rsidP="007979E3">
      <w:pPr>
        <w:ind w:left="924" w:hanging="357"/>
      </w:pPr>
    </w:p>
    <w:p w14:paraId="33D11E53" w14:textId="5AEFA63E" w:rsidR="007979E3" w:rsidRPr="007979E3" w:rsidRDefault="007979E3" w:rsidP="007979E3">
      <w:pPr>
        <w:ind w:left="924" w:hanging="357"/>
      </w:pPr>
    </w:p>
    <w:p w14:paraId="78851E9B" w14:textId="754E1431" w:rsidR="007979E3" w:rsidRPr="007979E3" w:rsidRDefault="00651A80" w:rsidP="007979E3">
      <w:pPr>
        <w:ind w:left="924" w:hanging="357"/>
      </w:pPr>
      <w:r w:rsidRPr="007979E3">
        <w:rPr>
          <w:noProof/>
        </w:rPr>
        <mc:AlternateContent>
          <mc:Choice Requires="wps">
            <w:drawing>
              <wp:anchor distT="0" distB="0" distL="114300" distR="114300" simplePos="0" relativeHeight="251657216" behindDoc="0" locked="0" layoutInCell="1" allowOverlap="1" wp14:anchorId="3F4508A8" wp14:editId="2AAB73AC">
                <wp:simplePos x="0" y="0"/>
                <wp:positionH relativeFrom="column">
                  <wp:posOffset>2033270</wp:posOffset>
                </wp:positionH>
                <wp:positionV relativeFrom="paragraph">
                  <wp:posOffset>271145</wp:posOffset>
                </wp:positionV>
                <wp:extent cx="1616148" cy="1485900"/>
                <wp:effectExtent l="0" t="0" r="3175" b="0"/>
                <wp:wrapNone/>
                <wp:docPr id="16" name="Rectangle 16"/>
                <wp:cNvGraphicFramePr/>
                <a:graphic xmlns:a="http://schemas.openxmlformats.org/drawingml/2006/main">
                  <a:graphicData uri="http://schemas.microsoft.com/office/word/2010/wordprocessingShape">
                    <wps:wsp>
                      <wps:cNvSpPr/>
                      <wps:spPr>
                        <a:xfrm>
                          <a:off x="0" y="0"/>
                          <a:ext cx="1616148" cy="1485900"/>
                        </a:xfrm>
                        <a:prstGeom prst="rect">
                          <a:avLst/>
                        </a:prstGeom>
                        <a:solidFill>
                          <a:schemeClr val="tx2">
                            <a:lumMod val="20000"/>
                            <a:lumOff val="80000"/>
                          </a:schemeClr>
                        </a:solidFill>
                        <a:ln w="25400" cap="flat" cmpd="sng" algn="ctr">
                          <a:noFill/>
                          <a:prstDash val="solid"/>
                        </a:ln>
                        <a:effectLst/>
                      </wps:spPr>
                      <wps:txbx>
                        <w:txbxContent>
                          <w:p w14:paraId="1FD1C566" w14:textId="1411D012" w:rsidR="005F6E6A" w:rsidRDefault="005F6E6A" w:rsidP="00A53F7B">
                            <w:pPr>
                              <w:jc w:val="center"/>
                            </w:pPr>
                            <w:r>
                              <w:t xml:space="preserve">DIA &amp; FMA will liaise to determine who will supervise according to s130(2) of the Act. </w:t>
                            </w:r>
                          </w:p>
                          <w:p w14:paraId="4D8EA8CE" w14:textId="77777777" w:rsidR="005F6E6A" w:rsidRDefault="005F6E6A" w:rsidP="007979E3">
                            <w:pPr>
                              <w:jc w:val="center"/>
                            </w:pPr>
                            <w:r>
                              <w:t xml:space="preserve">DIA is interim supervisor.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508A8" id="Rectangle 16" o:spid="_x0000_s1036" style="position:absolute;left:0;text-align:left;margin-left:160.1pt;margin-top:21.35pt;width:127.25pt;height:11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" fillcolor="#c5e1ee [671]" stroked="f" strokeweight="2pt">
                <v:textbox>
                  <w:txbxContent>
                    <w:p w14:paraId="1FD1C566" w14:textId="1411D012" w:rsidR="005F6E6A" w:rsidRDefault="005F6E6A" w:rsidP="00A53F7B">
                      <w:pPr>
                        <w:jc w:val="center"/>
                      </w:pPr>
                      <w:r>
                        <w:t xml:space="preserve">DIA &amp; FMA will liaise to determine who will supervise according to s130(2) of the Act. </w:t>
                      </w:r>
                    </w:p>
                    <w:p w14:paraId="4D8EA8CE" w14:textId="77777777" w:rsidR="005F6E6A" w:rsidRDefault="005F6E6A" w:rsidP="007979E3">
                      <w:pPr>
                        <w:jc w:val="center"/>
                      </w:pPr>
                      <w:r>
                        <w:t xml:space="preserve">DIA is interim supervisor. </w:t>
                      </w:r>
                    </w:p>
                  </w:txbxContent>
                </v:textbox>
              </v:rect>
            </w:pict>
          </mc:Fallback>
        </mc:AlternateContent>
      </w:r>
    </w:p>
    <w:p w14:paraId="25F412F3" w14:textId="0D72FA0B" w:rsidR="007979E3" w:rsidRPr="007979E3" w:rsidRDefault="007979E3" w:rsidP="007979E3">
      <w:pPr>
        <w:ind w:left="924" w:hanging="357"/>
      </w:pPr>
    </w:p>
    <w:p w14:paraId="1F87CAD2" w14:textId="20ACFD17" w:rsidR="007979E3" w:rsidRPr="007979E3" w:rsidRDefault="007979E3" w:rsidP="007979E3">
      <w:pPr>
        <w:ind w:left="924" w:hanging="357"/>
      </w:pPr>
    </w:p>
    <w:p w14:paraId="377CAC43" w14:textId="77777777" w:rsidR="007979E3" w:rsidRPr="007979E3" w:rsidRDefault="007979E3" w:rsidP="007979E3"/>
    <w:p w14:paraId="44E9553D" w14:textId="77777777" w:rsidR="007979E3" w:rsidRPr="007979E3" w:rsidRDefault="007979E3" w:rsidP="007979E3"/>
    <w:tbl>
      <w:tblPr>
        <w:tblStyle w:val="DIATable"/>
        <w:tblW w:w="8603" w:type="dxa"/>
        <w:tblLayout w:type="fixed"/>
        <w:tblLook w:val="04A0" w:firstRow="1" w:lastRow="0" w:firstColumn="1" w:lastColumn="0" w:noHBand="0" w:noVBand="1"/>
      </w:tblPr>
      <w:tblGrid>
        <w:gridCol w:w="1560"/>
        <w:gridCol w:w="7043"/>
      </w:tblGrid>
      <w:tr w:rsidR="00CE2F9E" w:rsidRPr="00CE2F9E" w14:paraId="7D3DEEB9" w14:textId="77777777" w:rsidTr="00AF5125">
        <w:trPr>
          <w:cnfStyle w:val="100000000000" w:firstRow="1" w:lastRow="0" w:firstColumn="0" w:lastColumn="0" w:oddVBand="0" w:evenVBand="0" w:oddHBand="0" w:evenHBand="0" w:firstRowFirstColumn="0" w:firstRowLastColumn="0" w:lastRowFirstColumn="0" w:lastRowLastColumn="0"/>
          <w:trHeight w:val="351"/>
        </w:trPr>
        <w:tc>
          <w:tcPr>
            <w:tcW w:w="1560" w:type="dxa"/>
            <w:hideMark/>
          </w:tcPr>
          <w:p w14:paraId="1B3F771C" w14:textId="454158E6" w:rsidR="00CE2F9E" w:rsidRPr="00CE2F9E" w:rsidRDefault="00CE2F9E" w:rsidP="00CE2F9E">
            <w:pPr>
              <w:spacing w:before="120" w:after="240"/>
              <w:rPr>
                <w:bCs/>
              </w:rPr>
            </w:pPr>
            <w:r w:rsidRPr="00CE2F9E">
              <w:rPr>
                <w:bCs/>
              </w:rPr>
              <w:lastRenderedPageBreak/>
              <w:t xml:space="preserve">Type </w:t>
            </w:r>
            <w:r w:rsidR="007979E3">
              <w:rPr>
                <w:bCs/>
              </w:rPr>
              <w:t xml:space="preserve">of </w:t>
            </w:r>
            <w:r>
              <w:rPr>
                <w:b w:val="0"/>
                <w:bCs/>
              </w:rPr>
              <w:t>VASP</w:t>
            </w:r>
          </w:p>
        </w:tc>
        <w:tc>
          <w:tcPr>
            <w:tcW w:w="7043" w:type="dxa"/>
            <w:hideMark/>
          </w:tcPr>
          <w:p w14:paraId="6CC92FDC" w14:textId="60C46E1F" w:rsidR="00CE2F9E" w:rsidRPr="00CE2F9E" w:rsidRDefault="00CE2F9E" w:rsidP="00CE2F9E">
            <w:pPr>
              <w:spacing w:before="120" w:after="240"/>
              <w:rPr>
                <w:bCs/>
              </w:rPr>
            </w:pPr>
            <w:r>
              <w:rPr>
                <w:b w:val="0"/>
                <w:bCs/>
              </w:rPr>
              <w:t>Typical activity and likely supervisor</w:t>
            </w:r>
          </w:p>
        </w:tc>
      </w:tr>
      <w:tr w:rsidR="00CE2F9E" w:rsidRPr="00CE2F9E" w14:paraId="689CD4DD" w14:textId="77777777" w:rsidTr="00AF5125">
        <w:trPr>
          <w:trHeight w:val="1540"/>
        </w:trPr>
        <w:tc>
          <w:tcPr>
            <w:tcW w:w="1560" w:type="dxa"/>
            <w:hideMark/>
          </w:tcPr>
          <w:p w14:paraId="4BFC2D50" w14:textId="580899FD" w:rsidR="00CE2F9E" w:rsidRPr="00CE2F9E" w:rsidRDefault="00CE2F9E" w:rsidP="00CE2F9E">
            <w:r w:rsidRPr="00CE2F9E">
              <w:rPr>
                <w:b/>
                <w:bCs/>
              </w:rPr>
              <w:t>Virtual asset exchanges</w:t>
            </w:r>
          </w:p>
        </w:tc>
        <w:tc>
          <w:tcPr>
            <w:tcW w:w="7043" w:type="dxa"/>
          </w:tcPr>
          <w:p w14:paraId="24632484" w14:textId="5A6EDE4C" w:rsidR="00CE2F9E" w:rsidRPr="00CE2F9E" w:rsidRDefault="00CE2F9E" w:rsidP="000872B7">
            <w:pPr>
              <w:spacing w:before="120" w:after="240"/>
            </w:pPr>
            <w:r w:rsidRPr="00CE2F9E">
              <w:t xml:space="preserve">If </w:t>
            </w:r>
            <w:r w:rsidR="00E462D0">
              <w:t xml:space="preserve">you are </w:t>
            </w:r>
            <w:r w:rsidRPr="00CE2F9E">
              <w:t xml:space="preserve">issuing </w:t>
            </w:r>
            <w:r w:rsidR="00E462D0">
              <w:t xml:space="preserve">your </w:t>
            </w:r>
            <w:r w:rsidRPr="00CE2F9E">
              <w:t xml:space="preserve">own cryptocurrency, </w:t>
            </w:r>
            <w:r w:rsidR="00E462D0">
              <w:t xml:space="preserve">you </w:t>
            </w:r>
            <w:r w:rsidRPr="00CE2F9E">
              <w:t>will be “</w:t>
            </w:r>
            <w:r w:rsidRPr="00CE2F9E">
              <w:rPr>
                <w:b/>
                <w:bCs/>
              </w:rPr>
              <w:t>issuing or managing the means of payment</w:t>
            </w:r>
            <w:r w:rsidRPr="00CE2F9E">
              <w:t>” (DIA)</w:t>
            </w:r>
          </w:p>
          <w:p w14:paraId="5351B87C" w14:textId="77777777" w:rsidR="00CE2F9E" w:rsidRDefault="00CE2F9E" w:rsidP="000872B7">
            <w:pPr>
              <w:spacing w:before="120" w:after="240"/>
            </w:pPr>
            <w:r w:rsidRPr="00CE2F9E">
              <w:t>If</w:t>
            </w:r>
            <w:r w:rsidR="00E462D0">
              <w:t xml:space="preserve"> you are</w:t>
            </w:r>
            <w:r w:rsidRPr="00CE2F9E">
              <w:t xml:space="preserve"> facilitating trading, </w:t>
            </w:r>
            <w:r w:rsidR="00E462D0">
              <w:t xml:space="preserve">you </w:t>
            </w:r>
            <w:r w:rsidRPr="00CE2F9E">
              <w:t>will be “</w:t>
            </w:r>
            <w:r w:rsidRPr="00CE2F9E">
              <w:rPr>
                <w:b/>
                <w:bCs/>
              </w:rPr>
              <w:t>transferring money or value for, or on behalf of, a customer</w:t>
            </w:r>
            <w:r w:rsidRPr="00CE2F9E">
              <w:t>” (DIA)</w:t>
            </w:r>
          </w:p>
          <w:p w14:paraId="0A7C9640" w14:textId="3E133782" w:rsidR="00FC18F5" w:rsidRPr="00CE2F9E" w:rsidRDefault="00FC18F5" w:rsidP="000872B7">
            <w:pPr>
              <w:spacing w:before="120" w:after="240"/>
            </w:pPr>
            <w:r w:rsidRPr="00FC18F5">
              <w:t xml:space="preserve">If your </w:t>
            </w:r>
            <w:r>
              <w:t>activity</w:t>
            </w:r>
            <w:r w:rsidRPr="00FC18F5">
              <w:t xml:space="preserve"> involves a virtual asset that is a ‘financial product’ under the Financial Markets Conduct Act 2013 (FMC Act), </w:t>
            </w:r>
            <w:r>
              <w:t xml:space="preserve">you will </w:t>
            </w:r>
            <w:r w:rsidR="0021761C">
              <w:t xml:space="preserve">likely </w:t>
            </w:r>
            <w:r>
              <w:t>be supervised by the FMA</w:t>
            </w:r>
            <w:r w:rsidRPr="00FC18F5">
              <w:t xml:space="preserve">. </w:t>
            </w:r>
            <w:r>
              <w:t>For example, if your</w:t>
            </w:r>
            <w:r w:rsidRPr="00FC18F5">
              <w:t xml:space="preserve"> virtual asset exchange is facilitating the trading of virtual assets that are financial products.</w:t>
            </w:r>
          </w:p>
        </w:tc>
      </w:tr>
      <w:tr w:rsidR="00CE2F9E" w:rsidRPr="00CE2F9E" w14:paraId="331F4E54" w14:textId="77777777" w:rsidTr="00AF5125">
        <w:trPr>
          <w:trHeight w:val="1250"/>
        </w:trPr>
        <w:tc>
          <w:tcPr>
            <w:tcW w:w="1560" w:type="dxa"/>
            <w:hideMark/>
          </w:tcPr>
          <w:p w14:paraId="639F044A" w14:textId="5E959698" w:rsidR="00CE2F9E" w:rsidRPr="00CE2F9E" w:rsidRDefault="00CE2F9E" w:rsidP="00CE2F9E">
            <w:pPr>
              <w:spacing w:after="240"/>
              <w:rPr>
                <w:b/>
                <w:bCs/>
              </w:rPr>
            </w:pPr>
            <w:r w:rsidRPr="00CE2F9E">
              <w:rPr>
                <w:b/>
                <w:bCs/>
              </w:rPr>
              <w:t>Virtual Asset Wallets</w:t>
            </w:r>
          </w:p>
        </w:tc>
        <w:tc>
          <w:tcPr>
            <w:tcW w:w="7043" w:type="dxa"/>
            <w:hideMark/>
          </w:tcPr>
          <w:p w14:paraId="66747B33" w14:textId="2D4CA3E0" w:rsidR="00CE2F9E" w:rsidRPr="00CE2F9E" w:rsidRDefault="00CE2F9E" w:rsidP="000872B7">
            <w:pPr>
              <w:spacing w:before="120" w:after="240"/>
            </w:pPr>
            <w:r w:rsidRPr="00CE2F9E">
              <w:t xml:space="preserve">If </w:t>
            </w:r>
            <w:r w:rsidR="00256F73">
              <w:t xml:space="preserve">the </w:t>
            </w:r>
            <w:r w:rsidRPr="00CE2F9E">
              <w:t>wallet facilitates exchanges it will be “</w:t>
            </w:r>
            <w:r w:rsidRPr="00CE2F9E">
              <w:rPr>
                <w:b/>
                <w:bCs/>
              </w:rPr>
              <w:t>transferring money or value for, or on behalf of, a customer</w:t>
            </w:r>
            <w:r w:rsidRPr="00CE2F9E">
              <w:t>” (DIA)</w:t>
            </w:r>
          </w:p>
          <w:p w14:paraId="1DA73815" w14:textId="35C0C0B6" w:rsidR="00CE2F9E" w:rsidRPr="00CE2F9E" w:rsidRDefault="00CE2F9E" w:rsidP="000872B7">
            <w:pPr>
              <w:spacing w:before="120" w:after="240"/>
            </w:pPr>
            <w:r w:rsidRPr="00CE2F9E">
              <w:t xml:space="preserve">If </w:t>
            </w:r>
            <w:r w:rsidR="000872B7">
              <w:t xml:space="preserve">the </w:t>
            </w:r>
            <w:r w:rsidRPr="00CE2F9E">
              <w:t>wallet stores</w:t>
            </w:r>
            <w:r w:rsidR="000872B7">
              <w:t>,</w:t>
            </w:r>
            <w:r w:rsidRPr="00CE2F9E">
              <w:t xml:space="preserve"> but does not allow exchange of </w:t>
            </w:r>
            <w:r w:rsidR="00906BA7">
              <w:rPr>
                <w:szCs w:val="22"/>
              </w:rPr>
              <w:t>virtual assets</w:t>
            </w:r>
            <w:r w:rsidRPr="00CE2F9E">
              <w:t xml:space="preserve">, it will </w:t>
            </w:r>
            <w:r w:rsidRPr="00CE2F9E">
              <w:rPr>
                <w:b/>
                <w:bCs/>
              </w:rPr>
              <w:t>not</w:t>
            </w:r>
            <w:r w:rsidRPr="00CE2F9E">
              <w:t xml:space="preserve"> be a reporting entity under AML/CFT Act.</w:t>
            </w:r>
          </w:p>
        </w:tc>
      </w:tr>
      <w:tr w:rsidR="00CE2F9E" w:rsidRPr="00CE2F9E" w14:paraId="3B755CA6" w14:textId="77777777" w:rsidTr="00AF5125">
        <w:trPr>
          <w:trHeight w:val="1039"/>
        </w:trPr>
        <w:tc>
          <w:tcPr>
            <w:tcW w:w="1560" w:type="dxa"/>
            <w:hideMark/>
          </w:tcPr>
          <w:p w14:paraId="530CB80B" w14:textId="2E036C1D" w:rsidR="00CE2F9E" w:rsidRPr="00CE2F9E" w:rsidRDefault="00CE2F9E" w:rsidP="00CE2F9E">
            <w:pPr>
              <w:rPr>
                <w:b/>
                <w:bCs/>
              </w:rPr>
            </w:pPr>
            <w:r w:rsidRPr="00CE2F9E">
              <w:rPr>
                <w:b/>
                <w:bCs/>
              </w:rPr>
              <w:t>Virtual Asset Broking</w:t>
            </w:r>
          </w:p>
        </w:tc>
        <w:tc>
          <w:tcPr>
            <w:tcW w:w="7043" w:type="dxa"/>
            <w:hideMark/>
          </w:tcPr>
          <w:p w14:paraId="29FD5B6F" w14:textId="7519DF99" w:rsidR="00CE2F9E" w:rsidRPr="00CE2F9E" w:rsidRDefault="00CE2F9E" w:rsidP="000872B7">
            <w:pPr>
              <w:spacing w:before="120" w:after="240"/>
            </w:pPr>
            <w:r w:rsidRPr="00CE2F9E">
              <w:t xml:space="preserve">If </w:t>
            </w:r>
            <w:r w:rsidR="00256F73">
              <w:t xml:space="preserve">you are </w:t>
            </w:r>
            <w:r w:rsidRPr="00CE2F9E">
              <w:t>arranging transactions</w:t>
            </w:r>
            <w:r>
              <w:t>,</w:t>
            </w:r>
            <w:r w:rsidRPr="00CE2F9E">
              <w:t xml:space="preserve"> </w:t>
            </w:r>
            <w:r w:rsidR="00256F73">
              <w:t xml:space="preserve">you </w:t>
            </w:r>
            <w:r w:rsidRPr="00CE2F9E">
              <w:t>will be “</w:t>
            </w:r>
            <w:r w:rsidRPr="00CE2F9E">
              <w:rPr>
                <w:b/>
                <w:bCs/>
              </w:rPr>
              <w:t>transferring money or value for, or on behalf of, a customer</w:t>
            </w:r>
            <w:r w:rsidRPr="00CE2F9E">
              <w:t xml:space="preserve">” </w:t>
            </w:r>
            <w:r>
              <w:t>(DIA)</w:t>
            </w:r>
          </w:p>
          <w:p w14:paraId="77A97834" w14:textId="1DDE20B0" w:rsidR="00CE2F9E" w:rsidRPr="00CE2F9E" w:rsidRDefault="00CE2F9E" w:rsidP="000872B7">
            <w:pPr>
              <w:spacing w:before="120" w:after="240"/>
            </w:pPr>
          </w:p>
        </w:tc>
      </w:tr>
      <w:tr w:rsidR="00CE2F9E" w:rsidRPr="00CE2F9E" w:rsidDel="008C4EFA" w14:paraId="1BF65F25" w14:textId="77777777" w:rsidTr="00906BA7">
        <w:trPr>
          <w:trHeight w:val="1334"/>
        </w:trPr>
        <w:tc>
          <w:tcPr>
            <w:tcW w:w="1560" w:type="dxa"/>
          </w:tcPr>
          <w:p w14:paraId="20702C97" w14:textId="34610207" w:rsidR="00CE2F9E" w:rsidRPr="00CE2F9E" w:rsidRDefault="00CE2F9E" w:rsidP="00CE2F9E">
            <w:r w:rsidRPr="00CE2F9E">
              <w:rPr>
                <w:b/>
                <w:bCs/>
              </w:rPr>
              <w:t>Initial coin offering (ICO) provider</w:t>
            </w:r>
          </w:p>
        </w:tc>
        <w:tc>
          <w:tcPr>
            <w:tcW w:w="7043" w:type="dxa"/>
          </w:tcPr>
          <w:p w14:paraId="544E6385" w14:textId="02455937" w:rsidR="00CE2F9E" w:rsidRDefault="00CE2F9E" w:rsidP="000872B7">
            <w:pPr>
              <w:spacing w:before="120" w:after="240"/>
            </w:pPr>
            <w:r w:rsidRPr="00CE2F9E">
              <w:t xml:space="preserve">Depending on the rights attaching to the </w:t>
            </w:r>
            <w:r w:rsidR="003007DF">
              <w:t>VA</w:t>
            </w:r>
            <w:r w:rsidR="003007DF" w:rsidRPr="00CE2F9E">
              <w:t xml:space="preserve"> </w:t>
            </w:r>
            <w:r w:rsidRPr="00CE2F9E">
              <w:t>and terms of offer, the provider may be “</w:t>
            </w:r>
            <w:r w:rsidRPr="00CE2F9E">
              <w:rPr>
                <w:b/>
                <w:bCs/>
              </w:rPr>
              <w:t>issuing or managing the means of payment</w:t>
            </w:r>
            <w:r w:rsidRPr="00CE2F9E">
              <w:t>” (DIA)</w:t>
            </w:r>
            <w:r w:rsidR="003007DF">
              <w:t>; and/or</w:t>
            </w:r>
            <w:r w:rsidRPr="00CE2F9E">
              <w:t xml:space="preserve"> “</w:t>
            </w:r>
            <w:r w:rsidRPr="00CE2F9E">
              <w:rPr>
                <w:b/>
                <w:bCs/>
              </w:rPr>
              <w:t>transferring money or value for, or on behalf of, a customer</w:t>
            </w:r>
            <w:r w:rsidRPr="00CE2F9E">
              <w:t>” (DIA)</w:t>
            </w:r>
          </w:p>
          <w:p w14:paraId="65B2EB36" w14:textId="7A045067" w:rsidR="00CE2F9E" w:rsidRPr="00CE2F9E" w:rsidDel="008C4EFA" w:rsidRDefault="00FC18F5" w:rsidP="000872B7">
            <w:pPr>
              <w:spacing w:before="120" w:after="240"/>
            </w:pPr>
            <w:r w:rsidRPr="00FC18F5">
              <w:t xml:space="preserve">If your ICO involves a virtual asset that is a ‘financial product’ under the Financial Markets Conduct Act 2013 (FMC Act), </w:t>
            </w:r>
            <w:r>
              <w:t>you will</w:t>
            </w:r>
            <w:r w:rsidR="0021761C">
              <w:t xml:space="preserve"> likely</w:t>
            </w:r>
            <w:r>
              <w:t xml:space="preserve"> be supervised by the FMA.</w:t>
            </w:r>
            <w:r w:rsidRPr="00FC18F5">
              <w:t xml:space="preserve"> For example,</w:t>
            </w:r>
            <w:r>
              <w:t xml:space="preserve"> if</w:t>
            </w:r>
            <w:r w:rsidRPr="00FC18F5">
              <w:t xml:space="preserve"> your ICO offers virtual assets that are financial products</w:t>
            </w:r>
            <w:r>
              <w:t>.</w:t>
            </w:r>
          </w:p>
        </w:tc>
      </w:tr>
      <w:tr w:rsidR="00CE2F9E" w:rsidRPr="00CE2F9E" w:rsidDel="008C4EFA" w14:paraId="630FF58A" w14:textId="77777777" w:rsidTr="00906BA7">
        <w:trPr>
          <w:trHeight w:val="1189"/>
        </w:trPr>
        <w:tc>
          <w:tcPr>
            <w:tcW w:w="1560" w:type="dxa"/>
          </w:tcPr>
          <w:p w14:paraId="55ACD0D4" w14:textId="3C5AFC7D" w:rsidR="00CE2F9E" w:rsidRPr="00CE2F9E" w:rsidRDefault="00CE2F9E" w:rsidP="00CE2F9E">
            <w:pPr>
              <w:rPr>
                <w:b/>
                <w:bCs/>
              </w:rPr>
            </w:pPr>
            <w:r w:rsidRPr="00CE2F9E">
              <w:rPr>
                <w:b/>
                <w:bCs/>
              </w:rPr>
              <w:t>Providing investment opportunities in virtual assets</w:t>
            </w:r>
          </w:p>
        </w:tc>
        <w:tc>
          <w:tcPr>
            <w:tcW w:w="7043" w:type="dxa"/>
          </w:tcPr>
          <w:p w14:paraId="23B49DA1" w14:textId="6AD9FC45" w:rsidR="00CE2F9E" w:rsidRPr="00CE2F9E" w:rsidRDefault="003007DF" w:rsidP="000872B7">
            <w:pPr>
              <w:spacing w:before="120" w:after="240"/>
            </w:pPr>
            <w:r w:rsidRPr="003007DF">
              <w:t xml:space="preserve">If you are providing investment opportunities in virtual assets (e.g. via a derivatives issuer providing virtual asset options), AML/CFT obligations will apply in the same way as if you were providing investment opportunities in traditional assets or financial products. FMA will likely be your supervisor. For more information, see </w:t>
            </w:r>
            <w:hyperlink r:id="rId35" w:history="1">
              <w:r w:rsidR="00906BA7" w:rsidRPr="00B35D0B">
                <w:rPr>
                  <w:rStyle w:val="Hyperlink"/>
                </w:rPr>
                <w:t>https://www.fma.govt.nz/compliance/amlcft/</w:t>
              </w:r>
            </w:hyperlink>
            <w:r w:rsidR="00906BA7">
              <w:t xml:space="preserve"> </w:t>
            </w:r>
            <w:r w:rsidR="00392B3B">
              <w:t xml:space="preserve">  </w:t>
            </w:r>
            <w:r w:rsidRPr="003007DF">
              <w:t xml:space="preserve">  </w:t>
            </w:r>
          </w:p>
        </w:tc>
      </w:tr>
    </w:tbl>
    <w:p w14:paraId="38A3B4C9" w14:textId="77777777" w:rsidR="00EF4AF5" w:rsidRDefault="00EF4AF5" w:rsidP="00985174">
      <w:pPr>
        <w:pStyle w:val="Heading2"/>
      </w:pPr>
    </w:p>
    <w:p w14:paraId="7E294822" w14:textId="499372B0" w:rsidR="00985174" w:rsidRDefault="00985174" w:rsidP="00985174">
      <w:pPr>
        <w:pStyle w:val="Heading2"/>
      </w:pPr>
      <w:bookmarkStart w:id="14" w:name="_Toc34985630"/>
      <w:r>
        <w:t xml:space="preserve">What can I expect from </w:t>
      </w:r>
      <w:r w:rsidR="00A120FF">
        <w:t>my</w:t>
      </w:r>
      <w:r>
        <w:t xml:space="preserve"> AML/CFT Supervisor?</w:t>
      </w:r>
      <w:bookmarkEnd w:id="14"/>
    </w:p>
    <w:p w14:paraId="050EAA39" w14:textId="3EC9AE5F" w:rsidR="00A120FF" w:rsidRDefault="003007DF" w:rsidP="00A120FF">
      <w:pPr>
        <w:pStyle w:val="Heading3"/>
      </w:pPr>
      <w:bookmarkStart w:id="15" w:name="_Toc34985631"/>
      <w:r>
        <w:t xml:space="preserve">The Department’s </w:t>
      </w:r>
      <w:r w:rsidR="00A120FF">
        <w:t>regulatory approach</w:t>
      </w:r>
      <w:bookmarkEnd w:id="15"/>
    </w:p>
    <w:p w14:paraId="4DCE025C" w14:textId="64F7F1E9" w:rsidR="00985174" w:rsidRPr="00985174" w:rsidRDefault="00985174" w:rsidP="00985174">
      <w:pPr>
        <w:rPr>
          <w:sz w:val="22"/>
        </w:rPr>
      </w:pPr>
      <w:r w:rsidRPr="00985174">
        <w:rPr>
          <w:sz w:val="22"/>
        </w:rPr>
        <w:t xml:space="preserve">As </w:t>
      </w:r>
      <w:r>
        <w:rPr>
          <w:sz w:val="22"/>
        </w:rPr>
        <w:t>an</w:t>
      </w:r>
      <w:r w:rsidRPr="00985174">
        <w:rPr>
          <w:sz w:val="22"/>
        </w:rPr>
        <w:t xml:space="preserve"> AML/CFT supervisor, </w:t>
      </w:r>
      <w:r w:rsidR="003007DF">
        <w:rPr>
          <w:sz w:val="22"/>
        </w:rPr>
        <w:t>our</w:t>
      </w:r>
      <w:r w:rsidRPr="00985174">
        <w:rPr>
          <w:sz w:val="22"/>
        </w:rPr>
        <w:t xml:space="preserve"> role includes </w:t>
      </w:r>
      <w:r w:rsidR="006E195E" w:rsidRPr="006E195E">
        <w:rPr>
          <w:sz w:val="22"/>
        </w:rPr>
        <w:t>monitoring reporting entities for compliance with the Act, providing guidance to reporting entities and investigating and enforcing compliance.</w:t>
      </w:r>
      <w:r w:rsidR="006E195E">
        <w:rPr>
          <w:sz w:val="22"/>
        </w:rPr>
        <w:t xml:space="preserve"> </w:t>
      </w:r>
      <w:r w:rsidRPr="00985174">
        <w:rPr>
          <w:sz w:val="22"/>
        </w:rPr>
        <w:t>This is to ensure the AML/CFT system operates in a robust manner and that criminals seeking to launder money and finance terrorism are detected and deterred</w:t>
      </w:r>
      <w:r>
        <w:rPr>
          <w:rFonts w:ascii="Tahoma" w:hAnsi="Tahoma" w:cs="Tahoma"/>
          <w:sz w:val="22"/>
        </w:rPr>
        <w:t>.</w:t>
      </w:r>
    </w:p>
    <w:p w14:paraId="0DDC4BDC" w14:textId="6697ABE1" w:rsidR="006E195E" w:rsidRDefault="003007DF" w:rsidP="00345FF4">
      <w:pPr>
        <w:rPr>
          <w:sz w:val="22"/>
        </w:rPr>
      </w:pPr>
      <w:r>
        <w:rPr>
          <w:sz w:val="22"/>
        </w:rPr>
        <w:t>The Department’s</w:t>
      </w:r>
      <w:r w:rsidR="00345FF4" w:rsidRPr="00345FF4">
        <w:rPr>
          <w:sz w:val="22"/>
        </w:rPr>
        <w:t xml:space="preserve"> regulatory approach for the AML/CFT system </w:t>
      </w:r>
      <w:r w:rsidR="00345FF4">
        <w:rPr>
          <w:sz w:val="22"/>
        </w:rPr>
        <w:t xml:space="preserve">is outlined </w:t>
      </w:r>
      <w:r w:rsidR="00345FF4" w:rsidRPr="00345FF4">
        <w:rPr>
          <w:sz w:val="22"/>
        </w:rPr>
        <w:t>in t</w:t>
      </w:r>
      <w:r w:rsidR="00FC18F5">
        <w:rPr>
          <w:sz w:val="22"/>
        </w:rPr>
        <w:t>hree</w:t>
      </w:r>
      <w:r w:rsidR="00345FF4" w:rsidRPr="00345FF4">
        <w:rPr>
          <w:sz w:val="22"/>
        </w:rPr>
        <w:t xml:space="preserve"> publications: </w:t>
      </w:r>
    </w:p>
    <w:p w14:paraId="7E444B47" w14:textId="689FF27B" w:rsidR="006E195E" w:rsidRPr="006E195E" w:rsidRDefault="005F6E6A" w:rsidP="000D3935">
      <w:pPr>
        <w:pStyle w:val="ListParagraph"/>
        <w:numPr>
          <w:ilvl w:val="0"/>
          <w:numId w:val="25"/>
        </w:numPr>
        <w:rPr>
          <w:sz w:val="22"/>
        </w:rPr>
      </w:pPr>
      <w:hyperlink r:id="rId36" w:history="1">
        <w:r w:rsidR="00FC18F5">
          <w:rPr>
            <w:rStyle w:val="Hyperlink"/>
            <w:sz w:val="22"/>
          </w:rPr>
          <w:t>AML/CFT Regulatory Framework</w:t>
        </w:r>
      </w:hyperlink>
    </w:p>
    <w:p w14:paraId="00FC0943" w14:textId="5B2647A7" w:rsidR="00FC18F5" w:rsidRPr="0021761C" w:rsidRDefault="005F6E6A" w:rsidP="000D3935">
      <w:pPr>
        <w:pStyle w:val="ListParagraph"/>
        <w:numPr>
          <w:ilvl w:val="0"/>
          <w:numId w:val="25"/>
        </w:numPr>
        <w:rPr>
          <w:rStyle w:val="Hyperlink"/>
          <w:color w:val="auto"/>
          <w:sz w:val="22"/>
          <w:u w:val="none"/>
        </w:rPr>
      </w:pPr>
      <w:hyperlink r:id="rId37" w:history="1">
        <w:r w:rsidR="00FC18F5">
          <w:rPr>
            <w:rStyle w:val="Hyperlink"/>
            <w:sz w:val="22"/>
          </w:rPr>
          <w:t>Minimising Harm – Maximising Benefit: The Department of Internal Affairs’ Approach to Compliance &amp; Enforcement 2012</w:t>
        </w:r>
      </w:hyperlink>
    </w:p>
    <w:p w14:paraId="39CEF18A" w14:textId="18B117D1" w:rsidR="00345FF4" w:rsidRDefault="005F6E6A" w:rsidP="000D3935">
      <w:pPr>
        <w:pStyle w:val="ListParagraph"/>
        <w:numPr>
          <w:ilvl w:val="0"/>
          <w:numId w:val="25"/>
        </w:numPr>
        <w:rPr>
          <w:sz w:val="22"/>
        </w:rPr>
      </w:pPr>
      <w:hyperlink r:id="rId38" w:history="1">
        <w:r w:rsidR="00FC18F5" w:rsidRPr="00FC18F5">
          <w:rPr>
            <w:rStyle w:val="Hyperlink"/>
            <w:sz w:val="22"/>
          </w:rPr>
          <w:t>AML/CFT Supervisory Framework</w:t>
        </w:r>
      </w:hyperlink>
    </w:p>
    <w:p w14:paraId="7DFC11BD" w14:textId="77777777" w:rsidR="006E195E" w:rsidRPr="006E195E" w:rsidRDefault="006E195E" w:rsidP="006E195E">
      <w:pPr>
        <w:pStyle w:val="ListParagraph"/>
        <w:numPr>
          <w:ilvl w:val="0"/>
          <w:numId w:val="0"/>
        </w:numPr>
        <w:ind w:left="720"/>
        <w:rPr>
          <w:sz w:val="22"/>
        </w:rPr>
      </w:pPr>
    </w:p>
    <w:p w14:paraId="450FAD2D" w14:textId="59C4B627" w:rsidR="00345FF4" w:rsidRPr="00345FF4" w:rsidRDefault="00345FF4" w:rsidP="00345FF4">
      <w:pPr>
        <w:rPr>
          <w:sz w:val="22"/>
        </w:rPr>
      </w:pPr>
      <w:r w:rsidRPr="00345FF4">
        <w:rPr>
          <w:sz w:val="22"/>
        </w:rPr>
        <w:t xml:space="preserve">We apply a risk-based and responsive regulatory approach that promotes compliance through a mix of strategies, </w:t>
      </w:r>
      <w:r w:rsidR="0021761C" w:rsidRPr="00345FF4">
        <w:rPr>
          <w:sz w:val="22"/>
        </w:rPr>
        <w:t>initiatives,</w:t>
      </w:r>
      <w:r w:rsidRPr="00345FF4">
        <w:rPr>
          <w:sz w:val="22"/>
        </w:rPr>
        <w:t xml:space="preserve"> and tools. We aim to:</w:t>
      </w:r>
    </w:p>
    <w:p w14:paraId="67CD28EA" w14:textId="44D19FB4" w:rsidR="00345FF4" w:rsidRDefault="00345FF4" w:rsidP="000D3935">
      <w:pPr>
        <w:pStyle w:val="ListParagraph"/>
        <w:numPr>
          <w:ilvl w:val="0"/>
          <w:numId w:val="22"/>
        </w:numPr>
        <w:rPr>
          <w:sz w:val="22"/>
        </w:rPr>
      </w:pPr>
      <w:r w:rsidRPr="00345FF4">
        <w:rPr>
          <w:sz w:val="22"/>
        </w:rPr>
        <w:t xml:space="preserve">Make it easy for reporting entities who want to comply </w:t>
      </w:r>
    </w:p>
    <w:p w14:paraId="6C03E5EB" w14:textId="38E88D50" w:rsidR="00345FF4" w:rsidRDefault="00345FF4" w:rsidP="000D3935">
      <w:pPr>
        <w:pStyle w:val="ListParagraph"/>
        <w:numPr>
          <w:ilvl w:val="0"/>
          <w:numId w:val="22"/>
        </w:numPr>
        <w:rPr>
          <w:sz w:val="22"/>
        </w:rPr>
      </w:pPr>
      <w:r w:rsidRPr="00345FF4">
        <w:rPr>
          <w:sz w:val="22"/>
        </w:rPr>
        <w:t xml:space="preserve">Help reporting entities who are trying to comply </w:t>
      </w:r>
    </w:p>
    <w:p w14:paraId="48C11902" w14:textId="4C82167F" w:rsidR="00985174" w:rsidRPr="00985174" w:rsidRDefault="00345FF4" w:rsidP="000D3935">
      <w:pPr>
        <w:pStyle w:val="ListParagraph"/>
        <w:numPr>
          <w:ilvl w:val="0"/>
          <w:numId w:val="22"/>
        </w:numPr>
        <w:rPr>
          <w:sz w:val="22"/>
        </w:rPr>
      </w:pPr>
      <w:r w:rsidRPr="00345FF4">
        <w:rPr>
          <w:sz w:val="22"/>
        </w:rPr>
        <w:t>Use the full force of the law on reporting entities that refuse to comply</w:t>
      </w:r>
    </w:p>
    <w:p w14:paraId="41A3386E" w14:textId="331C2EFB" w:rsidR="00A120FF" w:rsidRDefault="00985174" w:rsidP="00985174">
      <w:pPr>
        <w:rPr>
          <w:sz w:val="22"/>
        </w:rPr>
      </w:pPr>
      <w:r w:rsidRPr="00985174">
        <w:rPr>
          <w:sz w:val="22"/>
        </w:rPr>
        <w:t>Our preference is to work with you in a responsive and educative manner, although we are fully prepared to escalate our response with enforcement action</w:t>
      </w:r>
      <w:r w:rsidR="00A120FF">
        <w:rPr>
          <w:sz w:val="22"/>
        </w:rPr>
        <w:t>.</w:t>
      </w:r>
      <w:r w:rsidRPr="00985174">
        <w:rPr>
          <w:sz w:val="22"/>
        </w:rPr>
        <w:t xml:space="preserve"> </w:t>
      </w:r>
    </w:p>
    <w:p w14:paraId="025289AC" w14:textId="77777777" w:rsidR="00345FF4" w:rsidRDefault="00345FF4" w:rsidP="00795703">
      <w:pPr>
        <w:pStyle w:val="Heading3"/>
      </w:pPr>
      <w:bookmarkStart w:id="16" w:name="_Toc34985632"/>
      <w:r w:rsidRPr="00345FF4">
        <w:t>Monitoring and enforcement</w:t>
      </w:r>
      <w:bookmarkEnd w:id="16"/>
      <w:r w:rsidRPr="00345FF4">
        <w:t xml:space="preserve"> </w:t>
      </w:r>
    </w:p>
    <w:p w14:paraId="1F4F133C" w14:textId="14B90319" w:rsidR="00345FF4" w:rsidRPr="00345FF4" w:rsidRDefault="003007DF" w:rsidP="00345FF4">
      <w:pPr>
        <w:rPr>
          <w:sz w:val="22"/>
        </w:rPr>
      </w:pPr>
      <w:r>
        <w:rPr>
          <w:sz w:val="22"/>
        </w:rPr>
        <w:t>The Department</w:t>
      </w:r>
      <w:r w:rsidR="00345FF4" w:rsidRPr="00345FF4">
        <w:rPr>
          <w:sz w:val="22"/>
        </w:rPr>
        <w:t xml:space="preserve"> use</w:t>
      </w:r>
      <w:r w:rsidR="00795703">
        <w:rPr>
          <w:sz w:val="22"/>
        </w:rPr>
        <w:t>s</w:t>
      </w:r>
      <w:r w:rsidR="00345FF4" w:rsidRPr="00345FF4">
        <w:rPr>
          <w:sz w:val="22"/>
        </w:rPr>
        <w:t xml:space="preserve"> a variety of regulatory tools to monitor a reporting entity’s compliance with AML/CFT obligations.  These include desk-based reviews of reporting entities’ documents to test technical compliance; on-site inspections to test effectiveness of implementation of </w:t>
      </w:r>
      <w:r w:rsidR="00B03C92">
        <w:rPr>
          <w:sz w:val="22"/>
        </w:rPr>
        <w:t xml:space="preserve">AML/CFT </w:t>
      </w:r>
      <w:r w:rsidR="00345FF4" w:rsidRPr="00345FF4">
        <w:rPr>
          <w:sz w:val="22"/>
        </w:rPr>
        <w:t xml:space="preserve">programmes; analysis of annual reports; and independent audits.  </w:t>
      </w:r>
    </w:p>
    <w:p w14:paraId="37A1B439" w14:textId="54E79641" w:rsidR="00345FF4" w:rsidRPr="00345FF4" w:rsidRDefault="00345FF4" w:rsidP="00345FF4">
      <w:pPr>
        <w:rPr>
          <w:sz w:val="22"/>
        </w:rPr>
      </w:pPr>
      <w:r w:rsidRPr="00345FF4">
        <w:rPr>
          <w:sz w:val="22"/>
        </w:rPr>
        <w:t xml:space="preserve">When </w:t>
      </w:r>
      <w:r w:rsidR="0049255B">
        <w:rPr>
          <w:sz w:val="22"/>
        </w:rPr>
        <w:t>the Department</w:t>
      </w:r>
      <w:r w:rsidRPr="00345FF4">
        <w:rPr>
          <w:sz w:val="22"/>
        </w:rPr>
        <w:t xml:space="preserve"> identif</w:t>
      </w:r>
      <w:r w:rsidR="00795703">
        <w:rPr>
          <w:sz w:val="22"/>
        </w:rPr>
        <w:t>ies</w:t>
      </w:r>
      <w:r w:rsidRPr="00345FF4">
        <w:rPr>
          <w:sz w:val="22"/>
        </w:rPr>
        <w:t xml:space="preserve"> reporting entities that are not meeting their obligations under the Act </w:t>
      </w:r>
      <w:r w:rsidR="0049255B">
        <w:rPr>
          <w:sz w:val="22"/>
        </w:rPr>
        <w:t>the Department</w:t>
      </w:r>
      <w:r w:rsidR="00795703">
        <w:rPr>
          <w:sz w:val="22"/>
        </w:rPr>
        <w:t xml:space="preserve"> will</w:t>
      </w:r>
      <w:r w:rsidRPr="00345FF4">
        <w:rPr>
          <w:sz w:val="22"/>
        </w:rPr>
        <w:t xml:space="preserve"> consider </w:t>
      </w:r>
      <w:r w:rsidR="00795703" w:rsidRPr="00345FF4">
        <w:rPr>
          <w:sz w:val="22"/>
        </w:rPr>
        <w:t>several</w:t>
      </w:r>
      <w:r w:rsidRPr="00345FF4">
        <w:rPr>
          <w:sz w:val="22"/>
        </w:rPr>
        <w:t xml:space="preserve"> options. One of these options is a remediation plan with the reporting entity. A remediation plan includes a set of expected outcomes that the reporting entity must complete within a set timeframe.  The timeframe includes measurable progress towards meeting the obligations under the Act. In most cases the timeframe and actions are </w:t>
      </w:r>
      <w:r w:rsidR="00795703" w:rsidRPr="00345FF4">
        <w:rPr>
          <w:sz w:val="22"/>
        </w:rPr>
        <w:t>met,</w:t>
      </w:r>
      <w:r w:rsidRPr="00345FF4">
        <w:rPr>
          <w:sz w:val="22"/>
        </w:rPr>
        <w:t xml:space="preserve"> and the reporting entity progresses towards meeting the obligations.</w:t>
      </w:r>
    </w:p>
    <w:p w14:paraId="518BB6DD" w14:textId="53E9995C" w:rsidR="00345FF4" w:rsidRPr="00345FF4" w:rsidRDefault="00345FF4" w:rsidP="00345FF4">
      <w:pPr>
        <w:rPr>
          <w:sz w:val="22"/>
        </w:rPr>
      </w:pPr>
      <w:r w:rsidRPr="00345FF4">
        <w:rPr>
          <w:sz w:val="22"/>
        </w:rPr>
        <w:t>In response to more serious or deliberate non</w:t>
      </w:r>
      <w:r w:rsidR="004925C6">
        <w:rPr>
          <w:sz w:val="22"/>
        </w:rPr>
        <w:t>-</w:t>
      </w:r>
      <w:r w:rsidRPr="00345FF4">
        <w:rPr>
          <w:sz w:val="22"/>
        </w:rPr>
        <w:t xml:space="preserve">compliance, </w:t>
      </w:r>
      <w:r w:rsidR="003007DF">
        <w:rPr>
          <w:sz w:val="22"/>
        </w:rPr>
        <w:t>the Department</w:t>
      </w:r>
      <w:r w:rsidRPr="00345FF4">
        <w:rPr>
          <w:sz w:val="22"/>
        </w:rPr>
        <w:t xml:space="preserve"> may decide to issue a formal warning or to accept an enforceable undertaking. Alternatively, </w:t>
      </w:r>
      <w:r w:rsidR="003007DF">
        <w:rPr>
          <w:sz w:val="22"/>
        </w:rPr>
        <w:t>the Department</w:t>
      </w:r>
      <w:r w:rsidRPr="00345FF4">
        <w:rPr>
          <w:sz w:val="22"/>
        </w:rPr>
        <w:t xml:space="preserve"> may decide to seek an interim, performance</w:t>
      </w:r>
      <w:r w:rsidR="00795703">
        <w:rPr>
          <w:sz w:val="22"/>
        </w:rPr>
        <w:t>,</w:t>
      </w:r>
      <w:r w:rsidRPr="00345FF4">
        <w:rPr>
          <w:sz w:val="22"/>
        </w:rPr>
        <w:t xml:space="preserve"> or restraining injunction, or a pecuniary penalty, from the High Court. </w:t>
      </w:r>
    </w:p>
    <w:p w14:paraId="4A9343C2" w14:textId="10D82F3C" w:rsidR="00345FF4" w:rsidRDefault="00345FF4" w:rsidP="00345FF4">
      <w:pPr>
        <w:rPr>
          <w:sz w:val="22"/>
        </w:rPr>
      </w:pPr>
      <w:r w:rsidRPr="00345FF4">
        <w:rPr>
          <w:sz w:val="22"/>
        </w:rPr>
        <w:t xml:space="preserve">In the most serious of cases, acts that are engaged in knowingly or recklessly are criminal offences. There are </w:t>
      </w:r>
      <w:r w:rsidR="001E0AD5" w:rsidRPr="00345FF4">
        <w:rPr>
          <w:sz w:val="22"/>
        </w:rPr>
        <w:t>several</w:t>
      </w:r>
      <w:r w:rsidRPr="00345FF4">
        <w:rPr>
          <w:sz w:val="22"/>
        </w:rPr>
        <w:t xml:space="preserve"> further criminal offences; for example, failing to report or keep records relating to suspicious activities, structuring transactions to avoid AML/CFT requirements, and obstructing or misleading a supervisor. Where necessary, </w:t>
      </w:r>
      <w:r w:rsidR="0049255B">
        <w:rPr>
          <w:sz w:val="22"/>
        </w:rPr>
        <w:t>the Department</w:t>
      </w:r>
      <w:r w:rsidRPr="00345FF4">
        <w:rPr>
          <w:sz w:val="22"/>
        </w:rPr>
        <w:t xml:space="preserve"> will prosecute reporting entities for criminal offences under the Act.</w:t>
      </w:r>
    </w:p>
    <w:p w14:paraId="1FA01247" w14:textId="77777777" w:rsidR="00A120FF" w:rsidRDefault="00985174" w:rsidP="00A120FF">
      <w:pPr>
        <w:pStyle w:val="Heading3"/>
      </w:pPr>
      <w:bookmarkStart w:id="17" w:name="_Toc34985633"/>
      <w:r w:rsidRPr="00985174">
        <w:t>Investigations of ML/TF</w:t>
      </w:r>
      <w:bookmarkEnd w:id="17"/>
    </w:p>
    <w:p w14:paraId="77BBE510" w14:textId="5098DDD3" w:rsidR="00985174" w:rsidRPr="00985174" w:rsidRDefault="00985174" w:rsidP="00985174">
      <w:pPr>
        <w:rPr>
          <w:rFonts w:ascii="Tahoma" w:hAnsi="Tahoma" w:cs="Tahoma"/>
          <w:sz w:val="22"/>
        </w:rPr>
      </w:pPr>
      <w:r w:rsidRPr="00985174">
        <w:rPr>
          <w:sz w:val="22"/>
        </w:rPr>
        <w:t>In New Zealand it is a criminal offence to knowingly and intentionally engage in, or facilitate any other person to engage in, money laundering or the financing of terrorism</w:t>
      </w:r>
      <w:r w:rsidR="00A120FF">
        <w:rPr>
          <w:sz w:val="22"/>
        </w:rPr>
        <w:t>.</w:t>
      </w:r>
      <w:r w:rsidRPr="00985174">
        <w:rPr>
          <w:sz w:val="22"/>
        </w:rPr>
        <w:t xml:space="preserve"> The New Zealand Police are responsible for investigating and prosecuting ML/TF offences, as well as forfeiture proceedings relating to the proceeds of crime</w:t>
      </w:r>
      <w:r w:rsidR="00A120FF">
        <w:rPr>
          <w:sz w:val="22"/>
        </w:rPr>
        <w:t>.</w:t>
      </w:r>
      <w:r w:rsidRPr="00985174">
        <w:rPr>
          <w:sz w:val="22"/>
        </w:rPr>
        <w:t xml:space="preserve"> A robust AML/CFT system, in which reporting entities are conducting CDD, keeping customer and transaction records, and reporting suspicious activities, is an important tool in the collective fight against financial and organised crime</w:t>
      </w:r>
      <w:r w:rsidR="00A120FF">
        <w:rPr>
          <w:sz w:val="22"/>
        </w:rPr>
        <w:t>.</w:t>
      </w:r>
    </w:p>
    <w:p w14:paraId="0A7C7750" w14:textId="5E0D6EAB" w:rsidR="00985174" w:rsidRDefault="00985174">
      <w:pPr>
        <w:keepLines w:val="0"/>
        <w:rPr>
          <w:rFonts w:ascii="Tahoma" w:hAnsi="Tahoma" w:cs="Tahoma"/>
        </w:rPr>
      </w:pPr>
      <w:r>
        <w:rPr>
          <w:rFonts w:ascii="Tahoma" w:hAnsi="Tahoma" w:cs="Tahoma"/>
        </w:rPr>
        <w:br w:type="page"/>
      </w:r>
    </w:p>
    <w:p w14:paraId="534F0B8A" w14:textId="5A24F1DB" w:rsidR="00A12807" w:rsidRDefault="00A12807" w:rsidP="00E3084C">
      <w:pPr>
        <w:pStyle w:val="Heading1"/>
      </w:pPr>
      <w:bookmarkStart w:id="18" w:name="_Toc34985634"/>
      <w:r>
        <w:lastRenderedPageBreak/>
        <w:t xml:space="preserve">Compliance </w:t>
      </w:r>
      <w:r w:rsidR="00C41CCE">
        <w:t>Obligations</w:t>
      </w:r>
      <w:bookmarkEnd w:id="18"/>
    </w:p>
    <w:p w14:paraId="589D3F9C" w14:textId="72BCDF07" w:rsidR="00C221F2" w:rsidRDefault="00C221F2" w:rsidP="00C221F2">
      <w:pPr>
        <w:rPr>
          <w:sz w:val="22"/>
        </w:rPr>
      </w:pPr>
      <w:r w:rsidRPr="002770AE">
        <w:rPr>
          <w:sz w:val="22"/>
        </w:rPr>
        <w:t>VASPs have the same obligations as other reporting entities under the Act</w:t>
      </w:r>
      <w:r w:rsidR="00FC5555">
        <w:rPr>
          <w:sz w:val="22"/>
        </w:rPr>
        <w:t>.</w:t>
      </w:r>
      <w:r w:rsidR="006378FD">
        <w:rPr>
          <w:sz w:val="22"/>
        </w:rPr>
        <w:t xml:space="preserve"> The initial steps towards AML</w:t>
      </w:r>
      <w:r w:rsidR="003007DF">
        <w:rPr>
          <w:sz w:val="22"/>
        </w:rPr>
        <w:t>/CFT</w:t>
      </w:r>
      <w:r w:rsidR="006378FD">
        <w:rPr>
          <w:sz w:val="22"/>
        </w:rPr>
        <w:t xml:space="preserve"> compliance involve:</w:t>
      </w:r>
    </w:p>
    <w:p w14:paraId="7556189F" w14:textId="35D88F3A" w:rsidR="00FC5555" w:rsidRDefault="006378FD" w:rsidP="000D3935">
      <w:pPr>
        <w:pStyle w:val="ListParagraph"/>
        <w:numPr>
          <w:ilvl w:val="0"/>
          <w:numId w:val="22"/>
        </w:numPr>
        <w:rPr>
          <w:sz w:val="22"/>
        </w:rPr>
      </w:pPr>
      <w:r>
        <w:rPr>
          <w:sz w:val="22"/>
        </w:rPr>
        <w:t>Appointing a</w:t>
      </w:r>
      <w:r w:rsidR="00FC5555">
        <w:rPr>
          <w:sz w:val="22"/>
        </w:rPr>
        <w:t xml:space="preserve"> Compliance Officer</w:t>
      </w:r>
    </w:p>
    <w:p w14:paraId="6B5F53D3" w14:textId="170870E2" w:rsidR="006378FD" w:rsidRDefault="006378FD" w:rsidP="000D3935">
      <w:pPr>
        <w:pStyle w:val="ListParagraph"/>
        <w:numPr>
          <w:ilvl w:val="0"/>
          <w:numId w:val="22"/>
        </w:numPr>
        <w:rPr>
          <w:sz w:val="22"/>
        </w:rPr>
      </w:pPr>
      <w:r>
        <w:rPr>
          <w:sz w:val="22"/>
        </w:rPr>
        <w:t>Undertaking</w:t>
      </w:r>
      <w:r w:rsidR="00FC5555">
        <w:rPr>
          <w:sz w:val="22"/>
        </w:rPr>
        <w:t xml:space="preserve"> a</w:t>
      </w:r>
      <w:r w:rsidR="00B00F69">
        <w:rPr>
          <w:sz w:val="22"/>
        </w:rPr>
        <w:t xml:space="preserve"> </w:t>
      </w:r>
      <w:r w:rsidR="00FC5555">
        <w:rPr>
          <w:sz w:val="22"/>
        </w:rPr>
        <w:t xml:space="preserve">Risk Assessment </w:t>
      </w:r>
    </w:p>
    <w:p w14:paraId="592F32A8" w14:textId="5831CFE8" w:rsidR="00FC5555" w:rsidRDefault="006378FD" w:rsidP="000D3935">
      <w:pPr>
        <w:pStyle w:val="ListParagraph"/>
        <w:numPr>
          <w:ilvl w:val="0"/>
          <w:numId w:val="22"/>
        </w:numPr>
        <w:rPr>
          <w:sz w:val="22"/>
        </w:rPr>
      </w:pPr>
      <w:r>
        <w:rPr>
          <w:sz w:val="22"/>
        </w:rPr>
        <w:t xml:space="preserve">Development of an </w:t>
      </w:r>
      <w:r w:rsidR="00FC5555">
        <w:rPr>
          <w:sz w:val="22"/>
        </w:rPr>
        <w:t>AML/CFT Programme</w:t>
      </w:r>
    </w:p>
    <w:p w14:paraId="226FA430" w14:textId="248A940A" w:rsidR="006378FD" w:rsidRDefault="006378FD" w:rsidP="006378FD">
      <w:pPr>
        <w:rPr>
          <w:sz w:val="22"/>
        </w:rPr>
      </w:pPr>
      <w:r>
        <w:rPr>
          <w:sz w:val="22"/>
        </w:rPr>
        <w:t xml:space="preserve">Further </w:t>
      </w:r>
      <w:r w:rsidR="000F4537">
        <w:rPr>
          <w:sz w:val="22"/>
        </w:rPr>
        <w:t>compliance obligations covered in this section include:</w:t>
      </w:r>
    </w:p>
    <w:p w14:paraId="168B558D" w14:textId="180A88BB" w:rsidR="00E13AD4" w:rsidRDefault="003007DF" w:rsidP="000D3935">
      <w:pPr>
        <w:pStyle w:val="ListParagraph"/>
        <w:numPr>
          <w:ilvl w:val="0"/>
          <w:numId w:val="22"/>
        </w:numPr>
        <w:rPr>
          <w:sz w:val="22"/>
        </w:rPr>
      </w:pPr>
      <w:r>
        <w:rPr>
          <w:sz w:val="22"/>
        </w:rPr>
        <w:t xml:space="preserve">Submitting </w:t>
      </w:r>
      <w:r w:rsidR="00FC5555">
        <w:rPr>
          <w:sz w:val="22"/>
        </w:rPr>
        <w:t>Annual Reports</w:t>
      </w:r>
    </w:p>
    <w:p w14:paraId="7C437554" w14:textId="682770D2" w:rsidR="00E13AD4" w:rsidRDefault="00B00F69" w:rsidP="000D3935">
      <w:pPr>
        <w:pStyle w:val="ListParagraph"/>
        <w:numPr>
          <w:ilvl w:val="0"/>
          <w:numId w:val="22"/>
        </w:numPr>
        <w:rPr>
          <w:sz w:val="22"/>
        </w:rPr>
      </w:pPr>
      <w:r>
        <w:rPr>
          <w:sz w:val="22"/>
        </w:rPr>
        <w:t>Independent a</w:t>
      </w:r>
      <w:r w:rsidR="00FC5555">
        <w:rPr>
          <w:sz w:val="22"/>
        </w:rPr>
        <w:t>udits</w:t>
      </w:r>
      <w:r w:rsidR="003007DF">
        <w:rPr>
          <w:sz w:val="22"/>
        </w:rPr>
        <w:t xml:space="preserve"> of your AML/CFT Programme</w:t>
      </w:r>
    </w:p>
    <w:p w14:paraId="6548BFA2" w14:textId="1382B701" w:rsidR="00FC5555" w:rsidRDefault="00FC5555" w:rsidP="000D3935">
      <w:pPr>
        <w:pStyle w:val="ListParagraph"/>
        <w:numPr>
          <w:ilvl w:val="0"/>
          <w:numId w:val="22"/>
        </w:numPr>
        <w:rPr>
          <w:sz w:val="22"/>
        </w:rPr>
      </w:pPr>
      <w:r>
        <w:rPr>
          <w:sz w:val="22"/>
        </w:rPr>
        <w:t xml:space="preserve">Record </w:t>
      </w:r>
      <w:r w:rsidR="004925C6">
        <w:rPr>
          <w:sz w:val="22"/>
        </w:rPr>
        <w:t>k</w:t>
      </w:r>
      <w:r>
        <w:rPr>
          <w:sz w:val="22"/>
        </w:rPr>
        <w:t>eeping</w:t>
      </w:r>
      <w:r w:rsidR="003007DF">
        <w:rPr>
          <w:sz w:val="22"/>
        </w:rPr>
        <w:t xml:space="preserve"> requirements</w:t>
      </w:r>
    </w:p>
    <w:p w14:paraId="54AD72BE" w14:textId="18B3628E" w:rsidR="000F4537" w:rsidRPr="00E13AD4" w:rsidRDefault="00BA3A16" w:rsidP="000D3935">
      <w:pPr>
        <w:pStyle w:val="ListParagraph"/>
        <w:numPr>
          <w:ilvl w:val="0"/>
          <w:numId w:val="22"/>
        </w:numPr>
        <w:rPr>
          <w:sz w:val="22"/>
        </w:rPr>
      </w:pPr>
      <w:r>
        <w:rPr>
          <w:sz w:val="22"/>
        </w:rPr>
        <w:t xml:space="preserve">Wire </w:t>
      </w:r>
      <w:r w:rsidR="004925C6">
        <w:rPr>
          <w:sz w:val="22"/>
        </w:rPr>
        <w:t>t</w:t>
      </w:r>
      <w:r>
        <w:rPr>
          <w:sz w:val="22"/>
        </w:rPr>
        <w:t>ransfers</w:t>
      </w:r>
    </w:p>
    <w:p w14:paraId="28FC0902" w14:textId="15D49CAB" w:rsidR="00EF4AF5" w:rsidRDefault="00C53A29" w:rsidP="00C53A29">
      <w:pPr>
        <w:rPr>
          <w:sz w:val="22"/>
        </w:rPr>
      </w:pPr>
      <w:r>
        <w:rPr>
          <w:sz w:val="22"/>
        </w:rPr>
        <w:t xml:space="preserve">Additional guidance material issued by the supervisors is referenced in the relevant sections. VASPs should also make use of relevant </w:t>
      </w:r>
      <w:r w:rsidR="00BA3A16">
        <w:rPr>
          <w:sz w:val="22"/>
        </w:rPr>
        <w:t>information</w:t>
      </w:r>
      <w:r>
        <w:rPr>
          <w:sz w:val="22"/>
        </w:rPr>
        <w:t xml:space="preserve"> </w:t>
      </w:r>
      <w:r w:rsidR="00BA3A16">
        <w:rPr>
          <w:sz w:val="22"/>
        </w:rPr>
        <w:t>from</w:t>
      </w:r>
      <w:r>
        <w:rPr>
          <w:sz w:val="22"/>
        </w:rPr>
        <w:t xml:space="preserve"> </w:t>
      </w:r>
      <w:r w:rsidR="00BA3A16">
        <w:rPr>
          <w:sz w:val="22"/>
        </w:rPr>
        <w:t xml:space="preserve">both </w:t>
      </w:r>
      <w:r>
        <w:rPr>
          <w:sz w:val="22"/>
        </w:rPr>
        <w:t>domestic agencies such as the NZ Police Financial Intelligence Unit (FIU) and from international bodies, such as FATF.</w:t>
      </w:r>
    </w:p>
    <w:p w14:paraId="4D8A6EB8" w14:textId="19C6FC2A" w:rsidR="00C221F2" w:rsidRPr="00C221F2" w:rsidRDefault="00C221F2" w:rsidP="0021761C">
      <w:pPr>
        <w:pStyle w:val="Heading2"/>
      </w:pPr>
      <w:bookmarkStart w:id="19" w:name="_Toc34985635"/>
      <w:r>
        <w:t>Compliance Officer</w:t>
      </w:r>
      <w:bookmarkEnd w:id="19"/>
    </w:p>
    <w:p w14:paraId="40A45583" w14:textId="12F345BC" w:rsidR="00C221F2" w:rsidRDefault="00C221F2" w:rsidP="00411BE4">
      <w:pPr>
        <w:rPr>
          <w:sz w:val="22"/>
        </w:rPr>
      </w:pPr>
      <w:r>
        <w:rPr>
          <w:sz w:val="22"/>
        </w:rPr>
        <w:t xml:space="preserve">Appointing </w:t>
      </w:r>
      <w:r w:rsidR="004925C6">
        <w:rPr>
          <w:sz w:val="22"/>
        </w:rPr>
        <w:t xml:space="preserve">a compliance officer </w:t>
      </w:r>
      <w:r>
        <w:rPr>
          <w:sz w:val="22"/>
        </w:rPr>
        <w:t xml:space="preserve">is </w:t>
      </w:r>
      <w:r w:rsidR="00FC5555">
        <w:rPr>
          <w:sz w:val="22"/>
        </w:rPr>
        <w:t xml:space="preserve">the first step towards compliance. Having a </w:t>
      </w:r>
      <w:r w:rsidR="005E2198">
        <w:rPr>
          <w:sz w:val="22"/>
        </w:rPr>
        <w:t xml:space="preserve">compliance officer </w:t>
      </w:r>
      <w:r w:rsidR="00FC5555">
        <w:rPr>
          <w:sz w:val="22"/>
        </w:rPr>
        <w:t>is mandated under the Act</w:t>
      </w:r>
      <w:r w:rsidR="00B05151">
        <w:rPr>
          <w:sz w:val="22"/>
        </w:rPr>
        <w:t>.</w:t>
      </w:r>
    </w:p>
    <w:p w14:paraId="05E81C17" w14:textId="50FAE7E4" w:rsidR="00FC5555" w:rsidRDefault="00FC5555" w:rsidP="00411BE4">
      <w:pPr>
        <w:rPr>
          <w:sz w:val="22"/>
        </w:rPr>
      </w:pPr>
      <w:r w:rsidRPr="00FC5555">
        <w:rPr>
          <w:sz w:val="22"/>
        </w:rPr>
        <w:t xml:space="preserve">The </w:t>
      </w:r>
      <w:r w:rsidR="005E2198">
        <w:rPr>
          <w:sz w:val="22"/>
        </w:rPr>
        <w:t>compliance officer</w:t>
      </w:r>
      <w:r w:rsidRPr="00FC5555">
        <w:rPr>
          <w:sz w:val="22"/>
        </w:rPr>
        <w:t xml:space="preserve"> should be an employee of </w:t>
      </w:r>
      <w:r w:rsidR="00B76A5D">
        <w:rPr>
          <w:sz w:val="22"/>
        </w:rPr>
        <w:t>your</w:t>
      </w:r>
      <w:r w:rsidRPr="00FC5555">
        <w:rPr>
          <w:sz w:val="22"/>
        </w:rPr>
        <w:t xml:space="preserve"> business who reports to a senior manager or partner of the business. If </w:t>
      </w:r>
      <w:r>
        <w:rPr>
          <w:sz w:val="22"/>
        </w:rPr>
        <w:t>the VASP is a solo operator</w:t>
      </w:r>
      <w:r w:rsidRPr="00FC5555">
        <w:rPr>
          <w:sz w:val="22"/>
        </w:rPr>
        <w:t xml:space="preserve">, </w:t>
      </w:r>
      <w:r>
        <w:rPr>
          <w:sz w:val="22"/>
        </w:rPr>
        <w:t>they</w:t>
      </w:r>
      <w:r w:rsidRPr="00FC5555">
        <w:rPr>
          <w:sz w:val="22"/>
        </w:rPr>
        <w:t xml:space="preserve"> </w:t>
      </w:r>
      <w:r w:rsidR="00B76A5D">
        <w:rPr>
          <w:sz w:val="22"/>
        </w:rPr>
        <w:t>are</w:t>
      </w:r>
      <w:r w:rsidRPr="00FC5555">
        <w:rPr>
          <w:sz w:val="22"/>
        </w:rPr>
        <w:t xml:space="preserve"> expected to act as the </w:t>
      </w:r>
      <w:r w:rsidR="005E2198">
        <w:rPr>
          <w:sz w:val="22"/>
        </w:rPr>
        <w:t>compliance officer</w:t>
      </w:r>
      <w:r w:rsidRPr="00FC5555">
        <w:rPr>
          <w:sz w:val="22"/>
        </w:rPr>
        <w:t xml:space="preserve"> themselves and take full responsibility for all compliance requirements</w:t>
      </w:r>
      <w:r>
        <w:rPr>
          <w:sz w:val="22"/>
        </w:rPr>
        <w:t>.</w:t>
      </w:r>
    </w:p>
    <w:p w14:paraId="64EF83A1" w14:textId="267B667B" w:rsidR="00EF4AF5" w:rsidRDefault="00D50000" w:rsidP="00411BE4">
      <w:pPr>
        <w:rPr>
          <w:sz w:val="22"/>
        </w:rPr>
      </w:pPr>
      <w:r>
        <w:rPr>
          <w:sz w:val="22"/>
        </w:rPr>
        <w:t xml:space="preserve">When your </w:t>
      </w:r>
      <w:r w:rsidR="005E2198">
        <w:rPr>
          <w:sz w:val="22"/>
        </w:rPr>
        <w:t>compliance officer</w:t>
      </w:r>
      <w:r>
        <w:rPr>
          <w:sz w:val="22"/>
        </w:rPr>
        <w:t xml:space="preserve"> is appointed, they should </w:t>
      </w:r>
      <w:r w:rsidR="00BA3A16">
        <w:rPr>
          <w:sz w:val="22"/>
        </w:rPr>
        <w:t>contact</w:t>
      </w:r>
      <w:r>
        <w:rPr>
          <w:sz w:val="22"/>
        </w:rPr>
        <w:t xml:space="preserve"> </w:t>
      </w:r>
      <w:r w:rsidR="005E2198">
        <w:rPr>
          <w:sz w:val="22"/>
        </w:rPr>
        <w:t xml:space="preserve">the Department </w:t>
      </w:r>
      <w:r>
        <w:rPr>
          <w:sz w:val="22"/>
        </w:rPr>
        <w:t xml:space="preserve">via the </w:t>
      </w:r>
      <w:hyperlink r:id="rId39" w:history="1">
        <w:r w:rsidRPr="00B76A5D">
          <w:rPr>
            <w:rStyle w:val="Hyperlink"/>
            <w:sz w:val="22"/>
          </w:rPr>
          <w:t>AML Online portal</w:t>
        </w:r>
      </w:hyperlink>
      <w:r>
        <w:rPr>
          <w:sz w:val="22"/>
        </w:rPr>
        <w:t xml:space="preserve"> and register their details. It is important that these details </w:t>
      </w:r>
      <w:r w:rsidR="00BA3A16">
        <w:rPr>
          <w:sz w:val="22"/>
        </w:rPr>
        <w:t>are registered</w:t>
      </w:r>
      <w:r>
        <w:rPr>
          <w:sz w:val="22"/>
        </w:rPr>
        <w:t xml:space="preserve"> and kept up-to-date as t</w:t>
      </w:r>
      <w:r w:rsidRPr="00D50000">
        <w:rPr>
          <w:sz w:val="22"/>
        </w:rPr>
        <w:t xml:space="preserve">his enables </w:t>
      </w:r>
      <w:r w:rsidR="00B76A5D">
        <w:rPr>
          <w:sz w:val="22"/>
        </w:rPr>
        <w:t>the Department</w:t>
      </w:r>
      <w:r w:rsidR="00B76A5D" w:rsidRPr="00D50000">
        <w:rPr>
          <w:sz w:val="22"/>
        </w:rPr>
        <w:t xml:space="preserve"> </w:t>
      </w:r>
      <w:r w:rsidRPr="00D50000">
        <w:rPr>
          <w:sz w:val="22"/>
        </w:rPr>
        <w:t>to communicate effectively and provide important information and updates</w:t>
      </w:r>
      <w:r>
        <w:rPr>
          <w:sz w:val="22"/>
        </w:rPr>
        <w:t>.</w:t>
      </w:r>
    </w:p>
    <w:p w14:paraId="47D6CF6A" w14:textId="01C499F3" w:rsidR="00C221F2" w:rsidRDefault="000E4916" w:rsidP="007C1BEC">
      <w:pPr>
        <w:pStyle w:val="Heading2"/>
      </w:pPr>
      <w:bookmarkStart w:id="20" w:name="_Toc34985636"/>
      <w:r>
        <w:t>Risk Assessment</w:t>
      </w:r>
      <w:bookmarkEnd w:id="20"/>
    </w:p>
    <w:p w14:paraId="529414C3" w14:textId="774185BB" w:rsidR="00B76A5D" w:rsidRDefault="00D50000" w:rsidP="00B76A5D">
      <w:pPr>
        <w:rPr>
          <w:sz w:val="22"/>
        </w:rPr>
      </w:pPr>
      <w:r w:rsidRPr="00D50000">
        <w:rPr>
          <w:sz w:val="22"/>
        </w:rPr>
        <w:t>All reporting entities must undertake a risk assessment, and it must be</w:t>
      </w:r>
      <w:r w:rsidR="00B76A5D">
        <w:rPr>
          <w:sz w:val="22"/>
        </w:rPr>
        <w:t xml:space="preserve"> recorded</w:t>
      </w:r>
      <w:r w:rsidRPr="00D50000">
        <w:rPr>
          <w:sz w:val="22"/>
        </w:rPr>
        <w:t xml:space="preserve"> in writing. The specific requirements for a risk assessment are set out in section 58 of the Act</w:t>
      </w:r>
      <w:r w:rsidR="00B76A5D">
        <w:rPr>
          <w:sz w:val="22"/>
        </w:rPr>
        <w:t>, which includes the requirement</w:t>
      </w:r>
      <w:r w:rsidRPr="00D50000">
        <w:rPr>
          <w:sz w:val="22"/>
        </w:rPr>
        <w:t xml:space="preserve"> that you have regard to guidance produced by the AML/CFT supervisors when developing your risk assessment</w:t>
      </w:r>
      <w:r w:rsidR="00B76A5D">
        <w:rPr>
          <w:sz w:val="22"/>
        </w:rPr>
        <w:t>.</w:t>
      </w:r>
      <w:r w:rsidR="004412F3">
        <w:rPr>
          <w:sz w:val="22"/>
        </w:rPr>
        <w:t xml:space="preserve"> </w:t>
      </w:r>
      <w:r w:rsidR="00B76A5D" w:rsidRPr="002770AE">
        <w:rPr>
          <w:sz w:val="22"/>
        </w:rPr>
        <w:t>The following</w:t>
      </w:r>
      <w:r w:rsidR="00B76A5D">
        <w:rPr>
          <w:sz w:val="22"/>
        </w:rPr>
        <w:t xml:space="preserve"> are examples of</w:t>
      </w:r>
      <w:r w:rsidR="00B76A5D" w:rsidRPr="002770AE">
        <w:rPr>
          <w:sz w:val="22"/>
        </w:rPr>
        <w:t xml:space="preserve"> guid</w:t>
      </w:r>
      <w:r w:rsidR="00B76A5D">
        <w:rPr>
          <w:sz w:val="22"/>
        </w:rPr>
        <w:t>ance that ha</w:t>
      </w:r>
      <w:r w:rsidR="00BD38BB">
        <w:rPr>
          <w:sz w:val="22"/>
        </w:rPr>
        <w:t>ve</w:t>
      </w:r>
      <w:r w:rsidR="00B76A5D">
        <w:rPr>
          <w:sz w:val="22"/>
        </w:rPr>
        <w:t xml:space="preserve"> been produced by the </w:t>
      </w:r>
      <w:r w:rsidR="0021761C">
        <w:rPr>
          <w:sz w:val="22"/>
        </w:rPr>
        <w:t>Department and</w:t>
      </w:r>
      <w:r w:rsidR="00B76A5D" w:rsidRPr="002770AE">
        <w:rPr>
          <w:sz w:val="22"/>
        </w:rPr>
        <w:t xml:space="preserve"> </w:t>
      </w:r>
      <w:r w:rsidR="00B76A5D">
        <w:rPr>
          <w:sz w:val="22"/>
        </w:rPr>
        <w:t>should be considered by</w:t>
      </w:r>
      <w:r w:rsidR="00B76A5D" w:rsidRPr="002770AE">
        <w:rPr>
          <w:sz w:val="22"/>
        </w:rPr>
        <w:t xml:space="preserve"> VASPs in developing their </w:t>
      </w:r>
      <w:r w:rsidR="00AA0F1E">
        <w:rPr>
          <w:sz w:val="22"/>
        </w:rPr>
        <w:t>r</w:t>
      </w:r>
      <w:r w:rsidR="00B76A5D" w:rsidRPr="002770AE">
        <w:rPr>
          <w:sz w:val="22"/>
        </w:rPr>
        <w:t xml:space="preserve">isk </w:t>
      </w:r>
      <w:r w:rsidR="00AA0F1E">
        <w:rPr>
          <w:sz w:val="22"/>
        </w:rPr>
        <w:t>a</w:t>
      </w:r>
      <w:r w:rsidR="00B76A5D" w:rsidRPr="002770AE">
        <w:rPr>
          <w:sz w:val="22"/>
        </w:rPr>
        <w:t>ssessment</w:t>
      </w:r>
      <w:r w:rsidR="00B76A5D">
        <w:rPr>
          <w:sz w:val="22"/>
        </w:rPr>
        <w:t>.</w:t>
      </w:r>
    </w:p>
    <w:p w14:paraId="15ED6F42" w14:textId="6BF49C4D" w:rsidR="00B76A5D" w:rsidRPr="002770AE" w:rsidRDefault="005F6E6A" w:rsidP="00B76A5D">
      <w:pPr>
        <w:rPr>
          <w:sz w:val="22"/>
        </w:rPr>
      </w:pPr>
      <w:hyperlink r:id="rId40" w:history="1">
        <w:r w:rsidR="00FC18F5">
          <w:rPr>
            <w:rStyle w:val="Hyperlink"/>
            <w:sz w:val="22"/>
          </w:rPr>
          <w:t>Risk Assessment Guideline</w:t>
        </w:r>
      </w:hyperlink>
    </w:p>
    <w:p w14:paraId="50D1F877" w14:textId="221D2026" w:rsidR="00B76A5D" w:rsidRDefault="005F6E6A" w:rsidP="00B76A5D">
      <w:pPr>
        <w:rPr>
          <w:rStyle w:val="Hyperlink"/>
          <w:sz w:val="22"/>
        </w:rPr>
      </w:pPr>
      <w:hyperlink r:id="rId41" w:history="1">
        <w:r w:rsidR="00FC18F5">
          <w:rPr>
            <w:rStyle w:val="Hyperlink"/>
            <w:sz w:val="22"/>
          </w:rPr>
          <w:t>Financial Institutions Sector Risk Assessment</w:t>
        </w:r>
      </w:hyperlink>
    </w:p>
    <w:p w14:paraId="2235BDA1" w14:textId="5267141E" w:rsidR="00B76A5D" w:rsidRDefault="005F6E6A" w:rsidP="00B76A5D">
      <w:pPr>
        <w:rPr>
          <w:rStyle w:val="Hyperlink"/>
          <w:sz w:val="22"/>
        </w:rPr>
      </w:pPr>
      <w:hyperlink r:id="rId42" w:history="1">
        <w:r w:rsidR="00A300FF">
          <w:rPr>
            <w:rStyle w:val="Hyperlink"/>
            <w:sz w:val="22"/>
          </w:rPr>
          <w:t>AML/CFT Risk Assessment and Programme: Prompts and Notes for DIA reporting entities</w:t>
        </w:r>
      </w:hyperlink>
    </w:p>
    <w:p w14:paraId="06958711" w14:textId="77777777" w:rsidR="00B76A5D" w:rsidRDefault="00B76A5D" w:rsidP="00D50000">
      <w:pPr>
        <w:rPr>
          <w:sz w:val="22"/>
        </w:rPr>
      </w:pPr>
    </w:p>
    <w:p w14:paraId="26A5E791" w14:textId="77777777" w:rsidR="00B76A5D" w:rsidRDefault="00B76A5D" w:rsidP="00D50000">
      <w:pPr>
        <w:rPr>
          <w:sz w:val="22"/>
        </w:rPr>
      </w:pPr>
    </w:p>
    <w:p w14:paraId="6AFF66C3" w14:textId="127F7AD8" w:rsidR="00377500" w:rsidRDefault="00B76A5D" w:rsidP="00D50000">
      <w:pPr>
        <w:rPr>
          <w:sz w:val="22"/>
        </w:rPr>
      </w:pPr>
      <w:r>
        <w:rPr>
          <w:sz w:val="22"/>
        </w:rPr>
        <w:lastRenderedPageBreak/>
        <w:t>In addition to considering guidance produced by the Department, t</w:t>
      </w:r>
      <w:r w:rsidR="00377500">
        <w:rPr>
          <w:sz w:val="22"/>
        </w:rPr>
        <w:t>he risk assessment</w:t>
      </w:r>
      <w:r>
        <w:rPr>
          <w:sz w:val="22"/>
        </w:rPr>
        <w:t xml:space="preserve"> is required by </w:t>
      </w:r>
      <w:r w:rsidR="005F6E6A">
        <w:rPr>
          <w:sz w:val="22"/>
        </w:rPr>
        <w:t>s</w:t>
      </w:r>
      <w:r>
        <w:rPr>
          <w:sz w:val="22"/>
        </w:rPr>
        <w:t>ection 58 of the Act to</w:t>
      </w:r>
      <w:r w:rsidR="00377500">
        <w:rPr>
          <w:sz w:val="22"/>
        </w:rPr>
        <w:t xml:space="preserve"> have regard to the following:</w:t>
      </w:r>
    </w:p>
    <w:p w14:paraId="3A077D63" w14:textId="77777777" w:rsidR="00377500" w:rsidRPr="00377500" w:rsidRDefault="00377500" w:rsidP="000D3935">
      <w:pPr>
        <w:pStyle w:val="ListParagraph"/>
        <w:numPr>
          <w:ilvl w:val="0"/>
          <w:numId w:val="26"/>
        </w:numPr>
        <w:rPr>
          <w:sz w:val="22"/>
        </w:rPr>
      </w:pPr>
      <w:r w:rsidRPr="00377500">
        <w:rPr>
          <w:sz w:val="22"/>
        </w:rPr>
        <w:t>The nature size and complexity of your business</w:t>
      </w:r>
    </w:p>
    <w:p w14:paraId="4C621069" w14:textId="77777777" w:rsidR="00377500" w:rsidRPr="00377500" w:rsidRDefault="00377500" w:rsidP="000D3935">
      <w:pPr>
        <w:pStyle w:val="ListParagraph"/>
        <w:numPr>
          <w:ilvl w:val="0"/>
          <w:numId w:val="26"/>
        </w:numPr>
        <w:rPr>
          <w:sz w:val="22"/>
        </w:rPr>
      </w:pPr>
      <w:r w:rsidRPr="00377500">
        <w:rPr>
          <w:sz w:val="22"/>
        </w:rPr>
        <w:t>The products and services you offer</w:t>
      </w:r>
    </w:p>
    <w:p w14:paraId="691C76FD" w14:textId="77777777" w:rsidR="00377500" w:rsidRPr="00377500" w:rsidRDefault="00377500" w:rsidP="000D3935">
      <w:pPr>
        <w:pStyle w:val="ListParagraph"/>
        <w:numPr>
          <w:ilvl w:val="0"/>
          <w:numId w:val="26"/>
        </w:numPr>
        <w:rPr>
          <w:sz w:val="22"/>
        </w:rPr>
      </w:pPr>
      <w:r w:rsidRPr="00377500">
        <w:rPr>
          <w:sz w:val="22"/>
        </w:rPr>
        <w:t>The way you deliver your products and services</w:t>
      </w:r>
    </w:p>
    <w:p w14:paraId="040DC8DE" w14:textId="77777777" w:rsidR="00377500" w:rsidRPr="00377500" w:rsidRDefault="00377500" w:rsidP="000D3935">
      <w:pPr>
        <w:pStyle w:val="ListParagraph"/>
        <w:numPr>
          <w:ilvl w:val="0"/>
          <w:numId w:val="26"/>
        </w:numPr>
        <w:rPr>
          <w:sz w:val="22"/>
        </w:rPr>
      </w:pPr>
      <w:r w:rsidRPr="00377500">
        <w:rPr>
          <w:sz w:val="22"/>
        </w:rPr>
        <w:t xml:space="preserve">The types of customers you deal with </w:t>
      </w:r>
    </w:p>
    <w:p w14:paraId="1FDF90EB" w14:textId="77777777" w:rsidR="00377500" w:rsidRPr="00377500" w:rsidRDefault="00377500" w:rsidP="000D3935">
      <w:pPr>
        <w:pStyle w:val="ListParagraph"/>
        <w:numPr>
          <w:ilvl w:val="0"/>
          <w:numId w:val="26"/>
        </w:numPr>
        <w:rPr>
          <w:sz w:val="22"/>
        </w:rPr>
      </w:pPr>
      <w:r w:rsidRPr="00377500">
        <w:rPr>
          <w:sz w:val="22"/>
        </w:rPr>
        <w:t>The countries you deal with</w:t>
      </w:r>
    </w:p>
    <w:p w14:paraId="65CF86DB" w14:textId="574CFC36" w:rsidR="00377500" w:rsidRDefault="00377500" w:rsidP="000D3935">
      <w:pPr>
        <w:pStyle w:val="ListParagraph"/>
        <w:numPr>
          <w:ilvl w:val="0"/>
          <w:numId w:val="26"/>
        </w:numPr>
        <w:rPr>
          <w:sz w:val="22"/>
        </w:rPr>
      </w:pPr>
      <w:r w:rsidRPr="00377500">
        <w:rPr>
          <w:sz w:val="22"/>
        </w:rPr>
        <w:t>The institutions you deal with.</w:t>
      </w:r>
    </w:p>
    <w:p w14:paraId="3F748F84" w14:textId="1C7BD172" w:rsidR="00377500" w:rsidRDefault="00377500" w:rsidP="00377500">
      <w:pPr>
        <w:rPr>
          <w:sz w:val="22"/>
        </w:rPr>
      </w:pPr>
      <w:r>
        <w:rPr>
          <w:sz w:val="22"/>
        </w:rPr>
        <w:t xml:space="preserve">These categories are specifically examined </w:t>
      </w:r>
      <w:r w:rsidR="00E27D70">
        <w:rPr>
          <w:sz w:val="22"/>
        </w:rPr>
        <w:t>with</w:t>
      </w:r>
      <w:r>
        <w:rPr>
          <w:sz w:val="22"/>
        </w:rPr>
        <w:t xml:space="preserve">in the </w:t>
      </w:r>
      <w:r w:rsidR="00B76A5D">
        <w:rPr>
          <w:sz w:val="22"/>
        </w:rPr>
        <w:t>Department</w:t>
      </w:r>
      <w:r w:rsidR="00B00F69">
        <w:rPr>
          <w:sz w:val="22"/>
        </w:rPr>
        <w:t>’s</w:t>
      </w:r>
      <w:r>
        <w:rPr>
          <w:sz w:val="22"/>
        </w:rPr>
        <w:t xml:space="preserve"> </w:t>
      </w:r>
      <w:hyperlink r:id="rId43" w:history="1">
        <w:r w:rsidR="00AA0F1E">
          <w:rPr>
            <w:rStyle w:val="Hyperlink"/>
            <w:sz w:val="22"/>
          </w:rPr>
          <w:t>S</w:t>
        </w:r>
        <w:r w:rsidRPr="00B00F69">
          <w:rPr>
            <w:rStyle w:val="Hyperlink"/>
            <w:sz w:val="22"/>
          </w:rPr>
          <w:t xml:space="preserve">ector </w:t>
        </w:r>
        <w:r w:rsidR="00AA0F1E">
          <w:rPr>
            <w:rStyle w:val="Hyperlink"/>
            <w:sz w:val="22"/>
          </w:rPr>
          <w:t>R</w:t>
        </w:r>
        <w:r w:rsidRPr="00B00F69">
          <w:rPr>
            <w:rStyle w:val="Hyperlink"/>
            <w:sz w:val="22"/>
          </w:rPr>
          <w:t xml:space="preserve">isk </w:t>
        </w:r>
        <w:r w:rsidR="00AA0F1E">
          <w:rPr>
            <w:rStyle w:val="Hyperlink"/>
            <w:sz w:val="22"/>
          </w:rPr>
          <w:t>A</w:t>
        </w:r>
        <w:r w:rsidRPr="00B00F69">
          <w:rPr>
            <w:rStyle w:val="Hyperlink"/>
            <w:sz w:val="22"/>
          </w:rPr>
          <w:t>ssessment</w:t>
        </w:r>
      </w:hyperlink>
      <w:r w:rsidR="00E27D70">
        <w:rPr>
          <w:sz w:val="22"/>
        </w:rPr>
        <w:t xml:space="preserve"> for VASPs, and further information can be obtained from the other NZ supervisors, as well as international sources.</w:t>
      </w:r>
      <w:r w:rsidR="00A300FF">
        <w:rPr>
          <w:sz w:val="22"/>
        </w:rPr>
        <w:t xml:space="preserve"> A good example of this is the FIU’s </w:t>
      </w:r>
      <w:hyperlink r:id="rId44" w:history="1">
        <w:r w:rsidR="00A300FF" w:rsidRPr="00A300FF">
          <w:rPr>
            <w:rStyle w:val="Hyperlink"/>
            <w:sz w:val="22"/>
          </w:rPr>
          <w:t>National Risk Assessment</w:t>
        </w:r>
      </w:hyperlink>
      <w:r w:rsidR="00CB7144">
        <w:rPr>
          <w:sz w:val="22"/>
        </w:rPr>
        <w:t xml:space="preserve"> (NRA)</w:t>
      </w:r>
      <w:r w:rsidR="00A300FF">
        <w:rPr>
          <w:sz w:val="22"/>
        </w:rPr>
        <w:t>.</w:t>
      </w:r>
    </w:p>
    <w:p w14:paraId="7236CE6B" w14:textId="40DE8094" w:rsidR="00B76A5D" w:rsidRDefault="00B76A5D" w:rsidP="00584253">
      <w:pPr>
        <w:pStyle w:val="Heading3"/>
      </w:pPr>
      <w:bookmarkStart w:id="21" w:name="_Toc34985637"/>
      <w:r>
        <w:t xml:space="preserve">Assessing your </w:t>
      </w:r>
      <w:r w:rsidR="00BD38BB">
        <w:t>ML/TF</w:t>
      </w:r>
      <w:r>
        <w:t xml:space="preserve"> Risks</w:t>
      </w:r>
      <w:bookmarkEnd w:id="21"/>
    </w:p>
    <w:p w14:paraId="5C22E21A" w14:textId="0819D98D" w:rsidR="00A300FF" w:rsidRDefault="00E27D70" w:rsidP="00377500">
      <w:pPr>
        <w:rPr>
          <w:sz w:val="22"/>
        </w:rPr>
      </w:pPr>
      <w:r>
        <w:rPr>
          <w:sz w:val="22"/>
        </w:rPr>
        <w:t>An example of some of the questions you might ask yourself when assessing the risks associated to your business:</w:t>
      </w:r>
    </w:p>
    <w:p w14:paraId="62BBA919" w14:textId="1D2F6C78" w:rsidR="00A300FF" w:rsidRDefault="00A300FF" w:rsidP="00377500">
      <w:pPr>
        <w:rPr>
          <w:sz w:val="22"/>
        </w:rPr>
      </w:pPr>
      <w:r>
        <w:rPr>
          <w:noProof/>
          <w:sz w:val="22"/>
        </w:rPr>
        <w:drawing>
          <wp:inline distT="0" distB="0" distL="0" distR="0" wp14:anchorId="3F61097E" wp14:editId="6D637BA5">
            <wp:extent cx="5486400" cy="3200400"/>
            <wp:effectExtent l="0" t="0" r="1905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48FDCBA2" w14:textId="79B26EBF" w:rsidR="00E27D70" w:rsidRPr="00E27D70" w:rsidRDefault="00E27D70" w:rsidP="00E27D70">
      <w:pPr>
        <w:rPr>
          <w:sz w:val="22"/>
        </w:rPr>
      </w:pPr>
      <w:r w:rsidRPr="00E27D70">
        <w:rPr>
          <w:sz w:val="22"/>
        </w:rPr>
        <w:t xml:space="preserve">As supervisors, </w:t>
      </w:r>
      <w:r w:rsidR="0049255B">
        <w:rPr>
          <w:sz w:val="22"/>
        </w:rPr>
        <w:t>the Department</w:t>
      </w:r>
      <w:r w:rsidRPr="00E27D70">
        <w:rPr>
          <w:sz w:val="22"/>
        </w:rPr>
        <w:t xml:space="preserve"> are looking for a written </w:t>
      </w:r>
      <w:r w:rsidR="00AA0F1E">
        <w:rPr>
          <w:sz w:val="22"/>
        </w:rPr>
        <w:t>r</w:t>
      </w:r>
      <w:r w:rsidRPr="00E27D70">
        <w:rPr>
          <w:sz w:val="22"/>
        </w:rPr>
        <w:t xml:space="preserve">isk </w:t>
      </w:r>
      <w:r w:rsidR="00AA0F1E">
        <w:rPr>
          <w:sz w:val="22"/>
        </w:rPr>
        <w:t>a</w:t>
      </w:r>
      <w:r w:rsidRPr="00E27D70">
        <w:rPr>
          <w:sz w:val="22"/>
        </w:rPr>
        <w:t>ssessment that:</w:t>
      </w:r>
    </w:p>
    <w:p w14:paraId="4B79D859" w14:textId="77777777" w:rsidR="00E27D70" w:rsidRPr="00E27D70" w:rsidRDefault="00E27D70" w:rsidP="000D3935">
      <w:pPr>
        <w:pStyle w:val="ListParagraph"/>
        <w:numPr>
          <w:ilvl w:val="0"/>
          <w:numId w:val="28"/>
        </w:numPr>
        <w:rPr>
          <w:sz w:val="22"/>
        </w:rPr>
      </w:pPr>
      <w:r w:rsidRPr="00E27D70">
        <w:rPr>
          <w:sz w:val="22"/>
        </w:rPr>
        <w:t xml:space="preserve">Shows an understanding of how your business might be vulnerable to ML/TF in the course of business and identifies the higher risk areas </w:t>
      </w:r>
    </w:p>
    <w:p w14:paraId="1C6DA7A6" w14:textId="77777777" w:rsidR="00E27D70" w:rsidRPr="00E27D70" w:rsidRDefault="00E27D70" w:rsidP="000D3935">
      <w:pPr>
        <w:pStyle w:val="ListParagraph"/>
        <w:numPr>
          <w:ilvl w:val="0"/>
          <w:numId w:val="28"/>
        </w:numPr>
        <w:rPr>
          <w:sz w:val="22"/>
        </w:rPr>
      </w:pPr>
      <w:r w:rsidRPr="00E27D70">
        <w:rPr>
          <w:sz w:val="22"/>
        </w:rPr>
        <w:t>Assesses the likelihood of those risks happening</w:t>
      </w:r>
    </w:p>
    <w:p w14:paraId="35C55290" w14:textId="1EBE0671" w:rsidR="00E27D70" w:rsidRDefault="00E27D70" w:rsidP="000D3935">
      <w:pPr>
        <w:pStyle w:val="ListParagraph"/>
        <w:numPr>
          <w:ilvl w:val="0"/>
          <w:numId w:val="28"/>
        </w:numPr>
        <w:rPr>
          <w:sz w:val="22"/>
        </w:rPr>
      </w:pPr>
      <w:r w:rsidRPr="00E27D70">
        <w:rPr>
          <w:sz w:val="22"/>
        </w:rPr>
        <w:t>Records the above and explains how you arrived at your conclusions.</w:t>
      </w:r>
    </w:p>
    <w:p w14:paraId="7B09EECB" w14:textId="77777777" w:rsidR="00082BF5" w:rsidRPr="00E27D70" w:rsidRDefault="00082BF5" w:rsidP="00082BF5">
      <w:pPr>
        <w:pStyle w:val="ListParagraph"/>
        <w:numPr>
          <w:ilvl w:val="0"/>
          <w:numId w:val="0"/>
        </w:numPr>
        <w:ind w:left="720"/>
        <w:rPr>
          <w:sz w:val="22"/>
        </w:rPr>
      </w:pPr>
    </w:p>
    <w:p w14:paraId="25C64EA4" w14:textId="1D632306" w:rsidR="00406293" w:rsidRDefault="00E27D70" w:rsidP="00E27D70">
      <w:pPr>
        <w:rPr>
          <w:sz w:val="22"/>
        </w:rPr>
      </w:pPr>
      <w:r>
        <w:rPr>
          <w:sz w:val="22"/>
        </w:rPr>
        <w:t>A good place to start is</w:t>
      </w:r>
      <w:r w:rsidRPr="00E27D70">
        <w:rPr>
          <w:sz w:val="22"/>
        </w:rPr>
        <w:t xml:space="preserve"> working through each of the sections in the </w:t>
      </w:r>
      <w:hyperlink r:id="rId50" w:history="1">
        <w:r w:rsidR="00025239">
          <w:rPr>
            <w:rStyle w:val="Hyperlink"/>
            <w:sz w:val="22"/>
          </w:rPr>
          <w:t>Risk Assessment Guideline</w:t>
        </w:r>
      </w:hyperlink>
      <w:r w:rsidR="00025239">
        <w:rPr>
          <w:sz w:val="22"/>
        </w:rPr>
        <w:t xml:space="preserve"> </w:t>
      </w:r>
      <w:r>
        <w:rPr>
          <w:sz w:val="22"/>
        </w:rPr>
        <w:t>– u</w:t>
      </w:r>
      <w:r w:rsidRPr="00E27D70">
        <w:rPr>
          <w:sz w:val="22"/>
        </w:rPr>
        <w:t>sing the questions as prompts</w:t>
      </w:r>
      <w:r>
        <w:rPr>
          <w:sz w:val="22"/>
        </w:rPr>
        <w:t>,</w:t>
      </w:r>
      <w:r w:rsidRPr="00E27D70">
        <w:rPr>
          <w:sz w:val="22"/>
        </w:rPr>
        <w:t xml:space="preserve"> then noting whether you consider the risk to your business to be low, medium</w:t>
      </w:r>
      <w:r w:rsidR="00363E4A">
        <w:rPr>
          <w:sz w:val="22"/>
        </w:rPr>
        <w:t>,</w:t>
      </w:r>
      <w:r w:rsidRPr="00E27D70">
        <w:rPr>
          <w:sz w:val="22"/>
        </w:rPr>
        <w:t xml:space="preserve"> or high.</w:t>
      </w:r>
      <w:r>
        <w:rPr>
          <w:sz w:val="22"/>
        </w:rPr>
        <w:t xml:space="preserve"> </w:t>
      </w:r>
      <w:r w:rsidR="00406293">
        <w:rPr>
          <w:sz w:val="22"/>
        </w:rPr>
        <w:t xml:space="preserve">Consulting the </w:t>
      </w:r>
      <w:hyperlink r:id="rId51" w:history="1">
        <w:r w:rsidR="00406293">
          <w:rPr>
            <w:rStyle w:val="Hyperlink"/>
            <w:sz w:val="22"/>
          </w:rPr>
          <w:t>Sector Risk Assessment</w:t>
        </w:r>
      </w:hyperlink>
      <w:r w:rsidR="00406293">
        <w:rPr>
          <w:rStyle w:val="Hyperlink"/>
          <w:sz w:val="22"/>
        </w:rPr>
        <w:t xml:space="preserve"> </w:t>
      </w:r>
      <w:r w:rsidR="00406293">
        <w:rPr>
          <w:sz w:val="22"/>
        </w:rPr>
        <w:t xml:space="preserve">will </w:t>
      </w:r>
      <w:r w:rsidR="008D53DA">
        <w:rPr>
          <w:sz w:val="22"/>
        </w:rPr>
        <w:t>help provide examples of general ML/TF risks, and risks specific to the VASP sector that you should consider.</w:t>
      </w:r>
    </w:p>
    <w:p w14:paraId="0388D827" w14:textId="4942BD18" w:rsidR="00A300FF" w:rsidRDefault="00481291" w:rsidP="00E27D70">
      <w:pPr>
        <w:rPr>
          <w:sz w:val="22"/>
        </w:rPr>
      </w:pPr>
      <w:r w:rsidRPr="00481291">
        <w:rPr>
          <w:sz w:val="22"/>
        </w:rPr>
        <w:lastRenderedPageBreak/>
        <w:t xml:space="preserve">The </w:t>
      </w:r>
      <w:r w:rsidR="00BD38BB">
        <w:rPr>
          <w:sz w:val="22"/>
        </w:rPr>
        <w:t xml:space="preserve">Act </w:t>
      </w:r>
      <w:r w:rsidRPr="00481291">
        <w:rPr>
          <w:sz w:val="22"/>
        </w:rPr>
        <w:t>requires that you consider both your specific business context and the wider risks applicable to your business</w:t>
      </w:r>
      <w:r>
        <w:rPr>
          <w:sz w:val="22"/>
        </w:rPr>
        <w:t>,</w:t>
      </w:r>
      <w:r w:rsidRPr="00481291">
        <w:rPr>
          <w:sz w:val="22"/>
        </w:rPr>
        <w:t xml:space="preserve"> and the services you offer</w:t>
      </w:r>
      <w:r>
        <w:rPr>
          <w:sz w:val="22"/>
        </w:rPr>
        <w:t>,</w:t>
      </w:r>
      <w:r w:rsidRPr="00481291">
        <w:rPr>
          <w:sz w:val="22"/>
        </w:rPr>
        <w:t xml:space="preserve"> when you conduct your risk assessment. It is important that you take a broad view of the risks that may affect you. You need to state BOTH whether your ML/TF</w:t>
      </w:r>
      <w:r w:rsidR="00BD38BB">
        <w:rPr>
          <w:sz w:val="22"/>
        </w:rPr>
        <w:t xml:space="preserve"> risk</w:t>
      </w:r>
      <w:r w:rsidRPr="00481291">
        <w:rPr>
          <w:sz w:val="22"/>
        </w:rPr>
        <w:t xml:space="preserve"> is low, medium, or high in each particular area AND how you reached this conclusion. You need to provide justifications and evidence for your ratings, and your supervisor may ask for this information.</w:t>
      </w:r>
    </w:p>
    <w:p w14:paraId="2F169458" w14:textId="442FE308" w:rsidR="00E27D70" w:rsidRDefault="00481291" w:rsidP="00E27D70">
      <w:pPr>
        <w:rPr>
          <w:sz w:val="22"/>
        </w:rPr>
      </w:pPr>
      <w:r w:rsidRPr="00481291">
        <w:rPr>
          <w:sz w:val="22"/>
        </w:rPr>
        <w:t xml:space="preserve"> </w:t>
      </w:r>
      <w:r w:rsidR="00363E4A">
        <w:rPr>
          <w:sz w:val="22"/>
        </w:rPr>
        <w:t>Continuing from the above example</w:t>
      </w:r>
      <w:r w:rsidR="008D53DA">
        <w:rPr>
          <w:sz w:val="22"/>
        </w:rPr>
        <w:t xml:space="preserve"> of the countries you deal with</w:t>
      </w:r>
      <w:r w:rsidR="00363E4A">
        <w:rPr>
          <w:sz w:val="22"/>
        </w:rPr>
        <w:t xml:space="preserve">, it is </w:t>
      </w:r>
      <w:r w:rsidR="002E190B">
        <w:rPr>
          <w:sz w:val="22"/>
        </w:rPr>
        <w:t>prudent</w:t>
      </w:r>
      <w:r w:rsidR="00363E4A">
        <w:rPr>
          <w:sz w:val="22"/>
        </w:rPr>
        <w:t xml:space="preserve"> to</w:t>
      </w:r>
      <w:r w:rsidR="00E27D70" w:rsidRPr="00E27D70">
        <w:rPr>
          <w:sz w:val="22"/>
        </w:rPr>
        <w:t xml:space="preserve"> use </w:t>
      </w:r>
      <w:r w:rsidR="008D53DA">
        <w:rPr>
          <w:sz w:val="22"/>
        </w:rPr>
        <w:t>verifiable data</w:t>
      </w:r>
      <w:r w:rsidR="00E27D70" w:rsidRPr="00E27D70">
        <w:rPr>
          <w:sz w:val="22"/>
        </w:rPr>
        <w:t xml:space="preserve"> from your company to differentiate between the different </w:t>
      </w:r>
      <w:r w:rsidR="00363E4A">
        <w:rPr>
          <w:sz w:val="22"/>
        </w:rPr>
        <w:t>countries you deal with</w:t>
      </w:r>
      <w:r w:rsidR="00E27D70" w:rsidRPr="00E27D70">
        <w:rPr>
          <w:sz w:val="22"/>
        </w:rPr>
        <w:t xml:space="preserve"> to support the analysis of </w:t>
      </w:r>
      <w:r w:rsidR="002E190B">
        <w:rPr>
          <w:sz w:val="22"/>
        </w:rPr>
        <w:t xml:space="preserve">your </w:t>
      </w:r>
      <w:r w:rsidR="00E27D70" w:rsidRPr="00E27D70">
        <w:rPr>
          <w:sz w:val="22"/>
        </w:rPr>
        <w:t xml:space="preserve">related ML/TF risk. </w:t>
      </w:r>
    </w:p>
    <w:p w14:paraId="7C258E28" w14:textId="6A88AC79" w:rsidR="00A300FF" w:rsidRDefault="00A300FF" w:rsidP="00E27D70">
      <w:pPr>
        <w:rPr>
          <w:sz w:val="22"/>
        </w:rPr>
      </w:pPr>
      <w:r>
        <w:rPr>
          <w:noProof/>
          <w:sz w:val="22"/>
        </w:rPr>
        <w:drawing>
          <wp:inline distT="0" distB="0" distL="0" distR="0" wp14:anchorId="184D98B1" wp14:editId="37C84B40">
            <wp:extent cx="5486400" cy="1971675"/>
            <wp:effectExtent l="0" t="0" r="19050" b="9525"/>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247180B3" w14:textId="471AE878" w:rsidR="00E27D70" w:rsidRDefault="00E27D70" w:rsidP="00E27D70">
      <w:pPr>
        <w:rPr>
          <w:sz w:val="22"/>
        </w:rPr>
      </w:pPr>
      <w:r w:rsidRPr="00E27D70">
        <w:rPr>
          <w:sz w:val="22"/>
        </w:rPr>
        <w:t xml:space="preserve">You could follow this with a more detailed look at the </w:t>
      </w:r>
      <w:r w:rsidR="00363E4A">
        <w:rPr>
          <w:sz w:val="22"/>
        </w:rPr>
        <w:t>other countries you deal with, what the risks of these countries are</w:t>
      </w:r>
      <w:r w:rsidRPr="00E27D70">
        <w:rPr>
          <w:sz w:val="22"/>
        </w:rPr>
        <w:t xml:space="preserve">, who the </w:t>
      </w:r>
      <w:r w:rsidR="00363E4A">
        <w:rPr>
          <w:sz w:val="22"/>
        </w:rPr>
        <w:t>clients</w:t>
      </w:r>
      <w:r w:rsidRPr="00E27D70">
        <w:rPr>
          <w:sz w:val="22"/>
        </w:rPr>
        <w:t xml:space="preserve"> are</w:t>
      </w:r>
      <w:r w:rsidR="00363E4A">
        <w:rPr>
          <w:sz w:val="22"/>
        </w:rPr>
        <w:t>,</w:t>
      </w:r>
      <w:r w:rsidRPr="00E27D70">
        <w:rPr>
          <w:sz w:val="22"/>
        </w:rPr>
        <w:t xml:space="preserve"> and assess what</w:t>
      </w:r>
      <w:r w:rsidR="00363E4A">
        <w:rPr>
          <w:sz w:val="22"/>
        </w:rPr>
        <w:t xml:space="preserve"> effects these factors have on</w:t>
      </w:r>
      <w:r w:rsidRPr="00E27D70">
        <w:rPr>
          <w:sz w:val="22"/>
        </w:rPr>
        <w:t xml:space="preserve"> the associated ML/TF risks.</w:t>
      </w:r>
    </w:p>
    <w:p w14:paraId="43266BB5" w14:textId="34F5E317" w:rsidR="00082BF5" w:rsidRPr="00082BF5" w:rsidRDefault="00082BF5" w:rsidP="00082BF5">
      <w:pPr>
        <w:rPr>
          <w:sz w:val="22"/>
        </w:rPr>
      </w:pPr>
      <w:r>
        <w:rPr>
          <w:iCs/>
          <w:sz w:val="22"/>
        </w:rPr>
        <w:t>T</w:t>
      </w:r>
      <w:r w:rsidRPr="00082BF5">
        <w:rPr>
          <w:iCs/>
          <w:sz w:val="22"/>
        </w:rPr>
        <w:t>wo important points to remember when conducting your risk assessment:</w:t>
      </w:r>
    </w:p>
    <w:p w14:paraId="33FEE7F4" w14:textId="6CE204D6" w:rsidR="00082BF5" w:rsidRPr="00082BF5" w:rsidRDefault="00082BF5" w:rsidP="000D3935">
      <w:pPr>
        <w:numPr>
          <w:ilvl w:val="0"/>
          <w:numId w:val="29"/>
        </w:numPr>
        <w:rPr>
          <w:sz w:val="22"/>
        </w:rPr>
      </w:pPr>
      <w:r w:rsidRPr="00082BF5">
        <w:rPr>
          <w:iCs/>
          <w:sz w:val="22"/>
        </w:rPr>
        <w:t xml:space="preserve">The ML/TF risks associated with the different issues that you must consider as part of your risk assessment </w:t>
      </w:r>
      <w:r w:rsidR="00481291">
        <w:rPr>
          <w:iCs/>
          <w:sz w:val="22"/>
        </w:rPr>
        <w:t>are interrelated</w:t>
      </w:r>
      <w:r w:rsidRPr="00082BF5">
        <w:rPr>
          <w:iCs/>
          <w:sz w:val="22"/>
        </w:rPr>
        <w:t>. For example, the risks associated with</w:t>
      </w:r>
      <w:r>
        <w:rPr>
          <w:iCs/>
          <w:sz w:val="22"/>
        </w:rPr>
        <w:t xml:space="preserve"> the countries you deal with will likely overlap with</w:t>
      </w:r>
      <w:r w:rsidRPr="00082BF5">
        <w:rPr>
          <w:iCs/>
          <w:sz w:val="22"/>
        </w:rPr>
        <w:t xml:space="preserve"> the ways you deliver your products and services</w:t>
      </w:r>
      <w:r>
        <w:rPr>
          <w:iCs/>
          <w:sz w:val="22"/>
        </w:rPr>
        <w:t>.</w:t>
      </w:r>
    </w:p>
    <w:p w14:paraId="6E550DD8" w14:textId="2DB0A202" w:rsidR="00082BF5" w:rsidRPr="00082BF5" w:rsidRDefault="00082BF5" w:rsidP="000D3935">
      <w:pPr>
        <w:pStyle w:val="ListParagraph"/>
        <w:numPr>
          <w:ilvl w:val="0"/>
          <w:numId w:val="29"/>
        </w:numPr>
        <w:rPr>
          <w:sz w:val="22"/>
        </w:rPr>
      </w:pPr>
      <w:r>
        <w:rPr>
          <w:iCs/>
          <w:sz w:val="22"/>
        </w:rPr>
        <w:t>W</w:t>
      </w:r>
      <w:r w:rsidRPr="00082BF5">
        <w:rPr>
          <w:iCs/>
          <w:sz w:val="22"/>
        </w:rPr>
        <w:t xml:space="preserve">here you have several higher risk indicators all occurring at the same time, the overall level of risk rises exponentially. As an extreme example, a client from a high-risk country where your engagement is </w:t>
      </w:r>
      <w:r>
        <w:rPr>
          <w:iCs/>
          <w:sz w:val="22"/>
        </w:rPr>
        <w:t>via</w:t>
      </w:r>
      <w:r w:rsidRPr="00082BF5">
        <w:rPr>
          <w:iCs/>
          <w:sz w:val="22"/>
        </w:rPr>
        <w:t xml:space="preserve"> </w:t>
      </w:r>
      <w:r>
        <w:rPr>
          <w:iCs/>
          <w:sz w:val="22"/>
        </w:rPr>
        <w:t>a website,</w:t>
      </w:r>
      <w:r w:rsidRPr="00082BF5">
        <w:rPr>
          <w:iCs/>
          <w:sz w:val="22"/>
        </w:rPr>
        <w:t xml:space="preserve"> or through an intermediary</w:t>
      </w:r>
      <w:r>
        <w:rPr>
          <w:iCs/>
          <w:sz w:val="22"/>
        </w:rPr>
        <w:t>,</w:t>
      </w:r>
      <w:r w:rsidRPr="00082BF5">
        <w:rPr>
          <w:iCs/>
          <w:sz w:val="22"/>
        </w:rPr>
        <w:t xml:space="preserve"> and a complex legal structure</w:t>
      </w:r>
      <w:r w:rsidR="00AD640D">
        <w:rPr>
          <w:iCs/>
          <w:sz w:val="22"/>
        </w:rPr>
        <w:t xml:space="preserve"> (such as a trust)</w:t>
      </w:r>
      <w:r w:rsidRPr="00082BF5">
        <w:rPr>
          <w:iCs/>
          <w:sz w:val="22"/>
        </w:rPr>
        <w:t xml:space="preserve"> is involved</w:t>
      </w:r>
      <w:r>
        <w:rPr>
          <w:iCs/>
          <w:sz w:val="22"/>
        </w:rPr>
        <w:t xml:space="preserve"> – </w:t>
      </w:r>
      <w:r w:rsidRPr="00082BF5">
        <w:rPr>
          <w:iCs/>
          <w:sz w:val="22"/>
        </w:rPr>
        <w:t>th</w:t>
      </w:r>
      <w:r>
        <w:rPr>
          <w:iCs/>
          <w:sz w:val="22"/>
        </w:rPr>
        <w:t>is</w:t>
      </w:r>
      <w:r w:rsidRPr="00082BF5">
        <w:rPr>
          <w:iCs/>
          <w:sz w:val="22"/>
        </w:rPr>
        <w:t xml:space="preserve"> constitutes a level of ML/TF risk that is extreme. This should be </w:t>
      </w:r>
      <w:r w:rsidR="00BD38BB">
        <w:rPr>
          <w:iCs/>
          <w:sz w:val="22"/>
        </w:rPr>
        <w:t>addressed</w:t>
      </w:r>
      <w:r w:rsidR="00BD38BB" w:rsidRPr="00082BF5">
        <w:rPr>
          <w:iCs/>
          <w:sz w:val="22"/>
        </w:rPr>
        <w:t xml:space="preserve"> </w:t>
      </w:r>
      <w:r w:rsidRPr="00082BF5">
        <w:rPr>
          <w:iCs/>
          <w:sz w:val="22"/>
        </w:rPr>
        <w:t xml:space="preserve">in your </w:t>
      </w:r>
      <w:r w:rsidR="00015CAD">
        <w:rPr>
          <w:iCs/>
          <w:sz w:val="22"/>
        </w:rPr>
        <w:t xml:space="preserve">AML/CFT </w:t>
      </w:r>
      <w:r w:rsidRPr="00082BF5">
        <w:rPr>
          <w:iCs/>
          <w:sz w:val="22"/>
        </w:rPr>
        <w:t>programme and mitigations put in place</w:t>
      </w:r>
      <w:r>
        <w:rPr>
          <w:iCs/>
          <w:sz w:val="22"/>
        </w:rPr>
        <w:t>.</w:t>
      </w:r>
    </w:p>
    <w:p w14:paraId="7DBCBEC3" w14:textId="1458F2BD" w:rsidR="00D87465" w:rsidRDefault="00B42E3F" w:rsidP="00D50000">
      <w:pPr>
        <w:rPr>
          <w:sz w:val="22"/>
        </w:rPr>
      </w:pPr>
      <w:r>
        <w:rPr>
          <w:sz w:val="22"/>
        </w:rPr>
        <w:t>You must</w:t>
      </w:r>
      <w:r w:rsidR="00D50000" w:rsidRPr="00D50000">
        <w:rPr>
          <w:sz w:val="22"/>
        </w:rPr>
        <w:t xml:space="preserve"> regularly review and update</w:t>
      </w:r>
      <w:r>
        <w:rPr>
          <w:sz w:val="22"/>
        </w:rPr>
        <w:t xml:space="preserve"> your risk assessment</w:t>
      </w:r>
      <w:r w:rsidR="00D50000" w:rsidRPr="00D50000">
        <w:rPr>
          <w:sz w:val="22"/>
        </w:rPr>
        <w:t xml:space="preserve"> whe</w:t>
      </w:r>
      <w:r w:rsidR="00D87465">
        <w:rPr>
          <w:sz w:val="22"/>
        </w:rPr>
        <w:t>n</w:t>
      </w:r>
      <w:r w:rsidR="00D50000" w:rsidRPr="00D50000">
        <w:rPr>
          <w:sz w:val="22"/>
        </w:rPr>
        <w:t xml:space="preserve"> there is any material change to the business, its service offerings, or its client base, or where deficiencies in the effectiveness of the risk assessment are identified. As methods and techniques (known as “typologies”) of ML/TF adapt and change, the nature of the risks posed to a business may change also.</w:t>
      </w:r>
      <w:r w:rsidR="00D87465">
        <w:rPr>
          <w:sz w:val="22"/>
        </w:rPr>
        <w:t xml:space="preserve"> This is particularly relevant for VASPs, who operate in </w:t>
      </w:r>
      <w:r w:rsidR="003F1CAE">
        <w:rPr>
          <w:sz w:val="22"/>
        </w:rPr>
        <w:t>an</w:t>
      </w:r>
      <w:r w:rsidR="00D87465">
        <w:rPr>
          <w:sz w:val="22"/>
        </w:rPr>
        <w:t xml:space="preserve"> environment that is</w:t>
      </w:r>
      <w:r w:rsidR="003F1CAE">
        <w:rPr>
          <w:sz w:val="22"/>
        </w:rPr>
        <w:t xml:space="preserve"> fast-paced and</w:t>
      </w:r>
      <w:r w:rsidR="00D87465">
        <w:rPr>
          <w:sz w:val="22"/>
        </w:rPr>
        <w:t xml:space="preserve"> </w:t>
      </w:r>
      <w:r w:rsidR="003F1CAE">
        <w:rPr>
          <w:sz w:val="22"/>
        </w:rPr>
        <w:t>susceptible to change, particularly in the area of new or developing technology.</w:t>
      </w:r>
    </w:p>
    <w:p w14:paraId="3A5F44B1" w14:textId="64607967" w:rsidR="00D50000" w:rsidRPr="00D50000" w:rsidRDefault="00BD38BB" w:rsidP="00D50000">
      <w:pPr>
        <w:rPr>
          <w:sz w:val="22"/>
        </w:rPr>
      </w:pPr>
      <w:r>
        <w:rPr>
          <w:sz w:val="22"/>
        </w:rPr>
        <w:t>You should</w:t>
      </w:r>
      <w:r w:rsidR="00D50000" w:rsidRPr="00D50000">
        <w:rPr>
          <w:sz w:val="22"/>
        </w:rPr>
        <w:t xml:space="preserve"> think about updating your business’s risk assessment are when:</w:t>
      </w:r>
    </w:p>
    <w:p w14:paraId="48C000BB" w14:textId="641E3F87" w:rsidR="00D87465" w:rsidRPr="00BA3A16" w:rsidRDefault="00D50000" w:rsidP="000D3935">
      <w:pPr>
        <w:pStyle w:val="ListParagraph"/>
        <w:numPr>
          <w:ilvl w:val="0"/>
          <w:numId w:val="22"/>
        </w:numPr>
        <w:rPr>
          <w:sz w:val="22"/>
        </w:rPr>
      </w:pPr>
      <w:r w:rsidRPr="00BA3A16">
        <w:rPr>
          <w:sz w:val="22"/>
        </w:rPr>
        <w:t xml:space="preserve">The FIU publish a </w:t>
      </w:r>
      <w:r w:rsidR="00B42E3F">
        <w:rPr>
          <w:sz w:val="22"/>
        </w:rPr>
        <w:t xml:space="preserve">new </w:t>
      </w:r>
      <w:r w:rsidRPr="00BA3A16">
        <w:rPr>
          <w:sz w:val="22"/>
        </w:rPr>
        <w:t xml:space="preserve">National Risk Assessment for ML/TF or </w:t>
      </w:r>
      <w:r w:rsidR="00BD38BB">
        <w:rPr>
          <w:sz w:val="22"/>
        </w:rPr>
        <w:t>other report</w:t>
      </w:r>
      <w:r w:rsidRPr="00BA3A16">
        <w:rPr>
          <w:sz w:val="22"/>
        </w:rPr>
        <w:t xml:space="preserve"> about ML/TF issues that highlights the potential for vulnerabilities in your business activities</w:t>
      </w:r>
      <w:r w:rsidR="00BA3A16">
        <w:rPr>
          <w:sz w:val="22"/>
        </w:rPr>
        <w:t>.</w:t>
      </w:r>
    </w:p>
    <w:p w14:paraId="58B143DD" w14:textId="3DEB3768" w:rsidR="00BA3A16" w:rsidRPr="00BA3A16" w:rsidRDefault="0049255B" w:rsidP="000D3935">
      <w:pPr>
        <w:pStyle w:val="ListParagraph"/>
        <w:numPr>
          <w:ilvl w:val="0"/>
          <w:numId w:val="22"/>
        </w:numPr>
        <w:rPr>
          <w:sz w:val="22"/>
        </w:rPr>
      </w:pPr>
      <w:r>
        <w:rPr>
          <w:sz w:val="22"/>
        </w:rPr>
        <w:t>The Department</w:t>
      </w:r>
      <w:r w:rsidR="00D50000" w:rsidRPr="00BA3A16">
        <w:rPr>
          <w:sz w:val="22"/>
        </w:rPr>
        <w:t xml:space="preserve"> updates its Sector Risk Assessment</w:t>
      </w:r>
      <w:r w:rsidR="008D53DA">
        <w:rPr>
          <w:sz w:val="22"/>
        </w:rPr>
        <w:t>.</w:t>
      </w:r>
    </w:p>
    <w:p w14:paraId="4C5EAE9D" w14:textId="439F31E7" w:rsidR="00BA3A16" w:rsidRPr="00BA3A16" w:rsidRDefault="00D50000" w:rsidP="000D3935">
      <w:pPr>
        <w:pStyle w:val="ListParagraph"/>
        <w:numPr>
          <w:ilvl w:val="0"/>
          <w:numId w:val="22"/>
        </w:numPr>
        <w:rPr>
          <w:sz w:val="22"/>
        </w:rPr>
      </w:pPr>
      <w:r w:rsidRPr="00BA3A16">
        <w:rPr>
          <w:sz w:val="22"/>
        </w:rPr>
        <w:t xml:space="preserve">You become aware of an increased ML/ TF risk to your business due to a change in the nature of </w:t>
      </w:r>
      <w:r w:rsidR="009F0B8B">
        <w:rPr>
          <w:sz w:val="22"/>
        </w:rPr>
        <w:t xml:space="preserve">the services you offer </w:t>
      </w:r>
      <w:r w:rsidRPr="00BA3A16">
        <w:rPr>
          <w:sz w:val="22"/>
        </w:rPr>
        <w:t xml:space="preserve">or demand </w:t>
      </w:r>
      <w:r w:rsidR="009F0B8B">
        <w:rPr>
          <w:sz w:val="22"/>
        </w:rPr>
        <w:t>for</w:t>
      </w:r>
      <w:r w:rsidR="009F0B8B" w:rsidRPr="00BA3A16">
        <w:rPr>
          <w:sz w:val="22"/>
        </w:rPr>
        <w:t xml:space="preserve"> </w:t>
      </w:r>
      <w:r w:rsidRPr="00BA3A16">
        <w:rPr>
          <w:sz w:val="22"/>
        </w:rPr>
        <w:t>your services</w:t>
      </w:r>
      <w:r w:rsidR="00BA3A16">
        <w:rPr>
          <w:sz w:val="22"/>
        </w:rPr>
        <w:t>.</w:t>
      </w:r>
    </w:p>
    <w:p w14:paraId="4E8843DD" w14:textId="28FA690B" w:rsidR="00D50000" w:rsidRPr="00BA3A16" w:rsidRDefault="00D50000" w:rsidP="000D3935">
      <w:pPr>
        <w:pStyle w:val="ListParagraph"/>
        <w:numPr>
          <w:ilvl w:val="0"/>
          <w:numId w:val="22"/>
        </w:numPr>
        <w:rPr>
          <w:sz w:val="22"/>
        </w:rPr>
      </w:pPr>
      <w:r w:rsidRPr="00BA3A16">
        <w:rPr>
          <w:sz w:val="22"/>
        </w:rPr>
        <w:lastRenderedPageBreak/>
        <w:t>International ML or TF-</w:t>
      </w:r>
      <w:r w:rsidR="00BA3A16" w:rsidRPr="00BA3A16">
        <w:rPr>
          <w:sz w:val="22"/>
        </w:rPr>
        <w:t>related events</w:t>
      </w:r>
      <w:r w:rsidRPr="00BA3A16">
        <w:rPr>
          <w:sz w:val="22"/>
        </w:rPr>
        <w:t xml:space="preserve"> trigger you to reconsider your risk assessment</w:t>
      </w:r>
      <w:r w:rsidR="00BA3A16">
        <w:rPr>
          <w:sz w:val="22"/>
        </w:rPr>
        <w:t>.</w:t>
      </w:r>
    </w:p>
    <w:p w14:paraId="0FA0526D" w14:textId="7698A999" w:rsidR="00D50000" w:rsidRDefault="00377500" w:rsidP="00411BE4">
      <w:pPr>
        <w:rPr>
          <w:sz w:val="22"/>
        </w:rPr>
      </w:pPr>
      <w:r>
        <w:rPr>
          <w:sz w:val="22"/>
        </w:rPr>
        <w:t xml:space="preserve">As part of the </w:t>
      </w:r>
      <w:r w:rsidR="009F0B8B">
        <w:rPr>
          <w:sz w:val="22"/>
        </w:rPr>
        <w:t xml:space="preserve">periodic </w:t>
      </w:r>
      <w:r>
        <w:rPr>
          <w:sz w:val="22"/>
        </w:rPr>
        <w:t>reviews, y</w:t>
      </w:r>
      <w:r w:rsidRPr="00377500">
        <w:rPr>
          <w:sz w:val="22"/>
        </w:rPr>
        <w:t xml:space="preserve">our records should show evidence of </w:t>
      </w:r>
      <w:r w:rsidR="009F0B8B">
        <w:rPr>
          <w:sz w:val="22"/>
        </w:rPr>
        <w:t xml:space="preserve">the </w:t>
      </w:r>
      <w:r w:rsidRPr="00377500">
        <w:rPr>
          <w:sz w:val="22"/>
        </w:rPr>
        <w:t xml:space="preserve">updates that </w:t>
      </w:r>
      <w:r w:rsidR="009F0B8B">
        <w:rPr>
          <w:sz w:val="22"/>
        </w:rPr>
        <w:t xml:space="preserve">you have made to </w:t>
      </w:r>
      <w:r w:rsidRPr="00377500">
        <w:rPr>
          <w:sz w:val="22"/>
        </w:rPr>
        <w:t xml:space="preserve">address any identified deficiencies in its effectiveness. Ways to do this </w:t>
      </w:r>
      <w:r w:rsidR="00C7364C">
        <w:rPr>
          <w:sz w:val="22"/>
        </w:rPr>
        <w:t>c</w:t>
      </w:r>
      <w:r w:rsidRPr="00377500">
        <w:rPr>
          <w:sz w:val="22"/>
        </w:rPr>
        <w:t>ould be to keep a record of version history or retain</w:t>
      </w:r>
      <w:r w:rsidR="009F0B8B">
        <w:rPr>
          <w:sz w:val="22"/>
        </w:rPr>
        <w:t>ing historical documents or</w:t>
      </w:r>
      <w:r w:rsidR="00C7364C">
        <w:rPr>
          <w:sz w:val="22"/>
        </w:rPr>
        <w:t xml:space="preserve"> </w:t>
      </w:r>
      <w:r w:rsidR="00B15009">
        <w:rPr>
          <w:sz w:val="22"/>
        </w:rPr>
        <w:t>other</w:t>
      </w:r>
      <w:r w:rsidRPr="00377500">
        <w:rPr>
          <w:sz w:val="22"/>
        </w:rPr>
        <w:t xml:space="preserve"> evidence</w:t>
      </w:r>
      <w:r w:rsidR="009F0B8B">
        <w:rPr>
          <w:sz w:val="22"/>
        </w:rPr>
        <w:t xml:space="preserve"> that</w:t>
      </w:r>
      <w:r w:rsidRPr="00377500">
        <w:rPr>
          <w:sz w:val="22"/>
        </w:rPr>
        <w:t xml:space="preserve"> demonstrat</w:t>
      </w:r>
      <w:r w:rsidR="009F0B8B">
        <w:rPr>
          <w:sz w:val="22"/>
        </w:rPr>
        <w:t>e</w:t>
      </w:r>
      <w:r w:rsidRPr="00377500">
        <w:rPr>
          <w:sz w:val="22"/>
        </w:rPr>
        <w:t xml:space="preserve"> </w:t>
      </w:r>
      <w:r w:rsidR="00B15009">
        <w:rPr>
          <w:sz w:val="22"/>
        </w:rPr>
        <w:t xml:space="preserve">your </w:t>
      </w:r>
      <w:r w:rsidRPr="00377500">
        <w:rPr>
          <w:sz w:val="22"/>
        </w:rPr>
        <w:t>reviews and updates.</w:t>
      </w:r>
    </w:p>
    <w:p w14:paraId="4E49D7A0" w14:textId="77777777" w:rsidR="0050332D" w:rsidRDefault="009F0B8B" w:rsidP="0021761C">
      <w:pPr>
        <w:pStyle w:val="Heading3"/>
      </w:pPr>
      <w:bookmarkStart w:id="22" w:name="_Toc34985638"/>
      <w:r>
        <w:t>N</w:t>
      </w:r>
      <w:r w:rsidRPr="009F0B8B">
        <w:t>ew or developing technologies, or products, that might favour anonymity</w:t>
      </w:r>
      <w:bookmarkEnd w:id="22"/>
      <w:r w:rsidRPr="009F0B8B" w:rsidDel="009F0B8B">
        <w:t xml:space="preserve"> </w:t>
      </w:r>
    </w:p>
    <w:p w14:paraId="4C7D246A" w14:textId="181BC35E" w:rsidR="00772F86" w:rsidRDefault="009D30F4" w:rsidP="00772F86">
      <w:pPr>
        <w:rPr>
          <w:sz w:val="22"/>
        </w:rPr>
      </w:pPr>
      <w:r>
        <w:rPr>
          <w:sz w:val="22"/>
        </w:rPr>
        <w:t xml:space="preserve">VASPs are especially exposed to new or developing technologies, or products, that might favour anonymity, which are addressed in </w:t>
      </w:r>
      <w:r w:rsidR="005F6E6A">
        <w:rPr>
          <w:sz w:val="22"/>
        </w:rPr>
        <w:t>s</w:t>
      </w:r>
      <w:r w:rsidRPr="00772F86">
        <w:rPr>
          <w:sz w:val="22"/>
        </w:rPr>
        <w:t>ection 30 of the Act</w:t>
      </w:r>
      <w:r>
        <w:rPr>
          <w:sz w:val="22"/>
        </w:rPr>
        <w:t xml:space="preserve">. </w:t>
      </w:r>
      <w:r w:rsidR="00772F86">
        <w:rPr>
          <w:sz w:val="22"/>
        </w:rPr>
        <w:t xml:space="preserve"> </w:t>
      </w:r>
      <w:r>
        <w:rPr>
          <w:sz w:val="22"/>
        </w:rPr>
        <w:t>The Department treats</w:t>
      </w:r>
      <w:r w:rsidR="00772F86">
        <w:rPr>
          <w:sz w:val="22"/>
        </w:rPr>
        <w:t xml:space="preserve"> all VASPs </w:t>
      </w:r>
      <w:r>
        <w:rPr>
          <w:sz w:val="22"/>
        </w:rPr>
        <w:t xml:space="preserve">as </w:t>
      </w:r>
      <w:r w:rsidR="00772F86">
        <w:rPr>
          <w:sz w:val="22"/>
        </w:rPr>
        <w:t xml:space="preserve">dealing in new or developing technologies that might favour anonymity. </w:t>
      </w:r>
      <w:r>
        <w:rPr>
          <w:sz w:val="22"/>
        </w:rPr>
        <w:t xml:space="preserve">The Department </w:t>
      </w:r>
      <w:r w:rsidR="00772F86">
        <w:rPr>
          <w:sz w:val="22"/>
        </w:rPr>
        <w:t>acknowledges th</w:t>
      </w:r>
      <w:r w:rsidR="008A048B">
        <w:rPr>
          <w:sz w:val="22"/>
        </w:rPr>
        <w:t xml:space="preserve">at different </w:t>
      </w:r>
      <w:r w:rsidR="004412F3">
        <w:rPr>
          <w:sz w:val="22"/>
          <w:szCs w:val="22"/>
        </w:rPr>
        <w:t>virtual assets</w:t>
      </w:r>
      <w:r w:rsidR="008A048B">
        <w:rPr>
          <w:sz w:val="22"/>
        </w:rPr>
        <w:t xml:space="preserve"> have different characteristics that </w:t>
      </w:r>
      <w:r>
        <w:rPr>
          <w:sz w:val="22"/>
        </w:rPr>
        <w:t xml:space="preserve">may </w:t>
      </w:r>
      <w:r w:rsidR="008A048B">
        <w:rPr>
          <w:sz w:val="22"/>
        </w:rPr>
        <w:t xml:space="preserve">affect their level of anonymity, and that not all </w:t>
      </w:r>
      <w:r w:rsidR="004412F3">
        <w:rPr>
          <w:sz w:val="22"/>
          <w:szCs w:val="22"/>
        </w:rPr>
        <w:t>virtual assets</w:t>
      </w:r>
      <w:r w:rsidR="008A048B">
        <w:rPr>
          <w:sz w:val="22"/>
        </w:rPr>
        <w:t xml:space="preserve"> may </w:t>
      </w:r>
      <w:r>
        <w:rPr>
          <w:sz w:val="22"/>
        </w:rPr>
        <w:t xml:space="preserve">necessarily </w:t>
      </w:r>
      <w:r w:rsidR="008A048B">
        <w:rPr>
          <w:sz w:val="22"/>
        </w:rPr>
        <w:t xml:space="preserve">favour anonymity. However, </w:t>
      </w:r>
      <w:r w:rsidR="00C44216">
        <w:rPr>
          <w:sz w:val="22"/>
        </w:rPr>
        <w:t>the Department</w:t>
      </w:r>
      <w:r w:rsidR="008A048B">
        <w:rPr>
          <w:sz w:val="22"/>
        </w:rPr>
        <w:t xml:space="preserve"> expects that</w:t>
      </w:r>
      <w:r w:rsidR="00C44216">
        <w:rPr>
          <w:sz w:val="22"/>
        </w:rPr>
        <w:t xml:space="preserve"> you consider and apply</w:t>
      </w:r>
      <w:r w:rsidR="008A048B">
        <w:rPr>
          <w:sz w:val="22"/>
        </w:rPr>
        <w:t xml:space="preserve"> </w:t>
      </w:r>
      <w:r w:rsidR="005F6E6A">
        <w:rPr>
          <w:sz w:val="22"/>
        </w:rPr>
        <w:t>s</w:t>
      </w:r>
      <w:r w:rsidR="0050332D">
        <w:rPr>
          <w:sz w:val="22"/>
        </w:rPr>
        <w:t xml:space="preserve">ection </w:t>
      </w:r>
      <w:r w:rsidR="008A048B">
        <w:rPr>
          <w:sz w:val="22"/>
        </w:rPr>
        <w:t xml:space="preserve">30 of the </w:t>
      </w:r>
      <w:r w:rsidR="00BD38BB">
        <w:rPr>
          <w:sz w:val="22"/>
        </w:rPr>
        <w:t>A</w:t>
      </w:r>
      <w:r w:rsidR="008A048B">
        <w:rPr>
          <w:sz w:val="22"/>
        </w:rPr>
        <w:t xml:space="preserve">ct for all </w:t>
      </w:r>
      <w:r w:rsidR="004412F3">
        <w:rPr>
          <w:sz w:val="22"/>
          <w:szCs w:val="22"/>
        </w:rPr>
        <w:t>virtual assets</w:t>
      </w:r>
      <w:r w:rsidR="008A048B">
        <w:rPr>
          <w:sz w:val="22"/>
        </w:rPr>
        <w:t xml:space="preserve"> you offer, and that this is recorded as part of your risk assessment.</w:t>
      </w:r>
    </w:p>
    <w:p w14:paraId="5E3F9995" w14:textId="5D270487" w:rsidR="00772F86" w:rsidRDefault="00772F86" w:rsidP="00772F86">
      <w:pPr>
        <w:rPr>
          <w:sz w:val="22"/>
        </w:rPr>
      </w:pPr>
      <w:r>
        <w:rPr>
          <w:sz w:val="22"/>
        </w:rPr>
        <w:t xml:space="preserve">As a supervisor, </w:t>
      </w:r>
      <w:r w:rsidR="00C44216">
        <w:rPr>
          <w:sz w:val="22"/>
        </w:rPr>
        <w:t xml:space="preserve">the Department </w:t>
      </w:r>
      <w:r>
        <w:rPr>
          <w:sz w:val="22"/>
        </w:rPr>
        <w:t xml:space="preserve">expects to see reference to this section of the Act throughout the </w:t>
      </w:r>
      <w:r w:rsidR="00AA0F1E">
        <w:rPr>
          <w:sz w:val="22"/>
        </w:rPr>
        <w:t>r</w:t>
      </w:r>
      <w:r>
        <w:rPr>
          <w:sz w:val="22"/>
        </w:rPr>
        <w:t xml:space="preserve">isk </w:t>
      </w:r>
      <w:r w:rsidR="00AA0F1E">
        <w:rPr>
          <w:sz w:val="22"/>
        </w:rPr>
        <w:t>a</w:t>
      </w:r>
      <w:r>
        <w:rPr>
          <w:sz w:val="22"/>
        </w:rPr>
        <w:t xml:space="preserve">ssessment and </w:t>
      </w:r>
      <w:r w:rsidR="00AA0F1E">
        <w:rPr>
          <w:sz w:val="22"/>
        </w:rPr>
        <w:t>AML/CFT p</w:t>
      </w:r>
      <w:r>
        <w:rPr>
          <w:sz w:val="22"/>
        </w:rPr>
        <w:t xml:space="preserve">rogramme, acknowledging the risks associated with </w:t>
      </w:r>
      <w:r w:rsidR="004412F3">
        <w:rPr>
          <w:sz w:val="22"/>
          <w:szCs w:val="22"/>
        </w:rPr>
        <w:t>virtual assets</w:t>
      </w:r>
      <w:r>
        <w:rPr>
          <w:sz w:val="22"/>
        </w:rPr>
        <w:t xml:space="preserve"> and the steps that </w:t>
      </w:r>
      <w:r w:rsidR="008A048B">
        <w:rPr>
          <w:sz w:val="22"/>
        </w:rPr>
        <w:t xml:space="preserve">will be taken </w:t>
      </w:r>
      <w:proofErr w:type="gramStart"/>
      <w:r w:rsidR="008A048B">
        <w:rPr>
          <w:sz w:val="22"/>
        </w:rPr>
        <w:t>in order to</w:t>
      </w:r>
      <w:proofErr w:type="gramEnd"/>
      <w:r w:rsidR="008A048B">
        <w:rPr>
          <w:sz w:val="22"/>
        </w:rPr>
        <w:t xml:space="preserve"> mitigate the risks posed by </w:t>
      </w:r>
      <w:r w:rsidR="004412F3">
        <w:rPr>
          <w:sz w:val="22"/>
          <w:szCs w:val="22"/>
        </w:rPr>
        <w:t>virtual assets</w:t>
      </w:r>
      <w:r w:rsidR="008A048B">
        <w:rPr>
          <w:sz w:val="22"/>
        </w:rPr>
        <w:t>.</w:t>
      </w:r>
    </w:p>
    <w:p w14:paraId="09C544E1" w14:textId="60CEE22D" w:rsidR="00C44216" w:rsidRDefault="00C44216" w:rsidP="00584253">
      <w:pPr>
        <w:pStyle w:val="Heading4"/>
      </w:pPr>
      <w:r w:rsidRPr="00C44216">
        <w:t>Prompts when considering new or developing technologies, or products, that might favour anonymity</w:t>
      </w:r>
    </w:p>
    <w:p w14:paraId="24CD8B9E" w14:textId="57C0C890" w:rsidR="006A576F" w:rsidRDefault="006A576F" w:rsidP="00772F86">
      <w:pPr>
        <w:rPr>
          <w:sz w:val="22"/>
        </w:rPr>
      </w:pPr>
      <w:r>
        <w:rPr>
          <w:sz w:val="22"/>
        </w:rPr>
        <w:t xml:space="preserve">Some </w:t>
      </w:r>
      <w:r w:rsidR="0025267E">
        <w:rPr>
          <w:sz w:val="22"/>
        </w:rPr>
        <w:t xml:space="preserve">ideas for </w:t>
      </w:r>
      <w:r w:rsidR="003E10EC">
        <w:rPr>
          <w:sz w:val="22"/>
        </w:rPr>
        <w:t>questions</w:t>
      </w:r>
      <w:r>
        <w:rPr>
          <w:sz w:val="22"/>
        </w:rPr>
        <w:t xml:space="preserve"> you may wish to consider as part of your assessment of </w:t>
      </w:r>
      <w:r w:rsidR="005F6E6A">
        <w:rPr>
          <w:sz w:val="22"/>
        </w:rPr>
        <w:t>s</w:t>
      </w:r>
      <w:r w:rsidR="0050332D">
        <w:rPr>
          <w:sz w:val="22"/>
        </w:rPr>
        <w:t xml:space="preserve">ection </w:t>
      </w:r>
      <w:r>
        <w:rPr>
          <w:sz w:val="22"/>
        </w:rPr>
        <w:t>30 risks are:</w:t>
      </w:r>
    </w:p>
    <w:p w14:paraId="3328EC67" w14:textId="6220639C" w:rsidR="003E10EC" w:rsidRPr="003E10EC" w:rsidRDefault="003E10EC" w:rsidP="009722E0">
      <w:pPr>
        <w:pStyle w:val="ListParagraph"/>
        <w:numPr>
          <w:ilvl w:val="0"/>
          <w:numId w:val="40"/>
        </w:numPr>
        <w:rPr>
          <w:sz w:val="22"/>
        </w:rPr>
      </w:pPr>
      <w:r>
        <w:rPr>
          <w:sz w:val="22"/>
        </w:rPr>
        <w:t xml:space="preserve">How is the </w:t>
      </w:r>
      <w:r w:rsidR="004412F3">
        <w:rPr>
          <w:sz w:val="22"/>
          <w:szCs w:val="22"/>
        </w:rPr>
        <w:t>virtual asset</w:t>
      </w:r>
      <w:r>
        <w:rPr>
          <w:sz w:val="22"/>
        </w:rPr>
        <w:t xml:space="preserve"> normally obtained? Is it easy for customers to obtain it anonymously?</w:t>
      </w:r>
    </w:p>
    <w:p w14:paraId="29B1B08C" w14:textId="7382CA7E" w:rsidR="006A576F" w:rsidRDefault="006A576F" w:rsidP="009722E0">
      <w:pPr>
        <w:pStyle w:val="ListParagraph"/>
        <w:numPr>
          <w:ilvl w:val="0"/>
          <w:numId w:val="40"/>
        </w:numPr>
        <w:rPr>
          <w:sz w:val="22"/>
        </w:rPr>
      </w:pPr>
      <w:r w:rsidRPr="006A576F">
        <w:rPr>
          <w:sz w:val="22"/>
        </w:rPr>
        <w:t xml:space="preserve">Can transactions be traced reliably? </w:t>
      </w:r>
    </w:p>
    <w:p w14:paraId="7B9F2C98" w14:textId="05A34102" w:rsidR="003E10EC" w:rsidRDefault="003E10EC" w:rsidP="009722E0">
      <w:pPr>
        <w:pStyle w:val="ListParagraph"/>
        <w:numPr>
          <w:ilvl w:val="1"/>
          <w:numId w:val="40"/>
        </w:numPr>
        <w:rPr>
          <w:sz w:val="22"/>
        </w:rPr>
      </w:pPr>
      <w:r>
        <w:rPr>
          <w:sz w:val="22"/>
        </w:rPr>
        <w:t>Is the ledger public or private?</w:t>
      </w:r>
    </w:p>
    <w:p w14:paraId="09AF60E7" w14:textId="74AAC945" w:rsidR="006A576F" w:rsidRDefault="006A576F" w:rsidP="009722E0">
      <w:pPr>
        <w:pStyle w:val="ListParagraph"/>
        <w:numPr>
          <w:ilvl w:val="1"/>
          <w:numId w:val="40"/>
        </w:numPr>
        <w:rPr>
          <w:sz w:val="22"/>
        </w:rPr>
      </w:pPr>
      <w:r>
        <w:rPr>
          <w:sz w:val="22"/>
        </w:rPr>
        <w:t>Could/does</w:t>
      </w:r>
      <w:r w:rsidRPr="006A576F">
        <w:rPr>
          <w:sz w:val="22"/>
        </w:rPr>
        <w:t xml:space="preserve"> your business </w:t>
      </w:r>
      <w:r w:rsidR="003E10EC">
        <w:rPr>
          <w:sz w:val="22"/>
        </w:rPr>
        <w:t>trace transactions</w:t>
      </w:r>
      <w:r w:rsidRPr="006A576F">
        <w:rPr>
          <w:sz w:val="22"/>
        </w:rPr>
        <w:t>?</w:t>
      </w:r>
    </w:p>
    <w:p w14:paraId="32C24DB9" w14:textId="1138D572" w:rsidR="006A576F" w:rsidRPr="006A576F" w:rsidRDefault="006A576F" w:rsidP="009722E0">
      <w:pPr>
        <w:pStyle w:val="ListParagraph"/>
        <w:numPr>
          <w:ilvl w:val="1"/>
          <w:numId w:val="40"/>
        </w:numPr>
        <w:rPr>
          <w:sz w:val="22"/>
        </w:rPr>
      </w:pPr>
      <w:r>
        <w:rPr>
          <w:sz w:val="22"/>
        </w:rPr>
        <w:t>Does the trace lead to a pseudonymous address or to a natural person?</w:t>
      </w:r>
    </w:p>
    <w:p w14:paraId="6DFCF459" w14:textId="0D23B9CF" w:rsidR="006A576F" w:rsidRDefault="006A576F" w:rsidP="009722E0">
      <w:pPr>
        <w:pStyle w:val="ListParagraph"/>
        <w:numPr>
          <w:ilvl w:val="0"/>
          <w:numId w:val="40"/>
        </w:numPr>
        <w:rPr>
          <w:sz w:val="22"/>
        </w:rPr>
      </w:pPr>
      <w:r w:rsidRPr="006A576F">
        <w:rPr>
          <w:sz w:val="22"/>
        </w:rPr>
        <w:t xml:space="preserve">Is the </w:t>
      </w:r>
      <w:r w:rsidR="0000074B">
        <w:rPr>
          <w:sz w:val="22"/>
          <w:szCs w:val="22"/>
        </w:rPr>
        <w:t>virtual asset</w:t>
      </w:r>
      <w:r w:rsidRPr="006A576F">
        <w:rPr>
          <w:sz w:val="22"/>
        </w:rPr>
        <w:t xml:space="preserve"> specifically designed to provide a higher level of anonymity? (</w:t>
      </w:r>
      <w:r w:rsidR="00C44216">
        <w:rPr>
          <w:sz w:val="22"/>
        </w:rPr>
        <w:t xml:space="preserve">examples of </w:t>
      </w:r>
      <w:r w:rsidR="0000074B">
        <w:rPr>
          <w:sz w:val="22"/>
          <w:szCs w:val="22"/>
        </w:rPr>
        <w:t>virtual assets</w:t>
      </w:r>
      <w:r w:rsidR="00C44216">
        <w:rPr>
          <w:sz w:val="22"/>
        </w:rPr>
        <w:t xml:space="preserve"> specifically designed for high anonymity include </w:t>
      </w:r>
      <w:proofErr w:type="spellStart"/>
      <w:r w:rsidRPr="006A576F">
        <w:rPr>
          <w:sz w:val="22"/>
        </w:rPr>
        <w:t>Monero</w:t>
      </w:r>
      <w:proofErr w:type="spellEnd"/>
      <w:r w:rsidRPr="006A576F">
        <w:rPr>
          <w:sz w:val="22"/>
        </w:rPr>
        <w:t xml:space="preserve"> or </w:t>
      </w:r>
      <w:proofErr w:type="spellStart"/>
      <w:r w:rsidRPr="006A576F">
        <w:rPr>
          <w:sz w:val="22"/>
        </w:rPr>
        <w:t>Zcash</w:t>
      </w:r>
      <w:proofErr w:type="spellEnd"/>
      <w:r w:rsidRPr="006A576F">
        <w:rPr>
          <w:sz w:val="22"/>
        </w:rPr>
        <w:t>)</w:t>
      </w:r>
    </w:p>
    <w:p w14:paraId="49E4E6CE" w14:textId="5FC5E51F" w:rsidR="003E10EC" w:rsidRDefault="006A576F" w:rsidP="009722E0">
      <w:pPr>
        <w:pStyle w:val="ListParagraph"/>
        <w:numPr>
          <w:ilvl w:val="0"/>
          <w:numId w:val="40"/>
        </w:numPr>
        <w:rPr>
          <w:sz w:val="22"/>
        </w:rPr>
      </w:pPr>
      <w:r>
        <w:rPr>
          <w:sz w:val="22"/>
        </w:rPr>
        <w:t xml:space="preserve">Is the </w:t>
      </w:r>
      <w:r w:rsidR="0000074B">
        <w:rPr>
          <w:sz w:val="22"/>
          <w:szCs w:val="22"/>
        </w:rPr>
        <w:t>virtual asset</w:t>
      </w:r>
      <w:r>
        <w:rPr>
          <w:sz w:val="22"/>
        </w:rPr>
        <w:t xml:space="preserve"> run on a centralised or decentralised ledger? </w:t>
      </w:r>
    </w:p>
    <w:p w14:paraId="39322A64" w14:textId="77C25ADF" w:rsidR="006A576F" w:rsidRDefault="006A576F" w:rsidP="009722E0">
      <w:pPr>
        <w:pStyle w:val="ListParagraph"/>
        <w:numPr>
          <w:ilvl w:val="1"/>
          <w:numId w:val="40"/>
        </w:numPr>
        <w:rPr>
          <w:sz w:val="22"/>
        </w:rPr>
      </w:pPr>
      <w:r>
        <w:rPr>
          <w:sz w:val="22"/>
        </w:rPr>
        <w:t xml:space="preserve">How might this affect the ability </w:t>
      </w:r>
      <w:r w:rsidR="003E10EC">
        <w:rPr>
          <w:sz w:val="22"/>
        </w:rPr>
        <w:t xml:space="preserve">for customers to be identified or </w:t>
      </w:r>
      <w:r w:rsidR="00C44216">
        <w:rPr>
          <w:sz w:val="22"/>
        </w:rPr>
        <w:t xml:space="preserve">for </w:t>
      </w:r>
      <w:r w:rsidR="003E10EC">
        <w:rPr>
          <w:sz w:val="22"/>
        </w:rPr>
        <w:t xml:space="preserve">transactions </w:t>
      </w:r>
      <w:r w:rsidR="00C44216">
        <w:rPr>
          <w:sz w:val="22"/>
        </w:rPr>
        <w:t xml:space="preserve">to be </w:t>
      </w:r>
      <w:r w:rsidR="003E10EC">
        <w:rPr>
          <w:sz w:val="22"/>
        </w:rPr>
        <w:t>controlled?</w:t>
      </w:r>
    </w:p>
    <w:p w14:paraId="1BDFEAD8" w14:textId="6A7A176A" w:rsidR="003E10EC" w:rsidRDefault="003E10EC" w:rsidP="003E10EC">
      <w:pPr>
        <w:rPr>
          <w:sz w:val="22"/>
        </w:rPr>
      </w:pPr>
      <w:r>
        <w:rPr>
          <w:sz w:val="22"/>
        </w:rPr>
        <w:t xml:space="preserve">Note this is not an exhaustive list, and the </w:t>
      </w:r>
      <w:r w:rsidR="008E4322">
        <w:rPr>
          <w:sz w:val="22"/>
        </w:rPr>
        <w:t>characteristics</w:t>
      </w:r>
      <w:r>
        <w:rPr>
          <w:sz w:val="22"/>
        </w:rPr>
        <w:t xml:space="preserve"> of the </w:t>
      </w:r>
      <w:r w:rsidR="004412F3">
        <w:rPr>
          <w:sz w:val="22"/>
          <w:szCs w:val="22"/>
        </w:rPr>
        <w:t>virtual asset</w:t>
      </w:r>
      <w:r>
        <w:rPr>
          <w:sz w:val="22"/>
        </w:rPr>
        <w:t xml:space="preserve"> you are dealing with will determine what</w:t>
      </w:r>
      <w:r w:rsidR="00DE7F55">
        <w:rPr>
          <w:sz w:val="22"/>
        </w:rPr>
        <w:t xml:space="preserve"> risk</w:t>
      </w:r>
      <w:r>
        <w:rPr>
          <w:sz w:val="22"/>
        </w:rPr>
        <w:t xml:space="preserve"> factors you should consider.</w:t>
      </w:r>
    </w:p>
    <w:p w14:paraId="2F201783" w14:textId="7CBBE11B" w:rsidR="00200DCB" w:rsidRDefault="003E10EC" w:rsidP="00772F86">
      <w:pPr>
        <w:rPr>
          <w:sz w:val="22"/>
        </w:rPr>
      </w:pPr>
      <w:r w:rsidRPr="003E10EC">
        <w:rPr>
          <w:sz w:val="22"/>
        </w:rPr>
        <w:t>Af</w:t>
      </w:r>
      <w:r>
        <w:rPr>
          <w:sz w:val="22"/>
        </w:rPr>
        <w:t xml:space="preserve">ter identifying the risks associated with the </w:t>
      </w:r>
      <w:r w:rsidR="004412F3">
        <w:rPr>
          <w:sz w:val="22"/>
          <w:szCs w:val="22"/>
        </w:rPr>
        <w:t>virtual assets</w:t>
      </w:r>
      <w:r>
        <w:rPr>
          <w:sz w:val="22"/>
        </w:rPr>
        <w:t xml:space="preserve"> you deal with and recording them in your risk assessment, addressing any additional measures you may need to take to mitigate these risks should be recorded in your AML</w:t>
      </w:r>
      <w:r w:rsidR="00015CAD">
        <w:rPr>
          <w:sz w:val="22"/>
        </w:rPr>
        <w:t>/CFT</w:t>
      </w:r>
      <w:r>
        <w:rPr>
          <w:sz w:val="22"/>
        </w:rPr>
        <w:t xml:space="preserve"> </w:t>
      </w:r>
      <w:r w:rsidR="00AA0F1E">
        <w:rPr>
          <w:sz w:val="22"/>
        </w:rPr>
        <w:t>p</w:t>
      </w:r>
      <w:r>
        <w:rPr>
          <w:sz w:val="22"/>
        </w:rPr>
        <w:t>rogramme.</w:t>
      </w:r>
      <w:r w:rsidR="0025267E">
        <w:rPr>
          <w:sz w:val="22"/>
        </w:rPr>
        <w:t xml:space="preserve"> </w:t>
      </w:r>
    </w:p>
    <w:p w14:paraId="5A11B083" w14:textId="1577C355" w:rsidR="000E4916" w:rsidRDefault="000E4916" w:rsidP="007C1BEC">
      <w:pPr>
        <w:pStyle w:val="Heading2"/>
      </w:pPr>
      <w:bookmarkStart w:id="23" w:name="_Toc34985639"/>
      <w:r>
        <w:t>AML</w:t>
      </w:r>
      <w:r w:rsidR="00C44216">
        <w:t>/CFT</w:t>
      </w:r>
      <w:r>
        <w:t xml:space="preserve"> Programme</w:t>
      </w:r>
      <w:bookmarkEnd w:id="23"/>
    </w:p>
    <w:p w14:paraId="1D525347" w14:textId="04F7C0DD" w:rsidR="00222B5E" w:rsidRDefault="00377500" w:rsidP="00377500">
      <w:pPr>
        <w:rPr>
          <w:sz w:val="22"/>
        </w:rPr>
      </w:pPr>
      <w:r>
        <w:rPr>
          <w:sz w:val="22"/>
        </w:rPr>
        <w:t xml:space="preserve">Once your risk assessment is completed, </w:t>
      </w:r>
      <w:r w:rsidR="004957BD">
        <w:rPr>
          <w:sz w:val="22"/>
        </w:rPr>
        <w:t>you</w:t>
      </w:r>
      <w:r>
        <w:rPr>
          <w:sz w:val="22"/>
        </w:rPr>
        <w:t xml:space="preserve"> </w:t>
      </w:r>
      <w:r w:rsidRPr="00377500">
        <w:rPr>
          <w:sz w:val="22"/>
        </w:rPr>
        <w:t xml:space="preserve">must develop an AML/CFT programme that includes internal procedures, </w:t>
      </w:r>
      <w:r w:rsidR="004957BD" w:rsidRPr="00377500">
        <w:rPr>
          <w:sz w:val="22"/>
        </w:rPr>
        <w:t>policies,</w:t>
      </w:r>
      <w:r w:rsidRPr="00377500">
        <w:rPr>
          <w:sz w:val="22"/>
        </w:rPr>
        <w:t xml:space="preserve"> and controls to detect and manage the risk of ML/TF</w:t>
      </w:r>
      <w:r w:rsidR="005E159D">
        <w:rPr>
          <w:sz w:val="22"/>
        </w:rPr>
        <w:t xml:space="preserve"> to your business</w:t>
      </w:r>
      <w:r w:rsidRPr="00377500">
        <w:rPr>
          <w:sz w:val="22"/>
        </w:rPr>
        <w:t>.</w:t>
      </w:r>
      <w:r w:rsidR="00222B5E">
        <w:rPr>
          <w:sz w:val="22"/>
        </w:rPr>
        <w:t xml:space="preserve"> Your </w:t>
      </w:r>
      <w:r w:rsidR="00015CAD">
        <w:rPr>
          <w:sz w:val="22"/>
        </w:rPr>
        <w:t xml:space="preserve">AML/CFT </w:t>
      </w:r>
      <w:r w:rsidR="00222B5E">
        <w:rPr>
          <w:sz w:val="22"/>
        </w:rPr>
        <w:t xml:space="preserve">programme must be based upon your risk </w:t>
      </w:r>
      <w:r w:rsidR="005C042B">
        <w:rPr>
          <w:sz w:val="22"/>
        </w:rPr>
        <w:t>assessment and</w:t>
      </w:r>
      <w:r w:rsidR="00222B5E">
        <w:rPr>
          <w:sz w:val="22"/>
        </w:rPr>
        <w:t xml:space="preserve"> show a clear link between the risks you have identified in your risk assessment, and </w:t>
      </w:r>
      <w:r w:rsidR="005E159D">
        <w:rPr>
          <w:sz w:val="22"/>
        </w:rPr>
        <w:t>your</w:t>
      </w:r>
      <w:r w:rsidR="00222B5E">
        <w:rPr>
          <w:sz w:val="22"/>
        </w:rPr>
        <w:t xml:space="preserve"> policies, procedures, and controls</w:t>
      </w:r>
      <w:r w:rsidR="005E159D">
        <w:rPr>
          <w:sz w:val="22"/>
        </w:rPr>
        <w:t xml:space="preserve"> designed to address those risks.</w:t>
      </w:r>
    </w:p>
    <w:p w14:paraId="45FE91DE" w14:textId="48101DD2" w:rsidR="00377500" w:rsidRDefault="00377500" w:rsidP="00377500">
      <w:pPr>
        <w:rPr>
          <w:sz w:val="22"/>
        </w:rPr>
      </w:pPr>
      <w:r>
        <w:rPr>
          <w:sz w:val="22"/>
        </w:rPr>
        <w:lastRenderedPageBreak/>
        <w:t xml:space="preserve"> </w:t>
      </w:r>
      <w:r w:rsidR="005C042B">
        <w:rPr>
          <w:sz w:val="22"/>
        </w:rPr>
        <w:t>The</w:t>
      </w:r>
      <w:r w:rsidR="005E159D">
        <w:rPr>
          <w:sz w:val="22"/>
        </w:rPr>
        <w:t xml:space="preserve"> Act also requires that your</w:t>
      </w:r>
      <w:r w:rsidR="005C042B">
        <w:rPr>
          <w:sz w:val="22"/>
        </w:rPr>
        <w:t xml:space="preserve"> AML</w:t>
      </w:r>
      <w:r w:rsidR="005E159D">
        <w:rPr>
          <w:sz w:val="22"/>
        </w:rPr>
        <w:t>/CFT</w:t>
      </w:r>
      <w:r w:rsidR="005C042B">
        <w:rPr>
          <w:sz w:val="22"/>
        </w:rPr>
        <w:t xml:space="preserve"> programme include</w:t>
      </w:r>
      <w:r w:rsidR="005E159D">
        <w:rPr>
          <w:sz w:val="22"/>
        </w:rPr>
        <w:t>s</w:t>
      </w:r>
      <w:r w:rsidR="005C042B">
        <w:rPr>
          <w:sz w:val="22"/>
        </w:rPr>
        <w:t xml:space="preserve"> policies, procedures, and controls for</w:t>
      </w:r>
      <w:r>
        <w:rPr>
          <w:sz w:val="22"/>
        </w:rPr>
        <w:t>:</w:t>
      </w:r>
    </w:p>
    <w:p w14:paraId="006113E2" w14:textId="616AC639" w:rsidR="00B2472F" w:rsidRPr="00B2472F" w:rsidRDefault="00B2472F" w:rsidP="000D3935">
      <w:pPr>
        <w:pStyle w:val="ListParagraph"/>
        <w:numPr>
          <w:ilvl w:val="0"/>
          <w:numId w:val="30"/>
        </w:numPr>
        <w:rPr>
          <w:sz w:val="22"/>
        </w:rPr>
      </w:pPr>
      <w:r w:rsidRPr="00B2472F">
        <w:rPr>
          <w:sz w:val="22"/>
        </w:rPr>
        <w:t xml:space="preserve">Vetting </w:t>
      </w:r>
      <w:r w:rsidR="00BD38BB">
        <w:rPr>
          <w:sz w:val="22"/>
        </w:rPr>
        <w:t>staff</w:t>
      </w:r>
    </w:p>
    <w:p w14:paraId="274470DD" w14:textId="584375FC" w:rsidR="00B2472F" w:rsidRPr="00B2472F" w:rsidRDefault="00B2472F" w:rsidP="000D3935">
      <w:pPr>
        <w:pStyle w:val="ListParagraph"/>
        <w:numPr>
          <w:ilvl w:val="0"/>
          <w:numId w:val="30"/>
        </w:numPr>
        <w:rPr>
          <w:sz w:val="22"/>
        </w:rPr>
      </w:pPr>
      <w:r w:rsidRPr="00B2472F">
        <w:rPr>
          <w:sz w:val="22"/>
        </w:rPr>
        <w:t xml:space="preserve">Training </w:t>
      </w:r>
      <w:r w:rsidR="00BD38BB">
        <w:rPr>
          <w:sz w:val="22"/>
        </w:rPr>
        <w:t>staff</w:t>
      </w:r>
    </w:p>
    <w:p w14:paraId="07AA84C3" w14:textId="45307FE1" w:rsidR="00B2472F" w:rsidRPr="00B2472F" w:rsidRDefault="00B2472F" w:rsidP="000D3935">
      <w:pPr>
        <w:pStyle w:val="ListParagraph"/>
        <w:numPr>
          <w:ilvl w:val="0"/>
          <w:numId w:val="30"/>
        </w:numPr>
        <w:rPr>
          <w:sz w:val="22"/>
        </w:rPr>
      </w:pPr>
      <w:r w:rsidRPr="00B2472F">
        <w:rPr>
          <w:sz w:val="22"/>
        </w:rPr>
        <w:t>Customer Due Diligence</w:t>
      </w:r>
      <w:r w:rsidR="00793046">
        <w:rPr>
          <w:sz w:val="22"/>
        </w:rPr>
        <w:t xml:space="preserve"> (CDD)</w:t>
      </w:r>
    </w:p>
    <w:p w14:paraId="33B3F0BA" w14:textId="547C1652" w:rsidR="00B2472F" w:rsidRPr="00B2472F" w:rsidRDefault="001D2282" w:rsidP="000D3935">
      <w:pPr>
        <w:pStyle w:val="ListParagraph"/>
        <w:numPr>
          <w:ilvl w:val="0"/>
          <w:numId w:val="30"/>
        </w:numPr>
        <w:rPr>
          <w:sz w:val="22"/>
        </w:rPr>
      </w:pPr>
      <w:r>
        <w:rPr>
          <w:sz w:val="22"/>
        </w:rPr>
        <w:t>Keeping w</w:t>
      </w:r>
      <w:r w:rsidR="00B2472F" w:rsidRPr="00B2472F">
        <w:rPr>
          <w:sz w:val="22"/>
        </w:rPr>
        <w:t>ritten findings</w:t>
      </w:r>
      <w:r>
        <w:rPr>
          <w:sz w:val="22"/>
        </w:rPr>
        <w:t xml:space="preserve"> of unusual transactions, or other activity that is likely to be related to ML/TF</w:t>
      </w:r>
    </w:p>
    <w:p w14:paraId="1926D8C7" w14:textId="77777777" w:rsidR="00B2472F" w:rsidRPr="00B2472F" w:rsidRDefault="00B2472F" w:rsidP="000D3935">
      <w:pPr>
        <w:pStyle w:val="ListParagraph"/>
        <w:numPr>
          <w:ilvl w:val="0"/>
          <w:numId w:val="30"/>
        </w:numPr>
        <w:rPr>
          <w:sz w:val="22"/>
        </w:rPr>
      </w:pPr>
      <w:r w:rsidRPr="00B2472F">
        <w:rPr>
          <w:sz w:val="22"/>
        </w:rPr>
        <w:t>Suspicious activity reports (SARs)</w:t>
      </w:r>
    </w:p>
    <w:p w14:paraId="02570F88" w14:textId="77777777" w:rsidR="00B2472F" w:rsidRPr="00B2472F" w:rsidRDefault="00B2472F" w:rsidP="000D3935">
      <w:pPr>
        <w:pStyle w:val="ListParagraph"/>
        <w:numPr>
          <w:ilvl w:val="0"/>
          <w:numId w:val="30"/>
        </w:numPr>
        <w:rPr>
          <w:sz w:val="22"/>
        </w:rPr>
      </w:pPr>
      <w:r w:rsidRPr="00B2472F">
        <w:rPr>
          <w:sz w:val="22"/>
        </w:rPr>
        <w:t>Prescribed transaction reports (PTRs)</w:t>
      </w:r>
    </w:p>
    <w:p w14:paraId="60FB8196" w14:textId="77777777" w:rsidR="00B2472F" w:rsidRPr="00B2472F" w:rsidRDefault="00B2472F" w:rsidP="000D3935">
      <w:pPr>
        <w:pStyle w:val="ListParagraph"/>
        <w:numPr>
          <w:ilvl w:val="0"/>
          <w:numId w:val="30"/>
        </w:numPr>
        <w:rPr>
          <w:sz w:val="22"/>
        </w:rPr>
      </w:pPr>
      <w:r w:rsidRPr="00B2472F">
        <w:rPr>
          <w:sz w:val="22"/>
        </w:rPr>
        <w:t xml:space="preserve">Record keeping </w:t>
      </w:r>
    </w:p>
    <w:p w14:paraId="2BA745A4" w14:textId="77777777" w:rsidR="00B2472F" w:rsidRPr="00B2472F" w:rsidRDefault="00B2472F" w:rsidP="000D3935">
      <w:pPr>
        <w:pStyle w:val="ListParagraph"/>
        <w:numPr>
          <w:ilvl w:val="0"/>
          <w:numId w:val="30"/>
        </w:numPr>
        <w:rPr>
          <w:sz w:val="22"/>
        </w:rPr>
      </w:pPr>
      <w:r w:rsidRPr="00B2472F">
        <w:rPr>
          <w:sz w:val="22"/>
        </w:rPr>
        <w:t>Products and transactions that favour anonymity</w:t>
      </w:r>
    </w:p>
    <w:p w14:paraId="4B276F82" w14:textId="766D9E35" w:rsidR="00B2472F" w:rsidRPr="00B2472F" w:rsidRDefault="00B2472F" w:rsidP="000D3935">
      <w:pPr>
        <w:pStyle w:val="ListParagraph"/>
        <w:numPr>
          <w:ilvl w:val="0"/>
          <w:numId w:val="30"/>
        </w:numPr>
        <w:rPr>
          <w:sz w:val="22"/>
        </w:rPr>
      </w:pPr>
      <w:r w:rsidRPr="00B2472F">
        <w:rPr>
          <w:sz w:val="22"/>
        </w:rPr>
        <w:t>Managing and mitigating dynamic risk</w:t>
      </w:r>
      <w:r w:rsidR="0050332D">
        <w:rPr>
          <w:sz w:val="22"/>
        </w:rPr>
        <w:t xml:space="preserve"> – </w:t>
      </w:r>
      <w:r w:rsidR="00B23D21">
        <w:rPr>
          <w:sz w:val="22"/>
        </w:rPr>
        <w:t>for example monitoring your customers for changes in risk profile</w:t>
      </w:r>
    </w:p>
    <w:p w14:paraId="42ED9A47" w14:textId="7B202FD6" w:rsidR="00B2472F" w:rsidRPr="00B2472F" w:rsidRDefault="00B2472F" w:rsidP="000D3935">
      <w:pPr>
        <w:pStyle w:val="ListParagraph"/>
        <w:numPr>
          <w:ilvl w:val="0"/>
          <w:numId w:val="30"/>
        </w:numPr>
        <w:rPr>
          <w:sz w:val="22"/>
        </w:rPr>
      </w:pPr>
      <w:r w:rsidRPr="00B2472F">
        <w:rPr>
          <w:sz w:val="22"/>
        </w:rPr>
        <w:t xml:space="preserve">Monitoring compliance with the AML/CFT </w:t>
      </w:r>
      <w:r w:rsidR="00AA0F1E">
        <w:rPr>
          <w:sz w:val="22"/>
        </w:rPr>
        <w:t>p</w:t>
      </w:r>
      <w:r w:rsidRPr="00B2472F">
        <w:rPr>
          <w:sz w:val="22"/>
        </w:rPr>
        <w:t>rogramme</w:t>
      </w:r>
    </w:p>
    <w:p w14:paraId="668EE58A" w14:textId="77777777" w:rsidR="00272534" w:rsidRDefault="00272534" w:rsidP="00377500">
      <w:pPr>
        <w:rPr>
          <w:sz w:val="22"/>
        </w:rPr>
      </w:pPr>
    </w:p>
    <w:p w14:paraId="241A208B" w14:textId="74B2544A" w:rsidR="00377500" w:rsidRDefault="00272534" w:rsidP="00377500">
      <w:pPr>
        <w:rPr>
          <w:sz w:val="22"/>
        </w:rPr>
      </w:pPr>
      <w:r>
        <w:rPr>
          <w:sz w:val="22"/>
        </w:rPr>
        <w:t xml:space="preserve">A simple way to </w:t>
      </w:r>
      <w:r w:rsidR="005E159D">
        <w:rPr>
          <w:sz w:val="22"/>
        </w:rPr>
        <w:t>think about</w:t>
      </w:r>
      <w:r>
        <w:rPr>
          <w:sz w:val="22"/>
        </w:rPr>
        <w:t xml:space="preserve"> policies, procedures, and controls is:</w:t>
      </w:r>
    </w:p>
    <w:p w14:paraId="15CF4DFA" w14:textId="059B5845" w:rsidR="00272534" w:rsidRPr="00272534" w:rsidRDefault="00272534" w:rsidP="000D3935">
      <w:pPr>
        <w:pStyle w:val="ListParagraph"/>
        <w:numPr>
          <w:ilvl w:val="0"/>
          <w:numId w:val="32"/>
        </w:numPr>
        <w:rPr>
          <w:sz w:val="22"/>
        </w:rPr>
      </w:pPr>
      <w:r w:rsidRPr="00272534">
        <w:rPr>
          <w:sz w:val="22"/>
        </w:rPr>
        <w:t xml:space="preserve">Policy is </w:t>
      </w:r>
      <w:r w:rsidRPr="00272534">
        <w:rPr>
          <w:b/>
          <w:i/>
          <w:sz w:val="22"/>
        </w:rPr>
        <w:t>what</w:t>
      </w:r>
      <w:r w:rsidRPr="00272534">
        <w:rPr>
          <w:sz w:val="22"/>
        </w:rPr>
        <w:t xml:space="preserve"> you are going to do.</w:t>
      </w:r>
    </w:p>
    <w:p w14:paraId="63F98593" w14:textId="65A85395" w:rsidR="00272534" w:rsidRPr="00272534" w:rsidRDefault="00272534" w:rsidP="000D3935">
      <w:pPr>
        <w:pStyle w:val="ListParagraph"/>
        <w:numPr>
          <w:ilvl w:val="0"/>
          <w:numId w:val="32"/>
        </w:numPr>
        <w:rPr>
          <w:sz w:val="22"/>
        </w:rPr>
      </w:pPr>
      <w:r w:rsidRPr="00272534">
        <w:rPr>
          <w:sz w:val="22"/>
        </w:rPr>
        <w:t xml:space="preserve">Procedure is </w:t>
      </w:r>
      <w:r w:rsidRPr="00272534">
        <w:rPr>
          <w:b/>
          <w:i/>
          <w:sz w:val="22"/>
        </w:rPr>
        <w:t>how</w:t>
      </w:r>
      <w:r w:rsidRPr="00272534">
        <w:rPr>
          <w:sz w:val="22"/>
        </w:rPr>
        <w:t xml:space="preserve"> you will do it.</w:t>
      </w:r>
    </w:p>
    <w:p w14:paraId="2BA40194" w14:textId="48ADB89C" w:rsidR="00272534" w:rsidRPr="00272534" w:rsidRDefault="00272534" w:rsidP="000D3935">
      <w:pPr>
        <w:pStyle w:val="ListParagraph"/>
        <w:numPr>
          <w:ilvl w:val="0"/>
          <w:numId w:val="32"/>
        </w:numPr>
        <w:rPr>
          <w:b/>
          <w:sz w:val="22"/>
        </w:rPr>
      </w:pPr>
      <w:r w:rsidRPr="00272534">
        <w:rPr>
          <w:sz w:val="22"/>
        </w:rPr>
        <w:t>Control</w:t>
      </w:r>
      <w:r w:rsidR="005E159D">
        <w:rPr>
          <w:sz w:val="22"/>
        </w:rPr>
        <w:t>s</w:t>
      </w:r>
      <w:r w:rsidRPr="00272534">
        <w:rPr>
          <w:sz w:val="22"/>
        </w:rPr>
        <w:t xml:space="preserve"> </w:t>
      </w:r>
      <w:r w:rsidR="005E159D">
        <w:rPr>
          <w:sz w:val="22"/>
        </w:rPr>
        <w:t>are a</w:t>
      </w:r>
      <w:r w:rsidRPr="00272534">
        <w:rPr>
          <w:sz w:val="22"/>
        </w:rPr>
        <w:t xml:space="preserve"> </w:t>
      </w:r>
      <w:r w:rsidR="00FC0189">
        <w:rPr>
          <w:b/>
          <w:i/>
          <w:sz w:val="22"/>
        </w:rPr>
        <w:t>check</w:t>
      </w:r>
      <w:r>
        <w:rPr>
          <w:sz w:val="22"/>
        </w:rPr>
        <w:t xml:space="preserve"> </w:t>
      </w:r>
      <w:r w:rsidR="005E159D">
        <w:rPr>
          <w:sz w:val="22"/>
        </w:rPr>
        <w:t xml:space="preserve">to make sure you are following </w:t>
      </w:r>
      <w:r w:rsidRPr="00272534">
        <w:rPr>
          <w:sz w:val="22"/>
        </w:rPr>
        <w:t>you</w:t>
      </w:r>
      <w:r>
        <w:rPr>
          <w:sz w:val="22"/>
        </w:rPr>
        <w:t>r</w:t>
      </w:r>
      <w:r w:rsidRPr="00272534">
        <w:rPr>
          <w:sz w:val="22"/>
        </w:rPr>
        <w:t xml:space="preserve"> polic</w:t>
      </w:r>
      <w:r>
        <w:rPr>
          <w:sz w:val="22"/>
        </w:rPr>
        <w:t>ies</w:t>
      </w:r>
      <w:r w:rsidRPr="00272534">
        <w:rPr>
          <w:sz w:val="22"/>
        </w:rPr>
        <w:t xml:space="preserve"> and procedures.</w:t>
      </w:r>
    </w:p>
    <w:p w14:paraId="2D2C6E64" w14:textId="47F12551" w:rsidR="00222B5E" w:rsidRDefault="005C042B" w:rsidP="00377500">
      <w:pPr>
        <w:rPr>
          <w:sz w:val="22"/>
        </w:rPr>
      </w:pPr>
      <w:r>
        <w:rPr>
          <w:sz w:val="22"/>
        </w:rPr>
        <w:t>An example of a policy, procedure and control may be:</w:t>
      </w:r>
    </w:p>
    <w:tbl>
      <w:tblPr>
        <w:tblStyle w:val="DIATable"/>
        <w:tblW w:w="0" w:type="auto"/>
        <w:tblLook w:val="04A0" w:firstRow="1" w:lastRow="0" w:firstColumn="1" w:lastColumn="0" w:noHBand="0" w:noVBand="1"/>
      </w:tblPr>
      <w:tblGrid>
        <w:gridCol w:w="1143"/>
        <w:gridCol w:w="8036"/>
      </w:tblGrid>
      <w:tr w:rsidR="005C042B" w14:paraId="7E20CFDA" w14:textId="77777777" w:rsidTr="00272534">
        <w:trPr>
          <w:cnfStyle w:val="100000000000" w:firstRow="1" w:lastRow="0" w:firstColumn="0" w:lastColumn="0" w:oddVBand="0" w:evenVBand="0" w:oddHBand="0" w:evenHBand="0" w:firstRowFirstColumn="0" w:firstRowLastColumn="0" w:lastRowFirstColumn="0" w:lastRowLastColumn="0"/>
        </w:trPr>
        <w:tc>
          <w:tcPr>
            <w:tcW w:w="9179" w:type="dxa"/>
            <w:gridSpan w:val="2"/>
          </w:tcPr>
          <w:p w14:paraId="7C9513AD" w14:textId="01C15668" w:rsidR="005C042B" w:rsidRDefault="005C042B" w:rsidP="00377500">
            <w:r>
              <w:t>Prescribed Transaction Reports (PTRs)</w:t>
            </w:r>
          </w:p>
        </w:tc>
      </w:tr>
      <w:tr w:rsidR="005C042B" w14:paraId="0ACA4644" w14:textId="77777777" w:rsidTr="005C042B">
        <w:tc>
          <w:tcPr>
            <w:tcW w:w="1134" w:type="dxa"/>
          </w:tcPr>
          <w:p w14:paraId="4BD2CFB6" w14:textId="0B643793" w:rsidR="005C042B" w:rsidRDefault="005C042B" w:rsidP="00377500">
            <w:r>
              <w:t>Policy</w:t>
            </w:r>
          </w:p>
        </w:tc>
        <w:tc>
          <w:tcPr>
            <w:tcW w:w="8045" w:type="dxa"/>
          </w:tcPr>
          <w:p w14:paraId="4CC52F44" w14:textId="166D2CA3" w:rsidR="005C042B" w:rsidRDefault="00272534" w:rsidP="00377500">
            <w:r>
              <w:t>We are obligated by the Act to submit prescribed transaction reports</w:t>
            </w:r>
            <w:r w:rsidR="00BD38BB">
              <w:t xml:space="preserve"> (PTRs)</w:t>
            </w:r>
            <w:r>
              <w:t xml:space="preserve">. Accordingly, the business has determined that </w:t>
            </w:r>
            <w:r w:rsidR="00BD38BB">
              <w:t>PTRs</w:t>
            </w:r>
            <w:r w:rsidR="005C042B">
              <w:t xml:space="preserve"> are required for </w:t>
            </w:r>
            <w:r>
              <w:t xml:space="preserve">any </w:t>
            </w:r>
            <w:r w:rsidR="005C042B">
              <w:t>transactions</w:t>
            </w:r>
            <w:r>
              <w:t xml:space="preserve"> we undertake that</w:t>
            </w:r>
            <w:r w:rsidR="005C042B">
              <w:t xml:space="preserve"> mee</w:t>
            </w:r>
            <w:r>
              <w:t>t</w:t>
            </w:r>
            <w:r w:rsidR="005C042B">
              <w:t xml:space="preserve"> the following thresholds:</w:t>
            </w:r>
          </w:p>
          <w:p w14:paraId="7A8C875A" w14:textId="2492A39A" w:rsidR="005C042B" w:rsidRPr="005C042B" w:rsidRDefault="00272534" w:rsidP="000D3935">
            <w:pPr>
              <w:pStyle w:val="ListParagraph"/>
              <w:numPr>
                <w:ilvl w:val="0"/>
                <w:numId w:val="31"/>
              </w:numPr>
              <w:spacing w:before="56" w:after="32"/>
              <w:rPr>
                <w:szCs w:val="22"/>
              </w:rPr>
            </w:pPr>
            <w:r>
              <w:rPr>
                <w:szCs w:val="22"/>
              </w:rPr>
              <w:t xml:space="preserve">Are </w:t>
            </w:r>
            <w:r w:rsidR="00BD38BB">
              <w:rPr>
                <w:szCs w:val="22"/>
              </w:rPr>
              <w:t>l</w:t>
            </w:r>
            <w:r w:rsidR="005C042B" w:rsidRPr="005C042B">
              <w:rPr>
                <w:szCs w:val="22"/>
              </w:rPr>
              <w:t>arge cash transactions NZ$10,000</w:t>
            </w:r>
            <w:r w:rsidR="00D14A2B">
              <w:rPr>
                <w:szCs w:val="22"/>
              </w:rPr>
              <w:t>.00</w:t>
            </w:r>
            <w:r w:rsidR="005C042B" w:rsidRPr="005C042B">
              <w:rPr>
                <w:szCs w:val="22"/>
              </w:rPr>
              <w:t xml:space="preserve"> or more</w:t>
            </w:r>
            <w:r>
              <w:rPr>
                <w:szCs w:val="22"/>
              </w:rPr>
              <w:t>, or;</w:t>
            </w:r>
          </w:p>
          <w:p w14:paraId="148B9830" w14:textId="5A2E98FC" w:rsidR="005C042B" w:rsidRPr="005C042B" w:rsidRDefault="00272534" w:rsidP="000D3935">
            <w:pPr>
              <w:pStyle w:val="ListParagraph"/>
              <w:numPr>
                <w:ilvl w:val="0"/>
                <w:numId w:val="31"/>
              </w:numPr>
              <w:spacing w:before="56" w:after="32"/>
            </w:pPr>
            <w:r>
              <w:rPr>
                <w:szCs w:val="22"/>
              </w:rPr>
              <w:t xml:space="preserve">Are </w:t>
            </w:r>
            <w:r w:rsidR="00BD38BB">
              <w:rPr>
                <w:szCs w:val="22"/>
              </w:rPr>
              <w:t>i</w:t>
            </w:r>
            <w:r w:rsidR="005C042B" w:rsidRPr="005C042B">
              <w:rPr>
                <w:szCs w:val="22"/>
              </w:rPr>
              <w:t>nternational wire transfer</w:t>
            </w:r>
            <w:r w:rsidR="00382518">
              <w:rPr>
                <w:szCs w:val="22"/>
              </w:rPr>
              <w:t>s</w:t>
            </w:r>
            <w:r w:rsidR="005C042B" w:rsidRPr="005C042B">
              <w:rPr>
                <w:szCs w:val="22"/>
              </w:rPr>
              <w:t xml:space="preserve"> of NZ$1</w:t>
            </w:r>
            <w:r w:rsidR="00BD38BB">
              <w:rPr>
                <w:szCs w:val="22"/>
              </w:rPr>
              <w:t>,</w:t>
            </w:r>
            <w:r w:rsidR="005C042B" w:rsidRPr="005C042B">
              <w:rPr>
                <w:szCs w:val="22"/>
              </w:rPr>
              <w:t>000</w:t>
            </w:r>
            <w:r w:rsidR="00D14A2B">
              <w:rPr>
                <w:szCs w:val="22"/>
              </w:rPr>
              <w:t>.00</w:t>
            </w:r>
            <w:r w:rsidR="005C042B" w:rsidRPr="005C042B">
              <w:rPr>
                <w:szCs w:val="22"/>
              </w:rPr>
              <w:t xml:space="preserve"> or </w:t>
            </w:r>
            <w:proofErr w:type="gramStart"/>
            <w:r w:rsidR="005C042B" w:rsidRPr="005C042B">
              <w:rPr>
                <w:szCs w:val="22"/>
              </w:rPr>
              <w:t>more</w:t>
            </w:r>
            <w:proofErr w:type="gramEnd"/>
          </w:p>
          <w:p w14:paraId="71775A26" w14:textId="50F06BE8" w:rsidR="005C042B" w:rsidRPr="005C042B" w:rsidRDefault="005C042B" w:rsidP="005C042B">
            <w:r w:rsidRPr="005C042B">
              <w:rPr>
                <w:iCs/>
              </w:rPr>
              <w:t>The</w:t>
            </w:r>
            <w:r>
              <w:rPr>
                <w:iCs/>
              </w:rPr>
              <w:t xml:space="preserve"> report</w:t>
            </w:r>
            <w:r w:rsidRPr="005C042B">
              <w:rPr>
                <w:iCs/>
              </w:rPr>
              <w:t xml:space="preserve"> need</w:t>
            </w:r>
            <w:r>
              <w:rPr>
                <w:iCs/>
              </w:rPr>
              <w:t>s</w:t>
            </w:r>
            <w:r w:rsidRPr="005C042B">
              <w:rPr>
                <w:iCs/>
              </w:rPr>
              <w:t xml:space="preserve"> to be submitted to the FIU within 10 working days via the </w:t>
            </w:r>
            <w:r w:rsidR="00D20EB6">
              <w:rPr>
                <w:iCs/>
              </w:rPr>
              <w:t>G</w:t>
            </w:r>
            <w:r w:rsidRPr="005C042B">
              <w:rPr>
                <w:iCs/>
              </w:rPr>
              <w:t>oAML portal</w:t>
            </w:r>
            <w:r w:rsidR="00BD38BB">
              <w:rPr>
                <w:iCs/>
              </w:rPr>
              <w:t>.</w:t>
            </w:r>
          </w:p>
        </w:tc>
      </w:tr>
      <w:tr w:rsidR="005C042B" w14:paraId="6F1D32EB" w14:textId="77777777" w:rsidTr="005C042B">
        <w:tc>
          <w:tcPr>
            <w:tcW w:w="1134" w:type="dxa"/>
          </w:tcPr>
          <w:p w14:paraId="0CF645E5" w14:textId="06EACA30" w:rsidR="005C042B" w:rsidRDefault="005C042B" w:rsidP="00377500">
            <w:r>
              <w:t>Procedure</w:t>
            </w:r>
          </w:p>
        </w:tc>
        <w:tc>
          <w:tcPr>
            <w:tcW w:w="8045" w:type="dxa"/>
          </w:tcPr>
          <w:p w14:paraId="596DBCB8" w14:textId="49289BE4" w:rsidR="009E2C8D" w:rsidRDefault="009E2C8D" w:rsidP="00377500">
            <w:r>
              <w:t xml:space="preserve">Our customer management system </w:t>
            </w:r>
            <w:r w:rsidR="005E159D">
              <w:t>is</w:t>
            </w:r>
            <w:r w:rsidR="00EF00AC">
              <w:t xml:space="preserve"> calibrated to</w:t>
            </w:r>
            <w:r>
              <w:t xml:space="preserve"> generate an alert reminding staff when they are processing a transaction that meets the PTR</w:t>
            </w:r>
            <w:r w:rsidR="005E159D">
              <w:t xml:space="preserve"> policy</w:t>
            </w:r>
            <w:r>
              <w:t xml:space="preserve"> threshold.</w:t>
            </w:r>
          </w:p>
          <w:p w14:paraId="5708BD08" w14:textId="0AD9B044" w:rsidR="00FC0189" w:rsidRDefault="005C042B" w:rsidP="00377500">
            <w:r>
              <w:t>The staff member responsible for submitting</w:t>
            </w:r>
            <w:r w:rsidR="00272534">
              <w:t xml:space="preserve"> the</w:t>
            </w:r>
            <w:r>
              <w:t xml:space="preserve"> PTR is (</w:t>
            </w:r>
            <w:r w:rsidR="00272534" w:rsidRPr="00382518">
              <w:rPr>
                <w:i/>
              </w:rPr>
              <w:t>title/identifier</w:t>
            </w:r>
            <w:r>
              <w:t>). This staff member hold</w:t>
            </w:r>
            <w:r w:rsidR="005E159D">
              <w:t>s</w:t>
            </w:r>
            <w:r>
              <w:t xml:space="preserve"> a GoAML login, and will submit the PTR via this portal, no later than 10 working days from the time of the transaction.</w:t>
            </w:r>
          </w:p>
          <w:p w14:paraId="5EE41597" w14:textId="2290F058" w:rsidR="00FC0189" w:rsidRDefault="00FC0189" w:rsidP="00377500">
            <w:r>
              <w:t>Once the PTR is submitted, a record of submission from GoAML will be attached to the transaction file</w:t>
            </w:r>
            <w:r w:rsidR="00D501FB">
              <w:t xml:space="preserve"> by the staff member</w:t>
            </w:r>
            <w:r>
              <w:t>.</w:t>
            </w:r>
          </w:p>
        </w:tc>
      </w:tr>
      <w:tr w:rsidR="005C042B" w14:paraId="6980F4EF" w14:textId="77777777" w:rsidTr="005C042B">
        <w:tc>
          <w:tcPr>
            <w:tcW w:w="1134" w:type="dxa"/>
          </w:tcPr>
          <w:p w14:paraId="4E37653F" w14:textId="32539C8F" w:rsidR="005C042B" w:rsidRDefault="005C042B" w:rsidP="00377500">
            <w:r>
              <w:t>Control</w:t>
            </w:r>
          </w:p>
        </w:tc>
        <w:tc>
          <w:tcPr>
            <w:tcW w:w="8045" w:type="dxa"/>
          </w:tcPr>
          <w:p w14:paraId="1503ED37" w14:textId="15B9F139" w:rsidR="00FC0189" w:rsidRDefault="005E159D" w:rsidP="00377500">
            <w:r>
              <w:t>Our</w:t>
            </w:r>
            <w:r w:rsidR="00BD38BB">
              <w:t xml:space="preserve"> compliance officer</w:t>
            </w:r>
            <w:r>
              <w:t xml:space="preserve"> </w:t>
            </w:r>
            <w:r w:rsidRPr="005E159D">
              <w:t>(</w:t>
            </w:r>
            <w:r w:rsidRPr="00A44D62">
              <w:rPr>
                <w:i/>
              </w:rPr>
              <w:t>title/identifier</w:t>
            </w:r>
            <w:r w:rsidRPr="005E159D">
              <w:t>)</w:t>
            </w:r>
            <w:r w:rsidR="005C042B">
              <w:t xml:space="preserve"> </w:t>
            </w:r>
            <w:r>
              <w:t>undertakes</w:t>
            </w:r>
            <w:r w:rsidR="005C042B">
              <w:t xml:space="preserve"> a monthly testing sample of eligible transactions and confirm</w:t>
            </w:r>
            <w:r>
              <w:t>s</w:t>
            </w:r>
            <w:r w:rsidR="005C042B">
              <w:t xml:space="preserve"> whether the associated PTR has been submitted in GoAML. </w:t>
            </w:r>
          </w:p>
          <w:p w14:paraId="3B0594A0" w14:textId="7C512457" w:rsidR="00EF00AC" w:rsidRDefault="00FC0189" w:rsidP="00377500">
            <w:r>
              <w:t>They do this by taking the records of all transactions</w:t>
            </w:r>
            <w:r w:rsidR="00EF00AC">
              <w:t xml:space="preserve"> in our customer management system that</w:t>
            </w:r>
            <w:r>
              <w:t xml:space="preserve"> meet the thresholds for a PTR </w:t>
            </w:r>
            <w:r w:rsidR="00EF00AC">
              <w:t>within the month and</w:t>
            </w:r>
            <w:r>
              <w:t xml:space="preserve"> </w:t>
            </w:r>
            <w:r w:rsidR="005E159D">
              <w:t>testing</w:t>
            </w:r>
            <w:r>
              <w:t xml:space="preserve"> a random sample of these. </w:t>
            </w:r>
          </w:p>
          <w:p w14:paraId="3E33EFBD" w14:textId="1967E27D" w:rsidR="005C042B" w:rsidRDefault="00FC0189" w:rsidP="00377500">
            <w:r>
              <w:t xml:space="preserve">The </w:t>
            </w:r>
            <w:r w:rsidR="005E159D">
              <w:t xml:space="preserve">random sample </w:t>
            </w:r>
            <w:r>
              <w:t xml:space="preserve">transactions will be </w:t>
            </w:r>
            <w:r w:rsidR="00D757DC">
              <w:t xml:space="preserve">examined in the customer management system for the attached record of submission from GoAML, and the </w:t>
            </w:r>
            <w:r w:rsidR="00BD38BB">
              <w:t xml:space="preserve">compliance officer </w:t>
            </w:r>
            <w:r w:rsidR="00D757DC">
              <w:t>will query GoAML directly to confirm the PTR was submitted.</w:t>
            </w:r>
          </w:p>
        </w:tc>
      </w:tr>
    </w:tbl>
    <w:p w14:paraId="1F277E1D" w14:textId="77777777" w:rsidR="005C042B" w:rsidRDefault="005C042B" w:rsidP="00377500">
      <w:pPr>
        <w:rPr>
          <w:sz w:val="22"/>
        </w:rPr>
      </w:pPr>
    </w:p>
    <w:p w14:paraId="1F9089DA" w14:textId="0705440B" w:rsidR="00377500" w:rsidRDefault="00377500" w:rsidP="00377500">
      <w:pPr>
        <w:rPr>
          <w:sz w:val="22"/>
        </w:rPr>
      </w:pPr>
      <w:r>
        <w:rPr>
          <w:sz w:val="22"/>
        </w:rPr>
        <w:t>Like your risk assessment, y</w:t>
      </w:r>
      <w:r w:rsidRPr="00377500">
        <w:rPr>
          <w:sz w:val="22"/>
        </w:rPr>
        <w:t>ou must regularly review your AML/CFT programme to ensure it remains up-to date and to identify and remedy any deficiencies. Your records should show evidence of updates that address any identified deficiencies in its effectiveness.</w:t>
      </w:r>
    </w:p>
    <w:p w14:paraId="70101749" w14:textId="3A3ECFB8" w:rsidR="00377500" w:rsidRPr="00377500" w:rsidRDefault="00DE1914" w:rsidP="00377500">
      <w:pPr>
        <w:rPr>
          <w:sz w:val="22"/>
        </w:rPr>
      </w:pPr>
      <w:r w:rsidRPr="00377500">
        <w:rPr>
          <w:sz w:val="22"/>
        </w:rPr>
        <w:t xml:space="preserve">The Act requires that you have regard to guidance produced by the supervisor when developing your AML/CFT programme. </w:t>
      </w:r>
      <w:r>
        <w:rPr>
          <w:sz w:val="22"/>
        </w:rPr>
        <w:t xml:space="preserve"> </w:t>
      </w:r>
      <w:r w:rsidR="00377500">
        <w:rPr>
          <w:sz w:val="22"/>
        </w:rPr>
        <w:t>The following guideline</w:t>
      </w:r>
      <w:r w:rsidR="00BD38BB">
        <w:rPr>
          <w:sz w:val="22"/>
        </w:rPr>
        <w:t>s</w:t>
      </w:r>
      <w:r w:rsidR="00377500">
        <w:rPr>
          <w:sz w:val="22"/>
        </w:rPr>
        <w:t xml:space="preserve"> may assist VASPs in developing their AML</w:t>
      </w:r>
      <w:r w:rsidR="00015CAD">
        <w:rPr>
          <w:sz w:val="22"/>
        </w:rPr>
        <w:t>/CFT</w:t>
      </w:r>
      <w:r w:rsidR="00377500">
        <w:rPr>
          <w:sz w:val="22"/>
        </w:rPr>
        <w:t xml:space="preserve"> </w:t>
      </w:r>
      <w:r w:rsidR="00AA0F1E">
        <w:rPr>
          <w:sz w:val="22"/>
        </w:rPr>
        <w:t>p</w:t>
      </w:r>
      <w:r w:rsidR="00377500">
        <w:rPr>
          <w:sz w:val="22"/>
        </w:rPr>
        <w:t>rogramme.</w:t>
      </w:r>
    </w:p>
    <w:p w14:paraId="20C322C7" w14:textId="580D38FD" w:rsidR="00377500" w:rsidRDefault="005F6E6A" w:rsidP="00377500">
      <w:pPr>
        <w:rPr>
          <w:sz w:val="22"/>
        </w:rPr>
      </w:pPr>
      <w:hyperlink r:id="rId57" w:history="1">
        <w:r w:rsidR="00015CAD">
          <w:rPr>
            <w:rStyle w:val="Hyperlink"/>
            <w:sz w:val="22"/>
          </w:rPr>
          <w:t>AML/CFT Programme Guideline</w:t>
        </w:r>
      </w:hyperlink>
      <w:r w:rsidR="00377500" w:rsidRPr="00377500">
        <w:rPr>
          <w:sz w:val="22"/>
        </w:rPr>
        <w:t xml:space="preserve"> </w:t>
      </w:r>
    </w:p>
    <w:p w14:paraId="1FC47F41" w14:textId="77777777" w:rsidR="0021761C" w:rsidRDefault="005F6E6A" w:rsidP="00377500">
      <w:pPr>
        <w:rPr>
          <w:rStyle w:val="Hyperlink"/>
          <w:sz w:val="22"/>
        </w:rPr>
      </w:pPr>
      <w:hyperlink r:id="rId58" w:history="1">
        <w:r w:rsidR="00B23D21">
          <w:rPr>
            <w:rStyle w:val="Hyperlink"/>
            <w:sz w:val="22"/>
          </w:rPr>
          <w:t>AML/CFT Risk Assessment and Programme: Prompts and Notes for DIA reporting entities</w:t>
        </w:r>
      </w:hyperlink>
    </w:p>
    <w:p w14:paraId="6B30F266" w14:textId="3A37EE5C" w:rsidR="00377500" w:rsidRDefault="00377500" w:rsidP="00377500">
      <w:pPr>
        <w:rPr>
          <w:sz w:val="22"/>
        </w:rPr>
      </w:pPr>
      <w:r>
        <w:rPr>
          <w:sz w:val="22"/>
        </w:rPr>
        <w:t>Note that the</w:t>
      </w:r>
      <w:r w:rsidRPr="00377500">
        <w:rPr>
          <w:sz w:val="22"/>
        </w:rPr>
        <w:t xml:space="preserve"> guidance is generic in nature. It does not provide prescriptive instructions on how businesses can ensure they are compliant with </w:t>
      </w:r>
      <w:r w:rsidR="00782E4B">
        <w:rPr>
          <w:sz w:val="22"/>
        </w:rPr>
        <w:t>the</w:t>
      </w:r>
      <w:r w:rsidRPr="00377500">
        <w:rPr>
          <w:sz w:val="22"/>
        </w:rPr>
        <w:t xml:space="preserve"> Act. This is because each business has unique circumstances that determine their exposure to ML/TF risks, which they need to understand and factor into their unique AML/CFT programme. Businesses will need to apply their own judgement, and where there are questions about compliance, they can either ask </w:t>
      </w:r>
      <w:r w:rsidR="0049255B">
        <w:rPr>
          <w:sz w:val="22"/>
        </w:rPr>
        <w:t>the Department</w:t>
      </w:r>
      <w:r w:rsidRPr="00377500">
        <w:rPr>
          <w:sz w:val="22"/>
        </w:rPr>
        <w:t xml:space="preserve"> for general information, or seek independent advice.</w:t>
      </w:r>
    </w:p>
    <w:p w14:paraId="3574EDEF" w14:textId="6CF8ABA3" w:rsidR="00584253" w:rsidRPr="00584253" w:rsidRDefault="005E159D" w:rsidP="00584253">
      <w:pPr>
        <w:rPr>
          <w:sz w:val="22"/>
        </w:rPr>
      </w:pPr>
      <w:r w:rsidRPr="00584253">
        <w:rPr>
          <w:sz w:val="22"/>
        </w:rPr>
        <w:t>The most important part of your AML/CFT programme is that it is effectively implemented. Having a really good AML</w:t>
      </w:r>
      <w:r w:rsidR="00015CAD">
        <w:rPr>
          <w:sz w:val="22"/>
        </w:rPr>
        <w:t>/CFT</w:t>
      </w:r>
      <w:r w:rsidRPr="00584253">
        <w:rPr>
          <w:sz w:val="22"/>
        </w:rPr>
        <w:t xml:space="preserve"> programme on paper is not enough. Your programme needs to work in practice. When we ask you need to be able to show us that your programme is working - that you have been checking how it</w:t>
      </w:r>
      <w:r w:rsidR="00BD38BB">
        <w:rPr>
          <w:sz w:val="22"/>
        </w:rPr>
        <w:t xml:space="preserve"> i</w:t>
      </w:r>
      <w:r w:rsidRPr="00584253">
        <w:rPr>
          <w:sz w:val="22"/>
        </w:rPr>
        <w:t xml:space="preserve">s working, making any necessary </w:t>
      </w:r>
      <w:r w:rsidR="0021761C" w:rsidRPr="00584253">
        <w:rPr>
          <w:sz w:val="22"/>
        </w:rPr>
        <w:t>improvements,</w:t>
      </w:r>
      <w:r w:rsidRPr="00584253">
        <w:rPr>
          <w:sz w:val="22"/>
        </w:rPr>
        <w:t xml:space="preserve"> and recording your checking process and any resulting changes. </w:t>
      </w:r>
    </w:p>
    <w:p w14:paraId="3FC27ED1" w14:textId="61D8B01B" w:rsidR="00E13AD4" w:rsidRDefault="00E13AD4" w:rsidP="00E13AD4">
      <w:pPr>
        <w:pStyle w:val="Heading2"/>
      </w:pPr>
      <w:bookmarkStart w:id="24" w:name="_Toc34985640"/>
      <w:r>
        <w:t xml:space="preserve">Annual Reports, Audits, </w:t>
      </w:r>
      <w:r w:rsidR="000C3DFA">
        <w:t xml:space="preserve">and </w:t>
      </w:r>
      <w:r>
        <w:t>Recordkeeping</w:t>
      </w:r>
      <w:bookmarkEnd w:id="24"/>
    </w:p>
    <w:p w14:paraId="19D218E1" w14:textId="6B6DF5EC" w:rsidR="000E4916" w:rsidRDefault="000E4916" w:rsidP="000E4916">
      <w:pPr>
        <w:pStyle w:val="Heading3"/>
      </w:pPr>
      <w:bookmarkStart w:id="25" w:name="_Toc34985641"/>
      <w:r>
        <w:t>Annual Report</w:t>
      </w:r>
      <w:bookmarkEnd w:id="25"/>
    </w:p>
    <w:p w14:paraId="6808EDF1" w14:textId="797EA3A7" w:rsidR="00754160" w:rsidRDefault="00A74D02" w:rsidP="00A12807">
      <w:pPr>
        <w:rPr>
          <w:sz w:val="22"/>
        </w:rPr>
      </w:pPr>
      <w:r>
        <w:rPr>
          <w:sz w:val="22"/>
        </w:rPr>
        <w:t>R</w:t>
      </w:r>
      <w:r w:rsidR="002770AE">
        <w:rPr>
          <w:sz w:val="22"/>
        </w:rPr>
        <w:t xml:space="preserve">eporting entities are required to submit an </w:t>
      </w:r>
      <w:r w:rsidR="00C67FB8">
        <w:rPr>
          <w:sz w:val="22"/>
        </w:rPr>
        <w:t>a</w:t>
      </w:r>
      <w:r w:rsidR="002770AE">
        <w:rPr>
          <w:sz w:val="22"/>
        </w:rPr>
        <w:t xml:space="preserve">nnual </w:t>
      </w:r>
      <w:r w:rsidR="00C67FB8">
        <w:rPr>
          <w:sz w:val="22"/>
        </w:rPr>
        <w:t>r</w:t>
      </w:r>
      <w:r w:rsidR="002770AE">
        <w:rPr>
          <w:sz w:val="22"/>
        </w:rPr>
        <w:t>eport through AML Online</w:t>
      </w:r>
      <w:r w:rsidR="00CE2F9E">
        <w:rPr>
          <w:sz w:val="22"/>
        </w:rPr>
        <w:t xml:space="preserve">. </w:t>
      </w:r>
      <w:r w:rsidR="003903C1">
        <w:rPr>
          <w:sz w:val="22"/>
        </w:rPr>
        <w:t>This report covers the 12</w:t>
      </w:r>
      <w:r>
        <w:rPr>
          <w:sz w:val="22"/>
        </w:rPr>
        <w:t>-</w:t>
      </w:r>
      <w:r w:rsidR="003903C1">
        <w:rPr>
          <w:sz w:val="22"/>
        </w:rPr>
        <w:t>month period from 1 July – 30 June, and</w:t>
      </w:r>
      <w:r w:rsidR="003903C1" w:rsidRPr="003903C1">
        <w:rPr>
          <w:sz w:val="22"/>
        </w:rPr>
        <w:t xml:space="preserve"> may </w:t>
      </w:r>
      <w:r w:rsidR="003903C1">
        <w:rPr>
          <w:sz w:val="22"/>
        </w:rPr>
        <w:t xml:space="preserve">be submitted </w:t>
      </w:r>
      <w:r w:rsidR="003903C1" w:rsidRPr="003903C1">
        <w:rPr>
          <w:sz w:val="22"/>
        </w:rPr>
        <w:t>any time from 1</w:t>
      </w:r>
      <w:r w:rsidR="003903C1">
        <w:rPr>
          <w:sz w:val="22"/>
        </w:rPr>
        <w:t xml:space="preserve"> </w:t>
      </w:r>
      <w:r w:rsidR="003903C1" w:rsidRPr="003903C1">
        <w:rPr>
          <w:sz w:val="22"/>
        </w:rPr>
        <w:t>July, but by no later than 31</w:t>
      </w:r>
      <w:r w:rsidR="003903C1">
        <w:rPr>
          <w:sz w:val="22"/>
        </w:rPr>
        <w:t xml:space="preserve"> </w:t>
      </w:r>
      <w:r w:rsidR="003903C1" w:rsidRPr="003903C1">
        <w:rPr>
          <w:sz w:val="22"/>
        </w:rPr>
        <w:t>August following the reporting period</w:t>
      </w:r>
      <w:r w:rsidR="00C67FB8">
        <w:rPr>
          <w:sz w:val="22"/>
        </w:rPr>
        <w:t xml:space="preserve"> (or other date as advised by your supervisor)</w:t>
      </w:r>
      <w:r w:rsidR="003903C1">
        <w:rPr>
          <w:sz w:val="22"/>
        </w:rPr>
        <w:t xml:space="preserve">. </w:t>
      </w:r>
    </w:p>
    <w:p w14:paraId="0C8B5282" w14:textId="48B8D95C" w:rsidR="002770AE" w:rsidRDefault="00754160" w:rsidP="00A12807">
      <w:pPr>
        <w:rPr>
          <w:sz w:val="22"/>
        </w:rPr>
      </w:pPr>
      <w:r>
        <w:rPr>
          <w:sz w:val="22"/>
        </w:rPr>
        <w:t>The scope and coverage of your annual report is limited to the AML/CFT activities captured by the Act, for example y</w:t>
      </w:r>
      <w:r w:rsidR="003903C1" w:rsidRPr="003903C1">
        <w:rPr>
          <w:sz w:val="22"/>
        </w:rPr>
        <w:t>ou only need to provide details on revenue associated with products or services that are covered by the Act during the reporting period.</w:t>
      </w:r>
      <w:r w:rsidR="003903C1">
        <w:rPr>
          <w:sz w:val="22"/>
        </w:rPr>
        <w:t xml:space="preserve"> VASPs should use the set of annual report questions for financial </w:t>
      </w:r>
      <w:r w:rsidR="00E13AD4">
        <w:rPr>
          <w:sz w:val="22"/>
        </w:rPr>
        <w:t>institutions.</w:t>
      </w:r>
    </w:p>
    <w:p w14:paraId="427A30D5" w14:textId="45B9387E" w:rsidR="00CE2F9E" w:rsidRDefault="005F6E6A" w:rsidP="00A12807">
      <w:pPr>
        <w:rPr>
          <w:sz w:val="22"/>
        </w:rPr>
      </w:pPr>
      <w:hyperlink r:id="rId59" w:history="1">
        <w:r w:rsidR="00B23D21">
          <w:rPr>
            <w:rStyle w:val="Hyperlink"/>
            <w:sz w:val="22"/>
          </w:rPr>
          <w:t>Annual Report User Guide</w:t>
        </w:r>
      </w:hyperlink>
    </w:p>
    <w:p w14:paraId="3EE499AA" w14:textId="4A9EF114" w:rsidR="00FC5555" w:rsidRDefault="00481DAD" w:rsidP="00FC5555">
      <w:pPr>
        <w:pStyle w:val="Heading3"/>
      </w:pPr>
      <w:bookmarkStart w:id="26" w:name="_Toc34985642"/>
      <w:r>
        <w:t xml:space="preserve">Independent AML/CFT </w:t>
      </w:r>
      <w:r w:rsidR="00FC5555">
        <w:t>Audit</w:t>
      </w:r>
      <w:r w:rsidR="00041A76">
        <w:t>s</w:t>
      </w:r>
      <w:bookmarkEnd w:id="26"/>
    </w:p>
    <w:p w14:paraId="134BD54A" w14:textId="027CCC06" w:rsidR="00B47C1D" w:rsidRDefault="00B47C1D" w:rsidP="00B47C1D">
      <w:pPr>
        <w:rPr>
          <w:sz w:val="22"/>
        </w:rPr>
      </w:pPr>
      <w:r w:rsidRPr="00041A76">
        <w:rPr>
          <w:sz w:val="22"/>
        </w:rPr>
        <w:t xml:space="preserve">Every two years, you </w:t>
      </w:r>
      <w:r>
        <w:rPr>
          <w:sz w:val="22"/>
        </w:rPr>
        <w:t xml:space="preserve">must </w:t>
      </w:r>
      <w:r w:rsidRPr="00041A76">
        <w:rPr>
          <w:sz w:val="22"/>
        </w:rPr>
        <w:t>have an independent audit of your risk assessment and AML/CFT programme.</w:t>
      </w:r>
      <w:r>
        <w:rPr>
          <w:sz w:val="22"/>
        </w:rPr>
        <w:t xml:space="preserve"> </w:t>
      </w:r>
      <w:r w:rsidRPr="00041A76">
        <w:rPr>
          <w:sz w:val="22"/>
        </w:rPr>
        <w:t xml:space="preserve">An independent audit </w:t>
      </w:r>
      <w:r>
        <w:rPr>
          <w:sz w:val="22"/>
        </w:rPr>
        <w:t xml:space="preserve">provides assurance </w:t>
      </w:r>
      <w:r w:rsidRPr="00041A76">
        <w:rPr>
          <w:sz w:val="22"/>
        </w:rPr>
        <w:t xml:space="preserve">that </w:t>
      </w:r>
      <w:r>
        <w:rPr>
          <w:sz w:val="22"/>
        </w:rPr>
        <w:t xml:space="preserve">your policies, </w:t>
      </w:r>
      <w:r w:rsidR="0021761C">
        <w:rPr>
          <w:sz w:val="22"/>
        </w:rPr>
        <w:t>procedures,</w:t>
      </w:r>
      <w:r>
        <w:rPr>
          <w:sz w:val="22"/>
        </w:rPr>
        <w:t xml:space="preserve"> and controls </w:t>
      </w:r>
      <w:r w:rsidRPr="00041A76">
        <w:rPr>
          <w:sz w:val="22"/>
        </w:rPr>
        <w:t xml:space="preserve">remain up-to-date, that any deficiencies in </w:t>
      </w:r>
      <w:r>
        <w:rPr>
          <w:sz w:val="22"/>
        </w:rPr>
        <w:t xml:space="preserve">your </w:t>
      </w:r>
      <w:r w:rsidRPr="00041A76">
        <w:rPr>
          <w:sz w:val="22"/>
        </w:rPr>
        <w:t>programme</w:t>
      </w:r>
      <w:r>
        <w:rPr>
          <w:sz w:val="22"/>
        </w:rPr>
        <w:t xml:space="preserve">’s </w:t>
      </w:r>
      <w:r w:rsidRPr="00041A76">
        <w:rPr>
          <w:sz w:val="22"/>
        </w:rPr>
        <w:t xml:space="preserve">effectiveness are identified, and that any necessary changes </w:t>
      </w:r>
      <w:r>
        <w:rPr>
          <w:sz w:val="22"/>
        </w:rPr>
        <w:t xml:space="preserve">have been </w:t>
      </w:r>
      <w:r w:rsidRPr="00041A76">
        <w:rPr>
          <w:sz w:val="22"/>
        </w:rPr>
        <w:t>made</w:t>
      </w:r>
      <w:r>
        <w:rPr>
          <w:sz w:val="22"/>
        </w:rPr>
        <w:t xml:space="preserve"> and recorded.</w:t>
      </w:r>
    </w:p>
    <w:p w14:paraId="5F423EEA" w14:textId="77777777" w:rsidR="00B47C1D" w:rsidRDefault="00B47C1D" w:rsidP="00B47C1D">
      <w:pPr>
        <w:rPr>
          <w:sz w:val="22"/>
        </w:rPr>
      </w:pPr>
      <w:r w:rsidRPr="00336B2E">
        <w:rPr>
          <w:sz w:val="22"/>
        </w:rPr>
        <w:t xml:space="preserve">The Act requires </w:t>
      </w:r>
      <w:r>
        <w:rPr>
          <w:sz w:val="22"/>
        </w:rPr>
        <w:t xml:space="preserve">that the person undertaking your audit </w:t>
      </w:r>
      <w:r w:rsidRPr="00336B2E">
        <w:rPr>
          <w:sz w:val="22"/>
        </w:rPr>
        <w:t xml:space="preserve">is independent and suitably qualified. </w:t>
      </w:r>
    </w:p>
    <w:p w14:paraId="0B747858" w14:textId="08B224FD" w:rsidR="00B47C1D" w:rsidRDefault="00B47C1D" w:rsidP="00B47C1D">
      <w:pPr>
        <w:rPr>
          <w:sz w:val="22"/>
        </w:rPr>
      </w:pPr>
      <w:r>
        <w:rPr>
          <w:sz w:val="22"/>
        </w:rPr>
        <w:lastRenderedPageBreak/>
        <w:t>Independence means that the person conducting your audit cannot benefit from the results of the audit in anyway. S</w:t>
      </w:r>
      <w:r w:rsidRPr="00336B2E">
        <w:rPr>
          <w:sz w:val="22"/>
        </w:rPr>
        <w:t xml:space="preserve">omeone who has been involved in the establishment of </w:t>
      </w:r>
      <w:r>
        <w:rPr>
          <w:sz w:val="22"/>
        </w:rPr>
        <w:t xml:space="preserve">your </w:t>
      </w:r>
      <w:r w:rsidR="00015CAD">
        <w:rPr>
          <w:sz w:val="22"/>
        </w:rPr>
        <w:t>AML/CFT</w:t>
      </w:r>
      <w:r w:rsidRPr="00336B2E">
        <w:rPr>
          <w:sz w:val="22"/>
        </w:rPr>
        <w:t xml:space="preserve"> programme (such as completing the risk assessment and/or writing the AML/CFT programme) </w:t>
      </w:r>
      <w:r>
        <w:rPr>
          <w:sz w:val="22"/>
        </w:rPr>
        <w:t xml:space="preserve">is not independent and cannot conduct your audit. </w:t>
      </w:r>
      <w:r w:rsidRPr="00336B2E">
        <w:rPr>
          <w:sz w:val="22"/>
        </w:rPr>
        <w:t xml:space="preserve"> </w:t>
      </w:r>
    </w:p>
    <w:p w14:paraId="0E397993" w14:textId="77777777" w:rsidR="00B47C1D" w:rsidRDefault="00B47C1D" w:rsidP="00B47C1D">
      <w:pPr>
        <w:rPr>
          <w:sz w:val="22"/>
        </w:rPr>
      </w:pPr>
      <w:r>
        <w:rPr>
          <w:sz w:val="22"/>
        </w:rPr>
        <w:t xml:space="preserve">The person who conducts your audit is not required to be </w:t>
      </w:r>
      <w:r w:rsidRPr="00336B2E">
        <w:rPr>
          <w:sz w:val="22"/>
        </w:rPr>
        <w:t>a Chartered Accountant or</w:t>
      </w:r>
      <w:r>
        <w:rPr>
          <w:sz w:val="22"/>
        </w:rPr>
        <w:t xml:space="preserve"> otherwise formally</w:t>
      </w:r>
      <w:r w:rsidRPr="00336B2E">
        <w:rPr>
          <w:sz w:val="22"/>
        </w:rPr>
        <w:t xml:space="preserve"> qualified</w:t>
      </w:r>
      <w:r>
        <w:rPr>
          <w:sz w:val="22"/>
        </w:rPr>
        <w:t>, but they do need to demonstrate how they are appropriately qualified to conduct the audit</w:t>
      </w:r>
      <w:r w:rsidRPr="00336B2E">
        <w:rPr>
          <w:sz w:val="22"/>
        </w:rPr>
        <w:t>.</w:t>
      </w:r>
      <w:r>
        <w:rPr>
          <w:sz w:val="22"/>
        </w:rPr>
        <w:t xml:space="preserve"> Being appropriately qualified means that they have knowledge of the AML/CFT system (Act, Regulations, Codes of Practice etc) and an understanding of your business context, and how the AML/CFT regime applies to it. </w:t>
      </w:r>
    </w:p>
    <w:p w14:paraId="4DF9B952" w14:textId="77777777" w:rsidR="00B47C1D" w:rsidRDefault="00B47C1D" w:rsidP="00B47C1D">
      <w:pPr>
        <w:rPr>
          <w:sz w:val="22"/>
        </w:rPr>
      </w:pPr>
      <w:r w:rsidRPr="00336B2E">
        <w:rPr>
          <w:sz w:val="22"/>
        </w:rPr>
        <w:t>A copy of the independent audit must be provided to the supervisor on request. The supervisor can instruct a reporting entity to have a new independent audit undertaken at any time.</w:t>
      </w:r>
    </w:p>
    <w:p w14:paraId="0F77EC8C" w14:textId="0164D440" w:rsidR="00B47C1D" w:rsidRDefault="00B47C1D" w:rsidP="00591B73">
      <w:pPr>
        <w:rPr>
          <w:sz w:val="22"/>
        </w:rPr>
      </w:pPr>
      <w:r>
        <w:rPr>
          <w:sz w:val="22"/>
        </w:rPr>
        <w:t xml:space="preserve">Further guidance on audits is available here: </w:t>
      </w:r>
    </w:p>
    <w:p w14:paraId="39E72364" w14:textId="6A4611FA" w:rsidR="00CE2F9E" w:rsidRDefault="005F6E6A" w:rsidP="00A12807">
      <w:pPr>
        <w:rPr>
          <w:rStyle w:val="Hyperlink"/>
          <w:sz w:val="22"/>
        </w:rPr>
      </w:pPr>
      <w:hyperlink r:id="rId60" w:history="1">
        <w:r w:rsidR="00CE2F9E" w:rsidRPr="00CE2F9E">
          <w:rPr>
            <w:rStyle w:val="Hyperlink"/>
            <w:sz w:val="22"/>
          </w:rPr>
          <w:t>Audit Guideline</w:t>
        </w:r>
      </w:hyperlink>
    </w:p>
    <w:p w14:paraId="0EA6DDCD" w14:textId="70D444A3" w:rsidR="000E3022" w:rsidRDefault="000E3022" w:rsidP="00E3084C">
      <w:pPr>
        <w:pStyle w:val="Heading3"/>
      </w:pPr>
      <w:bookmarkStart w:id="27" w:name="_Toc34985643"/>
      <w:r>
        <w:t>Record keeping</w:t>
      </w:r>
      <w:bookmarkEnd w:id="27"/>
    </w:p>
    <w:p w14:paraId="33D6DD2F" w14:textId="47D55A17" w:rsidR="000E3022" w:rsidRPr="000E3022" w:rsidRDefault="00156F55" w:rsidP="000E3022">
      <w:pPr>
        <w:rPr>
          <w:sz w:val="22"/>
        </w:rPr>
      </w:pPr>
      <w:r>
        <w:rPr>
          <w:sz w:val="22"/>
        </w:rPr>
        <w:t>All</w:t>
      </w:r>
      <w:r w:rsidR="00E2633F">
        <w:rPr>
          <w:sz w:val="22"/>
        </w:rPr>
        <w:t xml:space="preserve"> reporting entities, </w:t>
      </w:r>
      <w:r>
        <w:rPr>
          <w:sz w:val="22"/>
        </w:rPr>
        <w:t xml:space="preserve">including </w:t>
      </w:r>
      <w:r w:rsidR="00E2633F">
        <w:rPr>
          <w:sz w:val="22"/>
        </w:rPr>
        <w:t>VASPs</w:t>
      </w:r>
      <w:r>
        <w:rPr>
          <w:sz w:val="22"/>
        </w:rPr>
        <w:t>,</w:t>
      </w:r>
      <w:r w:rsidR="000E3022" w:rsidRPr="000E3022">
        <w:rPr>
          <w:sz w:val="22"/>
        </w:rPr>
        <w:t xml:space="preserve"> must keep adequate records as outlined in sections 49 to 55 of the Act. Records must be in written form in English or be readily accessible and readily convertible into written form in English. </w:t>
      </w:r>
    </w:p>
    <w:p w14:paraId="746944E6" w14:textId="2102DEE6" w:rsidR="000E3022" w:rsidRDefault="00156F55" w:rsidP="000E3022">
      <w:pPr>
        <w:rPr>
          <w:sz w:val="22"/>
        </w:rPr>
      </w:pPr>
      <w:r>
        <w:rPr>
          <w:sz w:val="22"/>
        </w:rPr>
        <w:t>Your r</w:t>
      </w:r>
      <w:r w:rsidR="000E3022" w:rsidRPr="000E3022">
        <w:rPr>
          <w:sz w:val="22"/>
        </w:rPr>
        <w:t>ecords for</w:t>
      </w:r>
      <w:r w:rsidR="004C431A">
        <w:rPr>
          <w:sz w:val="22"/>
        </w:rPr>
        <w:t xml:space="preserve"> must be kept for</w:t>
      </w:r>
      <w:r w:rsidR="000E3022" w:rsidRPr="000E3022">
        <w:rPr>
          <w:sz w:val="22"/>
        </w:rPr>
        <w:t xml:space="preserve"> at least five years. </w:t>
      </w:r>
      <w:r>
        <w:rPr>
          <w:sz w:val="22"/>
        </w:rPr>
        <w:t>Your</w:t>
      </w:r>
      <w:r w:rsidR="000E3022" w:rsidRPr="000E3022">
        <w:rPr>
          <w:sz w:val="22"/>
        </w:rPr>
        <w:t xml:space="preserve"> supervisor or the Commissioner of Police may ask </w:t>
      </w:r>
      <w:r w:rsidR="004C431A">
        <w:rPr>
          <w:sz w:val="22"/>
        </w:rPr>
        <w:t>reporting entities</w:t>
      </w:r>
      <w:r w:rsidR="000E3022" w:rsidRPr="000E3022">
        <w:rPr>
          <w:sz w:val="22"/>
        </w:rPr>
        <w:t xml:space="preserve"> to keep records for longer</w:t>
      </w:r>
      <w:r>
        <w:rPr>
          <w:sz w:val="22"/>
        </w:rPr>
        <w:t xml:space="preserve"> periods</w:t>
      </w:r>
      <w:r w:rsidR="000E3022" w:rsidRPr="000E3022">
        <w:rPr>
          <w:sz w:val="22"/>
        </w:rPr>
        <w:t xml:space="preserve"> in some circumstances. After five years, the records can be destroyed unless there is a lawful reason why they should be retained – for example, the need to comply with another enactment or to enable you to carry on your business.</w:t>
      </w:r>
    </w:p>
    <w:p w14:paraId="55B7CE11" w14:textId="3297C3EF" w:rsidR="00A12807" w:rsidRDefault="00A12807" w:rsidP="000C3DFA">
      <w:pPr>
        <w:pStyle w:val="Heading2"/>
      </w:pPr>
      <w:bookmarkStart w:id="28" w:name="_Toc34985644"/>
      <w:r>
        <w:t>Wire transfers</w:t>
      </w:r>
      <w:bookmarkEnd w:id="28"/>
    </w:p>
    <w:p w14:paraId="58FF12B3" w14:textId="1F6F5AE5" w:rsidR="00575F55" w:rsidRDefault="00367C9E" w:rsidP="00A12807">
      <w:pPr>
        <w:rPr>
          <w:sz w:val="22"/>
        </w:rPr>
      </w:pPr>
      <w:r w:rsidRPr="00F71849">
        <w:rPr>
          <w:sz w:val="22"/>
        </w:rPr>
        <w:t xml:space="preserve">Wire transfers are </w:t>
      </w:r>
      <w:r w:rsidR="00156F55">
        <w:rPr>
          <w:sz w:val="22"/>
        </w:rPr>
        <w:t>an especially important captured activity</w:t>
      </w:r>
      <w:r w:rsidRPr="00F71849">
        <w:rPr>
          <w:sz w:val="22"/>
        </w:rPr>
        <w:t xml:space="preserve"> </w:t>
      </w:r>
      <w:r w:rsidR="00C67FB8">
        <w:rPr>
          <w:sz w:val="22"/>
        </w:rPr>
        <w:t xml:space="preserve">for </w:t>
      </w:r>
      <w:r w:rsidR="005E36BB" w:rsidRPr="00F71849">
        <w:rPr>
          <w:sz w:val="22"/>
        </w:rPr>
        <w:t xml:space="preserve">VASPs. </w:t>
      </w:r>
    </w:p>
    <w:p w14:paraId="0AA434D3" w14:textId="3730FF21" w:rsidR="00156F55" w:rsidRDefault="005D7528" w:rsidP="00A12807">
      <w:pPr>
        <w:rPr>
          <w:sz w:val="22"/>
        </w:rPr>
      </w:pPr>
      <w:r>
        <w:rPr>
          <w:sz w:val="22"/>
        </w:rPr>
        <w:t xml:space="preserve">In New Zealand, </w:t>
      </w:r>
      <w:r w:rsidR="00726C63">
        <w:rPr>
          <w:sz w:val="22"/>
        </w:rPr>
        <w:t xml:space="preserve">the </w:t>
      </w:r>
      <w:r w:rsidR="00156F55">
        <w:rPr>
          <w:sz w:val="22"/>
        </w:rPr>
        <w:t xml:space="preserve">definition of </w:t>
      </w:r>
      <w:r w:rsidR="00C67FB8">
        <w:rPr>
          <w:sz w:val="22"/>
        </w:rPr>
        <w:t>w</w:t>
      </w:r>
      <w:r w:rsidR="00BF553C" w:rsidRPr="00F71849">
        <w:rPr>
          <w:sz w:val="22"/>
        </w:rPr>
        <w:t xml:space="preserve">ire </w:t>
      </w:r>
      <w:r w:rsidR="00C67FB8">
        <w:rPr>
          <w:sz w:val="22"/>
        </w:rPr>
        <w:t>t</w:t>
      </w:r>
      <w:r w:rsidR="00BF553C" w:rsidRPr="00F71849">
        <w:rPr>
          <w:sz w:val="22"/>
        </w:rPr>
        <w:t xml:space="preserve">ransfer </w:t>
      </w:r>
      <w:r w:rsidR="00156F55">
        <w:rPr>
          <w:sz w:val="22"/>
        </w:rPr>
        <w:t>is</w:t>
      </w:r>
      <w:r w:rsidR="00E7561E" w:rsidRPr="00F71849">
        <w:rPr>
          <w:sz w:val="22"/>
        </w:rPr>
        <w:t xml:space="preserve"> </w:t>
      </w:r>
      <w:r w:rsidR="00BF553C" w:rsidRPr="00F71849">
        <w:rPr>
          <w:sz w:val="22"/>
        </w:rPr>
        <w:t>set out in</w:t>
      </w:r>
      <w:r w:rsidR="00E7561E" w:rsidRPr="00F71849">
        <w:rPr>
          <w:sz w:val="22"/>
        </w:rPr>
        <w:t xml:space="preserve"> section 5 of</w:t>
      </w:r>
      <w:r w:rsidR="00BF553C" w:rsidRPr="00F71849">
        <w:rPr>
          <w:sz w:val="22"/>
        </w:rPr>
        <w:t xml:space="preserve"> the Act</w:t>
      </w:r>
      <w:r w:rsidR="00156F55">
        <w:rPr>
          <w:sz w:val="22"/>
        </w:rPr>
        <w:t xml:space="preserve">. </w:t>
      </w:r>
      <w:r w:rsidR="00283335">
        <w:rPr>
          <w:sz w:val="22"/>
        </w:rPr>
        <w:t>For VASPs t</w:t>
      </w:r>
      <w:r w:rsidR="00156F55">
        <w:rPr>
          <w:sz w:val="22"/>
        </w:rPr>
        <w:t>his definition covers:</w:t>
      </w:r>
      <w:r w:rsidR="00726C63">
        <w:rPr>
          <w:sz w:val="22"/>
        </w:rPr>
        <w:t xml:space="preserve"> </w:t>
      </w:r>
    </w:p>
    <w:p w14:paraId="7B554D95" w14:textId="4A29FF44" w:rsidR="00156F55" w:rsidRPr="00156F55" w:rsidRDefault="00156F55" w:rsidP="009722E0">
      <w:pPr>
        <w:numPr>
          <w:ilvl w:val="0"/>
          <w:numId w:val="41"/>
        </w:numPr>
        <w:spacing w:before="80" w:after="80"/>
        <w:rPr>
          <w:sz w:val="22"/>
        </w:rPr>
      </w:pPr>
      <w:r w:rsidRPr="00156F55">
        <w:rPr>
          <w:sz w:val="22"/>
        </w:rPr>
        <w:t>Transaction</w:t>
      </w:r>
      <w:r>
        <w:rPr>
          <w:sz w:val="22"/>
        </w:rPr>
        <w:t>s</w:t>
      </w:r>
      <w:r w:rsidRPr="00156F55">
        <w:rPr>
          <w:sz w:val="22"/>
        </w:rPr>
        <w:t xml:space="preserve"> from </w:t>
      </w:r>
      <w:r w:rsidR="00C67FB8">
        <w:rPr>
          <w:sz w:val="22"/>
        </w:rPr>
        <w:t>f</w:t>
      </w:r>
      <w:r w:rsidRPr="00156F55">
        <w:rPr>
          <w:sz w:val="22"/>
        </w:rPr>
        <w:t>iat curren</w:t>
      </w:r>
      <w:r>
        <w:rPr>
          <w:sz w:val="22"/>
        </w:rPr>
        <w:t>cy</w:t>
      </w:r>
      <w:r w:rsidRPr="00156F55">
        <w:rPr>
          <w:sz w:val="22"/>
        </w:rPr>
        <w:t xml:space="preserve"> to </w:t>
      </w:r>
      <w:r w:rsidR="0000074B">
        <w:rPr>
          <w:sz w:val="22"/>
          <w:szCs w:val="22"/>
        </w:rPr>
        <w:t>virtual assets</w:t>
      </w:r>
      <w:r w:rsidRPr="00156F55">
        <w:rPr>
          <w:sz w:val="22"/>
        </w:rPr>
        <w:t xml:space="preserve">, and </w:t>
      </w:r>
    </w:p>
    <w:p w14:paraId="128E3A87" w14:textId="4832AC1E" w:rsidR="00156F55" w:rsidRPr="00156F55" w:rsidRDefault="00156F55" w:rsidP="009722E0">
      <w:pPr>
        <w:numPr>
          <w:ilvl w:val="0"/>
          <w:numId w:val="41"/>
        </w:numPr>
        <w:spacing w:before="80" w:after="80"/>
        <w:rPr>
          <w:sz w:val="22"/>
        </w:rPr>
      </w:pPr>
      <w:r w:rsidRPr="00156F55">
        <w:rPr>
          <w:sz w:val="22"/>
        </w:rPr>
        <w:t xml:space="preserve">Transactions from </w:t>
      </w:r>
      <w:r w:rsidR="0000074B">
        <w:rPr>
          <w:sz w:val="22"/>
          <w:szCs w:val="22"/>
        </w:rPr>
        <w:t>virtual assets</w:t>
      </w:r>
      <w:r w:rsidRPr="00156F55">
        <w:rPr>
          <w:sz w:val="22"/>
        </w:rPr>
        <w:t xml:space="preserve"> to </w:t>
      </w:r>
      <w:r w:rsidR="00C67FB8">
        <w:rPr>
          <w:sz w:val="22"/>
        </w:rPr>
        <w:t>f</w:t>
      </w:r>
      <w:r w:rsidRPr="00156F55">
        <w:rPr>
          <w:sz w:val="22"/>
        </w:rPr>
        <w:t xml:space="preserve">iat </w:t>
      </w:r>
      <w:r>
        <w:rPr>
          <w:sz w:val="22"/>
        </w:rPr>
        <w:t>currency</w:t>
      </w:r>
      <w:r w:rsidRPr="00156F55">
        <w:rPr>
          <w:sz w:val="22"/>
        </w:rPr>
        <w:t xml:space="preserve">, </w:t>
      </w:r>
    </w:p>
    <w:p w14:paraId="75680802" w14:textId="5B01E1A0" w:rsidR="00156F55" w:rsidRPr="00156F55" w:rsidRDefault="00156F55" w:rsidP="009722E0">
      <w:pPr>
        <w:numPr>
          <w:ilvl w:val="0"/>
          <w:numId w:val="41"/>
        </w:numPr>
        <w:spacing w:before="80" w:after="80"/>
        <w:rPr>
          <w:sz w:val="22"/>
        </w:rPr>
      </w:pPr>
      <w:r w:rsidRPr="00156F55">
        <w:rPr>
          <w:sz w:val="22"/>
        </w:rPr>
        <w:t xml:space="preserve">But does not include </w:t>
      </w:r>
      <w:r w:rsidR="0000074B">
        <w:rPr>
          <w:sz w:val="22"/>
          <w:szCs w:val="22"/>
        </w:rPr>
        <w:t>virtual asset</w:t>
      </w:r>
      <w:r w:rsidR="00C67FB8">
        <w:rPr>
          <w:sz w:val="22"/>
        </w:rPr>
        <w:t xml:space="preserve"> to </w:t>
      </w:r>
      <w:r w:rsidR="0000074B">
        <w:rPr>
          <w:sz w:val="22"/>
          <w:szCs w:val="22"/>
        </w:rPr>
        <w:t>virtual asset</w:t>
      </w:r>
      <w:r w:rsidRPr="00156F55">
        <w:rPr>
          <w:sz w:val="22"/>
        </w:rPr>
        <w:t xml:space="preserve"> transactions. </w:t>
      </w:r>
    </w:p>
    <w:p w14:paraId="712194F7" w14:textId="78DB914A" w:rsidR="00062CC3" w:rsidRPr="00062CC3" w:rsidRDefault="00062CC3" w:rsidP="00062CC3">
      <w:pPr>
        <w:rPr>
          <w:sz w:val="22"/>
        </w:rPr>
      </w:pPr>
      <w:r w:rsidRPr="00062CC3">
        <w:rPr>
          <w:sz w:val="22"/>
        </w:rPr>
        <w:t>VASPs must be particularly aware of their wire transfer obligations as described in sections 27 and 28 of the Act, as well as the associated PTR obligations. These obligations apply to any transaction that is over NZD$1,000.</w:t>
      </w:r>
    </w:p>
    <w:p w14:paraId="05F3AE91" w14:textId="559659D7" w:rsidR="0006613F" w:rsidRDefault="0006613F" w:rsidP="00A12807">
      <w:pPr>
        <w:rPr>
          <w:sz w:val="22"/>
        </w:rPr>
      </w:pPr>
      <w:r>
        <w:rPr>
          <w:sz w:val="22"/>
        </w:rPr>
        <w:t xml:space="preserve">VASPs should, </w:t>
      </w:r>
      <w:r w:rsidR="0021761C">
        <w:rPr>
          <w:sz w:val="22"/>
        </w:rPr>
        <w:t>in addition</w:t>
      </w:r>
      <w:r>
        <w:rPr>
          <w:sz w:val="22"/>
        </w:rPr>
        <w:t>, be aware of the FATF recommendations</w:t>
      </w:r>
      <w:r w:rsidR="0021761C">
        <w:rPr>
          <w:sz w:val="22"/>
        </w:rPr>
        <w:t xml:space="preserve"> in relation to wire transfers, which include virtual asset to virtual asset transaction</w:t>
      </w:r>
      <w:r w:rsidR="006F73D2">
        <w:rPr>
          <w:sz w:val="22"/>
        </w:rPr>
        <w:t>s</w:t>
      </w:r>
      <w:r>
        <w:rPr>
          <w:sz w:val="22"/>
        </w:rPr>
        <w:t>.</w:t>
      </w:r>
      <w:r w:rsidR="00156F55">
        <w:rPr>
          <w:sz w:val="22"/>
        </w:rPr>
        <w:t xml:space="preserve"> </w:t>
      </w:r>
      <w:r w:rsidR="00062CC3">
        <w:rPr>
          <w:sz w:val="22"/>
        </w:rPr>
        <w:t>VASPs should be aware that</w:t>
      </w:r>
      <w:r w:rsidR="00D02D67">
        <w:rPr>
          <w:sz w:val="22"/>
        </w:rPr>
        <w:t xml:space="preserve"> other</w:t>
      </w:r>
      <w:r w:rsidR="00062CC3">
        <w:rPr>
          <w:sz w:val="22"/>
        </w:rPr>
        <w:t xml:space="preserve"> international jurisdictions</w:t>
      </w:r>
      <w:r w:rsidR="00D02D67">
        <w:rPr>
          <w:sz w:val="22"/>
        </w:rPr>
        <w:t xml:space="preserve"> they deal with (and other VASPs based in those jurisdictions)</w:t>
      </w:r>
      <w:r w:rsidR="00062CC3">
        <w:rPr>
          <w:sz w:val="22"/>
        </w:rPr>
        <w:t xml:space="preserve"> </w:t>
      </w:r>
      <w:r w:rsidR="006F73D2">
        <w:rPr>
          <w:sz w:val="22"/>
        </w:rPr>
        <w:t xml:space="preserve">may require this, and consequently, it would be considered ‘best practice’ for VASPs to include </w:t>
      </w:r>
      <w:r w:rsidR="006F73D2">
        <w:rPr>
          <w:sz w:val="22"/>
          <w:szCs w:val="22"/>
        </w:rPr>
        <w:t>virtual asset to virtual asset</w:t>
      </w:r>
      <w:r w:rsidR="006F73D2">
        <w:rPr>
          <w:sz w:val="22"/>
        </w:rPr>
        <w:t xml:space="preserve"> transactions in their wire transfer procedures.</w:t>
      </w:r>
    </w:p>
    <w:p w14:paraId="5569F866" w14:textId="2A4ECC78" w:rsidR="00D7339C" w:rsidRDefault="00D7339C" w:rsidP="00584253">
      <w:pPr>
        <w:pStyle w:val="Heading4"/>
      </w:pPr>
      <w:r>
        <w:lastRenderedPageBreak/>
        <w:t>Domestic and international wire transfers</w:t>
      </w:r>
    </w:p>
    <w:p w14:paraId="21B90021" w14:textId="06AE13AB" w:rsidR="0000074B" w:rsidRPr="0000074B" w:rsidRDefault="00D7339C" w:rsidP="0000074B">
      <w:pPr>
        <w:rPr>
          <w:sz w:val="22"/>
        </w:rPr>
      </w:pPr>
      <w:r w:rsidRPr="0000074B">
        <w:rPr>
          <w:sz w:val="22"/>
        </w:rPr>
        <w:t xml:space="preserve">Your </w:t>
      </w:r>
      <w:r w:rsidR="00C67FB8">
        <w:rPr>
          <w:sz w:val="22"/>
        </w:rPr>
        <w:t>w</w:t>
      </w:r>
      <w:r w:rsidRPr="0000074B">
        <w:rPr>
          <w:sz w:val="22"/>
        </w:rPr>
        <w:t xml:space="preserve">ire </w:t>
      </w:r>
      <w:r w:rsidR="00C67FB8">
        <w:rPr>
          <w:sz w:val="22"/>
        </w:rPr>
        <w:t>t</w:t>
      </w:r>
      <w:r w:rsidRPr="0000074B">
        <w:rPr>
          <w:sz w:val="22"/>
        </w:rPr>
        <w:t xml:space="preserve">ransfer obligations differ depending on whether the transaction is domestic or international – the criteria for a domestic wire transfer are set out in </w:t>
      </w:r>
      <w:r w:rsidR="005F6E6A">
        <w:rPr>
          <w:sz w:val="22"/>
        </w:rPr>
        <w:t>s</w:t>
      </w:r>
      <w:r w:rsidRPr="0000074B">
        <w:rPr>
          <w:sz w:val="22"/>
        </w:rPr>
        <w:t>ection 27(7) of the Act – any wire transfer not meeting these criteria is considered an international wire transfer.</w:t>
      </w:r>
    </w:p>
    <w:p w14:paraId="2F68CF86" w14:textId="5146B280" w:rsidR="00D7339C" w:rsidRDefault="00D7339C" w:rsidP="00584253">
      <w:pPr>
        <w:pStyle w:val="Heading4"/>
      </w:pPr>
      <w:r>
        <w:t>Wire transfer identity requirements</w:t>
      </w:r>
    </w:p>
    <w:p w14:paraId="3ECBF738" w14:textId="0393D67D" w:rsidR="0006613F" w:rsidRDefault="0006613F" w:rsidP="00B65BD1">
      <w:pPr>
        <w:rPr>
          <w:sz w:val="22"/>
        </w:rPr>
      </w:pPr>
      <w:r w:rsidRPr="00B65BD1">
        <w:rPr>
          <w:sz w:val="22"/>
        </w:rPr>
        <w:t xml:space="preserve">Section 27(1)(b) of the Act requires VASPs to hold </w:t>
      </w:r>
      <w:r w:rsidR="00B65BD1" w:rsidRPr="00B65BD1">
        <w:rPr>
          <w:sz w:val="22"/>
        </w:rPr>
        <w:t>“the originator’s account number or other identifying information that may be prescribed and allows the transaction to be traced back to the originator”</w:t>
      </w:r>
      <w:r w:rsidR="00B65BD1">
        <w:rPr>
          <w:sz w:val="22"/>
        </w:rPr>
        <w:t xml:space="preserve">. </w:t>
      </w:r>
      <w:r w:rsidR="00824991">
        <w:rPr>
          <w:sz w:val="22"/>
        </w:rPr>
        <w:t>To meet</w:t>
      </w:r>
      <w:r w:rsidR="00B65BD1">
        <w:rPr>
          <w:sz w:val="22"/>
        </w:rPr>
        <w:t xml:space="preserve"> this requirement, </w:t>
      </w:r>
      <w:r>
        <w:rPr>
          <w:sz w:val="22"/>
        </w:rPr>
        <w:t>VASPs</w:t>
      </w:r>
      <w:r w:rsidR="00824991">
        <w:rPr>
          <w:sz w:val="22"/>
        </w:rPr>
        <w:t xml:space="preserve"> dealing in cryptocurrency</w:t>
      </w:r>
      <w:r>
        <w:rPr>
          <w:sz w:val="22"/>
        </w:rPr>
        <w:t xml:space="preserve"> may</w:t>
      </w:r>
      <w:r w:rsidR="00B65BD1">
        <w:rPr>
          <w:sz w:val="22"/>
        </w:rPr>
        <w:t>, for example,</w:t>
      </w:r>
      <w:r>
        <w:rPr>
          <w:sz w:val="22"/>
        </w:rPr>
        <w:t xml:space="preserve"> </w:t>
      </w:r>
      <w:r w:rsidR="00B65BD1">
        <w:rPr>
          <w:sz w:val="22"/>
        </w:rPr>
        <w:t xml:space="preserve">choose to </w:t>
      </w:r>
      <w:r w:rsidR="00332F41">
        <w:rPr>
          <w:sz w:val="22"/>
        </w:rPr>
        <w:t>record</w:t>
      </w:r>
      <w:r>
        <w:rPr>
          <w:sz w:val="22"/>
        </w:rPr>
        <w:t xml:space="preserve"> the </w:t>
      </w:r>
      <w:r w:rsidR="00B65BD1">
        <w:rPr>
          <w:sz w:val="22"/>
        </w:rPr>
        <w:t>public key associated with the originator’s wallet.</w:t>
      </w:r>
    </w:p>
    <w:p w14:paraId="0252D605" w14:textId="62CC1A5F" w:rsidR="00D7339C" w:rsidRDefault="00D7339C" w:rsidP="00584253">
      <w:pPr>
        <w:pStyle w:val="Heading4"/>
      </w:pPr>
      <w:r>
        <w:t>Other wire transfer requirements</w:t>
      </w:r>
    </w:p>
    <w:p w14:paraId="7FCEFDF4" w14:textId="196901FF" w:rsidR="00824991" w:rsidRDefault="00824991" w:rsidP="00B65BD1">
      <w:pPr>
        <w:rPr>
          <w:sz w:val="22"/>
        </w:rPr>
      </w:pPr>
      <w:r>
        <w:rPr>
          <w:sz w:val="22"/>
        </w:rPr>
        <w:t xml:space="preserve">Other requirements in </w:t>
      </w:r>
      <w:r w:rsidR="005F6E6A">
        <w:rPr>
          <w:sz w:val="22"/>
        </w:rPr>
        <w:t>s</w:t>
      </w:r>
      <w:r>
        <w:rPr>
          <w:sz w:val="22"/>
        </w:rPr>
        <w:t>ection 27 include holding the originator’s full name and other identification information. Section 28 requires</w:t>
      </w:r>
      <w:r w:rsidR="00D7339C">
        <w:rPr>
          <w:sz w:val="22"/>
        </w:rPr>
        <w:t xml:space="preserve"> you to</w:t>
      </w:r>
      <w:r>
        <w:rPr>
          <w:sz w:val="22"/>
        </w:rPr>
        <w:t xml:space="preserve"> </w:t>
      </w:r>
      <w:r w:rsidR="00D7339C">
        <w:rPr>
          <w:sz w:val="22"/>
        </w:rPr>
        <w:t xml:space="preserve">verify </w:t>
      </w:r>
      <w:r>
        <w:rPr>
          <w:sz w:val="22"/>
        </w:rPr>
        <w:t>this information according to the level of risk involved – this allows for differing levels of verification for transfers with differing levels of risk.</w:t>
      </w:r>
      <w:r w:rsidR="00D7339C">
        <w:rPr>
          <w:sz w:val="22"/>
        </w:rPr>
        <w:t xml:space="preserve"> An example of this may be differing levels of verification for your customers that are based domestically compared to your customers that are based internationally.</w:t>
      </w:r>
      <w:r>
        <w:rPr>
          <w:sz w:val="22"/>
        </w:rPr>
        <w:t xml:space="preserve"> The rationale behind </w:t>
      </w:r>
      <w:r w:rsidR="00C67FB8">
        <w:rPr>
          <w:sz w:val="22"/>
        </w:rPr>
        <w:t>your</w:t>
      </w:r>
      <w:r>
        <w:rPr>
          <w:sz w:val="22"/>
        </w:rPr>
        <w:t xml:space="preserve"> risk classification</w:t>
      </w:r>
      <w:r w:rsidR="00D7339C">
        <w:rPr>
          <w:sz w:val="22"/>
        </w:rPr>
        <w:t xml:space="preserve"> for each class of transaction</w:t>
      </w:r>
      <w:r>
        <w:rPr>
          <w:sz w:val="22"/>
        </w:rPr>
        <w:t>, and the processes to verify the</w:t>
      </w:r>
      <w:r w:rsidR="00D7339C">
        <w:rPr>
          <w:sz w:val="22"/>
        </w:rPr>
        <w:t xml:space="preserve"> corresponding information you have</w:t>
      </w:r>
      <w:r>
        <w:rPr>
          <w:sz w:val="22"/>
        </w:rPr>
        <w:t xml:space="preserve"> gathered should be thoroughly recorded in your AML</w:t>
      </w:r>
      <w:r w:rsidR="00015CAD">
        <w:rPr>
          <w:sz w:val="22"/>
        </w:rPr>
        <w:t>/CFT</w:t>
      </w:r>
      <w:r>
        <w:rPr>
          <w:sz w:val="22"/>
        </w:rPr>
        <w:t xml:space="preserve"> programme.</w:t>
      </w:r>
    </w:p>
    <w:p w14:paraId="70036DF7" w14:textId="1D2C8EBF" w:rsidR="00E7561E" w:rsidRDefault="005F6E6A" w:rsidP="00A12807">
      <w:pPr>
        <w:rPr>
          <w:rStyle w:val="Hyperlink"/>
          <w:sz w:val="22"/>
        </w:rPr>
      </w:pPr>
      <w:hyperlink r:id="rId61" w:history="1">
        <w:r w:rsidR="00B52F51" w:rsidRPr="002770AE">
          <w:rPr>
            <w:rStyle w:val="Hyperlink"/>
            <w:sz w:val="22"/>
          </w:rPr>
          <w:t>Wire Transfer Factsheet</w:t>
        </w:r>
      </w:hyperlink>
    </w:p>
    <w:p w14:paraId="688A345B" w14:textId="516CF094" w:rsidR="00C37282" w:rsidRDefault="005F6E6A" w:rsidP="00A12807">
      <w:pPr>
        <w:rPr>
          <w:noProof/>
        </w:rPr>
      </w:pPr>
      <w:hyperlink r:id="rId62" w:history="1">
        <w:r w:rsidR="00C37282" w:rsidRPr="00C37282">
          <w:rPr>
            <w:rStyle w:val="Hyperlink"/>
            <w:sz w:val="22"/>
          </w:rPr>
          <w:t>FATF Guidance</w:t>
        </w:r>
      </w:hyperlink>
    </w:p>
    <w:p w14:paraId="0ABCFA5B" w14:textId="0C5A14B2" w:rsidR="00377500" w:rsidRDefault="00377500" w:rsidP="00A74D02">
      <w:pPr>
        <w:pStyle w:val="Heading2"/>
      </w:pPr>
      <w:bookmarkStart w:id="29" w:name="_Toc34985645"/>
      <w:r>
        <w:t>Reporting Transactions</w:t>
      </w:r>
      <w:bookmarkEnd w:id="29"/>
      <w:r>
        <w:t xml:space="preserve"> </w:t>
      </w:r>
    </w:p>
    <w:p w14:paraId="4974745D" w14:textId="404EECC1" w:rsidR="00377500" w:rsidRDefault="00377500" w:rsidP="00377500">
      <w:pPr>
        <w:pStyle w:val="Heading3"/>
      </w:pPr>
      <w:bookmarkStart w:id="30" w:name="_Toc34985646"/>
      <w:r>
        <w:t>Suspicious</w:t>
      </w:r>
      <w:r w:rsidR="00215C52">
        <w:t xml:space="preserve"> Activities and</w:t>
      </w:r>
      <w:r>
        <w:t xml:space="preserve"> Transactions</w:t>
      </w:r>
      <w:bookmarkEnd w:id="30"/>
    </w:p>
    <w:p w14:paraId="0837B96E" w14:textId="5B564AA3" w:rsidR="00825962" w:rsidRDefault="005F08BA" w:rsidP="00377500">
      <w:pPr>
        <w:rPr>
          <w:sz w:val="22"/>
        </w:rPr>
      </w:pPr>
      <w:r>
        <w:rPr>
          <w:sz w:val="22"/>
        </w:rPr>
        <w:t xml:space="preserve">Section 40 of the Act covers </w:t>
      </w:r>
      <w:r w:rsidR="00D20EB6" w:rsidRPr="00D20EB6">
        <w:rPr>
          <w:sz w:val="22"/>
        </w:rPr>
        <w:t>Suspicious Activity Reports (</w:t>
      </w:r>
      <w:r w:rsidR="00377500" w:rsidRPr="00D20EB6">
        <w:rPr>
          <w:sz w:val="22"/>
        </w:rPr>
        <w:t>SAR</w:t>
      </w:r>
      <w:r w:rsidR="00D20EB6" w:rsidRPr="00D20EB6">
        <w:rPr>
          <w:sz w:val="22"/>
        </w:rPr>
        <w:t>s).</w:t>
      </w:r>
      <w:r w:rsidR="00825962">
        <w:rPr>
          <w:sz w:val="22"/>
        </w:rPr>
        <w:t xml:space="preserve"> Note that the term SAR is used in line with the definition in section 5(1) of the </w:t>
      </w:r>
      <w:r w:rsidR="00215C52">
        <w:rPr>
          <w:sz w:val="22"/>
        </w:rPr>
        <w:t>A</w:t>
      </w:r>
      <w:r w:rsidR="00825962">
        <w:rPr>
          <w:sz w:val="22"/>
        </w:rPr>
        <w:t>ct, which includes both suspicious transaction reports (STRs) and SARs.</w:t>
      </w:r>
    </w:p>
    <w:p w14:paraId="3B2136BB" w14:textId="0D392498" w:rsidR="00B4711E" w:rsidRDefault="00B4711E" w:rsidP="00377500">
      <w:pPr>
        <w:rPr>
          <w:sz w:val="22"/>
        </w:rPr>
      </w:pPr>
      <w:r>
        <w:rPr>
          <w:sz w:val="22"/>
        </w:rPr>
        <w:t xml:space="preserve">Reporting entities are required to report suspicious </w:t>
      </w:r>
      <w:r w:rsidR="00215C52">
        <w:rPr>
          <w:sz w:val="22"/>
        </w:rPr>
        <w:t xml:space="preserve">activities </w:t>
      </w:r>
      <w:r>
        <w:rPr>
          <w:sz w:val="22"/>
        </w:rPr>
        <w:t>when they have formed a suspicion based on reasonable grounds that a transaction is linked to one of the following:</w:t>
      </w:r>
    </w:p>
    <w:p w14:paraId="57804E04" w14:textId="07B30897" w:rsidR="00B4711E" w:rsidRDefault="00B4711E" w:rsidP="000D3935">
      <w:pPr>
        <w:pStyle w:val="ListParagraph"/>
        <w:numPr>
          <w:ilvl w:val="0"/>
          <w:numId w:val="33"/>
        </w:numPr>
        <w:rPr>
          <w:sz w:val="22"/>
        </w:rPr>
      </w:pPr>
      <w:r>
        <w:rPr>
          <w:sz w:val="22"/>
        </w:rPr>
        <w:t>Money laundering</w:t>
      </w:r>
    </w:p>
    <w:p w14:paraId="7A5D2F24" w14:textId="6CA3D49C" w:rsidR="00B4711E" w:rsidRDefault="00B4711E" w:rsidP="000D3935">
      <w:pPr>
        <w:pStyle w:val="ListParagraph"/>
        <w:numPr>
          <w:ilvl w:val="0"/>
          <w:numId w:val="33"/>
        </w:numPr>
        <w:rPr>
          <w:sz w:val="22"/>
        </w:rPr>
      </w:pPr>
      <w:r>
        <w:rPr>
          <w:sz w:val="22"/>
        </w:rPr>
        <w:t xml:space="preserve">Terrorism </w:t>
      </w:r>
      <w:r w:rsidR="00C67FB8">
        <w:rPr>
          <w:sz w:val="22"/>
        </w:rPr>
        <w:t>f</w:t>
      </w:r>
      <w:r>
        <w:rPr>
          <w:sz w:val="22"/>
        </w:rPr>
        <w:t>inancing</w:t>
      </w:r>
    </w:p>
    <w:p w14:paraId="34C7DA58" w14:textId="642048D9" w:rsidR="00B4711E" w:rsidRDefault="00B4711E" w:rsidP="000D3935">
      <w:pPr>
        <w:pStyle w:val="ListParagraph"/>
        <w:numPr>
          <w:ilvl w:val="0"/>
          <w:numId w:val="33"/>
        </w:numPr>
        <w:rPr>
          <w:sz w:val="22"/>
        </w:rPr>
      </w:pPr>
      <w:r>
        <w:rPr>
          <w:sz w:val="22"/>
        </w:rPr>
        <w:t xml:space="preserve">Misuse of </w:t>
      </w:r>
      <w:r w:rsidR="00C67FB8">
        <w:rPr>
          <w:sz w:val="22"/>
        </w:rPr>
        <w:t>d</w:t>
      </w:r>
      <w:r>
        <w:rPr>
          <w:sz w:val="22"/>
        </w:rPr>
        <w:t>rugs</w:t>
      </w:r>
    </w:p>
    <w:p w14:paraId="5CB2CD3F" w14:textId="4597A77D" w:rsidR="00B4711E" w:rsidRDefault="00B4711E" w:rsidP="000D3935">
      <w:pPr>
        <w:pStyle w:val="ListParagraph"/>
        <w:numPr>
          <w:ilvl w:val="0"/>
          <w:numId w:val="33"/>
        </w:numPr>
        <w:rPr>
          <w:sz w:val="22"/>
        </w:rPr>
      </w:pPr>
      <w:r>
        <w:rPr>
          <w:sz w:val="22"/>
        </w:rPr>
        <w:t xml:space="preserve">Proceeds of </w:t>
      </w:r>
      <w:r w:rsidR="00C67FB8">
        <w:rPr>
          <w:sz w:val="22"/>
        </w:rPr>
        <w:t>c</w:t>
      </w:r>
      <w:r>
        <w:rPr>
          <w:sz w:val="22"/>
        </w:rPr>
        <w:t>rime</w:t>
      </w:r>
    </w:p>
    <w:p w14:paraId="224BF093" w14:textId="4BC2084B" w:rsidR="00B4711E" w:rsidRPr="00B4711E" w:rsidRDefault="00B4711E" w:rsidP="000D3935">
      <w:pPr>
        <w:pStyle w:val="ListParagraph"/>
        <w:numPr>
          <w:ilvl w:val="0"/>
          <w:numId w:val="33"/>
        </w:numPr>
        <w:rPr>
          <w:sz w:val="22"/>
        </w:rPr>
      </w:pPr>
      <w:r>
        <w:rPr>
          <w:sz w:val="22"/>
        </w:rPr>
        <w:t xml:space="preserve">Any serious offence under the Crimes Act 1961 (punishable by 5 years or more imprisonment) </w:t>
      </w:r>
    </w:p>
    <w:p w14:paraId="78E80C08" w14:textId="0CFB235E" w:rsidR="00B4711E" w:rsidRDefault="005F08BA" w:rsidP="00377500">
      <w:pPr>
        <w:rPr>
          <w:sz w:val="22"/>
        </w:rPr>
      </w:pPr>
      <w:r>
        <w:rPr>
          <w:sz w:val="22"/>
        </w:rPr>
        <w:t>A</w:t>
      </w:r>
      <w:r w:rsidR="00B4711E">
        <w:rPr>
          <w:sz w:val="22"/>
        </w:rPr>
        <w:t xml:space="preserve"> suspicious </w:t>
      </w:r>
      <w:r w:rsidR="00215C52">
        <w:rPr>
          <w:sz w:val="22"/>
        </w:rPr>
        <w:t xml:space="preserve">activity </w:t>
      </w:r>
      <w:r w:rsidR="00B4711E">
        <w:rPr>
          <w:sz w:val="22"/>
        </w:rPr>
        <w:t xml:space="preserve">will often be one which is inconsistent with a client’s known activities and profile, or with the normal business expected for </w:t>
      </w:r>
      <w:r>
        <w:rPr>
          <w:sz w:val="22"/>
        </w:rPr>
        <w:t>that</w:t>
      </w:r>
      <w:r w:rsidR="00B4711E">
        <w:rPr>
          <w:sz w:val="22"/>
        </w:rPr>
        <w:t xml:space="preserve"> type of client.</w:t>
      </w:r>
    </w:p>
    <w:p w14:paraId="5DCB8358" w14:textId="6B06D6E1" w:rsidR="00FB3D94" w:rsidRDefault="00FB3D94" w:rsidP="00377500">
      <w:pPr>
        <w:rPr>
          <w:sz w:val="22"/>
        </w:rPr>
      </w:pPr>
      <w:r>
        <w:rPr>
          <w:sz w:val="22"/>
        </w:rPr>
        <w:t xml:space="preserve">In order to </w:t>
      </w:r>
      <w:r w:rsidR="00B4711E">
        <w:rPr>
          <w:sz w:val="22"/>
        </w:rPr>
        <w:t>help detect</w:t>
      </w:r>
      <w:r>
        <w:rPr>
          <w:sz w:val="22"/>
        </w:rPr>
        <w:t xml:space="preserve"> suspicio</w:t>
      </w:r>
      <w:r w:rsidR="00B4711E">
        <w:rPr>
          <w:sz w:val="22"/>
        </w:rPr>
        <w:t>us activity</w:t>
      </w:r>
      <w:r>
        <w:rPr>
          <w:sz w:val="22"/>
        </w:rPr>
        <w:t xml:space="preserve">, VASPs </w:t>
      </w:r>
      <w:r w:rsidR="005F08BA">
        <w:rPr>
          <w:sz w:val="22"/>
        </w:rPr>
        <w:t xml:space="preserve">must </w:t>
      </w:r>
      <w:r>
        <w:rPr>
          <w:sz w:val="22"/>
        </w:rPr>
        <w:t xml:space="preserve">ensure their staff </w:t>
      </w:r>
      <w:r w:rsidR="00F26F8A">
        <w:rPr>
          <w:sz w:val="22"/>
        </w:rPr>
        <w:t xml:space="preserve">are appropriately trained, and </w:t>
      </w:r>
      <w:r>
        <w:rPr>
          <w:sz w:val="22"/>
        </w:rPr>
        <w:t xml:space="preserve">have awareness of </w:t>
      </w:r>
      <w:r w:rsidR="00F26F8A">
        <w:rPr>
          <w:sz w:val="22"/>
        </w:rPr>
        <w:t xml:space="preserve">red flags, </w:t>
      </w:r>
      <w:r w:rsidR="00B4711E">
        <w:rPr>
          <w:sz w:val="22"/>
        </w:rPr>
        <w:t>ML</w:t>
      </w:r>
      <w:r w:rsidR="00C67FB8">
        <w:rPr>
          <w:sz w:val="22"/>
        </w:rPr>
        <w:t>/TF</w:t>
      </w:r>
      <w:r w:rsidR="00B4711E">
        <w:rPr>
          <w:sz w:val="22"/>
        </w:rPr>
        <w:t xml:space="preserve"> typologies, and what may constitute unusual activity. VASPs </w:t>
      </w:r>
      <w:r w:rsidR="005F08BA">
        <w:rPr>
          <w:sz w:val="22"/>
        </w:rPr>
        <w:t>should</w:t>
      </w:r>
      <w:r w:rsidR="00B4711E">
        <w:rPr>
          <w:sz w:val="22"/>
        </w:rPr>
        <w:t xml:space="preserve"> consult </w:t>
      </w:r>
      <w:r w:rsidR="000D3935">
        <w:rPr>
          <w:sz w:val="22"/>
        </w:rPr>
        <w:t xml:space="preserve">both domestic and international </w:t>
      </w:r>
      <w:r w:rsidR="00B4711E">
        <w:rPr>
          <w:sz w:val="22"/>
        </w:rPr>
        <w:t>guidance</w:t>
      </w:r>
      <w:r w:rsidR="000D3935">
        <w:rPr>
          <w:sz w:val="22"/>
        </w:rPr>
        <w:t xml:space="preserve"> to help determine indicators of suspicious activity relevant to their business. Particularly useful sources include the FIU reporting guidelines, </w:t>
      </w:r>
      <w:r w:rsidR="00C67FB8">
        <w:rPr>
          <w:sz w:val="22"/>
        </w:rPr>
        <w:t xml:space="preserve">and </w:t>
      </w:r>
      <w:r w:rsidR="000D3935">
        <w:rPr>
          <w:sz w:val="22"/>
        </w:rPr>
        <w:t xml:space="preserve">NRA, as well as </w:t>
      </w:r>
      <w:r w:rsidR="0049255B">
        <w:rPr>
          <w:sz w:val="22"/>
        </w:rPr>
        <w:t>the Department</w:t>
      </w:r>
      <w:r w:rsidR="000D3935">
        <w:rPr>
          <w:sz w:val="22"/>
        </w:rPr>
        <w:t xml:space="preserve">’s </w:t>
      </w:r>
      <w:r w:rsidR="00AA0F1E">
        <w:rPr>
          <w:sz w:val="22"/>
        </w:rPr>
        <w:t>S</w:t>
      </w:r>
      <w:r w:rsidR="000D3935">
        <w:rPr>
          <w:sz w:val="22"/>
        </w:rPr>
        <w:t xml:space="preserve">ector </w:t>
      </w:r>
      <w:r w:rsidR="00AA0F1E">
        <w:rPr>
          <w:sz w:val="22"/>
        </w:rPr>
        <w:t>R</w:t>
      </w:r>
      <w:r w:rsidR="000D3935">
        <w:rPr>
          <w:sz w:val="22"/>
        </w:rPr>
        <w:t xml:space="preserve">isk </w:t>
      </w:r>
      <w:r w:rsidR="00AA0F1E">
        <w:rPr>
          <w:sz w:val="22"/>
        </w:rPr>
        <w:t>A</w:t>
      </w:r>
      <w:r w:rsidR="000D3935">
        <w:rPr>
          <w:sz w:val="22"/>
        </w:rPr>
        <w:t>ssessment, and guidance issued by FATF.</w:t>
      </w:r>
    </w:p>
    <w:p w14:paraId="504A7FA0" w14:textId="64212692" w:rsidR="00B4711E" w:rsidRDefault="005F08BA" w:rsidP="00B4711E">
      <w:pPr>
        <w:rPr>
          <w:sz w:val="22"/>
        </w:rPr>
      </w:pPr>
      <w:r>
        <w:rPr>
          <w:sz w:val="22"/>
        </w:rPr>
        <w:lastRenderedPageBreak/>
        <w:t>You are required to report suspicious activity</w:t>
      </w:r>
      <w:r w:rsidR="00D20EB6" w:rsidRPr="00D20EB6">
        <w:rPr>
          <w:sz w:val="22"/>
        </w:rPr>
        <w:t xml:space="preserve"> through the GoAML web reporting tool provided by the FIU.</w:t>
      </w:r>
      <w:r w:rsidR="00D20EB6">
        <w:rPr>
          <w:sz w:val="22"/>
        </w:rPr>
        <w:t xml:space="preserve"> </w:t>
      </w:r>
      <w:r w:rsidR="00D20EB6" w:rsidRPr="00D20EB6">
        <w:rPr>
          <w:sz w:val="22"/>
        </w:rPr>
        <w:t xml:space="preserve">The FIU has issued </w:t>
      </w:r>
      <w:hyperlink r:id="rId63" w:history="1">
        <w:r w:rsidR="00D20EB6" w:rsidRPr="009A79BA">
          <w:rPr>
            <w:rStyle w:val="Hyperlink"/>
            <w:sz w:val="22"/>
          </w:rPr>
          <w:t>guidance</w:t>
        </w:r>
      </w:hyperlink>
      <w:r w:rsidR="00D20EB6" w:rsidRPr="00D20EB6">
        <w:rPr>
          <w:sz w:val="22"/>
        </w:rPr>
        <w:t xml:space="preserve"> on how to submit reports using their </w:t>
      </w:r>
      <w:r w:rsidR="00FB3D94">
        <w:rPr>
          <w:sz w:val="22"/>
        </w:rPr>
        <w:t>G</w:t>
      </w:r>
      <w:r w:rsidR="00D20EB6" w:rsidRPr="00D20EB6">
        <w:rPr>
          <w:sz w:val="22"/>
        </w:rPr>
        <w:t xml:space="preserve">oAML web-based reporting tool. You must use the specific reporting format provided by the FIU. </w:t>
      </w:r>
    </w:p>
    <w:p w14:paraId="28166011" w14:textId="77777777" w:rsidR="009A79BA" w:rsidRDefault="009A79BA" w:rsidP="000D3935">
      <w:pPr>
        <w:rPr>
          <w:sz w:val="22"/>
        </w:rPr>
      </w:pPr>
      <w:r w:rsidRPr="009A79BA">
        <w:rPr>
          <w:sz w:val="22"/>
        </w:rPr>
        <w:t xml:space="preserve">The Act requires that you report suspicious activity to the FIU as soon as practicable, but no later than three working days after you have formed your suspicion. It is not a defence that you did not actually consider an activity to be suspicious, if in the circumstances a reasonable person would have been suspicious. This means that you need to objectively assess each transaction to make sure no suspicions arise. </w:t>
      </w:r>
    </w:p>
    <w:p w14:paraId="3F901FA2" w14:textId="157119EB" w:rsidR="00D20EB6" w:rsidRDefault="00D20EB6" w:rsidP="00377500">
      <w:pPr>
        <w:rPr>
          <w:sz w:val="22"/>
        </w:rPr>
      </w:pPr>
      <w:r w:rsidRPr="00D20EB6">
        <w:rPr>
          <w:sz w:val="22"/>
        </w:rPr>
        <w:t xml:space="preserve">If you </w:t>
      </w:r>
      <w:r w:rsidR="005F08BA">
        <w:rPr>
          <w:sz w:val="22"/>
        </w:rPr>
        <w:t>submit a SAR relating to a</w:t>
      </w:r>
      <w:r w:rsidRPr="00D20EB6">
        <w:rPr>
          <w:sz w:val="22"/>
        </w:rPr>
        <w:t xml:space="preserve"> customer, you </w:t>
      </w:r>
      <w:r w:rsidRPr="00FB3D94">
        <w:rPr>
          <w:b/>
          <w:sz w:val="22"/>
          <w:u w:val="single"/>
        </w:rPr>
        <w:t>must not</w:t>
      </w:r>
      <w:r w:rsidRPr="00D20EB6">
        <w:rPr>
          <w:sz w:val="22"/>
        </w:rPr>
        <w:t xml:space="preserve"> disclose this information to your customer</w:t>
      </w:r>
      <w:r w:rsidR="005F08BA">
        <w:rPr>
          <w:sz w:val="22"/>
        </w:rPr>
        <w:t>.</w:t>
      </w:r>
      <w:r w:rsidRPr="00D20EB6">
        <w:rPr>
          <w:sz w:val="22"/>
        </w:rPr>
        <w:t xml:space="preserve"> </w:t>
      </w:r>
      <w:r w:rsidR="005F08BA" w:rsidRPr="005F08BA">
        <w:rPr>
          <w:sz w:val="22"/>
        </w:rPr>
        <w:t>This is sensitive information and should only be disclosed to other parties on a need to know basis, which is likely to be very few people.</w:t>
      </w:r>
    </w:p>
    <w:p w14:paraId="55E47BE1" w14:textId="6D09B431" w:rsidR="00377500" w:rsidRDefault="00377500" w:rsidP="00377500">
      <w:pPr>
        <w:pStyle w:val="Heading3"/>
      </w:pPr>
      <w:bookmarkStart w:id="31" w:name="_Toc34985647"/>
      <w:r>
        <w:t>Prescribed Transactions</w:t>
      </w:r>
      <w:bookmarkEnd w:id="31"/>
    </w:p>
    <w:p w14:paraId="316F0715" w14:textId="34B4BDB8" w:rsidR="009A79BA" w:rsidRDefault="009A79BA" w:rsidP="007D4A15">
      <w:pPr>
        <w:rPr>
          <w:sz w:val="22"/>
        </w:rPr>
      </w:pPr>
      <w:r w:rsidRPr="009A79BA">
        <w:rPr>
          <w:sz w:val="22"/>
        </w:rPr>
        <w:t>You are required to report prescribed transactions in Prescribed Transaction Reports (PTRs).  PTRs add further transparency to the financial system by making the methods of ML/TF more difficult to hide and improve the detection and disruption of organised crime.</w:t>
      </w:r>
    </w:p>
    <w:p w14:paraId="0E691272" w14:textId="1BBA2F31" w:rsidR="007D4A15" w:rsidRPr="007D4A15" w:rsidRDefault="007D4A15" w:rsidP="007D4A15">
      <w:pPr>
        <w:rPr>
          <w:sz w:val="22"/>
        </w:rPr>
      </w:pPr>
      <w:r w:rsidRPr="007D4A15">
        <w:rPr>
          <w:sz w:val="22"/>
        </w:rPr>
        <w:t xml:space="preserve">A prescribed transaction is an international </w:t>
      </w:r>
      <w:r w:rsidR="00C67FB8">
        <w:rPr>
          <w:sz w:val="22"/>
        </w:rPr>
        <w:t>funds</w:t>
      </w:r>
      <w:r w:rsidR="00C67FB8" w:rsidRPr="007D4A15">
        <w:rPr>
          <w:sz w:val="22"/>
        </w:rPr>
        <w:t xml:space="preserve"> </w:t>
      </w:r>
      <w:r w:rsidRPr="007D4A15">
        <w:rPr>
          <w:sz w:val="22"/>
        </w:rPr>
        <w:t xml:space="preserve">transfer of NZ$1,000 or more conducted through a reporting entity or a domestic physical cash transaction of a value equal to or above NZ$10,000. </w:t>
      </w:r>
    </w:p>
    <w:p w14:paraId="6FF55C41" w14:textId="50B13055" w:rsidR="007D4A15" w:rsidRPr="007D4A15" w:rsidRDefault="008719AB" w:rsidP="007D4A15">
      <w:pPr>
        <w:rPr>
          <w:sz w:val="22"/>
        </w:rPr>
      </w:pPr>
      <w:r w:rsidRPr="00B4532B">
        <w:rPr>
          <w:sz w:val="22"/>
        </w:rPr>
        <w:t xml:space="preserve">Both </w:t>
      </w:r>
      <w:r w:rsidR="009A79BA">
        <w:rPr>
          <w:sz w:val="22"/>
        </w:rPr>
        <w:t xml:space="preserve">the </w:t>
      </w:r>
      <w:r w:rsidRPr="00B4532B">
        <w:rPr>
          <w:sz w:val="22"/>
        </w:rPr>
        <w:t>o</w:t>
      </w:r>
      <w:r w:rsidR="007D4A15" w:rsidRPr="00B4532B">
        <w:rPr>
          <w:sz w:val="22"/>
        </w:rPr>
        <w:t>rdering institution</w:t>
      </w:r>
      <w:r w:rsidRPr="00B4532B">
        <w:rPr>
          <w:sz w:val="22"/>
        </w:rPr>
        <w:t xml:space="preserve"> (sender)</w:t>
      </w:r>
      <w:r w:rsidR="007D4A15" w:rsidRPr="00B4532B">
        <w:rPr>
          <w:sz w:val="22"/>
        </w:rPr>
        <w:t xml:space="preserve"> and beneficiary institution</w:t>
      </w:r>
      <w:r w:rsidRPr="00B4532B">
        <w:rPr>
          <w:sz w:val="22"/>
        </w:rPr>
        <w:t xml:space="preserve"> (receiver)</w:t>
      </w:r>
      <w:r w:rsidR="007D4A15" w:rsidRPr="00B4532B">
        <w:rPr>
          <w:sz w:val="22"/>
        </w:rPr>
        <w:t xml:space="preserve"> are required to file a PTR in respect of an international wire transfer. </w:t>
      </w:r>
      <w:r w:rsidR="00C37282" w:rsidRPr="00B4532B">
        <w:rPr>
          <w:sz w:val="22"/>
        </w:rPr>
        <w:t xml:space="preserve">Unless a VASP </w:t>
      </w:r>
      <w:r w:rsidR="009A79BA">
        <w:rPr>
          <w:sz w:val="22"/>
        </w:rPr>
        <w:t xml:space="preserve">is certain </w:t>
      </w:r>
      <w:r w:rsidR="00C37282" w:rsidRPr="00B4532B">
        <w:rPr>
          <w:sz w:val="22"/>
        </w:rPr>
        <w:t>that their transaction is domestic in nature</w:t>
      </w:r>
      <w:r w:rsidR="00F11C7E" w:rsidRPr="00B4532B">
        <w:rPr>
          <w:sz w:val="22"/>
        </w:rPr>
        <w:t xml:space="preserve"> as per section 27(7) of the </w:t>
      </w:r>
      <w:r w:rsidR="009A79BA">
        <w:rPr>
          <w:sz w:val="22"/>
        </w:rPr>
        <w:t>A</w:t>
      </w:r>
      <w:r w:rsidR="00F11C7E" w:rsidRPr="00B4532B">
        <w:rPr>
          <w:sz w:val="22"/>
        </w:rPr>
        <w:t>ct</w:t>
      </w:r>
      <w:r w:rsidR="00C37282" w:rsidRPr="00B4532B">
        <w:rPr>
          <w:sz w:val="22"/>
        </w:rPr>
        <w:t xml:space="preserve">, VASPs should consider reporting all wire transfers in line with the international </w:t>
      </w:r>
      <w:r w:rsidR="00C67FB8">
        <w:rPr>
          <w:sz w:val="22"/>
        </w:rPr>
        <w:t>funds</w:t>
      </w:r>
      <w:r w:rsidR="00C67FB8" w:rsidRPr="00B4532B">
        <w:rPr>
          <w:sz w:val="22"/>
        </w:rPr>
        <w:t xml:space="preserve"> </w:t>
      </w:r>
      <w:r w:rsidR="00C37282" w:rsidRPr="00B4532B">
        <w:rPr>
          <w:sz w:val="22"/>
        </w:rPr>
        <w:t>transfer PTR obligation.</w:t>
      </w:r>
    </w:p>
    <w:p w14:paraId="41521E99" w14:textId="0EDD2BC2" w:rsidR="00A74D02" w:rsidRDefault="00A74D02" w:rsidP="00A74D02">
      <w:pPr>
        <w:pStyle w:val="Heading2"/>
      </w:pPr>
      <w:bookmarkStart w:id="32" w:name="_Toc34985648"/>
      <w:r>
        <w:t>Other Compliance Obligations</w:t>
      </w:r>
      <w:bookmarkEnd w:id="32"/>
    </w:p>
    <w:p w14:paraId="066C9E37" w14:textId="59EE65F4" w:rsidR="00A74D02" w:rsidRPr="00E6177B" w:rsidRDefault="00A74D02" w:rsidP="00E6177B">
      <w:pPr>
        <w:pStyle w:val="Heading3"/>
      </w:pPr>
      <w:bookmarkStart w:id="33" w:name="_Toc34985649"/>
      <w:r w:rsidRPr="00E6177B">
        <w:t>Financial Service Providers Register</w:t>
      </w:r>
      <w:bookmarkEnd w:id="33"/>
    </w:p>
    <w:p w14:paraId="0FFE542A" w14:textId="104C8468" w:rsidR="00A74D02" w:rsidRDefault="00A74D02" w:rsidP="00A74D02">
      <w:pPr>
        <w:rPr>
          <w:sz w:val="22"/>
        </w:rPr>
      </w:pPr>
      <w:r w:rsidRPr="00071D78">
        <w:rPr>
          <w:sz w:val="22"/>
        </w:rPr>
        <w:t xml:space="preserve">In the New Zealand context, registration </w:t>
      </w:r>
      <w:r w:rsidR="00283335">
        <w:rPr>
          <w:sz w:val="22"/>
        </w:rPr>
        <w:t>of F</w:t>
      </w:r>
      <w:r w:rsidR="00825962">
        <w:rPr>
          <w:sz w:val="22"/>
        </w:rPr>
        <w:t xml:space="preserve">inancial </w:t>
      </w:r>
      <w:r w:rsidR="00283335">
        <w:rPr>
          <w:sz w:val="22"/>
        </w:rPr>
        <w:t>S</w:t>
      </w:r>
      <w:r w:rsidR="00825962">
        <w:rPr>
          <w:sz w:val="22"/>
        </w:rPr>
        <w:t xml:space="preserve">ervices </w:t>
      </w:r>
      <w:r w:rsidR="00283335">
        <w:rPr>
          <w:sz w:val="22"/>
        </w:rPr>
        <w:t>P</w:t>
      </w:r>
      <w:r w:rsidR="00825962">
        <w:rPr>
          <w:sz w:val="22"/>
        </w:rPr>
        <w:t>rovider</w:t>
      </w:r>
      <w:r w:rsidR="00283335">
        <w:rPr>
          <w:sz w:val="22"/>
        </w:rPr>
        <w:t xml:space="preserve">s is required </w:t>
      </w:r>
      <w:r w:rsidRPr="00071D78">
        <w:rPr>
          <w:sz w:val="22"/>
        </w:rPr>
        <w:t xml:space="preserve">via the Financial Service Providers Register (FSPR). </w:t>
      </w:r>
    </w:p>
    <w:p w14:paraId="3F693BB5" w14:textId="1D6334B6" w:rsidR="003007DF" w:rsidRPr="00825962" w:rsidRDefault="00A74D02" w:rsidP="00A74D02">
      <w:pPr>
        <w:rPr>
          <w:rStyle w:val="Hyperlink"/>
          <w:color w:val="auto"/>
          <w:sz w:val="22"/>
          <w:u w:val="none"/>
        </w:rPr>
      </w:pPr>
      <w:r w:rsidRPr="00071D78">
        <w:rPr>
          <w:sz w:val="22"/>
        </w:rPr>
        <w:t>All VASPs should consider</w:t>
      </w:r>
      <w:r>
        <w:rPr>
          <w:sz w:val="22"/>
        </w:rPr>
        <w:t xml:space="preserve"> their obligation to</w:t>
      </w:r>
      <w:r w:rsidRPr="00071D78">
        <w:rPr>
          <w:sz w:val="22"/>
        </w:rPr>
        <w:t xml:space="preserve"> regist</w:t>
      </w:r>
      <w:r>
        <w:rPr>
          <w:sz w:val="22"/>
        </w:rPr>
        <w:t>er</w:t>
      </w:r>
      <w:r w:rsidRPr="00071D78">
        <w:rPr>
          <w:sz w:val="22"/>
        </w:rPr>
        <w:t xml:space="preserve"> on the FSPR</w:t>
      </w:r>
      <w:r>
        <w:rPr>
          <w:sz w:val="22"/>
        </w:rPr>
        <w:t xml:space="preserve"> </w:t>
      </w:r>
      <w:r w:rsidRPr="00071D78">
        <w:rPr>
          <w:sz w:val="22"/>
        </w:rPr>
        <w:t>– offering services that come under the Financial Services Providers (Registration and Dispute Resolution) Act 2008</w:t>
      </w:r>
      <w:r>
        <w:rPr>
          <w:sz w:val="22"/>
        </w:rPr>
        <w:t xml:space="preserve"> without registering may constitute an offence under that Act.</w:t>
      </w:r>
      <w:r w:rsidR="001C7837">
        <w:rPr>
          <w:rStyle w:val="Hyperlink"/>
          <w:sz w:val="22"/>
        </w:rPr>
        <w:fldChar w:fldCharType="begin"/>
      </w:r>
      <w:r w:rsidR="001C7837">
        <w:rPr>
          <w:rStyle w:val="Hyperlink"/>
          <w:sz w:val="22"/>
        </w:rPr>
        <w:instrText xml:space="preserve"> HYPERLINK "https://www.fma.govt.nz/compliance/cryptocurrencies/" </w:instrText>
      </w:r>
      <w:r w:rsidR="001C7837">
        <w:rPr>
          <w:rStyle w:val="Hyperlink"/>
          <w:sz w:val="22"/>
        </w:rPr>
        <w:fldChar w:fldCharType="separate"/>
      </w:r>
    </w:p>
    <w:p w14:paraId="67181D2F" w14:textId="1EF2EBDF" w:rsidR="001C7837" w:rsidRDefault="001C7837" w:rsidP="00A74D02">
      <w:pPr>
        <w:rPr>
          <w:sz w:val="22"/>
        </w:rPr>
      </w:pPr>
      <w:r>
        <w:rPr>
          <w:rStyle w:val="Hyperlink"/>
          <w:sz w:val="22"/>
        </w:rPr>
        <w:fldChar w:fldCharType="end"/>
      </w:r>
      <w:r w:rsidRPr="001C7837">
        <w:rPr>
          <w:sz w:val="22"/>
        </w:rPr>
        <w:t xml:space="preserve">The FMA has produced </w:t>
      </w:r>
      <w:hyperlink r:id="rId64" w:history="1">
        <w:r w:rsidRPr="001C7837">
          <w:rPr>
            <w:rStyle w:val="Hyperlink"/>
            <w:sz w:val="22"/>
          </w:rPr>
          <w:t>guidance</w:t>
        </w:r>
      </w:hyperlink>
      <w:r w:rsidRPr="001C7837">
        <w:rPr>
          <w:sz w:val="22"/>
        </w:rPr>
        <w:t xml:space="preserve"> for cryptocurrencies which includes information on where VASPs may need to register on the FSPR.</w:t>
      </w:r>
    </w:p>
    <w:p w14:paraId="28FF5870" w14:textId="66F09BE0" w:rsidR="00A74D02" w:rsidRDefault="00A74D02">
      <w:pPr>
        <w:keepLines w:val="0"/>
        <w:rPr>
          <w:rFonts w:cs="Arial"/>
          <w:b/>
          <w:bCs/>
          <w:color w:val="1F546B" w:themeColor="text2"/>
          <w:kern w:val="32"/>
          <w:sz w:val="52"/>
          <w:szCs w:val="32"/>
        </w:rPr>
      </w:pPr>
      <w:r>
        <w:br w:type="page"/>
      </w:r>
    </w:p>
    <w:p w14:paraId="5735CCB5" w14:textId="2F07C698" w:rsidR="00FE5054" w:rsidRDefault="00C67FB8" w:rsidP="00E13AD4">
      <w:pPr>
        <w:pStyle w:val="Heading1"/>
      </w:pPr>
      <w:bookmarkStart w:id="34" w:name="_Toc34985650"/>
      <w:r>
        <w:lastRenderedPageBreak/>
        <w:t>Customer Due Diligence (</w:t>
      </w:r>
      <w:r w:rsidR="00FE5054">
        <w:t>CDD</w:t>
      </w:r>
      <w:r>
        <w:t>)</w:t>
      </w:r>
      <w:r w:rsidR="00E13AD4">
        <w:t xml:space="preserve"> Obligations</w:t>
      </w:r>
      <w:bookmarkEnd w:id="34"/>
    </w:p>
    <w:p w14:paraId="77E9926F" w14:textId="77777777" w:rsidR="00EE5C12" w:rsidRDefault="00FE5054" w:rsidP="005B12D2">
      <w:pPr>
        <w:rPr>
          <w:sz w:val="22"/>
        </w:rPr>
      </w:pPr>
      <w:r w:rsidRPr="00D273B3">
        <w:rPr>
          <w:sz w:val="22"/>
        </w:rPr>
        <w:t xml:space="preserve">You need to know your customers. </w:t>
      </w:r>
    </w:p>
    <w:p w14:paraId="0F7EA55A" w14:textId="58758F10" w:rsidR="00951140" w:rsidRDefault="00FE5054" w:rsidP="005B12D2">
      <w:pPr>
        <w:rPr>
          <w:sz w:val="22"/>
        </w:rPr>
      </w:pPr>
      <w:r w:rsidRPr="00D273B3">
        <w:rPr>
          <w:sz w:val="22"/>
        </w:rPr>
        <w:t>Before conducting</w:t>
      </w:r>
      <w:r w:rsidR="00EE5C12">
        <w:rPr>
          <w:sz w:val="22"/>
        </w:rPr>
        <w:t xml:space="preserve"> any</w:t>
      </w:r>
      <w:r w:rsidRPr="00D273B3">
        <w:rPr>
          <w:sz w:val="22"/>
        </w:rPr>
        <w:t xml:space="preserve"> captured activities, you need to conduct</w:t>
      </w:r>
      <w:r w:rsidR="00EE5C12">
        <w:rPr>
          <w:sz w:val="22"/>
        </w:rPr>
        <w:t xml:space="preserve"> a</w:t>
      </w:r>
      <w:r w:rsidRPr="00D273B3">
        <w:rPr>
          <w:sz w:val="22"/>
        </w:rPr>
        <w:t xml:space="preserve"> </w:t>
      </w:r>
      <w:r w:rsidR="00D171BD">
        <w:rPr>
          <w:sz w:val="22"/>
        </w:rPr>
        <w:t>C</w:t>
      </w:r>
      <w:r w:rsidRPr="00D273B3">
        <w:rPr>
          <w:sz w:val="22"/>
        </w:rPr>
        <w:t xml:space="preserve">ustomer </w:t>
      </w:r>
      <w:r w:rsidR="00D171BD">
        <w:rPr>
          <w:sz w:val="22"/>
        </w:rPr>
        <w:t>D</w:t>
      </w:r>
      <w:r w:rsidRPr="00D273B3">
        <w:rPr>
          <w:sz w:val="22"/>
        </w:rPr>
        <w:t xml:space="preserve">ue </w:t>
      </w:r>
      <w:r w:rsidR="00D171BD">
        <w:rPr>
          <w:sz w:val="22"/>
        </w:rPr>
        <w:t>D</w:t>
      </w:r>
      <w:r w:rsidRPr="00D273B3">
        <w:rPr>
          <w:sz w:val="22"/>
        </w:rPr>
        <w:t xml:space="preserve">iligence (CDD) </w:t>
      </w:r>
      <w:r w:rsidR="00EE5C12">
        <w:rPr>
          <w:sz w:val="22"/>
        </w:rPr>
        <w:t xml:space="preserve">process. The CDD process you follow is determined by </w:t>
      </w:r>
      <w:r w:rsidRPr="00D273B3">
        <w:rPr>
          <w:sz w:val="22"/>
        </w:rPr>
        <w:t xml:space="preserve">the level of risk posed by your customers. </w:t>
      </w:r>
    </w:p>
    <w:p w14:paraId="41474967" w14:textId="1F414EEF" w:rsidR="00367C9E" w:rsidRDefault="00FE5054" w:rsidP="005B12D2">
      <w:pPr>
        <w:rPr>
          <w:sz w:val="22"/>
        </w:rPr>
      </w:pPr>
      <w:r w:rsidRPr="00D273B3">
        <w:rPr>
          <w:sz w:val="22"/>
        </w:rPr>
        <w:t>CDD is not optional</w:t>
      </w:r>
      <w:r w:rsidR="00951140">
        <w:rPr>
          <w:sz w:val="22"/>
        </w:rPr>
        <w:t xml:space="preserve"> and must be done for all your customers</w:t>
      </w:r>
      <w:r w:rsidRPr="00D273B3">
        <w:rPr>
          <w:sz w:val="22"/>
        </w:rPr>
        <w:t xml:space="preserve">. </w:t>
      </w:r>
      <w:r w:rsidR="00951140">
        <w:rPr>
          <w:sz w:val="22"/>
        </w:rPr>
        <w:t>If</w:t>
      </w:r>
      <w:r w:rsidRPr="00D273B3">
        <w:rPr>
          <w:sz w:val="22"/>
        </w:rPr>
        <w:t xml:space="preserve"> you are not able to complete CDD, you must not undertake a captured activity or transaction for that customer. </w:t>
      </w:r>
      <w:r w:rsidR="00951140">
        <w:rPr>
          <w:sz w:val="22"/>
        </w:rPr>
        <w:t>Transacting a captured activity without performing CDD breaks the law.</w:t>
      </w:r>
    </w:p>
    <w:p w14:paraId="00F902A5" w14:textId="77777777" w:rsidR="005B12D2" w:rsidRPr="005B12D2" w:rsidRDefault="005B12D2" w:rsidP="005B12D2">
      <w:pPr>
        <w:rPr>
          <w:sz w:val="22"/>
        </w:rPr>
      </w:pPr>
      <w:r w:rsidRPr="005B12D2">
        <w:rPr>
          <w:sz w:val="22"/>
        </w:rPr>
        <w:t>This section provides information about:</w:t>
      </w:r>
    </w:p>
    <w:p w14:paraId="6624707A" w14:textId="77777777" w:rsidR="00261D7A" w:rsidRDefault="00261D7A" w:rsidP="00261D7A">
      <w:pPr>
        <w:pStyle w:val="ListParagraph"/>
        <w:numPr>
          <w:ilvl w:val="0"/>
          <w:numId w:val="22"/>
        </w:numPr>
        <w:rPr>
          <w:sz w:val="22"/>
        </w:rPr>
      </w:pPr>
      <w:r w:rsidRPr="005B12D2">
        <w:rPr>
          <w:sz w:val="22"/>
        </w:rPr>
        <w:t xml:space="preserve">Who </w:t>
      </w:r>
      <w:r>
        <w:rPr>
          <w:sz w:val="22"/>
        </w:rPr>
        <w:t>do I</w:t>
      </w:r>
      <w:r w:rsidRPr="005B12D2">
        <w:rPr>
          <w:sz w:val="22"/>
        </w:rPr>
        <w:t xml:space="preserve"> conduct CDD on? </w:t>
      </w:r>
    </w:p>
    <w:p w14:paraId="289459FC" w14:textId="508F0634" w:rsidR="005B12D2" w:rsidRPr="005B12D2" w:rsidRDefault="005B12D2" w:rsidP="005B12D2">
      <w:pPr>
        <w:pStyle w:val="ListParagraph"/>
        <w:numPr>
          <w:ilvl w:val="0"/>
          <w:numId w:val="22"/>
        </w:numPr>
        <w:rPr>
          <w:sz w:val="22"/>
        </w:rPr>
      </w:pPr>
      <w:r w:rsidRPr="005B12D2">
        <w:rPr>
          <w:sz w:val="22"/>
        </w:rPr>
        <w:t xml:space="preserve">What a business relationship means and when it starts </w:t>
      </w:r>
    </w:p>
    <w:p w14:paraId="577A6C9A" w14:textId="737FAD43" w:rsidR="00714C9E" w:rsidRDefault="00714C9E" w:rsidP="005B12D2">
      <w:pPr>
        <w:pStyle w:val="ListParagraph"/>
        <w:numPr>
          <w:ilvl w:val="0"/>
          <w:numId w:val="22"/>
        </w:numPr>
        <w:rPr>
          <w:sz w:val="22"/>
        </w:rPr>
      </w:pPr>
      <w:r>
        <w:rPr>
          <w:sz w:val="22"/>
        </w:rPr>
        <w:t xml:space="preserve">New </w:t>
      </w:r>
      <w:r w:rsidR="00C67FB8">
        <w:rPr>
          <w:sz w:val="22"/>
        </w:rPr>
        <w:t>c</w:t>
      </w:r>
      <w:r>
        <w:rPr>
          <w:sz w:val="22"/>
        </w:rPr>
        <w:t>ustomers</w:t>
      </w:r>
    </w:p>
    <w:p w14:paraId="2F30D109" w14:textId="0426D53C" w:rsidR="00714C9E" w:rsidRDefault="00714C9E" w:rsidP="005B12D2">
      <w:pPr>
        <w:pStyle w:val="ListParagraph"/>
        <w:numPr>
          <w:ilvl w:val="0"/>
          <w:numId w:val="22"/>
        </w:numPr>
        <w:rPr>
          <w:sz w:val="22"/>
        </w:rPr>
      </w:pPr>
      <w:r>
        <w:rPr>
          <w:sz w:val="22"/>
        </w:rPr>
        <w:t xml:space="preserve">Occasional </w:t>
      </w:r>
      <w:r w:rsidR="00C67FB8">
        <w:rPr>
          <w:sz w:val="22"/>
        </w:rPr>
        <w:t>customers</w:t>
      </w:r>
    </w:p>
    <w:p w14:paraId="2010125D" w14:textId="25CFE3BF" w:rsidR="00F031E4" w:rsidRDefault="00F441AF" w:rsidP="005B12D2">
      <w:pPr>
        <w:pStyle w:val="ListParagraph"/>
        <w:numPr>
          <w:ilvl w:val="0"/>
          <w:numId w:val="22"/>
        </w:numPr>
        <w:rPr>
          <w:sz w:val="22"/>
        </w:rPr>
      </w:pPr>
      <w:r>
        <w:rPr>
          <w:sz w:val="22"/>
        </w:rPr>
        <w:t>CDD for o</w:t>
      </w:r>
      <w:r w:rsidR="00F031E4">
        <w:rPr>
          <w:sz w:val="22"/>
        </w:rPr>
        <w:t xml:space="preserve">ther </w:t>
      </w:r>
      <w:r w:rsidR="006508C4">
        <w:rPr>
          <w:sz w:val="22"/>
        </w:rPr>
        <w:t>types</w:t>
      </w:r>
      <w:r w:rsidR="00F031E4">
        <w:rPr>
          <w:sz w:val="22"/>
        </w:rPr>
        <w:t xml:space="preserve"> of customer</w:t>
      </w:r>
      <w:r w:rsidR="006508C4">
        <w:rPr>
          <w:sz w:val="22"/>
        </w:rPr>
        <w:t>s</w:t>
      </w:r>
    </w:p>
    <w:p w14:paraId="4498059A" w14:textId="1471CF7E" w:rsidR="000E3652" w:rsidRDefault="000E3652" w:rsidP="005B12D2">
      <w:pPr>
        <w:pStyle w:val="ListParagraph"/>
        <w:numPr>
          <w:ilvl w:val="0"/>
          <w:numId w:val="22"/>
        </w:numPr>
        <w:rPr>
          <w:sz w:val="22"/>
        </w:rPr>
      </w:pPr>
      <w:r>
        <w:rPr>
          <w:sz w:val="22"/>
        </w:rPr>
        <w:t>Politically</w:t>
      </w:r>
      <w:r w:rsidR="009C61B9">
        <w:rPr>
          <w:sz w:val="22"/>
        </w:rPr>
        <w:t xml:space="preserve"> E</w:t>
      </w:r>
      <w:r>
        <w:rPr>
          <w:sz w:val="22"/>
        </w:rPr>
        <w:t>xposed Persons (PEPs)</w:t>
      </w:r>
    </w:p>
    <w:p w14:paraId="3EF20CC7" w14:textId="60CF15DE" w:rsidR="000E3652" w:rsidRDefault="009C61B9" w:rsidP="005B12D2">
      <w:pPr>
        <w:pStyle w:val="ListParagraph"/>
        <w:numPr>
          <w:ilvl w:val="0"/>
          <w:numId w:val="22"/>
        </w:numPr>
        <w:rPr>
          <w:sz w:val="22"/>
        </w:rPr>
      </w:pPr>
      <w:r>
        <w:rPr>
          <w:sz w:val="22"/>
        </w:rPr>
        <w:t>Identity Verification Code of Practice (IVCOP)</w:t>
      </w:r>
    </w:p>
    <w:p w14:paraId="4E7652C6" w14:textId="0D95D613" w:rsidR="0084610C" w:rsidRPr="005B12D2" w:rsidRDefault="0084610C" w:rsidP="005B12D2">
      <w:pPr>
        <w:pStyle w:val="ListParagraph"/>
        <w:numPr>
          <w:ilvl w:val="0"/>
          <w:numId w:val="22"/>
        </w:numPr>
        <w:rPr>
          <w:sz w:val="22"/>
        </w:rPr>
      </w:pPr>
      <w:r>
        <w:rPr>
          <w:sz w:val="22"/>
        </w:rPr>
        <w:t>Ongoing CDD and Account Monitoring</w:t>
      </w:r>
    </w:p>
    <w:p w14:paraId="09435D45" w14:textId="66556E96" w:rsidR="005B12D2" w:rsidRDefault="00C67FB8" w:rsidP="005B12D2">
      <w:pPr>
        <w:pStyle w:val="ListParagraph"/>
        <w:numPr>
          <w:ilvl w:val="0"/>
          <w:numId w:val="22"/>
        </w:numPr>
        <w:rPr>
          <w:sz w:val="22"/>
        </w:rPr>
      </w:pPr>
      <w:r>
        <w:rPr>
          <w:sz w:val="22"/>
        </w:rPr>
        <w:t>D</w:t>
      </w:r>
      <w:r w:rsidR="005B12D2" w:rsidRPr="005B12D2">
        <w:rPr>
          <w:sz w:val="22"/>
        </w:rPr>
        <w:t xml:space="preserve">ifferent </w:t>
      </w:r>
      <w:r w:rsidR="00084565">
        <w:rPr>
          <w:sz w:val="22"/>
        </w:rPr>
        <w:t>type</w:t>
      </w:r>
      <w:r w:rsidR="005B12D2" w:rsidRPr="005B12D2">
        <w:rPr>
          <w:sz w:val="22"/>
        </w:rPr>
        <w:t xml:space="preserve">s of CDD </w:t>
      </w:r>
    </w:p>
    <w:p w14:paraId="340C6C69" w14:textId="77777777" w:rsidR="00261D7A" w:rsidRDefault="00261D7A" w:rsidP="00261D7A">
      <w:pPr>
        <w:pStyle w:val="ListParagraph"/>
        <w:numPr>
          <w:ilvl w:val="0"/>
          <w:numId w:val="22"/>
        </w:numPr>
        <w:rPr>
          <w:sz w:val="22"/>
        </w:rPr>
      </w:pPr>
      <w:r>
        <w:rPr>
          <w:sz w:val="22"/>
        </w:rPr>
        <w:t>Other CDD requirements</w:t>
      </w:r>
    </w:p>
    <w:p w14:paraId="57E38A8F" w14:textId="77777777" w:rsidR="00D84254" w:rsidRPr="005B12D2" w:rsidRDefault="00D84254" w:rsidP="00D84254">
      <w:pPr>
        <w:pStyle w:val="ListParagraph"/>
        <w:numPr>
          <w:ilvl w:val="0"/>
          <w:numId w:val="0"/>
        </w:numPr>
        <w:ind w:left="720"/>
        <w:rPr>
          <w:sz w:val="22"/>
        </w:rPr>
      </w:pPr>
    </w:p>
    <w:p w14:paraId="3BEF44C3" w14:textId="3272F982" w:rsidR="005B12D2" w:rsidRDefault="005B12D2" w:rsidP="005B12D2">
      <w:pPr>
        <w:rPr>
          <w:sz w:val="22"/>
        </w:rPr>
      </w:pPr>
      <w:r w:rsidRPr="005B12D2">
        <w:rPr>
          <w:sz w:val="22"/>
        </w:rPr>
        <w:t>The requirements described in this section are contained in Part 2, subpart 1 of the Act</w:t>
      </w:r>
      <w:r w:rsidR="009C61B9">
        <w:rPr>
          <w:sz w:val="22"/>
        </w:rPr>
        <w:t xml:space="preserve"> (sections 9-39)</w:t>
      </w:r>
      <w:r w:rsidRPr="005B12D2">
        <w:rPr>
          <w:sz w:val="22"/>
        </w:rPr>
        <w:t xml:space="preserve">. </w:t>
      </w:r>
    </w:p>
    <w:p w14:paraId="59564EAC" w14:textId="38FD91A1" w:rsidR="005B12D2" w:rsidRDefault="005B12D2" w:rsidP="00F031E4">
      <w:pPr>
        <w:pStyle w:val="Heading2"/>
      </w:pPr>
      <w:bookmarkStart w:id="35" w:name="_Toc34985651"/>
      <w:r w:rsidRPr="005B12D2">
        <w:t xml:space="preserve">Who </w:t>
      </w:r>
      <w:r w:rsidR="00A11346">
        <w:t>do I</w:t>
      </w:r>
      <w:r w:rsidRPr="005B12D2">
        <w:t xml:space="preserve"> conduct CDD on</w:t>
      </w:r>
      <w:r w:rsidR="00A11346">
        <w:t>?</w:t>
      </w:r>
      <w:bookmarkEnd w:id="35"/>
    </w:p>
    <w:p w14:paraId="4A0121B4" w14:textId="5D4FCC1D" w:rsidR="005B12D2" w:rsidRPr="005B12D2" w:rsidRDefault="005B12D2" w:rsidP="005B12D2">
      <w:pPr>
        <w:rPr>
          <w:sz w:val="22"/>
        </w:rPr>
      </w:pPr>
      <w:r w:rsidRPr="005B12D2">
        <w:rPr>
          <w:sz w:val="22"/>
        </w:rPr>
        <w:t>You must conduct CDD on:</w:t>
      </w:r>
    </w:p>
    <w:p w14:paraId="1D6F4091" w14:textId="51FE36C4" w:rsidR="005B12D2" w:rsidRPr="005B12D2" w:rsidRDefault="005B12D2" w:rsidP="005B12D2">
      <w:pPr>
        <w:pStyle w:val="ListParagraph"/>
        <w:numPr>
          <w:ilvl w:val="0"/>
          <w:numId w:val="22"/>
        </w:numPr>
        <w:rPr>
          <w:sz w:val="22"/>
        </w:rPr>
      </w:pPr>
      <w:r w:rsidRPr="005B12D2">
        <w:rPr>
          <w:sz w:val="22"/>
        </w:rPr>
        <w:t xml:space="preserve">Your customer </w:t>
      </w:r>
    </w:p>
    <w:p w14:paraId="1508773C" w14:textId="0B38293B" w:rsidR="005B12D2" w:rsidRPr="005B12D2" w:rsidRDefault="005B12D2" w:rsidP="005B12D2">
      <w:pPr>
        <w:pStyle w:val="ListParagraph"/>
        <w:numPr>
          <w:ilvl w:val="0"/>
          <w:numId w:val="22"/>
        </w:numPr>
        <w:rPr>
          <w:sz w:val="22"/>
        </w:rPr>
      </w:pPr>
      <w:r w:rsidRPr="005B12D2">
        <w:rPr>
          <w:sz w:val="22"/>
        </w:rPr>
        <w:t xml:space="preserve">Any </w:t>
      </w:r>
      <w:r w:rsidR="00714C9E">
        <w:rPr>
          <w:sz w:val="22"/>
        </w:rPr>
        <w:t>“</w:t>
      </w:r>
      <w:r w:rsidRPr="005B12D2">
        <w:rPr>
          <w:sz w:val="22"/>
        </w:rPr>
        <w:t>beneficial owner</w:t>
      </w:r>
      <w:r w:rsidR="00714C9E">
        <w:rPr>
          <w:sz w:val="22"/>
        </w:rPr>
        <w:t>”</w:t>
      </w:r>
      <w:r w:rsidRPr="005B12D2">
        <w:rPr>
          <w:sz w:val="22"/>
        </w:rPr>
        <w:t xml:space="preserve"> of a customer </w:t>
      </w:r>
    </w:p>
    <w:p w14:paraId="0A887B4E" w14:textId="3F0FE6D4" w:rsidR="00714C9E" w:rsidRDefault="005B12D2" w:rsidP="006B45B9">
      <w:pPr>
        <w:pStyle w:val="ListParagraph"/>
        <w:numPr>
          <w:ilvl w:val="0"/>
          <w:numId w:val="22"/>
        </w:numPr>
        <w:rPr>
          <w:sz w:val="22"/>
        </w:rPr>
      </w:pPr>
      <w:r w:rsidRPr="005B12D2">
        <w:rPr>
          <w:sz w:val="22"/>
        </w:rPr>
        <w:t>Any person acting on behalf of a customer</w:t>
      </w:r>
    </w:p>
    <w:p w14:paraId="60171999" w14:textId="77777777" w:rsidR="00B00F69" w:rsidRDefault="00B00F69" w:rsidP="00B00F69">
      <w:pPr>
        <w:pStyle w:val="ListParagraph"/>
        <w:numPr>
          <w:ilvl w:val="0"/>
          <w:numId w:val="0"/>
        </w:numPr>
        <w:ind w:left="720"/>
        <w:rPr>
          <w:sz w:val="22"/>
        </w:rPr>
      </w:pPr>
    </w:p>
    <w:tbl>
      <w:tblPr>
        <w:tblStyle w:val="DIATable"/>
        <w:tblW w:w="0" w:type="auto"/>
        <w:tblLook w:val="04A0" w:firstRow="1" w:lastRow="0" w:firstColumn="1" w:lastColumn="0" w:noHBand="0" w:noVBand="1"/>
      </w:tblPr>
      <w:tblGrid>
        <w:gridCol w:w="1843"/>
        <w:gridCol w:w="7336"/>
      </w:tblGrid>
      <w:tr w:rsidR="00714C9E" w14:paraId="125B887F" w14:textId="77777777" w:rsidTr="00F031E4">
        <w:trPr>
          <w:cnfStyle w:val="100000000000" w:firstRow="1" w:lastRow="0" w:firstColumn="0" w:lastColumn="0" w:oddVBand="0" w:evenVBand="0" w:oddHBand="0" w:evenHBand="0" w:firstRowFirstColumn="0" w:firstRowLastColumn="0" w:lastRowFirstColumn="0" w:lastRowLastColumn="0"/>
        </w:trPr>
        <w:tc>
          <w:tcPr>
            <w:tcW w:w="1843" w:type="dxa"/>
          </w:tcPr>
          <w:p w14:paraId="12234237" w14:textId="2EA583CC" w:rsidR="00714C9E" w:rsidRDefault="00714C9E" w:rsidP="00714C9E">
            <w:r w:rsidRPr="00714C9E">
              <w:t>Who you must conduct CDD on</w:t>
            </w:r>
          </w:p>
        </w:tc>
        <w:tc>
          <w:tcPr>
            <w:tcW w:w="7336" w:type="dxa"/>
          </w:tcPr>
          <w:p w14:paraId="6DAFF51F" w14:textId="182B45EA" w:rsidR="00714C9E" w:rsidRDefault="00714C9E" w:rsidP="00714C9E">
            <w:r>
              <w:t>Comment</w:t>
            </w:r>
          </w:p>
        </w:tc>
      </w:tr>
      <w:tr w:rsidR="00714C9E" w14:paraId="5B228CB5" w14:textId="77777777" w:rsidTr="00F031E4">
        <w:tc>
          <w:tcPr>
            <w:tcW w:w="1843" w:type="dxa"/>
          </w:tcPr>
          <w:p w14:paraId="5C9028B5" w14:textId="69865A55" w:rsidR="00714C9E" w:rsidRDefault="00714C9E" w:rsidP="00714C9E">
            <w:r>
              <w:t xml:space="preserve">Your </w:t>
            </w:r>
            <w:r w:rsidR="00C67FB8">
              <w:t>c</w:t>
            </w:r>
            <w:r>
              <w:t>ustomer</w:t>
            </w:r>
          </w:p>
        </w:tc>
        <w:tc>
          <w:tcPr>
            <w:tcW w:w="7336" w:type="dxa"/>
          </w:tcPr>
          <w:p w14:paraId="7CD7410C" w14:textId="21A779C8" w:rsidR="00714C9E" w:rsidRPr="00714C9E" w:rsidRDefault="00714C9E" w:rsidP="00F031E4">
            <w:pPr>
              <w:pStyle w:val="ListParagraph"/>
              <w:numPr>
                <w:ilvl w:val="0"/>
                <w:numId w:val="22"/>
              </w:numPr>
              <w:spacing w:before="56" w:after="32"/>
              <w:ind w:left="357" w:hanging="357"/>
            </w:pPr>
            <w:r w:rsidRPr="00714C9E">
              <w:t xml:space="preserve">Is the person who you enter into the </w:t>
            </w:r>
            <w:r w:rsidR="003E045F">
              <w:t xml:space="preserve">business relationship </w:t>
            </w:r>
            <w:r w:rsidRPr="00714C9E">
              <w:t>(or series of related transactions) with</w:t>
            </w:r>
          </w:p>
          <w:p w14:paraId="217686EA" w14:textId="0A70EBDB" w:rsidR="00714C9E" w:rsidRPr="00714C9E" w:rsidRDefault="00714C9E" w:rsidP="009722E0">
            <w:pPr>
              <w:pStyle w:val="ListParagraph"/>
              <w:numPr>
                <w:ilvl w:val="0"/>
                <w:numId w:val="34"/>
              </w:numPr>
              <w:spacing w:before="56" w:after="32"/>
              <w:ind w:left="357" w:hanging="357"/>
            </w:pPr>
            <w:r w:rsidRPr="00714C9E">
              <w:t>Customers who are individuals (as opposed to trusts or companies for example) may be treated as the beneficial owner if you believe on reasonable grounds that the person is not acting on behalf of anyone else</w:t>
            </w:r>
          </w:p>
        </w:tc>
      </w:tr>
      <w:tr w:rsidR="00714C9E" w14:paraId="35D3FEFE" w14:textId="77777777" w:rsidTr="00F031E4">
        <w:tc>
          <w:tcPr>
            <w:tcW w:w="1843" w:type="dxa"/>
          </w:tcPr>
          <w:p w14:paraId="577CE374" w14:textId="740E3A5D" w:rsidR="00714C9E" w:rsidRDefault="00714C9E" w:rsidP="00714C9E">
            <w:r>
              <w:lastRenderedPageBreak/>
              <w:t xml:space="preserve">Any </w:t>
            </w:r>
            <w:r w:rsidR="00D84254">
              <w:t>“</w:t>
            </w:r>
            <w:r>
              <w:t>beneficial owner</w:t>
            </w:r>
            <w:r w:rsidR="00D84254">
              <w:t>”</w:t>
            </w:r>
            <w:r>
              <w:t xml:space="preserve"> of a customer</w:t>
            </w:r>
          </w:p>
        </w:tc>
        <w:tc>
          <w:tcPr>
            <w:tcW w:w="7336" w:type="dxa"/>
          </w:tcPr>
          <w:p w14:paraId="66ED9DF0" w14:textId="77777777" w:rsidR="00714C9E" w:rsidRDefault="00714C9E" w:rsidP="009722E0">
            <w:pPr>
              <w:pStyle w:val="ListParagraph"/>
              <w:numPr>
                <w:ilvl w:val="0"/>
                <w:numId w:val="34"/>
              </w:numPr>
              <w:spacing w:before="56" w:after="32"/>
              <w:ind w:left="357" w:hanging="357"/>
            </w:pPr>
            <w:r w:rsidRPr="00714C9E">
              <w:t xml:space="preserve">Someone who owns more than 25 percent of a company that is your customer </w:t>
            </w:r>
          </w:p>
          <w:p w14:paraId="78875E4E" w14:textId="77777777" w:rsidR="00714C9E" w:rsidRDefault="00714C9E" w:rsidP="009722E0">
            <w:pPr>
              <w:pStyle w:val="ListParagraph"/>
              <w:numPr>
                <w:ilvl w:val="0"/>
                <w:numId w:val="34"/>
              </w:numPr>
              <w:spacing w:before="56" w:after="32"/>
              <w:ind w:left="357" w:hanging="357"/>
            </w:pPr>
            <w:r w:rsidRPr="00714C9E">
              <w:t xml:space="preserve">Someone who has effective control of a company that is your customer </w:t>
            </w:r>
          </w:p>
          <w:p w14:paraId="1C86A4D4" w14:textId="3EE4BA2C" w:rsidR="00F031E4" w:rsidRDefault="00714C9E" w:rsidP="009722E0">
            <w:pPr>
              <w:pStyle w:val="ListParagraph"/>
              <w:numPr>
                <w:ilvl w:val="0"/>
                <w:numId w:val="34"/>
              </w:numPr>
              <w:spacing w:before="56" w:after="32"/>
              <w:ind w:left="357" w:hanging="357"/>
            </w:pPr>
            <w:r w:rsidRPr="00714C9E">
              <w:t>The person/s on whose behalf a transaction is conducted</w:t>
            </w:r>
          </w:p>
          <w:p w14:paraId="67C704CC" w14:textId="77777777" w:rsidR="00F031E4" w:rsidRDefault="00F031E4" w:rsidP="00F031E4">
            <w:pPr>
              <w:pStyle w:val="ListParagraph"/>
              <w:numPr>
                <w:ilvl w:val="0"/>
                <w:numId w:val="0"/>
              </w:numPr>
              <w:spacing w:before="56" w:after="32"/>
              <w:ind w:left="357"/>
            </w:pPr>
          </w:p>
          <w:p w14:paraId="6D2EC1F6" w14:textId="0FD94D6D" w:rsidR="00F031E4" w:rsidRPr="00F031E4" w:rsidRDefault="00F031E4" w:rsidP="00F031E4">
            <w:pPr>
              <w:rPr>
                <w:sz w:val="20"/>
              </w:rPr>
            </w:pPr>
            <w:r w:rsidRPr="00F031E4">
              <w:t xml:space="preserve">The </w:t>
            </w:r>
            <w:hyperlink r:id="rId65" w:history="1">
              <w:r w:rsidR="003E045F">
                <w:rPr>
                  <w:rStyle w:val="Hyperlink"/>
                </w:rPr>
                <w:t>Beneficial Ownership Guideline</w:t>
              </w:r>
            </w:hyperlink>
            <w:r w:rsidRPr="00F031E4">
              <w:t xml:space="preserve"> provides further information relevant to determining beneficial ownership</w:t>
            </w:r>
            <w:r w:rsidR="003E045F">
              <w:t>.</w:t>
            </w:r>
          </w:p>
        </w:tc>
      </w:tr>
      <w:tr w:rsidR="00714C9E" w14:paraId="7C8C8031" w14:textId="77777777" w:rsidTr="00F031E4">
        <w:tc>
          <w:tcPr>
            <w:tcW w:w="1843" w:type="dxa"/>
          </w:tcPr>
          <w:p w14:paraId="20EA1D3C" w14:textId="0CC2D89A" w:rsidR="00714C9E" w:rsidRDefault="00714C9E" w:rsidP="00714C9E">
            <w:r>
              <w:t>Any person acting on behalf of a customer</w:t>
            </w:r>
          </w:p>
        </w:tc>
        <w:tc>
          <w:tcPr>
            <w:tcW w:w="7336" w:type="dxa"/>
          </w:tcPr>
          <w:p w14:paraId="4F4B57EA" w14:textId="239874F1" w:rsidR="00714C9E" w:rsidRPr="00714C9E" w:rsidRDefault="00714C9E" w:rsidP="00714C9E">
            <w:r w:rsidRPr="00714C9E">
              <w:t>There are instances where a person is acting on behalf of a customer but is not necessarily a beneficial owner of that customer</w:t>
            </w:r>
            <w:r>
              <w:t>.</w:t>
            </w:r>
            <w:r w:rsidRPr="00714C9E">
              <w:t xml:space="preserve"> For example:</w:t>
            </w:r>
          </w:p>
          <w:p w14:paraId="4E9AD042" w14:textId="5FA67CE7" w:rsidR="00714C9E" w:rsidRDefault="00714C9E" w:rsidP="009722E0">
            <w:pPr>
              <w:pStyle w:val="ListParagraph"/>
              <w:numPr>
                <w:ilvl w:val="0"/>
                <w:numId w:val="35"/>
              </w:numPr>
              <w:spacing w:before="56" w:after="32"/>
              <w:ind w:left="357" w:hanging="357"/>
            </w:pPr>
            <w:r w:rsidRPr="00714C9E">
              <w:t xml:space="preserve">A person exercising a power of attorney for your customer </w:t>
            </w:r>
          </w:p>
          <w:p w14:paraId="05F8F855" w14:textId="152A1B69" w:rsidR="00714C9E" w:rsidRDefault="00714C9E" w:rsidP="009722E0">
            <w:pPr>
              <w:pStyle w:val="ListParagraph"/>
              <w:numPr>
                <w:ilvl w:val="0"/>
                <w:numId w:val="35"/>
              </w:numPr>
              <w:spacing w:before="56" w:after="32"/>
              <w:ind w:left="357" w:hanging="357"/>
            </w:pPr>
            <w:r w:rsidRPr="00714C9E">
              <w:t xml:space="preserve">A legal guardian acting on behalf of a minor who is your customer </w:t>
            </w:r>
          </w:p>
          <w:p w14:paraId="2FCD9301" w14:textId="41744E84" w:rsidR="00714C9E" w:rsidRDefault="00714C9E" w:rsidP="009722E0">
            <w:pPr>
              <w:pStyle w:val="ListParagraph"/>
              <w:numPr>
                <w:ilvl w:val="0"/>
                <w:numId w:val="35"/>
              </w:numPr>
              <w:spacing w:before="56" w:after="32"/>
              <w:ind w:left="357" w:hanging="357"/>
            </w:pPr>
            <w:r w:rsidRPr="00714C9E">
              <w:t>An employee who has the authority to act on behalf of a company that is your customer</w:t>
            </w:r>
          </w:p>
          <w:p w14:paraId="25F4E43D" w14:textId="77777777" w:rsidR="00F031E4" w:rsidRDefault="00F031E4" w:rsidP="00F031E4">
            <w:pPr>
              <w:pStyle w:val="ListParagraph"/>
              <w:numPr>
                <w:ilvl w:val="0"/>
                <w:numId w:val="0"/>
              </w:numPr>
              <w:spacing w:before="56" w:after="32"/>
              <w:ind w:left="357"/>
            </w:pPr>
          </w:p>
          <w:p w14:paraId="50703ACC" w14:textId="32799F32" w:rsidR="00F031E4" w:rsidRPr="00F031E4" w:rsidRDefault="00F031E4" w:rsidP="00F031E4">
            <w:r w:rsidRPr="00F031E4">
              <w:t xml:space="preserve">The </w:t>
            </w:r>
            <w:hyperlink r:id="rId66" w:history="1">
              <w:r w:rsidR="003E045F">
                <w:rPr>
                  <w:rStyle w:val="Hyperlink"/>
                </w:rPr>
                <w:t>Acting on Behalf of Factsheet</w:t>
              </w:r>
            </w:hyperlink>
            <w:r w:rsidRPr="00F031E4">
              <w:t xml:space="preserve"> provides further information relevant to determining where persons are acting on behalf of another customer</w:t>
            </w:r>
            <w:r w:rsidR="003E045F">
              <w:t>.</w:t>
            </w:r>
          </w:p>
        </w:tc>
      </w:tr>
    </w:tbl>
    <w:p w14:paraId="64849CAE" w14:textId="51220D06" w:rsidR="00261D7A" w:rsidRDefault="00261D7A" w:rsidP="00261D7A">
      <w:pPr>
        <w:keepNext/>
        <w:spacing w:before="360" w:after="120"/>
        <w:contextualSpacing/>
        <w:outlineLvl w:val="1"/>
        <w:rPr>
          <w:rFonts w:cs="Arial"/>
          <w:b/>
          <w:bCs/>
          <w:iCs/>
          <w:color w:val="1F546B"/>
          <w:sz w:val="36"/>
          <w:szCs w:val="28"/>
        </w:rPr>
      </w:pPr>
    </w:p>
    <w:p w14:paraId="37C71822" w14:textId="4B1E4D34" w:rsidR="00261D7A" w:rsidRPr="00261D7A" w:rsidRDefault="00261D7A" w:rsidP="00261D7A">
      <w:pPr>
        <w:keepNext/>
        <w:spacing w:before="360" w:after="120"/>
        <w:contextualSpacing/>
        <w:outlineLvl w:val="1"/>
        <w:rPr>
          <w:rFonts w:cs="Arial"/>
          <w:b/>
          <w:bCs/>
          <w:iCs/>
          <w:color w:val="1F546B"/>
          <w:sz w:val="36"/>
          <w:szCs w:val="28"/>
        </w:rPr>
      </w:pPr>
      <w:bookmarkStart w:id="36" w:name="_Toc34985652"/>
      <w:r w:rsidRPr="00261D7A">
        <w:rPr>
          <w:rFonts w:cs="Arial"/>
          <w:b/>
          <w:bCs/>
          <w:iCs/>
          <w:color w:val="1F546B"/>
          <w:sz w:val="36"/>
          <w:szCs w:val="28"/>
        </w:rPr>
        <w:t>What a business relationship means and when it starts</w:t>
      </w:r>
      <w:bookmarkEnd w:id="36"/>
      <w:r w:rsidRPr="00261D7A">
        <w:rPr>
          <w:rFonts w:cs="Arial"/>
          <w:b/>
          <w:bCs/>
          <w:iCs/>
          <w:color w:val="1F546B"/>
          <w:sz w:val="36"/>
          <w:szCs w:val="28"/>
        </w:rPr>
        <w:t xml:space="preserve"> </w:t>
      </w:r>
    </w:p>
    <w:p w14:paraId="6BF593B6" w14:textId="77777777" w:rsidR="00261D7A" w:rsidRPr="00261D7A" w:rsidRDefault="00261D7A" w:rsidP="00261D7A">
      <w:pPr>
        <w:rPr>
          <w:sz w:val="22"/>
        </w:rPr>
      </w:pPr>
      <w:r w:rsidRPr="00261D7A">
        <w:rPr>
          <w:sz w:val="22"/>
        </w:rPr>
        <w:t xml:space="preserve">A business relationship is defined in section 5(1) of the Act as </w:t>
      </w:r>
      <w:r w:rsidRPr="00261D7A">
        <w:rPr>
          <w:i/>
          <w:sz w:val="22"/>
        </w:rPr>
        <w:t>“a business, professional, or commercial relationship between a reporting entity and a customer that has an element of duration or that is expected by the reporting entity at the time when contact is established, to have an element of duration</w:t>
      </w:r>
      <w:r w:rsidRPr="00261D7A">
        <w:rPr>
          <w:sz w:val="22"/>
        </w:rPr>
        <w:t xml:space="preserve">”. </w:t>
      </w:r>
    </w:p>
    <w:p w14:paraId="47309245" w14:textId="77777777" w:rsidR="00261D7A" w:rsidRPr="00261D7A" w:rsidRDefault="00261D7A" w:rsidP="00261D7A">
      <w:pPr>
        <w:rPr>
          <w:sz w:val="22"/>
        </w:rPr>
      </w:pPr>
      <w:r w:rsidRPr="00261D7A">
        <w:rPr>
          <w:sz w:val="22"/>
        </w:rPr>
        <w:t>This captures situations where a reporting entity has, or expects to have, a relationship with a customer involving more than one interaction. An example of a VASP starting a new business relationship is when a new customer signs-up to the VASP in order to receive a service.</w:t>
      </w:r>
      <w:r w:rsidRPr="00261D7A" w:rsidDel="009C61B9">
        <w:rPr>
          <w:sz w:val="22"/>
        </w:rPr>
        <w:t xml:space="preserve"> </w:t>
      </w:r>
      <w:r w:rsidRPr="00261D7A">
        <w:rPr>
          <w:sz w:val="22"/>
        </w:rPr>
        <w:t>In this example, CDD must be conducted at the beginning of the relationship, as well as when appropriate should there be material changes throughout the relationship.</w:t>
      </w:r>
    </w:p>
    <w:p w14:paraId="2D68434D" w14:textId="77777777" w:rsidR="00261D7A" w:rsidRPr="00261D7A" w:rsidRDefault="00261D7A" w:rsidP="00261D7A">
      <w:pPr>
        <w:rPr>
          <w:sz w:val="22"/>
        </w:rPr>
      </w:pPr>
      <w:r w:rsidRPr="00261D7A">
        <w:rPr>
          <w:sz w:val="22"/>
        </w:rPr>
        <w:t xml:space="preserve">You need to use your best judgement to determine when a new business relationship with a customer starts. Your business relationship is likely to begin after initial inquiries about the services they need have been made, but before you have commenced any work for them.  </w:t>
      </w:r>
    </w:p>
    <w:p w14:paraId="55931DE8" w14:textId="2E2B167D" w:rsidR="006B45B9" w:rsidRDefault="005B12D2" w:rsidP="00F031E4">
      <w:pPr>
        <w:pStyle w:val="Heading2"/>
      </w:pPr>
      <w:bookmarkStart w:id="37" w:name="_Toc34985653"/>
      <w:r w:rsidRPr="005B12D2">
        <w:t>New customers</w:t>
      </w:r>
      <w:bookmarkEnd w:id="37"/>
      <w:r w:rsidRPr="005B12D2">
        <w:t xml:space="preserve"> </w:t>
      </w:r>
    </w:p>
    <w:p w14:paraId="3B6A24FB" w14:textId="0818D450" w:rsidR="006B45B9" w:rsidRDefault="005B12D2" w:rsidP="005B12D2">
      <w:pPr>
        <w:rPr>
          <w:sz w:val="22"/>
        </w:rPr>
      </w:pPr>
      <w:r w:rsidRPr="005B12D2">
        <w:rPr>
          <w:sz w:val="22"/>
        </w:rPr>
        <w:t xml:space="preserve">You may not have to conduct CDD on every new customer. You need to establish at the outset </w:t>
      </w:r>
      <w:r w:rsidR="003E045F">
        <w:rPr>
          <w:sz w:val="22"/>
        </w:rPr>
        <w:t xml:space="preserve">of the business relationship </w:t>
      </w:r>
      <w:r w:rsidRPr="005B12D2">
        <w:rPr>
          <w:sz w:val="22"/>
        </w:rPr>
        <w:t xml:space="preserve">whether </w:t>
      </w:r>
      <w:r w:rsidR="003E045F">
        <w:rPr>
          <w:sz w:val="22"/>
        </w:rPr>
        <w:t>your new customer is</w:t>
      </w:r>
      <w:r w:rsidRPr="005B12D2">
        <w:rPr>
          <w:sz w:val="22"/>
        </w:rPr>
        <w:t xml:space="preserve"> going to require you to conduct any activity captured by the Act. </w:t>
      </w:r>
      <w:r w:rsidR="008965F2" w:rsidRPr="008965F2">
        <w:rPr>
          <w:sz w:val="22"/>
        </w:rPr>
        <w:t>Any customer who requests a captured activity needs to have CDD performed on them</w:t>
      </w:r>
      <w:r w:rsidR="008965F2">
        <w:rPr>
          <w:sz w:val="22"/>
        </w:rPr>
        <w:t xml:space="preserve"> in line </w:t>
      </w:r>
      <w:r w:rsidRPr="005B12D2">
        <w:rPr>
          <w:sz w:val="22"/>
        </w:rPr>
        <w:t xml:space="preserve">with the level of risk </w:t>
      </w:r>
      <w:r w:rsidR="008965F2">
        <w:rPr>
          <w:sz w:val="22"/>
        </w:rPr>
        <w:t>they represent</w:t>
      </w:r>
      <w:r w:rsidRPr="005B12D2">
        <w:rPr>
          <w:sz w:val="22"/>
        </w:rPr>
        <w:t xml:space="preserve"> and in accordance with the requirements in the Act. </w:t>
      </w:r>
    </w:p>
    <w:p w14:paraId="41F96137" w14:textId="68E74764" w:rsidR="008965F2" w:rsidRDefault="008965F2" w:rsidP="005B12D2">
      <w:pPr>
        <w:rPr>
          <w:sz w:val="22"/>
        </w:rPr>
      </w:pPr>
      <w:r w:rsidRPr="008965F2">
        <w:rPr>
          <w:sz w:val="22"/>
        </w:rPr>
        <w:t>You are not required to conduct CDD until your customer requests a captured activity. If may be that your customer does not initially request captured activities and you accordingly have not performed CDD. As soon as the customer requests a captured activity, you must perform CDD before you carry out any captured activities.</w:t>
      </w:r>
    </w:p>
    <w:p w14:paraId="599DD2E9" w14:textId="16B117B4" w:rsidR="00714C9E" w:rsidRDefault="005B12D2" w:rsidP="00F031E4">
      <w:pPr>
        <w:pStyle w:val="Heading2"/>
      </w:pPr>
      <w:bookmarkStart w:id="38" w:name="_Toc34985654"/>
      <w:r w:rsidRPr="005B12D2">
        <w:lastRenderedPageBreak/>
        <w:t>Occasional customers</w:t>
      </w:r>
      <w:bookmarkEnd w:id="38"/>
      <w:r w:rsidRPr="005B12D2">
        <w:t xml:space="preserve"> </w:t>
      </w:r>
    </w:p>
    <w:p w14:paraId="467C9248" w14:textId="085ADE42" w:rsidR="001C7837" w:rsidRDefault="00F3484D" w:rsidP="005B12D2">
      <w:pPr>
        <w:rPr>
          <w:sz w:val="22"/>
        </w:rPr>
      </w:pPr>
      <w:r>
        <w:rPr>
          <w:sz w:val="22"/>
        </w:rPr>
        <w:t>As described in section 14(1)(</w:t>
      </w:r>
      <w:r w:rsidR="00123C22">
        <w:rPr>
          <w:sz w:val="22"/>
        </w:rPr>
        <w:t>b</w:t>
      </w:r>
      <w:r>
        <w:rPr>
          <w:sz w:val="22"/>
        </w:rPr>
        <w:t>) of the Act, y</w:t>
      </w:r>
      <w:r w:rsidR="001C7837">
        <w:rPr>
          <w:sz w:val="22"/>
        </w:rPr>
        <w:t xml:space="preserve">ou are required to conduct CDD on </w:t>
      </w:r>
      <w:r>
        <w:rPr>
          <w:sz w:val="22"/>
        </w:rPr>
        <w:t xml:space="preserve">‘occasional </w:t>
      </w:r>
      <w:proofErr w:type="gramStart"/>
      <w:r>
        <w:rPr>
          <w:sz w:val="22"/>
        </w:rPr>
        <w:t>customers’</w:t>
      </w:r>
      <w:proofErr w:type="gramEnd"/>
      <w:r>
        <w:rPr>
          <w:sz w:val="22"/>
        </w:rPr>
        <w:t>. An ‘occasional customer’ is someone who seeks to conduct either and ‘o</w:t>
      </w:r>
      <w:r w:rsidRPr="00F3484D">
        <w:rPr>
          <w:sz w:val="22"/>
        </w:rPr>
        <w:t xml:space="preserve">ccasional activity’ </w:t>
      </w:r>
      <w:r>
        <w:rPr>
          <w:sz w:val="22"/>
        </w:rPr>
        <w:t>or</w:t>
      </w:r>
      <w:r w:rsidRPr="00F3484D">
        <w:rPr>
          <w:sz w:val="22"/>
        </w:rPr>
        <w:t xml:space="preserve"> ’occasional transaction’</w:t>
      </w:r>
      <w:r>
        <w:rPr>
          <w:sz w:val="22"/>
        </w:rPr>
        <w:t xml:space="preserve"> through you.</w:t>
      </w:r>
    </w:p>
    <w:p w14:paraId="5C1733D0" w14:textId="345BF2C0" w:rsidR="00F031E4" w:rsidRDefault="006508C4" w:rsidP="005B12D2">
      <w:pPr>
        <w:rPr>
          <w:sz w:val="22"/>
        </w:rPr>
      </w:pPr>
      <w:r>
        <w:rPr>
          <w:sz w:val="22"/>
        </w:rPr>
        <w:t>’</w:t>
      </w:r>
      <w:r w:rsidR="005B12D2" w:rsidRPr="005B12D2">
        <w:rPr>
          <w:sz w:val="22"/>
        </w:rPr>
        <w:t>Occasional activity</w:t>
      </w:r>
      <w:r>
        <w:rPr>
          <w:sz w:val="22"/>
        </w:rPr>
        <w:t>’</w:t>
      </w:r>
      <w:r w:rsidR="005B12D2" w:rsidRPr="005B12D2">
        <w:rPr>
          <w:sz w:val="22"/>
        </w:rPr>
        <w:t xml:space="preserve"> and </w:t>
      </w:r>
      <w:r>
        <w:rPr>
          <w:sz w:val="22"/>
        </w:rPr>
        <w:t>’</w:t>
      </w:r>
      <w:r w:rsidR="005B12D2" w:rsidRPr="005B12D2">
        <w:rPr>
          <w:sz w:val="22"/>
        </w:rPr>
        <w:t>occasional transaction</w:t>
      </w:r>
      <w:r>
        <w:rPr>
          <w:sz w:val="22"/>
        </w:rPr>
        <w:t>’</w:t>
      </w:r>
      <w:r w:rsidR="005B12D2" w:rsidRPr="005B12D2">
        <w:rPr>
          <w:sz w:val="22"/>
        </w:rPr>
        <w:t xml:space="preserve"> are both defined in the Act. The term “occasional” does not necessarily mean </w:t>
      </w:r>
      <w:r>
        <w:rPr>
          <w:sz w:val="22"/>
        </w:rPr>
        <w:t>’</w:t>
      </w:r>
      <w:r w:rsidR="005B12D2" w:rsidRPr="005B12D2">
        <w:rPr>
          <w:sz w:val="22"/>
        </w:rPr>
        <w:t>single</w:t>
      </w:r>
      <w:r>
        <w:rPr>
          <w:sz w:val="22"/>
        </w:rPr>
        <w:t xml:space="preserve">’ – </w:t>
      </w:r>
      <w:r w:rsidR="005B12D2" w:rsidRPr="005B12D2">
        <w:rPr>
          <w:sz w:val="22"/>
        </w:rPr>
        <w:t>it also includes circumstances in which multiple transactions are so intermittent or infrequent that no business relationship is established.</w:t>
      </w:r>
    </w:p>
    <w:p w14:paraId="22689AAF" w14:textId="54FA4A22" w:rsidR="00C12302" w:rsidRPr="005B12D2" w:rsidRDefault="00822DD0" w:rsidP="005B12D2">
      <w:pPr>
        <w:rPr>
          <w:sz w:val="22"/>
        </w:rPr>
      </w:pPr>
      <w:r>
        <w:rPr>
          <w:sz w:val="22"/>
        </w:rPr>
        <w:t xml:space="preserve">Reporting entities should be aware of customers whose occasional activities increase in frequency to </w:t>
      </w:r>
      <w:r w:rsidR="006508C4">
        <w:rPr>
          <w:sz w:val="22"/>
        </w:rPr>
        <w:t>the point</w:t>
      </w:r>
      <w:r>
        <w:rPr>
          <w:sz w:val="22"/>
        </w:rPr>
        <w:t xml:space="preserve"> at which </w:t>
      </w:r>
      <w:r w:rsidR="00F02D9B">
        <w:rPr>
          <w:sz w:val="22"/>
        </w:rPr>
        <w:t>a business relationship has commenced – a good test of this is whether you reasonabl</w:t>
      </w:r>
      <w:r w:rsidR="001C3D5E">
        <w:rPr>
          <w:sz w:val="22"/>
        </w:rPr>
        <w:t>y</w:t>
      </w:r>
      <w:r w:rsidR="00F02D9B">
        <w:rPr>
          <w:sz w:val="22"/>
        </w:rPr>
        <w:t xml:space="preserve"> expect that the customer </w:t>
      </w:r>
      <w:r w:rsidR="001C3D5E">
        <w:rPr>
          <w:sz w:val="22"/>
        </w:rPr>
        <w:t>is likely to</w:t>
      </w:r>
      <w:r w:rsidR="00F02D9B">
        <w:rPr>
          <w:sz w:val="22"/>
        </w:rPr>
        <w:t xml:space="preserve"> return for future transactions.</w:t>
      </w:r>
    </w:p>
    <w:p w14:paraId="55547E12" w14:textId="40E69A7B" w:rsidR="00F031E4" w:rsidRDefault="00C67FB8" w:rsidP="00F031E4">
      <w:pPr>
        <w:pStyle w:val="Heading2"/>
      </w:pPr>
      <w:bookmarkStart w:id="39" w:name="_Toc34985655"/>
      <w:r>
        <w:t>CDD</w:t>
      </w:r>
      <w:r w:rsidR="00586EEB">
        <w:t xml:space="preserve"> for o</w:t>
      </w:r>
      <w:r w:rsidR="00F031E4">
        <w:t xml:space="preserve">ther </w:t>
      </w:r>
      <w:r w:rsidR="006508C4">
        <w:t>types</w:t>
      </w:r>
      <w:r w:rsidR="00F031E4">
        <w:t xml:space="preserve"> of customer</w:t>
      </w:r>
      <w:r w:rsidR="006508C4">
        <w:t>s</w:t>
      </w:r>
      <w:bookmarkEnd w:id="39"/>
    </w:p>
    <w:p w14:paraId="48B663EF" w14:textId="49DADBFD" w:rsidR="001C3D5E" w:rsidRDefault="001C3D5E" w:rsidP="00F031E4">
      <w:pPr>
        <w:rPr>
          <w:sz w:val="22"/>
        </w:rPr>
      </w:pPr>
      <w:r w:rsidRPr="001C3D5E">
        <w:rPr>
          <w:sz w:val="22"/>
        </w:rPr>
        <w:t xml:space="preserve">Factsheets for the identification and verification requirements for customers </w:t>
      </w:r>
      <w:r w:rsidR="00F031E4">
        <w:rPr>
          <w:sz w:val="22"/>
        </w:rPr>
        <w:t xml:space="preserve">who may have </w:t>
      </w:r>
      <w:r w:rsidR="00304C01">
        <w:rPr>
          <w:sz w:val="22"/>
        </w:rPr>
        <w:t>ownership structures that have unclear obligations for CDD</w:t>
      </w:r>
      <w:r>
        <w:rPr>
          <w:sz w:val="22"/>
        </w:rPr>
        <w:t xml:space="preserve"> are available under the sub-headings below</w:t>
      </w:r>
      <w:r w:rsidR="00F031E4" w:rsidRPr="00F031E4">
        <w:rPr>
          <w:sz w:val="22"/>
        </w:rPr>
        <w:t xml:space="preserve">. </w:t>
      </w:r>
    </w:p>
    <w:p w14:paraId="6A29CD30" w14:textId="66394C39" w:rsidR="00F031E4" w:rsidRPr="00F031E4" w:rsidRDefault="00F031E4" w:rsidP="00F031E4">
      <w:pPr>
        <w:rPr>
          <w:sz w:val="22"/>
        </w:rPr>
      </w:pPr>
      <w:r w:rsidRPr="00F031E4">
        <w:rPr>
          <w:sz w:val="22"/>
        </w:rPr>
        <w:t>The</w:t>
      </w:r>
      <w:r w:rsidR="001C3D5E">
        <w:rPr>
          <w:sz w:val="22"/>
        </w:rPr>
        <w:t>se</w:t>
      </w:r>
      <w:r w:rsidRPr="00F031E4">
        <w:rPr>
          <w:sz w:val="22"/>
        </w:rPr>
        <w:t xml:space="preserve"> fact sheets should be read in conjunction with the </w:t>
      </w:r>
      <w:hyperlink r:id="rId67" w:history="1">
        <w:r w:rsidR="001C3D5E" w:rsidRPr="00B00F69">
          <w:rPr>
            <w:rStyle w:val="Hyperlink"/>
            <w:sz w:val="22"/>
            <w:szCs w:val="22"/>
          </w:rPr>
          <w:t>Beneficial Ownership Guideline</w:t>
        </w:r>
      </w:hyperlink>
      <w:r w:rsidRPr="00B00F69">
        <w:rPr>
          <w:sz w:val="22"/>
          <w:szCs w:val="22"/>
        </w:rPr>
        <w:t>.</w:t>
      </w:r>
    </w:p>
    <w:p w14:paraId="4211F0B8" w14:textId="532D3160" w:rsidR="00F031E4" w:rsidRPr="00F031E4" w:rsidRDefault="00F031E4" w:rsidP="00F031E4">
      <w:pPr>
        <w:pStyle w:val="Heading3"/>
      </w:pPr>
      <w:bookmarkStart w:id="40" w:name="_Toc34985656"/>
      <w:r>
        <w:t>Trusts</w:t>
      </w:r>
      <w:bookmarkEnd w:id="40"/>
    </w:p>
    <w:p w14:paraId="76CFEE71" w14:textId="01EA0B42" w:rsidR="00F031E4" w:rsidRDefault="005B12D2" w:rsidP="005B12D2">
      <w:pPr>
        <w:rPr>
          <w:sz w:val="22"/>
        </w:rPr>
      </w:pPr>
      <w:r w:rsidRPr="005B12D2">
        <w:rPr>
          <w:sz w:val="22"/>
        </w:rPr>
        <w:t xml:space="preserve">The Act treats trusts as being capable of being customers in their own right, despite a trust not ordinarily having a legal personality. </w:t>
      </w:r>
      <w:r w:rsidR="00231F10">
        <w:rPr>
          <w:sz w:val="22"/>
        </w:rPr>
        <w:t xml:space="preserve">Trusts may have complex CDD requirements depending on their structure and may require different levels of identification </w:t>
      </w:r>
      <w:r w:rsidR="001C3D5E">
        <w:rPr>
          <w:sz w:val="22"/>
        </w:rPr>
        <w:t xml:space="preserve">for </w:t>
      </w:r>
      <w:r w:rsidR="00231F10">
        <w:rPr>
          <w:sz w:val="22"/>
        </w:rPr>
        <w:t xml:space="preserve">trustees and beneficiaries. </w:t>
      </w:r>
    </w:p>
    <w:p w14:paraId="3CC81EAF" w14:textId="4BDF8057" w:rsidR="00F031E4" w:rsidRDefault="005F6E6A" w:rsidP="005B12D2">
      <w:pPr>
        <w:rPr>
          <w:sz w:val="22"/>
        </w:rPr>
      </w:pPr>
      <w:hyperlink r:id="rId68" w:history="1">
        <w:r w:rsidR="00F031E4" w:rsidRPr="00F031E4">
          <w:rPr>
            <w:rStyle w:val="Hyperlink"/>
            <w:sz w:val="22"/>
          </w:rPr>
          <w:t>Trusts as a Customer Factsheet</w:t>
        </w:r>
      </w:hyperlink>
    </w:p>
    <w:p w14:paraId="5CFB0E7E" w14:textId="2667D86F" w:rsidR="00E0500C" w:rsidRDefault="00E0500C" w:rsidP="00F031E4">
      <w:pPr>
        <w:pStyle w:val="Heading3"/>
      </w:pPr>
      <w:bookmarkStart w:id="41" w:name="_Toc34985657"/>
      <w:r>
        <w:t>Companies</w:t>
      </w:r>
      <w:bookmarkEnd w:id="41"/>
    </w:p>
    <w:p w14:paraId="78E6D9EF" w14:textId="6E36362F" w:rsidR="00E0500C" w:rsidRDefault="00E0500C" w:rsidP="00E0500C">
      <w:pPr>
        <w:rPr>
          <w:sz w:val="22"/>
        </w:rPr>
      </w:pPr>
      <w:r w:rsidRPr="00E0500C">
        <w:rPr>
          <w:sz w:val="22"/>
        </w:rPr>
        <w:t>In New Zealand, both New</w:t>
      </w:r>
      <w:r w:rsidR="001C3D5E">
        <w:rPr>
          <w:sz w:val="22"/>
        </w:rPr>
        <w:t xml:space="preserve"> </w:t>
      </w:r>
      <w:r w:rsidRPr="00E0500C">
        <w:rPr>
          <w:sz w:val="22"/>
        </w:rPr>
        <w:t>Zealand based companies, and overseas companies that carry on business in N</w:t>
      </w:r>
      <w:r w:rsidR="001C3D5E">
        <w:rPr>
          <w:sz w:val="22"/>
        </w:rPr>
        <w:t xml:space="preserve">ew </w:t>
      </w:r>
      <w:r w:rsidRPr="00E0500C">
        <w:rPr>
          <w:sz w:val="22"/>
        </w:rPr>
        <w:t>Z</w:t>
      </w:r>
      <w:r w:rsidR="001C3D5E">
        <w:rPr>
          <w:sz w:val="22"/>
        </w:rPr>
        <w:t>ealand</w:t>
      </w:r>
      <w:r w:rsidRPr="00E0500C">
        <w:rPr>
          <w:sz w:val="22"/>
        </w:rPr>
        <w:t xml:space="preserve"> are required to be registered on the N</w:t>
      </w:r>
      <w:r w:rsidR="006A4939">
        <w:rPr>
          <w:sz w:val="22"/>
        </w:rPr>
        <w:t xml:space="preserve">ew </w:t>
      </w:r>
      <w:r w:rsidRPr="00E0500C">
        <w:rPr>
          <w:sz w:val="22"/>
        </w:rPr>
        <w:t>Z</w:t>
      </w:r>
      <w:r w:rsidR="006A4939">
        <w:rPr>
          <w:sz w:val="22"/>
        </w:rPr>
        <w:t>ealand</w:t>
      </w:r>
      <w:r w:rsidRPr="00E0500C">
        <w:rPr>
          <w:sz w:val="22"/>
        </w:rPr>
        <w:t xml:space="preserve"> Companies Register.</w:t>
      </w:r>
      <w:r>
        <w:rPr>
          <w:sz w:val="22"/>
        </w:rPr>
        <w:t xml:space="preserve"> Companies can have complex ownership structures, as well as multiple beneficial owners and persons acting on behalf of the company. </w:t>
      </w:r>
    </w:p>
    <w:p w14:paraId="0B5B1C41" w14:textId="61EF177D" w:rsidR="00E0500C" w:rsidRPr="00E0500C" w:rsidRDefault="005F6E6A" w:rsidP="00E0500C">
      <w:pPr>
        <w:rPr>
          <w:sz w:val="22"/>
        </w:rPr>
      </w:pPr>
      <w:hyperlink r:id="rId69" w:history="1">
        <w:r w:rsidR="00E0500C" w:rsidRPr="00E0500C">
          <w:rPr>
            <w:rStyle w:val="Hyperlink"/>
            <w:sz w:val="22"/>
          </w:rPr>
          <w:t>Companies CDD Factsheet</w:t>
        </w:r>
      </w:hyperlink>
    </w:p>
    <w:p w14:paraId="73AACBC1" w14:textId="361696D4" w:rsidR="00F031E4" w:rsidRDefault="00F031E4" w:rsidP="00F031E4">
      <w:pPr>
        <w:pStyle w:val="Heading3"/>
      </w:pPr>
      <w:bookmarkStart w:id="42" w:name="_Toc34985658"/>
      <w:r>
        <w:t>Sole Traders</w:t>
      </w:r>
      <w:r w:rsidR="00531594">
        <w:t>, Co-operatives,</w:t>
      </w:r>
      <w:r>
        <w:t xml:space="preserve"> and Partnerships</w:t>
      </w:r>
      <w:bookmarkEnd w:id="42"/>
    </w:p>
    <w:p w14:paraId="4A55F04B" w14:textId="12C0DBD5" w:rsidR="00F031E4" w:rsidRPr="00231F10" w:rsidRDefault="00231F10" w:rsidP="00F031E4">
      <w:pPr>
        <w:rPr>
          <w:sz w:val="22"/>
        </w:rPr>
      </w:pPr>
      <w:r>
        <w:rPr>
          <w:sz w:val="22"/>
        </w:rPr>
        <w:t xml:space="preserve">Businesses vary greatly in size and complexity – for example </w:t>
      </w:r>
      <w:r w:rsidR="006A4939">
        <w:rPr>
          <w:sz w:val="22"/>
        </w:rPr>
        <w:t xml:space="preserve">they range from </w:t>
      </w:r>
      <w:r>
        <w:rPr>
          <w:sz w:val="22"/>
        </w:rPr>
        <w:t>sole traders and some partnerships wi</w:t>
      </w:r>
      <w:r w:rsidR="006A4939">
        <w:rPr>
          <w:sz w:val="22"/>
        </w:rPr>
        <w:t>th</w:t>
      </w:r>
      <w:r w:rsidR="00B00F69">
        <w:rPr>
          <w:sz w:val="22"/>
        </w:rPr>
        <w:t xml:space="preserve"> </w:t>
      </w:r>
      <w:r w:rsidRPr="00231F10">
        <w:rPr>
          <w:sz w:val="22"/>
        </w:rPr>
        <w:t>simple</w:t>
      </w:r>
      <w:r w:rsidR="006A4939">
        <w:rPr>
          <w:sz w:val="22"/>
        </w:rPr>
        <w:t xml:space="preserve"> and</w:t>
      </w:r>
      <w:r w:rsidRPr="00231F10">
        <w:rPr>
          <w:sz w:val="22"/>
        </w:rPr>
        <w:t xml:space="preserve"> transparent structures</w:t>
      </w:r>
      <w:r>
        <w:rPr>
          <w:sz w:val="22"/>
        </w:rPr>
        <w:t xml:space="preserve">, whereas others, such as </w:t>
      </w:r>
      <w:r w:rsidR="00B6060B">
        <w:rPr>
          <w:sz w:val="22"/>
        </w:rPr>
        <w:t xml:space="preserve">some co-operatives and </w:t>
      </w:r>
      <w:r>
        <w:rPr>
          <w:sz w:val="22"/>
        </w:rPr>
        <w:t>limited partnerships, are likely to be more complex and</w:t>
      </w:r>
      <w:r w:rsidR="00B6060B">
        <w:rPr>
          <w:sz w:val="22"/>
        </w:rPr>
        <w:t xml:space="preserve"> may</w:t>
      </w:r>
      <w:r>
        <w:rPr>
          <w:sz w:val="22"/>
        </w:rPr>
        <w:t xml:space="preserve"> involve both general and limited partners. </w:t>
      </w:r>
    </w:p>
    <w:p w14:paraId="10C9EECC" w14:textId="7B09C190" w:rsidR="00F031E4" w:rsidRDefault="005F6E6A" w:rsidP="00F031E4">
      <w:pPr>
        <w:rPr>
          <w:sz w:val="22"/>
        </w:rPr>
      </w:pPr>
      <w:hyperlink r:id="rId70" w:history="1">
        <w:r w:rsidR="00F031E4" w:rsidRPr="00E0500C">
          <w:rPr>
            <w:rStyle w:val="Hyperlink"/>
            <w:sz w:val="22"/>
          </w:rPr>
          <w:t>Sole Traders and Partnerships Factsheet</w:t>
        </w:r>
      </w:hyperlink>
    </w:p>
    <w:p w14:paraId="295F0313" w14:textId="3A56ED4E" w:rsidR="00531594" w:rsidRPr="00231F10" w:rsidRDefault="005F6E6A" w:rsidP="00F031E4">
      <w:pPr>
        <w:rPr>
          <w:sz w:val="22"/>
        </w:rPr>
      </w:pPr>
      <w:hyperlink r:id="rId71" w:history="1">
        <w:r w:rsidR="00531594" w:rsidRPr="00531594">
          <w:rPr>
            <w:rStyle w:val="Hyperlink"/>
            <w:sz w:val="22"/>
          </w:rPr>
          <w:t>Co-operatives Factsheet</w:t>
        </w:r>
      </w:hyperlink>
    </w:p>
    <w:p w14:paraId="37B430F8" w14:textId="77777777" w:rsidR="00E0500C" w:rsidRDefault="00E0500C" w:rsidP="00E0500C">
      <w:pPr>
        <w:pStyle w:val="Heading3"/>
      </w:pPr>
      <w:bookmarkStart w:id="43" w:name="_Toc34985659"/>
      <w:r>
        <w:lastRenderedPageBreak/>
        <w:t>Clubs and Societies</w:t>
      </w:r>
      <w:bookmarkEnd w:id="43"/>
    </w:p>
    <w:p w14:paraId="16C75E0E" w14:textId="2D6C7444" w:rsidR="00E0500C" w:rsidRDefault="00E0500C" w:rsidP="00E0500C">
      <w:pPr>
        <w:rPr>
          <w:sz w:val="22"/>
        </w:rPr>
      </w:pPr>
      <w:r w:rsidRPr="00F031E4">
        <w:rPr>
          <w:sz w:val="22"/>
        </w:rPr>
        <w:t>The type of entity</w:t>
      </w:r>
      <w:r w:rsidR="006A4939">
        <w:rPr>
          <w:sz w:val="22"/>
        </w:rPr>
        <w:t xml:space="preserve"> that</w:t>
      </w:r>
      <w:r w:rsidRPr="00F031E4">
        <w:rPr>
          <w:sz w:val="22"/>
        </w:rPr>
        <w:t xml:space="preserve"> the club or society is determine</w:t>
      </w:r>
      <w:r w:rsidR="006A4939">
        <w:rPr>
          <w:sz w:val="22"/>
        </w:rPr>
        <w:t>s</w:t>
      </w:r>
      <w:r w:rsidRPr="00F031E4">
        <w:rPr>
          <w:sz w:val="22"/>
        </w:rPr>
        <w:t xml:space="preserve"> the CDD that is undertaken.  A club or society may be one of a variety of types of entity</w:t>
      </w:r>
      <w:r w:rsidR="00D21FB1">
        <w:rPr>
          <w:sz w:val="22"/>
        </w:rPr>
        <w:t xml:space="preserve"> – </w:t>
      </w:r>
      <w:r w:rsidRPr="00F031E4">
        <w:rPr>
          <w:sz w:val="22"/>
        </w:rPr>
        <w:t>for example</w:t>
      </w:r>
      <w:r w:rsidR="00D21FB1">
        <w:rPr>
          <w:sz w:val="22"/>
        </w:rPr>
        <w:t>,</w:t>
      </w:r>
      <w:r w:rsidRPr="00F031E4">
        <w:rPr>
          <w:sz w:val="22"/>
        </w:rPr>
        <w:t xml:space="preserve"> a trust.</w:t>
      </w:r>
      <w:r>
        <w:rPr>
          <w:sz w:val="22"/>
        </w:rPr>
        <w:t xml:space="preserve"> </w:t>
      </w:r>
    </w:p>
    <w:p w14:paraId="79700F42" w14:textId="13AAB974" w:rsidR="00E0500C" w:rsidRPr="00F031E4" w:rsidRDefault="005F6E6A" w:rsidP="00E0500C">
      <w:pPr>
        <w:rPr>
          <w:sz w:val="22"/>
        </w:rPr>
      </w:pPr>
      <w:hyperlink r:id="rId72" w:history="1">
        <w:r w:rsidR="00E0500C" w:rsidRPr="00531594">
          <w:rPr>
            <w:rStyle w:val="Hyperlink"/>
            <w:sz w:val="22"/>
          </w:rPr>
          <w:t>Clubs and Societies Factsheet</w:t>
        </w:r>
      </w:hyperlink>
    </w:p>
    <w:p w14:paraId="5DCC5436" w14:textId="7B36BC3F" w:rsidR="00F031E4" w:rsidRDefault="00903145" w:rsidP="00903145">
      <w:pPr>
        <w:pStyle w:val="Heading2"/>
      </w:pPr>
      <w:bookmarkStart w:id="44" w:name="_Toc34985660"/>
      <w:r>
        <w:t>Politically Exposed Persons</w:t>
      </w:r>
      <w:bookmarkEnd w:id="44"/>
    </w:p>
    <w:p w14:paraId="282D695F" w14:textId="6D712A00" w:rsidR="003A2B44" w:rsidRDefault="003A2B44" w:rsidP="00903145">
      <w:pPr>
        <w:rPr>
          <w:sz w:val="22"/>
        </w:rPr>
      </w:pPr>
      <w:r w:rsidRPr="003A2B44">
        <w:rPr>
          <w:sz w:val="22"/>
        </w:rPr>
        <w:t>You are required to identify whether your customers are Politically Exposed Persons (PEPs).</w:t>
      </w:r>
    </w:p>
    <w:p w14:paraId="5E9F668D" w14:textId="6C75E6E7" w:rsidR="003A2B44" w:rsidRDefault="003A2B44" w:rsidP="00903145">
      <w:pPr>
        <w:rPr>
          <w:sz w:val="22"/>
        </w:rPr>
      </w:pPr>
      <w:r>
        <w:rPr>
          <w:sz w:val="22"/>
        </w:rPr>
        <w:t>Section 26 of the Act</w:t>
      </w:r>
      <w:r w:rsidRPr="003A2B44">
        <w:rPr>
          <w:sz w:val="22"/>
        </w:rPr>
        <w:t xml:space="preserve"> </w:t>
      </w:r>
      <w:r>
        <w:rPr>
          <w:sz w:val="22"/>
        </w:rPr>
        <w:t xml:space="preserve">requires you to take steps to identify whether a customer is a </w:t>
      </w:r>
      <w:r w:rsidR="00C67FB8">
        <w:rPr>
          <w:sz w:val="22"/>
        </w:rPr>
        <w:t>P</w:t>
      </w:r>
      <w:r>
        <w:rPr>
          <w:sz w:val="22"/>
        </w:rPr>
        <w:t>EP a</w:t>
      </w:r>
      <w:r w:rsidRPr="000474A5">
        <w:rPr>
          <w:sz w:val="22"/>
        </w:rPr>
        <w:t>s soon as possible after establishing a business relationship or conducting an occasional transaction or activity</w:t>
      </w:r>
      <w:r>
        <w:rPr>
          <w:sz w:val="22"/>
        </w:rPr>
        <w:t>.</w:t>
      </w:r>
    </w:p>
    <w:p w14:paraId="73CCB07F" w14:textId="2A4E6C01" w:rsidR="000474A5" w:rsidRPr="000474A5" w:rsidRDefault="003A2B44" w:rsidP="000474A5">
      <w:pPr>
        <w:rPr>
          <w:sz w:val="22"/>
        </w:rPr>
      </w:pPr>
      <w:r>
        <w:rPr>
          <w:sz w:val="22"/>
        </w:rPr>
        <w:t>You must</w:t>
      </w:r>
      <w:r w:rsidR="000474A5" w:rsidRPr="000474A5">
        <w:rPr>
          <w:sz w:val="22"/>
        </w:rPr>
        <w:t xml:space="preserve"> conduct enhanced CDD</w:t>
      </w:r>
      <w:r>
        <w:rPr>
          <w:sz w:val="22"/>
        </w:rPr>
        <w:t xml:space="preserve"> in accordance with section 26 of the Act</w:t>
      </w:r>
      <w:r w:rsidR="000474A5" w:rsidRPr="000474A5">
        <w:rPr>
          <w:sz w:val="22"/>
        </w:rPr>
        <w:t xml:space="preserve"> if </w:t>
      </w:r>
      <w:r>
        <w:rPr>
          <w:sz w:val="22"/>
        </w:rPr>
        <w:t>you</w:t>
      </w:r>
      <w:r w:rsidR="000474A5" w:rsidRPr="000474A5">
        <w:rPr>
          <w:sz w:val="22"/>
        </w:rPr>
        <w:t xml:space="preserve"> establish a business relationship with a customer or beneficial owner who is a PEP, or if a PEP seeks to conduct an occasional transaction or activity through the reporting entity.</w:t>
      </w:r>
    </w:p>
    <w:p w14:paraId="63644256" w14:textId="77777777" w:rsidR="003A2B44" w:rsidRDefault="000474A5" w:rsidP="000474A5">
      <w:pPr>
        <w:rPr>
          <w:sz w:val="22"/>
        </w:rPr>
      </w:pPr>
      <w:r w:rsidRPr="000474A5">
        <w:rPr>
          <w:sz w:val="22"/>
        </w:rPr>
        <w:t xml:space="preserve">A PEP is defined in section 5(1) of the Act. In summary, a PEP is a person, or an immediate family member or someone who has close business ties to that person, who holds or has held (in the preceding 12 months) a prominent public function in a foreign country. </w:t>
      </w:r>
    </w:p>
    <w:p w14:paraId="0E9BEB4E" w14:textId="2E112925" w:rsidR="000474A5" w:rsidRPr="000474A5" w:rsidRDefault="000474A5" w:rsidP="000474A5">
      <w:pPr>
        <w:rPr>
          <w:sz w:val="22"/>
        </w:rPr>
      </w:pPr>
      <w:r w:rsidRPr="000474A5">
        <w:rPr>
          <w:sz w:val="22"/>
        </w:rPr>
        <w:t xml:space="preserve">This may be because they are or were a head of state, senior politician, or an official with a public profile, such as a Supreme Court Judge, or a highly ranked military official. It could also be because they had authority and influence in a state enterprise in any country. PEPs can be exposed to bribery or corruption or their respected status may be misused (knowingly, or unknowingly) to legitimise otherwise suspect transactions. </w:t>
      </w:r>
    </w:p>
    <w:p w14:paraId="6A822739" w14:textId="2880A115" w:rsidR="007B2EEB" w:rsidRDefault="000474A5" w:rsidP="000474A5">
      <w:pPr>
        <w:rPr>
          <w:sz w:val="22"/>
        </w:rPr>
      </w:pPr>
      <w:r w:rsidRPr="000474A5">
        <w:rPr>
          <w:sz w:val="22"/>
        </w:rPr>
        <w:t>If you determine that your customer or a beneficial owner is a PEP, you</w:t>
      </w:r>
      <w:r w:rsidR="00B4791A">
        <w:rPr>
          <w:sz w:val="22"/>
        </w:rPr>
        <w:t>r AML</w:t>
      </w:r>
      <w:r w:rsidR="00015CAD">
        <w:rPr>
          <w:sz w:val="22"/>
        </w:rPr>
        <w:t>/CFT</w:t>
      </w:r>
      <w:r w:rsidR="00B4791A">
        <w:rPr>
          <w:sz w:val="22"/>
        </w:rPr>
        <w:t xml:space="preserve"> programme </w:t>
      </w:r>
      <w:r w:rsidR="003A2B44">
        <w:rPr>
          <w:sz w:val="22"/>
        </w:rPr>
        <w:t>must</w:t>
      </w:r>
      <w:r w:rsidR="00B4791A">
        <w:rPr>
          <w:sz w:val="22"/>
        </w:rPr>
        <w:t xml:space="preserve"> have a process by which your staff</w:t>
      </w:r>
      <w:r w:rsidRPr="000474A5">
        <w:rPr>
          <w:sz w:val="22"/>
        </w:rPr>
        <w:t xml:space="preserve"> will require senior management approval to continue the business relationship. Also, </w:t>
      </w:r>
      <w:r w:rsidR="00B4791A">
        <w:rPr>
          <w:sz w:val="22"/>
        </w:rPr>
        <w:t>as per obligations</w:t>
      </w:r>
      <w:r w:rsidR="007B2EEB">
        <w:rPr>
          <w:sz w:val="22"/>
        </w:rPr>
        <w:t xml:space="preserve"> under section 26 of the Act</w:t>
      </w:r>
      <w:r w:rsidR="00B4791A">
        <w:rPr>
          <w:sz w:val="22"/>
        </w:rPr>
        <w:t xml:space="preserve">, </w:t>
      </w:r>
      <w:r w:rsidRPr="000474A5">
        <w:rPr>
          <w:sz w:val="22"/>
        </w:rPr>
        <w:t>you must obtain information about the source of wealth or funds and verify that information.</w:t>
      </w:r>
    </w:p>
    <w:p w14:paraId="0E9EC9DC" w14:textId="6D610DDF" w:rsidR="000474A5" w:rsidRPr="000474A5" w:rsidRDefault="000474A5" w:rsidP="000474A5">
      <w:pPr>
        <w:rPr>
          <w:sz w:val="22"/>
        </w:rPr>
      </w:pPr>
      <w:r w:rsidRPr="000474A5">
        <w:rPr>
          <w:sz w:val="22"/>
        </w:rPr>
        <w:t xml:space="preserve">If you have </w:t>
      </w:r>
      <w:r w:rsidR="007B2EEB">
        <w:rPr>
          <w:sz w:val="22"/>
        </w:rPr>
        <w:t xml:space="preserve">already </w:t>
      </w:r>
      <w:r w:rsidRPr="000474A5">
        <w:rPr>
          <w:sz w:val="22"/>
        </w:rPr>
        <w:t xml:space="preserve">undertaken an occasional transaction or </w:t>
      </w:r>
      <w:r w:rsidR="007B2EEB">
        <w:rPr>
          <w:sz w:val="22"/>
        </w:rPr>
        <w:t xml:space="preserve">performed a captured </w:t>
      </w:r>
      <w:r w:rsidRPr="000474A5">
        <w:rPr>
          <w:sz w:val="22"/>
        </w:rPr>
        <w:t xml:space="preserve">activity for someone </w:t>
      </w:r>
      <w:r w:rsidR="007B2EEB">
        <w:rPr>
          <w:sz w:val="22"/>
        </w:rPr>
        <w:t xml:space="preserve">and you then realise that the person is a PEP, you must conduct enhanced CDD as soon as you realise they are a PEP, and </w:t>
      </w:r>
      <w:r w:rsidRPr="000474A5">
        <w:rPr>
          <w:sz w:val="22"/>
        </w:rPr>
        <w:t>as soon as you can</w:t>
      </w:r>
      <w:r w:rsidR="007B2EEB">
        <w:rPr>
          <w:sz w:val="22"/>
        </w:rPr>
        <w:t>.</w:t>
      </w:r>
    </w:p>
    <w:p w14:paraId="3CFB90E7" w14:textId="7226223A" w:rsidR="000474A5" w:rsidRDefault="000474A5" w:rsidP="000474A5">
      <w:pPr>
        <w:rPr>
          <w:sz w:val="22"/>
        </w:rPr>
      </w:pPr>
      <w:r w:rsidRPr="000474A5">
        <w:rPr>
          <w:sz w:val="22"/>
        </w:rPr>
        <w:t>The Enhanced Customer Due Diligence Guideline has more information about how to manage compliance where customers are identified as PEPs.</w:t>
      </w:r>
    </w:p>
    <w:p w14:paraId="3BFC11CB" w14:textId="65F24A74" w:rsidR="00B4791A" w:rsidRPr="00903145" w:rsidRDefault="005F6E6A" w:rsidP="000474A5">
      <w:pPr>
        <w:rPr>
          <w:sz w:val="22"/>
        </w:rPr>
      </w:pPr>
      <w:hyperlink r:id="rId73" w:history="1">
        <w:r w:rsidR="00B4791A" w:rsidRPr="00B4791A">
          <w:rPr>
            <w:rStyle w:val="Hyperlink"/>
            <w:sz w:val="22"/>
          </w:rPr>
          <w:t xml:space="preserve">Enhanced </w:t>
        </w:r>
        <w:r w:rsidR="005356CA">
          <w:rPr>
            <w:rStyle w:val="Hyperlink"/>
            <w:sz w:val="22"/>
          </w:rPr>
          <w:t xml:space="preserve">Customer </w:t>
        </w:r>
        <w:r w:rsidR="00B4791A" w:rsidRPr="00B4791A">
          <w:rPr>
            <w:rStyle w:val="Hyperlink"/>
            <w:sz w:val="22"/>
          </w:rPr>
          <w:t>Due Diligence Guideline</w:t>
        </w:r>
      </w:hyperlink>
    </w:p>
    <w:p w14:paraId="23DF13FE" w14:textId="66AAB72A" w:rsidR="00D0769A" w:rsidRDefault="00D0769A" w:rsidP="00D0769A">
      <w:pPr>
        <w:pStyle w:val="Heading2"/>
      </w:pPr>
      <w:bookmarkStart w:id="45" w:name="_Toc34985661"/>
      <w:r>
        <w:t>Identity Verification Code of Practice</w:t>
      </w:r>
      <w:bookmarkEnd w:id="45"/>
    </w:p>
    <w:p w14:paraId="5E4C4C5C" w14:textId="58D9BE07" w:rsidR="00D0769A" w:rsidRDefault="00D0769A" w:rsidP="00D0769A">
      <w:pPr>
        <w:rPr>
          <w:sz w:val="22"/>
          <w:szCs w:val="22"/>
        </w:rPr>
      </w:pPr>
      <w:r w:rsidRPr="00D0769A">
        <w:rPr>
          <w:sz w:val="22"/>
          <w:szCs w:val="22"/>
        </w:rPr>
        <w:t xml:space="preserve">The </w:t>
      </w:r>
      <w:r w:rsidR="007B2EEB">
        <w:rPr>
          <w:sz w:val="22"/>
          <w:szCs w:val="22"/>
        </w:rPr>
        <w:t>I</w:t>
      </w:r>
      <w:r w:rsidR="006F3018">
        <w:rPr>
          <w:sz w:val="22"/>
          <w:szCs w:val="22"/>
        </w:rPr>
        <w:t xml:space="preserve">dentity </w:t>
      </w:r>
      <w:r w:rsidR="007B2EEB">
        <w:rPr>
          <w:sz w:val="22"/>
          <w:szCs w:val="22"/>
        </w:rPr>
        <w:t>V</w:t>
      </w:r>
      <w:r w:rsidR="006F3018">
        <w:rPr>
          <w:sz w:val="22"/>
          <w:szCs w:val="22"/>
        </w:rPr>
        <w:t xml:space="preserve">erification </w:t>
      </w:r>
      <w:r w:rsidR="007B2EEB">
        <w:rPr>
          <w:sz w:val="22"/>
          <w:szCs w:val="22"/>
        </w:rPr>
        <w:t>C</w:t>
      </w:r>
      <w:r w:rsidR="006F3018">
        <w:rPr>
          <w:sz w:val="22"/>
          <w:szCs w:val="22"/>
        </w:rPr>
        <w:t xml:space="preserve">ode </w:t>
      </w:r>
      <w:r w:rsidR="005356CA">
        <w:rPr>
          <w:sz w:val="22"/>
          <w:szCs w:val="22"/>
        </w:rPr>
        <w:t>of</w:t>
      </w:r>
      <w:r w:rsidR="006F3018">
        <w:rPr>
          <w:sz w:val="22"/>
          <w:szCs w:val="22"/>
        </w:rPr>
        <w:t xml:space="preserve"> </w:t>
      </w:r>
      <w:r w:rsidR="007B2EEB">
        <w:rPr>
          <w:sz w:val="22"/>
          <w:szCs w:val="22"/>
        </w:rPr>
        <w:t>P</w:t>
      </w:r>
      <w:r w:rsidR="006F3018">
        <w:rPr>
          <w:sz w:val="22"/>
          <w:szCs w:val="22"/>
        </w:rPr>
        <w:t xml:space="preserve">ractice (IVCOP) </w:t>
      </w:r>
      <w:r w:rsidR="006F3018" w:rsidRPr="006F3018">
        <w:rPr>
          <w:sz w:val="22"/>
          <w:szCs w:val="22"/>
        </w:rPr>
        <w:t xml:space="preserve">provides a suggested best practice for all reporting entities conducting name and date of birth identity verification on </w:t>
      </w:r>
      <w:r w:rsidR="007B2EEB">
        <w:rPr>
          <w:sz w:val="22"/>
          <w:szCs w:val="22"/>
        </w:rPr>
        <w:t xml:space="preserve">your </w:t>
      </w:r>
      <w:r w:rsidR="006F3018" w:rsidRPr="006F3018">
        <w:rPr>
          <w:sz w:val="22"/>
          <w:szCs w:val="22"/>
        </w:rPr>
        <w:t xml:space="preserve">customers (that are natural persons) that </w:t>
      </w:r>
      <w:r w:rsidR="007B2EEB">
        <w:rPr>
          <w:sz w:val="22"/>
          <w:szCs w:val="22"/>
        </w:rPr>
        <w:t xml:space="preserve">you </w:t>
      </w:r>
      <w:r w:rsidR="006F3018" w:rsidRPr="006F3018">
        <w:rPr>
          <w:sz w:val="22"/>
          <w:szCs w:val="22"/>
        </w:rPr>
        <w:t>have assessed to be low to medium risk.</w:t>
      </w:r>
      <w:r w:rsidR="006F3018">
        <w:rPr>
          <w:sz w:val="22"/>
          <w:szCs w:val="22"/>
        </w:rPr>
        <w:t xml:space="preserve"> </w:t>
      </w:r>
    </w:p>
    <w:p w14:paraId="18E69B9F" w14:textId="1897FE39" w:rsidR="007B2EEB" w:rsidRDefault="007B2EEB" w:rsidP="007B2EEB">
      <w:pPr>
        <w:rPr>
          <w:sz w:val="22"/>
          <w:szCs w:val="22"/>
        </w:rPr>
      </w:pPr>
      <w:r>
        <w:rPr>
          <w:sz w:val="22"/>
          <w:szCs w:val="22"/>
        </w:rPr>
        <w:t>For</w:t>
      </w:r>
      <w:r w:rsidR="006F3018">
        <w:rPr>
          <w:sz w:val="22"/>
          <w:szCs w:val="22"/>
        </w:rPr>
        <w:t xml:space="preserve"> VASP</w:t>
      </w:r>
      <w:r>
        <w:rPr>
          <w:sz w:val="22"/>
          <w:szCs w:val="22"/>
        </w:rPr>
        <w:t>s</w:t>
      </w:r>
      <w:r w:rsidR="006F3018">
        <w:rPr>
          <w:sz w:val="22"/>
          <w:szCs w:val="22"/>
        </w:rPr>
        <w:t xml:space="preserve">, many customers will not be assessed as low to medium risk, </w:t>
      </w:r>
      <w:r>
        <w:rPr>
          <w:sz w:val="22"/>
          <w:szCs w:val="22"/>
        </w:rPr>
        <w:t>due to</w:t>
      </w:r>
      <w:r w:rsidR="006F3018">
        <w:rPr>
          <w:sz w:val="22"/>
          <w:szCs w:val="22"/>
        </w:rPr>
        <w:t xml:space="preserve"> the inherent risk</w:t>
      </w:r>
      <w:r>
        <w:rPr>
          <w:sz w:val="22"/>
          <w:szCs w:val="22"/>
        </w:rPr>
        <w:t>s</w:t>
      </w:r>
      <w:r w:rsidR="006F3018">
        <w:rPr>
          <w:sz w:val="22"/>
          <w:szCs w:val="22"/>
        </w:rPr>
        <w:t xml:space="preserve"> of the sector, and the associated obligations to consider risk</w:t>
      </w:r>
      <w:r>
        <w:rPr>
          <w:sz w:val="22"/>
          <w:szCs w:val="22"/>
        </w:rPr>
        <w:t xml:space="preserve"> arising from new or developing technologies or products that may favour anonymity</w:t>
      </w:r>
      <w:r w:rsidR="006F3018">
        <w:rPr>
          <w:sz w:val="22"/>
          <w:szCs w:val="22"/>
        </w:rPr>
        <w:t xml:space="preserve"> </w:t>
      </w:r>
      <w:r>
        <w:rPr>
          <w:sz w:val="22"/>
          <w:szCs w:val="22"/>
        </w:rPr>
        <w:t>(</w:t>
      </w:r>
      <w:r w:rsidR="006F3018">
        <w:rPr>
          <w:sz w:val="22"/>
          <w:szCs w:val="22"/>
        </w:rPr>
        <w:t xml:space="preserve">under s30 of the </w:t>
      </w:r>
      <w:r>
        <w:rPr>
          <w:sz w:val="22"/>
          <w:szCs w:val="22"/>
        </w:rPr>
        <w:t>A</w:t>
      </w:r>
      <w:r w:rsidR="006F3018">
        <w:rPr>
          <w:sz w:val="22"/>
          <w:szCs w:val="22"/>
        </w:rPr>
        <w:t>ct</w:t>
      </w:r>
      <w:r>
        <w:rPr>
          <w:sz w:val="22"/>
          <w:szCs w:val="22"/>
        </w:rPr>
        <w:t>)</w:t>
      </w:r>
      <w:r w:rsidR="006F3018">
        <w:rPr>
          <w:sz w:val="22"/>
          <w:szCs w:val="22"/>
        </w:rPr>
        <w:t xml:space="preserve">. </w:t>
      </w:r>
      <w:r>
        <w:rPr>
          <w:sz w:val="22"/>
          <w:szCs w:val="22"/>
        </w:rPr>
        <w:t xml:space="preserve">IVCOP is only applicable to low to medium risk customers and therefore may not be suitable for most VASP customers. </w:t>
      </w:r>
    </w:p>
    <w:p w14:paraId="5CA134C8" w14:textId="01166FE0" w:rsidR="006F3018" w:rsidRPr="00D0769A" w:rsidRDefault="0049255B" w:rsidP="00D0769A">
      <w:pPr>
        <w:rPr>
          <w:sz w:val="22"/>
          <w:szCs w:val="22"/>
        </w:rPr>
      </w:pPr>
      <w:r>
        <w:rPr>
          <w:sz w:val="22"/>
          <w:szCs w:val="22"/>
        </w:rPr>
        <w:lastRenderedPageBreak/>
        <w:t>A</w:t>
      </w:r>
      <w:r w:rsidR="006F3018">
        <w:rPr>
          <w:sz w:val="22"/>
          <w:szCs w:val="22"/>
        </w:rPr>
        <w:t>s a supervisor</w:t>
      </w:r>
      <w:r>
        <w:rPr>
          <w:sz w:val="22"/>
          <w:szCs w:val="22"/>
        </w:rPr>
        <w:t xml:space="preserve">, </w:t>
      </w:r>
      <w:r>
        <w:rPr>
          <w:sz w:val="22"/>
        </w:rPr>
        <w:t>the Department</w:t>
      </w:r>
      <w:r w:rsidR="006F3018">
        <w:rPr>
          <w:sz w:val="22"/>
          <w:szCs w:val="22"/>
        </w:rPr>
        <w:t xml:space="preserve"> notes that compliance with the code is not mandatory,</w:t>
      </w:r>
      <w:r w:rsidR="0024588A">
        <w:rPr>
          <w:sz w:val="22"/>
          <w:szCs w:val="22"/>
        </w:rPr>
        <w:t xml:space="preserve"> but that entities should notify their supervisor if they do not intend to comply with the code. Where the code is not complied with, </w:t>
      </w:r>
      <w:r>
        <w:rPr>
          <w:sz w:val="22"/>
        </w:rPr>
        <w:t>the Department</w:t>
      </w:r>
      <w:r w:rsidR="006F3018">
        <w:rPr>
          <w:sz w:val="22"/>
          <w:szCs w:val="22"/>
        </w:rPr>
        <w:t xml:space="preserve"> would expect VASPs to find alternate but equally effective means for </w:t>
      </w:r>
      <w:r w:rsidR="0024588A">
        <w:rPr>
          <w:sz w:val="22"/>
          <w:szCs w:val="22"/>
        </w:rPr>
        <w:t>identifying their customers – this should be thoroughly documented as part of your AML</w:t>
      </w:r>
      <w:r w:rsidR="00015CAD">
        <w:rPr>
          <w:sz w:val="22"/>
          <w:szCs w:val="22"/>
        </w:rPr>
        <w:t>/CFT</w:t>
      </w:r>
      <w:r w:rsidR="0024588A">
        <w:rPr>
          <w:sz w:val="22"/>
          <w:szCs w:val="22"/>
        </w:rPr>
        <w:t xml:space="preserve"> </w:t>
      </w:r>
      <w:r w:rsidR="00AA0F1E">
        <w:rPr>
          <w:sz w:val="22"/>
          <w:szCs w:val="22"/>
        </w:rPr>
        <w:t>p</w:t>
      </w:r>
      <w:r w:rsidR="0024588A">
        <w:rPr>
          <w:sz w:val="22"/>
          <w:szCs w:val="22"/>
        </w:rPr>
        <w:t>rogramme.</w:t>
      </w:r>
    </w:p>
    <w:p w14:paraId="7C157592" w14:textId="621FD3D1" w:rsidR="00D0769A" w:rsidRPr="006F3018" w:rsidRDefault="005F6E6A" w:rsidP="006F3018">
      <w:pPr>
        <w:rPr>
          <w:sz w:val="22"/>
        </w:rPr>
      </w:pPr>
      <w:hyperlink r:id="rId74" w:history="1">
        <w:r w:rsidR="006F3018">
          <w:rPr>
            <w:rStyle w:val="Hyperlink"/>
            <w:sz w:val="22"/>
          </w:rPr>
          <w:t>Identity Verification Code of Practice</w:t>
        </w:r>
      </w:hyperlink>
    </w:p>
    <w:p w14:paraId="6E3D5B0D" w14:textId="27E33515" w:rsidR="006F3018" w:rsidRDefault="006F3018" w:rsidP="00C12302">
      <w:pPr>
        <w:pStyle w:val="Heading2"/>
      </w:pPr>
      <w:bookmarkStart w:id="46" w:name="_Toc34985662"/>
      <w:r>
        <w:t>Ongoing CDD and Account Monitoring</w:t>
      </w:r>
      <w:bookmarkEnd w:id="46"/>
    </w:p>
    <w:p w14:paraId="58F16397" w14:textId="7A0DD65C" w:rsidR="0068669F" w:rsidRDefault="0068669F" w:rsidP="006F3018">
      <w:pPr>
        <w:rPr>
          <w:sz w:val="22"/>
        </w:rPr>
      </w:pPr>
      <w:r>
        <w:rPr>
          <w:sz w:val="22"/>
        </w:rPr>
        <w:t>W</w:t>
      </w:r>
      <w:r w:rsidR="006F3018" w:rsidRPr="006F3018">
        <w:rPr>
          <w:sz w:val="22"/>
        </w:rPr>
        <w:t>hen you are in a business relationship with a customer, you are required to conduct ongoing CDD and account monitoring</w:t>
      </w:r>
      <w:r w:rsidR="00084565">
        <w:rPr>
          <w:sz w:val="22"/>
        </w:rPr>
        <w:t xml:space="preserve"> (under section 31 of the Act)</w:t>
      </w:r>
      <w:r w:rsidR="006F3018" w:rsidRPr="006F3018">
        <w:rPr>
          <w:sz w:val="22"/>
        </w:rPr>
        <w:t xml:space="preserve">. </w:t>
      </w:r>
    </w:p>
    <w:p w14:paraId="4CEE991E" w14:textId="1245C0C4" w:rsidR="006F3018" w:rsidRDefault="00084565" w:rsidP="006F3018">
      <w:pPr>
        <w:rPr>
          <w:sz w:val="22"/>
        </w:rPr>
      </w:pPr>
      <w:r w:rsidRPr="00084565">
        <w:rPr>
          <w:sz w:val="22"/>
        </w:rPr>
        <w:t xml:space="preserve">You are required to keep up-to-date customer account and transaction activity information and to regularly review this information. This ensures that the nature and purpose of your business relationship and the resulting activities or transactions are consistent with your knowledge of the customer and the customer’s risk profile. This regular review will also assist with identifying any grounds for </w:t>
      </w:r>
      <w:r w:rsidR="006F3018" w:rsidRPr="006F3018">
        <w:rPr>
          <w:sz w:val="22"/>
        </w:rPr>
        <w:t xml:space="preserve">reporting a suspicious activity.  </w:t>
      </w:r>
    </w:p>
    <w:p w14:paraId="6B2CD84B" w14:textId="4E7FBBD1" w:rsidR="006F3018" w:rsidRDefault="00084565" w:rsidP="006F3018">
      <w:pPr>
        <w:rPr>
          <w:sz w:val="22"/>
        </w:rPr>
      </w:pPr>
      <w:r>
        <w:rPr>
          <w:sz w:val="22"/>
        </w:rPr>
        <w:t>You must</w:t>
      </w:r>
      <w:r w:rsidR="006F3018" w:rsidRPr="006F3018">
        <w:rPr>
          <w:sz w:val="22"/>
        </w:rPr>
        <w:t xml:space="preserve"> develop a process for ongoing CDD and account monitoring for </w:t>
      </w:r>
      <w:r>
        <w:rPr>
          <w:sz w:val="22"/>
        </w:rPr>
        <w:t>your</w:t>
      </w:r>
      <w:r w:rsidR="006F3018" w:rsidRPr="006F3018">
        <w:rPr>
          <w:sz w:val="22"/>
        </w:rPr>
        <w:t xml:space="preserve"> customers according to the level of risk each customer presents. </w:t>
      </w:r>
    </w:p>
    <w:p w14:paraId="66A5F3A6" w14:textId="18CAC190" w:rsidR="006F3018" w:rsidRDefault="00084565" w:rsidP="006F3018">
      <w:pPr>
        <w:rPr>
          <w:sz w:val="22"/>
        </w:rPr>
      </w:pPr>
      <w:r>
        <w:rPr>
          <w:sz w:val="22"/>
        </w:rPr>
        <w:t xml:space="preserve">For </w:t>
      </w:r>
      <w:r w:rsidR="006F3018" w:rsidRPr="006F3018">
        <w:rPr>
          <w:sz w:val="22"/>
        </w:rPr>
        <w:t xml:space="preserve">higher-risk customers </w:t>
      </w:r>
      <w:r>
        <w:rPr>
          <w:sz w:val="22"/>
        </w:rPr>
        <w:t xml:space="preserve">you </w:t>
      </w:r>
      <w:r w:rsidR="006F3018" w:rsidRPr="006F3018">
        <w:rPr>
          <w:sz w:val="22"/>
        </w:rPr>
        <w:t xml:space="preserve">need to have more frequent and thorough account monitoring than customers deemed to be low or medium risk. The account monitoring </w:t>
      </w:r>
      <w:r>
        <w:rPr>
          <w:sz w:val="22"/>
        </w:rPr>
        <w:t xml:space="preserve">you </w:t>
      </w:r>
      <w:r w:rsidR="006F3018" w:rsidRPr="006F3018">
        <w:rPr>
          <w:sz w:val="22"/>
        </w:rPr>
        <w:t xml:space="preserve">conduct </w:t>
      </w:r>
      <w:r>
        <w:rPr>
          <w:sz w:val="22"/>
        </w:rPr>
        <w:t>will</w:t>
      </w:r>
      <w:r w:rsidRPr="006F3018">
        <w:rPr>
          <w:sz w:val="22"/>
        </w:rPr>
        <w:t xml:space="preserve"> </w:t>
      </w:r>
      <w:r w:rsidR="006F3018" w:rsidRPr="006F3018">
        <w:rPr>
          <w:sz w:val="22"/>
        </w:rPr>
        <w:t>assist you to identify any activity or transaction behaviour that is not consistent with the expected activity of the customer, their risk profile and the CDD you have previously conducted.</w:t>
      </w:r>
    </w:p>
    <w:p w14:paraId="3B7D2382" w14:textId="4AC7FB82" w:rsidR="00376131" w:rsidRDefault="00376131">
      <w:pPr>
        <w:keepLines w:val="0"/>
        <w:rPr>
          <w:rFonts w:cs="Arial"/>
          <w:b/>
          <w:bCs/>
          <w:iCs/>
          <w:color w:val="1F546B"/>
          <w:sz w:val="36"/>
          <w:szCs w:val="28"/>
        </w:rPr>
      </w:pPr>
      <w:r>
        <w:br w:type="page"/>
      </w:r>
    </w:p>
    <w:p w14:paraId="3EB9945E" w14:textId="4900B719" w:rsidR="00F031E4" w:rsidRDefault="005356CA" w:rsidP="00C12302">
      <w:pPr>
        <w:pStyle w:val="Heading2"/>
      </w:pPr>
      <w:bookmarkStart w:id="47" w:name="_Toc34985663"/>
      <w:r>
        <w:lastRenderedPageBreak/>
        <w:t>Different</w:t>
      </w:r>
      <w:r w:rsidR="005B12D2" w:rsidRPr="005B12D2">
        <w:t xml:space="preserve"> </w:t>
      </w:r>
      <w:r w:rsidR="00084565">
        <w:t>types</w:t>
      </w:r>
      <w:r w:rsidR="00084565" w:rsidRPr="005B12D2">
        <w:t xml:space="preserve"> </w:t>
      </w:r>
      <w:r w:rsidR="005B12D2" w:rsidRPr="005B12D2">
        <w:t>of CDD</w:t>
      </w:r>
      <w:bookmarkEnd w:id="47"/>
      <w:r w:rsidR="00084565">
        <w:t xml:space="preserve"> </w:t>
      </w:r>
    </w:p>
    <w:p w14:paraId="7F2894E3" w14:textId="6753834A" w:rsidR="00084565" w:rsidRDefault="005B12D2" w:rsidP="005B12D2">
      <w:pPr>
        <w:rPr>
          <w:sz w:val="22"/>
        </w:rPr>
      </w:pPr>
      <w:r w:rsidRPr="005B12D2">
        <w:rPr>
          <w:sz w:val="22"/>
        </w:rPr>
        <w:t>There are</w:t>
      </w:r>
      <w:r w:rsidR="00084565">
        <w:rPr>
          <w:sz w:val="22"/>
        </w:rPr>
        <w:t xml:space="preserve"> broadly</w:t>
      </w:r>
      <w:r w:rsidRPr="005B12D2">
        <w:rPr>
          <w:sz w:val="22"/>
        </w:rPr>
        <w:t xml:space="preserve"> three</w:t>
      </w:r>
      <w:r w:rsidR="00084565">
        <w:rPr>
          <w:sz w:val="22"/>
        </w:rPr>
        <w:t xml:space="preserve"> types</w:t>
      </w:r>
      <w:r w:rsidRPr="005B12D2">
        <w:rPr>
          <w:sz w:val="22"/>
        </w:rPr>
        <w:t xml:space="preserve"> of CDD. You will need to use the right </w:t>
      </w:r>
      <w:r w:rsidR="00084565">
        <w:rPr>
          <w:sz w:val="22"/>
        </w:rPr>
        <w:t>type</w:t>
      </w:r>
      <w:r w:rsidRPr="005B12D2">
        <w:rPr>
          <w:sz w:val="22"/>
        </w:rPr>
        <w:t>, which will depend on</w:t>
      </w:r>
      <w:r w:rsidR="00372CC2">
        <w:rPr>
          <w:sz w:val="22"/>
        </w:rPr>
        <w:t>:</w:t>
      </w:r>
    </w:p>
    <w:p w14:paraId="6AC464B2" w14:textId="6E6CEE9E" w:rsidR="00084565" w:rsidRPr="00584253" w:rsidRDefault="005B12D2" w:rsidP="009722E0">
      <w:pPr>
        <w:pStyle w:val="ListParagraph"/>
        <w:numPr>
          <w:ilvl w:val="0"/>
          <w:numId w:val="42"/>
        </w:numPr>
        <w:rPr>
          <w:sz w:val="22"/>
        </w:rPr>
      </w:pPr>
      <w:r w:rsidRPr="00584253">
        <w:rPr>
          <w:sz w:val="22"/>
        </w:rPr>
        <w:t>the unique factors of each business relationship</w:t>
      </w:r>
    </w:p>
    <w:p w14:paraId="71E1D74C" w14:textId="640B12F7" w:rsidR="00084565" w:rsidRPr="00584253" w:rsidRDefault="005B12D2" w:rsidP="009722E0">
      <w:pPr>
        <w:pStyle w:val="ListParagraph"/>
        <w:numPr>
          <w:ilvl w:val="0"/>
          <w:numId w:val="42"/>
        </w:numPr>
        <w:rPr>
          <w:sz w:val="22"/>
        </w:rPr>
      </w:pPr>
      <w:r w:rsidRPr="00584253">
        <w:rPr>
          <w:sz w:val="22"/>
        </w:rPr>
        <w:t>the characteristics of the customer(s)</w:t>
      </w:r>
    </w:p>
    <w:p w14:paraId="74C06457" w14:textId="6AA66DBE" w:rsidR="00084565" w:rsidRPr="00584253" w:rsidRDefault="005B12D2" w:rsidP="009722E0">
      <w:pPr>
        <w:pStyle w:val="ListParagraph"/>
        <w:numPr>
          <w:ilvl w:val="0"/>
          <w:numId w:val="42"/>
        </w:numPr>
        <w:rPr>
          <w:sz w:val="22"/>
        </w:rPr>
      </w:pPr>
      <w:r w:rsidRPr="00584253">
        <w:rPr>
          <w:sz w:val="22"/>
        </w:rPr>
        <w:t xml:space="preserve">the nature of the activities and transactions you are facilitating </w:t>
      </w:r>
    </w:p>
    <w:p w14:paraId="27E036B6" w14:textId="77777777" w:rsidR="00084565" w:rsidRPr="00584253" w:rsidRDefault="005B12D2" w:rsidP="009722E0">
      <w:pPr>
        <w:pStyle w:val="ListParagraph"/>
        <w:numPr>
          <w:ilvl w:val="0"/>
          <w:numId w:val="42"/>
        </w:numPr>
        <w:rPr>
          <w:sz w:val="22"/>
        </w:rPr>
      </w:pPr>
      <w:r w:rsidRPr="00584253">
        <w:rPr>
          <w:sz w:val="22"/>
        </w:rPr>
        <w:t xml:space="preserve">the potential for ML/TF risk. </w:t>
      </w:r>
    </w:p>
    <w:p w14:paraId="101C3F13" w14:textId="1597357D" w:rsidR="00EF4AF5" w:rsidRDefault="005B12D2" w:rsidP="005B12D2">
      <w:pPr>
        <w:rPr>
          <w:sz w:val="22"/>
        </w:rPr>
      </w:pPr>
      <w:r w:rsidRPr="005B12D2">
        <w:rPr>
          <w:sz w:val="22"/>
        </w:rPr>
        <w:t>The three</w:t>
      </w:r>
      <w:r w:rsidR="00372CC2">
        <w:rPr>
          <w:sz w:val="22"/>
        </w:rPr>
        <w:t xml:space="preserve"> </w:t>
      </w:r>
      <w:r w:rsidR="00084565">
        <w:rPr>
          <w:sz w:val="22"/>
        </w:rPr>
        <w:t>types of Customer Due Diligence</w:t>
      </w:r>
      <w:r w:rsidRPr="005B12D2">
        <w:rPr>
          <w:sz w:val="22"/>
        </w:rPr>
        <w:t xml:space="preserve"> are:</w:t>
      </w:r>
    </w:p>
    <w:p w14:paraId="12906645" w14:textId="7281C4CE" w:rsidR="00372CC2" w:rsidRPr="005B12D2" w:rsidRDefault="00372CC2" w:rsidP="005B12D2">
      <w:pPr>
        <w:rPr>
          <w:sz w:val="22"/>
        </w:rPr>
      </w:pPr>
      <w:r>
        <w:rPr>
          <w:noProof/>
          <w:sz w:val="22"/>
        </w:rPr>
        <w:drawing>
          <wp:inline distT="0" distB="0" distL="0" distR="0" wp14:anchorId="776814AF" wp14:editId="712E1462">
            <wp:extent cx="6048375" cy="2838450"/>
            <wp:effectExtent l="0" t="0" r="4762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738FBE64" w14:textId="64EBB488" w:rsidR="00372CC2" w:rsidRPr="00372CC2" w:rsidRDefault="00372CC2" w:rsidP="00372CC2">
      <w:pPr>
        <w:rPr>
          <w:sz w:val="22"/>
        </w:rPr>
      </w:pPr>
      <w:r w:rsidRPr="00372CC2">
        <w:rPr>
          <w:sz w:val="22"/>
        </w:rPr>
        <w:t xml:space="preserve">Your supervisor considers </w:t>
      </w:r>
      <w:r w:rsidR="00192601">
        <w:rPr>
          <w:sz w:val="22"/>
          <w:szCs w:val="22"/>
        </w:rPr>
        <w:t>virtual assets</w:t>
      </w:r>
      <w:r w:rsidRPr="00372CC2">
        <w:rPr>
          <w:sz w:val="22"/>
        </w:rPr>
        <w:t xml:space="preserve"> to be a new or developing technology, that might favour anonymity. As such, all transactions involving </w:t>
      </w:r>
      <w:r w:rsidR="00192601">
        <w:rPr>
          <w:sz w:val="22"/>
          <w:szCs w:val="22"/>
        </w:rPr>
        <w:t>virtual assets</w:t>
      </w:r>
      <w:r w:rsidRPr="00372CC2">
        <w:rPr>
          <w:sz w:val="22"/>
        </w:rPr>
        <w:t xml:space="preserve"> will require enhanced CDD in accordance with section 30 of the Act</w:t>
      </w:r>
      <w:r w:rsidR="00192601">
        <w:rPr>
          <w:sz w:val="22"/>
        </w:rPr>
        <w:t>.</w:t>
      </w:r>
    </w:p>
    <w:p w14:paraId="6C88066D" w14:textId="5E0001D1" w:rsidR="00372CC2" w:rsidRDefault="00372CC2" w:rsidP="00372CC2">
      <w:pPr>
        <w:rPr>
          <w:sz w:val="22"/>
        </w:rPr>
      </w:pPr>
      <w:r w:rsidRPr="00372CC2">
        <w:rPr>
          <w:sz w:val="22"/>
        </w:rPr>
        <w:t xml:space="preserve">You must use your own risk assessment and AML/CFT programme to establish the level of ML/TF risk for each customer. This will help you to determine which kind of CDD to conduct before establishing the business relationship or conducting an occasional transaction or activity. </w:t>
      </w:r>
    </w:p>
    <w:p w14:paraId="026F7740" w14:textId="21D9C82F" w:rsidR="00180E0C" w:rsidRDefault="00180E0C" w:rsidP="00180E0C">
      <w:pPr>
        <w:rPr>
          <w:sz w:val="22"/>
        </w:rPr>
      </w:pPr>
      <w:r>
        <w:rPr>
          <w:sz w:val="22"/>
        </w:rPr>
        <w:t xml:space="preserve">VASPs will almost always be dealing with a form of </w:t>
      </w:r>
      <w:r w:rsidR="00AA0F1E">
        <w:rPr>
          <w:sz w:val="22"/>
        </w:rPr>
        <w:t>e</w:t>
      </w:r>
      <w:r>
        <w:rPr>
          <w:sz w:val="22"/>
        </w:rPr>
        <w:t xml:space="preserve">nhanced CDD, so should be aware of the different forms of </w:t>
      </w:r>
      <w:r w:rsidR="00AA0F1E">
        <w:rPr>
          <w:sz w:val="22"/>
        </w:rPr>
        <w:t>e</w:t>
      </w:r>
      <w:r>
        <w:rPr>
          <w:sz w:val="22"/>
        </w:rPr>
        <w:t>nhanced CDD prescribed in sections 22-30 of the Act.</w:t>
      </w:r>
    </w:p>
    <w:p w14:paraId="6AE64D93" w14:textId="77699B63" w:rsidR="00180E0C" w:rsidRDefault="00180E0C" w:rsidP="00180E0C">
      <w:pPr>
        <w:rPr>
          <w:sz w:val="22"/>
        </w:rPr>
      </w:pPr>
      <w:r>
        <w:rPr>
          <w:sz w:val="22"/>
        </w:rPr>
        <w:t xml:space="preserve">The </w:t>
      </w:r>
      <w:hyperlink r:id="rId80" w:history="1">
        <w:r w:rsidR="00015CAD">
          <w:rPr>
            <w:rStyle w:val="Hyperlink"/>
            <w:sz w:val="22"/>
          </w:rPr>
          <w:t>Enhanced Customer Due Diligence Guideline</w:t>
        </w:r>
      </w:hyperlink>
      <w:r>
        <w:rPr>
          <w:sz w:val="22"/>
        </w:rPr>
        <w:t xml:space="preserve"> is a key resource for VASPs wishing to understand their </w:t>
      </w:r>
      <w:r w:rsidR="00AA0F1E">
        <w:rPr>
          <w:sz w:val="22"/>
        </w:rPr>
        <w:t>e</w:t>
      </w:r>
      <w:r w:rsidR="00015CAD">
        <w:rPr>
          <w:sz w:val="22"/>
        </w:rPr>
        <w:t>nhanced C</w:t>
      </w:r>
      <w:r>
        <w:rPr>
          <w:sz w:val="22"/>
        </w:rPr>
        <w:t>DD obligations.</w:t>
      </w:r>
    </w:p>
    <w:p w14:paraId="08DBE2C2" w14:textId="5DF72FF5" w:rsidR="00825962" w:rsidRPr="0096030C" w:rsidRDefault="00261D7A" w:rsidP="00825962">
      <w:pPr>
        <w:keepNext/>
        <w:spacing w:before="360" w:after="360"/>
        <w:contextualSpacing/>
        <w:outlineLvl w:val="1"/>
        <w:rPr>
          <w:rFonts w:cs="Arial"/>
          <w:b/>
          <w:bCs/>
          <w:iCs/>
          <w:color w:val="1F546B"/>
          <w:sz w:val="36"/>
          <w:szCs w:val="28"/>
        </w:rPr>
      </w:pPr>
      <w:bookmarkStart w:id="48" w:name="_Toc34985664"/>
      <w:r w:rsidRPr="00261D7A">
        <w:rPr>
          <w:rFonts w:cs="Arial"/>
          <w:b/>
          <w:bCs/>
          <w:iCs/>
          <w:color w:val="1F546B"/>
          <w:sz w:val="36"/>
          <w:szCs w:val="28"/>
        </w:rPr>
        <w:t>Other CDD requirements</w:t>
      </w:r>
      <w:bookmarkEnd w:id="48"/>
      <w:r w:rsidRPr="00261D7A">
        <w:rPr>
          <w:rFonts w:cs="Arial"/>
          <w:b/>
          <w:bCs/>
          <w:iCs/>
          <w:color w:val="1F546B"/>
          <w:sz w:val="36"/>
          <w:szCs w:val="28"/>
        </w:rPr>
        <w:t xml:space="preserve"> </w:t>
      </w:r>
    </w:p>
    <w:p w14:paraId="60FD6B0D" w14:textId="5C2800DB" w:rsidR="00261D7A" w:rsidRPr="00261D7A" w:rsidRDefault="00261D7A" w:rsidP="00261D7A">
      <w:pPr>
        <w:rPr>
          <w:sz w:val="22"/>
        </w:rPr>
      </w:pPr>
      <w:r w:rsidRPr="00261D7A">
        <w:rPr>
          <w:sz w:val="22"/>
        </w:rPr>
        <w:t xml:space="preserve">Regardless of the level of CDD you are conducing on your customer, you must seek information about the nature and purpose of the proposed business relationship or occasional transaction or activity. This means you need to have a good understanding of your client’s circumstances and intentions and who else has an interest in their activities. You need to understand who else benefits. </w:t>
      </w:r>
    </w:p>
    <w:p w14:paraId="7500B54D" w14:textId="1A7DEEF6" w:rsidR="00B037D1" w:rsidRDefault="00261D7A" w:rsidP="00261D7A">
      <w:pPr>
        <w:rPr>
          <w:sz w:val="22"/>
        </w:rPr>
      </w:pPr>
      <w:r w:rsidRPr="00261D7A">
        <w:rPr>
          <w:sz w:val="22"/>
        </w:rPr>
        <w:lastRenderedPageBreak/>
        <w:t>If you are conducting standard CDD you also must obtain sufficient information to allow you to determine whether you should conduct enhanced CDD. Enhanced CDD</w:t>
      </w:r>
      <w:r w:rsidR="00C15E94">
        <w:rPr>
          <w:sz w:val="22"/>
        </w:rPr>
        <w:t xml:space="preserve"> comes in several different types as described in sections 22-30 of the Act. Enhanced CDD</w:t>
      </w:r>
      <w:r w:rsidRPr="00261D7A">
        <w:rPr>
          <w:sz w:val="22"/>
        </w:rPr>
        <w:t xml:space="preserve"> </w:t>
      </w:r>
      <w:r w:rsidR="00825962">
        <w:rPr>
          <w:sz w:val="22"/>
        </w:rPr>
        <w:t>often</w:t>
      </w:r>
      <w:r w:rsidRPr="00261D7A">
        <w:rPr>
          <w:sz w:val="22"/>
        </w:rPr>
        <w:t xml:space="preserve"> require</w:t>
      </w:r>
      <w:r w:rsidR="00825962">
        <w:rPr>
          <w:sz w:val="22"/>
        </w:rPr>
        <w:t>s</w:t>
      </w:r>
      <w:r w:rsidRPr="00261D7A">
        <w:rPr>
          <w:sz w:val="22"/>
        </w:rPr>
        <w:t xml:space="preserve"> you to ascertain the sources of your customer’s wealth and/or funds. With this information you can make an assessment about whether your client’s requests are typical, legitimate, or suspicious.</w:t>
      </w:r>
    </w:p>
    <w:p w14:paraId="6C450E55" w14:textId="77777777" w:rsidR="00B037D1" w:rsidRDefault="00B037D1">
      <w:pPr>
        <w:keepLines w:val="0"/>
        <w:rPr>
          <w:sz w:val="22"/>
        </w:rPr>
      </w:pPr>
      <w:r>
        <w:rPr>
          <w:sz w:val="22"/>
        </w:rPr>
        <w:br w:type="page"/>
      </w:r>
    </w:p>
    <w:p w14:paraId="419316D0" w14:textId="50B9B252" w:rsidR="007D4257" w:rsidRDefault="00E57669" w:rsidP="00E57669">
      <w:pPr>
        <w:pStyle w:val="Heading1"/>
      </w:pPr>
      <w:bookmarkStart w:id="49" w:name="_Toc34985665"/>
      <w:r>
        <w:lastRenderedPageBreak/>
        <w:t>W</w:t>
      </w:r>
      <w:r w:rsidR="007D4257" w:rsidRPr="007D4257">
        <w:t>here to get</w:t>
      </w:r>
      <w:r>
        <w:t xml:space="preserve"> further</w:t>
      </w:r>
      <w:r w:rsidR="007D4257" w:rsidRPr="007D4257">
        <w:t xml:space="preserve"> support</w:t>
      </w:r>
      <w:bookmarkEnd w:id="49"/>
    </w:p>
    <w:p w14:paraId="577C8E80" w14:textId="3AB6E7E4" w:rsidR="007D4257" w:rsidRDefault="00E57669" w:rsidP="007D4257">
      <w:pPr>
        <w:rPr>
          <w:sz w:val="22"/>
        </w:rPr>
      </w:pPr>
      <w:r>
        <w:rPr>
          <w:sz w:val="22"/>
        </w:rPr>
        <w:t>VASPs</w:t>
      </w:r>
      <w:r w:rsidR="007D4257" w:rsidRPr="007D4257">
        <w:rPr>
          <w:sz w:val="22"/>
        </w:rPr>
        <w:t xml:space="preserve"> can access compliance support from a range of sources: </w:t>
      </w:r>
    </w:p>
    <w:p w14:paraId="4F3AB984" w14:textId="7EE32AC9" w:rsidR="007D4257" w:rsidRPr="00E57669" w:rsidRDefault="007D4257" w:rsidP="009722E0">
      <w:pPr>
        <w:pStyle w:val="ListParagraph"/>
        <w:numPr>
          <w:ilvl w:val="0"/>
          <w:numId w:val="36"/>
        </w:numPr>
        <w:rPr>
          <w:sz w:val="22"/>
        </w:rPr>
      </w:pPr>
      <w:r w:rsidRPr="00E57669">
        <w:rPr>
          <w:sz w:val="22"/>
        </w:rPr>
        <w:t xml:space="preserve">Your AML/CFT programme and compliance officer </w:t>
      </w:r>
    </w:p>
    <w:p w14:paraId="67BB1777" w14:textId="798943F5" w:rsidR="007D4257" w:rsidRPr="00E57669" w:rsidRDefault="002B684A" w:rsidP="009722E0">
      <w:pPr>
        <w:pStyle w:val="ListParagraph"/>
        <w:numPr>
          <w:ilvl w:val="0"/>
          <w:numId w:val="36"/>
        </w:numPr>
        <w:rPr>
          <w:sz w:val="22"/>
        </w:rPr>
      </w:pPr>
      <w:r>
        <w:rPr>
          <w:sz w:val="22"/>
        </w:rPr>
        <w:t>The Department</w:t>
      </w:r>
      <w:r w:rsidR="007D4257" w:rsidRPr="00E57669">
        <w:rPr>
          <w:sz w:val="22"/>
        </w:rPr>
        <w:t xml:space="preserve"> as the supervisor </w:t>
      </w:r>
    </w:p>
    <w:p w14:paraId="23758AEE" w14:textId="22A5D625" w:rsidR="007D4257" w:rsidRPr="00E57669" w:rsidRDefault="007D4257" w:rsidP="009722E0">
      <w:pPr>
        <w:pStyle w:val="ListParagraph"/>
        <w:numPr>
          <w:ilvl w:val="0"/>
          <w:numId w:val="36"/>
        </w:numPr>
        <w:rPr>
          <w:sz w:val="22"/>
        </w:rPr>
      </w:pPr>
      <w:r w:rsidRPr="00E57669">
        <w:rPr>
          <w:sz w:val="22"/>
        </w:rPr>
        <w:t xml:space="preserve">Independent professional advice </w:t>
      </w:r>
    </w:p>
    <w:p w14:paraId="421739AE" w14:textId="70D67AEC" w:rsidR="007D4257" w:rsidRPr="00E57669" w:rsidRDefault="007D4257" w:rsidP="009722E0">
      <w:pPr>
        <w:pStyle w:val="ListParagraph"/>
        <w:numPr>
          <w:ilvl w:val="0"/>
          <w:numId w:val="36"/>
        </w:numPr>
        <w:rPr>
          <w:sz w:val="22"/>
        </w:rPr>
      </w:pPr>
      <w:r w:rsidRPr="00E57669">
        <w:rPr>
          <w:sz w:val="22"/>
        </w:rPr>
        <w:t xml:space="preserve">Open source information from relevant international bodies concerned with AML/CFT </w:t>
      </w:r>
    </w:p>
    <w:p w14:paraId="517D89B4" w14:textId="7D3592FB" w:rsidR="007D4257" w:rsidRDefault="007D4257" w:rsidP="00E57669">
      <w:pPr>
        <w:pStyle w:val="Heading4"/>
      </w:pPr>
      <w:r w:rsidRPr="007D4257">
        <w:t xml:space="preserve">Your AML/CFT programme and compliance officer </w:t>
      </w:r>
    </w:p>
    <w:p w14:paraId="3BD431CA" w14:textId="19F4A9B5" w:rsidR="007D4257" w:rsidRPr="007D4257" w:rsidRDefault="007D4257" w:rsidP="007D4257">
      <w:pPr>
        <w:rPr>
          <w:sz w:val="22"/>
        </w:rPr>
      </w:pPr>
      <w:r w:rsidRPr="007D4257">
        <w:rPr>
          <w:sz w:val="22"/>
        </w:rPr>
        <w:t xml:space="preserve">Where employees in your business have compliance questions, their first port of call should be your AML/CFT programme. </w:t>
      </w:r>
      <w:r w:rsidR="002B684A">
        <w:rPr>
          <w:sz w:val="22"/>
        </w:rPr>
        <w:t>Your</w:t>
      </w:r>
      <w:r w:rsidRPr="007D4257">
        <w:rPr>
          <w:sz w:val="22"/>
        </w:rPr>
        <w:t xml:space="preserve"> programme documentation should be able to provide answers to basic questions that are likely to arise in your specific business context. As questions arise, it is likely that the AML/ CFT programme will need to be updated to include provisions for resolving unanticipated issues and frequently asked questions. </w:t>
      </w:r>
    </w:p>
    <w:p w14:paraId="416FAE4C" w14:textId="77777777" w:rsidR="007D4257" w:rsidRDefault="007D4257" w:rsidP="007D4257">
      <w:pPr>
        <w:rPr>
          <w:sz w:val="22"/>
        </w:rPr>
      </w:pPr>
      <w:r w:rsidRPr="007D4257">
        <w:rPr>
          <w:sz w:val="22"/>
        </w:rPr>
        <w:t xml:space="preserve">Specific questions should be answered by your compliance officer. Where this approach does not resolve the question at hand, it is important to consider what would be the appropriate next step – seeking support from the relevant professional body, from your supervisor, or from an independent lawyer or other suitable professional. </w:t>
      </w:r>
    </w:p>
    <w:p w14:paraId="31CF5812" w14:textId="77777777" w:rsidR="007D4257" w:rsidRDefault="007D4257" w:rsidP="00E57669">
      <w:pPr>
        <w:pStyle w:val="Heading4"/>
      </w:pPr>
      <w:r w:rsidRPr="007D4257">
        <w:t xml:space="preserve">Support from your supervisor </w:t>
      </w:r>
    </w:p>
    <w:p w14:paraId="5686E301" w14:textId="1E5BC46A" w:rsidR="007D4257" w:rsidRPr="007D4257" w:rsidRDefault="007D4257" w:rsidP="007D4257">
      <w:pPr>
        <w:rPr>
          <w:sz w:val="22"/>
        </w:rPr>
      </w:pPr>
      <w:r w:rsidRPr="007D4257">
        <w:rPr>
          <w:sz w:val="22"/>
        </w:rPr>
        <w:t xml:space="preserve">We aim to provide proactive support to reporting entities. </w:t>
      </w:r>
      <w:r w:rsidR="002B684A">
        <w:rPr>
          <w:sz w:val="22"/>
        </w:rPr>
        <w:t>In addition to the resources linked to in this document, the Department’s</w:t>
      </w:r>
      <w:r w:rsidRPr="007D4257">
        <w:rPr>
          <w:sz w:val="22"/>
        </w:rPr>
        <w:t xml:space="preserve"> website provides a wide range of information about how to comply with the Act for reporting entities.</w:t>
      </w:r>
      <w:r w:rsidR="00CB4F89">
        <w:rPr>
          <w:sz w:val="22"/>
        </w:rPr>
        <w:t xml:space="preserve"> You can </w:t>
      </w:r>
      <w:r w:rsidR="002B684A">
        <w:rPr>
          <w:sz w:val="22"/>
        </w:rPr>
        <w:t xml:space="preserve">also directly </w:t>
      </w:r>
      <w:r w:rsidR="00CB4F89">
        <w:rPr>
          <w:sz w:val="22"/>
        </w:rPr>
        <w:t xml:space="preserve">contact the </w:t>
      </w:r>
      <w:r w:rsidR="002B684A">
        <w:rPr>
          <w:sz w:val="22"/>
        </w:rPr>
        <w:t>Department</w:t>
      </w:r>
      <w:r w:rsidR="00CB4F89">
        <w:rPr>
          <w:sz w:val="22"/>
        </w:rPr>
        <w:t xml:space="preserve"> </w:t>
      </w:r>
      <w:r w:rsidR="00CB4F89" w:rsidRPr="00E3084C">
        <w:rPr>
          <w:sz w:val="22"/>
        </w:rPr>
        <w:t xml:space="preserve">at </w:t>
      </w:r>
      <w:hyperlink r:id="rId81" w:history="1">
        <w:r w:rsidR="00CB4F89" w:rsidRPr="00916D49">
          <w:rPr>
            <w:rStyle w:val="Hyperlink"/>
            <w:sz w:val="22"/>
          </w:rPr>
          <w:t>Amlcft@dia</w:t>
        </w:r>
        <w:r w:rsidR="00CB4F89" w:rsidRPr="00916D49">
          <w:rPr>
            <w:rStyle w:val="Hyperlink"/>
            <w:rFonts w:ascii="Tahoma" w:hAnsi="Tahoma" w:cs="Tahoma"/>
            <w:sz w:val="22"/>
          </w:rPr>
          <w:t>.</w:t>
        </w:r>
        <w:r w:rsidR="00CB4F89" w:rsidRPr="00916D49">
          <w:rPr>
            <w:rStyle w:val="Hyperlink"/>
            <w:sz w:val="22"/>
          </w:rPr>
          <w:t>govt</w:t>
        </w:r>
        <w:r w:rsidR="00CB4F89" w:rsidRPr="00916D49">
          <w:rPr>
            <w:rStyle w:val="Hyperlink"/>
            <w:rFonts w:ascii="Tahoma" w:hAnsi="Tahoma" w:cs="Tahoma"/>
            <w:sz w:val="22"/>
          </w:rPr>
          <w:t>.</w:t>
        </w:r>
        <w:r w:rsidR="00CB4F89" w:rsidRPr="00916D49">
          <w:rPr>
            <w:rStyle w:val="Hyperlink"/>
            <w:sz w:val="22"/>
          </w:rPr>
          <w:t>nz</w:t>
        </w:r>
      </w:hyperlink>
      <w:r w:rsidR="00CB4F89">
        <w:rPr>
          <w:rStyle w:val="Hyperlink"/>
          <w:sz w:val="22"/>
        </w:rPr>
        <w:t>.</w:t>
      </w:r>
    </w:p>
    <w:p w14:paraId="5C423CAB" w14:textId="77777777" w:rsidR="007D4257" w:rsidRDefault="007D4257" w:rsidP="00E57669">
      <w:pPr>
        <w:pStyle w:val="Heading4"/>
      </w:pPr>
      <w:r w:rsidRPr="007D4257">
        <w:t xml:space="preserve">When to seek independent advice </w:t>
      </w:r>
    </w:p>
    <w:p w14:paraId="41DC3A14" w14:textId="418ADFCA" w:rsidR="007D4257" w:rsidRDefault="007D4257" w:rsidP="007D4257">
      <w:pPr>
        <w:rPr>
          <w:sz w:val="22"/>
        </w:rPr>
      </w:pPr>
      <w:r w:rsidRPr="007D4257">
        <w:rPr>
          <w:sz w:val="22"/>
        </w:rPr>
        <w:t xml:space="preserve">There will be occasions where </w:t>
      </w:r>
      <w:r>
        <w:rPr>
          <w:sz w:val="22"/>
        </w:rPr>
        <w:t>VASPs</w:t>
      </w:r>
      <w:r w:rsidRPr="007D4257">
        <w:rPr>
          <w:sz w:val="22"/>
        </w:rPr>
        <w:t xml:space="preserve"> need to seek independent advice to ensure they remain compliant with the Act. When you have specific compliance questions about unique circumstances you may need to seek independent legal advice or advice from an otherwise suitable professional. </w:t>
      </w:r>
      <w:r w:rsidR="00B85B8B" w:rsidRPr="00B85B8B">
        <w:rPr>
          <w:sz w:val="22"/>
        </w:rPr>
        <w:t>Supervisors are there to support you</w:t>
      </w:r>
      <w:r w:rsidR="00B00F69">
        <w:rPr>
          <w:sz w:val="22"/>
        </w:rPr>
        <w:t>,</w:t>
      </w:r>
      <w:r w:rsidR="00B85B8B" w:rsidRPr="00B85B8B">
        <w:rPr>
          <w:sz w:val="22"/>
        </w:rPr>
        <w:t xml:space="preserve"> but they cannot provide legal advice to reporting entities.</w:t>
      </w:r>
      <w:r w:rsidR="008173A2">
        <w:rPr>
          <w:sz w:val="22"/>
        </w:rPr>
        <w:t xml:space="preserve"> </w:t>
      </w:r>
    </w:p>
    <w:p w14:paraId="653F5EA7" w14:textId="1784E483" w:rsidR="00CB4F89" w:rsidRDefault="00CB4F89" w:rsidP="00CB4F89">
      <w:pPr>
        <w:pStyle w:val="Heading4"/>
      </w:pPr>
      <w:r>
        <w:t>Open source information from relevant international bodies</w:t>
      </w:r>
    </w:p>
    <w:p w14:paraId="4B1F157E" w14:textId="408BEAA4" w:rsidR="00CB4F89" w:rsidRPr="007D4257" w:rsidRDefault="00CB4F89" w:rsidP="00CB4F89">
      <w:pPr>
        <w:rPr>
          <w:sz w:val="22"/>
        </w:rPr>
      </w:pPr>
      <w:r w:rsidRPr="007D4257">
        <w:rPr>
          <w:sz w:val="22"/>
        </w:rPr>
        <w:t xml:space="preserve">There </w:t>
      </w:r>
      <w:r>
        <w:rPr>
          <w:sz w:val="22"/>
        </w:rPr>
        <w:t xml:space="preserve">is a wide range of information available in open-source format from international bodies. VASPs may wish to consult the guidance issued by FATF, as well as other overseas supervisors such as AUSTRAC. VASPs should be aware that this information </w:t>
      </w:r>
      <w:r w:rsidR="00B85B8B" w:rsidRPr="00B85B8B">
        <w:rPr>
          <w:sz w:val="22"/>
        </w:rPr>
        <w:t>is prepared for other jurisdictions and may not be directly applicable to New Zealand.</w:t>
      </w:r>
    </w:p>
    <w:p w14:paraId="3B707B85" w14:textId="77777777" w:rsidR="00CB4F89" w:rsidRPr="007D4257" w:rsidRDefault="00CB4F89" w:rsidP="007D4257">
      <w:pPr>
        <w:rPr>
          <w:sz w:val="22"/>
        </w:rPr>
      </w:pPr>
    </w:p>
    <w:sectPr w:rsidR="00CB4F89" w:rsidRPr="007D4257" w:rsidSect="008F707C">
      <w:headerReference w:type="even" r:id="rId82"/>
      <w:headerReference w:type="default" r:id="rId83"/>
      <w:footerReference w:type="even" r:id="rId84"/>
      <w:footerReference w:type="default" r:id="rId85"/>
      <w:headerReference w:type="first" r:id="rId86"/>
      <w:footerReference w:type="first" r:id="rId87"/>
      <w:pgSz w:w="11907" w:h="16840" w:code="9"/>
      <w:pgMar w:top="1418" w:right="1418" w:bottom="992" w:left="1418" w:header="425" w:footer="63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CD14E" w14:textId="77777777" w:rsidR="005F6E6A" w:rsidRDefault="005F6E6A">
      <w:r>
        <w:separator/>
      </w:r>
    </w:p>
    <w:p w14:paraId="418699F1" w14:textId="77777777" w:rsidR="005F6E6A" w:rsidRDefault="005F6E6A"/>
    <w:p w14:paraId="63CC8F16" w14:textId="77777777" w:rsidR="005F6E6A" w:rsidRDefault="005F6E6A"/>
  </w:endnote>
  <w:endnote w:type="continuationSeparator" w:id="0">
    <w:p w14:paraId="69977F73" w14:textId="77777777" w:rsidR="005F6E6A" w:rsidRDefault="005F6E6A">
      <w:r>
        <w:continuationSeparator/>
      </w:r>
    </w:p>
    <w:p w14:paraId="740160DA" w14:textId="77777777" w:rsidR="005F6E6A" w:rsidRDefault="005F6E6A"/>
    <w:p w14:paraId="73ED719F" w14:textId="77777777" w:rsidR="005F6E6A" w:rsidRDefault="005F6E6A"/>
  </w:endnote>
  <w:endnote w:type="continuationNotice" w:id="1">
    <w:p w14:paraId="03811ABE" w14:textId="77777777" w:rsidR="005F6E6A" w:rsidRDefault="005F6E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79C9" w14:textId="77777777" w:rsidR="005F6E6A" w:rsidRDefault="005F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8C22" w14:textId="77777777" w:rsidR="005F6E6A" w:rsidRDefault="005F6E6A" w:rsidP="00126FDE">
    <w:pPr>
      <w:pStyle w:val="Footer"/>
      <w:tabs>
        <w:tab w:val="right" w:pos="9071"/>
      </w:tabs>
      <w:ind w:right="-1"/>
    </w:pPr>
    <w:r>
      <w:tab/>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1AFC" w14:textId="77777777" w:rsidR="005F6E6A" w:rsidRDefault="005F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F8ABF" w14:textId="77777777" w:rsidR="005F6E6A" w:rsidRDefault="005F6E6A" w:rsidP="00FB1990">
      <w:pPr>
        <w:pStyle w:val="Spacer"/>
      </w:pPr>
      <w:r>
        <w:separator/>
      </w:r>
    </w:p>
    <w:p w14:paraId="7AEA9454" w14:textId="77777777" w:rsidR="005F6E6A" w:rsidRDefault="005F6E6A" w:rsidP="00FB1990">
      <w:pPr>
        <w:pStyle w:val="Spacer"/>
      </w:pPr>
    </w:p>
  </w:footnote>
  <w:footnote w:type="continuationSeparator" w:id="0">
    <w:p w14:paraId="5D9A319F" w14:textId="77777777" w:rsidR="005F6E6A" w:rsidRDefault="005F6E6A">
      <w:r>
        <w:continuationSeparator/>
      </w:r>
    </w:p>
    <w:p w14:paraId="7F6E80D1" w14:textId="77777777" w:rsidR="005F6E6A" w:rsidRDefault="005F6E6A"/>
    <w:p w14:paraId="4D50CCE2" w14:textId="77777777" w:rsidR="005F6E6A" w:rsidRDefault="005F6E6A"/>
  </w:footnote>
  <w:footnote w:type="continuationNotice" w:id="1">
    <w:p w14:paraId="448FD6B2" w14:textId="77777777" w:rsidR="005F6E6A" w:rsidRDefault="005F6E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B8F" w14:textId="77777777" w:rsidR="005F6E6A" w:rsidRDefault="005F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FF64" w14:textId="3C967681" w:rsidR="005F6E6A" w:rsidRPr="00591BDC" w:rsidRDefault="005F6E6A" w:rsidP="00F71DEE">
    <w:pPr>
      <w:pStyle w:val="Header"/>
      <w:jc w:val="right"/>
    </w:pPr>
    <w:r>
      <w:rPr>
        <w:noProof/>
      </w:rPr>
      <w:drawing>
        <wp:anchor distT="0" distB="0" distL="114300" distR="114300" simplePos="0" relativeHeight="251657216" behindDoc="0" locked="0" layoutInCell="1" allowOverlap="1" wp14:anchorId="56CA462D" wp14:editId="4DF9A359">
          <wp:simplePos x="0" y="0"/>
          <wp:positionH relativeFrom="column">
            <wp:posOffset>4252595</wp:posOffset>
          </wp:positionH>
          <wp:positionV relativeFrom="paragraph">
            <wp:posOffset>-174625</wp:posOffset>
          </wp:positionV>
          <wp:extent cx="2333625" cy="762000"/>
          <wp:effectExtent l="0" t="0" r="9525" b="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946" t="29534" r="7965" b="29016"/>
                  <a:stretch/>
                </pic:blipFill>
                <pic:spPr bwMode="auto">
                  <a:xfrm>
                    <a:off x="0" y="0"/>
                    <a:ext cx="233362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BC41" w14:textId="77777777" w:rsidR="005F6E6A" w:rsidRDefault="005F6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3211D5"/>
    <w:multiLevelType w:val="hybridMultilevel"/>
    <w:tmpl w:val="A85C553A"/>
    <w:lvl w:ilvl="0" w:tplc="C3D2CA4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7865E14"/>
    <w:multiLevelType w:val="hybridMultilevel"/>
    <w:tmpl w:val="C682264C"/>
    <w:lvl w:ilvl="0" w:tplc="14090001">
      <w:start w:val="1"/>
      <w:numFmt w:val="bullet"/>
      <w:lvlText w:val=""/>
      <w:lvlJc w:val="left"/>
      <w:pPr>
        <w:ind w:left="763" w:hanging="360"/>
      </w:pPr>
      <w:rPr>
        <w:rFonts w:ascii="Symbol" w:hAnsi="Symbol" w:hint="default"/>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0E8820D5"/>
    <w:multiLevelType w:val="hybridMultilevel"/>
    <w:tmpl w:val="6E1E07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EE51EBF"/>
    <w:multiLevelType w:val="hybridMultilevel"/>
    <w:tmpl w:val="59522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58669A"/>
    <w:multiLevelType w:val="hybridMultilevel"/>
    <w:tmpl w:val="FD96198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5952C50"/>
    <w:multiLevelType w:val="hybridMultilevel"/>
    <w:tmpl w:val="8EC21C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6AB4861"/>
    <w:multiLevelType w:val="hybridMultilevel"/>
    <w:tmpl w:val="EE803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C2200B8"/>
    <w:multiLevelType w:val="hybridMultilevel"/>
    <w:tmpl w:val="7A102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8243435"/>
    <w:multiLevelType w:val="hybridMultilevel"/>
    <w:tmpl w:val="0D3062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EF10787"/>
    <w:multiLevelType w:val="hybridMultilevel"/>
    <w:tmpl w:val="096A7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0527608"/>
    <w:multiLevelType w:val="hybridMultilevel"/>
    <w:tmpl w:val="D58AA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2C31843"/>
    <w:multiLevelType w:val="hybridMultilevel"/>
    <w:tmpl w:val="E940DB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EF04DF"/>
    <w:multiLevelType w:val="hybridMultilevel"/>
    <w:tmpl w:val="0A360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B3223C6"/>
    <w:multiLevelType w:val="hybridMultilevel"/>
    <w:tmpl w:val="2A22C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2F60DAD"/>
    <w:multiLevelType w:val="hybridMultilevel"/>
    <w:tmpl w:val="75525528"/>
    <w:lvl w:ilvl="0" w:tplc="C3D2CA4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49716C1"/>
    <w:multiLevelType w:val="hybridMultilevel"/>
    <w:tmpl w:val="6C02E0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88D1344"/>
    <w:multiLevelType w:val="hybridMultilevel"/>
    <w:tmpl w:val="865E35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81451F1"/>
    <w:multiLevelType w:val="hybridMultilevel"/>
    <w:tmpl w:val="815E6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9BE08AE"/>
    <w:multiLevelType w:val="hybridMultilevel"/>
    <w:tmpl w:val="7BCCA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E9C48EE"/>
    <w:multiLevelType w:val="hybridMultilevel"/>
    <w:tmpl w:val="09A42B6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ED852EA"/>
    <w:multiLevelType w:val="hybridMultilevel"/>
    <w:tmpl w:val="410AA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FC54824"/>
    <w:multiLevelType w:val="hybridMultilevel"/>
    <w:tmpl w:val="BB729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9" w15:restartNumberingAfterBreak="0">
    <w:nsid w:val="65732EEE"/>
    <w:multiLevelType w:val="hybridMultilevel"/>
    <w:tmpl w:val="522841A0"/>
    <w:lvl w:ilvl="0" w:tplc="C3D2CA4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3" w15:restartNumberingAfterBreak="0">
    <w:nsid w:val="703D1103"/>
    <w:multiLevelType w:val="hybridMultilevel"/>
    <w:tmpl w:val="960CC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2127FB6"/>
    <w:multiLevelType w:val="hybridMultilevel"/>
    <w:tmpl w:val="8BC20930"/>
    <w:lvl w:ilvl="0" w:tplc="C3D2CA4C">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3C06E96"/>
    <w:multiLevelType w:val="hybridMultilevel"/>
    <w:tmpl w:val="86829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4506B1F"/>
    <w:multiLevelType w:val="hybridMultilevel"/>
    <w:tmpl w:val="9724E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2"/>
  </w:num>
  <w:num w:numId="8">
    <w:abstractNumId w:val="35"/>
  </w:num>
  <w:num w:numId="9">
    <w:abstractNumId w:val="26"/>
  </w:num>
  <w:num w:numId="10">
    <w:abstractNumId w:val="16"/>
  </w:num>
  <w:num w:numId="11">
    <w:abstractNumId w:val="38"/>
  </w:num>
  <w:num w:numId="12">
    <w:abstractNumId w:val="40"/>
  </w:num>
  <w:num w:numId="13">
    <w:abstractNumId w:val="42"/>
  </w:num>
  <w:num w:numId="14">
    <w:abstractNumId w:val="8"/>
  </w:num>
  <w:num w:numId="15">
    <w:abstractNumId w:val="22"/>
  </w:num>
  <w:num w:numId="16">
    <w:abstractNumId w:val="47"/>
  </w:num>
  <w:num w:numId="17">
    <w:abstractNumId w:val="41"/>
  </w:num>
  <w:num w:numId="18">
    <w:abstractNumId w:val="30"/>
  </w:num>
  <w:num w:numId="19">
    <w:abstractNumId w:val="23"/>
  </w:num>
  <w:num w:numId="20">
    <w:abstractNumId w:val="10"/>
  </w:num>
  <w:num w:numId="21">
    <w:abstractNumId w:val="6"/>
  </w:num>
  <w:num w:numId="22">
    <w:abstractNumId w:val="27"/>
  </w:num>
  <w:num w:numId="23">
    <w:abstractNumId w:val="45"/>
  </w:num>
  <w:num w:numId="24">
    <w:abstractNumId w:val="14"/>
  </w:num>
  <w:num w:numId="25">
    <w:abstractNumId w:val="17"/>
  </w:num>
  <w:num w:numId="26">
    <w:abstractNumId w:val="21"/>
  </w:num>
  <w:num w:numId="27">
    <w:abstractNumId w:val="29"/>
  </w:num>
  <w:num w:numId="28">
    <w:abstractNumId w:val="46"/>
  </w:num>
  <w:num w:numId="29">
    <w:abstractNumId w:val="31"/>
  </w:num>
  <w:num w:numId="30">
    <w:abstractNumId w:val="34"/>
  </w:num>
  <w:num w:numId="31">
    <w:abstractNumId w:val="20"/>
  </w:num>
  <w:num w:numId="32">
    <w:abstractNumId w:val="36"/>
  </w:num>
  <w:num w:numId="33">
    <w:abstractNumId w:val="43"/>
  </w:num>
  <w:num w:numId="34">
    <w:abstractNumId w:val="39"/>
  </w:num>
  <w:num w:numId="35">
    <w:abstractNumId w:val="44"/>
  </w:num>
  <w:num w:numId="36">
    <w:abstractNumId w:val="7"/>
  </w:num>
  <w:num w:numId="37">
    <w:abstractNumId w:val="24"/>
  </w:num>
  <w:num w:numId="38">
    <w:abstractNumId w:val="13"/>
  </w:num>
  <w:num w:numId="39">
    <w:abstractNumId w:val="15"/>
  </w:num>
  <w:num w:numId="40">
    <w:abstractNumId w:val="18"/>
  </w:num>
  <w:num w:numId="41">
    <w:abstractNumId w:val="9"/>
  </w:num>
  <w:num w:numId="42">
    <w:abstractNumId w:val="25"/>
  </w:num>
  <w:num w:numId="43">
    <w:abstractNumId w:val="28"/>
  </w:num>
  <w:num w:numId="44">
    <w:abstractNumId w:val="19"/>
  </w:num>
  <w:num w:numId="45">
    <w:abstractNumId w:val="33"/>
  </w:num>
  <w:num w:numId="46">
    <w:abstractNumId w:val="37"/>
  </w:num>
  <w:num w:numId="47">
    <w:abstractNumId w:val="12"/>
  </w:num>
  <w:num w:numId="48">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NZ" w:vendorID="64" w:dllVersion="0" w:nlCheck="1" w:checkStyle="0"/>
  <w:activeWritingStyle w:appName="MSWord" w:lang="en-US"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2807"/>
    <w:rsid w:val="0000074B"/>
    <w:rsid w:val="00003360"/>
    <w:rsid w:val="00003FC7"/>
    <w:rsid w:val="00005919"/>
    <w:rsid w:val="00007C42"/>
    <w:rsid w:val="00010615"/>
    <w:rsid w:val="00015020"/>
    <w:rsid w:val="00015BEE"/>
    <w:rsid w:val="00015CAD"/>
    <w:rsid w:val="0001647B"/>
    <w:rsid w:val="00020010"/>
    <w:rsid w:val="00020293"/>
    <w:rsid w:val="00023A96"/>
    <w:rsid w:val="00025239"/>
    <w:rsid w:val="00025E90"/>
    <w:rsid w:val="00034673"/>
    <w:rsid w:val="00036671"/>
    <w:rsid w:val="00037226"/>
    <w:rsid w:val="000409E2"/>
    <w:rsid w:val="00041A76"/>
    <w:rsid w:val="00044EA1"/>
    <w:rsid w:val="000474A5"/>
    <w:rsid w:val="00054574"/>
    <w:rsid w:val="0005649A"/>
    <w:rsid w:val="00062CC3"/>
    <w:rsid w:val="00063BB2"/>
    <w:rsid w:val="00065F18"/>
    <w:rsid w:val="0006613F"/>
    <w:rsid w:val="00067005"/>
    <w:rsid w:val="00071D78"/>
    <w:rsid w:val="00073553"/>
    <w:rsid w:val="00076035"/>
    <w:rsid w:val="00077013"/>
    <w:rsid w:val="00082BF5"/>
    <w:rsid w:val="00083028"/>
    <w:rsid w:val="00083C0F"/>
    <w:rsid w:val="00084565"/>
    <w:rsid w:val="000872B7"/>
    <w:rsid w:val="00091C3A"/>
    <w:rsid w:val="0009449D"/>
    <w:rsid w:val="000A00E7"/>
    <w:rsid w:val="000A13FE"/>
    <w:rsid w:val="000B08FA"/>
    <w:rsid w:val="000B0B05"/>
    <w:rsid w:val="000B7518"/>
    <w:rsid w:val="000C205F"/>
    <w:rsid w:val="000C3DFA"/>
    <w:rsid w:val="000D3935"/>
    <w:rsid w:val="000D61F6"/>
    <w:rsid w:val="000E3022"/>
    <w:rsid w:val="000E3240"/>
    <w:rsid w:val="000E3652"/>
    <w:rsid w:val="000E4916"/>
    <w:rsid w:val="000E677B"/>
    <w:rsid w:val="000F198C"/>
    <w:rsid w:val="000F4537"/>
    <w:rsid w:val="000F4ADF"/>
    <w:rsid w:val="000F53CB"/>
    <w:rsid w:val="000F61AF"/>
    <w:rsid w:val="000F6894"/>
    <w:rsid w:val="0010171C"/>
    <w:rsid w:val="00102FAD"/>
    <w:rsid w:val="00104A25"/>
    <w:rsid w:val="00105CED"/>
    <w:rsid w:val="00121870"/>
    <w:rsid w:val="00123C22"/>
    <w:rsid w:val="00126FDE"/>
    <w:rsid w:val="0013690F"/>
    <w:rsid w:val="0013703F"/>
    <w:rsid w:val="00140ED2"/>
    <w:rsid w:val="00143E7C"/>
    <w:rsid w:val="0014415C"/>
    <w:rsid w:val="0014565E"/>
    <w:rsid w:val="00151194"/>
    <w:rsid w:val="00151CC9"/>
    <w:rsid w:val="001536C9"/>
    <w:rsid w:val="00156F55"/>
    <w:rsid w:val="0016433D"/>
    <w:rsid w:val="0016625C"/>
    <w:rsid w:val="001702B8"/>
    <w:rsid w:val="0017652A"/>
    <w:rsid w:val="00180E0C"/>
    <w:rsid w:val="00182EBA"/>
    <w:rsid w:val="00184C0F"/>
    <w:rsid w:val="00192601"/>
    <w:rsid w:val="00195F71"/>
    <w:rsid w:val="001A099A"/>
    <w:rsid w:val="001A1011"/>
    <w:rsid w:val="001A1154"/>
    <w:rsid w:val="001A442B"/>
    <w:rsid w:val="001A4445"/>
    <w:rsid w:val="001A5F55"/>
    <w:rsid w:val="001B110A"/>
    <w:rsid w:val="001B6583"/>
    <w:rsid w:val="001C0031"/>
    <w:rsid w:val="001C0C30"/>
    <w:rsid w:val="001C3D5E"/>
    <w:rsid w:val="001C7093"/>
    <w:rsid w:val="001C7837"/>
    <w:rsid w:val="001D0111"/>
    <w:rsid w:val="001D196F"/>
    <w:rsid w:val="001D2282"/>
    <w:rsid w:val="001D569D"/>
    <w:rsid w:val="001D7EAE"/>
    <w:rsid w:val="001E0AD5"/>
    <w:rsid w:val="001E5E0C"/>
    <w:rsid w:val="001E64FC"/>
    <w:rsid w:val="001F0724"/>
    <w:rsid w:val="001F24D1"/>
    <w:rsid w:val="001F348F"/>
    <w:rsid w:val="002007DF"/>
    <w:rsid w:val="00200DCB"/>
    <w:rsid w:val="00205FE8"/>
    <w:rsid w:val="00206BA3"/>
    <w:rsid w:val="00215160"/>
    <w:rsid w:val="00215C52"/>
    <w:rsid w:val="0021761C"/>
    <w:rsid w:val="00217D5B"/>
    <w:rsid w:val="0022206D"/>
    <w:rsid w:val="002224B4"/>
    <w:rsid w:val="00222B5E"/>
    <w:rsid w:val="00223FA5"/>
    <w:rsid w:val="00226D5E"/>
    <w:rsid w:val="00231EDB"/>
    <w:rsid w:val="00231F10"/>
    <w:rsid w:val="0023242F"/>
    <w:rsid w:val="0023603B"/>
    <w:rsid w:val="00237A3D"/>
    <w:rsid w:val="00240E83"/>
    <w:rsid w:val="00240F14"/>
    <w:rsid w:val="00244ECF"/>
    <w:rsid w:val="0024588A"/>
    <w:rsid w:val="002502D1"/>
    <w:rsid w:val="00251C56"/>
    <w:rsid w:val="0025267E"/>
    <w:rsid w:val="00256F73"/>
    <w:rsid w:val="0026085A"/>
    <w:rsid w:val="00260A17"/>
    <w:rsid w:val="00261D7A"/>
    <w:rsid w:val="00266C82"/>
    <w:rsid w:val="00270EEC"/>
    <w:rsid w:val="00272534"/>
    <w:rsid w:val="002770AE"/>
    <w:rsid w:val="002777D8"/>
    <w:rsid w:val="002806A2"/>
    <w:rsid w:val="00281C45"/>
    <w:rsid w:val="00283335"/>
    <w:rsid w:val="00293C06"/>
    <w:rsid w:val="00296982"/>
    <w:rsid w:val="00297CC7"/>
    <w:rsid w:val="002A194F"/>
    <w:rsid w:val="002A4BD9"/>
    <w:rsid w:val="002A4FE7"/>
    <w:rsid w:val="002A7513"/>
    <w:rsid w:val="002B1CEB"/>
    <w:rsid w:val="002B684A"/>
    <w:rsid w:val="002B6A45"/>
    <w:rsid w:val="002C7054"/>
    <w:rsid w:val="002D0B04"/>
    <w:rsid w:val="002D301B"/>
    <w:rsid w:val="002D3125"/>
    <w:rsid w:val="002D4F42"/>
    <w:rsid w:val="002E190B"/>
    <w:rsid w:val="002E536D"/>
    <w:rsid w:val="002E59C2"/>
    <w:rsid w:val="002F2536"/>
    <w:rsid w:val="0030069C"/>
    <w:rsid w:val="003007DF"/>
    <w:rsid w:val="0030084C"/>
    <w:rsid w:val="00301CDD"/>
    <w:rsid w:val="003039E1"/>
    <w:rsid w:val="00304BC3"/>
    <w:rsid w:val="00304C01"/>
    <w:rsid w:val="00311CAA"/>
    <w:rsid w:val="003129BA"/>
    <w:rsid w:val="003148FC"/>
    <w:rsid w:val="00317B27"/>
    <w:rsid w:val="00317F13"/>
    <w:rsid w:val="0032132E"/>
    <w:rsid w:val="00321D87"/>
    <w:rsid w:val="00321FD8"/>
    <w:rsid w:val="003258BB"/>
    <w:rsid w:val="00330820"/>
    <w:rsid w:val="00332F41"/>
    <w:rsid w:val="00334E2A"/>
    <w:rsid w:val="00335598"/>
    <w:rsid w:val="00336B2E"/>
    <w:rsid w:val="00337E72"/>
    <w:rsid w:val="00342808"/>
    <w:rsid w:val="0034574E"/>
    <w:rsid w:val="00345FF4"/>
    <w:rsid w:val="003465C8"/>
    <w:rsid w:val="0035189A"/>
    <w:rsid w:val="00354313"/>
    <w:rsid w:val="00355009"/>
    <w:rsid w:val="003575D4"/>
    <w:rsid w:val="00363E4A"/>
    <w:rsid w:val="0036540D"/>
    <w:rsid w:val="00367C9E"/>
    <w:rsid w:val="0037016B"/>
    <w:rsid w:val="00370FC0"/>
    <w:rsid w:val="00372A66"/>
    <w:rsid w:val="00372CC2"/>
    <w:rsid w:val="00373206"/>
    <w:rsid w:val="003737ED"/>
    <w:rsid w:val="00375B80"/>
    <w:rsid w:val="00376131"/>
    <w:rsid w:val="00377352"/>
    <w:rsid w:val="00377500"/>
    <w:rsid w:val="00382518"/>
    <w:rsid w:val="0038282A"/>
    <w:rsid w:val="003903C1"/>
    <w:rsid w:val="00392B3B"/>
    <w:rsid w:val="003940AA"/>
    <w:rsid w:val="003A10DA"/>
    <w:rsid w:val="003A12C8"/>
    <w:rsid w:val="003A2B44"/>
    <w:rsid w:val="003A6FFE"/>
    <w:rsid w:val="003A7695"/>
    <w:rsid w:val="003B369C"/>
    <w:rsid w:val="003B3A23"/>
    <w:rsid w:val="003B6592"/>
    <w:rsid w:val="003B7920"/>
    <w:rsid w:val="003C772C"/>
    <w:rsid w:val="003E045F"/>
    <w:rsid w:val="003E10EC"/>
    <w:rsid w:val="003E32D4"/>
    <w:rsid w:val="003E5A77"/>
    <w:rsid w:val="003F1CAE"/>
    <w:rsid w:val="003F2B58"/>
    <w:rsid w:val="003F5886"/>
    <w:rsid w:val="0040020C"/>
    <w:rsid w:val="00401CA0"/>
    <w:rsid w:val="00406293"/>
    <w:rsid w:val="0040700B"/>
    <w:rsid w:val="004077DB"/>
    <w:rsid w:val="00407F54"/>
    <w:rsid w:val="00411341"/>
    <w:rsid w:val="00411BE4"/>
    <w:rsid w:val="00413966"/>
    <w:rsid w:val="00415015"/>
    <w:rsid w:val="00415CDB"/>
    <w:rsid w:val="00417099"/>
    <w:rsid w:val="004231DC"/>
    <w:rsid w:val="0042551E"/>
    <w:rsid w:val="00433AD8"/>
    <w:rsid w:val="00437A53"/>
    <w:rsid w:val="00437D86"/>
    <w:rsid w:val="004412F3"/>
    <w:rsid w:val="004552A0"/>
    <w:rsid w:val="00457E34"/>
    <w:rsid w:val="00460A83"/>
    <w:rsid w:val="00460B3F"/>
    <w:rsid w:val="00464752"/>
    <w:rsid w:val="00472A55"/>
    <w:rsid w:val="00473609"/>
    <w:rsid w:val="00476068"/>
    <w:rsid w:val="004763B3"/>
    <w:rsid w:val="004764C8"/>
    <w:rsid w:val="00477619"/>
    <w:rsid w:val="00481291"/>
    <w:rsid w:val="00481DAD"/>
    <w:rsid w:val="00485227"/>
    <w:rsid w:val="00486E6E"/>
    <w:rsid w:val="004875DF"/>
    <w:rsid w:val="00487C1D"/>
    <w:rsid w:val="00490DBD"/>
    <w:rsid w:val="00490EE7"/>
    <w:rsid w:val="004912B2"/>
    <w:rsid w:val="0049186D"/>
    <w:rsid w:val="0049255B"/>
    <w:rsid w:val="004925C6"/>
    <w:rsid w:val="00494C6F"/>
    <w:rsid w:val="004957BD"/>
    <w:rsid w:val="004A5823"/>
    <w:rsid w:val="004B0AAF"/>
    <w:rsid w:val="004B214C"/>
    <w:rsid w:val="004B3924"/>
    <w:rsid w:val="004C3BA0"/>
    <w:rsid w:val="004C431A"/>
    <w:rsid w:val="004C4DDD"/>
    <w:rsid w:val="004C5F40"/>
    <w:rsid w:val="004C6953"/>
    <w:rsid w:val="004C7001"/>
    <w:rsid w:val="004D1706"/>
    <w:rsid w:val="004D243F"/>
    <w:rsid w:val="004D4CB9"/>
    <w:rsid w:val="004D7473"/>
    <w:rsid w:val="004E12D3"/>
    <w:rsid w:val="004E741B"/>
    <w:rsid w:val="004F2E8A"/>
    <w:rsid w:val="004F55E1"/>
    <w:rsid w:val="00501C4B"/>
    <w:rsid w:val="005020DA"/>
    <w:rsid w:val="005023E9"/>
    <w:rsid w:val="005028A7"/>
    <w:rsid w:val="0050332D"/>
    <w:rsid w:val="00505ACE"/>
    <w:rsid w:val="005078B7"/>
    <w:rsid w:val="00510D73"/>
    <w:rsid w:val="005114DE"/>
    <w:rsid w:val="0051216C"/>
    <w:rsid w:val="00512ACB"/>
    <w:rsid w:val="00520E92"/>
    <w:rsid w:val="0052216D"/>
    <w:rsid w:val="0052359B"/>
    <w:rsid w:val="00524989"/>
    <w:rsid w:val="00525B60"/>
    <w:rsid w:val="00526115"/>
    <w:rsid w:val="00531594"/>
    <w:rsid w:val="00533FAF"/>
    <w:rsid w:val="005356CA"/>
    <w:rsid w:val="00535C70"/>
    <w:rsid w:val="005366B6"/>
    <w:rsid w:val="00545BAC"/>
    <w:rsid w:val="00552F26"/>
    <w:rsid w:val="005536DD"/>
    <w:rsid w:val="00554BCD"/>
    <w:rsid w:val="00555F60"/>
    <w:rsid w:val="005600EE"/>
    <w:rsid w:val="005605A5"/>
    <w:rsid w:val="00560B3C"/>
    <w:rsid w:val="00561A97"/>
    <w:rsid w:val="00563DAC"/>
    <w:rsid w:val="00564227"/>
    <w:rsid w:val="005675E0"/>
    <w:rsid w:val="00570A71"/>
    <w:rsid w:val="00570C00"/>
    <w:rsid w:val="00575F55"/>
    <w:rsid w:val="00576AAA"/>
    <w:rsid w:val="0058059C"/>
    <w:rsid w:val="0058206B"/>
    <w:rsid w:val="00584253"/>
    <w:rsid w:val="00585690"/>
    <w:rsid w:val="00586EEB"/>
    <w:rsid w:val="00591B73"/>
    <w:rsid w:val="00591BDC"/>
    <w:rsid w:val="00594AAA"/>
    <w:rsid w:val="00595778"/>
    <w:rsid w:val="00595B33"/>
    <w:rsid w:val="0059662F"/>
    <w:rsid w:val="005B08B0"/>
    <w:rsid w:val="005B12D2"/>
    <w:rsid w:val="005B51D9"/>
    <w:rsid w:val="005B7254"/>
    <w:rsid w:val="005C042B"/>
    <w:rsid w:val="005C3BDF"/>
    <w:rsid w:val="005D3066"/>
    <w:rsid w:val="005D7528"/>
    <w:rsid w:val="005D7E09"/>
    <w:rsid w:val="005E159D"/>
    <w:rsid w:val="005E2198"/>
    <w:rsid w:val="005E36BB"/>
    <w:rsid w:val="005E4124"/>
    <w:rsid w:val="005E4591"/>
    <w:rsid w:val="005E4B13"/>
    <w:rsid w:val="005E4C02"/>
    <w:rsid w:val="005F01DF"/>
    <w:rsid w:val="005F08BA"/>
    <w:rsid w:val="005F100D"/>
    <w:rsid w:val="005F6E6A"/>
    <w:rsid w:val="005F76CC"/>
    <w:rsid w:val="005F7FF8"/>
    <w:rsid w:val="006004C4"/>
    <w:rsid w:val="00600CA4"/>
    <w:rsid w:val="00600F88"/>
    <w:rsid w:val="00601A9B"/>
    <w:rsid w:val="00602416"/>
    <w:rsid w:val="006025CE"/>
    <w:rsid w:val="00603635"/>
    <w:rsid w:val="00603DAA"/>
    <w:rsid w:val="006041F2"/>
    <w:rsid w:val="006064F5"/>
    <w:rsid w:val="00617298"/>
    <w:rsid w:val="0061730F"/>
    <w:rsid w:val="00620D4C"/>
    <w:rsid w:val="00627DDB"/>
    <w:rsid w:val="0063648A"/>
    <w:rsid w:val="00637753"/>
    <w:rsid w:val="006378FD"/>
    <w:rsid w:val="006508C4"/>
    <w:rsid w:val="00651A80"/>
    <w:rsid w:val="00653B3C"/>
    <w:rsid w:val="00660CE4"/>
    <w:rsid w:val="006615AF"/>
    <w:rsid w:val="006619CB"/>
    <w:rsid w:val="00662716"/>
    <w:rsid w:val="00663110"/>
    <w:rsid w:val="00673A8E"/>
    <w:rsid w:val="00676C9F"/>
    <w:rsid w:val="00677B13"/>
    <w:rsid w:val="00677F4E"/>
    <w:rsid w:val="00677F8A"/>
    <w:rsid w:val="006804FD"/>
    <w:rsid w:val="00681A08"/>
    <w:rsid w:val="00685ECF"/>
    <w:rsid w:val="0068669F"/>
    <w:rsid w:val="006875B8"/>
    <w:rsid w:val="00687CEA"/>
    <w:rsid w:val="00694E01"/>
    <w:rsid w:val="00695171"/>
    <w:rsid w:val="00695B75"/>
    <w:rsid w:val="006A1A95"/>
    <w:rsid w:val="006A38B7"/>
    <w:rsid w:val="006A4939"/>
    <w:rsid w:val="006A576F"/>
    <w:rsid w:val="006A5C31"/>
    <w:rsid w:val="006B08A4"/>
    <w:rsid w:val="006B0998"/>
    <w:rsid w:val="006B1CB2"/>
    <w:rsid w:val="006B1DD1"/>
    <w:rsid w:val="006B3396"/>
    <w:rsid w:val="006B45B9"/>
    <w:rsid w:val="006B4706"/>
    <w:rsid w:val="006B4FE7"/>
    <w:rsid w:val="006C0983"/>
    <w:rsid w:val="006C1497"/>
    <w:rsid w:val="006C195E"/>
    <w:rsid w:val="006D638F"/>
    <w:rsid w:val="006D7384"/>
    <w:rsid w:val="006E195E"/>
    <w:rsid w:val="006E7BF7"/>
    <w:rsid w:val="006F3018"/>
    <w:rsid w:val="006F73D2"/>
    <w:rsid w:val="00700FCB"/>
    <w:rsid w:val="00702F2C"/>
    <w:rsid w:val="007056FE"/>
    <w:rsid w:val="007068C8"/>
    <w:rsid w:val="00714C9E"/>
    <w:rsid w:val="00715B8F"/>
    <w:rsid w:val="007173BB"/>
    <w:rsid w:val="0072260E"/>
    <w:rsid w:val="00726C63"/>
    <w:rsid w:val="0073106E"/>
    <w:rsid w:val="007339E3"/>
    <w:rsid w:val="00754160"/>
    <w:rsid w:val="00755142"/>
    <w:rsid w:val="00756BB7"/>
    <w:rsid w:val="0075764B"/>
    <w:rsid w:val="00760C01"/>
    <w:rsid w:val="00761293"/>
    <w:rsid w:val="00763794"/>
    <w:rsid w:val="007655F4"/>
    <w:rsid w:val="00767C04"/>
    <w:rsid w:val="00772F86"/>
    <w:rsid w:val="007736A2"/>
    <w:rsid w:val="00780F88"/>
    <w:rsid w:val="00782E4B"/>
    <w:rsid w:val="00793046"/>
    <w:rsid w:val="007949C8"/>
    <w:rsid w:val="00795703"/>
    <w:rsid w:val="007979E3"/>
    <w:rsid w:val="007A51BB"/>
    <w:rsid w:val="007A6226"/>
    <w:rsid w:val="007B2EEB"/>
    <w:rsid w:val="007B3C61"/>
    <w:rsid w:val="007C1BEC"/>
    <w:rsid w:val="007C3A5F"/>
    <w:rsid w:val="007C6A93"/>
    <w:rsid w:val="007D1918"/>
    <w:rsid w:val="007D4257"/>
    <w:rsid w:val="007D4A15"/>
    <w:rsid w:val="007E2F24"/>
    <w:rsid w:val="007F03F2"/>
    <w:rsid w:val="007F4311"/>
    <w:rsid w:val="008031DF"/>
    <w:rsid w:val="00804685"/>
    <w:rsid w:val="00804867"/>
    <w:rsid w:val="008065D7"/>
    <w:rsid w:val="008111A3"/>
    <w:rsid w:val="00816E30"/>
    <w:rsid w:val="008173A2"/>
    <w:rsid w:val="00817D78"/>
    <w:rsid w:val="00820140"/>
    <w:rsid w:val="0082264B"/>
    <w:rsid w:val="00822DD0"/>
    <w:rsid w:val="00824991"/>
    <w:rsid w:val="008255FF"/>
    <w:rsid w:val="00825962"/>
    <w:rsid w:val="00826D6B"/>
    <w:rsid w:val="0082765B"/>
    <w:rsid w:val="008352B1"/>
    <w:rsid w:val="008353E7"/>
    <w:rsid w:val="00835BD7"/>
    <w:rsid w:val="008428E8"/>
    <w:rsid w:val="00842F2E"/>
    <w:rsid w:val="008438FC"/>
    <w:rsid w:val="00843D71"/>
    <w:rsid w:val="0084610C"/>
    <w:rsid w:val="00846F11"/>
    <w:rsid w:val="0084745A"/>
    <w:rsid w:val="008504B3"/>
    <w:rsid w:val="008504D0"/>
    <w:rsid w:val="00854D4D"/>
    <w:rsid w:val="00865329"/>
    <w:rsid w:val="0086608F"/>
    <w:rsid w:val="00870045"/>
    <w:rsid w:val="008719AB"/>
    <w:rsid w:val="00875CCE"/>
    <w:rsid w:val="00875DF5"/>
    <w:rsid w:val="00876E5F"/>
    <w:rsid w:val="0087766B"/>
    <w:rsid w:val="00884A12"/>
    <w:rsid w:val="00890CE4"/>
    <w:rsid w:val="00891ED7"/>
    <w:rsid w:val="008965F2"/>
    <w:rsid w:val="008A048B"/>
    <w:rsid w:val="008A4A94"/>
    <w:rsid w:val="008B47D7"/>
    <w:rsid w:val="008B7B54"/>
    <w:rsid w:val="008C3187"/>
    <w:rsid w:val="008C527E"/>
    <w:rsid w:val="008C5E4F"/>
    <w:rsid w:val="008D53DA"/>
    <w:rsid w:val="008D63B7"/>
    <w:rsid w:val="008D6A03"/>
    <w:rsid w:val="008D6CA7"/>
    <w:rsid w:val="008D76F6"/>
    <w:rsid w:val="008E4322"/>
    <w:rsid w:val="008E4735"/>
    <w:rsid w:val="008E508C"/>
    <w:rsid w:val="008E7FEE"/>
    <w:rsid w:val="008F2F06"/>
    <w:rsid w:val="008F31F5"/>
    <w:rsid w:val="008F3E85"/>
    <w:rsid w:val="008F67F5"/>
    <w:rsid w:val="008F6BCE"/>
    <w:rsid w:val="008F707C"/>
    <w:rsid w:val="008F7541"/>
    <w:rsid w:val="00900D4B"/>
    <w:rsid w:val="00903145"/>
    <w:rsid w:val="00905F9B"/>
    <w:rsid w:val="00906BA7"/>
    <w:rsid w:val="00906D17"/>
    <w:rsid w:val="00910C11"/>
    <w:rsid w:val="00913E95"/>
    <w:rsid w:val="009170B9"/>
    <w:rsid w:val="00920441"/>
    <w:rsid w:val="00923A87"/>
    <w:rsid w:val="00927482"/>
    <w:rsid w:val="00936919"/>
    <w:rsid w:val="00936FF5"/>
    <w:rsid w:val="009376D4"/>
    <w:rsid w:val="009421BC"/>
    <w:rsid w:val="009440E2"/>
    <w:rsid w:val="0094654B"/>
    <w:rsid w:val="0095112B"/>
    <w:rsid w:val="00951140"/>
    <w:rsid w:val="0095712A"/>
    <w:rsid w:val="009601AD"/>
    <w:rsid w:val="0096030C"/>
    <w:rsid w:val="009722E0"/>
    <w:rsid w:val="00973A6D"/>
    <w:rsid w:val="009804E0"/>
    <w:rsid w:val="00983735"/>
    <w:rsid w:val="00985174"/>
    <w:rsid w:val="009865AA"/>
    <w:rsid w:val="00987080"/>
    <w:rsid w:val="0098765A"/>
    <w:rsid w:val="00987929"/>
    <w:rsid w:val="00987E5B"/>
    <w:rsid w:val="00991620"/>
    <w:rsid w:val="00996086"/>
    <w:rsid w:val="009968B0"/>
    <w:rsid w:val="009A5F9C"/>
    <w:rsid w:val="009A6CB2"/>
    <w:rsid w:val="009A75D0"/>
    <w:rsid w:val="009A79BA"/>
    <w:rsid w:val="009B0982"/>
    <w:rsid w:val="009B4C99"/>
    <w:rsid w:val="009B7AC1"/>
    <w:rsid w:val="009C13FB"/>
    <w:rsid w:val="009C40F7"/>
    <w:rsid w:val="009C61B9"/>
    <w:rsid w:val="009C7CF9"/>
    <w:rsid w:val="009D0663"/>
    <w:rsid w:val="009D28CF"/>
    <w:rsid w:val="009D30F4"/>
    <w:rsid w:val="009D4252"/>
    <w:rsid w:val="009E0732"/>
    <w:rsid w:val="009E2C8D"/>
    <w:rsid w:val="009E57CD"/>
    <w:rsid w:val="009E5D36"/>
    <w:rsid w:val="009E6375"/>
    <w:rsid w:val="009E7CA0"/>
    <w:rsid w:val="009F0B8B"/>
    <w:rsid w:val="00A04392"/>
    <w:rsid w:val="00A069CE"/>
    <w:rsid w:val="00A102A2"/>
    <w:rsid w:val="00A109D8"/>
    <w:rsid w:val="00A11346"/>
    <w:rsid w:val="00A120FF"/>
    <w:rsid w:val="00A12807"/>
    <w:rsid w:val="00A13FD9"/>
    <w:rsid w:val="00A16003"/>
    <w:rsid w:val="00A167D7"/>
    <w:rsid w:val="00A20E9C"/>
    <w:rsid w:val="00A23D39"/>
    <w:rsid w:val="00A23EC2"/>
    <w:rsid w:val="00A24FBB"/>
    <w:rsid w:val="00A25124"/>
    <w:rsid w:val="00A300FF"/>
    <w:rsid w:val="00A3278F"/>
    <w:rsid w:val="00A3453E"/>
    <w:rsid w:val="00A356B0"/>
    <w:rsid w:val="00A42CF0"/>
    <w:rsid w:val="00A42ED2"/>
    <w:rsid w:val="00A44B33"/>
    <w:rsid w:val="00A44D62"/>
    <w:rsid w:val="00A47FEA"/>
    <w:rsid w:val="00A50E00"/>
    <w:rsid w:val="00A52529"/>
    <w:rsid w:val="00A53624"/>
    <w:rsid w:val="00A53F7B"/>
    <w:rsid w:val="00A55CDB"/>
    <w:rsid w:val="00A55EAF"/>
    <w:rsid w:val="00A573AA"/>
    <w:rsid w:val="00A5766B"/>
    <w:rsid w:val="00A711A9"/>
    <w:rsid w:val="00A7161A"/>
    <w:rsid w:val="00A72A47"/>
    <w:rsid w:val="00A74D02"/>
    <w:rsid w:val="00A77512"/>
    <w:rsid w:val="00A83053"/>
    <w:rsid w:val="00A863E3"/>
    <w:rsid w:val="00A93758"/>
    <w:rsid w:val="00A94161"/>
    <w:rsid w:val="00A97BFB"/>
    <w:rsid w:val="00AA0F1E"/>
    <w:rsid w:val="00AA213A"/>
    <w:rsid w:val="00AA5C62"/>
    <w:rsid w:val="00AA74E2"/>
    <w:rsid w:val="00AB0BBC"/>
    <w:rsid w:val="00AB326C"/>
    <w:rsid w:val="00AB3A92"/>
    <w:rsid w:val="00AB478B"/>
    <w:rsid w:val="00AB47AC"/>
    <w:rsid w:val="00AB4AD9"/>
    <w:rsid w:val="00AC29BD"/>
    <w:rsid w:val="00AD47EF"/>
    <w:rsid w:val="00AD640D"/>
    <w:rsid w:val="00AD6E77"/>
    <w:rsid w:val="00AD7A25"/>
    <w:rsid w:val="00AE2666"/>
    <w:rsid w:val="00AE4306"/>
    <w:rsid w:val="00AE4720"/>
    <w:rsid w:val="00AE478C"/>
    <w:rsid w:val="00AF3A1F"/>
    <w:rsid w:val="00AF3A5A"/>
    <w:rsid w:val="00AF3E15"/>
    <w:rsid w:val="00AF5125"/>
    <w:rsid w:val="00AF5218"/>
    <w:rsid w:val="00AF60A0"/>
    <w:rsid w:val="00B00F69"/>
    <w:rsid w:val="00B01A6F"/>
    <w:rsid w:val="00B037D1"/>
    <w:rsid w:val="00B03C92"/>
    <w:rsid w:val="00B0480E"/>
    <w:rsid w:val="00B05151"/>
    <w:rsid w:val="00B1026A"/>
    <w:rsid w:val="00B1087E"/>
    <w:rsid w:val="00B1221E"/>
    <w:rsid w:val="00B15009"/>
    <w:rsid w:val="00B21166"/>
    <w:rsid w:val="00B23D21"/>
    <w:rsid w:val="00B2472F"/>
    <w:rsid w:val="00B263AE"/>
    <w:rsid w:val="00B30DFD"/>
    <w:rsid w:val="00B33A6C"/>
    <w:rsid w:val="00B33DE9"/>
    <w:rsid w:val="00B42188"/>
    <w:rsid w:val="00B42E3F"/>
    <w:rsid w:val="00B42F17"/>
    <w:rsid w:val="00B43187"/>
    <w:rsid w:val="00B43A02"/>
    <w:rsid w:val="00B4532B"/>
    <w:rsid w:val="00B45F54"/>
    <w:rsid w:val="00B47091"/>
    <w:rsid w:val="00B4711E"/>
    <w:rsid w:val="00B4791A"/>
    <w:rsid w:val="00B47C1D"/>
    <w:rsid w:val="00B52F51"/>
    <w:rsid w:val="00B56534"/>
    <w:rsid w:val="00B57A21"/>
    <w:rsid w:val="00B57AB7"/>
    <w:rsid w:val="00B6060B"/>
    <w:rsid w:val="00B62C3E"/>
    <w:rsid w:val="00B645DE"/>
    <w:rsid w:val="00B65857"/>
    <w:rsid w:val="00B65BD1"/>
    <w:rsid w:val="00B66698"/>
    <w:rsid w:val="00B745DC"/>
    <w:rsid w:val="00B76A5D"/>
    <w:rsid w:val="00B80B13"/>
    <w:rsid w:val="00B84350"/>
    <w:rsid w:val="00B855A6"/>
    <w:rsid w:val="00B85B8B"/>
    <w:rsid w:val="00B91098"/>
    <w:rsid w:val="00B91904"/>
    <w:rsid w:val="00B92735"/>
    <w:rsid w:val="00B969ED"/>
    <w:rsid w:val="00BA3A16"/>
    <w:rsid w:val="00BA77F1"/>
    <w:rsid w:val="00BB0D90"/>
    <w:rsid w:val="00BB28CC"/>
    <w:rsid w:val="00BB60C6"/>
    <w:rsid w:val="00BB6333"/>
    <w:rsid w:val="00BB7984"/>
    <w:rsid w:val="00BC45F7"/>
    <w:rsid w:val="00BC6A06"/>
    <w:rsid w:val="00BC71CE"/>
    <w:rsid w:val="00BD137C"/>
    <w:rsid w:val="00BD2521"/>
    <w:rsid w:val="00BD38BB"/>
    <w:rsid w:val="00BE2EC1"/>
    <w:rsid w:val="00BE3BC7"/>
    <w:rsid w:val="00BF1AB7"/>
    <w:rsid w:val="00BF553C"/>
    <w:rsid w:val="00BF5B87"/>
    <w:rsid w:val="00BF7FE9"/>
    <w:rsid w:val="00C00702"/>
    <w:rsid w:val="00C02EC9"/>
    <w:rsid w:val="00C03596"/>
    <w:rsid w:val="00C052AA"/>
    <w:rsid w:val="00C05BAF"/>
    <w:rsid w:val="00C05EEC"/>
    <w:rsid w:val="00C12302"/>
    <w:rsid w:val="00C142C7"/>
    <w:rsid w:val="00C15A13"/>
    <w:rsid w:val="00C15E94"/>
    <w:rsid w:val="00C16F3B"/>
    <w:rsid w:val="00C221F2"/>
    <w:rsid w:val="00C22F7D"/>
    <w:rsid w:val="00C238D9"/>
    <w:rsid w:val="00C24A9D"/>
    <w:rsid w:val="00C2677E"/>
    <w:rsid w:val="00C31542"/>
    <w:rsid w:val="00C368DA"/>
    <w:rsid w:val="00C37282"/>
    <w:rsid w:val="00C41CCE"/>
    <w:rsid w:val="00C44216"/>
    <w:rsid w:val="00C5028E"/>
    <w:rsid w:val="00C50E2B"/>
    <w:rsid w:val="00C53A29"/>
    <w:rsid w:val="00C54E78"/>
    <w:rsid w:val="00C56ED9"/>
    <w:rsid w:val="00C6078D"/>
    <w:rsid w:val="00C61636"/>
    <w:rsid w:val="00C62C2B"/>
    <w:rsid w:val="00C657CF"/>
    <w:rsid w:val="00C66673"/>
    <w:rsid w:val="00C67FB8"/>
    <w:rsid w:val="00C7364C"/>
    <w:rsid w:val="00C80D62"/>
    <w:rsid w:val="00C8388B"/>
    <w:rsid w:val="00C84944"/>
    <w:rsid w:val="00C861C5"/>
    <w:rsid w:val="00C90217"/>
    <w:rsid w:val="00C96BFD"/>
    <w:rsid w:val="00C96C98"/>
    <w:rsid w:val="00C97E4A"/>
    <w:rsid w:val="00CA334F"/>
    <w:rsid w:val="00CA5358"/>
    <w:rsid w:val="00CA74A4"/>
    <w:rsid w:val="00CB0B17"/>
    <w:rsid w:val="00CB1DCA"/>
    <w:rsid w:val="00CB4F89"/>
    <w:rsid w:val="00CB7144"/>
    <w:rsid w:val="00CD1082"/>
    <w:rsid w:val="00CD48C8"/>
    <w:rsid w:val="00CD502A"/>
    <w:rsid w:val="00CE2F9E"/>
    <w:rsid w:val="00CF0109"/>
    <w:rsid w:val="00CF12CF"/>
    <w:rsid w:val="00CF4BE3"/>
    <w:rsid w:val="00D02D67"/>
    <w:rsid w:val="00D060D2"/>
    <w:rsid w:val="00D0769A"/>
    <w:rsid w:val="00D13E2D"/>
    <w:rsid w:val="00D14394"/>
    <w:rsid w:val="00D14A2B"/>
    <w:rsid w:val="00D1634D"/>
    <w:rsid w:val="00D171BD"/>
    <w:rsid w:val="00D20EB6"/>
    <w:rsid w:val="00D21FB1"/>
    <w:rsid w:val="00D22AE8"/>
    <w:rsid w:val="00D242CD"/>
    <w:rsid w:val="00D25B36"/>
    <w:rsid w:val="00D26F74"/>
    <w:rsid w:val="00D273B3"/>
    <w:rsid w:val="00D30E95"/>
    <w:rsid w:val="00D3122A"/>
    <w:rsid w:val="00D31D72"/>
    <w:rsid w:val="00D341C3"/>
    <w:rsid w:val="00D35064"/>
    <w:rsid w:val="00D37DC6"/>
    <w:rsid w:val="00D42843"/>
    <w:rsid w:val="00D45136"/>
    <w:rsid w:val="00D50000"/>
    <w:rsid w:val="00D501FB"/>
    <w:rsid w:val="00D5152A"/>
    <w:rsid w:val="00D53B1D"/>
    <w:rsid w:val="00D560EB"/>
    <w:rsid w:val="00D563D7"/>
    <w:rsid w:val="00D65145"/>
    <w:rsid w:val="00D7339C"/>
    <w:rsid w:val="00D73D87"/>
    <w:rsid w:val="00D74314"/>
    <w:rsid w:val="00D74833"/>
    <w:rsid w:val="00D757DC"/>
    <w:rsid w:val="00D76FEB"/>
    <w:rsid w:val="00D80F75"/>
    <w:rsid w:val="00D81410"/>
    <w:rsid w:val="00D84254"/>
    <w:rsid w:val="00D87465"/>
    <w:rsid w:val="00D92505"/>
    <w:rsid w:val="00DA167E"/>
    <w:rsid w:val="00DA267C"/>
    <w:rsid w:val="00DA27B3"/>
    <w:rsid w:val="00DA5101"/>
    <w:rsid w:val="00DA79EF"/>
    <w:rsid w:val="00DB0C0B"/>
    <w:rsid w:val="00DB3B74"/>
    <w:rsid w:val="00DC42D1"/>
    <w:rsid w:val="00DC5870"/>
    <w:rsid w:val="00DD0384"/>
    <w:rsid w:val="00DD0901"/>
    <w:rsid w:val="00DD4A65"/>
    <w:rsid w:val="00DD4AB0"/>
    <w:rsid w:val="00DE039F"/>
    <w:rsid w:val="00DE16B6"/>
    <w:rsid w:val="00DE1914"/>
    <w:rsid w:val="00DE31A9"/>
    <w:rsid w:val="00DE3323"/>
    <w:rsid w:val="00DE36CA"/>
    <w:rsid w:val="00DE7E63"/>
    <w:rsid w:val="00DE7F55"/>
    <w:rsid w:val="00DF0DF4"/>
    <w:rsid w:val="00DF77A2"/>
    <w:rsid w:val="00DF7DE5"/>
    <w:rsid w:val="00E0010B"/>
    <w:rsid w:val="00E008B6"/>
    <w:rsid w:val="00E019C8"/>
    <w:rsid w:val="00E021CA"/>
    <w:rsid w:val="00E0500C"/>
    <w:rsid w:val="00E05D59"/>
    <w:rsid w:val="00E075BE"/>
    <w:rsid w:val="00E11CD1"/>
    <w:rsid w:val="00E13A32"/>
    <w:rsid w:val="00E13AD4"/>
    <w:rsid w:val="00E2633F"/>
    <w:rsid w:val="00E27D70"/>
    <w:rsid w:val="00E3084C"/>
    <w:rsid w:val="00E35CB5"/>
    <w:rsid w:val="00E367C5"/>
    <w:rsid w:val="00E37E71"/>
    <w:rsid w:val="00E42486"/>
    <w:rsid w:val="00E42847"/>
    <w:rsid w:val="00E44DEF"/>
    <w:rsid w:val="00E45CEC"/>
    <w:rsid w:val="00E46064"/>
    <w:rsid w:val="00E462D0"/>
    <w:rsid w:val="00E52CC6"/>
    <w:rsid w:val="00E57669"/>
    <w:rsid w:val="00E604A1"/>
    <w:rsid w:val="00E6177B"/>
    <w:rsid w:val="00E6722C"/>
    <w:rsid w:val="00E67FFA"/>
    <w:rsid w:val="00E7293C"/>
    <w:rsid w:val="00E7319C"/>
    <w:rsid w:val="00E73AA8"/>
    <w:rsid w:val="00E7561E"/>
    <w:rsid w:val="00E75DB2"/>
    <w:rsid w:val="00E76812"/>
    <w:rsid w:val="00E80228"/>
    <w:rsid w:val="00E86D2A"/>
    <w:rsid w:val="00E8711A"/>
    <w:rsid w:val="00E874BB"/>
    <w:rsid w:val="00E90D89"/>
    <w:rsid w:val="00EA1BF1"/>
    <w:rsid w:val="00EA2ED4"/>
    <w:rsid w:val="00EA491A"/>
    <w:rsid w:val="00EB1583"/>
    <w:rsid w:val="00EB16D9"/>
    <w:rsid w:val="00EB54A9"/>
    <w:rsid w:val="00EB75BC"/>
    <w:rsid w:val="00EC23FB"/>
    <w:rsid w:val="00EC6F5E"/>
    <w:rsid w:val="00EC7017"/>
    <w:rsid w:val="00ED4356"/>
    <w:rsid w:val="00ED7681"/>
    <w:rsid w:val="00EE243C"/>
    <w:rsid w:val="00EE5C12"/>
    <w:rsid w:val="00EF00AC"/>
    <w:rsid w:val="00EF4AF5"/>
    <w:rsid w:val="00EF63C6"/>
    <w:rsid w:val="00F02D9B"/>
    <w:rsid w:val="00F031E4"/>
    <w:rsid w:val="00F034FB"/>
    <w:rsid w:val="00F03549"/>
    <w:rsid w:val="00F05606"/>
    <w:rsid w:val="00F05D49"/>
    <w:rsid w:val="00F105F5"/>
    <w:rsid w:val="00F1075A"/>
    <w:rsid w:val="00F11C7E"/>
    <w:rsid w:val="00F13515"/>
    <w:rsid w:val="00F144D9"/>
    <w:rsid w:val="00F14CFC"/>
    <w:rsid w:val="00F22E82"/>
    <w:rsid w:val="00F2483A"/>
    <w:rsid w:val="00F25E7D"/>
    <w:rsid w:val="00F26F8A"/>
    <w:rsid w:val="00F337BF"/>
    <w:rsid w:val="00F33D14"/>
    <w:rsid w:val="00F3484D"/>
    <w:rsid w:val="00F441AF"/>
    <w:rsid w:val="00F473B6"/>
    <w:rsid w:val="00F47D11"/>
    <w:rsid w:val="00F522E3"/>
    <w:rsid w:val="00F52E57"/>
    <w:rsid w:val="00F53E06"/>
    <w:rsid w:val="00F54188"/>
    <w:rsid w:val="00F54CC0"/>
    <w:rsid w:val="00F5628C"/>
    <w:rsid w:val="00F6387C"/>
    <w:rsid w:val="00F6641A"/>
    <w:rsid w:val="00F71849"/>
    <w:rsid w:val="00F71DEE"/>
    <w:rsid w:val="00F727A5"/>
    <w:rsid w:val="00F847A9"/>
    <w:rsid w:val="00F91668"/>
    <w:rsid w:val="00F95F85"/>
    <w:rsid w:val="00FA5FE9"/>
    <w:rsid w:val="00FA6479"/>
    <w:rsid w:val="00FA67D2"/>
    <w:rsid w:val="00FB0F4C"/>
    <w:rsid w:val="00FB1990"/>
    <w:rsid w:val="00FB302F"/>
    <w:rsid w:val="00FB3D94"/>
    <w:rsid w:val="00FB5A92"/>
    <w:rsid w:val="00FC0189"/>
    <w:rsid w:val="00FC18F5"/>
    <w:rsid w:val="00FC1C69"/>
    <w:rsid w:val="00FC3739"/>
    <w:rsid w:val="00FC5555"/>
    <w:rsid w:val="00FD0556"/>
    <w:rsid w:val="00FD12B1"/>
    <w:rsid w:val="00FD1B30"/>
    <w:rsid w:val="00FD21E9"/>
    <w:rsid w:val="00FD644D"/>
    <w:rsid w:val="00FE3AF8"/>
    <w:rsid w:val="00FE5054"/>
    <w:rsid w:val="00FE5AD9"/>
    <w:rsid w:val="00FE7A33"/>
    <w:rsid w:val="00FF3414"/>
    <w:rsid w:val="00FF63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B4009B"/>
  <w15:chartTrackingRefBased/>
  <w15:docId w15:val="{1300A82C-087F-4891-9E08-981EC518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239"/>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customStyle="1" w:styleId="DIATable1">
    <w:name w:val="_DIA Table1"/>
    <w:basedOn w:val="TableNormal"/>
    <w:uiPriority w:val="99"/>
    <w:rsid w:val="00104A25"/>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UnresolvedMention">
    <w:name w:val="Unresolved Mention"/>
    <w:basedOn w:val="DefaultParagraphFont"/>
    <w:uiPriority w:val="99"/>
    <w:semiHidden/>
    <w:unhideWhenUsed/>
    <w:rsid w:val="002770AE"/>
    <w:rPr>
      <w:color w:val="605E5C"/>
      <w:shd w:val="clear" w:color="auto" w:fill="E1DFDD"/>
    </w:rPr>
  </w:style>
  <w:style w:type="paragraph" w:styleId="TOCHeading">
    <w:name w:val="TOC Heading"/>
    <w:basedOn w:val="Heading1"/>
    <w:next w:val="Normal"/>
    <w:uiPriority w:val="39"/>
    <w:unhideWhenUsed/>
    <w:qFormat/>
    <w:rsid w:val="00E3084C"/>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paragraph" w:styleId="NoSpacing">
    <w:name w:val="No Spacing"/>
    <w:link w:val="NoSpacingChar"/>
    <w:uiPriority w:val="1"/>
    <w:qFormat/>
    <w:rsid w:val="008F707C"/>
    <w:pPr>
      <w:spacing w:before="0" w:after="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F707C"/>
    <w:rPr>
      <w:rFonts w:asciiTheme="minorHAnsi" w:eastAsiaTheme="minorEastAsia" w:hAnsiTheme="minorHAnsi" w:cstheme="minorBidi"/>
      <w:sz w:val="22"/>
      <w:szCs w:val="22"/>
      <w:lang w:val="en-US" w:eastAsia="en-US"/>
    </w:rPr>
  </w:style>
  <w:style w:type="table" w:styleId="TableGridLight">
    <w:name w:val="Grid Table Light"/>
    <w:basedOn w:val="TableNormal"/>
    <w:uiPriority w:val="40"/>
    <w:rsid w:val="009D425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D425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5189A"/>
    <w:pPr>
      <w:spacing w:before="0" w:after="0"/>
    </w:pPr>
    <w:rPr>
      <w:lang w:eastAsia="en-US"/>
    </w:rPr>
  </w:style>
  <w:style w:type="paragraph" w:styleId="CommentText">
    <w:name w:val="annotation text"/>
    <w:basedOn w:val="Normal"/>
    <w:link w:val="CommentTextChar"/>
    <w:uiPriority w:val="99"/>
    <w:semiHidden/>
    <w:unhideWhenUsed/>
    <w:rsid w:val="00B47C1D"/>
    <w:rPr>
      <w:sz w:val="20"/>
      <w:szCs w:val="20"/>
    </w:rPr>
  </w:style>
  <w:style w:type="character" w:customStyle="1" w:styleId="CommentTextChar">
    <w:name w:val="Comment Text Char"/>
    <w:basedOn w:val="DefaultParagraphFont"/>
    <w:link w:val="CommentText"/>
    <w:uiPriority w:val="99"/>
    <w:semiHidden/>
    <w:rsid w:val="00B47C1D"/>
    <w:rPr>
      <w:sz w:val="20"/>
      <w:szCs w:val="20"/>
      <w:lang w:eastAsia="en-US"/>
    </w:rPr>
  </w:style>
  <w:style w:type="paragraph" w:styleId="CommentSubject">
    <w:name w:val="annotation subject"/>
    <w:basedOn w:val="CommentText"/>
    <w:next w:val="CommentText"/>
    <w:link w:val="CommentSubjectChar"/>
    <w:uiPriority w:val="99"/>
    <w:semiHidden/>
    <w:unhideWhenUsed/>
    <w:rsid w:val="00473609"/>
    <w:rPr>
      <w:b/>
      <w:bCs/>
    </w:rPr>
  </w:style>
  <w:style w:type="character" w:customStyle="1" w:styleId="CommentSubjectChar">
    <w:name w:val="Comment Subject Char"/>
    <w:basedOn w:val="CommentTextChar"/>
    <w:link w:val="CommentSubject"/>
    <w:uiPriority w:val="99"/>
    <w:semiHidden/>
    <w:rsid w:val="00473609"/>
    <w:rPr>
      <w:b/>
      <w:bCs/>
      <w:sz w:val="20"/>
      <w:szCs w:val="20"/>
      <w:lang w:eastAsia="en-US"/>
    </w:rPr>
  </w:style>
  <w:style w:type="table" w:customStyle="1" w:styleId="Blanktable1">
    <w:name w:val="Blank table1"/>
    <w:basedOn w:val="TableNormal"/>
    <w:uiPriority w:val="99"/>
    <w:rsid w:val="00E44DEF"/>
    <w:rPr>
      <w:rFonts w:eastAsia="Batang"/>
    </w:rPr>
    <w:tblPr>
      <w:tblInd w:w="108" w:type="dx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92129">
      <w:bodyDiv w:val="1"/>
      <w:marLeft w:val="0"/>
      <w:marRight w:val="0"/>
      <w:marTop w:val="0"/>
      <w:marBottom w:val="0"/>
      <w:divBdr>
        <w:top w:val="none" w:sz="0" w:space="0" w:color="auto"/>
        <w:left w:val="none" w:sz="0" w:space="0" w:color="auto"/>
        <w:bottom w:val="none" w:sz="0" w:space="0" w:color="auto"/>
        <w:right w:val="none" w:sz="0" w:space="0" w:color="auto"/>
      </w:divBdr>
      <w:divsChild>
        <w:div w:id="1147016588">
          <w:marLeft w:val="547"/>
          <w:marRight w:val="0"/>
          <w:marTop w:val="0"/>
          <w:marBottom w:val="0"/>
          <w:divBdr>
            <w:top w:val="none" w:sz="0" w:space="0" w:color="auto"/>
            <w:left w:val="none" w:sz="0" w:space="0" w:color="auto"/>
            <w:bottom w:val="none" w:sz="0" w:space="0" w:color="auto"/>
            <w:right w:val="none" w:sz="0" w:space="0" w:color="auto"/>
          </w:divBdr>
        </w:div>
        <w:div w:id="2021422537">
          <w:marLeft w:val="547"/>
          <w:marRight w:val="0"/>
          <w:marTop w:val="0"/>
          <w:marBottom w:val="0"/>
          <w:divBdr>
            <w:top w:val="none" w:sz="0" w:space="0" w:color="auto"/>
            <w:left w:val="none" w:sz="0" w:space="0" w:color="auto"/>
            <w:bottom w:val="none" w:sz="0" w:space="0" w:color="auto"/>
            <w:right w:val="none" w:sz="0" w:space="0" w:color="auto"/>
          </w:divBdr>
        </w:div>
        <w:div w:id="1240099573">
          <w:marLeft w:val="1166"/>
          <w:marRight w:val="0"/>
          <w:marTop w:val="0"/>
          <w:marBottom w:val="0"/>
          <w:divBdr>
            <w:top w:val="none" w:sz="0" w:space="0" w:color="auto"/>
            <w:left w:val="none" w:sz="0" w:space="0" w:color="auto"/>
            <w:bottom w:val="none" w:sz="0" w:space="0" w:color="auto"/>
            <w:right w:val="none" w:sz="0" w:space="0" w:color="auto"/>
          </w:divBdr>
        </w:div>
        <w:div w:id="319887439">
          <w:marLeft w:val="1166"/>
          <w:marRight w:val="0"/>
          <w:marTop w:val="0"/>
          <w:marBottom w:val="0"/>
          <w:divBdr>
            <w:top w:val="none" w:sz="0" w:space="0" w:color="auto"/>
            <w:left w:val="none" w:sz="0" w:space="0" w:color="auto"/>
            <w:bottom w:val="none" w:sz="0" w:space="0" w:color="auto"/>
            <w:right w:val="none" w:sz="0" w:space="0" w:color="auto"/>
          </w:divBdr>
        </w:div>
      </w:divsChild>
    </w:div>
    <w:div w:id="300616532">
      <w:bodyDiv w:val="1"/>
      <w:marLeft w:val="0"/>
      <w:marRight w:val="0"/>
      <w:marTop w:val="0"/>
      <w:marBottom w:val="0"/>
      <w:divBdr>
        <w:top w:val="none" w:sz="0" w:space="0" w:color="auto"/>
        <w:left w:val="none" w:sz="0" w:space="0" w:color="auto"/>
        <w:bottom w:val="none" w:sz="0" w:space="0" w:color="auto"/>
        <w:right w:val="none" w:sz="0" w:space="0" w:color="auto"/>
      </w:divBdr>
      <w:divsChild>
        <w:div w:id="1091198928">
          <w:marLeft w:val="547"/>
          <w:marRight w:val="0"/>
          <w:marTop w:val="0"/>
          <w:marBottom w:val="0"/>
          <w:divBdr>
            <w:top w:val="none" w:sz="0" w:space="0" w:color="auto"/>
            <w:left w:val="none" w:sz="0" w:space="0" w:color="auto"/>
            <w:bottom w:val="none" w:sz="0" w:space="0" w:color="auto"/>
            <w:right w:val="none" w:sz="0" w:space="0" w:color="auto"/>
          </w:divBdr>
        </w:div>
        <w:div w:id="182476840">
          <w:marLeft w:val="547"/>
          <w:marRight w:val="0"/>
          <w:marTop w:val="0"/>
          <w:marBottom w:val="0"/>
          <w:divBdr>
            <w:top w:val="none" w:sz="0" w:space="0" w:color="auto"/>
            <w:left w:val="none" w:sz="0" w:space="0" w:color="auto"/>
            <w:bottom w:val="none" w:sz="0" w:space="0" w:color="auto"/>
            <w:right w:val="none" w:sz="0" w:space="0" w:color="auto"/>
          </w:divBdr>
        </w:div>
        <w:div w:id="789208700">
          <w:marLeft w:val="1166"/>
          <w:marRight w:val="0"/>
          <w:marTop w:val="0"/>
          <w:marBottom w:val="0"/>
          <w:divBdr>
            <w:top w:val="none" w:sz="0" w:space="0" w:color="auto"/>
            <w:left w:val="none" w:sz="0" w:space="0" w:color="auto"/>
            <w:bottom w:val="none" w:sz="0" w:space="0" w:color="auto"/>
            <w:right w:val="none" w:sz="0" w:space="0" w:color="auto"/>
          </w:divBdr>
        </w:div>
        <w:div w:id="158809907">
          <w:marLeft w:val="1166"/>
          <w:marRight w:val="0"/>
          <w:marTop w:val="0"/>
          <w:marBottom w:val="0"/>
          <w:divBdr>
            <w:top w:val="none" w:sz="0" w:space="0" w:color="auto"/>
            <w:left w:val="none" w:sz="0" w:space="0" w:color="auto"/>
            <w:bottom w:val="none" w:sz="0" w:space="0" w:color="auto"/>
            <w:right w:val="none" w:sz="0" w:space="0" w:color="auto"/>
          </w:divBdr>
        </w:div>
      </w:divsChild>
    </w:div>
    <w:div w:id="639505579">
      <w:bodyDiv w:val="1"/>
      <w:marLeft w:val="0"/>
      <w:marRight w:val="0"/>
      <w:marTop w:val="0"/>
      <w:marBottom w:val="0"/>
      <w:divBdr>
        <w:top w:val="none" w:sz="0" w:space="0" w:color="auto"/>
        <w:left w:val="none" w:sz="0" w:space="0" w:color="auto"/>
        <w:bottom w:val="none" w:sz="0" w:space="0" w:color="auto"/>
        <w:right w:val="none" w:sz="0" w:space="0" w:color="auto"/>
      </w:divBdr>
      <w:divsChild>
        <w:div w:id="830368600">
          <w:marLeft w:val="547"/>
          <w:marRight w:val="0"/>
          <w:marTop w:val="0"/>
          <w:marBottom w:val="0"/>
          <w:divBdr>
            <w:top w:val="none" w:sz="0" w:space="0" w:color="auto"/>
            <w:left w:val="none" w:sz="0" w:space="0" w:color="auto"/>
            <w:bottom w:val="none" w:sz="0" w:space="0" w:color="auto"/>
            <w:right w:val="none" w:sz="0" w:space="0" w:color="auto"/>
          </w:divBdr>
        </w:div>
        <w:div w:id="547961957">
          <w:marLeft w:val="1166"/>
          <w:marRight w:val="0"/>
          <w:marTop w:val="0"/>
          <w:marBottom w:val="0"/>
          <w:divBdr>
            <w:top w:val="none" w:sz="0" w:space="0" w:color="auto"/>
            <w:left w:val="none" w:sz="0" w:space="0" w:color="auto"/>
            <w:bottom w:val="none" w:sz="0" w:space="0" w:color="auto"/>
            <w:right w:val="none" w:sz="0" w:space="0" w:color="auto"/>
          </w:divBdr>
        </w:div>
        <w:div w:id="607587264">
          <w:marLeft w:val="1166"/>
          <w:marRight w:val="0"/>
          <w:marTop w:val="0"/>
          <w:marBottom w:val="0"/>
          <w:divBdr>
            <w:top w:val="none" w:sz="0" w:space="0" w:color="auto"/>
            <w:left w:val="none" w:sz="0" w:space="0" w:color="auto"/>
            <w:bottom w:val="none" w:sz="0" w:space="0" w:color="auto"/>
            <w:right w:val="none" w:sz="0" w:space="0" w:color="auto"/>
          </w:divBdr>
        </w:div>
        <w:div w:id="783382352">
          <w:marLeft w:val="1166"/>
          <w:marRight w:val="0"/>
          <w:marTop w:val="0"/>
          <w:marBottom w:val="0"/>
          <w:divBdr>
            <w:top w:val="none" w:sz="0" w:space="0" w:color="auto"/>
            <w:left w:val="none" w:sz="0" w:space="0" w:color="auto"/>
            <w:bottom w:val="none" w:sz="0" w:space="0" w:color="auto"/>
            <w:right w:val="none" w:sz="0" w:space="0" w:color="auto"/>
          </w:divBdr>
        </w:div>
        <w:div w:id="783352962">
          <w:marLeft w:val="1800"/>
          <w:marRight w:val="0"/>
          <w:marTop w:val="0"/>
          <w:marBottom w:val="0"/>
          <w:divBdr>
            <w:top w:val="none" w:sz="0" w:space="0" w:color="auto"/>
            <w:left w:val="none" w:sz="0" w:space="0" w:color="auto"/>
            <w:bottom w:val="none" w:sz="0" w:space="0" w:color="auto"/>
            <w:right w:val="none" w:sz="0" w:space="0" w:color="auto"/>
          </w:divBdr>
        </w:div>
        <w:div w:id="1431657107">
          <w:marLeft w:val="1800"/>
          <w:marRight w:val="0"/>
          <w:marTop w:val="0"/>
          <w:marBottom w:val="0"/>
          <w:divBdr>
            <w:top w:val="none" w:sz="0" w:space="0" w:color="auto"/>
            <w:left w:val="none" w:sz="0" w:space="0" w:color="auto"/>
            <w:bottom w:val="none" w:sz="0" w:space="0" w:color="auto"/>
            <w:right w:val="none" w:sz="0" w:space="0" w:color="auto"/>
          </w:divBdr>
        </w:div>
        <w:div w:id="279922360">
          <w:marLeft w:val="1800"/>
          <w:marRight w:val="0"/>
          <w:marTop w:val="0"/>
          <w:marBottom w:val="0"/>
          <w:divBdr>
            <w:top w:val="none" w:sz="0" w:space="0" w:color="auto"/>
            <w:left w:val="none" w:sz="0" w:space="0" w:color="auto"/>
            <w:bottom w:val="none" w:sz="0" w:space="0" w:color="auto"/>
            <w:right w:val="none" w:sz="0" w:space="0" w:color="auto"/>
          </w:divBdr>
        </w:div>
      </w:divsChild>
    </w:div>
    <w:div w:id="642740279">
      <w:bodyDiv w:val="1"/>
      <w:marLeft w:val="0"/>
      <w:marRight w:val="0"/>
      <w:marTop w:val="0"/>
      <w:marBottom w:val="0"/>
      <w:divBdr>
        <w:top w:val="none" w:sz="0" w:space="0" w:color="auto"/>
        <w:left w:val="none" w:sz="0" w:space="0" w:color="auto"/>
        <w:bottom w:val="none" w:sz="0" w:space="0" w:color="auto"/>
        <w:right w:val="none" w:sz="0" w:space="0" w:color="auto"/>
      </w:divBdr>
      <w:divsChild>
        <w:div w:id="1170829037">
          <w:marLeft w:val="547"/>
          <w:marRight w:val="0"/>
          <w:marTop w:val="0"/>
          <w:marBottom w:val="0"/>
          <w:divBdr>
            <w:top w:val="none" w:sz="0" w:space="0" w:color="auto"/>
            <w:left w:val="none" w:sz="0" w:space="0" w:color="auto"/>
            <w:bottom w:val="none" w:sz="0" w:space="0" w:color="auto"/>
            <w:right w:val="none" w:sz="0" w:space="0" w:color="auto"/>
          </w:divBdr>
        </w:div>
        <w:div w:id="612786177">
          <w:marLeft w:val="547"/>
          <w:marRight w:val="0"/>
          <w:marTop w:val="0"/>
          <w:marBottom w:val="0"/>
          <w:divBdr>
            <w:top w:val="none" w:sz="0" w:space="0" w:color="auto"/>
            <w:left w:val="none" w:sz="0" w:space="0" w:color="auto"/>
            <w:bottom w:val="none" w:sz="0" w:space="0" w:color="auto"/>
            <w:right w:val="none" w:sz="0" w:space="0" w:color="auto"/>
          </w:divBdr>
        </w:div>
      </w:divsChild>
    </w:div>
    <w:div w:id="942690628">
      <w:bodyDiv w:val="1"/>
      <w:marLeft w:val="0"/>
      <w:marRight w:val="0"/>
      <w:marTop w:val="0"/>
      <w:marBottom w:val="0"/>
      <w:divBdr>
        <w:top w:val="none" w:sz="0" w:space="0" w:color="auto"/>
        <w:left w:val="none" w:sz="0" w:space="0" w:color="auto"/>
        <w:bottom w:val="none" w:sz="0" w:space="0" w:color="auto"/>
        <w:right w:val="none" w:sz="0" w:space="0" w:color="auto"/>
      </w:divBdr>
      <w:divsChild>
        <w:div w:id="1371147610">
          <w:marLeft w:val="274"/>
          <w:marRight w:val="0"/>
          <w:marTop w:val="0"/>
          <w:marBottom w:val="0"/>
          <w:divBdr>
            <w:top w:val="none" w:sz="0" w:space="0" w:color="auto"/>
            <w:left w:val="none" w:sz="0" w:space="0" w:color="auto"/>
            <w:bottom w:val="none" w:sz="0" w:space="0" w:color="auto"/>
            <w:right w:val="none" w:sz="0" w:space="0" w:color="auto"/>
          </w:divBdr>
        </w:div>
        <w:div w:id="1782845185">
          <w:marLeft w:val="274"/>
          <w:marRight w:val="0"/>
          <w:marTop w:val="0"/>
          <w:marBottom w:val="0"/>
          <w:divBdr>
            <w:top w:val="none" w:sz="0" w:space="0" w:color="auto"/>
            <w:left w:val="none" w:sz="0" w:space="0" w:color="auto"/>
            <w:bottom w:val="none" w:sz="0" w:space="0" w:color="auto"/>
            <w:right w:val="none" w:sz="0" w:space="0" w:color="auto"/>
          </w:divBdr>
        </w:div>
      </w:divsChild>
    </w:div>
    <w:div w:id="1304238458">
      <w:bodyDiv w:val="1"/>
      <w:marLeft w:val="0"/>
      <w:marRight w:val="0"/>
      <w:marTop w:val="0"/>
      <w:marBottom w:val="0"/>
      <w:divBdr>
        <w:top w:val="none" w:sz="0" w:space="0" w:color="auto"/>
        <w:left w:val="none" w:sz="0" w:space="0" w:color="auto"/>
        <w:bottom w:val="none" w:sz="0" w:space="0" w:color="auto"/>
        <w:right w:val="none" w:sz="0" w:space="0" w:color="auto"/>
      </w:divBdr>
      <w:divsChild>
        <w:div w:id="1250119748">
          <w:marLeft w:val="547"/>
          <w:marRight w:val="0"/>
          <w:marTop w:val="77"/>
          <w:marBottom w:val="120"/>
          <w:divBdr>
            <w:top w:val="none" w:sz="0" w:space="0" w:color="auto"/>
            <w:left w:val="none" w:sz="0" w:space="0" w:color="auto"/>
            <w:bottom w:val="none" w:sz="0" w:space="0" w:color="auto"/>
            <w:right w:val="none" w:sz="0" w:space="0" w:color="auto"/>
          </w:divBdr>
        </w:div>
        <w:div w:id="890195645">
          <w:marLeft w:val="547"/>
          <w:marRight w:val="0"/>
          <w:marTop w:val="77"/>
          <w:marBottom w:val="120"/>
          <w:divBdr>
            <w:top w:val="none" w:sz="0" w:space="0" w:color="auto"/>
            <w:left w:val="none" w:sz="0" w:space="0" w:color="auto"/>
            <w:bottom w:val="none" w:sz="0" w:space="0" w:color="auto"/>
            <w:right w:val="none" w:sz="0" w:space="0" w:color="auto"/>
          </w:divBdr>
        </w:div>
        <w:div w:id="1455518869">
          <w:marLeft w:val="547"/>
          <w:marRight w:val="0"/>
          <w:marTop w:val="77"/>
          <w:marBottom w:val="120"/>
          <w:divBdr>
            <w:top w:val="none" w:sz="0" w:space="0" w:color="auto"/>
            <w:left w:val="none" w:sz="0" w:space="0" w:color="auto"/>
            <w:bottom w:val="none" w:sz="0" w:space="0" w:color="auto"/>
            <w:right w:val="none" w:sz="0" w:space="0" w:color="auto"/>
          </w:divBdr>
        </w:div>
        <w:div w:id="1142697378">
          <w:marLeft w:val="547"/>
          <w:marRight w:val="0"/>
          <w:marTop w:val="77"/>
          <w:marBottom w:val="120"/>
          <w:divBdr>
            <w:top w:val="none" w:sz="0" w:space="0" w:color="auto"/>
            <w:left w:val="none" w:sz="0" w:space="0" w:color="auto"/>
            <w:bottom w:val="none" w:sz="0" w:space="0" w:color="auto"/>
            <w:right w:val="none" w:sz="0" w:space="0" w:color="auto"/>
          </w:divBdr>
        </w:div>
        <w:div w:id="805656997">
          <w:marLeft w:val="547"/>
          <w:marRight w:val="0"/>
          <w:marTop w:val="77"/>
          <w:marBottom w:val="120"/>
          <w:divBdr>
            <w:top w:val="none" w:sz="0" w:space="0" w:color="auto"/>
            <w:left w:val="none" w:sz="0" w:space="0" w:color="auto"/>
            <w:bottom w:val="none" w:sz="0" w:space="0" w:color="auto"/>
            <w:right w:val="none" w:sz="0" w:space="0" w:color="auto"/>
          </w:divBdr>
        </w:div>
        <w:div w:id="688028442">
          <w:marLeft w:val="547"/>
          <w:marRight w:val="0"/>
          <w:marTop w:val="77"/>
          <w:marBottom w:val="120"/>
          <w:divBdr>
            <w:top w:val="none" w:sz="0" w:space="0" w:color="auto"/>
            <w:left w:val="none" w:sz="0" w:space="0" w:color="auto"/>
            <w:bottom w:val="none" w:sz="0" w:space="0" w:color="auto"/>
            <w:right w:val="none" w:sz="0" w:space="0" w:color="auto"/>
          </w:divBdr>
        </w:div>
        <w:div w:id="977153279">
          <w:marLeft w:val="547"/>
          <w:marRight w:val="0"/>
          <w:marTop w:val="77"/>
          <w:marBottom w:val="120"/>
          <w:divBdr>
            <w:top w:val="none" w:sz="0" w:space="0" w:color="auto"/>
            <w:left w:val="none" w:sz="0" w:space="0" w:color="auto"/>
            <w:bottom w:val="none" w:sz="0" w:space="0" w:color="auto"/>
            <w:right w:val="none" w:sz="0" w:space="0" w:color="auto"/>
          </w:divBdr>
        </w:div>
        <w:div w:id="1158418284">
          <w:marLeft w:val="547"/>
          <w:marRight w:val="0"/>
          <w:marTop w:val="77"/>
          <w:marBottom w:val="120"/>
          <w:divBdr>
            <w:top w:val="none" w:sz="0" w:space="0" w:color="auto"/>
            <w:left w:val="none" w:sz="0" w:space="0" w:color="auto"/>
            <w:bottom w:val="none" w:sz="0" w:space="0" w:color="auto"/>
            <w:right w:val="none" w:sz="0" w:space="0" w:color="auto"/>
          </w:divBdr>
        </w:div>
        <w:div w:id="906720093">
          <w:marLeft w:val="547"/>
          <w:marRight w:val="0"/>
          <w:marTop w:val="77"/>
          <w:marBottom w:val="120"/>
          <w:divBdr>
            <w:top w:val="none" w:sz="0" w:space="0" w:color="auto"/>
            <w:left w:val="none" w:sz="0" w:space="0" w:color="auto"/>
            <w:bottom w:val="none" w:sz="0" w:space="0" w:color="auto"/>
            <w:right w:val="none" w:sz="0" w:space="0" w:color="auto"/>
          </w:divBdr>
        </w:div>
        <w:div w:id="1652127397">
          <w:marLeft w:val="547"/>
          <w:marRight w:val="0"/>
          <w:marTop w:val="77"/>
          <w:marBottom w:val="120"/>
          <w:divBdr>
            <w:top w:val="none" w:sz="0" w:space="0" w:color="auto"/>
            <w:left w:val="none" w:sz="0" w:space="0" w:color="auto"/>
            <w:bottom w:val="none" w:sz="0" w:space="0" w:color="auto"/>
            <w:right w:val="none" w:sz="0" w:space="0" w:color="auto"/>
          </w:divBdr>
        </w:div>
      </w:divsChild>
    </w:div>
    <w:div w:id="1341665021">
      <w:bodyDiv w:val="1"/>
      <w:marLeft w:val="0"/>
      <w:marRight w:val="0"/>
      <w:marTop w:val="0"/>
      <w:marBottom w:val="0"/>
      <w:divBdr>
        <w:top w:val="none" w:sz="0" w:space="0" w:color="auto"/>
        <w:left w:val="none" w:sz="0" w:space="0" w:color="auto"/>
        <w:bottom w:val="none" w:sz="0" w:space="0" w:color="auto"/>
        <w:right w:val="none" w:sz="0" w:space="0" w:color="auto"/>
      </w:divBdr>
      <w:divsChild>
        <w:div w:id="1995446499">
          <w:marLeft w:val="547"/>
          <w:marRight w:val="0"/>
          <w:marTop w:val="0"/>
          <w:marBottom w:val="0"/>
          <w:divBdr>
            <w:top w:val="none" w:sz="0" w:space="0" w:color="auto"/>
            <w:left w:val="none" w:sz="0" w:space="0" w:color="auto"/>
            <w:bottom w:val="none" w:sz="0" w:space="0" w:color="auto"/>
            <w:right w:val="none" w:sz="0" w:space="0" w:color="auto"/>
          </w:divBdr>
        </w:div>
        <w:div w:id="1040324216">
          <w:marLeft w:val="547"/>
          <w:marRight w:val="0"/>
          <w:marTop w:val="0"/>
          <w:marBottom w:val="0"/>
          <w:divBdr>
            <w:top w:val="none" w:sz="0" w:space="0" w:color="auto"/>
            <w:left w:val="none" w:sz="0" w:space="0" w:color="auto"/>
            <w:bottom w:val="none" w:sz="0" w:space="0" w:color="auto"/>
            <w:right w:val="none" w:sz="0" w:space="0" w:color="auto"/>
          </w:divBdr>
        </w:div>
        <w:div w:id="757600180">
          <w:marLeft w:val="1166"/>
          <w:marRight w:val="0"/>
          <w:marTop w:val="0"/>
          <w:marBottom w:val="0"/>
          <w:divBdr>
            <w:top w:val="none" w:sz="0" w:space="0" w:color="auto"/>
            <w:left w:val="none" w:sz="0" w:space="0" w:color="auto"/>
            <w:bottom w:val="none" w:sz="0" w:space="0" w:color="auto"/>
            <w:right w:val="none" w:sz="0" w:space="0" w:color="auto"/>
          </w:divBdr>
        </w:div>
        <w:div w:id="2131127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dia.govt.nz/pubforms.nsf/URL/AMLCFT-Territorial-Scope-Nov-2019.pdf/$file/AMLCFT-Territorial-Scope-Nov-2019.pdf" TargetMode="External"/><Relationship Id="rId26" Type="http://schemas.openxmlformats.org/officeDocument/2006/relationships/diagramData" Target="diagrams/data2.xml"/><Relationship Id="rId39" Type="http://schemas.openxmlformats.org/officeDocument/2006/relationships/hyperlink" Target="https://aml.dia.govt.nz/" TargetMode="External"/><Relationship Id="rId21" Type="http://schemas.openxmlformats.org/officeDocument/2006/relationships/diagramData" Target="diagrams/data1.xml"/><Relationship Id="rId34" Type="http://schemas.openxmlformats.org/officeDocument/2006/relationships/hyperlink" Target="https://www.fma.govt.nz/compliance/licensing-and-registration/" TargetMode="External"/><Relationship Id="rId42" Type="http://schemas.openxmlformats.org/officeDocument/2006/relationships/hyperlink" Target="https://www.dia.govt.nz/diawebsite.nsf/Files/AMLCFT%20Risk%20Assessment%20and%20Programme%20-%20Prompts%20and%20Notes%20PDF/$file/AMLCFT%20Risk%20Assessment%20and%20Programme%20-%20Prompts%20and%20Notes.pdf" TargetMode="External"/><Relationship Id="rId47" Type="http://schemas.openxmlformats.org/officeDocument/2006/relationships/diagramQuickStyle" Target="diagrams/quickStyle3.xml"/><Relationship Id="rId50" Type="http://schemas.openxmlformats.org/officeDocument/2006/relationships/hyperlink" Target="https://www.dia.govt.nz/Pubforms.nsf/URL/AMLCFT-Risk-Assessment-Guideline-2018.pdf/$file/AMLCFT-Risk-Assessment-Guideline-2018.pdf" TargetMode="External"/><Relationship Id="rId55" Type="http://schemas.openxmlformats.org/officeDocument/2006/relationships/diagramColors" Target="diagrams/colors4.xml"/><Relationship Id="rId63" Type="http://schemas.openxmlformats.org/officeDocument/2006/relationships/hyperlink" Target="https://www.police.govt.nz/sites/default/files/publications/fiu-guidelines-reporting-suspicious-transactions.pdf" TargetMode="External"/><Relationship Id="rId68" Type="http://schemas.openxmlformats.org/officeDocument/2006/relationships/hyperlink" Target="https://www.dia.govt.nz/pubforms.nsf/URL/AMLCFT_FactSheet_Trusts_Jul2019.pdf/$file/AMLCFT_FactSheet_Trusts_Jul2019.pdf" TargetMode="External"/><Relationship Id="rId76" Type="http://schemas.openxmlformats.org/officeDocument/2006/relationships/diagramLayout" Target="diagrams/layout5.xm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dia.govt.nz/pubforms.nsf/URL/AMLCFT_FactSheet_Co-operative_Jul2019.pdf/$file/AMLCFT_FactSheet_Co-operative_Jul2019.pdf" TargetMode="External"/><Relationship Id="rId2" Type="http://schemas.openxmlformats.org/officeDocument/2006/relationships/customXml" Target="../customXml/item2.xml"/><Relationship Id="rId16" Type="http://schemas.openxmlformats.org/officeDocument/2006/relationships/hyperlink" Target="https://www.fma.govt.nz/compliance/amlcft/" TargetMode="External"/><Relationship Id="rId29" Type="http://schemas.openxmlformats.org/officeDocument/2006/relationships/diagramColors" Target="diagrams/colors2.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hyperlink" Target="https://fsp-register.companiesoffice.govt.nz/" TargetMode="External"/><Relationship Id="rId37" Type="http://schemas.openxmlformats.org/officeDocument/2006/relationships/hyperlink" Target="https://www.dia.govt.nz/pubforms.nsf/URL/Minimising-Harm-Maximising-Benefit-August-2012.pdf/$file/Minimising-Harm-Maximising-Benefit-August-2012.pdf" TargetMode="External"/><Relationship Id="rId40" Type="http://schemas.openxmlformats.org/officeDocument/2006/relationships/hyperlink" Target="https://www.dia.govt.nz/Pubforms.nsf/URL/AMLCFT-Risk-Assessment-Guideline-2018.pdf/$file/AMLCFT-Risk-Assessment-Guideline-2018.pdf" TargetMode="External"/><Relationship Id="rId45" Type="http://schemas.openxmlformats.org/officeDocument/2006/relationships/diagramData" Target="diagrams/data3.xml"/><Relationship Id="rId53" Type="http://schemas.openxmlformats.org/officeDocument/2006/relationships/diagramLayout" Target="diagrams/layout4.xml"/><Relationship Id="rId58" Type="http://schemas.openxmlformats.org/officeDocument/2006/relationships/hyperlink" Target="https://www.dia.govt.nz/diawebsite.nsf/Files/AMLCFT%20Risk%20Assessment%20and%20Programme%20-%20Prompts%20and%20Notes%20PDF/$file/AMLCFT%20Risk%20Assessment%20and%20Programme%20-%20Prompts%20and%20Notes.pdf" TargetMode="External"/><Relationship Id="rId66" Type="http://schemas.openxmlformats.org/officeDocument/2006/relationships/hyperlink" Target="https://www.dia.govt.nz/Pubforms.nsf/URL/AMLCFT_FactSheet_AOBO_Dec2017.pdf/$file/AMLCFT_FactSheet_AOBO_Dec2017.pdf" TargetMode="External"/><Relationship Id="rId74" Type="http://schemas.openxmlformats.org/officeDocument/2006/relationships/hyperlink" Target="https://www.dia.govt.nz/pubforms.nsf/URL/AMLCFT_Amendment-to-IDVCOP-2013-FINAL-October-2013.pdf/$file/AMLCFT_Amendment-to-IDVCOP-2013-FINAL-October-2013.pdf" TargetMode="External"/><Relationship Id="rId79" Type="http://schemas.microsoft.com/office/2007/relationships/diagramDrawing" Target="diagrams/drawing5.xml"/><Relationship Id="rId87"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dia.govt.nz/Pubforms.nsf/URL/AMLCFT_FactSheet_WireTransfer_Dec2017.pdf/$file/AMLCFT_FactSheet_WireTransfer_Dec2017.pdf" TargetMode="External"/><Relationship Id="rId82" Type="http://schemas.openxmlformats.org/officeDocument/2006/relationships/header" Target="header1.xml"/><Relationship Id="rId19" Type="http://schemas.openxmlformats.org/officeDocument/2006/relationships/hyperlink" Target="https://www.dia.govt.nz/diawebsite.nsf/Files/AML-CFT-December-2019/$file/Financial-Institutions-SRA-2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hyperlink" Target="https://www.fma.govt.nz/compliance/amlcft/" TargetMode="External"/><Relationship Id="rId43" Type="http://schemas.openxmlformats.org/officeDocument/2006/relationships/hyperlink" Target="https://www.dia.govt.nz/diawebsite.nsf/Files/AML-CFT-December-2019/$file/Financial-Institutions-SRA-2019.pdf" TargetMode="External"/><Relationship Id="rId48" Type="http://schemas.openxmlformats.org/officeDocument/2006/relationships/diagramColors" Target="diagrams/colors3.xml"/><Relationship Id="rId56" Type="http://schemas.microsoft.com/office/2007/relationships/diagramDrawing" Target="diagrams/drawing4.xml"/><Relationship Id="rId64" Type="http://schemas.openxmlformats.org/officeDocument/2006/relationships/hyperlink" Target="https://www.fma.govt.nz/compliance/cryptocurrencies/" TargetMode="External"/><Relationship Id="rId69" Type="http://schemas.openxmlformats.org/officeDocument/2006/relationships/hyperlink" Target="https://www.dia.govt.nz/pubforms.nsf/URL/AMLCFT_FactSheet_Companies_Jul2019.pdf/$file/AMLCFT_FactSheet_Companies_Jul2019.pdf" TargetMode="External"/><Relationship Id="rId77" Type="http://schemas.openxmlformats.org/officeDocument/2006/relationships/diagramQuickStyle" Target="diagrams/quickStyle5.xml"/><Relationship Id="rId8" Type="http://schemas.openxmlformats.org/officeDocument/2006/relationships/webSettings" Target="webSettings.xml"/><Relationship Id="rId51" Type="http://schemas.openxmlformats.org/officeDocument/2006/relationships/hyperlink" Target="https://www.dia.govt.nz/diawebsite.nsf/Files/AML-CFT-December-2019/$file/Financial-Institutions-SRA-2019.pdf" TargetMode="External"/><Relationship Id="rId72" Type="http://schemas.openxmlformats.org/officeDocument/2006/relationships/hyperlink" Target="https://www.dia.govt.nz/pubforms.nsf/URL/AMLCFT_FactSheet_Clubs-and-Societies_Jul2019.pdf/$file/AMLCFT_FactSheet_Clubs-and-Societies_Jul2019.pdf" TargetMode="External"/><Relationship Id="rId80" Type="http://schemas.openxmlformats.org/officeDocument/2006/relationships/hyperlink" Target="https://www.dia.govt.nz/diawebsite.nsf/Files/Enhanced-Customer-Due-Diligence-Guideline/$file/Enhanced-Customer-Due-Diligence-Guideline-March-2019.pdf"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dia.govt.nz/diawebsite.nsf/Files/AML-CFT-2017/$file/Ordinary-Course-of-Business-2017.pdf" TargetMode="External"/><Relationship Id="rId25" Type="http://schemas.microsoft.com/office/2007/relationships/diagramDrawing" Target="diagrams/drawing1.xml"/><Relationship Id="rId33" Type="http://schemas.openxmlformats.org/officeDocument/2006/relationships/hyperlink" Target="https://www.fma.govt.nz/compliance/licensing-and-registration/" TargetMode="External"/><Relationship Id="rId38" Type="http://schemas.openxmlformats.org/officeDocument/2006/relationships/hyperlink" Target="https://www.dia.govt.nz/pubforms.nsf/URL/AMLCFT-Supervisory-framework-Nov-2019.pdf/$file/AMLCFT-Supervisory-framework-Nov-2019.pdf" TargetMode="External"/><Relationship Id="rId46" Type="http://schemas.openxmlformats.org/officeDocument/2006/relationships/diagramLayout" Target="diagrams/layout3.xml"/><Relationship Id="rId59" Type="http://schemas.openxmlformats.org/officeDocument/2006/relationships/hyperlink" Target="https://www.dia.govt.nz/diawebsite.nsf/Files/AML-CFT-Annual-Report-User-Guide-2019/$file/AML-CFT-Annual-Report-User-Guide-2019-a.pdf" TargetMode="External"/><Relationship Id="rId67" Type="http://schemas.openxmlformats.org/officeDocument/2006/relationships/hyperlink" Target="https://www.dia.govt.nz/Pubforms.nsf/URL/AMLCFT_BeneficialOwnershipGuideline_Dec2017.pdf/$file/AMLCFT_BeneficialOwnershipGuideline_Dec2017.pdf" TargetMode="External"/><Relationship Id="rId20" Type="http://schemas.openxmlformats.org/officeDocument/2006/relationships/hyperlink" Target="https://www.dia.govt.nz/diawebsite.nsf/Files/AML-CFT-December-2019/$file/Financial-Institutions-SRA-2019.pdf" TargetMode="External"/><Relationship Id="rId41" Type="http://schemas.openxmlformats.org/officeDocument/2006/relationships/hyperlink" Target="https://www.dia.govt.nz/diawebsite.nsf/Files/AML-CFT-December-2019/$file/Financial-Institutions-SRA-2019.pdf" TargetMode="External"/><Relationship Id="rId54" Type="http://schemas.openxmlformats.org/officeDocument/2006/relationships/diagramQuickStyle" Target="diagrams/quickStyle4.xml"/><Relationship Id="rId62" Type="http://schemas.openxmlformats.org/officeDocument/2006/relationships/hyperlink" Target="https://www.fatf-gafi.org/media/fatf/documents/recommendations/RBA-VA-VASPs.pdf" TargetMode="External"/><Relationship Id="rId70" Type="http://schemas.openxmlformats.org/officeDocument/2006/relationships/hyperlink" Target="https://www.dia.govt.nz/pubforms.nsf/URL/AMLCFT_FactSheet_Partnerships_Jul2019.pdf/$file/AMLCFT_FactSheet_Partnerships_Jul2019.pdf" TargetMode="External"/><Relationship Id="rId75" Type="http://schemas.openxmlformats.org/officeDocument/2006/relationships/diagramData" Target="diagrams/data5.xm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mlcft@dia.govt.nz"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hyperlink" Target="https://www.dia.govt.nz/diawebsite.nsf/Files/AML-CFT-2020/$file/AML-CFT-DIA-Regulatory-Framework-February-2020.pdf" TargetMode="External"/><Relationship Id="rId49" Type="http://schemas.microsoft.com/office/2007/relationships/diagramDrawing" Target="diagrams/drawing3.xml"/><Relationship Id="rId57" Type="http://schemas.openxmlformats.org/officeDocument/2006/relationships/hyperlink" Target="https://www.dia.govt.nz/Pubforms.nsf/URL/AMLCFT-Programme-Guideline-2018.pdf/$file/AMLCFT-Programme-Guideline-2018.pdf" TargetMode="External"/><Relationship Id="rId10" Type="http://schemas.openxmlformats.org/officeDocument/2006/relationships/endnotes" Target="endnotes.xml"/><Relationship Id="rId31" Type="http://schemas.openxmlformats.org/officeDocument/2006/relationships/hyperlink" Target="https://fsp-register.companiesoffice.govt.nz/" TargetMode="External"/><Relationship Id="rId44" Type="http://schemas.openxmlformats.org/officeDocument/2006/relationships/hyperlink" Target="https://www.police.govt.nz/sites/default/files/publications/fiu-nra-2019.pdf" TargetMode="External"/><Relationship Id="rId52" Type="http://schemas.openxmlformats.org/officeDocument/2006/relationships/diagramData" Target="diagrams/data4.xml"/><Relationship Id="rId60" Type="http://schemas.openxmlformats.org/officeDocument/2006/relationships/hyperlink" Target="https://www.dia.govt.nz/pubforms.nsf/URL/AMLCFT-Audit-Guideline-October-2019.pdf/$file/AMLCFT-Audit-Guideline-October-2019.pdf" TargetMode="External"/><Relationship Id="rId65" Type="http://schemas.openxmlformats.org/officeDocument/2006/relationships/hyperlink" Target="https://www.dia.govt.nz/Pubforms.nsf/URL/AMLCFT_BeneficialOwnershipGuideline_Dec2017.pdf/$file/AMLCFT_BeneficialOwnershipGuideline_Dec2017.pdf" TargetMode="External"/><Relationship Id="rId73" Type="http://schemas.openxmlformats.org/officeDocument/2006/relationships/hyperlink" Target="https://www.dia.govt.nz/diawebsite.nsf/Files/Enhanced-Customer-Due-Diligence-Guideline/$file/Enhanced-Customer-Due-Diligence-Guideline-March-2019.pdf" TargetMode="External"/><Relationship Id="rId78" Type="http://schemas.openxmlformats.org/officeDocument/2006/relationships/diagramColors" Target="diagrams/colors5.xml"/><Relationship Id="rId81" Type="http://schemas.openxmlformats.org/officeDocument/2006/relationships/hyperlink" Target="mailto:Amlcft@dia.govt.nz" TargetMode="External"/><Relationship Id="rId86"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DF6053-FCD0-4A59-806C-DB6015155CD7}" type="doc">
      <dgm:prSet loTypeId="urn:microsoft.com/office/officeart/2005/8/layout/vList2" loCatId="list" qsTypeId="urn:microsoft.com/office/officeart/2005/8/quickstyle/simple1" qsCatId="simple" csTypeId="urn:microsoft.com/office/officeart/2005/8/colors/accent0_3" csCatId="mainScheme" phldr="1"/>
      <dgm:spPr/>
      <dgm:t>
        <a:bodyPr/>
        <a:lstStyle/>
        <a:p>
          <a:endParaRPr lang="en-NZ"/>
        </a:p>
      </dgm:t>
    </dgm:pt>
    <dgm:pt modelId="{7C9520C0-B463-4DAF-9C55-641DAD13756C}">
      <dgm:prSet phldrT="[Text]"/>
      <dgm:spPr/>
      <dgm:t>
        <a:bodyPr/>
        <a:lstStyle/>
        <a:p>
          <a:pPr>
            <a:buFont typeface="Symbol" panose="05050102010706020507" pitchFamily="18" charset="2"/>
            <a:buChar char=""/>
          </a:pPr>
          <a:r>
            <a:rPr lang="en-NZ" i="1"/>
            <a:t>Decentralised virtual asset systems</a:t>
          </a:r>
          <a:r>
            <a:rPr lang="en-NZ"/>
            <a:t> are particularly vulnerable to anonymity risks. For example, by design, Bitcoin addresses, which function as accounts, have no names or other customer identification attached, and the system has no central server or service provider. The Bitcoin protocol does not require or provide identification and verification of participants or generate historical records of transactions that are necessarily associated with real world identity. A </a:t>
          </a:r>
          <a:r>
            <a:rPr lang="en-NZ" i="1"/>
            <a:t>centralised virtual asset system</a:t>
          </a:r>
          <a:r>
            <a:rPr lang="en-NZ"/>
            <a:t> may mitigate some of these risks, however they should not be considered immune to them.</a:t>
          </a:r>
        </a:p>
      </dgm:t>
    </dgm:pt>
    <dgm:pt modelId="{3E186E47-0F16-44E0-AFE7-9F3FAAF65FD7}" type="parTrans" cxnId="{089A3771-E0CE-493C-A4EA-53D8B6367DA7}">
      <dgm:prSet/>
      <dgm:spPr/>
      <dgm:t>
        <a:bodyPr/>
        <a:lstStyle/>
        <a:p>
          <a:endParaRPr lang="en-NZ"/>
        </a:p>
      </dgm:t>
    </dgm:pt>
    <dgm:pt modelId="{577944CB-1F8E-4048-9BB7-939D4BA95B2D}" type="sibTrans" cxnId="{089A3771-E0CE-493C-A4EA-53D8B6367DA7}">
      <dgm:prSet/>
      <dgm:spPr/>
      <dgm:t>
        <a:bodyPr/>
        <a:lstStyle/>
        <a:p>
          <a:endParaRPr lang="en-NZ"/>
        </a:p>
      </dgm:t>
    </dgm:pt>
    <dgm:pt modelId="{5547BF59-9A96-482C-B39B-C0A154F9C5F7}">
      <dgm:prSet/>
      <dgm:spPr/>
      <dgm:t>
        <a:bodyPr/>
        <a:lstStyle/>
        <a:p>
          <a:pPr>
            <a:buFont typeface="Symbol" panose="05050102010706020507" pitchFamily="18" charset="2"/>
            <a:buChar char=""/>
          </a:pPr>
          <a:r>
            <a:rPr lang="en-NZ"/>
            <a:t>The size of VASPs can vary, but the technology in most cases will allow for </a:t>
          </a:r>
          <a:r>
            <a:rPr lang="en-NZ" i="1"/>
            <a:t>rapid expansion</a:t>
          </a:r>
          <a:r>
            <a:rPr lang="en-NZ"/>
            <a:t> – as seen in numerous exchanges following the ‘bitcoin boom’ of 2017. This could lead to VASPs becoming overwhelmed and unable to complete thorough customer due diligence (CDD) or transaction monitoring.</a:t>
          </a:r>
        </a:p>
      </dgm:t>
    </dgm:pt>
    <dgm:pt modelId="{2A35437D-0D26-4F8C-ACC6-8877C897C32B}" type="parTrans" cxnId="{1A7FCA48-B11D-4C9C-97AB-25A715D81FEE}">
      <dgm:prSet/>
      <dgm:spPr/>
      <dgm:t>
        <a:bodyPr/>
        <a:lstStyle/>
        <a:p>
          <a:endParaRPr lang="en-NZ"/>
        </a:p>
      </dgm:t>
    </dgm:pt>
    <dgm:pt modelId="{7660EDDA-484D-4D97-A0FD-E94EED9C5144}" type="sibTrans" cxnId="{1A7FCA48-B11D-4C9C-97AB-25A715D81FEE}">
      <dgm:prSet/>
      <dgm:spPr/>
      <dgm:t>
        <a:bodyPr/>
        <a:lstStyle/>
        <a:p>
          <a:endParaRPr lang="en-NZ"/>
        </a:p>
      </dgm:t>
    </dgm:pt>
    <dgm:pt modelId="{6E593831-DD82-43C2-BDA4-3886C5D495D6}">
      <dgm:prSet/>
      <dgm:spPr/>
      <dgm:t>
        <a:bodyPr/>
        <a:lstStyle/>
        <a:p>
          <a:pPr>
            <a:buFont typeface="Symbol" panose="05050102010706020507" pitchFamily="18" charset="2"/>
            <a:buChar char=""/>
          </a:pPr>
          <a:r>
            <a:rPr lang="en-NZ" i="1"/>
            <a:t>Off-chain transactions</a:t>
          </a:r>
          <a:r>
            <a:rPr lang="en-NZ"/>
            <a:t> provide another avenue to obscure the movement of funds</a:t>
          </a:r>
          <a:r>
            <a:rPr lang="en-NZ" i="1"/>
            <a:t>. Off-chain transactions</a:t>
          </a:r>
          <a:r>
            <a:rPr lang="en-NZ"/>
            <a:t> are the transfer of value outside of the blockchain. This can occur through the transfer of virtual assets between personal wallets, physical exchange of paper or hardware wallets, transfer of one cryptocurrency to another within an exchange or through the purchase of cryptocurrency for cash via a peer-to-peer service. In these examples, the transactions stay off-chain until they are transferred or spent outside of the intermediary entity. At this point it will be difficult to determine the true source of funds.</a:t>
          </a:r>
        </a:p>
      </dgm:t>
    </dgm:pt>
    <dgm:pt modelId="{3542C005-DD97-4A10-868C-C93C1A36A73F}" type="parTrans" cxnId="{A6860B53-8781-4E83-8CB1-1AC66DD27940}">
      <dgm:prSet/>
      <dgm:spPr/>
      <dgm:t>
        <a:bodyPr/>
        <a:lstStyle/>
        <a:p>
          <a:endParaRPr lang="en-NZ"/>
        </a:p>
      </dgm:t>
    </dgm:pt>
    <dgm:pt modelId="{DBC15640-7425-4A63-951B-D3983EEAFC51}" type="sibTrans" cxnId="{A6860B53-8781-4E83-8CB1-1AC66DD27940}">
      <dgm:prSet/>
      <dgm:spPr/>
      <dgm:t>
        <a:bodyPr/>
        <a:lstStyle/>
        <a:p>
          <a:endParaRPr lang="en-NZ"/>
        </a:p>
      </dgm:t>
    </dgm:pt>
    <dgm:pt modelId="{F2B9F34D-04CC-463D-8BBD-FC514A36CBA4}">
      <dgm:prSet/>
      <dgm:spPr/>
      <dgm:t>
        <a:bodyPr/>
        <a:lstStyle/>
        <a:p>
          <a:pPr>
            <a:buFont typeface="Symbol" panose="05050102010706020507" pitchFamily="18" charset="2"/>
            <a:buChar char=""/>
          </a:pPr>
          <a:r>
            <a:rPr lang="en-NZ"/>
            <a:t>The initial purchase of a virtual asset will usually involve the exchange of fiat currency to virtual asset. The conversion to and from fiat currency is the point where a launderer is most exposed – this is particularly relevant for a VASP that operates as an exchange.</a:t>
          </a:r>
        </a:p>
      </dgm:t>
    </dgm:pt>
    <dgm:pt modelId="{9F64FBD1-FFA2-4DEC-A867-F0AE5DE037CC}" type="parTrans" cxnId="{6404270C-75B4-4A31-BC16-45EB9EEEA84B}">
      <dgm:prSet/>
      <dgm:spPr/>
      <dgm:t>
        <a:bodyPr/>
        <a:lstStyle/>
        <a:p>
          <a:endParaRPr lang="en-NZ"/>
        </a:p>
      </dgm:t>
    </dgm:pt>
    <dgm:pt modelId="{98101947-B6A2-4B43-955F-AEDD8980389F}" type="sibTrans" cxnId="{6404270C-75B4-4A31-BC16-45EB9EEEA84B}">
      <dgm:prSet/>
      <dgm:spPr/>
      <dgm:t>
        <a:bodyPr/>
        <a:lstStyle/>
        <a:p>
          <a:endParaRPr lang="en-NZ"/>
        </a:p>
      </dgm:t>
    </dgm:pt>
    <dgm:pt modelId="{37C87BC0-A31E-4FE1-B47C-936C3E83A3C6}" type="pres">
      <dgm:prSet presAssocID="{08DF6053-FCD0-4A59-806C-DB6015155CD7}" presName="linear" presStyleCnt="0">
        <dgm:presLayoutVars>
          <dgm:animLvl val="lvl"/>
          <dgm:resizeHandles val="exact"/>
        </dgm:presLayoutVars>
      </dgm:prSet>
      <dgm:spPr/>
    </dgm:pt>
    <dgm:pt modelId="{79D15A61-416E-4AB8-9D80-9206D0E15318}" type="pres">
      <dgm:prSet presAssocID="{7C9520C0-B463-4DAF-9C55-641DAD13756C}" presName="parentText" presStyleLbl="node1" presStyleIdx="0" presStyleCnt="4" custScaleY="118284">
        <dgm:presLayoutVars>
          <dgm:chMax val="0"/>
          <dgm:bulletEnabled val="1"/>
        </dgm:presLayoutVars>
      </dgm:prSet>
      <dgm:spPr/>
    </dgm:pt>
    <dgm:pt modelId="{737716F1-4255-41A0-9A35-E8D182016713}" type="pres">
      <dgm:prSet presAssocID="{577944CB-1F8E-4048-9BB7-939D4BA95B2D}" presName="spacer" presStyleCnt="0"/>
      <dgm:spPr/>
    </dgm:pt>
    <dgm:pt modelId="{8484170D-616F-419F-B7DB-A2A9CC781244}" type="pres">
      <dgm:prSet presAssocID="{5547BF59-9A96-482C-B39B-C0A154F9C5F7}" presName="parentText" presStyleLbl="node1" presStyleIdx="1" presStyleCnt="4" custScaleY="69274">
        <dgm:presLayoutVars>
          <dgm:chMax val="0"/>
          <dgm:bulletEnabled val="1"/>
        </dgm:presLayoutVars>
      </dgm:prSet>
      <dgm:spPr/>
    </dgm:pt>
    <dgm:pt modelId="{EFD0B417-36BE-4AB5-878B-CB203D41CFC3}" type="pres">
      <dgm:prSet presAssocID="{7660EDDA-484D-4D97-A0FD-E94EED9C5144}" presName="spacer" presStyleCnt="0"/>
      <dgm:spPr/>
    </dgm:pt>
    <dgm:pt modelId="{E002F5DC-EDF9-4A5F-8B7C-511EB0AA5017}" type="pres">
      <dgm:prSet presAssocID="{6E593831-DD82-43C2-BDA4-3886C5D495D6}" presName="parentText" presStyleLbl="node1" presStyleIdx="2" presStyleCnt="4" custScaleY="120571">
        <dgm:presLayoutVars>
          <dgm:chMax val="0"/>
          <dgm:bulletEnabled val="1"/>
        </dgm:presLayoutVars>
      </dgm:prSet>
      <dgm:spPr/>
    </dgm:pt>
    <dgm:pt modelId="{1FC8BAB4-69EC-4FF7-BBE4-FDF1C8D6F69B}" type="pres">
      <dgm:prSet presAssocID="{DBC15640-7425-4A63-951B-D3983EEAFC51}" presName="spacer" presStyleCnt="0"/>
      <dgm:spPr/>
    </dgm:pt>
    <dgm:pt modelId="{DE4134C3-9EAA-4D37-9E76-669EA884CCFE}" type="pres">
      <dgm:prSet presAssocID="{F2B9F34D-04CC-463D-8BBD-FC514A36CBA4}" presName="parentText" presStyleLbl="node1" presStyleIdx="3" presStyleCnt="4" custScaleY="77841">
        <dgm:presLayoutVars>
          <dgm:chMax val="0"/>
          <dgm:bulletEnabled val="1"/>
        </dgm:presLayoutVars>
      </dgm:prSet>
      <dgm:spPr/>
    </dgm:pt>
  </dgm:ptLst>
  <dgm:cxnLst>
    <dgm:cxn modelId="{6404270C-75B4-4A31-BC16-45EB9EEEA84B}" srcId="{08DF6053-FCD0-4A59-806C-DB6015155CD7}" destId="{F2B9F34D-04CC-463D-8BBD-FC514A36CBA4}" srcOrd="3" destOrd="0" parTransId="{9F64FBD1-FFA2-4DEC-A867-F0AE5DE037CC}" sibTransId="{98101947-B6A2-4B43-955F-AEDD8980389F}"/>
    <dgm:cxn modelId="{1A7FCA48-B11D-4C9C-97AB-25A715D81FEE}" srcId="{08DF6053-FCD0-4A59-806C-DB6015155CD7}" destId="{5547BF59-9A96-482C-B39B-C0A154F9C5F7}" srcOrd="1" destOrd="0" parTransId="{2A35437D-0D26-4F8C-ACC6-8877C897C32B}" sibTransId="{7660EDDA-484D-4D97-A0FD-E94EED9C5144}"/>
    <dgm:cxn modelId="{089A3771-E0CE-493C-A4EA-53D8B6367DA7}" srcId="{08DF6053-FCD0-4A59-806C-DB6015155CD7}" destId="{7C9520C0-B463-4DAF-9C55-641DAD13756C}" srcOrd="0" destOrd="0" parTransId="{3E186E47-0F16-44E0-AFE7-9F3FAAF65FD7}" sibTransId="{577944CB-1F8E-4048-9BB7-939D4BA95B2D}"/>
    <dgm:cxn modelId="{A6860B53-8781-4E83-8CB1-1AC66DD27940}" srcId="{08DF6053-FCD0-4A59-806C-DB6015155CD7}" destId="{6E593831-DD82-43C2-BDA4-3886C5D495D6}" srcOrd="2" destOrd="0" parTransId="{3542C005-DD97-4A10-868C-C93C1A36A73F}" sibTransId="{DBC15640-7425-4A63-951B-D3983EEAFC51}"/>
    <dgm:cxn modelId="{29BDB19E-95FF-4492-8E3D-14D9998160A1}" type="presOf" srcId="{5547BF59-9A96-482C-B39B-C0A154F9C5F7}" destId="{8484170D-616F-419F-B7DB-A2A9CC781244}" srcOrd="0" destOrd="0" presId="urn:microsoft.com/office/officeart/2005/8/layout/vList2"/>
    <dgm:cxn modelId="{F0ADA1DA-43B5-4EF3-B0A0-D03AFC355717}" type="presOf" srcId="{7C9520C0-B463-4DAF-9C55-641DAD13756C}" destId="{79D15A61-416E-4AB8-9D80-9206D0E15318}" srcOrd="0" destOrd="0" presId="urn:microsoft.com/office/officeart/2005/8/layout/vList2"/>
    <dgm:cxn modelId="{C3674DE8-BA70-42CB-BBAF-12B3BFF20350}" type="presOf" srcId="{6E593831-DD82-43C2-BDA4-3886C5D495D6}" destId="{E002F5DC-EDF9-4A5F-8B7C-511EB0AA5017}" srcOrd="0" destOrd="0" presId="urn:microsoft.com/office/officeart/2005/8/layout/vList2"/>
    <dgm:cxn modelId="{7B3275EB-8C7C-4084-ACE9-25CF82413647}" type="presOf" srcId="{08DF6053-FCD0-4A59-806C-DB6015155CD7}" destId="{37C87BC0-A31E-4FE1-B47C-936C3E83A3C6}" srcOrd="0" destOrd="0" presId="urn:microsoft.com/office/officeart/2005/8/layout/vList2"/>
    <dgm:cxn modelId="{BA7A57FA-B550-425B-A4BF-1BDFBE7CE74D}" type="presOf" srcId="{F2B9F34D-04CC-463D-8BBD-FC514A36CBA4}" destId="{DE4134C3-9EAA-4D37-9E76-669EA884CCFE}" srcOrd="0" destOrd="0" presId="urn:microsoft.com/office/officeart/2005/8/layout/vList2"/>
    <dgm:cxn modelId="{BCFA6082-A0A7-4EC2-BA1F-FEDAB2C8EE2B}" type="presParOf" srcId="{37C87BC0-A31E-4FE1-B47C-936C3E83A3C6}" destId="{79D15A61-416E-4AB8-9D80-9206D0E15318}" srcOrd="0" destOrd="0" presId="urn:microsoft.com/office/officeart/2005/8/layout/vList2"/>
    <dgm:cxn modelId="{EFB9911B-9F36-4D17-B4A0-A4528758C0F0}" type="presParOf" srcId="{37C87BC0-A31E-4FE1-B47C-936C3E83A3C6}" destId="{737716F1-4255-41A0-9A35-E8D182016713}" srcOrd="1" destOrd="0" presId="urn:microsoft.com/office/officeart/2005/8/layout/vList2"/>
    <dgm:cxn modelId="{0C73B722-8F6E-4C3D-8DA4-B5F5729007DD}" type="presParOf" srcId="{37C87BC0-A31E-4FE1-B47C-936C3E83A3C6}" destId="{8484170D-616F-419F-B7DB-A2A9CC781244}" srcOrd="2" destOrd="0" presId="urn:microsoft.com/office/officeart/2005/8/layout/vList2"/>
    <dgm:cxn modelId="{4AF4386E-4290-4CEE-B49E-342622936082}" type="presParOf" srcId="{37C87BC0-A31E-4FE1-B47C-936C3E83A3C6}" destId="{EFD0B417-36BE-4AB5-878B-CB203D41CFC3}" srcOrd="3" destOrd="0" presId="urn:microsoft.com/office/officeart/2005/8/layout/vList2"/>
    <dgm:cxn modelId="{7D975166-02F8-4498-AEE8-E4FCE477581A}" type="presParOf" srcId="{37C87BC0-A31E-4FE1-B47C-936C3E83A3C6}" destId="{E002F5DC-EDF9-4A5F-8B7C-511EB0AA5017}" srcOrd="4" destOrd="0" presId="urn:microsoft.com/office/officeart/2005/8/layout/vList2"/>
    <dgm:cxn modelId="{49603B29-DF10-46F6-8E1C-294BCABFFF31}" type="presParOf" srcId="{37C87BC0-A31E-4FE1-B47C-936C3E83A3C6}" destId="{1FC8BAB4-69EC-4FF7-BBE4-FDF1C8D6F69B}" srcOrd="5" destOrd="0" presId="urn:microsoft.com/office/officeart/2005/8/layout/vList2"/>
    <dgm:cxn modelId="{3B30F90F-95EE-4422-9BDE-E921467D924D}" type="presParOf" srcId="{37C87BC0-A31E-4FE1-B47C-936C3E83A3C6}" destId="{DE4134C3-9EAA-4D37-9E76-669EA884CCFE}" srcOrd="6"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DF6053-FCD0-4A59-806C-DB6015155CD7}" type="doc">
      <dgm:prSet loTypeId="urn:microsoft.com/office/officeart/2005/8/layout/vList2" loCatId="list" qsTypeId="urn:microsoft.com/office/officeart/2005/8/quickstyle/simple1" qsCatId="simple" csTypeId="urn:microsoft.com/office/officeart/2005/8/colors/accent0_3" csCatId="mainScheme" phldr="1"/>
      <dgm:spPr/>
      <dgm:t>
        <a:bodyPr/>
        <a:lstStyle/>
        <a:p>
          <a:endParaRPr lang="en-NZ"/>
        </a:p>
      </dgm:t>
    </dgm:pt>
    <dgm:pt modelId="{7C9520C0-B463-4DAF-9C55-641DAD13756C}">
      <dgm:prSet phldrT="[Text]"/>
      <dgm:spPr/>
      <dgm:t>
        <a:bodyPr/>
        <a:lstStyle/>
        <a:p>
          <a:pPr>
            <a:buFont typeface="Symbol" panose="05050102010706020507" pitchFamily="18" charset="2"/>
            <a:buChar char=""/>
          </a:pPr>
          <a:r>
            <a:rPr lang="en-NZ"/>
            <a:t>VASPs often utilise </a:t>
          </a:r>
          <a:r>
            <a:rPr lang="en-NZ" i="1"/>
            <a:t>non-face-to-face business relationships</a:t>
          </a:r>
          <a:r>
            <a:rPr lang="en-NZ"/>
            <a:t>. This is a risk factor for ML/TF as customers may hide their true identity to avoid sanctions or attention from law enforcement.</a:t>
          </a:r>
        </a:p>
      </dgm:t>
    </dgm:pt>
    <dgm:pt modelId="{3E186E47-0F16-44E0-AFE7-9F3FAAF65FD7}" type="parTrans" cxnId="{089A3771-E0CE-493C-A4EA-53D8B6367DA7}">
      <dgm:prSet/>
      <dgm:spPr/>
      <dgm:t>
        <a:bodyPr/>
        <a:lstStyle/>
        <a:p>
          <a:endParaRPr lang="en-NZ"/>
        </a:p>
      </dgm:t>
    </dgm:pt>
    <dgm:pt modelId="{577944CB-1F8E-4048-9BB7-939D4BA95B2D}" type="sibTrans" cxnId="{089A3771-E0CE-493C-A4EA-53D8B6367DA7}">
      <dgm:prSet/>
      <dgm:spPr/>
      <dgm:t>
        <a:bodyPr/>
        <a:lstStyle/>
        <a:p>
          <a:endParaRPr lang="en-NZ"/>
        </a:p>
      </dgm:t>
    </dgm:pt>
    <dgm:pt modelId="{6E1D2E5D-E59D-40C1-8A37-3774E309FEF1}">
      <dgm:prSet/>
      <dgm:spPr/>
      <dgm:t>
        <a:bodyPr/>
        <a:lstStyle/>
        <a:p>
          <a:pPr>
            <a:buFont typeface="Symbol" panose="05050102010706020507" pitchFamily="18" charset="2"/>
            <a:buChar char=""/>
          </a:pPr>
          <a:r>
            <a:rPr lang="en-NZ"/>
            <a:t>Virtual Asset ‘ATMs’ or ‘Kiosks’ present unique risks because they provide or actively facilitate </a:t>
          </a:r>
          <a:r>
            <a:rPr lang="en-NZ" i="1"/>
            <a:t>virtual asset activities via a physical terminal</a:t>
          </a:r>
          <a:r>
            <a:rPr lang="en-NZ"/>
            <a:t>. Examples include structuring transactions or failing to collect and retain required customer identification information.</a:t>
          </a:r>
        </a:p>
      </dgm:t>
    </dgm:pt>
    <dgm:pt modelId="{24C62315-9FA9-42F5-AEF6-51127BDEA3B6}" type="parTrans" cxnId="{21E79A33-844D-481D-AA2C-F7BD7DEC8AB8}">
      <dgm:prSet/>
      <dgm:spPr/>
      <dgm:t>
        <a:bodyPr/>
        <a:lstStyle/>
        <a:p>
          <a:endParaRPr lang="en-NZ"/>
        </a:p>
      </dgm:t>
    </dgm:pt>
    <dgm:pt modelId="{CE6D972D-FCC0-47D6-B013-D115DE57F36A}" type="sibTrans" cxnId="{21E79A33-844D-481D-AA2C-F7BD7DEC8AB8}">
      <dgm:prSet/>
      <dgm:spPr/>
      <dgm:t>
        <a:bodyPr/>
        <a:lstStyle/>
        <a:p>
          <a:endParaRPr lang="en-NZ"/>
        </a:p>
      </dgm:t>
    </dgm:pt>
    <dgm:pt modelId="{46C11DE1-9145-46AF-8906-508EB65711AA}">
      <dgm:prSet/>
      <dgm:spPr/>
      <dgm:t>
        <a:bodyPr/>
        <a:lstStyle/>
        <a:p>
          <a:pPr>
            <a:buFont typeface="Symbol" panose="05050102010706020507" pitchFamily="18" charset="2"/>
            <a:buChar char=""/>
          </a:pPr>
          <a:r>
            <a:rPr lang="en-NZ"/>
            <a:t>Virtual Assets have a history of being used by criminals and organised-crime. Examples include the ‘Silk Road’ website accepting virtual asset payments for illegal products, Liberty Reserve, unregistered peer-to-peer exchanges, and malware that extorts payment from victims in cryptocurrency.</a:t>
          </a:r>
        </a:p>
      </dgm:t>
    </dgm:pt>
    <dgm:pt modelId="{5271AA8B-9CAF-4DB0-9292-072FAC67766D}" type="parTrans" cxnId="{CADEDF12-23CB-4565-892F-71B10B3658E6}">
      <dgm:prSet/>
      <dgm:spPr/>
      <dgm:t>
        <a:bodyPr/>
        <a:lstStyle/>
        <a:p>
          <a:endParaRPr lang="en-NZ"/>
        </a:p>
      </dgm:t>
    </dgm:pt>
    <dgm:pt modelId="{C1B270D2-53E3-443A-B0AD-4EE4C061EC50}" type="sibTrans" cxnId="{CADEDF12-23CB-4565-892F-71B10B3658E6}">
      <dgm:prSet/>
      <dgm:spPr/>
      <dgm:t>
        <a:bodyPr/>
        <a:lstStyle/>
        <a:p>
          <a:endParaRPr lang="en-NZ"/>
        </a:p>
      </dgm:t>
    </dgm:pt>
    <dgm:pt modelId="{5600FEC0-71D4-41D4-82D1-88C46CAFCE93}">
      <dgm:prSet/>
      <dgm:spPr/>
      <dgm:t>
        <a:bodyPr/>
        <a:lstStyle/>
        <a:p>
          <a:pPr>
            <a:buFont typeface="Symbol" panose="05050102010706020507" pitchFamily="18" charset="2"/>
            <a:buChar char=""/>
          </a:pPr>
          <a:r>
            <a:rPr lang="en-NZ"/>
            <a:t>Some potential customers may be the </a:t>
          </a:r>
          <a:r>
            <a:rPr lang="en-NZ" i="1"/>
            <a:t>victims of scams involving cryptocurrency</a:t>
          </a:r>
          <a:r>
            <a:rPr lang="en-NZ"/>
            <a:t>. VASPs should be aware of customers stating they need to send money to unlock a computer (ransomware) or pay tax debt, and of customers who have a limited knowledge of virtual assets.</a:t>
          </a:r>
        </a:p>
      </dgm:t>
    </dgm:pt>
    <dgm:pt modelId="{4F16C680-6B7F-4FE3-BC48-E1E863AE4C1C}" type="parTrans" cxnId="{C2881859-1EE5-4248-A605-699592174235}">
      <dgm:prSet/>
      <dgm:spPr/>
      <dgm:t>
        <a:bodyPr/>
        <a:lstStyle/>
        <a:p>
          <a:endParaRPr lang="en-NZ"/>
        </a:p>
      </dgm:t>
    </dgm:pt>
    <dgm:pt modelId="{9FDFF62E-C46D-4108-8C9A-1EF3719C924C}" type="sibTrans" cxnId="{C2881859-1EE5-4248-A605-699592174235}">
      <dgm:prSet/>
      <dgm:spPr/>
      <dgm:t>
        <a:bodyPr/>
        <a:lstStyle/>
        <a:p>
          <a:endParaRPr lang="en-NZ"/>
        </a:p>
      </dgm:t>
    </dgm:pt>
    <dgm:pt modelId="{D817A468-5F5C-458A-B2CC-BCC371A44655}">
      <dgm:prSet phldrT="[Text]"/>
      <dgm:spPr/>
      <dgm:t>
        <a:bodyPr/>
        <a:lstStyle/>
        <a:p>
          <a:pPr>
            <a:buFont typeface="Symbol" panose="05050102010706020507" pitchFamily="18" charset="2"/>
            <a:buChar char=""/>
          </a:pPr>
          <a:r>
            <a:rPr lang="en-NZ"/>
            <a:t>VASPs should be aware of risks involving customers who conduct transactions with wallets or virtual assets that have been </a:t>
          </a:r>
          <a:r>
            <a:rPr lang="en-NZ" i="1"/>
            <a:t>linked to darknet marketplaces</a:t>
          </a:r>
          <a:r>
            <a:rPr lang="en-NZ"/>
            <a:t> or other illicit activity. Warning signs could include customer transactions being initiated from IP addresses associated with Tor, customer’s wallet details appearing on public forums associated with illegal activity, or a transaction that makes use of mixing and tumbling services.</a:t>
          </a:r>
        </a:p>
      </dgm:t>
    </dgm:pt>
    <dgm:pt modelId="{77D463A1-8D9E-4A7B-A823-876957F040A0}" type="parTrans" cxnId="{D66A96BA-C8BB-47ED-9E11-2717D5D37B69}">
      <dgm:prSet/>
      <dgm:spPr/>
      <dgm:t>
        <a:bodyPr/>
        <a:lstStyle/>
        <a:p>
          <a:endParaRPr lang="en-NZ"/>
        </a:p>
      </dgm:t>
    </dgm:pt>
    <dgm:pt modelId="{FE6AFB56-C304-42DE-900C-1C7DDDE1BC75}" type="sibTrans" cxnId="{D66A96BA-C8BB-47ED-9E11-2717D5D37B69}">
      <dgm:prSet/>
      <dgm:spPr/>
      <dgm:t>
        <a:bodyPr/>
        <a:lstStyle/>
        <a:p>
          <a:endParaRPr lang="en-NZ"/>
        </a:p>
      </dgm:t>
    </dgm:pt>
    <dgm:pt modelId="{0364A704-CBFF-4392-9E6F-EE5F305DE816}">
      <dgm:prSet phldrT="[Text]"/>
      <dgm:spPr/>
      <dgm:t>
        <a:bodyPr/>
        <a:lstStyle/>
        <a:p>
          <a:pPr>
            <a:buFont typeface="Symbol" panose="05050102010706020507" pitchFamily="18" charset="2"/>
            <a:buChar char=""/>
          </a:pPr>
          <a:r>
            <a:rPr lang="en-NZ"/>
            <a:t>VASPs should be aware of risks of customers who may be operating as unregistered or Illicit peer-to-peer exchangers. Warning signs could include customers receiving a series of deposits from disparate sources that, together, amount to identical transfers to a known virtual currency exchange platform within a short period of time. Alternatively, the customer’s phone number or email address being connected to a known peer-to-peer exchange platform advertising exchange services.</a:t>
          </a:r>
        </a:p>
      </dgm:t>
    </dgm:pt>
    <dgm:pt modelId="{B4CDC600-AE21-4039-A203-5BEC8101DBAA}" type="parTrans" cxnId="{9A80EF00-F49D-4293-80C1-B2388E09EBB0}">
      <dgm:prSet/>
      <dgm:spPr/>
      <dgm:t>
        <a:bodyPr/>
        <a:lstStyle/>
        <a:p>
          <a:endParaRPr lang="en-NZ"/>
        </a:p>
      </dgm:t>
    </dgm:pt>
    <dgm:pt modelId="{D3562F21-78DE-48F1-A510-6426EC128384}" type="sibTrans" cxnId="{9A80EF00-F49D-4293-80C1-B2388E09EBB0}">
      <dgm:prSet/>
      <dgm:spPr/>
      <dgm:t>
        <a:bodyPr/>
        <a:lstStyle/>
        <a:p>
          <a:endParaRPr lang="en-NZ"/>
        </a:p>
      </dgm:t>
    </dgm:pt>
    <dgm:pt modelId="{0392662E-8DC7-489B-AE98-8E3D73B69548}">
      <dgm:prSet/>
      <dgm:spPr/>
      <dgm:t>
        <a:bodyPr/>
        <a:lstStyle/>
        <a:p>
          <a:pPr>
            <a:buFont typeface="Symbol" panose="05050102010706020507" pitchFamily="18" charset="2"/>
            <a:buChar char=""/>
          </a:pPr>
          <a:r>
            <a:rPr lang="en-NZ"/>
            <a:t>The use of virtual assets to avoid international sanctions is a known risk.  As regimes and individuals are cut off from the global financial system, they search for alternatives. This has resulted in some countries and individuals trying to turn to digital currencies to offset the impact of economic sanctions. (Examples of states attempting to avoid sanctions via virtual assets include Venezuela and the ‘Petro’, North Korea’s ‘Lazarus’ Hacking Group)</a:t>
          </a:r>
        </a:p>
      </dgm:t>
    </dgm:pt>
    <dgm:pt modelId="{47BE3389-C66E-4855-8D88-4CB7597A8230}" type="parTrans" cxnId="{20729C59-E3AE-4BD8-A1F8-59BDDEE9800B}">
      <dgm:prSet/>
      <dgm:spPr/>
      <dgm:t>
        <a:bodyPr/>
        <a:lstStyle/>
        <a:p>
          <a:endParaRPr lang="en-NZ"/>
        </a:p>
      </dgm:t>
    </dgm:pt>
    <dgm:pt modelId="{5B988279-656A-4F81-834C-C3D4DD6A007D}" type="sibTrans" cxnId="{20729C59-E3AE-4BD8-A1F8-59BDDEE9800B}">
      <dgm:prSet/>
      <dgm:spPr/>
      <dgm:t>
        <a:bodyPr/>
        <a:lstStyle/>
        <a:p>
          <a:endParaRPr lang="en-NZ"/>
        </a:p>
      </dgm:t>
    </dgm:pt>
    <dgm:pt modelId="{CD5B5AB7-1165-4F9B-9FC6-0D642B2BB032}">
      <dgm:prSet/>
      <dgm:spPr/>
      <dgm:t>
        <a:bodyPr/>
        <a:lstStyle/>
        <a:p>
          <a:pPr>
            <a:buFont typeface="Symbol" panose="05050102010706020507" pitchFamily="18" charset="2"/>
            <a:buChar char=""/>
          </a:pPr>
          <a:r>
            <a:rPr lang="en-NZ"/>
            <a:t>Virtual Assets’ global reach increases the risks of potential ML/TF. Virtual asset systems can be accessed via the Internet (including via mobile phones) and can be used to make cross-border payments and funds transfers with customers avoiding face-to-face interaction, enhancing anonymity. </a:t>
          </a:r>
        </a:p>
      </dgm:t>
    </dgm:pt>
    <dgm:pt modelId="{D734B31A-A0C9-4BCD-A3E1-DF0DCCA2B6AD}" type="parTrans" cxnId="{2AE2215E-1432-4925-8C38-A2AE51559332}">
      <dgm:prSet/>
      <dgm:spPr/>
      <dgm:t>
        <a:bodyPr/>
        <a:lstStyle/>
        <a:p>
          <a:endParaRPr lang="en-NZ"/>
        </a:p>
      </dgm:t>
    </dgm:pt>
    <dgm:pt modelId="{B6B0945A-9982-4C83-853C-3DC8DE3BFC75}" type="sibTrans" cxnId="{2AE2215E-1432-4925-8C38-A2AE51559332}">
      <dgm:prSet/>
      <dgm:spPr/>
      <dgm:t>
        <a:bodyPr/>
        <a:lstStyle/>
        <a:p>
          <a:endParaRPr lang="en-NZ"/>
        </a:p>
      </dgm:t>
    </dgm:pt>
    <dgm:pt modelId="{E0929152-F2DD-44AC-8B52-4D74DF170998}">
      <dgm:prSet/>
      <dgm:spPr/>
      <dgm:t>
        <a:bodyPr/>
        <a:lstStyle/>
        <a:p>
          <a:pPr>
            <a:buFont typeface="Symbol" panose="05050102010706020507" pitchFamily="18" charset="2"/>
            <a:buChar char=""/>
          </a:pPr>
          <a:r>
            <a:rPr lang="en-NZ"/>
            <a:t>Virtual Assets can also be used to facilitate trade-based money laundering (TBML) schemes. Given the features of virtual assets such as having inconsistent value, their transnational nature, and favouring anonymity, they become conducive for TBML.</a:t>
          </a:r>
        </a:p>
      </dgm:t>
    </dgm:pt>
    <dgm:pt modelId="{573D8B68-03F6-40B9-8E08-2BC12B25CC35}" type="parTrans" cxnId="{3106AEBE-CFB4-4C1C-A137-15EF259E7380}">
      <dgm:prSet/>
      <dgm:spPr/>
      <dgm:t>
        <a:bodyPr/>
        <a:lstStyle/>
        <a:p>
          <a:endParaRPr lang="en-NZ"/>
        </a:p>
      </dgm:t>
    </dgm:pt>
    <dgm:pt modelId="{FBAF8F26-984B-4A80-8F41-D9ED3124A5A6}" type="sibTrans" cxnId="{3106AEBE-CFB4-4C1C-A137-15EF259E7380}">
      <dgm:prSet/>
      <dgm:spPr/>
      <dgm:t>
        <a:bodyPr/>
        <a:lstStyle/>
        <a:p>
          <a:endParaRPr lang="en-NZ"/>
        </a:p>
      </dgm:t>
    </dgm:pt>
    <dgm:pt modelId="{DE3191C8-23D9-403C-BA8B-DF8E6C16789E}">
      <dgm:prSet/>
      <dgm:spPr/>
      <dgm:t>
        <a:bodyPr/>
        <a:lstStyle/>
        <a:p>
          <a:pPr>
            <a:buFont typeface="Symbol" panose="05050102010706020507" pitchFamily="18" charset="2"/>
            <a:buChar char=""/>
          </a:pPr>
          <a:r>
            <a:rPr lang="en-NZ"/>
            <a:t>The risk of TF is also significant – terrorist organisations and their supporters and sympathisers are also constantly looking for ways to raise and transfer funds without detection or tracking by law enforcement, and the level of anonymity that virtual assets can provide is attractive to them. There are documented cases of organisations such as Hamas and al-Qaeda utilising virtual currencies to raise funds from donors and move money internationally.</a:t>
          </a:r>
        </a:p>
      </dgm:t>
    </dgm:pt>
    <dgm:pt modelId="{95053DE2-997A-4747-B3AD-001FAE3CA30B}" type="parTrans" cxnId="{760F79D5-0EF3-4A9C-9558-146FFD656BBE}">
      <dgm:prSet/>
      <dgm:spPr/>
      <dgm:t>
        <a:bodyPr/>
        <a:lstStyle/>
        <a:p>
          <a:endParaRPr lang="en-NZ"/>
        </a:p>
      </dgm:t>
    </dgm:pt>
    <dgm:pt modelId="{5898BE7A-BE44-44D9-BC63-95953D476F62}" type="sibTrans" cxnId="{760F79D5-0EF3-4A9C-9558-146FFD656BBE}">
      <dgm:prSet/>
      <dgm:spPr/>
      <dgm:t>
        <a:bodyPr/>
        <a:lstStyle/>
        <a:p>
          <a:endParaRPr lang="en-NZ"/>
        </a:p>
      </dgm:t>
    </dgm:pt>
    <dgm:pt modelId="{37C87BC0-A31E-4FE1-B47C-936C3E83A3C6}" type="pres">
      <dgm:prSet presAssocID="{08DF6053-FCD0-4A59-806C-DB6015155CD7}" presName="linear" presStyleCnt="0">
        <dgm:presLayoutVars>
          <dgm:animLvl val="lvl"/>
          <dgm:resizeHandles val="exact"/>
        </dgm:presLayoutVars>
      </dgm:prSet>
      <dgm:spPr/>
    </dgm:pt>
    <dgm:pt modelId="{79D15A61-416E-4AB8-9D80-9206D0E15318}" type="pres">
      <dgm:prSet presAssocID="{7C9520C0-B463-4DAF-9C55-641DAD13756C}" presName="parentText" presStyleLbl="node1" presStyleIdx="0" presStyleCnt="10" custScaleY="74304">
        <dgm:presLayoutVars>
          <dgm:chMax val="0"/>
          <dgm:bulletEnabled val="1"/>
        </dgm:presLayoutVars>
      </dgm:prSet>
      <dgm:spPr/>
    </dgm:pt>
    <dgm:pt modelId="{737716F1-4255-41A0-9A35-E8D182016713}" type="pres">
      <dgm:prSet presAssocID="{577944CB-1F8E-4048-9BB7-939D4BA95B2D}" presName="spacer" presStyleCnt="0"/>
      <dgm:spPr/>
    </dgm:pt>
    <dgm:pt modelId="{C4A88EE0-FF94-495F-8B39-EED4926515BC}" type="pres">
      <dgm:prSet presAssocID="{6E1D2E5D-E59D-40C1-8A37-3774E309FEF1}" presName="parentText" presStyleLbl="node1" presStyleIdx="1" presStyleCnt="10" custScaleY="83023">
        <dgm:presLayoutVars>
          <dgm:chMax val="0"/>
          <dgm:bulletEnabled val="1"/>
        </dgm:presLayoutVars>
      </dgm:prSet>
      <dgm:spPr/>
    </dgm:pt>
    <dgm:pt modelId="{3A257E81-C2B5-4A9D-BBF1-702E173AF9F3}" type="pres">
      <dgm:prSet presAssocID="{CE6D972D-FCC0-47D6-B013-D115DE57F36A}" presName="spacer" presStyleCnt="0"/>
      <dgm:spPr/>
    </dgm:pt>
    <dgm:pt modelId="{C82004B7-6259-4CAD-AFFA-B8BE7B108AEC}" type="pres">
      <dgm:prSet presAssocID="{46C11DE1-9145-46AF-8906-508EB65711AA}" presName="parentText" presStyleLbl="node1" presStyleIdx="2" presStyleCnt="10" custScaleY="86526">
        <dgm:presLayoutVars>
          <dgm:chMax val="0"/>
          <dgm:bulletEnabled val="1"/>
        </dgm:presLayoutVars>
      </dgm:prSet>
      <dgm:spPr/>
    </dgm:pt>
    <dgm:pt modelId="{BFCD5383-518D-405E-9448-838B28064774}" type="pres">
      <dgm:prSet presAssocID="{C1B270D2-53E3-443A-B0AD-4EE4C061EC50}" presName="spacer" presStyleCnt="0"/>
      <dgm:spPr/>
    </dgm:pt>
    <dgm:pt modelId="{0E1B7E52-50A1-4C4C-A832-EDE3CAC1C0CC}" type="pres">
      <dgm:prSet presAssocID="{5600FEC0-71D4-41D4-82D1-88C46CAFCE93}" presName="parentText" presStyleLbl="node1" presStyleIdx="3" presStyleCnt="10" custScaleY="86516">
        <dgm:presLayoutVars>
          <dgm:chMax val="0"/>
          <dgm:bulletEnabled val="1"/>
        </dgm:presLayoutVars>
      </dgm:prSet>
      <dgm:spPr/>
    </dgm:pt>
    <dgm:pt modelId="{98CB6791-0A12-4397-A172-49C2EC462F8A}" type="pres">
      <dgm:prSet presAssocID="{9FDFF62E-C46D-4108-8C9A-1EF3719C924C}" presName="spacer" presStyleCnt="0"/>
      <dgm:spPr/>
    </dgm:pt>
    <dgm:pt modelId="{1E450C25-9C76-4999-8455-BAF94103F42A}" type="pres">
      <dgm:prSet presAssocID="{D817A468-5F5C-458A-B2CC-BCC371A44655}" presName="parentText" presStyleLbl="node1" presStyleIdx="4" presStyleCnt="10" custScaleY="133807">
        <dgm:presLayoutVars>
          <dgm:chMax val="0"/>
          <dgm:bulletEnabled val="1"/>
        </dgm:presLayoutVars>
      </dgm:prSet>
      <dgm:spPr/>
    </dgm:pt>
    <dgm:pt modelId="{95E3D549-0741-4553-9C85-AAAC7BB7D885}" type="pres">
      <dgm:prSet presAssocID="{FE6AFB56-C304-42DE-900C-1C7DDDE1BC75}" presName="spacer" presStyleCnt="0"/>
      <dgm:spPr/>
    </dgm:pt>
    <dgm:pt modelId="{5CF3986C-0A31-4910-9F54-CEC1D9B8482E}" type="pres">
      <dgm:prSet presAssocID="{0364A704-CBFF-4392-9E6F-EE5F305DE816}" presName="parentText" presStyleLbl="node1" presStyleIdx="5" presStyleCnt="10" custScaleY="117783">
        <dgm:presLayoutVars>
          <dgm:chMax val="0"/>
          <dgm:bulletEnabled val="1"/>
        </dgm:presLayoutVars>
      </dgm:prSet>
      <dgm:spPr/>
    </dgm:pt>
    <dgm:pt modelId="{1CBB5586-B758-487C-B288-F2768FCCF0D2}" type="pres">
      <dgm:prSet presAssocID="{D3562F21-78DE-48F1-A510-6426EC128384}" presName="spacer" presStyleCnt="0"/>
      <dgm:spPr/>
    </dgm:pt>
    <dgm:pt modelId="{86DE4C18-DF50-483A-979F-21FBEA928533}" type="pres">
      <dgm:prSet presAssocID="{0392662E-8DC7-489B-AE98-8E3D73B69548}" presName="parentText" presStyleLbl="node1" presStyleIdx="6" presStyleCnt="10" custScaleY="128791">
        <dgm:presLayoutVars>
          <dgm:chMax val="0"/>
          <dgm:bulletEnabled val="1"/>
        </dgm:presLayoutVars>
      </dgm:prSet>
      <dgm:spPr/>
    </dgm:pt>
    <dgm:pt modelId="{A9857D4F-7DFD-46ED-896E-427A63A0DB52}" type="pres">
      <dgm:prSet presAssocID="{5B988279-656A-4F81-834C-C3D4DD6A007D}" presName="spacer" presStyleCnt="0"/>
      <dgm:spPr/>
    </dgm:pt>
    <dgm:pt modelId="{CA1F14BD-F54A-47CE-9314-902A9166E258}" type="pres">
      <dgm:prSet presAssocID="{CD5B5AB7-1165-4F9B-9FC6-0D642B2BB032}" presName="parentText" presStyleLbl="node1" presStyleIdx="7" presStyleCnt="10">
        <dgm:presLayoutVars>
          <dgm:chMax val="0"/>
          <dgm:bulletEnabled val="1"/>
        </dgm:presLayoutVars>
      </dgm:prSet>
      <dgm:spPr/>
    </dgm:pt>
    <dgm:pt modelId="{F942E231-6330-4E4A-8508-142361A57666}" type="pres">
      <dgm:prSet presAssocID="{B6B0945A-9982-4C83-853C-3DC8DE3BFC75}" presName="spacer" presStyleCnt="0"/>
      <dgm:spPr/>
    </dgm:pt>
    <dgm:pt modelId="{BC89C04B-A12B-4715-BEDB-935E0CA0D17A}" type="pres">
      <dgm:prSet presAssocID="{E0929152-F2DD-44AC-8B52-4D74DF170998}" presName="parentText" presStyleLbl="node1" presStyleIdx="8" presStyleCnt="10">
        <dgm:presLayoutVars>
          <dgm:chMax val="0"/>
          <dgm:bulletEnabled val="1"/>
        </dgm:presLayoutVars>
      </dgm:prSet>
      <dgm:spPr/>
    </dgm:pt>
    <dgm:pt modelId="{F940AF79-A6D2-4F65-9D5F-78AA8B63C277}" type="pres">
      <dgm:prSet presAssocID="{FBAF8F26-984B-4A80-8F41-D9ED3124A5A6}" presName="spacer" presStyleCnt="0"/>
      <dgm:spPr/>
    </dgm:pt>
    <dgm:pt modelId="{4E5356D0-3986-4CC3-A2DF-AC808BC94699}" type="pres">
      <dgm:prSet presAssocID="{DE3191C8-23D9-403C-BA8B-DF8E6C16789E}" presName="parentText" presStyleLbl="node1" presStyleIdx="9" presStyleCnt="10">
        <dgm:presLayoutVars>
          <dgm:chMax val="0"/>
          <dgm:bulletEnabled val="1"/>
        </dgm:presLayoutVars>
      </dgm:prSet>
      <dgm:spPr/>
    </dgm:pt>
  </dgm:ptLst>
  <dgm:cxnLst>
    <dgm:cxn modelId="{9A80EF00-F49D-4293-80C1-B2388E09EBB0}" srcId="{08DF6053-FCD0-4A59-806C-DB6015155CD7}" destId="{0364A704-CBFF-4392-9E6F-EE5F305DE816}" srcOrd="5" destOrd="0" parTransId="{B4CDC600-AE21-4039-A203-5BEC8101DBAA}" sibTransId="{D3562F21-78DE-48F1-A510-6426EC128384}"/>
    <dgm:cxn modelId="{CADEDF12-23CB-4565-892F-71B10B3658E6}" srcId="{08DF6053-FCD0-4A59-806C-DB6015155CD7}" destId="{46C11DE1-9145-46AF-8906-508EB65711AA}" srcOrd="2" destOrd="0" parTransId="{5271AA8B-9CAF-4DB0-9292-072FAC67766D}" sibTransId="{C1B270D2-53E3-443A-B0AD-4EE4C061EC50}"/>
    <dgm:cxn modelId="{D8BF2E31-BE25-4144-9116-E4247198264B}" type="presOf" srcId="{0364A704-CBFF-4392-9E6F-EE5F305DE816}" destId="{5CF3986C-0A31-4910-9F54-CEC1D9B8482E}" srcOrd="0" destOrd="0" presId="urn:microsoft.com/office/officeart/2005/8/layout/vList2"/>
    <dgm:cxn modelId="{554BBD32-E7FB-4998-953E-7C5F61C4DAF3}" type="presOf" srcId="{D817A468-5F5C-458A-B2CC-BCC371A44655}" destId="{1E450C25-9C76-4999-8455-BAF94103F42A}" srcOrd="0" destOrd="0" presId="urn:microsoft.com/office/officeart/2005/8/layout/vList2"/>
    <dgm:cxn modelId="{21E79A33-844D-481D-AA2C-F7BD7DEC8AB8}" srcId="{08DF6053-FCD0-4A59-806C-DB6015155CD7}" destId="{6E1D2E5D-E59D-40C1-8A37-3774E309FEF1}" srcOrd="1" destOrd="0" parTransId="{24C62315-9FA9-42F5-AEF6-51127BDEA3B6}" sibTransId="{CE6D972D-FCC0-47D6-B013-D115DE57F36A}"/>
    <dgm:cxn modelId="{2AE2215E-1432-4925-8C38-A2AE51559332}" srcId="{08DF6053-FCD0-4A59-806C-DB6015155CD7}" destId="{CD5B5AB7-1165-4F9B-9FC6-0D642B2BB032}" srcOrd="7" destOrd="0" parTransId="{D734B31A-A0C9-4BCD-A3E1-DF0DCCA2B6AD}" sibTransId="{B6B0945A-9982-4C83-853C-3DC8DE3BFC75}"/>
    <dgm:cxn modelId="{9F0B1843-093E-47CA-B37E-69C05D3D3252}" type="presOf" srcId="{E0929152-F2DD-44AC-8B52-4D74DF170998}" destId="{BC89C04B-A12B-4715-BEDB-935E0CA0D17A}" srcOrd="0" destOrd="0" presId="urn:microsoft.com/office/officeart/2005/8/layout/vList2"/>
    <dgm:cxn modelId="{C858E34E-70E5-43AA-A3D1-AF5927F350CF}" type="presOf" srcId="{CD5B5AB7-1165-4F9B-9FC6-0D642B2BB032}" destId="{CA1F14BD-F54A-47CE-9314-902A9166E258}" srcOrd="0" destOrd="0" presId="urn:microsoft.com/office/officeart/2005/8/layout/vList2"/>
    <dgm:cxn modelId="{FC6A524F-F14C-4C34-B642-53607B0C7AB6}" type="presOf" srcId="{46C11DE1-9145-46AF-8906-508EB65711AA}" destId="{C82004B7-6259-4CAD-AFFA-B8BE7B108AEC}" srcOrd="0" destOrd="0" presId="urn:microsoft.com/office/officeart/2005/8/layout/vList2"/>
    <dgm:cxn modelId="{089A3771-E0CE-493C-A4EA-53D8B6367DA7}" srcId="{08DF6053-FCD0-4A59-806C-DB6015155CD7}" destId="{7C9520C0-B463-4DAF-9C55-641DAD13756C}" srcOrd="0" destOrd="0" parTransId="{3E186E47-0F16-44E0-AFE7-9F3FAAF65FD7}" sibTransId="{577944CB-1F8E-4048-9BB7-939D4BA95B2D}"/>
    <dgm:cxn modelId="{C2881859-1EE5-4248-A605-699592174235}" srcId="{08DF6053-FCD0-4A59-806C-DB6015155CD7}" destId="{5600FEC0-71D4-41D4-82D1-88C46CAFCE93}" srcOrd="3" destOrd="0" parTransId="{4F16C680-6B7F-4FE3-BC48-E1E863AE4C1C}" sibTransId="{9FDFF62E-C46D-4108-8C9A-1EF3719C924C}"/>
    <dgm:cxn modelId="{20729C59-E3AE-4BD8-A1F8-59BDDEE9800B}" srcId="{08DF6053-FCD0-4A59-806C-DB6015155CD7}" destId="{0392662E-8DC7-489B-AE98-8E3D73B69548}" srcOrd="6" destOrd="0" parTransId="{47BE3389-C66E-4855-8D88-4CB7597A8230}" sibTransId="{5B988279-656A-4F81-834C-C3D4DD6A007D}"/>
    <dgm:cxn modelId="{5EC8B77E-9FF6-479A-943B-01DCC173EC91}" type="presOf" srcId="{5600FEC0-71D4-41D4-82D1-88C46CAFCE93}" destId="{0E1B7E52-50A1-4C4C-A832-EDE3CAC1C0CC}" srcOrd="0" destOrd="0" presId="urn:microsoft.com/office/officeart/2005/8/layout/vList2"/>
    <dgm:cxn modelId="{8D0FD9B3-2C24-46BF-8024-847F5B5420A5}" type="presOf" srcId="{DE3191C8-23D9-403C-BA8B-DF8E6C16789E}" destId="{4E5356D0-3986-4CC3-A2DF-AC808BC94699}" srcOrd="0" destOrd="0" presId="urn:microsoft.com/office/officeart/2005/8/layout/vList2"/>
    <dgm:cxn modelId="{109A12B9-26D6-4B64-8D72-C483473E6226}" type="presOf" srcId="{0392662E-8DC7-489B-AE98-8E3D73B69548}" destId="{86DE4C18-DF50-483A-979F-21FBEA928533}" srcOrd="0" destOrd="0" presId="urn:microsoft.com/office/officeart/2005/8/layout/vList2"/>
    <dgm:cxn modelId="{D66A96BA-C8BB-47ED-9E11-2717D5D37B69}" srcId="{08DF6053-FCD0-4A59-806C-DB6015155CD7}" destId="{D817A468-5F5C-458A-B2CC-BCC371A44655}" srcOrd="4" destOrd="0" parTransId="{77D463A1-8D9E-4A7B-A823-876957F040A0}" sibTransId="{FE6AFB56-C304-42DE-900C-1C7DDDE1BC75}"/>
    <dgm:cxn modelId="{3106AEBE-CFB4-4C1C-A137-15EF259E7380}" srcId="{08DF6053-FCD0-4A59-806C-DB6015155CD7}" destId="{E0929152-F2DD-44AC-8B52-4D74DF170998}" srcOrd="8" destOrd="0" parTransId="{573D8B68-03F6-40B9-8E08-2BC12B25CC35}" sibTransId="{FBAF8F26-984B-4A80-8F41-D9ED3124A5A6}"/>
    <dgm:cxn modelId="{760F79D5-0EF3-4A9C-9558-146FFD656BBE}" srcId="{08DF6053-FCD0-4A59-806C-DB6015155CD7}" destId="{DE3191C8-23D9-403C-BA8B-DF8E6C16789E}" srcOrd="9" destOrd="0" parTransId="{95053DE2-997A-4747-B3AD-001FAE3CA30B}" sibTransId="{5898BE7A-BE44-44D9-BC63-95953D476F62}"/>
    <dgm:cxn modelId="{F0ADA1DA-43B5-4EF3-B0A0-D03AFC355717}" type="presOf" srcId="{7C9520C0-B463-4DAF-9C55-641DAD13756C}" destId="{79D15A61-416E-4AB8-9D80-9206D0E15318}" srcOrd="0" destOrd="0" presId="urn:microsoft.com/office/officeart/2005/8/layout/vList2"/>
    <dgm:cxn modelId="{7B3275EB-8C7C-4084-ACE9-25CF82413647}" type="presOf" srcId="{08DF6053-FCD0-4A59-806C-DB6015155CD7}" destId="{37C87BC0-A31E-4FE1-B47C-936C3E83A3C6}" srcOrd="0" destOrd="0" presId="urn:microsoft.com/office/officeart/2005/8/layout/vList2"/>
    <dgm:cxn modelId="{24A5DCFE-C038-4A28-965D-724F82F87019}" type="presOf" srcId="{6E1D2E5D-E59D-40C1-8A37-3774E309FEF1}" destId="{C4A88EE0-FF94-495F-8B39-EED4926515BC}" srcOrd="0" destOrd="0" presId="urn:microsoft.com/office/officeart/2005/8/layout/vList2"/>
    <dgm:cxn modelId="{BCFA6082-A0A7-4EC2-BA1F-FEDAB2C8EE2B}" type="presParOf" srcId="{37C87BC0-A31E-4FE1-B47C-936C3E83A3C6}" destId="{79D15A61-416E-4AB8-9D80-9206D0E15318}" srcOrd="0" destOrd="0" presId="urn:microsoft.com/office/officeart/2005/8/layout/vList2"/>
    <dgm:cxn modelId="{EFB9911B-9F36-4D17-B4A0-A4528758C0F0}" type="presParOf" srcId="{37C87BC0-A31E-4FE1-B47C-936C3E83A3C6}" destId="{737716F1-4255-41A0-9A35-E8D182016713}" srcOrd="1" destOrd="0" presId="urn:microsoft.com/office/officeart/2005/8/layout/vList2"/>
    <dgm:cxn modelId="{EBD3BCF4-4837-4C39-B9CE-66A89B8D22EC}" type="presParOf" srcId="{37C87BC0-A31E-4FE1-B47C-936C3E83A3C6}" destId="{C4A88EE0-FF94-495F-8B39-EED4926515BC}" srcOrd="2" destOrd="0" presId="urn:microsoft.com/office/officeart/2005/8/layout/vList2"/>
    <dgm:cxn modelId="{62FCDD5B-912E-4266-BD9A-33E446636667}" type="presParOf" srcId="{37C87BC0-A31E-4FE1-B47C-936C3E83A3C6}" destId="{3A257E81-C2B5-4A9D-BBF1-702E173AF9F3}" srcOrd="3" destOrd="0" presId="urn:microsoft.com/office/officeart/2005/8/layout/vList2"/>
    <dgm:cxn modelId="{9CB08863-1B15-4D1A-A0D0-8C0ACCEF5977}" type="presParOf" srcId="{37C87BC0-A31E-4FE1-B47C-936C3E83A3C6}" destId="{C82004B7-6259-4CAD-AFFA-B8BE7B108AEC}" srcOrd="4" destOrd="0" presId="urn:microsoft.com/office/officeart/2005/8/layout/vList2"/>
    <dgm:cxn modelId="{7F5B91D2-BD8E-4621-BB81-D17EFF30C7B7}" type="presParOf" srcId="{37C87BC0-A31E-4FE1-B47C-936C3E83A3C6}" destId="{BFCD5383-518D-405E-9448-838B28064774}" srcOrd="5" destOrd="0" presId="urn:microsoft.com/office/officeart/2005/8/layout/vList2"/>
    <dgm:cxn modelId="{03089102-FD75-4EA2-B035-F284D03FA8B2}" type="presParOf" srcId="{37C87BC0-A31E-4FE1-B47C-936C3E83A3C6}" destId="{0E1B7E52-50A1-4C4C-A832-EDE3CAC1C0CC}" srcOrd="6" destOrd="0" presId="urn:microsoft.com/office/officeart/2005/8/layout/vList2"/>
    <dgm:cxn modelId="{2D921696-72E7-4E87-8069-AD5A054F4D73}" type="presParOf" srcId="{37C87BC0-A31E-4FE1-B47C-936C3E83A3C6}" destId="{98CB6791-0A12-4397-A172-49C2EC462F8A}" srcOrd="7" destOrd="0" presId="urn:microsoft.com/office/officeart/2005/8/layout/vList2"/>
    <dgm:cxn modelId="{22B5898B-E972-4B5D-8208-804E706B6134}" type="presParOf" srcId="{37C87BC0-A31E-4FE1-B47C-936C3E83A3C6}" destId="{1E450C25-9C76-4999-8455-BAF94103F42A}" srcOrd="8" destOrd="0" presId="urn:microsoft.com/office/officeart/2005/8/layout/vList2"/>
    <dgm:cxn modelId="{8E4157E4-2C64-47E3-8638-F3A83225A444}" type="presParOf" srcId="{37C87BC0-A31E-4FE1-B47C-936C3E83A3C6}" destId="{95E3D549-0741-4553-9C85-AAAC7BB7D885}" srcOrd="9" destOrd="0" presId="urn:microsoft.com/office/officeart/2005/8/layout/vList2"/>
    <dgm:cxn modelId="{919C040F-05FE-40F5-A072-9CDB453CC09B}" type="presParOf" srcId="{37C87BC0-A31E-4FE1-B47C-936C3E83A3C6}" destId="{5CF3986C-0A31-4910-9F54-CEC1D9B8482E}" srcOrd="10" destOrd="0" presId="urn:microsoft.com/office/officeart/2005/8/layout/vList2"/>
    <dgm:cxn modelId="{59420345-1C57-4C92-B2D3-178D8AEFDBC2}" type="presParOf" srcId="{37C87BC0-A31E-4FE1-B47C-936C3E83A3C6}" destId="{1CBB5586-B758-487C-B288-F2768FCCF0D2}" srcOrd="11" destOrd="0" presId="urn:microsoft.com/office/officeart/2005/8/layout/vList2"/>
    <dgm:cxn modelId="{4FA421C7-6FD3-4A18-A5A5-A7BA2BC9F31C}" type="presParOf" srcId="{37C87BC0-A31E-4FE1-B47C-936C3E83A3C6}" destId="{86DE4C18-DF50-483A-979F-21FBEA928533}" srcOrd="12" destOrd="0" presId="urn:microsoft.com/office/officeart/2005/8/layout/vList2"/>
    <dgm:cxn modelId="{43C9EE87-D9DE-4E47-87F4-1936FB3C90E7}" type="presParOf" srcId="{37C87BC0-A31E-4FE1-B47C-936C3E83A3C6}" destId="{A9857D4F-7DFD-46ED-896E-427A63A0DB52}" srcOrd="13" destOrd="0" presId="urn:microsoft.com/office/officeart/2005/8/layout/vList2"/>
    <dgm:cxn modelId="{1FBF9E6B-9567-4375-BA85-A0212467BCA8}" type="presParOf" srcId="{37C87BC0-A31E-4FE1-B47C-936C3E83A3C6}" destId="{CA1F14BD-F54A-47CE-9314-902A9166E258}" srcOrd="14" destOrd="0" presId="urn:microsoft.com/office/officeart/2005/8/layout/vList2"/>
    <dgm:cxn modelId="{E5A1268C-6D2E-4A36-AADC-1F6CA5C8948E}" type="presParOf" srcId="{37C87BC0-A31E-4FE1-B47C-936C3E83A3C6}" destId="{F942E231-6330-4E4A-8508-142361A57666}" srcOrd="15" destOrd="0" presId="urn:microsoft.com/office/officeart/2005/8/layout/vList2"/>
    <dgm:cxn modelId="{68FED887-B24C-44A1-9CCC-4724B4B9AF64}" type="presParOf" srcId="{37C87BC0-A31E-4FE1-B47C-936C3E83A3C6}" destId="{BC89C04B-A12B-4715-BEDB-935E0CA0D17A}" srcOrd="16" destOrd="0" presId="urn:microsoft.com/office/officeart/2005/8/layout/vList2"/>
    <dgm:cxn modelId="{049D62A9-230D-4E94-A1FA-E2EA9168442D}" type="presParOf" srcId="{37C87BC0-A31E-4FE1-B47C-936C3E83A3C6}" destId="{F940AF79-A6D2-4F65-9D5F-78AA8B63C277}" srcOrd="17" destOrd="0" presId="urn:microsoft.com/office/officeart/2005/8/layout/vList2"/>
    <dgm:cxn modelId="{D71FA4D2-F001-4BC5-B370-E03E9D5BE028}" type="presParOf" srcId="{37C87BC0-A31E-4FE1-B47C-936C3E83A3C6}" destId="{4E5356D0-3986-4CC3-A2DF-AC808BC94699}" srcOrd="18"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AC8CE42-18AB-4EFC-8D22-0C37440F0D9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NZ"/>
        </a:p>
      </dgm:t>
    </dgm:pt>
    <dgm:pt modelId="{5CF33D8B-C85D-4E5F-B214-4E5EC02AD261}">
      <dgm:prSet phldrT="[Text]"/>
      <dgm:spPr/>
      <dgm:t>
        <a:bodyPr/>
        <a:lstStyle/>
        <a:p>
          <a:r>
            <a:rPr lang="en-NZ" b="1" i="1" u="sng"/>
            <a:t>Category: </a:t>
          </a:r>
          <a:r>
            <a:rPr lang="en-NZ" i="1"/>
            <a:t>The countries you deal with</a:t>
          </a:r>
          <a:endParaRPr lang="en-NZ"/>
        </a:p>
      </dgm:t>
    </dgm:pt>
    <dgm:pt modelId="{EA054E6B-AAC3-4B3B-A57B-77435CD3D323}" type="parTrans" cxnId="{1AB2104C-B461-40DA-9A77-5D536DA8A12C}">
      <dgm:prSet/>
      <dgm:spPr/>
      <dgm:t>
        <a:bodyPr/>
        <a:lstStyle/>
        <a:p>
          <a:endParaRPr lang="en-NZ"/>
        </a:p>
      </dgm:t>
    </dgm:pt>
    <dgm:pt modelId="{7A69A206-4410-425A-A1FC-56EAAD78D65E}" type="sibTrans" cxnId="{1AB2104C-B461-40DA-9A77-5D536DA8A12C}">
      <dgm:prSet/>
      <dgm:spPr/>
      <dgm:t>
        <a:bodyPr/>
        <a:lstStyle/>
        <a:p>
          <a:endParaRPr lang="en-NZ"/>
        </a:p>
      </dgm:t>
    </dgm:pt>
    <dgm:pt modelId="{EC06754F-EFC1-4732-9F28-F92CDA587420}">
      <dgm:prSet phldrT="[Text]"/>
      <dgm:spPr/>
      <dgm:t>
        <a:bodyPr/>
        <a:lstStyle/>
        <a:p>
          <a:pPr>
            <a:buFont typeface="Symbol" panose="05050102010706020507" pitchFamily="18" charset="2"/>
            <a:buChar char=""/>
          </a:pPr>
          <a:r>
            <a:rPr lang="en-NZ" i="1"/>
            <a:t>What are those countries? </a:t>
          </a:r>
          <a:endParaRPr lang="en-NZ"/>
        </a:p>
      </dgm:t>
    </dgm:pt>
    <dgm:pt modelId="{76464D38-B5F6-45DC-87BD-0DC3C889DA69}" type="parTrans" cxnId="{4F7A2C7F-8B67-4013-8DEF-19C468756B88}">
      <dgm:prSet/>
      <dgm:spPr/>
      <dgm:t>
        <a:bodyPr/>
        <a:lstStyle/>
        <a:p>
          <a:endParaRPr lang="en-NZ"/>
        </a:p>
      </dgm:t>
    </dgm:pt>
    <dgm:pt modelId="{B599ED69-7B92-4AEA-8BC1-98ABD25ABB62}" type="sibTrans" cxnId="{4F7A2C7F-8B67-4013-8DEF-19C468756B88}">
      <dgm:prSet/>
      <dgm:spPr/>
      <dgm:t>
        <a:bodyPr/>
        <a:lstStyle/>
        <a:p>
          <a:endParaRPr lang="en-NZ"/>
        </a:p>
      </dgm:t>
    </dgm:pt>
    <dgm:pt modelId="{F1B5B1A9-8DAF-4CB6-8AB0-A090DC45685E}">
      <dgm:prSet phldrT="[Text]"/>
      <dgm:spPr/>
      <dgm:t>
        <a:bodyPr/>
        <a:lstStyle/>
        <a:p>
          <a:pPr>
            <a:buFont typeface="Symbol" panose="05050102010706020507" pitchFamily="18" charset="2"/>
            <a:buChar char=""/>
          </a:pPr>
          <a:r>
            <a:rPr lang="en-NZ" i="1"/>
            <a:t>What are the risks associated with those countries? For example, is a country a tax haven, subject to international sanctions, that has problems with corruption, drug trafficking or terrorism?</a:t>
          </a:r>
          <a:endParaRPr lang="en-NZ"/>
        </a:p>
      </dgm:t>
    </dgm:pt>
    <dgm:pt modelId="{57B43C33-A81F-4ED4-B24D-D9037D85AA49}" type="parTrans" cxnId="{C4AC1E4F-9C75-4973-B2B5-2B6A5FCCDD10}">
      <dgm:prSet/>
      <dgm:spPr/>
      <dgm:t>
        <a:bodyPr/>
        <a:lstStyle/>
        <a:p>
          <a:endParaRPr lang="en-NZ"/>
        </a:p>
      </dgm:t>
    </dgm:pt>
    <dgm:pt modelId="{7D53240A-A8B4-472E-8D1F-380C14B5E3B3}" type="sibTrans" cxnId="{C4AC1E4F-9C75-4973-B2B5-2B6A5FCCDD10}">
      <dgm:prSet/>
      <dgm:spPr/>
      <dgm:t>
        <a:bodyPr/>
        <a:lstStyle/>
        <a:p>
          <a:endParaRPr lang="en-NZ"/>
        </a:p>
      </dgm:t>
    </dgm:pt>
    <dgm:pt modelId="{6172BA68-BB9A-4BE4-A10B-DD0749BE5CD4}">
      <dgm:prSet phldrT="[Text]"/>
      <dgm:spPr/>
      <dgm:t>
        <a:bodyPr/>
        <a:lstStyle/>
        <a:p>
          <a:pPr>
            <a:buFont typeface="Symbol" panose="05050102010706020507" pitchFamily="18" charset="2"/>
            <a:buChar char=""/>
          </a:pPr>
          <a:r>
            <a:rPr lang="en-NZ"/>
            <a:t>Yes? Then there is a vulnerability and suggests you may have identified an area where your business is at high risk. You will need to carefully consider how risks associated with those countries impact on your business and can be addressed in your AML/CFT programme.</a:t>
          </a:r>
        </a:p>
      </dgm:t>
    </dgm:pt>
    <dgm:pt modelId="{BB4DC2CF-03A2-4F96-81A1-B89BA9DA5186}" type="parTrans" cxnId="{FCF834AB-F019-42E6-8353-FAA3307647DF}">
      <dgm:prSet/>
      <dgm:spPr/>
      <dgm:t>
        <a:bodyPr/>
        <a:lstStyle/>
        <a:p>
          <a:endParaRPr lang="en-NZ"/>
        </a:p>
      </dgm:t>
    </dgm:pt>
    <dgm:pt modelId="{FBABBA30-0120-4288-B6A8-624A5553932E}" type="sibTrans" cxnId="{FCF834AB-F019-42E6-8353-FAA3307647DF}">
      <dgm:prSet/>
      <dgm:spPr/>
      <dgm:t>
        <a:bodyPr/>
        <a:lstStyle/>
        <a:p>
          <a:endParaRPr lang="en-NZ"/>
        </a:p>
      </dgm:t>
    </dgm:pt>
    <dgm:pt modelId="{8BA452BA-DA9D-4599-8E88-CAADD4FC22F7}">
      <dgm:prSet phldrT="[Text]"/>
      <dgm:spPr/>
      <dgm:t>
        <a:bodyPr/>
        <a:lstStyle/>
        <a:p>
          <a:pPr>
            <a:buFont typeface="Symbol" panose="05050102010706020507" pitchFamily="18" charset="2"/>
            <a:buChar char=""/>
          </a:pPr>
          <a:r>
            <a:rPr lang="en-NZ"/>
            <a:t>No? If you only ever deal with persons or activities within New Zealand, ML/TF risks associated with other countries may not be as relevant to your business. </a:t>
          </a:r>
        </a:p>
      </dgm:t>
    </dgm:pt>
    <dgm:pt modelId="{29D24C6D-B88C-49C7-A4DB-4A3668BF684D}" type="parTrans" cxnId="{CEF067CE-0398-4ADD-BE6B-B3C05A71EA20}">
      <dgm:prSet/>
      <dgm:spPr/>
      <dgm:t>
        <a:bodyPr/>
        <a:lstStyle/>
        <a:p>
          <a:endParaRPr lang="en-NZ"/>
        </a:p>
      </dgm:t>
    </dgm:pt>
    <dgm:pt modelId="{7547457B-7DEF-47B4-AEC5-95B69569FC8E}" type="sibTrans" cxnId="{CEF067CE-0398-4ADD-BE6B-B3C05A71EA20}">
      <dgm:prSet/>
      <dgm:spPr/>
      <dgm:t>
        <a:bodyPr/>
        <a:lstStyle/>
        <a:p>
          <a:endParaRPr lang="en-NZ"/>
        </a:p>
      </dgm:t>
    </dgm:pt>
    <dgm:pt modelId="{22A74E6F-EADD-4EA0-899B-C74B748CE8D1}" type="pres">
      <dgm:prSet presAssocID="{7AC8CE42-18AB-4EFC-8D22-0C37440F0D98}" presName="linear" presStyleCnt="0">
        <dgm:presLayoutVars>
          <dgm:dir/>
          <dgm:animLvl val="lvl"/>
          <dgm:resizeHandles val="exact"/>
        </dgm:presLayoutVars>
      </dgm:prSet>
      <dgm:spPr/>
    </dgm:pt>
    <dgm:pt modelId="{61AC495F-0C80-45BC-8810-643DC710A295}" type="pres">
      <dgm:prSet presAssocID="{5CF33D8B-C85D-4E5F-B214-4E5EC02AD261}" presName="parentLin" presStyleCnt="0"/>
      <dgm:spPr/>
    </dgm:pt>
    <dgm:pt modelId="{8C73874E-5518-4DB1-8D45-71FE792D1ACF}" type="pres">
      <dgm:prSet presAssocID="{5CF33D8B-C85D-4E5F-B214-4E5EC02AD261}" presName="parentLeftMargin" presStyleLbl="node1" presStyleIdx="0" presStyleCnt="1"/>
      <dgm:spPr/>
    </dgm:pt>
    <dgm:pt modelId="{CD352CB5-50C0-4452-B12C-8A5BA1EE712B}" type="pres">
      <dgm:prSet presAssocID="{5CF33D8B-C85D-4E5F-B214-4E5EC02AD261}" presName="parentText" presStyleLbl="node1" presStyleIdx="0" presStyleCnt="1">
        <dgm:presLayoutVars>
          <dgm:chMax val="0"/>
          <dgm:bulletEnabled val="1"/>
        </dgm:presLayoutVars>
      </dgm:prSet>
      <dgm:spPr/>
    </dgm:pt>
    <dgm:pt modelId="{9EB85768-72B0-4970-8856-2E70D1BC3AD2}" type="pres">
      <dgm:prSet presAssocID="{5CF33D8B-C85D-4E5F-B214-4E5EC02AD261}" presName="negativeSpace" presStyleCnt="0"/>
      <dgm:spPr/>
    </dgm:pt>
    <dgm:pt modelId="{3CCFD148-481C-4CCA-88CA-59B8333D6A2E}" type="pres">
      <dgm:prSet presAssocID="{5CF33D8B-C85D-4E5F-B214-4E5EC02AD261}" presName="childText" presStyleLbl="conFgAcc1" presStyleIdx="0" presStyleCnt="1">
        <dgm:presLayoutVars>
          <dgm:bulletEnabled val="1"/>
        </dgm:presLayoutVars>
      </dgm:prSet>
      <dgm:spPr/>
    </dgm:pt>
  </dgm:ptLst>
  <dgm:cxnLst>
    <dgm:cxn modelId="{1AB2104C-B461-40DA-9A77-5D536DA8A12C}" srcId="{7AC8CE42-18AB-4EFC-8D22-0C37440F0D98}" destId="{5CF33D8B-C85D-4E5F-B214-4E5EC02AD261}" srcOrd="0" destOrd="0" parTransId="{EA054E6B-AAC3-4B3B-A57B-77435CD3D323}" sibTransId="{7A69A206-4410-425A-A1FC-56EAAD78D65E}"/>
    <dgm:cxn modelId="{C4AC1E4F-9C75-4973-B2B5-2B6A5FCCDD10}" srcId="{5CF33D8B-C85D-4E5F-B214-4E5EC02AD261}" destId="{F1B5B1A9-8DAF-4CB6-8AB0-A090DC45685E}" srcOrd="1" destOrd="0" parTransId="{57B43C33-A81F-4ED4-B24D-D9037D85AA49}" sibTransId="{7D53240A-A8B4-472E-8D1F-380C14B5E3B3}"/>
    <dgm:cxn modelId="{BBC0AD76-EF0A-463A-AFC4-E7A7258553D4}" type="presOf" srcId="{7AC8CE42-18AB-4EFC-8D22-0C37440F0D98}" destId="{22A74E6F-EADD-4EA0-899B-C74B748CE8D1}" srcOrd="0" destOrd="0" presId="urn:microsoft.com/office/officeart/2005/8/layout/list1"/>
    <dgm:cxn modelId="{4F7A2C7F-8B67-4013-8DEF-19C468756B88}" srcId="{5CF33D8B-C85D-4E5F-B214-4E5EC02AD261}" destId="{EC06754F-EFC1-4732-9F28-F92CDA587420}" srcOrd="0" destOrd="0" parTransId="{76464D38-B5F6-45DC-87BD-0DC3C889DA69}" sibTransId="{B599ED69-7B92-4AEA-8BC1-98ABD25ABB62}"/>
    <dgm:cxn modelId="{26CCC895-CC8E-4329-AECF-5D788D8A1F92}" type="presOf" srcId="{EC06754F-EFC1-4732-9F28-F92CDA587420}" destId="{3CCFD148-481C-4CCA-88CA-59B8333D6A2E}" srcOrd="0" destOrd="0" presId="urn:microsoft.com/office/officeart/2005/8/layout/list1"/>
    <dgm:cxn modelId="{FCF834AB-F019-42E6-8353-FAA3307647DF}" srcId="{F1B5B1A9-8DAF-4CB6-8AB0-A090DC45685E}" destId="{6172BA68-BB9A-4BE4-A10B-DD0749BE5CD4}" srcOrd="0" destOrd="0" parTransId="{BB4DC2CF-03A2-4F96-81A1-B89BA9DA5186}" sibTransId="{FBABBA30-0120-4288-B6A8-624A5553932E}"/>
    <dgm:cxn modelId="{B4E6ACB3-383A-481A-A311-E0602400DF00}" type="presOf" srcId="{F1B5B1A9-8DAF-4CB6-8AB0-A090DC45685E}" destId="{3CCFD148-481C-4CCA-88CA-59B8333D6A2E}" srcOrd="0" destOrd="1" presId="urn:microsoft.com/office/officeart/2005/8/layout/list1"/>
    <dgm:cxn modelId="{0F7DC7C7-B74C-4E95-83AD-91A6AA9A23EB}" type="presOf" srcId="{5CF33D8B-C85D-4E5F-B214-4E5EC02AD261}" destId="{8C73874E-5518-4DB1-8D45-71FE792D1ACF}" srcOrd="0" destOrd="0" presId="urn:microsoft.com/office/officeart/2005/8/layout/list1"/>
    <dgm:cxn modelId="{B0B25EC9-D8C3-4BFB-B0EC-1134465263EB}" type="presOf" srcId="{5CF33D8B-C85D-4E5F-B214-4E5EC02AD261}" destId="{CD352CB5-50C0-4452-B12C-8A5BA1EE712B}" srcOrd="1" destOrd="0" presId="urn:microsoft.com/office/officeart/2005/8/layout/list1"/>
    <dgm:cxn modelId="{CEF067CE-0398-4ADD-BE6B-B3C05A71EA20}" srcId="{F1B5B1A9-8DAF-4CB6-8AB0-A090DC45685E}" destId="{8BA452BA-DA9D-4599-8E88-CAADD4FC22F7}" srcOrd="1" destOrd="0" parTransId="{29D24C6D-B88C-49C7-A4DB-4A3668BF684D}" sibTransId="{7547457B-7DEF-47B4-AEC5-95B69569FC8E}"/>
    <dgm:cxn modelId="{7BCBFBE4-F496-4A77-8C71-A1E2BAF5BFCD}" type="presOf" srcId="{8BA452BA-DA9D-4599-8E88-CAADD4FC22F7}" destId="{3CCFD148-481C-4CCA-88CA-59B8333D6A2E}" srcOrd="0" destOrd="3" presId="urn:microsoft.com/office/officeart/2005/8/layout/list1"/>
    <dgm:cxn modelId="{6D66A3EF-F95C-421A-A377-D943C45049B6}" type="presOf" srcId="{6172BA68-BB9A-4BE4-A10B-DD0749BE5CD4}" destId="{3CCFD148-481C-4CCA-88CA-59B8333D6A2E}" srcOrd="0" destOrd="2" presId="urn:microsoft.com/office/officeart/2005/8/layout/list1"/>
    <dgm:cxn modelId="{B1B0D67E-F1CC-4D66-A4C1-B9AA28444BA1}" type="presParOf" srcId="{22A74E6F-EADD-4EA0-899B-C74B748CE8D1}" destId="{61AC495F-0C80-45BC-8810-643DC710A295}" srcOrd="0" destOrd="0" presId="urn:microsoft.com/office/officeart/2005/8/layout/list1"/>
    <dgm:cxn modelId="{90E3AB48-0829-41D1-86A9-D459D87C3C26}" type="presParOf" srcId="{61AC495F-0C80-45BC-8810-643DC710A295}" destId="{8C73874E-5518-4DB1-8D45-71FE792D1ACF}" srcOrd="0" destOrd="0" presId="urn:microsoft.com/office/officeart/2005/8/layout/list1"/>
    <dgm:cxn modelId="{B9EAD8E8-643E-4927-B623-635D72974E57}" type="presParOf" srcId="{61AC495F-0C80-45BC-8810-643DC710A295}" destId="{CD352CB5-50C0-4452-B12C-8A5BA1EE712B}" srcOrd="1" destOrd="0" presId="urn:microsoft.com/office/officeart/2005/8/layout/list1"/>
    <dgm:cxn modelId="{D6C475CD-9018-4B31-AE38-1A5DC1DACE00}" type="presParOf" srcId="{22A74E6F-EADD-4EA0-899B-C74B748CE8D1}" destId="{9EB85768-72B0-4970-8856-2E70D1BC3AD2}" srcOrd="1" destOrd="0" presId="urn:microsoft.com/office/officeart/2005/8/layout/list1"/>
    <dgm:cxn modelId="{24655192-5AC6-442D-A261-890AE4B0F27B}" type="presParOf" srcId="{22A74E6F-EADD-4EA0-899B-C74B748CE8D1}" destId="{3CCFD148-481C-4CCA-88CA-59B8333D6A2E}" srcOrd="2" destOrd="0" presId="urn:microsoft.com/office/officeart/2005/8/layout/lis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AC8CE42-18AB-4EFC-8D22-0C37440F0D9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NZ"/>
        </a:p>
      </dgm:t>
    </dgm:pt>
    <dgm:pt modelId="{5CF33D8B-C85D-4E5F-B214-4E5EC02AD261}">
      <dgm:prSet phldrT="[Text]"/>
      <dgm:spPr>
        <a:xfrm>
          <a:off x="274320" y="152910"/>
          <a:ext cx="3840480" cy="383760"/>
        </a:xfrm>
        <a:prstGeom prst="roundRect">
          <a:avLst/>
        </a:prstGeom>
        <a:solidFill>
          <a:srgbClr val="7BC7CE">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None/>
          </a:pPr>
          <a:r>
            <a:rPr lang="en-NZ" b="1" i="1" u="sng">
              <a:solidFill>
                <a:srgbClr val="FFFFFF"/>
              </a:solidFill>
              <a:latin typeface="Calibri"/>
              <a:ea typeface="+mn-ea"/>
              <a:cs typeface="+mn-cs"/>
            </a:rPr>
            <a:t>Category: </a:t>
          </a:r>
          <a:r>
            <a:rPr lang="en-NZ" i="1">
              <a:solidFill>
                <a:srgbClr val="FFFFFF"/>
              </a:solidFill>
              <a:latin typeface="Calibri"/>
              <a:ea typeface="+mn-ea"/>
              <a:cs typeface="+mn-cs"/>
            </a:rPr>
            <a:t>The countries you deal with</a:t>
          </a:r>
          <a:endParaRPr lang="en-NZ">
            <a:solidFill>
              <a:srgbClr val="FFFFFF"/>
            </a:solidFill>
            <a:latin typeface="Calibri"/>
            <a:ea typeface="+mn-ea"/>
            <a:cs typeface="+mn-cs"/>
          </a:endParaRPr>
        </a:p>
      </dgm:t>
    </dgm:pt>
    <dgm:pt modelId="{EA054E6B-AAC3-4B3B-A57B-77435CD3D323}" type="parTrans" cxnId="{1AB2104C-B461-40DA-9A77-5D536DA8A12C}">
      <dgm:prSet/>
      <dgm:spPr/>
      <dgm:t>
        <a:bodyPr/>
        <a:lstStyle/>
        <a:p>
          <a:endParaRPr lang="en-NZ"/>
        </a:p>
      </dgm:t>
    </dgm:pt>
    <dgm:pt modelId="{7A69A206-4410-425A-A1FC-56EAAD78D65E}" type="sibTrans" cxnId="{1AB2104C-B461-40DA-9A77-5D536DA8A12C}">
      <dgm:prSet/>
      <dgm:spPr/>
      <dgm:t>
        <a:bodyPr/>
        <a:lstStyle/>
        <a:p>
          <a:endParaRPr lang="en-NZ"/>
        </a:p>
      </dgm:t>
    </dgm:pt>
    <dgm:pt modelId="{EC06754F-EFC1-4732-9F28-F92CDA587420}">
      <dgm:prSet phldrT="[Text]"/>
      <dgm:spPr>
        <a:xfrm>
          <a:off x="0" y="344790"/>
          <a:ext cx="5486400" cy="2702700"/>
        </a:xfrm>
        <a:prstGeom prst="rect">
          <a:avLst/>
        </a:prstGeom>
        <a:solidFill>
          <a:srgbClr val="FFFFFF">
            <a:alpha val="90000"/>
            <a:hueOff val="0"/>
            <a:satOff val="0"/>
            <a:lumOff val="0"/>
            <a:alphaOff val="0"/>
          </a:srgbClr>
        </a:solidFill>
        <a:ln w="25400" cap="flat" cmpd="sng" algn="ctr">
          <a:solidFill>
            <a:srgbClr val="7BC7CE">
              <a:hueOff val="0"/>
              <a:satOff val="0"/>
              <a:lumOff val="0"/>
              <a:alphaOff val="0"/>
            </a:srgbClr>
          </a:solidFill>
          <a:prstDash val="solid"/>
        </a:ln>
        <a:effectLst/>
      </dgm:spPr>
      <dgm:t>
        <a:bodyPr/>
        <a:lstStyle/>
        <a:p>
          <a:pPr>
            <a:buFont typeface="Symbol" panose="05050102010706020507" pitchFamily="18" charset="2"/>
            <a:buChar char=""/>
          </a:pPr>
          <a:r>
            <a:rPr lang="en-NZ" i="1">
              <a:solidFill>
                <a:sysClr val="windowText" lastClr="000000">
                  <a:hueOff val="0"/>
                  <a:satOff val="0"/>
                  <a:lumOff val="0"/>
                  <a:alphaOff val="0"/>
                </a:sysClr>
              </a:solidFill>
              <a:latin typeface="Calibri"/>
              <a:ea typeface="+mn-ea"/>
              <a:cs typeface="+mn-cs"/>
            </a:rPr>
            <a:t>What are those countries? </a:t>
          </a:r>
          <a:endParaRPr lang="en-NZ">
            <a:solidFill>
              <a:sysClr val="windowText" lastClr="000000">
                <a:hueOff val="0"/>
                <a:satOff val="0"/>
                <a:lumOff val="0"/>
                <a:alphaOff val="0"/>
              </a:sysClr>
            </a:solidFill>
            <a:latin typeface="Calibri"/>
            <a:ea typeface="+mn-ea"/>
            <a:cs typeface="+mn-cs"/>
          </a:endParaRPr>
        </a:p>
      </dgm:t>
    </dgm:pt>
    <dgm:pt modelId="{76464D38-B5F6-45DC-87BD-0DC3C889DA69}" type="parTrans" cxnId="{4F7A2C7F-8B67-4013-8DEF-19C468756B88}">
      <dgm:prSet/>
      <dgm:spPr/>
      <dgm:t>
        <a:bodyPr/>
        <a:lstStyle/>
        <a:p>
          <a:endParaRPr lang="en-NZ"/>
        </a:p>
      </dgm:t>
    </dgm:pt>
    <dgm:pt modelId="{B599ED69-7B92-4AEA-8BC1-98ABD25ABB62}" type="sibTrans" cxnId="{4F7A2C7F-8B67-4013-8DEF-19C468756B88}">
      <dgm:prSet/>
      <dgm:spPr/>
      <dgm:t>
        <a:bodyPr/>
        <a:lstStyle/>
        <a:p>
          <a:endParaRPr lang="en-NZ"/>
        </a:p>
      </dgm:t>
    </dgm:pt>
    <dgm:pt modelId="{0123F483-83E6-4151-8ABB-B8409D3ADCBD}">
      <dgm:prSet phldrT="[Text]"/>
      <dgm:spPr>
        <a:xfrm>
          <a:off x="0" y="344790"/>
          <a:ext cx="5486400" cy="2702700"/>
        </a:xfrm>
        <a:solidFill>
          <a:srgbClr val="FFFFFF">
            <a:alpha val="90000"/>
            <a:hueOff val="0"/>
            <a:satOff val="0"/>
            <a:lumOff val="0"/>
            <a:alphaOff val="0"/>
          </a:srgbClr>
        </a:solidFill>
        <a:ln w="25400" cap="flat" cmpd="sng" algn="ctr">
          <a:solidFill>
            <a:srgbClr val="7BC7CE">
              <a:hueOff val="0"/>
              <a:satOff val="0"/>
              <a:lumOff val="0"/>
              <a:alphaOff val="0"/>
            </a:srgbClr>
          </a:solidFill>
          <a:prstDash val="solid"/>
        </a:ln>
        <a:effectLst/>
      </dgm:spPr>
      <dgm:t>
        <a:bodyPr/>
        <a:lstStyle/>
        <a:p>
          <a:pPr>
            <a:buFont typeface="Symbol" panose="05050102010706020507" pitchFamily="18" charset="2"/>
            <a:buChar char=""/>
          </a:pPr>
          <a:r>
            <a:rPr lang="en-NZ">
              <a:solidFill>
                <a:sysClr val="windowText" lastClr="000000">
                  <a:hueOff val="0"/>
                  <a:satOff val="0"/>
                  <a:lumOff val="0"/>
                  <a:alphaOff val="0"/>
                </a:sysClr>
              </a:solidFill>
              <a:latin typeface="Calibri"/>
              <a:ea typeface="+mn-ea"/>
              <a:cs typeface="+mn-cs"/>
            </a:rPr>
            <a:t>“For 85% of our business, we deal solely with New Zealand based clients, whom we have obtained and verified this information on. In these circumstances, we consider there is a low risk in the country we are dealing with. However, for 15% of our business we deal with clients based in other countries. Here we consider our ML/TF risk to be higher.” </a:t>
          </a:r>
        </a:p>
      </dgm:t>
    </dgm:pt>
    <dgm:pt modelId="{207637B3-19DF-4502-AD5F-6D442A44BB4B}" type="parTrans" cxnId="{7736EC1F-6799-4EB3-ABDB-D17D33D86B73}">
      <dgm:prSet/>
      <dgm:spPr/>
      <dgm:t>
        <a:bodyPr/>
        <a:lstStyle/>
        <a:p>
          <a:endParaRPr lang="en-NZ"/>
        </a:p>
      </dgm:t>
    </dgm:pt>
    <dgm:pt modelId="{6D542909-749C-41EE-8439-B2FCE7820BDC}" type="sibTrans" cxnId="{7736EC1F-6799-4EB3-ABDB-D17D33D86B73}">
      <dgm:prSet/>
      <dgm:spPr/>
      <dgm:t>
        <a:bodyPr/>
        <a:lstStyle/>
        <a:p>
          <a:endParaRPr lang="en-NZ"/>
        </a:p>
      </dgm:t>
    </dgm:pt>
    <dgm:pt modelId="{22A74E6F-EADD-4EA0-899B-C74B748CE8D1}" type="pres">
      <dgm:prSet presAssocID="{7AC8CE42-18AB-4EFC-8D22-0C37440F0D98}" presName="linear" presStyleCnt="0">
        <dgm:presLayoutVars>
          <dgm:dir/>
          <dgm:animLvl val="lvl"/>
          <dgm:resizeHandles val="exact"/>
        </dgm:presLayoutVars>
      </dgm:prSet>
      <dgm:spPr/>
    </dgm:pt>
    <dgm:pt modelId="{61AC495F-0C80-45BC-8810-643DC710A295}" type="pres">
      <dgm:prSet presAssocID="{5CF33D8B-C85D-4E5F-B214-4E5EC02AD261}" presName="parentLin" presStyleCnt="0"/>
      <dgm:spPr/>
    </dgm:pt>
    <dgm:pt modelId="{8C73874E-5518-4DB1-8D45-71FE792D1ACF}" type="pres">
      <dgm:prSet presAssocID="{5CF33D8B-C85D-4E5F-B214-4E5EC02AD261}" presName="parentLeftMargin" presStyleLbl="node1" presStyleIdx="0" presStyleCnt="1"/>
      <dgm:spPr/>
    </dgm:pt>
    <dgm:pt modelId="{CD352CB5-50C0-4452-B12C-8A5BA1EE712B}" type="pres">
      <dgm:prSet presAssocID="{5CF33D8B-C85D-4E5F-B214-4E5EC02AD261}" presName="parentText" presStyleLbl="node1" presStyleIdx="0" presStyleCnt="1">
        <dgm:presLayoutVars>
          <dgm:chMax val="0"/>
          <dgm:bulletEnabled val="1"/>
        </dgm:presLayoutVars>
      </dgm:prSet>
      <dgm:spPr/>
    </dgm:pt>
    <dgm:pt modelId="{9EB85768-72B0-4970-8856-2E70D1BC3AD2}" type="pres">
      <dgm:prSet presAssocID="{5CF33D8B-C85D-4E5F-B214-4E5EC02AD261}" presName="negativeSpace" presStyleCnt="0"/>
      <dgm:spPr/>
    </dgm:pt>
    <dgm:pt modelId="{3CCFD148-481C-4CCA-88CA-59B8333D6A2E}" type="pres">
      <dgm:prSet presAssocID="{5CF33D8B-C85D-4E5F-B214-4E5EC02AD261}" presName="childText" presStyleLbl="conFgAcc1" presStyleIdx="0" presStyleCnt="1">
        <dgm:presLayoutVars>
          <dgm:bulletEnabled val="1"/>
        </dgm:presLayoutVars>
      </dgm:prSet>
      <dgm:spPr>
        <a:prstGeom prst="rect">
          <a:avLst/>
        </a:prstGeom>
      </dgm:spPr>
    </dgm:pt>
  </dgm:ptLst>
  <dgm:cxnLst>
    <dgm:cxn modelId="{7736EC1F-6799-4EB3-ABDB-D17D33D86B73}" srcId="{EC06754F-EFC1-4732-9F28-F92CDA587420}" destId="{0123F483-83E6-4151-8ABB-B8409D3ADCBD}" srcOrd="0" destOrd="0" parTransId="{207637B3-19DF-4502-AD5F-6D442A44BB4B}" sibTransId="{6D542909-749C-41EE-8439-B2FCE7820BDC}"/>
    <dgm:cxn modelId="{1AB2104C-B461-40DA-9A77-5D536DA8A12C}" srcId="{7AC8CE42-18AB-4EFC-8D22-0C37440F0D98}" destId="{5CF33D8B-C85D-4E5F-B214-4E5EC02AD261}" srcOrd="0" destOrd="0" parTransId="{EA054E6B-AAC3-4B3B-A57B-77435CD3D323}" sibTransId="{7A69A206-4410-425A-A1FC-56EAAD78D65E}"/>
    <dgm:cxn modelId="{BBC0AD76-EF0A-463A-AFC4-E7A7258553D4}" type="presOf" srcId="{7AC8CE42-18AB-4EFC-8D22-0C37440F0D98}" destId="{22A74E6F-EADD-4EA0-899B-C74B748CE8D1}" srcOrd="0" destOrd="0" presId="urn:microsoft.com/office/officeart/2005/8/layout/list1"/>
    <dgm:cxn modelId="{4F7A2C7F-8B67-4013-8DEF-19C468756B88}" srcId="{5CF33D8B-C85D-4E5F-B214-4E5EC02AD261}" destId="{EC06754F-EFC1-4732-9F28-F92CDA587420}" srcOrd="0" destOrd="0" parTransId="{76464D38-B5F6-45DC-87BD-0DC3C889DA69}" sibTransId="{B599ED69-7B92-4AEA-8BC1-98ABD25ABB62}"/>
    <dgm:cxn modelId="{26CCC895-CC8E-4329-AECF-5D788D8A1F92}" type="presOf" srcId="{EC06754F-EFC1-4732-9F28-F92CDA587420}" destId="{3CCFD148-481C-4CCA-88CA-59B8333D6A2E}" srcOrd="0" destOrd="0" presId="urn:microsoft.com/office/officeart/2005/8/layout/list1"/>
    <dgm:cxn modelId="{0F7DC7C7-B74C-4E95-83AD-91A6AA9A23EB}" type="presOf" srcId="{5CF33D8B-C85D-4E5F-B214-4E5EC02AD261}" destId="{8C73874E-5518-4DB1-8D45-71FE792D1ACF}" srcOrd="0" destOrd="0" presId="urn:microsoft.com/office/officeart/2005/8/layout/list1"/>
    <dgm:cxn modelId="{B0B25EC9-D8C3-4BFB-B0EC-1134465263EB}" type="presOf" srcId="{5CF33D8B-C85D-4E5F-B214-4E5EC02AD261}" destId="{CD352CB5-50C0-4452-B12C-8A5BA1EE712B}" srcOrd="1" destOrd="0" presId="urn:microsoft.com/office/officeart/2005/8/layout/list1"/>
    <dgm:cxn modelId="{DAB3CFF1-724F-4B7A-AA30-F116E9B82A67}" type="presOf" srcId="{0123F483-83E6-4151-8ABB-B8409D3ADCBD}" destId="{3CCFD148-481C-4CCA-88CA-59B8333D6A2E}" srcOrd="0" destOrd="1" presId="urn:microsoft.com/office/officeart/2005/8/layout/list1"/>
    <dgm:cxn modelId="{B1B0D67E-F1CC-4D66-A4C1-B9AA28444BA1}" type="presParOf" srcId="{22A74E6F-EADD-4EA0-899B-C74B748CE8D1}" destId="{61AC495F-0C80-45BC-8810-643DC710A295}" srcOrd="0" destOrd="0" presId="urn:microsoft.com/office/officeart/2005/8/layout/list1"/>
    <dgm:cxn modelId="{90E3AB48-0829-41D1-86A9-D459D87C3C26}" type="presParOf" srcId="{61AC495F-0C80-45BC-8810-643DC710A295}" destId="{8C73874E-5518-4DB1-8D45-71FE792D1ACF}" srcOrd="0" destOrd="0" presId="urn:microsoft.com/office/officeart/2005/8/layout/list1"/>
    <dgm:cxn modelId="{B9EAD8E8-643E-4927-B623-635D72974E57}" type="presParOf" srcId="{61AC495F-0C80-45BC-8810-643DC710A295}" destId="{CD352CB5-50C0-4452-B12C-8A5BA1EE712B}" srcOrd="1" destOrd="0" presId="urn:microsoft.com/office/officeart/2005/8/layout/list1"/>
    <dgm:cxn modelId="{D6C475CD-9018-4B31-AE38-1A5DC1DACE00}" type="presParOf" srcId="{22A74E6F-EADD-4EA0-899B-C74B748CE8D1}" destId="{9EB85768-72B0-4970-8856-2E70D1BC3AD2}" srcOrd="1" destOrd="0" presId="urn:microsoft.com/office/officeart/2005/8/layout/list1"/>
    <dgm:cxn modelId="{24655192-5AC6-442D-A261-890AE4B0F27B}" type="presParOf" srcId="{22A74E6F-EADD-4EA0-899B-C74B748CE8D1}" destId="{3CCFD148-481C-4CCA-88CA-59B8333D6A2E}" srcOrd="2" destOrd="0" presId="urn:microsoft.com/office/officeart/2005/8/layout/lis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68880F8-4840-4C5E-BB29-0C0D1822EA3F}" type="doc">
      <dgm:prSet loTypeId="urn:microsoft.com/office/officeart/2008/layout/IncreasingCircleProcess" loCatId="process" qsTypeId="urn:microsoft.com/office/officeart/2005/8/quickstyle/simple1" qsCatId="simple" csTypeId="urn:microsoft.com/office/officeart/2005/8/colors/accent1_2" csCatId="accent1" phldr="1"/>
      <dgm:spPr/>
      <dgm:t>
        <a:bodyPr/>
        <a:lstStyle/>
        <a:p>
          <a:endParaRPr lang="en-NZ"/>
        </a:p>
      </dgm:t>
    </dgm:pt>
    <dgm:pt modelId="{6B006CC6-E395-494B-BA5B-AE28237EDD60}">
      <dgm:prSet phldrT="[Text]"/>
      <dgm:spPr/>
      <dgm:t>
        <a:bodyPr/>
        <a:lstStyle/>
        <a:p>
          <a:pPr>
            <a:buFont typeface="Calibri" panose="020F0502020204030204" pitchFamily="34" charset="0"/>
            <a:buChar char="•"/>
          </a:pPr>
          <a:r>
            <a:rPr lang="en-NZ" b="1"/>
            <a:t>Simplified CDD</a:t>
          </a:r>
        </a:p>
      </dgm:t>
    </dgm:pt>
    <dgm:pt modelId="{EFEF6945-3BDC-4B99-9588-B1259893625B}" type="parTrans" cxnId="{A9704E8F-2A32-4A8C-84F0-DAA8357EE06D}">
      <dgm:prSet/>
      <dgm:spPr/>
      <dgm:t>
        <a:bodyPr/>
        <a:lstStyle/>
        <a:p>
          <a:endParaRPr lang="en-NZ"/>
        </a:p>
      </dgm:t>
    </dgm:pt>
    <dgm:pt modelId="{5F8637F9-B75B-4F42-B130-83E43762F0C7}" type="sibTrans" cxnId="{A9704E8F-2A32-4A8C-84F0-DAA8357EE06D}">
      <dgm:prSet/>
      <dgm:spPr/>
      <dgm:t>
        <a:bodyPr/>
        <a:lstStyle/>
        <a:p>
          <a:endParaRPr lang="en-NZ"/>
        </a:p>
      </dgm:t>
    </dgm:pt>
    <dgm:pt modelId="{A542FDD8-EB79-4E9A-BD88-3F7816573794}">
      <dgm:prSet phldrT="[Text]"/>
      <dgm:spPr/>
      <dgm:t>
        <a:bodyPr/>
        <a:lstStyle/>
        <a:p>
          <a:pPr>
            <a:buFont typeface="Calibri" panose="020F0502020204030204" pitchFamily="34" charset="0"/>
            <a:buChar char="•"/>
          </a:pPr>
          <a:r>
            <a:rPr lang="en-NZ" b="1"/>
            <a:t>Standard CDD</a:t>
          </a:r>
        </a:p>
      </dgm:t>
    </dgm:pt>
    <dgm:pt modelId="{063DC104-8A08-451E-A231-E42F8FEF9B14}" type="parTrans" cxnId="{A196ECBC-3714-4A25-9C96-41DC03BA59C2}">
      <dgm:prSet/>
      <dgm:spPr/>
      <dgm:t>
        <a:bodyPr/>
        <a:lstStyle/>
        <a:p>
          <a:endParaRPr lang="en-NZ"/>
        </a:p>
      </dgm:t>
    </dgm:pt>
    <dgm:pt modelId="{FBEA4DA0-DAAD-4F07-A639-0D1BC2DE7BA5}" type="sibTrans" cxnId="{A196ECBC-3714-4A25-9C96-41DC03BA59C2}">
      <dgm:prSet/>
      <dgm:spPr/>
      <dgm:t>
        <a:bodyPr/>
        <a:lstStyle/>
        <a:p>
          <a:endParaRPr lang="en-NZ"/>
        </a:p>
      </dgm:t>
    </dgm:pt>
    <dgm:pt modelId="{E9448D27-85C4-4C46-8A3B-C5CA3C56D5EF}">
      <dgm:prSet phldrT="[Text]"/>
      <dgm:spPr/>
      <dgm:t>
        <a:bodyPr/>
        <a:lstStyle/>
        <a:p>
          <a:pPr>
            <a:buFont typeface="Calibri" panose="020F0502020204030204" pitchFamily="34" charset="0"/>
            <a:buChar char="•"/>
          </a:pPr>
          <a:r>
            <a:rPr lang="en-NZ" b="1"/>
            <a:t>Enhanced CDD</a:t>
          </a:r>
        </a:p>
      </dgm:t>
    </dgm:pt>
    <dgm:pt modelId="{22374CA0-5501-4DFA-9EF0-CE5DAE571963}" type="parTrans" cxnId="{78C50C8B-BD9D-478E-9C6C-AE0C13956D9C}">
      <dgm:prSet/>
      <dgm:spPr/>
      <dgm:t>
        <a:bodyPr/>
        <a:lstStyle/>
        <a:p>
          <a:endParaRPr lang="en-NZ"/>
        </a:p>
      </dgm:t>
    </dgm:pt>
    <dgm:pt modelId="{C3C56285-34B2-4827-82A5-4D85B1630923}" type="sibTrans" cxnId="{78C50C8B-BD9D-478E-9C6C-AE0C13956D9C}">
      <dgm:prSet/>
      <dgm:spPr/>
      <dgm:t>
        <a:bodyPr/>
        <a:lstStyle/>
        <a:p>
          <a:endParaRPr lang="en-NZ"/>
        </a:p>
      </dgm:t>
    </dgm:pt>
    <dgm:pt modelId="{FB5A9257-33FF-4896-B7F8-3A24D6950217}">
      <dgm:prSet/>
      <dgm:spPr/>
      <dgm:t>
        <a:bodyPr/>
        <a:lstStyle/>
        <a:p>
          <a:pPr>
            <a:buFont typeface="Courier New" panose="02070309020205020404" pitchFamily="49" charset="0"/>
            <a:buChar char="o"/>
          </a:pPr>
          <a:r>
            <a:rPr lang="en-NZ"/>
            <a:t>A narrower form of CDD, for use with specific customers or customer types that are considered to be low risk for ML/TF. These customers are specified in section 18(2) of the AML/CFT Act. </a:t>
          </a:r>
        </a:p>
      </dgm:t>
    </dgm:pt>
    <dgm:pt modelId="{95FC602A-1D62-4112-9F1E-C5A56D18D193}" type="parTrans" cxnId="{16C17208-26F3-4D8F-A75A-92DB377E3023}">
      <dgm:prSet/>
      <dgm:spPr/>
      <dgm:t>
        <a:bodyPr/>
        <a:lstStyle/>
        <a:p>
          <a:endParaRPr lang="en-NZ"/>
        </a:p>
      </dgm:t>
    </dgm:pt>
    <dgm:pt modelId="{63E42744-0470-41C0-BAA4-AD17FA1E29A1}" type="sibTrans" cxnId="{16C17208-26F3-4D8F-A75A-92DB377E3023}">
      <dgm:prSet/>
      <dgm:spPr/>
      <dgm:t>
        <a:bodyPr/>
        <a:lstStyle/>
        <a:p>
          <a:endParaRPr lang="en-NZ"/>
        </a:p>
      </dgm:t>
    </dgm:pt>
    <dgm:pt modelId="{F2116EB0-88FA-4A00-B109-B8D0F7968059}">
      <dgm:prSet/>
      <dgm:spPr/>
      <dgm:t>
        <a:bodyPr/>
        <a:lstStyle/>
        <a:p>
          <a:pPr>
            <a:buFont typeface="Courier New" panose="02070309020205020404" pitchFamily="49" charset="0"/>
            <a:buChar char="o"/>
          </a:pPr>
          <a:endParaRPr lang="en-NZ"/>
        </a:p>
        <a:p>
          <a:pPr>
            <a:buFont typeface="Courier New" panose="02070309020205020404" pitchFamily="49" charset="0"/>
            <a:buChar char="o"/>
          </a:pPr>
          <a:r>
            <a:rPr lang="en-NZ"/>
            <a:t>VASPs are unlikely to use simplified CDD due to the high risk nature of their operating context.</a:t>
          </a:r>
        </a:p>
      </dgm:t>
    </dgm:pt>
    <dgm:pt modelId="{743D128C-BA43-46BE-AD45-4F67434E22AC}" type="parTrans" cxnId="{76CD9A41-BC70-4801-83D1-B8AAA817F388}">
      <dgm:prSet/>
      <dgm:spPr/>
      <dgm:t>
        <a:bodyPr/>
        <a:lstStyle/>
        <a:p>
          <a:endParaRPr lang="en-NZ"/>
        </a:p>
      </dgm:t>
    </dgm:pt>
    <dgm:pt modelId="{85A4D5A5-97D5-431A-A29B-E73671FCE5AB}" type="sibTrans" cxnId="{76CD9A41-BC70-4801-83D1-B8AAA817F388}">
      <dgm:prSet/>
      <dgm:spPr/>
      <dgm:t>
        <a:bodyPr/>
        <a:lstStyle/>
        <a:p>
          <a:endParaRPr lang="en-NZ"/>
        </a:p>
      </dgm:t>
    </dgm:pt>
    <dgm:pt modelId="{C34E0388-6E5F-4BCA-9E41-78F0D63B8FCD}">
      <dgm:prSet/>
      <dgm:spPr/>
      <dgm:t>
        <a:bodyPr/>
        <a:lstStyle/>
        <a:p>
          <a:pPr>
            <a:buFont typeface="Courier New" panose="02070309020205020404" pitchFamily="49" charset="0"/>
            <a:buChar char="o"/>
          </a:pPr>
          <a:r>
            <a:rPr lang="en-NZ"/>
            <a:t>The default information that you must collect and verify from all customers.</a:t>
          </a:r>
        </a:p>
      </dgm:t>
    </dgm:pt>
    <dgm:pt modelId="{9B473E14-544D-4AB9-8C4F-4A8235995C78}" type="parTrans" cxnId="{41DC1B53-95A0-489A-B8CC-39FCDF44BB22}">
      <dgm:prSet/>
      <dgm:spPr/>
      <dgm:t>
        <a:bodyPr/>
        <a:lstStyle/>
        <a:p>
          <a:endParaRPr lang="en-NZ"/>
        </a:p>
      </dgm:t>
    </dgm:pt>
    <dgm:pt modelId="{6C485298-4367-4BE5-95AB-3E662F58014E}" type="sibTrans" cxnId="{41DC1B53-95A0-489A-B8CC-39FCDF44BB22}">
      <dgm:prSet/>
      <dgm:spPr/>
      <dgm:t>
        <a:bodyPr/>
        <a:lstStyle/>
        <a:p>
          <a:endParaRPr lang="en-NZ"/>
        </a:p>
      </dgm:t>
    </dgm:pt>
    <dgm:pt modelId="{4D6C6983-C4D9-41D4-AF51-416E279E9212}">
      <dgm:prSet custT="1"/>
      <dgm:spPr/>
      <dgm:t>
        <a:bodyPr/>
        <a:lstStyle/>
        <a:p>
          <a:pPr>
            <a:buFont typeface="Courier New" panose="02070309020205020404" pitchFamily="49" charset="0"/>
            <a:buChar char="o"/>
          </a:pPr>
          <a:r>
            <a:rPr lang="en-NZ" sz="900"/>
            <a:t>A more comprehensive form of CDD, for use when there are factors creating a higher level of ML/TF risk or as otherwise specified in the AML/CFT Act. </a:t>
          </a:r>
        </a:p>
      </dgm:t>
    </dgm:pt>
    <dgm:pt modelId="{27E1CE6B-47E2-498F-AA5B-27835C1D9779}" type="parTrans" cxnId="{9154CBDA-280D-483B-B515-366C231231F8}">
      <dgm:prSet/>
      <dgm:spPr/>
      <dgm:t>
        <a:bodyPr/>
        <a:lstStyle/>
        <a:p>
          <a:endParaRPr lang="en-NZ"/>
        </a:p>
      </dgm:t>
    </dgm:pt>
    <dgm:pt modelId="{0EA51807-3B5F-4F25-9C17-DBD106D82E61}" type="sibTrans" cxnId="{9154CBDA-280D-483B-B515-366C231231F8}">
      <dgm:prSet/>
      <dgm:spPr/>
      <dgm:t>
        <a:bodyPr/>
        <a:lstStyle/>
        <a:p>
          <a:endParaRPr lang="en-NZ"/>
        </a:p>
      </dgm:t>
    </dgm:pt>
    <dgm:pt modelId="{78C1E429-4946-436F-9FFF-B7903AF58E47}">
      <dgm:prSet custT="1"/>
      <dgm:spPr/>
      <dgm:t>
        <a:bodyPr/>
        <a:lstStyle/>
        <a:p>
          <a:pPr>
            <a:buFont typeface="Courier New" panose="02070309020205020404" pitchFamily="49" charset="0"/>
            <a:buChar char="o"/>
          </a:pPr>
          <a:endParaRPr lang="en-NZ" sz="900"/>
        </a:p>
        <a:p>
          <a:pPr>
            <a:buFont typeface="Courier New" panose="02070309020205020404" pitchFamily="49" charset="0"/>
            <a:buChar char="o"/>
          </a:pPr>
          <a:r>
            <a:rPr lang="en-NZ" sz="900"/>
            <a:t>There are several forms of enhanced CDD, detailed in sections 22-30 of the Act. </a:t>
          </a:r>
        </a:p>
      </dgm:t>
    </dgm:pt>
    <dgm:pt modelId="{AD6B6BBB-C6B1-473B-8ED6-86A472B62133}" type="parTrans" cxnId="{5097476E-AAB5-4645-A710-D1A78B2525B8}">
      <dgm:prSet/>
      <dgm:spPr/>
      <dgm:t>
        <a:bodyPr/>
        <a:lstStyle/>
        <a:p>
          <a:endParaRPr lang="en-NZ"/>
        </a:p>
      </dgm:t>
    </dgm:pt>
    <dgm:pt modelId="{67FC5CEA-6EC6-4A84-B905-408C94D70FBC}" type="sibTrans" cxnId="{5097476E-AAB5-4645-A710-D1A78B2525B8}">
      <dgm:prSet/>
      <dgm:spPr/>
      <dgm:t>
        <a:bodyPr/>
        <a:lstStyle/>
        <a:p>
          <a:endParaRPr lang="en-NZ"/>
        </a:p>
      </dgm:t>
    </dgm:pt>
    <dgm:pt modelId="{3DBC248C-DEDC-4390-96F7-CB12D1DDF8BB}">
      <dgm:prSet custT="1"/>
      <dgm:spPr/>
      <dgm:t>
        <a:bodyPr/>
        <a:lstStyle/>
        <a:p>
          <a:pPr>
            <a:buFont typeface="Courier New" panose="02070309020205020404" pitchFamily="49" charset="0"/>
            <a:buChar char="o"/>
          </a:pPr>
          <a:endParaRPr lang="en-NZ" sz="900"/>
        </a:p>
        <a:p>
          <a:pPr>
            <a:buFont typeface="Courier New" panose="02070309020205020404" pitchFamily="49" charset="0"/>
            <a:buChar char="o"/>
          </a:pPr>
          <a:r>
            <a:rPr lang="en-NZ" sz="900"/>
            <a:t>Sections 27-28 (wire transfers) and 30 (new technologies favouring anonymity) are particularly relevant for VASPs</a:t>
          </a:r>
          <a:r>
            <a:rPr lang="en-NZ" sz="800"/>
            <a:t>.</a:t>
          </a:r>
        </a:p>
      </dgm:t>
    </dgm:pt>
    <dgm:pt modelId="{5F6587B7-31BA-4EF7-AE14-0317EC1400E8}" type="parTrans" cxnId="{5E4A2792-A169-4995-B998-DF769DCD8632}">
      <dgm:prSet/>
      <dgm:spPr/>
      <dgm:t>
        <a:bodyPr/>
        <a:lstStyle/>
        <a:p>
          <a:endParaRPr lang="en-NZ"/>
        </a:p>
      </dgm:t>
    </dgm:pt>
    <dgm:pt modelId="{E5470204-9F08-4567-9EA5-799A923B86B8}" type="sibTrans" cxnId="{5E4A2792-A169-4995-B998-DF769DCD8632}">
      <dgm:prSet/>
      <dgm:spPr/>
      <dgm:t>
        <a:bodyPr/>
        <a:lstStyle/>
        <a:p>
          <a:endParaRPr lang="en-NZ"/>
        </a:p>
      </dgm:t>
    </dgm:pt>
    <dgm:pt modelId="{4F80E8E3-4053-40B6-B8BB-5C5E3ACC6439}">
      <dgm:prSet/>
      <dgm:spPr/>
      <dgm:t>
        <a:bodyPr/>
        <a:lstStyle/>
        <a:p>
          <a:pPr>
            <a:buFont typeface="Courier New" panose="02070309020205020404" pitchFamily="49" charset="0"/>
            <a:buChar char="o"/>
          </a:pPr>
          <a:endParaRPr lang="en-NZ"/>
        </a:p>
        <a:p>
          <a:pPr>
            <a:buFont typeface="Courier New" panose="02070309020205020404" pitchFamily="49" charset="0"/>
            <a:buChar char="o"/>
          </a:pPr>
          <a:r>
            <a:rPr lang="en-NZ"/>
            <a:t>In the VASP context, this will generally form the basic information to be gathered and verified, prior to obtaining further enhanced CDD information.</a:t>
          </a:r>
        </a:p>
      </dgm:t>
    </dgm:pt>
    <dgm:pt modelId="{B651D77A-A171-49CF-AB89-F36D7C589138}" type="sibTrans" cxnId="{8408949B-7C5C-4596-BA33-365022E53615}">
      <dgm:prSet/>
      <dgm:spPr/>
      <dgm:t>
        <a:bodyPr/>
        <a:lstStyle/>
        <a:p>
          <a:endParaRPr lang="en-NZ"/>
        </a:p>
      </dgm:t>
    </dgm:pt>
    <dgm:pt modelId="{67251665-963F-4D82-99AC-C27C5A2A1295}" type="parTrans" cxnId="{8408949B-7C5C-4596-BA33-365022E53615}">
      <dgm:prSet/>
      <dgm:spPr/>
      <dgm:t>
        <a:bodyPr/>
        <a:lstStyle/>
        <a:p>
          <a:endParaRPr lang="en-NZ"/>
        </a:p>
      </dgm:t>
    </dgm:pt>
    <dgm:pt modelId="{5D4FBAFE-6AEF-498B-A7DF-112586B609C6}" type="pres">
      <dgm:prSet presAssocID="{468880F8-4840-4C5E-BB29-0C0D1822EA3F}" presName="Name0" presStyleCnt="0">
        <dgm:presLayoutVars>
          <dgm:chMax val="7"/>
          <dgm:chPref val="7"/>
          <dgm:dir/>
          <dgm:animOne val="branch"/>
          <dgm:animLvl val="lvl"/>
        </dgm:presLayoutVars>
      </dgm:prSet>
      <dgm:spPr/>
    </dgm:pt>
    <dgm:pt modelId="{F1F1279E-22BE-4ECF-92FF-66508D07891B}" type="pres">
      <dgm:prSet presAssocID="{6B006CC6-E395-494B-BA5B-AE28237EDD60}" presName="composite" presStyleCnt="0"/>
      <dgm:spPr/>
    </dgm:pt>
    <dgm:pt modelId="{A6DBD6DD-065F-4632-A347-D42C35085A9C}" type="pres">
      <dgm:prSet presAssocID="{6B006CC6-E395-494B-BA5B-AE28237EDD60}" presName="BackAccent" presStyleLbl="bgShp" presStyleIdx="0" presStyleCnt="3"/>
      <dgm:spPr/>
    </dgm:pt>
    <dgm:pt modelId="{016476CA-8E44-4FA0-8F57-7CBFE3698C4C}" type="pres">
      <dgm:prSet presAssocID="{6B006CC6-E395-494B-BA5B-AE28237EDD60}" presName="Accent" presStyleLbl="alignNode1" presStyleIdx="0" presStyleCnt="3"/>
      <dgm:spPr/>
    </dgm:pt>
    <dgm:pt modelId="{B20DA235-BBE8-4141-8C28-2699B063041F}" type="pres">
      <dgm:prSet presAssocID="{6B006CC6-E395-494B-BA5B-AE28237EDD60}" presName="Child" presStyleLbl="revTx" presStyleIdx="0" presStyleCnt="6">
        <dgm:presLayoutVars>
          <dgm:chMax val="0"/>
          <dgm:chPref val="0"/>
          <dgm:bulletEnabled val="1"/>
        </dgm:presLayoutVars>
      </dgm:prSet>
      <dgm:spPr/>
    </dgm:pt>
    <dgm:pt modelId="{BBCDF083-EE0E-4755-9256-A97462E65289}" type="pres">
      <dgm:prSet presAssocID="{6B006CC6-E395-494B-BA5B-AE28237EDD60}" presName="Parent" presStyleLbl="revTx" presStyleIdx="1" presStyleCnt="6">
        <dgm:presLayoutVars>
          <dgm:chMax val="1"/>
          <dgm:chPref val="1"/>
          <dgm:bulletEnabled val="1"/>
        </dgm:presLayoutVars>
      </dgm:prSet>
      <dgm:spPr/>
    </dgm:pt>
    <dgm:pt modelId="{78F6E73E-1D60-48B5-B56C-9E60FF2DC0E0}" type="pres">
      <dgm:prSet presAssocID="{5F8637F9-B75B-4F42-B130-83E43762F0C7}" presName="sibTrans" presStyleCnt="0"/>
      <dgm:spPr/>
    </dgm:pt>
    <dgm:pt modelId="{166621F1-B148-4FB3-931B-35E60EB2CB29}" type="pres">
      <dgm:prSet presAssocID="{A542FDD8-EB79-4E9A-BD88-3F7816573794}" presName="composite" presStyleCnt="0"/>
      <dgm:spPr/>
    </dgm:pt>
    <dgm:pt modelId="{628E4E14-3156-4A4A-99CE-5D3474BB4A10}" type="pres">
      <dgm:prSet presAssocID="{A542FDD8-EB79-4E9A-BD88-3F7816573794}" presName="BackAccent" presStyleLbl="bgShp" presStyleIdx="1" presStyleCnt="3"/>
      <dgm:spPr/>
    </dgm:pt>
    <dgm:pt modelId="{682E4A7B-BD74-4BB8-88B5-391B626248D3}" type="pres">
      <dgm:prSet presAssocID="{A542FDD8-EB79-4E9A-BD88-3F7816573794}" presName="Accent" presStyleLbl="alignNode1" presStyleIdx="1" presStyleCnt="3"/>
      <dgm:spPr/>
    </dgm:pt>
    <dgm:pt modelId="{4EC47A93-52D1-4B0D-81DC-2481F67153B2}" type="pres">
      <dgm:prSet presAssocID="{A542FDD8-EB79-4E9A-BD88-3F7816573794}" presName="Child" presStyleLbl="revTx" presStyleIdx="2" presStyleCnt="6">
        <dgm:presLayoutVars>
          <dgm:chMax val="0"/>
          <dgm:chPref val="0"/>
          <dgm:bulletEnabled val="1"/>
        </dgm:presLayoutVars>
      </dgm:prSet>
      <dgm:spPr/>
    </dgm:pt>
    <dgm:pt modelId="{057B7D9C-21A4-420C-A380-D26D40F4BF5F}" type="pres">
      <dgm:prSet presAssocID="{A542FDD8-EB79-4E9A-BD88-3F7816573794}" presName="Parent" presStyleLbl="revTx" presStyleIdx="3" presStyleCnt="6">
        <dgm:presLayoutVars>
          <dgm:chMax val="1"/>
          <dgm:chPref val="1"/>
          <dgm:bulletEnabled val="1"/>
        </dgm:presLayoutVars>
      </dgm:prSet>
      <dgm:spPr/>
    </dgm:pt>
    <dgm:pt modelId="{BE816F40-3443-4356-9375-13FA58B79472}" type="pres">
      <dgm:prSet presAssocID="{FBEA4DA0-DAAD-4F07-A639-0D1BC2DE7BA5}" presName="sibTrans" presStyleCnt="0"/>
      <dgm:spPr/>
    </dgm:pt>
    <dgm:pt modelId="{59546303-F983-470E-B631-A82CDB4C6958}" type="pres">
      <dgm:prSet presAssocID="{E9448D27-85C4-4C46-8A3B-C5CA3C56D5EF}" presName="composite" presStyleCnt="0"/>
      <dgm:spPr/>
    </dgm:pt>
    <dgm:pt modelId="{65384DDE-ECA4-4552-A859-A93B61F191BF}" type="pres">
      <dgm:prSet presAssocID="{E9448D27-85C4-4C46-8A3B-C5CA3C56D5EF}" presName="BackAccent" presStyleLbl="bgShp" presStyleIdx="2" presStyleCnt="3"/>
      <dgm:spPr/>
    </dgm:pt>
    <dgm:pt modelId="{F93FCE4C-1922-4507-82AF-CCD34479F531}" type="pres">
      <dgm:prSet presAssocID="{E9448D27-85C4-4C46-8A3B-C5CA3C56D5EF}" presName="Accent" presStyleLbl="alignNode1" presStyleIdx="2" presStyleCnt="3"/>
      <dgm:spPr/>
    </dgm:pt>
    <dgm:pt modelId="{AD017ED8-43DF-434D-8EA0-105432FD7490}" type="pres">
      <dgm:prSet presAssocID="{E9448D27-85C4-4C46-8A3B-C5CA3C56D5EF}" presName="Child" presStyleLbl="revTx" presStyleIdx="4" presStyleCnt="6">
        <dgm:presLayoutVars>
          <dgm:chMax val="0"/>
          <dgm:chPref val="0"/>
          <dgm:bulletEnabled val="1"/>
        </dgm:presLayoutVars>
      </dgm:prSet>
      <dgm:spPr/>
    </dgm:pt>
    <dgm:pt modelId="{CABB06D3-89A2-4C79-936B-B2495796F638}" type="pres">
      <dgm:prSet presAssocID="{E9448D27-85C4-4C46-8A3B-C5CA3C56D5EF}" presName="Parent" presStyleLbl="revTx" presStyleIdx="5" presStyleCnt="6">
        <dgm:presLayoutVars>
          <dgm:chMax val="1"/>
          <dgm:chPref val="1"/>
          <dgm:bulletEnabled val="1"/>
        </dgm:presLayoutVars>
      </dgm:prSet>
      <dgm:spPr/>
    </dgm:pt>
  </dgm:ptLst>
  <dgm:cxnLst>
    <dgm:cxn modelId="{16C17208-26F3-4D8F-A75A-92DB377E3023}" srcId="{6B006CC6-E395-494B-BA5B-AE28237EDD60}" destId="{FB5A9257-33FF-4896-B7F8-3A24D6950217}" srcOrd="0" destOrd="0" parTransId="{95FC602A-1D62-4112-9F1E-C5A56D18D193}" sibTransId="{63E42744-0470-41C0-BAA4-AD17FA1E29A1}"/>
    <dgm:cxn modelId="{C75E3010-09AD-470E-AAAC-88CDF3359D1F}" type="presOf" srcId="{4F80E8E3-4053-40B6-B8BB-5C5E3ACC6439}" destId="{4EC47A93-52D1-4B0D-81DC-2481F67153B2}" srcOrd="0" destOrd="1" presId="urn:microsoft.com/office/officeart/2008/layout/IncreasingCircleProcess"/>
    <dgm:cxn modelId="{8BA1F81B-CAC4-488C-B581-6880572C99C9}" type="presOf" srcId="{C34E0388-6E5F-4BCA-9E41-78F0D63B8FCD}" destId="{4EC47A93-52D1-4B0D-81DC-2481F67153B2}" srcOrd="0" destOrd="0" presId="urn:microsoft.com/office/officeart/2008/layout/IncreasingCircleProcess"/>
    <dgm:cxn modelId="{7643F528-4CB7-4FB6-8902-D3928C29F9E2}" type="presOf" srcId="{3DBC248C-DEDC-4390-96F7-CB12D1DDF8BB}" destId="{AD017ED8-43DF-434D-8EA0-105432FD7490}" srcOrd="0" destOrd="2" presId="urn:microsoft.com/office/officeart/2008/layout/IncreasingCircleProcess"/>
    <dgm:cxn modelId="{D86ED460-8DF4-4863-A906-49004A575968}" type="presOf" srcId="{468880F8-4840-4C5E-BB29-0C0D1822EA3F}" destId="{5D4FBAFE-6AEF-498B-A7DF-112586B609C6}" srcOrd="0" destOrd="0" presId="urn:microsoft.com/office/officeart/2008/layout/IncreasingCircleProcess"/>
    <dgm:cxn modelId="{76CD9A41-BC70-4801-83D1-B8AAA817F388}" srcId="{6B006CC6-E395-494B-BA5B-AE28237EDD60}" destId="{F2116EB0-88FA-4A00-B109-B8D0F7968059}" srcOrd="1" destOrd="0" parTransId="{743D128C-BA43-46BE-AD45-4F67434E22AC}" sibTransId="{85A4D5A5-97D5-431A-A29B-E73671FCE5AB}"/>
    <dgm:cxn modelId="{C691DE6B-1A45-4235-808D-0E091E4A95C7}" type="presOf" srcId="{4D6C6983-C4D9-41D4-AF51-416E279E9212}" destId="{AD017ED8-43DF-434D-8EA0-105432FD7490}" srcOrd="0" destOrd="0" presId="urn:microsoft.com/office/officeart/2008/layout/IncreasingCircleProcess"/>
    <dgm:cxn modelId="{5097476E-AAB5-4645-A710-D1A78B2525B8}" srcId="{E9448D27-85C4-4C46-8A3B-C5CA3C56D5EF}" destId="{78C1E429-4946-436F-9FFF-B7903AF58E47}" srcOrd="1" destOrd="0" parTransId="{AD6B6BBB-C6B1-473B-8ED6-86A472B62133}" sibTransId="{67FC5CEA-6EC6-4A84-B905-408C94D70FBC}"/>
    <dgm:cxn modelId="{41DC1B53-95A0-489A-B8CC-39FCDF44BB22}" srcId="{A542FDD8-EB79-4E9A-BD88-3F7816573794}" destId="{C34E0388-6E5F-4BCA-9E41-78F0D63B8FCD}" srcOrd="0" destOrd="0" parTransId="{9B473E14-544D-4AB9-8C4F-4A8235995C78}" sibTransId="{6C485298-4367-4BE5-95AB-3E662F58014E}"/>
    <dgm:cxn modelId="{AA547559-F420-4B99-AD5C-0D210FFA943B}" type="presOf" srcId="{A542FDD8-EB79-4E9A-BD88-3F7816573794}" destId="{057B7D9C-21A4-420C-A380-D26D40F4BF5F}" srcOrd="0" destOrd="0" presId="urn:microsoft.com/office/officeart/2008/layout/IncreasingCircleProcess"/>
    <dgm:cxn modelId="{BAAD297D-BA0A-445E-8714-D0B692BC9888}" type="presOf" srcId="{F2116EB0-88FA-4A00-B109-B8D0F7968059}" destId="{B20DA235-BBE8-4141-8C28-2699B063041F}" srcOrd="0" destOrd="1" presId="urn:microsoft.com/office/officeart/2008/layout/IncreasingCircleProcess"/>
    <dgm:cxn modelId="{78C50C8B-BD9D-478E-9C6C-AE0C13956D9C}" srcId="{468880F8-4840-4C5E-BB29-0C0D1822EA3F}" destId="{E9448D27-85C4-4C46-8A3B-C5CA3C56D5EF}" srcOrd="2" destOrd="0" parTransId="{22374CA0-5501-4DFA-9EF0-CE5DAE571963}" sibTransId="{C3C56285-34B2-4827-82A5-4D85B1630923}"/>
    <dgm:cxn modelId="{A9704E8F-2A32-4A8C-84F0-DAA8357EE06D}" srcId="{468880F8-4840-4C5E-BB29-0C0D1822EA3F}" destId="{6B006CC6-E395-494B-BA5B-AE28237EDD60}" srcOrd="0" destOrd="0" parTransId="{EFEF6945-3BDC-4B99-9588-B1259893625B}" sibTransId="{5F8637F9-B75B-4F42-B130-83E43762F0C7}"/>
    <dgm:cxn modelId="{5E4A2792-A169-4995-B998-DF769DCD8632}" srcId="{E9448D27-85C4-4C46-8A3B-C5CA3C56D5EF}" destId="{3DBC248C-DEDC-4390-96F7-CB12D1DDF8BB}" srcOrd="2" destOrd="0" parTransId="{5F6587B7-31BA-4EF7-AE14-0317EC1400E8}" sibTransId="{E5470204-9F08-4567-9EA5-799A923B86B8}"/>
    <dgm:cxn modelId="{8408949B-7C5C-4596-BA33-365022E53615}" srcId="{A542FDD8-EB79-4E9A-BD88-3F7816573794}" destId="{4F80E8E3-4053-40B6-B8BB-5C5E3ACC6439}" srcOrd="1" destOrd="0" parTransId="{67251665-963F-4D82-99AC-C27C5A2A1295}" sibTransId="{B651D77A-A171-49CF-AB89-F36D7C589138}"/>
    <dgm:cxn modelId="{A196ECBC-3714-4A25-9C96-41DC03BA59C2}" srcId="{468880F8-4840-4C5E-BB29-0C0D1822EA3F}" destId="{A542FDD8-EB79-4E9A-BD88-3F7816573794}" srcOrd="1" destOrd="0" parTransId="{063DC104-8A08-451E-A231-E42F8FEF9B14}" sibTransId="{FBEA4DA0-DAAD-4F07-A639-0D1BC2DE7BA5}"/>
    <dgm:cxn modelId="{0DC119C3-6C83-4359-BC2A-D5920B266E0F}" type="presOf" srcId="{E9448D27-85C4-4C46-8A3B-C5CA3C56D5EF}" destId="{CABB06D3-89A2-4C79-936B-B2495796F638}" srcOrd="0" destOrd="0" presId="urn:microsoft.com/office/officeart/2008/layout/IncreasingCircleProcess"/>
    <dgm:cxn modelId="{B18A1BC7-CBCC-4460-B027-1C573BB886FA}" type="presOf" srcId="{78C1E429-4946-436F-9FFF-B7903AF58E47}" destId="{AD017ED8-43DF-434D-8EA0-105432FD7490}" srcOrd="0" destOrd="1" presId="urn:microsoft.com/office/officeart/2008/layout/IncreasingCircleProcess"/>
    <dgm:cxn modelId="{BC8D38CA-5F0E-4882-A031-34FEDEECABBC}" type="presOf" srcId="{6B006CC6-E395-494B-BA5B-AE28237EDD60}" destId="{BBCDF083-EE0E-4755-9256-A97462E65289}" srcOrd="0" destOrd="0" presId="urn:microsoft.com/office/officeart/2008/layout/IncreasingCircleProcess"/>
    <dgm:cxn modelId="{9154CBDA-280D-483B-B515-366C231231F8}" srcId="{E9448D27-85C4-4C46-8A3B-C5CA3C56D5EF}" destId="{4D6C6983-C4D9-41D4-AF51-416E279E9212}" srcOrd="0" destOrd="0" parTransId="{27E1CE6B-47E2-498F-AA5B-27835C1D9779}" sibTransId="{0EA51807-3B5F-4F25-9C17-DBD106D82E61}"/>
    <dgm:cxn modelId="{88BBB1F7-5418-4DCD-B146-9FD5113CA852}" type="presOf" srcId="{FB5A9257-33FF-4896-B7F8-3A24D6950217}" destId="{B20DA235-BBE8-4141-8C28-2699B063041F}" srcOrd="0" destOrd="0" presId="urn:microsoft.com/office/officeart/2008/layout/IncreasingCircleProcess"/>
    <dgm:cxn modelId="{70336856-E989-4324-BC16-25D854DAB91D}" type="presParOf" srcId="{5D4FBAFE-6AEF-498B-A7DF-112586B609C6}" destId="{F1F1279E-22BE-4ECF-92FF-66508D07891B}" srcOrd="0" destOrd="0" presId="urn:microsoft.com/office/officeart/2008/layout/IncreasingCircleProcess"/>
    <dgm:cxn modelId="{03709A13-69D5-4E45-97D4-1C369AEDFB26}" type="presParOf" srcId="{F1F1279E-22BE-4ECF-92FF-66508D07891B}" destId="{A6DBD6DD-065F-4632-A347-D42C35085A9C}" srcOrd="0" destOrd="0" presId="urn:microsoft.com/office/officeart/2008/layout/IncreasingCircleProcess"/>
    <dgm:cxn modelId="{4AF012A4-408C-4F6D-A0DE-E12F30EB71F0}" type="presParOf" srcId="{F1F1279E-22BE-4ECF-92FF-66508D07891B}" destId="{016476CA-8E44-4FA0-8F57-7CBFE3698C4C}" srcOrd="1" destOrd="0" presId="urn:microsoft.com/office/officeart/2008/layout/IncreasingCircleProcess"/>
    <dgm:cxn modelId="{91609140-50AE-4DD5-AF0B-46F1FA922506}" type="presParOf" srcId="{F1F1279E-22BE-4ECF-92FF-66508D07891B}" destId="{B20DA235-BBE8-4141-8C28-2699B063041F}" srcOrd="2" destOrd="0" presId="urn:microsoft.com/office/officeart/2008/layout/IncreasingCircleProcess"/>
    <dgm:cxn modelId="{3F2C5518-AD6D-4E82-A5DF-EFE96B7216FF}" type="presParOf" srcId="{F1F1279E-22BE-4ECF-92FF-66508D07891B}" destId="{BBCDF083-EE0E-4755-9256-A97462E65289}" srcOrd="3" destOrd="0" presId="urn:microsoft.com/office/officeart/2008/layout/IncreasingCircleProcess"/>
    <dgm:cxn modelId="{7F82988E-64C0-4D0B-84C0-131DC0A485FE}" type="presParOf" srcId="{5D4FBAFE-6AEF-498B-A7DF-112586B609C6}" destId="{78F6E73E-1D60-48B5-B56C-9E60FF2DC0E0}" srcOrd="1" destOrd="0" presId="urn:microsoft.com/office/officeart/2008/layout/IncreasingCircleProcess"/>
    <dgm:cxn modelId="{E3050FEA-FB19-4C77-9BF1-1E06DA94532E}" type="presParOf" srcId="{5D4FBAFE-6AEF-498B-A7DF-112586B609C6}" destId="{166621F1-B148-4FB3-931B-35E60EB2CB29}" srcOrd="2" destOrd="0" presId="urn:microsoft.com/office/officeart/2008/layout/IncreasingCircleProcess"/>
    <dgm:cxn modelId="{8AF151C8-6D09-4F55-BD94-EE0D2B5F1BC5}" type="presParOf" srcId="{166621F1-B148-4FB3-931B-35E60EB2CB29}" destId="{628E4E14-3156-4A4A-99CE-5D3474BB4A10}" srcOrd="0" destOrd="0" presId="urn:microsoft.com/office/officeart/2008/layout/IncreasingCircleProcess"/>
    <dgm:cxn modelId="{D892CA96-03C3-4C96-B6DB-EE1F02F959EA}" type="presParOf" srcId="{166621F1-B148-4FB3-931B-35E60EB2CB29}" destId="{682E4A7B-BD74-4BB8-88B5-391B626248D3}" srcOrd="1" destOrd="0" presId="urn:microsoft.com/office/officeart/2008/layout/IncreasingCircleProcess"/>
    <dgm:cxn modelId="{A13D409E-62B8-4AA7-8CA5-900877C2BAC1}" type="presParOf" srcId="{166621F1-B148-4FB3-931B-35E60EB2CB29}" destId="{4EC47A93-52D1-4B0D-81DC-2481F67153B2}" srcOrd="2" destOrd="0" presId="urn:microsoft.com/office/officeart/2008/layout/IncreasingCircleProcess"/>
    <dgm:cxn modelId="{B4BAF154-89FE-4A5E-BEC0-09EA916076D3}" type="presParOf" srcId="{166621F1-B148-4FB3-931B-35E60EB2CB29}" destId="{057B7D9C-21A4-420C-A380-D26D40F4BF5F}" srcOrd="3" destOrd="0" presId="urn:microsoft.com/office/officeart/2008/layout/IncreasingCircleProcess"/>
    <dgm:cxn modelId="{ADF5E57A-BE32-4983-8D63-088EB753DC2A}" type="presParOf" srcId="{5D4FBAFE-6AEF-498B-A7DF-112586B609C6}" destId="{BE816F40-3443-4356-9375-13FA58B79472}" srcOrd="3" destOrd="0" presId="urn:microsoft.com/office/officeart/2008/layout/IncreasingCircleProcess"/>
    <dgm:cxn modelId="{F0C83F23-22A2-4965-BF4B-AF97EBC92823}" type="presParOf" srcId="{5D4FBAFE-6AEF-498B-A7DF-112586B609C6}" destId="{59546303-F983-470E-B631-A82CDB4C6958}" srcOrd="4" destOrd="0" presId="urn:microsoft.com/office/officeart/2008/layout/IncreasingCircleProcess"/>
    <dgm:cxn modelId="{E5D29D2A-F0C4-47F0-90BC-33B82364B8C1}" type="presParOf" srcId="{59546303-F983-470E-B631-A82CDB4C6958}" destId="{65384DDE-ECA4-4552-A859-A93B61F191BF}" srcOrd="0" destOrd="0" presId="urn:microsoft.com/office/officeart/2008/layout/IncreasingCircleProcess"/>
    <dgm:cxn modelId="{51BD0D16-5F90-4DEA-84F4-52D85CE81A33}" type="presParOf" srcId="{59546303-F983-470E-B631-A82CDB4C6958}" destId="{F93FCE4C-1922-4507-82AF-CCD34479F531}" srcOrd="1" destOrd="0" presId="urn:microsoft.com/office/officeart/2008/layout/IncreasingCircleProcess"/>
    <dgm:cxn modelId="{A6E14E07-91F8-460A-A969-2998720EF924}" type="presParOf" srcId="{59546303-F983-470E-B631-A82CDB4C6958}" destId="{AD017ED8-43DF-434D-8EA0-105432FD7490}" srcOrd="2" destOrd="0" presId="urn:microsoft.com/office/officeart/2008/layout/IncreasingCircleProcess"/>
    <dgm:cxn modelId="{41A4520D-0D66-490F-A4C6-7104D86E6CB7}" type="presParOf" srcId="{59546303-F983-470E-B631-A82CDB4C6958}" destId="{CABB06D3-89A2-4C79-936B-B2495796F638}" srcOrd="3" destOrd="0" presId="urn:microsoft.com/office/officeart/2008/layout/IncreasingCircleProcess"/>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D15A61-416E-4AB8-9D80-9206D0E15318}">
      <dsp:nvSpPr>
        <dsp:cNvPr id="0" name=""/>
        <dsp:cNvSpPr/>
      </dsp:nvSpPr>
      <dsp:spPr>
        <a:xfrm>
          <a:off x="0" y="236776"/>
          <a:ext cx="5829300" cy="1217852"/>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i="1" kern="1200"/>
            <a:t>Decentralised virtual asset systems</a:t>
          </a:r>
          <a:r>
            <a:rPr lang="en-NZ" sz="1000" kern="1200"/>
            <a:t> are particularly vulnerable to anonymity risks. For example, by design, Bitcoin addresses, which function as accounts, have no names or other customer identification attached, and the system has no central server or service provider. The Bitcoin protocol does not require or provide identification and verification of participants or generate historical records of transactions that are necessarily associated with real world identity. A </a:t>
          </a:r>
          <a:r>
            <a:rPr lang="en-NZ" sz="1000" i="1" kern="1200"/>
            <a:t>centralised virtual asset system</a:t>
          </a:r>
          <a:r>
            <a:rPr lang="en-NZ" sz="1000" kern="1200"/>
            <a:t> may mitigate some of these risks, however they should not be considered immune to them.</a:t>
          </a:r>
        </a:p>
      </dsp:txBody>
      <dsp:txXfrm>
        <a:off x="59451" y="296227"/>
        <a:ext cx="5710398" cy="1098950"/>
      </dsp:txXfrm>
    </dsp:sp>
    <dsp:sp modelId="{8484170D-616F-419F-B7DB-A2A9CC781244}">
      <dsp:nvSpPr>
        <dsp:cNvPr id="0" name=""/>
        <dsp:cNvSpPr/>
      </dsp:nvSpPr>
      <dsp:spPr>
        <a:xfrm>
          <a:off x="0" y="1483428"/>
          <a:ext cx="5829300" cy="713245"/>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The size of VASPs can vary, but the technology in most cases will allow for </a:t>
          </a:r>
          <a:r>
            <a:rPr lang="en-NZ" sz="1000" i="1" kern="1200"/>
            <a:t>rapid expansion</a:t>
          </a:r>
          <a:r>
            <a:rPr lang="en-NZ" sz="1000" kern="1200"/>
            <a:t> – as seen in numerous exchanges following the ‘bitcoin boom’ of 2017. This could lead to VASPs becoming overwhelmed and unable to complete thorough customer due diligence (CDD) or transaction monitoring.</a:t>
          </a:r>
        </a:p>
      </dsp:txBody>
      <dsp:txXfrm>
        <a:off x="34818" y="1518246"/>
        <a:ext cx="5759664" cy="643609"/>
      </dsp:txXfrm>
    </dsp:sp>
    <dsp:sp modelId="{E002F5DC-EDF9-4A5F-8B7C-511EB0AA5017}">
      <dsp:nvSpPr>
        <dsp:cNvPr id="0" name=""/>
        <dsp:cNvSpPr/>
      </dsp:nvSpPr>
      <dsp:spPr>
        <a:xfrm>
          <a:off x="0" y="2225473"/>
          <a:ext cx="5829300" cy="1241399"/>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i="1" kern="1200"/>
            <a:t>Off-chain transactions</a:t>
          </a:r>
          <a:r>
            <a:rPr lang="en-NZ" sz="1000" kern="1200"/>
            <a:t> provide another avenue to obscure the movement of funds</a:t>
          </a:r>
          <a:r>
            <a:rPr lang="en-NZ" sz="1000" i="1" kern="1200"/>
            <a:t>. Off-chain transactions</a:t>
          </a:r>
          <a:r>
            <a:rPr lang="en-NZ" sz="1000" kern="1200"/>
            <a:t> are the transfer of value outside of the blockchain. This can occur through the transfer of virtual assets between personal wallets, physical exchange of paper or hardware wallets, transfer of one cryptocurrency to another within an exchange or through the purchase of cryptocurrency for cash via a peer-to-peer service. In these examples, the transactions stay off-chain until they are transferred or spent outside of the intermediary entity. At this point it will be difficult to determine the true source of funds.</a:t>
          </a:r>
        </a:p>
      </dsp:txBody>
      <dsp:txXfrm>
        <a:off x="60600" y="2286073"/>
        <a:ext cx="5708100" cy="1120199"/>
      </dsp:txXfrm>
    </dsp:sp>
    <dsp:sp modelId="{DE4134C3-9EAA-4D37-9E76-669EA884CCFE}">
      <dsp:nvSpPr>
        <dsp:cNvPr id="0" name=""/>
        <dsp:cNvSpPr/>
      </dsp:nvSpPr>
      <dsp:spPr>
        <a:xfrm>
          <a:off x="0" y="3495672"/>
          <a:ext cx="5829300" cy="801450"/>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The initial purchase of a virtual asset will usually involve the exchange of fiat currency to virtual asset. The conversion to and from fiat currency is the point where a launderer is most exposed – this is particularly relevant for a VASP that operates as an exchange.</a:t>
          </a:r>
        </a:p>
      </dsp:txBody>
      <dsp:txXfrm>
        <a:off x="39124" y="3534796"/>
        <a:ext cx="5751052" cy="7232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D15A61-416E-4AB8-9D80-9206D0E15318}">
      <dsp:nvSpPr>
        <dsp:cNvPr id="0" name=""/>
        <dsp:cNvSpPr/>
      </dsp:nvSpPr>
      <dsp:spPr>
        <a:xfrm>
          <a:off x="0" y="186982"/>
          <a:ext cx="5760084" cy="649470"/>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VASPs often utilise </a:t>
          </a:r>
          <a:r>
            <a:rPr lang="en-NZ" sz="1000" i="1" kern="1200"/>
            <a:t>non-face-to-face business relationships</a:t>
          </a:r>
          <a:r>
            <a:rPr lang="en-NZ" sz="1000" kern="1200"/>
            <a:t>. This is a risk factor for ML/TF as customers may hide their true identity to avoid sanctions or attention from law enforcement.</a:t>
          </a:r>
        </a:p>
      </dsp:txBody>
      <dsp:txXfrm>
        <a:off x="31705" y="218687"/>
        <a:ext cx="5696674" cy="586060"/>
      </dsp:txXfrm>
    </dsp:sp>
    <dsp:sp modelId="{C4A88EE0-FF94-495F-8B39-EED4926515BC}">
      <dsp:nvSpPr>
        <dsp:cNvPr id="0" name=""/>
        <dsp:cNvSpPr/>
      </dsp:nvSpPr>
      <dsp:spPr>
        <a:xfrm>
          <a:off x="0" y="865252"/>
          <a:ext cx="5760084" cy="725681"/>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Virtual Asset ‘ATMs’ or ‘Kiosks’ present unique risks because they provide or actively facilitate </a:t>
          </a:r>
          <a:r>
            <a:rPr lang="en-NZ" sz="1000" i="1" kern="1200"/>
            <a:t>virtual asset activities via a physical terminal</a:t>
          </a:r>
          <a:r>
            <a:rPr lang="en-NZ" sz="1000" kern="1200"/>
            <a:t>. Examples include structuring transactions or failing to collect and retain required customer identification information.</a:t>
          </a:r>
        </a:p>
      </dsp:txBody>
      <dsp:txXfrm>
        <a:off x="35425" y="900677"/>
        <a:ext cx="5689234" cy="654831"/>
      </dsp:txXfrm>
    </dsp:sp>
    <dsp:sp modelId="{C82004B7-6259-4CAD-AFFA-B8BE7B108AEC}">
      <dsp:nvSpPr>
        <dsp:cNvPr id="0" name=""/>
        <dsp:cNvSpPr/>
      </dsp:nvSpPr>
      <dsp:spPr>
        <a:xfrm>
          <a:off x="0" y="1619733"/>
          <a:ext cx="5760084" cy="756299"/>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Virtual Assets have a history of being used by criminals and organised-crime. Examples include the ‘Silk Road’ website accepting virtual asset payments for illegal products, Liberty Reserve, unregistered peer-to-peer exchanges, and malware that extorts payment from victims in cryptocurrency.</a:t>
          </a:r>
        </a:p>
      </dsp:txBody>
      <dsp:txXfrm>
        <a:off x="36919" y="1656652"/>
        <a:ext cx="5686246" cy="682461"/>
      </dsp:txXfrm>
    </dsp:sp>
    <dsp:sp modelId="{0E1B7E52-50A1-4C4C-A832-EDE3CAC1C0CC}">
      <dsp:nvSpPr>
        <dsp:cNvPr id="0" name=""/>
        <dsp:cNvSpPr/>
      </dsp:nvSpPr>
      <dsp:spPr>
        <a:xfrm>
          <a:off x="0" y="2404833"/>
          <a:ext cx="5760084" cy="756212"/>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Some potential customers may be the </a:t>
          </a:r>
          <a:r>
            <a:rPr lang="en-NZ" sz="1000" i="1" kern="1200"/>
            <a:t>victims of scams involving cryptocurrency</a:t>
          </a:r>
          <a:r>
            <a:rPr lang="en-NZ" sz="1000" kern="1200"/>
            <a:t>. VASPs should be aware of customers stating they need to send money to unlock a computer (ransomware) or pay tax debt, and of customers who have a limited knowledge of virtual assets.</a:t>
          </a:r>
        </a:p>
      </dsp:txBody>
      <dsp:txXfrm>
        <a:off x="36915" y="2441748"/>
        <a:ext cx="5686254" cy="682382"/>
      </dsp:txXfrm>
    </dsp:sp>
    <dsp:sp modelId="{1E450C25-9C76-4999-8455-BAF94103F42A}">
      <dsp:nvSpPr>
        <dsp:cNvPr id="0" name=""/>
        <dsp:cNvSpPr/>
      </dsp:nvSpPr>
      <dsp:spPr>
        <a:xfrm>
          <a:off x="0" y="3189846"/>
          <a:ext cx="5760084" cy="1169569"/>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VASPs should be aware of risks involving customers who conduct transactions with wallets or virtual assets that have been </a:t>
          </a:r>
          <a:r>
            <a:rPr lang="en-NZ" sz="1000" i="1" kern="1200"/>
            <a:t>linked to darknet marketplaces</a:t>
          </a:r>
          <a:r>
            <a:rPr lang="en-NZ" sz="1000" kern="1200"/>
            <a:t> or other illicit activity. Warning signs could include customer transactions being initiated from IP addresses associated with Tor, customer’s wallet details appearing on public forums associated with illegal activity, or a transaction that makes use of mixing and tumbling services.</a:t>
          </a:r>
        </a:p>
      </dsp:txBody>
      <dsp:txXfrm>
        <a:off x="57094" y="3246940"/>
        <a:ext cx="5645896" cy="1055381"/>
      </dsp:txXfrm>
    </dsp:sp>
    <dsp:sp modelId="{5CF3986C-0A31-4910-9F54-CEC1D9B8482E}">
      <dsp:nvSpPr>
        <dsp:cNvPr id="0" name=""/>
        <dsp:cNvSpPr/>
      </dsp:nvSpPr>
      <dsp:spPr>
        <a:xfrm>
          <a:off x="0" y="4388215"/>
          <a:ext cx="5760084" cy="1029508"/>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VASPs should be aware of risks of customers who may be operating as unregistered or Illicit peer-to-peer exchangers. Warning signs could include customers receiving a series of deposits from disparate sources that, together, amount to identical transfers to a known virtual currency exchange platform within a short period of time. Alternatively, the customer’s phone number or email address being connected to a known peer-to-peer exchange platform advertising exchange services.</a:t>
          </a:r>
        </a:p>
      </dsp:txBody>
      <dsp:txXfrm>
        <a:off x="50256" y="4438471"/>
        <a:ext cx="5659572" cy="928996"/>
      </dsp:txXfrm>
    </dsp:sp>
    <dsp:sp modelId="{86DE4C18-DF50-483A-979F-21FBEA928533}">
      <dsp:nvSpPr>
        <dsp:cNvPr id="0" name=""/>
        <dsp:cNvSpPr/>
      </dsp:nvSpPr>
      <dsp:spPr>
        <a:xfrm>
          <a:off x="0" y="5446524"/>
          <a:ext cx="5760084" cy="1125726"/>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The use of virtual assets to avoid international sanctions is a known risk.  As regimes and individuals are cut off from the global financial system, they search for alternatives. This has resulted in some countries and individuals trying to turn to digital currencies to offset the impact of economic sanctions. (Examples of states attempting to avoid sanctions via virtual assets include Venezuela and the ‘Petro’, North Korea’s ‘Lazarus’ Hacking Group)</a:t>
          </a:r>
        </a:p>
      </dsp:txBody>
      <dsp:txXfrm>
        <a:off x="54953" y="5501477"/>
        <a:ext cx="5650178" cy="1015820"/>
      </dsp:txXfrm>
    </dsp:sp>
    <dsp:sp modelId="{CA1F14BD-F54A-47CE-9314-902A9166E258}">
      <dsp:nvSpPr>
        <dsp:cNvPr id="0" name=""/>
        <dsp:cNvSpPr/>
      </dsp:nvSpPr>
      <dsp:spPr>
        <a:xfrm>
          <a:off x="0" y="6601050"/>
          <a:ext cx="5760084" cy="874072"/>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Virtual Assets’ global reach increases the risks of potential ML/TF. Virtual asset systems can be accessed via the Internet (including via mobile phones) and can be used to make cross-border payments and funds transfers with customers avoiding face-to-face interaction, enhancing anonymity. </a:t>
          </a:r>
        </a:p>
      </dsp:txBody>
      <dsp:txXfrm>
        <a:off x="42669" y="6643719"/>
        <a:ext cx="5674746" cy="788734"/>
      </dsp:txXfrm>
    </dsp:sp>
    <dsp:sp modelId="{BC89C04B-A12B-4715-BEDB-935E0CA0D17A}">
      <dsp:nvSpPr>
        <dsp:cNvPr id="0" name=""/>
        <dsp:cNvSpPr/>
      </dsp:nvSpPr>
      <dsp:spPr>
        <a:xfrm>
          <a:off x="0" y="7503923"/>
          <a:ext cx="5760084" cy="874072"/>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Virtual Assets can also be used to facilitate trade-based money laundering (TBML) schemes. Given the features of virtual assets such as having inconsistent value, their transnational nature, and favouring anonymity, they become conducive for TBML.</a:t>
          </a:r>
        </a:p>
      </dsp:txBody>
      <dsp:txXfrm>
        <a:off x="42669" y="7546592"/>
        <a:ext cx="5674746" cy="788734"/>
      </dsp:txXfrm>
    </dsp:sp>
    <dsp:sp modelId="{4E5356D0-3986-4CC3-A2DF-AC808BC94699}">
      <dsp:nvSpPr>
        <dsp:cNvPr id="0" name=""/>
        <dsp:cNvSpPr/>
      </dsp:nvSpPr>
      <dsp:spPr>
        <a:xfrm>
          <a:off x="0" y="8406795"/>
          <a:ext cx="5760084" cy="874072"/>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NZ" sz="1000" kern="1200"/>
            <a:t>The risk of TF is also significant – terrorist organisations and their supporters and sympathisers are also constantly looking for ways to raise and transfer funds without detection or tracking by law enforcement, and the level of anonymity that virtual assets can provide is attractive to them. There are documented cases of organisations such as Hamas and al-Qaeda utilising virtual currencies to raise funds from donors and move money internationally.</a:t>
          </a:r>
        </a:p>
      </dsp:txBody>
      <dsp:txXfrm>
        <a:off x="42669" y="8449464"/>
        <a:ext cx="5674746" cy="7887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CFD148-481C-4CCA-88CA-59B8333D6A2E}">
      <dsp:nvSpPr>
        <dsp:cNvPr id="0" name=""/>
        <dsp:cNvSpPr/>
      </dsp:nvSpPr>
      <dsp:spPr>
        <a:xfrm>
          <a:off x="0" y="344790"/>
          <a:ext cx="5486400" cy="27027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92456" numCol="1" spcCol="1270" anchor="t" anchorCtr="0">
          <a:noAutofit/>
        </a:bodyPr>
        <a:lstStyle/>
        <a:p>
          <a:pPr marL="114300" lvl="1" indent="-114300" algn="l" defTabSz="577850">
            <a:lnSpc>
              <a:spcPct val="90000"/>
            </a:lnSpc>
            <a:spcBef>
              <a:spcPct val="0"/>
            </a:spcBef>
            <a:spcAft>
              <a:spcPct val="15000"/>
            </a:spcAft>
            <a:buFont typeface="Symbol" panose="05050102010706020507" pitchFamily="18" charset="2"/>
            <a:buChar char=""/>
          </a:pPr>
          <a:r>
            <a:rPr lang="en-NZ" sz="1300" i="1" kern="1200"/>
            <a:t>What are those countries? </a:t>
          </a:r>
          <a:endParaRPr lang="en-NZ" sz="1300" kern="1200"/>
        </a:p>
        <a:p>
          <a:pPr marL="114300" lvl="1" indent="-114300" algn="l" defTabSz="577850">
            <a:lnSpc>
              <a:spcPct val="90000"/>
            </a:lnSpc>
            <a:spcBef>
              <a:spcPct val="0"/>
            </a:spcBef>
            <a:spcAft>
              <a:spcPct val="15000"/>
            </a:spcAft>
            <a:buFont typeface="Symbol" panose="05050102010706020507" pitchFamily="18" charset="2"/>
            <a:buChar char=""/>
          </a:pPr>
          <a:r>
            <a:rPr lang="en-NZ" sz="1300" i="1" kern="1200"/>
            <a:t>What are the risks associated with those countries? For example, is a country a tax haven, subject to international sanctions, that has problems with corruption, drug trafficking or terrorism?</a:t>
          </a:r>
          <a:endParaRPr lang="en-NZ" sz="1300" kern="1200"/>
        </a:p>
        <a:p>
          <a:pPr marL="228600" lvl="2" indent="-114300" algn="l" defTabSz="577850">
            <a:lnSpc>
              <a:spcPct val="90000"/>
            </a:lnSpc>
            <a:spcBef>
              <a:spcPct val="0"/>
            </a:spcBef>
            <a:spcAft>
              <a:spcPct val="15000"/>
            </a:spcAft>
            <a:buFont typeface="Symbol" panose="05050102010706020507" pitchFamily="18" charset="2"/>
            <a:buChar char=""/>
          </a:pPr>
          <a:r>
            <a:rPr lang="en-NZ" sz="1300" kern="1200"/>
            <a:t>Yes? Then there is a vulnerability and suggests you may have identified an area where your business is at high risk. You will need to carefully consider how risks associated with those countries impact on your business and can be addressed in your AML/CFT programme.</a:t>
          </a:r>
        </a:p>
        <a:p>
          <a:pPr marL="228600" lvl="2" indent="-114300" algn="l" defTabSz="577850">
            <a:lnSpc>
              <a:spcPct val="90000"/>
            </a:lnSpc>
            <a:spcBef>
              <a:spcPct val="0"/>
            </a:spcBef>
            <a:spcAft>
              <a:spcPct val="15000"/>
            </a:spcAft>
            <a:buFont typeface="Symbol" panose="05050102010706020507" pitchFamily="18" charset="2"/>
            <a:buChar char=""/>
          </a:pPr>
          <a:r>
            <a:rPr lang="en-NZ" sz="1300" kern="1200"/>
            <a:t>No? If you only ever deal with persons or activities within New Zealand, ML/TF risks associated with other countries may not be as relevant to your business. </a:t>
          </a:r>
        </a:p>
      </dsp:txBody>
      <dsp:txXfrm>
        <a:off x="0" y="344790"/>
        <a:ext cx="5486400" cy="2702700"/>
      </dsp:txXfrm>
    </dsp:sp>
    <dsp:sp modelId="{CD352CB5-50C0-4452-B12C-8A5BA1EE712B}">
      <dsp:nvSpPr>
        <dsp:cNvPr id="0" name=""/>
        <dsp:cNvSpPr/>
      </dsp:nvSpPr>
      <dsp:spPr>
        <a:xfrm>
          <a:off x="274320" y="152910"/>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NZ" sz="1300" b="1" i="1" u="sng" kern="1200"/>
            <a:t>Category: </a:t>
          </a:r>
          <a:r>
            <a:rPr lang="en-NZ" sz="1300" i="1" kern="1200"/>
            <a:t>The countries you deal with</a:t>
          </a:r>
          <a:endParaRPr lang="en-NZ" sz="1300" kern="1200"/>
        </a:p>
      </dsp:txBody>
      <dsp:txXfrm>
        <a:off x="293054" y="171644"/>
        <a:ext cx="3803012" cy="3462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CFD148-481C-4CCA-88CA-59B8333D6A2E}">
      <dsp:nvSpPr>
        <dsp:cNvPr id="0" name=""/>
        <dsp:cNvSpPr/>
      </dsp:nvSpPr>
      <dsp:spPr>
        <a:xfrm>
          <a:off x="0" y="242302"/>
          <a:ext cx="5486400" cy="1678950"/>
        </a:xfrm>
        <a:prstGeom prst="rect">
          <a:avLst/>
        </a:prstGeom>
        <a:solidFill>
          <a:srgbClr val="FFFFFF">
            <a:alpha val="90000"/>
            <a:hueOff val="0"/>
            <a:satOff val="0"/>
            <a:lumOff val="0"/>
            <a:alphaOff val="0"/>
          </a:srgbClr>
        </a:solidFill>
        <a:ln w="25400" cap="flat" cmpd="sng" algn="ctr">
          <a:solidFill>
            <a:srgbClr val="7BC7CE">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92456" numCol="1" spcCol="1270" anchor="t" anchorCtr="0">
          <a:noAutofit/>
        </a:bodyPr>
        <a:lstStyle/>
        <a:p>
          <a:pPr marL="114300" lvl="1" indent="-114300" algn="l" defTabSz="577850">
            <a:lnSpc>
              <a:spcPct val="90000"/>
            </a:lnSpc>
            <a:spcBef>
              <a:spcPct val="0"/>
            </a:spcBef>
            <a:spcAft>
              <a:spcPct val="15000"/>
            </a:spcAft>
            <a:buFont typeface="Symbol" panose="05050102010706020507" pitchFamily="18" charset="2"/>
            <a:buChar char=""/>
          </a:pPr>
          <a:r>
            <a:rPr lang="en-NZ" sz="1300" i="1" kern="1200">
              <a:solidFill>
                <a:sysClr val="windowText" lastClr="000000">
                  <a:hueOff val="0"/>
                  <a:satOff val="0"/>
                  <a:lumOff val="0"/>
                  <a:alphaOff val="0"/>
                </a:sysClr>
              </a:solidFill>
              <a:latin typeface="Calibri"/>
              <a:ea typeface="+mn-ea"/>
              <a:cs typeface="+mn-cs"/>
            </a:rPr>
            <a:t>What are those countries? </a:t>
          </a:r>
          <a:endParaRPr lang="en-NZ" sz="1300" kern="1200">
            <a:solidFill>
              <a:sysClr val="windowText" lastClr="000000">
                <a:hueOff val="0"/>
                <a:satOff val="0"/>
                <a:lumOff val="0"/>
                <a:alphaOff val="0"/>
              </a:sysClr>
            </a:solidFill>
            <a:latin typeface="Calibri"/>
            <a:ea typeface="+mn-ea"/>
            <a:cs typeface="+mn-cs"/>
          </a:endParaRPr>
        </a:p>
        <a:p>
          <a:pPr marL="228600" lvl="2" indent="-114300" algn="l" defTabSz="577850">
            <a:lnSpc>
              <a:spcPct val="90000"/>
            </a:lnSpc>
            <a:spcBef>
              <a:spcPct val="0"/>
            </a:spcBef>
            <a:spcAft>
              <a:spcPct val="15000"/>
            </a:spcAft>
            <a:buFont typeface="Symbol" panose="05050102010706020507" pitchFamily="18" charset="2"/>
            <a:buChar char=""/>
          </a:pPr>
          <a:r>
            <a:rPr lang="en-NZ" sz="1300" kern="1200">
              <a:solidFill>
                <a:sysClr val="windowText" lastClr="000000">
                  <a:hueOff val="0"/>
                  <a:satOff val="0"/>
                  <a:lumOff val="0"/>
                  <a:alphaOff val="0"/>
                </a:sysClr>
              </a:solidFill>
              <a:latin typeface="Calibri"/>
              <a:ea typeface="+mn-ea"/>
              <a:cs typeface="+mn-cs"/>
            </a:rPr>
            <a:t>“For 85% of our business, we deal solely with New Zealand based clients, whom we have obtained and verified this information on. In these circumstances, we consider there is a low risk in the country we are dealing with. However, for 15% of our business we deal with clients based in other countries. Here we consider our ML/TF risk to be higher.” </a:t>
          </a:r>
        </a:p>
      </dsp:txBody>
      <dsp:txXfrm>
        <a:off x="0" y="242302"/>
        <a:ext cx="5486400" cy="1678950"/>
      </dsp:txXfrm>
    </dsp:sp>
    <dsp:sp modelId="{CD352CB5-50C0-4452-B12C-8A5BA1EE712B}">
      <dsp:nvSpPr>
        <dsp:cNvPr id="0" name=""/>
        <dsp:cNvSpPr/>
      </dsp:nvSpPr>
      <dsp:spPr>
        <a:xfrm>
          <a:off x="274320" y="50422"/>
          <a:ext cx="3840480" cy="383760"/>
        </a:xfrm>
        <a:prstGeom prst="roundRect">
          <a:avLst/>
        </a:prstGeom>
        <a:solidFill>
          <a:srgbClr val="7BC7CE">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NZ" sz="1300" b="1" i="1" u="sng" kern="1200">
              <a:solidFill>
                <a:srgbClr val="FFFFFF"/>
              </a:solidFill>
              <a:latin typeface="Calibri"/>
              <a:ea typeface="+mn-ea"/>
              <a:cs typeface="+mn-cs"/>
            </a:rPr>
            <a:t>Category: </a:t>
          </a:r>
          <a:r>
            <a:rPr lang="en-NZ" sz="1300" i="1" kern="1200">
              <a:solidFill>
                <a:srgbClr val="FFFFFF"/>
              </a:solidFill>
              <a:latin typeface="Calibri"/>
              <a:ea typeface="+mn-ea"/>
              <a:cs typeface="+mn-cs"/>
            </a:rPr>
            <a:t>The countries you deal with</a:t>
          </a:r>
          <a:endParaRPr lang="en-NZ" sz="1300" kern="1200">
            <a:solidFill>
              <a:srgbClr val="FFFFFF"/>
            </a:solidFill>
            <a:latin typeface="Calibri"/>
            <a:ea typeface="+mn-ea"/>
            <a:cs typeface="+mn-cs"/>
          </a:endParaRPr>
        </a:p>
      </dsp:txBody>
      <dsp:txXfrm>
        <a:off x="293054" y="69156"/>
        <a:ext cx="3803012" cy="3462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DBD6DD-065F-4632-A347-D42C35085A9C}">
      <dsp:nvSpPr>
        <dsp:cNvPr id="0" name=""/>
        <dsp:cNvSpPr/>
      </dsp:nvSpPr>
      <dsp:spPr>
        <a:xfrm>
          <a:off x="2901" y="0"/>
          <a:ext cx="467812" cy="467812"/>
        </a:xfrm>
        <a:prstGeom prst="ellipse">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16476CA-8E44-4FA0-8F57-7CBFE3698C4C}">
      <dsp:nvSpPr>
        <dsp:cNvPr id="0" name=""/>
        <dsp:cNvSpPr/>
      </dsp:nvSpPr>
      <dsp:spPr>
        <a:xfrm>
          <a:off x="49682" y="46781"/>
          <a:ext cx="374249" cy="374249"/>
        </a:xfrm>
        <a:prstGeom prst="chord">
          <a:avLst>
            <a:gd name="adj1" fmla="val 1168272"/>
            <a:gd name="adj2" fmla="val 9631728"/>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0DA235-BBE8-4141-8C28-2699B063041F}">
      <dsp:nvSpPr>
        <dsp:cNvPr id="0" name=""/>
        <dsp:cNvSpPr/>
      </dsp:nvSpPr>
      <dsp:spPr>
        <a:xfrm>
          <a:off x="568174" y="467812"/>
          <a:ext cx="1383943" cy="19687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400050">
            <a:lnSpc>
              <a:spcPct val="90000"/>
            </a:lnSpc>
            <a:spcBef>
              <a:spcPct val="0"/>
            </a:spcBef>
            <a:spcAft>
              <a:spcPct val="35000"/>
            </a:spcAft>
            <a:buFont typeface="Courier New" panose="02070309020205020404" pitchFamily="49" charset="0"/>
            <a:buNone/>
          </a:pPr>
          <a:r>
            <a:rPr lang="en-NZ" sz="900" kern="1200"/>
            <a:t>A narrower form of CDD, for use with specific customers or customer types that are considered to be low risk for ML/TF. These customers are specified in section 18(2) of the AML/CFT Act. </a:t>
          </a:r>
        </a:p>
        <a:p>
          <a:pPr marL="0" lvl="0" indent="0" algn="l" defTabSz="400050">
            <a:lnSpc>
              <a:spcPct val="90000"/>
            </a:lnSpc>
            <a:spcBef>
              <a:spcPct val="0"/>
            </a:spcBef>
            <a:spcAft>
              <a:spcPct val="35000"/>
            </a:spcAft>
            <a:buFont typeface="Courier New" panose="02070309020205020404" pitchFamily="49" charset="0"/>
            <a:buNone/>
          </a:pPr>
          <a:endParaRPr lang="en-NZ" sz="900" kern="1200"/>
        </a:p>
        <a:p>
          <a:pPr marL="0" lvl="0" indent="0" algn="l" defTabSz="400050">
            <a:lnSpc>
              <a:spcPct val="90000"/>
            </a:lnSpc>
            <a:spcBef>
              <a:spcPct val="0"/>
            </a:spcBef>
            <a:spcAft>
              <a:spcPct val="35000"/>
            </a:spcAft>
            <a:buFont typeface="Courier New" panose="02070309020205020404" pitchFamily="49" charset="0"/>
            <a:buNone/>
          </a:pPr>
          <a:r>
            <a:rPr lang="en-NZ" sz="900" kern="1200"/>
            <a:t>VASPs are unlikely to use simplified CDD due to the high risk nature of their operating context.</a:t>
          </a:r>
        </a:p>
      </dsp:txBody>
      <dsp:txXfrm>
        <a:off x="568174" y="467812"/>
        <a:ext cx="1383943" cy="1968709"/>
      </dsp:txXfrm>
    </dsp:sp>
    <dsp:sp modelId="{BBCDF083-EE0E-4755-9256-A97462E65289}">
      <dsp:nvSpPr>
        <dsp:cNvPr id="0" name=""/>
        <dsp:cNvSpPr/>
      </dsp:nvSpPr>
      <dsp:spPr>
        <a:xfrm>
          <a:off x="568174" y="0"/>
          <a:ext cx="1383943" cy="4678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640" tIns="40640" rIns="40640" bIns="40640" numCol="1" spcCol="1270" anchor="b" anchorCtr="0">
          <a:noAutofit/>
        </a:bodyPr>
        <a:lstStyle/>
        <a:p>
          <a:pPr marL="0" lvl="0" indent="0" algn="l" defTabSz="711200">
            <a:lnSpc>
              <a:spcPct val="90000"/>
            </a:lnSpc>
            <a:spcBef>
              <a:spcPct val="0"/>
            </a:spcBef>
            <a:spcAft>
              <a:spcPct val="35000"/>
            </a:spcAft>
            <a:buFont typeface="Calibri" panose="020F0502020204030204" pitchFamily="34" charset="0"/>
            <a:buNone/>
          </a:pPr>
          <a:r>
            <a:rPr lang="en-NZ" sz="1600" b="1" kern="1200"/>
            <a:t>Simplified CDD</a:t>
          </a:r>
        </a:p>
      </dsp:txBody>
      <dsp:txXfrm>
        <a:off x="568174" y="0"/>
        <a:ext cx="1383943" cy="467812"/>
      </dsp:txXfrm>
    </dsp:sp>
    <dsp:sp modelId="{628E4E14-3156-4A4A-99CE-5D3474BB4A10}">
      <dsp:nvSpPr>
        <dsp:cNvPr id="0" name=""/>
        <dsp:cNvSpPr/>
      </dsp:nvSpPr>
      <dsp:spPr>
        <a:xfrm>
          <a:off x="2049579" y="0"/>
          <a:ext cx="467812" cy="467812"/>
        </a:xfrm>
        <a:prstGeom prst="ellipse">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82E4A7B-BD74-4BB8-88B5-391B626248D3}">
      <dsp:nvSpPr>
        <dsp:cNvPr id="0" name=""/>
        <dsp:cNvSpPr/>
      </dsp:nvSpPr>
      <dsp:spPr>
        <a:xfrm>
          <a:off x="2096360" y="46781"/>
          <a:ext cx="374249" cy="374249"/>
        </a:xfrm>
        <a:prstGeom prst="chord">
          <a:avLst>
            <a:gd name="adj1" fmla="val 20431728"/>
            <a:gd name="adj2" fmla="val 11968272"/>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C47A93-52D1-4B0D-81DC-2481F67153B2}">
      <dsp:nvSpPr>
        <dsp:cNvPr id="0" name=""/>
        <dsp:cNvSpPr/>
      </dsp:nvSpPr>
      <dsp:spPr>
        <a:xfrm>
          <a:off x="2614851" y="467812"/>
          <a:ext cx="1383943" cy="19687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400050">
            <a:lnSpc>
              <a:spcPct val="90000"/>
            </a:lnSpc>
            <a:spcBef>
              <a:spcPct val="0"/>
            </a:spcBef>
            <a:spcAft>
              <a:spcPct val="35000"/>
            </a:spcAft>
            <a:buFont typeface="Courier New" panose="02070309020205020404" pitchFamily="49" charset="0"/>
            <a:buNone/>
          </a:pPr>
          <a:r>
            <a:rPr lang="en-NZ" sz="900" kern="1200"/>
            <a:t>The default information that you must collect and verify from all customers.</a:t>
          </a:r>
        </a:p>
        <a:p>
          <a:pPr marL="0" lvl="0" indent="0" algn="l" defTabSz="400050">
            <a:lnSpc>
              <a:spcPct val="90000"/>
            </a:lnSpc>
            <a:spcBef>
              <a:spcPct val="0"/>
            </a:spcBef>
            <a:spcAft>
              <a:spcPct val="35000"/>
            </a:spcAft>
            <a:buFont typeface="Courier New" panose="02070309020205020404" pitchFamily="49" charset="0"/>
            <a:buNone/>
          </a:pPr>
          <a:endParaRPr lang="en-NZ" sz="900" kern="1200"/>
        </a:p>
        <a:p>
          <a:pPr marL="0" lvl="0" indent="0" algn="l" defTabSz="400050">
            <a:lnSpc>
              <a:spcPct val="90000"/>
            </a:lnSpc>
            <a:spcBef>
              <a:spcPct val="0"/>
            </a:spcBef>
            <a:spcAft>
              <a:spcPct val="35000"/>
            </a:spcAft>
            <a:buFont typeface="Courier New" panose="02070309020205020404" pitchFamily="49" charset="0"/>
            <a:buNone/>
          </a:pPr>
          <a:r>
            <a:rPr lang="en-NZ" sz="900" kern="1200"/>
            <a:t>In the VASP context, this will generally form the basic information to be gathered and verified, prior to obtaining further enhanced CDD information.</a:t>
          </a:r>
        </a:p>
      </dsp:txBody>
      <dsp:txXfrm>
        <a:off x="2614851" y="467812"/>
        <a:ext cx="1383943" cy="1968709"/>
      </dsp:txXfrm>
    </dsp:sp>
    <dsp:sp modelId="{057B7D9C-21A4-420C-A380-D26D40F4BF5F}">
      <dsp:nvSpPr>
        <dsp:cNvPr id="0" name=""/>
        <dsp:cNvSpPr/>
      </dsp:nvSpPr>
      <dsp:spPr>
        <a:xfrm>
          <a:off x="2614851" y="0"/>
          <a:ext cx="1383943" cy="4678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640" tIns="40640" rIns="40640" bIns="40640" numCol="1" spcCol="1270" anchor="b" anchorCtr="0">
          <a:noAutofit/>
        </a:bodyPr>
        <a:lstStyle/>
        <a:p>
          <a:pPr marL="0" lvl="0" indent="0" algn="l" defTabSz="711200">
            <a:lnSpc>
              <a:spcPct val="90000"/>
            </a:lnSpc>
            <a:spcBef>
              <a:spcPct val="0"/>
            </a:spcBef>
            <a:spcAft>
              <a:spcPct val="35000"/>
            </a:spcAft>
            <a:buFont typeface="Calibri" panose="020F0502020204030204" pitchFamily="34" charset="0"/>
            <a:buNone/>
          </a:pPr>
          <a:r>
            <a:rPr lang="en-NZ" sz="1600" b="1" kern="1200"/>
            <a:t>Standard CDD</a:t>
          </a:r>
        </a:p>
      </dsp:txBody>
      <dsp:txXfrm>
        <a:off x="2614851" y="0"/>
        <a:ext cx="1383943" cy="467812"/>
      </dsp:txXfrm>
    </dsp:sp>
    <dsp:sp modelId="{65384DDE-ECA4-4552-A859-A93B61F191BF}">
      <dsp:nvSpPr>
        <dsp:cNvPr id="0" name=""/>
        <dsp:cNvSpPr/>
      </dsp:nvSpPr>
      <dsp:spPr>
        <a:xfrm>
          <a:off x="4096256" y="0"/>
          <a:ext cx="467812" cy="467812"/>
        </a:xfrm>
        <a:prstGeom prst="ellipse">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93FCE4C-1922-4507-82AF-CCD34479F531}">
      <dsp:nvSpPr>
        <dsp:cNvPr id="0" name=""/>
        <dsp:cNvSpPr/>
      </dsp:nvSpPr>
      <dsp:spPr>
        <a:xfrm>
          <a:off x="4143037" y="46781"/>
          <a:ext cx="374249" cy="374249"/>
        </a:xfrm>
        <a:prstGeom prst="chord">
          <a:avLst>
            <a:gd name="adj1" fmla="val 16200000"/>
            <a:gd name="adj2" fmla="val 162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017ED8-43DF-434D-8EA0-105432FD7490}">
      <dsp:nvSpPr>
        <dsp:cNvPr id="0" name=""/>
        <dsp:cNvSpPr/>
      </dsp:nvSpPr>
      <dsp:spPr>
        <a:xfrm>
          <a:off x="4661529" y="467812"/>
          <a:ext cx="1383943" cy="19687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400050">
            <a:lnSpc>
              <a:spcPct val="90000"/>
            </a:lnSpc>
            <a:spcBef>
              <a:spcPct val="0"/>
            </a:spcBef>
            <a:spcAft>
              <a:spcPct val="35000"/>
            </a:spcAft>
            <a:buFont typeface="Courier New" panose="02070309020205020404" pitchFamily="49" charset="0"/>
            <a:buNone/>
          </a:pPr>
          <a:r>
            <a:rPr lang="en-NZ" sz="900" kern="1200"/>
            <a:t>A more comprehensive form of CDD, for use when there are factors creating a higher level of ML/TF risk or as otherwise specified in the AML/CFT Act. </a:t>
          </a:r>
        </a:p>
        <a:p>
          <a:pPr marL="0" lvl="0" indent="0" algn="l" defTabSz="400050">
            <a:lnSpc>
              <a:spcPct val="90000"/>
            </a:lnSpc>
            <a:spcBef>
              <a:spcPct val="0"/>
            </a:spcBef>
            <a:spcAft>
              <a:spcPct val="35000"/>
            </a:spcAft>
            <a:buFont typeface="Courier New" panose="02070309020205020404" pitchFamily="49" charset="0"/>
            <a:buNone/>
          </a:pPr>
          <a:endParaRPr lang="en-NZ" sz="900" kern="1200"/>
        </a:p>
        <a:p>
          <a:pPr marL="0" lvl="0" indent="0" algn="l" defTabSz="400050">
            <a:lnSpc>
              <a:spcPct val="90000"/>
            </a:lnSpc>
            <a:spcBef>
              <a:spcPct val="0"/>
            </a:spcBef>
            <a:spcAft>
              <a:spcPct val="35000"/>
            </a:spcAft>
            <a:buFont typeface="Courier New" panose="02070309020205020404" pitchFamily="49" charset="0"/>
            <a:buNone/>
          </a:pPr>
          <a:r>
            <a:rPr lang="en-NZ" sz="900" kern="1200"/>
            <a:t>There are several forms of enhanced CDD, detailed in sections 22-30 of the Act. </a:t>
          </a:r>
        </a:p>
        <a:p>
          <a:pPr marL="0" lvl="0" indent="0" algn="l" defTabSz="400050">
            <a:lnSpc>
              <a:spcPct val="90000"/>
            </a:lnSpc>
            <a:spcBef>
              <a:spcPct val="0"/>
            </a:spcBef>
            <a:spcAft>
              <a:spcPct val="35000"/>
            </a:spcAft>
            <a:buFont typeface="Courier New" panose="02070309020205020404" pitchFamily="49" charset="0"/>
            <a:buNone/>
          </a:pPr>
          <a:endParaRPr lang="en-NZ" sz="900" kern="1200"/>
        </a:p>
        <a:p>
          <a:pPr marL="0" lvl="0" indent="0" algn="l" defTabSz="400050">
            <a:lnSpc>
              <a:spcPct val="90000"/>
            </a:lnSpc>
            <a:spcBef>
              <a:spcPct val="0"/>
            </a:spcBef>
            <a:spcAft>
              <a:spcPct val="35000"/>
            </a:spcAft>
            <a:buFont typeface="Courier New" panose="02070309020205020404" pitchFamily="49" charset="0"/>
            <a:buNone/>
          </a:pPr>
          <a:r>
            <a:rPr lang="en-NZ" sz="900" kern="1200"/>
            <a:t>Sections 27-28 (wire transfers) and 30 (new technologies favouring anonymity) are particularly relevant for VASPs</a:t>
          </a:r>
          <a:r>
            <a:rPr lang="en-NZ" sz="800" kern="1200"/>
            <a:t>.</a:t>
          </a:r>
        </a:p>
      </dsp:txBody>
      <dsp:txXfrm>
        <a:off x="4661529" y="467812"/>
        <a:ext cx="1383943" cy="1968709"/>
      </dsp:txXfrm>
    </dsp:sp>
    <dsp:sp modelId="{CABB06D3-89A2-4C79-936B-B2495796F638}">
      <dsp:nvSpPr>
        <dsp:cNvPr id="0" name=""/>
        <dsp:cNvSpPr/>
      </dsp:nvSpPr>
      <dsp:spPr>
        <a:xfrm>
          <a:off x="4661529" y="0"/>
          <a:ext cx="1383943" cy="4678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640" tIns="40640" rIns="40640" bIns="40640" numCol="1" spcCol="1270" anchor="b" anchorCtr="0">
          <a:noAutofit/>
        </a:bodyPr>
        <a:lstStyle/>
        <a:p>
          <a:pPr marL="0" lvl="0" indent="0" algn="l" defTabSz="711200">
            <a:lnSpc>
              <a:spcPct val="90000"/>
            </a:lnSpc>
            <a:spcBef>
              <a:spcPct val="0"/>
            </a:spcBef>
            <a:spcAft>
              <a:spcPct val="35000"/>
            </a:spcAft>
            <a:buFont typeface="Calibri" panose="020F0502020204030204" pitchFamily="34" charset="0"/>
            <a:buNone/>
          </a:pPr>
          <a:r>
            <a:rPr lang="en-NZ" sz="1600" b="1" kern="1200"/>
            <a:t>Enhanced CDD</a:t>
          </a:r>
        </a:p>
      </dsp:txBody>
      <dsp:txXfrm>
        <a:off x="4661529" y="0"/>
        <a:ext cx="1383943" cy="46781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IncreasingCircleProcess">
  <dgm:title val=""/>
  <dgm:desc val=""/>
  <dgm:catLst>
    <dgm:cat type="list" pri="8300"/>
    <dgm:cat type="process" pri="43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param type="horzAlign" val="ctr"/>
          <dgm:param type="vertAlign" val="t"/>
        </dgm:alg>
      </dgm:if>
      <dgm:else name="Name3">
        <dgm:alg type="lin">
          <dgm:param type="linDir" val="fromR"/>
          <dgm:param type="horzAlign" val="ctr"/>
          <dgm:param type="vertAlign" val="t"/>
        </dgm:alg>
      </dgm:else>
    </dgm:choose>
    <dgm:shape xmlns:r="http://schemas.openxmlformats.org/officeDocument/2006/relationships" r:blip="">
      <dgm:adjLst/>
    </dgm:shape>
    <dgm:constrLst>
      <dgm:constr type="primFontSz" for="des" forName="Child" val="65"/>
      <dgm:constr type="primFontSz" for="des" forName="Parent" val="65"/>
      <dgm:constr type="primFontSz" for="des" forName="Child" refType="primFontSz" refFor="des" refForName="Parent" op="lte"/>
      <dgm:constr type="w" for="ch" forName="composite" refType="w"/>
      <dgm:constr type="h" for="ch" forName="composite" refType="h"/>
      <dgm:constr type="sp" refType="w" refFor="ch" refForName="composite" op="equ" fact="0.05"/>
      <dgm:constr type="w" for="ch" forName="sibTrans" refType="h" refFor="ch" refForName="composite" op="equ" fact="0.04"/>
    </dgm:constrLst>
    <dgm:forEach name="nodesForEach" axis="ch" ptType="node" cnt="7">
      <dgm:layoutNode name="composite">
        <dgm:alg type="composite">
          <dgm:param type="ar" val="0.8"/>
        </dgm:alg>
        <dgm:choose name="Name4">
          <dgm:if name="Name5" func="var" arg="dir" op="equ" val="norm">
            <dgm:constrLst>
              <dgm:constr type="l" for="ch" forName="Child" refType="w" fact="0.29"/>
              <dgm:constr type="t" for="ch" forName="Child" refType="h" fact="0.192"/>
              <dgm:constr type="w" for="ch" forName="Child" refType="w" fact="0.71"/>
              <dgm:constr type="h" for="ch" forName="Child" refType="h" fact="0.808"/>
              <dgm:constr type="l" for="ch" forName="Parent" refType="w" fact="0.29"/>
              <dgm:constr type="t" for="ch" forName="Parent" refType="h" fact="0"/>
              <dgm:constr type="w" for="ch" forName="Parent" refType="w" fact="0.71"/>
              <dgm:constr type="h" for="ch" forName="Parent" refType="h" fact="0.192"/>
              <dgm:constr type="l" for="ch" forName="BackAccent" refType="w" fact="0"/>
              <dgm:constr type="t" for="ch" forName="BackAccent" refType="h" fact="0"/>
              <dgm:constr type="w" for="ch" forName="BackAccent" refType="w" fact="0.24"/>
              <dgm:constr type="h" for="ch" forName="BackAccent" refType="h" fact="0.192"/>
              <dgm:constr type="l" for="ch" forName="Accent" refType="w" fact="0.024"/>
              <dgm:constr type="t" for="ch" forName="Accent" refType="h" fact="0.0192"/>
              <dgm:constr type="w" for="ch" forName="Accent" refType="w" fact="0.192"/>
              <dgm:constr type="h" for="ch" forName="Accent" refType="h" fact="0.1536"/>
            </dgm:constrLst>
          </dgm:if>
          <dgm:else name="Name6">
            <dgm:constrLst>
              <dgm:constr type="r" for="ch" forName="Child" refType="w" fact="0.71"/>
              <dgm:constr type="t" for="ch" forName="Child" refType="h" fact="0.192"/>
              <dgm:constr type="w" for="ch" forName="Child" refType="w" fact="0.71"/>
              <dgm:constr type="h" for="ch" forName="Child" refType="h" fact="0.808"/>
              <dgm:constr type="r" for="ch" forName="Parent" refType="w" fact="0.71"/>
              <dgm:constr type="t" for="ch" forName="Parent" refType="h" fact="0"/>
              <dgm:constr type="w" for="ch" forName="Parent" refType="w" fact="0.71"/>
              <dgm:constr type="h" for="ch" forName="Parent" refType="h" fact="0.192"/>
              <dgm:constr type="r" for="ch" forName="BackAccent" refType="w"/>
              <dgm:constr type="t" for="ch" forName="BackAccent" refType="h" fact="0"/>
              <dgm:constr type="w" for="ch" forName="BackAccent" refType="w" fact="0.24"/>
              <dgm:constr type="h" for="ch" forName="BackAccent" refType="h" fact="0.192"/>
              <dgm:constr type="r" for="ch" forName="Accent" refType="w" fact="0.976"/>
              <dgm:constr type="t" for="ch" forName="Accent" refType="h" fact="0.0192"/>
              <dgm:constr type="w" for="ch" forName="Accent" refType="w" fact="0.192"/>
              <dgm:constr type="h" for="ch" forName="Accent" refType="h" fact="0.1536"/>
            </dgm:constrLst>
          </dgm:else>
        </dgm:choose>
        <dgm:layoutNode name="BackAccent" styleLbl="bgShp">
          <dgm:alg type="sp"/>
          <dgm:shape xmlns:r="http://schemas.openxmlformats.org/officeDocument/2006/relationships" type="ellipse" r:blip="">
            <dgm:adjLst/>
          </dgm:shape>
          <dgm:presOf/>
        </dgm:layoutNode>
        <dgm:layoutNode name="Accent" styleLbl="alignNode1">
          <dgm:alg type="sp"/>
          <dgm:choose name="Name7">
            <dgm:if name="Name8" axis="precedSib" ptType="node" func="cnt" op="equ" val="0">
              <dgm:choose name="Name9">
                <dgm:if name="Name10" axis="followSib" ptType="node" func="cnt" op="equ" val="0">
                  <dgm:shape xmlns:r="http://schemas.openxmlformats.org/officeDocument/2006/relationships" type="chord" r:blip="">
                    <dgm:adjLst>
                      <dgm:adj idx="1" val="-90"/>
                      <dgm:adj idx="2" val="-90"/>
                    </dgm:adjLst>
                  </dgm:shape>
                </dgm:if>
                <dgm:if name="Name11" axis="followSib" ptType="node" func="cnt" op="equ" val="1">
                  <dgm:shape xmlns:r="http://schemas.openxmlformats.org/officeDocument/2006/relationships" type="chord" r:blip="">
                    <dgm:adjLst>
                      <dgm:adj idx="1" val="0"/>
                      <dgm:adj idx="2" val="180"/>
                    </dgm:adjLst>
                  </dgm:shape>
                </dgm:if>
                <dgm:if name="Name12" axis="followSib" ptType="node" func="cnt" op="equ" val="2">
                  <dgm:shape xmlns:r="http://schemas.openxmlformats.org/officeDocument/2006/relationships" type="chord" r:blip="">
                    <dgm:adjLst>
                      <dgm:adj idx="1" val="19.4712"/>
                      <dgm:adj idx="2" val="160.5288"/>
                    </dgm:adjLst>
                  </dgm:shape>
                </dgm:if>
                <dgm:if name="Name13" axis="followSib" ptType="node" func="cnt" op="equ" val="3">
                  <dgm:shape xmlns:r="http://schemas.openxmlformats.org/officeDocument/2006/relationships" type="chord" r:blip="">
                    <dgm:adjLst>
                      <dgm:adj idx="1" val="30"/>
                      <dgm:adj idx="2" val="150"/>
                    </dgm:adjLst>
                  </dgm:shape>
                </dgm:if>
                <dgm:if name="Name14" axis="followSib" ptType="node" func="cnt" op="equ" val="4">
                  <dgm:shape xmlns:r="http://schemas.openxmlformats.org/officeDocument/2006/relationships" type="chord" r:blip="">
                    <dgm:adjLst>
                      <dgm:adj idx="1" val="38.8699"/>
                      <dgm:adj idx="2" val="143.1301"/>
                    </dgm:adjLst>
                  </dgm:shape>
                </dgm:if>
                <dgm:if name="Name15" axis="followSib" ptType="node" func="cnt" op="equ" val="5">
                  <dgm:shape xmlns:r="http://schemas.openxmlformats.org/officeDocument/2006/relationships" type="chord" r:blip="">
                    <dgm:adjLst>
                      <dgm:adj idx="1" val="41.8103"/>
                      <dgm:adj idx="2" val="138.1897"/>
                    </dgm:adjLst>
                  </dgm:shape>
                </dgm:if>
                <dgm:else name="Name16">
                  <dgm:shape xmlns:r="http://schemas.openxmlformats.org/officeDocument/2006/relationships" type="chord" r:blip="">
                    <dgm:adjLst>
                      <dgm:adj idx="1" val="45.5847"/>
                      <dgm:adj idx="2" val="134.4153"/>
                    </dgm:adjLst>
                  </dgm:shape>
                </dgm:else>
              </dgm:choose>
            </dgm:if>
            <dgm:if name="Name17" axis="precedSib" ptType="node" func="cnt" op="equ" val="1">
              <dgm:choose name="Name18">
                <dgm:if name="Name19" axis="followSib" ptType="node" func="cnt" op="equ" val="0">
                  <dgm:shape xmlns:r="http://schemas.openxmlformats.org/officeDocument/2006/relationships" type="chord" r:blip="">
                    <dgm:adjLst>
                      <dgm:adj idx="1" val="-90"/>
                      <dgm:adj idx="2" val="-90"/>
                    </dgm:adjLst>
                  </dgm:shape>
                </dgm:if>
                <dgm:if name="Name20" axis="followSib" ptType="node" func="cnt" op="equ" val="1">
                  <dgm:shape xmlns:r="http://schemas.openxmlformats.org/officeDocument/2006/relationships" type="chord" r:blip="">
                    <dgm:adjLst>
                      <dgm:adj idx="1" val="-19.4712"/>
                      <dgm:adj idx="2" val="-160.5288"/>
                    </dgm:adjLst>
                  </dgm:shape>
                </dgm:if>
                <dgm:if name="Name21" axis="followSib" ptType="node" func="cnt" op="equ" val="2">
                  <dgm:shape xmlns:r="http://schemas.openxmlformats.org/officeDocument/2006/relationships" type="chord" r:blip="">
                    <dgm:adjLst>
                      <dgm:adj idx="1" val="0"/>
                      <dgm:adj idx="2" val="180"/>
                    </dgm:adjLst>
                  </dgm:shape>
                </dgm:if>
                <dgm:if name="Name22" axis="followSib" ptType="node" func="cnt" op="equ" val="3">
                  <dgm:shape xmlns:r="http://schemas.openxmlformats.org/officeDocument/2006/relationships" type="chord" r:blip="">
                    <dgm:adjLst>
                      <dgm:adj idx="1" val="11.537"/>
                      <dgm:adj idx="2" val="168.463"/>
                    </dgm:adjLst>
                  </dgm:shape>
                </dgm:if>
                <dgm:if name="Name23" axis="followSib" ptType="node" func="cnt" op="equ" val="4">
                  <dgm:shape xmlns:r="http://schemas.openxmlformats.org/officeDocument/2006/relationships" type="chord" r:blip="">
                    <dgm:adjLst>
                      <dgm:adj idx="1" val="19.4712"/>
                      <dgm:adj idx="2" val="160.5288"/>
                    </dgm:adjLst>
                  </dgm:shape>
                </dgm:if>
                <dgm:else name="Name24">
                  <dgm:shape xmlns:r="http://schemas.openxmlformats.org/officeDocument/2006/relationships" type="chord" r:blip="">
                    <dgm:adjLst>
                      <dgm:adj idx="1" val="25.3769"/>
                      <dgm:adj idx="2" val="154.6231"/>
                    </dgm:adjLst>
                  </dgm:shape>
                </dgm:else>
              </dgm:choose>
            </dgm:if>
            <dgm:if name="Name25" axis="precedSib" ptType="node" func="cnt" op="equ" val="2">
              <dgm:choose name="Name26">
                <dgm:if name="Name27" axis="followSib" ptType="node" func="cnt" op="equ" val="0">
                  <dgm:shape xmlns:r="http://schemas.openxmlformats.org/officeDocument/2006/relationships" type="chord" r:blip="">
                    <dgm:adjLst>
                      <dgm:adj idx="1" val="-90"/>
                      <dgm:adj idx="2" val="-90"/>
                    </dgm:adjLst>
                  </dgm:shape>
                </dgm:if>
                <dgm:if name="Name28" axis="followSib" ptType="node" func="cnt" op="equ" val="1">
                  <dgm:shape xmlns:r="http://schemas.openxmlformats.org/officeDocument/2006/relationships" type="chord" r:blip="">
                    <dgm:adjLst>
                      <dgm:adj idx="1" val="-30"/>
                      <dgm:adj idx="2" val="-150"/>
                    </dgm:adjLst>
                  </dgm:shape>
                </dgm:if>
                <dgm:if name="Name29" axis="followSib" ptType="node" func="cnt" op="equ" val="2">
                  <dgm:shape xmlns:r="http://schemas.openxmlformats.org/officeDocument/2006/relationships" type="chord" r:blip="">
                    <dgm:adjLst>
                      <dgm:adj idx="1" val="-11.537"/>
                      <dgm:adj idx="2" val="-168.463"/>
                    </dgm:adjLst>
                  </dgm:shape>
                </dgm:if>
                <dgm:if name="Name30" axis="followSib" ptType="node" func="cnt" op="equ" val="3">
                  <dgm:shape xmlns:r="http://schemas.openxmlformats.org/officeDocument/2006/relationships" type="chord" r:blip="">
                    <dgm:adjLst>
                      <dgm:adj idx="1" val="0"/>
                      <dgm:adj idx="2" val="180"/>
                    </dgm:adjLst>
                  </dgm:shape>
                </dgm:if>
                <dgm:else name="Name31">
                  <dgm:shape xmlns:r="http://schemas.openxmlformats.org/officeDocument/2006/relationships" type="chord" r:blip="">
                    <dgm:adjLst>
                      <dgm:adj idx="1" val="8.2133"/>
                      <dgm:adj idx="2" val="171.7867"/>
                    </dgm:adjLst>
                  </dgm:shape>
                </dgm:else>
              </dgm:choose>
            </dgm:if>
            <dgm:if name="Name32" axis="precedSib" ptType="node" func="cnt" op="equ" val="3">
              <dgm:choose name="Name33">
                <dgm:if name="Name34" axis="followSib" ptType="node" func="cnt" op="equ" val="0">
                  <dgm:shape xmlns:r="http://schemas.openxmlformats.org/officeDocument/2006/relationships" type="chord" r:blip="">
                    <dgm:adjLst>
                      <dgm:adj idx="1" val="-90"/>
                      <dgm:adj idx="2" val="-90"/>
                    </dgm:adjLst>
                  </dgm:shape>
                </dgm:if>
                <dgm:if name="Name35" axis="followSib" ptType="node" func="cnt" op="equ" val="1">
                  <dgm:shape xmlns:r="http://schemas.openxmlformats.org/officeDocument/2006/relationships" type="chord" r:blip="">
                    <dgm:adjLst>
                      <dgm:adj idx="1" val="-38.8699"/>
                      <dgm:adj idx="2" val="-143.1301"/>
                    </dgm:adjLst>
                  </dgm:shape>
                </dgm:if>
                <dgm:if name="Name36" axis="followSib" ptType="node" func="cnt" op="equ" val="2">
                  <dgm:shape xmlns:r="http://schemas.openxmlformats.org/officeDocument/2006/relationships" type="chord" r:blip="">
                    <dgm:adjLst>
                      <dgm:adj idx="1" val="-19.4712"/>
                      <dgm:adj idx="2" val="-160.5288"/>
                    </dgm:adjLst>
                  </dgm:shape>
                </dgm:if>
                <dgm:else name="Name37">
                  <dgm:shape xmlns:r="http://schemas.openxmlformats.org/officeDocument/2006/relationships" type="chord" r:blip="">
                    <dgm:adjLst>
                      <dgm:adj idx="1" val="-8.2133"/>
                      <dgm:adj idx="2" val="-171.7867"/>
                    </dgm:adjLst>
                  </dgm:shape>
                </dgm:else>
              </dgm:choose>
            </dgm:if>
            <dgm:if name="Name38" axis="precedSib" ptType="node" func="cnt" op="equ" val="4">
              <dgm:choose name="Name39">
                <dgm:if name="Name40" axis="followSib" ptType="node" func="cnt" op="equ" val="0">
                  <dgm:shape xmlns:r="http://schemas.openxmlformats.org/officeDocument/2006/relationships" type="chord" r:blip="">
                    <dgm:adjLst>
                      <dgm:adj idx="1" val="-90"/>
                      <dgm:adj idx="2" val="-90"/>
                    </dgm:adjLst>
                  </dgm:shape>
                </dgm:if>
                <dgm:if name="Name41" axis="followSib" ptType="node" func="cnt" op="equ" val="1">
                  <dgm:shape xmlns:r="http://schemas.openxmlformats.org/officeDocument/2006/relationships" type="chord" r:blip="">
                    <dgm:adjLst>
                      <dgm:adj idx="1" val="-41.8103"/>
                      <dgm:adj idx="2" val="-138.1897"/>
                    </dgm:adjLst>
                  </dgm:shape>
                </dgm:if>
                <dgm:else name="Name42">
                  <dgm:shape xmlns:r="http://schemas.openxmlformats.org/officeDocument/2006/relationships" type="chord" r:blip="">
                    <dgm:adjLst>
                      <dgm:adj idx="1" val="-25.3769"/>
                      <dgm:adj idx="2" val="-154.6231"/>
                    </dgm:adjLst>
                  </dgm:shape>
                </dgm:else>
              </dgm:choose>
            </dgm:if>
            <dgm:if name="Name43" axis="precedSib" ptType="node" func="cnt" op="equ" val="5">
              <dgm:choose name="Name44">
                <dgm:if name="Name45" axis="followSib" ptType="node" func="cnt" op="equ" val="0">
                  <dgm:shape xmlns:r="http://schemas.openxmlformats.org/officeDocument/2006/relationships" type="chord" r:blip="">
                    <dgm:adjLst>
                      <dgm:adj idx="1" val="-90"/>
                      <dgm:adj idx="2" val="-90"/>
                    </dgm:adjLst>
                  </dgm:shape>
                </dgm:if>
                <dgm:else name="Name46">
                  <dgm:shape xmlns:r="http://schemas.openxmlformats.org/officeDocument/2006/relationships" type="chord" r:blip="">
                    <dgm:adjLst>
                      <dgm:adj idx="1" val="-45.5847"/>
                      <dgm:adj idx="2" val="-134.4153"/>
                    </dgm:adjLst>
                  </dgm:shape>
                </dgm:else>
              </dgm:choose>
            </dgm:if>
            <dgm:else name="Name47">
              <dgm:shape xmlns:r="http://schemas.openxmlformats.org/officeDocument/2006/relationships" type="chord" r:blip="">
                <dgm:adjLst>
                  <dgm:adj idx="1" val="-90"/>
                  <dgm:adj idx="2" val="-90"/>
                </dgm:adjLst>
              </dgm:shape>
            </dgm:else>
          </dgm:choose>
          <dgm:presOf/>
        </dgm:layoutNode>
        <dgm:layoutNode name="Child" styleLbl="revTx">
          <dgm:varLst>
            <dgm:chMax val="0"/>
            <dgm:chPref val="0"/>
            <dgm:bulletEnabled val="1"/>
          </dgm:varLst>
          <dgm:choose name="Name48">
            <dgm:if name="Name49" func="var" arg="dir" op="equ" val="norm">
              <dgm:alg type="tx">
                <dgm:param type="parTxLTRAlign" val="l"/>
                <dgm:param type="parTxRTLAlign" val="l"/>
                <dgm:param type="txAnchorVert" val="t"/>
              </dgm:alg>
            </dgm:if>
            <dgm:else name="Name50">
              <dgm:alg type="tx">
                <dgm:param type="parTxLTRAlign" val="r"/>
                <dgm:param type="parTxRTLAlign" val="r"/>
                <dgm:param type="txAnchorVert" val="t"/>
              </dgm:alg>
            </dgm:else>
          </dgm:choose>
          <dgm:choose name="Name51">
            <dgm:if name="Name52" axis="ch" ptType="node" func="cnt" op="gte" val="1">
              <dgm:shape xmlns:r="http://schemas.openxmlformats.org/officeDocument/2006/relationships" type="rect" r:blip="">
                <dgm:adjLst/>
              </dgm:shape>
            </dgm:if>
            <dgm:else name="Name53">
              <dgm:shape xmlns:r="http://schemas.openxmlformats.org/officeDocument/2006/relationships" type="rect" r:blip="" hideGeom="1">
                <dgm:adjLst/>
              </dgm:shape>
            </dgm:else>
          </dgm:choose>
          <dgm:choose name="Name54">
            <dgm:if name="Name55" axis="ch" ptType="node" func="cnt" op="gte" val="1">
              <dgm:presOf axis="des" ptType="node"/>
            </dgm:if>
            <dgm:else name="Name56">
              <dgm:presOf/>
            </dgm:else>
          </dgm:choos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revTx">
          <dgm:varLst>
            <dgm:chMax val="1"/>
            <dgm:chPref val="1"/>
            <dgm:bulletEnabled val="1"/>
          </dgm:varLst>
          <dgm:choose name="Name57">
            <dgm:if name="Name58" func="var" arg="dir" op="equ" val="norm">
              <dgm:alg type="tx">
                <dgm:param type="parTxLTRAlign" val="l"/>
                <dgm:param type="parTxRTLAlign" val="l"/>
                <dgm:param type="shpTxLTRAlignCh" val="l"/>
                <dgm:param type="shpTxRTLAlignCh" val="l"/>
                <dgm:param type="txAnchorVert" val="b"/>
                <dgm:param type="txAnchorVertCh" val="b"/>
              </dgm:alg>
            </dgm:if>
            <dgm:else name="Name59">
              <dgm:alg type="tx">
                <dgm:param type="parTxLTRAlign" val="r"/>
                <dgm:param type="parTxRTLAlign" val="r"/>
                <dgm:param type="shpTxLTRAlignCh" val="r"/>
                <dgm:param type="shpTxRTLAlignCh" val="r"/>
                <dgm:param type="txAnchorVert" val="b"/>
                <dgm:param type="txAnchorVertCh" val="b"/>
              </dgm:alg>
            </dgm:else>
          </dgm:choose>
          <dgm:shape xmlns:r="http://schemas.openxmlformats.org/officeDocument/2006/relationships" type="rect" r:blip="">
            <dgm:adjLst/>
          </dgm:shape>
          <dgm:presOf axis="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mail" ma:contentTypeID="0x0101005496552013C0BA46BE88192D5C6EB20B00FF2B33BEDAA14536B6DED112CEEC31EE00068B86591B90234E9AC5C402DAB7D97F" ma:contentTypeVersion="9" ma:contentTypeDescription="Email" ma:contentTypeScope="" ma:versionID="a31b6642413c6f7b128bdf210f117687">
  <xsd:schema xmlns:xsd="http://www.w3.org/2001/XMLSchema" xmlns:xs="http://www.w3.org/2001/XMLSchema" xmlns:p="http://schemas.microsoft.com/office/2006/metadata/properties" xmlns:ns1="http://schemas.microsoft.com/sharepoint/v3" xmlns:ns2="1767645f-022c-4aa8-90b7-087ecc92ac47" xmlns:ns3="01be4277-2979-4a68-876d-b92b25fceece" xmlns:ns4="a1a5d51a-e145-4c0c-968b-415154a433b6" xmlns:ns5="http://schemas.microsoft.com/sharepoint/v3/fields" targetNamespace="http://schemas.microsoft.com/office/2006/metadata/properties" ma:root="true" ma:fieldsID="1c5fcdc3c79756e951e5d984da5d65d6" ns1:_="" ns2:_="" ns3:_="" ns4:_="" ns5:_="">
    <xsd:import namespace="http://schemas.microsoft.com/sharepoint/v3"/>
    <xsd:import namespace="1767645f-022c-4aa8-90b7-087ecc92ac47"/>
    <xsd:import namespace="01be4277-2979-4a68-876d-b92b25fceece"/>
    <xsd:import namespace="a1a5d51a-e145-4c0c-968b-415154a433b6"/>
    <xsd:import namespace="http://schemas.microsoft.com/sharepoint/v3/fields"/>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2:EmSubject" minOccurs="0"/>
                <xsd:element ref="ns2:EmCategory" minOccurs="0"/>
                <xsd:element ref="ns2:EmTo" minOccurs="0"/>
                <xsd:element ref="ns2:EmCC" minOccurs="0"/>
                <xsd:element ref="ns2:EmBCC" minOccurs="0"/>
                <xsd:element ref="ns2:EmDateSent" minOccurs="0"/>
                <xsd:element ref="ns2:EmDateReceived" minOccurs="0"/>
                <xsd:element ref="ns2:EmFrom" minOccurs="0"/>
                <xsd:element ref="ns2:EmFromName" minOccurs="0"/>
                <xsd:element ref="ns2:EmConversationID" minOccurs="0"/>
                <xsd:element ref="ns2:EmAttachCount" minOccurs="0"/>
                <xsd:element ref="ns2:EmDate" minOccurs="0"/>
                <xsd:element ref="ns2:EmConversationIndex" minOccurs="0"/>
                <xsd:element ref="ns2:EmType" minOccurs="0"/>
                <xsd:element ref="ns2:EmID" minOccurs="0"/>
                <xsd:element ref="ns2:EmCon" minOccurs="0"/>
                <xsd:element ref="ns5:EmAttachmentNames" minOccurs="0"/>
                <xsd:element ref="ns2:EmBody" minOccurs="0"/>
                <xsd:element ref="ns2:EmSentOnBehalfOfName" minOccurs="0"/>
                <xsd:element ref="ns2:EmReceivedByName" minOccurs="0"/>
                <xsd:element ref="ns2:EmReceivedOnBehalfOfName" minOccurs="0"/>
                <xsd:element ref="ns2:EmCompanies" minOccurs="0"/>
                <xsd:element ref="ns2:EmReplyRecipientNames" minOccurs="0"/>
                <xsd:element ref="ns2:EmReplyRecipients" minOccurs="0"/>
                <xsd:element ref="ns2:EmSensitivity" minOccurs="0"/>
                <xsd:element ref="ns2:EmImportance" minOccurs="0"/>
                <xsd:element ref="ns4:g5cb09987d4c4fd4af5e2ea766b0b534" minOccurs="0"/>
                <xsd:element ref="ns4:me27afb448da4f21af2cbbe63bc0a74b" minOccurs="0"/>
                <xsd:element ref="ns4:DIAProjectValue" minOccurs="0"/>
                <xsd:element ref="ns3:C3ProjectName" minOccurs="0"/>
                <xsd:element ref="ns5:_EndDate" minOccurs="0"/>
                <xsd:element ref="ns1:StartDate" minOccurs="0"/>
                <xsd:element ref="ns4:DIANotes" minOccurs="0"/>
                <xsd:element ref="ns4:EmToSMTPAddress" minOccurs="0"/>
                <xsd:element ref="ns4:_dlc_DocId" minOccurs="0"/>
                <xsd:element ref="ns4:_dlc_DocIdUrl" minOccurs="0"/>
                <xsd:element ref="ns4:_dlc_DocIdPersistId" minOccurs="0"/>
                <xsd:element ref="ns4:EmBCCSMTPAddress" minOccurs="0"/>
                <xsd:element ref="ns4:EmCCSMTPAddress" minOccurs="0"/>
                <xsd:element ref="ns4:EmFromSMTPAddress" minOccurs="0"/>
                <xsd:element ref="ns4:EmHasAttachments" minOccurs="0"/>
                <xsd:element ref="ns4:EmRetentionPolicy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47"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67645f-022c-4aa8-90b7-087ecc92ac47" elementFormDefault="qualified">
    <xsd:import namespace="http://schemas.microsoft.com/office/2006/documentManagement/types"/>
    <xsd:import namespace="http://schemas.microsoft.com/office/infopath/2007/PartnerControls"/>
    <xsd:element name="EmSubject" ma:index="14" nillable="true" ma:displayName="Email Subject Field" ma:internalName="EmSubject" ma:readOnly="false">
      <xsd:simpleType>
        <xsd:restriction base="dms:Text">
          <xsd:maxLength value="255"/>
        </xsd:restriction>
      </xsd:simpleType>
    </xsd:element>
    <xsd:element name="EmCategory" ma:index="15" nillable="true" ma:displayName="Email Category" ma:internalName="EmCategory" ma:readOnly="false">
      <xsd:simpleType>
        <xsd:restriction base="dms:Text">
          <xsd:maxLength value="255"/>
        </xsd:restriction>
      </xsd:simpleType>
    </xsd:element>
    <xsd:element name="EmTo" ma:index="16" nillable="true" ma:displayName="Email To" ma:internalName="EmTo" ma:readOnly="false">
      <xsd:simpleType>
        <xsd:restriction base="dms:Note">
          <xsd:maxLength value="255"/>
        </xsd:restriction>
      </xsd:simpleType>
    </xsd:element>
    <xsd:element name="EmCC" ma:index="17" nillable="true" ma:displayName="Email CC" ma:internalName="EmCC" ma:readOnly="false">
      <xsd:simpleType>
        <xsd:restriction base="dms:Note">
          <xsd:maxLength value="255"/>
        </xsd:restriction>
      </xsd:simpleType>
    </xsd:element>
    <xsd:element name="EmBCC" ma:index="18" nillable="true" ma:displayName="Email BCC" ma:internalName="EmBCC" ma:readOnly="false">
      <xsd:simpleType>
        <xsd:restriction base="dms:Note">
          <xsd:maxLength value="255"/>
        </xsd:restriction>
      </xsd:simpleType>
    </xsd:element>
    <xsd:element name="EmDateSent" ma:index="19" nillable="true" ma:displayName="Email Date Sent" ma:internalName="EmDateSent" ma:readOnly="false">
      <xsd:simpleType>
        <xsd:restriction base="dms:DateTime"/>
      </xsd:simpleType>
    </xsd:element>
    <xsd:element name="EmDateReceived" ma:index="20" nillable="true" ma:displayName="Email Date Received" ma:internalName="EmDateReceived" ma:readOnly="false">
      <xsd:simpleType>
        <xsd:restriction base="dms:DateTime"/>
      </xsd:simpleType>
    </xsd:element>
    <xsd:element name="EmFrom" ma:index="21" nillable="true" ma:displayName="Email From" ma:internalName="EmFrom" ma:readOnly="false">
      <xsd:simpleType>
        <xsd:restriction base="dms:Text">
          <xsd:maxLength value="255"/>
        </xsd:restriction>
      </xsd:simpleType>
    </xsd:element>
    <xsd:element name="EmFromName" ma:index="22" nillable="true" ma:displayName="Email From Name" ma:internalName="EmFromName" ma:readOnly="false">
      <xsd:simpleType>
        <xsd:restriction base="dms:Text">
          <xsd:maxLength value="255"/>
        </xsd:restriction>
      </xsd:simpleType>
    </xsd:element>
    <xsd:element name="EmConversationID" ma:index="23" nillable="true" ma:displayName="Email Conversation ID" ma:internalName="EmConversationID" ma:readOnly="false">
      <xsd:simpleType>
        <xsd:restriction base="dms:Note">
          <xsd:maxLength value="255"/>
        </xsd:restriction>
      </xsd:simpleType>
    </xsd:element>
    <xsd:element name="EmAttachCount" ma:index="24" nillable="true" ma:displayName="Email Attachment Count" ma:internalName="EmAttachCount" ma:readOnly="false">
      <xsd:simpleType>
        <xsd:restriction base="dms:Text">
          <xsd:maxLength value="255"/>
        </xsd:restriction>
      </xsd:simpleType>
    </xsd:element>
    <xsd:element name="EmDate" ma:index="25" nillable="true" ma:displayName="Email Date" ma:internalName="EmDate" ma:readOnly="false">
      <xsd:simpleType>
        <xsd:restriction base="dms:DateTime"/>
      </xsd:simpleType>
    </xsd:element>
    <xsd:element name="EmConversationIndex" ma:index="26" nillable="true" ma:displayName="Email Conversation Index" ma:internalName="EmConversationIndex" ma:readOnly="false">
      <xsd:simpleType>
        <xsd:restriction base="dms:Note">
          <xsd:maxLength value="255"/>
        </xsd:restriction>
      </xsd:simpleType>
    </xsd:element>
    <xsd:element name="EmType" ma:index="27" nillable="true" ma:displayName="Email Type" ma:internalName="EmType" ma:readOnly="false">
      <xsd:simpleType>
        <xsd:restriction base="dms:Text">
          <xsd:maxLength value="255"/>
        </xsd:restriction>
      </xsd:simpleType>
    </xsd:element>
    <xsd:element name="EmID" ma:index="28" nillable="true" ma:displayName="Email ID" ma:internalName="EmID" ma:readOnly="false">
      <xsd:simpleType>
        <xsd:restriction base="dms:Text">
          <xsd:maxLength value="255"/>
        </xsd:restriction>
      </xsd:simpleType>
    </xsd:element>
    <xsd:element name="EmCon" ma:index="29" nillable="true" ma:displayName="Email Con" ma:internalName="EmCon" ma:readOnly="false">
      <xsd:simpleType>
        <xsd:restriction base="dms:Text">
          <xsd:maxLength value="255"/>
        </xsd:restriction>
      </xsd:simpleType>
    </xsd:element>
    <xsd:element name="EmBody" ma:index="31" nillable="true" ma:displayName="Email Body" ma:internalName="EmBody" ma:readOnly="false">
      <xsd:simpleType>
        <xsd:restriction base="dms:Note"/>
      </xsd:simpleType>
    </xsd:element>
    <xsd:element name="EmSentOnBehalfOfName" ma:index="32" nillable="true" ma:displayName="Email Sent On Behalf Of Name" ma:internalName="EmSentOnBehalfOfName" ma:readOnly="false">
      <xsd:simpleType>
        <xsd:restriction base="dms:Text">
          <xsd:maxLength value="255"/>
        </xsd:restriction>
      </xsd:simpleType>
    </xsd:element>
    <xsd:element name="EmReceivedByName" ma:index="33" nillable="true" ma:displayName="Email Received By Name" ma:internalName="EmReceivedByName" ma:readOnly="false">
      <xsd:simpleType>
        <xsd:restriction base="dms:Text">
          <xsd:maxLength value="255"/>
        </xsd:restriction>
      </xsd:simpleType>
    </xsd:element>
    <xsd:element name="EmReceivedOnBehalfOfName" ma:index="34" nillable="true" ma:displayName="Email Received On Behalf Of Name" ma:internalName="EmReceivedOnBehalfOfName" ma:readOnly="false">
      <xsd:simpleType>
        <xsd:restriction base="dms:Text">
          <xsd:maxLength value="255"/>
        </xsd:restriction>
      </xsd:simpleType>
    </xsd:element>
    <xsd:element name="EmCompanies" ma:index="35" nillable="true" ma:displayName="Email Companies" ma:internalName="EmCompanies" ma:readOnly="false">
      <xsd:simpleType>
        <xsd:restriction base="dms:Text"/>
      </xsd:simpleType>
    </xsd:element>
    <xsd:element name="EmReplyRecipientNames" ma:index="36" nillable="true" ma:displayName="Email Reply Recipient Names" ma:internalName="EmReplyRecipientNames" ma:readOnly="false">
      <xsd:simpleType>
        <xsd:restriction base="dms:Note"/>
      </xsd:simpleType>
    </xsd:element>
    <xsd:element name="EmReplyRecipients" ma:index="37" nillable="true" ma:displayName="Email Reply Recipients" ma:internalName="EmReplyRecipients" ma:readOnly="false">
      <xsd:simpleType>
        <xsd:restriction base="dms:Text"/>
      </xsd:simpleType>
    </xsd:element>
    <xsd:element name="EmSensitivity" ma:index="38" nillable="true" ma:displayName="Email Sensitivity" ma:internalName="EmSensitivity" ma:readOnly="false">
      <xsd:simpleType>
        <xsd:restriction base="dms:Number">
          <xsd:maxLength value="255"/>
        </xsd:restriction>
      </xsd:simpleType>
    </xsd:element>
    <xsd:element name="EmImportance" ma:index="39" nillable="true" ma:displayName="Email Importance" ma:internalName="EmImportance" ma:readOnly="false">
      <xsd:simpleType>
        <xsd:restriction base="dms:Number">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f2bbb309-ecf0-4f78-8e42-2c8e17c26653" ma:open="true" ma:isKeyword="false">
      <xsd:complexType>
        <xsd:sequence>
          <xsd:element ref="pc:Terms" minOccurs="0" maxOccurs="1"/>
        </xsd:sequence>
      </xsd:complexType>
    </xsd:element>
    <xsd:element name="C3ProjectName" ma:index="45" nillable="true" ma:displayName="Project Name" ma:internalName="C3Projec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g5cb09987d4c4fd4af5e2ea766b0b534" ma:index="40"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me27afb448da4f21af2cbbe63bc0a74b" ma:index="42" ma:taxonomy="true" ma:internalName="me27afb448da4f21af2cbbe63bc0a74b" ma:taxonomyFieldName="DIAEmailContentType" ma:displayName="Email Content Type" ma:default="2;#Correspondence|dcd6b05f-dc80-4336-b228-09aebf3d212c" ma:fieldId="{6e27afb4-48da-4f21-af2c-bbe63bc0a74b}" ma:sspId="caf61cd4-0327-4679-8f8a-6e41773e81e7" ma:termSetId="02b5619a-69e6-45aa-91af-ce15ff56058e" ma:anchorId="00000000-0000-0000-0000-000000000000" ma:open="false" ma:isKeyword="false">
      <xsd:complexType>
        <xsd:sequence>
          <xsd:element ref="pc:Terms" minOccurs="0" maxOccurs="1"/>
        </xsd:sequence>
      </xsd:complexType>
    </xsd:element>
    <xsd:element name="DIAProjectValue" ma:index="44" nillable="true" ma:displayName="Project Value" ma:description="Proposed cost of the project" ma:internalName="DIAProjectValue">
      <xsd:simpleType>
        <xsd:restriction base="dms:Text"/>
      </xsd:simpleType>
    </xsd:element>
    <xsd:element name="DIANotes" ma:index="48" nillable="true" ma:displayName="Notes" ma:description="Additional information, can include URL link to another document" ma:internalName="DIANotes">
      <xsd:simpleType>
        <xsd:restriction base="dms:Note">
          <xsd:maxLength value="255"/>
        </xsd:restriction>
      </xsd:simpleType>
    </xsd:element>
    <xsd:element name="EmToSMTPAddress" ma:index="49" nillable="true" ma:displayName="Email To SMTP Address" ma:internalName="EmToSMTPAddress" ma:readOnly="false">
      <xsd:simpleType>
        <xsd:restriction base="dms:Note"/>
      </xsd:simple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Persist ID" ma:description="Keep ID on add." ma:hidden="true" ma:internalName="_dlc_DocIdPersistId" ma:readOnly="true">
      <xsd:simpleType>
        <xsd:restriction base="dms:Boolean"/>
      </xsd:simpleType>
    </xsd:element>
    <xsd:element name="EmBCCSMTPAddress" ma:index="53" nillable="true" ma:displayName="Email BCC SMTP Address" ma:internalName="EmBCCSMTPAddress" ma:readOnly="false">
      <xsd:simpleType>
        <xsd:restriction base="dms:Note"/>
      </xsd:simpleType>
    </xsd:element>
    <xsd:element name="EmCCSMTPAddress" ma:index="54" nillable="true" ma:displayName="Email CC SMTP Address" ma:internalName="EmCCSMTPAddress" ma:readOnly="false">
      <xsd:simpleType>
        <xsd:restriction base="dms:Note"/>
      </xsd:simpleType>
    </xsd:element>
    <xsd:element name="EmFromSMTPAddress" ma:index="55" nillable="true" ma:displayName="Email From SMTP Address" ma:internalName="EmFromSMTPAddress" ma:readOnly="false">
      <xsd:simpleType>
        <xsd:restriction base="dms:Text"/>
      </xsd:simpleType>
    </xsd:element>
    <xsd:element name="EmHasAttachments" ma:index="56" nillable="true" ma:displayName="Email Has Attachments" ma:internalName="EmHasAttachments" ma:readOnly="false">
      <xsd:simpleType>
        <xsd:restriction base="dms:Boolean"/>
      </xsd:simpleType>
    </xsd:element>
    <xsd:element name="EmRetentionPolicyName" ma:index="57" nillable="true" ma:displayName="Email Retention Policy Name" ma:internalName="EmRetentionPolicy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AttachmentNames" ma:index="30" nillable="true" ma:displayName="Email Attachment Names" ma:internalName="EmAttachmentNames" ma:readOnly="false">
      <xsd:simpleType>
        <xsd:restriction base="dms:Note"/>
      </xsd:simpleType>
    </xsd:element>
    <xsd:element name="_EndDate" ma:index="46" nillable="true" ma:displayName="End Date" ma:default="[today]" ma:format="DateOnly"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4D2E-0304-4EBA-8B05-31C373B515C5}">
  <ds:schemaRefs>
    <ds:schemaRef ds:uri="http://schemas.microsoft.com/sharepoint/events"/>
  </ds:schemaRefs>
</ds:datastoreItem>
</file>

<file path=customXml/itemProps2.xml><?xml version="1.0" encoding="utf-8"?>
<ds:datastoreItem xmlns:ds="http://schemas.openxmlformats.org/officeDocument/2006/customXml" ds:itemID="{F1C94E1F-5C1E-46D3-A8CE-D9149E723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7645f-022c-4aa8-90b7-087ecc92ac47"/>
    <ds:schemaRef ds:uri="01be4277-2979-4a68-876d-b92b25fceece"/>
    <ds:schemaRef ds:uri="a1a5d51a-e145-4c0c-968b-415154a433b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FD73D-1EBE-4D06-AFA0-22AD0022A4A6}">
  <ds:schemaRefs>
    <ds:schemaRef ds:uri="http://schemas.microsoft.com/sharepoint/v3/contenttype/forms"/>
  </ds:schemaRefs>
</ds:datastoreItem>
</file>

<file path=customXml/itemProps4.xml><?xml version="1.0" encoding="utf-8"?>
<ds:datastoreItem xmlns:ds="http://schemas.openxmlformats.org/officeDocument/2006/customXml" ds:itemID="{387196D0-5823-4CC5-80C6-B239FB0B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25531</TotalTime>
  <Pages>29</Pages>
  <Words>9534</Words>
  <Characters>54350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Virtual Asset Service Providers Guideline</vt:lpstr>
    </vt:vector>
  </TitlesOfParts>
  <Company/>
  <LinksUpToDate>false</LinksUpToDate>
  <CharactersWithSpaces>63757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Asset Service Providers Guideline</dc:title>
  <dc:subject/>
  <dc:creator>Jeff Weekes</dc:creator>
  <cp:keywords/>
  <dc:description/>
  <cp:lastModifiedBy>Louise Cavanagh</cp:lastModifiedBy>
  <cp:revision>219</cp:revision>
  <cp:lastPrinted>2014-03-27T01:47:00Z</cp:lastPrinted>
  <dcterms:created xsi:type="dcterms:W3CDTF">2019-12-04T01:43:00Z</dcterms:created>
  <dcterms:modified xsi:type="dcterms:W3CDTF">2020-03-13T01:19:00Z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0x0101005496552013C0BA46BE88192D5C6EB20B00FF2B33BEDAA14536B6DED112CEEC31EE00068B86591B90234E9AC5C402DAB7D97F</vt:lpwstr>
  </property>
</Properties>
</file>