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51B5" w14:textId="430FDDA4" w:rsidR="00F71DEE" w:rsidRPr="00F71DEE" w:rsidRDefault="00A12807" w:rsidP="00F71DEE">
      <w:pPr>
        <w:pStyle w:val="Heading1"/>
      </w:pPr>
      <w:r>
        <w:t xml:space="preserve">Factsheet - Virtual Asset Service Providers </w:t>
      </w:r>
      <w:r w:rsidR="00F71DEE" w:rsidRPr="008F4B7A">
        <w:rPr>
          <w:i/>
          <w:spacing w:val="-2"/>
          <w:sz w:val="20"/>
          <w:szCs w:val="20"/>
        </w:rPr>
        <w:t>This fact sheet is to be read in conjunction with</w:t>
      </w:r>
      <w:r w:rsidR="00F71DEE">
        <w:rPr>
          <w:i/>
          <w:spacing w:val="-2"/>
          <w:sz w:val="20"/>
          <w:szCs w:val="20"/>
        </w:rPr>
        <w:t xml:space="preserve"> other relevant guidance issued by both the Department of Internal Affairs and the Financial Markets Authority such as the Financial Institutions Sector Risk Assessment, Risk Assessment Guideline, and AML</w:t>
      </w:r>
      <w:r w:rsidR="00FA359E">
        <w:rPr>
          <w:i/>
          <w:spacing w:val="-2"/>
          <w:sz w:val="20"/>
          <w:szCs w:val="20"/>
        </w:rPr>
        <w:t>/CFT</w:t>
      </w:r>
      <w:r w:rsidR="00F71DEE">
        <w:rPr>
          <w:i/>
          <w:spacing w:val="-2"/>
          <w:sz w:val="20"/>
          <w:szCs w:val="20"/>
        </w:rPr>
        <w:t xml:space="preserve"> Programme Guideline.</w:t>
      </w:r>
    </w:p>
    <w:p w14:paraId="5C75DCF8" w14:textId="7C4BA3C1" w:rsidR="00865329" w:rsidRDefault="00865329" w:rsidP="00A12807">
      <w:pPr>
        <w:pStyle w:val="Heading2"/>
      </w:pPr>
      <w:r>
        <w:t>Introduction</w:t>
      </w:r>
    </w:p>
    <w:p w14:paraId="009E2631" w14:textId="04ED4F66" w:rsidR="009440E2" w:rsidRPr="00071D78" w:rsidRDefault="009440E2" w:rsidP="00865329">
      <w:pPr>
        <w:rPr>
          <w:sz w:val="22"/>
        </w:rPr>
      </w:pPr>
      <w:r w:rsidRPr="00071D78">
        <w:rPr>
          <w:sz w:val="22"/>
        </w:rPr>
        <w:t xml:space="preserve">Virtual Asset Service Provider (VASP) is a term that encompasses several different activities and services – an individual business may offer some or all of these. VASPs deal in </w:t>
      </w:r>
      <w:r w:rsidR="00251C56" w:rsidRPr="00071D78">
        <w:rPr>
          <w:sz w:val="22"/>
        </w:rPr>
        <w:t>Virtual Assets (VAs) – digital representations of value, which can be digitally traded, or transferred, and can be used for payment or investment purposes. A common example of a VA is a cryptocurrency such as Bitcoin.</w:t>
      </w:r>
    </w:p>
    <w:p w14:paraId="20870694" w14:textId="74B5D0B9" w:rsidR="00A12807" w:rsidRDefault="005C7D1A" w:rsidP="00A12807">
      <w:pPr>
        <w:pStyle w:val="Heading2"/>
      </w:pPr>
      <w:r>
        <w:t>Types of VASP and Supervisors</w:t>
      </w:r>
    </w:p>
    <w:p w14:paraId="6056C513" w14:textId="7BCC0A30" w:rsidR="005C7D1A" w:rsidRDefault="005C7D1A" w:rsidP="005C7D1A">
      <w:pPr>
        <w:rPr>
          <w:sz w:val="22"/>
        </w:rPr>
      </w:pPr>
      <w:r>
        <w:rPr>
          <w:sz w:val="22"/>
        </w:rPr>
        <w:t>Under the NZ AML/CFT regime</w:t>
      </w:r>
      <w:r w:rsidRPr="00071D78">
        <w:rPr>
          <w:sz w:val="22"/>
        </w:rPr>
        <w:t xml:space="preserve">, VASPs may be supervised by either </w:t>
      </w:r>
      <w:r w:rsidR="004A71D8">
        <w:rPr>
          <w:sz w:val="22"/>
        </w:rPr>
        <w:t>the Department of Internal Affairs (DIA)</w:t>
      </w:r>
      <w:r w:rsidRPr="00071D78">
        <w:rPr>
          <w:sz w:val="22"/>
        </w:rPr>
        <w:t xml:space="preserve"> a</w:t>
      </w:r>
      <w:r>
        <w:rPr>
          <w:sz w:val="22"/>
        </w:rPr>
        <w:t>s</w:t>
      </w:r>
      <w:r w:rsidRPr="00071D78">
        <w:rPr>
          <w:sz w:val="22"/>
        </w:rPr>
        <w:t xml:space="preserve"> the primary regulat</w:t>
      </w:r>
      <w:r w:rsidR="004A71D8">
        <w:rPr>
          <w:sz w:val="22"/>
        </w:rPr>
        <w:t>or,</w:t>
      </w:r>
      <w:r w:rsidRPr="00071D78">
        <w:rPr>
          <w:sz w:val="22"/>
        </w:rPr>
        <w:t xml:space="preserve"> or the </w:t>
      </w:r>
      <w:r w:rsidR="004A71D8">
        <w:rPr>
          <w:sz w:val="22"/>
        </w:rPr>
        <w:t>Financial Markets Authority (</w:t>
      </w:r>
      <w:r w:rsidRPr="00071D78">
        <w:rPr>
          <w:sz w:val="22"/>
        </w:rPr>
        <w:t>FMA</w:t>
      </w:r>
      <w:r w:rsidR="004A71D8">
        <w:rPr>
          <w:sz w:val="22"/>
        </w:rPr>
        <w:t>)</w:t>
      </w:r>
      <w:r w:rsidRPr="00071D78">
        <w:rPr>
          <w:sz w:val="22"/>
        </w:rPr>
        <w:t>. The supervisor is determined based upon the activities a VASP undertakes. VASPs that are unsure of who their supervisor is should contact the DIA in the first instance.</w:t>
      </w:r>
    </w:p>
    <w:p w14:paraId="579EB6F3" w14:textId="356DA214" w:rsidR="005C7D1A" w:rsidRDefault="005C7D1A" w:rsidP="005C7D1A">
      <w:pPr>
        <w:rPr>
          <w:sz w:val="22"/>
        </w:rPr>
      </w:pPr>
      <w:r w:rsidRPr="005C7D1A">
        <w:rPr>
          <w:sz w:val="22"/>
        </w:rPr>
        <w:t xml:space="preserve">In the New Zealand Context, 5 </w:t>
      </w:r>
      <w:r>
        <w:rPr>
          <w:sz w:val="22"/>
        </w:rPr>
        <w:t>broad categories</w:t>
      </w:r>
      <w:r w:rsidRPr="005C7D1A">
        <w:rPr>
          <w:sz w:val="22"/>
        </w:rPr>
        <w:t xml:space="preserve"> of VASP are recognised. These</w:t>
      </w:r>
      <w:r>
        <w:rPr>
          <w:sz w:val="22"/>
        </w:rPr>
        <w:t xml:space="preserve"> categories, along with their likely supervisor,</w:t>
      </w:r>
      <w:r w:rsidRPr="005C7D1A">
        <w:rPr>
          <w:sz w:val="22"/>
        </w:rPr>
        <w:t xml:space="preserve"> are detailed in the table below.</w:t>
      </w:r>
    </w:p>
    <w:tbl>
      <w:tblPr>
        <w:tblStyle w:val="DIATable"/>
        <w:tblW w:w="9640" w:type="dxa"/>
        <w:tblInd w:w="-34" w:type="dxa"/>
        <w:tblLook w:val="04A0" w:firstRow="1" w:lastRow="0" w:firstColumn="1" w:lastColumn="0" w:noHBand="0" w:noVBand="1"/>
      </w:tblPr>
      <w:tblGrid>
        <w:gridCol w:w="1469"/>
        <w:gridCol w:w="4337"/>
        <w:gridCol w:w="3834"/>
      </w:tblGrid>
      <w:tr w:rsidR="004A71D8" w14:paraId="0284B8AD" w14:textId="77777777" w:rsidTr="005E0BA8">
        <w:trPr>
          <w:cnfStyle w:val="100000000000" w:firstRow="1" w:lastRow="0" w:firstColumn="0" w:lastColumn="0" w:oddVBand="0" w:evenVBand="0" w:oddHBand="0" w:evenHBand="0" w:firstRowFirstColumn="0" w:firstRowLastColumn="0" w:lastRowFirstColumn="0" w:lastRowLastColumn="0"/>
        </w:trPr>
        <w:tc>
          <w:tcPr>
            <w:tcW w:w="1469" w:type="dxa"/>
          </w:tcPr>
          <w:p w14:paraId="7DC29157" w14:textId="77777777" w:rsidR="004A71D8" w:rsidRDefault="004A71D8" w:rsidP="005E0BA8">
            <w:r>
              <w:t>Type of VASP</w:t>
            </w:r>
          </w:p>
        </w:tc>
        <w:tc>
          <w:tcPr>
            <w:tcW w:w="4337" w:type="dxa"/>
          </w:tcPr>
          <w:p w14:paraId="2C4EBD7A" w14:textId="77777777" w:rsidR="004A71D8" w:rsidRDefault="004A71D8" w:rsidP="005E0BA8">
            <w:r>
              <w:t>Typical activities</w:t>
            </w:r>
          </w:p>
        </w:tc>
        <w:tc>
          <w:tcPr>
            <w:tcW w:w="3834" w:type="dxa"/>
          </w:tcPr>
          <w:p w14:paraId="63C7C95C" w14:textId="77777777" w:rsidR="004A71D8" w:rsidRDefault="004A71D8" w:rsidP="005E0BA8">
            <w:r>
              <w:t>Examples of possible capture points</w:t>
            </w:r>
          </w:p>
        </w:tc>
      </w:tr>
      <w:tr w:rsidR="004A71D8" w14:paraId="45189F4D" w14:textId="77777777" w:rsidTr="005E0BA8">
        <w:tc>
          <w:tcPr>
            <w:tcW w:w="1469" w:type="dxa"/>
          </w:tcPr>
          <w:p w14:paraId="38AD67B1" w14:textId="77777777" w:rsidR="004A71D8" w:rsidRPr="009421BC" w:rsidRDefault="004A71D8" w:rsidP="005E0BA8">
            <w:pPr>
              <w:rPr>
                <w:b/>
                <w:szCs w:val="22"/>
              </w:rPr>
            </w:pPr>
            <w:r w:rsidRPr="00104A25">
              <w:rPr>
                <w:b/>
                <w:bCs/>
                <w:szCs w:val="22"/>
              </w:rPr>
              <w:t>Virtual Asset Exchanges</w:t>
            </w:r>
          </w:p>
        </w:tc>
        <w:tc>
          <w:tcPr>
            <w:tcW w:w="4337" w:type="dxa"/>
          </w:tcPr>
          <w:p w14:paraId="6F6FB689" w14:textId="42EDD6FB" w:rsidR="004A71D8" w:rsidRDefault="004A71D8" w:rsidP="005E0BA8">
            <w:pPr>
              <w:spacing w:line="276" w:lineRule="auto"/>
              <w:rPr>
                <w:szCs w:val="22"/>
              </w:rPr>
            </w:pPr>
            <w:r w:rsidRPr="00104A25">
              <w:rPr>
                <w:szCs w:val="22"/>
              </w:rPr>
              <w:t>Issuing virtual assets such as virtual currency/digital tokens to facilitate virtual asset trading</w:t>
            </w:r>
            <w:r w:rsidR="00DC3629">
              <w:rPr>
                <w:szCs w:val="22"/>
              </w:rPr>
              <w:t>.</w:t>
            </w:r>
          </w:p>
          <w:p w14:paraId="2BBA9052" w14:textId="77777777" w:rsidR="004A71D8" w:rsidRDefault="004A71D8" w:rsidP="005E0BA8">
            <w:pPr>
              <w:rPr>
                <w:szCs w:val="22"/>
              </w:rPr>
            </w:pPr>
            <w:r w:rsidRPr="00104A25">
              <w:rPr>
                <w:szCs w:val="22"/>
              </w:rPr>
              <w:t>Providing a digital online platform facilitating virtual asset trading.  Trading may occur between virtual assets or between virtual asset and fiat currency.</w:t>
            </w:r>
          </w:p>
          <w:p w14:paraId="2F3F58A8" w14:textId="77777777" w:rsidR="004A71D8" w:rsidRPr="009421BC" w:rsidRDefault="004A71D8" w:rsidP="005E0BA8">
            <w:pPr>
              <w:rPr>
                <w:szCs w:val="22"/>
              </w:rPr>
            </w:pPr>
          </w:p>
        </w:tc>
        <w:tc>
          <w:tcPr>
            <w:tcW w:w="3834" w:type="dxa"/>
          </w:tcPr>
          <w:p w14:paraId="2C38E7B8" w14:textId="77777777" w:rsidR="004A71D8" w:rsidRPr="009722E0" w:rsidRDefault="004A71D8" w:rsidP="004A71D8">
            <w:pPr>
              <w:pStyle w:val="ListParagraph"/>
              <w:numPr>
                <w:ilvl w:val="0"/>
                <w:numId w:val="33"/>
              </w:numPr>
              <w:spacing w:before="56" w:after="32" w:line="276" w:lineRule="auto"/>
              <w:ind w:left="414" w:hanging="357"/>
              <w:rPr>
                <w:szCs w:val="22"/>
              </w:rPr>
            </w:pPr>
            <w:r w:rsidRPr="009722E0">
              <w:rPr>
                <w:szCs w:val="22"/>
              </w:rPr>
              <w:t>issuing or managing the means of payment</w:t>
            </w:r>
          </w:p>
          <w:p w14:paraId="1E1E4AA6" w14:textId="77777777" w:rsidR="004A71D8" w:rsidRPr="009722E0" w:rsidRDefault="004A71D8" w:rsidP="004A71D8">
            <w:pPr>
              <w:pStyle w:val="ListParagraph"/>
              <w:numPr>
                <w:ilvl w:val="0"/>
                <w:numId w:val="33"/>
              </w:numPr>
              <w:spacing w:before="56" w:after="32" w:line="276" w:lineRule="auto"/>
              <w:ind w:left="414" w:hanging="357"/>
            </w:pPr>
            <w:r w:rsidRPr="009722E0">
              <w:t>transferring money or value for, or on behalf of, a customer</w:t>
            </w:r>
          </w:p>
          <w:p w14:paraId="0B227CC1" w14:textId="77777777" w:rsidR="004A71D8" w:rsidRPr="009722E0" w:rsidRDefault="004A71D8" w:rsidP="004A71D8">
            <w:pPr>
              <w:pStyle w:val="ListParagraph"/>
              <w:numPr>
                <w:ilvl w:val="0"/>
                <w:numId w:val="33"/>
              </w:numPr>
              <w:spacing w:before="56" w:after="32" w:line="276" w:lineRule="auto"/>
              <w:ind w:left="414" w:hanging="357"/>
              <w:rPr>
                <w:szCs w:val="22"/>
              </w:rPr>
            </w:pPr>
            <w:r w:rsidRPr="009722E0">
              <w:t>money or currency changing</w:t>
            </w:r>
          </w:p>
        </w:tc>
      </w:tr>
      <w:tr w:rsidR="004A71D8" w14:paraId="065F1268" w14:textId="77777777" w:rsidTr="005E0BA8">
        <w:tc>
          <w:tcPr>
            <w:tcW w:w="1469" w:type="dxa"/>
          </w:tcPr>
          <w:p w14:paraId="5CA426BC" w14:textId="77777777" w:rsidR="004A71D8" w:rsidRPr="009421BC" w:rsidRDefault="004A71D8" w:rsidP="005E0BA8">
            <w:pPr>
              <w:rPr>
                <w:b/>
                <w:szCs w:val="22"/>
              </w:rPr>
            </w:pPr>
            <w:r w:rsidRPr="00104A25">
              <w:rPr>
                <w:b/>
                <w:bCs/>
                <w:szCs w:val="22"/>
              </w:rPr>
              <w:t>Virtual Asset Wallet Providers</w:t>
            </w:r>
          </w:p>
        </w:tc>
        <w:tc>
          <w:tcPr>
            <w:tcW w:w="4337" w:type="dxa"/>
          </w:tcPr>
          <w:p w14:paraId="206EEB5E" w14:textId="77777777" w:rsidR="004A71D8" w:rsidRPr="009421BC" w:rsidRDefault="004A71D8" w:rsidP="005E0BA8">
            <w:pPr>
              <w:rPr>
                <w:szCs w:val="22"/>
              </w:rPr>
            </w:pPr>
            <w:r w:rsidRPr="00104A25">
              <w:rPr>
                <w:szCs w:val="22"/>
              </w:rPr>
              <w:t>Providing storage for virtual assets or fiat currency on behalf of others and facilitating exchanges between virtual assets or fiat currency.</w:t>
            </w:r>
          </w:p>
        </w:tc>
        <w:tc>
          <w:tcPr>
            <w:tcW w:w="3834" w:type="dxa"/>
          </w:tcPr>
          <w:p w14:paraId="5A482C4B" w14:textId="77777777" w:rsidR="004A71D8" w:rsidRPr="009722E0" w:rsidRDefault="004A71D8" w:rsidP="004A71D8">
            <w:pPr>
              <w:pStyle w:val="ListParagraph"/>
              <w:numPr>
                <w:ilvl w:val="0"/>
                <w:numId w:val="32"/>
              </w:numPr>
              <w:spacing w:before="56" w:after="32"/>
              <w:ind w:left="414" w:hanging="357"/>
              <w:rPr>
                <w:szCs w:val="22"/>
              </w:rPr>
            </w:pPr>
            <w:r w:rsidRPr="009722E0">
              <w:rPr>
                <w:szCs w:val="22"/>
              </w:rPr>
              <w:t>accepting deposits or other repayable funds from the public</w:t>
            </w:r>
          </w:p>
          <w:p w14:paraId="1DD82D76" w14:textId="77777777" w:rsidR="004A71D8" w:rsidRPr="009722E0" w:rsidRDefault="004A71D8" w:rsidP="004A71D8">
            <w:pPr>
              <w:pStyle w:val="ListParagraph"/>
              <w:numPr>
                <w:ilvl w:val="0"/>
                <w:numId w:val="32"/>
              </w:numPr>
              <w:spacing w:before="56" w:after="32"/>
              <w:ind w:left="414" w:hanging="357"/>
              <w:rPr>
                <w:szCs w:val="22"/>
              </w:rPr>
            </w:pPr>
            <w:r w:rsidRPr="009722E0">
              <w:t>transferring money or value for, or on behalf of, a customer</w:t>
            </w:r>
          </w:p>
          <w:p w14:paraId="0954D725" w14:textId="77777777" w:rsidR="004A71D8" w:rsidRPr="009722E0" w:rsidRDefault="004A71D8" w:rsidP="004A71D8">
            <w:pPr>
              <w:pStyle w:val="ListParagraph"/>
              <w:numPr>
                <w:ilvl w:val="0"/>
                <w:numId w:val="32"/>
              </w:numPr>
              <w:spacing w:before="56" w:after="32"/>
              <w:ind w:left="414" w:hanging="357"/>
            </w:pPr>
            <w:r w:rsidRPr="009722E0">
              <w:t>money or currency changing</w:t>
            </w:r>
          </w:p>
          <w:p w14:paraId="16CE60AA" w14:textId="77777777" w:rsidR="004A71D8" w:rsidRPr="00F144D9" w:rsidRDefault="004A71D8" w:rsidP="005E0BA8">
            <w:pPr>
              <w:rPr>
                <w:szCs w:val="22"/>
              </w:rPr>
            </w:pPr>
          </w:p>
        </w:tc>
      </w:tr>
      <w:tr w:rsidR="004A71D8" w14:paraId="411B4D25" w14:textId="77777777" w:rsidTr="005E0BA8">
        <w:trPr>
          <w:trHeight w:val="901"/>
        </w:trPr>
        <w:tc>
          <w:tcPr>
            <w:tcW w:w="1469" w:type="dxa"/>
          </w:tcPr>
          <w:p w14:paraId="0851DF8D" w14:textId="77777777" w:rsidR="004A71D8" w:rsidRPr="00104A25" w:rsidRDefault="004A71D8" w:rsidP="005E0BA8">
            <w:pPr>
              <w:spacing w:line="276" w:lineRule="auto"/>
              <w:rPr>
                <w:rFonts w:asciiTheme="minorHAnsi" w:hAnsiTheme="minorHAnsi" w:cstheme="minorHAnsi"/>
                <w:b/>
                <w:szCs w:val="22"/>
              </w:rPr>
            </w:pPr>
            <w:r w:rsidRPr="00104A25">
              <w:rPr>
                <w:rFonts w:asciiTheme="minorHAnsi" w:hAnsiTheme="minorHAnsi" w:cstheme="minorHAnsi"/>
                <w:b/>
                <w:bCs/>
                <w:szCs w:val="22"/>
              </w:rPr>
              <w:t>Virtual Asset Broking</w:t>
            </w:r>
          </w:p>
        </w:tc>
        <w:tc>
          <w:tcPr>
            <w:tcW w:w="4337" w:type="dxa"/>
          </w:tcPr>
          <w:p w14:paraId="47F9C770" w14:textId="77777777" w:rsidR="004A71D8" w:rsidRPr="00104A25" w:rsidRDefault="004A71D8" w:rsidP="005E0BA8">
            <w:pPr>
              <w:spacing w:line="276" w:lineRule="auto"/>
              <w:rPr>
                <w:rFonts w:asciiTheme="minorHAnsi" w:hAnsiTheme="minorHAnsi" w:cstheme="minorHAnsi"/>
                <w:szCs w:val="22"/>
              </w:rPr>
            </w:pPr>
            <w:r w:rsidRPr="00104A25">
              <w:rPr>
                <w:rFonts w:asciiTheme="minorHAnsi" w:hAnsiTheme="minorHAnsi" w:cstheme="minorHAnsi"/>
                <w:szCs w:val="22"/>
              </w:rPr>
              <w:t>Arranging transactions involving virtual assets.</w:t>
            </w:r>
          </w:p>
        </w:tc>
        <w:tc>
          <w:tcPr>
            <w:tcW w:w="3834" w:type="dxa"/>
          </w:tcPr>
          <w:p w14:paraId="5464FBC3" w14:textId="77777777" w:rsidR="004A71D8" w:rsidRPr="009722E0" w:rsidRDefault="004A71D8" w:rsidP="004A71D8">
            <w:pPr>
              <w:pStyle w:val="ListParagraph"/>
              <w:numPr>
                <w:ilvl w:val="0"/>
                <w:numId w:val="31"/>
              </w:numPr>
              <w:spacing w:before="56" w:after="32" w:line="276" w:lineRule="auto"/>
              <w:ind w:left="414" w:hanging="357"/>
              <w:rPr>
                <w:rFonts w:asciiTheme="minorHAnsi" w:hAnsiTheme="minorHAnsi" w:cstheme="minorHAnsi"/>
                <w:szCs w:val="22"/>
              </w:rPr>
            </w:pPr>
            <w:r w:rsidRPr="009722E0">
              <w:t>transferring money or value for, or on behalf of, a customer</w:t>
            </w:r>
          </w:p>
        </w:tc>
      </w:tr>
      <w:tr w:rsidR="004A71D8" w14:paraId="2BCF9BEA" w14:textId="77777777" w:rsidTr="005E0BA8">
        <w:tc>
          <w:tcPr>
            <w:tcW w:w="1469" w:type="dxa"/>
          </w:tcPr>
          <w:p w14:paraId="4F6B4E18" w14:textId="77777777" w:rsidR="004A71D8" w:rsidRPr="00F144D9" w:rsidRDefault="004A71D8" w:rsidP="005E0BA8">
            <w:pPr>
              <w:rPr>
                <w:rFonts w:asciiTheme="minorHAnsi" w:hAnsiTheme="minorHAnsi" w:cstheme="minorHAnsi"/>
                <w:b/>
                <w:szCs w:val="22"/>
              </w:rPr>
            </w:pPr>
            <w:r w:rsidRPr="00104A25">
              <w:rPr>
                <w:rFonts w:asciiTheme="minorHAnsi" w:hAnsiTheme="minorHAnsi" w:cstheme="minorHAnsi"/>
                <w:b/>
                <w:bCs/>
                <w:szCs w:val="22"/>
              </w:rPr>
              <w:t>Initial Coin Offering (ICO) Providers</w:t>
            </w:r>
          </w:p>
        </w:tc>
        <w:tc>
          <w:tcPr>
            <w:tcW w:w="4337" w:type="dxa"/>
          </w:tcPr>
          <w:p w14:paraId="629FDDC3" w14:textId="77777777" w:rsidR="004A71D8" w:rsidRPr="00F144D9" w:rsidRDefault="004A71D8" w:rsidP="005E0BA8">
            <w:pPr>
              <w:rPr>
                <w:rFonts w:asciiTheme="minorHAnsi" w:hAnsiTheme="minorHAnsi" w:cstheme="minorHAnsi"/>
                <w:szCs w:val="22"/>
              </w:rPr>
            </w:pPr>
            <w:r w:rsidRPr="00104A25">
              <w:rPr>
                <w:rFonts w:asciiTheme="minorHAnsi" w:hAnsiTheme="minorHAnsi" w:cstheme="minorHAnsi"/>
                <w:szCs w:val="22"/>
              </w:rPr>
              <w:t>Issuing and selling virtual assets/digital tokens to the public</w:t>
            </w:r>
          </w:p>
        </w:tc>
        <w:tc>
          <w:tcPr>
            <w:tcW w:w="3834" w:type="dxa"/>
          </w:tcPr>
          <w:p w14:paraId="2A0B6306" w14:textId="77777777" w:rsidR="004A71D8" w:rsidRPr="009722E0" w:rsidRDefault="004A71D8" w:rsidP="004A71D8">
            <w:pPr>
              <w:pStyle w:val="ListParagraph"/>
              <w:numPr>
                <w:ilvl w:val="0"/>
                <w:numId w:val="30"/>
              </w:numPr>
              <w:spacing w:before="56" w:after="32"/>
              <w:ind w:left="414" w:hanging="357"/>
              <w:rPr>
                <w:szCs w:val="22"/>
              </w:rPr>
            </w:pPr>
            <w:r w:rsidRPr="009722E0">
              <w:rPr>
                <w:szCs w:val="22"/>
              </w:rPr>
              <w:t>transferring money or value for, or on behalf of, a customer</w:t>
            </w:r>
          </w:p>
          <w:p w14:paraId="11E2A736" w14:textId="77777777" w:rsidR="004A71D8" w:rsidRPr="009722E0" w:rsidRDefault="004A71D8" w:rsidP="004A71D8">
            <w:pPr>
              <w:pStyle w:val="ListParagraph"/>
              <w:numPr>
                <w:ilvl w:val="0"/>
                <w:numId w:val="30"/>
              </w:numPr>
              <w:spacing w:before="56" w:after="32"/>
              <w:ind w:left="414" w:hanging="357"/>
              <w:rPr>
                <w:szCs w:val="22"/>
              </w:rPr>
            </w:pPr>
            <w:r w:rsidRPr="009722E0">
              <w:rPr>
                <w:szCs w:val="22"/>
              </w:rPr>
              <w:t>issuing or manging the means of payment</w:t>
            </w:r>
          </w:p>
          <w:p w14:paraId="3F3587C7" w14:textId="77777777" w:rsidR="004A71D8" w:rsidRPr="009722E0" w:rsidRDefault="004A71D8" w:rsidP="004A71D8">
            <w:pPr>
              <w:pStyle w:val="ListParagraph"/>
              <w:numPr>
                <w:ilvl w:val="0"/>
                <w:numId w:val="30"/>
              </w:numPr>
              <w:spacing w:before="56" w:after="32"/>
              <w:ind w:left="414" w:hanging="357"/>
            </w:pPr>
            <w:r w:rsidRPr="009722E0">
              <w:t>money or currency changing</w:t>
            </w:r>
          </w:p>
          <w:p w14:paraId="03A6A9E0" w14:textId="77777777" w:rsidR="004A71D8" w:rsidRPr="00F144D9" w:rsidRDefault="004A71D8" w:rsidP="005E0BA8">
            <w:pPr>
              <w:rPr>
                <w:rFonts w:asciiTheme="minorHAnsi" w:hAnsiTheme="minorHAnsi" w:cstheme="minorHAnsi"/>
                <w:szCs w:val="22"/>
              </w:rPr>
            </w:pPr>
          </w:p>
        </w:tc>
      </w:tr>
      <w:tr w:rsidR="004A71D8" w14:paraId="3F299725" w14:textId="77777777" w:rsidTr="005E0BA8">
        <w:tc>
          <w:tcPr>
            <w:tcW w:w="1469" w:type="dxa"/>
          </w:tcPr>
          <w:p w14:paraId="569D39EC" w14:textId="77777777" w:rsidR="004A71D8" w:rsidRPr="00F144D9" w:rsidRDefault="004A71D8" w:rsidP="005E0BA8">
            <w:pPr>
              <w:rPr>
                <w:rFonts w:asciiTheme="minorHAnsi" w:hAnsiTheme="minorHAnsi" w:cstheme="minorHAnsi"/>
                <w:b/>
                <w:szCs w:val="22"/>
              </w:rPr>
            </w:pPr>
            <w:r w:rsidRPr="00104A25">
              <w:rPr>
                <w:rFonts w:asciiTheme="minorHAnsi" w:hAnsiTheme="minorHAnsi" w:cstheme="minorHAnsi"/>
                <w:b/>
                <w:bCs/>
                <w:szCs w:val="22"/>
                <w:bdr w:val="none" w:sz="0" w:space="0" w:color="auto" w:frame="1"/>
                <w:lang w:eastAsia="en-NZ"/>
              </w:rPr>
              <w:lastRenderedPageBreak/>
              <w:t>Providing investment opportunities in virtual assets</w:t>
            </w:r>
          </w:p>
        </w:tc>
        <w:tc>
          <w:tcPr>
            <w:tcW w:w="8171" w:type="dxa"/>
            <w:gridSpan w:val="2"/>
          </w:tcPr>
          <w:p w14:paraId="68C3EB5F" w14:textId="77777777" w:rsidR="004A71D8" w:rsidRPr="00F144D9" w:rsidRDefault="004A71D8" w:rsidP="005E0BA8">
            <w:pPr>
              <w:rPr>
                <w:rFonts w:asciiTheme="minorHAnsi" w:hAnsiTheme="minorHAnsi" w:cstheme="minorHAnsi"/>
                <w:szCs w:val="22"/>
              </w:rPr>
            </w:pPr>
            <w:r w:rsidRPr="00627DDB">
              <w:rPr>
                <w:rFonts w:asciiTheme="minorHAnsi" w:hAnsiTheme="minorHAnsi" w:cstheme="minorHAnsi"/>
                <w:szCs w:val="22"/>
              </w:rPr>
              <w:t>If you are providing investment opportunities in virtual assets (</w:t>
            </w:r>
            <w:proofErr w:type="gramStart"/>
            <w:r w:rsidRPr="00627DDB">
              <w:rPr>
                <w:rFonts w:asciiTheme="minorHAnsi" w:hAnsiTheme="minorHAnsi" w:cstheme="minorHAnsi"/>
                <w:szCs w:val="22"/>
              </w:rPr>
              <w:t>e.g.</w:t>
            </w:r>
            <w:proofErr w:type="gramEnd"/>
            <w:r w:rsidRPr="00627DDB">
              <w:rPr>
                <w:rFonts w:asciiTheme="minorHAnsi" w:hAnsiTheme="minorHAnsi" w:cstheme="minorHAnsi"/>
                <w:szCs w:val="22"/>
              </w:rPr>
              <w:t xml:space="preserve"> via a derivatives issuer providing virtual asset options), AML/CFT obligations will apply in the same way as if you were providing investment opportunities in traditional assets or financial products. For more information, see </w:t>
            </w:r>
            <w:hyperlink r:id="rId8" w:history="1">
              <w:r w:rsidRPr="00A73D1E">
                <w:rPr>
                  <w:rStyle w:val="Hyperlink"/>
                  <w:rFonts w:asciiTheme="minorHAnsi" w:hAnsiTheme="minorHAnsi" w:cstheme="minorHAnsi"/>
                  <w:szCs w:val="22"/>
                </w:rPr>
                <w:t>https://www.fma.govt.nz/compliance/amlcft/</w:t>
              </w:r>
            </w:hyperlink>
            <w:r>
              <w:rPr>
                <w:rFonts w:asciiTheme="minorHAnsi" w:hAnsiTheme="minorHAnsi" w:cstheme="minorHAnsi"/>
                <w:szCs w:val="22"/>
              </w:rPr>
              <w:t xml:space="preserve"> </w:t>
            </w:r>
          </w:p>
        </w:tc>
      </w:tr>
    </w:tbl>
    <w:p w14:paraId="49EFB56D" w14:textId="77777777" w:rsidR="004A71D8" w:rsidRPr="005C7D1A" w:rsidRDefault="004A71D8" w:rsidP="005C7D1A">
      <w:pPr>
        <w:rPr>
          <w:sz w:val="22"/>
        </w:rPr>
      </w:pPr>
    </w:p>
    <w:p w14:paraId="534F0B8A" w14:textId="1F97A4A1" w:rsidR="00A12807" w:rsidRDefault="00A12807" w:rsidP="00A12807">
      <w:pPr>
        <w:pStyle w:val="Heading2"/>
      </w:pPr>
      <w:r>
        <w:t xml:space="preserve">Compliance </w:t>
      </w:r>
      <w:r w:rsidR="00C41CCE">
        <w:t>Obligations</w:t>
      </w:r>
      <w:r w:rsidR="002770AE">
        <w:t xml:space="preserve"> for VASPs</w:t>
      </w:r>
    </w:p>
    <w:p w14:paraId="17936D83" w14:textId="5DAFD3CA" w:rsidR="005C7D1A" w:rsidRPr="005C7D1A" w:rsidRDefault="00E61750" w:rsidP="005C7D1A">
      <w:pPr>
        <w:rPr>
          <w:sz w:val="22"/>
        </w:rPr>
      </w:pPr>
      <w:r>
        <w:rPr>
          <w:sz w:val="22"/>
        </w:rPr>
        <w:t xml:space="preserve">VASPs have the same ML/TF obligations as other financial institutions under the Act and are encouraged to review the guidance offered by the Department. </w:t>
      </w:r>
      <w:r w:rsidR="005C7D1A" w:rsidRPr="005C7D1A">
        <w:rPr>
          <w:sz w:val="22"/>
        </w:rPr>
        <w:t>Two areas of specific interest for VASPs are detailed below:</w:t>
      </w:r>
    </w:p>
    <w:p w14:paraId="5853D671" w14:textId="77777777" w:rsidR="00C20080" w:rsidRPr="00E6177B" w:rsidRDefault="00C20080" w:rsidP="00C20080">
      <w:pPr>
        <w:pStyle w:val="Heading3"/>
      </w:pPr>
      <w:bookmarkStart w:id="0" w:name="_Toc34985649"/>
      <w:r w:rsidRPr="00E6177B">
        <w:t>Financial Service Providers Register</w:t>
      </w:r>
      <w:bookmarkEnd w:id="0"/>
    </w:p>
    <w:p w14:paraId="23568E76" w14:textId="77777777" w:rsidR="00C20080" w:rsidRDefault="00C20080" w:rsidP="00C20080">
      <w:pPr>
        <w:rPr>
          <w:sz w:val="22"/>
        </w:rPr>
      </w:pPr>
      <w:r w:rsidRPr="00071D78">
        <w:rPr>
          <w:sz w:val="22"/>
        </w:rPr>
        <w:t xml:space="preserve">In the New Zealand context, registration </w:t>
      </w:r>
      <w:r>
        <w:rPr>
          <w:sz w:val="22"/>
        </w:rPr>
        <w:t xml:space="preserve">of Financial Services Providers is required </w:t>
      </w:r>
      <w:r w:rsidRPr="00071D78">
        <w:rPr>
          <w:sz w:val="22"/>
        </w:rPr>
        <w:t xml:space="preserve">via the Financial Service Providers Register (FSPR). </w:t>
      </w:r>
    </w:p>
    <w:p w14:paraId="4AA3FD70" w14:textId="77777777" w:rsidR="00C20080" w:rsidRPr="00825962" w:rsidRDefault="00C20080" w:rsidP="00C20080">
      <w:pPr>
        <w:rPr>
          <w:rStyle w:val="Hyperlink"/>
          <w:color w:val="auto"/>
          <w:sz w:val="22"/>
          <w:u w:val="none"/>
        </w:rPr>
      </w:pPr>
      <w:r w:rsidRPr="00071D78">
        <w:rPr>
          <w:sz w:val="22"/>
        </w:rPr>
        <w:t>All VASPs should consider</w:t>
      </w:r>
      <w:r>
        <w:rPr>
          <w:sz w:val="22"/>
        </w:rPr>
        <w:t xml:space="preserve"> their obligation to</w:t>
      </w:r>
      <w:r w:rsidRPr="00071D78">
        <w:rPr>
          <w:sz w:val="22"/>
        </w:rPr>
        <w:t xml:space="preserve"> regist</w:t>
      </w:r>
      <w:r>
        <w:rPr>
          <w:sz w:val="22"/>
        </w:rPr>
        <w:t>er</w:t>
      </w:r>
      <w:r w:rsidRPr="00071D78">
        <w:rPr>
          <w:sz w:val="22"/>
        </w:rPr>
        <w:t xml:space="preserve"> on the FSPR</w:t>
      </w:r>
      <w:r>
        <w:rPr>
          <w:sz w:val="22"/>
        </w:rPr>
        <w:t xml:space="preserve"> </w:t>
      </w:r>
      <w:r w:rsidRPr="00071D78">
        <w:rPr>
          <w:sz w:val="22"/>
        </w:rPr>
        <w:t>– offering services that come under the Financial Services Providers (Registration and Dispute Resolution) Act 2008</w:t>
      </w:r>
      <w:r>
        <w:rPr>
          <w:sz w:val="22"/>
        </w:rPr>
        <w:t xml:space="preserve"> without registering may constitute an offence under that Act.</w:t>
      </w:r>
      <w:r>
        <w:rPr>
          <w:rStyle w:val="Hyperlink"/>
          <w:sz w:val="22"/>
        </w:rPr>
        <w:fldChar w:fldCharType="begin"/>
      </w:r>
      <w:r>
        <w:rPr>
          <w:rStyle w:val="Hyperlink"/>
          <w:sz w:val="22"/>
        </w:rPr>
        <w:instrText xml:space="preserve"> HYPERLINK "https://www.fma.govt.nz/compliance/cryptocurrencies/" </w:instrText>
      </w:r>
      <w:r>
        <w:rPr>
          <w:rStyle w:val="Hyperlink"/>
          <w:sz w:val="22"/>
        </w:rPr>
      </w:r>
      <w:r>
        <w:rPr>
          <w:rStyle w:val="Hyperlink"/>
          <w:sz w:val="22"/>
        </w:rPr>
        <w:fldChar w:fldCharType="separate"/>
      </w:r>
    </w:p>
    <w:p w14:paraId="103E90DA" w14:textId="3292BE4B" w:rsidR="00C20080" w:rsidRDefault="00C20080" w:rsidP="00C20080">
      <w:pPr>
        <w:rPr>
          <w:sz w:val="22"/>
        </w:rPr>
      </w:pPr>
      <w:r>
        <w:rPr>
          <w:rStyle w:val="Hyperlink"/>
          <w:sz w:val="22"/>
        </w:rPr>
        <w:fldChar w:fldCharType="end"/>
      </w:r>
      <w:r w:rsidRPr="001C7837">
        <w:rPr>
          <w:sz w:val="22"/>
        </w:rPr>
        <w:t xml:space="preserve">The FMA has </w:t>
      </w:r>
      <w:r w:rsidR="00A9237D">
        <w:rPr>
          <w:sz w:val="22"/>
        </w:rPr>
        <w:t>a</w:t>
      </w:r>
      <w:r w:rsidRPr="001C7837">
        <w:rPr>
          <w:sz w:val="22"/>
        </w:rPr>
        <w:t xml:space="preserve"> </w:t>
      </w:r>
      <w:hyperlink r:id="rId9" w:history="1">
        <w:r w:rsidR="00A9237D">
          <w:rPr>
            <w:rStyle w:val="Hyperlink"/>
            <w:sz w:val="22"/>
          </w:rPr>
          <w:t>web</w:t>
        </w:r>
        <w:r w:rsidR="00A9237D">
          <w:rPr>
            <w:rStyle w:val="Hyperlink"/>
            <w:sz w:val="22"/>
          </w:rPr>
          <w:t xml:space="preserve"> </w:t>
        </w:r>
        <w:r w:rsidR="00A9237D">
          <w:rPr>
            <w:rStyle w:val="Hyperlink"/>
            <w:sz w:val="22"/>
          </w:rPr>
          <w:t>page</w:t>
        </w:r>
      </w:hyperlink>
      <w:r w:rsidRPr="001C7837">
        <w:rPr>
          <w:sz w:val="22"/>
        </w:rPr>
        <w:t xml:space="preserve"> for </w:t>
      </w:r>
      <w:r w:rsidR="00A9237D">
        <w:rPr>
          <w:sz w:val="22"/>
        </w:rPr>
        <w:t>crypto asset service providers</w:t>
      </w:r>
      <w:r w:rsidRPr="001C7837">
        <w:rPr>
          <w:sz w:val="22"/>
        </w:rPr>
        <w:t xml:space="preserve"> which includes information on where VASPs may need to register on the FSPR.</w:t>
      </w:r>
    </w:p>
    <w:p w14:paraId="22A860D2" w14:textId="77777777" w:rsidR="004A71D8" w:rsidRDefault="004A71D8" w:rsidP="004A71D8">
      <w:pPr>
        <w:pStyle w:val="Heading3"/>
      </w:pPr>
      <w:bookmarkStart w:id="1" w:name="_Toc34985644"/>
      <w:r>
        <w:t>Wire transfers</w:t>
      </w:r>
      <w:bookmarkEnd w:id="1"/>
    </w:p>
    <w:p w14:paraId="59E482AE" w14:textId="1D5577F5" w:rsidR="00C20080" w:rsidRDefault="00C20080" w:rsidP="00C20080">
      <w:pPr>
        <w:rPr>
          <w:sz w:val="22"/>
        </w:rPr>
      </w:pPr>
      <w:r w:rsidRPr="00F71849">
        <w:rPr>
          <w:sz w:val="22"/>
        </w:rPr>
        <w:t xml:space="preserve">Wire transfers are </w:t>
      </w:r>
      <w:r>
        <w:rPr>
          <w:sz w:val="22"/>
        </w:rPr>
        <w:t>an especially important captured activity</w:t>
      </w:r>
      <w:r w:rsidRPr="00F71849">
        <w:rPr>
          <w:sz w:val="22"/>
        </w:rPr>
        <w:t xml:space="preserve"> </w:t>
      </w:r>
      <w:r>
        <w:rPr>
          <w:sz w:val="22"/>
        </w:rPr>
        <w:t xml:space="preserve">for </w:t>
      </w:r>
      <w:r w:rsidRPr="00F71849">
        <w:rPr>
          <w:sz w:val="22"/>
        </w:rPr>
        <w:t xml:space="preserve">VASPs. </w:t>
      </w:r>
      <w:r w:rsidR="004A71D8">
        <w:rPr>
          <w:sz w:val="22"/>
        </w:rPr>
        <w:t xml:space="preserve"> </w:t>
      </w:r>
      <w:r>
        <w:rPr>
          <w:sz w:val="22"/>
        </w:rPr>
        <w:t>In New Zealand, the definition of w</w:t>
      </w:r>
      <w:r w:rsidRPr="00F71849">
        <w:rPr>
          <w:sz w:val="22"/>
        </w:rPr>
        <w:t xml:space="preserve">ire </w:t>
      </w:r>
      <w:r>
        <w:rPr>
          <w:sz w:val="22"/>
        </w:rPr>
        <w:t>t</w:t>
      </w:r>
      <w:r w:rsidRPr="00F71849">
        <w:rPr>
          <w:sz w:val="22"/>
        </w:rPr>
        <w:t xml:space="preserve">ransfer </w:t>
      </w:r>
      <w:r>
        <w:rPr>
          <w:sz w:val="22"/>
        </w:rPr>
        <w:t>is</w:t>
      </w:r>
      <w:r w:rsidRPr="00F71849">
        <w:rPr>
          <w:sz w:val="22"/>
        </w:rPr>
        <w:t xml:space="preserve"> set out in section 5 of the Act</w:t>
      </w:r>
      <w:r>
        <w:rPr>
          <w:sz w:val="22"/>
        </w:rPr>
        <w:t xml:space="preserve">. For VASPs this definition covers: </w:t>
      </w:r>
    </w:p>
    <w:p w14:paraId="2E762DCB" w14:textId="77777777" w:rsidR="00C20080" w:rsidRPr="00156F55" w:rsidRDefault="00C20080" w:rsidP="00C20080">
      <w:pPr>
        <w:numPr>
          <w:ilvl w:val="0"/>
          <w:numId w:val="29"/>
        </w:numPr>
        <w:spacing w:before="80" w:after="80"/>
        <w:rPr>
          <w:sz w:val="22"/>
        </w:rPr>
      </w:pPr>
      <w:r w:rsidRPr="00156F55">
        <w:rPr>
          <w:sz w:val="22"/>
        </w:rPr>
        <w:t>Transaction</w:t>
      </w:r>
      <w:r>
        <w:rPr>
          <w:sz w:val="22"/>
        </w:rPr>
        <w:t>s</w:t>
      </w:r>
      <w:r w:rsidRPr="00156F55">
        <w:rPr>
          <w:sz w:val="22"/>
        </w:rPr>
        <w:t xml:space="preserve"> from </w:t>
      </w:r>
      <w:r>
        <w:rPr>
          <w:sz w:val="22"/>
        </w:rPr>
        <w:t>f</w:t>
      </w:r>
      <w:r w:rsidRPr="00156F55">
        <w:rPr>
          <w:sz w:val="22"/>
        </w:rPr>
        <w:t>iat curren</w:t>
      </w:r>
      <w:r>
        <w:rPr>
          <w:sz w:val="22"/>
        </w:rPr>
        <w:t>cy</w:t>
      </w:r>
      <w:r w:rsidRPr="00156F55">
        <w:rPr>
          <w:sz w:val="22"/>
        </w:rPr>
        <w:t xml:space="preserve"> to </w:t>
      </w:r>
      <w:r>
        <w:rPr>
          <w:sz w:val="22"/>
          <w:szCs w:val="22"/>
        </w:rPr>
        <w:t>virtual assets</w:t>
      </w:r>
      <w:r w:rsidRPr="00156F55">
        <w:rPr>
          <w:sz w:val="22"/>
        </w:rPr>
        <w:t xml:space="preserve">, and </w:t>
      </w:r>
    </w:p>
    <w:p w14:paraId="06C7A3C2" w14:textId="77777777" w:rsidR="00C20080" w:rsidRPr="00156F55" w:rsidRDefault="00C20080" w:rsidP="00C20080">
      <w:pPr>
        <w:numPr>
          <w:ilvl w:val="0"/>
          <w:numId w:val="29"/>
        </w:numPr>
        <w:spacing w:before="80" w:after="80"/>
        <w:rPr>
          <w:sz w:val="22"/>
        </w:rPr>
      </w:pPr>
      <w:r w:rsidRPr="00156F55">
        <w:rPr>
          <w:sz w:val="22"/>
        </w:rPr>
        <w:t xml:space="preserve">Transactions from </w:t>
      </w:r>
      <w:r>
        <w:rPr>
          <w:sz w:val="22"/>
          <w:szCs w:val="22"/>
        </w:rPr>
        <w:t>virtual assets</w:t>
      </w:r>
      <w:r w:rsidRPr="00156F55">
        <w:rPr>
          <w:sz w:val="22"/>
        </w:rPr>
        <w:t xml:space="preserve"> to </w:t>
      </w:r>
      <w:r>
        <w:rPr>
          <w:sz w:val="22"/>
        </w:rPr>
        <w:t>f</w:t>
      </w:r>
      <w:r w:rsidRPr="00156F55">
        <w:rPr>
          <w:sz w:val="22"/>
        </w:rPr>
        <w:t xml:space="preserve">iat </w:t>
      </w:r>
      <w:r>
        <w:rPr>
          <w:sz w:val="22"/>
        </w:rPr>
        <w:t>currency</w:t>
      </w:r>
      <w:r w:rsidRPr="00156F55">
        <w:rPr>
          <w:sz w:val="22"/>
        </w:rPr>
        <w:t xml:space="preserve">, </w:t>
      </w:r>
    </w:p>
    <w:p w14:paraId="33E2093E" w14:textId="77777777" w:rsidR="00C20080" w:rsidRPr="00156F55" w:rsidRDefault="00C20080" w:rsidP="00C20080">
      <w:pPr>
        <w:numPr>
          <w:ilvl w:val="0"/>
          <w:numId w:val="29"/>
        </w:numPr>
        <w:spacing w:before="80" w:after="80"/>
        <w:rPr>
          <w:sz w:val="22"/>
        </w:rPr>
      </w:pPr>
      <w:r w:rsidRPr="00156F55">
        <w:rPr>
          <w:sz w:val="22"/>
        </w:rPr>
        <w:t xml:space="preserve">But does not include </w:t>
      </w:r>
      <w:r>
        <w:rPr>
          <w:sz w:val="22"/>
          <w:szCs w:val="22"/>
        </w:rPr>
        <w:t>virtual asset</w:t>
      </w:r>
      <w:r>
        <w:rPr>
          <w:sz w:val="22"/>
        </w:rPr>
        <w:t xml:space="preserve"> to </w:t>
      </w:r>
      <w:r>
        <w:rPr>
          <w:sz w:val="22"/>
          <w:szCs w:val="22"/>
        </w:rPr>
        <w:t>virtual asset</w:t>
      </w:r>
      <w:r w:rsidRPr="00156F55">
        <w:rPr>
          <w:sz w:val="22"/>
        </w:rPr>
        <w:t xml:space="preserve"> transactions. </w:t>
      </w:r>
    </w:p>
    <w:p w14:paraId="0189591B" w14:textId="77777777" w:rsidR="00C20080" w:rsidRPr="00062CC3" w:rsidRDefault="00C20080" w:rsidP="00C20080">
      <w:pPr>
        <w:rPr>
          <w:sz w:val="22"/>
        </w:rPr>
      </w:pPr>
      <w:r w:rsidRPr="00062CC3">
        <w:rPr>
          <w:sz w:val="22"/>
        </w:rPr>
        <w:t>VASPs must be particularly aware of their wire transfer obligations as described in sections 27 and 28 of the Act, as well as the associated PTR obligations. These obligations apply to any transaction that is over NZD$1,000.</w:t>
      </w:r>
    </w:p>
    <w:p w14:paraId="0D2C2286" w14:textId="77777777" w:rsidR="00C20080" w:rsidRDefault="00C20080" w:rsidP="00C20080">
      <w:pPr>
        <w:rPr>
          <w:sz w:val="22"/>
        </w:rPr>
      </w:pPr>
      <w:r>
        <w:rPr>
          <w:sz w:val="22"/>
        </w:rPr>
        <w:t xml:space="preserve">VASPs should, in addition, be aware of the FATF recommendations in relation to wire transfers, which include virtual asset to virtual asset transactions. VASPs should be aware that other international jurisdictions they deal with (and other VASPs based in those jurisdictions) may require this, and consequently, it would be considered ‘best practice’ for VASPs to include </w:t>
      </w:r>
      <w:r>
        <w:rPr>
          <w:sz w:val="22"/>
          <w:szCs w:val="22"/>
        </w:rPr>
        <w:t>virtual asset to virtual asset</w:t>
      </w:r>
      <w:r>
        <w:rPr>
          <w:sz w:val="22"/>
        </w:rPr>
        <w:t xml:space="preserve"> transactions in their wire transfer procedures.</w:t>
      </w:r>
    </w:p>
    <w:p w14:paraId="731D8EE4" w14:textId="77777777" w:rsidR="00E61750" w:rsidRDefault="00E61750" w:rsidP="00A12807"/>
    <w:p w14:paraId="41474967" w14:textId="77777777" w:rsidR="00367C9E" w:rsidRPr="00367C9E" w:rsidRDefault="00367C9E" w:rsidP="00367C9E">
      <w:pPr>
        <w:tabs>
          <w:tab w:val="left" w:pos="1440"/>
        </w:tabs>
        <w:jc w:val="both"/>
        <w:rPr>
          <w:b/>
          <w:i/>
          <w:spacing w:val="-2"/>
          <w:sz w:val="20"/>
          <w:szCs w:val="20"/>
        </w:rPr>
      </w:pPr>
      <w:r w:rsidRPr="00367C9E">
        <w:rPr>
          <w:b/>
          <w:i/>
          <w:spacing w:val="-2"/>
          <w:sz w:val="20"/>
          <w:szCs w:val="20"/>
        </w:rPr>
        <w:t xml:space="preserve">Disclaimer:  This fact sheet is intended to be read in conjunction with the AML/CFT guidelines from the AML/CFT supervisors. While reasonable measures have been taken to ensure the quality and accuracy of the information contained in this fact sheet, it does not replace information contained in the Act or related provisions and regulations. This fact sheet is for general information only and is not a substitute for independent, professional legal advice. </w:t>
      </w:r>
    </w:p>
    <w:sectPr w:rsidR="00367C9E" w:rsidRPr="00367C9E" w:rsidSect="00CF4BE3">
      <w:headerReference w:type="default" r:id="rId10"/>
      <w:footerReference w:type="default" r:id="rId1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E1E1" w14:textId="77777777" w:rsidR="007C7AB8" w:rsidRDefault="007C7AB8">
      <w:r>
        <w:separator/>
      </w:r>
    </w:p>
    <w:p w14:paraId="7B46297C" w14:textId="77777777" w:rsidR="007C7AB8" w:rsidRDefault="007C7AB8"/>
    <w:p w14:paraId="4DB27574" w14:textId="77777777" w:rsidR="007C7AB8" w:rsidRDefault="007C7AB8"/>
  </w:endnote>
  <w:endnote w:type="continuationSeparator" w:id="0">
    <w:p w14:paraId="7F602FFD" w14:textId="77777777" w:rsidR="007C7AB8" w:rsidRDefault="007C7AB8">
      <w:r>
        <w:continuationSeparator/>
      </w:r>
    </w:p>
    <w:p w14:paraId="281DFBC4" w14:textId="77777777" w:rsidR="007C7AB8" w:rsidRDefault="007C7AB8"/>
    <w:p w14:paraId="2150559D" w14:textId="77777777" w:rsidR="007C7AB8" w:rsidRDefault="007C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8C22"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BD05" w14:textId="77777777" w:rsidR="007C7AB8" w:rsidRDefault="007C7AB8" w:rsidP="00FB1990">
      <w:pPr>
        <w:pStyle w:val="Spacer"/>
      </w:pPr>
      <w:r>
        <w:separator/>
      </w:r>
    </w:p>
    <w:p w14:paraId="57852EE0" w14:textId="77777777" w:rsidR="007C7AB8" w:rsidRDefault="007C7AB8" w:rsidP="00FB1990">
      <w:pPr>
        <w:pStyle w:val="Spacer"/>
      </w:pPr>
    </w:p>
  </w:footnote>
  <w:footnote w:type="continuationSeparator" w:id="0">
    <w:p w14:paraId="3A66B7A5" w14:textId="77777777" w:rsidR="007C7AB8" w:rsidRDefault="007C7AB8">
      <w:r>
        <w:continuationSeparator/>
      </w:r>
    </w:p>
    <w:p w14:paraId="11A0135B" w14:textId="77777777" w:rsidR="007C7AB8" w:rsidRDefault="007C7AB8"/>
    <w:p w14:paraId="45133870" w14:textId="77777777" w:rsidR="007C7AB8" w:rsidRDefault="007C7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FF64" w14:textId="3D2C9F54" w:rsidR="00677F8A" w:rsidRPr="00591BDC" w:rsidRDefault="00F71DEE" w:rsidP="00F71DEE">
    <w:pPr>
      <w:pStyle w:val="Header"/>
      <w:jc w:val="right"/>
    </w:pPr>
    <w:r>
      <w:rPr>
        <w:noProof/>
      </w:rPr>
      <w:drawing>
        <wp:anchor distT="0" distB="0" distL="114300" distR="114300" simplePos="0" relativeHeight="251659264" behindDoc="0" locked="0" layoutInCell="1" allowOverlap="1" wp14:anchorId="56CA462D" wp14:editId="075C6D14">
          <wp:simplePos x="0" y="0"/>
          <wp:positionH relativeFrom="column">
            <wp:posOffset>3442970</wp:posOffset>
          </wp:positionH>
          <wp:positionV relativeFrom="paragraph">
            <wp:posOffset>-241300</wp:posOffset>
          </wp:positionV>
          <wp:extent cx="2333625" cy="762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946" t="29534" r="7965" b="29016"/>
                  <a:stretch/>
                </pic:blipFill>
                <pic:spPr bwMode="auto">
                  <a:xfrm>
                    <a:off x="0" y="0"/>
                    <a:ext cx="233362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5262A08"/>
    <w:multiLevelType w:val="hybridMultilevel"/>
    <w:tmpl w:val="A9A490F0"/>
    <w:lvl w:ilvl="0" w:tplc="85825998">
      <w:start w:val="1"/>
      <w:numFmt w:val="bullet"/>
      <w:lvlText w:val="-"/>
      <w:lvlJc w:val="left"/>
      <w:pPr>
        <w:ind w:left="410" w:hanging="360"/>
      </w:pPr>
      <w:rPr>
        <w:rFonts w:ascii="Calibri" w:eastAsiaTheme="minorHAnsi" w:hAnsi="Calibri" w:cs="Calibr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9" w15:restartNumberingAfterBreak="0">
    <w:nsid w:val="07865E14"/>
    <w:multiLevelType w:val="hybridMultilevel"/>
    <w:tmpl w:val="C682264C"/>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10"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0EE51EBF"/>
    <w:multiLevelType w:val="hybridMultilevel"/>
    <w:tmpl w:val="595229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EF10787"/>
    <w:multiLevelType w:val="hybridMultilevel"/>
    <w:tmpl w:val="096A7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5534C"/>
    <w:multiLevelType w:val="hybridMultilevel"/>
    <w:tmpl w:val="6250186C"/>
    <w:lvl w:ilvl="0" w:tplc="5436FB1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9BE08AE"/>
    <w:multiLevelType w:val="hybridMultilevel"/>
    <w:tmpl w:val="7BCCA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C54824"/>
    <w:multiLevelType w:val="hybridMultilevel"/>
    <w:tmpl w:val="BB729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0" w15:restartNumberingAfterBreak="0">
    <w:nsid w:val="720E66A9"/>
    <w:multiLevelType w:val="hybridMultilevel"/>
    <w:tmpl w:val="6A00E0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2" w15:restartNumberingAfterBreak="0">
    <w:nsid w:val="7D9D34A4"/>
    <w:multiLevelType w:val="hybridMultilevel"/>
    <w:tmpl w:val="542476CC"/>
    <w:lvl w:ilvl="0" w:tplc="D6F063D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1668274">
    <w:abstractNumId w:val="5"/>
  </w:num>
  <w:num w:numId="2" w16cid:durableId="727529595">
    <w:abstractNumId w:val="4"/>
  </w:num>
  <w:num w:numId="3" w16cid:durableId="1284573798">
    <w:abstractNumId w:val="3"/>
  </w:num>
  <w:num w:numId="4" w16cid:durableId="1168209370">
    <w:abstractNumId w:val="2"/>
  </w:num>
  <w:num w:numId="5" w16cid:durableId="1891257689">
    <w:abstractNumId w:val="1"/>
  </w:num>
  <w:num w:numId="6" w16cid:durableId="866603710">
    <w:abstractNumId w:val="0"/>
  </w:num>
  <w:num w:numId="7" w16cid:durableId="2122455917">
    <w:abstractNumId w:val="21"/>
  </w:num>
  <w:num w:numId="8" w16cid:durableId="1449813657">
    <w:abstractNumId w:val="23"/>
  </w:num>
  <w:num w:numId="9" w16cid:durableId="502204800">
    <w:abstractNumId w:val="18"/>
  </w:num>
  <w:num w:numId="10" w16cid:durableId="1837108266">
    <w:abstractNumId w:val="13"/>
  </w:num>
  <w:num w:numId="11" w16cid:durableId="512888801">
    <w:abstractNumId w:val="25"/>
  </w:num>
  <w:num w:numId="12" w16cid:durableId="168638352">
    <w:abstractNumId w:val="27"/>
  </w:num>
  <w:num w:numId="13" w16cid:durableId="1908373773">
    <w:abstractNumId w:val="29"/>
  </w:num>
  <w:num w:numId="14" w16cid:durableId="1101413078">
    <w:abstractNumId w:val="7"/>
  </w:num>
  <w:num w:numId="15" w16cid:durableId="1877741849">
    <w:abstractNumId w:val="16"/>
  </w:num>
  <w:num w:numId="16" w16cid:durableId="1711418855">
    <w:abstractNumId w:val="31"/>
  </w:num>
  <w:num w:numId="17" w16cid:durableId="1275939676">
    <w:abstractNumId w:val="28"/>
  </w:num>
  <w:num w:numId="18" w16cid:durableId="1424910228">
    <w:abstractNumId w:val="26"/>
  </w:num>
  <w:num w:numId="19" w16cid:durableId="2066834402">
    <w:abstractNumId w:val="19"/>
  </w:num>
  <w:num w:numId="20" w16cid:durableId="2035304202">
    <w:abstractNumId w:val="17"/>
  </w:num>
  <w:num w:numId="21" w16cid:durableId="1961911404">
    <w:abstractNumId w:val="11"/>
  </w:num>
  <w:num w:numId="22" w16cid:durableId="878592304">
    <w:abstractNumId w:val="6"/>
  </w:num>
  <w:num w:numId="23" w16cid:durableId="1414163412">
    <w:abstractNumId w:val="14"/>
  </w:num>
  <w:num w:numId="24" w16cid:durableId="1638220927">
    <w:abstractNumId w:val="10"/>
  </w:num>
  <w:num w:numId="25" w16cid:durableId="456342735">
    <w:abstractNumId w:val="32"/>
  </w:num>
  <w:num w:numId="26" w16cid:durableId="1780640249">
    <w:abstractNumId w:val="20"/>
  </w:num>
  <w:num w:numId="27" w16cid:durableId="2002852374">
    <w:abstractNumId w:val="8"/>
  </w:num>
  <w:num w:numId="28" w16cid:durableId="361445750">
    <w:abstractNumId w:val="30"/>
  </w:num>
  <w:num w:numId="29" w16cid:durableId="435442085">
    <w:abstractNumId w:val="9"/>
  </w:num>
  <w:num w:numId="30" w16cid:durableId="2074036571">
    <w:abstractNumId w:val="15"/>
  </w:num>
  <w:num w:numId="31" w16cid:durableId="2070303871">
    <w:abstractNumId w:val="22"/>
  </w:num>
  <w:num w:numId="32" w16cid:durableId="1875921890">
    <w:abstractNumId w:val="24"/>
  </w:num>
  <w:num w:numId="33" w16cid:durableId="77332904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07"/>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1D78"/>
    <w:rsid w:val="00076035"/>
    <w:rsid w:val="00077013"/>
    <w:rsid w:val="000872B7"/>
    <w:rsid w:val="00091C3A"/>
    <w:rsid w:val="000D61F6"/>
    <w:rsid w:val="000E3022"/>
    <w:rsid w:val="000E3240"/>
    <w:rsid w:val="000E677B"/>
    <w:rsid w:val="000F4ADF"/>
    <w:rsid w:val="000F61AF"/>
    <w:rsid w:val="0010171C"/>
    <w:rsid w:val="00102FAD"/>
    <w:rsid w:val="00104A25"/>
    <w:rsid w:val="00121870"/>
    <w:rsid w:val="00126FDE"/>
    <w:rsid w:val="0013703F"/>
    <w:rsid w:val="00140ED2"/>
    <w:rsid w:val="00143E7C"/>
    <w:rsid w:val="0014415C"/>
    <w:rsid w:val="0014565E"/>
    <w:rsid w:val="001536C9"/>
    <w:rsid w:val="0016433D"/>
    <w:rsid w:val="001702B8"/>
    <w:rsid w:val="00184C0F"/>
    <w:rsid w:val="00195F71"/>
    <w:rsid w:val="001A1011"/>
    <w:rsid w:val="001A526A"/>
    <w:rsid w:val="001A5F55"/>
    <w:rsid w:val="001B110A"/>
    <w:rsid w:val="001C0031"/>
    <w:rsid w:val="001C0C30"/>
    <w:rsid w:val="001D0111"/>
    <w:rsid w:val="001D7EAE"/>
    <w:rsid w:val="001E64FC"/>
    <w:rsid w:val="001F0724"/>
    <w:rsid w:val="002007DF"/>
    <w:rsid w:val="00205FE8"/>
    <w:rsid w:val="00206BA3"/>
    <w:rsid w:val="00215160"/>
    <w:rsid w:val="002224B4"/>
    <w:rsid w:val="00226D5E"/>
    <w:rsid w:val="00231EDB"/>
    <w:rsid w:val="00237A3D"/>
    <w:rsid w:val="00240E83"/>
    <w:rsid w:val="002502D1"/>
    <w:rsid w:val="00251C56"/>
    <w:rsid w:val="00260A17"/>
    <w:rsid w:val="0026204C"/>
    <w:rsid w:val="00270EEC"/>
    <w:rsid w:val="002770AE"/>
    <w:rsid w:val="002777D8"/>
    <w:rsid w:val="002806A2"/>
    <w:rsid w:val="00297CC7"/>
    <w:rsid w:val="002A194F"/>
    <w:rsid w:val="002A4BD9"/>
    <w:rsid w:val="002A4FE7"/>
    <w:rsid w:val="002B1CEB"/>
    <w:rsid w:val="002D3125"/>
    <w:rsid w:val="002D4F42"/>
    <w:rsid w:val="0030084C"/>
    <w:rsid w:val="003039E1"/>
    <w:rsid w:val="00304BC3"/>
    <w:rsid w:val="003129BA"/>
    <w:rsid w:val="003148FC"/>
    <w:rsid w:val="0032132E"/>
    <w:rsid w:val="00321FD8"/>
    <w:rsid w:val="00330820"/>
    <w:rsid w:val="003465C8"/>
    <w:rsid w:val="00367C9E"/>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1BE4"/>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4EBE"/>
    <w:rsid w:val="00486E6E"/>
    <w:rsid w:val="004875DF"/>
    <w:rsid w:val="00487C1D"/>
    <w:rsid w:val="004912B2"/>
    <w:rsid w:val="00494C6F"/>
    <w:rsid w:val="004A5823"/>
    <w:rsid w:val="004A71D8"/>
    <w:rsid w:val="004B0AAF"/>
    <w:rsid w:val="004B214C"/>
    <w:rsid w:val="004B3924"/>
    <w:rsid w:val="004C431A"/>
    <w:rsid w:val="004C4DDD"/>
    <w:rsid w:val="004C5F40"/>
    <w:rsid w:val="004C6953"/>
    <w:rsid w:val="004C7001"/>
    <w:rsid w:val="004D1706"/>
    <w:rsid w:val="004D243F"/>
    <w:rsid w:val="004D7473"/>
    <w:rsid w:val="004E00A9"/>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17B2"/>
    <w:rsid w:val="00576AAA"/>
    <w:rsid w:val="0058206B"/>
    <w:rsid w:val="00585690"/>
    <w:rsid w:val="00591BDC"/>
    <w:rsid w:val="00594AAA"/>
    <w:rsid w:val="00595B33"/>
    <w:rsid w:val="0059662F"/>
    <w:rsid w:val="005B7254"/>
    <w:rsid w:val="005C7D1A"/>
    <w:rsid w:val="005D3066"/>
    <w:rsid w:val="005D7528"/>
    <w:rsid w:val="005E36BB"/>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04FD"/>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410B7"/>
    <w:rsid w:val="00755142"/>
    <w:rsid w:val="00756BB7"/>
    <w:rsid w:val="0075764B"/>
    <w:rsid w:val="00760C01"/>
    <w:rsid w:val="00761293"/>
    <w:rsid w:val="00767C04"/>
    <w:rsid w:val="007736A2"/>
    <w:rsid w:val="007A6226"/>
    <w:rsid w:val="007B3C61"/>
    <w:rsid w:val="007C7AB8"/>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54D4D"/>
    <w:rsid w:val="00865329"/>
    <w:rsid w:val="00870045"/>
    <w:rsid w:val="00876E5F"/>
    <w:rsid w:val="00884A12"/>
    <w:rsid w:val="00890CE4"/>
    <w:rsid w:val="00891ED7"/>
    <w:rsid w:val="00892532"/>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21BC"/>
    <w:rsid w:val="009440E2"/>
    <w:rsid w:val="0094654B"/>
    <w:rsid w:val="0095112B"/>
    <w:rsid w:val="0095712A"/>
    <w:rsid w:val="00973A6D"/>
    <w:rsid w:val="009804E0"/>
    <w:rsid w:val="00983735"/>
    <w:rsid w:val="009865AA"/>
    <w:rsid w:val="00987080"/>
    <w:rsid w:val="009872F0"/>
    <w:rsid w:val="0098765A"/>
    <w:rsid w:val="00987E5B"/>
    <w:rsid w:val="00991620"/>
    <w:rsid w:val="009968B0"/>
    <w:rsid w:val="009A6CB2"/>
    <w:rsid w:val="009B0982"/>
    <w:rsid w:val="009B4C99"/>
    <w:rsid w:val="009B7AC1"/>
    <w:rsid w:val="009C13FB"/>
    <w:rsid w:val="009D28CF"/>
    <w:rsid w:val="009E57CD"/>
    <w:rsid w:val="009E5D36"/>
    <w:rsid w:val="009E6375"/>
    <w:rsid w:val="009E7CA0"/>
    <w:rsid w:val="00A04392"/>
    <w:rsid w:val="00A069CE"/>
    <w:rsid w:val="00A109D8"/>
    <w:rsid w:val="00A12807"/>
    <w:rsid w:val="00A16003"/>
    <w:rsid w:val="00A167D7"/>
    <w:rsid w:val="00A23D39"/>
    <w:rsid w:val="00A23EC2"/>
    <w:rsid w:val="00A24FBB"/>
    <w:rsid w:val="00A3453E"/>
    <w:rsid w:val="00A356B0"/>
    <w:rsid w:val="00A42ED2"/>
    <w:rsid w:val="00A44B33"/>
    <w:rsid w:val="00A50E00"/>
    <w:rsid w:val="00A52529"/>
    <w:rsid w:val="00A53624"/>
    <w:rsid w:val="00A55EAF"/>
    <w:rsid w:val="00A5766B"/>
    <w:rsid w:val="00A77512"/>
    <w:rsid w:val="00A863E3"/>
    <w:rsid w:val="00A9237D"/>
    <w:rsid w:val="00A94161"/>
    <w:rsid w:val="00A97BFB"/>
    <w:rsid w:val="00AB0BBC"/>
    <w:rsid w:val="00AB3A92"/>
    <w:rsid w:val="00AB478B"/>
    <w:rsid w:val="00AB47AC"/>
    <w:rsid w:val="00AB4AD9"/>
    <w:rsid w:val="00AD6E77"/>
    <w:rsid w:val="00AD7A25"/>
    <w:rsid w:val="00AE2666"/>
    <w:rsid w:val="00AE478C"/>
    <w:rsid w:val="00AF3A5A"/>
    <w:rsid w:val="00AF3E15"/>
    <w:rsid w:val="00AF5125"/>
    <w:rsid w:val="00AF5218"/>
    <w:rsid w:val="00AF60A0"/>
    <w:rsid w:val="00B01A6F"/>
    <w:rsid w:val="00B0480E"/>
    <w:rsid w:val="00B1026A"/>
    <w:rsid w:val="00B21166"/>
    <w:rsid w:val="00B263AE"/>
    <w:rsid w:val="00B33A6C"/>
    <w:rsid w:val="00B33DE9"/>
    <w:rsid w:val="00B42F17"/>
    <w:rsid w:val="00B43A02"/>
    <w:rsid w:val="00B47091"/>
    <w:rsid w:val="00B52F5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C71CE"/>
    <w:rsid w:val="00BD137C"/>
    <w:rsid w:val="00BE3BC7"/>
    <w:rsid w:val="00BF1AB7"/>
    <w:rsid w:val="00BF553C"/>
    <w:rsid w:val="00BF7FE9"/>
    <w:rsid w:val="00C03596"/>
    <w:rsid w:val="00C052AA"/>
    <w:rsid w:val="00C05EEC"/>
    <w:rsid w:val="00C15A13"/>
    <w:rsid w:val="00C20080"/>
    <w:rsid w:val="00C238D9"/>
    <w:rsid w:val="00C24A9D"/>
    <w:rsid w:val="00C2677E"/>
    <w:rsid w:val="00C31542"/>
    <w:rsid w:val="00C41763"/>
    <w:rsid w:val="00C41CCE"/>
    <w:rsid w:val="00C5028E"/>
    <w:rsid w:val="00C54E78"/>
    <w:rsid w:val="00C6078D"/>
    <w:rsid w:val="00C657CF"/>
    <w:rsid w:val="00C80D62"/>
    <w:rsid w:val="00C8388B"/>
    <w:rsid w:val="00C84944"/>
    <w:rsid w:val="00C90217"/>
    <w:rsid w:val="00C96BFD"/>
    <w:rsid w:val="00C96C98"/>
    <w:rsid w:val="00CA5358"/>
    <w:rsid w:val="00CB0B17"/>
    <w:rsid w:val="00CB1DCA"/>
    <w:rsid w:val="00CD1082"/>
    <w:rsid w:val="00CD502A"/>
    <w:rsid w:val="00CE2F9E"/>
    <w:rsid w:val="00CF12CF"/>
    <w:rsid w:val="00CF4BE3"/>
    <w:rsid w:val="00D060D2"/>
    <w:rsid w:val="00D13E2D"/>
    <w:rsid w:val="00D14394"/>
    <w:rsid w:val="00D242CD"/>
    <w:rsid w:val="00D26F74"/>
    <w:rsid w:val="00D341C3"/>
    <w:rsid w:val="00D42843"/>
    <w:rsid w:val="00D46A0A"/>
    <w:rsid w:val="00D5152A"/>
    <w:rsid w:val="00D560EB"/>
    <w:rsid w:val="00D65145"/>
    <w:rsid w:val="00D73D87"/>
    <w:rsid w:val="00D74314"/>
    <w:rsid w:val="00D81410"/>
    <w:rsid w:val="00D92505"/>
    <w:rsid w:val="00DA267C"/>
    <w:rsid w:val="00DA27B3"/>
    <w:rsid w:val="00DA5101"/>
    <w:rsid w:val="00DA79EF"/>
    <w:rsid w:val="00DB0C0B"/>
    <w:rsid w:val="00DB3B74"/>
    <w:rsid w:val="00DC3629"/>
    <w:rsid w:val="00DC42D1"/>
    <w:rsid w:val="00DC5870"/>
    <w:rsid w:val="00DD0384"/>
    <w:rsid w:val="00DD0901"/>
    <w:rsid w:val="00DD4AB0"/>
    <w:rsid w:val="00DE16B6"/>
    <w:rsid w:val="00DE3323"/>
    <w:rsid w:val="00DE36CA"/>
    <w:rsid w:val="00DE7E63"/>
    <w:rsid w:val="00DF77A2"/>
    <w:rsid w:val="00E2633F"/>
    <w:rsid w:val="00E309A9"/>
    <w:rsid w:val="00E367C5"/>
    <w:rsid w:val="00E37E71"/>
    <w:rsid w:val="00E42486"/>
    <w:rsid w:val="00E42847"/>
    <w:rsid w:val="00E46064"/>
    <w:rsid w:val="00E604A1"/>
    <w:rsid w:val="00E61750"/>
    <w:rsid w:val="00E6722C"/>
    <w:rsid w:val="00E7293C"/>
    <w:rsid w:val="00E73AA8"/>
    <w:rsid w:val="00E7561E"/>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4D9"/>
    <w:rsid w:val="00F14CFC"/>
    <w:rsid w:val="00F22E82"/>
    <w:rsid w:val="00F2483A"/>
    <w:rsid w:val="00F337BF"/>
    <w:rsid w:val="00F33D14"/>
    <w:rsid w:val="00F473B6"/>
    <w:rsid w:val="00F52E57"/>
    <w:rsid w:val="00F53E06"/>
    <w:rsid w:val="00F54188"/>
    <w:rsid w:val="00F54CC0"/>
    <w:rsid w:val="00F71849"/>
    <w:rsid w:val="00F71DEE"/>
    <w:rsid w:val="00F727A5"/>
    <w:rsid w:val="00F847A9"/>
    <w:rsid w:val="00FA359E"/>
    <w:rsid w:val="00FA5FE9"/>
    <w:rsid w:val="00FA67D2"/>
    <w:rsid w:val="00FB1990"/>
    <w:rsid w:val="00FB302F"/>
    <w:rsid w:val="00FB5A92"/>
    <w:rsid w:val="00FC1C69"/>
    <w:rsid w:val="00FC3739"/>
    <w:rsid w:val="00FD644D"/>
    <w:rsid w:val="00FE5AD9"/>
    <w:rsid w:val="00FE715B"/>
    <w:rsid w:val="00FE7A33"/>
    <w:rsid w:val="00FF1214"/>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4009B"/>
  <w15:chartTrackingRefBased/>
  <w15:docId w15:val="{1300A82C-087F-4891-9E08-981EC518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customStyle="1" w:styleId="DIATable1">
    <w:name w:val="_DIA Table1"/>
    <w:basedOn w:val="TableNormal"/>
    <w:uiPriority w:val="99"/>
    <w:rsid w:val="00104A25"/>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UnresolvedMention">
    <w:name w:val="Unresolved Mention"/>
    <w:basedOn w:val="DefaultParagraphFont"/>
    <w:uiPriority w:val="99"/>
    <w:semiHidden/>
    <w:unhideWhenUsed/>
    <w:rsid w:val="0027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govt.nz/compliance/amlcf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govt.nz/business/services/cryptocurrenc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BBAD-15AA-427C-B909-20622044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Weekes</dc:creator>
  <cp:keywords/>
  <dc:description/>
  <cp:lastModifiedBy>Julie Ung</cp:lastModifiedBy>
  <cp:revision>3</cp:revision>
  <cp:lastPrinted>2023-08-15T02:47:00Z</cp:lastPrinted>
  <dcterms:created xsi:type="dcterms:W3CDTF">2023-08-15T02:46:00Z</dcterms:created>
  <dcterms:modified xsi:type="dcterms:W3CDTF">2023-08-15T02:47:00Z</dcterms:modified>
</cp:coreProperties>
</file>