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4B" w:rsidRDefault="00C37E4B" w:rsidP="006514D0">
      <w:pPr>
        <w:pStyle w:val="BodyText"/>
        <w:spacing w:after="0" w:line="240" w:lineRule="auto"/>
        <w:rPr>
          <w:rFonts w:ascii="Calibri" w:hAnsi="Calibri"/>
          <w:b/>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8pt;margin-top:39.7pt;width:294.8pt;height:52.3pt;z-index:-251658240;mso-position-horizontal-relative:page;mso-position-vertical-relative:page" wrapcoords="-55 0 -55 21291 21600 21291 21600 0 -55 0">
            <v:imagedata r:id="rId7" o:title=""/>
            <w10:wrap type="tight" anchorx="page" anchory="page"/>
          </v:shape>
        </w:pict>
      </w:r>
    </w:p>
    <w:p w:rsidR="00C37E4B" w:rsidRDefault="00C37E4B" w:rsidP="006514D0">
      <w:pPr>
        <w:pStyle w:val="BodyText"/>
        <w:spacing w:after="0" w:line="240" w:lineRule="auto"/>
        <w:rPr>
          <w:rFonts w:ascii="Calibri" w:hAnsi="Calibri"/>
          <w:b/>
          <w:sz w:val="24"/>
        </w:rPr>
      </w:pPr>
    </w:p>
    <w:p w:rsidR="00C37E4B" w:rsidRDefault="00C37E4B" w:rsidP="006514D0">
      <w:pPr>
        <w:pStyle w:val="BodyText"/>
        <w:spacing w:after="0" w:line="240" w:lineRule="auto"/>
        <w:rPr>
          <w:rFonts w:ascii="Calibri" w:hAnsi="Calibri"/>
          <w:b/>
          <w:sz w:val="24"/>
        </w:rPr>
      </w:pPr>
    </w:p>
    <w:p w:rsidR="00C37E4B" w:rsidRDefault="00C37E4B" w:rsidP="006514D0">
      <w:pPr>
        <w:pStyle w:val="BodyText"/>
        <w:spacing w:after="0" w:line="240" w:lineRule="auto"/>
        <w:rPr>
          <w:rFonts w:ascii="Calibri" w:hAnsi="Calibri"/>
          <w:b/>
          <w:sz w:val="24"/>
        </w:rPr>
      </w:pPr>
    </w:p>
    <w:p w:rsidR="00C37E4B" w:rsidRPr="00697EB0" w:rsidRDefault="00C37E4B" w:rsidP="006514D0">
      <w:pPr>
        <w:pStyle w:val="BodyText"/>
        <w:spacing w:after="0" w:line="240" w:lineRule="auto"/>
        <w:rPr>
          <w:rFonts w:ascii="Calibri" w:hAnsi="Calibri"/>
          <w:b/>
          <w:sz w:val="24"/>
        </w:rPr>
      </w:pPr>
      <w:r w:rsidRPr="00697EB0">
        <w:rPr>
          <w:rFonts w:ascii="Calibri" w:hAnsi="Calibri"/>
          <w:b/>
          <w:sz w:val="24"/>
        </w:rPr>
        <w:t>TAX POOLING</w:t>
      </w:r>
    </w:p>
    <w:p w:rsidR="00C37E4B" w:rsidRPr="00697EB0" w:rsidRDefault="00C37E4B" w:rsidP="006514D0">
      <w:pPr>
        <w:pStyle w:val="BodyText"/>
        <w:spacing w:after="0" w:line="240" w:lineRule="auto"/>
        <w:jc w:val="both"/>
        <w:rPr>
          <w:rFonts w:ascii="Calibri" w:hAnsi="Calibri"/>
          <w:sz w:val="24"/>
        </w:rPr>
      </w:pPr>
    </w:p>
    <w:p w:rsidR="00C37E4B" w:rsidRPr="00697EB0" w:rsidRDefault="00C37E4B" w:rsidP="00C02292">
      <w:pPr>
        <w:pStyle w:val="BodyText"/>
        <w:spacing w:after="0" w:line="240" w:lineRule="auto"/>
        <w:jc w:val="both"/>
        <w:rPr>
          <w:rFonts w:ascii="Calibri" w:hAnsi="Calibri"/>
          <w:sz w:val="24"/>
        </w:rPr>
      </w:pPr>
      <w:r w:rsidRPr="00697EB0">
        <w:rPr>
          <w:rFonts w:ascii="Calibri" w:hAnsi="Calibri"/>
          <w:sz w:val="24"/>
        </w:rPr>
        <w:t xml:space="preserve">The overall risk assessment rating for </w:t>
      </w:r>
      <w:r>
        <w:rPr>
          <w:rFonts w:ascii="Calibri" w:hAnsi="Calibri"/>
          <w:sz w:val="24"/>
        </w:rPr>
        <w:t>Tax Pooling entities</w:t>
      </w:r>
      <w:r w:rsidRPr="00697EB0">
        <w:rPr>
          <w:rFonts w:ascii="Calibri" w:hAnsi="Calibri"/>
          <w:sz w:val="24"/>
        </w:rPr>
        <w:t xml:space="preserve"> is </w:t>
      </w:r>
      <w:r>
        <w:rPr>
          <w:rFonts w:ascii="Calibri" w:hAnsi="Calibri"/>
          <w:b/>
          <w:sz w:val="24"/>
        </w:rPr>
        <w:t>MEDIUM</w:t>
      </w:r>
      <w:r w:rsidRPr="00697EB0">
        <w:rPr>
          <w:rFonts w:ascii="Calibri" w:hAnsi="Calibri"/>
          <w:sz w:val="24"/>
        </w:rPr>
        <w:t>.</w:t>
      </w:r>
    </w:p>
    <w:p w:rsidR="00C37E4B" w:rsidRPr="00697EB0" w:rsidRDefault="00C37E4B" w:rsidP="00C02292">
      <w:pPr>
        <w:pStyle w:val="BodyText"/>
        <w:spacing w:after="0" w:line="240" w:lineRule="auto"/>
        <w:jc w:val="both"/>
        <w:rPr>
          <w:rFonts w:ascii="Calibri" w:hAnsi="Calibri"/>
          <w:b/>
          <w:sz w:val="24"/>
        </w:rPr>
      </w:pPr>
    </w:p>
    <w:p w:rsidR="00C37E4B" w:rsidRDefault="00C37E4B" w:rsidP="00C02292">
      <w:pPr>
        <w:pStyle w:val="BodyText"/>
        <w:spacing w:after="0"/>
        <w:jc w:val="both"/>
        <w:rPr>
          <w:rFonts w:ascii="Calibri" w:hAnsi="Calibri"/>
          <w:sz w:val="24"/>
        </w:rPr>
      </w:pPr>
      <w:r>
        <w:rPr>
          <w:rFonts w:ascii="Calibri" w:hAnsi="Calibri"/>
          <w:sz w:val="24"/>
        </w:rPr>
        <w:t xml:space="preserve">The features identified in the table of this guide will help businesses conduct risk assessments about money laundering and financing of terrorism. </w:t>
      </w:r>
    </w:p>
    <w:p w:rsidR="00C37E4B" w:rsidRDefault="00C37E4B" w:rsidP="00C02292">
      <w:pPr>
        <w:pStyle w:val="BodyText"/>
        <w:spacing w:after="0"/>
        <w:jc w:val="both"/>
        <w:rPr>
          <w:rFonts w:ascii="Calibri" w:hAnsi="Calibri"/>
          <w:sz w:val="24"/>
        </w:rPr>
      </w:pPr>
    </w:p>
    <w:p w:rsidR="00C37E4B" w:rsidRDefault="00C37E4B" w:rsidP="00C02292">
      <w:pPr>
        <w:pStyle w:val="BodyText"/>
        <w:spacing w:after="0"/>
        <w:jc w:val="both"/>
        <w:rPr>
          <w:rFonts w:ascii="Calibri" w:hAnsi="Calibri"/>
          <w:sz w:val="24"/>
        </w:rPr>
      </w:pPr>
      <w:r>
        <w:rPr>
          <w:rFonts w:ascii="Calibri" w:hAnsi="Calibri"/>
          <w:sz w:val="24"/>
        </w:rPr>
        <w:t>They will help you create policies and procedures which accurately reflect how much your business could be affected by money laundering.</w:t>
      </w:r>
    </w:p>
    <w:p w:rsidR="00C37E4B" w:rsidRDefault="00C37E4B" w:rsidP="00C02292">
      <w:pPr>
        <w:pStyle w:val="BodyText"/>
        <w:spacing w:after="0"/>
        <w:jc w:val="both"/>
        <w:rPr>
          <w:rFonts w:ascii="Calibri" w:hAnsi="Calibri"/>
          <w:sz w:val="24"/>
        </w:rPr>
      </w:pPr>
    </w:p>
    <w:p w:rsidR="00C37E4B" w:rsidRDefault="00C37E4B" w:rsidP="00C02292">
      <w:pPr>
        <w:pStyle w:val="BodyText"/>
        <w:spacing w:after="0"/>
        <w:jc w:val="both"/>
        <w:rPr>
          <w:rFonts w:ascii="Calibri" w:hAnsi="Calibri"/>
          <w:sz w:val="24"/>
        </w:rPr>
      </w:pPr>
      <w:r>
        <w:rPr>
          <w:rFonts w:ascii="Calibri" w:hAnsi="Calibri"/>
          <w:sz w:val="24"/>
        </w:rPr>
        <w:t>The table does not cover every way a money launderer may use your business. It reflects ways that money launderers have acted in the past. We encourage you to think about other situations that may apply to your specific business.</w:t>
      </w:r>
    </w:p>
    <w:p w:rsidR="00C37E4B" w:rsidRDefault="00C37E4B" w:rsidP="00C02292">
      <w:pPr>
        <w:pStyle w:val="BodyText"/>
        <w:spacing w:after="0"/>
        <w:jc w:val="both"/>
        <w:rPr>
          <w:rFonts w:ascii="Calibri" w:hAnsi="Calibri"/>
          <w:sz w:val="24"/>
        </w:rPr>
      </w:pPr>
    </w:p>
    <w:p w:rsidR="00C37E4B" w:rsidRDefault="00C37E4B" w:rsidP="00C02292">
      <w:pPr>
        <w:pStyle w:val="BodyText"/>
        <w:spacing w:after="0"/>
        <w:jc w:val="both"/>
        <w:rPr>
          <w:rFonts w:ascii="Calibri" w:hAnsi="Calibri"/>
          <w:sz w:val="24"/>
        </w:rPr>
      </w:pPr>
      <w:r>
        <w:rPr>
          <w:rFonts w:ascii="Calibri" w:hAnsi="Calibri"/>
          <w:sz w:val="24"/>
        </w:rPr>
        <w:t xml:space="preserve">Transactions or activities listed in the table may not necessarily signal money laundering if they are consistent with a customer’s legitimate business. </w:t>
      </w:r>
    </w:p>
    <w:p w:rsidR="00C37E4B" w:rsidRDefault="00C37E4B" w:rsidP="00C02292">
      <w:pPr>
        <w:pStyle w:val="BodyText"/>
        <w:spacing w:after="0" w:line="240" w:lineRule="auto"/>
        <w:jc w:val="both"/>
        <w:rPr>
          <w:rFonts w:ascii="Calibri" w:hAnsi="Calibri"/>
          <w:sz w:val="24"/>
        </w:rPr>
      </w:pPr>
    </w:p>
    <w:p w:rsidR="00C37E4B" w:rsidRDefault="00C37E4B" w:rsidP="00C02292">
      <w:pPr>
        <w:pStyle w:val="BodyText"/>
        <w:spacing w:after="0"/>
        <w:jc w:val="both"/>
        <w:rPr>
          <w:rFonts w:ascii="Calibri" w:hAnsi="Calibri"/>
          <w:sz w:val="24"/>
        </w:rPr>
      </w:pPr>
      <w:r>
        <w:rPr>
          <w:rFonts w:ascii="Calibri" w:hAnsi="Calibri"/>
          <w:sz w:val="24"/>
        </w:rPr>
        <w:t>Based on knowledge of your own business you should decide what risk particular customers or transactions pose and how you can lessen that risk.</w:t>
      </w:r>
    </w:p>
    <w:p w:rsidR="00C37E4B" w:rsidRPr="001E03DC" w:rsidRDefault="00C37E4B" w:rsidP="006514D0">
      <w:pPr>
        <w:pStyle w:val="BodyText"/>
        <w:spacing w:after="0" w:line="240" w:lineRule="auto"/>
        <w:rPr>
          <w:rFonts w:ascii="Calibri" w:hAnsi="Calibri"/>
          <w:b/>
          <w:sz w:val="24"/>
        </w:rPr>
      </w:pPr>
    </w:p>
    <w:tbl>
      <w:tblPr>
        <w:tblW w:w="1008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1800"/>
        <w:gridCol w:w="1620"/>
        <w:gridCol w:w="3240"/>
        <w:gridCol w:w="3420"/>
      </w:tblGrid>
      <w:tr w:rsidR="00C37E4B" w:rsidRPr="00122F59" w:rsidTr="000A31A3">
        <w:trPr>
          <w:tblHeader/>
        </w:trPr>
        <w:tc>
          <w:tcPr>
            <w:tcW w:w="3420" w:type="dxa"/>
            <w:gridSpan w:val="2"/>
            <w:tcBorders>
              <w:top w:val="single" w:sz="4" w:space="0" w:color="auto"/>
            </w:tcBorders>
            <w:shd w:val="clear" w:color="000000" w:fill="E6E6E6"/>
            <w:vAlign w:val="center"/>
          </w:tcPr>
          <w:p w:rsidR="00C37E4B" w:rsidRPr="000A31A3" w:rsidRDefault="00C37E4B" w:rsidP="000A31A3">
            <w:pPr>
              <w:pStyle w:val="BodyText"/>
              <w:spacing w:after="0" w:line="240" w:lineRule="auto"/>
              <w:jc w:val="center"/>
              <w:rPr>
                <w:rFonts w:ascii="Calibri" w:hAnsi="Calibri"/>
                <w:b/>
                <w:bCs/>
              </w:rPr>
            </w:pPr>
          </w:p>
        </w:tc>
        <w:tc>
          <w:tcPr>
            <w:tcW w:w="3240" w:type="dxa"/>
            <w:tcBorders>
              <w:top w:val="single" w:sz="4" w:space="0" w:color="auto"/>
            </w:tcBorders>
            <w:shd w:val="clear" w:color="000000" w:fill="E6E6E6"/>
            <w:vAlign w:val="center"/>
          </w:tcPr>
          <w:p w:rsidR="00C37E4B" w:rsidRPr="000A31A3" w:rsidRDefault="00C37E4B" w:rsidP="000A31A3">
            <w:pPr>
              <w:pStyle w:val="BodyText"/>
              <w:spacing w:after="0" w:line="240" w:lineRule="auto"/>
              <w:jc w:val="center"/>
              <w:rPr>
                <w:rFonts w:ascii="Calibri" w:hAnsi="Calibri"/>
                <w:b/>
                <w:bCs/>
              </w:rPr>
            </w:pPr>
            <w:r w:rsidRPr="000A31A3">
              <w:rPr>
                <w:rFonts w:ascii="Calibri" w:hAnsi="Calibri"/>
                <w:b/>
                <w:bCs/>
                <w:szCs w:val="22"/>
              </w:rPr>
              <w:t>HIGHER RISK CHARACTERISTICS</w:t>
            </w:r>
          </w:p>
        </w:tc>
        <w:tc>
          <w:tcPr>
            <w:tcW w:w="3420" w:type="dxa"/>
            <w:tcBorders>
              <w:top w:val="single" w:sz="4" w:space="0" w:color="auto"/>
            </w:tcBorders>
            <w:shd w:val="clear" w:color="000000" w:fill="E6E6E6"/>
            <w:vAlign w:val="center"/>
          </w:tcPr>
          <w:p w:rsidR="00C37E4B" w:rsidRPr="000A31A3" w:rsidRDefault="00C37E4B" w:rsidP="000A31A3">
            <w:pPr>
              <w:pStyle w:val="BodyText"/>
              <w:spacing w:after="0" w:line="240" w:lineRule="auto"/>
              <w:jc w:val="center"/>
              <w:rPr>
                <w:rFonts w:ascii="Calibri" w:hAnsi="Calibri"/>
                <w:b/>
                <w:bCs/>
              </w:rPr>
            </w:pPr>
            <w:r w:rsidRPr="000A31A3">
              <w:rPr>
                <w:rFonts w:ascii="Calibri" w:hAnsi="Calibri"/>
                <w:b/>
                <w:bCs/>
                <w:szCs w:val="22"/>
              </w:rPr>
              <w:t>LOWER RISK CHARACTERISTICS</w:t>
            </w:r>
          </w:p>
        </w:tc>
      </w:tr>
      <w:tr w:rsidR="00C37E4B" w:rsidRPr="00122F59" w:rsidTr="000A31A3">
        <w:trPr>
          <w:cantSplit/>
          <w:trHeight w:val="410"/>
        </w:trPr>
        <w:tc>
          <w:tcPr>
            <w:tcW w:w="3420" w:type="dxa"/>
            <w:gridSpan w:val="2"/>
            <w:shd w:val="clear" w:color="auto" w:fill="E6E6E6"/>
            <w:vAlign w:val="center"/>
          </w:tcPr>
          <w:p w:rsidR="00C37E4B" w:rsidRPr="000A31A3" w:rsidRDefault="00C37E4B" w:rsidP="000A31A3">
            <w:pPr>
              <w:pStyle w:val="BodyText"/>
              <w:spacing w:after="0" w:line="240" w:lineRule="auto"/>
              <w:rPr>
                <w:rFonts w:ascii="Calibri" w:hAnsi="Calibri"/>
                <w:b/>
              </w:rPr>
            </w:pPr>
            <w:r w:rsidRPr="000A31A3">
              <w:rPr>
                <w:rFonts w:ascii="Calibri" w:hAnsi="Calibri"/>
                <w:b/>
                <w:szCs w:val="22"/>
              </w:rPr>
              <w:t>Scale of Business</w:t>
            </w:r>
          </w:p>
        </w:tc>
        <w:tc>
          <w:tcPr>
            <w:tcW w:w="3240" w:type="dxa"/>
          </w:tcPr>
          <w:p w:rsidR="00C37E4B" w:rsidRPr="000A31A3" w:rsidRDefault="00C37E4B" w:rsidP="000A31A3">
            <w:pPr>
              <w:pStyle w:val="BodyText"/>
              <w:spacing w:after="0" w:line="240" w:lineRule="auto"/>
              <w:rPr>
                <w:rFonts w:ascii="Calibri" w:hAnsi="Calibri"/>
              </w:rPr>
            </w:pPr>
            <w:r w:rsidRPr="000A31A3">
              <w:rPr>
                <w:rFonts w:ascii="Calibri" w:hAnsi="Calibri"/>
                <w:szCs w:val="22"/>
              </w:rPr>
              <w:t>High number/ value of transactions where customers put money through the system for sale or refund;</w:t>
            </w:r>
          </w:p>
        </w:tc>
        <w:tc>
          <w:tcPr>
            <w:tcW w:w="3420" w:type="dxa"/>
          </w:tcPr>
          <w:p w:rsidR="00C37E4B" w:rsidRPr="000A31A3" w:rsidRDefault="00C37E4B" w:rsidP="000A31A3">
            <w:pPr>
              <w:pStyle w:val="BodyText"/>
              <w:spacing w:after="0" w:line="240" w:lineRule="auto"/>
              <w:rPr>
                <w:rFonts w:ascii="Calibri" w:hAnsi="Calibri"/>
              </w:rPr>
            </w:pPr>
            <w:r w:rsidRPr="000A31A3">
              <w:rPr>
                <w:rFonts w:ascii="Calibri" w:hAnsi="Calibri"/>
                <w:szCs w:val="22"/>
              </w:rPr>
              <w:t>Low number/ value of transactions where customers put money through the system for sale or refund;</w:t>
            </w:r>
          </w:p>
        </w:tc>
      </w:tr>
      <w:tr w:rsidR="00C37E4B" w:rsidRPr="00122F59" w:rsidTr="000A31A3">
        <w:trPr>
          <w:cantSplit/>
          <w:trHeight w:val="1280"/>
        </w:trPr>
        <w:tc>
          <w:tcPr>
            <w:tcW w:w="1800" w:type="dxa"/>
            <w:vMerge w:val="restart"/>
            <w:shd w:val="clear" w:color="auto" w:fill="E6E6E6"/>
            <w:vAlign w:val="center"/>
          </w:tcPr>
          <w:p w:rsidR="00C37E4B" w:rsidRPr="000A31A3" w:rsidRDefault="00C37E4B" w:rsidP="000A31A3">
            <w:pPr>
              <w:pStyle w:val="BodyText"/>
              <w:spacing w:after="0" w:line="240" w:lineRule="auto"/>
              <w:rPr>
                <w:rFonts w:ascii="Calibri" w:hAnsi="Calibri"/>
                <w:b/>
              </w:rPr>
            </w:pPr>
            <w:r w:rsidRPr="000A31A3">
              <w:rPr>
                <w:rFonts w:ascii="Calibri" w:hAnsi="Calibri"/>
                <w:b/>
                <w:szCs w:val="22"/>
              </w:rPr>
              <w:t>Types of Transaction (s)</w:t>
            </w:r>
          </w:p>
        </w:tc>
        <w:tc>
          <w:tcPr>
            <w:tcW w:w="1620" w:type="dxa"/>
            <w:vMerge w:val="restart"/>
            <w:vAlign w:val="center"/>
          </w:tcPr>
          <w:p w:rsidR="00C37E4B" w:rsidRPr="000A31A3" w:rsidRDefault="00C37E4B" w:rsidP="000A31A3">
            <w:pPr>
              <w:pStyle w:val="BodyText"/>
              <w:spacing w:after="0" w:line="240" w:lineRule="auto"/>
              <w:rPr>
                <w:rFonts w:ascii="Calibri" w:hAnsi="Calibri"/>
              </w:rPr>
            </w:pPr>
            <w:r w:rsidRPr="000A31A3">
              <w:rPr>
                <w:rFonts w:ascii="Calibri" w:hAnsi="Calibri"/>
                <w:szCs w:val="22"/>
              </w:rPr>
              <w:t>Refund/ Transfer</w:t>
            </w:r>
          </w:p>
        </w:tc>
        <w:tc>
          <w:tcPr>
            <w:tcW w:w="3240" w:type="dxa"/>
          </w:tcPr>
          <w:p w:rsidR="00C37E4B" w:rsidRPr="000A31A3" w:rsidRDefault="00C37E4B" w:rsidP="000A31A3">
            <w:pPr>
              <w:pStyle w:val="BodyText"/>
              <w:spacing w:after="0" w:line="240" w:lineRule="auto"/>
              <w:rPr>
                <w:rFonts w:ascii="Calibri" w:hAnsi="Calibri"/>
              </w:rPr>
            </w:pPr>
            <w:r w:rsidRPr="000A31A3">
              <w:rPr>
                <w:rFonts w:ascii="Calibri" w:hAnsi="Calibri"/>
                <w:szCs w:val="22"/>
                <w:lang w:val="en-GB" w:eastAsia="en-GB"/>
              </w:rPr>
              <w:t>Where customers can ask for a refund of their payments, customers may</w:t>
            </w:r>
            <w:r w:rsidRPr="000A31A3">
              <w:rPr>
                <w:rFonts w:ascii="Calibri" w:hAnsi="Calibri"/>
                <w:szCs w:val="22"/>
              </w:rPr>
              <w:t xml:space="preserve"> deposit money and then seek a refund of funds held in a tax pool account either immediately or after some years;</w:t>
            </w:r>
          </w:p>
        </w:tc>
        <w:tc>
          <w:tcPr>
            <w:tcW w:w="3420" w:type="dxa"/>
          </w:tcPr>
          <w:p w:rsidR="00C37E4B" w:rsidRPr="000A31A3" w:rsidRDefault="00C37E4B" w:rsidP="000A31A3">
            <w:pPr>
              <w:pStyle w:val="BodyText"/>
              <w:spacing w:after="0" w:line="240" w:lineRule="auto"/>
              <w:rPr>
                <w:rFonts w:ascii="Calibri" w:hAnsi="Calibri"/>
              </w:rPr>
            </w:pPr>
            <w:r w:rsidRPr="000A31A3">
              <w:rPr>
                <w:rFonts w:ascii="Calibri" w:hAnsi="Calibri"/>
                <w:szCs w:val="22"/>
              </w:rPr>
              <w:t>Funds to be transferred out of a tax pool which are matched against a known tax debt;</w:t>
            </w:r>
          </w:p>
          <w:p w:rsidR="00C37E4B" w:rsidRPr="000A31A3" w:rsidRDefault="00C37E4B" w:rsidP="000A31A3">
            <w:pPr>
              <w:pStyle w:val="BodyText"/>
              <w:spacing w:after="0" w:line="240" w:lineRule="auto"/>
              <w:rPr>
                <w:rFonts w:ascii="Calibri" w:hAnsi="Calibri"/>
              </w:rPr>
            </w:pPr>
          </w:p>
        </w:tc>
      </w:tr>
      <w:tr w:rsidR="00C37E4B" w:rsidRPr="00122F59" w:rsidTr="000A31A3">
        <w:trPr>
          <w:cantSplit/>
          <w:trHeight w:val="260"/>
        </w:trPr>
        <w:tc>
          <w:tcPr>
            <w:tcW w:w="1800" w:type="dxa"/>
            <w:vMerge/>
            <w:shd w:val="clear" w:color="auto" w:fill="E6E6E6"/>
            <w:vAlign w:val="center"/>
          </w:tcPr>
          <w:p w:rsidR="00C37E4B" w:rsidRPr="000A31A3" w:rsidRDefault="00C37E4B" w:rsidP="000A31A3">
            <w:pPr>
              <w:pStyle w:val="BodyText"/>
              <w:spacing w:after="0" w:line="240" w:lineRule="auto"/>
              <w:rPr>
                <w:rFonts w:ascii="Calibri" w:hAnsi="Calibri"/>
                <w:b/>
              </w:rPr>
            </w:pPr>
          </w:p>
        </w:tc>
        <w:tc>
          <w:tcPr>
            <w:tcW w:w="1620" w:type="dxa"/>
            <w:vMerge/>
            <w:vAlign w:val="center"/>
          </w:tcPr>
          <w:p w:rsidR="00C37E4B" w:rsidRPr="000A31A3" w:rsidRDefault="00C37E4B" w:rsidP="000A31A3">
            <w:pPr>
              <w:pStyle w:val="BodyText"/>
              <w:spacing w:after="0" w:line="240" w:lineRule="auto"/>
              <w:rPr>
                <w:rFonts w:ascii="Calibri" w:hAnsi="Calibri"/>
              </w:rPr>
            </w:pPr>
          </w:p>
        </w:tc>
        <w:tc>
          <w:tcPr>
            <w:tcW w:w="3240" w:type="dxa"/>
          </w:tcPr>
          <w:p w:rsidR="00C37E4B" w:rsidRPr="000A31A3" w:rsidRDefault="00C37E4B" w:rsidP="000A31A3">
            <w:pPr>
              <w:pStyle w:val="BodyText"/>
              <w:spacing w:after="0" w:line="240" w:lineRule="auto"/>
              <w:rPr>
                <w:rFonts w:ascii="Calibri" w:hAnsi="Calibri"/>
              </w:rPr>
            </w:pPr>
            <w:r w:rsidRPr="000A31A3">
              <w:rPr>
                <w:rFonts w:ascii="Calibri" w:hAnsi="Calibri"/>
                <w:szCs w:val="22"/>
              </w:rPr>
              <w:t>People transferring money out of a tax pool to cover a tax debt before a return is filed,</w:t>
            </w:r>
            <w:r>
              <w:rPr>
                <w:rFonts w:ascii="Calibri" w:hAnsi="Calibri"/>
                <w:szCs w:val="22"/>
              </w:rPr>
              <w:t xml:space="preserve"> </w:t>
            </w:r>
            <w:r w:rsidRPr="000A31A3">
              <w:rPr>
                <w:rFonts w:ascii="Calibri" w:hAnsi="Calibri"/>
                <w:szCs w:val="22"/>
              </w:rPr>
              <w:t>and the actual liability is less than the tax transferred out and the customer then wants a refund.</w:t>
            </w:r>
          </w:p>
        </w:tc>
        <w:tc>
          <w:tcPr>
            <w:tcW w:w="3420" w:type="dxa"/>
          </w:tcPr>
          <w:p w:rsidR="00C37E4B" w:rsidRPr="000A31A3" w:rsidRDefault="00C37E4B" w:rsidP="000A31A3">
            <w:pPr>
              <w:pStyle w:val="BodyText"/>
              <w:spacing w:after="0" w:line="240" w:lineRule="auto"/>
              <w:rPr>
                <w:rFonts w:ascii="Calibri" w:hAnsi="Calibri"/>
              </w:rPr>
            </w:pPr>
            <w:r w:rsidRPr="000A31A3">
              <w:rPr>
                <w:rFonts w:ascii="Calibri" w:hAnsi="Calibri"/>
              </w:rPr>
              <w:t>Most pool holdings being traded or transferred to the customer’s IRD number. Where funds are transferred from the tax pool to an IRD account, the IRD has processes in place to ensure the transfer only goes through if there is an actual or presumed tax liability present;</w:t>
            </w:r>
          </w:p>
        </w:tc>
      </w:tr>
      <w:tr w:rsidR="00C37E4B" w:rsidRPr="00122F59" w:rsidTr="000A31A3">
        <w:trPr>
          <w:cantSplit/>
          <w:trHeight w:val="1390"/>
        </w:trPr>
        <w:tc>
          <w:tcPr>
            <w:tcW w:w="1800" w:type="dxa"/>
            <w:vMerge/>
            <w:shd w:val="clear" w:color="auto" w:fill="E6E6E6"/>
            <w:vAlign w:val="center"/>
          </w:tcPr>
          <w:p w:rsidR="00C37E4B" w:rsidRPr="000A31A3" w:rsidRDefault="00C37E4B" w:rsidP="000A31A3">
            <w:pPr>
              <w:pStyle w:val="BodyText"/>
              <w:spacing w:after="0" w:line="240" w:lineRule="auto"/>
              <w:rPr>
                <w:rFonts w:ascii="Calibri" w:hAnsi="Calibri"/>
                <w:b/>
              </w:rPr>
            </w:pPr>
          </w:p>
        </w:tc>
        <w:tc>
          <w:tcPr>
            <w:tcW w:w="1620" w:type="dxa"/>
            <w:vMerge w:val="restart"/>
            <w:vAlign w:val="center"/>
          </w:tcPr>
          <w:p w:rsidR="00C37E4B" w:rsidRPr="000A31A3" w:rsidRDefault="00C37E4B" w:rsidP="000A31A3">
            <w:pPr>
              <w:pStyle w:val="BodyText"/>
              <w:spacing w:after="0" w:line="240" w:lineRule="auto"/>
              <w:rPr>
                <w:rFonts w:ascii="Calibri" w:hAnsi="Calibri"/>
              </w:rPr>
            </w:pPr>
            <w:smartTag w:uri="urn:schemas-microsoft-com:office:smarttags" w:element="City">
              <w:smartTag w:uri="urn:schemas-microsoft-com:office:smarttags" w:element="country-region">
                <w:smartTag w:uri="urn:schemas-microsoft-com:office:smarttags" w:element="place">
                  <w:r w:rsidRPr="000A31A3">
                    <w:rPr>
                      <w:rFonts w:ascii="Calibri" w:hAnsi="Calibri"/>
                      <w:szCs w:val="22"/>
                    </w:rPr>
                    <w:t>Sale</w:t>
                  </w:r>
                </w:smartTag>
              </w:smartTag>
            </w:smartTag>
          </w:p>
        </w:tc>
        <w:tc>
          <w:tcPr>
            <w:tcW w:w="3240" w:type="dxa"/>
          </w:tcPr>
          <w:p w:rsidR="00C37E4B" w:rsidRPr="000A31A3" w:rsidRDefault="00C37E4B" w:rsidP="000A31A3">
            <w:pPr>
              <w:pStyle w:val="BodyText"/>
              <w:spacing w:after="0" w:line="240" w:lineRule="auto"/>
              <w:rPr>
                <w:rFonts w:ascii="Calibri" w:hAnsi="Calibri"/>
                <w:b/>
              </w:rPr>
            </w:pPr>
            <w:r w:rsidRPr="000A31A3">
              <w:rPr>
                <w:rFonts w:ascii="Calibri" w:hAnsi="Calibri"/>
                <w:szCs w:val="22"/>
              </w:rPr>
              <w:t>People depositing money and then putting it up for sale, particularly after the tax return is  filed where the amount for sale is a significant sum;</w:t>
            </w:r>
          </w:p>
        </w:tc>
        <w:tc>
          <w:tcPr>
            <w:tcW w:w="3420" w:type="dxa"/>
          </w:tcPr>
          <w:p w:rsidR="00C37E4B" w:rsidRPr="000A31A3" w:rsidRDefault="00C37E4B" w:rsidP="000A31A3">
            <w:pPr>
              <w:pStyle w:val="BodyText"/>
              <w:spacing w:after="0" w:line="240" w:lineRule="auto"/>
              <w:rPr>
                <w:rFonts w:ascii="Calibri" w:hAnsi="Calibri"/>
              </w:rPr>
            </w:pPr>
            <w:r w:rsidRPr="000A31A3">
              <w:rPr>
                <w:rFonts w:ascii="Calibri" w:hAnsi="Calibri"/>
                <w:szCs w:val="22"/>
              </w:rPr>
              <w:t>The amount for sale relative to the tax debt is small;</w:t>
            </w:r>
          </w:p>
        </w:tc>
      </w:tr>
      <w:tr w:rsidR="00C37E4B" w:rsidRPr="00122F59" w:rsidTr="000A31A3">
        <w:trPr>
          <w:cantSplit/>
          <w:trHeight w:val="382"/>
        </w:trPr>
        <w:tc>
          <w:tcPr>
            <w:tcW w:w="1800" w:type="dxa"/>
            <w:vMerge/>
            <w:tcBorders>
              <w:bottom w:val="single" w:sz="4" w:space="0" w:color="auto"/>
            </w:tcBorders>
            <w:shd w:val="clear" w:color="auto" w:fill="E6E6E6"/>
            <w:vAlign w:val="center"/>
          </w:tcPr>
          <w:p w:rsidR="00C37E4B" w:rsidRPr="000A31A3" w:rsidRDefault="00C37E4B" w:rsidP="000A31A3">
            <w:pPr>
              <w:pStyle w:val="BodyText"/>
              <w:spacing w:after="0" w:line="240" w:lineRule="auto"/>
              <w:rPr>
                <w:rFonts w:ascii="Calibri" w:hAnsi="Calibri"/>
                <w:b/>
              </w:rPr>
            </w:pPr>
          </w:p>
        </w:tc>
        <w:tc>
          <w:tcPr>
            <w:tcW w:w="1620" w:type="dxa"/>
            <w:vMerge/>
            <w:tcBorders>
              <w:bottom w:val="single" w:sz="4" w:space="0" w:color="auto"/>
            </w:tcBorders>
            <w:vAlign w:val="center"/>
          </w:tcPr>
          <w:p w:rsidR="00C37E4B" w:rsidRPr="000A31A3" w:rsidRDefault="00C37E4B" w:rsidP="000A31A3">
            <w:pPr>
              <w:pStyle w:val="BodyText"/>
              <w:spacing w:after="0" w:line="240" w:lineRule="auto"/>
              <w:rPr>
                <w:rFonts w:ascii="Calibri" w:hAnsi="Calibri"/>
              </w:rPr>
            </w:pPr>
          </w:p>
        </w:tc>
        <w:tc>
          <w:tcPr>
            <w:tcW w:w="3240" w:type="dxa"/>
            <w:tcBorders>
              <w:bottom w:val="single" w:sz="4" w:space="0" w:color="auto"/>
            </w:tcBorders>
            <w:vAlign w:val="center"/>
          </w:tcPr>
          <w:p w:rsidR="00C37E4B" w:rsidRPr="000A31A3" w:rsidRDefault="00C37E4B" w:rsidP="000A31A3">
            <w:pPr>
              <w:pStyle w:val="BodyText"/>
              <w:spacing w:after="0" w:line="240" w:lineRule="auto"/>
              <w:rPr>
                <w:rFonts w:ascii="Calibri" w:hAnsi="Calibri"/>
              </w:rPr>
            </w:pPr>
            <w:r w:rsidRPr="000A31A3">
              <w:rPr>
                <w:rFonts w:ascii="Calibri" w:hAnsi="Calibri"/>
                <w:szCs w:val="22"/>
              </w:rPr>
              <w:t>Buying tax cr</w:t>
            </w:r>
            <w:r>
              <w:rPr>
                <w:rFonts w:ascii="Calibri" w:hAnsi="Calibri"/>
                <w:szCs w:val="22"/>
              </w:rPr>
              <w:t>edits including other tax types</w:t>
            </w:r>
            <w:r w:rsidRPr="000A31A3">
              <w:rPr>
                <w:rFonts w:ascii="Calibri" w:hAnsi="Calibri"/>
                <w:szCs w:val="22"/>
              </w:rPr>
              <w:t xml:space="preserve"> such as GST;</w:t>
            </w:r>
          </w:p>
        </w:tc>
        <w:tc>
          <w:tcPr>
            <w:tcW w:w="3420" w:type="dxa"/>
            <w:tcBorders>
              <w:bottom w:val="single" w:sz="4" w:space="0" w:color="auto"/>
            </w:tcBorders>
          </w:tcPr>
          <w:p w:rsidR="00C37E4B" w:rsidRPr="000A31A3" w:rsidRDefault="00C37E4B" w:rsidP="000A31A3">
            <w:pPr>
              <w:pStyle w:val="BodyText"/>
              <w:spacing w:after="0" w:line="240" w:lineRule="auto"/>
              <w:rPr>
                <w:rFonts w:ascii="Calibri" w:hAnsi="Calibri"/>
              </w:rPr>
            </w:pPr>
          </w:p>
        </w:tc>
      </w:tr>
    </w:tbl>
    <w:p w:rsidR="00C37E4B" w:rsidRPr="00122F59" w:rsidRDefault="00C37E4B" w:rsidP="004048AE">
      <w:pPr>
        <w:pStyle w:val="BodyText"/>
        <w:tabs>
          <w:tab w:val="left" w:pos="360"/>
        </w:tabs>
        <w:spacing w:after="0" w:line="240" w:lineRule="auto"/>
        <w:rPr>
          <w:rFonts w:ascii="Calibri" w:hAnsi="Calibri"/>
          <w:szCs w:val="22"/>
        </w:rPr>
      </w:pPr>
    </w:p>
    <w:sectPr w:rsidR="00C37E4B" w:rsidRPr="00122F59" w:rsidSect="004048AE">
      <w:footerReference w:type="even" r:id="rId8"/>
      <w:footerReference w:type="default" r:id="rId9"/>
      <w:footerReference w:type="first" r:id="rId10"/>
      <w:pgSz w:w="11907" w:h="16840"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E4B" w:rsidRDefault="00C37E4B">
      <w:r>
        <w:separator/>
      </w:r>
    </w:p>
  </w:endnote>
  <w:endnote w:type="continuationSeparator" w:id="0">
    <w:p w:rsidR="00C37E4B" w:rsidRDefault="00C37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B" w:rsidRDefault="00C37E4B" w:rsidP="00774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E4B" w:rsidRDefault="00C37E4B"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B" w:rsidRDefault="00C37E4B" w:rsidP="00774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7E4B" w:rsidRPr="006F110B" w:rsidRDefault="00C37E4B" w:rsidP="007742E2">
    <w:pPr>
      <w:jc w:val="right"/>
      <w:rPr>
        <w:rFonts w:ascii="Calibri" w:hAnsi="Calibri"/>
        <w:i/>
        <w:sz w:val="18"/>
        <w:szCs w:val="18"/>
      </w:rPr>
    </w:pPr>
    <w:r w:rsidRPr="006F110B">
      <w:rPr>
        <w:rFonts w:ascii="Calibri" w:hAnsi="Calibri"/>
        <w:i/>
        <w:sz w:val="18"/>
        <w:szCs w:val="18"/>
      </w:rPr>
      <w:t>Department of Internal Affairs Te Tari Taiwhenua</w:t>
    </w:r>
  </w:p>
  <w:p w:rsidR="00C37E4B" w:rsidRPr="007742E2" w:rsidRDefault="00C37E4B" w:rsidP="007742E2">
    <w:pPr>
      <w:pStyle w:val="Footer"/>
      <w:jc w:val="right"/>
      <w:rPr>
        <w:rFonts w:ascii="Calibri" w:hAnsi="Calibri"/>
        <w:i/>
      </w:rPr>
    </w:pPr>
    <w:r w:rsidRPr="006F110B">
      <w:rPr>
        <w:rFonts w:ascii="Calibri" w:hAnsi="Calibri"/>
        <w:i/>
      </w:rPr>
      <w:t>April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B" w:rsidRPr="006F110B" w:rsidRDefault="00C37E4B" w:rsidP="007742E2">
    <w:pPr>
      <w:jc w:val="right"/>
      <w:rPr>
        <w:rFonts w:ascii="Calibri" w:hAnsi="Calibri"/>
        <w:i/>
        <w:sz w:val="18"/>
        <w:szCs w:val="18"/>
      </w:rPr>
    </w:pPr>
    <w:r w:rsidRPr="006F110B">
      <w:rPr>
        <w:rFonts w:ascii="Calibri" w:hAnsi="Calibri"/>
        <w:i/>
        <w:sz w:val="18"/>
        <w:szCs w:val="18"/>
      </w:rPr>
      <w:t>Department of Internal Affairs Te Tari Taiwhenua</w:t>
    </w:r>
  </w:p>
  <w:p w:rsidR="00C37E4B" w:rsidRPr="007742E2" w:rsidRDefault="00C37E4B" w:rsidP="007742E2">
    <w:pPr>
      <w:pStyle w:val="Footer"/>
      <w:jc w:val="right"/>
      <w:rPr>
        <w:rFonts w:ascii="Calibri" w:hAnsi="Calibri"/>
        <w:i/>
      </w:rPr>
    </w:pPr>
    <w:r w:rsidRPr="006F110B">
      <w:rPr>
        <w:rFonts w:ascii="Calibri" w:hAnsi="Calibri"/>
        <w:i/>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E4B" w:rsidRDefault="00C37E4B">
      <w:r>
        <w:separator/>
      </w:r>
    </w:p>
  </w:footnote>
  <w:footnote w:type="continuationSeparator" w:id="0">
    <w:p w:rsidR="00C37E4B" w:rsidRDefault="00C37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3A5055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2">
    <w:nsid w:val="0A312BB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B347CB8"/>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5">
    <w:nsid w:val="14AE0C1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495455"/>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3312765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93A1BA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441B0A2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6771346F"/>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7"/>
  </w:num>
  <w:num w:numId="42">
    <w:abstractNumId w:val="14"/>
  </w:num>
  <w:num w:numId="43">
    <w:abstractNumId w:val="11"/>
  </w:num>
  <w:num w:numId="44">
    <w:abstractNumId w:val="24"/>
  </w:num>
  <w:num w:numId="45">
    <w:abstractNumId w:val="22"/>
  </w:num>
  <w:num w:numId="46">
    <w:abstractNumId w:val="21"/>
  </w:num>
  <w:num w:numId="47">
    <w:abstractNumId w:val="19"/>
  </w:num>
  <w:num w:numId="48">
    <w:abstractNumId w:val="23"/>
  </w:num>
  <w:num w:numId="49">
    <w:abstractNumId w:val="17"/>
  </w:num>
  <w:num w:numId="50">
    <w:abstractNumId w:val="18"/>
  </w:num>
  <w:num w:numId="51">
    <w:abstractNumId w:val="16"/>
  </w:num>
  <w:num w:numId="52">
    <w:abstractNumId w:val="13"/>
  </w:num>
  <w:num w:numId="53">
    <w:abstractNumId w:val="10"/>
  </w:num>
  <w:num w:numId="54">
    <w:abstractNumId w:val="12"/>
  </w:num>
  <w:num w:numId="55">
    <w:abstractNumId w:val="15"/>
  </w:num>
  <w:num w:numId="56">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3360"/>
    <w:rsid w:val="000162AC"/>
    <w:rsid w:val="00016F40"/>
    <w:rsid w:val="00020010"/>
    <w:rsid w:val="00034673"/>
    <w:rsid w:val="00037757"/>
    <w:rsid w:val="0004101B"/>
    <w:rsid w:val="00044EA1"/>
    <w:rsid w:val="00074132"/>
    <w:rsid w:val="00077013"/>
    <w:rsid w:val="000A1121"/>
    <w:rsid w:val="000A12D6"/>
    <w:rsid w:val="000A31A3"/>
    <w:rsid w:val="000E677B"/>
    <w:rsid w:val="000F4F75"/>
    <w:rsid w:val="000F61AF"/>
    <w:rsid w:val="0010171C"/>
    <w:rsid w:val="00102FAD"/>
    <w:rsid w:val="00103A3F"/>
    <w:rsid w:val="00114E65"/>
    <w:rsid w:val="00116D3E"/>
    <w:rsid w:val="00122F59"/>
    <w:rsid w:val="00135D39"/>
    <w:rsid w:val="0014740D"/>
    <w:rsid w:val="00161ADB"/>
    <w:rsid w:val="00184A9A"/>
    <w:rsid w:val="00193844"/>
    <w:rsid w:val="001C0031"/>
    <w:rsid w:val="001C3AE4"/>
    <w:rsid w:val="001D0111"/>
    <w:rsid w:val="001E03DC"/>
    <w:rsid w:val="001F28E2"/>
    <w:rsid w:val="001F2F80"/>
    <w:rsid w:val="00206BA3"/>
    <w:rsid w:val="00215160"/>
    <w:rsid w:val="002224B4"/>
    <w:rsid w:val="0023251E"/>
    <w:rsid w:val="00237A3D"/>
    <w:rsid w:val="002502D1"/>
    <w:rsid w:val="00270EEC"/>
    <w:rsid w:val="002806A2"/>
    <w:rsid w:val="00282339"/>
    <w:rsid w:val="00297CC7"/>
    <w:rsid w:val="002A113E"/>
    <w:rsid w:val="002A4BD9"/>
    <w:rsid w:val="002A4FE7"/>
    <w:rsid w:val="002D39F8"/>
    <w:rsid w:val="00330820"/>
    <w:rsid w:val="00351A6D"/>
    <w:rsid w:val="00370FC0"/>
    <w:rsid w:val="003A0E78"/>
    <w:rsid w:val="003B3A23"/>
    <w:rsid w:val="003F5886"/>
    <w:rsid w:val="00403A40"/>
    <w:rsid w:val="004048AE"/>
    <w:rsid w:val="0040700B"/>
    <w:rsid w:val="00407F54"/>
    <w:rsid w:val="00415CDB"/>
    <w:rsid w:val="0042551E"/>
    <w:rsid w:val="004552A0"/>
    <w:rsid w:val="00460A83"/>
    <w:rsid w:val="00465058"/>
    <w:rsid w:val="00477619"/>
    <w:rsid w:val="00486E6E"/>
    <w:rsid w:val="004878D2"/>
    <w:rsid w:val="004D1706"/>
    <w:rsid w:val="004D243F"/>
    <w:rsid w:val="004D598F"/>
    <w:rsid w:val="004E46A3"/>
    <w:rsid w:val="005053F6"/>
    <w:rsid w:val="00513609"/>
    <w:rsid w:val="00517F47"/>
    <w:rsid w:val="0052216D"/>
    <w:rsid w:val="005225A2"/>
    <w:rsid w:val="00526115"/>
    <w:rsid w:val="005366B6"/>
    <w:rsid w:val="00565B84"/>
    <w:rsid w:val="00570C00"/>
    <w:rsid w:val="0058206B"/>
    <w:rsid w:val="0059662F"/>
    <w:rsid w:val="005E4C02"/>
    <w:rsid w:val="00600CA4"/>
    <w:rsid w:val="00602416"/>
    <w:rsid w:val="006041F2"/>
    <w:rsid w:val="00630711"/>
    <w:rsid w:val="006514D0"/>
    <w:rsid w:val="00662716"/>
    <w:rsid w:val="006755D5"/>
    <w:rsid w:val="00677B13"/>
    <w:rsid w:val="00677F4E"/>
    <w:rsid w:val="00685ECF"/>
    <w:rsid w:val="00687CEA"/>
    <w:rsid w:val="00695B75"/>
    <w:rsid w:val="00697EB0"/>
    <w:rsid w:val="006D5B4B"/>
    <w:rsid w:val="006D638F"/>
    <w:rsid w:val="006F110B"/>
    <w:rsid w:val="007068C8"/>
    <w:rsid w:val="0075764B"/>
    <w:rsid w:val="00760C01"/>
    <w:rsid w:val="00767C04"/>
    <w:rsid w:val="007742E2"/>
    <w:rsid w:val="007835A6"/>
    <w:rsid w:val="00794D64"/>
    <w:rsid w:val="007A5DCB"/>
    <w:rsid w:val="007A6226"/>
    <w:rsid w:val="007C2908"/>
    <w:rsid w:val="007C644E"/>
    <w:rsid w:val="007D1918"/>
    <w:rsid w:val="00834ED1"/>
    <w:rsid w:val="00843D71"/>
    <w:rsid w:val="008645EF"/>
    <w:rsid w:val="00870045"/>
    <w:rsid w:val="008A1919"/>
    <w:rsid w:val="008C3187"/>
    <w:rsid w:val="008D63B7"/>
    <w:rsid w:val="008E7FEE"/>
    <w:rsid w:val="008F67F5"/>
    <w:rsid w:val="008F6BCE"/>
    <w:rsid w:val="00900D4B"/>
    <w:rsid w:val="009017C6"/>
    <w:rsid w:val="00904BFB"/>
    <w:rsid w:val="00927482"/>
    <w:rsid w:val="0095112B"/>
    <w:rsid w:val="009968B0"/>
    <w:rsid w:val="009D2EA6"/>
    <w:rsid w:val="009D350C"/>
    <w:rsid w:val="00A04392"/>
    <w:rsid w:val="00A12F83"/>
    <w:rsid w:val="00A16003"/>
    <w:rsid w:val="00A24FBB"/>
    <w:rsid w:val="00A350DB"/>
    <w:rsid w:val="00A42ED2"/>
    <w:rsid w:val="00A50E00"/>
    <w:rsid w:val="00A53624"/>
    <w:rsid w:val="00AB478B"/>
    <w:rsid w:val="00AB4AD9"/>
    <w:rsid w:val="00AC2D51"/>
    <w:rsid w:val="00AD6E77"/>
    <w:rsid w:val="00AF5218"/>
    <w:rsid w:val="00B263AE"/>
    <w:rsid w:val="00B47091"/>
    <w:rsid w:val="00B65857"/>
    <w:rsid w:val="00B66698"/>
    <w:rsid w:val="00B812F6"/>
    <w:rsid w:val="00B84350"/>
    <w:rsid w:val="00B855A6"/>
    <w:rsid w:val="00B91098"/>
    <w:rsid w:val="00B92735"/>
    <w:rsid w:val="00BA12AB"/>
    <w:rsid w:val="00BA291A"/>
    <w:rsid w:val="00BB60C6"/>
    <w:rsid w:val="00BC24B7"/>
    <w:rsid w:val="00BD137C"/>
    <w:rsid w:val="00C02292"/>
    <w:rsid w:val="00C03596"/>
    <w:rsid w:val="00C238D9"/>
    <w:rsid w:val="00C24A26"/>
    <w:rsid w:val="00C24A9D"/>
    <w:rsid w:val="00C2677E"/>
    <w:rsid w:val="00C37E4B"/>
    <w:rsid w:val="00C60C02"/>
    <w:rsid w:val="00C80D62"/>
    <w:rsid w:val="00C80DB1"/>
    <w:rsid w:val="00C96BFD"/>
    <w:rsid w:val="00CD502A"/>
    <w:rsid w:val="00CF20CE"/>
    <w:rsid w:val="00D242CD"/>
    <w:rsid w:val="00D2637F"/>
    <w:rsid w:val="00D341C3"/>
    <w:rsid w:val="00D42843"/>
    <w:rsid w:val="00D5152A"/>
    <w:rsid w:val="00D65145"/>
    <w:rsid w:val="00D74314"/>
    <w:rsid w:val="00D745F6"/>
    <w:rsid w:val="00D96EB8"/>
    <w:rsid w:val="00DA5101"/>
    <w:rsid w:val="00DA79EF"/>
    <w:rsid w:val="00DB0C0B"/>
    <w:rsid w:val="00DB3B74"/>
    <w:rsid w:val="00DD0901"/>
    <w:rsid w:val="00DD1F51"/>
    <w:rsid w:val="00DE16B6"/>
    <w:rsid w:val="00DE339C"/>
    <w:rsid w:val="00DE36CA"/>
    <w:rsid w:val="00E01BE9"/>
    <w:rsid w:val="00E371F4"/>
    <w:rsid w:val="00E37E71"/>
    <w:rsid w:val="00E42847"/>
    <w:rsid w:val="00E62940"/>
    <w:rsid w:val="00E73AA8"/>
    <w:rsid w:val="00E80228"/>
    <w:rsid w:val="00E87712"/>
    <w:rsid w:val="00EA2ED4"/>
    <w:rsid w:val="00EA491A"/>
    <w:rsid w:val="00ED4F31"/>
    <w:rsid w:val="00EF63C6"/>
    <w:rsid w:val="00F001BC"/>
    <w:rsid w:val="00F034FB"/>
    <w:rsid w:val="00F1075A"/>
    <w:rsid w:val="00F22E82"/>
    <w:rsid w:val="00F33D14"/>
    <w:rsid w:val="00F473B6"/>
    <w:rsid w:val="00F51E46"/>
    <w:rsid w:val="00F53E06"/>
    <w:rsid w:val="00F54188"/>
    <w:rsid w:val="00F64252"/>
    <w:rsid w:val="00F72B47"/>
    <w:rsid w:val="00F90324"/>
    <w:rsid w:val="00FA67D2"/>
    <w:rsid w:val="00FB5A92"/>
    <w:rsid w:val="00FE7A3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3844"/>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193844"/>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193844"/>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193844"/>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193844"/>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193844"/>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193844"/>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193844"/>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locked/>
    <w:rsid w:val="00834ED1"/>
    <w:rPr>
      <w:rFonts w:ascii="Arial" w:hAnsi="Arial" w:cs="Times New Roman"/>
      <w:sz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193844"/>
    <w:rPr>
      <w:rFonts w:ascii="Arial" w:hAnsi="Arial" w:cs="Times New Roman"/>
      <w:sz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193844"/>
    <w:rPr>
      <w:rFonts w:ascii="Arial" w:hAnsi="Arial" w:cs="Times New Roman"/>
      <w:sz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193844"/>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193844"/>
    <w:rPr>
      <w:rFonts w:ascii="Arial" w:hAnsi="Arial" w:cs="Times New Roman"/>
      <w:sz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193844"/>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93844"/>
    <w:rPr>
      <w:rFonts w:ascii="Arial" w:hAnsi="Arial" w:cs="Times New Roman"/>
      <w:sz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93844"/>
    <w:rPr>
      <w:rFonts w:ascii="Arial" w:hAnsi="Arial" w:cs="Times New Roman"/>
      <w:sz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193844"/>
    <w:rPr>
      <w:rFonts w:ascii="Arial" w:hAnsi="Arial" w:cs="Times New Roman"/>
      <w:sz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193844"/>
    <w:rPr>
      <w:rFonts w:ascii="Arial" w:hAnsi="Arial" w:cs="Times New Roman"/>
      <w:sz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193844"/>
    <w:rPr>
      <w:rFonts w:ascii="Arial" w:hAnsi="Arial" w:cs="Times New Roman"/>
      <w:sz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193844"/>
    <w:rPr>
      <w:rFonts w:ascii="Arial" w:hAnsi="Arial" w:cs="Times New Roman"/>
      <w:sz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193844"/>
    <w:rPr>
      <w:rFonts w:ascii="Arial" w:hAnsi="Arial" w:cs="Times New Roman"/>
      <w:sz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193844"/>
    <w:rPr>
      <w:rFonts w:ascii="Arial" w:hAnsi="Arial" w:cs="Times New Roman"/>
      <w:i/>
      <w:sz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93844"/>
    <w:rPr>
      <w:rFonts w:ascii="Courier New" w:hAnsi="Courier New" w:cs="Times New Roman"/>
      <w:sz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193844"/>
    <w:rPr>
      <w:rFonts w:ascii="Cambria" w:hAnsi="Cambria" w:cs="Times New Roman"/>
      <w:sz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193844"/>
    <w:rPr>
      <w:rFonts w:ascii="Arial" w:hAnsi="Arial" w:cs="Times New Roman"/>
      <w:sz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93844"/>
    <w:rPr>
      <w:rFonts w:ascii="Courier New" w:hAnsi="Courier New" w:cs="Times New Roman"/>
      <w:sz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193844"/>
    <w:rPr>
      <w:rFonts w:ascii="Arial" w:hAnsi="Arial" w:cs="Times New Roman"/>
      <w:sz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193844"/>
    <w:rPr>
      <w:rFonts w:ascii="Arial" w:hAnsi="Arial" w:cs="Times New Roman"/>
      <w:sz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193844"/>
    <w:rPr>
      <w:rFonts w:ascii="Cambria" w:hAnsi="Cambria" w:cs="Times New Roman"/>
      <w:sz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193844"/>
    <w:rPr>
      <w:rFonts w:ascii="Cambria" w:hAnsi="Cambria" w:cs="Times New Roman"/>
      <w:b/>
      <w:kern w:val="28"/>
      <w:sz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11"/>
      </w:numPr>
      <w:tabs>
        <w:tab w:val="clear" w:pos="360"/>
      </w:tabs>
      <w:ind w:left="1843"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11"/>
      </w:numPr>
      <w:tabs>
        <w:tab w:val="clear" w:pos="360"/>
        <w:tab w:val="num" w:pos="709"/>
      </w:tabs>
      <w:ind w:left="709" w:hanging="709"/>
      <w:outlineLvl w:val="5"/>
    </w:pPr>
  </w:style>
  <w:style w:type="paragraph" w:customStyle="1" w:styleId="HeadingNumberLevel2">
    <w:name w:val="Heading Number Level 2"/>
    <w:basedOn w:val="Heading2"/>
    <w:next w:val="BodyTextIndentLevel1"/>
    <w:uiPriority w:val="99"/>
    <w:rsid w:val="00D5152A"/>
    <w:pPr>
      <w:numPr>
        <w:ilvl w:val="1"/>
        <w:numId w:val="11"/>
      </w:numPr>
      <w:tabs>
        <w:tab w:val="clear" w:pos="360"/>
        <w:tab w:val="num" w:pos="709"/>
      </w:tabs>
      <w:ind w:left="709" w:hanging="709"/>
      <w:outlineLvl w:val="6"/>
    </w:pPr>
  </w:style>
  <w:style w:type="paragraph" w:customStyle="1" w:styleId="HeadingNumberLevel3">
    <w:name w:val="Heading Number Level 3"/>
    <w:basedOn w:val="BodyText"/>
    <w:uiPriority w:val="99"/>
    <w:rsid w:val="00D5152A"/>
    <w:pPr>
      <w:numPr>
        <w:ilvl w:val="2"/>
        <w:numId w:val="11"/>
      </w:numPr>
      <w:tabs>
        <w:tab w:val="clear" w:pos="360"/>
        <w:tab w:val="num" w:pos="1276"/>
      </w:tabs>
      <w:ind w:left="1276" w:hanging="567"/>
    </w:pPr>
  </w:style>
  <w:style w:type="paragraph" w:customStyle="1" w:styleId="HeadingNumberLevel4">
    <w:name w:val="Heading Number Level 4"/>
    <w:basedOn w:val="BodyText"/>
    <w:uiPriority w:val="99"/>
    <w:rsid w:val="00D5152A"/>
    <w:pPr>
      <w:numPr>
        <w:ilvl w:val="3"/>
        <w:numId w:val="11"/>
      </w:numPr>
      <w:tabs>
        <w:tab w:val="clear" w:pos="360"/>
        <w:tab w:val="num" w:pos="1843"/>
      </w:tabs>
      <w:ind w:left="1843" w:hanging="567"/>
    </w:pPr>
  </w:style>
  <w:style w:type="paragraph" w:customStyle="1" w:styleId="NumbersLevel1">
    <w:name w:val="Numbers Level 1"/>
    <w:basedOn w:val="BodyText"/>
    <w:uiPriority w:val="99"/>
    <w:rsid w:val="00E73AA8"/>
    <w:pPr>
      <w:numPr>
        <w:numId w:val="42"/>
      </w:numPr>
    </w:pPr>
  </w:style>
  <w:style w:type="paragraph" w:customStyle="1" w:styleId="NumbersLevel2">
    <w:name w:val="Numbers Level 2"/>
    <w:basedOn w:val="BodyText"/>
    <w:uiPriority w:val="99"/>
    <w:rsid w:val="00E73AA8"/>
    <w:pPr>
      <w:numPr>
        <w:ilvl w:val="1"/>
        <w:numId w:val="42"/>
      </w:numPr>
    </w:pPr>
  </w:style>
  <w:style w:type="paragraph" w:customStyle="1" w:styleId="NumbersLevel3">
    <w:name w:val="Numbers Level 3"/>
    <w:basedOn w:val="BodyText"/>
    <w:uiPriority w:val="99"/>
    <w:rsid w:val="00E73AA8"/>
    <w:pPr>
      <w:numPr>
        <w:ilvl w:val="2"/>
        <w:numId w:val="42"/>
      </w:numPr>
    </w:pPr>
  </w:style>
  <w:style w:type="paragraph" w:customStyle="1" w:styleId="NumbersLevel4">
    <w:name w:val="Numbers Level 4"/>
    <w:basedOn w:val="BodyText"/>
    <w:uiPriority w:val="99"/>
    <w:rsid w:val="00E73AA8"/>
    <w:pPr>
      <w:numPr>
        <w:ilvl w:val="3"/>
        <w:numId w:val="42"/>
      </w:numPr>
    </w:pPr>
  </w:style>
  <w:style w:type="paragraph" w:customStyle="1" w:styleId="BulletLevel1">
    <w:name w:val="Bullet Level 1"/>
    <w:basedOn w:val="BodyText"/>
    <w:uiPriority w:val="99"/>
    <w:rsid w:val="0058206B"/>
    <w:pPr>
      <w:numPr>
        <w:numId w:val="5"/>
      </w:numPr>
      <w:tabs>
        <w:tab w:val="clear" w:pos="1492"/>
        <w:tab w:val="num" w:pos="567"/>
      </w:tabs>
      <w:ind w:left="567" w:hanging="567"/>
    </w:pPr>
  </w:style>
  <w:style w:type="paragraph" w:customStyle="1" w:styleId="BulletLevel2">
    <w:name w:val="Bullet Level 2"/>
    <w:basedOn w:val="BodyText"/>
    <w:uiPriority w:val="99"/>
    <w:rsid w:val="0058206B"/>
    <w:pPr>
      <w:numPr>
        <w:ilvl w:val="1"/>
        <w:numId w:val="5"/>
      </w:numPr>
      <w:tabs>
        <w:tab w:val="clear" w:pos="1492"/>
        <w:tab w:val="num" w:pos="1134"/>
      </w:tabs>
      <w:ind w:left="1134" w:hanging="567"/>
    </w:pPr>
  </w:style>
  <w:style w:type="paragraph" w:customStyle="1" w:styleId="BulletLevel3">
    <w:name w:val="Bullet Level 3"/>
    <w:basedOn w:val="BodyText"/>
    <w:uiPriority w:val="99"/>
    <w:rsid w:val="0058206B"/>
    <w:pPr>
      <w:numPr>
        <w:ilvl w:val="2"/>
        <w:numId w:val="5"/>
      </w:numPr>
      <w:tabs>
        <w:tab w:val="clear" w:pos="1492"/>
        <w:tab w:val="num" w:pos="1701"/>
      </w:tabs>
      <w:ind w:left="1701" w:hanging="567"/>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
      </w:numPr>
      <w:tabs>
        <w:tab w:val="clear" w:pos="643"/>
        <w:tab w:val="num" w:pos="567"/>
      </w:tabs>
      <w:ind w:left="567" w:hanging="567"/>
    </w:pPr>
  </w:style>
  <w:style w:type="paragraph" w:customStyle="1" w:styleId="ListNumeric">
    <w:name w:val="List Numeric"/>
    <w:basedOn w:val="BodyText"/>
    <w:uiPriority w:val="99"/>
    <w:rsid w:val="00BD137C"/>
    <w:pPr>
      <w:numPr>
        <w:numId w:val="3"/>
      </w:numPr>
      <w:tabs>
        <w:tab w:val="clear" w:pos="926"/>
        <w:tab w:val="num" w:pos="567"/>
      </w:tabs>
      <w:ind w:left="567" w:hanging="567"/>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193844"/>
    <w:rPr>
      <w:rFonts w:ascii="Arial" w:hAnsi="Arial" w:cs="Times New Roman"/>
      <w:sz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6"/>
      </w:numPr>
      <w:tabs>
        <w:tab w:val="clear" w:pos="360"/>
        <w:tab w:val="num" w:pos="369"/>
      </w:tabs>
      <w:ind w:left="369" w:hanging="369"/>
    </w:pPr>
  </w:style>
  <w:style w:type="paragraph" w:customStyle="1" w:styleId="BulletTableLevel2">
    <w:name w:val="Bullet Table Level 2"/>
    <w:basedOn w:val="BodyTextTable"/>
    <w:uiPriority w:val="99"/>
    <w:rsid w:val="00EA2ED4"/>
    <w:pPr>
      <w:numPr>
        <w:ilvl w:val="1"/>
        <w:numId w:val="6"/>
      </w:numPr>
      <w:tabs>
        <w:tab w:val="clear" w:pos="360"/>
        <w:tab w:val="num" w:pos="737"/>
      </w:tabs>
      <w:ind w:left="737" w:hanging="368"/>
    </w:pPr>
  </w:style>
  <w:style w:type="paragraph" w:customStyle="1" w:styleId="BulletTableLevel3">
    <w:name w:val="Bullet Table Level 3"/>
    <w:basedOn w:val="BodyTextTable"/>
    <w:uiPriority w:val="99"/>
    <w:rsid w:val="00EA2ED4"/>
    <w:pPr>
      <w:numPr>
        <w:ilvl w:val="2"/>
        <w:numId w:val="6"/>
      </w:numPr>
      <w:tabs>
        <w:tab w:val="clear" w:pos="360"/>
        <w:tab w:val="num" w:pos="1106"/>
      </w:tabs>
      <w:ind w:left="1106" w:hanging="369"/>
    </w:pPr>
  </w:style>
  <w:style w:type="paragraph" w:customStyle="1" w:styleId="NumbersTableLevel1">
    <w:name w:val="Numbers Table Level 1"/>
    <w:basedOn w:val="BodyTextTable"/>
    <w:uiPriority w:val="99"/>
    <w:rsid w:val="00A50E00"/>
    <w:pPr>
      <w:numPr>
        <w:numId w:val="43"/>
      </w:numPr>
    </w:pPr>
  </w:style>
  <w:style w:type="paragraph" w:customStyle="1" w:styleId="NumbersTableLevel2">
    <w:name w:val="Numbers Table Level 2"/>
    <w:basedOn w:val="BodyTextTable"/>
    <w:uiPriority w:val="99"/>
    <w:rsid w:val="00A50E00"/>
    <w:pPr>
      <w:numPr>
        <w:ilvl w:val="1"/>
        <w:numId w:val="43"/>
      </w:numPr>
    </w:pPr>
  </w:style>
  <w:style w:type="paragraph" w:customStyle="1" w:styleId="NumbersTableLevel3">
    <w:name w:val="Numbers Table Level 3"/>
    <w:basedOn w:val="BodyTextTable"/>
    <w:uiPriority w:val="99"/>
    <w:rsid w:val="00A50E00"/>
    <w:pPr>
      <w:numPr>
        <w:ilvl w:val="2"/>
        <w:numId w:val="43"/>
      </w:numPr>
    </w:pPr>
  </w:style>
  <w:style w:type="paragraph" w:customStyle="1" w:styleId="BodyTextTableLevel1">
    <w:name w:val="Body Text Table Level 1"/>
    <w:basedOn w:val="BodyTextTable"/>
    <w:uiPriority w:val="99"/>
    <w:rsid w:val="00A50E00"/>
    <w:pPr>
      <w:numPr>
        <w:numId w:val="44"/>
      </w:numPr>
      <w:ind w:left="369"/>
    </w:pPr>
  </w:style>
  <w:style w:type="paragraph" w:customStyle="1" w:styleId="BodyTextTableLevel2">
    <w:name w:val="Body Text Table Level 2"/>
    <w:basedOn w:val="BodyTextTable"/>
    <w:uiPriority w:val="99"/>
    <w:rsid w:val="00A50E00"/>
    <w:pPr>
      <w:numPr>
        <w:ilvl w:val="1"/>
        <w:numId w:val="44"/>
      </w:numPr>
      <w:ind w:left="737"/>
    </w:pPr>
  </w:style>
  <w:style w:type="paragraph" w:customStyle="1" w:styleId="BodyTextTableLevel3">
    <w:name w:val="Body Text Table Level 3"/>
    <w:basedOn w:val="BodyTextTable"/>
    <w:uiPriority w:val="99"/>
    <w:rsid w:val="00A50E00"/>
    <w:pPr>
      <w:numPr>
        <w:ilvl w:val="3"/>
        <w:numId w:val="43"/>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4"/>
      </w:numPr>
      <w:tabs>
        <w:tab w:val="clear" w:pos="1209"/>
        <w:tab w:val="left" w:pos="2268"/>
      </w:tabs>
      <w:spacing w:before="0"/>
      <w:ind w:left="0" w:firstLin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844"/>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numbering" w:styleId="ArticleSection">
    <w:name w:val="Outline List 3"/>
    <w:basedOn w:val="NoList"/>
    <w:uiPriority w:val="99"/>
    <w:semiHidden/>
    <w:unhideWhenUsed/>
    <w:locked/>
    <w:rsid w:val="00B62C8A"/>
    <w:pPr>
      <w:numPr>
        <w:numId w:val="47"/>
      </w:numPr>
    </w:pPr>
  </w:style>
  <w:style w:type="numbering" w:styleId="1ai">
    <w:name w:val="Outline List 1"/>
    <w:basedOn w:val="NoList"/>
    <w:uiPriority w:val="99"/>
    <w:semiHidden/>
    <w:unhideWhenUsed/>
    <w:locked/>
    <w:rsid w:val="00B62C8A"/>
    <w:pPr>
      <w:numPr>
        <w:numId w:val="46"/>
      </w:numPr>
    </w:pPr>
  </w:style>
  <w:style w:type="numbering" w:styleId="111111">
    <w:name w:val="Outline List 2"/>
    <w:basedOn w:val="NoList"/>
    <w:uiPriority w:val="99"/>
    <w:semiHidden/>
    <w:unhideWhenUsed/>
    <w:locked/>
    <w:rsid w:val="00B62C8A"/>
    <w:pPr>
      <w:numPr>
        <w:numId w:val="45"/>
      </w:numPr>
    </w:pPr>
  </w:style>
</w:styles>
</file>

<file path=word/webSettings.xml><?xml version="1.0" encoding="utf-8"?>
<w:webSettings xmlns:r="http://schemas.openxmlformats.org/officeDocument/2006/relationships" xmlns:w="http://schemas.openxmlformats.org/wordprocessingml/2006/main">
  <w:divs>
    <w:div w:id="2002536515">
      <w:marLeft w:val="0"/>
      <w:marRight w:val="0"/>
      <w:marTop w:val="0"/>
      <w:marBottom w:val="0"/>
      <w:divBdr>
        <w:top w:val="none" w:sz="0" w:space="0" w:color="auto"/>
        <w:left w:val="none" w:sz="0" w:space="0" w:color="auto"/>
        <w:bottom w:val="none" w:sz="0" w:space="0" w:color="auto"/>
        <w:right w:val="none" w:sz="0" w:space="0" w:color="auto"/>
      </w:divBdr>
    </w:div>
    <w:div w:id="2002536516">
      <w:marLeft w:val="0"/>
      <w:marRight w:val="0"/>
      <w:marTop w:val="0"/>
      <w:marBottom w:val="0"/>
      <w:divBdr>
        <w:top w:val="none" w:sz="0" w:space="0" w:color="auto"/>
        <w:left w:val="none" w:sz="0" w:space="0" w:color="auto"/>
        <w:bottom w:val="none" w:sz="0" w:space="0" w:color="auto"/>
        <w:right w:val="none" w:sz="0" w:space="0" w:color="auto"/>
      </w:divBdr>
    </w:div>
    <w:div w:id="2002536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333</Words>
  <Characters>1902</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3</cp:revision>
  <cp:lastPrinted>2013-11-15T02:51:00Z</cp:lastPrinted>
  <dcterms:created xsi:type="dcterms:W3CDTF">2014-04-23T21:09:00Z</dcterms:created>
  <dcterms:modified xsi:type="dcterms:W3CDTF">2014-04-23T21:43:00Z</dcterms:modified>
</cp:coreProperties>
</file>