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7E" w:rsidRDefault="00DB687E" w:rsidP="00FE776F">
      <w:pPr>
        <w:pStyle w:val="BodyText"/>
        <w:spacing w:after="0" w:line="240" w:lineRule="auto"/>
        <w:rPr>
          <w:rFonts w:ascii="Calibri" w:hAnsi="Calibri"/>
          <w:b/>
          <w:sz w:val="24"/>
        </w:rPr>
      </w:pPr>
      <w:bookmarkStart w:id="0" w:name="SW0000"/>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DB687E" w:rsidRDefault="00DB687E" w:rsidP="00FE776F">
      <w:pPr>
        <w:pStyle w:val="BodyText"/>
        <w:spacing w:after="0" w:line="240" w:lineRule="auto"/>
        <w:rPr>
          <w:rFonts w:ascii="Calibri" w:hAnsi="Calibri"/>
          <w:b/>
          <w:sz w:val="24"/>
        </w:rPr>
      </w:pPr>
    </w:p>
    <w:p w:rsidR="00DB687E" w:rsidRDefault="00DB687E" w:rsidP="00FE776F">
      <w:pPr>
        <w:pStyle w:val="BodyText"/>
        <w:spacing w:after="0" w:line="240" w:lineRule="auto"/>
        <w:rPr>
          <w:rFonts w:ascii="Calibri" w:hAnsi="Calibri"/>
          <w:b/>
          <w:sz w:val="24"/>
        </w:rPr>
      </w:pPr>
    </w:p>
    <w:p w:rsidR="00DB687E" w:rsidRDefault="00DB687E" w:rsidP="00FE776F">
      <w:pPr>
        <w:pStyle w:val="BodyText"/>
        <w:spacing w:after="0" w:line="240" w:lineRule="auto"/>
        <w:rPr>
          <w:rFonts w:ascii="Calibri" w:hAnsi="Calibri"/>
          <w:b/>
          <w:sz w:val="24"/>
        </w:rPr>
      </w:pPr>
    </w:p>
    <w:p w:rsidR="00DB687E" w:rsidRDefault="00DB687E" w:rsidP="00FE776F">
      <w:pPr>
        <w:pStyle w:val="BodyText"/>
        <w:spacing w:after="0" w:line="240" w:lineRule="auto"/>
        <w:rPr>
          <w:rFonts w:ascii="Calibri" w:hAnsi="Calibri"/>
          <w:b/>
          <w:sz w:val="24"/>
        </w:rPr>
      </w:pPr>
    </w:p>
    <w:p w:rsidR="00DB687E" w:rsidRDefault="00DB687E" w:rsidP="00FE776F">
      <w:pPr>
        <w:pStyle w:val="BodyText"/>
        <w:spacing w:after="0" w:line="240" w:lineRule="auto"/>
        <w:rPr>
          <w:rFonts w:ascii="Calibri" w:hAnsi="Calibri"/>
          <w:b/>
          <w:sz w:val="24"/>
        </w:rPr>
      </w:pPr>
    </w:p>
    <w:p w:rsidR="00DB687E" w:rsidRPr="00FE776F" w:rsidRDefault="00DB687E" w:rsidP="00FE776F">
      <w:pPr>
        <w:pStyle w:val="BodyText"/>
        <w:spacing w:after="0" w:line="240" w:lineRule="auto"/>
        <w:rPr>
          <w:rFonts w:ascii="Calibri" w:hAnsi="Calibri"/>
          <w:b/>
          <w:sz w:val="24"/>
        </w:rPr>
      </w:pPr>
      <w:r w:rsidRPr="00FE776F">
        <w:rPr>
          <w:rFonts w:ascii="Calibri" w:hAnsi="Calibri"/>
          <w:b/>
          <w:sz w:val="24"/>
        </w:rPr>
        <w:t>Stored Value Cards</w:t>
      </w:r>
    </w:p>
    <w:p w:rsidR="00DB687E" w:rsidRPr="00FE776F" w:rsidRDefault="00DB687E" w:rsidP="00FE776F">
      <w:pPr>
        <w:pStyle w:val="BodyText"/>
        <w:spacing w:after="0" w:line="240" w:lineRule="auto"/>
        <w:rPr>
          <w:rFonts w:ascii="Calibri" w:hAnsi="Calibri"/>
          <w:sz w:val="24"/>
        </w:rPr>
      </w:pPr>
    </w:p>
    <w:p w:rsidR="00DB687E" w:rsidRPr="00FE776F" w:rsidRDefault="00DB687E" w:rsidP="007D2770">
      <w:pPr>
        <w:pStyle w:val="BodyText"/>
        <w:spacing w:after="0" w:line="240" w:lineRule="auto"/>
        <w:jc w:val="both"/>
        <w:rPr>
          <w:rFonts w:ascii="Calibri" w:hAnsi="Calibri"/>
          <w:b/>
          <w:sz w:val="24"/>
        </w:rPr>
      </w:pPr>
      <w:r w:rsidRPr="00FE776F">
        <w:rPr>
          <w:rFonts w:ascii="Calibri" w:hAnsi="Calibri"/>
          <w:sz w:val="24"/>
        </w:rPr>
        <w:t xml:space="preserve">The overall risk assessment rating for Stored Value Cards is </w:t>
      </w:r>
      <w:r w:rsidRPr="00FE776F">
        <w:rPr>
          <w:rFonts w:ascii="Calibri" w:hAnsi="Calibri"/>
          <w:b/>
          <w:sz w:val="24"/>
        </w:rPr>
        <w:t>LOW.</w:t>
      </w:r>
    </w:p>
    <w:p w:rsidR="00DB687E" w:rsidRPr="00FE776F" w:rsidRDefault="00DB687E" w:rsidP="007D2770">
      <w:pPr>
        <w:pStyle w:val="BodyText"/>
        <w:spacing w:after="0" w:line="240" w:lineRule="auto"/>
        <w:jc w:val="both"/>
        <w:rPr>
          <w:rFonts w:ascii="Calibri" w:hAnsi="Calibri"/>
          <w:b/>
          <w:sz w:val="24"/>
        </w:rPr>
      </w:pPr>
    </w:p>
    <w:p w:rsidR="00DB687E" w:rsidRDefault="00DB687E" w:rsidP="007D2770">
      <w:pPr>
        <w:pStyle w:val="BodyText"/>
        <w:spacing w:after="0"/>
        <w:jc w:val="both"/>
        <w:rPr>
          <w:rFonts w:ascii="Calibri" w:hAnsi="Calibri"/>
          <w:sz w:val="24"/>
        </w:rPr>
      </w:pPr>
      <w:r>
        <w:rPr>
          <w:rFonts w:ascii="Calibri" w:hAnsi="Calibri"/>
          <w:sz w:val="24"/>
        </w:rPr>
        <w:t xml:space="preserve">The features identified in the table of this guide will help businesses conduct risk assessments about money laundering and financing of terrorism. </w:t>
      </w:r>
    </w:p>
    <w:p w:rsidR="00DB687E" w:rsidRDefault="00DB687E" w:rsidP="007D2770">
      <w:pPr>
        <w:pStyle w:val="BodyText"/>
        <w:spacing w:after="0"/>
        <w:jc w:val="both"/>
        <w:rPr>
          <w:rFonts w:ascii="Calibri" w:hAnsi="Calibri"/>
          <w:sz w:val="24"/>
        </w:rPr>
      </w:pPr>
    </w:p>
    <w:p w:rsidR="00DB687E" w:rsidRDefault="00DB687E" w:rsidP="007D2770">
      <w:pPr>
        <w:pStyle w:val="BodyText"/>
        <w:spacing w:after="0"/>
        <w:jc w:val="both"/>
        <w:rPr>
          <w:rFonts w:ascii="Calibri" w:hAnsi="Calibri"/>
          <w:sz w:val="24"/>
        </w:rPr>
      </w:pPr>
      <w:r>
        <w:rPr>
          <w:rFonts w:ascii="Calibri" w:hAnsi="Calibri"/>
          <w:sz w:val="24"/>
        </w:rPr>
        <w:t>They will help you create policies and procedures which accurately reflect how much your business could be affected by money laundering.</w:t>
      </w:r>
    </w:p>
    <w:p w:rsidR="00DB687E" w:rsidRDefault="00DB687E" w:rsidP="007D2770">
      <w:pPr>
        <w:pStyle w:val="BodyText"/>
        <w:spacing w:after="0"/>
        <w:jc w:val="both"/>
        <w:rPr>
          <w:rFonts w:ascii="Calibri" w:hAnsi="Calibri"/>
          <w:sz w:val="24"/>
        </w:rPr>
      </w:pPr>
    </w:p>
    <w:p w:rsidR="00DB687E" w:rsidRDefault="00DB687E" w:rsidP="007D2770">
      <w:pPr>
        <w:pStyle w:val="BodyText"/>
        <w:spacing w:after="0"/>
        <w:jc w:val="both"/>
        <w:rPr>
          <w:rFonts w:ascii="Calibri" w:hAnsi="Calibri"/>
          <w:sz w:val="24"/>
        </w:rPr>
      </w:pPr>
      <w:r>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DB687E" w:rsidRDefault="00DB687E" w:rsidP="007D2770">
      <w:pPr>
        <w:pStyle w:val="BodyText"/>
        <w:spacing w:after="0"/>
        <w:jc w:val="both"/>
        <w:rPr>
          <w:rFonts w:ascii="Calibri" w:hAnsi="Calibri"/>
          <w:sz w:val="24"/>
        </w:rPr>
      </w:pPr>
    </w:p>
    <w:p w:rsidR="00DB687E" w:rsidRDefault="00DB687E" w:rsidP="007D2770">
      <w:pPr>
        <w:pStyle w:val="BodyText"/>
        <w:spacing w:after="0"/>
        <w:jc w:val="both"/>
        <w:rPr>
          <w:rFonts w:ascii="Calibri" w:hAnsi="Calibri"/>
          <w:sz w:val="24"/>
        </w:rPr>
      </w:pPr>
      <w:r>
        <w:rPr>
          <w:rFonts w:ascii="Calibri" w:hAnsi="Calibri"/>
          <w:sz w:val="24"/>
        </w:rPr>
        <w:t xml:space="preserve">Transactions or activities listed in the table may not necessarily signal money laundering if they are consistent with a customer’s legitimate business. </w:t>
      </w:r>
    </w:p>
    <w:p w:rsidR="00DB687E" w:rsidRDefault="00DB687E" w:rsidP="007D2770">
      <w:pPr>
        <w:pStyle w:val="BodyText"/>
        <w:spacing w:after="0" w:line="240" w:lineRule="auto"/>
        <w:jc w:val="both"/>
        <w:rPr>
          <w:rFonts w:ascii="Calibri" w:hAnsi="Calibri"/>
          <w:sz w:val="24"/>
        </w:rPr>
      </w:pPr>
    </w:p>
    <w:p w:rsidR="00DB687E" w:rsidRDefault="00DB687E" w:rsidP="007D2770">
      <w:pPr>
        <w:pStyle w:val="BodyText"/>
        <w:spacing w:after="0"/>
        <w:jc w:val="both"/>
        <w:rPr>
          <w:rFonts w:ascii="Calibri" w:hAnsi="Calibri"/>
          <w:sz w:val="24"/>
        </w:rPr>
      </w:pPr>
      <w:r>
        <w:rPr>
          <w:rFonts w:ascii="Calibri" w:hAnsi="Calibri"/>
          <w:sz w:val="24"/>
        </w:rPr>
        <w:t>Based on knowledge of your own business you should decide what risk particular customers or transactions pose and how you can lessen that risk.</w:t>
      </w:r>
    </w:p>
    <w:p w:rsidR="00DB687E" w:rsidRDefault="00DB687E" w:rsidP="00FE776F">
      <w:pPr>
        <w:pStyle w:val="BodyText"/>
        <w:spacing w:after="0" w:line="240" w:lineRule="auto"/>
        <w:jc w:val="both"/>
        <w:rPr>
          <w:rFonts w:ascii="Calibri" w:hAnsi="Calibri"/>
          <w:szCs w:val="22"/>
        </w:rPr>
      </w:pPr>
    </w:p>
    <w:p w:rsidR="00DB687E" w:rsidRPr="002D56DC" w:rsidRDefault="00DB687E" w:rsidP="00FE776F">
      <w:pPr>
        <w:pStyle w:val="BodyText"/>
        <w:spacing w:after="0" w:line="240" w:lineRule="auto"/>
        <w:jc w:val="both"/>
        <w:rPr>
          <w:rFonts w:ascii="Calibri" w:hAnsi="Calibri"/>
          <w:sz w:val="16"/>
          <w:szCs w:val="16"/>
        </w:rPr>
      </w:pPr>
    </w:p>
    <w:tbl>
      <w:tblPr>
        <w:tblW w:w="10620"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2283"/>
        <w:gridCol w:w="1966"/>
        <w:gridCol w:w="3198"/>
        <w:gridCol w:w="3173"/>
      </w:tblGrid>
      <w:tr w:rsidR="00DB687E" w:rsidRPr="00EB59ED" w:rsidTr="00A733A6">
        <w:trPr>
          <w:tblHeader/>
        </w:trPr>
        <w:tc>
          <w:tcPr>
            <w:tcW w:w="4249" w:type="dxa"/>
            <w:gridSpan w:val="2"/>
            <w:tcBorders>
              <w:top w:val="single" w:sz="4" w:space="0" w:color="auto"/>
            </w:tcBorders>
            <w:shd w:val="clear" w:color="000000" w:fill="E6E6E6"/>
            <w:vAlign w:val="center"/>
          </w:tcPr>
          <w:p w:rsidR="00DB687E" w:rsidRPr="00A733A6" w:rsidRDefault="00DB687E" w:rsidP="00A733A6">
            <w:pPr>
              <w:pStyle w:val="BodyText"/>
              <w:spacing w:after="0" w:line="240" w:lineRule="auto"/>
              <w:jc w:val="center"/>
              <w:rPr>
                <w:rFonts w:ascii="Calibri" w:hAnsi="Calibri"/>
                <w:b/>
                <w:bCs/>
              </w:rPr>
            </w:pPr>
            <w:bookmarkStart w:id="1" w:name="SW0001"/>
            <w:bookmarkEnd w:id="0"/>
          </w:p>
        </w:tc>
        <w:tc>
          <w:tcPr>
            <w:tcW w:w="3198" w:type="dxa"/>
            <w:tcBorders>
              <w:top w:val="single" w:sz="4" w:space="0" w:color="auto"/>
            </w:tcBorders>
            <w:shd w:val="clear" w:color="000000" w:fill="E6E6E6"/>
            <w:vAlign w:val="center"/>
          </w:tcPr>
          <w:p w:rsidR="00DB687E" w:rsidRPr="00A733A6" w:rsidRDefault="00DB687E" w:rsidP="00A733A6">
            <w:pPr>
              <w:pStyle w:val="BodyText"/>
              <w:spacing w:after="0" w:line="240" w:lineRule="auto"/>
              <w:jc w:val="center"/>
              <w:rPr>
                <w:rFonts w:ascii="Calibri" w:hAnsi="Calibri"/>
                <w:b/>
                <w:bCs/>
              </w:rPr>
            </w:pPr>
            <w:r w:rsidRPr="00A733A6">
              <w:rPr>
                <w:rFonts w:ascii="Calibri" w:hAnsi="Calibri"/>
                <w:b/>
                <w:bCs/>
                <w:szCs w:val="22"/>
              </w:rPr>
              <w:t>HIGHER RISK CHARACTERISTICS</w:t>
            </w:r>
          </w:p>
        </w:tc>
        <w:tc>
          <w:tcPr>
            <w:tcW w:w="3173" w:type="dxa"/>
            <w:tcBorders>
              <w:top w:val="single" w:sz="4" w:space="0" w:color="auto"/>
            </w:tcBorders>
            <w:shd w:val="clear" w:color="000000" w:fill="E6E6E6"/>
            <w:vAlign w:val="center"/>
          </w:tcPr>
          <w:p w:rsidR="00DB687E" w:rsidRPr="00A733A6" w:rsidRDefault="00DB687E" w:rsidP="00A733A6">
            <w:pPr>
              <w:pStyle w:val="BodyText"/>
              <w:spacing w:after="0" w:line="240" w:lineRule="auto"/>
              <w:jc w:val="center"/>
              <w:rPr>
                <w:rFonts w:ascii="Calibri" w:hAnsi="Calibri"/>
                <w:b/>
                <w:bCs/>
              </w:rPr>
            </w:pPr>
            <w:r w:rsidRPr="00A733A6">
              <w:rPr>
                <w:rFonts w:ascii="Calibri" w:hAnsi="Calibri"/>
                <w:b/>
                <w:bCs/>
                <w:szCs w:val="22"/>
              </w:rPr>
              <w:t>LOWER RISK CHARACTERISTICS</w:t>
            </w:r>
          </w:p>
        </w:tc>
      </w:tr>
      <w:tr w:rsidR="00DB687E" w:rsidRPr="00EB59ED" w:rsidTr="00A733A6">
        <w:trPr>
          <w:cantSplit/>
          <w:trHeight w:val="435"/>
        </w:trPr>
        <w:tc>
          <w:tcPr>
            <w:tcW w:w="4249" w:type="dxa"/>
            <w:gridSpan w:val="2"/>
            <w:vMerge w:val="restart"/>
            <w:shd w:val="clear" w:color="auto" w:fill="E6E6E6"/>
            <w:vAlign w:val="center"/>
          </w:tcPr>
          <w:p w:rsidR="00DB687E" w:rsidRPr="00A733A6" w:rsidRDefault="00DB687E" w:rsidP="00A733A6">
            <w:pPr>
              <w:pStyle w:val="BodyText"/>
              <w:spacing w:after="0" w:line="240" w:lineRule="auto"/>
              <w:rPr>
                <w:rFonts w:ascii="Calibri" w:hAnsi="Calibri"/>
              </w:rPr>
            </w:pPr>
            <w:r w:rsidRPr="00A733A6">
              <w:rPr>
                <w:rFonts w:ascii="Calibri" w:hAnsi="Calibri"/>
                <w:b/>
                <w:szCs w:val="22"/>
              </w:rPr>
              <w:t>Products and Services</w:t>
            </w: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Open-loop prepaid cards which can be reloaded with cash and used again;</w:t>
            </w:r>
          </w:p>
        </w:tc>
        <w:tc>
          <w:tcPr>
            <w:tcW w:w="3173" w:type="dxa"/>
            <w:vMerge w:val="restart"/>
          </w:tcPr>
          <w:p w:rsidR="00DB687E" w:rsidRPr="00A733A6" w:rsidRDefault="00DB687E" w:rsidP="00A733A6">
            <w:pPr>
              <w:pStyle w:val="BodyText"/>
              <w:spacing w:after="0" w:line="240" w:lineRule="auto"/>
              <w:rPr>
                <w:rFonts w:ascii="Calibri" w:hAnsi="Calibri"/>
              </w:rPr>
            </w:pPr>
            <w:r w:rsidRPr="00A733A6">
              <w:rPr>
                <w:rFonts w:ascii="Calibri" w:hAnsi="Calibri"/>
                <w:szCs w:val="22"/>
              </w:rPr>
              <w:t>Closed loop cards</w:t>
            </w:r>
            <w:r>
              <w:rPr>
                <w:rFonts w:ascii="Calibri" w:hAnsi="Calibri"/>
                <w:szCs w:val="22"/>
              </w:rPr>
              <w:t xml:space="preserve">, i.e. </w:t>
            </w:r>
            <w:r w:rsidRPr="00A733A6">
              <w:rPr>
                <w:rFonts w:ascii="Calibri" w:hAnsi="Calibri"/>
                <w:szCs w:val="22"/>
              </w:rPr>
              <w:t>non-reloadable cards with low account cap (</w:t>
            </w:r>
            <w:r>
              <w:rPr>
                <w:rFonts w:ascii="Calibri" w:hAnsi="Calibri"/>
                <w:szCs w:val="22"/>
              </w:rPr>
              <w:t>including</w:t>
            </w:r>
            <w:r w:rsidRPr="00A733A6">
              <w:rPr>
                <w:rFonts w:ascii="Calibri" w:hAnsi="Calibri"/>
                <w:szCs w:val="22"/>
              </w:rPr>
              <w:t xml:space="preserve"> </w:t>
            </w:r>
            <w:r>
              <w:rPr>
                <w:rFonts w:ascii="Calibri" w:hAnsi="Calibri"/>
                <w:szCs w:val="22"/>
              </w:rPr>
              <w:t>ones</w:t>
            </w:r>
            <w:r w:rsidRPr="00A733A6">
              <w:rPr>
                <w:rFonts w:ascii="Calibri" w:hAnsi="Calibri"/>
                <w:szCs w:val="22"/>
              </w:rPr>
              <w:t xml:space="preserve"> that do not allow cash withdrawals);</w:t>
            </w:r>
          </w:p>
        </w:tc>
      </w:tr>
      <w:tr w:rsidR="00DB687E" w:rsidRPr="00EB59ED" w:rsidTr="00A733A6">
        <w:trPr>
          <w:cantSplit/>
          <w:trHeight w:val="435"/>
        </w:trPr>
        <w:tc>
          <w:tcPr>
            <w:tcW w:w="4249" w:type="dxa"/>
            <w:gridSpan w:val="2"/>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Cards which can be pre-loaded to access foreign currencies;</w:t>
            </w:r>
          </w:p>
        </w:tc>
        <w:tc>
          <w:tcPr>
            <w:tcW w:w="3173" w:type="dxa"/>
            <w:vMerge/>
          </w:tcPr>
          <w:p w:rsidR="00DB687E" w:rsidRPr="00A733A6" w:rsidRDefault="00DB687E" w:rsidP="00A733A6">
            <w:pPr>
              <w:pStyle w:val="BodyText"/>
              <w:spacing w:after="0" w:line="240" w:lineRule="auto"/>
              <w:rPr>
                <w:rFonts w:ascii="Calibri" w:hAnsi="Calibri"/>
              </w:rPr>
            </w:pPr>
          </w:p>
        </w:tc>
      </w:tr>
      <w:tr w:rsidR="00DB687E" w:rsidRPr="00EB59ED" w:rsidTr="00A733A6">
        <w:trPr>
          <w:cantSplit/>
          <w:trHeight w:val="1207"/>
        </w:trPr>
        <w:tc>
          <w:tcPr>
            <w:tcW w:w="4249" w:type="dxa"/>
            <w:gridSpan w:val="2"/>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Remittance – “twin cards” or “partner cards” that are designed specifically to be passed on to third parties to allow remittances;</w:t>
            </w:r>
          </w:p>
        </w:tc>
        <w:tc>
          <w:tcPr>
            <w:tcW w:w="3173" w:type="dxa"/>
            <w:vMerge/>
          </w:tcPr>
          <w:p w:rsidR="00DB687E" w:rsidRPr="00A733A6" w:rsidRDefault="00DB687E" w:rsidP="00A733A6">
            <w:pPr>
              <w:pStyle w:val="BodyText"/>
              <w:spacing w:after="0" w:line="240" w:lineRule="auto"/>
              <w:rPr>
                <w:rFonts w:ascii="Calibri" w:hAnsi="Calibri"/>
              </w:rPr>
            </w:pPr>
          </w:p>
        </w:tc>
      </w:tr>
      <w:tr w:rsidR="00DB687E" w:rsidRPr="00EB59ED" w:rsidTr="00A733A6">
        <w:trPr>
          <w:cantSplit/>
          <w:trHeight w:val="725"/>
        </w:trPr>
        <w:tc>
          <w:tcPr>
            <w:tcW w:w="2283" w:type="dxa"/>
            <w:vMerge w:val="restart"/>
            <w:shd w:val="clear" w:color="auto" w:fill="E6E6E6"/>
            <w:vAlign w:val="center"/>
          </w:tcPr>
          <w:p w:rsidR="00DB687E" w:rsidRPr="00A733A6" w:rsidRDefault="00DB687E" w:rsidP="00A733A6">
            <w:pPr>
              <w:pStyle w:val="BodyText"/>
              <w:spacing w:after="0" w:line="240" w:lineRule="auto"/>
              <w:rPr>
                <w:rFonts w:ascii="Calibri" w:hAnsi="Calibri"/>
                <w:b/>
              </w:rPr>
            </w:pPr>
            <w:r w:rsidRPr="00A733A6">
              <w:rPr>
                <w:rFonts w:ascii="Calibri" w:hAnsi="Calibri"/>
                <w:b/>
                <w:szCs w:val="22"/>
              </w:rPr>
              <w:t>Nature and Complexity of the Business</w:t>
            </w:r>
          </w:p>
        </w:tc>
        <w:tc>
          <w:tcPr>
            <w:tcW w:w="1966" w:type="dxa"/>
            <w:vMerge w:val="restart"/>
            <w:vAlign w:val="center"/>
          </w:tcPr>
          <w:p w:rsidR="00DB687E" w:rsidRPr="00A733A6" w:rsidRDefault="00DB687E" w:rsidP="00A733A6">
            <w:pPr>
              <w:pStyle w:val="BodyText"/>
              <w:spacing w:after="0" w:line="240" w:lineRule="auto"/>
              <w:rPr>
                <w:rFonts w:ascii="Calibri" w:hAnsi="Calibri"/>
              </w:rPr>
            </w:pPr>
            <w:r w:rsidRPr="00A733A6">
              <w:rPr>
                <w:rFonts w:ascii="Calibri" w:hAnsi="Calibri"/>
                <w:szCs w:val="22"/>
              </w:rPr>
              <w:t>Scope of business and accessibility of products and services</w:t>
            </w: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 xml:space="preserve">Widely accepted at payment merchants/ points of sale; </w:t>
            </w:r>
          </w:p>
          <w:p w:rsidR="00DB687E" w:rsidRPr="00A733A6" w:rsidRDefault="00DB687E" w:rsidP="00A733A6">
            <w:pPr>
              <w:pStyle w:val="BodyText"/>
              <w:spacing w:after="0" w:line="240" w:lineRule="auto"/>
              <w:rPr>
                <w:rFonts w:ascii="Calibri" w:hAnsi="Calibri"/>
              </w:rPr>
            </w:pPr>
          </w:p>
        </w:tc>
        <w:tc>
          <w:tcPr>
            <w:tcW w:w="3173"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Funds can only be spent at a limited range of merchants;</w:t>
            </w:r>
          </w:p>
        </w:tc>
      </w:tr>
      <w:tr w:rsidR="00DB687E" w:rsidRPr="00EB59ED" w:rsidTr="00A733A6">
        <w:trPr>
          <w:cantSplit/>
          <w:trHeight w:val="520"/>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Possible to make and receive fund transfers cross-border;</w:t>
            </w:r>
          </w:p>
          <w:p w:rsidR="00DB687E" w:rsidRPr="00A733A6" w:rsidRDefault="00DB687E" w:rsidP="00A733A6">
            <w:pPr>
              <w:pStyle w:val="BodyText"/>
              <w:spacing w:after="0" w:line="240" w:lineRule="auto"/>
              <w:rPr>
                <w:rFonts w:ascii="Calibri" w:hAnsi="Calibri"/>
              </w:rPr>
            </w:pPr>
          </w:p>
        </w:tc>
        <w:tc>
          <w:tcPr>
            <w:tcW w:w="3173"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Limits on the use of prepaid cards to the country where card is issued;</w:t>
            </w:r>
          </w:p>
        </w:tc>
      </w:tr>
      <w:tr w:rsidR="00DB687E" w:rsidRPr="00EB59ED" w:rsidTr="00A733A6">
        <w:trPr>
          <w:cantSplit/>
          <w:trHeight w:val="483"/>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Can be passed on to anonymous third parties;</w:t>
            </w:r>
          </w:p>
        </w:tc>
        <w:tc>
          <w:tcPr>
            <w:tcW w:w="3173" w:type="dxa"/>
          </w:tcPr>
          <w:p w:rsidR="00DB687E" w:rsidRPr="00A733A6" w:rsidRDefault="00DB687E" w:rsidP="00A733A6">
            <w:pPr>
              <w:pStyle w:val="BodyText"/>
              <w:spacing w:after="0" w:line="240" w:lineRule="auto"/>
              <w:rPr>
                <w:rFonts w:ascii="Calibri" w:hAnsi="Calibri"/>
              </w:rPr>
            </w:pPr>
          </w:p>
        </w:tc>
      </w:tr>
      <w:tr w:rsidR="00DB687E" w:rsidRPr="00EB59ED" w:rsidTr="007D2770">
        <w:trPr>
          <w:cantSplit/>
          <w:trHeight w:val="1092"/>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restart"/>
            <w:vAlign w:val="center"/>
          </w:tcPr>
          <w:p w:rsidR="00DB687E" w:rsidRPr="00A733A6" w:rsidRDefault="00DB687E" w:rsidP="00A733A6">
            <w:pPr>
              <w:pStyle w:val="BodyText"/>
              <w:spacing w:after="0" w:line="240" w:lineRule="auto"/>
              <w:rPr>
                <w:rFonts w:ascii="Calibri" w:hAnsi="Calibri"/>
              </w:rPr>
            </w:pPr>
            <w:r w:rsidRPr="00A733A6">
              <w:rPr>
                <w:rFonts w:ascii="Calibri" w:hAnsi="Calibri"/>
                <w:szCs w:val="22"/>
              </w:rPr>
              <w:t>Limits on account transactions</w:t>
            </w: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Person to business (p2b), business to business (b2b), person to person (p2p)</w:t>
            </w:r>
            <w:r w:rsidRPr="00A733A6">
              <w:rPr>
                <w:rStyle w:val="FootnoteReference"/>
                <w:rFonts w:ascii="Calibri" w:hAnsi="Calibri"/>
                <w:szCs w:val="22"/>
              </w:rPr>
              <w:footnoteReference w:id="1"/>
            </w:r>
            <w:r w:rsidRPr="00A733A6">
              <w:rPr>
                <w:rFonts w:ascii="Calibri" w:hAnsi="Calibri"/>
                <w:szCs w:val="22"/>
              </w:rPr>
              <w:t>, online use possible;</w:t>
            </w:r>
          </w:p>
        </w:tc>
        <w:tc>
          <w:tcPr>
            <w:tcW w:w="3173"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Person to business (p2b), business to business (b2b), online use possible, but no person to person (p2p);</w:t>
            </w:r>
          </w:p>
        </w:tc>
      </w:tr>
      <w:tr w:rsidR="00DB687E" w:rsidRPr="00EB59ED" w:rsidTr="00A733A6">
        <w:trPr>
          <w:cantSplit/>
          <w:trHeight w:val="584"/>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Card can be reloaded an unlimited number of times</w:t>
            </w:r>
            <w:r>
              <w:rPr>
                <w:rFonts w:ascii="Calibri" w:hAnsi="Calibri"/>
                <w:szCs w:val="22"/>
              </w:rPr>
              <w:t>, particularly where there are n</w:t>
            </w:r>
            <w:r w:rsidRPr="00A733A6">
              <w:rPr>
                <w:rFonts w:ascii="Calibri" w:hAnsi="Calibri"/>
                <w:szCs w:val="22"/>
              </w:rPr>
              <w:t>o, or high, funding, loading or spending limits;</w:t>
            </w:r>
          </w:p>
        </w:tc>
        <w:tc>
          <w:tcPr>
            <w:tcW w:w="3173"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Low account (balance) and transaction limits as well as controls on the frequency of transactions which may prevent continuous access to large amounts of money for illicit purposes;</w:t>
            </w:r>
          </w:p>
        </w:tc>
      </w:tr>
      <w:tr w:rsidR="00DB687E" w:rsidRPr="00EB59ED" w:rsidTr="007D2770">
        <w:trPr>
          <w:cantSplit/>
          <w:trHeight w:val="585"/>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 xml:space="preserve">Multiple purchases of low-value cards; </w:t>
            </w:r>
          </w:p>
        </w:tc>
        <w:tc>
          <w:tcPr>
            <w:tcW w:w="3173"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A limited number of accounts or cards for each customer;</w:t>
            </w:r>
          </w:p>
        </w:tc>
      </w:tr>
      <w:tr w:rsidR="00DB687E" w:rsidRPr="00EB59ED" w:rsidTr="00A733A6">
        <w:trPr>
          <w:cantSplit/>
          <w:trHeight w:val="1165"/>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restart"/>
            <w:vAlign w:val="center"/>
          </w:tcPr>
          <w:p w:rsidR="00DB687E" w:rsidRPr="00A733A6" w:rsidRDefault="00DB687E" w:rsidP="00A733A6">
            <w:pPr>
              <w:pStyle w:val="BodyText"/>
              <w:spacing w:after="0" w:line="240" w:lineRule="auto"/>
              <w:rPr>
                <w:rFonts w:ascii="Calibri" w:hAnsi="Calibri"/>
              </w:rPr>
            </w:pPr>
            <w:r w:rsidRPr="00A733A6">
              <w:rPr>
                <w:rFonts w:ascii="Calibri" w:hAnsi="Calibri"/>
                <w:szCs w:val="22"/>
              </w:rPr>
              <w:t xml:space="preserve">Method (s) of account funding </w:t>
            </w: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Funding through anonymous sources such as cash;</w:t>
            </w:r>
          </w:p>
          <w:p w:rsidR="00DB687E" w:rsidRPr="00A733A6" w:rsidRDefault="00DB687E" w:rsidP="00A733A6">
            <w:pPr>
              <w:pStyle w:val="BodyText"/>
              <w:spacing w:after="0" w:line="240" w:lineRule="auto"/>
              <w:rPr>
                <w:rFonts w:ascii="Calibri" w:hAnsi="Calibri"/>
              </w:rPr>
            </w:pPr>
          </w:p>
          <w:p w:rsidR="00DB687E" w:rsidRPr="00A733A6" w:rsidRDefault="00DB687E" w:rsidP="00A733A6">
            <w:pPr>
              <w:pStyle w:val="BodyText"/>
              <w:spacing w:after="0" w:line="240" w:lineRule="auto"/>
              <w:rPr>
                <w:rFonts w:ascii="Calibri" w:hAnsi="Calibri"/>
              </w:rPr>
            </w:pPr>
          </w:p>
          <w:p w:rsidR="00DB687E" w:rsidRPr="00A733A6" w:rsidRDefault="00DB687E" w:rsidP="00A733A6">
            <w:pPr>
              <w:autoSpaceDE w:val="0"/>
              <w:autoSpaceDN w:val="0"/>
              <w:adjustRightInd w:val="0"/>
              <w:spacing w:line="240" w:lineRule="auto"/>
              <w:rPr>
                <w:rFonts w:ascii="Calibri" w:hAnsi="Calibri"/>
                <w:sz w:val="24"/>
              </w:rPr>
            </w:pPr>
          </w:p>
        </w:tc>
        <w:tc>
          <w:tcPr>
            <w:tcW w:w="3173"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 xml:space="preserve">Funding methods restricted to sources where </w:t>
            </w:r>
            <w:r>
              <w:rPr>
                <w:rFonts w:ascii="Calibri" w:hAnsi="Calibri"/>
                <w:szCs w:val="22"/>
              </w:rPr>
              <w:t>customer due diligence (CDD)</w:t>
            </w:r>
            <w:r w:rsidRPr="00A733A6">
              <w:rPr>
                <w:rFonts w:ascii="Calibri" w:hAnsi="Calibri"/>
                <w:szCs w:val="22"/>
              </w:rPr>
              <w:t xml:space="preserve"> measures can be undertaken, such as bank accounts;</w:t>
            </w:r>
          </w:p>
        </w:tc>
      </w:tr>
      <w:tr w:rsidR="00DB687E" w:rsidRPr="00EB59ED" w:rsidTr="00A733A6">
        <w:trPr>
          <w:cantSplit/>
          <w:trHeight w:val="1165"/>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Indirect funding from different sources, including third parties;</w:t>
            </w:r>
          </w:p>
          <w:p w:rsidR="00DB687E" w:rsidRPr="00A733A6" w:rsidRDefault="00DB687E" w:rsidP="00A733A6">
            <w:pPr>
              <w:pStyle w:val="BodyText"/>
              <w:spacing w:after="0" w:line="240" w:lineRule="auto"/>
              <w:rPr>
                <w:rFonts w:ascii="Calibri" w:hAnsi="Calibri"/>
              </w:rPr>
            </w:pPr>
          </w:p>
        </w:tc>
        <w:tc>
          <w:tcPr>
            <w:tcW w:w="3173"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Restricted number of parties allowed to fund the product, thus limiting the possibility of third party funding;</w:t>
            </w:r>
          </w:p>
        </w:tc>
      </w:tr>
      <w:tr w:rsidR="00DB687E" w:rsidRPr="00EB59ED" w:rsidTr="00A733A6">
        <w:trPr>
          <w:cantSplit/>
          <w:trHeight w:val="1165"/>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lang w:val="en-GB" w:eastAsia="en-GB"/>
              </w:rPr>
              <w:t>Cards that can be loaded with, and provide access to, funds in currencies other than the New Zealand dollar - which may be susceptible to being loaded with illicit funds and sent overseas for a foreigner to use or trade;</w:t>
            </w:r>
          </w:p>
        </w:tc>
        <w:tc>
          <w:tcPr>
            <w:tcW w:w="3173" w:type="dxa"/>
          </w:tcPr>
          <w:p w:rsidR="00DB687E" w:rsidRPr="00A733A6" w:rsidRDefault="00DB687E" w:rsidP="00A733A6">
            <w:pPr>
              <w:pStyle w:val="BodyText"/>
              <w:spacing w:after="0" w:line="240" w:lineRule="auto"/>
              <w:rPr>
                <w:rFonts w:ascii="Calibri" w:hAnsi="Calibri"/>
              </w:rPr>
            </w:pPr>
          </w:p>
        </w:tc>
      </w:tr>
      <w:tr w:rsidR="00DB687E" w:rsidRPr="00EB59ED" w:rsidTr="007D2770">
        <w:trPr>
          <w:cantSplit/>
          <w:trHeight w:val="939"/>
        </w:trPr>
        <w:tc>
          <w:tcPr>
            <w:tcW w:w="2283" w:type="dxa"/>
            <w:vMerge w:val="restart"/>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restart"/>
            <w:vAlign w:val="center"/>
          </w:tcPr>
          <w:p w:rsidR="00DB687E" w:rsidRPr="00A733A6" w:rsidRDefault="00DB687E" w:rsidP="00A733A6">
            <w:pPr>
              <w:pStyle w:val="BodyText"/>
              <w:spacing w:after="0" w:line="240" w:lineRule="auto"/>
              <w:rPr>
                <w:rFonts w:ascii="Calibri" w:hAnsi="Calibri"/>
              </w:rPr>
            </w:pPr>
            <w:r w:rsidRPr="00A733A6">
              <w:rPr>
                <w:rFonts w:ascii="Calibri" w:hAnsi="Calibri"/>
                <w:szCs w:val="22"/>
              </w:rPr>
              <w:t>Method (s) of withdrawal from account</w:t>
            </w: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Cards can be used to withdraw cash a</w:t>
            </w:r>
            <w:r>
              <w:rPr>
                <w:rFonts w:ascii="Calibri" w:hAnsi="Calibri"/>
                <w:szCs w:val="22"/>
              </w:rPr>
              <w:t xml:space="preserve">t the time a product is bought </w:t>
            </w:r>
            <w:r w:rsidRPr="00A733A6">
              <w:rPr>
                <w:rFonts w:ascii="Calibri" w:hAnsi="Calibri"/>
                <w:szCs w:val="22"/>
              </w:rPr>
              <w:t>(“cash back”)</w:t>
            </w:r>
            <w:r>
              <w:rPr>
                <w:rFonts w:ascii="Calibri" w:hAnsi="Calibri"/>
                <w:szCs w:val="22"/>
              </w:rPr>
              <w:t>;</w:t>
            </w:r>
          </w:p>
        </w:tc>
        <w:tc>
          <w:tcPr>
            <w:tcW w:w="3173" w:type="dxa"/>
            <w:vMerge w:val="restart"/>
          </w:tcPr>
          <w:p w:rsidR="00DB687E" w:rsidRPr="00A733A6" w:rsidRDefault="00DB687E" w:rsidP="00A733A6">
            <w:pPr>
              <w:pStyle w:val="BodyText"/>
              <w:spacing w:after="0" w:line="240" w:lineRule="auto"/>
              <w:rPr>
                <w:rFonts w:ascii="Calibri" w:hAnsi="Calibri"/>
              </w:rPr>
            </w:pPr>
            <w:r w:rsidRPr="00A733A6">
              <w:rPr>
                <w:rFonts w:ascii="Calibri" w:hAnsi="Calibri"/>
                <w:szCs w:val="22"/>
              </w:rPr>
              <w:t>Cards do not allow cash withdrawal;</w:t>
            </w:r>
          </w:p>
        </w:tc>
      </w:tr>
      <w:tr w:rsidR="00DB687E" w:rsidRPr="00EB59ED" w:rsidTr="00A733A6">
        <w:trPr>
          <w:cantSplit/>
          <w:trHeight w:val="1443"/>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No limit; cards may be used to move cash quickly around the world by using the ATM network to withdraw funds, with no face-to-face transaction required;</w:t>
            </w:r>
          </w:p>
        </w:tc>
        <w:tc>
          <w:tcPr>
            <w:tcW w:w="3173" w:type="dxa"/>
            <w:vMerge/>
          </w:tcPr>
          <w:p w:rsidR="00DB687E" w:rsidRPr="00A733A6" w:rsidRDefault="00DB687E" w:rsidP="00A733A6">
            <w:pPr>
              <w:pStyle w:val="BodyText"/>
              <w:spacing w:after="0" w:line="240" w:lineRule="auto"/>
              <w:rPr>
                <w:rFonts w:ascii="Calibri" w:hAnsi="Calibri"/>
              </w:rPr>
            </w:pPr>
          </w:p>
        </w:tc>
      </w:tr>
      <w:tr w:rsidR="00DB687E" w:rsidRPr="00EB59ED" w:rsidTr="00A733A6">
        <w:trPr>
          <w:cantSplit/>
          <w:trHeight w:val="1481"/>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The ability to add or withdraw funds from the account using cash or cash equivalents, whether directly or through another provider or intermediary;</w:t>
            </w:r>
          </w:p>
        </w:tc>
        <w:tc>
          <w:tcPr>
            <w:tcW w:w="3173" w:type="dxa"/>
            <w:vMerge/>
          </w:tcPr>
          <w:p w:rsidR="00DB687E" w:rsidRPr="00A733A6" w:rsidRDefault="00DB687E" w:rsidP="00A733A6">
            <w:pPr>
              <w:pStyle w:val="BodyText"/>
              <w:spacing w:after="0" w:line="240" w:lineRule="auto"/>
              <w:rPr>
                <w:rFonts w:ascii="Calibri" w:hAnsi="Calibri"/>
              </w:rPr>
            </w:pPr>
          </w:p>
        </w:tc>
      </w:tr>
      <w:tr w:rsidR="00DB687E" w:rsidRPr="00EB59ED" w:rsidTr="00A733A6">
        <w:trPr>
          <w:cantSplit/>
          <w:trHeight w:val="233"/>
        </w:trPr>
        <w:tc>
          <w:tcPr>
            <w:tcW w:w="2283" w:type="dxa"/>
            <w:vMerge w:val="restart"/>
            <w:shd w:val="clear" w:color="auto" w:fill="E6E6E6"/>
            <w:vAlign w:val="center"/>
          </w:tcPr>
          <w:p w:rsidR="00DB687E" w:rsidRPr="00A733A6" w:rsidRDefault="00DB687E" w:rsidP="00A733A6">
            <w:pPr>
              <w:pStyle w:val="BodyText"/>
              <w:spacing w:after="0" w:line="240" w:lineRule="auto"/>
              <w:rPr>
                <w:rFonts w:ascii="Calibri" w:hAnsi="Calibri"/>
                <w:b/>
              </w:rPr>
            </w:pPr>
            <w:r w:rsidRPr="00A733A6">
              <w:rPr>
                <w:rFonts w:ascii="Calibri" w:hAnsi="Calibri"/>
                <w:b/>
                <w:szCs w:val="22"/>
              </w:rPr>
              <w:t>Methods by which products is delivered to customers</w:t>
            </w:r>
          </w:p>
        </w:tc>
        <w:tc>
          <w:tcPr>
            <w:tcW w:w="1966" w:type="dxa"/>
            <w:vMerge w:val="restart"/>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szCs w:val="22"/>
              </w:rPr>
              <w:t>Absence of face-to-face contact;</w:t>
            </w:r>
          </w:p>
        </w:tc>
        <w:tc>
          <w:tcPr>
            <w:tcW w:w="3173" w:type="dxa"/>
            <w:vMerge w:val="restart"/>
          </w:tcPr>
          <w:p w:rsidR="00DB687E" w:rsidRPr="00A733A6" w:rsidRDefault="00DB687E" w:rsidP="00A733A6">
            <w:pPr>
              <w:pStyle w:val="BodyText"/>
              <w:spacing w:after="0" w:line="240" w:lineRule="auto"/>
              <w:rPr>
                <w:rFonts w:ascii="Calibri" w:hAnsi="Calibri"/>
              </w:rPr>
            </w:pPr>
          </w:p>
        </w:tc>
      </w:tr>
      <w:tr w:rsidR="00DB687E" w:rsidRPr="00EB59ED" w:rsidTr="00A733A6">
        <w:trPr>
          <w:cantSplit/>
          <w:trHeight w:val="675"/>
        </w:trPr>
        <w:tc>
          <w:tcPr>
            <w:tcW w:w="2283" w:type="dxa"/>
            <w:vMerge/>
            <w:shd w:val="clear" w:color="auto" w:fill="E6E6E6"/>
            <w:vAlign w:val="center"/>
          </w:tcPr>
          <w:p w:rsidR="00DB687E" w:rsidRPr="00A733A6" w:rsidRDefault="00DB687E" w:rsidP="00A733A6">
            <w:pPr>
              <w:pStyle w:val="BodyText"/>
              <w:spacing w:after="0" w:line="240" w:lineRule="auto"/>
              <w:rPr>
                <w:rFonts w:ascii="Calibri" w:hAnsi="Calibri"/>
                <w:b/>
              </w:rPr>
            </w:pPr>
          </w:p>
        </w:tc>
        <w:tc>
          <w:tcPr>
            <w:tcW w:w="1966" w:type="dxa"/>
            <w:vMerge/>
            <w:vAlign w:val="center"/>
          </w:tcPr>
          <w:p w:rsidR="00DB687E" w:rsidRPr="00A733A6" w:rsidRDefault="00DB687E" w:rsidP="00A733A6">
            <w:pPr>
              <w:pStyle w:val="BodyText"/>
              <w:spacing w:after="0" w:line="240" w:lineRule="auto"/>
              <w:rPr>
                <w:rFonts w:ascii="Calibri" w:hAnsi="Calibri"/>
              </w:rPr>
            </w:pPr>
          </w:p>
        </w:tc>
        <w:tc>
          <w:tcPr>
            <w:tcW w:w="3198" w:type="dxa"/>
          </w:tcPr>
          <w:p w:rsidR="00DB687E" w:rsidRPr="00A733A6" w:rsidRDefault="00DB687E" w:rsidP="00A733A6">
            <w:pPr>
              <w:pStyle w:val="BodyText"/>
              <w:spacing w:after="0" w:line="240" w:lineRule="auto"/>
              <w:rPr>
                <w:rFonts w:ascii="Calibri" w:hAnsi="Calibri"/>
              </w:rPr>
            </w:pPr>
            <w:r w:rsidRPr="00A733A6">
              <w:rPr>
                <w:rFonts w:ascii="Calibri" w:hAnsi="Calibri"/>
              </w:rPr>
              <w:t>Inability to confir</w:t>
            </w:r>
            <w:r>
              <w:rPr>
                <w:rFonts w:ascii="Calibri" w:hAnsi="Calibri"/>
              </w:rPr>
              <w:t>m</w:t>
            </w:r>
            <w:r w:rsidRPr="00A733A6">
              <w:rPr>
                <w:rFonts w:ascii="Calibri" w:hAnsi="Calibri"/>
              </w:rPr>
              <w:t xml:space="preserve"> the identity of the primary account holder/ card holder;</w:t>
            </w:r>
          </w:p>
        </w:tc>
        <w:tc>
          <w:tcPr>
            <w:tcW w:w="3173" w:type="dxa"/>
            <w:vMerge/>
          </w:tcPr>
          <w:p w:rsidR="00DB687E" w:rsidRPr="00A733A6" w:rsidRDefault="00DB687E" w:rsidP="00A733A6">
            <w:pPr>
              <w:pStyle w:val="BodyText"/>
              <w:spacing w:after="0" w:line="240" w:lineRule="auto"/>
              <w:rPr>
                <w:rFonts w:ascii="Calibri" w:hAnsi="Calibri"/>
              </w:rPr>
            </w:pPr>
          </w:p>
        </w:tc>
      </w:tr>
      <w:tr w:rsidR="00DB687E" w:rsidRPr="00EB59ED" w:rsidTr="007D2770">
        <w:trPr>
          <w:cantSplit/>
          <w:trHeight w:val="794"/>
        </w:trPr>
        <w:tc>
          <w:tcPr>
            <w:tcW w:w="4249" w:type="dxa"/>
            <w:gridSpan w:val="2"/>
            <w:tcBorders>
              <w:left w:val="single" w:sz="6" w:space="0" w:color="auto"/>
              <w:bottom w:val="single" w:sz="4" w:space="0" w:color="auto"/>
            </w:tcBorders>
            <w:shd w:val="clear" w:color="auto" w:fill="E6E6E6"/>
            <w:vAlign w:val="center"/>
          </w:tcPr>
          <w:p w:rsidR="00DB687E" w:rsidRPr="00A733A6" w:rsidRDefault="00DB687E" w:rsidP="00A733A6">
            <w:pPr>
              <w:pStyle w:val="BodyText"/>
              <w:spacing w:after="0" w:line="240" w:lineRule="auto"/>
              <w:rPr>
                <w:rFonts w:ascii="Calibri" w:hAnsi="Calibri"/>
              </w:rPr>
            </w:pPr>
            <w:r w:rsidRPr="00A733A6">
              <w:rPr>
                <w:rFonts w:ascii="Calibri" w:hAnsi="Calibri"/>
                <w:b/>
                <w:szCs w:val="22"/>
              </w:rPr>
              <w:t>Types of customer (s) dealt with</w:t>
            </w:r>
          </w:p>
        </w:tc>
        <w:tc>
          <w:tcPr>
            <w:tcW w:w="3198" w:type="dxa"/>
            <w:tcBorders>
              <w:bottom w:val="single" w:sz="4" w:space="0" w:color="auto"/>
            </w:tcBorders>
            <w:vAlign w:val="center"/>
          </w:tcPr>
          <w:p w:rsidR="00DB687E" w:rsidRPr="00A733A6" w:rsidRDefault="00DB687E" w:rsidP="007D2770">
            <w:pPr>
              <w:pStyle w:val="BodyText"/>
              <w:spacing w:after="0" w:line="240" w:lineRule="auto"/>
              <w:rPr>
                <w:rFonts w:ascii="Calibri" w:hAnsi="Calibri"/>
              </w:rPr>
            </w:pPr>
            <w:r w:rsidRPr="00A733A6">
              <w:rPr>
                <w:rFonts w:ascii="Calibri" w:hAnsi="Calibri"/>
                <w:szCs w:val="22"/>
              </w:rPr>
              <w:t>Non-resident customers;</w:t>
            </w:r>
          </w:p>
        </w:tc>
        <w:tc>
          <w:tcPr>
            <w:tcW w:w="3173" w:type="dxa"/>
            <w:tcBorders>
              <w:bottom w:val="single" w:sz="4" w:space="0" w:color="auto"/>
            </w:tcBorders>
            <w:vAlign w:val="center"/>
          </w:tcPr>
          <w:p w:rsidR="00DB687E" w:rsidRPr="00A733A6" w:rsidRDefault="00DB687E" w:rsidP="007D2770">
            <w:pPr>
              <w:pStyle w:val="BodyText"/>
              <w:spacing w:after="0" w:line="240" w:lineRule="auto"/>
              <w:rPr>
                <w:rFonts w:ascii="Calibri" w:hAnsi="Calibri"/>
              </w:rPr>
            </w:pPr>
            <w:smartTag w:uri="urn:schemas-microsoft-com:office:smarttags" w:element="country-region">
              <w:smartTag w:uri="urn:schemas-microsoft-com:office:smarttags" w:element="place">
                <w:r w:rsidRPr="00A733A6">
                  <w:rPr>
                    <w:rFonts w:ascii="Calibri" w:hAnsi="Calibri"/>
                    <w:szCs w:val="22"/>
                  </w:rPr>
                  <w:t>New Zealand</w:t>
                </w:r>
              </w:smartTag>
            </w:smartTag>
            <w:r w:rsidRPr="00A733A6">
              <w:rPr>
                <w:rFonts w:ascii="Calibri" w:hAnsi="Calibri"/>
                <w:szCs w:val="22"/>
              </w:rPr>
              <w:t xml:space="preserve"> corporate customers, individuals;</w:t>
            </w:r>
          </w:p>
        </w:tc>
      </w:tr>
      <w:bookmarkEnd w:id="1"/>
    </w:tbl>
    <w:p w:rsidR="00DB687E" w:rsidRPr="00CE5017" w:rsidRDefault="00DB687E" w:rsidP="00CE5017">
      <w:pPr>
        <w:pStyle w:val="BodyText"/>
        <w:spacing w:after="0" w:line="240" w:lineRule="auto"/>
        <w:rPr>
          <w:rFonts w:ascii="Calibri" w:hAnsi="Calibri"/>
          <w:szCs w:val="22"/>
        </w:rPr>
      </w:pPr>
    </w:p>
    <w:sectPr w:rsidR="00DB687E" w:rsidRPr="00CE5017" w:rsidSect="002D56DC">
      <w:footerReference w:type="even" r:id="rId8"/>
      <w:footerReference w:type="default" r:id="rId9"/>
      <w:footerReference w:type="first" r:id="rId10"/>
      <w:pgSz w:w="11907" w:h="16840" w:code="9"/>
      <w:pgMar w:top="851"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7E" w:rsidRDefault="00DB687E">
      <w:r>
        <w:separator/>
      </w:r>
    </w:p>
  </w:endnote>
  <w:endnote w:type="continuationSeparator" w:id="0">
    <w:p w:rsidR="00DB687E" w:rsidRDefault="00DB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7E" w:rsidRDefault="00DB687E" w:rsidP="00345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687E" w:rsidRDefault="00DB687E"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7E" w:rsidRDefault="00DB687E" w:rsidP="00345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687E" w:rsidRPr="006F110B" w:rsidRDefault="00DB687E" w:rsidP="00345F8B">
    <w:pPr>
      <w:jc w:val="right"/>
      <w:rPr>
        <w:rFonts w:ascii="Calibri" w:hAnsi="Calibri"/>
        <w:i/>
        <w:sz w:val="18"/>
        <w:szCs w:val="18"/>
      </w:rPr>
    </w:pPr>
    <w:r w:rsidRPr="006F110B">
      <w:rPr>
        <w:rFonts w:ascii="Calibri" w:hAnsi="Calibri"/>
        <w:i/>
        <w:sz w:val="18"/>
        <w:szCs w:val="18"/>
      </w:rPr>
      <w:t>Department of Internal Affairs Te Tari Taiwhenua</w:t>
    </w:r>
  </w:p>
  <w:p w:rsidR="00DB687E" w:rsidRPr="00345F8B" w:rsidRDefault="00DB687E" w:rsidP="00345F8B">
    <w:pPr>
      <w:pStyle w:val="Footer"/>
      <w:jc w:val="right"/>
      <w:rPr>
        <w:rFonts w:ascii="Calibri" w:hAnsi="Calibri"/>
        <w:i/>
      </w:rPr>
    </w:pPr>
    <w:r w:rsidRPr="006F110B">
      <w:rPr>
        <w:rFonts w:ascii="Calibri" w:hAnsi="Calibri"/>
        <w:i/>
      </w:rP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7E" w:rsidRPr="006F110B" w:rsidRDefault="00DB687E" w:rsidP="00345F8B">
    <w:pPr>
      <w:jc w:val="right"/>
      <w:rPr>
        <w:rFonts w:ascii="Calibri" w:hAnsi="Calibri"/>
        <w:i/>
        <w:sz w:val="18"/>
        <w:szCs w:val="18"/>
      </w:rPr>
    </w:pPr>
    <w:r w:rsidRPr="006F110B">
      <w:rPr>
        <w:rFonts w:ascii="Calibri" w:hAnsi="Calibri"/>
        <w:i/>
        <w:sz w:val="18"/>
        <w:szCs w:val="18"/>
      </w:rPr>
      <w:t>Department of Internal Affairs Te Tari Taiwhenua</w:t>
    </w:r>
  </w:p>
  <w:p w:rsidR="00DB687E" w:rsidRPr="00345F8B" w:rsidRDefault="00DB687E" w:rsidP="00345F8B">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7E" w:rsidRDefault="00DB687E">
      <w:r>
        <w:separator/>
      </w:r>
    </w:p>
  </w:footnote>
  <w:footnote w:type="continuationSeparator" w:id="0">
    <w:p w:rsidR="00DB687E" w:rsidRDefault="00DB687E">
      <w:r>
        <w:continuationSeparator/>
      </w:r>
    </w:p>
  </w:footnote>
  <w:footnote w:id="1">
    <w:p w:rsidR="00DB687E" w:rsidRDefault="00DB687E" w:rsidP="00CC1AAA">
      <w:pPr>
        <w:pStyle w:val="FootnoteText"/>
        <w:spacing w:after="0" w:line="240" w:lineRule="auto"/>
        <w:jc w:val="both"/>
      </w:pPr>
      <w:r w:rsidRPr="00663380">
        <w:rPr>
          <w:rStyle w:val="FootnoteReference"/>
          <w:rFonts w:ascii="Calibri" w:hAnsi="Calibri"/>
          <w:sz w:val="20"/>
        </w:rPr>
        <w:footnoteRef/>
      </w:r>
      <w:r>
        <w:rPr>
          <w:rFonts w:ascii="Calibri" w:hAnsi="Calibri"/>
          <w:sz w:val="20"/>
        </w:rPr>
        <w:t xml:space="preserve"> P</w:t>
      </w:r>
      <w:r w:rsidRPr="00663380">
        <w:rPr>
          <w:rFonts w:ascii="Calibri" w:hAnsi="Calibri"/>
          <w:sz w:val="20"/>
        </w:rPr>
        <w:t>2p payments may be facilitated where cards can be passed on to third parties or used to fund other accounts;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373F1CC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400A03D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66297F7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11"/>
  </w:num>
  <w:num w:numId="23">
    <w:abstractNumId w:val="10"/>
  </w:num>
  <w:num w:numId="24">
    <w:abstractNumId w:val="18"/>
  </w:num>
  <w:num w:numId="25">
    <w:abstractNumId w:val="16"/>
  </w:num>
  <w:num w:numId="26">
    <w:abstractNumId w:val="15"/>
  </w:num>
  <w:num w:numId="27">
    <w:abstractNumId w:val="13"/>
  </w:num>
  <w:num w:numId="28">
    <w:abstractNumId w:val="17"/>
  </w:num>
  <w:num w:numId="29">
    <w:abstractNumId w:val="12"/>
  </w:num>
  <w:num w:numId="30">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12AE4"/>
    <w:rsid w:val="00020010"/>
    <w:rsid w:val="000219AD"/>
    <w:rsid w:val="00034673"/>
    <w:rsid w:val="0004101B"/>
    <w:rsid w:val="00043965"/>
    <w:rsid w:val="00044EA1"/>
    <w:rsid w:val="0005789F"/>
    <w:rsid w:val="00066313"/>
    <w:rsid w:val="00077013"/>
    <w:rsid w:val="000B4715"/>
    <w:rsid w:val="000E677B"/>
    <w:rsid w:val="000F61AF"/>
    <w:rsid w:val="0010171C"/>
    <w:rsid w:val="00101E29"/>
    <w:rsid w:val="00102FAD"/>
    <w:rsid w:val="001166B4"/>
    <w:rsid w:val="00122F59"/>
    <w:rsid w:val="00124032"/>
    <w:rsid w:val="00173607"/>
    <w:rsid w:val="00195F39"/>
    <w:rsid w:val="001C0031"/>
    <w:rsid w:val="001D0111"/>
    <w:rsid w:val="001E19BE"/>
    <w:rsid w:val="00206BA3"/>
    <w:rsid w:val="00212ACA"/>
    <w:rsid w:val="00215160"/>
    <w:rsid w:val="002224B4"/>
    <w:rsid w:val="002368DD"/>
    <w:rsid w:val="00237A3D"/>
    <w:rsid w:val="002502D1"/>
    <w:rsid w:val="00257F45"/>
    <w:rsid w:val="00262A31"/>
    <w:rsid w:val="0026723E"/>
    <w:rsid w:val="00270EEC"/>
    <w:rsid w:val="00275FC4"/>
    <w:rsid w:val="002806A2"/>
    <w:rsid w:val="002859A9"/>
    <w:rsid w:val="00297443"/>
    <w:rsid w:val="00297CC7"/>
    <w:rsid w:val="002A02F3"/>
    <w:rsid w:val="002A369A"/>
    <w:rsid w:val="002A4BD9"/>
    <w:rsid w:val="002A4FE7"/>
    <w:rsid w:val="002B4C63"/>
    <w:rsid w:val="002D31D6"/>
    <w:rsid w:val="002D56DC"/>
    <w:rsid w:val="002F3F48"/>
    <w:rsid w:val="00311F5F"/>
    <w:rsid w:val="0033069C"/>
    <w:rsid w:val="00330820"/>
    <w:rsid w:val="00345F8B"/>
    <w:rsid w:val="0034780F"/>
    <w:rsid w:val="003520C4"/>
    <w:rsid w:val="00370FC0"/>
    <w:rsid w:val="003817D4"/>
    <w:rsid w:val="003A3DBA"/>
    <w:rsid w:val="003B1C52"/>
    <w:rsid w:val="003B2C7B"/>
    <w:rsid w:val="003B3A23"/>
    <w:rsid w:val="003C0DEA"/>
    <w:rsid w:val="003C57A5"/>
    <w:rsid w:val="003C5A7C"/>
    <w:rsid w:val="003E0F3F"/>
    <w:rsid w:val="003F5886"/>
    <w:rsid w:val="0040700B"/>
    <w:rsid w:val="00407F54"/>
    <w:rsid w:val="00411D8B"/>
    <w:rsid w:val="00415CDB"/>
    <w:rsid w:val="0042551E"/>
    <w:rsid w:val="00442DC9"/>
    <w:rsid w:val="0044679D"/>
    <w:rsid w:val="004552A0"/>
    <w:rsid w:val="00460A83"/>
    <w:rsid w:val="00477619"/>
    <w:rsid w:val="00486E6E"/>
    <w:rsid w:val="004878D2"/>
    <w:rsid w:val="004A2E17"/>
    <w:rsid w:val="004B4CB0"/>
    <w:rsid w:val="004D1706"/>
    <w:rsid w:val="004D243F"/>
    <w:rsid w:val="004D598F"/>
    <w:rsid w:val="004D599C"/>
    <w:rsid w:val="004D710A"/>
    <w:rsid w:val="004E46A3"/>
    <w:rsid w:val="004F4244"/>
    <w:rsid w:val="00503055"/>
    <w:rsid w:val="005053F6"/>
    <w:rsid w:val="00513609"/>
    <w:rsid w:val="00517F47"/>
    <w:rsid w:val="0052216D"/>
    <w:rsid w:val="005225A2"/>
    <w:rsid w:val="00526115"/>
    <w:rsid w:val="005366B6"/>
    <w:rsid w:val="00555325"/>
    <w:rsid w:val="00570C00"/>
    <w:rsid w:val="00573AB5"/>
    <w:rsid w:val="00581955"/>
    <w:rsid w:val="0058206B"/>
    <w:rsid w:val="00592460"/>
    <w:rsid w:val="0059662F"/>
    <w:rsid w:val="005C0FB2"/>
    <w:rsid w:val="005C3FE8"/>
    <w:rsid w:val="005D401B"/>
    <w:rsid w:val="005E4C02"/>
    <w:rsid w:val="005F0FA0"/>
    <w:rsid w:val="005F32E2"/>
    <w:rsid w:val="00600CA4"/>
    <w:rsid w:val="00602416"/>
    <w:rsid w:val="006041F2"/>
    <w:rsid w:val="006101CB"/>
    <w:rsid w:val="00630711"/>
    <w:rsid w:val="00634793"/>
    <w:rsid w:val="006606D1"/>
    <w:rsid w:val="00662716"/>
    <w:rsid w:val="00663380"/>
    <w:rsid w:val="00663EA4"/>
    <w:rsid w:val="00675323"/>
    <w:rsid w:val="00677B13"/>
    <w:rsid w:val="00677F4E"/>
    <w:rsid w:val="00681907"/>
    <w:rsid w:val="00685ECF"/>
    <w:rsid w:val="00686AC5"/>
    <w:rsid w:val="00687CEA"/>
    <w:rsid w:val="00695B75"/>
    <w:rsid w:val="006B3AF3"/>
    <w:rsid w:val="006C1209"/>
    <w:rsid w:val="006D638F"/>
    <w:rsid w:val="006D6FB4"/>
    <w:rsid w:val="006F110B"/>
    <w:rsid w:val="007068C8"/>
    <w:rsid w:val="00745337"/>
    <w:rsid w:val="00750003"/>
    <w:rsid w:val="00752B06"/>
    <w:rsid w:val="0075764B"/>
    <w:rsid w:val="00760C01"/>
    <w:rsid w:val="00767C04"/>
    <w:rsid w:val="00781409"/>
    <w:rsid w:val="007A3838"/>
    <w:rsid w:val="007A5DCB"/>
    <w:rsid w:val="007A6226"/>
    <w:rsid w:val="007C2908"/>
    <w:rsid w:val="007C35E4"/>
    <w:rsid w:val="007D1918"/>
    <w:rsid w:val="007D2770"/>
    <w:rsid w:val="007E12AE"/>
    <w:rsid w:val="0082067B"/>
    <w:rsid w:val="00834BE3"/>
    <w:rsid w:val="00843D71"/>
    <w:rsid w:val="00846456"/>
    <w:rsid w:val="008528CA"/>
    <w:rsid w:val="00870045"/>
    <w:rsid w:val="008A082D"/>
    <w:rsid w:val="008A1919"/>
    <w:rsid w:val="008A59C2"/>
    <w:rsid w:val="008B4C8C"/>
    <w:rsid w:val="008C3187"/>
    <w:rsid w:val="008D63B7"/>
    <w:rsid w:val="008E7FEE"/>
    <w:rsid w:val="008F67F5"/>
    <w:rsid w:val="008F6BCE"/>
    <w:rsid w:val="00900D4B"/>
    <w:rsid w:val="00903207"/>
    <w:rsid w:val="00922B64"/>
    <w:rsid w:val="00927482"/>
    <w:rsid w:val="00934BED"/>
    <w:rsid w:val="0095112B"/>
    <w:rsid w:val="00965D79"/>
    <w:rsid w:val="00973F30"/>
    <w:rsid w:val="00990C61"/>
    <w:rsid w:val="009968B0"/>
    <w:rsid w:val="009D350C"/>
    <w:rsid w:val="00A04392"/>
    <w:rsid w:val="00A12F83"/>
    <w:rsid w:val="00A16003"/>
    <w:rsid w:val="00A24FBB"/>
    <w:rsid w:val="00A26A83"/>
    <w:rsid w:val="00A41663"/>
    <w:rsid w:val="00A42ED2"/>
    <w:rsid w:val="00A50E00"/>
    <w:rsid w:val="00A53624"/>
    <w:rsid w:val="00A56461"/>
    <w:rsid w:val="00A632E7"/>
    <w:rsid w:val="00A733A6"/>
    <w:rsid w:val="00A94173"/>
    <w:rsid w:val="00AB478B"/>
    <w:rsid w:val="00AB4AD9"/>
    <w:rsid w:val="00AC2D51"/>
    <w:rsid w:val="00AC5F7C"/>
    <w:rsid w:val="00AD6E77"/>
    <w:rsid w:val="00AF5218"/>
    <w:rsid w:val="00AF7AFF"/>
    <w:rsid w:val="00B263AE"/>
    <w:rsid w:val="00B46698"/>
    <w:rsid w:val="00B47091"/>
    <w:rsid w:val="00B65857"/>
    <w:rsid w:val="00B6635D"/>
    <w:rsid w:val="00B66698"/>
    <w:rsid w:val="00B74E72"/>
    <w:rsid w:val="00B812F6"/>
    <w:rsid w:val="00B84350"/>
    <w:rsid w:val="00B855A6"/>
    <w:rsid w:val="00B91098"/>
    <w:rsid w:val="00B92735"/>
    <w:rsid w:val="00BA12AB"/>
    <w:rsid w:val="00BA291A"/>
    <w:rsid w:val="00BB60C6"/>
    <w:rsid w:val="00BC0878"/>
    <w:rsid w:val="00BC1192"/>
    <w:rsid w:val="00BD137C"/>
    <w:rsid w:val="00BD3A36"/>
    <w:rsid w:val="00BD5A1C"/>
    <w:rsid w:val="00BE03B0"/>
    <w:rsid w:val="00BF0E1B"/>
    <w:rsid w:val="00C03596"/>
    <w:rsid w:val="00C1055C"/>
    <w:rsid w:val="00C2168D"/>
    <w:rsid w:val="00C238D9"/>
    <w:rsid w:val="00C24A9D"/>
    <w:rsid w:val="00C25347"/>
    <w:rsid w:val="00C2677E"/>
    <w:rsid w:val="00C41831"/>
    <w:rsid w:val="00C60C02"/>
    <w:rsid w:val="00C80D62"/>
    <w:rsid w:val="00C96BFD"/>
    <w:rsid w:val="00CC1AAA"/>
    <w:rsid w:val="00CD4514"/>
    <w:rsid w:val="00CD4F84"/>
    <w:rsid w:val="00CD502A"/>
    <w:rsid w:val="00CE5017"/>
    <w:rsid w:val="00CE5836"/>
    <w:rsid w:val="00D05531"/>
    <w:rsid w:val="00D242CD"/>
    <w:rsid w:val="00D341C3"/>
    <w:rsid w:val="00D4083D"/>
    <w:rsid w:val="00D42843"/>
    <w:rsid w:val="00D5152A"/>
    <w:rsid w:val="00D52832"/>
    <w:rsid w:val="00D535E4"/>
    <w:rsid w:val="00D65145"/>
    <w:rsid w:val="00D74314"/>
    <w:rsid w:val="00D87EC5"/>
    <w:rsid w:val="00D91C1A"/>
    <w:rsid w:val="00D96EB8"/>
    <w:rsid w:val="00DA17B0"/>
    <w:rsid w:val="00DA5101"/>
    <w:rsid w:val="00DA5FEE"/>
    <w:rsid w:val="00DA6EC2"/>
    <w:rsid w:val="00DA79EF"/>
    <w:rsid w:val="00DB0C0B"/>
    <w:rsid w:val="00DB3B74"/>
    <w:rsid w:val="00DB687E"/>
    <w:rsid w:val="00DD0901"/>
    <w:rsid w:val="00DD1F51"/>
    <w:rsid w:val="00DE16B6"/>
    <w:rsid w:val="00DE339C"/>
    <w:rsid w:val="00DE36CA"/>
    <w:rsid w:val="00E21CF9"/>
    <w:rsid w:val="00E37E71"/>
    <w:rsid w:val="00E42847"/>
    <w:rsid w:val="00E62940"/>
    <w:rsid w:val="00E73AA8"/>
    <w:rsid w:val="00E80228"/>
    <w:rsid w:val="00EA168D"/>
    <w:rsid w:val="00EA2ED4"/>
    <w:rsid w:val="00EA491A"/>
    <w:rsid w:val="00EB59ED"/>
    <w:rsid w:val="00ED4F31"/>
    <w:rsid w:val="00ED7232"/>
    <w:rsid w:val="00EF3DB8"/>
    <w:rsid w:val="00EF63C6"/>
    <w:rsid w:val="00F001BC"/>
    <w:rsid w:val="00F034FB"/>
    <w:rsid w:val="00F07BFB"/>
    <w:rsid w:val="00F1075A"/>
    <w:rsid w:val="00F12F22"/>
    <w:rsid w:val="00F22E82"/>
    <w:rsid w:val="00F26788"/>
    <w:rsid w:val="00F267C4"/>
    <w:rsid w:val="00F33D14"/>
    <w:rsid w:val="00F473B6"/>
    <w:rsid w:val="00F53E06"/>
    <w:rsid w:val="00F54188"/>
    <w:rsid w:val="00F75416"/>
    <w:rsid w:val="00F81E71"/>
    <w:rsid w:val="00FA67D2"/>
    <w:rsid w:val="00FA6E4F"/>
    <w:rsid w:val="00FB18CA"/>
    <w:rsid w:val="00FB5A92"/>
    <w:rsid w:val="00FD3B52"/>
    <w:rsid w:val="00FD5FB6"/>
    <w:rsid w:val="00FE2206"/>
    <w:rsid w:val="00FE435E"/>
    <w:rsid w:val="00FE776F"/>
    <w:rsid w:val="00FE7A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8C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528C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8528C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528C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528C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8528C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8528C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8528CA"/>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locked/>
    <w:rsid w:val="00903207"/>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8528CA"/>
    <w:rPr>
      <w:rFonts w:ascii="Arial" w:hAnsi="Arial" w:cs="Times New Roman"/>
      <w:sz w:val="24"/>
      <w:szCs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8528CA"/>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8528CA"/>
    <w:rPr>
      <w:szCs w:val="24"/>
    </w:rPr>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8528CA"/>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8528CA"/>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28CA"/>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528CA"/>
    <w:rPr>
      <w:rFonts w:ascii="Arial" w:hAnsi="Arial" w:cs="Times New Roman"/>
      <w:sz w:val="16"/>
      <w:szCs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8528CA"/>
    <w:rPr>
      <w:rFonts w:ascii="Arial" w:hAnsi="Arial" w:cs="Times New Roman"/>
      <w:sz w:val="24"/>
      <w:szCs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8528CA"/>
    <w:rPr>
      <w:rFonts w:ascii="Arial" w:hAnsi="Arial" w:cs="Times New Roman"/>
      <w:sz w:val="24"/>
      <w:szCs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8528CA"/>
    <w:rPr>
      <w:rFonts w:ascii="Arial" w:hAnsi="Arial" w:cs="Times New Roman"/>
      <w:sz w:val="24"/>
      <w:szCs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8528CA"/>
    <w:rPr>
      <w:rFonts w:ascii="Arial" w:hAnsi="Arial" w:cs="Times New Roman"/>
      <w:sz w:val="24"/>
      <w:szCs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8528CA"/>
    <w:rPr>
      <w:rFonts w:ascii="Arial" w:hAnsi="Arial" w:cs="Times New Roman"/>
      <w:sz w:val="24"/>
      <w:szCs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8528CA"/>
    <w:rPr>
      <w:rFonts w:ascii="Arial" w:hAnsi="Arial" w:cs="Times New Roman"/>
      <w:i/>
      <w:iCs/>
      <w:sz w:val="24"/>
      <w:szCs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528CA"/>
    <w:rPr>
      <w:rFonts w:ascii="Courier New" w:hAnsi="Courier New" w:cs="Courier New"/>
      <w:sz w:val="20"/>
      <w:szCs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8528CA"/>
    <w:rPr>
      <w:rFonts w:ascii="Cambria" w:hAnsi="Cambria" w:cs="Times New Roman"/>
      <w:sz w:val="24"/>
      <w:szCs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8528CA"/>
    <w:rPr>
      <w:rFonts w:ascii="Arial" w:hAnsi="Arial" w:cs="Times New Roman"/>
      <w:sz w:val="24"/>
      <w:szCs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528CA"/>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8528CA"/>
    <w:rPr>
      <w:rFonts w:ascii="Arial" w:hAnsi="Arial" w:cs="Times New Roman"/>
      <w:sz w:val="24"/>
      <w:szCs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8528CA"/>
    <w:rPr>
      <w:rFonts w:ascii="Arial" w:hAnsi="Arial" w:cs="Times New Roman"/>
      <w:sz w:val="24"/>
      <w:szCs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8528CA"/>
    <w:rPr>
      <w:rFonts w:ascii="Cambria" w:hAnsi="Cambria" w:cs="Times New Roman"/>
      <w:sz w:val="24"/>
      <w:szCs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8528CA"/>
    <w:rPr>
      <w:rFonts w:ascii="Cambria" w:hAnsi="Cambria" w:cs="Times New Roman"/>
      <w:b/>
      <w:bCs/>
      <w:kern w:val="28"/>
      <w:sz w:val="32"/>
      <w:szCs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22"/>
      </w:numPr>
    </w:pPr>
  </w:style>
  <w:style w:type="paragraph" w:customStyle="1" w:styleId="NumbersLevel2">
    <w:name w:val="Numbers Level 2"/>
    <w:basedOn w:val="BodyText"/>
    <w:uiPriority w:val="99"/>
    <w:rsid w:val="00E73AA8"/>
    <w:pPr>
      <w:numPr>
        <w:ilvl w:val="1"/>
        <w:numId w:val="22"/>
      </w:numPr>
    </w:pPr>
  </w:style>
  <w:style w:type="paragraph" w:customStyle="1" w:styleId="NumbersLevel3">
    <w:name w:val="Numbers Level 3"/>
    <w:basedOn w:val="BodyText"/>
    <w:uiPriority w:val="99"/>
    <w:rsid w:val="00E73AA8"/>
    <w:pPr>
      <w:numPr>
        <w:ilvl w:val="2"/>
        <w:numId w:val="22"/>
      </w:numPr>
    </w:pPr>
  </w:style>
  <w:style w:type="paragraph" w:customStyle="1" w:styleId="NumbersLevel4">
    <w:name w:val="Numbers Level 4"/>
    <w:basedOn w:val="BodyText"/>
    <w:uiPriority w:val="99"/>
    <w:rsid w:val="00E73AA8"/>
    <w:pPr>
      <w:numPr>
        <w:ilvl w:val="3"/>
        <w:numId w:val="2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8528CA"/>
    <w:rPr>
      <w:rFonts w:ascii="Arial" w:hAnsi="Arial" w:cs="Times New Roman"/>
      <w:sz w:val="20"/>
      <w:szCs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23"/>
      </w:numPr>
    </w:pPr>
  </w:style>
  <w:style w:type="paragraph" w:customStyle="1" w:styleId="NumbersTableLevel2">
    <w:name w:val="Numbers Table Level 2"/>
    <w:basedOn w:val="BodyTextTable"/>
    <w:uiPriority w:val="99"/>
    <w:rsid w:val="00A50E00"/>
    <w:pPr>
      <w:numPr>
        <w:ilvl w:val="1"/>
        <w:numId w:val="23"/>
      </w:numPr>
    </w:pPr>
  </w:style>
  <w:style w:type="paragraph" w:customStyle="1" w:styleId="NumbersTableLevel3">
    <w:name w:val="Numbers Table Level 3"/>
    <w:basedOn w:val="BodyTextTable"/>
    <w:uiPriority w:val="99"/>
    <w:rsid w:val="00A50E00"/>
    <w:pPr>
      <w:numPr>
        <w:ilvl w:val="2"/>
        <w:numId w:val="23"/>
      </w:numPr>
    </w:pPr>
  </w:style>
  <w:style w:type="paragraph" w:customStyle="1" w:styleId="BodyTextTableLevel1">
    <w:name w:val="Body Text Table Level 1"/>
    <w:basedOn w:val="BodyTextTable"/>
    <w:uiPriority w:val="99"/>
    <w:rsid w:val="00A50E00"/>
    <w:pPr>
      <w:numPr>
        <w:numId w:val="24"/>
      </w:numPr>
      <w:ind w:left="369"/>
    </w:pPr>
  </w:style>
  <w:style w:type="paragraph" w:customStyle="1" w:styleId="BodyTextTableLevel2">
    <w:name w:val="Body Text Table Level 2"/>
    <w:basedOn w:val="BodyTextTable"/>
    <w:uiPriority w:val="99"/>
    <w:rsid w:val="00A50E00"/>
    <w:pPr>
      <w:numPr>
        <w:ilvl w:val="1"/>
        <w:numId w:val="24"/>
      </w:numPr>
      <w:ind w:left="737"/>
    </w:pPr>
  </w:style>
  <w:style w:type="paragraph" w:customStyle="1" w:styleId="BodyTextTableLevel3">
    <w:name w:val="Body Text Table Level 3"/>
    <w:basedOn w:val="BodyTextTable"/>
    <w:uiPriority w:val="99"/>
    <w:rsid w:val="00A50E00"/>
    <w:pPr>
      <w:numPr>
        <w:ilvl w:val="3"/>
        <w:numId w:val="2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8CA"/>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character" w:styleId="CommentReference">
    <w:name w:val="annotation reference"/>
    <w:basedOn w:val="DefaultParagraphFont"/>
    <w:uiPriority w:val="99"/>
    <w:rsid w:val="001166B4"/>
    <w:rPr>
      <w:rFonts w:cs="Times New Roman"/>
      <w:sz w:val="16"/>
    </w:rPr>
  </w:style>
  <w:style w:type="paragraph" w:styleId="CommentText">
    <w:name w:val="annotation text"/>
    <w:basedOn w:val="Normal"/>
    <w:link w:val="CommentTextChar"/>
    <w:uiPriority w:val="99"/>
    <w:rsid w:val="001166B4"/>
    <w:rPr>
      <w:sz w:val="20"/>
      <w:szCs w:val="20"/>
    </w:rPr>
  </w:style>
  <w:style w:type="character" w:customStyle="1" w:styleId="CommentTextChar">
    <w:name w:val="Comment Text Char"/>
    <w:basedOn w:val="DefaultParagraphFont"/>
    <w:link w:val="CommentText"/>
    <w:uiPriority w:val="99"/>
    <w:locked/>
    <w:rsid w:val="001166B4"/>
    <w:rPr>
      <w:rFonts w:ascii="Arial" w:hAnsi="Arial" w:cs="Times New Roman"/>
      <w:lang w:eastAsia="en-US"/>
    </w:rPr>
  </w:style>
  <w:style w:type="paragraph" w:styleId="CommentSubject">
    <w:name w:val="annotation subject"/>
    <w:basedOn w:val="CommentText"/>
    <w:next w:val="CommentText"/>
    <w:link w:val="CommentSubjectChar"/>
    <w:uiPriority w:val="99"/>
    <w:rsid w:val="001166B4"/>
    <w:rPr>
      <w:b/>
      <w:bCs/>
    </w:rPr>
  </w:style>
  <w:style w:type="character" w:customStyle="1" w:styleId="CommentSubjectChar">
    <w:name w:val="Comment Subject Char"/>
    <w:basedOn w:val="CommentTextChar"/>
    <w:link w:val="CommentSubject"/>
    <w:uiPriority w:val="99"/>
    <w:locked/>
    <w:rsid w:val="001166B4"/>
    <w:rPr>
      <w:b/>
    </w:rPr>
  </w:style>
  <w:style w:type="numbering" w:styleId="ArticleSection">
    <w:name w:val="Outline List 3"/>
    <w:basedOn w:val="NoList"/>
    <w:uiPriority w:val="99"/>
    <w:semiHidden/>
    <w:unhideWhenUsed/>
    <w:locked/>
    <w:rsid w:val="00FF2013"/>
    <w:pPr>
      <w:numPr>
        <w:numId w:val="27"/>
      </w:numPr>
    </w:pPr>
  </w:style>
  <w:style w:type="numbering" w:styleId="1ai">
    <w:name w:val="Outline List 1"/>
    <w:basedOn w:val="NoList"/>
    <w:uiPriority w:val="99"/>
    <w:semiHidden/>
    <w:unhideWhenUsed/>
    <w:locked/>
    <w:rsid w:val="00FF2013"/>
    <w:pPr>
      <w:numPr>
        <w:numId w:val="26"/>
      </w:numPr>
    </w:pPr>
  </w:style>
  <w:style w:type="numbering" w:styleId="111111">
    <w:name w:val="Outline List 2"/>
    <w:basedOn w:val="NoList"/>
    <w:uiPriority w:val="99"/>
    <w:semiHidden/>
    <w:unhideWhenUsed/>
    <w:locked/>
    <w:rsid w:val="00FF2013"/>
    <w:pPr>
      <w:numPr>
        <w:numId w:val="25"/>
      </w:numPr>
    </w:pPr>
  </w:style>
</w:styles>
</file>

<file path=word/webSettings.xml><?xml version="1.0" encoding="utf-8"?>
<w:webSettings xmlns:r="http://schemas.openxmlformats.org/officeDocument/2006/relationships" xmlns:w="http://schemas.openxmlformats.org/wordprocessingml/2006/main">
  <w:divs>
    <w:div w:id="1732657833">
      <w:marLeft w:val="0"/>
      <w:marRight w:val="0"/>
      <w:marTop w:val="0"/>
      <w:marBottom w:val="0"/>
      <w:divBdr>
        <w:top w:val="none" w:sz="0" w:space="0" w:color="auto"/>
        <w:left w:val="none" w:sz="0" w:space="0" w:color="auto"/>
        <w:bottom w:val="none" w:sz="0" w:space="0" w:color="auto"/>
        <w:right w:val="none" w:sz="0" w:space="0" w:color="auto"/>
      </w:divBdr>
    </w:div>
    <w:div w:id="1732657834">
      <w:marLeft w:val="0"/>
      <w:marRight w:val="0"/>
      <w:marTop w:val="0"/>
      <w:marBottom w:val="0"/>
      <w:divBdr>
        <w:top w:val="none" w:sz="0" w:space="0" w:color="auto"/>
        <w:left w:val="none" w:sz="0" w:space="0" w:color="auto"/>
        <w:bottom w:val="none" w:sz="0" w:space="0" w:color="auto"/>
        <w:right w:val="none" w:sz="0" w:space="0" w:color="auto"/>
      </w:divBdr>
    </w:div>
    <w:div w:id="1732657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565</Words>
  <Characters>3224</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2013-11-26T02:13:00Z</cp:lastPrinted>
  <dcterms:created xsi:type="dcterms:W3CDTF">2014-04-23T21:08:00Z</dcterms:created>
  <dcterms:modified xsi:type="dcterms:W3CDTF">2014-04-23T21:42:00Z</dcterms:modified>
</cp:coreProperties>
</file>