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67" w:rsidRDefault="00FE4967" w:rsidP="00FF5D42">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Default="00FE4967" w:rsidP="00FF5D42">
      <w:pPr>
        <w:pStyle w:val="BodyText"/>
        <w:spacing w:after="0" w:line="240" w:lineRule="auto"/>
        <w:rPr>
          <w:rFonts w:ascii="Calibri" w:hAnsi="Calibri"/>
          <w:b/>
          <w:sz w:val="24"/>
        </w:rPr>
      </w:pPr>
    </w:p>
    <w:p w:rsidR="00FE4967" w:rsidRPr="00E77949" w:rsidRDefault="00FE4967" w:rsidP="00FF5D42">
      <w:pPr>
        <w:pStyle w:val="BodyText"/>
        <w:spacing w:after="0" w:line="240" w:lineRule="auto"/>
        <w:rPr>
          <w:rFonts w:ascii="Calibri" w:hAnsi="Calibri"/>
          <w:b/>
          <w:sz w:val="24"/>
        </w:rPr>
      </w:pPr>
      <w:r w:rsidRPr="00E77949">
        <w:rPr>
          <w:rFonts w:ascii="Calibri" w:hAnsi="Calibri"/>
          <w:b/>
          <w:sz w:val="24"/>
        </w:rPr>
        <w:t>Payroll Remittance</w:t>
      </w:r>
    </w:p>
    <w:p w:rsidR="00FE4967" w:rsidRPr="00826243" w:rsidRDefault="00FE4967" w:rsidP="00FF5D42">
      <w:pPr>
        <w:pStyle w:val="BodyText"/>
        <w:spacing w:after="0" w:line="240" w:lineRule="auto"/>
        <w:rPr>
          <w:rFonts w:ascii="Calibri" w:hAnsi="Calibri"/>
          <w:sz w:val="16"/>
          <w:szCs w:val="16"/>
        </w:rPr>
      </w:pPr>
    </w:p>
    <w:p w:rsidR="00FE4967" w:rsidRPr="00E77949" w:rsidRDefault="00FE4967" w:rsidP="00D648F5">
      <w:pPr>
        <w:pStyle w:val="BodyText"/>
        <w:spacing w:after="0" w:line="240" w:lineRule="auto"/>
        <w:jc w:val="both"/>
        <w:rPr>
          <w:rFonts w:ascii="Calibri" w:hAnsi="Calibri"/>
          <w:sz w:val="24"/>
        </w:rPr>
      </w:pPr>
      <w:r w:rsidRPr="00E77949">
        <w:rPr>
          <w:rFonts w:ascii="Calibri" w:hAnsi="Calibri"/>
          <w:sz w:val="24"/>
        </w:rPr>
        <w:t xml:space="preserve">The overall risk assessment rating for </w:t>
      </w:r>
      <w:r>
        <w:rPr>
          <w:rFonts w:ascii="Calibri" w:hAnsi="Calibri"/>
          <w:sz w:val="24"/>
        </w:rPr>
        <w:t>Payroll Remittance</w:t>
      </w:r>
      <w:r w:rsidRPr="00E77949">
        <w:rPr>
          <w:rFonts w:ascii="Calibri" w:hAnsi="Calibri"/>
          <w:sz w:val="24"/>
        </w:rPr>
        <w:t xml:space="preserve"> is </w:t>
      </w:r>
      <w:r>
        <w:rPr>
          <w:rFonts w:ascii="Calibri" w:hAnsi="Calibri"/>
          <w:b/>
          <w:sz w:val="24"/>
        </w:rPr>
        <w:t>LOW</w:t>
      </w:r>
      <w:r w:rsidRPr="00E77949">
        <w:rPr>
          <w:rFonts w:ascii="Calibri" w:hAnsi="Calibri"/>
          <w:sz w:val="24"/>
        </w:rPr>
        <w:t xml:space="preserve">. </w:t>
      </w:r>
    </w:p>
    <w:p w:rsidR="00FE4967" w:rsidRPr="00E77949" w:rsidRDefault="00FE4967" w:rsidP="00D648F5">
      <w:pPr>
        <w:pStyle w:val="BodyText"/>
        <w:spacing w:after="0" w:line="240" w:lineRule="auto"/>
        <w:jc w:val="both"/>
        <w:rPr>
          <w:rFonts w:ascii="Calibri" w:hAnsi="Calibri"/>
          <w:sz w:val="24"/>
        </w:rPr>
      </w:pPr>
    </w:p>
    <w:p w:rsidR="00FE4967" w:rsidRDefault="00FE4967" w:rsidP="00D648F5">
      <w:pPr>
        <w:pStyle w:val="BodyText"/>
        <w:spacing w:after="0"/>
        <w:jc w:val="both"/>
        <w:rPr>
          <w:rFonts w:ascii="Calibri" w:hAnsi="Calibri"/>
          <w:sz w:val="24"/>
        </w:rPr>
      </w:pPr>
      <w:r w:rsidRPr="005119CE">
        <w:rPr>
          <w:rFonts w:ascii="Calibri" w:hAnsi="Calibri"/>
          <w:sz w:val="24"/>
        </w:rPr>
        <w:t xml:space="preserve">The features identified in the table of this guide will help businesses conduct risk assessments about money laundering and financing of terrorism. </w:t>
      </w:r>
    </w:p>
    <w:p w:rsidR="00FE4967" w:rsidRPr="005119CE" w:rsidRDefault="00FE4967" w:rsidP="00D648F5">
      <w:pPr>
        <w:pStyle w:val="BodyText"/>
        <w:spacing w:after="0"/>
        <w:jc w:val="both"/>
        <w:rPr>
          <w:rFonts w:ascii="Calibri" w:hAnsi="Calibri"/>
          <w:sz w:val="24"/>
        </w:rPr>
      </w:pPr>
    </w:p>
    <w:p w:rsidR="00FE4967" w:rsidRDefault="00FE4967" w:rsidP="00D648F5">
      <w:pPr>
        <w:pStyle w:val="BodyText"/>
        <w:spacing w:after="0"/>
        <w:jc w:val="both"/>
        <w:rPr>
          <w:rFonts w:ascii="Calibri" w:hAnsi="Calibri"/>
          <w:sz w:val="24"/>
        </w:rPr>
      </w:pPr>
      <w:r w:rsidRPr="005119CE">
        <w:rPr>
          <w:rFonts w:ascii="Calibri" w:hAnsi="Calibri"/>
          <w:sz w:val="24"/>
        </w:rPr>
        <w:t>They will help you create policies and procedures which accurately reflect how much your business could be affected by money laundering.</w:t>
      </w:r>
    </w:p>
    <w:p w:rsidR="00FE4967" w:rsidRPr="005119CE" w:rsidRDefault="00FE4967" w:rsidP="00D648F5">
      <w:pPr>
        <w:pStyle w:val="BodyText"/>
        <w:spacing w:after="0"/>
        <w:jc w:val="both"/>
        <w:rPr>
          <w:rFonts w:ascii="Calibri" w:hAnsi="Calibri"/>
          <w:sz w:val="24"/>
        </w:rPr>
      </w:pPr>
    </w:p>
    <w:p w:rsidR="00FE4967" w:rsidRDefault="00FE4967" w:rsidP="00D648F5">
      <w:pPr>
        <w:pStyle w:val="BodyText"/>
        <w:spacing w:after="0"/>
        <w:jc w:val="both"/>
        <w:rPr>
          <w:rFonts w:ascii="Calibri" w:hAnsi="Calibri"/>
          <w:sz w:val="24"/>
        </w:rPr>
      </w:pPr>
      <w:r w:rsidRPr="005119CE">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FE4967" w:rsidRDefault="00FE4967" w:rsidP="00D648F5">
      <w:pPr>
        <w:pStyle w:val="BodyText"/>
        <w:spacing w:after="0"/>
        <w:jc w:val="both"/>
        <w:rPr>
          <w:rFonts w:ascii="Calibri" w:hAnsi="Calibri"/>
          <w:sz w:val="24"/>
        </w:rPr>
      </w:pPr>
    </w:p>
    <w:p w:rsidR="00FE4967" w:rsidRDefault="00FE4967" w:rsidP="00D648F5">
      <w:pPr>
        <w:pStyle w:val="BodyText"/>
        <w:spacing w:after="0"/>
        <w:jc w:val="both"/>
        <w:rPr>
          <w:rFonts w:ascii="Calibri" w:hAnsi="Calibri"/>
          <w:sz w:val="24"/>
        </w:rPr>
      </w:pPr>
      <w:r w:rsidRPr="005119CE">
        <w:rPr>
          <w:rFonts w:ascii="Calibri" w:hAnsi="Calibri"/>
          <w:sz w:val="24"/>
        </w:rPr>
        <w:t xml:space="preserve">Transactions or activities listed in the table may not necessarily signal money laundering if they are consistent with a customer’s legitimate business. </w:t>
      </w:r>
    </w:p>
    <w:p w:rsidR="00FE4967" w:rsidRDefault="00FE4967" w:rsidP="00D648F5">
      <w:pPr>
        <w:pStyle w:val="BodyText"/>
        <w:spacing w:after="0" w:line="240" w:lineRule="auto"/>
        <w:jc w:val="both"/>
        <w:rPr>
          <w:rFonts w:ascii="Calibri" w:hAnsi="Calibri"/>
          <w:sz w:val="24"/>
        </w:rPr>
      </w:pPr>
    </w:p>
    <w:p w:rsidR="00FE4967" w:rsidRDefault="00FE4967" w:rsidP="00D648F5">
      <w:pPr>
        <w:pStyle w:val="BodyText"/>
        <w:spacing w:after="0"/>
        <w:jc w:val="both"/>
        <w:rPr>
          <w:rFonts w:ascii="Calibri" w:hAnsi="Calibri"/>
          <w:sz w:val="24"/>
        </w:rPr>
      </w:pPr>
      <w:r w:rsidRPr="005119CE">
        <w:rPr>
          <w:rFonts w:ascii="Calibri" w:hAnsi="Calibri"/>
          <w:sz w:val="24"/>
        </w:rPr>
        <w:t>Based on knowledge of your own business you should decide what risk particular customers or transactions pose and how you can lessen that risk.</w:t>
      </w:r>
    </w:p>
    <w:p w:rsidR="00FE4967" w:rsidRDefault="00FE4967" w:rsidP="005B0748">
      <w:pPr>
        <w:pStyle w:val="BodyText"/>
        <w:spacing w:after="0" w:line="240" w:lineRule="auto"/>
        <w:jc w:val="both"/>
        <w:rPr>
          <w:rFonts w:ascii="Calibri" w:hAnsi="Calibri"/>
          <w:sz w:val="24"/>
        </w:rPr>
      </w:pPr>
    </w:p>
    <w:p w:rsidR="00FE4967" w:rsidRPr="00C37795" w:rsidRDefault="00FE4967" w:rsidP="00FF5D42">
      <w:pPr>
        <w:pStyle w:val="BodyText"/>
        <w:spacing w:after="0" w:line="240" w:lineRule="auto"/>
        <w:rPr>
          <w:rFonts w:ascii="Calibri" w:hAnsi="Calibri"/>
          <w:sz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800"/>
        <w:gridCol w:w="1800"/>
        <w:gridCol w:w="3420"/>
        <w:gridCol w:w="3420"/>
      </w:tblGrid>
      <w:tr w:rsidR="00FE4967" w:rsidRPr="00122F59" w:rsidTr="00BE78BA">
        <w:trPr>
          <w:trHeight w:val="420"/>
          <w:tblHeader/>
        </w:trPr>
        <w:tc>
          <w:tcPr>
            <w:tcW w:w="3600" w:type="dxa"/>
            <w:gridSpan w:val="2"/>
            <w:tcBorders>
              <w:top w:val="single" w:sz="4" w:space="0" w:color="auto"/>
            </w:tcBorders>
            <w:shd w:val="clear" w:color="000000" w:fill="E6E6E6"/>
            <w:vAlign w:val="center"/>
          </w:tcPr>
          <w:p w:rsidR="00FE4967" w:rsidRPr="00BE78BA" w:rsidRDefault="00FE4967" w:rsidP="00BE78BA">
            <w:pPr>
              <w:pStyle w:val="BodyText"/>
              <w:jc w:val="center"/>
              <w:rPr>
                <w:rFonts w:ascii="Calibri" w:hAnsi="Calibri"/>
                <w:b/>
                <w:bCs/>
              </w:rPr>
            </w:pPr>
          </w:p>
        </w:tc>
        <w:tc>
          <w:tcPr>
            <w:tcW w:w="3420" w:type="dxa"/>
            <w:tcBorders>
              <w:top w:val="single" w:sz="4" w:space="0" w:color="auto"/>
            </w:tcBorders>
            <w:shd w:val="clear" w:color="000000" w:fill="E6E6E6"/>
            <w:vAlign w:val="center"/>
          </w:tcPr>
          <w:p w:rsidR="00FE4967" w:rsidRPr="00BE78BA" w:rsidRDefault="00FE4967" w:rsidP="00BE78BA">
            <w:pPr>
              <w:pStyle w:val="BodyText"/>
              <w:jc w:val="center"/>
              <w:rPr>
                <w:rFonts w:ascii="Calibri" w:hAnsi="Calibri"/>
                <w:b/>
                <w:bCs/>
              </w:rPr>
            </w:pPr>
            <w:r w:rsidRPr="00BE78BA">
              <w:rPr>
                <w:rFonts w:ascii="Calibri" w:hAnsi="Calibri"/>
                <w:b/>
                <w:bCs/>
                <w:szCs w:val="22"/>
              </w:rPr>
              <w:t>HIGHER RISK CHARACTERISTICS</w:t>
            </w:r>
          </w:p>
        </w:tc>
        <w:tc>
          <w:tcPr>
            <w:tcW w:w="3420" w:type="dxa"/>
            <w:tcBorders>
              <w:top w:val="single" w:sz="4" w:space="0" w:color="auto"/>
            </w:tcBorders>
            <w:shd w:val="clear" w:color="000000" w:fill="E6E6E6"/>
            <w:vAlign w:val="center"/>
          </w:tcPr>
          <w:p w:rsidR="00FE4967" w:rsidRPr="00BE78BA" w:rsidRDefault="00FE4967" w:rsidP="00BE78BA">
            <w:pPr>
              <w:pStyle w:val="BodyText"/>
              <w:jc w:val="center"/>
              <w:rPr>
                <w:rFonts w:ascii="Calibri" w:hAnsi="Calibri"/>
                <w:b/>
                <w:bCs/>
              </w:rPr>
            </w:pPr>
            <w:r w:rsidRPr="00BE78BA">
              <w:rPr>
                <w:rFonts w:ascii="Calibri" w:hAnsi="Calibri"/>
                <w:b/>
                <w:bCs/>
                <w:szCs w:val="22"/>
              </w:rPr>
              <w:t>LOWER RISK CHARACTERISTICS</w:t>
            </w:r>
          </w:p>
        </w:tc>
      </w:tr>
      <w:tr w:rsidR="00FE4967" w:rsidRPr="00122F59" w:rsidTr="00BE78BA">
        <w:trPr>
          <w:cantSplit/>
          <w:trHeight w:val="260"/>
        </w:trPr>
        <w:tc>
          <w:tcPr>
            <w:tcW w:w="3600" w:type="dxa"/>
            <w:gridSpan w:val="2"/>
            <w:vMerge w:val="restart"/>
            <w:shd w:val="clear" w:color="auto" w:fill="E6E6E6"/>
            <w:vAlign w:val="center"/>
          </w:tcPr>
          <w:p w:rsidR="00FE4967" w:rsidRPr="00BE78BA" w:rsidRDefault="00FE4967" w:rsidP="00DD1F51">
            <w:pPr>
              <w:pStyle w:val="BodyText"/>
              <w:rPr>
                <w:rFonts w:ascii="Calibri" w:hAnsi="Calibri"/>
                <w:b/>
              </w:rPr>
            </w:pPr>
            <w:r w:rsidRPr="00BE78BA">
              <w:rPr>
                <w:rFonts w:ascii="Calibri" w:hAnsi="Calibri"/>
                <w:b/>
                <w:szCs w:val="22"/>
              </w:rPr>
              <w:t xml:space="preserve">Services Offered </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 xml:space="preserve">Payment of funds outside </w:t>
            </w:r>
            <w:smartTag w:uri="urn:schemas-microsoft-com:office:smarttags" w:element="City">
              <w:smartTag w:uri="urn:schemas-microsoft-com:office:smarttags" w:element="country-region">
                <w:smartTag w:uri="urn:schemas-microsoft-com:office:smarttags" w:element="place">
                  <w:r w:rsidRPr="00BE78BA">
                    <w:rPr>
                      <w:rFonts w:ascii="Calibri" w:hAnsi="Calibri"/>
                      <w:sz w:val="20"/>
                      <w:szCs w:val="20"/>
                    </w:rPr>
                    <w:t>New Zealand</w:t>
                  </w:r>
                </w:smartTag>
              </w:smartTag>
            </w:smartTag>
            <w:r w:rsidRPr="00BE78BA">
              <w:rPr>
                <w:rFonts w:ascii="Calibri" w:hAnsi="Calibri"/>
                <w:sz w:val="20"/>
                <w:szCs w:val="20"/>
              </w:rPr>
              <w:t>;</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Payment of funds only domestically;</w:t>
            </w:r>
          </w:p>
        </w:tc>
      </w:tr>
      <w:tr w:rsidR="00FE4967" w:rsidRPr="00122F59" w:rsidTr="00BE78BA">
        <w:trPr>
          <w:cantSplit/>
          <w:trHeight w:val="278"/>
        </w:trPr>
        <w:tc>
          <w:tcPr>
            <w:tcW w:w="3600" w:type="dxa"/>
            <w:gridSpan w:val="2"/>
            <w:vMerge/>
            <w:shd w:val="clear" w:color="auto" w:fill="E6E6E6"/>
            <w:vAlign w:val="center"/>
          </w:tcPr>
          <w:p w:rsidR="00FE4967" w:rsidRPr="00BE78BA" w:rsidRDefault="00FE4967" w:rsidP="00DD1F51">
            <w:pPr>
              <w:pStyle w:val="BodyText"/>
              <w:rPr>
                <w:rFonts w:ascii="Calibri" w:hAnsi="Calibri"/>
                <w:b/>
              </w:rPr>
            </w:pP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Paying employees through payroll cards;</w:t>
            </w:r>
          </w:p>
        </w:tc>
        <w:tc>
          <w:tcPr>
            <w:tcW w:w="3420" w:type="dxa"/>
            <w:vMerge w:val="restart"/>
          </w:tcPr>
          <w:p w:rsidR="00FE4967" w:rsidRPr="00BE78BA" w:rsidRDefault="00FE4967" w:rsidP="00BE78BA">
            <w:pPr>
              <w:pStyle w:val="BodyText"/>
              <w:spacing w:after="0"/>
              <w:rPr>
                <w:rFonts w:ascii="Calibri" w:hAnsi="Calibri"/>
                <w:sz w:val="20"/>
                <w:szCs w:val="20"/>
              </w:rPr>
            </w:pPr>
          </w:p>
        </w:tc>
      </w:tr>
      <w:tr w:rsidR="00FE4967" w:rsidRPr="00122F59" w:rsidTr="00BE78BA">
        <w:trPr>
          <w:cantSplit/>
          <w:trHeight w:val="277"/>
        </w:trPr>
        <w:tc>
          <w:tcPr>
            <w:tcW w:w="3600" w:type="dxa"/>
            <w:gridSpan w:val="2"/>
            <w:vMerge/>
            <w:shd w:val="clear" w:color="auto" w:fill="E6E6E6"/>
            <w:vAlign w:val="center"/>
          </w:tcPr>
          <w:p w:rsidR="00FE4967" w:rsidRPr="00BE78BA" w:rsidRDefault="00FE4967" w:rsidP="00DD1F51">
            <w:pPr>
              <w:pStyle w:val="BodyText"/>
              <w:rPr>
                <w:rFonts w:ascii="Calibri" w:hAnsi="Calibri"/>
                <w:b/>
              </w:rPr>
            </w:pP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High volume or high frequency of transactions that may mask false wage  recordings, false expense reimbursement claims, or a fictitious or “ghost” employee on the payroll;</w:t>
            </w:r>
          </w:p>
        </w:tc>
        <w:tc>
          <w:tcPr>
            <w:tcW w:w="3420" w:type="dxa"/>
            <w:vMerge/>
          </w:tcPr>
          <w:p w:rsidR="00FE4967" w:rsidRPr="00BE78BA" w:rsidRDefault="00FE4967" w:rsidP="00BE78BA">
            <w:pPr>
              <w:pStyle w:val="BodyText"/>
              <w:spacing w:after="0"/>
              <w:rPr>
                <w:rFonts w:ascii="Calibri" w:hAnsi="Calibri"/>
                <w:sz w:val="20"/>
                <w:szCs w:val="20"/>
              </w:rPr>
            </w:pPr>
          </w:p>
        </w:tc>
      </w:tr>
      <w:tr w:rsidR="00FE4967" w:rsidRPr="00122F59" w:rsidTr="00BE78BA">
        <w:trPr>
          <w:cantSplit/>
          <w:trHeight w:val="260"/>
        </w:trPr>
        <w:tc>
          <w:tcPr>
            <w:tcW w:w="1800" w:type="dxa"/>
            <w:vMerge w:val="restart"/>
            <w:shd w:val="clear" w:color="auto" w:fill="E6E6E6"/>
            <w:vAlign w:val="center"/>
          </w:tcPr>
          <w:p w:rsidR="00FE4967" w:rsidRPr="00BE78BA" w:rsidRDefault="00FE4967" w:rsidP="00BA291A">
            <w:pPr>
              <w:pStyle w:val="BodyText"/>
              <w:rPr>
                <w:rFonts w:ascii="Calibri" w:hAnsi="Calibri"/>
              </w:rPr>
            </w:pPr>
            <w:r w:rsidRPr="00BE78BA">
              <w:rPr>
                <w:rFonts w:ascii="Calibri" w:hAnsi="Calibri"/>
                <w:b/>
                <w:szCs w:val="22"/>
              </w:rPr>
              <w:t>The nature and complexity of the business</w:t>
            </w:r>
          </w:p>
        </w:tc>
        <w:tc>
          <w:tcPr>
            <w:tcW w:w="1800" w:type="dxa"/>
            <w:vMerge w:val="restart"/>
            <w:vAlign w:val="center"/>
          </w:tcPr>
          <w:p w:rsidR="00FE4967" w:rsidRPr="00BE78BA" w:rsidRDefault="00FE4967" w:rsidP="00BA291A">
            <w:pPr>
              <w:pStyle w:val="BodyText"/>
              <w:rPr>
                <w:rFonts w:ascii="Calibri" w:hAnsi="Calibri"/>
              </w:rPr>
            </w:pPr>
            <w:r w:rsidRPr="00BE78BA">
              <w:rPr>
                <w:rFonts w:ascii="Calibri" w:hAnsi="Calibri"/>
                <w:szCs w:val="22"/>
              </w:rPr>
              <w:t>Methods of payment and funding</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 xml:space="preserve">Anonymous funding sources (for example cash); </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Funding through accounts held at financial institutions;</w:t>
            </w:r>
          </w:p>
        </w:tc>
      </w:tr>
      <w:tr w:rsidR="00FE4967" w:rsidRPr="00122F59" w:rsidTr="00BE78BA">
        <w:trPr>
          <w:cantSplit/>
          <w:trHeight w:val="260"/>
        </w:trPr>
        <w:tc>
          <w:tcPr>
            <w:tcW w:w="1800" w:type="dxa"/>
            <w:vMerge/>
            <w:shd w:val="clear" w:color="auto" w:fill="E6E6E6"/>
            <w:vAlign w:val="center"/>
          </w:tcPr>
          <w:p w:rsidR="00FE4967" w:rsidRPr="00BE78BA" w:rsidRDefault="00FE4967" w:rsidP="00BA291A">
            <w:pPr>
              <w:pStyle w:val="BodyText"/>
              <w:rPr>
                <w:rFonts w:ascii="Calibri" w:hAnsi="Calibri"/>
                <w:b/>
              </w:rPr>
            </w:pPr>
          </w:p>
        </w:tc>
        <w:tc>
          <w:tcPr>
            <w:tcW w:w="1800" w:type="dxa"/>
            <w:vMerge/>
            <w:vAlign w:val="center"/>
          </w:tcPr>
          <w:p w:rsidR="00FE4967" w:rsidRPr="00BE78BA" w:rsidRDefault="00FE4967" w:rsidP="00BA291A">
            <w:pPr>
              <w:pStyle w:val="BodyText"/>
              <w:rPr>
                <w:rFonts w:ascii="Calibri" w:hAnsi="Calibri"/>
              </w:rPr>
            </w:pP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Third party source of funds;</w:t>
            </w:r>
          </w:p>
        </w:tc>
        <w:tc>
          <w:tcPr>
            <w:tcW w:w="3420" w:type="dxa"/>
          </w:tcPr>
          <w:p w:rsidR="00FE4967" w:rsidRPr="00BE78BA" w:rsidRDefault="00FE4967" w:rsidP="00BE78BA">
            <w:pPr>
              <w:pStyle w:val="BodyText"/>
              <w:spacing w:after="0"/>
              <w:rPr>
                <w:rFonts w:ascii="Calibri" w:hAnsi="Calibri"/>
                <w:sz w:val="20"/>
                <w:szCs w:val="20"/>
              </w:rPr>
            </w:pPr>
          </w:p>
        </w:tc>
      </w:tr>
      <w:tr w:rsidR="00FE4967" w:rsidRPr="00122F59" w:rsidTr="00BE78BA">
        <w:trPr>
          <w:cantSplit/>
          <w:trHeight w:val="260"/>
        </w:trPr>
        <w:tc>
          <w:tcPr>
            <w:tcW w:w="1800" w:type="dxa"/>
            <w:vMerge/>
            <w:shd w:val="clear" w:color="auto" w:fill="E6E6E6"/>
            <w:vAlign w:val="center"/>
          </w:tcPr>
          <w:p w:rsidR="00FE4967" w:rsidRPr="00BE78BA" w:rsidRDefault="00FE4967" w:rsidP="00BA291A">
            <w:pPr>
              <w:pStyle w:val="BodyText"/>
              <w:rPr>
                <w:rFonts w:ascii="Calibri" w:hAnsi="Calibri"/>
                <w:b/>
              </w:rPr>
            </w:pPr>
          </w:p>
        </w:tc>
        <w:tc>
          <w:tcPr>
            <w:tcW w:w="1800" w:type="dxa"/>
            <w:vMerge/>
            <w:vAlign w:val="center"/>
          </w:tcPr>
          <w:p w:rsidR="00FE4967" w:rsidRPr="00BE78BA" w:rsidRDefault="00FE4967" w:rsidP="00BA291A">
            <w:pPr>
              <w:pStyle w:val="BodyText"/>
              <w:rPr>
                <w:rFonts w:ascii="Calibri" w:hAnsi="Calibri"/>
              </w:rPr>
            </w:pP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High number of cash payments;</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Low cash/ high direct debt transactions;</w:t>
            </w:r>
          </w:p>
        </w:tc>
      </w:tr>
      <w:tr w:rsidR="00FE4967" w:rsidRPr="00122F59" w:rsidTr="00BE78BA">
        <w:trPr>
          <w:cantSplit/>
          <w:trHeight w:val="260"/>
        </w:trPr>
        <w:tc>
          <w:tcPr>
            <w:tcW w:w="1800" w:type="dxa"/>
            <w:vMerge/>
            <w:shd w:val="clear" w:color="auto" w:fill="E6E6E6"/>
            <w:vAlign w:val="center"/>
          </w:tcPr>
          <w:p w:rsidR="00FE4967" w:rsidRPr="00BE78BA" w:rsidRDefault="00FE4967" w:rsidP="00BA291A">
            <w:pPr>
              <w:pStyle w:val="BodyText"/>
              <w:rPr>
                <w:rFonts w:ascii="Calibri" w:hAnsi="Calibri"/>
                <w:b/>
              </w:rPr>
            </w:pPr>
          </w:p>
        </w:tc>
        <w:tc>
          <w:tcPr>
            <w:tcW w:w="1800" w:type="dxa"/>
            <w:vMerge/>
            <w:vAlign w:val="center"/>
          </w:tcPr>
          <w:p w:rsidR="00FE4967" w:rsidRPr="00BE78BA" w:rsidRDefault="00FE4967" w:rsidP="00BA291A">
            <w:pPr>
              <w:pStyle w:val="BodyText"/>
              <w:rPr>
                <w:rFonts w:ascii="Calibri" w:hAnsi="Calibri"/>
                <w:b/>
              </w:rPr>
            </w:pP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Person to person (p2p) transactions;</w:t>
            </w:r>
          </w:p>
        </w:tc>
        <w:tc>
          <w:tcPr>
            <w:tcW w:w="3420" w:type="dxa"/>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Person to business (p2b), business to business (b2b) transactions;</w:t>
            </w:r>
          </w:p>
        </w:tc>
      </w:tr>
      <w:tr w:rsidR="00FE4967" w:rsidRPr="00122F59" w:rsidTr="00BE78BA">
        <w:trPr>
          <w:cantSplit/>
          <w:trHeight w:val="260"/>
        </w:trPr>
        <w:tc>
          <w:tcPr>
            <w:tcW w:w="1800" w:type="dxa"/>
            <w:vMerge/>
            <w:shd w:val="clear" w:color="auto" w:fill="E6E6E6"/>
            <w:vAlign w:val="center"/>
          </w:tcPr>
          <w:p w:rsidR="00FE4967" w:rsidRPr="00BE78BA" w:rsidRDefault="00FE4967" w:rsidP="00DD1F51">
            <w:pPr>
              <w:pStyle w:val="BodyText"/>
              <w:rPr>
                <w:rFonts w:ascii="Calibri" w:hAnsi="Calibri"/>
                <w:b/>
              </w:rPr>
            </w:pPr>
          </w:p>
        </w:tc>
        <w:tc>
          <w:tcPr>
            <w:tcW w:w="1800" w:type="dxa"/>
            <w:vAlign w:val="center"/>
          </w:tcPr>
          <w:p w:rsidR="00FE4967" w:rsidRPr="00BE78BA" w:rsidRDefault="00FE4967" w:rsidP="00DD1F51">
            <w:pPr>
              <w:pStyle w:val="BodyText"/>
              <w:rPr>
                <w:rFonts w:ascii="Calibri" w:hAnsi="Calibri"/>
              </w:rPr>
            </w:pPr>
            <w:r w:rsidRPr="00BE78BA">
              <w:rPr>
                <w:rFonts w:ascii="Calibri" w:hAnsi="Calibri"/>
                <w:szCs w:val="22"/>
              </w:rPr>
              <w:t>Customers dealt with</w:t>
            </w:r>
          </w:p>
        </w:tc>
        <w:tc>
          <w:tcPr>
            <w:tcW w:w="3420" w:type="dxa"/>
          </w:tcPr>
          <w:p w:rsidR="00FE4967" w:rsidRPr="00BE78BA" w:rsidRDefault="00FE4967" w:rsidP="00BE78BA">
            <w:pPr>
              <w:pStyle w:val="BodyText"/>
              <w:spacing w:after="0" w:line="240" w:lineRule="auto"/>
              <w:rPr>
                <w:rFonts w:ascii="Calibri" w:hAnsi="Calibri"/>
                <w:sz w:val="20"/>
                <w:szCs w:val="20"/>
              </w:rPr>
            </w:pPr>
            <w:r w:rsidRPr="00BE78BA">
              <w:rPr>
                <w:rFonts w:ascii="Calibri" w:hAnsi="Calibri"/>
                <w:sz w:val="20"/>
                <w:szCs w:val="20"/>
              </w:rPr>
              <w:t>International customers;</w:t>
            </w:r>
          </w:p>
          <w:p w:rsidR="00FE4967" w:rsidRPr="00BE78BA" w:rsidRDefault="00FE4967" w:rsidP="00BE78BA">
            <w:pPr>
              <w:pStyle w:val="BodyText"/>
              <w:spacing w:after="0" w:line="240" w:lineRule="auto"/>
              <w:rPr>
                <w:rFonts w:ascii="Calibri" w:hAnsi="Calibri"/>
                <w:sz w:val="20"/>
                <w:szCs w:val="20"/>
              </w:rPr>
            </w:pPr>
          </w:p>
        </w:tc>
        <w:tc>
          <w:tcPr>
            <w:tcW w:w="3420" w:type="dxa"/>
          </w:tcPr>
          <w:p w:rsidR="00FE4967" w:rsidRPr="00BE78BA" w:rsidRDefault="00FE4967" w:rsidP="00BE78BA">
            <w:pPr>
              <w:pStyle w:val="BodyText"/>
              <w:spacing w:after="0" w:line="240" w:lineRule="auto"/>
              <w:rPr>
                <w:rFonts w:ascii="Calibri" w:hAnsi="Calibri"/>
                <w:sz w:val="20"/>
                <w:szCs w:val="20"/>
              </w:rPr>
            </w:pPr>
            <w:smartTag w:uri="urn:schemas-microsoft-com:office:smarttags" w:element="country-region">
              <w:smartTag w:uri="urn:schemas-microsoft-com:office:smarttags" w:element="place">
                <w:r w:rsidRPr="00BE78BA">
                  <w:rPr>
                    <w:rFonts w:ascii="Calibri" w:hAnsi="Calibri"/>
                    <w:sz w:val="20"/>
                    <w:szCs w:val="20"/>
                  </w:rPr>
                  <w:t>New Zealand</w:t>
                </w:r>
              </w:smartTag>
            </w:smartTag>
            <w:r w:rsidRPr="00BE78BA">
              <w:rPr>
                <w:rFonts w:ascii="Calibri" w:hAnsi="Calibri"/>
                <w:sz w:val="20"/>
                <w:szCs w:val="20"/>
              </w:rPr>
              <w:t xml:space="preserve"> registered companies;</w:t>
            </w:r>
          </w:p>
          <w:p w:rsidR="00FE4967" w:rsidRPr="00BE78BA" w:rsidRDefault="00FE4967" w:rsidP="00BE78BA">
            <w:pPr>
              <w:pStyle w:val="BodyText"/>
              <w:spacing w:after="0" w:line="240" w:lineRule="auto"/>
              <w:rPr>
                <w:rFonts w:ascii="Calibri" w:hAnsi="Calibri"/>
                <w:sz w:val="20"/>
                <w:szCs w:val="20"/>
              </w:rPr>
            </w:pPr>
          </w:p>
        </w:tc>
      </w:tr>
      <w:tr w:rsidR="00FE4967" w:rsidRPr="00122F59" w:rsidTr="00BE78BA">
        <w:trPr>
          <w:cantSplit/>
          <w:trHeight w:val="383"/>
        </w:trPr>
        <w:tc>
          <w:tcPr>
            <w:tcW w:w="1800" w:type="dxa"/>
            <w:vMerge/>
            <w:tcBorders>
              <w:bottom w:val="single" w:sz="4" w:space="0" w:color="auto"/>
            </w:tcBorders>
            <w:shd w:val="clear" w:color="auto" w:fill="E6E6E6"/>
            <w:vAlign w:val="center"/>
          </w:tcPr>
          <w:p w:rsidR="00FE4967" w:rsidRPr="00BE78BA" w:rsidRDefault="00FE4967" w:rsidP="00C413D8">
            <w:pPr>
              <w:pStyle w:val="BodyText"/>
              <w:rPr>
                <w:rFonts w:ascii="Calibri" w:hAnsi="Calibri"/>
                <w:b/>
              </w:rPr>
            </w:pPr>
          </w:p>
        </w:tc>
        <w:tc>
          <w:tcPr>
            <w:tcW w:w="1800" w:type="dxa"/>
            <w:tcBorders>
              <w:bottom w:val="single" w:sz="4" w:space="0" w:color="auto"/>
            </w:tcBorders>
            <w:vAlign w:val="center"/>
          </w:tcPr>
          <w:p w:rsidR="00FE4967" w:rsidRPr="00BE78BA" w:rsidRDefault="00FE4967" w:rsidP="00C413D8">
            <w:pPr>
              <w:pStyle w:val="BodyText"/>
              <w:rPr>
                <w:rFonts w:ascii="Calibri" w:hAnsi="Calibri"/>
              </w:rPr>
            </w:pPr>
            <w:r w:rsidRPr="00BE78BA">
              <w:rPr>
                <w:rFonts w:ascii="Calibri" w:hAnsi="Calibri"/>
                <w:szCs w:val="22"/>
              </w:rPr>
              <w:t>The methods by which products and services are delivered to customers</w:t>
            </w:r>
          </w:p>
        </w:tc>
        <w:tc>
          <w:tcPr>
            <w:tcW w:w="3420" w:type="dxa"/>
            <w:tcBorders>
              <w:bottom w:val="single" w:sz="4" w:space="0" w:color="auto"/>
            </w:tcBorders>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Transactions obtained by contracting from an outside supplier (including from other countries);</w:t>
            </w:r>
          </w:p>
        </w:tc>
        <w:tc>
          <w:tcPr>
            <w:tcW w:w="3420" w:type="dxa"/>
            <w:tcBorders>
              <w:bottom w:val="single" w:sz="4" w:space="0" w:color="auto"/>
            </w:tcBorders>
          </w:tcPr>
          <w:p w:rsidR="00FE4967" w:rsidRPr="00BE78BA" w:rsidRDefault="00FE4967" w:rsidP="00BE78BA">
            <w:pPr>
              <w:pStyle w:val="BodyText"/>
              <w:spacing w:after="0"/>
              <w:rPr>
                <w:rFonts w:ascii="Calibri" w:hAnsi="Calibri"/>
                <w:sz w:val="20"/>
                <w:szCs w:val="20"/>
              </w:rPr>
            </w:pPr>
            <w:r w:rsidRPr="00BE78BA">
              <w:rPr>
                <w:rFonts w:ascii="Calibri" w:hAnsi="Calibri"/>
                <w:sz w:val="20"/>
                <w:szCs w:val="20"/>
              </w:rPr>
              <w:t>All processes completed in-house;</w:t>
            </w:r>
          </w:p>
        </w:tc>
      </w:tr>
    </w:tbl>
    <w:p w:rsidR="00FE4967" w:rsidRPr="00122F59" w:rsidRDefault="00FE4967" w:rsidP="00570C00">
      <w:pPr>
        <w:pStyle w:val="BodyText"/>
        <w:rPr>
          <w:rFonts w:ascii="Calibri" w:hAnsi="Calibri"/>
          <w:szCs w:val="22"/>
        </w:rPr>
      </w:pPr>
    </w:p>
    <w:sectPr w:rsidR="00FE4967" w:rsidRPr="00122F59" w:rsidSect="00C37795">
      <w:footerReference w:type="even" r:id="rId8"/>
      <w:footerReference w:type="default" r:id="rId9"/>
      <w:footerReference w:type="first" r:id="rId10"/>
      <w:pgSz w:w="11907" w:h="16840" w:code="9"/>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67" w:rsidRDefault="00FE4967">
      <w:r>
        <w:separator/>
      </w:r>
    </w:p>
  </w:endnote>
  <w:endnote w:type="continuationSeparator" w:id="0">
    <w:p w:rsidR="00FE4967" w:rsidRDefault="00FE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7" w:rsidRDefault="00FE4967" w:rsidP="00F23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967" w:rsidRDefault="00FE4967"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7" w:rsidRDefault="00FE4967" w:rsidP="00F23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E4967" w:rsidRPr="006F110B" w:rsidRDefault="00FE4967" w:rsidP="00F23DAE">
    <w:pPr>
      <w:jc w:val="right"/>
      <w:rPr>
        <w:rFonts w:ascii="Calibri" w:hAnsi="Calibri"/>
        <w:i/>
        <w:sz w:val="18"/>
        <w:szCs w:val="18"/>
      </w:rPr>
    </w:pPr>
    <w:r w:rsidRPr="006F110B">
      <w:rPr>
        <w:rFonts w:ascii="Calibri" w:hAnsi="Calibri"/>
        <w:i/>
        <w:sz w:val="18"/>
        <w:szCs w:val="18"/>
      </w:rPr>
      <w:t>Department of Internal Affairs Te Tari Taiwhenua</w:t>
    </w:r>
  </w:p>
  <w:p w:rsidR="00FE4967" w:rsidRPr="00F23DAE" w:rsidRDefault="00FE4967" w:rsidP="00F23DAE">
    <w:pPr>
      <w:pStyle w:val="Footer"/>
      <w:jc w:val="right"/>
      <w:rPr>
        <w:rFonts w:ascii="Calibri" w:hAnsi="Calibri"/>
        <w:i/>
      </w:rPr>
    </w:pPr>
    <w:r w:rsidRPr="006F110B">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67" w:rsidRPr="006F110B" w:rsidRDefault="00FE4967" w:rsidP="00F23DAE">
    <w:pPr>
      <w:jc w:val="right"/>
      <w:rPr>
        <w:rFonts w:ascii="Calibri" w:hAnsi="Calibri"/>
        <w:i/>
        <w:sz w:val="18"/>
        <w:szCs w:val="18"/>
      </w:rPr>
    </w:pPr>
    <w:r w:rsidRPr="006F110B">
      <w:rPr>
        <w:rFonts w:ascii="Calibri" w:hAnsi="Calibri"/>
        <w:i/>
        <w:sz w:val="18"/>
        <w:szCs w:val="18"/>
      </w:rPr>
      <w:t>Department of Internal Affairs Te Tari Taiwhenua</w:t>
    </w:r>
  </w:p>
  <w:p w:rsidR="00FE4967" w:rsidRPr="00F23DAE" w:rsidRDefault="00FE4967" w:rsidP="00F23DAE">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67" w:rsidRDefault="00FE4967">
      <w:r>
        <w:separator/>
      </w:r>
    </w:p>
  </w:footnote>
  <w:footnote w:type="continuationSeparator" w:id="0">
    <w:p w:rsidR="00FE4967" w:rsidRDefault="00FE4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62B168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7">
    <w:nsid w:val="7D0A414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E7C2B2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1"/>
  </w:num>
  <w:num w:numId="23">
    <w:abstractNumId w:val="10"/>
  </w:num>
  <w:num w:numId="24">
    <w:abstractNumId w:val="16"/>
  </w:num>
  <w:num w:numId="25">
    <w:abstractNumId w:val="14"/>
  </w:num>
  <w:num w:numId="26">
    <w:abstractNumId w:val="13"/>
  </w:num>
  <w:num w:numId="27">
    <w:abstractNumId w:val="12"/>
  </w:num>
  <w:num w:numId="28">
    <w:abstractNumId w:val="18"/>
  </w:num>
  <w:num w:numId="29">
    <w:abstractNumId w:val="17"/>
  </w:num>
  <w:num w:numId="3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20010"/>
    <w:rsid w:val="00034673"/>
    <w:rsid w:val="0004101B"/>
    <w:rsid w:val="00044EA1"/>
    <w:rsid w:val="00063AF1"/>
    <w:rsid w:val="00077013"/>
    <w:rsid w:val="00094858"/>
    <w:rsid w:val="000C1B1F"/>
    <w:rsid w:val="000D72E4"/>
    <w:rsid w:val="000E677B"/>
    <w:rsid w:val="000F2714"/>
    <w:rsid w:val="000F61AF"/>
    <w:rsid w:val="0010171C"/>
    <w:rsid w:val="00102FAD"/>
    <w:rsid w:val="00122F59"/>
    <w:rsid w:val="00140EBC"/>
    <w:rsid w:val="001451E3"/>
    <w:rsid w:val="001638B9"/>
    <w:rsid w:val="00163AA1"/>
    <w:rsid w:val="00177790"/>
    <w:rsid w:val="001C0031"/>
    <w:rsid w:val="001D0111"/>
    <w:rsid w:val="00206BA3"/>
    <w:rsid w:val="00215160"/>
    <w:rsid w:val="002224B4"/>
    <w:rsid w:val="00232797"/>
    <w:rsid w:val="00237A3D"/>
    <w:rsid w:val="002502D1"/>
    <w:rsid w:val="002646F7"/>
    <w:rsid w:val="00270EEC"/>
    <w:rsid w:val="002806A2"/>
    <w:rsid w:val="00297CC7"/>
    <w:rsid w:val="002A4BD9"/>
    <w:rsid w:val="002A4FE7"/>
    <w:rsid w:val="002A750C"/>
    <w:rsid w:val="002E37F3"/>
    <w:rsid w:val="00303F86"/>
    <w:rsid w:val="00330820"/>
    <w:rsid w:val="00370FC0"/>
    <w:rsid w:val="00393EC9"/>
    <w:rsid w:val="003A35CC"/>
    <w:rsid w:val="003B3A23"/>
    <w:rsid w:val="003F5886"/>
    <w:rsid w:val="00402DDF"/>
    <w:rsid w:val="0040700B"/>
    <w:rsid w:val="00407F54"/>
    <w:rsid w:val="00415CDB"/>
    <w:rsid w:val="00423C77"/>
    <w:rsid w:val="0042551E"/>
    <w:rsid w:val="004552A0"/>
    <w:rsid w:val="00460A83"/>
    <w:rsid w:val="004719FE"/>
    <w:rsid w:val="00477619"/>
    <w:rsid w:val="00486E6E"/>
    <w:rsid w:val="004878D2"/>
    <w:rsid w:val="004C27C9"/>
    <w:rsid w:val="004D1706"/>
    <w:rsid w:val="004D243F"/>
    <w:rsid w:val="004D598F"/>
    <w:rsid w:val="004E46A3"/>
    <w:rsid w:val="00500AFD"/>
    <w:rsid w:val="005011D0"/>
    <w:rsid w:val="005053F6"/>
    <w:rsid w:val="005119CE"/>
    <w:rsid w:val="00512B8B"/>
    <w:rsid w:val="00513609"/>
    <w:rsid w:val="0051573F"/>
    <w:rsid w:val="00517F47"/>
    <w:rsid w:val="0052216D"/>
    <w:rsid w:val="005225A2"/>
    <w:rsid w:val="00526115"/>
    <w:rsid w:val="005366B6"/>
    <w:rsid w:val="00556E35"/>
    <w:rsid w:val="0055762F"/>
    <w:rsid w:val="00561786"/>
    <w:rsid w:val="00566936"/>
    <w:rsid w:val="00570C00"/>
    <w:rsid w:val="0058206B"/>
    <w:rsid w:val="0059662F"/>
    <w:rsid w:val="005A4DA8"/>
    <w:rsid w:val="005B0748"/>
    <w:rsid w:val="005B57DA"/>
    <w:rsid w:val="005C4203"/>
    <w:rsid w:val="005E4C02"/>
    <w:rsid w:val="005F5847"/>
    <w:rsid w:val="00600CA4"/>
    <w:rsid w:val="00602416"/>
    <w:rsid w:val="006041F2"/>
    <w:rsid w:val="006216D6"/>
    <w:rsid w:val="00630711"/>
    <w:rsid w:val="00662716"/>
    <w:rsid w:val="00677B13"/>
    <w:rsid w:val="00677F4E"/>
    <w:rsid w:val="0068439D"/>
    <w:rsid w:val="00685ECF"/>
    <w:rsid w:val="00687CEA"/>
    <w:rsid w:val="0069490F"/>
    <w:rsid w:val="00695B75"/>
    <w:rsid w:val="006C7010"/>
    <w:rsid w:val="006C7DBA"/>
    <w:rsid w:val="006D5FED"/>
    <w:rsid w:val="006D638F"/>
    <w:rsid w:val="006E548D"/>
    <w:rsid w:val="006F110B"/>
    <w:rsid w:val="00704FF3"/>
    <w:rsid w:val="007068C8"/>
    <w:rsid w:val="007358B8"/>
    <w:rsid w:val="00752B06"/>
    <w:rsid w:val="0075764B"/>
    <w:rsid w:val="00760C01"/>
    <w:rsid w:val="00767C04"/>
    <w:rsid w:val="007A5DCB"/>
    <w:rsid w:val="007A6226"/>
    <w:rsid w:val="007C2908"/>
    <w:rsid w:val="007D1918"/>
    <w:rsid w:val="00817E8B"/>
    <w:rsid w:val="00826243"/>
    <w:rsid w:val="008432BC"/>
    <w:rsid w:val="00843D71"/>
    <w:rsid w:val="00863ECA"/>
    <w:rsid w:val="00870045"/>
    <w:rsid w:val="00884271"/>
    <w:rsid w:val="008A1919"/>
    <w:rsid w:val="008B3032"/>
    <w:rsid w:val="008C3187"/>
    <w:rsid w:val="008D0AC1"/>
    <w:rsid w:val="008D63B7"/>
    <w:rsid w:val="008E7FEE"/>
    <w:rsid w:val="008F67F5"/>
    <w:rsid w:val="008F6BCE"/>
    <w:rsid w:val="00900D4B"/>
    <w:rsid w:val="009020F4"/>
    <w:rsid w:val="00927482"/>
    <w:rsid w:val="0095112B"/>
    <w:rsid w:val="00975767"/>
    <w:rsid w:val="009968B0"/>
    <w:rsid w:val="009D350C"/>
    <w:rsid w:val="00A04392"/>
    <w:rsid w:val="00A12F83"/>
    <w:rsid w:val="00A147CF"/>
    <w:rsid w:val="00A16003"/>
    <w:rsid w:val="00A24FBB"/>
    <w:rsid w:val="00A41663"/>
    <w:rsid w:val="00A42ED2"/>
    <w:rsid w:val="00A50E00"/>
    <w:rsid w:val="00A53624"/>
    <w:rsid w:val="00AB4436"/>
    <w:rsid w:val="00AB478B"/>
    <w:rsid w:val="00AB4AD9"/>
    <w:rsid w:val="00AC2D51"/>
    <w:rsid w:val="00AC5F7C"/>
    <w:rsid w:val="00AD4A7E"/>
    <w:rsid w:val="00AD6E77"/>
    <w:rsid w:val="00AF5218"/>
    <w:rsid w:val="00B263AE"/>
    <w:rsid w:val="00B4687E"/>
    <w:rsid w:val="00B47091"/>
    <w:rsid w:val="00B57BC1"/>
    <w:rsid w:val="00B65857"/>
    <w:rsid w:val="00B66698"/>
    <w:rsid w:val="00B7382A"/>
    <w:rsid w:val="00B812F6"/>
    <w:rsid w:val="00B84350"/>
    <w:rsid w:val="00B855A6"/>
    <w:rsid w:val="00B91098"/>
    <w:rsid w:val="00B92735"/>
    <w:rsid w:val="00BA12AB"/>
    <w:rsid w:val="00BA291A"/>
    <w:rsid w:val="00BB60C6"/>
    <w:rsid w:val="00BD137C"/>
    <w:rsid w:val="00BE78BA"/>
    <w:rsid w:val="00C03596"/>
    <w:rsid w:val="00C1395A"/>
    <w:rsid w:val="00C159EB"/>
    <w:rsid w:val="00C238D9"/>
    <w:rsid w:val="00C24A9D"/>
    <w:rsid w:val="00C2677E"/>
    <w:rsid w:val="00C37795"/>
    <w:rsid w:val="00C413D8"/>
    <w:rsid w:val="00C42EA0"/>
    <w:rsid w:val="00C571BA"/>
    <w:rsid w:val="00C60C02"/>
    <w:rsid w:val="00C6250E"/>
    <w:rsid w:val="00C80D62"/>
    <w:rsid w:val="00C92044"/>
    <w:rsid w:val="00C96BFD"/>
    <w:rsid w:val="00CB60FE"/>
    <w:rsid w:val="00CD502A"/>
    <w:rsid w:val="00CD7A15"/>
    <w:rsid w:val="00CF068E"/>
    <w:rsid w:val="00D242CD"/>
    <w:rsid w:val="00D341C3"/>
    <w:rsid w:val="00D42843"/>
    <w:rsid w:val="00D5152A"/>
    <w:rsid w:val="00D5383D"/>
    <w:rsid w:val="00D648F5"/>
    <w:rsid w:val="00D65145"/>
    <w:rsid w:val="00D74314"/>
    <w:rsid w:val="00D75D97"/>
    <w:rsid w:val="00D96EB8"/>
    <w:rsid w:val="00DA064D"/>
    <w:rsid w:val="00DA1F6E"/>
    <w:rsid w:val="00DA2174"/>
    <w:rsid w:val="00DA5101"/>
    <w:rsid w:val="00DA79EF"/>
    <w:rsid w:val="00DB0C0B"/>
    <w:rsid w:val="00DB0C4F"/>
    <w:rsid w:val="00DB3B74"/>
    <w:rsid w:val="00DC2266"/>
    <w:rsid w:val="00DC2EBB"/>
    <w:rsid w:val="00DD0901"/>
    <w:rsid w:val="00DD1F51"/>
    <w:rsid w:val="00DD2AAE"/>
    <w:rsid w:val="00DE0A9A"/>
    <w:rsid w:val="00DE16B6"/>
    <w:rsid w:val="00DE339C"/>
    <w:rsid w:val="00DE36CA"/>
    <w:rsid w:val="00E37E71"/>
    <w:rsid w:val="00E42847"/>
    <w:rsid w:val="00E62940"/>
    <w:rsid w:val="00E73AA8"/>
    <w:rsid w:val="00E77949"/>
    <w:rsid w:val="00E80228"/>
    <w:rsid w:val="00E9418F"/>
    <w:rsid w:val="00EA2ED4"/>
    <w:rsid w:val="00EA491A"/>
    <w:rsid w:val="00EB1221"/>
    <w:rsid w:val="00ED4F31"/>
    <w:rsid w:val="00EF63C6"/>
    <w:rsid w:val="00F001BC"/>
    <w:rsid w:val="00F024B1"/>
    <w:rsid w:val="00F034FB"/>
    <w:rsid w:val="00F07B37"/>
    <w:rsid w:val="00F1075A"/>
    <w:rsid w:val="00F22248"/>
    <w:rsid w:val="00F22E82"/>
    <w:rsid w:val="00F23DAE"/>
    <w:rsid w:val="00F33D14"/>
    <w:rsid w:val="00F473B6"/>
    <w:rsid w:val="00F53595"/>
    <w:rsid w:val="00F53E06"/>
    <w:rsid w:val="00F54188"/>
    <w:rsid w:val="00F57D21"/>
    <w:rsid w:val="00F81E71"/>
    <w:rsid w:val="00FA0820"/>
    <w:rsid w:val="00FA67D2"/>
    <w:rsid w:val="00FB5A92"/>
    <w:rsid w:val="00FE4967"/>
    <w:rsid w:val="00FE7A33"/>
    <w:rsid w:val="00FF5D4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59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5359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F5359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5359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5359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5359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53595"/>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53595"/>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locked/>
    <w:rsid w:val="00DA064D"/>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F53595"/>
    <w:rPr>
      <w:rFonts w:ascii="Arial" w:hAnsi="Arial" w:cs="Times New Roman"/>
      <w:sz w:val="24"/>
      <w:szCs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F53595"/>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F53595"/>
    <w:rPr>
      <w:szCs w:val="24"/>
    </w:rPr>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F53595"/>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F53595"/>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53595"/>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53595"/>
    <w:rPr>
      <w:rFonts w:ascii="Arial" w:hAnsi="Arial" w:cs="Times New Roman"/>
      <w:sz w:val="16"/>
      <w:szCs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F53595"/>
    <w:rPr>
      <w:rFonts w:ascii="Arial" w:hAnsi="Arial" w:cs="Times New Roman"/>
      <w:sz w:val="24"/>
      <w:szCs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F53595"/>
    <w:rPr>
      <w:rFonts w:ascii="Arial" w:hAnsi="Arial" w:cs="Times New Roman"/>
      <w:sz w:val="24"/>
      <w:szCs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F53595"/>
    <w:rPr>
      <w:rFonts w:ascii="Arial" w:hAnsi="Arial" w:cs="Times New Roman"/>
      <w:sz w:val="24"/>
      <w:szCs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F53595"/>
    <w:rPr>
      <w:rFonts w:ascii="Arial" w:hAnsi="Arial" w:cs="Times New Roman"/>
      <w:sz w:val="24"/>
      <w:szCs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F53595"/>
    <w:rPr>
      <w:rFonts w:ascii="Arial" w:hAnsi="Arial" w:cs="Times New Roman"/>
      <w:sz w:val="24"/>
      <w:szCs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F53595"/>
    <w:rPr>
      <w:rFonts w:ascii="Arial" w:hAnsi="Arial" w:cs="Times New Roman"/>
      <w:i/>
      <w:iCs/>
      <w:sz w:val="24"/>
      <w:szCs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53595"/>
    <w:rPr>
      <w:rFonts w:ascii="Courier New" w:hAnsi="Courier New" w:cs="Courier New"/>
      <w:sz w:val="20"/>
      <w:szCs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F53595"/>
    <w:rPr>
      <w:rFonts w:ascii="Cambria" w:hAnsi="Cambria" w:cs="Times New Roman"/>
      <w:sz w:val="24"/>
      <w:szCs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F53595"/>
    <w:rPr>
      <w:rFonts w:ascii="Arial" w:hAnsi="Arial" w:cs="Times New Roman"/>
      <w:sz w:val="24"/>
      <w:szCs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53595"/>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F53595"/>
    <w:rPr>
      <w:rFonts w:ascii="Arial" w:hAnsi="Arial" w:cs="Times New Roman"/>
      <w:sz w:val="24"/>
      <w:szCs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F53595"/>
    <w:rPr>
      <w:rFonts w:ascii="Arial" w:hAnsi="Arial" w:cs="Times New Roman"/>
      <w:sz w:val="24"/>
      <w:szCs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F53595"/>
    <w:rPr>
      <w:rFonts w:ascii="Cambria" w:hAnsi="Cambria" w:cs="Times New Roman"/>
      <w:sz w:val="24"/>
      <w:szCs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F53595"/>
    <w:rPr>
      <w:rFonts w:ascii="Cambria" w:hAnsi="Cambria" w:cs="Times New Roman"/>
      <w:b/>
      <w:bCs/>
      <w:kern w:val="28"/>
      <w:sz w:val="32"/>
      <w:szCs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22"/>
      </w:numPr>
    </w:pPr>
  </w:style>
  <w:style w:type="paragraph" w:customStyle="1" w:styleId="NumbersLevel2">
    <w:name w:val="Numbers Level 2"/>
    <w:basedOn w:val="BodyText"/>
    <w:uiPriority w:val="99"/>
    <w:rsid w:val="00E73AA8"/>
    <w:pPr>
      <w:numPr>
        <w:ilvl w:val="1"/>
        <w:numId w:val="22"/>
      </w:numPr>
    </w:pPr>
  </w:style>
  <w:style w:type="paragraph" w:customStyle="1" w:styleId="NumbersLevel3">
    <w:name w:val="Numbers Level 3"/>
    <w:basedOn w:val="BodyText"/>
    <w:uiPriority w:val="99"/>
    <w:rsid w:val="00E73AA8"/>
    <w:pPr>
      <w:numPr>
        <w:ilvl w:val="2"/>
        <w:numId w:val="22"/>
      </w:numPr>
    </w:pPr>
  </w:style>
  <w:style w:type="paragraph" w:customStyle="1" w:styleId="NumbersLevel4">
    <w:name w:val="Numbers Level 4"/>
    <w:basedOn w:val="BodyText"/>
    <w:uiPriority w:val="99"/>
    <w:rsid w:val="00E73AA8"/>
    <w:pPr>
      <w:numPr>
        <w:ilvl w:val="3"/>
        <w:numId w:val="2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F53595"/>
    <w:rPr>
      <w:rFonts w:ascii="Arial" w:hAnsi="Arial" w:cs="Times New Roman"/>
      <w:sz w:val="20"/>
      <w:szCs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23"/>
      </w:numPr>
    </w:pPr>
  </w:style>
  <w:style w:type="paragraph" w:customStyle="1" w:styleId="NumbersTableLevel2">
    <w:name w:val="Numbers Table Level 2"/>
    <w:basedOn w:val="BodyTextTable"/>
    <w:uiPriority w:val="99"/>
    <w:rsid w:val="00A50E00"/>
    <w:pPr>
      <w:numPr>
        <w:ilvl w:val="1"/>
        <w:numId w:val="23"/>
      </w:numPr>
    </w:pPr>
  </w:style>
  <w:style w:type="paragraph" w:customStyle="1" w:styleId="NumbersTableLevel3">
    <w:name w:val="Numbers Table Level 3"/>
    <w:basedOn w:val="BodyTextTable"/>
    <w:uiPriority w:val="99"/>
    <w:rsid w:val="00A50E00"/>
    <w:pPr>
      <w:numPr>
        <w:ilvl w:val="2"/>
        <w:numId w:val="23"/>
      </w:numPr>
    </w:pPr>
  </w:style>
  <w:style w:type="paragraph" w:customStyle="1" w:styleId="BodyTextTableLevel1">
    <w:name w:val="Body Text Table Level 1"/>
    <w:basedOn w:val="BodyTextTable"/>
    <w:uiPriority w:val="99"/>
    <w:rsid w:val="00A50E00"/>
    <w:pPr>
      <w:numPr>
        <w:numId w:val="24"/>
      </w:numPr>
      <w:ind w:left="369"/>
    </w:pPr>
  </w:style>
  <w:style w:type="paragraph" w:customStyle="1" w:styleId="BodyTextTableLevel2">
    <w:name w:val="Body Text Table Level 2"/>
    <w:basedOn w:val="BodyTextTable"/>
    <w:uiPriority w:val="99"/>
    <w:rsid w:val="00A50E00"/>
    <w:pPr>
      <w:numPr>
        <w:ilvl w:val="1"/>
        <w:numId w:val="24"/>
      </w:numPr>
      <w:ind w:left="737"/>
    </w:pPr>
  </w:style>
  <w:style w:type="paragraph" w:customStyle="1" w:styleId="BodyTextTableLevel3">
    <w:name w:val="Body Text Table Level 3"/>
    <w:basedOn w:val="BodyTextTable"/>
    <w:uiPriority w:val="99"/>
    <w:rsid w:val="00A50E00"/>
    <w:pPr>
      <w:numPr>
        <w:ilvl w:val="3"/>
        <w:numId w:val="2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595"/>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97672B"/>
    <w:pPr>
      <w:numPr>
        <w:numId w:val="27"/>
      </w:numPr>
    </w:pPr>
  </w:style>
  <w:style w:type="numbering" w:styleId="1ai">
    <w:name w:val="Outline List 1"/>
    <w:basedOn w:val="NoList"/>
    <w:uiPriority w:val="99"/>
    <w:semiHidden/>
    <w:unhideWhenUsed/>
    <w:locked/>
    <w:rsid w:val="0097672B"/>
    <w:pPr>
      <w:numPr>
        <w:numId w:val="26"/>
      </w:numPr>
    </w:pPr>
  </w:style>
  <w:style w:type="numbering" w:styleId="111111">
    <w:name w:val="Outline List 2"/>
    <w:basedOn w:val="NoList"/>
    <w:uiPriority w:val="99"/>
    <w:semiHidden/>
    <w:unhideWhenUsed/>
    <w:locked/>
    <w:rsid w:val="0097672B"/>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293</Words>
  <Characters>1671</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2013-11-21T21:26:00Z</cp:lastPrinted>
  <dcterms:created xsi:type="dcterms:W3CDTF">2014-04-23T21:06:00Z</dcterms:created>
  <dcterms:modified xsi:type="dcterms:W3CDTF">2014-04-23T21:41:00Z</dcterms:modified>
</cp:coreProperties>
</file>