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FB" w:rsidRDefault="00D518FB" w:rsidP="00536829">
      <w:pPr>
        <w:pStyle w:val="Default"/>
        <w:spacing w:line="940" w:lineRule="atLeast"/>
        <w:jc w:val="right"/>
        <w:rPr>
          <w:color w:val="008EC0"/>
          <w:sz w:val="77"/>
          <w:szCs w:val="77"/>
        </w:rPr>
      </w:pPr>
      <w:bookmarkStart w:id="0" w:name="_GoBack"/>
      <w:bookmarkEnd w:id="0"/>
    </w:p>
    <w:p w:rsidR="00D518FB" w:rsidRDefault="008A65A4" w:rsidP="008A65A4">
      <w:pPr>
        <w:pStyle w:val="Default"/>
        <w:tabs>
          <w:tab w:val="left" w:pos="5205"/>
        </w:tabs>
        <w:spacing w:line="940" w:lineRule="atLeast"/>
        <w:rPr>
          <w:color w:val="008EC0"/>
          <w:sz w:val="77"/>
          <w:szCs w:val="77"/>
        </w:rPr>
      </w:pPr>
      <w:r>
        <w:rPr>
          <w:color w:val="008EC0"/>
          <w:sz w:val="77"/>
          <w:szCs w:val="77"/>
        </w:rPr>
        <w:tab/>
      </w:r>
      <w:r>
        <w:rPr>
          <w:noProof/>
        </w:rPr>
        <w:drawing>
          <wp:inline distT="0" distB="0" distL="0" distR="0">
            <wp:extent cx="5760085" cy="1019387"/>
            <wp:effectExtent l="0" t="0" r="0" b="9525"/>
            <wp:docPr id="47" name="Picture 47" descr="http://1840.dia.govt.nz/sites/default/files/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840.dia.govt.nz/sites/default/files/Colour%20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019387"/>
                    </a:xfrm>
                    <a:prstGeom prst="rect">
                      <a:avLst/>
                    </a:prstGeom>
                    <a:noFill/>
                    <a:ln>
                      <a:noFill/>
                    </a:ln>
                  </pic:spPr>
                </pic:pic>
              </a:graphicData>
            </a:graphic>
          </wp:inline>
        </w:drawing>
      </w:r>
    </w:p>
    <w:p w:rsidR="008A65A4" w:rsidRDefault="008A65A4" w:rsidP="00D518FB">
      <w:pPr>
        <w:pStyle w:val="Default"/>
        <w:spacing w:line="940" w:lineRule="atLeast"/>
        <w:rPr>
          <w:color w:val="008EC0"/>
          <w:sz w:val="77"/>
          <w:szCs w:val="77"/>
        </w:rPr>
      </w:pPr>
    </w:p>
    <w:p w:rsidR="008A65A4" w:rsidRDefault="008A65A4" w:rsidP="00D518FB">
      <w:pPr>
        <w:pStyle w:val="Default"/>
        <w:spacing w:line="940" w:lineRule="atLeast"/>
        <w:rPr>
          <w:color w:val="008EC0"/>
          <w:sz w:val="77"/>
          <w:szCs w:val="77"/>
        </w:rPr>
      </w:pPr>
    </w:p>
    <w:p w:rsidR="00D518FB" w:rsidRDefault="00D518FB" w:rsidP="00D97DB5">
      <w:pPr>
        <w:pStyle w:val="Default"/>
        <w:spacing w:line="940" w:lineRule="atLeast"/>
        <w:rPr>
          <w:color w:val="008EC0"/>
          <w:sz w:val="77"/>
          <w:szCs w:val="77"/>
        </w:rPr>
      </w:pPr>
      <w:r>
        <w:rPr>
          <w:color w:val="008EC0"/>
          <w:sz w:val="77"/>
          <w:szCs w:val="77"/>
        </w:rPr>
        <w:t>Key findings from the 2014 Survey of AML/CFT</w:t>
      </w:r>
      <w:r w:rsidR="00D0731B">
        <w:rPr>
          <w:color w:val="008EC0"/>
          <w:sz w:val="77"/>
          <w:szCs w:val="77"/>
        </w:rPr>
        <w:t xml:space="preserve"> reporting entities: </w:t>
      </w:r>
      <w:r>
        <w:rPr>
          <w:color w:val="008EC0"/>
          <w:sz w:val="77"/>
          <w:szCs w:val="77"/>
        </w:rPr>
        <w:t>awareness across sector</w:t>
      </w:r>
    </w:p>
    <w:p w:rsidR="00D518FB" w:rsidRDefault="00D518FB" w:rsidP="00D518FB">
      <w:pPr>
        <w:pStyle w:val="Default"/>
      </w:pPr>
    </w:p>
    <w:p w:rsidR="00D518FB" w:rsidRDefault="00D518FB" w:rsidP="00D518FB"/>
    <w:p w:rsidR="00D518FB" w:rsidRDefault="00D518FB" w:rsidP="00D518FB">
      <w:r>
        <w:br w:type="page"/>
      </w:r>
    </w:p>
    <w:sdt>
      <w:sdtPr>
        <w:rPr>
          <w:rFonts w:ascii="Calibri" w:eastAsiaTheme="minorHAnsi" w:hAnsi="Calibri" w:cs="Times New Roman"/>
          <w:b w:val="0"/>
          <w:bCs w:val="0"/>
          <w:color w:val="auto"/>
          <w:sz w:val="24"/>
          <w:szCs w:val="24"/>
          <w:lang w:val="en-NZ" w:eastAsia="en-US"/>
        </w:rPr>
        <w:id w:val="-210955475"/>
        <w:docPartObj>
          <w:docPartGallery w:val="Table of Contents"/>
          <w:docPartUnique/>
        </w:docPartObj>
      </w:sdtPr>
      <w:sdtEndPr>
        <w:rPr>
          <w:noProof/>
        </w:rPr>
      </w:sdtEndPr>
      <w:sdtContent>
        <w:p w:rsidR="001B3CE3" w:rsidRDefault="001B3CE3" w:rsidP="008A65A4">
          <w:pPr>
            <w:pStyle w:val="TOCHeading"/>
            <w:spacing w:line="480" w:lineRule="auto"/>
          </w:pPr>
        </w:p>
        <w:p w:rsidR="001B3CE3" w:rsidRDefault="001B3CE3" w:rsidP="008A65A4">
          <w:pPr>
            <w:pStyle w:val="TOCHeading"/>
            <w:spacing w:line="480" w:lineRule="auto"/>
          </w:pPr>
        </w:p>
        <w:p w:rsidR="00536829" w:rsidRDefault="00536829" w:rsidP="008A65A4">
          <w:pPr>
            <w:pStyle w:val="TOCHeading"/>
            <w:spacing w:line="480" w:lineRule="auto"/>
          </w:pPr>
          <w:r>
            <w:t>Contents</w:t>
          </w:r>
        </w:p>
        <w:p w:rsidR="008A65A4" w:rsidRDefault="00536829" w:rsidP="008A65A4">
          <w:pPr>
            <w:pStyle w:val="TOC2"/>
            <w:spacing w:line="480" w:lineRule="auto"/>
            <w:rPr>
              <w:rFonts w:asciiTheme="minorHAnsi" w:eastAsiaTheme="minorEastAsia" w:hAnsiTheme="minorHAnsi" w:cstheme="minorBidi"/>
              <w:sz w:val="22"/>
              <w:szCs w:val="22"/>
              <w:lang w:eastAsia="en-NZ"/>
            </w:rPr>
          </w:pPr>
          <w:r>
            <w:fldChar w:fldCharType="begin"/>
          </w:r>
          <w:r>
            <w:instrText xml:space="preserve"> TOC \o "1-3" \h \z \u </w:instrText>
          </w:r>
          <w:r>
            <w:fldChar w:fldCharType="separate"/>
          </w:r>
          <w:hyperlink w:anchor="_Toc417549683" w:history="1">
            <w:r w:rsidR="008A65A4" w:rsidRPr="00C45252">
              <w:rPr>
                <w:rStyle w:val="Hyperlink"/>
              </w:rPr>
              <w:t>Executive Summary</w:t>
            </w:r>
            <w:r w:rsidR="008A65A4">
              <w:rPr>
                <w:webHidden/>
              </w:rPr>
              <w:tab/>
            </w:r>
            <w:r w:rsidR="008A65A4">
              <w:rPr>
                <w:webHidden/>
              </w:rPr>
              <w:fldChar w:fldCharType="begin"/>
            </w:r>
            <w:r w:rsidR="008A65A4">
              <w:rPr>
                <w:webHidden/>
              </w:rPr>
              <w:instrText xml:space="preserve"> PAGEREF _Toc417549683 \h </w:instrText>
            </w:r>
            <w:r w:rsidR="008A65A4">
              <w:rPr>
                <w:webHidden/>
              </w:rPr>
            </w:r>
            <w:r w:rsidR="008A65A4">
              <w:rPr>
                <w:webHidden/>
              </w:rPr>
              <w:fldChar w:fldCharType="separate"/>
            </w:r>
            <w:r w:rsidR="004374ED">
              <w:rPr>
                <w:webHidden/>
              </w:rPr>
              <w:t>3</w:t>
            </w:r>
            <w:r w:rsidR="008A65A4">
              <w:rPr>
                <w:webHidden/>
              </w:rPr>
              <w:fldChar w:fldCharType="end"/>
            </w:r>
          </w:hyperlink>
        </w:p>
        <w:p w:rsidR="008A65A4" w:rsidRDefault="00E52164" w:rsidP="008A65A4">
          <w:pPr>
            <w:pStyle w:val="TOC2"/>
            <w:spacing w:line="480" w:lineRule="auto"/>
            <w:rPr>
              <w:rFonts w:asciiTheme="minorHAnsi" w:eastAsiaTheme="minorEastAsia" w:hAnsiTheme="minorHAnsi" w:cstheme="minorBidi"/>
              <w:sz w:val="22"/>
              <w:szCs w:val="22"/>
              <w:lang w:eastAsia="en-NZ"/>
            </w:rPr>
          </w:pPr>
          <w:hyperlink w:anchor="_Toc417549684" w:history="1">
            <w:r w:rsidR="008A65A4" w:rsidRPr="00C45252">
              <w:rPr>
                <w:rStyle w:val="Hyperlink"/>
              </w:rPr>
              <w:t>Introduction</w:t>
            </w:r>
            <w:r w:rsidR="008A65A4">
              <w:rPr>
                <w:webHidden/>
              </w:rPr>
              <w:tab/>
            </w:r>
            <w:r w:rsidR="008A65A4">
              <w:rPr>
                <w:webHidden/>
              </w:rPr>
              <w:fldChar w:fldCharType="begin"/>
            </w:r>
            <w:r w:rsidR="008A65A4">
              <w:rPr>
                <w:webHidden/>
              </w:rPr>
              <w:instrText xml:space="preserve"> PAGEREF _Toc417549684 \h </w:instrText>
            </w:r>
            <w:r w:rsidR="008A65A4">
              <w:rPr>
                <w:webHidden/>
              </w:rPr>
            </w:r>
            <w:r w:rsidR="008A65A4">
              <w:rPr>
                <w:webHidden/>
              </w:rPr>
              <w:fldChar w:fldCharType="separate"/>
            </w:r>
            <w:r w:rsidR="004374ED">
              <w:rPr>
                <w:webHidden/>
              </w:rPr>
              <w:t>5</w:t>
            </w:r>
            <w:r w:rsidR="008A65A4">
              <w:rPr>
                <w:webHidden/>
              </w:rPr>
              <w:fldChar w:fldCharType="end"/>
            </w:r>
          </w:hyperlink>
        </w:p>
        <w:p w:rsidR="008A65A4" w:rsidRDefault="00E52164" w:rsidP="008A65A4">
          <w:pPr>
            <w:pStyle w:val="TOC2"/>
            <w:spacing w:line="480" w:lineRule="auto"/>
            <w:rPr>
              <w:rFonts w:asciiTheme="minorHAnsi" w:eastAsiaTheme="minorEastAsia" w:hAnsiTheme="minorHAnsi" w:cstheme="minorBidi"/>
              <w:sz w:val="22"/>
              <w:szCs w:val="22"/>
              <w:lang w:eastAsia="en-NZ"/>
            </w:rPr>
          </w:pPr>
          <w:hyperlink w:anchor="_Toc417549685" w:history="1">
            <w:r w:rsidR="008A65A4" w:rsidRPr="00C45252">
              <w:rPr>
                <w:rStyle w:val="Hyperlink"/>
              </w:rPr>
              <w:t>Methodology</w:t>
            </w:r>
            <w:r w:rsidR="008A65A4">
              <w:rPr>
                <w:webHidden/>
              </w:rPr>
              <w:tab/>
            </w:r>
            <w:r w:rsidR="008A65A4">
              <w:rPr>
                <w:webHidden/>
              </w:rPr>
              <w:fldChar w:fldCharType="begin"/>
            </w:r>
            <w:r w:rsidR="008A65A4">
              <w:rPr>
                <w:webHidden/>
              </w:rPr>
              <w:instrText xml:space="preserve"> PAGEREF _Toc417549685 \h </w:instrText>
            </w:r>
            <w:r w:rsidR="008A65A4">
              <w:rPr>
                <w:webHidden/>
              </w:rPr>
            </w:r>
            <w:r w:rsidR="008A65A4">
              <w:rPr>
                <w:webHidden/>
              </w:rPr>
              <w:fldChar w:fldCharType="separate"/>
            </w:r>
            <w:r w:rsidR="004374ED">
              <w:rPr>
                <w:webHidden/>
              </w:rPr>
              <w:t>6</w:t>
            </w:r>
            <w:r w:rsidR="008A65A4">
              <w:rPr>
                <w:webHidden/>
              </w:rPr>
              <w:fldChar w:fldCharType="end"/>
            </w:r>
          </w:hyperlink>
        </w:p>
        <w:p w:rsidR="008A65A4" w:rsidRDefault="00E52164" w:rsidP="008A65A4">
          <w:pPr>
            <w:pStyle w:val="TOC2"/>
            <w:spacing w:line="480" w:lineRule="auto"/>
            <w:rPr>
              <w:rFonts w:asciiTheme="minorHAnsi" w:eastAsiaTheme="minorEastAsia" w:hAnsiTheme="minorHAnsi" w:cstheme="minorBidi"/>
              <w:sz w:val="22"/>
              <w:szCs w:val="22"/>
              <w:lang w:eastAsia="en-NZ"/>
            </w:rPr>
          </w:pPr>
          <w:hyperlink w:anchor="_Toc417549686" w:history="1">
            <w:r w:rsidR="008A65A4" w:rsidRPr="00C45252">
              <w:rPr>
                <w:rStyle w:val="Hyperlink"/>
              </w:rPr>
              <w:t>Respondent Profile</w:t>
            </w:r>
            <w:r w:rsidR="008A65A4">
              <w:rPr>
                <w:webHidden/>
              </w:rPr>
              <w:tab/>
            </w:r>
            <w:r w:rsidR="008A65A4">
              <w:rPr>
                <w:webHidden/>
              </w:rPr>
              <w:fldChar w:fldCharType="begin"/>
            </w:r>
            <w:r w:rsidR="008A65A4">
              <w:rPr>
                <w:webHidden/>
              </w:rPr>
              <w:instrText xml:space="preserve"> PAGEREF _Toc417549686 \h </w:instrText>
            </w:r>
            <w:r w:rsidR="008A65A4">
              <w:rPr>
                <w:webHidden/>
              </w:rPr>
            </w:r>
            <w:r w:rsidR="008A65A4">
              <w:rPr>
                <w:webHidden/>
              </w:rPr>
              <w:fldChar w:fldCharType="separate"/>
            </w:r>
            <w:r w:rsidR="004374ED">
              <w:rPr>
                <w:webHidden/>
              </w:rPr>
              <w:t>7</w:t>
            </w:r>
            <w:r w:rsidR="008A65A4">
              <w:rPr>
                <w:webHidden/>
              </w:rPr>
              <w:fldChar w:fldCharType="end"/>
            </w:r>
          </w:hyperlink>
        </w:p>
        <w:p w:rsidR="008A65A4" w:rsidRDefault="00E52164" w:rsidP="008A65A4">
          <w:pPr>
            <w:pStyle w:val="TOC2"/>
            <w:spacing w:line="480" w:lineRule="auto"/>
            <w:rPr>
              <w:rFonts w:asciiTheme="minorHAnsi" w:eastAsiaTheme="minorEastAsia" w:hAnsiTheme="minorHAnsi" w:cstheme="minorBidi"/>
              <w:sz w:val="22"/>
              <w:szCs w:val="22"/>
              <w:lang w:eastAsia="en-NZ"/>
            </w:rPr>
          </w:pPr>
          <w:hyperlink w:anchor="_Toc417549687" w:history="1">
            <w:r w:rsidR="008A65A4" w:rsidRPr="00C45252">
              <w:rPr>
                <w:rStyle w:val="Hyperlink"/>
              </w:rPr>
              <w:t>Information Services (Department and External)</w:t>
            </w:r>
            <w:r w:rsidR="008A65A4">
              <w:rPr>
                <w:webHidden/>
              </w:rPr>
              <w:tab/>
            </w:r>
            <w:r w:rsidR="008A65A4">
              <w:rPr>
                <w:webHidden/>
              </w:rPr>
              <w:fldChar w:fldCharType="begin"/>
            </w:r>
            <w:r w:rsidR="008A65A4">
              <w:rPr>
                <w:webHidden/>
              </w:rPr>
              <w:instrText xml:space="preserve"> PAGEREF _Toc417549687 \h </w:instrText>
            </w:r>
            <w:r w:rsidR="008A65A4">
              <w:rPr>
                <w:webHidden/>
              </w:rPr>
            </w:r>
            <w:r w:rsidR="008A65A4">
              <w:rPr>
                <w:webHidden/>
              </w:rPr>
              <w:fldChar w:fldCharType="separate"/>
            </w:r>
            <w:r w:rsidR="004374ED">
              <w:rPr>
                <w:webHidden/>
              </w:rPr>
              <w:t>8</w:t>
            </w:r>
            <w:r w:rsidR="008A65A4">
              <w:rPr>
                <w:webHidden/>
              </w:rPr>
              <w:fldChar w:fldCharType="end"/>
            </w:r>
          </w:hyperlink>
        </w:p>
        <w:p w:rsidR="008A65A4" w:rsidRDefault="00E52164" w:rsidP="008A65A4">
          <w:pPr>
            <w:pStyle w:val="TOC2"/>
            <w:spacing w:line="480" w:lineRule="auto"/>
            <w:rPr>
              <w:rFonts w:asciiTheme="minorHAnsi" w:eastAsiaTheme="minorEastAsia" w:hAnsiTheme="minorHAnsi" w:cstheme="minorBidi"/>
              <w:sz w:val="22"/>
              <w:szCs w:val="22"/>
              <w:lang w:eastAsia="en-NZ"/>
            </w:rPr>
          </w:pPr>
          <w:hyperlink w:anchor="_Toc417549688" w:history="1">
            <w:r w:rsidR="008A65A4" w:rsidRPr="00C45252">
              <w:rPr>
                <w:rStyle w:val="Hyperlink"/>
              </w:rPr>
              <w:t>Sector understanding of the AML/CFT Act</w:t>
            </w:r>
            <w:r w:rsidR="008A65A4">
              <w:rPr>
                <w:webHidden/>
              </w:rPr>
              <w:tab/>
            </w:r>
            <w:r w:rsidR="008A65A4">
              <w:rPr>
                <w:webHidden/>
              </w:rPr>
              <w:fldChar w:fldCharType="begin"/>
            </w:r>
            <w:r w:rsidR="008A65A4">
              <w:rPr>
                <w:webHidden/>
              </w:rPr>
              <w:instrText xml:space="preserve"> PAGEREF _Toc417549688 \h </w:instrText>
            </w:r>
            <w:r w:rsidR="008A65A4">
              <w:rPr>
                <w:webHidden/>
              </w:rPr>
            </w:r>
            <w:r w:rsidR="008A65A4">
              <w:rPr>
                <w:webHidden/>
              </w:rPr>
              <w:fldChar w:fldCharType="separate"/>
            </w:r>
            <w:r w:rsidR="004374ED">
              <w:rPr>
                <w:webHidden/>
              </w:rPr>
              <w:t>9</w:t>
            </w:r>
            <w:r w:rsidR="008A65A4">
              <w:rPr>
                <w:webHidden/>
              </w:rPr>
              <w:fldChar w:fldCharType="end"/>
            </w:r>
          </w:hyperlink>
        </w:p>
        <w:p w:rsidR="008A65A4" w:rsidRDefault="00E52164" w:rsidP="008A65A4">
          <w:pPr>
            <w:pStyle w:val="TOC2"/>
            <w:spacing w:line="480" w:lineRule="auto"/>
            <w:rPr>
              <w:rFonts w:asciiTheme="minorHAnsi" w:eastAsiaTheme="minorEastAsia" w:hAnsiTheme="minorHAnsi" w:cstheme="minorBidi"/>
              <w:sz w:val="22"/>
              <w:szCs w:val="22"/>
              <w:lang w:eastAsia="en-NZ"/>
            </w:rPr>
          </w:pPr>
          <w:hyperlink w:anchor="_Toc417549689" w:history="1">
            <w:r w:rsidR="008A65A4" w:rsidRPr="00C45252">
              <w:rPr>
                <w:rStyle w:val="Hyperlink"/>
              </w:rPr>
              <w:t>Risk Assessment</w:t>
            </w:r>
            <w:r w:rsidR="008A65A4">
              <w:rPr>
                <w:webHidden/>
              </w:rPr>
              <w:tab/>
            </w:r>
            <w:r w:rsidR="008A65A4">
              <w:rPr>
                <w:webHidden/>
              </w:rPr>
              <w:fldChar w:fldCharType="begin"/>
            </w:r>
            <w:r w:rsidR="008A65A4">
              <w:rPr>
                <w:webHidden/>
              </w:rPr>
              <w:instrText xml:space="preserve"> PAGEREF _Toc417549689 \h </w:instrText>
            </w:r>
            <w:r w:rsidR="008A65A4">
              <w:rPr>
                <w:webHidden/>
              </w:rPr>
            </w:r>
            <w:r w:rsidR="008A65A4">
              <w:rPr>
                <w:webHidden/>
              </w:rPr>
              <w:fldChar w:fldCharType="separate"/>
            </w:r>
            <w:r w:rsidR="004374ED">
              <w:rPr>
                <w:webHidden/>
              </w:rPr>
              <w:t>10</w:t>
            </w:r>
            <w:r w:rsidR="008A65A4">
              <w:rPr>
                <w:webHidden/>
              </w:rPr>
              <w:fldChar w:fldCharType="end"/>
            </w:r>
          </w:hyperlink>
        </w:p>
        <w:p w:rsidR="008A65A4" w:rsidRDefault="00E52164" w:rsidP="008A65A4">
          <w:pPr>
            <w:pStyle w:val="TOC2"/>
            <w:spacing w:line="480" w:lineRule="auto"/>
            <w:rPr>
              <w:rFonts w:asciiTheme="minorHAnsi" w:eastAsiaTheme="minorEastAsia" w:hAnsiTheme="minorHAnsi" w:cstheme="minorBidi"/>
              <w:sz w:val="22"/>
              <w:szCs w:val="22"/>
              <w:lang w:eastAsia="en-NZ"/>
            </w:rPr>
          </w:pPr>
          <w:hyperlink w:anchor="_Toc417549690" w:history="1">
            <w:r w:rsidR="008A65A4" w:rsidRPr="00C45252">
              <w:rPr>
                <w:rStyle w:val="Hyperlink"/>
              </w:rPr>
              <w:t>AML/CFT Programme</w:t>
            </w:r>
            <w:r w:rsidR="008A65A4">
              <w:rPr>
                <w:webHidden/>
              </w:rPr>
              <w:tab/>
            </w:r>
            <w:r w:rsidR="008A65A4">
              <w:rPr>
                <w:webHidden/>
              </w:rPr>
              <w:fldChar w:fldCharType="begin"/>
            </w:r>
            <w:r w:rsidR="008A65A4">
              <w:rPr>
                <w:webHidden/>
              </w:rPr>
              <w:instrText xml:space="preserve"> PAGEREF _Toc417549690 \h </w:instrText>
            </w:r>
            <w:r w:rsidR="008A65A4">
              <w:rPr>
                <w:webHidden/>
              </w:rPr>
            </w:r>
            <w:r w:rsidR="008A65A4">
              <w:rPr>
                <w:webHidden/>
              </w:rPr>
              <w:fldChar w:fldCharType="separate"/>
            </w:r>
            <w:r w:rsidR="004374ED">
              <w:rPr>
                <w:webHidden/>
              </w:rPr>
              <w:t>11</w:t>
            </w:r>
            <w:r w:rsidR="008A65A4">
              <w:rPr>
                <w:webHidden/>
              </w:rPr>
              <w:fldChar w:fldCharType="end"/>
            </w:r>
          </w:hyperlink>
        </w:p>
        <w:p w:rsidR="008A65A4" w:rsidRDefault="00E52164" w:rsidP="008A65A4">
          <w:pPr>
            <w:pStyle w:val="TOC2"/>
            <w:spacing w:line="480" w:lineRule="auto"/>
            <w:rPr>
              <w:rFonts w:asciiTheme="minorHAnsi" w:eastAsiaTheme="minorEastAsia" w:hAnsiTheme="minorHAnsi" w:cstheme="minorBidi"/>
              <w:sz w:val="22"/>
              <w:szCs w:val="22"/>
              <w:lang w:eastAsia="en-NZ"/>
            </w:rPr>
          </w:pPr>
          <w:hyperlink w:anchor="_Toc417549691" w:history="1">
            <w:r w:rsidR="008A65A4" w:rsidRPr="00C45252">
              <w:rPr>
                <w:rStyle w:val="Hyperlink"/>
              </w:rPr>
              <w:t>Annual Reporting</w:t>
            </w:r>
            <w:r w:rsidR="008A65A4">
              <w:rPr>
                <w:webHidden/>
              </w:rPr>
              <w:tab/>
            </w:r>
            <w:r w:rsidR="008A65A4">
              <w:rPr>
                <w:webHidden/>
              </w:rPr>
              <w:fldChar w:fldCharType="begin"/>
            </w:r>
            <w:r w:rsidR="008A65A4">
              <w:rPr>
                <w:webHidden/>
              </w:rPr>
              <w:instrText xml:space="preserve"> PAGEREF _Toc417549691 \h </w:instrText>
            </w:r>
            <w:r w:rsidR="008A65A4">
              <w:rPr>
                <w:webHidden/>
              </w:rPr>
            </w:r>
            <w:r w:rsidR="008A65A4">
              <w:rPr>
                <w:webHidden/>
              </w:rPr>
              <w:fldChar w:fldCharType="separate"/>
            </w:r>
            <w:r w:rsidR="004374ED">
              <w:rPr>
                <w:webHidden/>
              </w:rPr>
              <w:t>12</w:t>
            </w:r>
            <w:r w:rsidR="008A65A4">
              <w:rPr>
                <w:webHidden/>
              </w:rPr>
              <w:fldChar w:fldCharType="end"/>
            </w:r>
          </w:hyperlink>
        </w:p>
        <w:p w:rsidR="008A65A4" w:rsidRDefault="00E52164" w:rsidP="008A65A4">
          <w:pPr>
            <w:pStyle w:val="TOC2"/>
            <w:spacing w:line="480" w:lineRule="auto"/>
            <w:rPr>
              <w:rFonts w:asciiTheme="minorHAnsi" w:eastAsiaTheme="minorEastAsia" w:hAnsiTheme="minorHAnsi" w:cstheme="minorBidi"/>
              <w:sz w:val="22"/>
              <w:szCs w:val="22"/>
              <w:lang w:eastAsia="en-NZ"/>
            </w:rPr>
          </w:pPr>
          <w:hyperlink w:anchor="_Toc417549692" w:history="1">
            <w:r w:rsidR="008A65A4" w:rsidRPr="00C45252">
              <w:rPr>
                <w:rStyle w:val="Hyperlink"/>
              </w:rPr>
              <w:t>Submitting Suspicious Transaction Reports</w:t>
            </w:r>
            <w:r w:rsidR="008A65A4">
              <w:rPr>
                <w:webHidden/>
              </w:rPr>
              <w:tab/>
            </w:r>
            <w:r w:rsidR="008A65A4">
              <w:rPr>
                <w:webHidden/>
              </w:rPr>
              <w:fldChar w:fldCharType="begin"/>
            </w:r>
            <w:r w:rsidR="008A65A4">
              <w:rPr>
                <w:webHidden/>
              </w:rPr>
              <w:instrText xml:space="preserve"> PAGEREF _Toc417549692 \h </w:instrText>
            </w:r>
            <w:r w:rsidR="008A65A4">
              <w:rPr>
                <w:webHidden/>
              </w:rPr>
            </w:r>
            <w:r w:rsidR="008A65A4">
              <w:rPr>
                <w:webHidden/>
              </w:rPr>
              <w:fldChar w:fldCharType="separate"/>
            </w:r>
            <w:r w:rsidR="004374ED">
              <w:rPr>
                <w:webHidden/>
              </w:rPr>
              <w:t>13</w:t>
            </w:r>
            <w:r w:rsidR="008A65A4">
              <w:rPr>
                <w:webHidden/>
              </w:rPr>
              <w:fldChar w:fldCharType="end"/>
            </w:r>
          </w:hyperlink>
        </w:p>
        <w:p w:rsidR="00536829" w:rsidRDefault="00536829" w:rsidP="008A65A4">
          <w:pPr>
            <w:spacing w:line="480" w:lineRule="auto"/>
          </w:pPr>
          <w:r>
            <w:rPr>
              <w:b/>
              <w:bCs/>
              <w:noProof/>
            </w:rPr>
            <w:fldChar w:fldCharType="end"/>
          </w:r>
        </w:p>
      </w:sdtContent>
    </w:sdt>
    <w:p w:rsidR="00D518FB" w:rsidRPr="00F11B59" w:rsidRDefault="00D518FB" w:rsidP="00D518FB">
      <w:r>
        <w:br w:type="page"/>
      </w:r>
    </w:p>
    <w:p w:rsidR="00D518FB" w:rsidRDefault="00D518FB" w:rsidP="00536829">
      <w:pPr>
        <w:pStyle w:val="Heading2"/>
      </w:pPr>
      <w:bookmarkStart w:id="1" w:name="_Toc417549683"/>
      <w:r>
        <w:lastRenderedPageBreak/>
        <w:t>Executive Summary</w:t>
      </w:r>
      <w:bookmarkEnd w:id="1"/>
      <w:r>
        <w:t xml:space="preserve"> </w:t>
      </w:r>
    </w:p>
    <w:p w:rsidR="00D518FB" w:rsidRPr="000718EC" w:rsidRDefault="00D518FB" w:rsidP="00D518FB">
      <w:pPr>
        <w:pStyle w:val="CM3"/>
        <w:jc w:val="both"/>
        <w:rPr>
          <w:rFonts w:cs="Calibri"/>
          <w:color w:val="000000"/>
        </w:rPr>
      </w:pPr>
      <w:r w:rsidRPr="000718EC">
        <w:rPr>
          <w:rFonts w:cs="Calibri"/>
          <w:b/>
          <w:bCs/>
          <w:color w:val="000000"/>
        </w:rPr>
        <w:t xml:space="preserve">Purpose </w:t>
      </w:r>
    </w:p>
    <w:p w:rsidR="00D518FB" w:rsidRPr="000718EC" w:rsidRDefault="00D518FB" w:rsidP="00D518FB">
      <w:pPr>
        <w:pStyle w:val="CM43"/>
        <w:spacing w:after="275" w:line="268" w:lineRule="atLeast"/>
        <w:jc w:val="both"/>
        <w:rPr>
          <w:rFonts w:cs="Calibri"/>
          <w:color w:val="000000"/>
        </w:rPr>
      </w:pPr>
      <w:r w:rsidRPr="000718EC">
        <w:rPr>
          <w:rFonts w:cs="Calibri"/>
          <w:color w:val="000000"/>
        </w:rPr>
        <w:t xml:space="preserve">This report summarises the results of the Department of Internal Affairs’ (the Department) 2014 </w:t>
      </w:r>
      <w:r w:rsidR="00F35920">
        <w:rPr>
          <w:rFonts w:cs="Calibri"/>
          <w:color w:val="000000"/>
        </w:rPr>
        <w:t>s</w:t>
      </w:r>
      <w:r w:rsidR="00F35920" w:rsidRPr="000718EC">
        <w:rPr>
          <w:rFonts w:cs="Calibri"/>
          <w:color w:val="000000"/>
        </w:rPr>
        <w:t xml:space="preserve">urvey </w:t>
      </w:r>
      <w:r w:rsidRPr="000718EC">
        <w:rPr>
          <w:rFonts w:cs="Calibri"/>
          <w:color w:val="000000"/>
        </w:rPr>
        <w:t xml:space="preserve">of </w:t>
      </w:r>
      <w:r w:rsidR="00F35920">
        <w:rPr>
          <w:rFonts w:cs="Calibri"/>
          <w:color w:val="000000"/>
        </w:rPr>
        <w:t>its</w:t>
      </w:r>
      <w:r w:rsidRPr="000718EC">
        <w:rPr>
          <w:rFonts w:cs="Calibri"/>
          <w:color w:val="000000"/>
        </w:rPr>
        <w:t xml:space="preserve"> reporting entities under the Anti-Money Laundering &amp; Countering the Financing of Terrorism Act 2009 (AML/CFT</w:t>
      </w:r>
      <w:r w:rsidR="001A6170">
        <w:rPr>
          <w:rFonts w:cs="Calibri"/>
          <w:color w:val="000000"/>
        </w:rPr>
        <w:t xml:space="preserve"> Act</w:t>
      </w:r>
      <w:r w:rsidRPr="000718EC">
        <w:rPr>
          <w:rFonts w:cs="Calibri"/>
          <w:color w:val="000000"/>
        </w:rPr>
        <w:t xml:space="preserve">) and explains the methodology behind the survey. </w:t>
      </w:r>
    </w:p>
    <w:p w:rsidR="00D518FB" w:rsidRPr="000718EC" w:rsidRDefault="00F35920" w:rsidP="00D518FB">
      <w:pPr>
        <w:pStyle w:val="CM43"/>
        <w:spacing w:after="275" w:line="268" w:lineRule="atLeast"/>
        <w:jc w:val="both"/>
        <w:rPr>
          <w:rFonts w:cs="Calibri"/>
          <w:color w:val="000000"/>
        </w:rPr>
      </w:pPr>
      <w:r>
        <w:rPr>
          <w:rFonts w:cs="Calibri"/>
          <w:color w:val="000000"/>
        </w:rPr>
        <w:t>T</w:t>
      </w:r>
      <w:r w:rsidR="00D518FB" w:rsidRPr="000718EC">
        <w:rPr>
          <w:rFonts w:cs="Calibri"/>
          <w:color w:val="000000"/>
        </w:rPr>
        <w:t xml:space="preserve">he Act </w:t>
      </w:r>
      <w:r>
        <w:rPr>
          <w:rFonts w:cs="Calibri"/>
          <w:color w:val="000000"/>
        </w:rPr>
        <w:t>took</w:t>
      </w:r>
      <w:r w:rsidR="00D518FB" w:rsidRPr="000718EC">
        <w:rPr>
          <w:rFonts w:cs="Calibri"/>
          <w:color w:val="000000"/>
        </w:rPr>
        <w:t xml:space="preserve"> effect </w:t>
      </w:r>
      <w:r>
        <w:rPr>
          <w:rFonts w:cs="Calibri"/>
          <w:color w:val="000000"/>
        </w:rPr>
        <w:t xml:space="preserve">in </w:t>
      </w:r>
      <w:r w:rsidR="00D518FB" w:rsidRPr="000718EC">
        <w:rPr>
          <w:rFonts w:cs="Calibri"/>
          <w:color w:val="000000"/>
        </w:rPr>
        <w:t>July 2013</w:t>
      </w:r>
      <w:r>
        <w:rPr>
          <w:rFonts w:cs="Calibri"/>
          <w:color w:val="000000"/>
        </w:rPr>
        <w:t xml:space="preserve"> and </w:t>
      </w:r>
      <w:r w:rsidR="00D518FB" w:rsidRPr="000718EC">
        <w:rPr>
          <w:rFonts w:cs="Calibri"/>
          <w:color w:val="000000"/>
        </w:rPr>
        <w:t xml:space="preserve">it </w:t>
      </w:r>
      <w:r>
        <w:rPr>
          <w:rFonts w:cs="Calibri"/>
          <w:color w:val="000000"/>
        </w:rPr>
        <w:t>was</w:t>
      </w:r>
      <w:r w:rsidRPr="000718EC">
        <w:rPr>
          <w:rFonts w:cs="Calibri"/>
          <w:color w:val="000000"/>
        </w:rPr>
        <w:t xml:space="preserve"> </w:t>
      </w:r>
      <w:r w:rsidR="00D518FB" w:rsidRPr="000718EC">
        <w:rPr>
          <w:rFonts w:cs="Calibri"/>
          <w:color w:val="000000"/>
        </w:rPr>
        <w:t xml:space="preserve">important to gauge the level of awareness across the sector </w:t>
      </w:r>
      <w:r>
        <w:rPr>
          <w:rFonts w:cs="Calibri"/>
          <w:color w:val="000000"/>
        </w:rPr>
        <w:t>over</w:t>
      </w:r>
      <w:r w:rsidR="00D518FB" w:rsidRPr="000718EC">
        <w:rPr>
          <w:rFonts w:cs="Calibri"/>
          <w:color w:val="000000"/>
        </w:rPr>
        <w:t xml:space="preserve"> various responsibilities </w:t>
      </w:r>
      <w:r w:rsidR="00711AFF">
        <w:rPr>
          <w:rFonts w:cs="Calibri"/>
          <w:color w:val="000000"/>
        </w:rPr>
        <w:t>concerning</w:t>
      </w:r>
      <w:r w:rsidR="00711AFF" w:rsidRPr="000718EC">
        <w:rPr>
          <w:rFonts w:cs="Calibri"/>
          <w:color w:val="000000"/>
        </w:rPr>
        <w:t xml:space="preserve"> </w:t>
      </w:r>
      <w:r w:rsidR="00D518FB" w:rsidRPr="000718EC">
        <w:rPr>
          <w:rFonts w:cs="Calibri"/>
          <w:color w:val="000000"/>
        </w:rPr>
        <w:t xml:space="preserve">risk assessments, AML/CFT programmes, </w:t>
      </w:r>
      <w:r>
        <w:rPr>
          <w:rFonts w:cs="Calibri"/>
          <w:color w:val="000000"/>
        </w:rPr>
        <w:t>a</w:t>
      </w:r>
      <w:r w:rsidRPr="000718EC">
        <w:rPr>
          <w:rFonts w:cs="Calibri"/>
          <w:color w:val="000000"/>
        </w:rPr>
        <w:t xml:space="preserve">nnual </w:t>
      </w:r>
      <w:r>
        <w:rPr>
          <w:rFonts w:cs="Calibri"/>
          <w:color w:val="000000"/>
        </w:rPr>
        <w:t>r</w:t>
      </w:r>
      <w:r w:rsidRPr="000718EC">
        <w:rPr>
          <w:rFonts w:cs="Calibri"/>
          <w:color w:val="000000"/>
        </w:rPr>
        <w:t>eporting</w:t>
      </w:r>
      <w:r w:rsidR="00D518FB" w:rsidRPr="000718EC">
        <w:rPr>
          <w:rFonts w:cs="Calibri"/>
          <w:color w:val="000000"/>
        </w:rPr>
        <w:t xml:space="preserve">, and suspicious transactions. The survey looked at the shift in awareness of the Act’s requirements from the reporting period of two years prior to the Act </w:t>
      </w:r>
      <w:r w:rsidR="00516665">
        <w:rPr>
          <w:rFonts w:cs="Calibri"/>
          <w:color w:val="000000"/>
        </w:rPr>
        <w:t>taking</w:t>
      </w:r>
      <w:r w:rsidR="00D518FB" w:rsidRPr="000718EC">
        <w:rPr>
          <w:rFonts w:cs="Calibri"/>
          <w:color w:val="000000"/>
        </w:rPr>
        <w:t xml:space="preserve"> effect, to 1 July 2013 and at the time of the survey in April 2014. This enabled us to see how awareness evolved from the initial educational phase up until the time of the survey.</w:t>
      </w:r>
    </w:p>
    <w:p w:rsidR="00D518FB" w:rsidRPr="000718EC" w:rsidRDefault="00D518FB" w:rsidP="00D518FB">
      <w:pPr>
        <w:pStyle w:val="CM43"/>
        <w:spacing w:after="275" w:line="268" w:lineRule="atLeast"/>
        <w:jc w:val="both"/>
      </w:pPr>
      <w:r w:rsidRPr="000718EC">
        <w:rPr>
          <w:rFonts w:cs="Calibri"/>
          <w:color w:val="000000"/>
        </w:rPr>
        <w:t xml:space="preserve">The survey also provided an opportunity to look at our communications to the sector to ensure that we are providing helpful and understandable information services to reporting entities as they learn their requirements. </w:t>
      </w:r>
    </w:p>
    <w:p w:rsidR="00D518FB" w:rsidRPr="000718EC" w:rsidRDefault="00D518FB" w:rsidP="00D518FB">
      <w:pPr>
        <w:pStyle w:val="Default"/>
        <w:rPr>
          <w:b/>
        </w:rPr>
      </w:pPr>
      <w:r w:rsidRPr="000718EC">
        <w:rPr>
          <w:b/>
        </w:rPr>
        <w:t>Key findings to emerge from the survey questions:</w:t>
      </w:r>
    </w:p>
    <w:p w:rsidR="00D518FB" w:rsidRPr="000718EC" w:rsidRDefault="00D518FB" w:rsidP="00D518FB">
      <w:pPr>
        <w:pStyle w:val="Default"/>
      </w:pPr>
      <w:r w:rsidRPr="000718EC">
        <w:t>Overall the survey demonstrated that respondents had, on the whole, a positive interaction with the Department and had increased their awareness of the AML/CFT requirements. The Department’s website was generally seen as fairly easy to use and helpful</w:t>
      </w:r>
      <w:r w:rsidR="00711AFF">
        <w:t>,</w:t>
      </w:r>
      <w:r w:rsidRPr="000718EC">
        <w:t xml:space="preserve"> with Department staff approachable and informative.</w:t>
      </w:r>
    </w:p>
    <w:p w:rsidR="00D518FB" w:rsidRPr="000718EC" w:rsidRDefault="00D518FB" w:rsidP="00D518FB">
      <w:pPr>
        <w:pStyle w:val="Default"/>
      </w:pPr>
    </w:p>
    <w:p w:rsidR="00D518FB" w:rsidRPr="000718EC" w:rsidRDefault="00D518FB" w:rsidP="00D518FB">
      <w:pPr>
        <w:pStyle w:val="CM45"/>
        <w:spacing w:line="268" w:lineRule="atLeast"/>
        <w:jc w:val="both"/>
        <w:rPr>
          <w:rFonts w:cs="Calibri"/>
          <w:color w:val="000000"/>
        </w:rPr>
      </w:pPr>
      <w:r w:rsidRPr="000718EC">
        <w:rPr>
          <w:rFonts w:cs="Calibri"/>
          <w:color w:val="000000"/>
        </w:rPr>
        <w:t xml:space="preserve">The majority of respondents </w:t>
      </w:r>
      <w:r w:rsidR="00DD2E00">
        <w:rPr>
          <w:rFonts w:cs="Calibri"/>
          <w:color w:val="000000"/>
        </w:rPr>
        <w:t xml:space="preserve">as of April 2014 </w:t>
      </w:r>
      <w:r w:rsidRPr="000718EC">
        <w:rPr>
          <w:rFonts w:cs="Calibri"/>
          <w:color w:val="000000"/>
        </w:rPr>
        <w:t xml:space="preserve">claim to have a ‘reasonable’ understanding of the requirements (by their own assessment) and their understanding has increased </w:t>
      </w:r>
      <w:r w:rsidR="00516665" w:rsidRPr="000718EC">
        <w:rPr>
          <w:rFonts w:cs="Calibri"/>
          <w:color w:val="000000"/>
        </w:rPr>
        <w:t xml:space="preserve">markedly </w:t>
      </w:r>
      <w:r w:rsidRPr="000718EC">
        <w:rPr>
          <w:rFonts w:cs="Calibri"/>
          <w:color w:val="000000"/>
        </w:rPr>
        <w:t>over the last two years. Two years ago annual reporting was, and still is, the biggest area of concern while across the sector risk assessments cause the least concern. It was interesting to note that nearly 40</w:t>
      </w:r>
      <w:r w:rsidR="00516665">
        <w:rPr>
          <w:rFonts w:cs="Calibri"/>
          <w:color w:val="000000"/>
        </w:rPr>
        <w:t xml:space="preserve"> per cent</w:t>
      </w:r>
      <w:r w:rsidR="00516665" w:rsidRPr="000718EC">
        <w:rPr>
          <w:rFonts w:cs="Calibri"/>
          <w:color w:val="000000"/>
        </w:rPr>
        <w:t xml:space="preserve"> </w:t>
      </w:r>
      <w:r w:rsidRPr="000718EC">
        <w:rPr>
          <w:rFonts w:cs="Calibri"/>
          <w:color w:val="000000"/>
        </w:rPr>
        <w:t>of respondents had hired consultants to help them establish systems and learn more about the Act and requirements.</w:t>
      </w:r>
    </w:p>
    <w:p w:rsidR="00D518FB" w:rsidRPr="000718EC" w:rsidRDefault="00D518FB" w:rsidP="00D518FB">
      <w:pPr>
        <w:pStyle w:val="Default"/>
      </w:pPr>
    </w:p>
    <w:p w:rsidR="00D518FB" w:rsidRPr="000718EC" w:rsidRDefault="00D518FB" w:rsidP="00D518FB">
      <w:pPr>
        <w:pStyle w:val="CM45"/>
        <w:spacing w:line="268" w:lineRule="atLeast"/>
        <w:jc w:val="both"/>
      </w:pPr>
      <w:r w:rsidRPr="000718EC">
        <w:t xml:space="preserve">The survey highlighted the perception that some of the AML/CFT information was too complex and needed to be easier to understand. </w:t>
      </w:r>
      <w:r w:rsidR="00516665" w:rsidRPr="00882BC1">
        <w:t xml:space="preserve">We </w:t>
      </w:r>
      <w:r w:rsidR="00D0731B">
        <w:t xml:space="preserve">have </w:t>
      </w:r>
      <w:r w:rsidR="00516665" w:rsidRPr="00882BC1">
        <w:t>identified ways to communicate information more</w:t>
      </w:r>
      <w:r w:rsidR="00882BC1" w:rsidRPr="00882BC1">
        <w:t xml:space="preserve"> clearly</w:t>
      </w:r>
      <w:r w:rsidR="00D0731B">
        <w:t>, particularly on our website,</w:t>
      </w:r>
      <w:r w:rsidR="00882BC1" w:rsidRPr="00882BC1">
        <w:t xml:space="preserve"> and </w:t>
      </w:r>
      <w:r w:rsidR="003841DF">
        <w:t>ways to improve</w:t>
      </w:r>
      <w:r w:rsidR="00882BC1" w:rsidRPr="00882BC1">
        <w:t xml:space="preserve"> our</w:t>
      </w:r>
      <w:r w:rsidR="00882BC1">
        <w:t xml:space="preserve"> </w:t>
      </w:r>
      <w:r w:rsidRPr="00882BC1">
        <w:t>annual report</w:t>
      </w:r>
      <w:r w:rsidR="00D0731B">
        <w:t xml:space="preserve"> template which we will implement in 2015</w:t>
      </w:r>
      <w:r w:rsidRPr="00882BC1">
        <w:t>.</w:t>
      </w:r>
      <w:r w:rsidRPr="000718EC">
        <w:t xml:space="preserve"> </w:t>
      </w:r>
    </w:p>
    <w:p w:rsidR="00D518FB" w:rsidRPr="000718EC" w:rsidRDefault="00D518FB" w:rsidP="00D518FB">
      <w:pPr>
        <w:pStyle w:val="Default"/>
      </w:pPr>
    </w:p>
    <w:p w:rsidR="00D518FB" w:rsidRPr="000718EC" w:rsidRDefault="00D518FB" w:rsidP="00D518FB">
      <w:pPr>
        <w:pStyle w:val="CM3"/>
        <w:jc w:val="both"/>
        <w:rPr>
          <w:rFonts w:cs="Calibri"/>
          <w:b/>
          <w:bCs/>
          <w:color w:val="000000"/>
        </w:rPr>
      </w:pPr>
      <w:r w:rsidRPr="000718EC">
        <w:rPr>
          <w:rFonts w:cs="Calibri"/>
          <w:b/>
          <w:bCs/>
          <w:color w:val="000000"/>
        </w:rPr>
        <w:t>Respondent Profile</w:t>
      </w:r>
    </w:p>
    <w:p w:rsidR="00D518FB" w:rsidRPr="000718EC" w:rsidRDefault="00D518FB" w:rsidP="00D518FB">
      <w:pPr>
        <w:pStyle w:val="CM45"/>
        <w:spacing w:line="268" w:lineRule="atLeast"/>
        <w:jc w:val="both"/>
      </w:pPr>
      <w:r w:rsidRPr="000718EC">
        <w:t>Of the 788 stakeholders invited to participate in the survey, 308 responded</w:t>
      </w:r>
      <w:r w:rsidR="005D5D6A">
        <w:t xml:space="preserve"> –</w:t>
      </w:r>
      <w:r w:rsidRPr="000718EC">
        <w:t xml:space="preserve"> a response rate of 39.09</w:t>
      </w:r>
      <w:r w:rsidR="005D5D6A">
        <w:t xml:space="preserve"> per cent</w:t>
      </w:r>
      <w:r w:rsidR="005D5D6A" w:rsidRPr="000718EC">
        <w:t xml:space="preserve">. </w:t>
      </w:r>
      <w:r w:rsidRPr="000718EC">
        <w:t>Most of the 308 respondents were based in Auckland (59.42</w:t>
      </w:r>
      <w:r w:rsidR="005D5D6A">
        <w:t xml:space="preserve"> per cent</w:t>
      </w:r>
      <w:r w:rsidR="005D5D6A" w:rsidRPr="000718EC">
        <w:t xml:space="preserve">) </w:t>
      </w:r>
      <w:r w:rsidRPr="000718EC">
        <w:t>followed by Canterbury (10.71</w:t>
      </w:r>
      <w:r w:rsidR="005D5D6A">
        <w:t xml:space="preserve"> per cent</w:t>
      </w:r>
      <w:r w:rsidR="005D5D6A" w:rsidRPr="000718EC">
        <w:t xml:space="preserve">) </w:t>
      </w:r>
      <w:r w:rsidRPr="000718EC">
        <w:t>and Wellington (6.82</w:t>
      </w:r>
      <w:r w:rsidR="005D5D6A">
        <w:t xml:space="preserve"> per cent</w:t>
      </w:r>
      <w:r w:rsidR="005D5D6A" w:rsidRPr="000718EC">
        <w:t xml:space="preserve">). </w:t>
      </w:r>
      <w:r w:rsidRPr="000718EC">
        <w:t>The three highest responding business sectors were non-bank and non-deposit taking lenders (34.72</w:t>
      </w:r>
      <w:r w:rsidR="005D5D6A">
        <w:t xml:space="preserve"> per cent</w:t>
      </w:r>
      <w:r w:rsidR="005D5D6A" w:rsidRPr="000718EC">
        <w:t xml:space="preserve">), </w:t>
      </w:r>
      <w:r w:rsidRPr="000718EC">
        <w:t>foreign exchanges (14.24</w:t>
      </w:r>
      <w:r w:rsidR="005D5D6A">
        <w:t xml:space="preserve"> per cent</w:t>
      </w:r>
      <w:r w:rsidR="005D5D6A" w:rsidRPr="000718EC">
        <w:t xml:space="preserve">) </w:t>
      </w:r>
      <w:r w:rsidRPr="000718EC">
        <w:t>and remitters (11.57</w:t>
      </w:r>
      <w:r w:rsidR="005D5D6A">
        <w:t xml:space="preserve"> per cent</w:t>
      </w:r>
      <w:r w:rsidR="005D5D6A" w:rsidRPr="000718EC">
        <w:t>).</w:t>
      </w:r>
      <w:r w:rsidR="005D5D6A" w:rsidRPr="000718EC">
        <w:rPr>
          <w:b/>
        </w:rPr>
        <w:t xml:space="preserve"> </w:t>
      </w:r>
      <w:r w:rsidRPr="000718EC">
        <w:t>The margin of error of the survey is ±4.36 with a 95</w:t>
      </w:r>
      <w:r w:rsidR="005D5D6A">
        <w:t xml:space="preserve"> per cent</w:t>
      </w:r>
      <w:r w:rsidR="005D5D6A" w:rsidRPr="000718EC">
        <w:t xml:space="preserve"> </w:t>
      </w:r>
      <w:r w:rsidRPr="000718EC">
        <w:t xml:space="preserve">confidence level. </w:t>
      </w:r>
    </w:p>
    <w:p w:rsidR="00D518FB" w:rsidRPr="000718EC" w:rsidRDefault="00D518FB" w:rsidP="00D518FB">
      <w:pPr>
        <w:pStyle w:val="Default"/>
      </w:pPr>
    </w:p>
    <w:p w:rsidR="00D518FB" w:rsidRPr="000718EC" w:rsidRDefault="00D518FB" w:rsidP="00D518FB">
      <w:pPr>
        <w:pStyle w:val="CM3"/>
        <w:jc w:val="both"/>
        <w:rPr>
          <w:rFonts w:cs="Calibri"/>
          <w:color w:val="000000"/>
        </w:rPr>
      </w:pPr>
      <w:r w:rsidRPr="000718EC">
        <w:rPr>
          <w:rFonts w:cs="Calibri"/>
          <w:b/>
          <w:bCs/>
          <w:color w:val="000000"/>
        </w:rPr>
        <w:t>Information Services – Department website</w:t>
      </w:r>
    </w:p>
    <w:p w:rsidR="00D518FB" w:rsidRPr="000718EC" w:rsidRDefault="00D518FB" w:rsidP="00D518FB">
      <w:pPr>
        <w:pStyle w:val="CM43"/>
        <w:spacing w:after="275" w:line="268" w:lineRule="atLeast"/>
        <w:jc w:val="both"/>
        <w:rPr>
          <w:rFonts w:cs="Calibri"/>
          <w:color w:val="000000"/>
        </w:rPr>
      </w:pPr>
      <w:r w:rsidRPr="000718EC">
        <w:rPr>
          <w:rFonts w:cs="Calibri"/>
          <w:color w:val="000000"/>
        </w:rPr>
        <w:t xml:space="preserve">The majority of respondents found information on the </w:t>
      </w:r>
      <w:r w:rsidRPr="000718EC">
        <w:t>Department’s</w:t>
      </w:r>
      <w:r w:rsidRPr="000718EC">
        <w:rPr>
          <w:rFonts w:cs="Calibri"/>
          <w:color w:val="000000"/>
        </w:rPr>
        <w:t xml:space="preserve"> website to be both easy to find and helpful to use with over 87</w:t>
      </w:r>
      <w:r w:rsidR="00767640">
        <w:rPr>
          <w:rFonts w:cs="Calibri"/>
          <w:color w:val="000000"/>
        </w:rPr>
        <w:t xml:space="preserve"> per cent</w:t>
      </w:r>
      <w:r w:rsidR="00767640" w:rsidRPr="000718EC">
        <w:rPr>
          <w:rFonts w:cs="Calibri"/>
          <w:color w:val="000000"/>
        </w:rPr>
        <w:t xml:space="preserve"> </w:t>
      </w:r>
      <w:r w:rsidRPr="000718EC">
        <w:rPr>
          <w:rFonts w:cs="Calibri"/>
          <w:color w:val="000000"/>
        </w:rPr>
        <w:t xml:space="preserve">of respondents having referred to the </w:t>
      </w:r>
      <w:r w:rsidRPr="000718EC">
        <w:rPr>
          <w:rFonts w:cs="Calibri"/>
          <w:color w:val="000000"/>
        </w:rPr>
        <w:lastRenderedPageBreak/>
        <w:t xml:space="preserve">website. </w:t>
      </w:r>
    </w:p>
    <w:p w:rsidR="00D518FB" w:rsidRPr="000718EC" w:rsidRDefault="00D518FB" w:rsidP="00D518FB">
      <w:pPr>
        <w:pStyle w:val="CM43"/>
        <w:spacing w:line="268" w:lineRule="atLeast"/>
        <w:jc w:val="both"/>
        <w:rPr>
          <w:rFonts w:cs="Calibri"/>
          <w:b/>
          <w:color w:val="000000"/>
        </w:rPr>
      </w:pPr>
      <w:r w:rsidRPr="000718EC">
        <w:rPr>
          <w:rFonts w:cs="Calibri"/>
          <w:b/>
          <w:color w:val="000000"/>
        </w:rPr>
        <w:t>Information Services – Contact with the Department</w:t>
      </w:r>
    </w:p>
    <w:p w:rsidR="00D518FB" w:rsidRPr="000718EC" w:rsidRDefault="00D518FB" w:rsidP="00D518FB">
      <w:pPr>
        <w:pStyle w:val="CM43"/>
        <w:spacing w:after="275" w:line="268" w:lineRule="atLeast"/>
        <w:jc w:val="both"/>
        <w:rPr>
          <w:rFonts w:cs="Calibri"/>
          <w:color w:val="000000"/>
        </w:rPr>
      </w:pPr>
      <w:r w:rsidRPr="000718EC">
        <w:rPr>
          <w:rFonts w:cs="Calibri"/>
          <w:color w:val="000000"/>
        </w:rPr>
        <w:t>Over 60</w:t>
      </w:r>
      <w:r w:rsidR="00767640">
        <w:rPr>
          <w:rFonts w:cs="Calibri"/>
          <w:color w:val="000000"/>
        </w:rPr>
        <w:t xml:space="preserve"> per cent</w:t>
      </w:r>
      <w:r w:rsidR="00767640" w:rsidRPr="000718EC">
        <w:rPr>
          <w:rFonts w:cs="Calibri"/>
          <w:color w:val="000000"/>
        </w:rPr>
        <w:t xml:space="preserve"> </w:t>
      </w:r>
      <w:r w:rsidRPr="000718EC">
        <w:rPr>
          <w:rFonts w:cs="Calibri"/>
          <w:color w:val="000000"/>
        </w:rPr>
        <w:t xml:space="preserve">of respondents had </w:t>
      </w:r>
      <w:r w:rsidR="00767640">
        <w:rPr>
          <w:rFonts w:cs="Calibri"/>
          <w:color w:val="000000"/>
        </w:rPr>
        <w:t>contacted the</w:t>
      </w:r>
      <w:r w:rsidRPr="000718EC">
        <w:rPr>
          <w:rFonts w:cs="Calibri"/>
          <w:color w:val="000000"/>
        </w:rPr>
        <w:t xml:space="preserve"> </w:t>
      </w:r>
      <w:r w:rsidRPr="000718EC">
        <w:t>Department</w:t>
      </w:r>
      <w:r w:rsidRPr="000718EC">
        <w:rPr>
          <w:rFonts w:cs="Calibri"/>
          <w:color w:val="000000"/>
        </w:rPr>
        <w:t xml:space="preserve"> </w:t>
      </w:r>
      <w:r w:rsidR="00767640">
        <w:rPr>
          <w:rFonts w:cs="Calibri"/>
          <w:color w:val="000000"/>
        </w:rPr>
        <w:t>about</w:t>
      </w:r>
      <w:r w:rsidR="00767640" w:rsidRPr="000718EC">
        <w:rPr>
          <w:rFonts w:cs="Calibri"/>
          <w:color w:val="000000"/>
        </w:rPr>
        <w:t xml:space="preserve"> </w:t>
      </w:r>
      <w:r w:rsidRPr="000718EC">
        <w:rPr>
          <w:rFonts w:cs="Calibri"/>
          <w:color w:val="000000"/>
        </w:rPr>
        <w:t xml:space="preserve">the Act with </w:t>
      </w:r>
      <w:r w:rsidR="00767640">
        <w:rPr>
          <w:rFonts w:cs="Calibri"/>
          <w:color w:val="000000"/>
        </w:rPr>
        <w:t>most being emailed</w:t>
      </w:r>
      <w:r w:rsidRPr="000718EC">
        <w:rPr>
          <w:rFonts w:cs="Calibri"/>
          <w:color w:val="000000"/>
        </w:rPr>
        <w:t xml:space="preserve"> information. </w:t>
      </w:r>
    </w:p>
    <w:p w:rsidR="00D518FB" w:rsidRPr="000718EC" w:rsidRDefault="00D518FB" w:rsidP="00D518FB">
      <w:pPr>
        <w:pStyle w:val="CM3"/>
        <w:jc w:val="both"/>
        <w:rPr>
          <w:rFonts w:cs="Calibri"/>
          <w:b/>
          <w:bCs/>
          <w:color w:val="000000"/>
        </w:rPr>
      </w:pPr>
      <w:r w:rsidRPr="000718EC">
        <w:rPr>
          <w:rFonts w:cs="Calibri"/>
          <w:b/>
          <w:bCs/>
          <w:color w:val="000000"/>
        </w:rPr>
        <w:t>Awareness of Responsibilities – Risk Assessment</w:t>
      </w:r>
    </w:p>
    <w:p w:rsidR="00D518FB" w:rsidRPr="000718EC" w:rsidRDefault="00D518FB" w:rsidP="00D518FB">
      <w:pPr>
        <w:pStyle w:val="CM43"/>
        <w:spacing w:after="275" w:line="268" w:lineRule="atLeast"/>
        <w:jc w:val="both"/>
        <w:rPr>
          <w:rFonts w:cs="Calibri"/>
          <w:color w:val="000000"/>
        </w:rPr>
      </w:pPr>
      <w:r w:rsidRPr="000718EC">
        <w:rPr>
          <w:rFonts w:cs="Calibri"/>
          <w:color w:val="000000"/>
        </w:rPr>
        <w:t xml:space="preserve">During the reporting period respondents </w:t>
      </w:r>
      <w:r w:rsidR="00767640">
        <w:rPr>
          <w:rFonts w:cs="Calibri"/>
          <w:color w:val="000000"/>
        </w:rPr>
        <w:t>went</w:t>
      </w:r>
      <w:r w:rsidRPr="000718EC">
        <w:rPr>
          <w:rFonts w:cs="Calibri"/>
          <w:color w:val="000000"/>
        </w:rPr>
        <w:t xml:space="preserve"> from a position of having ‘very little’ understanding of conducting risk assessments through to what they describe as a ‘reasonable’ understanding. </w:t>
      </w:r>
    </w:p>
    <w:p w:rsidR="00D518FB" w:rsidRPr="000718EC" w:rsidRDefault="00D518FB" w:rsidP="00D518FB">
      <w:pPr>
        <w:pStyle w:val="CM3"/>
        <w:jc w:val="both"/>
        <w:rPr>
          <w:rFonts w:cs="Calibri"/>
          <w:b/>
          <w:bCs/>
          <w:color w:val="000000"/>
        </w:rPr>
      </w:pPr>
      <w:r w:rsidRPr="000718EC">
        <w:rPr>
          <w:rFonts w:cs="Calibri"/>
          <w:b/>
          <w:bCs/>
          <w:color w:val="000000"/>
        </w:rPr>
        <w:t>Awareness of Responsibilities – AML/CFT Programme</w:t>
      </w:r>
    </w:p>
    <w:p w:rsidR="00D518FB" w:rsidRPr="000718EC" w:rsidRDefault="00D518FB" w:rsidP="00D518FB">
      <w:pPr>
        <w:pStyle w:val="CM43"/>
        <w:spacing w:after="275" w:line="268" w:lineRule="atLeast"/>
        <w:jc w:val="both"/>
        <w:rPr>
          <w:rFonts w:cs="Calibri"/>
          <w:color w:val="000000"/>
        </w:rPr>
      </w:pPr>
      <w:r w:rsidRPr="000718EC">
        <w:rPr>
          <w:rFonts w:cs="Calibri"/>
          <w:color w:val="000000"/>
        </w:rPr>
        <w:t>During the reporting period respondents moved from a position of having ‘very little’ underst</w:t>
      </w:r>
      <w:r w:rsidR="00041029">
        <w:rPr>
          <w:rFonts w:cs="Calibri"/>
          <w:color w:val="000000"/>
        </w:rPr>
        <w:t>anding</w:t>
      </w:r>
      <w:r w:rsidRPr="000718EC">
        <w:rPr>
          <w:rFonts w:cs="Calibri"/>
          <w:color w:val="000000"/>
        </w:rPr>
        <w:t xml:space="preserve"> of developing and reviewing an AML/CFT Programme through to what they describe as a ‘reasonable’ understanding. </w:t>
      </w:r>
    </w:p>
    <w:p w:rsidR="00D518FB" w:rsidRPr="000718EC" w:rsidRDefault="00D518FB" w:rsidP="00D518FB">
      <w:pPr>
        <w:pStyle w:val="CM3"/>
        <w:jc w:val="both"/>
        <w:rPr>
          <w:rFonts w:cs="Calibri"/>
          <w:b/>
          <w:bCs/>
          <w:color w:val="000000"/>
        </w:rPr>
      </w:pPr>
      <w:r w:rsidRPr="000718EC">
        <w:rPr>
          <w:rFonts w:cs="Calibri"/>
          <w:b/>
          <w:bCs/>
          <w:color w:val="000000"/>
        </w:rPr>
        <w:t>Awareness of Responsibilities – Annual Report</w:t>
      </w:r>
    </w:p>
    <w:p w:rsidR="00D518FB" w:rsidRPr="000718EC" w:rsidRDefault="00D518FB" w:rsidP="00D518FB">
      <w:pPr>
        <w:pStyle w:val="CM43"/>
        <w:spacing w:after="275" w:line="268" w:lineRule="atLeast"/>
        <w:jc w:val="both"/>
        <w:rPr>
          <w:rFonts w:cs="Calibri"/>
          <w:color w:val="000000"/>
        </w:rPr>
      </w:pPr>
      <w:r w:rsidRPr="000718EC">
        <w:rPr>
          <w:rFonts w:cs="Calibri"/>
          <w:color w:val="000000"/>
        </w:rPr>
        <w:t xml:space="preserve">During the reporting period respondents </w:t>
      </w:r>
      <w:r w:rsidR="00767640">
        <w:rPr>
          <w:rFonts w:cs="Calibri"/>
          <w:color w:val="000000"/>
        </w:rPr>
        <w:t>went</w:t>
      </w:r>
      <w:r w:rsidRPr="000718EC">
        <w:rPr>
          <w:rFonts w:cs="Calibri"/>
          <w:color w:val="000000"/>
        </w:rPr>
        <w:t xml:space="preserve"> from having almost ‘no understanding’ of annual report requirements through to what they describe as ‘some’ understanding. </w:t>
      </w:r>
      <w:r w:rsidRPr="000718EC">
        <w:t xml:space="preserve">This is the area where respondents reported most concern. </w:t>
      </w:r>
      <w:r w:rsidR="00767640">
        <w:t>Most</w:t>
      </w:r>
      <w:r w:rsidRPr="000718EC">
        <w:t xml:space="preserve"> respondents wanted to withhold comment until they had completed the </w:t>
      </w:r>
      <w:r w:rsidR="001A6170">
        <w:t xml:space="preserve">annual </w:t>
      </w:r>
      <w:r w:rsidRPr="000718EC">
        <w:t>report process for the first time.</w:t>
      </w:r>
    </w:p>
    <w:p w:rsidR="00D518FB" w:rsidRPr="000718EC" w:rsidRDefault="00D518FB" w:rsidP="00D518FB">
      <w:pPr>
        <w:pStyle w:val="CM3"/>
        <w:jc w:val="both"/>
        <w:rPr>
          <w:rFonts w:cs="Calibri"/>
          <w:b/>
          <w:bCs/>
          <w:color w:val="000000"/>
        </w:rPr>
      </w:pPr>
      <w:r w:rsidRPr="000718EC">
        <w:rPr>
          <w:rFonts w:cs="Calibri"/>
          <w:b/>
          <w:bCs/>
          <w:color w:val="000000"/>
        </w:rPr>
        <w:t>Awareness of Responsibilities – Suspicious Transaction Reports (STR)</w:t>
      </w:r>
    </w:p>
    <w:p w:rsidR="00D518FB" w:rsidRPr="000718EC" w:rsidRDefault="00D518FB" w:rsidP="00D518FB">
      <w:pPr>
        <w:pStyle w:val="CM43"/>
        <w:spacing w:after="275" w:line="268" w:lineRule="atLeast"/>
        <w:jc w:val="both"/>
        <w:rPr>
          <w:rFonts w:cs="Calibri"/>
          <w:color w:val="000000"/>
        </w:rPr>
      </w:pPr>
      <w:r w:rsidRPr="000718EC">
        <w:rPr>
          <w:rFonts w:cs="Calibri"/>
          <w:color w:val="000000"/>
        </w:rPr>
        <w:t xml:space="preserve">During the reporting period respondents </w:t>
      </w:r>
      <w:r w:rsidR="00767640">
        <w:rPr>
          <w:rFonts w:cs="Calibri"/>
          <w:color w:val="000000"/>
        </w:rPr>
        <w:t>went</w:t>
      </w:r>
      <w:r w:rsidRPr="000718EC">
        <w:rPr>
          <w:rFonts w:cs="Calibri"/>
          <w:color w:val="000000"/>
        </w:rPr>
        <w:t xml:space="preserve"> from a position of having ‘very little’ understanding of submitting suspicious transactions through to what they describe as having ‘some’ understanding. </w:t>
      </w:r>
    </w:p>
    <w:p w:rsidR="00D518FB" w:rsidRPr="000718EC" w:rsidRDefault="00D518FB" w:rsidP="00D518FB">
      <w:pPr>
        <w:pStyle w:val="Default"/>
        <w:rPr>
          <w:b/>
        </w:rPr>
      </w:pPr>
      <w:r w:rsidRPr="000718EC">
        <w:rPr>
          <w:b/>
        </w:rPr>
        <w:t>Key themes to emerge from the free text/comments questions in the survey:</w:t>
      </w:r>
    </w:p>
    <w:p w:rsidR="00D518FB" w:rsidRPr="000718EC" w:rsidRDefault="00D518FB" w:rsidP="00D518FB">
      <w:pPr>
        <w:pStyle w:val="Default"/>
        <w:rPr>
          <w:b/>
        </w:rPr>
      </w:pPr>
    </w:p>
    <w:p w:rsidR="00D518FB" w:rsidRPr="000718EC" w:rsidRDefault="00D518FB" w:rsidP="00D518FB">
      <w:pPr>
        <w:pStyle w:val="Default"/>
      </w:pPr>
      <w:r w:rsidRPr="000718EC">
        <w:rPr>
          <w:b/>
        </w:rPr>
        <w:t xml:space="preserve">Ease of website – </w:t>
      </w:r>
      <w:r w:rsidRPr="000718EC">
        <w:t>This topic produced a range of responses from ‘very informative and helpful’ to ‘not overly user friendly.’ However, the majority of comments were positive.</w:t>
      </w:r>
    </w:p>
    <w:p w:rsidR="00D518FB" w:rsidRPr="000718EC" w:rsidRDefault="00D518FB" w:rsidP="00D518FB">
      <w:pPr>
        <w:pStyle w:val="Default"/>
      </w:pPr>
    </w:p>
    <w:p w:rsidR="00D518FB" w:rsidRPr="000718EC" w:rsidRDefault="00D518FB" w:rsidP="00D518FB">
      <w:pPr>
        <w:pStyle w:val="Default"/>
      </w:pPr>
      <w:r w:rsidRPr="000718EC">
        <w:rPr>
          <w:b/>
        </w:rPr>
        <w:t xml:space="preserve">Usefulness of information on the website - </w:t>
      </w:r>
      <w:r w:rsidRPr="000718EC">
        <w:t>The majority of comments were positive but with a significant portion requesting a more straightforward and simple approach to providing AML/CFT information.</w:t>
      </w:r>
    </w:p>
    <w:p w:rsidR="00D518FB" w:rsidRPr="000718EC" w:rsidRDefault="00D518FB" w:rsidP="00D518FB">
      <w:pPr>
        <w:pStyle w:val="Default"/>
      </w:pPr>
    </w:p>
    <w:p w:rsidR="00D518FB" w:rsidRPr="000718EC" w:rsidRDefault="00D518FB" w:rsidP="00D518FB">
      <w:pPr>
        <w:pStyle w:val="Default"/>
      </w:pPr>
      <w:r w:rsidRPr="000718EC">
        <w:rPr>
          <w:b/>
        </w:rPr>
        <w:t xml:space="preserve">Conducting a risk assessment – </w:t>
      </w:r>
      <w:r w:rsidRPr="000718EC">
        <w:t xml:space="preserve">Many respondents considered themselves at a very low risk of money laundering or terrorist financing and saw the obligation to carry out a risk assessment as something of a burden and a disproportionate compliance cost. Requests for a risk assessment template and simple guidelines for carrying out </w:t>
      </w:r>
      <w:r w:rsidR="001A6170">
        <w:t xml:space="preserve">a </w:t>
      </w:r>
      <w:r w:rsidRPr="000718EC">
        <w:t>risk assessment were also present.</w:t>
      </w:r>
    </w:p>
    <w:p w:rsidR="00D518FB" w:rsidRPr="000718EC" w:rsidRDefault="00D518FB" w:rsidP="00D518FB">
      <w:pPr>
        <w:pStyle w:val="Default"/>
      </w:pPr>
    </w:p>
    <w:p w:rsidR="00D518FB" w:rsidRPr="000718EC" w:rsidRDefault="00D518FB" w:rsidP="00D518FB">
      <w:pPr>
        <w:pStyle w:val="Default"/>
      </w:pPr>
      <w:r w:rsidRPr="000718EC">
        <w:rPr>
          <w:b/>
        </w:rPr>
        <w:t xml:space="preserve">Developing and reviewing AML/CFT programme – </w:t>
      </w:r>
      <w:r w:rsidRPr="000718EC">
        <w:t>Responses to this section tended to demonstrate a growing understanding of the AML/CFT environment and the need to comply with the Act and its Regulations. Requests were again present for a template and guidelines to aid in the production of an AML/CFT Programme.</w:t>
      </w:r>
    </w:p>
    <w:p w:rsidR="00D518FB" w:rsidRPr="000718EC" w:rsidRDefault="00D518FB" w:rsidP="00D518FB">
      <w:pPr>
        <w:pStyle w:val="Default"/>
      </w:pPr>
    </w:p>
    <w:p w:rsidR="00D518FB" w:rsidRPr="000718EC" w:rsidRDefault="00D518FB" w:rsidP="00D518FB">
      <w:pPr>
        <w:pStyle w:val="Default"/>
      </w:pPr>
      <w:r w:rsidRPr="000718EC">
        <w:rPr>
          <w:b/>
        </w:rPr>
        <w:t xml:space="preserve">Information required for the annual report – </w:t>
      </w:r>
      <w:r w:rsidRPr="000718EC">
        <w:t>As with the previous question</w:t>
      </w:r>
      <w:r w:rsidR="001E348A">
        <w:t>,</w:t>
      </w:r>
      <w:r w:rsidRPr="000718EC">
        <w:t xml:space="preserve"> responses </w:t>
      </w:r>
      <w:r w:rsidRPr="000718EC">
        <w:lastRenderedPageBreak/>
        <w:t>tended to demonstrate a growing understanding of the annual report requirements and the need to comply. However, requests were made for clear and simple guidelines/templates to aid in the production of an AML/CFT annual report.</w:t>
      </w:r>
    </w:p>
    <w:p w:rsidR="00D518FB" w:rsidRPr="000718EC" w:rsidRDefault="00D518FB" w:rsidP="00D518FB">
      <w:pPr>
        <w:pStyle w:val="Default"/>
      </w:pPr>
    </w:p>
    <w:p w:rsidR="00D518FB" w:rsidRPr="000718EC" w:rsidRDefault="00D518FB" w:rsidP="00D518FB">
      <w:pPr>
        <w:pStyle w:val="Default"/>
      </w:pPr>
      <w:r w:rsidRPr="000718EC">
        <w:rPr>
          <w:b/>
        </w:rPr>
        <w:t xml:space="preserve">Submission of STRs – </w:t>
      </w:r>
      <w:r w:rsidRPr="000718EC">
        <w:t>Given the generally self-reported</w:t>
      </w:r>
      <w:r w:rsidR="001E348A">
        <w:t>,</w:t>
      </w:r>
      <w:r w:rsidRPr="000718EC">
        <w:t xml:space="preserve"> low</w:t>
      </w:r>
      <w:r w:rsidR="001E348A">
        <w:t>-</w:t>
      </w:r>
      <w:r w:rsidRPr="000718EC">
        <w:t>risk nature of the respondents there were limited comments on this topic. However, a common theme was the perceived ‘unfriendly’ nature of the Financial Intelligence Unit</w:t>
      </w:r>
      <w:r w:rsidR="001A6170">
        <w:t>’</w:t>
      </w:r>
      <w:r w:rsidRPr="000718EC">
        <w:t>s (FIU) goAML reporting system used to submit STRs.</w:t>
      </w:r>
    </w:p>
    <w:p w:rsidR="00D518FB" w:rsidRPr="000718EC" w:rsidRDefault="00D518FB" w:rsidP="00D518FB">
      <w:pPr>
        <w:pStyle w:val="Default"/>
      </w:pPr>
    </w:p>
    <w:p w:rsidR="00D518FB" w:rsidRPr="000718EC" w:rsidRDefault="00D518FB" w:rsidP="00D518FB">
      <w:pPr>
        <w:pStyle w:val="Default"/>
        <w:rPr>
          <w:b/>
        </w:rPr>
      </w:pPr>
      <w:r w:rsidRPr="000718EC">
        <w:rPr>
          <w:b/>
        </w:rPr>
        <w:t xml:space="preserve">Any other comments on AML/CFT requirements – </w:t>
      </w:r>
      <w:r w:rsidRPr="000718EC">
        <w:t>Comments indicate that while general AML/CFT awareness has grown</w:t>
      </w:r>
      <w:r w:rsidR="001E348A">
        <w:t>,</w:t>
      </w:r>
      <w:r w:rsidRPr="000718EC">
        <w:t xml:space="preserve"> compliance is seen as an ‘onerous’, ‘overwhelming’ and ‘frustrating’ burden. Other comments request further training, seminars and roadshows to assist reporting entities in meeting their obligations.</w:t>
      </w:r>
    </w:p>
    <w:p w:rsidR="00D518FB" w:rsidRPr="00002647" w:rsidRDefault="00D518FB" w:rsidP="00D518FB">
      <w:pPr>
        <w:pStyle w:val="CM43"/>
        <w:spacing w:after="275" w:line="268" w:lineRule="atLeast"/>
        <w:jc w:val="both"/>
        <w:rPr>
          <w:rFonts w:cs="Calibri"/>
          <w:color w:val="000000"/>
          <w:sz w:val="22"/>
          <w:szCs w:val="22"/>
        </w:rPr>
      </w:pPr>
    </w:p>
    <w:p w:rsidR="001B3CE3" w:rsidRDefault="001B3CE3" w:rsidP="00536829">
      <w:pPr>
        <w:pStyle w:val="Heading2"/>
      </w:pPr>
      <w:bookmarkStart w:id="2" w:name="_Toc417549684"/>
    </w:p>
    <w:p w:rsidR="00D518FB" w:rsidRDefault="00D518FB" w:rsidP="00536829">
      <w:pPr>
        <w:pStyle w:val="Heading2"/>
      </w:pPr>
      <w:r>
        <w:t>Introduction</w:t>
      </w:r>
      <w:bookmarkEnd w:id="2"/>
      <w:r>
        <w:t xml:space="preserve"> </w:t>
      </w:r>
    </w:p>
    <w:p w:rsidR="00D518FB" w:rsidRPr="000718EC" w:rsidRDefault="00D518FB" w:rsidP="00D518FB">
      <w:pPr>
        <w:pStyle w:val="Default"/>
      </w:pPr>
      <w:r w:rsidRPr="000718EC">
        <w:rPr>
          <w:b/>
          <w:bCs/>
        </w:rPr>
        <w:t xml:space="preserve">Survey Purpose </w:t>
      </w:r>
    </w:p>
    <w:p w:rsidR="00D518FB" w:rsidRPr="000718EC" w:rsidRDefault="00D518FB" w:rsidP="00D518FB">
      <w:pPr>
        <w:pStyle w:val="CM43"/>
        <w:spacing w:after="275" w:line="268" w:lineRule="atLeast"/>
        <w:ind w:right="140"/>
        <w:rPr>
          <w:rFonts w:cs="Calibri"/>
          <w:color w:val="000000"/>
        </w:rPr>
      </w:pPr>
      <w:r w:rsidRPr="000718EC">
        <w:rPr>
          <w:rFonts w:cs="Calibri"/>
          <w:color w:val="000000"/>
        </w:rPr>
        <w:t xml:space="preserve">The Department is responsible for supervising casinos, non-deposit taking lenders, money changers, money remitters, payroll remitters, debt collectors, factors, financial </w:t>
      </w:r>
      <w:r w:rsidR="00C70FA2" w:rsidRPr="000718EC">
        <w:rPr>
          <w:rFonts w:cs="Calibri"/>
          <w:color w:val="000000"/>
        </w:rPr>
        <w:t>le</w:t>
      </w:r>
      <w:r w:rsidR="003A1A41">
        <w:rPr>
          <w:rFonts w:cs="Calibri"/>
          <w:color w:val="000000"/>
        </w:rPr>
        <w:t>a</w:t>
      </w:r>
      <w:r w:rsidR="00C70FA2" w:rsidRPr="000718EC">
        <w:rPr>
          <w:rFonts w:cs="Calibri"/>
          <w:color w:val="000000"/>
        </w:rPr>
        <w:t>sors</w:t>
      </w:r>
      <w:r w:rsidRPr="000718EC">
        <w:rPr>
          <w:rFonts w:cs="Calibri"/>
          <w:color w:val="000000"/>
        </w:rPr>
        <w:t>, safe deposit box vaults, non-bank credit card providers, stored value card providers</w:t>
      </w:r>
      <w:r w:rsidR="001A6170">
        <w:rPr>
          <w:rFonts w:cs="Calibri"/>
          <w:color w:val="000000"/>
        </w:rPr>
        <w:t>,</w:t>
      </w:r>
      <w:r w:rsidR="00627FCE">
        <w:rPr>
          <w:rFonts w:cs="Calibri"/>
          <w:color w:val="000000"/>
        </w:rPr>
        <w:t xml:space="preserve"> </w:t>
      </w:r>
      <w:r w:rsidRPr="000718EC">
        <w:rPr>
          <w:rFonts w:cs="Calibri"/>
          <w:color w:val="000000"/>
        </w:rPr>
        <w:t>cash transporters</w:t>
      </w:r>
      <w:r w:rsidR="001A6170">
        <w:rPr>
          <w:rFonts w:cs="Calibri"/>
          <w:color w:val="000000"/>
        </w:rPr>
        <w:t xml:space="preserve">, </w:t>
      </w:r>
      <w:r w:rsidR="00095AED">
        <w:rPr>
          <w:rFonts w:cs="Calibri"/>
          <w:color w:val="000000"/>
        </w:rPr>
        <w:t xml:space="preserve">payment providers, </w:t>
      </w:r>
      <w:r w:rsidR="001A6170">
        <w:rPr>
          <w:rFonts w:cs="Calibri"/>
          <w:color w:val="000000"/>
        </w:rPr>
        <w:t>tax poolers and trust and company service providers</w:t>
      </w:r>
      <w:r w:rsidRPr="000718EC">
        <w:rPr>
          <w:rFonts w:cs="Calibri"/>
          <w:color w:val="000000"/>
        </w:rPr>
        <w:t xml:space="preserve"> to ensure compliance under the AML/CFT Act. </w:t>
      </w:r>
    </w:p>
    <w:p w:rsidR="00D518FB" w:rsidRDefault="00D518FB" w:rsidP="00D518FB">
      <w:pPr>
        <w:pStyle w:val="CM43"/>
        <w:spacing w:after="275" w:line="271" w:lineRule="atLeast"/>
        <w:rPr>
          <w:rFonts w:cs="Calibri"/>
          <w:color w:val="000000"/>
        </w:rPr>
      </w:pPr>
      <w:r w:rsidRPr="000718EC">
        <w:t>The Department</w:t>
      </w:r>
      <w:r w:rsidRPr="000718EC">
        <w:rPr>
          <w:rFonts w:cs="Calibri"/>
          <w:color w:val="000000"/>
        </w:rPr>
        <w:t xml:space="preserve"> is interested in understanding stakeholder views on their experience </w:t>
      </w:r>
      <w:r w:rsidR="0028475E">
        <w:rPr>
          <w:rFonts w:cs="Calibri"/>
          <w:color w:val="000000"/>
        </w:rPr>
        <w:t xml:space="preserve">in </w:t>
      </w:r>
      <w:r w:rsidRPr="000718EC">
        <w:rPr>
          <w:rFonts w:cs="Calibri"/>
          <w:color w:val="000000"/>
        </w:rPr>
        <w:t xml:space="preserve">engaging and communicating with the </w:t>
      </w:r>
      <w:r w:rsidRPr="000718EC">
        <w:t>Department</w:t>
      </w:r>
      <w:r w:rsidRPr="000718EC">
        <w:rPr>
          <w:rFonts w:cs="Calibri"/>
          <w:color w:val="000000"/>
        </w:rPr>
        <w:t xml:space="preserve"> as well as determining the level of understanding within the sector around requirements. As this is the first survey of the AML/CFT sector it was designed to create a baseline upon which subsequent surveys can be measured. </w:t>
      </w:r>
    </w:p>
    <w:p w:rsidR="0051074F" w:rsidRDefault="0051074F" w:rsidP="0051074F">
      <w:pPr>
        <w:pStyle w:val="Default"/>
      </w:pPr>
      <w:r>
        <w:t xml:space="preserve">A support document accompanies this document which contains Appendix A </w:t>
      </w:r>
      <w:r w:rsidR="002C3FCB">
        <w:t>(</w:t>
      </w:r>
      <w:r w:rsidR="001A6170">
        <w:t>t</w:t>
      </w:r>
      <w:r w:rsidR="002C3FCB">
        <w:t xml:space="preserve">ables) </w:t>
      </w:r>
      <w:r>
        <w:t xml:space="preserve">and Appendix B </w:t>
      </w:r>
      <w:r w:rsidR="002C3FCB">
        <w:t xml:space="preserve">(survey </w:t>
      </w:r>
      <w:r>
        <w:t>data</w:t>
      </w:r>
      <w:r w:rsidR="002C3FCB">
        <w:t>)</w:t>
      </w:r>
      <w:r>
        <w:t>.</w:t>
      </w:r>
    </w:p>
    <w:p w:rsidR="0051074F" w:rsidRPr="0051074F" w:rsidRDefault="0051074F" w:rsidP="0051074F">
      <w:pPr>
        <w:pStyle w:val="Default"/>
      </w:pPr>
    </w:p>
    <w:p w:rsidR="00D518FB" w:rsidRPr="000718EC" w:rsidRDefault="00D518FB" w:rsidP="00D518FB">
      <w:pPr>
        <w:pStyle w:val="Default"/>
      </w:pPr>
      <w:r w:rsidRPr="000718EC">
        <w:rPr>
          <w:b/>
          <w:bCs/>
        </w:rPr>
        <w:t xml:space="preserve">Survey constraints </w:t>
      </w:r>
    </w:p>
    <w:p w:rsidR="00D518FB" w:rsidRPr="000718EC" w:rsidRDefault="00D518FB" w:rsidP="00D518FB">
      <w:pPr>
        <w:pStyle w:val="CM43"/>
        <w:spacing w:after="275" w:line="271" w:lineRule="atLeast"/>
        <w:rPr>
          <w:rFonts w:cs="Calibri"/>
          <w:color w:val="000000"/>
        </w:rPr>
      </w:pPr>
      <w:r w:rsidRPr="000718EC">
        <w:rPr>
          <w:rFonts w:cs="Calibri"/>
          <w:color w:val="000000"/>
        </w:rPr>
        <w:t xml:space="preserve">This is the first year that there has been a survey of reporting entities under the Act and as such there are no comparisons from previous years. </w:t>
      </w:r>
    </w:p>
    <w:p w:rsidR="00D518FB" w:rsidRPr="000718EC" w:rsidRDefault="00D518FB" w:rsidP="00D518FB">
      <w:pPr>
        <w:pStyle w:val="CM6"/>
        <w:spacing w:after="8302"/>
        <w:rPr>
          <w:rFonts w:cs="Calibri"/>
          <w:color w:val="000000"/>
        </w:rPr>
      </w:pPr>
      <w:r w:rsidRPr="000718EC">
        <w:rPr>
          <w:rFonts w:cs="Calibri"/>
          <w:color w:val="000000"/>
        </w:rPr>
        <w:t>Given that respondents had not yet had a chance to apply some of the requirements under the Act (</w:t>
      </w:r>
      <w:r w:rsidR="001A6170">
        <w:rPr>
          <w:rFonts w:cs="Calibri"/>
          <w:color w:val="000000"/>
        </w:rPr>
        <w:t>a</w:t>
      </w:r>
      <w:r w:rsidRPr="000718EC">
        <w:rPr>
          <w:rFonts w:cs="Calibri"/>
          <w:color w:val="000000"/>
        </w:rPr>
        <w:t xml:space="preserve">nnual </w:t>
      </w:r>
      <w:r w:rsidR="001A6170">
        <w:rPr>
          <w:rFonts w:cs="Calibri"/>
          <w:color w:val="000000"/>
        </w:rPr>
        <w:t>r</w:t>
      </w:r>
      <w:r w:rsidRPr="000718EC">
        <w:rPr>
          <w:rFonts w:cs="Calibri"/>
          <w:color w:val="000000"/>
        </w:rPr>
        <w:t>eport, etc.) many were not willing to answer questions around their understanding, preferring to wait until they had submitted information to gauge how easy the process was.</w:t>
      </w:r>
    </w:p>
    <w:p w:rsidR="00D518FB" w:rsidRDefault="00D518FB" w:rsidP="00536829">
      <w:pPr>
        <w:pStyle w:val="Heading2"/>
      </w:pPr>
      <w:bookmarkStart w:id="3" w:name="_Toc417549685"/>
      <w:r>
        <w:lastRenderedPageBreak/>
        <w:t>Methodology</w:t>
      </w:r>
      <w:bookmarkEnd w:id="3"/>
      <w:r>
        <w:t xml:space="preserve"> </w:t>
      </w:r>
    </w:p>
    <w:p w:rsidR="00D518FB" w:rsidRPr="000718EC" w:rsidRDefault="00D518FB" w:rsidP="00D518FB">
      <w:pPr>
        <w:pStyle w:val="CM3"/>
        <w:jc w:val="both"/>
        <w:rPr>
          <w:rFonts w:cs="Calibri"/>
          <w:color w:val="000000"/>
        </w:rPr>
      </w:pPr>
      <w:r w:rsidRPr="000718EC">
        <w:rPr>
          <w:rFonts w:cs="Calibri"/>
          <w:b/>
          <w:bCs/>
          <w:color w:val="000000"/>
        </w:rPr>
        <w:t xml:space="preserve">Approach </w:t>
      </w:r>
    </w:p>
    <w:p w:rsidR="00D518FB" w:rsidRPr="000718EC" w:rsidRDefault="00D518FB" w:rsidP="00D518FB">
      <w:pPr>
        <w:pStyle w:val="CM43"/>
        <w:spacing w:after="275" w:line="268" w:lineRule="atLeast"/>
        <w:jc w:val="both"/>
        <w:rPr>
          <w:rFonts w:cs="Calibri"/>
          <w:color w:val="000000"/>
        </w:rPr>
      </w:pPr>
      <w:r w:rsidRPr="000718EC">
        <w:rPr>
          <w:rFonts w:cs="Calibri"/>
          <w:color w:val="000000"/>
        </w:rPr>
        <w:t xml:space="preserve">The survey was sent out electronically using a link to an online survey tool (Survey Monkey).  Invitations to participate in the survey were emailed to survey participants and two reminders were sent to optimise the survey response rate. </w:t>
      </w:r>
    </w:p>
    <w:p w:rsidR="00D518FB" w:rsidRPr="000718EC" w:rsidRDefault="00D518FB" w:rsidP="00D518FB">
      <w:pPr>
        <w:pStyle w:val="CM3"/>
        <w:jc w:val="both"/>
        <w:rPr>
          <w:rFonts w:cs="Calibri"/>
          <w:color w:val="000000"/>
        </w:rPr>
      </w:pPr>
      <w:r w:rsidRPr="000718EC">
        <w:rPr>
          <w:rFonts w:cs="Calibri"/>
          <w:b/>
          <w:bCs/>
          <w:color w:val="000000"/>
        </w:rPr>
        <w:t xml:space="preserve">Survey Sample </w:t>
      </w:r>
    </w:p>
    <w:p w:rsidR="00D518FB" w:rsidRPr="000718EC" w:rsidRDefault="00D518FB" w:rsidP="00D518FB">
      <w:pPr>
        <w:pStyle w:val="CM43"/>
        <w:spacing w:after="275" w:line="268" w:lineRule="atLeast"/>
        <w:jc w:val="both"/>
        <w:rPr>
          <w:rFonts w:cs="Calibri"/>
          <w:color w:val="000000"/>
        </w:rPr>
      </w:pPr>
      <w:r w:rsidRPr="000718EC">
        <w:rPr>
          <w:rFonts w:cs="Calibri"/>
          <w:color w:val="000000"/>
        </w:rPr>
        <w:t xml:space="preserve">The reporting entities surveyed were: </w:t>
      </w:r>
    </w:p>
    <w:p w:rsidR="00D518FB" w:rsidRPr="000718EC" w:rsidRDefault="00D518FB" w:rsidP="00D518FB">
      <w:pPr>
        <w:pStyle w:val="Default"/>
        <w:numPr>
          <w:ilvl w:val="0"/>
          <w:numId w:val="37"/>
        </w:numPr>
      </w:pPr>
      <w:r w:rsidRPr="000718EC">
        <w:t xml:space="preserve">Cash Transport </w:t>
      </w:r>
    </w:p>
    <w:p w:rsidR="00D518FB" w:rsidRPr="000718EC" w:rsidRDefault="00D518FB" w:rsidP="00D518FB">
      <w:pPr>
        <w:pStyle w:val="Default"/>
        <w:numPr>
          <w:ilvl w:val="0"/>
          <w:numId w:val="37"/>
        </w:numPr>
      </w:pPr>
      <w:r w:rsidRPr="000718EC">
        <w:t xml:space="preserve">Casino </w:t>
      </w:r>
    </w:p>
    <w:p w:rsidR="00D518FB" w:rsidRPr="000718EC" w:rsidRDefault="00D518FB" w:rsidP="00D518FB">
      <w:pPr>
        <w:pStyle w:val="Default"/>
        <w:numPr>
          <w:ilvl w:val="0"/>
          <w:numId w:val="37"/>
        </w:numPr>
      </w:pPr>
      <w:r w:rsidRPr="000718EC">
        <w:t xml:space="preserve">Debt Collection </w:t>
      </w:r>
    </w:p>
    <w:p w:rsidR="00D518FB" w:rsidRPr="000718EC" w:rsidRDefault="00D518FB" w:rsidP="00D518FB">
      <w:pPr>
        <w:pStyle w:val="Default"/>
        <w:numPr>
          <w:ilvl w:val="0"/>
          <w:numId w:val="37"/>
        </w:numPr>
      </w:pPr>
      <w:r w:rsidRPr="000718EC">
        <w:t xml:space="preserve">Factor </w:t>
      </w:r>
    </w:p>
    <w:p w:rsidR="00D518FB" w:rsidRPr="000718EC" w:rsidRDefault="00D518FB" w:rsidP="00D518FB">
      <w:pPr>
        <w:pStyle w:val="Default"/>
        <w:numPr>
          <w:ilvl w:val="0"/>
          <w:numId w:val="37"/>
        </w:numPr>
      </w:pPr>
      <w:r w:rsidRPr="000718EC">
        <w:t xml:space="preserve">Financial Leasing </w:t>
      </w:r>
    </w:p>
    <w:p w:rsidR="00D518FB" w:rsidRPr="000718EC" w:rsidRDefault="00D518FB" w:rsidP="00D518FB">
      <w:pPr>
        <w:pStyle w:val="Default"/>
        <w:numPr>
          <w:ilvl w:val="0"/>
          <w:numId w:val="37"/>
        </w:numPr>
      </w:pPr>
      <w:r w:rsidRPr="000718EC">
        <w:t xml:space="preserve">Foreign Exchange </w:t>
      </w:r>
    </w:p>
    <w:p w:rsidR="00D518FB" w:rsidRPr="000718EC" w:rsidRDefault="00D518FB" w:rsidP="00D518FB">
      <w:pPr>
        <w:pStyle w:val="Default"/>
        <w:numPr>
          <w:ilvl w:val="0"/>
          <w:numId w:val="37"/>
        </w:numPr>
      </w:pPr>
      <w:r w:rsidRPr="000718EC">
        <w:t>Non-Bank and Non</w:t>
      </w:r>
      <w:r w:rsidR="0028475E">
        <w:t>-</w:t>
      </w:r>
      <w:r w:rsidRPr="000718EC">
        <w:t xml:space="preserve">Deposit Taking Lender </w:t>
      </w:r>
    </w:p>
    <w:p w:rsidR="00D518FB" w:rsidRPr="000718EC" w:rsidRDefault="00D518FB" w:rsidP="00D518FB">
      <w:pPr>
        <w:pStyle w:val="Default"/>
        <w:numPr>
          <w:ilvl w:val="0"/>
          <w:numId w:val="37"/>
        </w:numPr>
      </w:pPr>
      <w:r w:rsidRPr="000718EC">
        <w:t xml:space="preserve">Non-Bank Credit Card </w:t>
      </w:r>
    </w:p>
    <w:p w:rsidR="00D518FB" w:rsidRPr="000718EC" w:rsidRDefault="00D518FB" w:rsidP="00D518FB">
      <w:pPr>
        <w:pStyle w:val="Default"/>
        <w:numPr>
          <w:ilvl w:val="0"/>
          <w:numId w:val="37"/>
        </w:numPr>
      </w:pPr>
      <w:r w:rsidRPr="000718EC">
        <w:t xml:space="preserve">Payment provider </w:t>
      </w:r>
    </w:p>
    <w:p w:rsidR="00D518FB" w:rsidRPr="000718EC" w:rsidRDefault="00D518FB" w:rsidP="00D518FB">
      <w:pPr>
        <w:pStyle w:val="Default"/>
        <w:numPr>
          <w:ilvl w:val="0"/>
          <w:numId w:val="37"/>
        </w:numPr>
      </w:pPr>
      <w:r w:rsidRPr="000718EC">
        <w:t xml:space="preserve">Payroll </w:t>
      </w:r>
    </w:p>
    <w:p w:rsidR="00D518FB" w:rsidRPr="000718EC" w:rsidRDefault="00D518FB" w:rsidP="00D518FB">
      <w:pPr>
        <w:pStyle w:val="Default"/>
        <w:numPr>
          <w:ilvl w:val="0"/>
          <w:numId w:val="37"/>
        </w:numPr>
      </w:pPr>
      <w:r w:rsidRPr="000718EC">
        <w:t xml:space="preserve">Remittance </w:t>
      </w:r>
    </w:p>
    <w:p w:rsidR="00D518FB" w:rsidRPr="000718EC" w:rsidRDefault="00D518FB" w:rsidP="00D518FB">
      <w:pPr>
        <w:pStyle w:val="Default"/>
        <w:numPr>
          <w:ilvl w:val="0"/>
          <w:numId w:val="37"/>
        </w:numPr>
      </w:pPr>
      <w:r w:rsidRPr="000718EC">
        <w:t xml:space="preserve">Safe Deposit </w:t>
      </w:r>
    </w:p>
    <w:p w:rsidR="00D518FB" w:rsidRPr="000718EC" w:rsidRDefault="00D518FB" w:rsidP="00D518FB">
      <w:pPr>
        <w:pStyle w:val="Default"/>
        <w:numPr>
          <w:ilvl w:val="0"/>
          <w:numId w:val="37"/>
        </w:numPr>
      </w:pPr>
      <w:r w:rsidRPr="000718EC">
        <w:t xml:space="preserve">Tax Pooling </w:t>
      </w:r>
    </w:p>
    <w:p w:rsidR="00D518FB" w:rsidRPr="000718EC" w:rsidRDefault="00D518FB" w:rsidP="00D518FB">
      <w:pPr>
        <w:pStyle w:val="Default"/>
        <w:numPr>
          <w:ilvl w:val="0"/>
          <w:numId w:val="37"/>
        </w:numPr>
      </w:pPr>
      <w:r w:rsidRPr="000718EC">
        <w:t xml:space="preserve">Trust and Company Service Provider </w:t>
      </w:r>
    </w:p>
    <w:p w:rsidR="00D518FB" w:rsidRPr="000718EC" w:rsidRDefault="00D518FB" w:rsidP="00D518FB">
      <w:pPr>
        <w:pStyle w:val="Default"/>
        <w:numPr>
          <w:ilvl w:val="0"/>
          <w:numId w:val="37"/>
        </w:numPr>
      </w:pPr>
      <w:r w:rsidRPr="000718EC">
        <w:t xml:space="preserve">Other </w:t>
      </w:r>
    </w:p>
    <w:p w:rsidR="00D518FB" w:rsidRPr="000718EC" w:rsidRDefault="00D518FB" w:rsidP="00D518FB">
      <w:pPr>
        <w:pStyle w:val="Default"/>
      </w:pPr>
    </w:p>
    <w:p w:rsidR="00D518FB" w:rsidRPr="000718EC" w:rsidRDefault="00D518FB" w:rsidP="00D518FB">
      <w:pPr>
        <w:pStyle w:val="CM43"/>
        <w:spacing w:after="275" w:line="268" w:lineRule="atLeast"/>
        <w:jc w:val="both"/>
        <w:rPr>
          <w:rFonts w:cs="Calibri"/>
          <w:color w:val="000000"/>
        </w:rPr>
      </w:pPr>
      <w:r w:rsidRPr="000718EC">
        <w:rPr>
          <w:rFonts w:cs="Calibri"/>
          <w:color w:val="000000"/>
        </w:rPr>
        <w:t xml:space="preserve">Added to the sample (after the selection of ‘Other’) were: </w:t>
      </w:r>
    </w:p>
    <w:p w:rsidR="00D518FB" w:rsidRPr="000718EC" w:rsidRDefault="00D518FB" w:rsidP="00D518FB">
      <w:pPr>
        <w:pStyle w:val="Default"/>
        <w:numPr>
          <w:ilvl w:val="0"/>
          <w:numId w:val="38"/>
        </w:numPr>
      </w:pPr>
      <w:r w:rsidRPr="000718EC">
        <w:t xml:space="preserve">Consultant / Advisor / Accountant </w:t>
      </w:r>
    </w:p>
    <w:p w:rsidR="00D518FB" w:rsidRPr="000718EC" w:rsidRDefault="00D518FB" w:rsidP="00D518FB">
      <w:pPr>
        <w:pStyle w:val="Default"/>
        <w:numPr>
          <w:ilvl w:val="0"/>
          <w:numId w:val="38"/>
        </w:numPr>
      </w:pPr>
      <w:r w:rsidRPr="000718EC">
        <w:t xml:space="preserve">Lending / Finance Company </w:t>
      </w:r>
    </w:p>
    <w:p w:rsidR="00D518FB" w:rsidRPr="000718EC" w:rsidRDefault="00D518FB" w:rsidP="00D518FB">
      <w:pPr>
        <w:pStyle w:val="Default"/>
        <w:numPr>
          <w:ilvl w:val="0"/>
          <w:numId w:val="38"/>
        </w:numPr>
      </w:pPr>
      <w:r w:rsidRPr="000718EC">
        <w:t xml:space="preserve">Money Transfer </w:t>
      </w:r>
    </w:p>
    <w:p w:rsidR="00D518FB" w:rsidRPr="000718EC" w:rsidRDefault="00D518FB" w:rsidP="00D518FB">
      <w:pPr>
        <w:pStyle w:val="Default"/>
        <w:numPr>
          <w:ilvl w:val="0"/>
          <w:numId w:val="38"/>
        </w:numPr>
      </w:pPr>
      <w:r w:rsidRPr="000718EC">
        <w:t xml:space="preserve">Serviced Office / Virtual Office </w:t>
      </w:r>
    </w:p>
    <w:p w:rsidR="00D518FB" w:rsidRPr="000718EC" w:rsidRDefault="00D518FB" w:rsidP="00D518FB">
      <w:pPr>
        <w:pStyle w:val="Default"/>
      </w:pPr>
    </w:p>
    <w:p w:rsidR="00D518FB" w:rsidRPr="000718EC" w:rsidRDefault="00D518FB" w:rsidP="00D518FB">
      <w:pPr>
        <w:pStyle w:val="CM3"/>
        <w:jc w:val="both"/>
      </w:pPr>
      <w:r w:rsidRPr="000718EC">
        <w:rPr>
          <w:rFonts w:cs="Calibri"/>
          <w:b/>
          <w:bCs/>
          <w:color w:val="000000"/>
        </w:rPr>
        <w:t>Reading the results</w:t>
      </w:r>
    </w:p>
    <w:p w:rsidR="00D518FB" w:rsidRPr="000718EC" w:rsidRDefault="00D518FB" w:rsidP="00D518FB">
      <w:pPr>
        <w:pStyle w:val="CM42"/>
        <w:spacing w:after="360" w:line="268" w:lineRule="atLeast"/>
        <w:jc w:val="both"/>
        <w:rPr>
          <w:rFonts w:cs="Calibri"/>
          <w:color w:val="000000"/>
        </w:rPr>
      </w:pPr>
      <w:r w:rsidRPr="000718EC">
        <w:rPr>
          <w:rFonts w:cs="Calibri"/>
          <w:color w:val="000000"/>
        </w:rPr>
        <w:t xml:space="preserve">The questions all followed a five-point Likert-type scale (see figure 1) </w:t>
      </w:r>
    </w:p>
    <w:p w:rsidR="00D518FB" w:rsidRDefault="00D518FB" w:rsidP="00D518FB">
      <w:pPr>
        <w:pStyle w:val="CM42"/>
        <w:spacing w:after="360" w:line="268" w:lineRule="atLeast"/>
        <w:jc w:val="both"/>
      </w:pPr>
      <w:r>
        <w:rPr>
          <w:noProof/>
          <w:sz w:val="22"/>
          <w:szCs w:val="22"/>
        </w:rPr>
        <w:drawing>
          <wp:inline distT="0" distB="0" distL="0" distR="0" wp14:anchorId="3958533B" wp14:editId="0C7DDCEC">
            <wp:extent cx="2924175" cy="1285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285875"/>
                    </a:xfrm>
                    <a:prstGeom prst="rect">
                      <a:avLst/>
                    </a:prstGeom>
                    <a:noFill/>
                    <a:ln>
                      <a:noFill/>
                    </a:ln>
                  </pic:spPr>
                </pic:pic>
              </a:graphicData>
            </a:graphic>
          </wp:inline>
        </w:drawing>
      </w:r>
    </w:p>
    <w:p w:rsidR="00D518FB" w:rsidRPr="006104A5" w:rsidRDefault="00D518FB" w:rsidP="00D518FB">
      <w:pPr>
        <w:pStyle w:val="CM45"/>
        <w:spacing w:after="932" w:line="268" w:lineRule="atLeast"/>
        <w:jc w:val="both"/>
        <w:rPr>
          <w:rFonts w:cs="Calibri"/>
          <w:color w:val="000000"/>
        </w:rPr>
      </w:pPr>
      <w:r w:rsidRPr="006104A5">
        <w:rPr>
          <w:rFonts w:cs="Calibri"/>
          <w:color w:val="000000"/>
        </w:rPr>
        <w:t xml:space="preserve">Where applicable within tables and graphs the sub-sector average rating has been supplied alongside individual average ratings. In these cases the ‘number of respondents’ may exceed 308 (survey replies) as many individuals identified with a number of subsector groups. </w:t>
      </w:r>
    </w:p>
    <w:p w:rsidR="00D518FB" w:rsidRDefault="00D518FB" w:rsidP="00536829">
      <w:pPr>
        <w:pStyle w:val="Heading2"/>
      </w:pPr>
      <w:bookmarkStart w:id="4" w:name="_Toc417549686"/>
      <w:r>
        <w:lastRenderedPageBreak/>
        <w:t>Respondent Profile</w:t>
      </w:r>
      <w:bookmarkEnd w:id="4"/>
      <w:r>
        <w:t xml:space="preserve"> </w:t>
      </w:r>
    </w:p>
    <w:p w:rsidR="00D518FB" w:rsidRDefault="00D518FB" w:rsidP="00D518FB">
      <w:pPr>
        <w:pStyle w:val="CM46"/>
        <w:spacing w:after="72"/>
        <w:jc w:val="both"/>
        <w:rPr>
          <w:rFonts w:cs="Calibri"/>
          <w:b/>
          <w:bCs/>
          <w:color w:val="C04F4C"/>
          <w:sz w:val="22"/>
          <w:szCs w:val="22"/>
        </w:rPr>
      </w:pPr>
      <w:r>
        <w:rPr>
          <w:rFonts w:cs="Calibri"/>
          <w:b/>
          <w:bCs/>
          <w:color w:val="C04F4C"/>
          <w:sz w:val="28"/>
          <w:szCs w:val="28"/>
        </w:rPr>
        <w:t>S</w:t>
      </w:r>
      <w:r>
        <w:rPr>
          <w:rFonts w:cs="Calibri"/>
          <w:b/>
          <w:bCs/>
          <w:color w:val="C04F4C"/>
          <w:sz w:val="22"/>
          <w:szCs w:val="22"/>
        </w:rPr>
        <w:t xml:space="preserve">UBSECTOR </w:t>
      </w:r>
      <w:r>
        <w:rPr>
          <w:rFonts w:cs="Calibri"/>
          <w:b/>
          <w:bCs/>
          <w:color w:val="C04F4C"/>
          <w:sz w:val="28"/>
          <w:szCs w:val="28"/>
        </w:rPr>
        <w:t>R</w:t>
      </w:r>
      <w:r>
        <w:rPr>
          <w:rFonts w:cs="Calibri"/>
          <w:b/>
          <w:bCs/>
          <w:color w:val="C04F4C"/>
          <w:sz w:val="22"/>
          <w:szCs w:val="22"/>
        </w:rPr>
        <w:t xml:space="preserve">EPRESENTATION </w:t>
      </w:r>
    </w:p>
    <w:p w:rsidR="00D518FB" w:rsidRPr="000718EC" w:rsidRDefault="00D518FB" w:rsidP="00D518FB">
      <w:pPr>
        <w:pStyle w:val="CM46"/>
        <w:spacing w:after="130"/>
        <w:jc w:val="both"/>
        <w:rPr>
          <w:rFonts w:cs="Calibri"/>
          <w:b/>
          <w:bCs/>
          <w:color w:val="000000"/>
          <w:sz w:val="19"/>
          <w:szCs w:val="19"/>
        </w:rPr>
      </w:pPr>
      <w:r w:rsidRPr="000718EC">
        <w:rPr>
          <w:rFonts w:cs="Calibri"/>
          <w:b/>
          <w:bCs/>
          <w:color w:val="000000"/>
          <w:sz w:val="19"/>
          <w:szCs w:val="19"/>
        </w:rPr>
        <w:t>Q</w:t>
      </w:r>
      <w:r>
        <w:rPr>
          <w:rFonts w:cs="Calibri"/>
          <w:b/>
          <w:bCs/>
          <w:color w:val="000000"/>
          <w:sz w:val="19"/>
          <w:szCs w:val="19"/>
        </w:rPr>
        <w:t xml:space="preserve">UESTION </w:t>
      </w:r>
      <w:r w:rsidRPr="000718EC">
        <w:rPr>
          <w:rFonts w:cs="Calibri"/>
          <w:b/>
          <w:bCs/>
          <w:color w:val="000000"/>
          <w:sz w:val="19"/>
          <w:szCs w:val="19"/>
        </w:rPr>
        <w:t>1 – TYPE OF BUSINESS</w:t>
      </w:r>
    </w:p>
    <w:p w:rsidR="00D518FB" w:rsidRPr="00960926" w:rsidRDefault="00D518FB" w:rsidP="00D518FB">
      <w:pPr>
        <w:pStyle w:val="Default"/>
      </w:pPr>
      <w:r w:rsidRPr="00734A8B">
        <w:t>The majority of respondents identified with the Non-Bank and Non</w:t>
      </w:r>
      <w:r>
        <w:t>-</w:t>
      </w:r>
      <w:r w:rsidRPr="00734A8B">
        <w:t>Deposit Ta</w:t>
      </w:r>
      <w:r>
        <w:t>king Lender subsector (34.72</w:t>
      </w:r>
      <w:r w:rsidR="0028475E">
        <w:t xml:space="preserve"> per cent). </w:t>
      </w:r>
      <w:r w:rsidRPr="00734A8B">
        <w:t>See Appendix A for table (1.2 – Respondent Subsector)</w:t>
      </w:r>
      <w:r w:rsidRPr="00F01FC9">
        <w:rPr>
          <w:i/>
          <w:iCs/>
          <w:sz w:val="20"/>
          <w:szCs w:val="20"/>
        </w:rPr>
        <w:t xml:space="preserve"> </w:t>
      </w:r>
    </w:p>
    <w:p w:rsidR="00D518FB" w:rsidRDefault="00D518FB" w:rsidP="00D518FB">
      <w:pPr>
        <w:pStyle w:val="Default"/>
        <w:rPr>
          <w:i/>
          <w:iCs/>
          <w:sz w:val="20"/>
          <w:szCs w:val="20"/>
        </w:rPr>
      </w:pPr>
    </w:p>
    <w:p w:rsidR="00D518FB" w:rsidRDefault="00D518FB" w:rsidP="00D518FB">
      <w:pPr>
        <w:pStyle w:val="CM46"/>
        <w:spacing w:after="130"/>
        <w:jc w:val="both"/>
        <w:rPr>
          <w:rFonts w:cs="Calibri"/>
          <w:b/>
          <w:bCs/>
          <w:color w:val="000000"/>
          <w:sz w:val="23"/>
          <w:szCs w:val="23"/>
        </w:rPr>
      </w:pPr>
      <w:r>
        <w:rPr>
          <w:noProof/>
          <w:sz w:val="20"/>
          <w:szCs w:val="20"/>
        </w:rPr>
        <w:drawing>
          <wp:inline distT="0" distB="0" distL="0" distR="0" wp14:anchorId="5390FF15" wp14:editId="7C96AF0D">
            <wp:extent cx="4772025" cy="3057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3057525"/>
                    </a:xfrm>
                    <a:prstGeom prst="rect">
                      <a:avLst/>
                    </a:prstGeom>
                    <a:noFill/>
                    <a:ln>
                      <a:noFill/>
                    </a:ln>
                  </pic:spPr>
                </pic:pic>
              </a:graphicData>
            </a:graphic>
          </wp:inline>
        </w:drawing>
      </w:r>
    </w:p>
    <w:p w:rsidR="00D518FB" w:rsidRDefault="00D518FB" w:rsidP="00D518FB">
      <w:pPr>
        <w:pStyle w:val="CM46"/>
        <w:spacing w:after="130"/>
        <w:jc w:val="both"/>
        <w:rPr>
          <w:rFonts w:cs="Calibri"/>
          <w:b/>
          <w:bCs/>
          <w:color w:val="000000"/>
          <w:sz w:val="23"/>
          <w:szCs w:val="23"/>
        </w:rPr>
      </w:pPr>
    </w:p>
    <w:p w:rsidR="00D518FB" w:rsidRPr="000718EC" w:rsidRDefault="00D518FB" w:rsidP="00D518FB">
      <w:pPr>
        <w:pStyle w:val="CM46"/>
        <w:spacing w:after="130"/>
        <w:jc w:val="both"/>
        <w:rPr>
          <w:rFonts w:cs="Calibri"/>
          <w:b/>
          <w:bCs/>
          <w:color w:val="000000"/>
          <w:sz w:val="19"/>
          <w:szCs w:val="19"/>
        </w:rPr>
      </w:pPr>
      <w:r w:rsidRPr="000718EC">
        <w:rPr>
          <w:rFonts w:cs="Calibri"/>
          <w:b/>
          <w:bCs/>
          <w:color w:val="000000"/>
          <w:sz w:val="19"/>
          <w:szCs w:val="19"/>
        </w:rPr>
        <w:t>Q</w:t>
      </w:r>
      <w:r>
        <w:rPr>
          <w:rFonts w:cs="Calibri"/>
          <w:b/>
          <w:bCs/>
          <w:color w:val="000000"/>
          <w:sz w:val="19"/>
          <w:szCs w:val="19"/>
        </w:rPr>
        <w:t xml:space="preserve">UESTION </w:t>
      </w:r>
      <w:r w:rsidRPr="000718EC">
        <w:rPr>
          <w:rFonts w:cs="Calibri"/>
          <w:b/>
          <w:bCs/>
          <w:color w:val="000000"/>
          <w:sz w:val="19"/>
          <w:szCs w:val="19"/>
        </w:rPr>
        <w:t>2 – LOCATION OF BUSINESS</w:t>
      </w:r>
    </w:p>
    <w:p w:rsidR="00D518FB" w:rsidRPr="00734A8B" w:rsidRDefault="00D518FB" w:rsidP="00D518FB">
      <w:pPr>
        <w:pStyle w:val="CM42"/>
      </w:pPr>
      <w:r w:rsidRPr="00734A8B">
        <w:t>The majority of respondents identified their business or head office location as Auckland (59.42</w:t>
      </w:r>
      <w:r w:rsidR="0028475E">
        <w:t xml:space="preserve"> per cent</w:t>
      </w:r>
      <w:r w:rsidR="0028475E" w:rsidRPr="00734A8B">
        <w:t xml:space="preserve">). </w:t>
      </w:r>
    </w:p>
    <w:p w:rsidR="00D518FB" w:rsidRPr="00734A8B" w:rsidRDefault="00D518FB" w:rsidP="00D518FB">
      <w:pPr>
        <w:pStyle w:val="CM42"/>
        <w:rPr>
          <w:rFonts w:cs="Calibri"/>
          <w:i/>
          <w:iCs/>
          <w:color w:val="000000"/>
        </w:rPr>
      </w:pPr>
      <w:r w:rsidRPr="00734A8B">
        <w:rPr>
          <w:rFonts w:cs="Calibri"/>
          <w:i/>
          <w:iCs/>
          <w:color w:val="000000"/>
        </w:rPr>
        <w:t xml:space="preserve">See Appendix A for table (1.1 – Respondent Location) </w:t>
      </w:r>
    </w:p>
    <w:p w:rsidR="00D518FB" w:rsidRPr="00F01FC9" w:rsidRDefault="00D518FB" w:rsidP="00D518FB">
      <w:pPr>
        <w:pStyle w:val="Default"/>
      </w:pPr>
    </w:p>
    <w:p w:rsidR="00D518FB" w:rsidRPr="001425F7" w:rsidRDefault="00D518FB" w:rsidP="00D518FB">
      <w:pPr>
        <w:pStyle w:val="CM42"/>
        <w:spacing w:after="360"/>
        <w:rPr>
          <w:rFonts w:cs="Calibri"/>
          <w:b/>
          <w:bCs/>
          <w:color w:val="C04F4C"/>
          <w:sz w:val="28"/>
          <w:szCs w:val="28"/>
        </w:rPr>
      </w:pPr>
      <w:r>
        <w:rPr>
          <w:noProof/>
          <w:sz w:val="20"/>
          <w:szCs w:val="20"/>
        </w:rPr>
        <w:drawing>
          <wp:inline distT="0" distB="0" distL="0" distR="0" wp14:anchorId="3BC6918A" wp14:editId="4BCA32B9">
            <wp:extent cx="4772025" cy="3171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3171825"/>
                    </a:xfrm>
                    <a:prstGeom prst="rect">
                      <a:avLst/>
                    </a:prstGeom>
                    <a:noFill/>
                    <a:ln>
                      <a:noFill/>
                    </a:ln>
                  </pic:spPr>
                </pic:pic>
              </a:graphicData>
            </a:graphic>
          </wp:inline>
        </w:drawing>
      </w:r>
    </w:p>
    <w:p w:rsidR="00D518FB" w:rsidRPr="000718EC" w:rsidRDefault="00D518FB" w:rsidP="00D518FB">
      <w:pPr>
        <w:pStyle w:val="CM46"/>
        <w:spacing w:after="130"/>
        <w:jc w:val="both"/>
        <w:rPr>
          <w:rFonts w:cs="Calibri"/>
          <w:color w:val="000000"/>
          <w:sz w:val="19"/>
          <w:szCs w:val="19"/>
        </w:rPr>
      </w:pPr>
      <w:r w:rsidRPr="000718EC">
        <w:rPr>
          <w:rFonts w:cs="Calibri"/>
          <w:b/>
          <w:bCs/>
          <w:color w:val="000000"/>
          <w:sz w:val="19"/>
          <w:szCs w:val="19"/>
        </w:rPr>
        <w:lastRenderedPageBreak/>
        <w:t>QUESTION 3 – DESIGNATED BUSINESS GROUP (DBG)</w:t>
      </w:r>
    </w:p>
    <w:p w:rsidR="00D518FB" w:rsidRPr="00734A8B" w:rsidRDefault="00D518FB" w:rsidP="00D518FB">
      <w:pPr>
        <w:pStyle w:val="CM42"/>
        <w:rPr>
          <w:rFonts w:cs="Calibri"/>
          <w:color w:val="000000"/>
        </w:rPr>
      </w:pPr>
      <w:r w:rsidRPr="00734A8B">
        <w:rPr>
          <w:rFonts w:cs="Calibri"/>
          <w:color w:val="000000"/>
        </w:rPr>
        <w:t>The majority of responden</w:t>
      </w:r>
      <w:r>
        <w:rPr>
          <w:rFonts w:cs="Calibri"/>
          <w:color w:val="000000"/>
        </w:rPr>
        <w:t>ts did not belong to a DBG</w:t>
      </w:r>
      <w:r w:rsidRPr="00734A8B">
        <w:rPr>
          <w:rFonts w:cs="Calibri"/>
          <w:color w:val="000000"/>
        </w:rPr>
        <w:t xml:space="preserve">. </w:t>
      </w:r>
    </w:p>
    <w:p w:rsidR="00D518FB" w:rsidRDefault="00D518FB" w:rsidP="00D518FB">
      <w:pPr>
        <w:pStyle w:val="Default"/>
        <w:rPr>
          <w:sz w:val="20"/>
          <w:szCs w:val="20"/>
        </w:rPr>
      </w:pPr>
    </w:p>
    <w:p w:rsidR="00D518FB" w:rsidRDefault="00D518FB" w:rsidP="00D518FB">
      <w:pPr>
        <w:pStyle w:val="Default"/>
        <w:rPr>
          <w:sz w:val="20"/>
          <w:szCs w:val="20"/>
        </w:rPr>
      </w:pPr>
      <w:r>
        <w:rPr>
          <w:noProof/>
          <w:sz w:val="20"/>
          <w:szCs w:val="20"/>
        </w:rPr>
        <w:drawing>
          <wp:inline distT="0" distB="0" distL="0" distR="0" wp14:anchorId="2708CA03" wp14:editId="173A90A9">
            <wp:extent cx="4848225" cy="40767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225" cy="4076700"/>
                    </a:xfrm>
                    <a:prstGeom prst="rect">
                      <a:avLst/>
                    </a:prstGeom>
                    <a:noFill/>
                    <a:ln>
                      <a:noFill/>
                    </a:ln>
                  </pic:spPr>
                </pic:pic>
              </a:graphicData>
            </a:graphic>
          </wp:inline>
        </w:drawing>
      </w:r>
    </w:p>
    <w:p w:rsidR="00D518FB" w:rsidRDefault="00D518FB" w:rsidP="00D518FB">
      <w:pPr>
        <w:pStyle w:val="CM46"/>
        <w:spacing w:after="72"/>
        <w:jc w:val="both"/>
        <w:rPr>
          <w:rFonts w:cs="Calibri"/>
          <w:b/>
          <w:bCs/>
          <w:color w:val="C04F4C"/>
          <w:sz w:val="28"/>
          <w:szCs w:val="28"/>
        </w:rPr>
      </w:pPr>
    </w:p>
    <w:p w:rsidR="00D518FB" w:rsidRDefault="00D518FB" w:rsidP="00D518FB">
      <w:pPr>
        <w:pStyle w:val="CM46"/>
        <w:spacing w:after="72"/>
        <w:jc w:val="both"/>
        <w:rPr>
          <w:rFonts w:cs="Calibri"/>
          <w:b/>
          <w:bCs/>
          <w:color w:val="C04F4C"/>
          <w:sz w:val="28"/>
          <w:szCs w:val="28"/>
        </w:rPr>
      </w:pPr>
    </w:p>
    <w:p w:rsidR="00D518FB" w:rsidRDefault="00D518FB" w:rsidP="001B3CE3">
      <w:bookmarkStart w:id="5" w:name="_Toc417549687"/>
      <w:r>
        <w:rPr>
          <w:b/>
          <w:bCs/>
        </w:rPr>
        <w:t>Information Services (Department and External)</w:t>
      </w:r>
      <w:bookmarkEnd w:id="5"/>
      <w:r>
        <w:rPr>
          <w:b/>
          <w:bCs/>
        </w:rPr>
        <w:t xml:space="preserve"> </w:t>
      </w:r>
    </w:p>
    <w:p w:rsidR="00D518FB" w:rsidRPr="00734A8B" w:rsidRDefault="00D518FB" w:rsidP="00D518FB">
      <w:pPr>
        <w:pStyle w:val="CM42"/>
        <w:spacing w:after="360" w:line="268" w:lineRule="atLeast"/>
        <w:jc w:val="both"/>
        <w:rPr>
          <w:rFonts w:cs="Calibri"/>
          <w:color w:val="000000"/>
        </w:rPr>
      </w:pPr>
      <w:r w:rsidRPr="00734A8B">
        <w:rPr>
          <w:rFonts w:cs="Calibri"/>
          <w:color w:val="000000"/>
        </w:rPr>
        <w:t>In order to gauge the effectiveness of our communications to the sector we asked a number of</w:t>
      </w:r>
      <w:r>
        <w:rPr>
          <w:rFonts w:cs="Calibri"/>
          <w:color w:val="000000"/>
        </w:rPr>
        <w:t xml:space="preserve"> questions around use of the </w:t>
      </w:r>
      <w:r w:rsidRPr="00D97DB5">
        <w:t>Department’s</w:t>
      </w:r>
      <w:r w:rsidRPr="00734A8B">
        <w:rPr>
          <w:rFonts w:cs="Calibri"/>
          <w:color w:val="000000"/>
        </w:rPr>
        <w:t xml:space="preserve"> Website, as well as other mediums of information gathering respondents had used to find out information about the Act and their requirements. </w:t>
      </w:r>
    </w:p>
    <w:p w:rsidR="00D518FB" w:rsidRDefault="00D518FB" w:rsidP="00D518FB">
      <w:pPr>
        <w:pStyle w:val="CM3"/>
        <w:jc w:val="both"/>
        <w:rPr>
          <w:rFonts w:cs="Calibri"/>
          <w:b/>
          <w:bCs/>
          <w:color w:val="C04F4C"/>
          <w:sz w:val="26"/>
          <w:szCs w:val="26"/>
        </w:rPr>
      </w:pPr>
      <w:r w:rsidRPr="001425F7">
        <w:rPr>
          <w:rFonts w:cs="Calibri"/>
          <w:b/>
          <w:bCs/>
          <w:color w:val="C04F4C"/>
          <w:sz w:val="26"/>
          <w:szCs w:val="26"/>
        </w:rPr>
        <w:t>DEPARTMENT W</w:t>
      </w:r>
      <w:r>
        <w:rPr>
          <w:rFonts w:cs="Calibri"/>
          <w:b/>
          <w:bCs/>
          <w:color w:val="C04F4C"/>
          <w:sz w:val="26"/>
          <w:szCs w:val="26"/>
        </w:rPr>
        <w:t>EBSITE</w:t>
      </w:r>
    </w:p>
    <w:p w:rsidR="00D518FB" w:rsidRDefault="00D518FB" w:rsidP="00D518FB">
      <w:pPr>
        <w:pStyle w:val="CM46"/>
        <w:spacing w:after="130"/>
        <w:jc w:val="both"/>
        <w:rPr>
          <w:rFonts w:cs="Calibri"/>
          <w:color w:val="000000"/>
          <w:sz w:val="19"/>
          <w:szCs w:val="19"/>
        </w:rPr>
      </w:pPr>
      <w:r>
        <w:rPr>
          <w:rFonts w:cs="Calibri"/>
          <w:b/>
          <w:bCs/>
          <w:color w:val="000000"/>
          <w:sz w:val="23"/>
          <w:szCs w:val="23"/>
        </w:rPr>
        <w:t>Q</w:t>
      </w:r>
      <w:r>
        <w:rPr>
          <w:rFonts w:cs="Calibri"/>
          <w:b/>
          <w:bCs/>
          <w:color w:val="000000"/>
          <w:sz w:val="19"/>
          <w:szCs w:val="19"/>
        </w:rPr>
        <w:t xml:space="preserve">UESTION </w:t>
      </w:r>
      <w:r>
        <w:rPr>
          <w:rFonts w:cs="Calibri"/>
          <w:b/>
          <w:bCs/>
          <w:color w:val="000000"/>
          <w:sz w:val="23"/>
          <w:szCs w:val="23"/>
        </w:rPr>
        <w:t xml:space="preserve">4 – </w:t>
      </w:r>
      <w:r>
        <w:rPr>
          <w:rFonts w:cs="Calibri"/>
          <w:b/>
          <w:bCs/>
          <w:color w:val="000000"/>
          <w:sz w:val="19"/>
          <w:szCs w:val="19"/>
        </w:rPr>
        <w:t>REFER</w:t>
      </w:r>
      <w:r w:rsidR="0028475E">
        <w:rPr>
          <w:rFonts w:cs="Calibri"/>
          <w:b/>
          <w:bCs/>
          <w:color w:val="000000"/>
          <w:sz w:val="19"/>
          <w:szCs w:val="19"/>
        </w:rPr>
        <w:t>R</w:t>
      </w:r>
      <w:r>
        <w:rPr>
          <w:rFonts w:cs="Calibri"/>
          <w:b/>
          <w:bCs/>
          <w:color w:val="000000"/>
          <w:sz w:val="19"/>
          <w:szCs w:val="19"/>
        </w:rPr>
        <w:t>AL TO THE DEPARTMENT</w:t>
      </w:r>
      <w:r w:rsidR="00095AED">
        <w:rPr>
          <w:rFonts w:cs="Calibri"/>
          <w:b/>
          <w:bCs/>
          <w:color w:val="000000"/>
          <w:sz w:val="19"/>
          <w:szCs w:val="19"/>
        </w:rPr>
        <w:t>’S</w:t>
      </w:r>
      <w:r>
        <w:rPr>
          <w:rFonts w:cs="Calibri"/>
          <w:b/>
          <w:bCs/>
          <w:color w:val="000000"/>
          <w:sz w:val="19"/>
          <w:szCs w:val="19"/>
        </w:rPr>
        <w:t xml:space="preserve"> WEBSITE</w:t>
      </w:r>
    </w:p>
    <w:p w:rsidR="00D518FB" w:rsidRPr="00734A8B" w:rsidRDefault="00D518FB" w:rsidP="00D518FB">
      <w:pPr>
        <w:pStyle w:val="CM46"/>
        <w:spacing w:after="130" w:line="268" w:lineRule="atLeast"/>
        <w:jc w:val="both"/>
        <w:rPr>
          <w:rFonts w:cs="Calibri"/>
          <w:color w:val="000000"/>
        </w:rPr>
      </w:pPr>
      <w:r w:rsidRPr="00734A8B">
        <w:rPr>
          <w:rFonts w:cs="Calibri"/>
          <w:color w:val="000000"/>
        </w:rPr>
        <w:t>Respondents were asked whet</w:t>
      </w:r>
      <w:r>
        <w:rPr>
          <w:rFonts w:cs="Calibri"/>
          <w:color w:val="000000"/>
        </w:rPr>
        <w:t xml:space="preserve">her they had referred to the </w:t>
      </w:r>
      <w:r>
        <w:rPr>
          <w:sz w:val="22"/>
          <w:szCs w:val="22"/>
        </w:rPr>
        <w:t>Department</w:t>
      </w:r>
      <w:r w:rsidRPr="00734A8B">
        <w:rPr>
          <w:rFonts w:cs="Calibri"/>
          <w:color w:val="000000"/>
        </w:rPr>
        <w:t xml:space="preserve"> website for information about the Act and/or their requirements. 87.24</w:t>
      </w:r>
      <w:r w:rsidR="0028475E">
        <w:rPr>
          <w:rFonts w:cs="Calibri"/>
          <w:color w:val="000000"/>
        </w:rPr>
        <w:t xml:space="preserve"> per cent</w:t>
      </w:r>
      <w:r w:rsidR="0028475E" w:rsidRPr="00734A8B">
        <w:rPr>
          <w:rFonts w:cs="Calibri"/>
          <w:color w:val="000000"/>
        </w:rPr>
        <w:t xml:space="preserve"> </w:t>
      </w:r>
      <w:r w:rsidRPr="00734A8B">
        <w:rPr>
          <w:rFonts w:cs="Calibri"/>
          <w:color w:val="000000"/>
        </w:rPr>
        <w:t xml:space="preserve">of respondents had referred to the website. Respondents were then asked to rate how easily they were able to find information on the website and subsequently how useful the information was. </w:t>
      </w:r>
    </w:p>
    <w:p w:rsidR="00D518FB" w:rsidRDefault="00D518FB" w:rsidP="00D518FB">
      <w:pPr>
        <w:pStyle w:val="CM46"/>
        <w:spacing w:after="130"/>
        <w:jc w:val="both"/>
        <w:rPr>
          <w:rFonts w:cs="Calibri"/>
          <w:color w:val="000000"/>
          <w:sz w:val="19"/>
          <w:szCs w:val="19"/>
        </w:rPr>
      </w:pPr>
      <w:r>
        <w:rPr>
          <w:rFonts w:cs="Calibri"/>
          <w:b/>
          <w:bCs/>
          <w:color w:val="000000"/>
          <w:sz w:val="23"/>
          <w:szCs w:val="23"/>
        </w:rPr>
        <w:t>Q</w:t>
      </w:r>
      <w:r>
        <w:rPr>
          <w:rFonts w:cs="Calibri"/>
          <w:b/>
          <w:bCs/>
          <w:color w:val="000000"/>
          <w:sz w:val="19"/>
          <w:szCs w:val="19"/>
        </w:rPr>
        <w:t xml:space="preserve">UESTION </w:t>
      </w:r>
      <w:r>
        <w:rPr>
          <w:rFonts w:cs="Calibri"/>
          <w:b/>
          <w:bCs/>
          <w:color w:val="000000"/>
          <w:sz w:val="23"/>
          <w:szCs w:val="23"/>
        </w:rPr>
        <w:t>5 – F</w:t>
      </w:r>
      <w:r>
        <w:rPr>
          <w:rFonts w:cs="Calibri"/>
          <w:b/>
          <w:bCs/>
          <w:color w:val="000000"/>
          <w:sz w:val="19"/>
          <w:szCs w:val="19"/>
        </w:rPr>
        <w:t xml:space="preserve">INDING INFORMATION ON </w:t>
      </w:r>
      <w:r w:rsidRPr="00193E19">
        <w:rPr>
          <w:rFonts w:cs="Calibri"/>
          <w:b/>
          <w:bCs/>
          <w:color w:val="000000"/>
          <w:sz w:val="19"/>
          <w:szCs w:val="19"/>
        </w:rPr>
        <w:t>THE DEPARTMENT</w:t>
      </w:r>
      <w:r w:rsidR="00095AED">
        <w:rPr>
          <w:rFonts w:cs="Calibri"/>
          <w:b/>
          <w:bCs/>
          <w:color w:val="000000"/>
          <w:sz w:val="19"/>
          <w:szCs w:val="19"/>
        </w:rPr>
        <w:t>’S</w:t>
      </w:r>
      <w:r w:rsidRPr="00193E19">
        <w:rPr>
          <w:rFonts w:cs="Calibri"/>
          <w:b/>
          <w:bCs/>
          <w:color w:val="000000"/>
          <w:sz w:val="19"/>
          <w:szCs w:val="19"/>
        </w:rPr>
        <w:t xml:space="preserve"> W</w:t>
      </w:r>
      <w:r>
        <w:rPr>
          <w:rFonts w:cs="Calibri"/>
          <w:b/>
          <w:bCs/>
          <w:color w:val="000000"/>
          <w:sz w:val="19"/>
          <w:szCs w:val="19"/>
        </w:rPr>
        <w:t xml:space="preserve">EBSITE </w:t>
      </w:r>
    </w:p>
    <w:p w:rsidR="00D518FB" w:rsidRDefault="00095AED" w:rsidP="00D518FB">
      <w:pPr>
        <w:pStyle w:val="CM4"/>
        <w:jc w:val="both"/>
        <w:rPr>
          <w:rFonts w:cs="Calibri"/>
          <w:i/>
          <w:iCs/>
          <w:color w:val="000000"/>
        </w:rPr>
      </w:pPr>
      <w:r>
        <w:rPr>
          <w:rFonts w:cs="Calibri"/>
          <w:color w:val="000000"/>
        </w:rPr>
        <w:t>The a</w:t>
      </w:r>
      <w:r w:rsidR="00D518FB" w:rsidRPr="00734A8B">
        <w:rPr>
          <w:rFonts w:cs="Calibri"/>
          <w:color w:val="000000"/>
        </w:rPr>
        <w:t xml:space="preserve">verage response was a rating of 2.53 meaning that respondents were inclined to feel that whilst the website was reasonably easy to use, some information could be more easily found </w:t>
      </w:r>
      <w:r w:rsidR="00D518FB">
        <w:rPr>
          <w:rFonts w:cs="Calibri"/>
          <w:color w:val="000000"/>
        </w:rPr>
        <w:t xml:space="preserve">than the rest. </w:t>
      </w:r>
      <w:r w:rsidR="00D518FB" w:rsidRPr="00734A8B">
        <w:rPr>
          <w:rFonts w:cs="Calibri"/>
          <w:i/>
          <w:iCs/>
          <w:color w:val="000000"/>
        </w:rPr>
        <w:t>See Appendix A for table (2.1 – Finding information on Website)</w:t>
      </w:r>
    </w:p>
    <w:p w:rsidR="00D518FB" w:rsidRDefault="00D518FB" w:rsidP="00D518FB">
      <w:pPr>
        <w:pStyle w:val="Default"/>
      </w:pPr>
    </w:p>
    <w:p w:rsidR="00D518FB" w:rsidRDefault="00D518FB" w:rsidP="00D518FB">
      <w:pPr>
        <w:pStyle w:val="CM46"/>
        <w:spacing w:after="130"/>
        <w:jc w:val="both"/>
        <w:rPr>
          <w:rFonts w:cs="Calibri"/>
          <w:b/>
          <w:bCs/>
          <w:color w:val="000000"/>
          <w:sz w:val="19"/>
          <w:szCs w:val="19"/>
        </w:rPr>
      </w:pPr>
      <w:r>
        <w:rPr>
          <w:rFonts w:cs="Calibri"/>
          <w:b/>
          <w:bCs/>
          <w:color w:val="000000"/>
          <w:sz w:val="23"/>
          <w:szCs w:val="23"/>
        </w:rPr>
        <w:lastRenderedPageBreak/>
        <w:t>Q</w:t>
      </w:r>
      <w:r>
        <w:rPr>
          <w:rFonts w:cs="Calibri"/>
          <w:b/>
          <w:bCs/>
          <w:color w:val="000000"/>
          <w:sz w:val="19"/>
          <w:szCs w:val="19"/>
        </w:rPr>
        <w:t xml:space="preserve">UESTION </w:t>
      </w:r>
      <w:r>
        <w:rPr>
          <w:rFonts w:cs="Calibri"/>
          <w:b/>
          <w:bCs/>
          <w:color w:val="000000"/>
          <w:sz w:val="23"/>
          <w:szCs w:val="23"/>
        </w:rPr>
        <w:t xml:space="preserve">6 – </w:t>
      </w:r>
      <w:r>
        <w:rPr>
          <w:rFonts w:cs="Calibri"/>
          <w:b/>
          <w:bCs/>
          <w:color w:val="000000"/>
          <w:sz w:val="19"/>
          <w:szCs w:val="19"/>
        </w:rPr>
        <w:t>COMMENTS ON EASE OF USE OF THE</w:t>
      </w:r>
      <w:r w:rsidRPr="00193E19">
        <w:rPr>
          <w:rFonts w:cs="Calibri"/>
          <w:b/>
          <w:bCs/>
          <w:color w:val="000000"/>
          <w:sz w:val="19"/>
          <w:szCs w:val="19"/>
        </w:rPr>
        <w:t xml:space="preserve"> DEPARTMENT</w:t>
      </w:r>
      <w:r>
        <w:rPr>
          <w:rFonts w:cs="Calibri"/>
          <w:b/>
          <w:bCs/>
          <w:color w:val="000000"/>
          <w:sz w:val="19"/>
          <w:szCs w:val="19"/>
        </w:rPr>
        <w:t>’S</w:t>
      </w:r>
      <w:r w:rsidRPr="00193E19">
        <w:rPr>
          <w:rFonts w:cs="Calibri"/>
          <w:b/>
          <w:bCs/>
          <w:color w:val="000000"/>
          <w:sz w:val="19"/>
          <w:szCs w:val="19"/>
        </w:rPr>
        <w:t xml:space="preserve"> W</w:t>
      </w:r>
      <w:r>
        <w:rPr>
          <w:rFonts w:cs="Calibri"/>
          <w:b/>
          <w:bCs/>
          <w:color w:val="000000"/>
          <w:sz w:val="19"/>
          <w:szCs w:val="19"/>
        </w:rPr>
        <w:t>EBSITE</w:t>
      </w:r>
    </w:p>
    <w:p w:rsidR="00D518FB" w:rsidRPr="00193E19" w:rsidRDefault="00D518FB" w:rsidP="00D518FB">
      <w:pPr>
        <w:pStyle w:val="Default"/>
      </w:pPr>
      <w:r>
        <w:t>Refer to Appendix B – Survey Summary data</w:t>
      </w:r>
    </w:p>
    <w:p w:rsidR="00D518FB" w:rsidRPr="00734A8B" w:rsidRDefault="00D518FB" w:rsidP="00D518FB">
      <w:pPr>
        <w:pStyle w:val="CM4"/>
        <w:jc w:val="both"/>
        <w:rPr>
          <w:rFonts w:cs="Calibri"/>
          <w:color w:val="000000"/>
        </w:rPr>
      </w:pPr>
    </w:p>
    <w:p w:rsidR="00D518FB" w:rsidRDefault="00D518FB" w:rsidP="00D518FB">
      <w:pPr>
        <w:pStyle w:val="CM46"/>
        <w:spacing w:after="130"/>
        <w:jc w:val="both"/>
        <w:rPr>
          <w:rFonts w:cs="Calibri"/>
          <w:color w:val="000000"/>
          <w:sz w:val="19"/>
          <w:szCs w:val="19"/>
        </w:rPr>
      </w:pPr>
      <w:r>
        <w:rPr>
          <w:rFonts w:cs="Calibri"/>
          <w:b/>
          <w:bCs/>
          <w:color w:val="000000"/>
          <w:sz w:val="23"/>
          <w:szCs w:val="23"/>
        </w:rPr>
        <w:t>Q</w:t>
      </w:r>
      <w:r>
        <w:rPr>
          <w:rFonts w:cs="Calibri"/>
          <w:b/>
          <w:bCs/>
          <w:color w:val="000000"/>
          <w:sz w:val="19"/>
          <w:szCs w:val="19"/>
        </w:rPr>
        <w:t xml:space="preserve">UESTION </w:t>
      </w:r>
      <w:r>
        <w:rPr>
          <w:rFonts w:cs="Calibri"/>
          <w:b/>
          <w:bCs/>
          <w:color w:val="000000"/>
          <w:sz w:val="23"/>
          <w:szCs w:val="23"/>
        </w:rPr>
        <w:t>7 – U</w:t>
      </w:r>
      <w:r>
        <w:rPr>
          <w:rFonts w:cs="Calibri"/>
          <w:b/>
          <w:bCs/>
          <w:color w:val="000000"/>
          <w:sz w:val="19"/>
          <w:szCs w:val="19"/>
        </w:rPr>
        <w:t>SEFULNESS OF INFORMATION ON THE DEPARTMENT</w:t>
      </w:r>
      <w:r w:rsidR="00095AED">
        <w:rPr>
          <w:rFonts w:cs="Calibri"/>
          <w:b/>
          <w:bCs/>
          <w:color w:val="000000"/>
          <w:sz w:val="19"/>
          <w:szCs w:val="19"/>
        </w:rPr>
        <w:t>’S</w:t>
      </w:r>
      <w:r>
        <w:rPr>
          <w:rFonts w:cs="Calibri"/>
          <w:b/>
          <w:bCs/>
          <w:color w:val="000000"/>
          <w:sz w:val="23"/>
          <w:szCs w:val="23"/>
        </w:rPr>
        <w:t xml:space="preserve"> W</w:t>
      </w:r>
      <w:r>
        <w:rPr>
          <w:rFonts w:cs="Calibri"/>
          <w:b/>
          <w:bCs/>
          <w:color w:val="000000"/>
          <w:sz w:val="19"/>
          <w:szCs w:val="19"/>
        </w:rPr>
        <w:t xml:space="preserve">EBSITE </w:t>
      </w:r>
    </w:p>
    <w:p w:rsidR="00D518FB" w:rsidRDefault="00095AED" w:rsidP="00D518FB">
      <w:pPr>
        <w:pStyle w:val="CM4"/>
        <w:jc w:val="both"/>
        <w:rPr>
          <w:rFonts w:cs="Calibri"/>
          <w:i/>
          <w:iCs/>
          <w:color w:val="000000"/>
        </w:rPr>
      </w:pPr>
      <w:r>
        <w:rPr>
          <w:rFonts w:cs="Calibri"/>
          <w:color w:val="000000"/>
        </w:rPr>
        <w:t>The a</w:t>
      </w:r>
      <w:r w:rsidR="00D518FB" w:rsidRPr="00734A8B">
        <w:rPr>
          <w:rFonts w:cs="Calibri"/>
          <w:color w:val="000000"/>
        </w:rPr>
        <w:t xml:space="preserve">verage response was a rating of 2.49 meaning that respondents were inclined to feel that whilst the information found was reasonably useful, some information was more useful than the rest. </w:t>
      </w:r>
      <w:r w:rsidR="00D518FB">
        <w:rPr>
          <w:rFonts w:cs="Calibri"/>
          <w:color w:val="000000"/>
        </w:rPr>
        <w:t xml:space="preserve"> </w:t>
      </w:r>
      <w:r w:rsidR="00D518FB" w:rsidRPr="00734A8B">
        <w:rPr>
          <w:rFonts w:cs="Calibri"/>
          <w:i/>
          <w:iCs/>
          <w:color w:val="000000"/>
        </w:rPr>
        <w:t xml:space="preserve">See Appendix A for table (2.2 – Usefulness of website information) </w:t>
      </w:r>
    </w:p>
    <w:p w:rsidR="00D518FB" w:rsidRDefault="00D518FB" w:rsidP="00D518FB">
      <w:pPr>
        <w:pStyle w:val="Default"/>
      </w:pPr>
    </w:p>
    <w:p w:rsidR="00D518FB" w:rsidRDefault="00D518FB" w:rsidP="00D518FB">
      <w:pPr>
        <w:pStyle w:val="CM46"/>
        <w:spacing w:after="130"/>
        <w:jc w:val="both"/>
        <w:rPr>
          <w:rFonts w:cs="Calibri"/>
          <w:b/>
          <w:bCs/>
          <w:color w:val="000000"/>
          <w:sz w:val="19"/>
          <w:szCs w:val="19"/>
        </w:rPr>
      </w:pPr>
      <w:r>
        <w:rPr>
          <w:rFonts w:cs="Calibri"/>
          <w:b/>
          <w:bCs/>
          <w:color w:val="000000"/>
          <w:sz w:val="23"/>
          <w:szCs w:val="23"/>
        </w:rPr>
        <w:t>Q</w:t>
      </w:r>
      <w:r>
        <w:rPr>
          <w:rFonts w:cs="Calibri"/>
          <w:b/>
          <w:bCs/>
          <w:color w:val="000000"/>
          <w:sz w:val="19"/>
          <w:szCs w:val="19"/>
        </w:rPr>
        <w:t xml:space="preserve">UESTION </w:t>
      </w:r>
      <w:r>
        <w:rPr>
          <w:rFonts w:cs="Calibri"/>
          <w:b/>
          <w:bCs/>
          <w:color w:val="000000"/>
          <w:sz w:val="23"/>
          <w:szCs w:val="23"/>
        </w:rPr>
        <w:t xml:space="preserve">8 – </w:t>
      </w:r>
      <w:r>
        <w:rPr>
          <w:rFonts w:cs="Calibri"/>
          <w:b/>
          <w:bCs/>
          <w:color w:val="000000"/>
          <w:sz w:val="19"/>
          <w:szCs w:val="19"/>
        </w:rPr>
        <w:t>COMMENTS ON THE USEFULNESS OF INFORMATION ON THE</w:t>
      </w:r>
      <w:r w:rsidRPr="00193E19">
        <w:rPr>
          <w:rFonts w:cs="Calibri"/>
          <w:b/>
          <w:bCs/>
          <w:color w:val="000000"/>
          <w:sz w:val="19"/>
          <w:szCs w:val="19"/>
        </w:rPr>
        <w:t xml:space="preserve"> DEPARTMENT</w:t>
      </w:r>
      <w:r>
        <w:rPr>
          <w:rFonts w:cs="Calibri"/>
          <w:b/>
          <w:bCs/>
          <w:color w:val="000000"/>
          <w:sz w:val="19"/>
          <w:szCs w:val="19"/>
        </w:rPr>
        <w:t>’S</w:t>
      </w:r>
      <w:r w:rsidRPr="00193E19">
        <w:rPr>
          <w:rFonts w:cs="Calibri"/>
          <w:b/>
          <w:bCs/>
          <w:color w:val="000000"/>
          <w:sz w:val="19"/>
          <w:szCs w:val="19"/>
        </w:rPr>
        <w:t xml:space="preserve"> W</w:t>
      </w:r>
      <w:r>
        <w:rPr>
          <w:rFonts w:cs="Calibri"/>
          <w:b/>
          <w:bCs/>
          <w:color w:val="000000"/>
          <w:sz w:val="19"/>
          <w:szCs w:val="19"/>
        </w:rPr>
        <w:t>EBSITE</w:t>
      </w:r>
    </w:p>
    <w:p w:rsidR="00D518FB" w:rsidRPr="00193E19" w:rsidRDefault="00D518FB" w:rsidP="00D518FB">
      <w:pPr>
        <w:pStyle w:val="Default"/>
      </w:pPr>
      <w:r>
        <w:t>Refer to Appendix B – Survey Summary data</w:t>
      </w:r>
    </w:p>
    <w:p w:rsidR="00D518FB" w:rsidRPr="00960926" w:rsidRDefault="00D518FB" w:rsidP="00D518FB">
      <w:pPr>
        <w:pStyle w:val="Default"/>
      </w:pPr>
    </w:p>
    <w:p w:rsidR="00D518FB" w:rsidRPr="007329D3" w:rsidRDefault="00D518FB" w:rsidP="00D518FB">
      <w:pPr>
        <w:pStyle w:val="CM3"/>
        <w:jc w:val="both"/>
        <w:rPr>
          <w:rFonts w:cs="Calibri"/>
          <w:b/>
          <w:bCs/>
          <w:color w:val="C04F4C"/>
          <w:sz w:val="26"/>
          <w:szCs w:val="26"/>
        </w:rPr>
      </w:pPr>
      <w:r w:rsidRPr="007329D3">
        <w:rPr>
          <w:rFonts w:cs="Calibri"/>
          <w:b/>
          <w:bCs/>
          <w:color w:val="C04F4C"/>
          <w:sz w:val="26"/>
          <w:szCs w:val="26"/>
        </w:rPr>
        <w:t>C</w:t>
      </w:r>
      <w:r>
        <w:rPr>
          <w:rFonts w:cs="Calibri"/>
          <w:b/>
          <w:bCs/>
          <w:color w:val="C04F4C"/>
          <w:sz w:val="26"/>
          <w:szCs w:val="26"/>
        </w:rPr>
        <w:t xml:space="preserve">ONTACT WITH </w:t>
      </w:r>
      <w:r w:rsidRPr="007329D3">
        <w:rPr>
          <w:rFonts w:cs="Calibri"/>
          <w:b/>
          <w:bCs/>
          <w:color w:val="C04F4C"/>
          <w:sz w:val="26"/>
          <w:szCs w:val="26"/>
        </w:rPr>
        <w:t>THE DEPARTMENT</w:t>
      </w:r>
    </w:p>
    <w:p w:rsidR="00D518FB" w:rsidRPr="00734A8B" w:rsidRDefault="00D518FB" w:rsidP="00D518FB">
      <w:pPr>
        <w:pStyle w:val="CM46"/>
        <w:spacing w:after="130" w:line="268" w:lineRule="atLeast"/>
        <w:jc w:val="both"/>
        <w:rPr>
          <w:rFonts w:cs="Calibri"/>
          <w:color w:val="000000"/>
        </w:rPr>
      </w:pPr>
      <w:r w:rsidRPr="00734A8B">
        <w:rPr>
          <w:rFonts w:cs="Calibri"/>
          <w:color w:val="000000"/>
        </w:rPr>
        <w:t>Respondents were asked how often t</w:t>
      </w:r>
      <w:r>
        <w:rPr>
          <w:rFonts w:cs="Calibri"/>
          <w:color w:val="000000"/>
        </w:rPr>
        <w:t xml:space="preserve">hey had been in contact with </w:t>
      </w:r>
      <w:r w:rsidRPr="00D97DB5">
        <w:t>Department</w:t>
      </w:r>
      <w:r w:rsidRPr="00734A8B">
        <w:rPr>
          <w:rFonts w:cs="Calibri"/>
          <w:color w:val="000000"/>
        </w:rPr>
        <w:t xml:space="preserve"> either directly or indirectly and in what form that interaction had taken place. </w:t>
      </w:r>
    </w:p>
    <w:p w:rsidR="00D518FB" w:rsidRPr="00734A8B" w:rsidRDefault="00F31F28" w:rsidP="00D518FB">
      <w:pPr>
        <w:pStyle w:val="CM48"/>
        <w:spacing w:after="195" w:line="268" w:lineRule="atLeast"/>
        <w:jc w:val="both"/>
        <w:rPr>
          <w:rFonts w:cs="Calibri"/>
          <w:color w:val="000000"/>
        </w:rPr>
      </w:pPr>
      <w:r>
        <w:rPr>
          <w:rFonts w:cs="Calibri"/>
          <w:color w:val="000000"/>
        </w:rPr>
        <w:t xml:space="preserve">Some </w:t>
      </w:r>
      <w:r w:rsidR="00D518FB" w:rsidRPr="00734A8B">
        <w:rPr>
          <w:rFonts w:cs="Calibri"/>
          <w:color w:val="000000"/>
        </w:rPr>
        <w:t>60.53</w:t>
      </w:r>
      <w:r>
        <w:rPr>
          <w:rFonts w:cs="Calibri"/>
          <w:color w:val="000000"/>
        </w:rPr>
        <w:t xml:space="preserve"> per cent</w:t>
      </w:r>
      <w:r w:rsidRPr="00734A8B">
        <w:rPr>
          <w:rFonts w:cs="Calibri"/>
          <w:color w:val="000000"/>
        </w:rPr>
        <w:t xml:space="preserve"> </w:t>
      </w:r>
      <w:r w:rsidR="00D518FB" w:rsidRPr="00734A8B">
        <w:rPr>
          <w:rFonts w:cs="Calibri"/>
          <w:color w:val="000000"/>
        </w:rPr>
        <w:t>of respondents had</w:t>
      </w:r>
      <w:r w:rsidR="00D518FB">
        <w:rPr>
          <w:rFonts w:cs="Calibri"/>
          <w:color w:val="000000"/>
        </w:rPr>
        <w:t xml:space="preserve"> been in direct contact with </w:t>
      </w:r>
      <w:r w:rsidR="00D518FB" w:rsidRPr="00D97DB5">
        <w:t>Department</w:t>
      </w:r>
      <w:r w:rsidR="00095AED">
        <w:t>,</w:t>
      </w:r>
      <w:r w:rsidR="00D518FB" w:rsidRPr="00734A8B">
        <w:rPr>
          <w:rFonts w:cs="Calibri"/>
          <w:color w:val="000000"/>
        </w:rPr>
        <w:t xml:space="preserve"> with 30.75</w:t>
      </w:r>
      <w:r>
        <w:rPr>
          <w:rFonts w:cs="Calibri"/>
          <w:color w:val="000000"/>
        </w:rPr>
        <w:t xml:space="preserve"> per cent</w:t>
      </w:r>
      <w:r w:rsidRPr="00734A8B">
        <w:rPr>
          <w:rFonts w:cs="Calibri"/>
          <w:color w:val="000000"/>
        </w:rPr>
        <w:t xml:space="preserve"> </w:t>
      </w:r>
      <w:r w:rsidR="00D518FB" w:rsidRPr="00734A8B">
        <w:rPr>
          <w:rFonts w:cs="Calibri"/>
          <w:color w:val="000000"/>
        </w:rPr>
        <w:t>citing an email as the method of interaction</w:t>
      </w:r>
      <w:r w:rsidR="00095AED">
        <w:rPr>
          <w:rFonts w:cs="Calibri"/>
          <w:color w:val="000000"/>
        </w:rPr>
        <w:t>,</w:t>
      </w:r>
      <w:r w:rsidR="00D518FB" w:rsidRPr="00734A8B">
        <w:rPr>
          <w:rFonts w:cs="Calibri"/>
          <w:color w:val="000000"/>
        </w:rPr>
        <w:t xml:space="preserve"> and 22.99</w:t>
      </w:r>
      <w:r>
        <w:rPr>
          <w:rFonts w:cs="Calibri"/>
          <w:color w:val="000000"/>
        </w:rPr>
        <w:t xml:space="preserve"> per cent</w:t>
      </w:r>
      <w:r w:rsidRPr="00734A8B">
        <w:rPr>
          <w:rFonts w:cs="Calibri"/>
          <w:color w:val="000000"/>
        </w:rPr>
        <w:t xml:space="preserve"> </w:t>
      </w:r>
      <w:r w:rsidR="00D518FB" w:rsidRPr="00734A8B">
        <w:rPr>
          <w:rFonts w:cs="Calibri"/>
          <w:color w:val="000000"/>
        </w:rPr>
        <w:t>citing face-to-face meetings where they were given information. Only 13.37</w:t>
      </w:r>
      <w:r>
        <w:rPr>
          <w:rFonts w:cs="Calibri"/>
          <w:color w:val="000000"/>
        </w:rPr>
        <w:t xml:space="preserve"> per cent</w:t>
      </w:r>
      <w:r w:rsidRPr="00734A8B">
        <w:rPr>
          <w:rFonts w:cs="Calibri"/>
          <w:color w:val="000000"/>
        </w:rPr>
        <w:t xml:space="preserve"> </w:t>
      </w:r>
      <w:r w:rsidR="00D518FB" w:rsidRPr="00734A8B">
        <w:rPr>
          <w:rFonts w:cs="Calibri"/>
          <w:color w:val="000000"/>
        </w:rPr>
        <w:t xml:space="preserve">mentioned attending a </w:t>
      </w:r>
      <w:r w:rsidR="00095AED">
        <w:rPr>
          <w:rFonts w:cs="Calibri"/>
          <w:color w:val="000000"/>
        </w:rPr>
        <w:t>r</w:t>
      </w:r>
      <w:r w:rsidR="00D518FB" w:rsidRPr="00734A8B">
        <w:rPr>
          <w:rFonts w:cs="Calibri"/>
          <w:color w:val="000000"/>
        </w:rPr>
        <w:t xml:space="preserve">oadshow. </w:t>
      </w:r>
    </w:p>
    <w:p w:rsidR="00D518FB" w:rsidRDefault="00D518FB" w:rsidP="00D518FB">
      <w:pPr>
        <w:pStyle w:val="CM46"/>
        <w:spacing w:after="130"/>
        <w:jc w:val="both"/>
        <w:rPr>
          <w:rFonts w:cs="Calibri"/>
          <w:color w:val="000000"/>
          <w:sz w:val="23"/>
          <w:szCs w:val="23"/>
        </w:rPr>
      </w:pPr>
      <w:r>
        <w:rPr>
          <w:rFonts w:cs="Calibri"/>
          <w:b/>
          <w:bCs/>
          <w:color w:val="000000"/>
          <w:sz w:val="23"/>
          <w:szCs w:val="23"/>
        </w:rPr>
        <w:t>Q</w:t>
      </w:r>
      <w:r>
        <w:rPr>
          <w:rFonts w:cs="Calibri"/>
          <w:b/>
          <w:bCs/>
          <w:color w:val="000000"/>
          <w:sz w:val="19"/>
          <w:szCs w:val="19"/>
        </w:rPr>
        <w:t xml:space="preserve">UESTION </w:t>
      </w:r>
      <w:r>
        <w:rPr>
          <w:rFonts w:cs="Calibri"/>
          <w:b/>
          <w:bCs/>
          <w:color w:val="000000"/>
          <w:sz w:val="23"/>
          <w:szCs w:val="23"/>
        </w:rPr>
        <w:t>9 – D</w:t>
      </w:r>
      <w:r>
        <w:rPr>
          <w:rFonts w:cs="Calibri"/>
          <w:b/>
          <w:bCs/>
          <w:color w:val="000000"/>
          <w:sz w:val="19"/>
          <w:szCs w:val="19"/>
        </w:rPr>
        <w:t xml:space="preserve">IRECT OR INDIRECT CONTACT WITH THE DEPARTMENT </w:t>
      </w:r>
      <w:r>
        <w:rPr>
          <w:rFonts w:cs="Calibri"/>
          <w:b/>
          <w:bCs/>
          <w:color w:val="000000"/>
          <w:sz w:val="23"/>
          <w:szCs w:val="23"/>
        </w:rPr>
        <w:t xml:space="preserve"> </w:t>
      </w:r>
    </w:p>
    <w:p w:rsidR="00D518FB" w:rsidRPr="00734A8B" w:rsidRDefault="00D518FB" w:rsidP="00D518FB">
      <w:pPr>
        <w:pStyle w:val="CM43"/>
        <w:spacing w:after="275" w:line="268" w:lineRule="atLeast"/>
        <w:jc w:val="both"/>
        <w:rPr>
          <w:rFonts w:cs="Calibri"/>
          <w:color w:val="000000"/>
        </w:rPr>
      </w:pPr>
      <w:r w:rsidRPr="00734A8B">
        <w:rPr>
          <w:rFonts w:cs="Calibri"/>
          <w:color w:val="000000"/>
        </w:rPr>
        <w:t>Over half of res</w:t>
      </w:r>
      <w:r>
        <w:rPr>
          <w:rFonts w:cs="Calibri"/>
          <w:color w:val="000000"/>
        </w:rPr>
        <w:t xml:space="preserve">pondents had had contact with the </w:t>
      </w:r>
      <w:r w:rsidRPr="00D97DB5">
        <w:t>Department</w:t>
      </w:r>
      <w:r w:rsidRPr="00734A8B">
        <w:rPr>
          <w:rFonts w:cs="Calibri"/>
          <w:color w:val="000000"/>
        </w:rPr>
        <w:t xml:space="preserve"> regarding the AML/CFT Act. </w:t>
      </w:r>
    </w:p>
    <w:p w:rsidR="00D518FB" w:rsidRDefault="00D518FB" w:rsidP="00D518FB">
      <w:pPr>
        <w:pStyle w:val="CM46"/>
        <w:spacing w:after="130"/>
        <w:jc w:val="both"/>
        <w:rPr>
          <w:rFonts w:cs="Calibri"/>
          <w:color w:val="000000"/>
          <w:sz w:val="23"/>
          <w:szCs w:val="23"/>
        </w:rPr>
      </w:pPr>
      <w:r>
        <w:rPr>
          <w:rFonts w:cs="Calibri"/>
          <w:b/>
          <w:bCs/>
          <w:color w:val="000000"/>
          <w:sz w:val="23"/>
          <w:szCs w:val="23"/>
        </w:rPr>
        <w:t>Q</w:t>
      </w:r>
      <w:r>
        <w:rPr>
          <w:rFonts w:cs="Calibri"/>
          <w:b/>
          <w:bCs/>
          <w:color w:val="000000"/>
          <w:sz w:val="19"/>
          <w:szCs w:val="19"/>
        </w:rPr>
        <w:t xml:space="preserve">UESTION </w:t>
      </w:r>
      <w:r>
        <w:rPr>
          <w:rFonts w:cs="Calibri"/>
          <w:b/>
          <w:bCs/>
          <w:color w:val="000000"/>
          <w:sz w:val="23"/>
          <w:szCs w:val="23"/>
        </w:rPr>
        <w:t>10 – T</w:t>
      </w:r>
      <w:r>
        <w:rPr>
          <w:rFonts w:cs="Calibri"/>
          <w:b/>
          <w:bCs/>
          <w:color w:val="000000"/>
          <w:sz w:val="19"/>
          <w:szCs w:val="19"/>
        </w:rPr>
        <w:t xml:space="preserve">YPES OF </w:t>
      </w:r>
      <w:r>
        <w:rPr>
          <w:rFonts w:cs="Calibri"/>
          <w:b/>
          <w:bCs/>
          <w:color w:val="000000"/>
          <w:sz w:val="23"/>
          <w:szCs w:val="23"/>
        </w:rPr>
        <w:t>I</w:t>
      </w:r>
      <w:r>
        <w:rPr>
          <w:rFonts w:cs="Calibri"/>
          <w:b/>
          <w:bCs/>
          <w:color w:val="000000"/>
          <w:sz w:val="19"/>
          <w:szCs w:val="19"/>
        </w:rPr>
        <w:t xml:space="preserve">NTERACTION WITH </w:t>
      </w:r>
      <w:r w:rsidRPr="00960926">
        <w:rPr>
          <w:rFonts w:cs="Calibri"/>
          <w:b/>
          <w:bCs/>
          <w:color w:val="000000"/>
          <w:sz w:val="19"/>
          <w:szCs w:val="19"/>
        </w:rPr>
        <w:t>THE DEPARTMENT</w:t>
      </w:r>
      <w:r>
        <w:rPr>
          <w:rFonts w:cs="Calibri"/>
          <w:b/>
          <w:bCs/>
          <w:color w:val="000000"/>
          <w:sz w:val="23"/>
          <w:szCs w:val="23"/>
        </w:rPr>
        <w:t xml:space="preserve"> </w:t>
      </w:r>
    </w:p>
    <w:p w:rsidR="00D518FB" w:rsidRDefault="00D518FB" w:rsidP="00D518FB">
      <w:pPr>
        <w:pStyle w:val="CM4"/>
        <w:jc w:val="both"/>
        <w:rPr>
          <w:rFonts w:cs="Calibri"/>
          <w:i/>
          <w:iCs/>
          <w:color w:val="000000"/>
        </w:rPr>
      </w:pPr>
      <w:r w:rsidRPr="00734A8B">
        <w:rPr>
          <w:rFonts w:cs="Calibri"/>
          <w:color w:val="000000"/>
        </w:rPr>
        <w:t>Of the responde</w:t>
      </w:r>
      <w:r>
        <w:rPr>
          <w:rFonts w:cs="Calibri"/>
          <w:color w:val="000000"/>
        </w:rPr>
        <w:t xml:space="preserve">nts who had interaction with the </w:t>
      </w:r>
      <w:r w:rsidRPr="00D97DB5">
        <w:t>Department</w:t>
      </w:r>
      <w:r w:rsidRPr="00734A8B">
        <w:rPr>
          <w:rFonts w:cs="Calibri"/>
          <w:color w:val="000000"/>
        </w:rPr>
        <w:t xml:space="preserve"> we were keen to understand </w:t>
      </w:r>
      <w:r w:rsidR="00F31F28">
        <w:rPr>
          <w:rFonts w:cs="Calibri"/>
          <w:color w:val="000000"/>
        </w:rPr>
        <w:t>the</w:t>
      </w:r>
      <w:r w:rsidR="00F31F28" w:rsidRPr="00734A8B">
        <w:rPr>
          <w:rFonts w:cs="Calibri"/>
          <w:color w:val="000000"/>
        </w:rPr>
        <w:t xml:space="preserve"> </w:t>
      </w:r>
      <w:r w:rsidRPr="00734A8B">
        <w:rPr>
          <w:rFonts w:cs="Calibri"/>
          <w:color w:val="000000"/>
        </w:rPr>
        <w:t>type of interaction this included. For Question 10 respondents were given a number of options and the</w:t>
      </w:r>
      <w:r>
        <w:rPr>
          <w:rFonts w:cs="Calibri"/>
          <w:color w:val="000000"/>
        </w:rPr>
        <w:t xml:space="preserve"> ability to choose one or more. </w:t>
      </w:r>
      <w:r w:rsidRPr="00734A8B">
        <w:rPr>
          <w:rFonts w:cs="Calibri"/>
          <w:i/>
          <w:iCs/>
          <w:color w:val="000000"/>
        </w:rPr>
        <w:t xml:space="preserve">See Appendix A for table (3.1 – </w:t>
      </w:r>
      <w:r>
        <w:rPr>
          <w:rFonts w:cs="Calibri"/>
          <w:i/>
          <w:iCs/>
          <w:color w:val="000000"/>
        </w:rPr>
        <w:t xml:space="preserve">Types of Interaction with the </w:t>
      </w:r>
      <w:r>
        <w:rPr>
          <w:sz w:val="22"/>
          <w:szCs w:val="22"/>
        </w:rPr>
        <w:t>Department</w:t>
      </w:r>
      <w:r w:rsidRPr="00734A8B">
        <w:rPr>
          <w:rFonts w:cs="Calibri"/>
          <w:i/>
          <w:iCs/>
          <w:color w:val="000000"/>
        </w:rPr>
        <w:t xml:space="preserve">) </w:t>
      </w:r>
    </w:p>
    <w:p w:rsidR="00D518FB" w:rsidRPr="00960926" w:rsidRDefault="00D518FB" w:rsidP="00D518FB">
      <w:pPr>
        <w:pStyle w:val="Default"/>
      </w:pPr>
    </w:p>
    <w:p w:rsidR="00D518FB" w:rsidRDefault="00D518FB" w:rsidP="00D518FB">
      <w:pPr>
        <w:pStyle w:val="CM48"/>
        <w:spacing w:after="108"/>
        <w:jc w:val="both"/>
        <w:rPr>
          <w:rFonts w:cs="Calibri"/>
          <w:color w:val="C04F4C"/>
          <w:sz w:val="26"/>
          <w:szCs w:val="26"/>
        </w:rPr>
      </w:pPr>
      <w:r>
        <w:rPr>
          <w:rFonts w:cs="Calibri"/>
          <w:b/>
          <w:bCs/>
          <w:color w:val="C04F4C"/>
          <w:sz w:val="32"/>
          <w:szCs w:val="32"/>
        </w:rPr>
        <w:t>O</w:t>
      </w:r>
      <w:r>
        <w:rPr>
          <w:rFonts w:cs="Calibri"/>
          <w:b/>
          <w:bCs/>
          <w:color w:val="C04F4C"/>
          <w:sz w:val="26"/>
          <w:szCs w:val="26"/>
        </w:rPr>
        <w:t xml:space="preserve">THER SOURCES OF </w:t>
      </w:r>
      <w:r>
        <w:rPr>
          <w:rFonts w:cs="Calibri"/>
          <w:b/>
          <w:bCs/>
          <w:color w:val="C04F4C"/>
          <w:sz w:val="32"/>
          <w:szCs w:val="32"/>
        </w:rPr>
        <w:t>I</w:t>
      </w:r>
      <w:r>
        <w:rPr>
          <w:rFonts w:cs="Calibri"/>
          <w:b/>
          <w:bCs/>
          <w:color w:val="C04F4C"/>
          <w:sz w:val="26"/>
          <w:szCs w:val="26"/>
        </w:rPr>
        <w:t xml:space="preserve">NFORMATION </w:t>
      </w:r>
    </w:p>
    <w:p w:rsidR="00D518FB" w:rsidRDefault="00D518FB" w:rsidP="00D518FB">
      <w:pPr>
        <w:pStyle w:val="CM46"/>
        <w:spacing w:after="130"/>
        <w:jc w:val="both"/>
        <w:rPr>
          <w:rFonts w:cs="Calibri"/>
          <w:color w:val="000000"/>
          <w:sz w:val="19"/>
          <w:szCs w:val="19"/>
        </w:rPr>
      </w:pPr>
      <w:r>
        <w:rPr>
          <w:rFonts w:cs="Calibri"/>
          <w:b/>
          <w:bCs/>
          <w:color w:val="000000"/>
          <w:sz w:val="23"/>
          <w:szCs w:val="23"/>
        </w:rPr>
        <w:t>Q</w:t>
      </w:r>
      <w:r>
        <w:rPr>
          <w:rFonts w:cs="Calibri"/>
          <w:b/>
          <w:bCs/>
          <w:color w:val="000000"/>
          <w:sz w:val="19"/>
          <w:szCs w:val="19"/>
        </w:rPr>
        <w:t xml:space="preserve">UESTION </w:t>
      </w:r>
      <w:r>
        <w:rPr>
          <w:rFonts w:cs="Calibri"/>
          <w:b/>
          <w:bCs/>
          <w:color w:val="000000"/>
          <w:sz w:val="23"/>
          <w:szCs w:val="23"/>
        </w:rPr>
        <w:t>20 – O</w:t>
      </w:r>
      <w:r>
        <w:rPr>
          <w:rFonts w:cs="Calibri"/>
          <w:b/>
          <w:bCs/>
          <w:color w:val="000000"/>
          <w:sz w:val="19"/>
          <w:szCs w:val="19"/>
        </w:rPr>
        <w:t xml:space="preserve">THER SOURCES OF INFORMATION  </w:t>
      </w:r>
    </w:p>
    <w:p w:rsidR="00D518FB" w:rsidRPr="00734A8B" w:rsidRDefault="00D518FB" w:rsidP="00D518FB">
      <w:pPr>
        <w:pStyle w:val="CM4"/>
        <w:jc w:val="both"/>
        <w:rPr>
          <w:rFonts w:cs="Calibri"/>
          <w:color w:val="000000"/>
        </w:rPr>
      </w:pPr>
      <w:r w:rsidRPr="00734A8B">
        <w:rPr>
          <w:rFonts w:cs="Calibri"/>
          <w:color w:val="000000"/>
        </w:rPr>
        <w:t>The final question we asked related to any other agency, business, etc. that respondents had contacted or used in order to find more information abo</w:t>
      </w:r>
      <w:r>
        <w:rPr>
          <w:rFonts w:cs="Calibri"/>
          <w:color w:val="000000"/>
        </w:rPr>
        <w:t xml:space="preserve">ut the Act. </w:t>
      </w:r>
      <w:r w:rsidRPr="00734A8B">
        <w:rPr>
          <w:rFonts w:cs="Calibri"/>
          <w:i/>
          <w:iCs/>
          <w:color w:val="000000"/>
        </w:rPr>
        <w:t xml:space="preserve">See Appendix A for table (4.1 – Other sources of information) </w:t>
      </w:r>
    </w:p>
    <w:p w:rsidR="001B3CE3" w:rsidRDefault="001B3CE3" w:rsidP="00536829">
      <w:pPr>
        <w:pStyle w:val="Heading2"/>
      </w:pPr>
      <w:bookmarkStart w:id="6" w:name="_Toc417549688"/>
    </w:p>
    <w:p w:rsidR="001B3CE3" w:rsidRDefault="001B3CE3" w:rsidP="00536829">
      <w:pPr>
        <w:pStyle w:val="Heading2"/>
      </w:pPr>
    </w:p>
    <w:p w:rsidR="00D518FB" w:rsidRDefault="00D518FB" w:rsidP="00536829">
      <w:pPr>
        <w:pStyle w:val="Heading2"/>
      </w:pPr>
      <w:r>
        <w:t>Sector understanding of the AML/CFT Act</w:t>
      </w:r>
      <w:bookmarkEnd w:id="6"/>
      <w:r>
        <w:t xml:space="preserve"> </w:t>
      </w:r>
    </w:p>
    <w:p w:rsidR="00D518FB" w:rsidRPr="00734A8B" w:rsidRDefault="00D518FB" w:rsidP="00D518FB">
      <w:pPr>
        <w:pStyle w:val="CM43"/>
        <w:spacing w:after="275" w:line="268" w:lineRule="atLeast"/>
        <w:jc w:val="both"/>
        <w:rPr>
          <w:rFonts w:cs="Calibri"/>
          <w:color w:val="000000"/>
        </w:rPr>
      </w:pPr>
      <w:r w:rsidRPr="00734A8B">
        <w:rPr>
          <w:rFonts w:cs="Calibri"/>
          <w:color w:val="000000"/>
        </w:rPr>
        <w:t xml:space="preserve">In order to establish how respondents felt about their understanding of the Act and requirements we asked a series of questions and asked respondents to rate their understanding at specific times: </w:t>
      </w:r>
    </w:p>
    <w:p w:rsidR="00D518FB" w:rsidRPr="00734A8B" w:rsidRDefault="00D518FB" w:rsidP="00D518FB">
      <w:pPr>
        <w:pStyle w:val="Default"/>
        <w:numPr>
          <w:ilvl w:val="0"/>
          <w:numId w:val="33"/>
        </w:numPr>
        <w:spacing w:after="2"/>
      </w:pPr>
      <w:r w:rsidRPr="00734A8B">
        <w:t xml:space="preserve">Two years ago </w:t>
      </w:r>
    </w:p>
    <w:p w:rsidR="00D518FB" w:rsidRPr="00734A8B" w:rsidRDefault="00D518FB" w:rsidP="00D518FB">
      <w:pPr>
        <w:pStyle w:val="Default"/>
        <w:numPr>
          <w:ilvl w:val="0"/>
          <w:numId w:val="33"/>
        </w:numPr>
        <w:spacing w:after="2"/>
      </w:pPr>
      <w:r w:rsidRPr="00734A8B">
        <w:lastRenderedPageBreak/>
        <w:t xml:space="preserve">When the Act came into effect on 1 July 2013 </w:t>
      </w:r>
    </w:p>
    <w:p w:rsidR="00D518FB" w:rsidRPr="00734A8B" w:rsidRDefault="00D518FB" w:rsidP="00D518FB">
      <w:pPr>
        <w:pStyle w:val="Default"/>
        <w:numPr>
          <w:ilvl w:val="0"/>
          <w:numId w:val="33"/>
        </w:numPr>
      </w:pPr>
      <w:r w:rsidRPr="00734A8B">
        <w:t>Now</w:t>
      </w:r>
      <w:r w:rsidR="00A8325A">
        <w:t xml:space="preserve"> (April 2014)</w:t>
      </w:r>
    </w:p>
    <w:p w:rsidR="00D518FB" w:rsidRPr="00734A8B" w:rsidRDefault="00D518FB" w:rsidP="00D518FB">
      <w:pPr>
        <w:pStyle w:val="Default"/>
      </w:pPr>
    </w:p>
    <w:p w:rsidR="00D518FB" w:rsidRPr="00734A8B" w:rsidRDefault="00D518FB" w:rsidP="00D518FB">
      <w:pPr>
        <w:pStyle w:val="CM43"/>
        <w:spacing w:after="275" w:line="268" w:lineRule="atLeast"/>
        <w:jc w:val="both"/>
        <w:rPr>
          <w:rFonts w:cs="Calibri"/>
          <w:color w:val="000000"/>
        </w:rPr>
      </w:pPr>
      <w:r w:rsidRPr="00734A8B">
        <w:rPr>
          <w:rFonts w:cs="Calibri"/>
          <w:color w:val="000000"/>
        </w:rPr>
        <w:t xml:space="preserve">This method would enable us to view growth of knowledge as well as creating a baseline for movement. The four areas of understanding we focused on were: </w:t>
      </w:r>
    </w:p>
    <w:p w:rsidR="00D518FB" w:rsidRPr="00734A8B" w:rsidRDefault="00D518FB" w:rsidP="00D518FB">
      <w:pPr>
        <w:pStyle w:val="Default"/>
        <w:numPr>
          <w:ilvl w:val="0"/>
          <w:numId w:val="34"/>
        </w:numPr>
        <w:spacing w:after="226"/>
        <w:ind w:left="360" w:hanging="360"/>
      </w:pPr>
      <w:r w:rsidRPr="00734A8B">
        <w:t xml:space="preserve">Conducting a risk assessment to assess the money laundering and terrorist financing risks their business reasonably expects to face </w:t>
      </w:r>
    </w:p>
    <w:p w:rsidR="00D518FB" w:rsidRPr="00734A8B" w:rsidRDefault="00D518FB" w:rsidP="00D518FB">
      <w:pPr>
        <w:pStyle w:val="Default"/>
        <w:numPr>
          <w:ilvl w:val="0"/>
          <w:numId w:val="34"/>
        </w:numPr>
        <w:spacing w:after="226"/>
        <w:ind w:left="360" w:hanging="360"/>
      </w:pPr>
      <w:r w:rsidRPr="00734A8B">
        <w:t xml:space="preserve">Developing and regularly reviewing an AML/CFT Programme for their business </w:t>
      </w:r>
    </w:p>
    <w:p w:rsidR="00D518FB" w:rsidRPr="00734A8B" w:rsidRDefault="00D518FB" w:rsidP="00D518FB">
      <w:pPr>
        <w:pStyle w:val="Default"/>
        <w:numPr>
          <w:ilvl w:val="0"/>
          <w:numId w:val="34"/>
        </w:numPr>
        <w:spacing w:after="226"/>
        <w:ind w:left="360" w:hanging="360"/>
      </w:pPr>
      <w:r w:rsidRPr="00734A8B">
        <w:t>Information needed to be provided in their Annual Report to</w:t>
      </w:r>
      <w:r>
        <w:t xml:space="preserve"> the Sector Supervisor </w:t>
      </w:r>
      <w:r w:rsidRPr="00734A8B">
        <w:t xml:space="preserve"> </w:t>
      </w:r>
    </w:p>
    <w:p w:rsidR="00D518FB" w:rsidRPr="00734A8B" w:rsidRDefault="00D518FB" w:rsidP="00D518FB">
      <w:pPr>
        <w:pStyle w:val="Default"/>
        <w:numPr>
          <w:ilvl w:val="0"/>
          <w:numId w:val="34"/>
        </w:numPr>
        <w:ind w:left="360" w:hanging="360"/>
      </w:pPr>
      <w:r w:rsidRPr="00734A8B">
        <w:t>The requirement to submit Suspicious Transactions Reports to the Police Financial Intelligence Unit</w:t>
      </w:r>
      <w:r w:rsidR="00F31F28">
        <w:t>.</w:t>
      </w:r>
      <w:r w:rsidRPr="00734A8B">
        <w:t xml:space="preserve"> </w:t>
      </w:r>
    </w:p>
    <w:p w:rsidR="00D518FB" w:rsidRPr="00734A8B" w:rsidRDefault="00D518FB" w:rsidP="00D518FB">
      <w:pPr>
        <w:pStyle w:val="Default"/>
      </w:pPr>
    </w:p>
    <w:p w:rsidR="00D518FB" w:rsidRDefault="00D518FB" w:rsidP="00D518FB">
      <w:pPr>
        <w:pStyle w:val="CM45"/>
        <w:spacing w:line="268" w:lineRule="atLeast"/>
        <w:rPr>
          <w:rFonts w:cs="Calibri"/>
          <w:color w:val="000000"/>
        </w:rPr>
      </w:pPr>
      <w:r w:rsidRPr="00734A8B">
        <w:rPr>
          <w:rFonts w:cs="Calibri"/>
          <w:color w:val="000000"/>
        </w:rPr>
        <w:t xml:space="preserve">We noted that two years ago annual reporting was, and still is, the biggest area of concern respondents had </w:t>
      </w:r>
      <w:r w:rsidR="00F31F28" w:rsidRPr="00734A8B">
        <w:rPr>
          <w:rFonts w:cs="Calibri"/>
          <w:color w:val="000000"/>
        </w:rPr>
        <w:t>whil</w:t>
      </w:r>
      <w:r w:rsidR="00F31F28">
        <w:rPr>
          <w:rFonts w:cs="Calibri"/>
          <w:color w:val="000000"/>
        </w:rPr>
        <w:t>e</w:t>
      </w:r>
      <w:r w:rsidR="00F31F28" w:rsidRPr="00734A8B">
        <w:rPr>
          <w:rFonts w:cs="Calibri"/>
          <w:color w:val="000000"/>
        </w:rPr>
        <w:t xml:space="preserve"> </w:t>
      </w:r>
      <w:r w:rsidRPr="00734A8B">
        <w:rPr>
          <w:rFonts w:cs="Calibri"/>
          <w:color w:val="000000"/>
        </w:rPr>
        <w:t xml:space="preserve">across the sector risk assessments cause the least concern. </w:t>
      </w:r>
    </w:p>
    <w:p w:rsidR="00D518FB" w:rsidRPr="00A03A22" w:rsidRDefault="00D518FB" w:rsidP="00D518FB">
      <w:pPr>
        <w:pStyle w:val="Default"/>
      </w:pPr>
    </w:p>
    <w:p w:rsidR="00D518FB" w:rsidRDefault="00D518FB" w:rsidP="00D518FB">
      <w:pPr>
        <w:pStyle w:val="Default"/>
      </w:pPr>
    </w:p>
    <w:p w:rsidR="00D518FB" w:rsidRPr="00B76066" w:rsidRDefault="00D518FB" w:rsidP="00D518FB">
      <w:pPr>
        <w:pStyle w:val="Default"/>
        <w:jc w:val="center"/>
      </w:pPr>
      <w:r>
        <w:rPr>
          <w:noProof/>
          <w:sz w:val="22"/>
          <w:szCs w:val="22"/>
        </w:rPr>
        <w:drawing>
          <wp:inline distT="0" distB="0" distL="0" distR="0" wp14:anchorId="2F7F452C" wp14:editId="408D62FB">
            <wp:extent cx="4581525" cy="35814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3581400"/>
                    </a:xfrm>
                    <a:prstGeom prst="rect">
                      <a:avLst/>
                    </a:prstGeom>
                    <a:noFill/>
                    <a:ln>
                      <a:noFill/>
                    </a:ln>
                  </pic:spPr>
                </pic:pic>
              </a:graphicData>
            </a:graphic>
          </wp:inline>
        </w:drawing>
      </w:r>
    </w:p>
    <w:p w:rsidR="001B3CE3" w:rsidRDefault="001B3CE3" w:rsidP="00536829">
      <w:pPr>
        <w:pStyle w:val="Heading2"/>
      </w:pPr>
      <w:bookmarkStart w:id="7" w:name="_Toc417549689"/>
    </w:p>
    <w:p w:rsidR="001B3CE3" w:rsidRDefault="001B3CE3" w:rsidP="00536829">
      <w:pPr>
        <w:pStyle w:val="Heading2"/>
      </w:pPr>
    </w:p>
    <w:p w:rsidR="00D518FB" w:rsidRPr="00B105B4" w:rsidRDefault="00D518FB" w:rsidP="00536829">
      <w:pPr>
        <w:pStyle w:val="Heading2"/>
      </w:pPr>
      <w:r w:rsidRPr="00B105B4">
        <w:t>R</w:t>
      </w:r>
      <w:r>
        <w:t>isk Assessment</w:t>
      </w:r>
      <w:bookmarkEnd w:id="7"/>
      <w:r w:rsidRPr="00B105B4">
        <w:t xml:space="preserve"> </w:t>
      </w:r>
    </w:p>
    <w:p w:rsidR="00D518FB" w:rsidRDefault="00D518FB" w:rsidP="00D518FB">
      <w:pPr>
        <w:pStyle w:val="Default"/>
        <w:spacing w:line="271" w:lineRule="atLeast"/>
        <w:ind w:right="370"/>
        <w:jc w:val="both"/>
      </w:pPr>
      <w:r>
        <w:rPr>
          <w:b/>
          <w:bCs/>
          <w:sz w:val="22"/>
          <w:szCs w:val="22"/>
        </w:rPr>
        <w:t>Question 11 -</w:t>
      </w:r>
      <w:r w:rsidRPr="00734A8B">
        <w:t>How would you rate your business'</w:t>
      </w:r>
      <w:r w:rsidR="00F31F28">
        <w:t>s</w:t>
      </w:r>
      <w:r w:rsidRPr="00734A8B">
        <w:t xml:space="preserve"> understanding around conducting a risk assessment to assess the money laundering and terrorist financing risks your business reasonably expects to face? </w:t>
      </w:r>
    </w:p>
    <w:p w:rsidR="00D518FB" w:rsidRPr="00734A8B" w:rsidRDefault="00D518FB" w:rsidP="00D518FB">
      <w:pPr>
        <w:pStyle w:val="Default"/>
        <w:spacing w:line="271" w:lineRule="atLeast"/>
        <w:ind w:right="370"/>
        <w:jc w:val="both"/>
      </w:pPr>
    </w:p>
    <w:p w:rsidR="00D518FB" w:rsidRPr="00734A8B" w:rsidRDefault="00D518FB" w:rsidP="00D518FB">
      <w:pPr>
        <w:pStyle w:val="Default"/>
        <w:numPr>
          <w:ilvl w:val="0"/>
          <w:numId w:val="39"/>
        </w:numPr>
        <w:ind w:left="360" w:hanging="360"/>
      </w:pPr>
      <w:r w:rsidRPr="00734A8B">
        <w:t xml:space="preserve">No understanding at all </w:t>
      </w:r>
    </w:p>
    <w:p w:rsidR="00D518FB" w:rsidRPr="00734A8B" w:rsidRDefault="00D518FB" w:rsidP="00D518FB">
      <w:pPr>
        <w:pStyle w:val="Default"/>
        <w:numPr>
          <w:ilvl w:val="0"/>
          <w:numId w:val="39"/>
        </w:numPr>
        <w:ind w:left="360" w:hanging="360"/>
      </w:pPr>
      <w:r w:rsidRPr="00734A8B">
        <w:t xml:space="preserve">Very little understanding of the requirements </w:t>
      </w:r>
    </w:p>
    <w:p w:rsidR="00D518FB" w:rsidRPr="00734A8B" w:rsidRDefault="00D518FB" w:rsidP="00D518FB">
      <w:pPr>
        <w:pStyle w:val="Default"/>
        <w:numPr>
          <w:ilvl w:val="0"/>
          <w:numId w:val="39"/>
        </w:numPr>
        <w:ind w:left="360" w:hanging="360"/>
      </w:pPr>
      <w:r w:rsidRPr="00734A8B">
        <w:t xml:space="preserve">Some understanding of the requirements </w:t>
      </w:r>
    </w:p>
    <w:p w:rsidR="00D518FB" w:rsidRPr="00734A8B" w:rsidRDefault="00D518FB" w:rsidP="00D518FB">
      <w:pPr>
        <w:pStyle w:val="Default"/>
        <w:numPr>
          <w:ilvl w:val="0"/>
          <w:numId w:val="39"/>
        </w:numPr>
        <w:ind w:left="360" w:hanging="360"/>
      </w:pPr>
      <w:r w:rsidRPr="00734A8B">
        <w:t xml:space="preserve">A reasonable understanding of the requirements </w:t>
      </w:r>
    </w:p>
    <w:p w:rsidR="00D518FB" w:rsidRPr="00734A8B" w:rsidRDefault="00D518FB" w:rsidP="00D518FB">
      <w:pPr>
        <w:pStyle w:val="Default"/>
        <w:numPr>
          <w:ilvl w:val="0"/>
          <w:numId w:val="39"/>
        </w:numPr>
        <w:ind w:left="360" w:hanging="360"/>
      </w:pPr>
      <w:r w:rsidRPr="00734A8B">
        <w:t>An extremely good understanding of the requirements</w:t>
      </w:r>
      <w:r w:rsidR="00F31F28">
        <w:t>.</w:t>
      </w:r>
      <w:r w:rsidRPr="00734A8B">
        <w:t xml:space="preserve"> </w:t>
      </w:r>
    </w:p>
    <w:p w:rsidR="00D518FB" w:rsidRPr="00734A8B" w:rsidRDefault="00D518FB" w:rsidP="00D518FB">
      <w:pPr>
        <w:pStyle w:val="Default"/>
      </w:pPr>
    </w:p>
    <w:p w:rsidR="00D518FB" w:rsidRPr="00734A8B" w:rsidRDefault="00D518FB" w:rsidP="00D518FB">
      <w:pPr>
        <w:pStyle w:val="CM43"/>
        <w:spacing w:after="275" w:line="271" w:lineRule="atLeast"/>
        <w:ind w:right="2270"/>
        <w:jc w:val="both"/>
        <w:rPr>
          <w:rFonts w:cs="Calibri"/>
          <w:color w:val="000000"/>
        </w:rPr>
      </w:pPr>
      <w:r w:rsidRPr="00734A8B">
        <w:rPr>
          <w:rFonts w:cs="Calibri"/>
          <w:color w:val="000000"/>
        </w:rPr>
        <w:t xml:space="preserve">The average individual response for understanding </w:t>
      </w:r>
      <w:r w:rsidRPr="00734A8B">
        <w:rPr>
          <w:rFonts w:cs="Calibri"/>
          <w:i/>
          <w:iCs/>
          <w:color w:val="000000"/>
        </w:rPr>
        <w:t xml:space="preserve">2 years ago </w:t>
      </w:r>
      <w:r w:rsidRPr="00734A8B">
        <w:rPr>
          <w:rFonts w:cs="Calibri"/>
          <w:color w:val="000000"/>
        </w:rPr>
        <w:t>was a rating of 2</w:t>
      </w:r>
      <w:r>
        <w:rPr>
          <w:rFonts w:cs="Calibri"/>
          <w:color w:val="000000"/>
        </w:rPr>
        <w:t xml:space="preserve">.60. </w:t>
      </w:r>
      <w:r w:rsidRPr="00734A8B">
        <w:rPr>
          <w:rFonts w:cs="Calibri"/>
          <w:color w:val="000000"/>
        </w:rPr>
        <w:t xml:space="preserve">The average individual response for understanding in </w:t>
      </w:r>
      <w:r w:rsidRPr="00C553B2">
        <w:rPr>
          <w:rFonts w:cs="Calibri"/>
          <w:iCs/>
          <w:color w:val="000000"/>
        </w:rPr>
        <w:t>July 2013</w:t>
      </w:r>
      <w:r w:rsidRPr="00734A8B">
        <w:rPr>
          <w:rFonts w:cs="Calibri"/>
          <w:i/>
          <w:iCs/>
          <w:color w:val="000000"/>
        </w:rPr>
        <w:t xml:space="preserve"> </w:t>
      </w:r>
      <w:r>
        <w:rPr>
          <w:rFonts w:cs="Calibri"/>
          <w:color w:val="000000"/>
        </w:rPr>
        <w:t xml:space="preserve">was a rating of 3.65. </w:t>
      </w:r>
      <w:r w:rsidRPr="00734A8B">
        <w:rPr>
          <w:rFonts w:cs="Calibri"/>
          <w:color w:val="000000"/>
        </w:rPr>
        <w:t xml:space="preserve">The average individual response for understanding </w:t>
      </w:r>
      <w:r w:rsidR="00C553B2" w:rsidRPr="00C553B2">
        <w:rPr>
          <w:rFonts w:cs="Calibri"/>
          <w:bCs/>
          <w:iCs/>
          <w:color w:val="000000"/>
        </w:rPr>
        <w:t>as of April 2014</w:t>
      </w:r>
      <w:r w:rsidR="00C553B2">
        <w:rPr>
          <w:rFonts w:cs="Calibri"/>
          <w:color w:val="000000"/>
        </w:rPr>
        <w:t xml:space="preserve"> was </w:t>
      </w:r>
      <w:r w:rsidRPr="00734A8B">
        <w:rPr>
          <w:rFonts w:cs="Calibri"/>
          <w:color w:val="000000"/>
        </w:rPr>
        <w:t>a rating of 4.17</w:t>
      </w:r>
      <w:r w:rsidR="00F31F28">
        <w:rPr>
          <w:rFonts w:cs="Calibri"/>
          <w:color w:val="000000"/>
        </w:rPr>
        <w:t>.</w:t>
      </w:r>
      <w:r w:rsidRPr="00734A8B">
        <w:rPr>
          <w:rFonts w:cs="Calibri"/>
          <w:color w:val="000000"/>
        </w:rPr>
        <w:t xml:space="preserve"> </w:t>
      </w:r>
    </w:p>
    <w:p w:rsidR="00D518FB" w:rsidRPr="00734A8B" w:rsidRDefault="00D518FB" w:rsidP="00D518FB">
      <w:pPr>
        <w:pStyle w:val="CM43"/>
        <w:spacing w:line="271" w:lineRule="atLeast"/>
        <w:rPr>
          <w:rFonts w:cs="Calibri"/>
          <w:color w:val="000000"/>
        </w:rPr>
      </w:pPr>
      <w:r w:rsidRPr="00734A8B">
        <w:rPr>
          <w:rFonts w:cs="Calibri"/>
          <w:color w:val="000000"/>
        </w:rPr>
        <w:t xml:space="preserve">Across all respondents there </w:t>
      </w:r>
      <w:r w:rsidR="00F31F28">
        <w:rPr>
          <w:rFonts w:cs="Calibri"/>
          <w:color w:val="000000"/>
        </w:rPr>
        <w:t>was</w:t>
      </w:r>
      <w:r w:rsidRPr="00734A8B">
        <w:rPr>
          <w:rFonts w:cs="Calibri"/>
          <w:color w:val="000000"/>
        </w:rPr>
        <w:t xml:space="preserve"> a movement of 1.57 since two years ago. </w:t>
      </w:r>
    </w:p>
    <w:p w:rsidR="00D518FB" w:rsidRPr="00734A8B" w:rsidRDefault="00D518FB" w:rsidP="00D518FB">
      <w:pPr>
        <w:pStyle w:val="CM43"/>
        <w:spacing w:line="271" w:lineRule="atLeast"/>
        <w:rPr>
          <w:rFonts w:cs="Calibri"/>
          <w:color w:val="000000"/>
        </w:rPr>
      </w:pPr>
      <w:r w:rsidRPr="00734A8B">
        <w:rPr>
          <w:rFonts w:cs="Calibri"/>
          <w:color w:val="000000"/>
        </w:rPr>
        <w:t xml:space="preserve">Across all respondents there </w:t>
      </w:r>
      <w:r w:rsidR="00F31F28">
        <w:rPr>
          <w:rFonts w:cs="Calibri"/>
          <w:color w:val="000000"/>
        </w:rPr>
        <w:t>was</w:t>
      </w:r>
      <w:r w:rsidRPr="00734A8B">
        <w:rPr>
          <w:rFonts w:cs="Calibri"/>
          <w:color w:val="000000"/>
        </w:rPr>
        <w:t xml:space="preserve"> a movement of 0.52 since the Act came into effect. </w:t>
      </w:r>
    </w:p>
    <w:p w:rsidR="00D518FB" w:rsidRPr="00734A8B" w:rsidRDefault="00D518FB" w:rsidP="00D518FB">
      <w:pPr>
        <w:pStyle w:val="Default"/>
      </w:pPr>
    </w:p>
    <w:p w:rsidR="00D518FB" w:rsidRPr="00734A8B" w:rsidRDefault="00D518FB" w:rsidP="00D518FB">
      <w:pPr>
        <w:pStyle w:val="CM43"/>
        <w:spacing w:after="275" w:line="268" w:lineRule="atLeast"/>
        <w:jc w:val="both"/>
        <w:rPr>
          <w:rFonts w:cs="Calibri"/>
          <w:color w:val="000000"/>
        </w:rPr>
      </w:pPr>
      <w:r w:rsidRPr="00734A8B">
        <w:rPr>
          <w:rFonts w:cs="Calibri"/>
          <w:color w:val="000000"/>
        </w:rPr>
        <w:t xml:space="preserve">The survey illustrated that since the Act came into effect in July 2013 respondents have gone from a position of having ‘some’ understanding of conducting risk assessments through to what they describe as a ‘reasonable’ understanding. </w:t>
      </w:r>
    </w:p>
    <w:p w:rsidR="00D518FB" w:rsidRDefault="00D518FB" w:rsidP="00D518FB">
      <w:pPr>
        <w:pStyle w:val="CM43"/>
        <w:spacing w:after="275" w:line="268" w:lineRule="atLeast"/>
        <w:jc w:val="both"/>
        <w:rPr>
          <w:rFonts w:cs="Calibri"/>
          <w:i/>
          <w:iCs/>
          <w:color w:val="000000"/>
        </w:rPr>
      </w:pPr>
      <w:r w:rsidRPr="00734A8B">
        <w:rPr>
          <w:rFonts w:cs="Calibri"/>
          <w:color w:val="000000"/>
        </w:rPr>
        <w:t xml:space="preserve">The most confident subsector </w:t>
      </w:r>
      <w:r w:rsidR="00DD2E00">
        <w:rPr>
          <w:rFonts w:cs="Calibri"/>
          <w:color w:val="000000"/>
        </w:rPr>
        <w:t xml:space="preserve">as of April 2014 </w:t>
      </w:r>
      <w:r w:rsidR="00AF0488">
        <w:rPr>
          <w:rFonts w:cs="Calibri"/>
          <w:color w:val="000000"/>
        </w:rPr>
        <w:t>is</w:t>
      </w:r>
      <w:r w:rsidR="00AF0488" w:rsidRPr="00734A8B">
        <w:rPr>
          <w:rFonts w:cs="Calibri"/>
          <w:color w:val="000000"/>
        </w:rPr>
        <w:t xml:space="preserve"> </w:t>
      </w:r>
      <w:r w:rsidRPr="00734A8B">
        <w:rPr>
          <w:rFonts w:cs="Calibri"/>
          <w:color w:val="000000"/>
        </w:rPr>
        <w:t xml:space="preserve">Casino Operators (5.00) whilst the least confident </w:t>
      </w:r>
      <w:r w:rsidR="00AF0488">
        <w:rPr>
          <w:rFonts w:cs="Calibri"/>
          <w:color w:val="000000"/>
        </w:rPr>
        <w:t>is</w:t>
      </w:r>
      <w:r w:rsidR="00AF0488" w:rsidRPr="00734A8B">
        <w:rPr>
          <w:rFonts w:cs="Calibri"/>
          <w:color w:val="000000"/>
        </w:rPr>
        <w:t xml:space="preserve"> </w:t>
      </w:r>
      <w:r w:rsidRPr="00734A8B">
        <w:rPr>
          <w:rFonts w:cs="Calibri"/>
          <w:color w:val="000000"/>
        </w:rPr>
        <w:t xml:space="preserve">Debt Collectors (3.30). </w:t>
      </w:r>
      <w:r w:rsidRPr="00734A8B">
        <w:rPr>
          <w:rFonts w:cs="Calibri"/>
          <w:i/>
          <w:iCs/>
          <w:color w:val="000000"/>
        </w:rPr>
        <w:t xml:space="preserve">See Appendix A for Table (5.1 – Subsector Risk Assessment) </w:t>
      </w:r>
    </w:p>
    <w:p w:rsidR="00D518FB" w:rsidRDefault="00D518FB" w:rsidP="00D518FB">
      <w:pPr>
        <w:pStyle w:val="CM46"/>
        <w:spacing w:after="130"/>
        <w:jc w:val="both"/>
        <w:rPr>
          <w:rFonts w:cs="Calibri"/>
          <w:color w:val="000000"/>
          <w:sz w:val="23"/>
          <w:szCs w:val="23"/>
        </w:rPr>
      </w:pPr>
      <w:r>
        <w:rPr>
          <w:rFonts w:cs="Calibri"/>
          <w:b/>
          <w:bCs/>
          <w:color w:val="000000"/>
          <w:sz w:val="23"/>
          <w:szCs w:val="23"/>
        </w:rPr>
        <w:t>Q</w:t>
      </w:r>
      <w:r>
        <w:rPr>
          <w:rFonts w:cs="Calibri"/>
          <w:b/>
          <w:bCs/>
          <w:color w:val="000000"/>
          <w:sz w:val="19"/>
          <w:szCs w:val="19"/>
        </w:rPr>
        <w:t xml:space="preserve">UESTION </w:t>
      </w:r>
      <w:r>
        <w:rPr>
          <w:rFonts w:cs="Calibri"/>
          <w:b/>
          <w:bCs/>
          <w:color w:val="000000"/>
          <w:sz w:val="23"/>
          <w:szCs w:val="23"/>
        </w:rPr>
        <w:t>12 – COMMENTS ON UNDERSTANDING OF RISK ASSESSMENTS</w:t>
      </w:r>
    </w:p>
    <w:p w:rsidR="00D518FB" w:rsidRPr="00193E19" w:rsidRDefault="00D518FB" w:rsidP="00D518FB">
      <w:pPr>
        <w:pStyle w:val="Default"/>
      </w:pPr>
      <w:r>
        <w:t>Refer to Appendix B – Survey Summary data</w:t>
      </w:r>
    </w:p>
    <w:p w:rsidR="00D518FB" w:rsidRPr="007B506E" w:rsidRDefault="00D518FB" w:rsidP="00D518FB">
      <w:pPr>
        <w:pStyle w:val="Default"/>
      </w:pPr>
    </w:p>
    <w:p w:rsidR="001B3CE3" w:rsidRDefault="001B3CE3" w:rsidP="00536829">
      <w:pPr>
        <w:pStyle w:val="Heading2"/>
      </w:pPr>
      <w:bookmarkStart w:id="8" w:name="_Toc417549690"/>
    </w:p>
    <w:p w:rsidR="001B3CE3" w:rsidRDefault="001B3CE3" w:rsidP="00536829">
      <w:pPr>
        <w:pStyle w:val="Heading2"/>
      </w:pPr>
    </w:p>
    <w:p w:rsidR="00D518FB" w:rsidRPr="00B105B4" w:rsidRDefault="00D518FB" w:rsidP="00536829">
      <w:pPr>
        <w:pStyle w:val="Heading2"/>
      </w:pPr>
      <w:r w:rsidRPr="00B105B4">
        <w:t>AML/CFT P</w:t>
      </w:r>
      <w:r>
        <w:t>rogramme</w:t>
      </w:r>
      <w:bookmarkEnd w:id="8"/>
      <w:r w:rsidRPr="00B105B4">
        <w:t xml:space="preserve"> </w:t>
      </w:r>
    </w:p>
    <w:p w:rsidR="00D518FB" w:rsidRDefault="00D518FB" w:rsidP="00D518FB">
      <w:pPr>
        <w:pStyle w:val="Default"/>
        <w:spacing w:line="271" w:lineRule="atLeast"/>
        <w:ind w:right="180"/>
        <w:jc w:val="both"/>
      </w:pPr>
      <w:r>
        <w:rPr>
          <w:b/>
          <w:bCs/>
          <w:sz w:val="22"/>
          <w:szCs w:val="22"/>
        </w:rPr>
        <w:t>Question 13 -</w:t>
      </w:r>
      <w:r w:rsidRPr="00734A8B">
        <w:t>How would you rate your business'</w:t>
      </w:r>
      <w:r w:rsidR="00F31F28">
        <w:t>s</w:t>
      </w:r>
      <w:r w:rsidRPr="00734A8B">
        <w:t xml:space="preserve"> understanding of developing and regularly reviewing the AML/CFT Programme for your business? </w:t>
      </w:r>
    </w:p>
    <w:p w:rsidR="00D518FB" w:rsidRPr="00734A8B" w:rsidRDefault="00D518FB" w:rsidP="00D518FB">
      <w:pPr>
        <w:pStyle w:val="Default"/>
        <w:spacing w:line="271" w:lineRule="atLeast"/>
        <w:ind w:right="180"/>
        <w:jc w:val="both"/>
      </w:pPr>
    </w:p>
    <w:p w:rsidR="00D518FB" w:rsidRPr="00734A8B" w:rsidRDefault="00D518FB" w:rsidP="00D518FB">
      <w:pPr>
        <w:pStyle w:val="Default"/>
        <w:numPr>
          <w:ilvl w:val="0"/>
          <w:numId w:val="40"/>
        </w:numPr>
        <w:ind w:left="360" w:hanging="360"/>
      </w:pPr>
      <w:r w:rsidRPr="00734A8B">
        <w:t xml:space="preserve">No understanding at all </w:t>
      </w:r>
    </w:p>
    <w:p w:rsidR="00D518FB" w:rsidRPr="00734A8B" w:rsidRDefault="00D518FB" w:rsidP="00D518FB">
      <w:pPr>
        <w:pStyle w:val="Default"/>
        <w:numPr>
          <w:ilvl w:val="0"/>
          <w:numId w:val="40"/>
        </w:numPr>
        <w:ind w:left="360" w:hanging="360"/>
      </w:pPr>
      <w:r w:rsidRPr="00734A8B">
        <w:t xml:space="preserve">Very little understanding of the requirements </w:t>
      </w:r>
    </w:p>
    <w:p w:rsidR="00D518FB" w:rsidRPr="00734A8B" w:rsidRDefault="00D518FB" w:rsidP="00D518FB">
      <w:pPr>
        <w:pStyle w:val="Default"/>
        <w:numPr>
          <w:ilvl w:val="0"/>
          <w:numId w:val="40"/>
        </w:numPr>
        <w:ind w:left="360" w:hanging="360"/>
      </w:pPr>
      <w:r w:rsidRPr="00734A8B">
        <w:t xml:space="preserve">Some understanding of the requirements </w:t>
      </w:r>
    </w:p>
    <w:p w:rsidR="00D518FB" w:rsidRPr="00734A8B" w:rsidRDefault="00D518FB" w:rsidP="00D518FB">
      <w:pPr>
        <w:pStyle w:val="Default"/>
        <w:numPr>
          <w:ilvl w:val="0"/>
          <w:numId w:val="40"/>
        </w:numPr>
        <w:ind w:left="360" w:hanging="360"/>
      </w:pPr>
      <w:r w:rsidRPr="00734A8B">
        <w:t xml:space="preserve">A reasonable understanding of the requirements </w:t>
      </w:r>
    </w:p>
    <w:p w:rsidR="00D518FB" w:rsidRPr="00734A8B" w:rsidRDefault="00D518FB" w:rsidP="00D518FB">
      <w:pPr>
        <w:pStyle w:val="Default"/>
        <w:numPr>
          <w:ilvl w:val="0"/>
          <w:numId w:val="40"/>
        </w:numPr>
        <w:ind w:left="360" w:hanging="360"/>
      </w:pPr>
      <w:r w:rsidRPr="00734A8B">
        <w:t>An extremely good understanding of the requirements</w:t>
      </w:r>
      <w:r w:rsidR="00F31F28">
        <w:t>.</w:t>
      </w:r>
      <w:r w:rsidRPr="00734A8B">
        <w:t xml:space="preserve"> </w:t>
      </w:r>
    </w:p>
    <w:p w:rsidR="00D518FB" w:rsidRPr="00734A8B" w:rsidRDefault="00D518FB" w:rsidP="00D518FB">
      <w:pPr>
        <w:pStyle w:val="Default"/>
      </w:pPr>
    </w:p>
    <w:p w:rsidR="00D518FB" w:rsidRPr="00734A8B" w:rsidRDefault="00D518FB" w:rsidP="00D518FB">
      <w:pPr>
        <w:pStyle w:val="CM43"/>
        <w:spacing w:after="275" w:line="271" w:lineRule="atLeast"/>
        <w:ind w:right="2270"/>
        <w:jc w:val="both"/>
        <w:rPr>
          <w:rFonts w:cs="Calibri"/>
          <w:color w:val="000000"/>
        </w:rPr>
      </w:pPr>
      <w:r w:rsidRPr="00734A8B">
        <w:rPr>
          <w:rFonts w:cs="Calibri"/>
          <w:color w:val="000000"/>
        </w:rPr>
        <w:t xml:space="preserve">The average individual response for understanding </w:t>
      </w:r>
      <w:r w:rsidRPr="00734A8B">
        <w:rPr>
          <w:rFonts w:cs="Calibri"/>
          <w:i/>
          <w:iCs/>
          <w:color w:val="000000"/>
        </w:rPr>
        <w:t xml:space="preserve">2 years ago </w:t>
      </w:r>
      <w:r>
        <w:rPr>
          <w:rFonts w:cs="Calibri"/>
          <w:color w:val="000000"/>
        </w:rPr>
        <w:t xml:space="preserve">was a rating of 2.44. </w:t>
      </w:r>
      <w:r w:rsidRPr="00734A8B">
        <w:rPr>
          <w:rFonts w:cs="Calibri"/>
          <w:color w:val="000000"/>
        </w:rPr>
        <w:t xml:space="preserve">The average individual response for understanding in </w:t>
      </w:r>
      <w:r w:rsidRPr="00C553B2">
        <w:rPr>
          <w:rFonts w:cs="Calibri"/>
          <w:iCs/>
          <w:color w:val="000000"/>
        </w:rPr>
        <w:t>July 2013</w:t>
      </w:r>
      <w:r w:rsidRPr="00734A8B">
        <w:rPr>
          <w:rFonts w:cs="Calibri"/>
          <w:i/>
          <w:iCs/>
          <w:color w:val="000000"/>
        </w:rPr>
        <w:t xml:space="preserve"> </w:t>
      </w:r>
      <w:r>
        <w:rPr>
          <w:rFonts w:cs="Calibri"/>
          <w:color w:val="000000"/>
        </w:rPr>
        <w:t xml:space="preserve">was a rating of 3.48. </w:t>
      </w:r>
      <w:r w:rsidRPr="00734A8B">
        <w:rPr>
          <w:rFonts w:cs="Calibri"/>
          <w:color w:val="000000"/>
        </w:rPr>
        <w:t xml:space="preserve">The average individual response for understanding </w:t>
      </w:r>
      <w:r w:rsidR="00C553B2" w:rsidRPr="00C553B2">
        <w:rPr>
          <w:rFonts w:cs="Calibri"/>
          <w:bCs/>
          <w:iCs/>
          <w:color w:val="000000"/>
        </w:rPr>
        <w:t>as of April 2014</w:t>
      </w:r>
      <w:r w:rsidR="00C553B2">
        <w:rPr>
          <w:rFonts w:cs="Calibri"/>
          <w:color w:val="000000"/>
        </w:rPr>
        <w:t xml:space="preserve"> </w:t>
      </w:r>
      <w:r w:rsidRPr="00734A8B">
        <w:rPr>
          <w:rFonts w:cs="Calibri"/>
          <w:color w:val="000000"/>
        </w:rPr>
        <w:t>was a rating of 4.03</w:t>
      </w:r>
      <w:r w:rsidR="00F31F28">
        <w:rPr>
          <w:rFonts w:cs="Calibri"/>
          <w:color w:val="000000"/>
        </w:rPr>
        <w:t>.</w:t>
      </w:r>
      <w:r w:rsidRPr="00734A8B">
        <w:rPr>
          <w:rFonts w:cs="Calibri"/>
          <w:color w:val="000000"/>
        </w:rPr>
        <w:t xml:space="preserve"> </w:t>
      </w:r>
    </w:p>
    <w:p w:rsidR="00D518FB" w:rsidRPr="00734A8B" w:rsidRDefault="00D518FB" w:rsidP="00D518FB">
      <w:pPr>
        <w:pStyle w:val="CM43"/>
        <w:spacing w:line="271" w:lineRule="atLeast"/>
        <w:rPr>
          <w:rFonts w:cs="Calibri"/>
          <w:color w:val="000000"/>
        </w:rPr>
      </w:pPr>
      <w:r w:rsidRPr="00734A8B">
        <w:rPr>
          <w:rFonts w:cs="Calibri"/>
          <w:color w:val="000000"/>
        </w:rPr>
        <w:t xml:space="preserve">Across all respondents there has been a movement of 1.59 since two years ago. </w:t>
      </w:r>
    </w:p>
    <w:p w:rsidR="00D518FB" w:rsidRPr="00734A8B" w:rsidRDefault="00D518FB" w:rsidP="00D518FB">
      <w:pPr>
        <w:pStyle w:val="CM43"/>
        <w:spacing w:line="271" w:lineRule="atLeast"/>
        <w:rPr>
          <w:rFonts w:cs="Calibri"/>
          <w:color w:val="000000"/>
        </w:rPr>
      </w:pPr>
      <w:r w:rsidRPr="00734A8B">
        <w:rPr>
          <w:rFonts w:cs="Calibri"/>
          <w:color w:val="000000"/>
        </w:rPr>
        <w:t xml:space="preserve">Across all respondents there has been a movement of 0.55 since the Act came into effect. </w:t>
      </w:r>
    </w:p>
    <w:p w:rsidR="00D518FB" w:rsidRPr="00734A8B" w:rsidRDefault="00D518FB" w:rsidP="00D518FB">
      <w:pPr>
        <w:pStyle w:val="Default"/>
      </w:pPr>
    </w:p>
    <w:p w:rsidR="00D518FB" w:rsidRPr="00734A8B" w:rsidRDefault="00D518FB" w:rsidP="00D518FB">
      <w:pPr>
        <w:pStyle w:val="CM43"/>
        <w:spacing w:after="275" w:line="268" w:lineRule="atLeast"/>
        <w:jc w:val="both"/>
        <w:rPr>
          <w:rFonts w:cs="Calibri"/>
          <w:color w:val="000000"/>
        </w:rPr>
      </w:pPr>
      <w:r w:rsidRPr="00734A8B">
        <w:rPr>
          <w:rFonts w:cs="Calibri"/>
          <w:color w:val="000000"/>
        </w:rPr>
        <w:t xml:space="preserve">The survey illustrated that since the Act came into effect in July 2013 respondents have moved from a position of having ‘some’ understanding of developing and reviewing an AML/CFT Programme through to what they describe as a ‘reasonable’ understanding. </w:t>
      </w:r>
    </w:p>
    <w:p w:rsidR="00D518FB" w:rsidRDefault="00D518FB" w:rsidP="00D518FB">
      <w:pPr>
        <w:pStyle w:val="CM43"/>
        <w:spacing w:after="275" w:line="268" w:lineRule="atLeast"/>
        <w:jc w:val="both"/>
        <w:rPr>
          <w:rFonts w:cs="Calibri"/>
          <w:i/>
          <w:iCs/>
          <w:color w:val="000000"/>
        </w:rPr>
      </w:pPr>
      <w:r w:rsidRPr="00734A8B">
        <w:rPr>
          <w:rFonts w:cs="Calibri"/>
          <w:color w:val="000000"/>
        </w:rPr>
        <w:t>The most confident subsector</w:t>
      </w:r>
      <w:r w:rsidR="00DD2E00" w:rsidRPr="00DD2E00">
        <w:rPr>
          <w:rFonts w:cs="Calibri"/>
          <w:color w:val="000000"/>
        </w:rPr>
        <w:t xml:space="preserve"> </w:t>
      </w:r>
      <w:r w:rsidR="00DD2E00">
        <w:rPr>
          <w:rFonts w:cs="Calibri"/>
          <w:color w:val="000000"/>
        </w:rPr>
        <w:t xml:space="preserve">as of April 2014 </w:t>
      </w:r>
      <w:r w:rsidR="00AF0488">
        <w:rPr>
          <w:rFonts w:cs="Calibri"/>
          <w:color w:val="000000"/>
        </w:rPr>
        <w:t xml:space="preserve">is </w:t>
      </w:r>
      <w:r w:rsidRPr="00734A8B">
        <w:rPr>
          <w:rFonts w:cs="Calibri"/>
          <w:color w:val="000000"/>
        </w:rPr>
        <w:t xml:space="preserve">Remittance Services (4.58) whilst the least confident </w:t>
      </w:r>
      <w:r w:rsidR="00AF0488">
        <w:rPr>
          <w:rFonts w:cs="Calibri"/>
          <w:color w:val="000000"/>
        </w:rPr>
        <w:t>is</w:t>
      </w:r>
      <w:r w:rsidR="00AF0488" w:rsidRPr="00734A8B">
        <w:rPr>
          <w:rFonts w:cs="Calibri"/>
          <w:color w:val="000000"/>
        </w:rPr>
        <w:t xml:space="preserve"> </w:t>
      </w:r>
      <w:r w:rsidRPr="00734A8B">
        <w:rPr>
          <w:rFonts w:cs="Calibri"/>
          <w:color w:val="000000"/>
        </w:rPr>
        <w:t xml:space="preserve">Debt Collectors (3.00). </w:t>
      </w:r>
      <w:r w:rsidRPr="00734A8B">
        <w:rPr>
          <w:rFonts w:cs="Calibri"/>
          <w:i/>
          <w:iCs/>
          <w:color w:val="000000"/>
        </w:rPr>
        <w:t xml:space="preserve">See Appendix A for Table (5.2 – Subsector AML/CFT Programme) </w:t>
      </w:r>
    </w:p>
    <w:p w:rsidR="00D518FB" w:rsidRDefault="00D518FB" w:rsidP="00D518FB">
      <w:pPr>
        <w:pStyle w:val="Default"/>
      </w:pPr>
    </w:p>
    <w:p w:rsidR="00D518FB" w:rsidRDefault="00D518FB" w:rsidP="00D518FB">
      <w:pPr>
        <w:pStyle w:val="CM46"/>
        <w:spacing w:after="130"/>
        <w:jc w:val="both"/>
        <w:rPr>
          <w:rFonts w:cs="Calibri"/>
          <w:color w:val="000000"/>
          <w:sz w:val="23"/>
          <w:szCs w:val="23"/>
        </w:rPr>
      </w:pPr>
      <w:r>
        <w:rPr>
          <w:rFonts w:cs="Calibri"/>
          <w:b/>
          <w:bCs/>
          <w:color w:val="000000"/>
          <w:sz w:val="23"/>
          <w:szCs w:val="23"/>
        </w:rPr>
        <w:t>Q</w:t>
      </w:r>
      <w:r>
        <w:rPr>
          <w:rFonts w:cs="Calibri"/>
          <w:b/>
          <w:bCs/>
          <w:color w:val="000000"/>
          <w:sz w:val="19"/>
          <w:szCs w:val="19"/>
        </w:rPr>
        <w:t xml:space="preserve">UESTION </w:t>
      </w:r>
      <w:r>
        <w:rPr>
          <w:rFonts w:cs="Calibri"/>
          <w:b/>
          <w:bCs/>
          <w:color w:val="000000"/>
          <w:sz w:val="23"/>
          <w:szCs w:val="23"/>
        </w:rPr>
        <w:t>14 – COMMENTS ON UNDERSTANDING OF AML/CFT PROGRAMME</w:t>
      </w:r>
    </w:p>
    <w:p w:rsidR="00D518FB" w:rsidRPr="007B506E" w:rsidRDefault="00D518FB" w:rsidP="00D518FB">
      <w:pPr>
        <w:pStyle w:val="Default"/>
      </w:pPr>
      <w:r>
        <w:t>Refer to Appendix B – Survey Summary data</w:t>
      </w:r>
    </w:p>
    <w:p w:rsidR="001B3CE3" w:rsidRDefault="001B3CE3" w:rsidP="00536829">
      <w:pPr>
        <w:pStyle w:val="Heading2"/>
      </w:pPr>
      <w:bookmarkStart w:id="9" w:name="_Toc417549691"/>
    </w:p>
    <w:p w:rsidR="001B3CE3" w:rsidRDefault="001B3CE3" w:rsidP="00536829">
      <w:pPr>
        <w:pStyle w:val="Heading2"/>
      </w:pPr>
    </w:p>
    <w:p w:rsidR="00D518FB" w:rsidRPr="00B105B4" w:rsidRDefault="00D518FB" w:rsidP="00536829">
      <w:pPr>
        <w:pStyle w:val="Heading2"/>
      </w:pPr>
      <w:r w:rsidRPr="00B105B4">
        <w:t>A</w:t>
      </w:r>
      <w:r>
        <w:t>nnual Reporting</w:t>
      </w:r>
      <w:bookmarkEnd w:id="9"/>
      <w:r w:rsidRPr="00B105B4">
        <w:t xml:space="preserve"> </w:t>
      </w:r>
    </w:p>
    <w:p w:rsidR="00D518FB" w:rsidRDefault="00D518FB" w:rsidP="00D518FB">
      <w:pPr>
        <w:pStyle w:val="CM4"/>
        <w:jc w:val="both"/>
        <w:rPr>
          <w:rFonts w:cs="Calibri"/>
          <w:color w:val="000000"/>
        </w:rPr>
      </w:pPr>
      <w:r>
        <w:rPr>
          <w:rFonts w:cs="Calibri"/>
          <w:b/>
          <w:bCs/>
          <w:color w:val="000000"/>
          <w:sz w:val="22"/>
          <w:szCs w:val="22"/>
        </w:rPr>
        <w:t>Question 15 -</w:t>
      </w:r>
      <w:r w:rsidRPr="00734A8B">
        <w:rPr>
          <w:rFonts w:cs="Calibri"/>
          <w:color w:val="000000"/>
        </w:rPr>
        <w:t>How would you rate your business'</w:t>
      </w:r>
      <w:r w:rsidR="00F31F28">
        <w:rPr>
          <w:rFonts w:cs="Calibri"/>
          <w:color w:val="000000"/>
        </w:rPr>
        <w:t>s</w:t>
      </w:r>
      <w:r w:rsidRPr="00734A8B">
        <w:rPr>
          <w:rFonts w:cs="Calibri"/>
          <w:color w:val="000000"/>
        </w:rPr>
        <w:t xml:space="preserve"> understanding of the information you need to provide in your Annual Report to</w:t>
      </w:r>
      <w:r>
        <w:rPr>
          <w:rFonts w:cs="Calibri"/>
          <w:color w:val="000000"/>
        </w:rPr>
        <w:t xml:space="preserve"> the Sector Supervisor (i.e. the </w:t>
      </w:r>
      <w:r w:rsidRPr="00D97DB5">
        <w:t>Department</w:t>
      </w:r>
      <w:r w:rsidRPr="00734A8B">
        <w:rPr>
          <w:rFonts w:cs="Calibri"/>
          <w:color w:val="000000"/>
        </w:rPr>
        <w:t>)</w:t>
      </w:r>
      <w:r w:rsidR="00F31F28">
        <w:rPr>
          <w:rFonts w:cs="Calibri"/>
          <w:color w:val="000000"/>
        </w:rPr>
        <w:t>?</w:t>
      </w:r>
      <w:r w:rsidRPr="00734A8B">
        <w:rPr>
          <w:rFonts w:cs="Calibri"/>
          <w:color w:val="000000"/>
        </w:rPr>
        <w:t xml:space="preserve"> </w:t>
      </w:r>
    </w:p>
    <w:p w:rsidR="00D518FB" w:rsidRPr="00193E19" w:rsidRDefault="00D518FB" w:rsidP="00D518FB">
      <w:pPr>
        <w:pStyle w:val="Default"/>
      </w:pPr>
    </w:p>
    <w:p w:rsidR="00D518FB" w:rsidRPr="00734A8B" w:rsidRDefault="00D518FB" w:rsidP="00D518FB">
      <w:pPr>
        <w:pStyle w:val="Default"/>
        <w:numPr>
          <w:ilvl w:val="0"/>
          <w:numId w:val="41"/>
        </w:numPr>
        <w:ind w:left="360" w:hanging="360"/>
      </w:pPr>
      <w:r w:rsidRPr="00734A8B">
        <w:t xml:space="preserve">No understanding at all </w:t>
      </w:r>
    </w:p>
    <w:p w:rsidR="00D518FB" w:rsidRPr="00734A8B" w:rsidRDefault="00D518FB" w:rsidP="00D518FB">
      <w:pPr>
        <w:pStyle w:val="Default"/>
        <w:numPr>
          <w:ilvl w:val="0"/>
          <w:numId w:val="41"/>
        </w:numPr>
        <w:ind w:left="360" w:hanging="360"/>
      </w:pPr>
      <w:r w:rsidRPr="00734A8B">
        <w:t xml:space="preserve">Very little understanding of the requirements </w:t>
      </w:r>
    </w:p>
    <w:p w:rsidR="00D518FB" w:rsidRPr="00734A8B" w:rsidRDefault="00D518FB" w:rsidP="00D518FB">
      <w:pPr>
        <w:pStyle w:val="Default"/>
        <w:numPr>
          <w:ilvl w:val="0"/>
          <w:numId w:val="41"/>
        </w:numPr>
        <w:ind w:left="360" w:hanging="360"/>
      </w:pPr>
      <w:r w:rsidRPr="00734A8B">
        <w:t xml:space="preserve">Some understanding of the requirements </w:t>
      </w:r>
    </w:p>
    <w:p w:rsidR="00D518FB" w:rsidRPr="00734A8B" w:rsidRDefault="00D518FB" w:rsidP="00D518FB">
      <w:pPr>
        <w:pStyle w:val="Default"/>
        <w:numPr>
          <w:ilvl w:val="0"/>
          <w:numId w:val="41"/>
        </w:numPr>
        <w:ind w:left="360" w:hanging="360"/>
      </w:pPr>
      <w:r w:rsidRPr="00734A8B">
        <w:t xml:space="preserve">A reasonable understanding of the requirements </w:t>
      </w:r>
    </w:p>
    <w:p w:rsidR="00D518FB" w:rsidRPr="00734A8B" w:rsidRDefault="00D518FB" w:rsidP="00D518FB">
      <w:pPr>
        <w:pStyle w:val="Default"/>
        <w:numPr>
          <w:ilvl w:val="0"/>
          <w:numId w:val="41"/>
        </w:numPr>
        <w:ind w:left="360" w:hanging="360"/>
      </w:pPr>
      <w:r w:rsidRPr="00734A8B">
        <w:t>An extremely good understanding of the requirements</w:t>
      </w:r>
      <w:r w:rsidR="00F31F28">
        <w:t>.</w:t>
      </w:r>
      <w:r w:rsidRPr="00734A8B">
        <w:t xml:space="preserve"> </w:t>
      </w:r>
    </w:p>
    <w:p w:rsidR="00D518FB" w:rsidRPr="00734A8B" w:rsidRDefault="00D518FB" w:rsidP="00D518FB">
      <w:pPr>
        <w:pStyle w:val="Default"/>
      </w:pPr>
    </w:p>
    <w:p w:rsidR="00D518FB" w:rsidRPr="00734A8B" w:rsidRDefault="00D518FB" w:rsidP="00D518FB">
      <w:pPr>
        <w:pStyle w:val="CM43"/>
        <w:spacing w:after="275" w:line="271" w:lineRule="atLeast"/>
        <w:ind w:right="2270"/>
        <w:jc w:val="both"/>
        <w:rPr>
          <w:rFonts w:cs="Calibri"/>
          <w:color w:val="000000"/>
        </w:rPr>
      </w:pPr>
      <w:r w:rsidRPr="00734A8B">
        <w:rPr>
          <w:rFonts w:cs="Calibri"/>
          <w:color w:val="000000"/>
        </w:rPr>
        <w:t xml:space="preserve">The average individual response for understanding </w:t>
      </w:r>
      <w:r w:rsidRPr="00734A8B">
        <w:rPr>
          <w:rFonts w:cs="Calibri"/>
          <w:i/>
          <w:iCs/>
          <w:color w:val="000000"/>
        </w:rPr>
        <w:t xml:space="preserve">2 years ago </w:t>
      </w:r>
      <w:r>
        <w:rPr>
          <w:rFonts w:cs="Calibri"/>
          <w:color w:val="000000"/>
        </w:rPr>
        <w:t xml:space="preserve">was a rating of 1.89. </w:t>
      </w:r>
      <w:r w:rsidRPr="00734A8B">
        <w:rPr>
          <w:rFonts w:cs="Calibri"/>
          <w:color w:val="000000"/>
        </w:rPr>
        <w:t xml:space="preserve">The average individual response for understanding in </w:t>
      </w:r>
      <w:r w:rsidRPr="00C553B2">
        <w:rPr>
          <w:rFonts w:cs="Calibri"/>
          <w:iCs/>
          <w:color w:val="000000"/>
        </w:rPr>
        <w:t>July 2013</w:t>
      </w:r>
      <w:r w:rsidRPr="00734A8B">
        <w:rPr>
          <w:rFonts w:cs="Calibri"/>
          <w:i/>
          <w:iCs/>
          <w:color w:val="000000"/>
        </w:rPr>
        <w:t xml:space="preserve"> </w:t>
      </w:r>
      <w:r w:rsidRPr="00734A8B">
        <w:rPr>
          <w:rFonts w:cs="Calibri"/>
          <w:color w:val="000000"/>
        </w:rPr>
        <w:t>was a ra</w:t>
      </w:r>
      <w:r>
        <w:rPr>
          <w:rFonts w:cs="Calibri"/>
          <w:color w:val="000000"/>
        </w:rPr>
        <w:t xml:space="preserve">ting of 2.73. </w:t>
      </w:r>
      <w:r w:rsidRPr="00734A8B">
        <w:rPr>
          <w:rFonts w:cs="Calibri"/>
          <w:color w:val="000000"/>
        </w:rPr>
        <w:t xml:space="preserve">The average individual response for understanding </w:t>
      </w:r>
      <w:r w:rsidR="00C553B2" w:rsidRPr="00C553B2">
        <w:rPr>
          <w:rFonts w:cs="Calibri"/>
          <w:bCs/>
          <w:iCs/>
          <w:color w:val="000000"/>
        </w:rPr>
        <w:t>as of April 2014</w:t>
      </w:r>
      <w:r w:rsidR="00C553B2">
        <w:rPr>
          <w:rFonts w:cs="Calibri"/>
          <w:color w:val="000000"/>
        </w:rPr>
        <w:t xml:space="preserve"> </w:t>
      </w:r>
      <w:r w:rsidRPr="00734A8B">
        <w:rPr>
          <w:rFonts w:cs="Calibri"/>
          <w:color w:val="000000"/>
        </w:rPr>
        <w:t>was a rating of 3.33</w:t>
      </w:r>
      <w:r w:rsidR="00F31F28">
        <w:rPr>
          <w:rFonts w:cs="Calibri"/>
          <w:color w:val="000000"/>
        </w:rPr>
        <w:t>.</w:t>
      </w:r>
      <w:r w:rsidRPr="00734A8B">
        <w:rPr>
          <w:rFonts w:cs="Calibri"/>
          <w:color w:val="000000"/>
        </w:rPr>
        <w:t xml:space="preserve"> </w:t>
      </w:r>
    </w:p>
    <w:p w:rsidR="00D518FB" w:rsidRPr="00734A8B" w:rsidRDefault="00D518FB" w:rsidP="00D518FB">
      <w:pPr>
        <w:pStyle w:val="CM43"/>
        <w:spacing w:line="271" w:lineRule="atLeast"/>
        <w:rPr>
          <w:rFonts w:cs="Calibri"/>
          <w:color w:val="000000"/>
        </w:rPr>
      </w:pPr>
      <w:r w:rsidRPr="00734A8B">
        <w:rPr>
          <w:rFonts w:cs="Calibri"/>
          <w:color w:val="000000"/>
        </w:rPr>
        <w:t>Across all respondents there has been a movement of 1.44 since two years ago.</w:t>
      </w:r>
    </w:p>
    <w:p w:rsidR="00D518FB" w:rsidRPr="00734A8B" w:rsidRDefault="00D518FB" w:rsidP="00D518FB">
      <w:pPr>
        <w:pStyle w:val="CM43"/>
        <w:spacing w:line="271" w:lineRule="atLeast"/>
        <w:rPr>
          <w:rFonts w:cs="Calibri"/>
          <w:color w:val="000000"/>
        </w:rPr>
      </w:pPr>
      <w:r w:rsidRPr="00734A8B">
        <w:rPr>
          <w:rFonts w:cs="Calibri"/>
          <w:color w:val="000000"/>
        </w:rPr>
        <w:t xml:space="preserve">Across all respondents there has been a movement of 0.6 since the Act came into effect. </w:t>
      </w:r>
    </w:p>
    <w:p w:rsidR="00D518FB" w:rsidRPr="00734A8B" w:rsidRDefault="00D518FB" w:rsidP="00D518FB">
      <w:pPr>
        <w:pStyle w:val="Default"/>
      </w:pPr>
    </w:p>
    <w:p w:rsidR="00D518FB" w:rsidRPr="00734A8B" w:rsidRDefault="00D518FB" w:rsidP="00D518FB">
      <w:pPr>
        <w:pStyle w:val="CM43"/>
        <w:spacing w:after="275" w:line="268" w:lineRule="atLeast"/>
        <w:jc w:val="both"/>
        <w:rPr>
          <w:rFonts w:cs="Calibri"/>
          <w:color w:val="000000"/>
        </w:rPr>
      </w:pPr>
      <w:r w:rsidRPr="00734A8B">
        <w:rPr>
          <w:rFonts w:cs="Calibri"/>
          <w:color w:val="000000"/>
        </w:rPr>
        <w:t xml:space="preserve">The survey illustrated that since the Act came into effect in July 2013 respondents have gone from a position of having almost no understanding of annual report requirements through to what they describe as some understanding. This is the area where there is the most concern across respondents as well as the area where the majority of respondents declined to comment until they had applied what they knew. </w:t>
      </w:r>
    </w:p>
    <w:p w:rsidR="00D518FB" w:rsidRDefault="00D518FB" w:rsidP="00D518FB">
      <w:pPr>
        <w:pStyle w:val="CM43"/>
        <w:spacing w:after="275" w:line="268" w:lineRule="atLeast"/>
        <w:jc w:val="both"/>
        <w:rPr>
          <w:rFonts w:cs="Calibri"/>
          <w:i/>
          <w:iCs/>
          <w:color w:val="000000"/>
        </w:rPr>
      </w:pPr>
      <w:r w:rsidRPr="00734A8B">
        <w:rPr>
          <w:rFonts w:cs="Calibri"/>
          <w:color w:val="000000"/>
        </w:rPr>
        <w:t xml:space="preserve">The most confident subsector </w:t>
      </w:r>
      <w:r w:rsidR="00DD2E00">
        <w:rPr>
          <w:rFonts w:cs="Calibri"/>
          <w:color w:val="000000"/>
        </w:rPr>
        <w:t xml:space="preserve">as of April 2014 </w:t>
      </w:r>
      <w:r w:rsidR="00AF0488">
        <w:rPr>
          <w:rFonts w:cs="Calibri"/>
          <w:color w:val="000000"/>
        </w:rPr>
        <w:t>is</w:t>
      </w:r>
      <w:r w:rsidR="00AF0488" w:rsidRPr="00734A8B">
        <w:rPr>
          <w:rFonts w:cs="Calibri"/>
          <w:color w:val="000000"/>
        </w:rPr>
        <w:t xml:space="preserve"> </w:t>
      </w:r>
      <w:r w:rsidRPr="00734A8B">
        <w:rPr>
          <w:rFonts w:cs="Calibri"/>
          <w:color w:val="000000"/>
        </w:rPr>
        <w:t xml:space="preserve">Money Transfer Services (4.00) whilst the least confident </w:t>
      </w:r>
      <w:r w:rsidR="00AF0488">
        <w:rPr>
          <w:rFonts w:cs="Calibri"/>
          <w:color w:val="000000"/>
        </w:rPr>
        <w:t>is</w:t>
      </w:r>
      <w:r w:rsidR="00AF0488" w:rsidRPr="00734A8B">
        <w:rPr>
          <w:rFonts w:cs="Calibri"/>
          <w:color w:val="000000"/>
        </w:rPr>
        <w:t xml:space="preserve"> </w:t>
      </w:r>
      <w:r w:rsidRPr="00734A8B">
        <w:rPr>
          <w:rFonts w:cs="Calibri"/>
          <w:color w:val="000000"/>
        </w:rPr>
        <w:t xml:space="preserve">Debt Collectors (2.30). </w:t>
      </w:r>
      <w:r w:rsidRPr="00734A8B">
        <w:rPr>
          <w:rFonts w:cs="Calibri"/>
          <w:i/>
          <w:iCs/>
          <w:color w:val="000000"/>
        </w:rPr>
        <w:t xml:space="preserve">See Appendix A for Table (5.3 – Subsector Annual Reporting) </w:t>
      </w:r>
    </w:p>
    <w:p w:rsidR="00D518FB" w:rsidRDefault="00D518FB" w:rsidP="00D518FB">
      <w:pPr>
        <w:pStyle w:val="CM46"/>
        <w:spacing w:after="130"/>
        <w:jc w:val="both"/>
        <w:rPr>
          <w:rFonts w:cs="Calibri"/>
          <w:color w:val="000000"/>
          <w:sz w:val="23"/>
          <w:szCs w:val="23"/>
        </w:rPr>
      </w:pPr>
      <w:r>
        <w:rPr>
          <w:rFonts w:cs="Calibri"/>
          <w:b/>
          <w:bCs/>
          <w:color w:val="000000"/>
          <w:sz w:val="23"/>
          <w:szCs w:val="23"/>
        </w:rPr>
        <w:t>Q</w:t>
      </w:r>
      <w:r>
        <w:rPr>
          <w:rFonts w:cs="Calibri"/>
          <w:b/>
          <w:bCs/>
          <w:color w:val="000000"/>
          <w:sz w:val="19"/>
          <w:szCs w:val="19"/>
        </w:rPr>
        <w:t xml:space="preserve">UESTION </w:t>
      </w:r>
      <w:r>
        <w:rPr>
          <w:rFonts w:cs="Calibri"/>
          <w:b/>
          <w:bCs/>
          <w:color w:val="000000"/>
          <w:sz w:val="23"/>
          <w:szCs w:val="23"/>
        </w:rPr>
        <w:t>16 – COMMENTS ON UNDERSTANDING OF ANNUAL REPORT</w:t>
      </w:r>
    </w:p>
    <w:p w:rsidR="00D518FB" w:rsidRPr="007B506E" w:rsidRDefault="00D518FB" w:rsidP="00D518FB">
      <w:pPr>
        <w:pStyle w:val="Default"/>
      </w:pPr>
      <w:r>
        <w:t>Refer to Appendix B – Survey Summary data</w:t>
      </w:r>
    </w:p>
    <w:p w:rsidR="00D518FB" w:rsidRPr="007B506E" w:rsidRDefault="00D518FB" w:rsidP="00D518FB">
      <w:pPr>
        <w:pStyle w:val="Default"/>
      </w:pPr>
    </w:p>
    <w:p w:rsidR="001B3CE3" w:rsidRDefault="001B3CE3" w:rsidP="00536829">
      <w:pPr>
        <w:pStyle w:val="Heading2"/>
      </w:pPr>
      <w:bookmarkStart w:id="10" w:name="_Toc417549692"/>
    </w:p>
    <w:p w:rsidR="00D518FB" w:rsidRPr="00B105B4" w:rsidRDefault="00D518FB" w:rsidP="00536829">
      <w:pPr>
        <w:pStyle w:val="Heading2"/>
      </w:pPr>
      <w:r w:rsidRPr="00B105B4">
        <w:t>S</w:t>
      </w:r>
      <w:r>
        <w:t>ubmitting Suspicious Transaction Reports</w:t>
      </w:r>
      <w:bookmarkEnd w:id="10"/>
    </w:p>
    <w:p w:rsidR="00D518FB" w:rsidRDefault="00D518FB" w:rsidP="00D518FB">
      <w:pPr>
        <w:pStyle w:val="Default"/>
        <w:spacing w:line="271" w:lineRule="atLeast"/>
        <w:ind w:right="300"/>
        <w:jc w:val="both"/>
      </w:pPr>
      <w:r>
        <w:rPr>
          <w:b/>
          <w:bCs/>
          <w:sz w:val="22"/>
          <w:szCs w:val="22"/>
        </w:rPr>
        <w:t>Question 17 -</w:t>
      </w:r>
      <w:r w:rsidRPr="00734A8B">
        <w:t>How would you rate your business'</w:t>
      </w:r>
      <w:r w:rsidR="00F31F28">
        <w:t>s</w:t>
      </w:r>
      <w:r w:rsidRPr="00734A8B">
        <w:t xml:space="preserve"> understanding of the requirement to submit Suspicious Transactions Reports</w:t>
      </w:r>
      <w:r>
        <w:t xml:space="preserve"> (STRs) </w:t>
      </w:r>
      <w:r w:rsidRPr="00734A8B">
        <w:t xml:space="preserve">to the Police Financial Intelligence Unit? </w:t>
      </w:r>
    </w:p>
    <w:p w:rsidR="00D518FB" w:rsidRPr="00734A8B" w:rsidRDefault="00D518FB" w:rsidP="00D518FB">
      <w:pPr>
        <w:pStyle w:val="Default"/>
        <w:spacing w:line="271" w:lineRule="atLeast"/>
        <w:ind w:right="300"/>
        <w:jc w:val="both"/>
      </w:pPr>
    </w:p>
    <w:p w:rsidR="00D518FB" w:rsidRPr="00734A8B" w:rsidRDefault="00D518FB" w:rsidP="00D518FB">
      <w:pPr>
        <w:pStyle w:val="Default"/>
        <w:numPr>
          <w:ilvl w:val="0"/>
          <w:numId w:val="26"/>
        </w:numPr>
        <w:ind w:left="360" w:hanging="360"/>
      </w:pPr>
      <w:r w:rsidRPr="00734A8B">
        <w:t xml:space="preserve">No understanding at all </w:t>
      </w:r>
    </w:p>
    <w:p w:rsidR="00D518FB" w:rsidRPr="00734A8B" w:rsidRDefault="00D518FB" w:rsidP="00D518FB">
      <w:pPr>
        <w:pStyle w:val="Default"/>
        <w:numPr>
          <w:ilvl w:val="0"/>
          <w:numId w:val="26"/>
        </w:numPr>
        <w:ind w:left="360" w:hanging="360"/>
      </w:pPr>
      <w:r w:rsidRPr="00734A8B">
        <w:t xml:space="preserve">Very little understanding of the requirements </w:t>
      </w:r>
    </w:p>
    <w:p w:rsidR="00D518FB" w:rsidRPr="00734A8B" w:rsidRDefault="00D518FB" w:rsidP="00D518FB">
      <w:pPr>
        <w:pStyle w:val="Default"/>
        <w:numPr>
          <w:ilvl w:val="0"/>
          <w:numId w:val="26"/>
        </w:numPr>
        <w:ind w:left="360" w:hanging="360"/>
      </w:pPr>
      <w:r w:rsidRPr="00734A8B">
        <w:t xml:space="preserve">Some understanding of the requirements </w:t>
      </w:r>
    </w:p>
    <w:p w:rsidR="00D518FB" w:rsidRPr="00734A8B" w:rsidRDefault="00D518FB" w:rsidP="00D518FB">
      <w:pPr>
        <w:pStyle w:val="Default"/>
        <w:numPr>
          <w:ilvl w:val="0"/>
          <w:numId w:val="26"/>
        </w:numPr>
        <w:ind w:left="360" w:hanging="360"/>
      </w:pPr>
      <w:r w:rsidRPr="00734A8B">
        <w:t xml:space="preserve">A reasonable understanding of the requirements </w:t>
      </w:r>
    </w:p>
    <w:p w:rsidR="00D518FB" w:rsidRPr="00734A8B" w:rsidRDefault="00D518FB" w:rsidP="00D518FB">
      <w:pPr>
        <w:pStyle w:val="Default"/>
        <w:numPr>
          <w:ilvl w:val="0"/>
          <w:numId w:val="26"/>
        </w:numPr>
        <w:ind w:left="360" w:hanging="360"/>
      </w:pPr>
      <w:r w:rsidRPr="00734A8B">
        <w:t>An extremely good understanding of the requirements</w:t>
      </w:r>
      <w:r w:rsidR="00F31F28">
        <w:t>.</w:t>
      </w:r>
      <w:r w:rsidRPr="00734A8B">
        <w:t xml:space="preserve"> </w:t>
      </w:r>
    </w:p>
    <w:p w:rsidR="00D518FB" w:rsidRPr="00734A8B" w:rsidRDefault="00D518FB" w:rsidP="00D518FB">
      <w:pPr>
        <w:pStyle w:val="Default"/>
      </w:pPr>
    </w:p>
    <w:p w:rsidR="00D518FB" w:rsidRPr="00734A8B" w:rsidRDefault="00D518FB" w:rsidP="00D518FB">
      <w:pPr>
        <w:pStyle w:val="CM43"/>
        <w:spacing w:after="275" w:line="271" w:lineRule="atLeast"/>
        <w:ind w:right="2270"/>
        <w:jc w:val="both"/>
        <w:rPr>
          <w:rFonts w:cs="Calibri"/>
          <w:color w:val="000000"/>
        </w:rPr>
      </w:pPr>
      <w:r w:rsidRPr="00734A8B">
        <w:rPr>
          <w:rFonts w:cs="Calibri"/>
          <w:color w:val="000000"/>
        </w:rPr>
        <w:t xml:space="preserve">The average individual response for understanding </w:t>
      </w:r>
      <w:r w:rsidRPr="00734A8B">
        <w:rPr>
          <w:rFonts w:cs="Calibri"/>
          <w:i/>
          <w:iCs/>
          <w:color w:val="000000"/>
        </w:rPr>
        <w:t xml:space="preserve">2 years ago </w:t>
      </w:r>
      <w:r>
        <w:rPr>
          <w:rFonts w:cs="Calibri"/>
          <w:color w:val="000000"/>
        </w:rPr>
        <w:t xml:space="preserve">was a rating of 2.44. </w:t>
      </w:r>
      <w:r w:rsidRPr="00734A8B">
        <w:rPr>
          <w:rFonts w:cs="Calibri"/>
          <w:color w:val="000000"/>
        </w:rPr>
        <w:t xml:space="preserve">The average individual response for understanding in </w:t>
      </w:r>
      <w:r w:rsidRPr="00C553B2">
        <w:rPr>
          <w:rFonts w:cs="Calibri"/>
          <w:iCs/>
          <w:color w:val="000000"/>
        </w:rPr>
        <w:t>July 2013</w:t>
      </w:r>
      <w:r w:rsidRPr="00734A8B">
        <w:rPr>
          <w:rFonts w:cs="Calibri"/>
          <w:i/>
          <w:iCs/>
          <w:color w:val="000000"/>
        </w:rPr>
        <w:t xml:space="preserve"> </w:t>
      </w:r>
      <w:r>
        <w:rPr>
          <w:rFonts w:cs="Calibri"/>
          <w:color w:val="000000"/>
        </w:rPr>
        <w:t xml:space="preserve">was a rating of 3.43. </w:t>
      </w:r>
      <w:r w:rsidRPr="00734A8B">
        <w:rPr>
          <w:rFonts w:cs="Calibri"/>
          <w:color w:val="000000"/>
        </w:rPr>
        <w:t xml:space="preserve">The average individual response for understanding </w:t>
      </w:r>
      <w:r w:rsidR="00C553B2" w:rsidRPr="00C553B2">
        <w:rPr>
          <w:rFonts w:cs="Calibri"/>
          <w:bCs/>
          <w:iCs/>
          <w:color w:val="000000"/>
        </w:rPr>
        <w:t>as of April 2014</w:t>
      </w:r>
      <w:r w:rsidR="00C553B2">
        <w:rPr>
          <w:rFonts w:cs="Calibri"/>
          <w:color w:val="000000"/>
        </w:rPr>
        <w:t xml:space="preserve"> </w:t>
      </w:r>
      <w:r w:rsidRPr="00734A8B">
        <w:rPr>
          <w:rFonts w:cs="Calibri"/>
          <w:color w:val="000000"/>
        </w:rPr>
        <w:t xml:space="preserve">was a rating of 3.95 </w:t>
      </w:r>
    </w:p>
    <w:p w:rsidR="00D518FB" w:rsidRPr="00734A8B" w:rsidRDefault="00D518FB" w:rsidP="00D518FB">
      <w:pPr>
        <w:pStyle w:val="CM43"/>
        <w:spacing w:line="271" w:lineRule="atLeast"/>
        <w:rPr>
          <w:rFonts w:cs="Calibri"/>
          <w:color w:val="000000"/>
        </w:rPr>
      </w:pPr>
      <w:r w:rsidRPr="00734A8B">
        <w:rPr>
          <w:rFonts w:cs="Calibri"/>
          <w:color w:val="000000"/>
        </w:rPr>
        <w:t>Across all respondents there has been a movement of 1.51 since two years ago.</w:t>
      </w:r>
    </w:p>
    <w:p w:rsidR="00D518FB" w:rsidRPr="00734A8B" w:rsidRDefault="00D518FB" w:rsidP="00D518FB">
      <w:pPr>
        <w:pStyle w:val="CM43"/>
        <w:spacing w:line="271" w:lineRule="atLeast"/>
        <w:rPr>
          <w:rFonts w:cs="Calibri"/>
          <w:color w:val="000000"/>
        </w:rPr>
      </w:pPr>
      <w:r w:rsidRPr="00734A8B">
        <w:rPr>
          <w:rFonts w:cs="Calibri"/>
          <w:color w:val="000000"/>
        </w:rPr>
        <w:t>Across all respondents there has been a movement of 0.52 since the Act came into effect.</w:t>
      </w:r>
    </w:p>
    <w:p w:rsidR="00D518FB" w:rsidRPr="00734A8B" w:rsidRDefault="00D518FB" w:rsidP="00D518FB">
      <w:pPr>
        <w:pStyle w:val="Default"/>
      </w:pPr>
    </w:p>
    <w:p w:rsidR="00D518FB" w:rsidRPr="00734A8B" w:rsidRDefault="00D518FB" w:rsidP="00D518FB">
      <w:pPr>
        <w:pStyle w:val="CM43"/>
        <w:spacing w:after="275" w:line="268" w:lineRule="atLeast"/>
        <w:jc w:val="both"/>
        <w:rPr>
          <w:rFonts w:cs="Calibri"/>
          <w:color w:val="000000"/>
        </w:rPr>
      </w:pPr>
      <w:r w:rsidRPr="00734A8B">
        <w:rPr>
          <w:rFonts w:cs="Calibri"/>
          <w:color w:val="000000"/>
        </w:rPr>
        <w:t xml:space="preserve">The survey illustrated that since the Act came into effect in July 2013 respondents have gone from a position of having very little understanding of submitting suspicious transactions through to what they describe as having some understanding. </w:t>
      </w:r>
    </w:p>
    <w:p w:rsidR="00D518FB" w:rsidRDefault="00D518FB" w:rsidP="00D518FB">
      <w:pPr>
        <w:pStyle w:val="CM43"/>
        <w:spacing w:after="275" w:line="268" w:lineRule="atLeast"/>
        <w:jc w:val="both"/>
        <w:rPr>
          <w:rFonts w:cs="Calibri"/>
          <w:i/>
          <w:iCs/>
          <w:color w:val="000000"/>
        </w:rPr>
      </w:pPr>
      <w:r w:rsidRPr="00734A8B">
        <w:rPr>
          <w:rFonts w:cs="Calibri"/>
          <w:color w:val="000000"/>
        </w:rPr>
        <w:t xml:space="preserve">The most confident subsector </w:t>
      </w:r>
      <w:r w:rsidR="00DD2E00">
        <w:rPr>
          <w:rFonts w:cs="Calibri"/>
          <w:color w:val="000000"/>
        </w:rPr>
        <w:t xml:space="preserve">as of April 2014 </w:t>
      </w:r>
      <w:r w:rsidR="00AF0488">
        <w:rPr>
          <w:rFonts w:cs="Calibri"/>
          <w:color w:val="000000"/>
        </w:rPr>
        <w:t>is</w:t>
      </w:r>
      <w:r w:rsidR="00AF0488" w:rsidRPr="00734A8B">
        <w:rPr>
          <w:rFonts w:cs="Calibri"/>
          <w:color w:val="000000"/>
        </w:rPr>
        <w:t xml:space="preserve"> </w:t>
      </w:r>
      <w:r w:rsidRPr="00734A8B">
        <w:rPr>
          <w:rFonts w:cs="Calibri"/>
          <w:color w:val="000000"/>
        </w:rPr>
        <w:t xml:space="preserve">Casino Operators (4.50) whilst the least confident </w:t>
      </w:r>
      <w:r w:rsidR="00AF0488">
        <w:rPr>
          <w:rFonts w:cs="Calibri"/>
          <w:color w:val="000000"/>
        </w:rPr>
        <w:t>is</w:t>
      </w:r>
      <w:r w:rsidR="00AF0488" w:rsidRPr="00734A8B">
        <w:rPr>
          <w:rFonts w:cs="Calibri"/>
          <w:color w:val="000000"/>
        </w:rPr>
        <w:t xml:space="preserve"> </w:t>
      </w:r>
      <w:r w:rsidRPr="00734A8B">
        <w:rPr>
          <w:rFonts w:cs="Calibri"/>
          <w:color w:val="000000"/>
        </w:rPr>
        <w:t>Debt Collectors</w:t>
      </w:r>
      <w:r>
        <w:rPr>
          <w:rFonts w:cs="Calibri"/>
          <w:color w:val="000000"/>
          <w:sz w:val="22"/>
          <w:szCs w:val="22"/>
        </w:rPr>
        <w:t xml:space="preserve"> (3.20). </w:t>
      </w:r>
      <w:r w:rsidRPr="00734A8B">
        <w:rPr>
          <w:rFonts w:cs="Calibri"/>
          <w:i/>
          <w:iCs/>
          <w:color w:val="000000"/>
        </w:rPr>
        <w:t xml:space="preserve">See Appendix A for Table (5.4 – Subsector Suspicious Transaction Reporting) </w:t>
      </w:r>
    </w:p>
    <w:p w:rsidR="00D518FB" w:rsidRDefault="00D518FB" w:rsidP="00D518FB">
      <w:pPr>
        <w:pStyle w:val="Default"/>
      </w:pPr>
    </w:p>
    <w:p w:rsidR="00D518FB" w:rsidRDefault="00D518FB" w:rsidP="00D518FB">
      <w:pPr>
        <w:pStyle w:val="CM46"/>
        <w:spacing w:after="130"/>
        <w:jc w:val="both"/>
        <w:rPr>
          <w:rFonts w:cs="Calibri"/>
          <w:color w:val="000000"/>
          <w:sz w:val="23"/>
          <w:szCs w:val="23"/>
        </w:rPr>
      </w:pPr>
      <w:r>
        <w:rPr>
          <w:rFonts w:cs="Calibri"/>
          <w:b/>
          <w:bCs/>
          <w:color w:val="000000"/>
          <w:sz w:val="23"/>
          <w:szCs w:val="23"/>
        </w:rPr>
        <w:t>Q</w:t>
      </w:r>
      <w:r>
        <w:rPr>
          <w:rFonts w:cs="Calibri"/>
          <w:b/>
          <w:bCs/>
          <w:color w:val="000000"/>
          <w:sz w:val="19"/>
          <w:szCs w:val="19"/>
        </w:rPr>
        <w:t xml:space="preserve">UESTION </w:t>
      </w:r>
      <w:r>
        <w:rPr>
          <w:rFonts w:cs="Calibri"/>
          <w:b/>
          <w:bCs/>
          <w:color w:val="000000"/>
          <w:sz w:val="23"/>
          <w:szCs w:val="23"/>
        </w:rPr>
        <w:t>18 – COMMENTS ON UNDERSTANDING OF SUBMITTING STRs</w:t>
      </w:r>
    </w:p>
    <w:p w:rsidR="00D518FB" w:rsidRPr="007B506E" w:rsidRDefault="00D518FB" w:rsidP="00D518FB">
      <w:pPr>
        <w:pStyle w:val="Default"/>
      </w:pPr>
      <w:r>
        <w:t>Refer to Appendix B – Survey Summary data</w:t>
      </w:r>
    </w:p>
    <w:p w:rsidR="00180482" w:rsidRPr="0023483E" w:rsidRDefault="00180482" w:rsidP="008A65A4">
      <w:pPr>
        <w:pStyle w:val="Default"/>
      </w:pPr>
    </w:p>
    <w:sectPr w:rsidR="00180482" w:rsidRPr="0023483E" w:rsidSect="001B3CE3">
      <w:footerReference w:type="default" r:id="rId15"/>
      <w:pgSz w:w="11907" w:h="16840" w:code="9"/>
      <w:pgMar w:top="993"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00" w:rsidRDefault="00DD2E00">
      <w:r>
        <w:separator/>
      </w:r>
    </w:p>
    <w:p w:rsidR="00DD2E00" w:rsidRDefault="00DD2E00"/>
    <w:p w:rsidR="00DD2E00" w:rsidRDefault="00DD2E00"/>
  </w:endnote>
  <w:endnote w:type="continuationSeparator" w:id="0">
    <w:p w:rsidR="00DD2E00" w:rsidRDefault="00DD2E00">
      <w:r>
        <w:continuationSeparator/>
      </w:r>
    </w:p>
    <w:p w:rsidR="00DD2E00" w:rsidRDefault="00DD2E00"/>
    <w:p w:rsidR="00DD2E00" w:rsidRDefault="00DD2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85915"/>
      <w:docPartObj>
        <w:docPartGallery w:val="Page Numbers (Bottom of Page)"/>
        <w:docPartUnique/>
      </w:docPartObj>
    </w:sdtPr>
    <w:sdtEndPr>
      <w:rPr>
        <w:noProof/>
      </w:rPr>
    </w:sdtEndPr>
    <w:sdtContent>
      <w:p w:rsidR="00DD2E00" w:rsidRDefault="00DD2E00">
        <w:pPr>
          <w:pStyle w:val="Footer"/>
          <w:jc w:val="right"/>
        </w:pPr>
        <w:r>
          <w:fldChar w:fldCharType="begin"/>
        </w:r>
        <w:r>
          <w:instrText xml:space="preserve"> PAGE   \* MERGEFORMAT </w:instrText>
        </w:r>
        <w:r>
          <w:fldChar w:fldCharType="separate"/>
        </w:r>
        <w:r w:rsidR="00E52164">
          <w:rPr>
            <w:noProof/>
          </w:rPr>
          <w:t>1</w:t>
        </w:r>
        <w:r>
          <w:rPr>
            <w:noProof/>
          </w:rPr>
          <w:fldChar w:fldCharType="end"/>
        </w:r>
      </w:p>
    </w:sdtContent>
  </w:sdt>
  <w:p w:rsidR="00DD2E00" w:rsidRPr="001B3CE3" w:rsidRDefault="00DD2E00" w:rsidP="001B3CE3">
    <w:pPr>
      <w:spacing w:after="0"/>
      <w:jc w:val="center"/>
      <w:rPr>
        <w:i/>
      </w:rPr>
    </w:pPr>
    <w:r w:rsidRPr="001B3CE3">
      <w:rPr>
        <w:i/>
      </w:rPr>
      <w:t>The Department of Internal Affairs Te Tari Taiwhenua</w:t>
    </w:r>
  </w:p>
  <w:p w:rsidR="00DD2E00" w:rsidRPr="001B3CE3" w:rsidRDefault="00DD2E00" w:rsidP="001B3CE3">
    <w:pPr>
      <w:spacing w:after="0"/>
      <w:jc w:val="center"/>
      <w:rPr>
        <w:i/>
      </w:rPr>
    </w:pPr>
    <w:r w:rsidRPr="001B3CE3">
      <w:rPr>
        <w:i/>
      </w:rPr>
      <w:t>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00" w:rsidRDefault="00DD2E00" w:rsidP="00FB1990">
      <w:pPr>
        <w:pStyle w:val="Spacer"/>
      </w:pPr>
      <w:r>
        <w:separator/>
      </w:r>
    </w:p>
    <w:p w:rsidR="00DD2E00" w:rsidRDefault="00DD2E00" w:rsidP="00FB1990">
      <w:pPr>
        <w:pStyle w:val="Spacer"/>
      </w:pPr>
    </w:p>
  </w:footnote>
  <w:footnote w:type="continuationSeparator" w:id="0">
    <w:p w:rsidR="00DD2E00" w:rsidRDefault="00DD2E00">
      <w:r>
        <w:continuationSeparator/>
      </w:r>
    </w:p>
    <w:p w:rsidR="00DD2E00" w:rsidRDefault="00DD2E00"/>
    <w:p w:rsidR="00DD2E00" w:rsidRDefault="00DD2E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0192D"/>
    <w:multiLevelType w:val="hybridMultilevel"/>
    <w:tmpl w:val="B1A703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C35FE0"/>
    <w:multiLevelType w:val="hybridMultilevel"/>
    <w:tmpl w:val="0247F6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5FFBAB"/>
    <w:multiLevelType w:val="hybridMultilevel"/>
    <w:tmpl w:val="119FCA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321B58"/>
    <w:multiLevelType w:val="hybridMultilevel"/>
    <w:tmpl w:val="790A8E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08191F"/>
    <w:multiLevelType w:val="hybridMultilevel"/>
    <w:tmpl w:val="D811FA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466815"/>
    <w:multiLevelType w:val="hybridMultilevel"/>
    <w:tmpl w:val="31071C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FDA859"/>
    <w:multiLevelType w:val="hybridMultilevel"/>
    <w:tmpl w:val="0F9DBA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52FF1E4"/>
    <w:multiLevelType w:val="hybridMultilevel"/>
    <w:tmpl w:val="BBCD41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0536F2"/>
    <w:multiLevelType w:val="hybridMultilevel"/>
    <w:tmpl w:val="503CF7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11">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12">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13">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14">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15">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7">
    <w:nsid w:val="05B9226F"/>
    <w:multiLevelType w:val="hybridMultilevel"/>
    <w:tmpl w:val="A3FF71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20">
    <w:nsid w:val="11AC3762"/>
    <w:multiLevelType w:val="hybridMultilevel"/>
    <w:tmpl w:val="C16FB6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23012C4"/>
    <w:multiLevelType w:val="hybridMultilevel"/>
    <w:tmpl w:val="7324D2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A7DC7A3"/>
    <w:multiLevelType w:val="hybridMultilevel"/>
    <w:tmpl w:val="2B9FF1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nsid w:val="60D3D195"/>
    <w:multiLevelType w:val="hybridMultilevel"/>
    <w:tmpl w:val="FF7FD0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211BEB3"/>
    <w:multiLevelType w:val="hybridMultilevel"/>
    <w:tmpl w:val="7A334C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6">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7">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9">
    <w:nsid w:val="7A863E2C"/>
    <w:multiLevelType w:val="hybridMultilevel"/>
    <w:tmpl w:val="E272CF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28"/>
  </w:num>
  <w:num w:numId="8">
    <w:abstractNumId w:val="30"/>
  </w:num>
  <w:num w:numId="9">
    <w:abstractNumId w:val="25"/>
  </w:num>
  <w:num w:numId="10">
    <w:abstractNumId w:val="21"/>
  </w:num>
  <w:num w:numId="11">
    <w:abstractNumId w:val="31"/>
  </w:num>
  <w:num w:numId="12">
    <w:abstractNumId w:val="35"/>
  </w:num>
  <w:num w:numId="13">
    <w:abstractNumId w:val="37"/>
  </w:num>
  <w:num w:numId="14">
    <w:abstractNumId w:val="16"/>
  </w:num>
  <w:num w:numId="15">
    <w:abstractNumId w:val="23"/>
  </w:num>
  <w:num w:numId="16">
    <w:abstractNumId w:val="38"/>
  </w:num>
  <w:num w:numId="17">
    <w:abstractNumId w:val="36"/>
  </w:num>
  <w:num w:numId="18">
    <w:abstractNumId w:val="34"/>
  </w:num>
  <w:num w:numId="19">
    <w:abstractNumId w:val="26"/>
  </w:num>
  <w:num w:numId="20">
    <w:abstractNumId w:val="24"/>
  </w:num>
  <w:num w:numId="21">
    <w:abstractNumId w:val="19"/>
  </w:num>
  <w:num w:numId="22">
    <w:abstractNumId w:val="15"/>
  </w:num>
  <w:num w:numId="23">
    <w:abstractNumId w:val="22"/>
  </w:num>
  <w:num w:numId="24">
    <w:abstractNumId w:val="18"/>
  </w:num>
  <w:num w:numId="25">
    <w:abstractNumId w:val="39"/>
  </w:num>
  <w:num w:numId="26">
    <w:abstractNumId w:val="29"/>
  </w:num>
  <w:num w:numId="27">
    <w:abstractNumId w:val="0"/>
  </w:num>
  <w:num w:numId="28">
    <w:abstractNumId w:val="32"/>
  </w:num>
  <w:num w:numId="29">
    <w:abstractNumId w:val="8"/>
  </w:num>
  <w:num w:numId="30">
    <w:abstractNumId w:val="39"/>
  </w:num>
  <w:num w:numId="31">
    <w:abstractNumId w:val="5"/>
  </w:num>
  <w:num w:numId="32">
    <w:abstractNumId w:val="7"/>
  </w:num>
  <w:num w:numId="33">
    <w:abstractNumId w:val="4"/>
  </w:num>
  <w:num w:numId="34">
    <w:abstractNumId w:val="6"/>
  </w:num>
  <w:num w:numId="35">
    <w:abstractNumId w:val="17"/>
  </w:num>
  <w:num w:numId="36">
    <w:abstractNumId w:val="1"/>
  </w:num>
  <w:num w:numId="37">
    <w:abstractNumId w:val="27"/>
  </w:num>
  <w:num w:numId="38">
    <w:abstractNumId w:val="20"/>
  </w:num>
  <w:num w:numId="39">
    <w:abstractNumId w:val="33"/>
  </w:num>
  <w:num w:numId="40">
    <w:abstractNumId w:val="3"/>
  </w:num>
  <w:num w:numId="41">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4A"/>
    <w:rsid w:val="000018A2"/>
    <w:rsid w:val="00003360"/>
    <w:rsid w:val="00003FC7"/>
    <w:rsid w:val="00005919"/>
    <w:rsid w:val="00007C42"/>
    <w:rsid w:val="00015020"/>
    <w:rsid w:val="0001647B"/>
    <w:rsid w:val="00020010"/>
    <w:rsid w:val="00033F5E"/>
    <w:rsid w:val="00034673"/>
    <w:rsid w:val="00036671"/>
    <w:rsid w:val="00037226"/>
    <w:rsid w:val="000409E2"/>
    <w:rsid w:val="00041029"/>
    <w:rsid w:val="00044EA1"/>
    <w:rsid w:val="00054574"/>
    <w:rsid w:val="0005649A"/>
    <w:rsid w:val="00063BB2"/>
    <w:rsid w:val="00064A18"/>
    <w:rsid w:val="00065F18"/>
    <w:rsid w:val="00067005"/>
    <w:rsid w:val="00076035"/>
    <w:rsid w:val="00077013"/>
    <w:rsid w:val="00091C3A"/>
    <w:rsid w:val="00095AED"/>
    <w:rsid w:val="000A699E"/>
    <w:rsid w:val="000A7C43"/>
    <w:rsid w:val="000D61F6"/>
    <w:rsid w:val="000E3240"/>
    <w:rsid w:val="000E677B"/>
    <w:rsid w:val="000F1B6C"/>
    <w:rsid w:val="000F4ADF"/>
    <w:rsid w:val="000F61AF"/>
    <w:rsid w:val="0010171C"/>
    <w:rsid w:val="00102FAD"/>
    <w:rsid w:val="00121870"/>
    <w:rsid w:val="00126FDE"/>
    <w:rsid w:val="0013703F"/>
    <w:rsid w:val="00140ED2"/>
    <w:rsid w:val="00143E7C"/>
    <w:rsid w:val="0014415C"/>
    <w:rsid w:val="0014565E"/>
    <w:rsid w:val="001536C9"/>
    <w:rsid w:val="0016433D"/>
    <w:rsid w:val="00180482"/>
    <w:rsid w:val="00184C0F"/>
    <w:rsid w:val="001A4D9F"/>
    <w:rsid w:val="001A5F55"/>
    <w:rsid w:val="001A6170"/>
    <w:rsid w:val="001B3CE3"/>
    <w:rsid w:val="001C0031"/>
    <w:rsid w:val="001C0C30"/>
    <w:rsid w:val="001D0111"/>
    <w:rsid w:val="001D37BC"/>
    <w:rsid w:val="001D7EAE"/>
    <w:rsid w:val="001E348A"/>
    <w:rsid w:val="001E64FC"/>
    <w:rsid w:val="001F0724"/>
    <w:rsid w:val="002007DF"/>
    <w:rsid w:val="00205FE8"/>
    <w:rsid w:val="00206BA3"/>
    <w:rsid w:val="00215160"/>
    <w:rsid w:val="002224B4"/>
    <w:rsid w:val="00226D5E"/>
    <w:rsid w:val="0023483E"/>
    <w:rsid w:val="00237A3D"/>
    <w:rsid w:val="00240E83"/>
    <w:rsid w:val="002502D1"/>
    <w:rsid w:val="00260A17"/>
    <w:rsid w:val="00263812"/>
    <w:rsid w:val="00270EEC"/>
    <w:rsid w:val="002777D8"/>
    <w:rsid w:val="002806A2"/>
    <w:rsid w:val="0028475E"/>
    <w:rsid w:val="00297CC7"/>
    <w:rsid w:val="002A194F"/>
    <w:rsid w:val="002A4BD9"/>
    <w:rsid w:val="002A4FE7"/>
    <w:rsid w:val="002B1CEB"/>
    <w:rsid w:val="002C3FCB"/>
    <w:rsid w:val="002C6F1C"/>
    <w:rsid w:val="002D3125"/>
    <w:rsid w:val="002D4F42"/>
    <w:rsid w:val="002D729B"/>
    <w:rsid w:val="0030084C"/>
    <w:rsid w:val="003039E1"/>
    <w:rsid w:val="003129BA"/>
    <w:rsid w:val="003148FC"/>
    <w:rsid w:val="00316E90"/>
    <w:rsid w:val="00317205"/>
    <w:rsid w:val="0032132E"/>
    <w:rsid w:val="00330820"/>
    <w:rsid w:val="003465C8"/>
    <w:rsid w:val="0037016B"/>
    <w:rsid w:val="00370FC0"/>
    <w:rsid w:val="00373206"/>
    <w:rsid w:val="003737ED"/>
    <w:rsid w:val="00375B80"/>
    <w:rsid w:val="00377352"/>
    <w:rsid w:val="003841DF"/>
    <w:rsid w:val="003A10DA"/>
    <w:rsid w:val="003A12C8"/>
    <w:rsid w:val="003A1A41"/>
    <w:rsid w:val="003A6FFE"/>
    <w:rsid w:val="003A7695"/>
    <w:rsid w:val="003B0D33"/>
    <w:rsid w:val="003B3A23"/>
    <w:rsid w:val="003B6592"/>
    <w:rsid w:val="003C6B5B"/>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4ED"/>
    <w:rsid w:val="00437A53"/>
    <w:rsid w:val="004552A0"/>
    <w:rsid w:val="00457E34"/>
    <w:rsid w:val="00460A83"/>
    <w:rsid w:val="00460B3F"/>
    <w:rsid w:val="00464752"/>
    <w:rsid w:val="00472A55"/>
    <w:rsid w:val="00476068"/>
    <w:rsid w:val="004763B3"/>
    <w:rsid w:val="00477619"/>
    <w:rsid w:val="00481DF5"/>
    <w:rsid w:val="00486E6E"/>
    <w:rsid w:val="004875DF"/>
    <w:rsid w:val="00487C1D"/>
    <w:rsid w:val="00494C6F"/>
    <w:rsid w:val="004A5823"/>
    <w:rsid w:val="004B0AAF"/>
    <w:rsid w:val="004B214C"/>
    <w:rsid w:val="004B3924"/>
    <w:rsid w:val="004B5673"/>
    <w:rsid w:val="004C4DDD"/>
    <w:rsid w:val="004C5F40"/>
    <w:rsid w:val="004C6953"/>
    <w:rsid w:val="004C7001"/>
    <w:rsid w:val="004D1706"/>
    <w:rsid w:val="004D243F"/>
    <w:rsid w:val="004D7473"/>
    <w:rsid w:val="004F2E8A"/>
    <w:rsid w:val="004F50E6"/>
    <w:rsid w:val="004F55E1"/>
    <w:rsid w:val="00501C4B"/>
    <w:rsid w:val="005028A7"/>
    <w:rsid w:val="005078B7"/>
    <w:rsid w:val="0051074F"/>
    <w:rsid w:val="00510D73"/>
    <w:rsid w:val="00512ACB"/>
    <w:rsid w:val="00516665"/>
    <w:rsid w:val="0052216D"/>
    <w:rsid w:val="00526115"/>
    <w:rsid w:val="00533FAF"/>
    <w:rsid w:val="005366B6"/>
    <w:rsid w:val="00536829"/>
    <w:rsid w:val="00554BCD"/>
    <w:rsid w:val="00555F60"/>
    <w:rsid w:val="005605A5"/>
    <w:rsid w:val="00560B3C"/>
    <w:rsid w:val="00561A97"/>
    <w:rsid w:val="00563DAC"/>
    <w:rsid w:val="005675E0"/>
    <w:rsid w:val="00570A71"/>
    <w:rsid w:val="00570C00"/>
    <w:rsid w:val="00576AAA"/>
    <w:rsid w:val="0058206B"/>
    <w:rsid w:val="00585690"/>
    <w:rsid w:val="005911C3"/>
    <w:rsid w:val="00594AAA"/>
    <w:rsid w:val="00594CD1"/>
    <w:rsid w:val="00595B33"/>
    <w:rsid w:val="0059662F"/>
    <w:rsid w:val="005B7254"/>
    <w:rsid w:val="005D2230"/>
    <w:rsid w:val="005D3066"/>
    <w:rsid w:val="005D5D6A"/>
    <w:rsid w:val="005E4B13"/>
    <w:rsid w:val="005E4C02"/>
    <w:rsid w:val="005F01DF"/>
    <w:rsid w:val="005F6A20"/>
    <w:rsid w:val="005F76CC"/>
    <w:rsid w:val="005F7FF8"/>
    <w:rsid w:val="006004C4"/>
    <w:rsid w:val="00600CA4"/>
    <w:rsid w:val="00602416"/>
    <w:rsid w:val="006025CE"/>
    <w:rsid w:val="006041F2"/>
    <w:rsid w:val="006064F5"/>
    <w:rsid w:val="00615EFC"/>
    <w:rsid w:val="00617298"/>
    <w:rsid w:val="00627FCE"/>
    <w:rsid w:val="00634A03"/>
    <w:rsid w:val="00637753"/>
    <w:rsid w:val="006463DF"/>
    <w:rsid w:val="006475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0B00"/>
    <w:rsid w:val="00710F4A"/>
    <w:rsid w:val="00711AFF"/>
    <w:rsid w:val="00715B8F"/>
    <w:rsid w:val="0073106E"/>
    <w:rsid w:val="00755142"/>
    <w:rsid w:val="00756BB7"/>
    <w:rsid w:val="0075764B"/>
    <w:rsid w:val="00760C01"/>
    <w:rsid w:val="00761293"/>
    <w:rsid w:val="00767640"/>
    <w:rsid w:val="00767C04"/>
    <w:rsid w:val="00771370"/>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2BC1"/>
    <w:rsid w:val="00884A12"/>
    <w:rsid w:val="00890CE4"/>
    <w:rsid w:val="00891ED7"/>
    <w:rsid w:val="008A65A4"/>
    <w:rsid w:val="008B3EA5"/>
    <w:rsid w:val="008B7B54"/>
    <w:rsid w:val="008C3187"/>
    <w:rsid w:val="008C5E4F"/>
    <w:rsid w:val="008D63B7"/>
    <w:rsid w:val="008D6A03"/>
    <w:rsid w:val="008D6CA7"/>
    <w:rsid w:val="008E508C"/>
    <w:rsid w:val="008E7AB5"/>
    <w:rsid w:val="008E7FEE"/>
    <w:rsid w:val="008F2F06"/>
    <w:rsid w:val="008F31F5"/>
    <w:rsid w:val="008F67F5"/>
    <w:rsid w:val="008F6BCE"/>
    <w:rsid w:val="00900D4B"/>
    <w:rsid w:val="00905F9B"/>
    <w:rsid w:val="00913E95"/>
    <w:rsid w:val="009170B9"/>
    <w:rsid w:val="00923A87"/>
    <w:rsid w:val="00927482"/>
    <w:rsid w:val="00936FF5"/>
    <w:rsid w:val="00940E38"/>
    <w:rsid w:val="0094654B"/>
    <w:rsid w:val="0095112B"/>
    <w:rsid w:val="009539EB"/>
    <w:rsid w:val="00954C09"/>
    <w:rsid w:val="0095712A"/>
    <w:rsid w:val="00973A6D"/>
    <w:rsid w:val="009804E0"/>
    <w:rsid w:val="00983735"/>
    <w:rsid w:val="00983A3B"/>
    <w:rsid w:val="00983EF3"/>
    <w:rsid w:val="009860A5"/>
    <w:rsid w:val="009865AA"/>
    <w:rsid w:val="00987080"/>
    <w:rsid w:val="0098765A"/>
    <w:rsid w:val="00987E5B"/>
    <w:rsid w:val="00991620"/>
    <w:rsid w:val="00995CA8"/>
    <w:rsid w:val="00995F86"/>
    <w:rsid w:val="009968B0"/>
    <w:rsid w:val="009A6CB2"/>
    <w:rsid w:val="009B0982"/>
    <w:rsid w:val="009B4C99"/>
    <w:rsid w:val="009B528D"/>
    <w:rsid w:val="009C13FB"/>
    <w:rsid w:val="009D28CF"/>
    <w:rsid w:val="009E5D36"/>
    <w:rsid w:val="009E6375"/>
    <w:rsid w:val="009E7CA0"/>
    <w:rsid w:val="00A04392"/>
    <w:rsid w:val="00A069CE"/>
    <w:rsid w:val="00A109D8"/>
    <w:rsid w:val="00A16003"/>
    <w:rsid w:val="00A167D7"/>
    <w:rsid w:val="00A21187"/>
    <w:rsid w:val="00A23D39"/>
    <w:rsid w:val="00A23EC2"/>
    <w:rsid w:val="00A24FBB"/>
    <w:rsid w:val="00A332D0"/>
    <w:rsid w:val="00A3453E"/>
    <w:rsid w:val="00A42ED2"/>
    <w:rsid w:val="00A44B33"/>
    <w:rsid w:val="00A50E00"/>
    <w:rsid w:val="00A52529"/>
    <w:rsid w:val="00A53624"/>
    <w:rsid w:val="00A54C6E"/>
    <w:rsid w:val="00A55EAF"/>
    <w:rsid w:val="00A5766B"/>
    <w:rsid w:val="00A77512"/>
    <w:rsid w:val="00A8325A"/>
    <w:rsid w:val="00A863E3"/>
    <w:rsid w:val="00A94161"/>
    <w:rsid w:val="00A97BFB"/>
    <w:rsid w:val="00AB0BBC"/>
    <w:rsid w:val="00AB3A92"/>
    <w:rsid w:val="00AB478B"/>
    <w:rsid w:val="00AB47AC"/>
    <w:rsid w:val="00AB4AD9"/>
    <w:rsid w:val="00AD6E77"/>
    <w:rsid w:val="00AD7274"/>
    <w:rsid w:val="00AD7A25"/>
    <w:rsid w:val="00AE2666"/>
    <w:rsid w:val="00AF0488"/>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A7E2A"/>
    <w:rsid w:val="00BB0D90"/>
    <w:rsid w:val="00BB60C6"/>
    <w:rsid w:val="00BB7798"/>
    <w:rsid w:val="00BB7984"/>
    <w:rsid w:val="00BC45F7"/>
    <w:rsid w:val="00BC6A06"/>
    <w:rsid w:val="00BC7CDC"/>
    <w:rsid w:val="00BD137C"/>
    <w:rsid w:val="00BE3BC7"/>
    <w:rsid w:val="00BF1AB7"/>
    <w:rsid w:val="00BF7FE9"/>
    <w:rsid w:val="00C03596"/>
    <w:rsid w:val="00C05EEC"/>
    <w:rsid w:val="00C15A13"/>
    <w:rsid w:val="00C20EE3"/>
    <w:rsid w:val="00C238D9"/>
    <w:rsid w:val="00C24A9D"/>
    <w:rsid w:val="00C2677E"/>
    <w:rsid w:val="00C31542"/>
    <w:rsid w:val="00C459AF"/>
    <w:rsid w:val="00C5028E"/>
    <w:rsid w:val="00C54E78"/>
    <w:rsid w:val="00C553B2"/>
    <w:rsid w:val="00C6078D"/>
    <w:rsid w:val="00C657CF"/>
    <w:rsid w:val="00C663C2"/>
    <w:rsid w:val="00C70FA2"/>
    <w:rsid w:val="00C80D62"/>
    <w:rsid w:val="00C8114F"/>
    <w:rsid w:val="00C8388B"/>
    <w:rsid w:val="00C84944"/>
    <w:rsid w:val="00C90217"/>
    <w:rsid w:val="00C96BFD"/>
    <w:rsid w:val="00C96C98"/>
    <w:rsid w:val="00CA5358"/>
    <w:rsid w:val="00CB1DCA"/>
    <w:rsid w:val="00CD502A"/>
    <w:rsid w:val="00CE2CF3"/>
    <w:rsid w:val="00CF12CF"/>
    <w:rsid w:val="00CF4BE3"/>
    <w:rsid w:val="00D03C2C"/>
    <w:rsid w:val="00D060D2"/>
    <w:rsid w:val="00D0731B"/>
    <w:rsid w:val="00D13E2D"/>
    <w:rsid w:val="00D14394"/>
    <w:rsid w:val="00D242CD"/>
    <w:rsid w:val="00D26CF9"/>
    <w:rsid w:val="00D26F74"/>
    <w:rsid w:val="00D341C3"/>
    <w:rsid w:val="00D42843"/>
    <w:rsid w:val="00D5152A"/>
    <w:rsid w:val="00D518FB"/>
    <w:rsid w:val="00D560EB"/>
    <w:rsid w:val="00D65145"/>
    <w:rsid w:val="00D73D87"/>
    <w:rsid w:val="00D74314"/>
    <w:rsid w:val="00D81410"/>
    <w:rsid w:val="00D92505"/>
    <w:rsid w:val="00D97DB5"/>
    <w:rsid w:val="00DA267C"/>
    <w:rsid w:val="00DA27B3"/>
    <w:rsid w:val="00DA5101"/>
    <w:rsid w:val="00DA73E0"/>
    <w:rsid w:val="00DA79EF"/>
    <w:rsid w:val="00DB0C0B"/>
    <w:rsid w:val="00DB1C46"/>
    <w:rsid w:val="00DB3B74"/>
    <w:rsid w:val="00DC5870"/>
    <w:rsid w:val="00DD0384"/>
    <w:rsid w:val="00DD0901"/>
    <w:rsid w:val="00DD2E00"/>
    <w:rsid w:val="00DD4AB0"/>
    <w:rsid w:val="00DE0601"/>
    <w:rsid w:val="00DE16B6"/>
    <w:rsid w:val="00DE3323"/>
    <w:rsid w:val="00DE36CA"/>
    <w:rsid w:val="00DE7E63"/>
    <w:rsid w:val="00DF7374"/>
    <w:rsid w:val="00DF77A2"/>
    <w:rsid w:val="00E367C5"/>
    <w:rsid w:val="00E3712A"/>
    <w:rsid w:val="00E37E71"/>
    <w:rsid w:val="00E42486"/>
    <w:rsid w:val="00E42847"/>
    <w:rsid w:val="00E46064"/>
    <w:rsid w:val="00E52164"/>
    <w:rsid w:val="00E57739"/>
    <w:rsid w:val="00E604A1"/>
    <w:rsid w:val="00E7293C"/>
    <w:rsid w:val="00E73AA8"/>
    <w:rsid w:val="00E76812"/>
    <w:rsid w:val="00E80228"/>
    <w:rsid w:val="00E86D2A"/>
    <w:rsid w:val="00E8711A"/>
    <w:rsid w:val="00EA2ED4"/>
    <w:rsid w:val="00EA491A"/>
    <w:rsid w:val="00EA7AC4"/>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1F28"/>
    <w:rsid w:val="00F337BF"/>
    <w:rsid w:val="00F33D14"/>
    <w:rsid w:val="00F35920"/>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4B04"/>
    <w:rsid w:val="00FE5AD9"/>
    <w:rsid w:val="00FE7A33"/>
    <w:rsid w:val="00FF3414"/>
    <w:rsid w:val="00FF78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4B5673"/>
    <w:pPr>
      <w:widowControl w:val="0"/>
      <w:autoSpaceDE w:val="0"/>
      <w:autoSpaceDN w:val="0"/>
      <w:adjustRightInd w:val="0"/>
      <w:spacing w:before="0" w:after="0"/>
    </w:pPr>
    <w:rPr>
      <w:rFonts w:eastAsiaTheme="minorEastAsia" w:cs="Calibri"/>
      <w:color w:val="000000"/>
    </w:rPr>
  </w:style>
  <w:style w:type="paragraph" w:customStyle="1" w:styleId="CM24">
    <w:name w:val="CM24"/>
    <w:basedOn w:val="Default"/>
    <w:next w:val="Default"/>
    <w:uiPriority w:val="99"/>
    <w:rsid w:val="004B5673"/>
    <w:pPr>
      <w:spacing w:line="240" w:lineRule="atLeast"/>
    </w:pPr>
    <w:rPr>
      <w:rFonts w:cstheme="minorBidi"/>
      <w:color w:val="auto"/>
    </w:rPr>
  </w:style>
  <w:style w:type="paragraph" w:customStyle="1" w:styleId="CM4">
    <w:name w:val="CM4"/>
    <w:basedOn w:val="Default"/>
    <w:next w:val="Default"/>
    <w:uiPriority w:val="99"/>
    <w:rsid w:val="004B5673"/>
    <w:pPr>
      <w:spacing w:line="268" w:lineRule="atLeast"/>
    </w:pPr>
    <w:rPr>
      <w:rFonts w:cstheme="minorBidi"/>
      <w:color w:val="auto"/>
    </w:rPr>
  </w:style>
  <w:style w:type="paragraph" w:customStyle="1" w:styleId="CM6">
    <w:name w:val="CM6"/>
    <w:basedOn w:val="Default"/>
    <w:next w:val="Default"/>
    <w:uiPriority w:val="99"/>
    <w:rsid w:val="004B5673"/>
    <w:pPr>
      <w:spacing w:line="271" w:lineRule="atLeast"/>
    </w:pPr>
    <w:rPr>
      <w:rFonts w:cstheme="minorBidi"/>
      <w:color w:val="auto"/>
    </w:rPr>
  </w:style>
  <w:style w:type="paragraph" w:customStyle="1" w:styleId="CM48">
    <w:name w:val="CM48"/>
    <w:basedOn w:val="Default"/>
    <w:next w:val="Default"/>
    <w:uiPriority w:val="99"/>
    <w:rsid w:val="004B5673"/>
    <w:rPr>
      <w:rFonts w:cstheme="minorBidi"/>
      <w:color w:val="auto"/>
    </w:rPr>
  </w:style>
  <w:style w:type="paragraph" w:customStyle="1" w:styleId="CM14">
    <w:name w:val="CM14"/>
    <w:basedOn w:val="Default"/>
    <w:next w:val="Default"/>
    <w:uiPriority w:val="99"/>
    <w:rsid w:val="004B5673"/>
    <w:pPr>
      <w:spacing w:line="268" w:lineRule="atLeast"/>
    </w:pPr>
    <w:rPr>
      <w:rFonts w:cstheme="minorBidi"/>
      <w:color w:val="auto"/>
    </w:rPr>
  </w:style>
  <w:style w:type="paragraph" w:customStyle="1" w:styleId="CM15">
    <w:name w:val="CM15"/>
    <w:basedOn w:val="Default"/>
    <w:next w:val="Default"/>
    <w:uiPriority w:val="99"/>
    <w:rsid w:val="004B5673"/>
    <w:pPr>
      <w:spacing w:line="268" w:lineRule="atLeast"/>
    </w:pPr>
    <w:rPr>
      <w:rFonts w:cstheme="minorBidi"/>
      <w:color w:val="auto"/>
    </w:rPr>
  </w:style>
  <w:style w:type="paragraph" w:customStyle="1" w:styleId="CM16">
    <w:name w:val="CM16"/>
    <w:basedOn w:val="Default"/>
    <w:next w:val="Default"/>
    <w:uiPriority w:val="99"/>
    <w:rsid w:val="004B5673"/>
    <w:pPr>
      <w:spacing w:line="268" w:lineRule="atLeast"/>
    </w:pPr>
    <w:rPr>
      <w:rFonts w:cstheme="minorBidi"/>
      <w:color w:val="auto"/>
    </w:rPr>
  </w:style>
  <w:style w:type="paragraph" w:customStyle="1" w:styleId="CM45">
    <w:name w:val="CM45"/>
    <w:basedOn w:val="Default"/>
    <w:next w:val="Default"/>
    <w:uiPriority w:val="99"/>
    <w:rsid w:val="00180482"/>
    <w:rPr>
      <w:rFonts w:cstheme="minorBidi"/>
      <w:color w:val="auto"/>
    </w:rPr>
  </w:style>
  <w:style w:type="paragraph" w:customStyle="1" w:styleId="CM31">
    <w:name w:val="CM31"/>
    <w:basedOn w:val="Default"/>
    <w:next w:val="Default"/>
    <w:uiPriority w:val="99"/>
    <w:rsid w:val="00180482"/>
    <w:pPr>
      <w:spacing w:line="231" w:lineRule="atLeast"/>
    </w:pPr>
    <w:rPr>
      <w:rFonts w:cstheme="minorBidi"/>
      <w:color w:val="auto"/>
    </w:rPr>
  </w:style>
  <w:style w:type="paragraph" w:customStyle="1" w:styleId="CM55">
    <w:name w:val="CM55"/>
    <w:basedOn w:val="Default"/>
    <w:next w:val="Default"/>
    <w:uiPriority w:val="99"/>
    <w:rsid w:val="00180482"/>
    <w:rPr>
      <w:rFonts w:cstheme="minorBidi"/>
      <w:color w:val="auto"/>
    </w:rPr>
  </w:style>
  <w:style w:type="paragraph" w:customStyle="1" w:styleId="CM3">
    <w:name w:val="CM3"/>
    <w:basedOn w:val="Default"/>
    <w:next w:val="Default"/>
    <w:uiPriority w:val="99"/>
    <w:rsid w:val="00180482"/>
    <w:rPr>
      <w:rFonts w:cstheme="minorBidi"/>
      <w:color w:val="auto"/>
    </w:rPr>
  </w:style>
  <w:style w:type="paragraph" w:customStyle="1" w:styleId="CM46">
    <w:name w:val="CM46"/>
    <w:basedOn w:val="Default"/>
    <w:next w:val="Default"/>
    <w:uiPriority w:val="99"/>
    <w:rsid w:val="00180482"/>
    <w:rPr>
      <w:rFonts w:cstheme="minorBidi"/>
      <w:color w:val="auto"/>
    </w:rPr>
  </w:style>
  <w:style w:type="paragraph" w:customStyle="1" w:styleId="CM19">
    <w:name w:val="CM19"/>
    <w:basedOn w:val="Default"/>
    <w:next w:val="Default"/>
    <w:uiPriority w:val="99"/>
    <w:rsid w:val="00180482"/>
    <w:pPr>
      <w:spacing w:line="228" w:lineRule="atLeast"/>
    </w:pPr>
    <w:rPr>
      <w:rFonts w:cstheme="minorBidi"/>
      <w:color w:val="auto"/>
    </w:rPr>
  </w:style>
  <w:style w:type="paragraph" w:customStyle="1" w:styleId="CM39">
    <w:name w:val="CM39"/>
    <w:basedOn w:val="Default"/>
    <w:next w:val="Default"/>
    <w:uiPriority w:val="99"/>
    <w:rsid w:val="00180482"/>
    <w:pPr>
      <w:spacing w:line="231" w:lineRule="atLeast"/>
    </w:pPr>
    <w:rPr>
      <w:rFonts w:cstheme="minorBidi"/>
      <w:color w:val="auto"/>
    </w:rPr>
  </w:style>
  <w:style w:type="paragraph" w:customStyle="1" w:styleId="CM40">
    <w:name w:val="CM40"/>
    <w:basedOn w:val="Default"/>
    <w:next w:val="Default"/>
    <w:uiPriority w:val="99"/>
    <w:rsid w:val="00180482"/>
    <w:pPr>
      <w:spacing w:line="231" w:lineRule="atLeast"/>
    </w:pPr>
    <w:rPr>
      <w:rFonts w:cstheme="minorBidi"/>
      <w:color w:val="auto"/>
    </w:rPr>
  </w:style>
  <w:style w:type="paragraph" w:customStyle="1" w:styleId="CM38">
    <w:name w:val="CM38"/>
    <w:basedOn w:val="Default"/>
    <w:next w:val="Default"/>
    <w:uiPriority w:val="99"/>
    <w:rsid w:val="00180482"/>
    <w:pPr>
      <w:spacing w:line="231" w:lineRule="atLeast"/>
    </w:pPr>
    <w:rPr>
      <w:rFonts w:cstheme="minorBidi"/>
      <w:color w:val="auto"/>
    </w:rPr>
  </w:style>
  <w:style w:type="paragraph" w:customStyle="1" w:styleId="CM43">
    <w:name w:val="CM43"/>
    <w:basedOn w:val="Default"/>
    <w:next w:val="Default"/>
    <w:uiPriority w:val="99"/>
    <w:rsid w:val="00180482"/>
    <w:rPr>
      <w:rFonts w:cstheme="minorBidi"/>
      <w:color w:val="auto"/>
    </w:rPr>
  </w:style>
  <w:style w:type="paragraph" w:customStyle="1" w:styleId="CM54">
    <w:name w:val="CM54"/>
    <w:basedOn w:val="Default"/>
    <w:next w:val="Default"/>
    <w:uiPriority w:val="99"/>
    <w:rsid w:val="00180482"/>
    <w:rPr>
      <w:rFonts w:cstheme="minorBidi"/>
      <w:color w:val="auto"/>
    </w:rPr>
  </w:style>
  <w:style w:type="paragraph" w:customStyle="1" w:styleId="CM41">
    <w:name w:val="CM41"/>
    <w:basedOn w:val="Default"/>
    <w:next w:val="Default"/>
    <w:uiPriority w:val="99"/>
    <w:rsid w:val="00D518FB"/>
    <w:rPr>
      <w:rFonts w:cstheme="minorBidi"/>
      <w:color w:val="auto"/>
    </w:rPr>
  </w:style>
  <w:style w:type="paragraph" w:customStyle="1" w:styleId="CM42">
    <w:name w:val="CM42"/>
    <w:basedOn w:val="Default"/>
    <w:next w:val="Default"/>
    <w:uiPriority w:val="99"/>
    <w:rsid w:val="00D518FB"/>
    <w:rPr>
      <w:rFonts w:cstheme="minorBidi"/>
      <w:color w:val="auto"/>
    </w:rPr>
  </w:style>
  <w:style w:type="paragraph" w:styleId="TOCHeading">
    <w:name w:val="TOC Heading"/>
    <w:basedOn w:val="Heading1"/>
    <w:next w:val="Normal"/>
    <w:uiPriority w:val="39"/>
    <w:semiHidden/>
    <w:unhideWhenUsed/>
    <w:qFormat/>
    <w:rsid w:val="00536829"/>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paragraph" w:styleId="CommentText">
    <w:name w:val="annotation text"/>
    <w:basedOn w:val="Normal"/>
    <w:link w:val="CommentTextChar"/>
    <w:uiPriority w:val="99"/>
    <w:semiHidden/>
    <w:rsid w:val="001E348A"/>
    <w:rPr>
      <w:sz w:val="20"/>
      <w:szCs w:val="20"/>
    </w:rPr>
  </w:style>
  <w:style w:type="character" w:customStyle="1" w:styleId="CommentTextChar">
    <w:name w:val="Comment Text Char"/>
    <w:basedOn w:val="DefaultParagraphFont"/>
    <w:link w:val="CommentText"/>
    <w:uiPriority w:val="99"/>
    <w:semiHidden/>
    <w:rsid w:val="001E348A"/>
    <w:rPr>
      <w:sz w:val="20"/>
      <w:szCs w:val="20"/>
      <w:lang w:eastAsia="en-US"/>
    </w:rPr>
  </w:style>
  <w:style w:type="paragraph" w:styleId="CommentSubject">
    <w:name w:val="annotation subject"/>
    <w:basedOn w:val="CommentText"/>
    <w:next w:val="CommentText"/>
    <w:link w:val="CommentSubjectChar"/>
    <w:uiPriority w:val="99"/>
    <w:semiHidden/>
    <w:rsid w:val="001E348A"/>
    <w:rPr>
      <w:b/>
      <w:bCs/>
    </w:rPr>
  </w:style>
  <w:style w:type="character" w:customStyle="1" w:styleId="CommentSubjectChar">
    <w:name w:val="Comment Subject Char"/>
    <w:basedOn w:val="CommentTextChar"/>
    <w:link w:val="CommentSubject"/>
    <w:uiPriority w:val="99"/>
    <w:semiHidden/>
    <w:rsid w:val="001E348A"/>
    <w:rPr>
      <w:b/>
      <w:bCs/>
      <w:sz w:val="20"/>
      <w:szCs w:val="20"/>
      <w:lang w:eastAsia="en-US"/>
    </w:rPr>
  </w:style>
  <w:style w:type="paragraph" w:styleId="Revision">
    <w:name w:val="Revision"/>
    <w:hidden/>
    <w:uiPriority w:val="99"/>
    <w:semiHidden/>
    <w:rsid w:val="001E348A"/>
    <w:pPr>
      <w:spacing w:before="0" w:after="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4B5673"/>
    <w:pPr>
      <w:widowControl w:val="0"/>
      <w:autoSpaceDE w:val="0"/>
      <w:autoSpaceDN w:val="0"/>
      <w:adjustRightInd w:val="0"/>
      <w:spacing w:before="0" w:after="0"/>
    </w:pPr>
    <w:rPr>
      <w:rFonts w:eastAsiaTheme="minorEastAsia" w:cs="Calibri"/>
      <w:color w:val="000000"/>
    </w:rPr>
  </w:style>
  <w:style w:type="paragraph" w:customStyle="1" w:styleId="CM24">
    <w:name w:val="CM24"/>
    <w:basedOn w:val="Default"/>
    <w:next w:val="Default"/>
    <w:uiPriority w:val="99"/>
    <w:rsid w:val="004B5673"/>
    <w:pPr>
      <w:spacing w:line="240" w:lineRule="atLeast"/>
    </w:pPr>
    <w:rPr>
      <w:rFonts w:cstheme="minorBidi"/>
      <w:color w:val="auto"/>
    </w:rPr>
  </w:style>
  <w:style w:type="paragraph" w:customStyle="1" w:styleId="CM4">
    <w:name w:val="CM4"/>
    <w:basedOn w:val="Default"/>
    <w:next w:val="Default"/>
    <w:uiPriority w:val="99"/>
    <w:rsid w:val="004B5673"/>
    <w:pPr>
      <w:spacing w:line="268" w:lineRule="atLeast"/>
    </w:pPr>
    <w:rPr>
      <w:rFonts w:cstheme="minorBidi"/>
      <w:color w:val="auto"/>
    </w:rPr>
  </w:style>
  <w:style w:type="paragraph" w:customStyle="1" w:styleId="CM6">
    <w:name w:val="CM6"/>
    <w:basedOn w:val="Default"/>
    <w:next w:val="Default"/>
    <w:uiPriority w:val="99"/>
    <w:rsid w:val="004B5673"/>
    <w:pPr>
      <w:spacing w:line="271" w:lineRule="atLeast"/>
    </w:pPr>
    <w:rPr>
      <w:rFonts w:cstheme="minorBidi"/>
      <w:color w:val="auto"/>
    </w:rPr>
  </w:style>
  <w:style w:type="paragraph" w:customStyle="1" w:styleId="CM48">
    <w:name w:val="CM48"/>
    <w:basedOn w:val="Default"/>
    <w:next w:val="Default"/>
    <w:uiPriority w:val="99"/>
    <w:rsid w:val="004B5673"/>
    <w:rPr>
      <w:rFonts w:cstheme="minorBidi"/>
      <w:color w:val="auto"/>
    </w:rPr>
  </w:style>
  <w:style w:type="paragraph" w:customStyle="1" w:styleId="CM14">
    <w:name w:val="CM14"/>
    <w:basedOn w:val="Default"/>
    <w:next w:val="Default"/>
    <w:uiPriority w:val="99"/>
    <w:rsid w:val="004B5673"/>
    <w:pPr>
      <w:spacing w:line="268" w:lineRule="atLeast"/>
    </w:pPr>
    <w:rPr>
      <w:rFonts w:cstheme="minorBidi"/>
      <w:color w:val="auto"/>
    </w:rPr>
  </w:style>
  <w:style w:type="paragraph" w:customStyle="1" w:styleId="CM15">
    <w:name w:val="CM15"/>
    <w:basedOn w:val="Default"/>
    <w:next w:val="Default"/>
    <w:uiPriority w:val="99"/>
    <w:rsid w:val="004B5673"/>
    <w:pPr>
      <w:spacing w:line="268" w:lineRule="atLeast"/>
    </w:pPr>
    <w:rPr>
      <w:rFonts w:cstheme="minorBidi"/>
      <w:color w:val="auto"/>
    </w:rPr>
  </w:style>
  <w:style w:type="paragraph" w:customStyle="1" w:styleId="CM16">
    <w:name w:val="CM16"/>
    <w:basedOn w:val="Default"/>
    <w:next w:val="Default"/>
    <w:uiPriority w:val="99"/>
    <w:rsid w:val="004B5673"/>
    <w:pPr>
      <w:spacing w:line="268" w:lineRule="atLeast"/>
    </w:pPr>
    <w:rPr>
      <w:rFonts w:cstheme="minorBidi"/>
      <w:color w:val="auto"/>
    </w:rPr>
  </w:style>
  <w:style w:type="paragraph" w:customStyle="1" w:styleId="CM45">
    <w:name w:val="CM45"/>
    <w:basedOn w:val="Default"/>
    <w:next w:val="Default"/>
    <w:uiPriority w:val="99"/>
    <w:rsid w:val="00180482"/>
    <w:rPr>
      <w:rFonts w:cstheme="minorBidi"/>
      <w:color w:val="auto"/>
    </w:rPr>
  </w:style>
  <w:style w:type="paragraph" w:customStyle="1" w:styleId="CM31">
    <w:name w:val="CM31"/>
    <w:basedOn w:val="Default"/>
    <w:next w:val="Default"/>
    <w:uiPriority w:val="99"/>
    <w:rsid w:val="00180482"/>
    <w:pPr>
      <w:spacing w:line="231" w:lineRule="atLeast"/>
    </w:pPr>
    <w:rPr>
      <w:rFonts w:cstheme="minorBidi"/>
      <w:color w:val="auto"/>
    </w:rPr>
  </w:style>
  <w:style w:type="paragraph" w:customStyle="1" w:styleId="CM55">
    <w:name w:val="CM55"/>
    <w:basedOn w:val="Default"/>
    <w:next w:val="Default"/>
    <w:uiPriority w:val="99"/>
    <w:rsid w:val="00180482"/>
    <w:rPr>
      <w:rFonts w:cstheme="minorBidi"/>
      <w:color w:val="auto"/>
    </w:rPr>
  </w:style>
  <w:style w:type="paragraph" w:customStyle="1" w:styleId="CM3">
    <w:name w:val="CM3"/>
    <w:basedOn w:val="Default"/>
    <w:next w:val="Default"/>
    <w:uiPriority w:val="99"/>
    <w:rsid w:val="00180482"/>
    <w:rPr>
      <w:rFonts w:cstheme="minorBidi"/>
      <w:color w:val="auto"/>
    </w:rPr>
  </w:style>
  <w:style w:type="paragraph" w:customStyle="1" w:styleId="CM46">
    <w:name w:val="CM46"/>
    <w:basedOn w:val="Default"/>
    <w:next w:val="Default"/>
    <w:uiPriority w:val="99"/>
    <w:rsid w:val="00180482"/>
    <w:rPr>
      <w:rFonts w:cstheme="minorBidi"/>
      <w:color w:val="auto"/>
    </w:rPr>
  </w:style>
  <w:style w:type="paragraph" w:customStyle="1" w:styleId="CM19">
    <w:name w:val="CM19"/>
    <w:basedOn w:val="Default"/>
    <w:next w:val="Default"/>
    <w:uiPriority w:val="99"/>
    <w:rsid w:val="00180482"/>
    <w:pPr>
      <w:spacing w:line="228" w:lineRule="atLeast"/>
    </w:pPr>
    <w:rPr>
      <w:rFonts w:cstheme="minorBidi"/>
      <w:color w:val="auto"/>
    </w:rPr>
  </w:style>
  <w:style w:type="paragraph" w:customStyle="1" w:styleId="CM39">
    <w:name w:val="CM39"/>
    <w:basedOn w:val="Default"/>
    <w:next w:val="Default"/>
    <w:uiPriority w:val="99"/>
    <w:rsid w:val="00180482"/>
    <w:pPr>
      <w:spacing w:line="231" w:lineRule="atLeast"/>
    </w:pPr>
    <w:rPr>
      <w:rFonts w:cstheme="minorBidi"/>
      <w:color w:val="auto"/>
    </w:rPr>
  </w:style>
  <w:style w:type="paragraph" w:customStyle="1" w:styleId="CM40">
    <w:name w:val="CM40"/>
    <w:basedOn w:val="Default"/>
    <w:next w:val="Default"/>
    <w:uiPriority w:val="99"/>
    <w:rsid w:val="00180482"/>
    <w:pPr>
      <w:spacing w:line="231" w:lineRule="atLeast"/>
    </w:pPr>
    <w:rPr>
      <w:rFonts w:cstheme="minorBidi"/>
      <w:color w:val="auto"/>
    </w:rPr>
  </w:style>
  <w:style w:type="paragraph" w:customStyle="1" w:styleId="CM38">
    <w:name w:val="CM38"/>
    <w:basedOn w:val="Default"/>
    <w:next w:val="Default"/>
    <w:uiPriority w:val="99"/>
    <w:rsid w:val="00180482"/>
    <w:pPr>
      <w:spacing w:line="231" w:lineRule="atLeast"/>
    </w:pPr>
    <w:rPr>
      <w:rFonts w:cstheme="minorBidi"/>
      <w:color w:val="auto"/>
    </w:rPr>
  </w:style>
  <w:style w:type="paragraph" w:customStyle="1" w:styleId="CM43">
    <w:name w:val="CM43"/>
    <w:basedOn w:val="Default"/>
    <w:next w:val="Default"/>
    <w:uiPriority w:val="99"/>
    <w:rsid w:val="00180482"/>
    <w:rPr>
      <w:rFonts w:cstheme="minorBidi"/>
      <w:color w:val="auto"/>
    </w:rPr>
  </w:style>
  <w:style w:type="paragraph" w:customStyle="1" w:styleId="CM54">
    <w:name w:val="CM54"/>
    <w:basedOn w:val="Default"/>
    <w:next w:val="Default"/>
    <w:uiPriority w:val="99"/>
    <w:rsid w:val="00180482"/>
    <w:rPr>
      <w:rFonts w:cstheme="minorBidi"/>
      <w:color w:val="auto"/>
    </w:rPr>
  </w:style>
  <w:style w:type="paragraph" w:customStyle="1" w:styleId="CM41">
    <w:name w:val="CM41"/>
    <w:basedOn w:val="Default"/>
    <w:next w:val="Default"/>
    <w:uiPriority w:val="99"/>
    <w:rsid w:val="00D518FB"/>
    <w:rPr>
      <w:rFonts w:cstheme="minorBidi"/>
      <w:color w:val="auto"/>
    </w:rPr>
  </w:style>
  <w:style w:type="paragraph" w:customStyle="1" w:styleId="CM42">
    <w:name w:val="CM42"/>
    <w:basedOn w:val="Default"/>
    <w:next w:val="Default"/>
    <w:uiPriority w:val="99"/>
    <w:rsid w:val="00D518FB"/>
    <w:rPr>
      <w:rFonts w:cstheme="minorBidi"/>
      <w:color w:val="auto"/>
    </w:rPr>
  </w:style>
  <w:style w:type="paragraph" w:styleId="TOCHeading">
    <w:name w:val="TOC Heading"/>
    <w:basedOn w:val="Heading1"/>
    <w:next w:val="Normal"/>
    <w:uiPriority w:val="39"/>
    <w:semiHidden/>
    <w:unhideWhenUsed/>
    <w:qFormat/>
    <w:rsid w:val="00536829"/>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paragraph" w:styleId="CommentText">
    <w:name w:val="annotation text"/>
    <w:basedOn w:val="Normal"/>
    <w:link w:val="CommentTextChar"/>
    <w:uiPriority w:val="99"/>
    <w:semiHidden/>
    <w:rsid w:val="001E348A"/>
    <w:rPr>
      <w:sz w:val="20"/>
      <w:szCs w:val="20"/>
    </w:rPr>
  </w:style>
  <w:style w:type="character" w:customStyle="1" w:styleId="CommentTextChar">
    <w:name w:val="Comment Text Char"/>
    <w:basedOn w:val="DefaultParagraphFont"/>
    <w:link w:val="CommentText"/>
    <w:uiPriority w:val="99"/>
    <w:semiHidden/>
    <w:rsid w:val="001E348A"/>
    <w:rPr>
      <w:sz w:val="20"/>
      <w:szCs w:val="20"/>
      <w:lang w:eastAsia="en-US"/>
    </w:rPr>
  </w:style>
  <w:style w:type="paragraph" w:styleId="CommentSubject">
    <w:name w:val="annotation subject"/>
    <w:basedOn w:val="CommentText"/>
    <w:next w:val="CommentText"/>
    <w:link w:val="CommentSubjectChar"/>
    <w:uiPriority w:val="99"/>
    <w:semiHidden/>
    <w:rsid w:val="001E348A"/>
    <w:rPr>
      <w:b/>
      <w:bCs/>
    </w:rPr>
  </w:style>
  <w:style w:type="character" w:customStyle="1" w:styleId="CommentSubjectChar">
    <w:name w:val="Comment Subject Char"/>
    <w:basedOn w:val="CommentTextChar"/>
    <w:link w:val="CommentSubject"/>
    <w:uiPriority w:val="99"/>
    <w:semiHidden/>
    <w:rsid w:val="001E348A"/>
    <w:rPr>
      <w:b/>
      <w:bCs/>
      <w:sz w:val="20"/>
      <w:szCs w:val="20"/>
      <w:lang w:eastAsia="en-US"/>
    </w:rPr>
  </w:style>
  <w:style w:type="paragraph" w:styleId="Revision">
    <w:name w:val="Revision"/>
    <w:hidden/>
    <w:uiPriority w:val="99"/>
    <w:semiHidden/>
    <w:rsid w:val="001E348A"/>
    <w:pPr>
      <w:spacing w:before="0"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62531">
      <w:bodyDiv w:val="1"/>
      <w:marLeft w:val="0"/>
      <w:marRight w:val="0"/>
      <w:marTop w:val="0"/>
      <w:marBottom w:val="0"/>
      <w:divBdr>
        <w:top w:val="none" w:sz="0" w:space="0" w:color="auto"/>
        <w:left w:val="none" w:sz="0" w:space="0" w:color="auto"/>
        <w:bottom w:val="none" w:sz="0" w:space="0" w:color="auto"/>
        <w:right w:val="none" w:sz="0" w:space="0" w:color="auto"/>
      </w:divBdr>
    </w:div>
    <w:div w:id="972172974">
      <w:bodyDiv w:val="1"/>
      <w:marLeft w:val="0"/>
      <w:marRight w:val="0"/>
      <w:marTop w:val="0"/>
      <w:marBottom w:val="0"/>
      <w:divBdr>
        <w:top w:val="none" w:sz="0" w:space="0" w:color="auto"/>
        <w:left w:val="none" w:sz="0" w:space="0" w:color="auto"/>
        <w:bottom w:val="none" w:sz="0" w:space="0" w:color="auto"/>
        <w:right w:val="none" w:sz="0" w:space="0" w:color="auto"/>
      </w:divBdr>
    </w:div>
    <w:div w:id="1090204156">
      <w:bodyDiv w:val="1"/>
      <w:marLeft w:val="0"/>
      <w:marRight w:val="0"/>
      <w:marTop w:val="0"/>
      <w:marBottom w:val="0"/>
      <w:divBdr>
        <w:top w:val="none" w:sz="0" w:space="0" w:color="auto"/>
        <w:left w:val="none" w:sz="0" w:space="0" w:color="auto"/>
        <w:bottom w:val="none" w:sz="0" w:space="0" w:color="auto"/>
        <w:right w:val="none" w:sz="0" w:space="0" w:color="auto"/>
      </w:divBdr>
    </w:div>
    <w:div w:id="16534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07DF-3275-41F0-9410-CDBF5C51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A6340FC5</Template>
  <TotalTime>1</TotalTime>
  <Pages>13</Pages>
  <Words>2954</Words>
  <Characters>17102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Carr</dc:creator>
  <cp:lastModifiedBy>Tim Bollinger</cp:lastModifiedBy>
  <cp:revision>2</cp:revision>
  <cp:lastPrinted>2015-04-27T23:27:00Z</cp:lastPrinted>
  <dcterms:created xsi:type="dcterms:W3CDTF">2015-06-23T00:17:00Z</dcterms:created>
  <dcterms:modified xsi:type="dcterms:W3CDTF">2015-06-23T00:17:00Z</dcterms:modified>
</cp:coreProperties>
</file>